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221439757"/>
    <w:p w:rsidR="00430686" w:rsidRPr="00D00C93" w:rsidRDefault="000343B0" w:rsidP="00430686">
      <w:pPr>
        <w:spacing w:before="0"/>
        <w:ind w:left="-1701"/>
        <w:rPr>
          <w:iCs/>
        </w:rPr>
      </w:pPr>
      <w:r>
        <w:rPr>
          <w:noProof/>
          <w:lang w:val="fi-FI" w:eastAsia="fi-FI"/>
        </w:rPr>
        <mc:AlternateContent>
          <mc:Choice Requires="wps">
            <w:drawing>
              <wp:anchor distT="0" distB="0" distL="114300" distR="114300" simplePos="0" relativeHeight="251646976" behindDoc="0" locked="0" layoutInCell="1" allowOverlap="1">
                <wp:simplePos x="0" y="0"/>
                <wp:positionH relativeFrom="column">
                  <wp:posOffset>-784860</wp:posOffset>
                </wp:positionH>
                <wp:positionV relativeFrom="paragraph">
                  <wp:posOffset>6057900</wp:posOffset>
                </wp:positionV>
                <wp:extent cx="7035800" cy="3857625"/>
                <wp:effectExtent l="0" t="0" r="0" b="9525"/>
                <wp:wrapNone/>
                <wp:docPr id="60"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3857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2CD5" w:rsidRPr="006A4A81" w:rsidRDefault="00A22CD5" w:rsidP="009E4932">
                            <w:pPr>
                              <w:jc w:val="center"/>
                              <w:rPr>
                                <w:rFonts w:cs="Arial"/>
                                <w:color w:val="17365D" w:themeColor="text2" w:themeShade="BF"/>
                                <w:sz w:val="32"/>
                                <w:szCs w:val="32"/>
                                <w:lang w:val="en-US"/>
                              </w:rPr>
                            </w:pPr>
                            <w:r w:rsidRPr="006A4A81">
                              <w:rPr>
                                <w:rFonts w:cs="Arial"/>
                                <w:color w:val="17365D" w:themeColor="text2" w:themeShade="BF"/>
                                <w:sz w:val="32"/>
                                <w:szCs w:val="32"/>
                                <w:lang w:val="en-US"/>
                              </w:rPr>
                              <w:t>Final Report</w:t>
                            </w:r>
                          </w:p>
                          <w:p w:rsidR="00A22CD5" w:rsidRPr="006A4A81" w:rsidRDefault="00A22CD5" w:rsidP="009E4932">
                            <w:pPr>
                              <w:jc w:val="center"/>
                              <w:rPr>
                                <w:rFonts w:cs="Arial"/>
                                <w:color w:val="17365D" w:themeColor="text2" w:themeShade="BF"/>
                                <w:sz w:val="32"/>
                                <w:szCs w:val="32"/>
                                <w:lang w:val="en-US"/>
                              </w:rPr>
                            </w:pPr>
                          </w:p>
                          <w:p w:rsidR="009E4932" w:rsidRPr="006A4A81" w:rsidRDefault="009E4932" w:rsidP="009E4932">
                            <w:pPr>
                              <w:jc w:val="center"/>
                              <w:rPr>
                                <w:rFonts w:cs="Arial"/>
                                <w:color w:val="17365D" w:themeColor="text2" w:themeShade="BF"/>
                                <w:sz w:val="32"/>
                                <w:szCs w:val="32"/>
                                <w:lang w:val="en-US"/>
                              </w:rPr>
                            </w:pPr>
                            <w:r w:rsidRPr="006A4A81">
                              <w:rPr>
                                <w:rFonts w:cs="Arial"/>
                                <w:color w:val="17365D" w:themeColor="text2" w:themeShade="BF"/>
                                <w:sz w:val="32"/>
                                <w:szCs w:val="32"/>
                                <w:lang w:val="en-US"/>
                              </w:rPr>
                              <w:t xml:space="preserve">Annex </w:t>
                            </w:r>
                            <w:r w:rsidR="00CA5FED" w:rsidRPr="006A4A81">
                              <w:rPr>
                                <w:rFonts w:cs="Arial"/>
                                <w:color w:val="17365D" w:themeColor="text2" w:themeShade="BF"/>
                                <w:sz w:val="32"/>
                                <w:szCs w:val="32"/>
                                <w:lang w:val="en-US"/>
                              </w:rPr>
                              <w:t>4</w:t>
                            </w:r>
                            <w:r w:rsidRPr="006A4A81">
                              <w:rPr>
                                <w:rFonts w:cs="Arial"/>
                                <w:color w:val="17365D" w:themeColor="text2" w:themeShade="BF"/>
                                <w:sz w:val="32"/>
                                <w:szCs w:val="32"/>
                                <w:lang w:val="en-US"/>
                              </w:rPr>
                              <w:t xml:space="preserve"> | Appendix </w:t>
                            </w:r>
                            <w:r w:rsidR="00686C2C" w:rsidRPr="006A4A81">
                              <w:rPr>
                                <w:rFonts w:cs="Arial"/>
                                <w:color w:val="17365D" w:themeColor="text2" w:themeShade="BF"/>
                                <w:sz w:val="32"/>
                                <w:szCs w:val="32"/>
                                <w:lang w:val="en-US"/>
                              </w:rPr>
                              <w:t>8</w:t>
                            </w:r>
                          </w:p>
                          <w:p w:rsidR="004E6E3A" w:rsidRPr="006A4A81" w:rsidRDefault="004E6E3A" w:rsidP="00540045">
                            <w:pPr>
                              <w:jc w:val="center"/>
                              <w:rPr>
                                <w:rFonts w:cs="Arial"/>
                                <w:color w:val="17365D" w:themeColor="text2" w:themeShade="BF"/>
                                <w:sz w:val="32"/>
                                <w:szCs w:val="32"/>
                                <w:lang w:val="en-US"/>
                              </w:rPr>
                            </w:pPr>
                            <w:r w:rsidRPr="006A4A81">
                              <w:rPr>
                                <w:rFonts w:cs="Arial"/>
                                <w:color w:val="17365D" w:themeColor="text2" w:themeShade="BF"/>
                                <w:sz w:val="32"/>
                                <w:szCs w:val="32"/>
                                <w:lang w:val="en-US"/>
                              </w:rPr>
                              <w:t>Case Study Report</w:t>
                            </w:r>
                          </w:p>
                          <w:p w:rsidR="004E6E3A" w:rsidRPr="006A4A81" w:rsidRDefault="004E6E3A" w:rsidP="00430686">
                            <w:pPr>
                              <w:jc w:val="center"/>
                              <w:rPr>
                                <w:rFonts w:cs="Arial"/>
                                <w:b/>
                                <w:caps/>
                                <w:color w:val="17365D" w:themeColor="text2" w:themeShade="BF"/>
                                <w:sz w:val="40"/>
                                <w:szCs w:val="40"/>
                                <w:lang w:val="en-US"/>
                              </w:rPr>
                            </w:pPr>
                            <w:r w:rsidRPr="006A4A81">
                              <w:rPr>
                                <w:rFonts w:cs="Arial"/>
                                <w:b/>
                                <w:caps/>
                                <w:color w:val="17365D" w:themeColor="text2" w:themeShade="BF"/>
                                <w:sz w:val="40"/>
                                <w:szCs w:val="40"/>
                                <w:lang w:val="en-US"/>
                              </w:rPr>
                              <w:t>Banská Bystrica, Slovakia</w:t>
                            </w:r>
                          </w:p>
                          <w:p w:rsidR="004E6E3A" w:rsidRPr="006A4A81" w:rsidRDefault="004E6E3A" w:rsidP="00430686">
                            <w:pPr>
                              <w:jc w:val="center"/>
                              <w:rPr>
                                <w:rFonts w:cs="Arial"/>
                                <w:color w:val="17365D" w:themeColor="text2" w:themeShade="BF"/>
                                <w:sz w:val="32"/>
                                <w:szCs w:val="32"/>
                                <w:lang w:val="en-US"/>
                              </w:rPr>
                            </w:pPr>
                            <w:r w:rsidRPr="006A4A81">
                              <w:rPr>
                                <w:rFonts w:cs="Arial"/>
                                <w:color w:val="17365D" w:themeColor="text2" w:themeShade="BF"/>
                                <w:sz w:val="32"/>
                                <w:szCs w:val="32"/>
                                <w:lang w:val="en-US"/>
                              </w:rPr>
                              <w:t>Katalin Kovács, Gyöngyi Schwarcz, Gergely Tagai</w:t>
                            </w:r>
                          </w:p>
                          <w:p w:rsidR="004E6E3A" w:rsidRPr="006A4A81" w:rsidRDefault="004E6E3A" w:rsidP="00430686">
                            <w:pPr>
                              <w:jc w:val="center"/>
                              <w:rPr>
                                <w:rFonts w:cs="Arial"/>
                                <w:color w:val="17365D" w:themeColor="text2" w:themeShade="BF"/>
                                <w:sz w:val="32"/>
                                <w:szCs w:val="32"/>
                                <w:lang w:val="en-US"/>
                              </w:rPr>
                            </w:pPr>
                            <w:r w:rsidRPr="006A4A81">
                              <w:rPr>
                                <w:rFonts w:cs="Arial"/>
                                <w:color w:val="17365D" w:themeColor="text2" w:themeShade="BF"/>
                                <w:sz w:val="32"/>
                                <w:szCs w:val="32"/>
                                <w:lang w:val="en-US"/>
                              </w:rPr>
                              <w:t>With inputs from Péter Krasztev</w:t>
                            </w:r>
                          </w:p>
                          <w:p w:rsidR="00A22CD5" w:rsidRPr="00AB66B6" w:rsidRDefault="00AB66B6" w:rsidP="00430686">
                            <w:pPr>
                              <w:jc w:val="center"/>
                              <w:rPr>
                                <w:rFonts w:cs="Arial"/>
                                <w:color w:val="17365D" w:themeColor="text2" w:themeShade="BF"/>
                                <w:sz w:val="32"/>
                                <w:szCs w:val="32"/>
                                <w:lang w:val="en-US"/>
                              </w:rPr>
                            </w:pPr>
                            <w:r w:rsidRPr="00AB66B6">
                              <w:rPr>
                                <w:rFonts w:cs="Arial"/>
                                <w:color w:val="17365D" w:themeColor="text2" w:themeShade="BF"/>
                                <w:sz w:val="32"/>
                                <w:szCs w:val="32"/>
                                <w:lang w:val="en-US"/>
                              </w:rPr>
                              <w:t>Institute of Economics Hungarian Academy of Sciences, Budapest</w:t>
                            </w:r>
                          </w:p>
                          <w:p w:rsidR="00AB66B6" w:rsidRDefault="00AB66B6" w:rsidP="00430686">
                            <w:pPr>
                              <w:jc w:val="center"/>
                              <w:rPr>
                                <w:rFonts w:cs="Arial"/>
                                <w:sz w:val="32"/>
                                <w:szCs w:val="32"/>
                                <w:lang w:val="en-US"/>
                              </w:rPr>
                            </w:pPr>
                          </w:p>
                          <w:p w:rsidR="00AB66B6" w:rsidRDefault="00AB66B6" w:rsidP="00430686">
                            <w:pPr>
                              <w:jc w:val="center"/>
                              <w:rPr>
                                <w:rFonts w:cs="Arial"/>
                                <w:sz w:val="32"/>
                                <w:szCs w:val="32"/>
                                <w:lang w:val="en-US"/>
                              </w:rPr>
                            </w:pPr>
                          </w:p>
                          <w:p w:rsidR="004E6E3A" w:rsidRPr="00FE01AC" w:rsidRDefault="004E6E3A" w:rsidP="00430686">
                            <w:pPr>
                              <w:jc w:val="center"/>
                              <w:rPr>
                                <w:rFonts w:cs="Arial"/>
                                <w:sz w:val="32"/>
                                <w:szCs w:val="32"/>
                                <w:lang w:val="en-US"/>
                              </w:rPr>
                            </w:pPr>
                            <w:r>
                              <w:rPr>
                                <w:rFonts w:cs="Arial"/>
                                <w:sz w:val="32"/>
                                <w:szCs w:val="32"/>
                                <w:lang w:val="en-US"/>
                              </w:rPr>
                              <w:t>February 2014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Text Box 303" o:spid="_x0000_s1026" type="#_x0000_t202" style="position:absolute;left:0;text-align:left;margin-left:-61.8pt;margin-top:477pt;width:554pt;height:303.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KZFuQIAAL0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5ziG8nDSQ48e6V6jO7FHM29mCjQOKgO/hwE89R4M0GhLVg33ovqqEBfLlvANvZVSjC0lNSTom5vu&#10;2dUJRxmQ9fhB1BCIbLWwQPtG9qZ6UA8E6JDJ06k5JpkKDufeLEo8MFVgmyXRPA4iG4Nkx+uDVPod&#10;FT0yixxL6L6FJ7t7pU06JDu6mGhclKzrrAI6fnEAjtMJBIerxmbSsA39kXrpKlkloRMG8coJvaJw&#10;bstl6MSlP4+KWbFcFv5PE9cPs5bVNeUmzFFcfvhnzTvIfJLFSV5KdKw2cCYlJTfrZSfRjoC4S/sd&#10;CnLm5l6mYYsAXF5Q8oPQuwtSp4yTuROWYeSkcy9xPD+9S2MvTMOivKR0zzj9d0pozHEaQR8tnd9y&#10;8+z3mhvJeqZhfHSszzFoAz7jRDKjwRWv7VoT1k3rs1KY9J9LAe0+Ntoq1oh0kqver/eAYmS8FvUT&#10;aFcKUBaoEGYeLFohv2M0wvzIsfq2JZJi1L3noP/UD0Nw03YTRvMANvLcsj63EF4BVI41RtNyqach&#10;tR0k27QQaXpxXNzCm2mYVfNzVoeXBjPCkjrMMzOEzvfW63nqLn4BAAD//wMAUEsDBBQABgAIAAAA&#10;IQDofbUv4QAAAA0BAAAPAAAAZHJzL2Rvd25yZXYueG1sTI/LTsMwEEX3SPyDNUjsWjsliZoQp0Ig&#10;tiDKQ2LnxtMkIh5HsduEv2dYwXI0R/eeW+0WN4gzTqH3pCFZKxBIjbc9tRreXh9XWxAhGrJm8IQa&#10;vjHArr68qExp/UwveN7HVnAIhdJo6GIcSylD06EzYe1HJP4d/eRM5HNqpZ3MzOFukBulculMT9zQ&#10;mRHvO2y+9ien4f3p+PmRquf2wWXj7BclyRVS6+ur5e4WRMQl/sHwq8/qULPTwZ/IBjFoWCWbm5xZ&#10;DUWW8ipGim2agjgwm+VJBrKu5P8V9Q8AAAD//wMAUEsBAi0AFAAGAAgAAAAhALaDOJL+AAAA4QEA&#10;ABMAAAAAAAAAAAAAAAAAAAAAAFtDb250ZW50X1R5cGVzXS54bWxQSwECLQAUAAYACAAAACEAOP0h&#10;/9YAAACUAQAACwAAAAAAAAAAAAAAAAAvAQAAX3JlbHMvLnJlbHNQSwECLQAUAAYACAAAACEATlym&#10;RbkCAAC9BQAADgAAAAAAAAAAAAAAAAAuAgAAZHJzL2Uyb0RvYy54bWxQSwECLQAUAAYACAAAACEA&#10;6H21L+EAAAANAQAADwAAAAAAAAAAAAAAAAATBQAAZHJzL2Rvd25yZXYueG1sUEsFBgAAAAAEAAQA&#10;8wAAACEGAAAAAA==&#10;" filled="f" stroked="f">
                <v:textbox>
                  <w:txbxContent>
                    <w:p w:rsidR="00A22CD5" w:rsidRPr="006A4A81" w:rsidRDefault="00A22CD5" w:rsidP="009E4932">
                      <w:pPr>
                        <w:jc w:val="center"/>
                        <w:rPr>
                          <w:rFonts w:cs="Arial"/>
                          <w:color w:val="17365D" w:themeColor="text2" w:themeShade="BF"/>
                          <w:sz w:val="32"/>
                          <w:szCs w:val="32"/>
                          <w:lang w:val="en-US"/>
                        </w:rPr>
                      </w:pPr>
                      <w:r w:rsidRPr="006A4A81">
                        <w:rPr>
                          <w:rFonts w:cs="Arial"/>
                          <w:color w:val="17365D" w:themeColor="text2" w:themeShade="BF"/>
                          <w:sz w:val="32"/>
                          <w:szCs w:val="32"/>
                          <w:lang w:val="en-US"/>
                        </w:rPr>
                        <w:t>Final Report</w:t>
                      </w:r>
                    </w:p>
                    <w:p w:rsidR="00A22CD5" w:rsidRPr="006A4A81" w:rsidRDefault="00A22CD5" w:rsidP="009E4932">
                      <w:pPr>
                        <w:jc w:val="center"/>
                        <w:rPr>
                          <w:rFonts w:cs="Arial"/>
                          <w:color w:val="17365D" w:themeColor="text2" w:themeShade="BF"/>
                          <w:sz w:val="32"/>
                          <w:szCs w:val="32"/>
                          <w:lang w:val="en-US"/>
                        </w:rPr>
                      </w:pPr>
                    </w:p>
                    <w:p w:rsidR="009E4932" w:rsidRPr="006A4A81" w:rsidRDefault="009E4932" w:rsidP="009E4932">
                      <w:pPr>
                        <w:jc w:val="center"/>
                        <w:rPr>
                          <w:rFonts w:cs="Arial"/>
                          <w:color w:val="17365D" w:themeColor="text2" w:themeShade="BF"/>
                          <w:sz w:val="32"/>
                          <w:szCs w:val="32"/>
                          <w:lang w:val="en-US"/>
                        </w:rPr>
                      </w:pPr>
                      <w:r w:rsidRPr="006A4A81">
                        <w:rPr>
                          <w:rFonts w:cs="Arial"/>
                          <w:color w:val="17365D" w:themeColor="text2" w:themeShade="BF"/>
                          <w:sz w:val="32"/>
                          <w:szCs w:val="32"/>
                          <w:lang w:val="en-US"/>
                        </w:rPr>
                        <w:t xml:space="preserve">Annex </w:t>
                      </w:r>
                      <w:r w:rsidR="00CA5FED" w:rsidRPr="006A4A81">
                        <w:rPr>
                          <w:rFonts w:cs="Arial"/>
                          <w:color w:val="17365D" w:themeColor="text2" w:themeShade="BF"/>
                          <w:sz w:val="32"/>
                          <w:szCs w:val="32"/>
                          <w:lang w:val="en-US"/>
                        </w:rPr>
                        <w:t>4</w:t>
                      </w:r>
                      <w:r w:rsidRPr="006A4A81">
                        <w:rPr>
                          <w:rFonts w:cs="Arial"/>
                          <w:color w:val="17365D" w:themeColor="text2" w:themeShade="BF"/>
                          <w:sz w:val="32"/>
                          <w:szCs w:val="32"/>
                          <w:lang w:val="en-US"/>
                        </w:rPr>
                        <w:t xml:space="preserve"> | Appendix </w:t>
                      </w:r>
                      <w:r w:rsidR="00686C2C" w:rsidRPr="006A4A81">
                        <w:rPr>
                          <w:rFonts w:cs="Arial"/>
                          <w:color w:val="17365D" w:themeColor="text2" w:themeShade="BF"/>
                          <w:sz w:val="32"/>
                          <w:szCs w:val="32"/>
                          <w:lang w:val="en-US"/>
                        </w:rPr>
                        <w:t>8</w:t>
                      </w:r>
                    </w:p>
                    <w:p w:rsidR="004E6E3A" w:rsidRPr="006A4A81" w:rsidRDefault="004E6E3A" w:rsidP="00540045">
                      <w:pPr>
                        <w:jc w:val="center"/>
                        <w:rPr>
                          <w:rFonts w:cs="Arial"/>
                          <w:color w:val="17365D" w:themeColor="text2" w:themeShade="BF"/>
                          <w:sz w:val="32"/>
                          <w:szCs w:val="32"/>
                          <w:lang w:val="en-US"/>
                        </w:rPr>
                      </w:pPr>
                      <w:r w:rsidRPr="006A4A81">
                        <w:rPr>
                          <w:rFonts w:cs="Arial"/>
                          <w:color w:val="17365D" w:themeColor="text2" w:themeShade="BF"/>
                          <w:sz w:val="32"/>
                          <w:szCs w:val="32"/>
                          <w:lang w:val="en-US"/>
                        </w:rPr>
                        <w:t>Case Study Report</w:t>
                      </w:r>
                    </w:p>
                    <w:p w:rsidR="004E6E3A" w:rsidRPr="006A4A81" w:rsidRDefault="004E6E3A" w:rsidP="00430686">
                      <w:pPr>
                        <w:jc w:val="center"/>
                        <w:rPr>
                          <w:rFonts w:cs="Arial"/>
                          <w:b/>
                          <w:caps/>
                          <w:color w:val="17365D" w:themeColor="text2" w:themeShade="BF"/>
                          <w:sz w:val="40"/>
                          <w:szCs w:val="40"/>
                          <w:lang w:val="en-US"/>
                        </w:rPr>
                      </w:pPr>
                      <w:r w:rsidRPr="006A4A81">
                        <w:rPr>
                          <w:rFonts w:cs="Arial"/>
                          <w:b/>
                          <w:caps/>
                          <w:color w:val="17365D" w:themeColor="text2" w:themeShade="BF"/>
                          <w:sz w:val="40"/>
                          <w:szCs w:val="40"/>
                          <w:lang w:val="en-US"/>
                        </w:rPr>
                        <w:t>Banská Bystrica, Slovakia</w:t>
                      </w:r>
                    </w:p>
                    <w:p w:rsidR="004E6E3A" w:rsidRPr="006A4A81" w:rsidRDefault="004E6E3A" w:rsidP="00430686">
                      <w:pPr>
                        <w:jc w:val="center"/>
                        <w:rPr>
                          <w:rFonts w:cs="Arial"/>
                          <w:color w:val="17365D" w:themeColor="text2" w:themeShade="BF"/>
                          <w:sz w:val="32"/>
                          <w:szCs w:val="32"/>
                          <w:lang w:val="en-US"/>
                        </w:rPr>
                      </w:pPr>
                      <w:r w:rsidRPr="006A4A81">
                        <w:rPr>
                          <w:rFonts w:cs="Arial"/>
                          <w:color w:val="17365D" w:themeColor="text2" w:themeShade="BF"/>
                          <w:sz w:val="32"/>
                          <w:szCs w:val="32"/>
                          <w:lang w:val="en-US"/>
                        </w:rPr>
                        <w:t>Katalin Kovács, Gyöngyi Schwarcz, Gergely Tagai</w:t>
                      </w:r>
                    </w:p>
                    <w:p w:rsidR="004E6E3A" w:rsidRPr="006A4A81" w:rsidRDefault="004E6E3A" w:rsidP="00430686">
                      <w:pPr>
                        <w:jc w:val="center"/>
                        <w:rPr>
                          <w:rFonts w:cs="Arial"/>
                          <w:color w:val="17365D" w:themeColor="text2" w:themeShade="BF"/>
                          <w:sz w:val="32"/>
                          <w:szCs w:val="32"/>
                          <w:lang w:val="en-US"/>
                        </w:rPr>
                      </w:pPr>
                      <w:r w:rsidRPr="006A4A81">
                        <w:rPr>
                          <w:rFonts w:cs="Arial"/>
                          <w:color w:val="17365D" w:themeColor="text2" w:themeShade="BF"/>
                          <w:sz w:val="32"/>
                          <w:szCs w:val="32"/>
                          <w:lang w:val="en-US"/>
                        </w:rPr>
                        <w:t>With inputs from Péter Krasztev</w:t>
                      </w:r>
                    </w:p>
                    <w:p w:rsidR="00A22CD5" w:rsidRPr="00AB66B6" w:rsidRDefault="00AB66B6" w:rsidP="00430686">
                      <w:pPr>
                        <w:jc w:val="center"/>
                        <w:rPr>
                          <w:rFonts w:cs="Arial"/>
                          <w:color w:val="17365D" w:themeColor="text2" w:themeShade="BF"/>
                          <w:sz w:val="32"/>
                          <w:szCs w:val="32"/>
                          <w:lang w:val="en-US"/>
                        </w:rPr>
                      </w:pPr>
                      <w:r w:rsidRPr="00AB66B6">
                        <w:rPr>
                          <w:rFonts w:cs="Arial"/>
                          <w:color w:val="17365D" w:themeColor="text2" w:themeShade="BF"/>
                          <w:sz w:val="32"/>
                          <w:szCs w:val="32"/>
                          <w:lang w:val="en-US"/>
                        </w:rPr>
                        <w:t>Institute of Economics Hungarian Academy of Sciences, Budapest</w:t>
                      </w:r>
                    </w:p>
                    <w:p w:rsidR="00AB66B6" w:rsidRDefault="00AB66B6" w:rsidP="00430686">
                      <w:pPr>
                        <w:jc w:val="center"/>
                        <w:rPr>
                          <w:rFonts w:cs="Arial"/>
                          <w:sz w:val="32"/>
                          <w:szCs w:val="32"/>
                          <w:lang w:val="en-US"/>
                        </w:rPr>
                      </w:pPr>
                    </w:p>
                    <w:p w:rsidR="00AB66B6" w:rsidRDefault="00AB66B6" w:rsidP="00430686">
                      <w:pPr>
                        <w:jc w:val="center"/>
                        <w:rPr>
                          <w:rFonts w:cs="Arial"/>
                          <w:sz w:val="32"/>
                          <w:szCs w:val="32"/>
                          <w:lang w:val="en-US"/>
                        </w:rPr>
                      </w:pPr>
                    </w:p>
                    <w:p w:rsidR="004E6E3A" w:rsidRPr="00FE01AC" w:rsidRDefault="004E6E3A" w:rsidP="00430686">
                      <w:pPr>
                        <w:jc w:val="center"/>
                        <w:rPr>
                          <w:rFonts w:cs="Arial"/>
                          <w:sz w:val="32"/>
                          <w:szCs w:val="32"/>
                          <w:lang w:val="en-US"/>
                        </w:rPr>
                      </w:pPr>
                      <w:r>
                        <w:rPr>
                          <w:rFonts w:cs="Arial"/>
                          <w:sz w:val="32"/>
                          <w:szCs w:val="32"/>
                          <w:lang w:val="en-US"/>
                        </w:rPr>
                        <w:t>February 2014</w:t>
                      </w:r>
                    </w:p>
                  </w:txbxContent>
                </v:textbox>
              </v:shape>
            </w:pict>
          </mc:Fallback>
        </mc:AlternateContent>
      </w:r>
      <w:r>
        <w:rPr>
          <w:noProof/>
          <w:lang w:val="fi-FI" w:eastAsia="fi-FI"/>
        </w:rPr>
        <mc:AlternateContent>
          <mc:Choice Requires="wps">
            <w:drawing>
              <wp:anchor distT="0" distB="0" distL="114300" distR="114300" simplePos="0" relativeHeight="251645952" behindDoc="0" locked="0" layoutInCell="1" allowOverlap="1">
                <wp:simplePos x="0" y="0"/>
                <wp:positionH relativeFrom="column">
                  <wp:posOffset>-716280</wp:posOffset>
                </wp:positionH>
                <wp:positionV relativeFrom="paragraph">
                  <wp:posOffset>5433695</wp:posOffset>
                </wp:positionV>
                <wp:extent cx="7035800" cy="401320"/>
                <wp:effectExtent l="0" t="0" r="0" b="0"/>
                <wp:wrapNone/>
                <wp:docPr id="59"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6E3A" w:rsidRPr="00DC3CE6" w:rsidRDefault="004E6E3A"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id="Text Box 302" o:spid="_x0000_s1027" type="#_x0000_t202" style="position:absolute;left:0;text-align:left;margin-left:-56.4pt;margin-top:427.85pt;width:554pt;height:31.6pt;z-index:2516459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lgZvAIAAMMFAAAOAAAAZHJzL2Uyb0RvYy54bWysVNtunDAQfa/Uf7D8TjCs9wIKWyXLUlVK&#10;L1LSD/CCWayCTW1v2LTqv3ds9pbkpWrLA7I94zNnZo7n+t2+a9Ej10YomeHoimDEZakqIbcZ/vpQ&#10;BAuMjGWyYq2SPMNP3OB3y7dvroc+5bFqVFtxjQBEmnToM9xY26dhaMqGd8xcqZ5LMNZKd8zCVm/D&#10;SrMB0Ls2jAmZhYPSVa9VyY2B03w04qXHr2te2s91bbhFbYaBm/V/7f8b9w+X1yzdatY3ojzQYH/B&#10;omNCQtATVM4sQzstXkF1otTKqNpelaoLVV2LkvscIJuIvMjmvmE997lAcUx/KpP5f7Dlp8cvGokq&#10;w9MEI8k66NED31t0q/ZoQmJXoKE3Kfjd9+Bp92CARvtkTX+nym8GSbVqmNzyG63V0HBWAcHI3Qwv&#10;ro44xoFsho+qgkBsZ5UH2te6c9WDeiBAh0Y9nZrjyJRwOCeT6YKAqQQbJdEk9t0LWXq83Wtj33PV&#10;IbfIsIbme3T2eGesY8PSo4sLJlUh2tYLoJXPDsBxPIHYcNXZHAvfz58JSdaL9YIGNJ6tA0ryPLgp&#10;VjSYFdF8mk/y1SqPfrm4EU0bUVVcujBHbUX0z3p3UPmoipO6jGpF5eAcJaO3m1Wr0SMDbRf+8zUH&#10;y9ktfE7DFwFyeZFSFFNyGydBMVvMA1rQaZDMySIgUXKbzAhNaF48T+lOSP7vKaEhw8k0no5iOpN+&#10;kRvx3+vcWNoJC9OjFV2GQRrwOSeWOgmuZeXXlol2XF+UwtE/lwLafWy0F6zT6KhWu9/s/ePwanZi&#10;3qjqCRSsFQgMtAiTDxaN0j8wGmCKZNh83zHNMWo/SHgFSUSpGzt+Q6dz0CzSl5bNpYXJEqAybDEa&#10;lys7jqpdr8W2gUjHd3cDL6cQXtRnVof3BpPC53aYam4UXe6913n2Ln8DAAD//wMAUEsDBBQABgAI&#10;AAAAIQBkDxU04QAAAAwBAAAPAAAAZHJzL2Rvd25yZXYueG1sTI/BTsMwEETvSPyDtUjcWieRQpMQ&#10;p6pQW45AiTi78ZJExGvLdtPw95gT3Ha0o5k39XbRE5vR+dGQgHSdAEPqjBqpF9C+H1YFMB8kKTkZ&#10;QgHf6GHb3N7UslLmSm84n0LPYgj5SgoYQrAV574bUEu/NhYp/j6N0zJE6XqunLzGcD3xLEkeuJYj&#10;xYZBWnwasPs6XbQAG+xx8+xeXnf7w5y0H8c2G/u9EPd3y+4RWMAl/JnhFz+iQxOZzuZCyrNJwCpN&#10;s8geBBR5vgEWLWWZZ8DO8UiLEnhT8/8jmh8AAAD//wMAUEsBAi0AFAAGAAgAAAAhALaDOJL+AAAA&#10;4QEAABMAAAAAAAAAAAAAAAAAAAAAAFtDb250ZW50X1R5cGVzXS54bWxQSwECLQAUAAYACAAAACEA&#10;OP0h/9YAAACUAQAACwAAAAAAAAAAAAAAAAAvAQAAX3JlbHMvLnJlbHNQSwECLQAUAAYACAAAACEA&#10;d+ZYGbwCAADDBQAADgAAAAAAAAAAAAAAAAAuAgAAZHJzL2Uyb0RvYy54bWxQSwECLQAUAAYACAAA&#10;ACEAZA8VNOEAAAAMAQAADwAAAAAAAAAAAAAAAAAWBQAAZHJzL2Rvd25yZXYueG1sUEsFBgAAAAAE&#10;AAQA8wAAACQGAAAAAA==&#10;" filled="f" stroked="f">
                <v:textbox style="mso-fit-shape-to-text:t">
                  <w:txbxContent>
                    <w:p w:rsidR="004E6E3A" w:rsidRPr="00DC3CE6" w:rsidRDefault="004E6E3A"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mc:Fallback>
        </mc:AlternateContent>
      </w:r>
      <w:r>
        <w:rPr>
          <w:noProof/>
          <w:lang w:val="fi-FI" w:eastAsia="fi-FI"/>
        </w:rPr>
        <mc:AlternateContent>
          <mc:Choice Requires="wps">
            <w:drawing>
              <wp:anchor distT="0" distB="0" distL="114300" distR="114300" simplePos="0" relativeHeight="251644928" behindDoc="0" locked="0" layoutInCell="1" allowOverlap="1">
                <wp:simplePos x="0" y="0"/>
                <wp:positionH relativeFrom="column">
                  <wp:posOffset>-813435</wp:posOffset>
                </wp:positionH>
                <wp:positionV relativeFrom="paragraph">
                  <wp:posOffset>2683510</wp:posOffset>
                </wp:positionV>
                <wp:extent cx="7035800" cy="1835150"/>
                <wp:effectExtent l="0" t="0" r="0" b="0"/>
                <wp:wrapNone/>
                <wp:docPr id="58"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6E3A" w:rsidRDefault="004E6E3A" w:rsidP="00430686">
                            <w:pPr>
                              <w:ind w:left="426" w:right="530"/>
                              <w:jc w:val="center"/>
                              <w:rPr>
                                <w:rFonts w:cs="Arial"/>
                                <w:sz w:val="60"/>
                                <w:szCs w:val="60"/>
                              </w:rPr>
                            </w:pPr>
                            <w:r>
                              <w:rPr>
                                <w:rFonts w:cs="Arial"/>
                                <w:sz w:val="60"/>
                                <w:szCs w:val="60"/>
                              </w:rPr>
                              <w:t>TiPSE</w:t>
                            </w:r>
                          </w:p>
                          <w:p w:rsidR="004E6E3A" w:rsidRPr="00721B03" w:rsidRDefault="004E6E3A"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Text Box 301" o:spid="_x0000_s1028" type="#_x0000_t202" style="position:absolute;left:0;text-align:left;margin-left:-64.05pt;margin-top:211.3pt;width:554pt;height:144.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2ntvgIAAMQFAAAOAAAAZHJzL2Uyb0RvYy54bWysVG1vmzAQ/j5p/8Hyd4ohkAAqqdoQpknd&#10;i9TuBzhggjWwme2EdNP++86mSdNWk6Zt/mDZvvPdPXfP3eXVoe/QninNpchxcEEwYqKSNRfbHH+5&#10;L70EI22oqGknBcvxA9P4avn2zeU4ZCyUrexqphAYETobhxy3xgyZ7+uqZT3VF3JgAoSNVD01cFVb&#10;v1Z0BOt954eEzP1RqnpQsmJaw2sxCfHS2W8aVplPTaOZQV2OITbjduX2jd395SXNtooOLa8ew6B/&#10;EUVPuQCnJ1MFNRTtFH9lqueVklo25qKSvS+bhlfMYQA0AXmB5q6lA3NYIDl6OKVJ/z+z1cf9Z4V4&#10;neMYKiVoDzW6ZweDbuQBzUhgEzQOOgO9uwE0zQEEUGgHVg+3svqqkZCrlootu1ZKji2jNQTofvpn&#10;Xyc72hrZjB9kDY7ozkhn6NCo3mYP8oHAOhTq4VQcG0wFjwsyixMCogpkQTKLg9iVz6fZ8fugtHnH&#10;ZI/sIccKqu/M0/2tNgAEVI8q1puQJe86x4BOPHsAxekFnMNXK7NhuIL+SEm6TtZJ5EXhfO1FpCi8&#10;63IVefMyWMTFrFitiuCn9RtEWcvrmgnr5kiuIPqz4j3SfKLFiV5adry25mxIWm03q06hPQVyl27Z&#10;ckHwZ2r+8zCcGLC8gBSEEbkJU6+cJwsvKqPYSxck8UiQ3qRzEqVRUT6HdMsF+3dIaMxxGofxxKbf&#10;YiNuvcZGs54bGB8d73MM3IA1NbTl4FrUrrSG8m46n6XChv+UCsjYsdCOsZakE13NYXNw3REeG2Ej&#10;6wegsJJAMCAjjD44tFJ9x2iEMZJj/W1HFcOoey+gDdIgiuzccZcoXoRwUeeSzbmEigpM5dhgNB1X&#10;ZppVu0HxbQuepsYT8hpap+GO1LbHpqgAkb3AqHDYHseanUXnd6f1NHyXvwAAAP//AwBQSwMEFAAG&#10;AAgAAAAhAMo01vrgAAAADAEAAA8AAABkcnMvZG93bnJldi54bWxMj8FOwzAQRO9I/IO1SNxaO1FJ&#10;m5BNhUBcQRSo1Jsbb5OIeB3FbhP+HnOC42qeZt6W29n24kKj7xwjJEsFgrh2puMG4eP9ebEB4YNm&#10;o3vHhPBNHrbV9VWpC+MmfqPLLjQilrAvNEIbwlBI6euWrPZLNxDH7ORGq0M8x0aaUU+x3PYyVSqT&#10;VnccF1o90GNL9dfubBE+X06H/Uq9Nk/2bpjcrCTbXCLe3swP9yACzeEPhl/9qA5VdDq6MxsveoRF&#10;km6SyCKs0jQDEZF8necgjgjrJMlAVqX8/0T1AwAA//8DAFBLAQItABQABgAIAAAAIQC2gziS/gAA&#10;AOEBAAATAAAAAAAAAAAAAAAAAAAAAABbQ29udGVudF9UeXBlc10ueG1sUEsBAi0AFAAGAAgAAAAh&#10;ADj9If/WAAAAlAEAAAsAAAAAAAAAAAAAAAAALwEAAF9yZWxzLy5yZWxzUEsBAi0AFAAGAAgAAAAh&#10;AKaLae2+AgAAxAUAAA4AAAAAAAAAAAAAAAAALgIAAGRycy9lMm9Eb2MueG1sUEsBAi0AFAAGAAgA&#10;AAAhAMo01vrgAAAADAEAAA8AAAAAAAAAAAAAAAAAGAUAAGRycy9kb3ducmV2LnhtbFBLBQYAAAAA&#10;BAAEAPMAAAAlBgAAAAA=&#10;" filled="f" stroked="f">
                <v:textbox>
                  <w:txbxContent>
                    <w:p w:rsidR="004E6E3A" w:rsidRDefault="004E6E3A" w:rsidP="00430686">
                      <w:pPr>
                        <w:ind w:left="426" w:right="530"/>
                        <w:jc w:val="center"/>
                        <w:rPr>
                          <w:rFonts w:cs="Arial"/>
                          <w:sz w:val="60"/>
                          <w:szCs w:val="60"/>
                        </w:rPr>
                      </w:pPr>
                      <w:r>
                        <w:rPr>
                          <w:rFonts w:cs="Arial"/>
                          <w:sz w:val="60"/>
                          <w:szCs w:val="60"/>
                        </w:rPr>
                        <w:t>TiPSE</w:t>
                      </w:r>
                    </w:p>
                    <w:p w:rsidR="004E6E3A" w:rsidRPr="00721B03" w:rsidRDefault="004E6E3A"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mc:Fallback>
        </mc:AlternateContent>
      </w:r>
      <w:bookmarkStart w:id="1" w:name="_GoBack"/>
      <w:r w:rsidR="00350D91">
        <w:rPr>
          <w:noProof/>
          <w:lang w:val="fi-FI" w:eastAsia="fi-FI"/>
        </w:rPr>
        <w:drawing>
          <wp:inline distT="0" distB="0" distL="0" distR="0">
            <wp:extent cx="7572375" cy="14268450"/>
            <wp:effectExtent l="0" t="0" r="9525" b="0"/>
            <wp:docPr id="1" name="Picture 1" descr="Cover-TPG-Whi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a:picLocks noChangeArrowheads="1"/>
                    </pic:cNvPicPr>
                  </pic:nvPicPr>
                  <pic:blipFill>
                    <a:blip r:embed="rId12" cstate="print"/>
                    <a:srcRect l="51128"/>
                    <a:stretch>
                      <a:fillRect/>
                    </a:stretch>
                  </pic:blipFill>
                  <pic:spPr bwMode="auto">
                    <a:xfrm>
                      <a:off x="0" y="0"/>
                      <a:ext cx="7572375" cy="14268450"/>
                    </a:xfrm>
                    <a:prstGeom prst="rect">
                      <a:avLst/>
                    </a:prstGeom>
                    <a:noFill/>
                    <a:ln w="9525">
                      <a:noFill/>
                      <a:miter lim="800000"/>
                      <a:headEnd/>
                      <a:tailEnd/>
                    </a:ln>
                  </pic:spPr>
                </pic:pic>
              </a:graphicData>
            </a:graphic>
          </wp:inline>
        </w:drawing>
      </w:r>
      <w:bookmarkEnd w:id="1"/>
    </w:p>
    <w:bookmarkEnd w:id="0"/>
    <w:p w:rsidR="00956CB4" w:rsidRPr="00D00C93" w:rsidRDefault="00956CB4" w:rsidP="00006BE0">
      <w:pPr>
        <w:pStyle w:val="ESPONText"/>
      </w:pPr>
    </w:p>
    <w:p w:rsidR="00390969" w:rsidRPr="00D00C93" w:rsidRDefault="00390969" w:rsidP="00ED043E">
      <w:pPr>
        <w:pStyle w:val="ESPONColophon"/>
        <w:ind w:left="810"/>
        <w:sectPr w:rsidR="00390969" w:rsidRPr="00D00C93" w:rsidSect="000858C8">
          <w:footerReference w:type="even" r:id="rId13"/>
          <w:footerReference w:type="default" r:id="rId14"/>
          <w:footerReference w:type="first" r:id="rId15"/>
          <w:pgSz w:w="11906" w:h="16838" w:code="9"/>
          <w:pgMar w:top="0" w:right="851" w:bottom="0" w:left="1701" w:header="720" w:footer="720" w:gutter="0"/>
          <w:pgNumType w:fmt="lowerRoman" w:start="1"/>
          <w:cols w:space="720"/>
          <w:titlePg/>
        </w:sectPr>
      </w:pPr>
    </w:p>
    <w:p w:rsidR="00ED043E" w:rsidRPr="00D00C93" w:rsidRDefault="00ED043E" w:rsidP="00AF6C49">
      <w:pPr>
        <w:pStyle w:val="ESPONColophon"/>
      </w:pPr>
    </w:p>
    <w:p w:rsidR="00ED043E" w:rsidRPr="00D00C93" w:rsidRDefault="00560F65" w:rsidP="00560F65">
      <w:pPr>
        <w:pStyle w:val="ESPONColophon"/>
        <w:ind w:left="810"/>
      </w:pPr>
      <w:r w:rsidRPr="00D00C93">
        <w:t xml:space="preserve">This report </w:t>
      </w:r>
      <w:r w:rsidR="00A83C6B" w:rsidRPr="00D00C93">
        <w:t>is one of the deliver</w:t>
      </w:r>
      <w:r w:rsidR="00A83C6B" w:rsidRPr="00D00C93">
        <w:t>a</w:t>
      </w:r>
      <w:r w:rsidR="00A83C6B" w:rsidRPr="00D00C93">
        <w:t>bles of the TiPSE project</w:t>
      </w:r>
      <w:r w:rsidRPr="00D00C93">
        <w:t>. This Applied Research Project is co</w:t>
      </w:r>
      <w:r w:rsidRPr="00D00C93">
        <w:t>n</w:t>
      </w:r>
      <w:r w:rsidRPr="00D00C93">
        <w:t>ducted within the framework of the ESPON 2013 Programme, partly financed by the European Regional Development Fund.</w:t>
      </w:r>
    </w:p>
    <w:p w:rsidR="00560F65" w:rsidRPr="00D00C93" w:rsidRDefault="00560F65" w:rsidP="00560F65">
      <w:pPr>
        <w:pStyle w:val="ESPONColophon"/>
        <w:ind w:left="810"/>
      </w:pPr>
    </w:p>
    <w:p w:rsidR="00ED043E" w:rsidRPr="00D00C93" w:rsidRDefault="00ED043E" w:rsidP="00ED043E">
      <w:pPr>
        <w:pStyle w:val="ESPONColophon"/>
        <w:ind w:left="810"/>
      </w:pPr>
      <w:r w:rsidRPr="00D00C93">
        <w:t>The partnership behind the E</w:t>
      </w:r>
      <w:r w:rsidRPr="00D00C93">
        <w:t>S</w:t>
      </w:r>
      <w:r w:rsidRPr="00D00C93">
        <w:t>PON Programme consists of the EU Commission and the Member States of the EU27, plus Iceland, Liechtenstein, Norway and Swi</w:t>
      </w:r>
      <w:r w:rsidRPr="00D00C93">
        <w:t>t</w:t>
      </w:r>
      <w:r w:rsidRPr="00D00C93">
        <w:t>zerland. Each partner is repr</w:t>
      </w:r>
      <w:r w:rsidRPr="00D00C93">
        <w:t>e</w:t>
      </w:r>
      <w:r w:rsidRPr="00D00C93">
        <w:t>sented in the ESPON Monitoring Committee.</w:t>
      </w:r>
    </w:p>
    <w:p w:rsidR="00ED043E" w:rsidRPr="00D00C93" w:rsidRDefault="00ED043E" w:rsidP="00ED043E">
      <w:pPr>
        <w:pStyle w:val="ESPONColophon"/>
        <w:ind w:left="810"/>
      </w:pPr>
    </w:p>
    <w:p w:rsidR="00ED043E" w:rsidRPr="00D00C93" w:rsidRDefault="00ED043E" w:rsidP="00ED043E">
      <w:pPr>
        <w:pStyle w:val="ESPONColophon"/>
        <w:ind w:left="810"/>
      </w:pPr>
      <w:r w:rsidRPr="00D00C93">
        <w:t>This report does not necessarily reflect the opinion of the me</w:t>
      </w:r>
      <w:r w:rsidRPr="00D00C93">
        <w:t>m</w:t>
      </w:r>
      <w:r w:rsidRPr="00D00C93">
        <w:t>bers of the Monitoring Commi</w:t>
      </w:r>
      <w:r w:rsidRPr="00D00C93">
        <w:t>t</w:t>
      </w:r>
      <w:r w:rsidRPr="00D00C93">
        <w:t>tee.</w:t>
      </w:r>
    </w:p>
    <w:p w:rsidR="00ED043E" w:rsidRPr="00D00C93" w:rsidRDefault="00ED043E" w:rsidP="00ED043E">
      <w:pPr>
        <w:pStyle w:val="ESPONColophon"/>
        <w:ind w:left="810"/>
      </w:pPr>
    </w:p>
    <w:p w:rsidR="00ED043E" w:rsidRPr="00D00C93" w:rsidRDefault="00ED043E" w:rsidP="00ED043E">
      <w:pPr>
        <w:pStyle w:val="ESPONColophon"/>
        <w:ind w:left="810"/>
      </w:pPr>
      <w:r w:rsidRPr="00D00C93">
        <w:t>Information on the ESPON Pr</w:t>
      </w:r>
      <w:r w:rsidRPr="00D00C93">
        <w:t>o</w:t>
      </w:r>
      <w:r w:rsidRPr="00D00C93">
        <w:t xml:space="preserve">gramme and projects can be found on </w:t>
      </w:r>
      <w:hyperlink r:id="rId16" w:history="1">
        <w:r w:rsidRPr="00D00C93">
          <w:rPr>
            <w:rStyle w:val="Hyperlink"/>
            <w:color w:val="auto"/>
          </w:rPr>
          <w:t>www.espon.eu</w:t>
        </w:r>
      </w:hyperlink>
    </w:p>
    <w:p w:rsidR="00ED043E" w:rsidRPr="00D00C93" w:rsidRDefault="00ED043E" w:rsidP="00ED043E">
      <w:pPr>
        <w:pStyle w:val="ESPONColophon"/>
        <w:ind w:left="810"/>
      </w:pPr>
    </w:p>
    <w:p w:rsidR="00ED043E" w:rsidRPr="00D00C93" w:rsidRDefault="00ED043E" w:rsidP="00ED043E">
      <w:pPr>
        <w:pStyle w:val="ESPONColophon"/>
        <w:ind w:left="810"/>
      </w:pPr>
      <w:r w:rsidRPr="00D00C93">
        <w:t>The web site provides the poss</w:t>
      </w:r>
      <w:r w:rsidRPr="00D00C93">
        <w:t>i</w:t>
      </w:r>
      <w:r w:rsidRPr="00D00C93">
        <w:t>bility to download and examine the most recent documents pr</w:t>
      </w:r>
      <w:r w:rsidRPr="00D00C93">
        <w:t>o</w:t>
      </w:r>
      <w:r w:rsidRPr="00D00C93">
        <w:t>duced by finalised and ongoing ESPON projects.</w:t>
      </w:r>
    </w:p>
    <w:p w:rsidR="00ED043E" w:rsidRDefault="00ED043E" w:rsidP="00ED043E">
      <w:pPr>
        <w:pStyle w:val="ESPONColophon"/>
        <w:ind w:left="810"/>
      </w:pPr>
    </w:p>
    <w:p w:rsidR="005076B1" w:rsidRPr="00C36DAF" w:rsidRDefault="005076B1" w:rsidP="005076B1">
      <w:pPr>
        <w:pStyle w:val="ESPONColophon"/>
        <w:ind w:left="810" w:right="4484"/>
      </w:pPr>
      <w:r w:rsidRPr="00C36DAF">
        <w:t xml:space="preserve">ISBN number </w:t>
      </w:r>
      <w:r>
        <w:t>–</w:t>
      </w:r>
      <w:r w:rsidRPr="00C36DAF">
        <w:t xml:space="preserve"> </w:t>
      </w:r>
      <w:r>
        <w:t>987-2-919777-42-6</w:t>
      </w:r>
    </w:p>
    <w:p w:rsidR="005076B1" w:rsidRPr="00D00C93" w:rsidRDefault="005076B1" w:rsidP="00ED043E">
      <w:pPr>
        <w:pStyle w:val="ESPONColophon"/>
        <w:ind w:left="810"/>
      </w:pPr>
    </w:p>
    <w:p w:rsidR="00ED043E" w:rsidRPr="00D00C93" w:rsidRDefault="00ED043E" w:rsidP="00ED043E">
      <w:pPr>
        <w:pStyle w:val="ESPONColophon"/>
        <w:ind w:left="810"/>
      </w:pPr>
      <w:r w:rsidRPr="00D00C93">
        <w:t>© ESPON &amp;</w:t>
      </w:r>
      <w:r w:rsidR="00575719">
        <w:t xml:space="preserve">KRTK </w:t>
      </w:r>
      <w:r w:rsidR="00023175" w:rsidRPr="00D00C93">
        <w:t>HAS</w:t>
      </w:r>
      <w:r w:rsidRPr="00D00C93">
        <w:t>, 201</w:t>
      </w:r>
      <w:r w:rsidR="00575719">
        <w:t>4</w:t>
      </w:r>
      <w:r w:rsidRPr="00D00C93">
        <w:t>.</w:t>
      </w:r>
    </w:p>
    <w:p w:rsidR="00ED043E" w:rsidRPr="00D00C93" w:rsidRDefault="00ED043E" w:rsidP="00ED043E">
      <w:pPr>
        <w:pStyle w:val="ESPONColophon"/>
        <w:ind w:left="810"/>
      </w:pPr>
    </w:p>
    <w:p w:rsidR="00ED043E" w:rsidRPr="00D00C93" w:rsidRDefault="00ED043E" w:rsidP="00ED043E">
      <w:pPr>
        <w:pStyle w:val="ESPONColophon"/>
        <w:ind w:left="810"/>
      </w:pPr>
      <w:r w:rsidRPr="00D00C93">
        <w:t>Printing, reproduction or quot</w:t>
      </w:r>
      <w:r w:rsidRPr="00D00C93">
        <w:t>a</w:t>
      </w:r>
      <w:r w:rsidRPr="00D00C93">
        <w:t>tion is authorised provided the source is acknowledged and a copy is forwarded to the ESPON Coordination Unit in Luxembourg.</w:t>
      </w:r>
    </w:p>
    <w:p w:rsidR="00ED043E" w:rsidRPr="00D00C93" w:rsidRDefault="00ED043E" w:rsidP="00ED043E">
      <w:pPr>
        <w:pStyle w:val="ESPONColophon"/>
        <w:ind w:left="810"/>
      </w:pPr>
    </w:p>
    <w:p w:rsidR="005703AA" w:rsidRPr="00D00C93" w:rsidRDefault="005703AA" w:rsidP="00A9269D">
      <w:pPr>
        <w:pStyle w:val="ESPONText"/>
      </w:pPr>
    </w:p>
    <w:p w:rsidR="00740131" w:rsidRDefault="00740131" w:rsidP="00873B3E">
      <w:pPr>
        <w:pStyle w:val="ESPONText"/>
        <w:spacing w:line="240" w:lineRule="auto"/>
        <w:rPr>
          <w:b/>
          <w:sz w:val="32"/>
          <w:szCs w:val="32"/>
        </w:rPr>
        <w:sectPr w:rsidR="00740131" w:rsidSect="00740131">
          <w:footerReference w:type="default" r:id="rId17"/>
          <w:type w:val="continuous"/>
          <w:pgSz w:w="11906" w:h="16838"/>
          <w:pgMar w:top="1644" w:right="1797" w:bottom="1644" w:left="1797" w:header="720" w:footer="720" w:gutter="0"/>
          <w:pgNumType w:fmt="lowerRoman" w:start="3"/>
          <w:cols w:space="720"/>
          <w:titlePg/>
          <w:docGrid w:linePitch="299"/>
        </w:sectPr>
      </w:pPr>
    </w:p>
    <w:p w:rsidR="00261332" w:rsidRPr="00D00C93" w:rsidRDefault="00A83C6B" w:rsidP="00873B3E">
      <w:pPr>
        <w:pStyle w:val="ESPONText"/>
        <w:spacing w:line="240" w:lineRule="auto"/>
        <w:rPr>
          <w:b/>
          <w:sz w:val="32"/>
          <w:szCs w:val="32"/>
        </w:rPr>
      </w:pPr>
      <w:r w:rsidRPr="00D00C93">
        <w:rPr>
          <w:b/>
          <w:sz w:val="32"/>
          <w:szCs w:val="32"/>
        </w:rPr>
        <w:lastRenderedPageBreak/>
        <w:t xml:space="preserve">The ESPON </w:t>
      </w:r>
      <w:r w:rsidR="00261332" w:rsidRPr="00D00C93">
        <w:rPr>
          <w:b/>
          <w:sz w:val="32"/>
          <w:szCs w:val="32"/>
        </w:rPr>
        <w:t>TiPSE</w:t>
      </w:r>
      <w:r w:rsidRPr="00D00C93">
        <w:rPr>
          <w:b/>
          <w:sz w:val="32"/>
          <w:szCs w:val="32"/>
        </w:rPr>
        <w:t xml:space="preserve"> Project</w:t>
      </w:r>
      <w:r w:rsidR="00261332" w:rsidRPr="00D00C93">
        <w:rPr>
          <w:b/>
          <w:sz w:val="32"/>
          <w:szCs w:val="32"/>
        </w:rPr>
        <w:t>:</w:t>
      </w:r>
    </w:p>
    <w:p w:rsidR="00A83C6B" w:rsidRPr="00D00C93" w:rsidRDefault="00A83C6B" w:rsidP="00873B3E">
      <w:pPr>
        <w:pStyle w:val="ESPONText"/>
        <w:spacing w:line="240" w:lineRule="auto"/>
      </w:pPr>
      <w:r w:rsidRPr="00D00C93">
        <w:t xml:space="preserve">The TiPSE project </w:t>
      </w:r>
      <w:r w:rsidR="00380A7F" w:rsidRPr="00D00C93">
        <w:t>has been</w:t>
      </w:r>
      <w:r w:rsidRPr="00D00C93">
        <w:t xml:space="preserve"> commissioned by the European Observation Network for Territorial Development and Cohesion (ESPON) programme. It is concerned with the issue of poverty</w:t>
      </w:r>
      <w:r w:rsidR="00A14590" w:rsidRPr="00D00C93">
        <w:t>,</w:t>
      </w:r>
      <w:r w:rsidRPr="00D00C93">
        <w:t xml:space="preserve"> and processes of social exclusion in Europe.</w:t>
      </w:r>
    </w:p>
    <w:p w:rsidR="00A14590" w:rsidRPr="00D00C93" w:rsidRDefault="00A14590" w:rsidP="00873B3E">
      <w:pPr>
        <w:pStyle w:val="ESPONText"/>
        <w:spacing w:line="240" w:lineRule="auto"/>
      </w:pPr>
      <w:r w:rsidRPr="00D00C93">
        <w:t>One of the key challenges for the EU, in its pursuit of social, economic and territorial cohesion, is to address regional or local concentrations of poverty and social excl</w:t>
      </w:r>
      <w:r w:rsidRPr="00D00C93">
        <w:t>u</w:t>
      </w:r>
      <w:r w:rsidRPr="00D00C93">
        <w:t>sion. In terms of practical governance, this remains a national responsibility within the context of EU strategic guidance. In practice, regional or local administrations are often in ‘the front line’</w:t>
      </w:r>
      <w:r w:rsidR="002977F2" w:rsidRPr="00D00C93">
        <w:t>;</w:t>
      </w:r>
      <w:r w:rsidRPr="00D00C93">
        <w:t xml:space="preserve"> implementing national policies to ameliorate deprivation and exclusion. At a higher level, the EU defines its role as identifying best practices and promoting mutual learning.</w:t>
      </w:r>
    </w:p>
    <w:p w:rsidR="00A14590" w:rsidRPr="00D00C93" w:rsidRDefault="00A14590" w:rsidP="00873B3E">
      <w:pPr>
        <w:pStyle w:val="ESPONText"/>
        <w:spacing w:line="240" w:lineRule="auto"/>
      </w:pPr>
      <w:r w:rsidRPr="00D00C93">
        <w:t>Poverty and social exclusion are essentially relative concepts, arguably only mea</w:t>
      </w:r>
      <w:r w:rsidRPr="00D00C93">
        <w:t>n</w:t>
      </w:r>
      <w:r w:rsidRPr="00D00C93">
        <w:t xml:space="preserve">ingful within a specified geographical context. This </w:t>
      </w:r>
      <w:r w:rsidR="00873B3E" w:rsidRPr="00D00C93">
        <w:t>underlines</w:t>
      </w:r>
      <w:r w:rsidRPr="00D00C93">
        <w:t xml:space="preserve"> the </w:t>
      </w:r>
      <w:r w:rsidR="002977F2" w:rsidRPr="00D00C93">
        <w:t>essential roles to be played by</w:t>
      </w:r>
      <w:r w:rsidRPr="00D00C93">
        <w:t xml:space="preserve"> observation, measurement</w:t>
      </w:r>
      <w:r w:rsidR="002977F2" w:rsidRPr="00D00C93">
        <w:t xml:space="preserve">, and careful data analysis, as </w:t>
      </w:r>
      <w:r w:rsidRPr="00D00C93">
        <w:t>preparation</w:t>
      </w:r>
      <w:r w:rsidR="002977F2" w:rsidRPr="00D00C93">
        <w:t>s</w:t>
      </w:r>
      <w:r w:rsidRPr="00D00C93">
        <w:t xml:space="preserve"> for intervention. The TIPSE project aims to support policy, both by enhancing the evidence base and by identifying existing good practice.</w:t>
      </w:r>
    </w:p>
    <w:p w:rsidR="00380A7F" w:rsidRPr="00D00C93" w:rsidRDefault="006D145A" w:rsidP="00873B3E">
      <w:pPr>
        <w:pStyle w:val="ESPONText"/>
        <w:spacing w:line="240" w:lineRule="auto"/>
      </w:pPr>
      <w:r w:rsidRPr="00D00C93">
        <w:t>A central</w:t>
      </w:r>
      <w:r w:rsidR="00E9042F">
        <w:t xml:space="preserve"> </w:t>
      </w:r>
      <w:r w:rsidR="002977F2" w:rsidRPr="00D00C93">
        <w:t>objective</w:t>
      </w:r>
      <w:r w:rsidR="00A83C6B" w:rsidRPr="00D00C93">
        <w:t xml:space="preserve"> of the </w:t>
      </w:r>
      <w:r w:rsidR="00A14590" w:rsidRPr="00D00C93">
        <w:t xml:space="preserve">TiPSE </w:t>
      </w:r>
      <w:r w:rsidR="00A83C6B" w:rsidRPr="00D00C93">
        <w:t xml:space="preserve">project is to </w:t>
      </w:r>
      <w:r w:rsidR="002977F2" w:rsidRPr="00D00C93">
        <w:t>establish macro and micro-scale pa</w:t>
      </w:r>
      <w:r w:rsidR="002977F2" w:rsidRPr="00D00C93">
        <w:t>t</w:t>
      </w:r>
      <w:r w:rsidR="002977F2" w:rsidRPr="00D00C93">
        <w:t>terns of poverty and social exclusion across the ESPON space. This will be achieved by compiling</w:t>
      </w:r>
      <w:r w:rsidR="00A83C6B" w:rsidRPr="00D00C93">
        <w:t xml:space="preserve"> a regional database</w:t>
      </w:r>
      <w:r w:rsidRPr="00D00C93">
        <w:t>,</w:t>
      </w:r>
      <w:r w:rsidR="00A83C6B" w:rsidRPr="00D00C93">
        <w:t xml:space="preserve"> and associated maps, of poverty and social excl</w:t>
      </w:r>
      <w:r w:rsidR="00A83C6B" w:rsidRPr="00D00C93">
        <w:t>u</w:t>
      </w:r>
      <w:r w:rsidR="00A83C6B" w:rsidRPr="00D00C93">
        <w:t xml:space="preserve">sion indicators. </w:t>
      </w:r>
      <w:r w:rsidR="00380A7F" w:rsidRPr="00D00C93">
        <w:t xml:space="preserve">Such quantitative analysis of geographical patterns is considered a </w:t>
      </w:r>
      <w:r w:rsidR="002977F2" w:rsidRPr="00D00C93">
        <w:t>fundamental</w:t>
      </w:r>
      <w:r w:rsidR="00380A7F" w:rsidRPr="00D00C93">
        <w:t xml:space="preserve"> part of the evidence base for policy.</w:t>
      </w:r>
    </w:p>
    <w:p w:rsidR="00925C23" w:rsidRPr="00D00C93" w:rsidRDefault="00380A7F" w:rsidP="00873B3E">
      <w:pPr>
        <w:pStyle w:val="ESPONText"/>
        <w:spacing w:line="240" w:lineRule="auto"/>
      </w:pPr>
      <w:r w:rsidRPr="00D00C93">
        <w:t>In addition, i</w:t>
      </w:r>
      <w:r w:rsidR="006D145A" w:rsidRPr="00D00C93">
        <w:t>n order to better understand the various social and institutional proces</w:t>
      </w:r>
      <w:r w:rsidR="006D145A" w:rsidRPr="00D00C93">
        <w:t>s</w:t>
      </w:r>
      <w:r w:rsidR="006D145A" w:rsidRPr="00D00C93">
        <w:t>es which are the context of these patterns</w:t>
      </w:r>
      <w:r w:rsidRPr="00D00C93">
        <w:t>,</w:t>
      </w:r>
      <w:r w:rsidR="006D145A" w:rsidRPr="00D00C93">
        <w:t xml:space="preserve"> a set of ten case studies </w:t>
      </w:r>
      <w:r w:rsidR="00873B3E" w:rsidRPr="00D00C93">
        <w:t>are to be</w:t>
      </w:r>
      <w:r w:rsidR="006D145A" w:rsidRPr="00D00C93">
        <w:t xml:space="preserve"> carried out. </w:t>
      </w:r>
      <w:r w:rsidR="00FF2B12" w:rsidRPr="00D00C93">
        <w:t xml:space="preserve">These </w:t>
      </w:r>
      <w:r w:rsidR="00873B3E" w:rsidRPr="00D00C93">
        <w:t>will be</w:t>
      </w:r>
      <w:r w:rsidR="00FF2B12" w:rsidRPr="00D00C93">
        <w:t xml:space="preserve"> more qualitative in approach, in order to convey holistic portraits of different kinds of poverty and social exclusion as experienced in a wide variety of European territorial contexts.</w:t>
      </w:r>
      <w:r w:rsidR="00957D1D" w:rsidRPr="00D00C93">
        <w:t xml:space="preserve"> The principal goal for these investigations will be to bring forward clear illustrations of the social, economic</w:t>
      </w:r>
      <w:r w:rsidR="00925C23" w:rsidRPr="00D00C93">
        <w:t>, institutional</w:t>
      </w:r>
      <w:r w:rsidR="00957D1D" w:rsidRPr="00D00C93">
        <w:t xml:space="preserve"> and spatial pr</w:t>
      </w:r>
      <w:r w:rsidR="00957D1D" w:rsidRPr="00D00C93">
        <w:t>o</w:t>
      </w:r>
      <w:r w:rsidR="00957D1D" w:rsidRPr="00D00C93">
        <w:t xml:space="preserve">cesses which lead to poverty and social exclusion in </w:t>
      </w:r>
      <w:r w:rsidR="00925C23" w:rsidRPr="00D00C93">
        <w:t>particular geographic contexts.</w:t>
      </w:r>
    </w:p>
    <w:p w:rsidR="00261332" w:rsidRPr="00D00C93" w:rsidRDefault="00957D1D" w:rsidP="00873B3E">
      <w:pPr>
        <w:pStyle w:val="ESPONText"/>
        <w:spacing w:line="240" w:lineRule="auto"/>
      </w:pPr>
      <w:r w:rsidRPr="00D00C93">
        <w:t xml:space="preserve">The selection of case study areas has been carried out with careful regard to the wide variety of geographic, cultural and policy contexts which characterise Europe. The ten case studies </w:t>
      </w:r>
      <w:r w:rsidR="00873B3E" w:rsidRPr="00D00C93">
        <w:t xml:space="preserve">are </w:t>
      </w:r>
      <w:r w:rsidRPr="00D00C93">
        <w:t xml:space="preserve">also </w:t>
      </w:r>
      <w:r w:rsidR="00925C23" w:rsidRPr="00D00C93">
        <w:t>intended to highlight a range of different ‘drivers’ of poverty and social exclusion, including labour market conditions, educational disa</w:t>
      </w:r>
      <w:r w:rsidR="00925C23" w:rsidRPr="00D00C93">
        <w:t>d</w:t>
      </w:r>
      <w:r w:rsidR="00925C23" w:rsidRPr="00D00C93">
        <w:t>vantage, ethnicity, poor access to services and urban segregation processes.</w:t>
      </w:r>
      <w:r w:rsidR="00E9042F">
        <w:t xml:space="preserve"> </w:t>
      </w:r>
      <w:r w:rsidRPr="00D00C93">
        <w:t>A se</w:t>
      </w:r>
      <w:r w:rsidRPr="00D00C93">
        <w:t>c</w:t>
      </w:r>
      <w:r w:rsidRPr="00D00C93">
        <w:t>ond objective of the case studies</w:t>
      </w:r>
      <w:r w:rsidR="006D145A" w:rsidRPr="00D00C93">
        <w:t xml:space="preserve"> will be to</w:t>
      </w:r>
      <w:r w:rsidR="00C33CC9" w:rsidRPr="00D00C93">
        <w:t xml:space="preserve"> identify</w:t>
      </w:r>
      <w:r w:rsidR="006D145A" w:rsidRPr="00D00C93">
        <w:t xml:space="preserve"> policy approaches </w:t>
      </w:r>
      <w:r w:rsidR="00C33CC9" w:rsidRPr="00D00C93">
        <w:t>which can e</w:t>
      </w:r>
      <w:r w:rsidR="00C33CC9" w:rsidRPr="00D00C93">
        <w:t>f</w:t>
      </w:r>
      <w:r w:rsidR="00C33CC9" w:rsidRPr="00D00C93">
        <w:t>fectively</w:t>
      </w:r>
      <w:r w:rsidR="00E9042F">
        <w:t xml:space="preserve"> </w:t>
      </w:r>
      <w:r w:rsidR="00C33CC9" w:rsidRPr="00D00C93">
        <w:t xml:space="preserve">tackle exclusion, and thus </w:t>
      </w:r>
      <w:r w:rsidR="00FF2B12" w:rsidRPr="00D00C93">
        <w:t>strengthen territorial cohesion</w:t>
      </w:r>
      <w:r w:rsidR="00A83C6B" w:rsidRPr="00D00C93">
        <w:t>.</w:t>
      </w:r>
    </w:p>
    <w:p w:rsidR="00261332" w:rsidRPr="00D00C93" w:rsidRDefault="00261332" w:rsidP="00873B3E">
      <w:pPr>
        <w:pStyle w:val="ESPONText"/>
        <w:spacing w:line="240" w:lineRule="auto"/>
      </w:pPr>
      <w:r w:rsidRPr="00D00C93">
        <w:t>The TiPSE research team comprises 6 partners from 5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539"/>
        <w:gridCol w:w="5635"/>
        <w:gridCol w:w="567"/>
        <w:gridCol w:w="2268"/>
      </w:tblGrid>
      <w:tr w:rsidR="00261332" w:rsidRPr="00D00C93">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right"/>
              <w:rPr>
                <w:rFonts w:cs="Arial"/>
                <w:b/>
                <w:bCs/>
                <w:sz w:val="20"/>
                <w:lang w:eastAsia="en-GB"/>
              </w:rPr>
            </w:pPr>
            <w:r w:rsidRPr="00D00C93">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b/>
                <w:bCs/>
                <w:sz w:val="20"/>
                <w:lang w:eastAsia="en-GB"/>
              </w:rPr>
            </w:pPr>
            <w:r w:rsidRPr="00D00C93">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b/>
                <w:bCs/>
                <w:sz w:val="20"/>
                <w:lang w:eastAsia="en-GB"/>
              </w:rPr>
            </w:pPr>
            <w:r w:rsidRPr="00D00C93">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rsidR="00261332" w:rsidRPr="00D00C93" w:rsidRDefault="00261332" w:rsidP="00073C9E">
            <w:pPr>
              <w:spacing w:before="0" w:line="240" w:lineRule="auto"/>
              <w:jc w:val="left"/>
              <w:rPr>
                <w:rFonts w:cs="Arial"/>
                <w:b/>
                <w:bCs/>
                <w:sz w:val="20"/>
                <w:lang w:eastAsia="en-GB"/>
              </w:rPr>
            </w:pPr>
            <w:r w:rsidRPr="00D00C93">
              <w:rPr>
                <w:rFonts w:cs="Arial"/>
                <w:b/>
                <w:bCs/>
                <w:sz w:val="20"/>
                <w:lang w:eastAsia="en-GB"/>
              </w:rPr>
              <w:t>Principal Researchers</w:t>
            </w:r>
          </w:p>
        </w:tc>
      </w:tr>
      <w:tr w:rsidR="00261332" w:rsidRPr="00D00C93">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center"/>
              <w:rPr>
                <w:rFonts w:cs="Arial"/>
                <w:sz w:val="20"/>
                <w:lang w:eastAsia="en-GB"/>
              </w:rPr>
            </w:pPr>
            <w:r w:rsidRPr="00D00C93">
              <w:rPr>
                <w:rFonts w:cs="Arial"/>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Nordregio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Petri Kahila</w:t>
            </w:r>
          </w:p>
        </w:tc>
      </w:tr>
      <w:tr w:rsidR="00261332" w:rsidRPr="00D00C93">
        <w:trPr>
          <w:trHeight w:val="255"/>
        </w:trPr>
        <w:tc>
          <w:tcPr>
            <w:tcW w:w="539"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center"/>
              <w:rPr>
                <w:rFonts w:cs="Arial"/>
                <w:bCs/>
                <w:sz w:val="20"/>
                <w:lang w:eastAsia="en-GB"/>
              </w:rPr>
            </w:pPr>
            <w:r w:rsidRPr="00D00C93">
              <w:rPr>
                <w:rFonts w:cs="Arial"/>
                <w:bCs/>
                <w:sz w:val="20"/>
                <w:lang w:eastAsia="en-GB"/>
              </w:rPr>
              <w:t>2</w:t>
            </w:r>
          </w:p>
        </w:tc>
        <w:tc>
          <w:tcPr>
            <w:tcW w:w="5635"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left"/>
              <w:rPr>
                <w:rFonts w:cs="Arial"/>
                <w:bCs/>
                <w:sz w:val="20"/>
                <w:lang w:eastAsia="en-GB"/>
              </w:rPr>
            </w:pPr>
            <w:r w:rsidRPr="00D00C93">
              <w:rPr>
                <w:rFonts w:cs="Arial"/>
                <w:bCs/>
                <w:sz w:val="20"/>
                <w:lang w:eastAsia="en-GB"/>
              </w:rPr>
              <w:t>UHI Millennium Institute</w:t>
            </w:r>
          </w:p>
        </w:tc>
        <w:tc>
          <w:tcPr>
            <w:tcW w:w="567" w:type="dxa"/>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bCs/>
                <w:sz w:val="20"/>
                <w:lang w:eastAsia="en-GB"/>
              </w:rPr>
            </w:pPr>
            <w:r w:rsidRPr="00D00C93">
              <w:rPr>
                <w:rFonts w:cs="Arial"/>
                <w:bCs/>
                <w:sz w:val="20"/>
                <w:lang w:eastAsia="en-GB"/>
              </w:rPr>
              <w:t>UK</w:t>
            </w:r>
          </w:p>
        </w:tc>
        <w:tc>
          <w:tcPr>
            <w:tcW w:w="2268" w:type="dxa"/>
            <w:tcMar>
              <w:top w:w="0" w:type="dxa"/>
              <w:left w:w="40" w:type="dxa"/>
              <w:bottom w:w="0" w:type="dxa"/>
              <w:right w:w="40" w:type="dxa"/>
            </w:tcMar>
            <w:vAlign w:val="center"/>
          </w:tcPr>
          <w:p w:rsidR="00261332" w:rsidRPr="00D00C93" w:rsidRDefault="00B92EA3" w:rsidP="00073C9E">
            <w:pPr>
              <w:spacing w:before="0" w:line="240" w:lineRule="auto"/>
              <w:jc w:val="left"/>
              <w:rPr>
                <w:rFonts w:cs="Arial"/>
                <w:bCs/>
                <w:sz w:val="20"/>
                <w:lang w:eastAsia="en-GB"/>
              </w:rPr>
            </w:pPr>
            <w:r>
              <w:rPr>
                <w:rFonts w:cs="Arial"/>
                <w:bCs/>
                <w:sz w:val="20"/>
                <w:lang w:eastAsia="en-GB"/>
              </w:rPr>
              <w:t>Philomena de Lima</w:t>
            </w:r>
          </w:p>
        </w:tc>
      </w:tr>
      <w:tr w:rsidR="00261332" w:rsidRPr="00D00C93">
        <w:trPr>
          <w:trHeight w:val="285"/>
        </w:trPr>
        <w:tc>
          <w:tcPr>
            <w:tcW w:w="539"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center"/>
              <w:rPr>
                <w:rFonts w:cs="Arial"/>
                <w:sz w:val="20"/>
                <w:lang w:eastAsia="en-GB"/>
              </w:rPr>
            </w:pPr>
            <w:r w:rsidRPr="00D00C93">
              <w:rPr>
                <w:rFonts w:cs="Arial"/>
                <w:sz w:val="20"/>
                <w:lang w:eastAsia="en-GB"/>
              </w:rPr>
              <w:t>3</w:t>
            </w:r>
          </w:p>
        </w:tc>
        <w:tc>
          <w:tcPr>
            <w:tcW w:w="5635"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Newcastle University</w:t>
            </w:r>
          </w:p>
        </w:tc>
        <w:tc>
          <w:tcPr>
            <w:tcW w:w="567" w:type="dxa"/>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UK</w:t>
            </w:r>
          </w:p>
        </w:tc>
        <w:tc>
          <w:tcPr>
            <w:tcW w:w="2268" w:type="dxa"/>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Mark Shucksmith</w:t>
            </w:r>
          </w:p>
        </w:tc>
      </w:tr>
      <w:tr w:rsidR="00261332" w:rsidRPr="00D00C93">
        <w:trPr>
          <w:trHeight w:val="255"/>
        </w:trPr>
        <w:tc>
          <w:tcPr>
            <w:tcW w:w="539"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center"/>
              <w:rPr>
                <w:rFonts w:cs="Arial"/>
                <w:sz w:val="20"/>
                <w:lang w:eastAsia="en-GB"/>
              </w:rPr>
            </w:pPr>
            <w:r w:rsidRPr="00D00C93">
              <w:rPr>
                <w:rFonts w:cs="Arial"/>
                <w:sz w:val="20"/>
                <w:lang w:eastAsia="en-GB"/>
              </w:rPr>
              <w:t>4</w:t>
            </w:r>
          </w:p>
        </w:tc>
        <w:tc>
          <w:tcPr>
            <w:tcW w:w="5635"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Institute of Economics Hungarian Academy of Sciences</w:t>
            </w:r>
          </w:p>
        </w:tc>
        <w:tc>
          <w:tcPr>
            <w:tcW w:w="567" w:type="dxa"/>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HU</w:t>
            </w:r>
          </w:p>
        </w:tc>
        <w:tc>
          <w:tcPr>
            <w:tcW w:w="2268" w:type="dxa"/>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Katalin Kovács</w:t>
            </w:r>
          </w:p>
        </w:tc>
      </w:tr>
      <w:tr w:rsidR="00261332" w:rsidRPr="00D00C93">
        <w:trPr>
          <w:trHeight w:val="255"/>
        </w:trPr>
        <w:tc>
          <w:tcPr>
            <w:tcW w:w="539"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center"/>
              <w:rPr>
                <w:rFonts w:cs="Arial"/>
                <w:sz w:val="20"/>
                <w:lang w:eastAsia="en-GB"/>
              </w:rPr>
            </w:pPr>
            <w:r w:rsidRPr="00D00C93">
              <w:rPr>
                <w:rFonts w:cs="Arial"/>
                <w:sz w:val="20"/>
                <w:lang w:eastAsia="en-GB"/>
              </w:rPr>
              <w:t>5</w:t>
            </w:r>
          </w:p>
        </w:tc>
        <w:tc>
          <w:tcPr>
            <w:tcW w:w="5635"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DE</w:t>
            </w:r>
          </w:p>
        </w:tc>
        <w:tc>
          <w:tcPr>
            <w:tcW w:w="2268" w:type="dxa"/>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Sabine Weck</w:t>
            </w:r>
          </w:p>
        </w:tc>
      </w:tr>
      <w:tr w:rsidR="00261332" w:rsidRPr="00D00C93">
        <w:trPr>
          <w:trHeight w:val="285"/>
        </w:trPr>
        <w:tc>
          <w:tcPr>
            <w:tcW w:w="539"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center"/>
              <w:rPr>
                <w:rFonts w:cs="Arial"/>
                <w:sz w:val="20"/>
                <w:lang w:eastAsia="en-GB"/>
              </w:rPr>
            </w:pPr>
            <w:r w:rsidRPr="00D00C93">
              <w:rPr>
                <w:rFonts w:cs="Arial"/>
                <w:sz w:val="20"/>
                <w:lang w:eastAsia="en-GB"/>
              </w:rPr>
              <w:t>6</w:t>
            </w:r>
          </w:p>
        </w:tc>
        <w:tc>
          <w:tcPr>
            <w:tcW w:w="5635" w:type="dxa"/>
            <w:shd w:val="clear" w:color="auto" w:fill="auto"/>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 xml:space="preserve">EKKE - </w:t>
            </w:r>
            <w:r w:rsidRPr="00D00C93">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EL</w:t>
            </w:r>
          </w:p>
        </w:tc>
        <w:tc>
          <w:tcPr>
            <w:tcW w:w="2268" w:type="dxa"/>
            <w:tcMar>
              <w:top w:w="0" w:type="dxa"/>
              <w:left w:w="40" w:type="dxa"/>
              <w:bottom w:w="0" w:type="dxa"/>
              <w:right w:w="40" w:type="dxa"/>
            </w:tcMar>
            <w:vAlign w:val="center"/>
          </w:tcPr>
          <w:p w:rsidR="00261332" w:rsidRPr="00D00C93" w:rsidRDefault="00261332" w:rsidP="00073C9E">
            <w:pPr>
              <w:spacing w:before="0" w:line="240" w:lineRule="auto"/>
              <w:jc w:val="left"/>
              <w:rPr>
                <w:rFonts w:cs="Arial"/>
                <w:sz w:val="20"/>
                <w:lang w:eastAsia="en-GB"/>
              </w:rPr>
            </w:pPr>
            <w:r w:rsidRPr="00D00C93">
              <w:rPr>
                <w:rFonts w:cs="Arial"/>
                <w:sz w:val="20"/>
                <w:lang w:eastAsia="en-GB"/>
              </w:rPr>
              <w:t>Thomas Maloutas</w:t>
            </w:r>
          </w:p>
        </w:tc>
      </w:tr>
      <w:tr w:rsidR="00B92EA3" w:rsidRPr="00D00C93">
        <w:trPr>
          <w:trHeight w:val="285"/>
        </w:trPr>
        <w:tc>
          <w:tcPr>
            <w:tcW w:w="539" w:type="dxa"/>
            <w:shd w:val="clear" w:color="auto" w:fill="auto"/>
            <w:tcMar>
              <w:top w:w="0" w:type="dxa"/>
              <w:left w:w="40" w:type="dxa"/>
              <w:bottom w:w="0" w:type="dxa"/>
              <w:right w:w="40" w:type="dxa"/>
            </w:tcMar>
            <w:vAlign w:val="center"/>
          </w:tcPr>
          <w:p w:rsidR="00B92EA3" w:rsidRPr="00D00C93" w:rsidRDefault="00B92EA3" w:rsidP="00073C9E">
            <w:pPr>
              <w:spacing w:before="0" w:line="240" w:lineRule="auto"/>
              <w:jc w:val="center"/>
              <w:rPr>
                <w:rFonts w:cs="Arial"/>
                <w:sz w:val="20"/>
                <w:lang w:eastAsia="en-GB"/>
              </w:rPr>
            </w:pPr>
            <w:r>
              <w:rPr>
                <w:rFonts w:cs="Arial"/>
                <w:sz w:val="20"/>
                <w:lang w:eastAsia="en-GB"/>
              </w:rPr>
              <w:t>7</w:t>
            </w:r>
          </w:p>
        </w:tc>
        <w:tc>
          <w:tcPr>
            <w:tcW w:w="5635" w:type="dxa"/>
            <w:shd w:val="clear" w:color="auto" w:fill="auto"/>
            <w:tcMar>
              <w:top w:w="0" w:type="dxa"/>
              <w:left w:w="40" w:type="dxa"/>
              <w:bottom w:w="0" w:type="dxa"/>
              <w:right w:w="40" w:type="dxa"/>
            </w:tcMar>
            <w:vAlign w:val="center"/>
          </w:tcPr>
          <w:p w:rsidR="00B92EA3" w:rsidRPr="00201079" w:rsidRDefault="00B92EA3" w:rsidP="00EB5A1D">
            <w:pPr>
              <w:spacing w:before="0" w:line="240" w:lineRule="auto"/>
              <w:jc w:val="left"/>
              <w:rPr>
                <w:rFonts w:cs="Arial"/>
                <w:color w:val="000000"/>
                <w:sz w:val="20"/>
                <w:lang w:eastAsia="en-GB"/>
              </w:rPr>
            </w:pPr>
            <w:r>
              <w:rPr>
                <w:rFonts w:cs="Arial"/>
                <w:color w:val="000000"/>
                <w:sz w:val="20"/>
                <w:lang w:eastAsia="en-GB"/>
              </w:rPr>
              <w:t>The James Hutton Institute</w:t>
            </w:r>
          </w:p>
        </w:tc>
        <w:tc>
          <w:tcPr>
            <w:tcW w:w="567" w:type="dxa"/>
            <w:shd w:val="clear" w:color="auto" w:fill="auto"/>
            <w:noWrap/>
            <w:tcMar>
              <w:top w:w="0" w:type="dxa"/>
              <w:left w:w="40" w:type="dxa"/>
              <w:bottom w:w="0" w:type="dxa"/>
              <w:right w:w="40" w:type="dxa"/>
            </w:tcMar>
            <w:vAlign w:val="center"/>
          </w:tcPr>
          <w:p w:rsidR="00B92EA3" w:rsidRPr="00201079" w:rsidRDefault="00B92EA3" w:rsidP="00EB5A1D">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rsidR="00B92EA3" w:rsidRPr="00201079" w:rsidRDefault="00B92EA3" w:rsidP="00EB5A1D">
            <w:pPr>
              <w:spacing w:before="0" w:line="240" w:lineRule="auto"/>
              <w:jc w:val="left"/>
              <w:rPr>
                <w:rFonts w:cs="Arial"/>
                <w:sz w:val="20"/>
                <w:lang w:eastAsia="en-GB"/>
              </w:rPr>
            </w:pPr>
            <w:r>
              <w:rPr>
                <w:rFonts w:cs="Arial"/>
                <w:sz w:val="20"/>
                <w:lang w:eastAsia="en-GB"/>
              </w:rPr>
              <w:t>Andrew Copus</w:t>
            </w:r>
          </w:p>
        </w:tc>
      </w:tr>
    </w:tbl>
    <w:p w:rsidR="00740131" w:rsidRDefault="00740131" w:rsidP="00AA149B">
      <w:pPr>
        <w:pStyle w:val="ESPONText"/>
        <w:rPr>
          <w:sz w:val="32"/>
          <w:szCs w:val="32"/>
        </w:rPr>
        <w:sectPr w:rsidR="00740131" w:rsidSect="00740131">
          <w:pgSz w:w="11906" w:h="16838"/>
          <w:pgMar w:top="1644" w:right="1797" w:bottom="1644" w:left="1797" w:header="720" w:footer="720" w:gutter="0"/>
          <w:pgNumType w:fmt="lowerRoman" w:start="3"/>
          <w:cols w:space="720"/>
          <w:titlePg/>
          <w:docGrid w:linePitch="299"/>
        </w:sectPr>
      </w:pPr>
    </w:p>
    <w:p w:rsidR="005703AA" w:rsidRPr="00D00C93" w:rsidRDefault="005703AA" w:rsidP="00AA149B">
      <w:pPr>
        <w:pStyle w:val="ESPONText"/>
        <w:rPr>
          <w:sz w:val="32"/>
          <w:szCs w:val="32"/>
        </w:rPr>
      </w:pPr>
      <w:r w:rsidRPr="00D00C93">
        <w:rPr>
          <w:sz w:val="32"/>
          <w:szCs w:val="32"/>
        </w:rPr>
        <w:lastRenderedPageBreak/>
        <w:t>LIST OF ABBREVIATIONS</w:t>
      </w:r>
    </w:p>
    <w:p w:rsidR="0061373E" w:rsidRPr="00D00C93" w:rsidRDefault="0061373E" w:rsidP="005703AA">
      <w:pPr>
        <w:pStyle w:val="ESPONText"/>
        <w:spacing w:after="0"/>
      </w:pPr>
    </w:p>
    <w:p w:rsidR="007A5766" w:rsidRPr="00D00C93" w:rsidRDefault="002062EC" w:rsidP="00174D27">
      <w:pPr>
        <w:pStyle w:val="ESPONText"/>
        <w:spacing w:before="120" w:after="0" w:line="240" w:lineRule="auto"/>
      </w:pPr>
      <w:r>
        <w:t>EE-NMS</w:t>
      </w:r>
      <w:r>
        <w:tab/>
        <w:t>–</w:t>
      </w:r>
      <w:r>
        <w:tab/>
      </w:r>
      <w:r w:rsidR="007A5766" w:rsidRPr="00D00C93">
        <w:t>East European New Member States of the European Union</w:t>
      </w:r>
    </w:p>
    <w:p w:rsidR="007A5766" w:rsidRPr="00D00C93" w:rsidRDefault="00664E39" w:rsidP="00174D27">
      <w:pPr>
        <w:pStyle w:val="ESPONText"/>
        <w:spacing w:before="120" w:after="0" w:line="240" w:lineRule="auto"/>
      </w:pPr>
      <w:r>
        <w:t>ESPON CU</w:t>
      </w:r>
      <w:r>
        <w:tab/>
      </w:r>
      <w:r w:rsidR="007A5766" w:rsidRPr="00D00C93">
        <w:t>–</w:t>
      </w:r>
      <w:r>
        <w:tab/>
      </w:r>
      <w:r w:rsidR="007A5766" w:rsidRPr="00D00C93">
        <w:t>ESPON Coordination Unit</w:t>
      </w:r>
    </w:p>
    <w:p w:rsidR="00A8040D" w:rsidRPr="00D00C93" w:rsidRDefault="00A8040D" w:rsidP="00174D27">
      <w:pPr>
        <w:pStyle w:val="ESPONText"/>
        <w:spacing w:before="120" w:after="0" w:line="240" w:lineRule="auto"/>
      </w:pPr>
      <w:r w:rsidRPr="00D00C93">
        <w:t>EU27</w:t>
      </w:r>
      <w:r w:rsidR="00664E39">
        <w:tab/>
      </w:r>
      <w:r w:rsidR="00664E39">
        <w:tab/>
      </w:r>
      <w:r w:rsidRPr="00D00C93">
        <w:t>–</w:t>
      </w:r>
      <w:r w:rsidR="00664E39">
        <w:tab/>
      </w:r>
      <w:r w:rsidRPr="00D00C93">
        <w:t>The 27 member states of the European Union</w:t>
      </w:r>
    </w:p>
    <w:p w:rsidR="00F059AA" w:rsidRPr="00791F99" w:rsidRDefault="00F059AA" w:rsidP="00174D27">
      <w:pPr>
        <w:pStyle w:val="ESPONText"/>
        <w:spacing w:before="120" w:after="0" w:line="240" w:lineRule="auto"/>
      </w:pPr>
      <w:r w:rsidRPr="00791F99">
        <w:t>FRA</w:t>
      </w:r>
      <w:r w:rsidR="00664E39">
        <w:tab/>
      </w:r>
      <w:r w:rsidR="00664E39">
        <w:tab/>
      </w:r>
      <w:r w:rsidRPr="00791F99">
        <w:t>–</w:t>
      </w:r>
      <w:r w:rsidR="00664E39">
        <w:tab/>
      </w:r>
      <w:r w:rsidRPr="00791F99">
        <w:t>European Union Agency for Fundamental Rights</w:t>
      </w:r>
    </w:p>
    <w:p w:rsidR="007A5766" w:rsidRPr="00D00C93" w:rsidRDefault="007A5766" w:rsidP="00174D27">
      <w:pPr>
        <w:pStyle w:val="ESPONText"/>
        <w:spacing w:before="120" w:after="0" w:line="240" w:lineRule="auto"/>
      </w:pPr>
      <w:r w:rsidRPr="00D00C93">
        <w:t>GDP</w:t>
      </w:r>
      <w:r w:rsidR="00664E39">
        <w:tab/>
      </w:r>
      <w:r w:rsidR="00664E39">
        <w:tab/>
      </w:r>
      <w:r w:rsidRPr="00D00C93">
        <w:t>–</w:t>
      </w:r>
      <w:r w:rsidR="00664E39">
        <w:tab/>
      </w:r>
      <w:r w:rsidRPr="00D00C93">
        <w:t>Gross Domestic Product</w:t>
      </w:r>
    </w:p>
    <w:p w:rsidR="007635E7" w:rsidRPr="00D00C93" w:rsidRDefault="007635E7" w:rsidP="00174D27">
      <w:pPr>
        <w:pStyle w:val="ESPONText"/>
        <w:spacing w:before="120" w:after="0" w:line="240" w:lineRule="auto"/>
      </w:pPr>
      <w:r w:rsidRPr="00D00C93">
        <w:t>GVA</w:t>
      </w:r>
      <w:r w:rsidR="00664E39">
        <w:tab/>
      </w:r>
      <w:r w:rsidR="00664E39">
        <w:tab/>
      </w:r>
      <w:r w:rsidRPr="00D00C93">
        <w:t>–</w:t>
      </w:r>
      <w:r w:rsidR="00664E39">
        <w:tab/>
      </w:r>
      <w:r w:rsidRPr="00D00C93">
        <w:t>Gross Value Added</w:t>
      </w:r>
    </w:p>
    <w:p w:rsidR="00A8040D" w:rsidRPr="00D00C93" w:rsidRDefault="00A8040D" w:rsidP="00174D27">
      <w:pPr>
        <w:pStyle w:val="ESPONText"/>
        <w:spacing w:before="120" w:after="0" w:line="240" w:lineRule="auto"/>
      </w:pPr>
      <w:r w:rsidRPr="00D00C93">
        <w:t>NACE Rev. 2</w:t>
      </w:r>
      <w:r w:rsidR="00664E39">
        <w:tab/>
      </w:r>
      <w:r w:rsidRPr="00D00C93">
        <w:t>–</w:t>
      </w:r>
      <w:r w:rsidR="00664E39">
        <w:tab/>
      </w:r>
      <w:r w:rsidRPr="00D00C93">
        <w:t>European Classification of Economic Activities (2</w:t>
      </w:r>
      <w:r w:rsidRPr="00D00C93">
        <w:rPr>
          <w:vertAlign w:val="superscript"/>
        </w:rPr>
        <w:t>nd</w:t>
      </w:r>
      <w:r w:rsidRPr="00D00C93">
        <w:t xml:space="preserve"> revision)</w:t>
      </w:r>
    </w:p>
    <w:p w:rsidR="007A5766" w:rsidRPr="00D00C93" w:rsidRDefault="007A5766" w:rsidP="00174D27">
      <w:pPr>
        <w:pStyle w:val="ESPONText"/>
        <w:spacing w:before="120" w:after="0" w:line="240" w:lineRule="auto"/>
      </w:pPr>
      <w:r w:rsidRPr="00D00C93">
        <w:t>NUTS</w:t>
      </w:r>
      <w:r w:rsidR="00664E39">
        <w:tab/>
      </w:r>
      <w:r w:rsidR="00664E39">
        <w:tab/>
      </w:r>
      <w:r w:rsidRPr="00D00C93">
        <w:t>–</w:t>
      </w:r>
      <w:r w:rsidR="00664E39">
        <w:tab/>
      </w:r>
      <w:r w:rsidRPr="00D00C93">
        <w:t>Nomenclature of Territorial Units for Statistics</w:t>
      </w:r>
    </w:p>
    <w:p w:rsidR="00F059AA" w:rsidRDefault="00F059AA" w:rsidP="00174D27">
      <w:pPr>
        <w:pStyle w:val="ESPONText"/>
        <w:spacing w:before="120" w:after="0" w:line="240" w:lineRule="auto"/>
      </w:pPr>
      <w:r>
        <w:t>NGO</w:t>
      </w:r>
      <w:r w:rsidR="00664E39">
        <w:tab/>
      </w:r>
      <w:r w:rsidR="00664E39">
        <w:tab/>
      </w:r>
      <w:r>
        <w:t>–</w:t>
      </w:r>
      <w:r w:rsidR="00664E39">
        <w:tab/>
      </w:r>
      <w:r>
        <w:t>Non Governmental Organisation</w:t>
      </w:r>
    </w:p>
    <w:p w:rsidR="00F059AA" w:rsidRDefault="00F059AA" w:rsidP="00174D27">
      <w:pPr>
        <w:pStyle w:val="ESPONText"/>
        <w:spacing w:before="120" w:after="0" w:line="240" w:lineRule="auto"/>
      </w:pPr>
      <w:r>
        <w:t>OSI</w:t>
      </w:r>
      <w:r w:rsidR="00664E39">
        <w:tab/>
      </w:r>
      <w:r w:rsidR="00664E39">
        <w:tab/>
      </w:r>
      <w:r>
        <w:t>–</w:t>
      </w:r>
      <w:r w:rsidR="00664E39">
        <w:tab/>
      </w:r>
      <w:r>
        <w:t>Open Society Institute</w:t>
      </w:r>
    </w:p>
    <w:p w:rsidR="00F059AA" w:rsidRDefault="00664E39" w:rsidP="00174D27">
      <w:pPr>
        <w:pStyle w:val="ESPONText"/>
        <w:spacing w:before="120" w:after="0" w:line="240" w:lineRule="auto"/>
      </w:pPr>
      <w:r>
        <w:t>UNDP</w:t>
      </w:r>
      <w:r>
        <w:tab/>
      </w:r>
      <w:r>
        <w:tab/>
      </w:r>
      <w:r w:rsidR="00F059AA">
        <w:t>–</w:t>
      </w:r>
      <w:r>
        <w:tab/>
      </w:r>
      <w:r w:rsidR="00F059AA">
        <w:t xml:space="preserve">United </w:t>
      </w:r>
      <w:r>
        <w:t>Nations</w:t>
      </w:r>
      <w:r w:rsidR="00F059AA">
        <w:t xml:space="preserve"> Development Program </w:t>
      </w:r>
    </w:p>
    <w:p w:rsidR="00F059AA" w:rsidRDefault="00664E39" w:rsidP="00174D27">
      <w:pPr>
        <w:pStyle w:val="ESPONText"/>
        <w:spacing w:before="120" w:after="0" w:line="240" w:lineRule="auto"/>
      </w:pPr>
      <w:r>
        <w:t>WB</w:t>
      </w:r>
      <w:r>
        <w:tab/>
      </w:r>
      <w:r>
        <w:tab/>
      </w:r>
      <w:r w:rsidR="00F059AA">
        <w:softHyphen/>
        <w:t>–</w:t>
      </w:r>
      <w:r>
        <w:tab/>
      </w:r>
      <w:r w:rsidR="00F059AA">
        <w:t>World Bank</w:t>
      </w:r>
    </w:p>
    <w:p w:rsidR="00F059AA" w:rsidRPr="00EF4C9E" w:rsidRDefault="00F059AA" w:rsidP="00F059AA">
      <w:pPr>
        <w:pStyle w:val="ESPONText"/>
        <w:spacing w:after="0"/>
      </w:pPr>
    </w:p>
    <w:p w:rsidR="00C867D8" w:rsidRPr="00D00C93" w:rsidRDefault="00C867D8" w:rsidP="00664E39">
      <w:pPr>
        <w:pStyle w:val="ESPONSubtitle"/>
        <w:rPr>
          <w:szCs w:val="22"/>
        </w:rPr>
      </w:pPr>
    </w:p>
    <w:p w:rsidR="00740131" w:rsidRDefault="00740131" w:rsidP="00B15A22">
      <w:pPr>
        <w:pStyle w:val="TOCHeading"/>
        <w:jc w:val="center"/>
        <w:rPr>
          <w:rFonts w:ascii="Arial" w:hAnsi="Arial" w:cs="Arial"/>
          <w:caps/>
          <w:color w:val="auto"/>
          <w:sz w:val="32"/>
          <w:szCs w:val="32"/>
          <w:lang w:val="hu-HU"/>
        </w:rPr>
        <w:sectPr w:rsidR="00740131" w:rsidSect="00740131">
          <w:pgSz w:w="11906" w:h="16838"/>
          <w:pgMar w:top="1644" w:right="1797" w:bottom="1644" w:left="1797" w:header="720" w:footer="720" w:gutter="0"/>
          <w:pgNumType w:fmt="lowerRoman" w:start="4"/>
          <w:cols w:space="720"/>
          <w:titlePg/>
          <w:docGrid w:linePitch="299"/>
        </w:sectPr>
      </w:pPr>
    </w:p>
    <w:p w:rsidR="00C867D8" w:rsidRPr="00664E39" w:rsidRDefault="00C14D2C" w:rsidP="00B15A22">
      <w:pPr>
        <w:pStyle w:val="TOCHeading"/>
        <w:jc w:val="center"/>
        <w:rPr>
          <w:rFonts w:ascii="Arial" w:hAnsi="Arial" w:cs="Arial"/>
          <w:caps/>
          <w:color w:val="auto"/>
          <w:sz w:val="32"/>
          <w:szCs w:val="32"/>
          <w:lang w:val="hu-HU"/>
        </w:rPr>
      </w:pPr>
      <w:r w:rsidRPr="00664E39">
        <w:rPr>
          <w:rFonts w:ascii="Arial" w:hAnsi="Arial" w:cs="Arial"/>
          <w:caps/>
          <w:color w:val="auto"/>
          <w:sz w:val="32"/>
          <w:szCs w:val="32"/>
          <w:lang w:val="hu-HU"/>
        </w:rPr>
        <w:lastRenderedPageBreak/>
        <w:t>Content</w:t>
      </w:r>
      <w:r w:rsidR="00664E39" w:rsidRPr="00664E39">
        <w:rPr>
          <w:rFonts w:ascii="Arial" w:hAnsi="Arial" w:cs="Arial"/>
          <w:caps/>
          <w:color w:val="auto"/>
          <w:sz w:val="32"/>
          <w:szCs w:val="32"/>
          <w:lang w:val="hu-HU"/>
        </w:rPr>
        <w:t>s</w:t>
      </w:r>
    </w:p>
    <w:p w:rsidR="000B2AA2" w:rsidRPr="00C867D8" w:rsidRDefault="000B2AA2" w:rsidP="00C867D8">
      <w:pPr>
        <w:rPr>
          <w:lang w:val="hu-HU" w:eastAsia="en-GB"/>
        </w:rPr>
      </w:pPr>
    </w:p>
    <w:p w:rsidR="006E56FA" w:rsidRDefault="00B759C8">
      <w:pPr>
        <w:pStyle w:val="TOC1"/>
        <w:rPr>
          <w:rFonts w:asciiTheme="minorHAnsi" w:eastAsiaTheme="minorEastAsia" w:hAnsiTheme="minorHAnsi" w:cstheme="minorBidi"/>
          <w:szCs w:val="22"/>
          <w:lang w:val="de-DE" w:eastAsia="de-DE"/>
        </w:rPr>
      </w:pPr>
      <w:r w:rsidRPr="00936215">
        <w:rPr>
          <w:rStyle w:val="Hyperlink"/>
        </w:rPr>
        <w:fldChar w:fldCharType="begin"/>
      </w:r>
      <w:r w:rsidR="00C867D8" w:rsidRPr="00936215">
        <w:rPr>
          <w:rStyle w:val="Hyperlink"/>
        </w:rPr>
        <w:instrText xml:space="preserve"> TOC \o "1-3" \h \z \u </w:instrText>
      </w:r>
      <w:r w:rsidRPr="00936215">
        <w:rPr>
          <w:rStyle w:val="Hyperlink"/>
        </w:rPr>
        <w:fldChar w:fldCharType="separate"/>
      </w:r>
      <w:hyperlink w:anchor="_Toc385939039" w:history="1">
        <w:r w:rsidR="006E56FA" w:rsidRPr="00C82455">
          <w:rPr>
            <w:rStyle w:val="Hyperlink"/>
          </w:rPr>
          <w:t>Executive summary</w:t>
        </w:r>
        <w:r w:rsidR="006E56FA">
          <w:rPr>
            <w:webHidden/>
          </w:rPr>
          <w:tab/>
        </w:r>
        <w:r w:rsidR="006E56FA">
          <w:rPr>
            <w:webHidden/>
          </w:rPr>
          <w:fldChar w:fldCharType="begin"/>
        </w:r>
        <w:r w:rsidR="006E56FA">
          <w:rPr>
            <w:webHidden/>
          </w:rPr>
          <w:instrText xml:space="preserve"> PAGEREF _Toc385939039 \h </w:instrText>
        </w:r>
        <w:r w:rsidR="006E56FA">
          <w:rPr>
            <w:webHidden/>
          </w:rPr>
        </w:r>
        <w:r w:rsidR="006E56FA">
          <w:rPr>
            <w:webHidden/>
          </w:rPr>
          <w:fldChar w:fldCharType="separate"/>
        </w:r>
        <w:r w:rsidR="00DC6D66">
          <w:rPr>
            <w:webHidden/>
          </w:rPr>
          <w:t>vii</w:t>
        </w:r>
        <w:r w:rsidR="006E56FA">
          <w:rPr>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40" w:history="1">
        <w:r w:rsidR="006E56FA" w:rsidRPr="00C82455">
          <w:rPr>
            <w:rStyle w:val="Hyperlink"/>
          </w:rPr>
          <w:t>1</w:t>
        </w:r>
        <w:r w:rsidR="006E56FA">
          <w:rPr>
            <w:rFonts w:asciiTheme="minorHAnsi" w:eastAsiaTheme="minorEastAsia" w:hAnsiTheme="minorHAnsi" w:cstheme="minorBidi"/>
            <w:szCs w:val="22"/>
            <w:lang w:val="de-DE" w:eastAsia="de-DE"/>
          </w:rPr>
          <w:tab/>
        </w:r>
        <w:r w:rsidR="006E56FA" w:rsidRPr="00C82455">
          <w:rPr>
            <w:rStyle w:val="Hyperlink"/>
          </w:rPr>
          <w:t>The regional context</w:t>
        </w:r>
        <w:r w:rsidR="006E56FA">
          <w:rPr>
            <w:webHidden/>
          </w:rPr>
          <w:tab/>
        </w:r>
        <w:r w:rsidR="006E56FA">
          <w:rPr>
            <w:webHidden/>
          </w:rPr>
          <w:fldChar w:fldCharType="begin"/>
        </w:r>
        <w:r w:rsidR="006E56FA">
          <w:rPr>
            <w:webHidden/>
          </w:rPr>
          <w:instrText xml:space="preserve"> PAGEREF _Toc385939040 \h </w:instrText>
        </w:r>
        <w:r w:rsidR="006E56FA">
          <w:rPr>
            <w:webHidden/>
          </w:rPr>
        </w:r>
        <w:r w:rsidR="006E56FA">
          <w:rPr>
            <w:webHidden/>
          </w:rPr>
          <w:fldChar w:fldCharType="separate"/>
        </w:r>
        <w:r w:rsidR="00DC6D66">
          <w:rPr>
            <w:webHidden/>
          </w:rPr>
          <w:t>1</w:t>
        </w:r>
        <w:r w:rsidR="006E56FA">
          <w:rPr>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41" w:history="1">
        <w:r w:rsidR="006E56FA" w:rsidRPr="00C82455">
          <w:rPr>
            <w:rStyle w:val="Hyperlink"/>
          </w:rPr>
          <w:t>2</w:t>
        </w:r>
        <w:r w:rsidR="006E56FA">
          <w:rPr>
            <w:rFonts w:asciiTheme="minorHAnsi" w:eastAsiaTheme="minorEastAsia" w:hAnsiTheme="minorHAnsi" w:cstheme="minorBidi"/>
            <w:szCs w:val="22"/>
            <w:lang w:val="de-DE" w:eastAsia="de-DE"/>
          </w:rPr>
          <w:tab/>
        </w:r>
        <w:r w:rsidR="006E56FA" w:rsidRPr="00C82455">
          <w:rPr>
            <w:rStyle w:val="Hyperlink"/>
          </w:rPr>
          <w:t>Characteristics of social exclusion and poverty: Patterns and processes</w:t>
        </w:r>
        <w:r w:rsidR="006E56FA">
          <w:rPr>
            <w:webHidden/>
          </w:rPr>
          <w:tab/>
        </w:r>
        <w:r w:rsidR="006E56FA">
          <w:rPr>
            <w:webHidden/>
          </w:rPr>
          <w:fldChar w:fldCharType="begin"/>
        </w:r>
        <w:r w:rsidR="006E56FA">
          <w:rPr>
            <w:webHidden/>
          </w:rPr>
          <w:instrText xml:space="preserve"> PAGEREF _Toc385939041 \h </w:instrText>
        </w:r>
        <w:r w:rsidR="006E56FA">
          <w:rPr>
            <w:webHidden/>
          </w:rPr>
        </w:r>
        <w:r w:rsidR="006E56FA">
          <w:rPr>
            <w:webHidden/>
          </w:rPr>
          <w:fldChar w:fldCharType="separate"/>
        </w:r>
        <w:r w:rsidR="00DC6D66">
          <w:rPr>
            <w:webHidden/>
          </w:rPr>
          <w:t>10</w:t>
        </w:r>
        <w:r w:rsidR="006E56FA">
          <w:rPr>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42" w:history="1">
        <w:r w:rsidR="006E56FA" w:rsidRPr="00C82455">
          <w:rPr>
            <w:rStyle w:val="Hyperlink"/>
            <w:noProof/>
          </w:rPr>
          <w:t>2.1</w:t>
        </w:r>
        <w:r w:rsidR="006E56FA">
          <w:rPr>
            <w:rFonts w:asciiTheme="minorHAnsi" w:eastAsiaTheme="minorEastAsia" w:hAnsiTheme="minorHAnsi" w:cstheme="minorBidi"/>
            <w:noProof/>
            <w:szCs w:val="22"/>
            <w:lang w:val="de-DE" w:eastAsia="de-DE"/>
          </w:rPr>
          <w:tab/>
        </w:r>
        <w:r w:rsidR="006E56FA" w:rsidRPr="00C82455">
          <w:rPr>
            <w:rStyle w:val="Hyperlink"/>
            <w:noProof/>
          </w:rPr>
          <w:t>Enriching the general picture on poverty and social exclusion in Slovakia and its regions</w:t>
        </w:r>
        <w:r w:rsidR="006E56FA">
          <w:rPr>
            <w:noProof/>
            <w:webHidden/>
          </w:rPr>
          <w:tab/>
        </w:r>
        <w:r w:rsidR="006E56FA">
          <w:rPr>
            <w:noProof/>
            <w:webHidden/>
          </w:rPr>
          <w:fldChar w:fldCharType="begin"/>
        </w:r>
        <w:r w:rsidR="006E56FA">
          <w:rPr>
            <w:noProof/>
            <w:webHidden/>
          </w:rPr>
          <w:instrText xml:space="preserve"> PAGEREF _Toc385939042 \h </w:instrText>
        </w:r>
        <w:r w:rsidR="006E56FA">
          <w:rPr>
            <w:noProof/>
            <w:webHidden/>
          </w:rPr>
        </w:r>
        <w:r w:rsidR="006E56FA">
          <w:rPr>
            <w:noProof/>
            <w:webHidden/>
          </w:rPr>
          <w:fldChar w:fldCharType="separate"/>
        </w:r>
        <w:r w:rsidR="00DC6D66">
          <w:rPr>
            <w:noProof/>
            <w:webHidden/>
          </w:rPr>
          <w:t>10</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43" w:history="1">
        <w:r w:rsidR="006E56FA" w:rsidRPr="00C82455">
          <w:rPr>
            <w:rStyle w:val="Hyperlink"/>
            <w:noProof/>
          </w:rPr>
          <w:t>2.1.1</w:t>
        </w:r>
        <w:r w:rsidR="006E56FA">
          <w:rPr>
            <w:rFonts w:asciiTheme="minorHAnsi" w:eastAsiaTheme="minorEastAsia" w:hAnsiTheme="minorHAnsi" w:cstheme="minorBidi"/>
            <w:noProof/>
            <w:szCs w:val="22"/>
            <w:lang w:val="de-DE" w:eastAsia="de-DE"/>
          </w:rPr>
          <w:tab/>
        </w:r>
        <w:r w:rsidR="006E56FA" w:rsidRPr="00C82455">
          <w:rPr>
            <w:rStyle w:val="Hyperlink"/>
            <w:noProof/>
          </w:rPr>
          <w:t>At risk of poverty in age groups, households and in the regions</w:t>
        </w:r>
        <w:r w:rsidR="006E56FA">
          <w:rPr>
            <w:noProof/>
            <w:webHidden/>
          </w:rPr>
          <w:tab/>
        </w:r>
        <w:r w:rsidR="006E56FA">
          <w:rPr>
            <w:noProof/>
            <w:webHidden/>
          </w:rPr>
          <w:fldChar w:fldCharType="begin"/>
        </w:r>
        <w:r w:rsidR="006E56FA">
          <w:rPr>
            <w:noProof/>
            <w:webHidden/>
          </w:rPr>
          <w:instrText xml:space="preserve"> PAGEREF _Toc385939043 \h </w:instrText>
        </w:r>
        <w:r w:rsidR="006E56FA">
          <w:rPr>
            <w:noProof/>
            <w:webHidden/>
          </w:rPr>
        </w:r>
        <w:r w:rsidR="006E56FA">
          <w:rPr>
            <w:noProof/>
            <w:webHidden/>
          </w:rPr>
          <w:fldChar w:fldCharType="separate"/>
        </w:r>
        <w:r w:rsidR="00DC6D66">
          <w:rPr>
            <w:noProof/>
            <w:webHidden/>
          </w:rPr>
          <w:t>10</w:t>
        </w:r>
        <w:r w:rsidR="006E56FA">
          <w:rPr>
            <w:noProof/>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44" w:history="1">
        <w:r w:rsidR="006E56FA" w:rsidRPr="00C82455">
          <w:rPr>
            <w:rStyle w:val="Hyperlink"/>
            <w:noProof/>
            <w:lang w:eastAsia="en-GB"/>
          </w:rPr>
          <w:t>2.2</w:t>
        </w:r>
        <w:r w:rsidR="006E56FA">
          <w:rPr>
            <w:rFonts w:asciiTheme="minorHAnsi" w:eastAsiaTheme="minorEastAsia" w:hAnsiTheme="minorHAnsi" w:cstheme="minorBidi"/>
            <w:noProof/>
            <w:szCs w:val="22"/>
            <w:lang w:val="de-DE" w:eastAsia="de-DE"/>
          </w:rPr>
          <w:tab/>
        </w:r>
        <w:r w:rsidR="006E56FA" w:rsidRPr="00C82455">
          <w:rPr>
            <w:rStyle w:val="Hyperlink"/>
            <w:noProof/>
            <w:lang w:eastAsia="en-GB"/>
          </w:rPr>
          <w:t>Regional disparities in light of unemployment and ethnicity</w:t>
        </w:r>
        <w:r w:rsidR="006E56FA">
          <w:rPr>
            <w:noProof/>
            <w:webHidden/>
          </w:rPr>
          <w:tab/>
        </w:r>
        <w:r w:rsidR="006E56FA">
          <w:rPr>
            <w:noProof/>
            <w:webHidden/>
          </w:rPr>
          <w:fldChar w:fldCharType="begin"/>
        </w:r>
        <w:r w:rsidR="006E56FA">
          <w:rPr>
            <w:noProof/>
            <w:webHidden/>
          </w:rPr>
          <w:instrText xml:space="preserve"> PAGEREF _Toc385939044 \h </w:instrText>
        </w:r>
        <w:r w:rsidR="006E56FA">
          <w:rPr>
            <w:noProof/>
            <w:webHidden/>
          </w:rPr>
        </w:r>
        <w:r w:rsidR="006E56FA">
          <w:rPr>
            <w:noProof/>
            <w:webHidden/>
          </w:rPr>
          <w:fldChar w:fldCharType="separate"/>
        </w:r>
        <w:r w:rsidR="00DC6D66">
          <w:rPr>
            <w:noProof/>
            <w:webHidden/>
          </w:rPr>
          <w:t>14</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45" w:history="1">
        <w:r w:rsidR="006E56FA" w:rsidRPr="00C82455">
          <w:rPr>
            <w:rStyle w:val="Hyperlink"/>
            <w:noProof/>
          </w:rPr>
          <w:t>2.2.1</w:t>
        </w:r>
        <w:r w:rsidR="006E56FA">
          <w:rPr>
            <w:rFonts w:asciiTheme="minorHAnsi" w:eastAsiaTheme="minorEastAsia" w:hAnsiTheme="minorHAnsi" w:cstheme="minorBidi"/>
            <w:noProof/>
            <w:szCs w:val="22"/>
            <w:lang w:val="de-DE" w:eastAsia="de-DE"/>
          </w:rPr>
          <w:tab/>
        </w:r>
        <w:r w:rsidR="006E56FA" w:rsidRPr="00C82455">
          <w:rPr>
            <w:rStyle w:val="Hyperlink"/>
            <w:noProof/>
          </w:rPr>
          <w:t>Territorial patterns of unemployment</w:t>
        </w:r>
        <w:r w:rsidR="006E56FA">
          <w:rPr>
            <w:noProof/>
            <w:webHidden/>
          </w:rPr>
          <w:tab/>
        </w:r>
        <w:r w:rsidR="006E56FA">
          <w:rPr>
            <w:noProof/>
            <w:webHidden/>
          </w:rPr>
          <w:fldChar w:fldCharType="begin"/>
        </w:r>
        <w:r w:rsidR="006E56FA">
          <w:rPr>
            <w:noProof/>
            <w:webHidden/>
          </w:rPr>
          <w:instrText xml:space="preserve"> PAGEREF _Toc385939045 \h </w:instrText>
        </w:r>
        <w:r w:rsidR="006E56FA">
          <w:rPr>
            <w:noProof/>
            <w:webHidden/>
          </w:rPr>
        </w:r>
        <w:r w:rsidR="006E56FA">
          <w:rPr>
            <w:noProof/>
            <w:webHidden/>
          </w:rPr>
          <w:fldChar w:fldCharType="separate"/>
        </w:r>
        <w:r w:rsidR="00DC6D66">
          <w:rPr>
            <w:noProof/>
            <w:webHidden/>
          </w:rPr>
          <w:t>14</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46" w:history="1">
        <w:r w:rsidR="006E56FA" w:rsidRPr="00C82455">
          <w:rPr>
            <w:rStyle w:val="Hyperlink"/>
            <w:noProof/>
          </w:rPr>
          <w:t>2.2.2</w:t>
        </w:r>
        <w:r w:rsidR="006E56FA">
          <w:rPr>
            <w:rFonts w:asciiTheme="minorHAnsi" w:eastAsiaTheme="minorEastAsia" w:hAnsiTheme="minorHAnsi" w:cstheme="minorBidi"/>
            <w:noProof/>
            <w:szCs w:val="22"/>
            <w:lang w:val="de-DE" w:eastAsia="de-DE"/>
          </w:rPr>
          <w:tab/>
        </w:r>
        <w:r w:rsidR="006E56FA" w:rsidRPr="00C82455">
          <w:rPr>
            <w:rStyle w:val="Hyperlink"/>
            <w:noProof/>
          </w:rPr>
          <w:t>Mapping territorial patterns of disadvantages</w:t>
        </w:r>
        <w:r w:rsidR="006E56FA">
          <w:rPr>
            <w:noProof/>
            <w:webHidden/>
          </w:rPr>
          <w:tab/>
        </w:r>
        <w:r w:rsidR="006E56FA">
          <w:rPr>
            <w:noProof/>
            <w:webHidden/>
          </w:rPr>
          <w:fldChar w:fldCharType="begin"/>
        </w:r>
        <w:r w:rsidR="006E56FA">
          <w:rPr>
            <w:noProof/>
            <w:webHidden/>
          </w:rPr>
          <w:instrText xml:space="preserve"> PAGEREF _Toc385939046 \h </w:instrText>
        </w:r>
        <w:r w:rsidR="006E56FA">
          <w:rPr>
            <w:noProof/>
            <w:webHidden/>
          </w:rPr>
        </w:r>
        <w:r w:rsidR="006E56FA">
          <w:rPr>
            <w:noProof/>
            <w:webHidden/>
          </w:rPr>
          <w:fldChar w:fldCharType="separate"/>
        </w:r>
        <w:r w:rsidR="00DC6D66">
          <w:rPr>
            <w:noProof/>
            <w:webHidden/>
          </w:rPr>
          <w:t>16</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47" w:history="1">
        <w:r w:rsidR="006E56FA" w:rsidRPr="00C82455">
          <w:rPr>
            <w:rStyle w:val="Hyperlink"/>
            <w:noProof/>
          </w:rPr>
          <w:t>2.2.3</w:t>
        </w:r>
        <w:r w:rsidR="006E56FA">
          <w:rPr>
            <w:rFonts w:asciiTheme="minorHAnsi" w:eastAsiaTheme="minorEastAsia" w:hAnsiTheme="minorHAnsi" w:cstheme="minorBidi"/>
            <w:noProof/>
            <w:szCs w:val="22"/>
            <w:lang w:val="de-DE" w:eastAsia="de-DE"/>
          </w:rPr>
          <w:tab/>
        </w:r>
        <w:r w:rsidR="006E56FA" w:rsidRPr="00C82455">
          <w:rPr>
            <w:rStyle w:val="Hyperlink"/>
            <w:noProof/>
          </w:rPr>
          <w:t>Roma and Hungarian minorities</w:t>
        </w:r>
        <w:r w:rsidR="006E56FA">
          <w:rPr>
            <w:noProof/>
            <w:webHidden/>
          </w:rPr>
          <w:tab/>
        </w:r>
        <w:r w:rsidR="006E56FA">
          <w:rPr>
            <w:noProof/>
            <w:webHidden/>
          </w:rPr>
          <w:fldChar w:fldCharType="begin"/>
        </w:r>
        <w:r w:rsidR="006E56FA">
          <w:rPr>
            <w:noProof/>
            <w:webHidden/>
          </w:rPr>
          <w:instrText xml:space="preserve"> PAGEREF _Toc385939047 \h </w:instrText>
        </w:r>
        <w:r w:rsidR="006E56FA">
          <w:rPr>
            <w:noProof/>
            <w:webHidden/>
          </w:rPr>
        </w:r>
        <w:r w:rsidR="006E56FA">
          <w:rPr>
            <w:noProof/>
            <w:webHidden/>
          </w:rPr>
          <w:fldChar w:fldCharType="separate"/>
        </w:r>
        <w:r w:rsidR="00DC6D66">
          <w:rPr>
            <w:noProof/>
            <w:webHidden/>
          </w:rPr>
          <w:t>17</w:t>
        </w:r>
        <w:r w:rsidR="006E56FA">
          <w:rPr>
            <w:noProof/>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48" w:history="1">
        <w:r w:rsidR="006E56FA" w:rsidRPr="00C82455">
          <w:rPr>
            <w:rStyle w:val="Hyperlink"/>
            <w:noProof/>
            <w:lang w:eastAsia="en-GB"/>
          </w:rPr>
          <w:t>2.3</w:t>
        </w:r>
        <w:r w:rsidR="006E56FA">
          <w:rPr>
            <w:rFonts w:asciiTheme="minorHAnsi" w:eastAsiaTheme="minorEastAsia" w:hAnsiTheme="minorHAnsi" w:cstheme="minorBidi"/>
            <w:noProof/>
            <w:szCs w:val="22"/>
            <w:lang w:val="de-DE" w:eastAsia="de-DE"/>
          </w:rPr>
          <w:tab/>
        </w:r>
        <w:r w:rsidR="006E56FA" w:rsidRPr="00C82455">
          <w:rPr>
            <w:rStyle w:val="Hyperlink"/>
            <w:noProof/>
            <w:lang w:eastAsia="en-GB"/>
          </w:rPr>
          <w:t>The 2011 Roma survey and its results</w:t>
        </w:r>
        <w:r w:rsidR="006E56FA">
          <w:rPr>
            <w:noProof/>
            <w:webHidden/>
          </w:rPr>
          <w:tab/>
        </w:r>
        <w:r w:rsidR="006E56FA">
          <w:rPr>
            <w:noProof/>
            <w:webHidden/>
          </w:rPr>
          <w:fldChar w:fldCharType="begin"/>
        </w:r>
        <w:r w:rsidR="006E56FA">
          <w:rPr>
            <w:noProof/>
            <w:webHidden/>
          </w:rPr>
          <w:instrText xml:space="preserve"> PAGEREF _Toc385939048 \h </w:instrText>
        </w:r>
        <w:r w:rsidR="006E56FA">
          <w:rPr>
            <w:noProof/>
            <w:webHidden/>
          </w:rPr>
        </w:r>
        <w:r w:rsidR="006E56FA">
          <w:rPr>
            <w:noProof/>
            <w:webHidden/>
          </w:rPr>
          <w:fldChar w:fldCharType="separate"/>
        </w:r>
        <w:r w:rsidR="00DC6D66">
          <w:rPr>
            <w:noProof/>
            <w:webHidden/>
          </w:rPr>
          <w:t>20</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49" w:history="1">
        <w:r w:rsidR="006E56FA" w:rsidRPr="00C82455">
          <w:rPr>
            <w:rStyle w:val="Hyperlink"/>
            <w:noProof/>
          </w:rPr>
          <w:t>2.3.1</w:t>
        </w:r>
        <w:r w:rsidR="006E56FA">
          <w:rPr>
            <w:rFonts w:asciiTheme="minorHAnsi" w:eastAsiaTheme="minorEastAsia" w:hAnsiTheme="minorHAnsi" w:cstheme="minorBidi"/>
            <w:noProof/>
            <w:szCs w:val="22"/>
            <w:lang w:val="de-DE" w:eastAsia="de-DE"/>
          </w:rPr>
          <w:tab/>
        </w:r>
        <w:r w:rsidR="006E56FA" w:rsidRPr="00C82455">
          <w:rPr>
            <w:rStyle w:val="Hyperlink"/>
            <w:noProof/>
          </w:rPr>
          <w:t>The situation of Roma in Slovakia in comparison to Eastern European countries</w:t>
        </w:r>
        <w:r w:rsidR="006E56FA">
          <w:rPr>
            <w:noProof/>
            <w:webHidden/>
          </w:rPr>
          <w:tab/>
        </w:r>
        <w:r w:rsidR="006E56FA">
          <w:rPr>
            <w:noProof/>
            <w:webHidden/>
          </w:rPr>
          <w:fldChar w:fldCharType="begin"/>
        </w:r>
        <w:r w:rsidR="006E56FA">
          <w:rPr>
            <w:noProof/>
            <w:webHidden/>
          </w:rPr>
          <w:instrText xml:space="preserve"> PAGEREF _Toc385939049 \h </w:instrText>
        </w:r>
        <w:r w:rsidR="006E56FA">
          <w:rPr>
            <w:noProof/>
            <w:webHidden/>
          </w:rPr>
        </w:r>
        <w:r w:rsidR="006E56FA">
          <w:rPr>
            <w:noProof/>
            <w:webHidden/>
          </w:rPr>
          <w:fldChar w:fldCharType="separate"/>
        </w:r>
        <w:r w:rsidR="00DC6D66">
          <w:rPr>
            <w:noProof/>
            <w:webHidden/>
          </w:rPr>
          <w:t>20</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50" w:history="1">
        <w:r w:rsidR="006E56FA" w:rsidRPr="00C82455">
          <w:rPr>
            <w:rStyle w:val="Hyperlink"/>
            <w:noProof/>
          </w:rPr>
          <w:t>2.3.2</w:t>
        </w:r>
        <w:r w:rsidR="006E56FA">
          <w:rPr>
            <w:rFonts w:asciiTheme="minorHAnsi" w:eastAsiaTheme="minorEastAsia" w:hAnsiTheme="minorHAnsi" w:cstheme="minorBidi"/>
            <w:noProof/>
            <w:szCs w:val="22"/>
            <w:lang w:val="de-DE" w:eastAsia="de-DE"/>
          </w:rPr>
          <w:tab/>
        </w:r>
        <w:r w:rsidR="006E56FA" w:rsidRPr="00C82455">
          <w:rPr>
            <w:rStyle w:val="Hyperlink"/>
            <w:noProof/>
            <w:lang w:eastAsia="en-GB"/>
          </w:rPr>
          <w:t xml:space="preserve">The situation of Roma as compared with non-Roma: </w:t>
        </w:r>
        <w:r w:rsidR="006E56FA" w:rsidRPr="00C82455">
          <w:rPr>
            <w:rStyle w:val="Hyperlink"/>
            <w:noProof/>
          </w:rPr>
          <w:t>segregated people and outside people</w:t>
        </w:r>
        <w:r w:rsidR="006E56FA">
          <w:rPr>
            <w:noProof/>
            <w:webHidden/>
          </w:rPr>
          <w:tab/>
        </w:r>
        <w:r w:rsidR="006E56FA">
          <w:rPr>
            <w:noProof/>
            <w:webHidden/>
          </w:rPr>
          <w:fldChar w:fldCharType="begin"/>
        </w:r>
        <w:r w:rsidR="006E56FA">
          <w:rPr>
            <w:noProof/>
            <w:webHidden/>
          </w:rPr>
          <w:instrText xml:space="preserve"> PAGEREF _Toc385939050 \h </w:instrText>
        </w:r>
        <w:r w:rsidR="006E56FA">
          <w:rPr>
            <w:noProof/>
            <w:webHidden/>
          </w:rPr>
        </w:r>
        <w:r w:rsidR="006E56FA">
          <w:rPr>
            <w:noProof/>
            <w:webHidden/>
          </w:rPr>
          <w:fldChar w:fldCharType="separate"/>
        </w:r>
        <w:r w:rsidR="00DC6D66">
          <w:rPr>
            <w:noProof/>
            <w:webHidden/>
          </w:rPr>
          <w:t>20</w:t>
        </w:r>
        <w:r w:rsidR="006E56FA">
          <w:rPr>
            <w:noProof/>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51" w:history="1">
        <w:r w:rsidR="006E56FA" w:rsidRPr="00C82455">
          <w:rPr>
            <w:rStyle w:val="Hyperlink"/>
            <w:noProof/>
          </w:rPr>
          <w:t>2.4</w:t>
        </w:r>
        <w:r w:rsidR="006E56FA">
          <w:rPr>
            <w:rFonts w:asciiTheme="minorHAnsi" w:eastAsiaTheme="minorEastAsia" w:hAnsiTheme="minorHAnsi" w:cstheme="minorBidi"/>
            <w:noProof/>
            <w:szCs w:val="22"/>
            <w:lang w:val="de-DE" w:eastAsia="de-DE"/>
          </w:rPr>
          <w:tab/>
        </w:r>
        <w:r w:rsidR="006E56FA" w:rsidRPr="00C82455">
          <w:rPr>
            <w:rStyle w:val="Hyperlink"/>
            <w:noProof/>
          </w:rPr>
          <w:t>Residential and educational segregation in Southern Slovakia</w:t>
        </w:r>
        <w:r w:rsidR="006E56FA">
          <w:rPr>
            <w:noProof/>
            <w:webHidden/>
          </w:rPr>
          <w:tab/>
        </w:r>
        <w:r w:rsidR="006E56FA">
          <w:rPr>
            <w:noProof/>
            <w:webHidden/>
          </w:rPr>
          <w:fldChar w:fldCharType="begin"/>
        </w:r>
        <w:r w:rsidR="006E56FA">
          <w:rPr>
            <w:noProof/>
            <w:webHidden/>
          </w:rPr>
          <w:instrText xml:space="preserve"> PAGEREF _Toc385939051 \h </w:instrText>
        </w:r>
        <w:r w:rsidR="006E56FA">
          <w:rPr>
            <w:noProof/>
            <w:webHidden/>
          </w:rPr>
        </w:r>
        <w:r w:rsidR="006E56FA">
          <w:rPr>
            <w:noProof/>
            <w:webHidden/>
          </w:rPr>
          <w:fldChar w:fldCharType="separate"/>
        </w:r>
        <w:r w:rsidR="00DC6D66">
          <w:rPr>
            <w:noProof/>
            <w:webHidden/>
          </w:rPr>
          <w:t>25</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52" w:history="1">
        <w:r w:rsidR="006E56FA" w:rsidRPr="00C82455">
          <w:rPr>
            <w:rStyle w:val="Hyperlink"/>
            <w:noProof/>
          </w:rPr>
          <w:t>2.4.1</w:t>
        </w:r>
        <w:r w:rsidR="006E56FA">
          <w:rPr>
            <w:rFonts w:asciiTheme="minorHAnsi" w:eastAsiaTheme="minorEastAsia" w:hAnsiTheme="minorHAnsi" w:cstheme="minorBidi"/>
            <w:noProof/>
            <w:szCs w:val="22"/>
            <w:lang w:val="de-DE" w:eastAsia="de-DE"/>
          </w:rPr>
          <w:tab/>
        </w:r>
        <w:r w:rsidR="006E56FA" w:rsidRPr="00C82455">
          <w:rPr>
            <w:rStyle w:val="Hyperlink"/>
            <w:noProof/>
          </w:rPr>
          <w:t>Residential segregation:  Roma Atlas report</w:t>
        </w:r>
        <w:r w:rsidR="006E56FA">
          <w:rPr>
            <w:noProof/>
            <w:webHidden/>
          </w:rPr>
          <w:tab/>
        </w:r>
        <w:r w:rsidR="006E56FA">
          <w:rPr>
            <w:noProof/>
            <w:webHidden/>
          </w:rPr>
          <w:fldChar w:fldCharType="begin"/>
        </w:r>
        <w:r w:rsidR="006E56FA">
          <w:rPr>
            <w:noProof/>
            <w:webHidden/>
          </w:rPr>
          <w:instrText xml:space="preserve"> PAGEREF _Toc385939052 \h </w:instrText>
        </w:r>
        <w:r w:rsidR="006E56FA">
          <w:rPr>
            <w:noProof/>
            <w:webHidden/>
          </w:rPr>
        </w:r>
        <w:r w:rsidR="006E56FA">
          <w:rPr>
            <w:noProof/>
            <w:webHidden/>
          </w:rPr>
          <w:fldChar w:fldCharType="separate"/>
        </w:r>
        <w:r w:rsidR="00DC6D66">
          <w:rPr>
            <w:noProof/>
            <w:webHidden/>
          </w:rPr>
          <w:t>25</w:t>
        </w:r>
        <w:r w:rsidR="006E56FA">
          <w:rPr>
            <w:noProof/>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53" w:history="1">
        <w:r w:rsidR="006E56FA" w:rsidRPr="00C82455">
          <w:rPr>
            <w:rStyle w:val="Hyperlink"/>
            <w:noProof/>
          </w:rPr>
          <w:t>2.5</w:t>
        </w:r>
        <w:r w:rsidR="006E56FA">
          <w:rPr>
            <w:rFonts w:asciiTheme="minorHAnsi" w:eastAsiaTheme="minorEastAsia" w:hAnsiTheme="minorHAnsi" w:cstheme="minorBidi"/>
            <w:noProof/>
            <w:szCs w:val="22"/>
            <w:lang w:val="de-DE" w:eastAsia="de-DE"/>
          </w:rPr>
          <w:tab/>
        </w:r>
        <w:r w:rsidR="006E56FA" w:rsidRPr="00C82455">
          <w:rPr>
            <w:rStyle w:val="Hyperlink"/>
            <w:noProof/>
          </w:rPr>
          <w:t>Field report: the field sites, the methods and the research tools</w:t>
        </w:r>
        <w:r w:rsidR="006E56FA">
          <w:rPr>
            <w:noProof/>
            <w:webHidden/>
          </w:rPr>
          <w:tab/>
        </w:r>
        <w:r w:rsidR="006E56FA">
          <w:rPr>
            <w:noProof/>
            <w:webHidden/>
          </w:rPr>
          <w:fldChar w:fldCharType="begin"/>
        </w:r>
        <w:r w:rsidR="006E56FA">
          <w:rPr>
            <w:noProof/>
            <w:webHidden/>
          </w:rPr>
          <w:instrText xml:space="preserve"> PAGEREF _Toc385939053 \h </w:instrText>
        </w:r>
        <w:r w:rsidR="006E56FA">
          <w:rPr>
            <w:noProof/>
            <w:webHidden/>
          </w:rPr>
        </w:r>
        <w:r w:rsidR="006E56FA">
          <w:rPr>
            <w:noProof/>
            <w:webHidden/>
          </w:rPr>
          <w:fldChar w:fldCharType="separate"/>
        </w:r>
        <w:r w:rsidR="00DC6D66">
          <w:rPr>
            <w:noProof/>
            <w:webHidden/>
          </w:rPr>
          <w:t>26</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54" w:history="1">
        <w:r w:rsidR="006E56FA" w:rsidRPr="00C82455">
          <w:rPr>
            <w:rStyle w:val="Hyperlink"/>
            <w:noProof/>
          </w:rPr>
          <w:t>2.5.1</w:t>
        </w:r>
        <w:r w:rsidR="006E56FA">
          <w:rPr>
            <w:rFonts w:asciiTheme="minorHAnsi" w:eastAsiaTheme="minorEastAsia" w:hAnsiTheme="minorHAnsi" w:cstheme="minorBidi"/>
            <w:noProof/>
            <w:szCs w:val="22"/>
            <w:lang w:val="de-DE" w:eastAsia="de-DE"/>
          </w:rPr>
          <w:tab/>
        </w:r>
        <w:r w:rsidR="006E56FA" w:rsidRPr="00C82455">
          <w:rPr>
            <w:rStyle w:val="Hyperlink"/>
            <w:noProof/>
          </w:rPr>
          <w:t>A demising village of Rimavská Seč</w:t>
        </w:r>
        <w:r w:rsidR="006E56FA">
          <w:rPr>
            <w:noProof/>
            <w:webHidden/>
          </w:rPr>
          <w:tab/>
        </w:r>
        <w:r w:rsidR="006E56FA">
          <w:rPr>
            <w:noProof/>
            <w:webHidden/>
          </w:rPr>
          <w:fldChar w:fldCharType="begin"/>
        </w:r>
        <w:r w:rsidR="006E56FA">
          <w:rPr>
            <w:noProof/>
            <w:webHidden/>
          </w:rPr>
          <w:instrText xml:space="preserve"> PAGEREF _Toc385939054 \h </w:instrText>
        </w:r>
        <w:r w:rsidR="006E56FA">
          <w:rPr>
            <w:noProof/>
            <w:webHidden/>
          </w:rPr>
        </w:r>
        <w:r w:rsidR="006E56FA">
          <w:rPr>
            <w:noProof/>
            <w:webHidden/>
          </w:rPr>
          <w:fldChar w:fldCharType="separate"/>
        </w:r>
        <w:r w:rsidR="00DC6D66">
          <w:rPr>
            <w:noProof/>
            <w:webHidden/>
          </w:rPr>
          <w:t>28</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55" w:history="1">
        <w:r w:rsidR="006E56FA" w:rsidRPr="00C82455">
          <w:rPr>
            <w:rStyle w:val="Hyperlink"/>
            <w:noProof/>
          </w:rPr>
          <w:t>2.5.2</w:t>
        </w:r>
        <w:r w:rsidR="006E56FA">
          <w:rPr>
            <w:rFonts w:asciiTheme="minorHAnsi" w:eastAsiaTheme="minorEastAsia" w:hAnsiTheme="minorHAnsi" w:cstheme="minorBidi"/>
            <w:noProof/>
            <w:szCs w:val="22"/>
            <w:lang w:val="de-DE" w:eastAsia="de-DE"/>
          </w:rPr>
          <w:tab/>
        </w:r>
        <w:r w:rsidR="006E56FA" w:rsidRPr="00C82455">
          <w:rPr>
            <w:rStyle w:val="Hyperlink"/>
            <w:noProof/>
          </w:rPr>
          <w:t>The people of Dolinka in Klenovec</w:t>
        </w:r>
        <w:r w:rsidR="006E56FA">
          <w:rPr>
            <w:noProof/>
            <w:webHidden/>
          </w:rPr>
          <w:tab/>
        </w:r>
        <w:r w:rsidR="006E56FA">
          <w:rPr>
            <w:noProof/>
            <w:webHidden/>
          </w:rPr>
          <w:fldChar w:fldCharType="begin"/>
        </w:r>
        <w:r w:rsidR="006E56FA">
          <w:rPr>
            <w:noProof/>
            <w:webHidden/>
          </w:rPr>
          <w:instrText xml:space="preserve"> PAGEREF _Toc385939055 \h </w:instrText>
        </w:r>
        <w:r w:rsidR="006E56FA">
          <w:rPr>
            <w:noProof/>
            <w:webHidden/>
          </w:rPr>
        </w:r>
        <w:r w:rsidR="006E56FA">
          <w:rPr>
            <w:noProof/>
            <w:webHidden/>
          </w:rPr>
          <w:fldChar w:fldCharType="separate"/>
        </w:r>
        <w:r w:rsidR="00DC6D66">
          <w:rPr>
            <w:noProof/>
            <w:webHidden/>
          </w:rPr>
          <w:t>30</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56" w:history="1">
        <w:r w:rsidR="006E56FA" w:rsidRPr="00C82455">
          <w:rPr>
            <w:rStyle w:val="Hyperlink"/>
            <w:noProof/>
          </w:rPr>
          <w:t>2.5.3</w:t>
        </w:r>
        <w:r w:rsidR="006E56FA">
          <w:rPr>
            <w:rFonts w:asciiTheme="minorHAnsi" w:eastAsiaTheme="minorEastAsia" w:hAnsiTheme="minorHAnsi" w:cstheme="minorBidi"/>
            <w:noProof/>
            <w:szCs w:val="22"/>
            <w:lang w:val="de-DE" w:eastAsia="de-DE"/>
          </w:rPr>
          <w:tab/>
        </w:r>
        <w:r w:rsidR="006E56FA" w:rsidRPr="00C82455">
          <w:rPr>
            <w:rStyle w:val="Hyperlink"/>
            <w:noProof/>
          </w:rPr>
          <w:t>An urban ghetto in Rimavská Sobota</w:t>
        </w:r>
        <w:r w:rsidR="006E56FA">
          <w:rPr>
            <w:noProof/>
            <w:webHidden/>
          </w:rPr>
          <w:tab/>
        </w:r>
        <w:r w:rsidR="006E56FA">
          <w:rPr>
            <w:noProof/>
            <w:webHidden/>
          </w:rPr>
          <w:fldChar w:fldCharType="begin"/>
        </w:r>
        <w:r w:rsidR="006E56FA">
          <w:rPr>
            <w:noProof/>
            <w:webHidden/>
          </w:rPr>
          <w:instrText xml:space="preserve"> PAGEREF _Toc385939056 \h </w:instrText>
        </w:r>
        <w:r w:rsidR="006E56FA">
          <w:rPr>
            <w:noProof/>
            <w:webHidden/>
          </w:rPr>
        </w:r>
        <w:r w:rsidR="006E56FA">
          <w:rPr>
            <w:noProof/>
            <w:webHidden/>
          </w:rPr>
          <w:fldChar w:fldCharType="separate"/>
        </w:r>
        <w:r w:rsidR="00DC6D66">
          <w:rPr>
            <w:noProof/>
            <w:webHidden/>
          </w:rPr>
          <w:t>30</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57" w:history="1">
        <w:r w:rsidR="006E56FA" w:rsidRPr="00C82455">
          <w:rPr>
            <w:rStyle w:val="Hyperlink"/>
            <w:noProof/>
          </w:rPr>
          <w:t>2.5.4</w:t>
        </w:r>
        <w:r w:rsidR="006E56FA">
          <w:rPr>
            <w:rFonts w:asciiTheme="minorHAnsi" w:eastAsiaTheme="minorEastAsia" w:hAnsiTheme="minorHAnsi" w:cstheme="minorBidi"/>
            <w:noProof/>
            <w:szCs w:val="22"/>
            <w:lang w:val="de-DE" w:eastAsia="de-DE"/>
          </w:rPr>
          <w:tab/>
        </w:r>
        <w:r w:rsidR="006E56FA" w:rsidRPr="00C82455">
          <w:rPr>
            <w:rStyle w:val="Hyperlink"/>
            <w:noProof/>
          </w:rPr>
          <w:t>Examples of school segregation</w:t>
        </w:r>
        <w:r w:rsidR="006E56FA">
          <w:rPr>
            <w:noProof/>
            <w:webHidden/>
          </w:rPr>
          <w:tab/>
        </w:r>
        <w:r w:rsidR="006E56FA">
          <w:rPr>
            <w:noProof/>
            <w:webHidden/>
          </w:rPr>
          <w:fldChar w:fldCharType="begin"/>
        </w:r>
        <w:r w:rsidR="006E56FA">
          <w:rPr>
            <w:noProof/>
            <w:webHidden/>
          </w:rPr>
          <w:instrText xml:space="preserve"> PAGEREF _Toc385939057 \h </w:instrText>
        </w:r>
        <w:r w:rsidR="006E56FA">
          <w:rPr>
            <w:noProof/>
            <w:webHidden/>
          </w:rPr>
        </w:r>
        <w:r w:rsidR="006E56FA">
          <w:rPr>
            <w:noProof/>
            <w:webHidden/>
          </w:rPr>
          <w:fldChar w:fldCharType="separate"/>
        </w:r>
        <w:r w:rsidR="00DC6D66">
          <w:rPr>
            <w:noProof/>
            <w:webHidden/>
          </w:rPr>
          <w:t>37</w:t>
        </w:r>
        <w:r w:rsidR="006E56FA">
          <w:rPr>
            <w:noProof/>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58" w:history="1">
        <w:r w:rsidR="006E56FA" w:rsidRPr="00C82455">
          <w:rPr>
            <w:rStyle w:val="Hyperlink"/>
          </w:rPr>
          <w:t>3</w:t>
        </w:r>
        <w:r w:rsidR="006E56FA">
          <w:rPr>
            <w:rFonts w:asciiTheme="minorHAnsi" w:eastAsiaTheme="minorEastAsia" w:hAnsiTheme="minorHAnsi" w:cstheme="minorBidi"/>
            <w:szCs w:val="22"/>
            <w:lang w:val="de-DE" w:eastAsia="de-DE"/>
          </w:rPr>
          <w:tab/>
        </w:r>
        <w:r w:rsidR="006E56FA" w:rsidRPr="00C82455">
          <w:rPr>
            <w:rStyle w:val="Hyperlink"/>
          </w:rPr>
          <w:t>Analysis of underlying processes and trends</w:t>
        </w:r>
        <w:r w:rsidR="006E56FA">
          <w:rPr>
            <w:webHidden/>
          </w:rPr>
          <w:tab/>
        </w:r>
        <w:r w:rsidR="006E56FA">
          <w:rPr>
            <w:webHidden/>
          </w:rPr>
          <w:fldChar w:fldCharType="begin"/>
        </w:r>
        <w:r w:rsidR="006E56FA">
          <w:rPr>
            <w:webHidden/>
          </w:rPr>
          <w:instrText xml:space="preserve"> PAGEREF _Toc385939058 \h </w:instrText>
        </w:r>
        <w:r w:rsidR="006E56FA">
          <w:rPr>
            <w:webHidden/>
          </w:rPr>
        </w:r>
        <w:r w:rsidR="006E56FA">
          <w:rPr>
            <w:webHidden/>
          </w:rPr>
          <w:fldChar w:fldCharType="separate"/>
        </w:r>
        <w:r w:rsidR="00DC6D66">
          <w:rPr>
            <w:webHidden/>
          </w:rPr>
          <w:t>41</w:t>
        </w:r>
        <w:r w:rsidR="006E56FA">
          <w:rPr>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59" w:history="1">
        <w:r w:rsidR="006E56FA" w:rsidRPr="00C82455">
          <w:rPr>
            <w:rStyle w:val="Hyperlink"/>
            <w:noProof/>
          </w:rPr>
          <w:t>3.1</w:t>
        </w:r>
        <w:r w:rsidR="006E56FA">
          <w:rPr>
            <w:rFonts w:asciiTheme="minorHAnsi" w:eastAsiaTheme="minorEastAsia" w:hAnsiTheme="minorHAnsi" w:cstheme="minorBidi"/>
            <w:noProof/>
            <w:szCs w:val="22"/>
            <w:lang w:val="de-DE" w:eastAsia="de-DE"/>
          </w:rPr>
          <w:tab/>
        </w:r>
        <w:r w:rsidR="006E56FA" w:rsidRPr="00C82455">
          <w:rPr>
            <w:rStyle w:val="Hyperlink"/>
            <w:noProof/>
          </w:rPr>
          <w:t>Policy measures</w:t>
        </w:r>
        <w:r w:rsidR="006E56FA">
          <w:rPr>
            <w:noProof/>
            <w:webHidden/>
          </w:rPr>
          <w:tab/>
        </w:r>
        <w:r w:rsidR="006E56FA">
          <w:rPr>
            <w:noProof/>
            <w:webHidden/>
          </w:rPr>
          <w:fldChar w:fldCharType="begin"/>
        </w:r>
        <w:r w:rsidR="006E56FA">
          <w:rPr>
            <w:noProof/>
            <w:webHidden/>
          </w:rPr>
          <w:instrText xml:space="preserve"> PAGEREF _Toc385939059 \h </w:instrText>
        </w:r>
        <w:r w:rsidR="006E56FA">
          <w:rPr>
            <w:noProof/>
            <w:webHidden/>
          </w:rPr>
        </w:r>
        <w:r w:rsidR="006E56FA">
          <w:rPr>
            <w:noProof/>
            <w:webHidden/>
          </w:rPr>
          <w:fldChar w:fldCharType="separate"/>
        </w:r>
        <w:r w:rsidR="00DC6D66">
          <w:rPr>
            <w:noProof/>
            <w:webHidden/>
          </w:rPr>
          <w:t>41</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60" w:history="1">
        <w:r w:rsidR="006E56FA" w:rsidRPr="00C82455">
          <w:rPr>
            <w:rStyle w:val="Hyperlink"/>
            <w:noProof/>
          </w:rPr>
          <w:t>3.1.1</w:t>
        </w:r>
        <w:r w:rsidR="006E56FA">
          <w:rPr>
            <w:rFonts w:asciiTheme="minorHAnsi" w:eastAsiaTheme="minorEastAsia" w:hAnsiTheme="minorHAnsi" w:cstheme="minorBidi"/>
            <w:noProof/>
            <w:szCs w:val="22"/>
            <w:lang w:val="de-DE" w:eastAsia="de-DE"/>
          </w:rPr>
          <w:tab/>
        </w:r>
        <w:r w:rsidR="006E56FA" w:rsidRPr="00C82455">
          <w:rPr>
            <w:rStyle w:val="Hyperlink"/>
            <w:noProof/>
          </w:rPr>
          <w:t>Social and educational policies</w:t>
        </w:r>
        <w:r w:rsidR="006E56FA">
          <w:rPr>
            <w:noProof/>
            <w:webHidden/>
          </w:rPr>
          <w:tab/>
        </w:r>
        <w:r w:rsidR="006E56FA">
          <w:rPr>
            <w:noProof/>
            <w:webHidden/>
          </w:rPr>
          <w:fldChar w:fldCharType="begin"/>
        </w:r>
        <w:r w:rsidR="006E56FA">
          <w:rPr>
            <w:noProof/>
            <w:webHidden/>
          </w:rPr>
          <w:instrText xml:space="preserve"> PAGEREF _Toc385939060 \h </w:instrText>
        </w:r>
        <w:r w:rsidR="006E56FA">
          <w:rPr>
            <w:noProof/>
            <w:webHidden/>
          </w:rPr>
        </w:r>
        <w:r w:rsidR="006E56FA">
          <w:rPr>
            <w:noProof/>
            <w:webHidden/>
          </w:rPr>
          <w:fldChar w:fldCharType="separate"/>
        </w:r>
        <w:r w:rsidR="00DC6D66">
          <w:rPr>
            <w:noProof/>
            <w:webHidden/>
          </w:rPr>
          <w:t>42</w:t>
        </w:r>
        <w:r w:rsidR="006E56FA">
          <w:rPr>
            <w:noProof/>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61" w:history="1">
        <w:r w:rsidR="006E56FA" w:rsidRPr="00C82455">
          <w:rPr>
            <w:rStyle w:val="Hyperlink"/>
            <w:noProof/>
          </w:rPr>
          <w:t>3.2</w:t>
        </w:r>
        <w:r w:rsidR="006E56FA">
          <w:rPr>
            <w:rFonts w:asciiTheme="minorHAnsi" w:eastAsiaTheme="minorEastAsia" w:hAnsiTheme="minorHAnsi" w:cstheme="minorBidi"/>
            <w:noProof/>
            <w:szCs w:val="22"/>
            <w:lang w:val="de-DE" w:eastAsia="de-DE"/>
          </w:rPr>
          <w:tab/>
        </w:r>
        <w:r w:rsidR="006E56FA" w:rsidRPr="00C82455">
          <w:rPr>
            <w:rStyle w:val="Hyperlink"/>
            <w:noProof/>
          </w:rPr>
          <w:t>Relevant policies in retrospect</w:t>
        </w:r>
        <w:r w:rsidR="006E56FA">
          <w:rPr>
            <w:noProof/>
            <w:webHidden/>
          </w:rPr>
          <w:tab/>
        </w:r>
        <w:r w:rsidR="006E56FA">
          <w:rPr>
            <w:noProof/>
            <w:webHidden/>
          </w:rPr>
          <w:fldChar w:fldCharType="begin"/>
        </w:r>
        <w:r w:rsidR="006E56FA">
          <w:rPr>
            <w:noProof/>
            <w:webHidden/>
          </w:rPr>
          <w:instrText xml:space="preserve"> PAGEREF _Toc385939061 \h </w:instrText>
        </w:r>
        <w:r w:rsidR="006E56FA">
          <w:rPr>
            <w:noProof/>
            <w:webHidden/>
          </w:rPr>
        </w:r>
        <w:r w:rsidR="006E56FA">
          <w:rPr>
            <w:noProof/>
            <w:webHidden/>
          </w:rPr>
          <w:fldChar w:fldCharType="separate"/>
        </w:r>
        <w:r w:rsidR="00DC6D66">
          <w:rPr>
            <w:noProof/>
            <w:webHidden/>
          </w:rPr>
          <w:t>43</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62" w:history="1">
        <w:r w:rsidR="006E56FA" w:rsidRPr="00C82455">
          <w:rPr>
            <w:rStyle w:val="Hyperlink"/>
            <w:noProof/>
          </w:rPr>
          <w:t>3.2.1</w:t>
        </w:r>
        <w:r w:rsidR="006E56FA">
          <w:rPr>
            <w:rFonts w:asciiTheme="minorHAnsi" w:eastAsiaTheme="minorEastAsia" w:hAnsiTheme="minorHAnsi" w:cstheme="minorBidi"/>
            <w:noProof/>
            <w:szCs w:val="22"/>
            <w:lang w:val="de-DE" w:eastAsia="de-DE"/>
          </w:rPr>
          <w:tab/>
        </w:r>
        <w:r w:rsidR="006E56FA" w:rsidRPr="00C82455">
          <w:rPr>
            <w:rStyle w:val="Hyperlink"/>
            <w:noProof/>
          </w:rPr>
          <w:t>The pre-accession period (-2003)</w:t>
        </w:r>
        <w:r w:rsidR="006E56FA">
          <w:rPr>
            <w:noProof/>
            <w:webHidden/>
          </w:rPr>
          <w:tab/>
        </w:r>
        <w:r w:rsidR="006E56FA">
          <w:rPr>
            <w:noProof/>
            <w:webHidden/>
          </w:rPr>
          <w:fldChar w:fldCharType="begin"/>
        </w:r>
        <w:r w:rsidR="006E56FA">
          <w:rPr>
            <w:noProof/>
            <w:webHidden/>
          </w:rPr>
          <w:instrText xml:space="preserve"> PAGEREF _Toc385939062 \h </w:instrText>
        </w:r>
        <w:r w:rsidR="006E56FA">
          <w:rPr>
            <w:noProof/>
            <w:webHidden/>
          </w:rPr>
        </w:r>
        <w:r w:rsidR="006E56FA">
          <w:rPr>
            <w:noProof/>
            <w:webHidden/>
          </w:rPr>
          <w:fldChar w:fldCharType="separate"/>
        </w:r>
        <w:r w:rsidR="00DC6D66">
          <w:rPr>
            <w:noProof/>
            <w:webHidden/>
          </w:rPr>
          <w:t>43</w:t>
        </w:r>
        <w:r w:rsidR="006E56FA">
          <w:rPr>
            <w:noProof/>
            <w:webHidden/>
          </w:rPr>
          <w:fldChar w:fldCharType="end"/>
        </w:r>
      </w:hyperlink>
    </w:p>
    <w:p w:rsidR="006E56FA" w:rsidRDefault="001C5F41">
      <w:pPr>
        <w:pStyle w:val="TOC3"/>
        <w:tabs>
          <w:tab w:val="left" w:pos="1400"/>
        </w:tabs>
        <w:rPr>
          <w:rFonts w:asciiTheme="minorHAnsi" w:eastAsiaTheme="minorEastAsia" w:hAnsiTheme="minorHAnsi" w:cstheme="minorBidi"/>
          <w:noProof/>
          <w:szCs w:val="22"/>
          <w:lang w:val="de-DE" w:eastAsia="de-DE"/>
        </w:rPr>
      </w:pPr>
      <w:hyperlink w:anchor="_Toc385939063" w:history="1">
        <w:r w:rsidR="006E56FA" w:rsidRPr="00C82455">
          <w:rPr>
            <w:rStyle w:val="Hyperlink"/>
            <w:noProof/>
          </w:rPr>
          <w:t>3.2.2</w:t>
        </w:r>
        <w:r w:rsidR="006E56FA">
          <w:rPr>
            <w:rFonts w:asciiTheme="minorHAnsi" w:eastAsiaTheme="minorEastAsia" w:hAnsiTheme="minorHAnsi" w:cstheme="minorBidi"/>
            <w:noProof/>
            <w:szCs w:val="22"/>
            <w:lang w:val="de-DE" w:eastAsia="de-DE"/>
          </w:rPr>
          <w:tab/>
        </w:r>
        <w:r w:rsidR="006E56FA" w:rsidRPr="00C82455">
          <w:rPr>
            <w:rStyle w:val="Hyperlink"/>
            <w:noProof/>
          </w:rPr>
          <w:t>Post accession developments</w:t>
        </w:r>
        <w:r w:rsidR="006E56FA">
          <w:rPr>
            <w:noProof/>
            <w:webHidden/>
          </w:rPr>
          <w:tab/>
        </w:r>
        <w:r w:rsidR="006E56FA">
          <w:rPr>
            <w:noProof/>
            <w:webHidden/>
          </w:rPr>
          <w:fldChar w:fldCharType="begin"/>
        </w:r>
        <w:r w:rsidR="006E56FA">
          <w:rPr>
            <w:noProof/>
            <w:webHidden/>
          </w:rPr>
          <w:instrText xml:space="preserve"> PAGEREF _Toc385939063 \h </w:instrText>
        </w:r>
        <w:r w:rsidR="006E56FA">
          <w:rPr>
            <w:noProof/>
            <w:webHidden/>
          </w:rPr>
        </w:r>
        <w:r w:rsidR="006E56FA">
          <w:rPr>
            <w:noProof/>
            <w:webHidden/>
          </w:rPr>
          <w:fldChar w:fldCharType="separate"/>
        </w:r>
        <w:r w:rsidR="00DC6D66">
          <w:rPr>
            <w:noProof/>
            <w:webHidden/>
          </w:rPr>
          <w:t>44</w:t>
        </w:r>
        <w:r w:rsidR="006E56FA">
          <w:rPr>
            <w:noProof/>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64" w:history="1">
        <w:r w:rsidR="006E56FA" w:rsidRPr="00C82455">
          <w:rPr>
            <w:rStyle w:val="Hyperlink"/>
            <w:noProof/>
          </w:rPr>
          <w:t>3.3</w:t>
        </w:r>
        <w:r w:rsidR="006E56FA">
          <w:rPr>
            <w:rFonts w:asciiTheme="minorHAnsi" w:eastAsiaTheme="minorEastAsia" w:hAnsiTheme="minorHAnsi" w:cstheme="minorBidi"/>
            <w:noProof/>
            <w:szCs w:val="22"/>
            <w:lang w:val="de-DE" w:eastAsia="de-DE"/>
          </w:rPr>
          <w:tab/>
        </w:r>
        <w:r w:rsidR="006E56FA" w:rsidRPr="00C82455">
          <w:rPr>
            <w:rStyle w:val="Hyperlink"/>
            <w:noProof/>
          </w:rPr>
          <w:t>International support for solving the “Roma issue”</w:t>
        </w:r>
        <w:r w:rsidR="006E56FA">
          <w:rPr>
            <w:noProof/>
            <w:webHidden/>
          </w:rPr>
          <w:tab/>
        </w:r>
        <w:r w:rsidR="006E56FA">
          <w:rPr>
            <w:noProof/>
            <w:webHidden/>
          </w:rPr>
          <w:fldChar w:fldCharType="begin"/>
        </w:r>
        <w:r w:rsidR="006E56FA">
          <w:rPr>
            <w:noProof/>
            <w:webHidden/>
          </w:rPr>
          <w:instrText xml:space="preserve"> PAGEREF _Toc385939064 \h </w:instrText>
        </w:r>
        <w:r w:rsidR="006E56FA">
          <w:rPr>
            <w:noProof/>
            <w:webHidden/>
          </w:rPr>
        </w:r>
        <w:r w:rsidR="006E56FA">
          <w:rPr>
            <w:noProof/>
            <w:webHidden/>
          </w:rPr>
          <w:fldChar w:fldCharType="separate"/>
        </w:r>
        <w:r w:rsidR="00DC6D66">
          <w:rPr>
            <w:noProof/>
            <w:webHidden/>
          </w:rPr>
          <w:t>45</w:t>
        </w:r>
        <w:r w:rsidR="006E56FA">
          <w:rPr>
            <w:noProof/>
            <w:webHidden/>
          </w:rPr>
          <w:fldChar w:fldCharType="end"/>
        </w:r>
      </w:hyperlink>
    </w:p>
    <w:p w:rsidR="006E56FA" w:rsidRDefault="001C5F41">
      <w:pPr>
        <w:pStyle w:val="TOC2"/>
        <w:rPr>
          <w:rFonts w:asciiTheme="minorHAnsi" w:eastAsiaTheme="minorEastAsia" w:hAnsiTheme="minorHAnsi" w:cstheme="minorBidi"/>
          <w:noProof/>
          <w:szCs w:val="22"/>
          <w:lang w:val="de-DE" w:eastAsia="de-DE"/>
        </w:rPr>
      </w:pPr>
      <w:hyperlink w:anchor="_Toc385939065" w:history="1">
        <w:r w:rsidR="006E56FA" w:rsidRPr="00C82455">
          <w:rPr>
            <w:rStyle w:val="Hyperlink"/>
            <w:noProof/>
          </w:rPr>
          <w:t>3.4</w:t>
        </w:r>
        <w:r w:rsidR="006E56FA">
          <w:rPr>
            <w:rFonts w:asciiTheme="minorHAnsi" w:eastAsiaTheme="minorEastAsia" w:hAnsiTheme="minorHAnsi" w:cstheme="minorBidi"/>
            <w:noProof/>
            <w:szCs w:val="22"/>
            <w:lang w:val="de-DE" w:eastAsia="de-DE"/>
          </w:rPr>
          <w:tab/>
        </w:r>
        <w:r w:rsidR="006E56FA" w:rsidRPr="00C82455">
          <w:rPr>
            <w:rStyle w:val="Hyperlink"/>
            <w:noProof/>
          </w:rPr>
          <w:t>Prospects for the future</w:t>
        </w:r>
        <w:r w:rsidR="006E56FA">
          <w:rPr>
            <w:noProof/>
            <w:webHidden/>
          </w:rPr>
          <w:tab/>
        </w:r>
        <w:r w:rsidR="006E56FA">
          <w:rPr>
            <w:noProof/>
            <w:webHidden/>
          </w:rPr>
          <w:fldChar w:fldCharType="begin"/>
        </w:r>
        <w:r w:rsidR="006E56FA">
          <w:rPr>
            <w:noProof/>
            <w:webHidden/>
          </w:rPr>
          <w:instrText xml:space="preserve"> PAGEREF _Toc385939065 \h </w:instrText>
        </w:r>
        <w:r w:rsidR="006E56FA">
          <w:rPr>
            <w:noProof/>
            <w:webHidden/>
          </w:rPr>
        </w:r>
        <w:r w:rsidR="006E56FA">
          <w:rPr>
            <w:noProof/>
            <w:webHidden/>
          </w:rPr>
          <w:fldChar w:fldCharType="separate"/>
        </w:r>
        <w:r w:rsidR="00DC6D66">
          <w:rPr>
            <w:noProof/>
            <w:webHidden/>
          </w:rPr>
          <w:t>46</w:t>
        </w:r>
        <w:r w:rsidR="006E56FA">
          <w:rPr>
            <w:noProof/>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66" w:history="1">
        <w:r w:rsidR="006E56FA" w:rsidRPr="00C82455">
          <w:rPr>
            <w:rStyle w:val="Hyperlink"/>
          </w:rPr>
          <w:t>4</w:t>
        </w:r>
        <w:r w:rsidR="006E56FA">
          <w:rPr>
            <w:rFonts w:asciiTheme="minorHAnsi" w:eastAsiaTheme="minorEastAsia" w:hAnsiTheme="minorHAnsi" w:cstheme="minorBidi"/>
            <w:szCs w:val="22"/>
            <w:lang w:val="de-DE" w:eastAsia="de-DE"/>
          </w:rPr>
          <w:tab/>
        </w:r>
        <w:r w:rsidR="006E56FA" w:rsidRPr="00C82455">
          <w:rPr>
            <w:rStyle w:val="Hyperlink"/>
          </w:rPr>
          <w:t>Validity of European-wide data analysis from a local perspective</w:t>
        </w:r>
        <w:r w:rsidR="006E56FA">
          <w:rPr>
            <w:webHidden/>
          </w:rPr>
          <w:tab/>
        </w:r>
        <w:r w:rsidR="006E56FA">
          <w:rPr>
            <w:webHidden/>
          </w:rPr>
          <w:fldChar w:fldCharType="begin"/>
        </w:r>
        <w:r w:rsidR="006E56FA">
          <w:rPr>
            <w:webHidden/>
          </w:rPr>
          <w:instrText xml:space="preserve"> PAGEREF _Toc385939066 \h </w:instrText>
        </w:r>
        <w:r w:rsidR="006E56FA">
          <w:rPr>
            <w:webHidden/>
          </w:rPr>
        </w:r>
        <w:r w:rsidR="006E56FA">
          <w:rPr>
            <w:webHidden/>
          </w:rPr>
          <w:fldChar w:fldCharType="separate"/>
        </w:r>
        <w:r w:rsidR="00DC6D66">
          <w:rPr>
            <w:webHidden/>
          </w:rPr>
          <w:t>47</w:t>
        </w:r>
        <w:r w:rsidR="006E56FA">
          <w:rPr>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67" w:history="1">
        <w:r w:rsidR="006E56FA" w:rsidRPr="00C82455">
          <w:rPr>
            <w:rStyle w:val="Hyperlink"/>
          </w:rPr>
          <w:t>5</w:t>
        </w:r>
        <w:r w:rsidR="006E56FA">
          <w:rPr>
            <w:rFonts w:asciiTheme="minorHAnsi" w:eastAsiaTheme="minorEastAsia" w:hAnsiTheme="minorHAnsi" w:cstheme="minorBidi"/>
            <w:szCs w:val="22"/>
            <w:lang w:val="de-DE" w:eastAsia="de-DE"/>
          </w:rPr>
          <w:tab/>
        </w:r>
        <w:r w:rsidR="006E56FA" w:rsidRPr="00C82455">
          <w:rPr>
            <w:rStyle w:val="Hyperlink"/>
          </w:rPr>
          <w:t>Transferability of results</w:t>
        </w:r>
        <w:r w:rsidR="006E56FA">
          <w:rPr>
            <w:webHidden/>
          </w:rPr>
          <w:tab/>
        </w:r>
        <w:r w:rsidR="006E56FA">
          <w:rPr>
            <w:webHidden/>
          </w:rPr>
          <w:fldChar w:fldCharType="begin"/>
        </w:r>
        <w:r w:rsidR="006E56FA">
          <w:rPr>
            <w:webHidden/>
          </w:rPr>
          <w:instrText xml:space="preserve"> PAGEREF _Toc385939067 \h </w:instrText>
        </w:r>
        <w:r w:rsidR="006E56FA">
          <w:rPr>
            <w:webHidden/>
          </w:rPr>
        </w:r>
        <w:r w:rsidR="006E56FA">
          <w:rPr>
            <w:webHidden/>
          </w:rPr>
          <w:fldChar w:fldCharType="separate"/>
        </w:r>
        <w:r w:rsidR="00DC6D66">
          <w:rPr>
            <w:webHidden/>
          </w:rPr>
          <w:t>49</w:t>
        </w:r>
        <w:r w:rsidR="006E56FA">
          <w:rPr>
            <w:webHidden/>
          </w:rPr>
          <w:fldChar w:fldCharType="end"/>
        </w:r>
      </w:hyperlink>
    </w:p>
    <w:p w:rsidR="00A22CD5" w:rsidRDefault="001C5F41" w:rsidP="00A22CD5">
      <w:pPr>
        <w:pStyle w:val="TOC1"/>
        <w:rPr>
          <w:rFonts w:asciiTheme="minorHAnsi" w:eastAsiaTheme="minorEastAsia" w:hAnsiTheme="minorHAnsi" w:cstheme="minorBidi"/>
          <w:szCs w:val="22"/>
          <w:lang w:val="de-DE" w:eastAsia="de-DE"/>
        </w:rPr>
      </w:pPr>
      <w:hyperlink w:anchor="_Toc385939068" w:history="1">
        <w:r w:rsidR="006E56FA" w:rsidRPr="00C82455">
          <w:rPr>
            <w:rStyle w:val="Hyperlink"/>
          </w:rPr>
          <w:t>6</w:t>
        </w:r>
        <w:r w:rsidR="006E56FA">
          <w:rPr>
            <w:rFonts w:asciiTheme="minorHAnsi" w:eastAsiaTheme="minorEastAsia" w:hAnsiTheme="minorHAnsi" w:cstheme="minorBidi"/>
            <w:szCs w:val="22"/>
            <w:lang w:val="de-DE" w:eastAsia="de-DE"/>
          </w:rPr>
          <w:tab/>
        </w:r>
        <w:r w:rsidR="006E56FA" w:rsidRPr="00C82455">
          <w:rPr>
            <w:rStyle w:val="Hyperlink"/>
          </w:rPr>
          <w:t>Conclusions for policy development and monitoring</w:t>
        </w:r>
        <w:r w:rsidR="006E56FA">
          <w:rPr>
            <w:webHidden/>
          </w:rPr>
          <w:tab/>
        </w:r>
        <w:r w:rsidR="006E56FA">
          <w:rPr>
            <w:webHidden/>
          </w:rPr>
          <w:fldChar w:fldCharType="begin"/>
        </w:r>
        <w:r w:rsidR="006E56FA">
          <w:rPr>
            <w:webHidden/>
          </w:rPr>
          <w:instrText xml:space="preserve"> PAGEREF _Toc385939068 \h </w:instrText>
        </w:r>
        <w:r w:rsidR="006E56FA">
          <w:rPr>
            <w:webHidden/>
          </w:rPr>
        </w:r>
        <w:r w:rsidR="006E56FA">
          <w:rPr>
            <w:webHidden/>
          </w:rPr>
          <w:fldChar w:fldCharType="separate"/>
        </w:r>
        <w:r w:rsidR="00DC6D66">
          <w:rPr>
            <w:webHidden/>
          </w:rPr>
          <w:t>51</w:t>
        </w:r>
        <w:r w:rsidR="006E56FA">
          <w:rPr>
            <w:webHidden/>
          </w:rPr>
          <w:fldChar w:fldCharType="end"/>
        </w:r>
      </w:hyperlink>
    </w:p>
    <w:p w:rsidR="006E56FA" w:rsidRDefault="001C5F41" w:rsidP="00A22CD5">
      <w:pPr>
        <w:pStyle w:val="TOC1"/>
        <w:rPr>
          <w:rFonts w:asciiTheme="minorHAnsi" w:eastAsiaTheme="minorEastAsia" w:hAnsiTheme="minorHAnsi" w:cstheme="minorBidi"/>
          <w:szCs w:val="22"/>
          <w:lang w:val="de-DE" w:eastAsia="de-DE"/>
        </w:rPr>
      </w:pPr>
      <w:hyperlink w:anchor="_Toc385939069" w:history="1">
        <w:r w:rsidR="006E56FA" w:rsidRPr="00C82455">
          <w:rPr>
            <w:rStyle w:val="Hyperlink"/>
          </w:rPr>
          <w:t>7</w:t>
        </w:r>
        <w:r w:rsidR="006E56FA">
          <w:rPr>
            <w:rFonts w:asciiTheme="minorHAnsi" w:eastAsiaTheme="minorEastAsia" w:hAnsiTheme="minorHAnsi" w:cstheme="minorBidi"/>
            <w:szCs w:val="22"/>
            <w:lang w:val="de-DE" w:eastAsia="de-DE"/>
          </w:rPr>
          <w:tab/>
        </w:r>
        <w:r w:rsidR="006E56FA" w:rsidRPr="00C82455">
          <w:rPr>
            <w:rStyle w:val="Hyperlink"/>
          </w:rPr>
          <w:t>Literature</w:t>
        </w:r>
        <w:r w:rsidR="006E56FA">
          <w:rPr>
            <w:webHidden/>
          </w:rPr>
          <w:tab/>
        </w:r>
        <w:r w:rsidR="006E56FA">
          <w:rPr>
            <w:webHidden/>
          </w:rPr>
          <w:fldChar w:fldCharType="begin"/>
        </w:r>
        <w:r w:rsidR="006E56FA">
          <w:rPr>
            <w:webHidden/>
          </w:rPr>
          <w:instrText xml:space="preserve"> PAGEREF _Toc385939069 \h </w:instrText>
        </w:r>
        <w:r w:rsidR="006E56FA">
          <w:rPr>
            <w:webHidden/>
          </w:rPr>
        </w:r>
        <w:r w:rsidR="006E56FA">
          <w:rPr>
            <w:webHidden/>
          </w:rPr>
          <w:fldChar w:fldCharType="separate"/>
        </w:r>
        <w:r w:rsidR="00DC6D66">
          <w:rPr>
            <w:webHidden/>
          </w:rPr>
          <w:t>54</w:t>
        </w:r>
        <w:r w:rsidR="006E56FA">
          <w:rPr>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70" w:history="1">
        <w:r w:rsidR="006E56FA" w:rsidRPr="00C82455">
          <w:rPr>
            <w:rStyle w:val="Hyperlink"/>
          </w:rPr>
          <w:t>Annex 2: The national education system in Slovakia 2012/13</w:t>
        </w:r>
        <w:r w:rsidR="006E56FA">
          <w:rPr>
            <w:webHidden/>
          </w:rPr>
          <w:tab/>
        </w:r>
        <w:r w:rsidR="006E56FA">
          <w:rPr>
            <w:webHidden/>
          </w:rPr>
          <w:fldChar w:fldCharType="begin"/>
        </w:r>
        <w:r w:rsidR="006E56FA">
          <w:rPr>
            <w:webHidden/>
          </w:rPr>
          <w:instrText xml:space="preserve"> PAGEREF _Toc385939070 \h </w:instrText>
        </w:r>
        <w:r w:rsidR="006E56FA">
          <w:rPr>
            <w:webHidden/>
          </w:rPr>
        </w:r>
        <w:r w:rsidR="006E56FA">
          <w:rPr>
            <w:webHidden/>
          </w:rPr>
          <w:fldChar w:fldCharType="separate"/>
        </w:r>
        <w:r w:rsidR="00DC6D66">
          <w:rPr>
            <w:webHidden/>
          </w:rPr>
          <w:t>66</w:t>
        </w:r>
        <w:r w:rsidR="006E56FA">
          <w:rPr>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71" w:history="1">
        <w:r w:rsidR="006E56FA" w:rsidRPr="00C82455">
          <w:rPr>
            <w:rStyle w:val="Hyperlink"/>
          </w:rPr>
          <w:t>Annex 3: List of interviewed experts</w:t>
        </w:r>
        <w:r w:rsidR="006E56FA">
          <w:rPr>
            <w:webHidden/>
          </w:rPr>
          <w:tab/>
        </w:r>
        <w:r w:rsidR="006E56FA">
          <w:rPr>
            <w:webHidden/>
          </w:rPr>
          <w:fldChar w:fldCharType="begin"/>
        </w:r>
        <w:r w:rsidR="006E56FA">
          <w:rPr>
            <w:webHidden/>
          </w:rPr>
          <w:instrText xml:space="preserve"> PAGEREF _Toc385939071 \h </w:instrText>
        </w:r>
        <w:r w:rsidR="006E56FA">
          <w:rPr>
            <w:webHidden/>
          </w:rPr>
        </w:r>
        <w:r w:rsidR="006E56FA">
          <w:rPr>
            <w:webHidden/>
          </w:rPr>
          <w:fldChar w:fldCharType="separate"/>
        </w:r>
        <w:r w:rsidR="00DC6D66">
          <w:rPr>
            <w:webHidden/>
          </w:rPr>
          <w:t>67</w:t>
        </w:r>
        <w:r w:rsidR="006E56FA">
          <w:rPr>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72" w:history="1">
        <w:r w:rsidR="006E56FA" w:rsidRPr="00C82455">
          <w:rPr>
            <w:rStyle w:val="Hyperlink"/>
          </w:rPr>
          <w:t xml:space="preserve">Annex 4: </w:t>
        </w:r>
        <w:r w:rsidR="006E56FA" w:rsidRPr="00C82455">
          <w:rPr>
            <w:rStyle w:val="Hyperlink"/>
            <w:lang w:eastAsia="hu-HU"/>
          </w:rPr>
          <w:t>Ten basic pillars of the Government Plenipotentiary</w:t>
        </w:r>
        <w:r w:rsidR="006E56FA">
          <w:rPr>
            <w:webHidden/>
          </w:rPr>
          <w:tab/>
        </w:r>
        <w:r w:rsidR="006E56FA">
          <w:rPr>
            <w:webHidden/>
          </w:rPr>
          <w:fldChar w:fldCharType="begin"/>
        </w:r>
        <w:r w:rsidR="006E56FA">
          <w:rPr>
            <w:webHidden/>
          </w:rPr>
          <w:instrText xml:space="preserve"> PAGEREF _Toc385939072 \h </w:instrText>
        </w:r>
        <w:r w:rsidR="006E56FA">
          <w:rPr>
            <w:webHidden/>
          </w:rPr>
        </w:r>
        <w:r w:rsidR="006E56FA">
          <w:rPr>
            <w:webHidden/>
          </w:rPr>
          <w:fldChar w:fldCharType="separate"/>
        </w:r>
        <w:r w:rsidR="00DC6D66">
          <w:rPr>
            <w:webHidden/>
          </w:rPr>
          <w:t>70</w:t>
        </w:r>
        <w:r w:rsidR="006E56FA">
          <w:rPr>
            <w:webHidden/>
          </w:rPr>
          <w:fldChar w:fldCharType="end"/>
        </w:r>
      </w:hyperlink>
    </w:p>
    <w:p w:rsidR="006E56FA" w:rsidRDefault="001C5F41">
      <w:pPr>
        <w:pStyle w:val="TOC1"/>
        <w:rPr>
          <w:rFonts w:asciiTheme="minorHAnsi" w:eastAsiaTheme="minorEastAsia" w:hAnsiTheme="minorHAnsi" w:cstheme="minorBidi"/>
          <w:szCs w:val="22"/>
          <w:lang w:val="de-DE" w:eastAsia="de-DE"/>
        </w:rPr>
      </w:pPr>
      <w:hyperlink w:anchor="_Toc385939073" w:history="1">
        <w:r w:rsidR="006E56FA" w:rsidRPr="00C82455">
          <w:rPr>
            <w:rStyle w:val="Hyperlink"/>
          </w:rPr>
          <w:t>Annex 5: Physical barriers as a spreading tool to separate Roma (Walls)</w:t>
        </w:r>
        <w:r w:rsidR="006E56FA">
          <w:rPr>
            <w:webHidden/>
          </w:rPr>
          <w:tab/>
        </w:r>
        <w:r w:rsidR="006E56FA">
          <w:rPr>
            <w:webHidden/>
          </w:rPr>
          <w:fldChar w:fldCharType="begin"/>
        </w:r>
        <w:r w:rsidR="006E56FA">
          <w:rPr>
            <w:webHidden/>
          </w:rPr>
          <w:instrText xml:space="preserve"> PAGEREF _Toc385939073 \h </w:instrText>
        </w:r>
        <w:r w:rsidR="006E56FA">
          <w:rPr>
            <w:webHidden/>
          </w:rPr>
        </w:r>
        <w:r w:rsidR="006E56FA">
          <w:rPr>
            <w:webHidden/>
          </w:rPr>
          <w:fldChar w:fldCharType="separate"/>
        </w:r>
        <w:r w:rsidR="00DC6D66">
          <w:rPr>
            <w:webHidden/>
          </w:rPr>
          <w:t>70</w:t>
        </w:r>
        <w:r w:rsidR="006E56FA">
          <w:rPr>
            <w:webHidden/>
          </w:rPr>
          <w:fldChar w:fldCharType="end"/>
        </w:r>
      </w:hyperlink>
    </w:p>
    <w:p w:rsidR="00C867D8" w:rsidRDefault="00B759C8" w:rsidP="001256BE">
      <w:pPr>
        <w:pStyle w:val="TOC1"/>
      </w:pPr>
      <w:r w:rsidRPr="00936215">
        <w:rPr>
          <w:rStyle w:val="Hyperlink"/>
        </w:rPr>
        <w:fldChar w:fldCharType="end"/>
      </w:r>
    </w:p>
    <w:p w:rsidR="00740131" w:rsidRDefault="00740131" w:rsidP="00BF09EE">
      <w:pPr>
        <w:pStyle w:val="ESPONSubtitle"/>
        <w:spacing w:after="0"/>
        <w:jc w:val="center"/>
        <w:rPr>
          <w:color w:val="auto"/>
          <w:szCs w:val="32"/>
        </w:rPr>
      </w:pPr>
    </w:p>
    <w:p w:rsidR="00740131" w:rsidRDefault="00740131" w:rsidP="00BF09EE">
      <w:pPr>
        <w:pStyle w:val="ESPONSubtitle"/>
        <w:spacing w:after="0"/>
        <w:jc w:val="center"/>
        <w:rPr>
          <w:color w:val="auto"/>
          <w:szCs w:val="32"/>
        </w:rPr>
        <w:sectPr w:rsidR="00740131" w:rsidSect="00740131">
          <w:pgSz w:w="11906" w:h="16838"/>
          <w:pgMar w:top="1644" w:right="1797" w:bottom="1644" w:left="1797" w:header="720" w:footer="720" w:gutter="0"/>
          <w:pgNumType w:fmt="lowerRoman" w:start="5"/>
          <w:cols w:space="720"/>
          <w:titlePg/>
          <w:docGrid w:linePitch="299"/>
        </w:sectPr>
      </w:pPr>
    </w:p>
    <w:p w:rsidR="00BF09EE" w:rsidRPr="007C26B7" w:rsidRDefault="005B346C" w:rsidP="00BF09EE">
      <w:pPr>
        <w:pStyle w:val="ESPONSubtitle"/>
        <w:spacing w:after="0"/>
        <w:jc w:val="center"/>
        <w:rPr>
          <w:color w:val="auto"/>
          <w:szCs w:val="32"/>
        </w:rPr>
      </w:pPr>
      <w:r w:rsidRPr="007C26B7">
        <w:rPr>
          <w:color w:val="auto"/>
          <w:szCs w:val="32"/>
        </w:rPr>
        <w:lastRenderedPageBreak/>
        <w:t>TABLES</w:t>
      </w:r>
    </w:p>
    <w:p w:rsidR="00B15A22" w:rsidRPr="00B15A22" w:rsidRDefault="00B15A22" w:rsidP="00B15A22">
      <w:pPr>
        <w:pStyle w:val="ESPONText"/>
        <w:rPr>
          <w:lang w:eastAsia="en-US"/>
        </w:rPr>
      </w:pPr>
    </w:p>
    <w:p w:rsidR="00A05A41" w:rsidRDefault="00EB7576">
      <w:pPr>
        <w:pStyle w:val="TableofFigures"/>
        <w:tabs>
          <w:tab w:val="right" w:pos="8302"/>
        </w:tabs>
        <w:rPr>
          <w:rFonts w:asciiTheme="minorHAnsi" w:eastAsiaTheme="minorEastAsia" w:hAnsiTheme="minorHAnsi" w:cstheme="minorBidi"/>
          <w:noProof/>
          <w:szCs w:val="22"/>
          <w:lang w:val="de-DE" w:eastAsia="de-DE"/>
        </w:rPr>
      </w:pPr>
      <w:r>
        <w:rPr>
          <w:rStyle w:val="Hyperlink"/>
        </w:rPr>
        <w:fldChar w:fldCharType="begin"/>
      </w:r>
      <w:r>
        <w:rPr>
          <w:rStyle w:val="Hyperlink"/>
        </w:rPr>
        <w:instrText xml:space="preserve"> TOC \h \z \c "Table" </w:instrText>
      </w:r>
      <w:r>
        <w:rPr>
          <w:rStyle w:val="Hyperlink"/>
        </w:rPr>
        <w:fldChar w:fldCharType="separate"/>
      </w:r>
      <w:hyperlink w:anchor="_Toc392509030" w:history="1">
        <w:r w:rsidR="00A05A41" w:rsidRPr="00290B69">
          <w:rPr>
            <w:rStyle w:val="Hyperlink"/>
            <w:noProof/>
          </w:rPr>
          <w:t>Table 1: Different ESPON CU typologies of Banská Bystrica, 2009</w:t>
        </w:r>
        <w:r w:rsidR="00A05A41">
          <w:rPr>
            <w:noProof/>
            <w:webHidden/>
          </w:rPr>
          <w:tab/>
        </w:r>
        <w:r w:rsidR="00A05A41">
          <w:rPr>
            <w:noProof/>
            <w:webHidden/>
          </w:rPr>
          <w:fldChar w:fldCharType="begin"/>
        </w:r>
        <w:r w:rsidR="00A05A41">
          <w:rPr>
            <w:noProof/>
            <w:webHidden/>
          </w:rPr>
          <w:instrText xml:space="preserve"> PAGEREF _Toc392509030 \h </w:instrText>
        </w:r>
        <w:r w:rsidR="00A05A41">
          <w:rPr>
            <w:noProof/>
            <w:webHidden/>
          </w:rPr>
        </w:r>
        <w:r w:rsidR="00A05A41">
          <w:rPr>
            <w:noProof/>
            <w:webHidden/>
          </w:rPr>
          <w:fldChar w:fldCharType="separate"/>
        </w:r>
        <w:r w:rsidR="00DC6D66">
          <w:rPr>
            <w:noProof/>
            <w:webHidden/>
          </w:rPr>
          <w:t>3</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1" w:history="1">
        <w:r w:rsidR="00A05A41" w:rsidRPr="00290B69">
          <w:rPr>
            <w:rStyle w:val="Hyperlink"/>
            <w:noProof/>
          </w:rPr>
          <w:t>Table 2: Demographic and labour market characteristics</w:t>
        </w:r>
        <w:r w:rsidR="00A05A41">
          <w:rPr>
            <w:noProof/>
            <w:webHidden/>
          </w:rPr>
          <w:tab/>
        </w:r>
        <w:r w:rsidR="00A05A41">
          <w:rPr>
            <w:noProof/>
            <w:webHidden/>
          </w:rPr>
          <w:fldChar w:fldCharType="begin"/>
        </w:r>
        <w:r w:rsidR="00A05A41">
          <w:rPr>
            <w:noProof/>
            <w:webHidden/>
          </w:rPr>
          <w:instrText xml:space="preserve"> PAGEREF _Toc392509031 \h </w:instrText>
        </w:r>
        <w:r w:rsidR="00A05A41">
          <w:rPr>
            <w:noProof/>
            <w:webHidden/>
          </w:rPr>
        </w:r>
        <w:r w:rsidR="00A05A41">
          <w:rPr>
            <w:noProof/>
            <w:webHidden/>
          </w:rPr>
          <w:fldChar w:fldCharType="separate"/>
        </w:r>
        <w:r w:rsidR="00DC6D66">
          <w:rPr>
            <w:noProof/>
            <w:webHidden/>
          </w:rPr>
          <w:t>5</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2" w:history="1">
        <w:r w:rsidR="00A05A41" w:rsidRPr="00290B69">
          <w:rPr>
            <w:rStyle w:val="Hyperlink"/>
            <w:noProof/>
          </w:rPr>
          <w:t>Table 3: GDP indicators, 2009</w:t>
        </w:r>
        <w:r w:rsidR="00A05A41">
          <w:rPr>
            <w:noProof/>
            <w:webHidden/>
          </w:rPr>
          <w:tab/>
        </w:r>
        <w:r w:rsidR="00A05A41">
          <w:rPr>
            <w:noProof/>
            <w:webHidden/>
          </w:rPr>
          <w:fldChar w:fldCharType="begin"/>
        </w:r>
        <w:r w:rsidR="00A05A41">
          <w:rPr>
            <w:noProof/>
            <w:webHidden/>
          </w:rPr>
          <w:instrText xml:space="preserve"> PAGEREF _Toc392509032 \h </w:instrText>
        </w:r>
        <w:r w:rsidR="00A05A41">
          <w:rPr>
            <w:noProof/>
            <w:webHidden/>
          </w:rPr>
        </w:r>
        <w:r w:rsidR="00A05A41">
          <w:rPr>
            <w:noProof/>
            <w:webHidden/>
          </w:rPr>
          <w:fldChar w:fldCharType="separate"/>
        </w:r>
        <w:r w:rsidR="00DC6D66">
          <w:rPr>
            <w:noProof/>
            <w:webHidden/>
          </w:rPr>
          <w:t>6</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3" w:history="1">
        <w:r w:rsidR="00A05A41" w:rsidRPr="00290B69">
          <w:rPr>
            <w:rStyle w:val="Hyperlink"/>
            <w:noProof/>
          </w:rPr>
          <w:t>Table 4: Economic activity by sector (%), 2009</w:t>
        </w:r>
        <w:r w:rsidR="00A05A41">
          <w:rPr>
            <w:noProof/>
            <w:webHidden/>
          </w:rPr>
          <w:tab/>
        </w:r>
        <w:r w:rsidR="00A05A41">
          <w:rPr>
            <w:noProof/>
            <w:webHidden/>
          </w:rPr>
          <w:fldChar w:fldCharType="begin"/>
        </w:r>
        <w:r w:rsidR="00A05A41">
          <w:rPr>
            <w:noProof/>
            <w:webHidden/>
          </w:rPr>
          <w:instrText xml:space="preserve"> PAGEREF _Toc392509033 \h </w:instrText>
        </w:r>
        <w:r w:rsidR="00A05A41">
          <w:rPr>
            <w:noProof/>
            <w:webHidden/>
          </w:rPr>
        </w:r>
        <w:r w:rsidR="00A05A41">
          <w:rPr>
            <w:noProof/>
            <w:webHidden/>
          </w:rPr>
          <w:fldChar w:fldCharType="separate"/>
        </w:r>
        <w:r w:rsidR="00DC6D66">
          <w:rPr>
            <w:noProof/>
            <w:webHidden/>
          </w:rPr>
          <w:t>7</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4" w:history="1">
        <w:r w:rsidR="00A05A41" w:rsidRPr="00290B69">
          <w:rPr>
            <w:rStyle w:val="Hyperlink"/>
            <w:noProof/>
          </w:rPr>
          <w:t>Table 5: Gross value added by sector and per head, 2009</w:t>
        </w:r>
        <w:r w:rsidR="00A05A41">
          <w:rPr>
            <w:noProof/>
            <w:webHidden/>
          </w:rPr>
          <w:tab/>
        </w:r>
        <w:r w:rsidR="00A05A41">
          <w:rPr>
            <w:noProof/>
            <w:webHidden/>
          </w:rPr>
          <w:fldChar w:fldCharType="begin"/>
        </w:r>
        <w:r w:rsidR="00A05A41">
          <w:rPr>
            <w:noProof/>
            <w:webHidden/>
          </w:rPr>
          <w:instrText xml:space="preserve"> PAGEREF _Toc392509034 \h </w:instrText>
        </w:r>
        <w:r w:rsidR="00A05A41">
          <w:rPr>
            <w:noProof/>
            <w:webHidden/>
          </w:rPr>
        </w:r>
        <w:r w:rsidR="00A05A41">
          <w:rPr>
            <w:noProof/>
            <w:webHidden/>
          </w:rPr>
          <w:fldChar w:fldCharType="separate"/>
        </w:r>
        <w:r w:rsidR="00DC6D66">
          <w:rPr>
            <w:noProof/>
            <w:webHidden/>
          </w:rPr>
          <w:t>8</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5" w:history="1">
        <w:r w:rsidR="00A05A41" w:rsidRPr="00290B69">
          <w:rPr>
            <w:rStyle w:val="Hyperlink"/>
            <w:noProof/>
          </w:rPr>
          <w:t>Table 6: Different poverty measures, 2011</w:t>
        </w:r>
        <w:r w:rsidR="00A05A41">
          <w:rPr>
            <w:noProof/>
            <w:webHidden/>
          </w:rPr>
          <w:tab/>
        </w:r>
        <w:r w:rsidR="00A05A41">
          <w:rPr>
            <w:noProof/>
            <w:webHidden/>
          </w:rPr>
          <w:fldChar w:fldCharType="begin"/>
        </w:r>
        <w:r w:rsidR="00A05A41">
          <w:rPr>
            <w:noProof/>
            <w:webHidden/>
          </w:rPr>
          <w:instrText xml:space="preserve"> PAGEREF _Toc392509035 \h </w:instrText>
        </w:r>
        <w:r w:rsidR="00A05A41">
          <w:rPr>
            <w:noProof/>
            <w:webHidden/>
          </w:rPr>
        </w:r>
        <w:r w:rsidR="00A05A41">
          <w:rPr>
            <w:noProof/>
            <w:webHidden/>
          </w:rPr>
          <w:fldChar w:fldCharType="separate"/>
        </w:r>
        <w:r w:rsidR="00DC6D66">
          <w:rPr>
            <w:noProof/>
            <w:webHidden/>
          </w:rPr>
          <w:t>9</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6" w:history="1">
        <w:r w:rsidR="00A05A41" w:rsidRPr="00290B69">
          <w:rPr>
            <w:rStyle w:val="Hyperlink"/>
            <w:rFonts w:eastAsia="Calibri"/>
            <w:noProof/>
          </w:rPr>
          <w:t xml:space="preserve">Table </w:t>
        </w:r>
        <w:r w:rsidR="00A05A41" w:rsidRPr="00290B69">
          <w:rPr>
            <w:rStyle w:val="Hyperlink"/>
            <w:noProof/>
          </w:rPr>
          <w:t xml:space="preserve">7: </w:t>
        </w:r>
        <w:r w:rsidR="00A05A41" w:rsidRPr="00290B69">
          <w:rPr>
            <w:rStyle w:val="Hyperlink"/>
            <w:rFonts w:eastAsia="Calibri"/>
            <w:noProof/>
          </w:rPr>
          <w:t>At-risk-of poverty rate after social transfers by age-groups before and after social transfers 2011 (in %)</w:t>
        </w:r>
        <w:r w:rsidR="00A05A41">
          <w:rPr>
            <w:noProof/>
            <w:webHidden/>
          </w:rPr>
          <w:tab/>
        </w:r>
        <w:r w:rsidR="00A05A41">
          <w:rPr>
            <w:noProof/>
            <w:webHidden/>
          </w:rPr>
          <w:fldChar w:fldCharType="begin"/>
        </w:r>
        <w:r w:rsidR="00A05A41">
          <w:rPr>
            <w:noProof/>
            <w:webHidden/>
          </w:rPr>
          <w:instrText xml:space="preserve"> PAGEREF _Toc392509036 \h </w:instrText>
        </w:r>
        <w:r w:rsidR="00A05A41">
          <w:rPr>
            <w:noProof/>
            <w:webHidden/>
          </w:rPr>
        </w:r>
        <w:r w:rsidR="00A05A41">
          <w:rPr>
            <w:noProof/>
            <w:webHidden/>
          </w:rPr>
          <w:fldChar w:fldCharType="separate"/>
        </w:r>
        <w:r w:rsidR="00DC6D66">
          <w:rPr>
            <w:noProof/>
            <w:webHidden/>
          </w:rPr>
          <w:t>13</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7" w:history="1">
        <w:r w:rsidR="00A05A41" w:rsidRPr="00290B69">
          <w:rPr>
            <w:rStyle w:val="Hyperlink"/>
            <w:noProof/>
            <w:lang w:eastAsia="en-GB"/>
          </w:rPr>
          <w:t xml:space="preserve">Table </w:t>
        </w:r>
        <w:r w:rsidR="00A05A41" w:rsidRPr="00290B69">
          <w:rPr>
            <w:rStyle w:val="Hyperlink"/>
            <w:noProof/>
          </w:rPr>
          <w:t xml:space="preserve">8: </w:t>
        </w:r>
        <w:r w:rsidR="00A05A41" w:rsidRPr="00290B69">
          <w:rPr>
            <w:rStyle w:val="Hyperlink"/>
            <w:noProof/>
            <w:lang w:eastAsia="en-GB"/>
          </w:rPr>
          <w:t>Regional disparities in Slovakia expressed in poverty measurements, 2012</w:t>
        </w:r>
        <w:r w:rsidR="00A05A41">
          <w:rPr>
            <w:noProof/>
            <w:webHidden/>
          </w:rPr>
          <w:tab/>
        </w:r>
        <w:r w:rsidR="00A05A41">
          <w:rPr>
            <w:noProof/>
            <w:webHidden/>
          </w:rPr>
          <w:fldChar w:fldCharType="begin"/>
        </w:r>
        <w:r w:rsidR="00A05A41">
          <w:rPr>
            <w:noProof/>
            <w:webHidden/>
          </w:rPr>
          <w:instrText xml:space="preserve"> PAGEREF _Toc392509037 \h </w:instrText>
        </w:r>
        <w:r w:rsidR="00A05A41">
          <w:rPr>
            <w:noProof/>
            <w:webHidden/>
          </w:rPr>
        </w:r>
        <w:r w:rsidR="00A05A41">
          <w:rPr>
            <w:noProof/>
            <w:webHidden/>
          </w:rPr>
          <w:fldChar w:fldCharType="separate"/>
        </w:r>
        <w:r w:rsidR="00DC6D66">
          <w:rPr>
            <w:noProof/>
            <w:webHidden/>
          </w:rPr>
          <w:t>14</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8" w:history="1">
        <w:r w:rsidR="00A05A41" w:rsidRPr="00290B69">
          <w:rPr>
            <w:rStyle w:val="Hyperlink"/>
            <w:noProof/>
          </w:rPr>
          <w:t>Table 9: Average proportion of jobseekers by duration of registration per month in 2012</w:t>
        </w:r>
        <w:r w:rsidR="00A05A41">
          <w:rPr>
            <w:noProof/>
            <w:webHidden/>
          </w:rPr>
          <w:tab/>
        </w:r>
        <w:r w:rsidR="00A05A41">
          <w:rPr>
            <w:noProof/>
            <w:webHidden/>
          </w:rPr>
          <w:fldChar w:fldCharType="begin"/>
        </w:r>
        <w:r w:rsidR="00A05A41">
          <w:rPr>
            <w:noProof/>
            <w:webHidden/>
          </w:rPr>
          <w:instrText xml:space="preserve"> PAGEREF _Toc392509038 \h </w:instrText>
        </w:r>
        <w:r w:rsidR="00A05A41">
          <w:rPr>
            <w:noProof/>
            <w:webHidden/>
          </w:rPr>
        </w:r>
        <w:r w:rsidR="00A05A41">
          <w:rPr>
            <w:noProof/>
            <w:webHidden/>
          </w:rPr>
          <w:fldChar w:fldCharType="separate"/>
        </w:r>
        <w:r w:rsidR="00DC6D66">
          <w:rPr>
            <w:noProof/>
            <w:webHidden/>
          </w:rPr>
          <w:t>15</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39" w:history="1">
        <w:r w:rsidR="00A05A41" w:rsidRPr="00290B69">
          <w:rPr>
            <w:rStyle w:val="Hyperlink"/>
            <w:noProof/>
          </w:rPr>
          <w:t>Table 10: Figures of (un-)employment and activity</w:t>
        </w:r>
        <w:r w:rsidR="00A05A41">
          <w:rPr>
            <w:noProof/>
            <w:webHidden/>
          </w:rPr>
          <w:tab/>
        </w:r>
        <w:r w:rsidR="00A05A41">
          <w:rPr>
            <w:noProof/>
            <w:webHidden/>
          </w:rPr>
          <w:fldChar w:fldCharType="begin"/>
        </w:r>
        <w:r w:rsidR="00A05A41">
          <w:rPr>
            <w:noProof/>
            <w:webHidden/>
          </w:rPr>
          <w:instrText xml:space="preserve"> PAGEREF _Toc392509039 \h </w:instrText>
        </w:r>
        <w:r w:rsidR="00A05A41">
          <w:rPr>
            <w:noProof/>
            <w:webHidden/>
          </w:rPr>
        </w:r>
        <w:r w:rsidR="00A05A41">
          <w:rPr>
            <w:noProof/>
            <w:webHidden/>
          </w:rPr>
          <w:fldChar w:fldCharType="separate"/>
        </w:r>
        <w:r w:rsidR="00DC6D66">
          <w:rPr>
            <w:noProof/>
            <w:webHidden/>
          </w:rPr>
          <w:t>21</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0" w:history="1">
        <w:r w:rsidR="00A05A41" w:rsidRPr="00290B69">
          <w:rPr>
            <w:rStyle w:val="Hyperlink"/>
            <w:noProof/>
          </w:rPr>
          <w:t>Table 11: Figures of educational attainment</w:t>
        </w:r>
        <w:r w:rsidR="00A05A41">
          <w:rPr>
            <w:noProof/>
            <w:webHidden/>
          </w:rPr>
          <w:tab/>
        </w:r>
        <w:r w:rsidR="00A05A41">
          <w:rPr>
            <w:noProof/>
            <w:webHidden/>
          </w:rPr>
          <w:fldChar w:fldCharType="begin"/>
        </w:r>
        <w:r w:rsidR="00A05A41">
          <w:rPr>
            <w:noProof/>
            <w:webHidden/>
          </w:rPr>
          <w:instrText xml:space="preserve"> PAGEREF _Toc392509040 \h </w:instrText>
        </w:r>
        <w:r w:rsidR="00A05A41">
          <w:rPr>
            <w:noProof/>
            <w:webHidden/>
          </w:rPr>
        </w:r>
        <w:r w:rsidR="00A05A41">
          <w:rPr>
            <w:noProof/>
            <w:webHidden/>
          </w:rPr>
          <w:fldChar w:fldCharType="separate"/>
        </w:r>
        <w:r w:rsidR="00DC6D66">
          <w:rPr>
            <w:noProof/>
            <w:webHidden/>
          </w:rPr>
          <w:t>24</w:t>
        </w:r>
        <w:r w:rsid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1" w:history="1">
        <w:r w:rsidR="00A05A41" w:rsidRPr="00290B69">
          <w:rPr>
            <w:rStyle w:val="Hyperlink"/>
            <w:noProof/>
          </w:rPr>
          <w:t>Table 12: The number and rate of municipalities with Roma inhabitants 2013</w:t>
        </w:r>
        <w:r w:rsidR="00A05A41">
          <w:rPr>
            <w:noProof/>
            <w:webHidden/>
          </w:rPr>
          <w:tab/>
        </w:r>
        <w:r w:rsidR="00A05A41">
          <w:rPr>
            <w:noProof/>
            <w:webHidden/>
          </w:rPr>
          <w:fldChar w:fldCharType="begin"/>
        </w:r>
        <w:r w:rsidR="00A05A41">
          <w:rPr>
            <w:noProof/>
            <w:webHidden/>
          </w:rPr>
          <w:instrText xml:space="preserve"> PAGEREF _Toc392509041 \h </w:instrText>
        </w:r>
        <w:r w:rsidR="00A05A41">
          <w:rPr>
            <w:noProof/>
            <w:webHidden/>
          </w:rPr>
        </w:r>
        <w:r w:rsidR="00A05A41">
          <w:rPr>
            <w:noProof/>
            <w:webHidden/>
          </w:rPr>
          <w:fldChar w:fldCharType="separate"/>
        </w:r>
        <w:r w:rsidR="00DC6D66">
          <w:rPr>
            <w:noProof/>
            <w:webHidden/>
          </w:rPr>
          <w:t>26</w:t>
        </w:r>
        <w:r w:rsid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2" w:history="1">
        <w:r w:rsidR="00A05A41" w:rsidRPr="00A05A41">
          <w:rPr>
            <w:rStyle w:val="Hyperlink"/>
            <w:noProof/>
          </w:rPr>
          <w:t>Table 13: Estimated rate of Romany population</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_Toc392509042 \h </w:instrText>
        </w:r>
        <w:r w:rsidR="00A05A41" w:rsidRPr="00A05A41">
          <w:rPr>
            <w:noProof/>
            <w:webHidden/>
          </w:rPr>
        </w:r>
        <w:r w:rsidR="00A05A41" w:rsidRPr="00A05A41">
          <w:rPr>
            <w:noProof/>
            <w:webHidden/>
          </w:rPr>
          <w:fldChar w:fldCharType="separate"/>
        </w:r>
        <w:r w:rsidR="00DC6D66">
          <w:rPr>
            <w:noProof/>
            <w:webHidden/>
          </w:rPr>
          <w:t>36</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3" w:history="1">
        <w:r w:rsidR="00A05A41" w:rsidRPr="00A05A41">
          <w:rPr>
            <w:rStyle w:val="Hyperlink"/>
            <w:noProof/>
          </w:rPr>
          <w:t>Table 14: Estimated rate of Romany population with Hungarian identity</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_Toc392509043 \h </w:instrText>
        </w:r>
        <w:r w:rsidR="00A05A41" w:rsidRPr="00A05A41">
          <w:rPr>
            <w:noProof/>
            <w:webHidden/>
          </w:rPr>
        </w:r>
        <w:r w:rsidR="00A05A41" w:rsidRPr="00A05A41">
          <w:rPr>
            <w:noProof/>
            <w:webHidden/>
          </w:rPr>
          <w:fldChar w:fldCharType="separate"/>
        </w:r>
        <w:r w:rsidR="00DC6D66">
          <w:rPr>
            <w:noProof/>
            <w:webHidden/>
          </w:rPr>
          <w:t>63</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4" w:history="1">
        <w:r w:rsidR="00A05A41" w:rsidRPr="00A05A41">
          <w:rPr>
            <w:rStyle w:val="Hyperlink"/>
            <w:noProof/>
          </w:rPr>
          <w:t>Table 15: Access to various goods and amenities</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_Toc392509044 \h </w:instrText>
        </w:r>
        <w:r w:rsidR="00A05A41" w:rsidRPr="00A05A41">
          <w:rPr>
            <w:noProof/>
            <w:webHidden/>
          </w:rPr>
        </w:r>
        <w:r w:rsidR="00A05A41" w:rsidRPr="00A05A41">
          <w:rPr>
            <w:noProof/>
            <w:webHidden/>
          </w:rPr>
          <w:fldChar w:fldCharType="separate"/>
        </w:r>
        <w:r w:rsidR="00DC6D66">
          <w:rPr>
            <w:noProof/>
            <w:webHidden/>
          </w:rPr>
          <w:t>63</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5" w:history="1">
        <w:r w:rsidR="00A05A41" w:rsidRPr="00A05A41">
          <w:rPr>
            <w:rStyle w:val="Hyperlink"/>
            <w:noProof/>
          </w:rPr>
          <w:t xml:space="preserve">Table 16: Migration intentions, attitudes and awareness of Slovakian Roma </w:t>
        </w:r>
        <w:r w:rsidR="00A05A41" w:rsidRPr="00A05A41">
          <w:rPr>
            <w:rStyle w:val="Hyperlink"/>
            <w:rFonts w:cs="Arial"/>
            <w:noProof/>
          </w:rPr>
          <w:t>of segregated neighbourhoods and their non-Roma proximity</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_Toc392509045 \h </w:instrText>
        </w:r>
        <w:r w:rsidR="00A05A41" w:rsidRPr="00A05A41">
          <w:rPr>
            <w:noProof/>
            <w:webHidden/>
          </w:rPr>
        </w:r>
        <w:r w:rsidR="00A05A41" w:rsidRPr="00A05A41">
          <w:rPr>
            <w:noProof/>
            <w:webHidden/>
          </w:rPr>
          <w:fldChar w:fldCharType="separate"/>
        </w:r>
        <w:r w:rsidR="00DC6D66">
          <w:rPr>
            <w:noProof/>
            <w:webHidden/>
          </w:rPr>
          <w:t>64</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6" w:history="1">
        <w:r w:rsidR="00A05A41" w:rsidRPr="00A05A41">
          <w:rPr>
            <w:rStyle w:val="Hyperlink"/>
            <w:noProof/>
          </w:rPr>
          <w:t>Table 17: Roma and non-Roma by occupation and industry</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_Toc392509046 \h </w:instrText>
        </w:r>
        <w:r w:rsidR="00A05A41" w:rsidRPr="00A05A41">
          <w:rPr>
            <w:noProof/>
            <w:webHidden/>
          </w:rPr>
        </w:r>
        <w:r w:rsidR="00A05A41" w:rsidRPr="00A05A41">
          <w:rPr>
            <w:noProof/>
            <w:webHidden/>
          </w:rPr>
          <w:fldChar w:fldCharType="separate"/>
        </w:r>
        <w:r w:rsidR="00DC6D66">
          <w:rPr>
            <w:noProof/>
            <w:webHidden/>
          </w:rPr>
          <w:t>65</w:t>
        </w:r>
        <w:r w:rsidR="00A05A41" w:rsidRPr="00A05A41">
          <w:rPr>
            <w:noProof/>
            <w:webHidden/>
          </w:rPr>
          <w:fldChar w:fldCharType="end"/>
        </w:r>
      </w:hyperlink>
    </w:p>
    <w:p w:rsidR="00B843AA" w:rsidRDefault="00EB7576" w:rsidP="001256BE">
      <w:pPr>
        <w:pStyle w:val="TOC1"/>
        <w:rPr>
          <w:rStyle w:val="Hyperlink"/>
        </w:rPr>
      </w:pPr>
      <w:r>
        <w:rPr>
          <w:rStyle w:val="Hyperlink"/>
          <w:noProof w:val="0"/>
        </w:rPr>
        <w:fldChar w:fldCharType="end"/>
      </w:r>
    </w:p>
    <w:p w:rsidR="007C26B7" w:rsidRPr="007C26B7" w:rsidRDefault="007C26B7" w:rsidP="007C26B7"/>
    <w:p w:rsidR="000A2A3A" w:rsidRDefault="005B346C" w:rsidP="007C26B7">
      <w:pPr>
        <w:spacing w:before="0" w:line="240" w:lineRule="auto"/>
        <w:jc w:val="center"/>
        <w:rPr>
          <w:b/>
          <w:sz w:val="32"/>
          <w:szCs w:val="32"/>
        </w:rPr>
      </w:pPr>
      <w:r w:rsidRPr="007C26B7">
        <w:rPr>
          <w:b/>
          <w:sz w:val="32"/>
          <w:szCs w:val="32"/>
        </w:rPr>
        <w:t>FIGURES</w:t>
      </w:r>
    </w:p>
    <w:p w:rsidR="00EB7576" w:rsidRPr="007C26B7" w:rsidRDefault="00EB7576" w:rsidP="007C26B7">
      <w:pPr>
        <w:spacing w:before="0" w:line="240" w:lineRule="auto"/>
        <w:jc w:val="center"/>
        <w:rPr>
          <w:b/>
          <w:sz w:val="32"/>
          <w:szCs w:val="32"/>
        </w:rPr>
      </w:pPr>
    </w:p>
    <w:bookmarkStart w:id="2" w:name="_Toc380500960"/>
    <w:bookmarkStart w:id="3" w:name="_Toc385271076"/>
    <w:bookmarkStart w:id="4" w:name="_Toc385939039"/>
    <w:p w:rsidR="00A05A41" w:rsidRPr="00A05A41" w:rsidRDefault="00EB7576">
      <w:pPr>
        <w:pStyle w:val="TableofFigures"/>
        <w:tabs>
          <w:tab w:val="right" w:pos="8302"/>
        </w:tabs>
        <w:rPr>
          <w:rFonts w:asciiTheme="minorHAnsi" w:eastAsiaTheme="minorEastAsia" w:hAnsiTheme="minorHAnsi" w:cstheme="minorBidi"/>
          <w:noProof/>
          <w:szCs w:val="22"/>
          <w:lang w:val="de-DE" w:eastAsia="de-DE"/>
        </w:rPr>
      </w:pPr>
      <w:r>
        <w:rPr>
          <w:rStyle w:val="Hyperlink"/>
        </w:rPr>
        <w:fldChar w:fldCharType="begin"/>
      </w:r>
      <w:r>
        <w:rPr>
          <w:rStyle w:val="Hyperlink"/>
        </w:rPr>
        <w:instrText xml:space="preserve"> TOC \h \z \c "Figure" </w:instrText>
      </w:r>
      <w:r>
        <w:rPr>
          <w:rStyle w:val="Hyperlink"/>
        </w:rPr>
        <w:fldChar w:fldCharType="separate"/>
      </w:r>
      <w:hyperlink w:anchor="_Toc392509047" w:history="1">
        <w:r w:rsidR="00A05A41" w:rsidRPr="00A05A41">
          <w:rPr>
            <w:rStyle w:val="Hyperlink"/>
            <w:noProof/>
          </w:rPr>
          <w:t>Figure 1: Portion of the population neither at risk of poverty, nor deprived severely, nor living in a household with low work intensity, 2011</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_Toc392509047 \h </w:instrText>
        </w:r>
        <w:r w:rsidR="00A05A41" w:rsidRPr="00A05A41">
          <w:rPr>
            <w:noProof/>
            <w:webHidden/>
          </w:rPr>
        </w:r>
        <w:r w:rsidR="00A05A41" w:rsidRPr="00A05A41">
          <w:rPr>
            <w:noProof/>
            <w:webHidden/>
          </w:rPr>
          <w:fldChar w:fldCharType="separate"/>
        </w:r>
        <w:r w:rsidR="00DC6D66">
          <w:rPr>
            <w:noProof/>
            <w:webHidden/>
          </w:rPr>
          <w:t>11</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8" w:history="1">
        <w:r w:rsidR="00A05A41" w:rsidRPr="00A05A41">
          <w:rPr>
            <w:rStyle w:val="Hyperlink"/>
            <w:noProof/>
          </w:rPr>
          <w:t>Figure 2:</w:t>
        </w:r>
        <w:r w:rsidR="00A05A41" w:rsidRPr="00A05A41">
          <w:rPr>
            <w:rStyle w:val="Hyperlink"/>
            <w:noProof/>
            <w:lang w:bidi="en-US"/>
          </w:rPr>
          <w:t xml:space="preserve"> Portion of population at risk of poverty, severely materially deprived and living in a household with low work intensity, 2011</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_Toc392509048 \h </w:instrText>
        </w:r>
        <w:r w:rsidR="00A05A41" w:rsidRPr="00A05A41">
          <w:rPr>
            <w:noProof/>
            <w:webHidden/>
          </w:rPr>
        </w:r>
        <w:r w:rsidR="00A05A41" w:rsidRPr="00A05A41">
          <w:rPr>
            <w:noProof/>
            <w:webHidden/>
          </w:rPr>
          <w:fldChar w:fldCharType="separate"/>
        </w:r>
        <w:r w:rsidR="00DC6D66">
          <w:rPr>
            <w:noProof/>
            <w:webHidden/>
          </w:rPr>
          <w:t>12</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49" w:history="1">
        <w:r w:rsidR="00A05A41" w:rsidRPr="00A05A41">
          <w:rPr>
            <w:rStyle w:val="Hyperlink"/>
            <w:noProof/>
          </w:rPr>
          <w:t>Figure 3: The distribution of long term job seekers (registered for longer than three years) by NUTS3 regions</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_Toc392509049 \h </w:instrText>
        </w:r>
        <w:r w:rsidR="00A05A41" w:rsidRPr="00A05A41">
          <w:rPr>
            <w:noProof/>
            <w:webHidden/>
          </w:rPr>
        </w:r>
        <w:r w:rsidR="00A05A41" w:rsidRPr="00A05A41">
          <w:rPr>
            <w:noProof/>
            <w:webHidden/>
          </w:rPr>
          <w:fldChar w:fldCharType="separate"/>
        </w:r>
        <w:r w:rsidR="00DC6D66">
          <w:rPr>
            <w:noProof/>
            <w:webHidden/>
          </w:rPr>
          <w:t>15</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50" w:history="1">
        <w:r w:rsidR="00A05A41" w:rsidRPr="00A05A41">
          <w:rPr>
            <w:rStyle w:val="Hyperlink"/>
            <w:noProof/>
          </w:rPr>
          <w:t>Figure 4: Sources of income in Roma and non-Roma households</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_Toc392509050 \h </w:instrText>
        </w:r>
        <w:r w:rsidR="00A05A41" w:rsidRPr="00A05A41">
          <w:rPr>
            <w:noProof/>
            <w:webHidden/>
          </w:rPr>
        </w:r>
        <w:r w:rsidR="00A05A41" w:rsidRPr="00A05A41">
          <w:rPr>
            <w:noProof/>
            <w:webHidden/>
          </w:rPr>
          <w:fldChar w:fldCharType="separate"/>
        </w:r>
        <w:r w:rsidR="00DC6D66">
          <w:rPr>
            <w:noProof/>
            <w:webHidden/>
          </w:rPr>
          <w:t>22</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51" w:history="1">
        <w:r w:rsidR="00A05A41" w:rsidRPr="00A05A41">
          <w:rPr>
            <w:rStyle w:val="Hyperlink"/>
            <w:noProof/>
          </w:rPr>
          <w:t>Figure 5: Roma and non Roma employment in segregated neighbourhoods and its proximity</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_Toc392509051 \h </w:instrText>
        </w:r>
        <w:r w:rsidR="00A05A41" w:rsidRPr="00A05A41">
          <w:rPr>
            <w:noProof/>
            <w:webHidden/>
          </w:rPr>
        </w:r>
        <w:r w:rsidR="00A05A41" w:rsidRPr="00A05A41">
          <w:rPr>
            <w:noProof/>
            <w:webHidden/>
          </w:rPr>
          <w:fldChar w:fldCharType="separate"/>
        </w:r>
        <w:r w:rsidR="00DC6D66">
          <w:rPr>
            <w:noProof/>
            <w:webHidden/>
          </w:rPr>
          <w:t>23</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52" w:history="1">
        <w:r w:rsidR="00A05A41" w:rsidRPr="00A05A41">
          <w:rPr>
            <w:rStyle w:val="Hyperlink"/>
            <w:noProof/>
          </w:rPr>
          <w:t>Figure 6: Roma settlements and their inhabitants in 2013</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_Toc392509052 \h </w:instrText>
        </w:r>
        <w:r w:rsidR="00A05A41" w:rsidRPr="00A05A41">
          <w:rPr>
            <w:noProof/>
            <w:webHidden/>
          </w:rPr>
        </w:r>
        <w:r w:rsidR="00A05A41" w:rsidRPr="00A05A41">
          <w:rPr>
            <w:noProof/>
            <w:webHidden/>
          </w:rPr>
          <w:fldChar w:fldCharType="separate"/>
        </w:r>
        <w:r w:rsidR="00DC6D66">
          <w:rPr>
            <w:noProof/>
            <w:webHidden/>
          </w:rPr>
          <w:t>26</w:t>
        </w:r>
        <w:r w:rsidR="00A05A41" w:rsidRPr="00A05A41">
          <w:rPr>
            <w:noProof/>
            <w:webHidden/>
          </w:rPr>
          <w:fldChar w:fldCharType="end"/>
        </w:r>
      </w:hyperlink>
    </w:p>
    <w:p w:rsidR="00A05A41" w:rsidRP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53" w:history="1">
        <w:r w:rsidR="00A05A41" w:rsidRPr="00A05A41">
          <w:rPr>
            <w:rStyle w:val="Hyperlink"/>
            <w:noProof/>
            <w:lang w:eastAsia="en-GB"/>
          </w:rPr>
          <w:t xml:space="preserve">Figure </w:t>
        </w:r>
        <w:r w:rsidR="00A05A41" w:rsidRPr="00A05A41">
          <w:rPr>
            <w:rStyle w:val="Hyperlink"/>
            <w:noProof/>
          </w:rPr>
          <w:t>7:</w:t>
        </w:r>
        <w:r w:rsidR="00A05A41" w:rsidRPr="00A05A41">
          <w:rPr>
            <w:rStyle w:val="Hyperlink"/>
            <w:noProof/>
            <w:lang w:eastAsia="en-GB"/>
          </w:rPr>
          <w:t xml:space="preserve"> Welfare spending of post socialist countries, 2010</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_Toc392509053 \h </w:instrText>
        </w:r>
        <w:r w:rsidR="00A05A41" w:rsidRPr="00A05A41">
          <w:rPr>
            <w:noProof/>
            <w:webHidden/>
          </w:rPr>
        </w:r>
        <w:r w:rsidR="00A05A41" w:rsidRPr="00A05A41">
          <w:rPr>
            <w:noProof/>
            <w:webHidden/>
          </w:rPr>
          <w:fldChar w:fldCharType="separate"/>
        </w:r>
        <w:r w:rsidR="00DC6D66">
          <w:rPr>
            <w:noProof/>
            <w:webHidden/>
          </w:rPr>
          <w:t>41</w:t>
        </w:r>
        <w:r w:rsidR="00A05A41" w:rsidRPr="00A05A41">
          <w:rPr>
            <w:noProof/>
            <w:webHidden/>
          </w:rPr>
          <w:fldChar w:fldCharType="end"/>
        </w:r>
      </w:hyperlink>
    </w:p>
    <w:p w:rsidR="00A05A41" w:rsidRDefault="001C5F41">
      <w:pPr>
        <w:pStyle w:val="TableofFigures"/>
        <w:tabs>
          <w:tab w:val="right" w:pos="8302"/>
        </w:tabs>
        <w:rPr>
          <w:rFonts w:asciiTheme="minorHAnsi" w:eastAsiaTheme="minorEastAsia" w:hAnsiTheme="minorHAnsi" w:cstheme="minorBidi"/>
          <w:noProof/>
          <w:szCs w:val="22"/>
          <w:lang w:val="de-DE" w:eastAsia="de-DE"/>
        </w:rPr>
      </w:pPr>
      <w:hyperlink w:anchor="_Toc392509054" w:history="1">
        <w:r w:rsidR="00A05A41" w:rsidRPr="00A05A41">
          <w:rPr>
            <w:rStyle w:val="Hyperlink"/>
            <w:noProof/>
          </w:rPr>
          <w:t>Figure 8: Economic dependency rate of inhabitants by districts</w:t>
        </w:r>
        <w:r w:rsidR="00A05A41" w:rsidRPr="00A05A41">
          <w:rPr>
            <w:noProof/>
            <w:webHidden/>
          </w:rPr>
          <w:tab/>
        </w:r>
        <w:r w:rsidR="00A05A41" w:rsidRPr="00A05A41">
          <w:rPr>
            <w:noProof/>
            <w:webHidden/>
          </w:rPr>
          <w:fldChar w:fldCharType="begin"/>
        </w:r>
        <w:r w:rsidR="00A05A41" w:rsidRPr="00A05A41">
          <w:rPr>
            <w:noProof/>
            <w:webHidden/>
          </w:rPr>
          <w:instrText xml:space="preserve"> PAGEREF _Toc392509054 \h </w:instrText>
        </w:r>
        <w:r w:rsidR="00A05A41" w:rsidRPr="00A05A41">
          <w:rPr>
            <w:noProof/>
            <w:webHidden/>
          </w:rPr>
        </w:r>
        <w:r w:rsidR="00A05A41" w:rsidRPr="00A05A41">
          <w:rPr>
            <w:noProof/>
            <w:webHidden/>
          </w:rPr>
          <w:fldChar w:fldCharType="separate"/>
        </w:r>
        <w:r w:rsidR="00DC6D66">
          <w:rPr>
            <w:noProof/>
            <w:webHidden/>
          </w:rPr>
          <w:t>47</w:t>
        </w:r>
        <w:r w:rsidR="00A05A41" w:rsidRPr="00A05A41">
          <w:rPr>
            <w:noProof/>
            <w:webHidden/>
          </w:rPr>
          <w:fldChar w:fldCharType="end"/>
        </w:r>
      </w:hyperlink>
    </w:p>
    <w:p w:rsidR="00740131" w:rsidRDefault="00EB7576" w:rsidP="008D2A9C">
      <w:pPr>
        <w:pStyle w:val="Heading1"/>
        <w:numPr>
          <w:ilvl w:val="0"/>
          <w:numId w:val="0"/>
        </w:numPr>
        <w:ind w:left="1219" w:firstLine="199"/>
        <w:jc w:val="center"/>
        <w:rPr>
          <w:rStyle w:val="Hyperlink"/>
        </w:rPr>
      </w:pPr>
      <w:r>
        <w:rPr>
          <w:rStyle w:val="Hyperlink"/>
        </w:rPr>
        <w:fldChar w:fldCharType="end"/>
      </w:r>
    </w:p>
    <w:p w:rsidR="00E14689" w:rsidRDefault="00E14689" w:rsidP="00E14689">
      <w:pPr>
        <w:jc w:val="center"/>
        <w:rPr>
          <w:b/>
          <w:sz w:val="28"/>
          <w:szCs w:val="28"/>
        </w:rPr>
      </w:pPr>
      <w:r w:rsidRPr="00E14689">
        <w:rPr>
          <w:b/>
          <w:sz w:val="28"/>
          <w:szCs w:val="28"/>
        </w:rPr>
        <w:t>MAPS</w:t>
      </w:r>
    </w:p>
    <w:p w:rsidR="00E14689" w:rsidRDefault="00E14689" w:rsidP="00E14689">
      <w:pPr>
        <w:jc w:val="center"/>
        <w:rPr>
          <w:b/>
          <w:sz w:val="28"/>
          <w:szCs w:val="28"/>
        </w:rPr>
      </w:pPr>
    </w:p>
    <w:p w:rsidR="005A5577" w:rsidRDefault="00EB7576">
      <w:pPr>
        <w:pStyle w:val="TableofFigures"/>
        <w:tabs>
          <w:tab w:val="right" w:pos="8302"/>
        </w:tabs>
        <w:rPr>
          <w:rFonts w:asciiTheme="minorHAnsi" w:eastAsiaTheme="minorEastAsia" w:hAnsiTheme="minorHAnsi" w:cstheme="minorBidi"/>
          <w:noProof/>
          <w:szCs w:val="22"/>
          <w:lang w:val="de-DE" w:eastAsia="de-DE"/>
        </w:rPr>
      </w:pPr>
      <w:r>
        <w:rPr>
          <w:b/>
          <w:sz w:val="28"/>
          <w:szCs w:val="28"/>
        </w:rPr>
        <w:fldChar w:fldCharType="begin"/>
      </w:r>
      <w:r>
        <w:rPr>
          <w:b/>
          <w:sz w:val="28"/>
          <w:szCs w:val="28"/>
        </w:rPr>
        <w:instrText xml:space="preserve"> TOC \h \z \c "Map" </w:instrText>
      </w:r>
      <w:r>
        <w:rPr>
          <w:b/>
          <w:sz w:val="28"/>
          <w:szCs w:val="28"/>
        </w:rPr>
        <w:fldChar w:fldCharType="separate"/>
      </w:r>
      <w:hyperlink w:anchor="_Toc398897954" w:history="1">
        <w:r w:rsidR="005A5577" w:rsidRPr="00871D54">
          <w:rPr>
            <w:rStyle w:val="Hyperlink"/>
            <w:noProof/>
          </w:rPr>
          <w:t>Map 1: Banská Bystrica in the context of the ESPON space</w:t>
        </w:r>
        <w:r w:rsidR="005A5577">
          <w:rPr>
            <w:noProof/>
            <w:webHidden/>
          </w:rPr>
          <w:tab/>
        </w:r>
        <w:r w:rsidR="005A5577">
          <w:rPr>
            <w:noProof/>
            <w:webHidden/>
          </w:rPr>
          <w:fldChar w:fldCharType="begin"/>
        </w:r>
        <w:r w:rsidR="005A5577">
          <w:rPr>
            <w:noProof/>
            <w:webHidden/>
          </w:rPr>
          <w:instrText xml:space="preserve"> PAGEREF _Toc398897954 \h </w:instrText>
        </w:r>
        <w:r w:rsidR="005A5577">
          <w:rPr>
            <w:noProof/>
            <w:webHidden/>
          </w:rPr>
        </w:r>
        <w:r w:rsidR="005A5577">
          <w:rPr>
            <w:noProof/>
            <w:webHidden/>
          </w:rPr>
          <w:fldChar w:fldCharType="separate"/>
        </w:r>
        <w:r w:rsidR="00DC6D66">
          <w:rPr>
            <w:noProof/>
            <w:webHidden/>
          </w:rPr>
          <w:t>1</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55" w:history="1">
        <w:r w:rsidR="005A5577" w:rsidRPr="00871D54">
          <w:rPr>
            <w:rStyle w:val="Hyperlink"/>
            <w:noProof/>
          </w:rPr>
          <w:t>Map 2: Corine land cover typology of Banská Bystrica, 2006</w:t>
        </w:r>
        <w:r w:rsidR="005A5577">
          <w:rPr>
            <w:noProof/>
            <w:webHidden/>
          </w:rPr>
          <w:tab/>
        </w:r>
        <w:r w:rsidR="005A5577">
          <w:rPr>
            <w:noProof/>
            <w:webHidden/>
          </w:rPr>
          <w:fldChar w:fldCharType="begin"/>
        </w:r>
        <w:r w:rsidR="005A5577">
          <w:rPr>
            <w:noProof/>
            <w:webHidden/>
          </w:rPr>
          <w:instrText xml:space="preserve"> PAGEREF _Toc398897955 \h </w:instrText>
        </w:r>
        <w:r w:rsidR="005A5577">
          <w:rPr>
            <w:noProof/>
            <w:webHidden/>
          </w:rPr>
        </w:r>
        <w:r w:rsidR="005A5577">
          <w:rPr>
            <w:noProof/>
            <w:webHidden/>
          </w:rPr>
          <w:fldChar w:fldCharType="separate"/>
        </w:r>
        <w:r w:rsidR="00DC6D66">
          <w:rPr>
            <w:noProof/>
            <w:webHidden/>
          </w:rPr>
          <w:t>3</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56" w:history="1">
        <w:r w:rsidR="005A5577" w:rsidRPr="00871D54">
          <w:rPr>
            <w:rStyle w:val="Hyperlink"/>
            <w:noProof/>
          </w:rPr>
          <w:t>Map 3: Ratio of Hungarians and Roma by self-declared nationality, 2011</w:t>
        </w:r>
        <w:r w:rsidR="005A5577">
          <w:rPr>
            <w:noProof/>
            <w:webHidden/>
          </w:rPr>
          <w:tab/>
        </w:r>
        <w:r w:rsidR="005A5577">
          <w:rPr>
            <w:noProof/>
            <w:webHidden/>
          </w:rPr>
          <w:fldChar w:fldCharType="begin"/>
        </w:r>
        <w:r w:rsidR="005A5577">
          <w:rPr>
            <w:noProof/>
            <w:webHidden/>
          </w:rPr>
          <w:instrText xml:space="preserve"> PAGEREF _Toc398897956 \h </w:instrText>
        </w:r>
        <w:r w:rsidR="005A5577">
          <w:rPr>
            <w:noProof/>
            <w:webHidden/>
          </w:rPr>
        </w:r>
        <w:r w:rsidR="005A5577">
          <w:rPr>
            <w:noProof/>
            <w:webHidden/>
          </w:rPr>
          <w:fldChar w:fldCharType="separate"/>
        </w:r>
        <w:r w:rsidR="00DC6D66">
          <w:rPr>
            <w:noProof/>
            <w:webHidden/>
          </w:rPr>
          <w:t>57</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57" w:history="1">
        <w:r w:rsidR="005A5577" w:rsidRPr="00871D54">
          <w:rPr>
            <w:rStyle w:val="Hyperlink"/>
            <w:noProof/>
          </w:rPr>
          <w:t>Map 4: Ratio of Hungarians by self-declared nationality, 2011</w:t>
        </w:r>
        <w:r w:rsidR="005A5577">
          <w:rPr>
            <w:noProof/>
            <w:webHidden/>
          </w:rPr>
          <w:tab/>
        </w:r>
        <w:r w:rsidR="005A5577">
          <w:rPr>
            <w:noProof/>
            <w:webHidden/>
          </w:rPr>
          <w:fldChar w:fldCharType="begin"/>
        </w:r>
        <w:r w:rsidR="005A5577">
          <w:rPr>
            <w:noProof/>
            <w:webHidden/>
          </w:rPr>
          <w:instrText xml:space="preserve"> PAGEREF _Toc398897957 \h </w:instrText>
        </w:r>
        <w:r w:rsidR="005A5577">
          <w:rPr>
            <w:noProof/>
            <w:webHidden/>
          </w:rPr>
        </w:r>
        <w:r w:rsidR="005A5577">
          <w:rPr>
            <w:noProof/>
            <w:webHidden/>
          </w:rPr>
          <w:fldChar w:fldCharType="separate"/>
        </w:r>
        <w:r w:rsidR="00DC6D66">
          <w:rPr>
            <w:noProof/>
            <w:webHidden/>
          </w:rPr>
          <w:t>58</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58" w:history="1">
        <w:r w:rsidR="005A5577" w:rsidRPr="00871D54">
          <w:rPr>
            <w:rStyle w:val="Hyperlink"/>
            <w:noProof/>
          </w:rPr>
          <w:t>Map 5: Ratio of secondary school students, 2011</w:t>
        </w:r>
        <w:r w:rsidR="005A5577">
          <w:rPr>
            <w:noProof/>
            <w:webHidden/>
          </w:rPr>
          <w:tab/>
        </w:r>
        <w:r w:rsidR="005A5577">
          <w:rPr>
            <w:noProof/>
            <w:webHidden/>
          </w:rPr>
          <w:fldChar w:fldCharType="begin"/>
        </w:r>
        <w:r w:rsidR="005A5577">
          <w:rPr>
            <w:noProof/>
            <w:webHidden/>
          </w:rPr>
          <w:instrText xml:space="preserve"> PAGEREF _Toc398897958 \h </w:instrText>
        </w:r>
        <w:r w:rsidR="005A5577">
          <w:rPr>
            <w:noProof/>
            <w:webHidden/>
          </w:rPr>
        </w:r>
        <w:r w:rsidR="005A5577">
          <w:rPr>
            <w:noProof/>
            <w:webHidden/>
          </w:rPr>
          <w:fldChar w:fldCharType="separate"/>
        </w:r>
        <w:r w:rsidR="00DC6D66">
          <w:rPr>
            <w:noProof/>
            <w:webHidden/>
          </w:rPr>
          <w:t>58</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59" w:history="1">
        <w:r w:rsidR="005A5577" w:rsidRPr="00871D54">
          <w:rPr>
            <w:rStyle w:val="Hyperlink"/>
            <w:noProof/>
          </w:rPr>
          <w:t>Map 6: Unemployment rate, 2011</w:t>
        </w:r>
        <w:r w:rsidR="005A5577">
          <w:rPr>
            <w:noProof/>
            <w:webHidden/>
          </w:rPr>
          <w:tab/>
        </w:r>
        <w:r w:rsidR="005A5577">
          <w:rPr>
            <w:noProof/>
            <w:webHidden/>
          </w:rPr>
          <w:fldChar w:fldCharType="begin"/>
        </w:r>
        <w:r w:rsidR="005A5577">
          <w:rPr>
            <w:noProof/>
            <w:webHidden/>
          </w:rPr>
          <w:instrText xml:space="preserve"> PAGEREF _Toc398897959 \h </w:instrText>
        </w:r>
        <w:r w:rsidR="005A5577">
          <w:rPr>
            <w:noProof/>
            <w:webHidden/>
          </w:rPr>
        </w:r>
        <w:r w:rsidR="005A5577">
          <w:rPr>
            <w:noProof/>
            <w:webHidden/>
          </w:rPr>
          <w:fldChar w:fldCharType="separate"/>
        </w:r>
        <w:r w:rsidR="00DC6D66">
          <w:rPr>
            <w:noProof/>
            <w:webHidden/>
          </w:rPr>
          <w:t>59</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60" w:history="1">
        <w:r w:rsidR="005A5577" w:rsidRPr="00871D54">
          <w:rPr>
            <w:rStyle w:val="Hyperlink"/>
            <w:noProof/>
          </w:rPr>
          <w:t>Map 7: Ratio of Hungarians by self-declared nationality, 2011</w:t>
        </w:r>
        <w:r w:rsidR="005A5577">
          <w:rPr>
            <w:noProof/>
            <w:webHidden/>
          </w:rPr>
          <w:tab/>
        </w:r>
        <w:r w:rsidR="005A5577">
          <w:rPr>
            <w:noProof/>
            <w:webHidden/>
          </w:rPr>
          <w:fldChar w:fldCharType="begin"/>
        </w:r>
        <w:r w:rsidR="005A5577">
          <w:rPr>
            <w:noProof/>
            <w:webHidden/>
          </w:rPr>
          <w:instrText xml:space="preserve"> PAGEREF _Toc398897960 \h </w:instrText>
        </w:r>
        <w:r w:rsidR="005A5577">
          <w:rPr>
            <w:noProof/>
            <w:webHidden/>
          </w:rPr>
        </w:r>
        <w:r w:rsidR="005A5577">
          <w:rPr>
            <w:noProof/>
            <w:webHidden/>
          </w:rPr>
          <w:fldChar w:fldCharType="separate"/>
        </w:r>
        <w:r w:rsidR="00DC6D66">
          <w:rPr>
            <w:noProof/>
            <w:webHidden/>
          </w:rPr>
          <w:t>59</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61" w:history="1">
        <w:r w:rsidR="005A5577" w:rsidRPr="00871D54">
          <w:rPr>
            <w:rStyle w:val="Hyperlink"/>
            <w:noProof/>
          </w:rPr>
          <w:t>Map 8: Ratio of Romas by self-declared nationality, 2011</w:t>
        </w:r>
        <w:r w:rsidR="005A5577">
          <w:rPr>
            <w:noProof/>
            <w:webHidden/>
          </w:rPr>
          <w:tab/>
        </w:r>
        <w:r w:rsidR="005A5577">
          <w:rPr>
            <w:noProof/>
            <w:webHidden/>
          </w:rPr>
          <w:fldChar w:fldCharType="begin"/>
        </w:r>
        <w:r w:rsidR="005A5577">
          <w:rPr>
            <w:noProof/>
            <w:webHidden/>
          </w:rPr>
          <w:instrText xml:space="preserve"> PAGEREF _Toc398897961 \h </w:instrText>
        </w:r>
        <w:r w:rsidR="005A5577">
          <w:rPr>
            <w:noProof/>
            <w:webHidden/>
          </w:rPr>
        </w:r>
        <w:r w:rsidR="005A5577">
          <w:rPr>
            <w:noProof/>
            <w:webHidden/>
          </w:rPr>
          <w:fldChar w:fldCharType="separate"/>
        </w:r>
        <w:r w:rsidR="00DC6D66">
          <w:rPr>
            <w:noProof/>
            <w:webHidden/>
          </w:rPr>
          <w:t>60</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62" w:history="1">
        <w:r w:rsidR="005A5577" w:rsidRPr="00871D54">
          <w:rPr>
            <w:rStyle w:val="Hyperlink"/>
            <w:noProof/>
          </w:rPr>
          <w:t>Map 9: Percentage share of the Roma in the districts of Slovakia</w:t>
        </w:r>
        <w:r w:rsidR="005A5577">
          <w:rPr>
            <w:noProof/>
            <w:webHidden/>
          </w:rPr>
          <w:tab/>
        </w:r>
        <w:r w:rsidR="005A5577">
          <w:rPr>
            <w:noProof/>
            <w:webHidden/>
          </w:rPr>
          <w:fldChar w:fldCharType="begin"/>
        </w:r>
        <w:r w:rsidR="005A5577">
          <w:rPr>
            <w:noProof/>
            <w:webHidden/>
          </w:rPr>
          <w:instrText xml:space="preserve"> PAGEREF _Toc398897962 \h </w:instrText>
        </w:r>
        <w:r w:rsidR="005A5577">
          <w:rPr>
            <w:noProof/>
            <w:webHidden/>
          </w:rPr>
        </w:r>
        <w:r w:rsidR="005A5577">
          <w:rPr>
            <w:noProof/>
            <w:webHidden/>
          </w:rPr>
          <w:fldChar w:fldCharType="separate"/>
        </w:r>
        <w:r w:rsidR="00DC6D66">
          <w:rPr>
            <w:noProof/>
            <w:webHidden/>
          </w:rPr>
          <w:t>60</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63" w:history="1">
        <w:r w:rsidR="005A5577" w:rsidRPr="00871D54">
          <w:rPr>
            <w:rStyle w:val="Hyperlink"/>
            <w:noProof/>
          </w:rPr>
          <w:t>Map 10: Ratio of secondary school students, 2011</w:t>
        </w:r>
        <w:r w:rsidR="005A5577">
          <w:rPr>
            <w:noProof/>
            <w:webHidden/>
          </w:rPr>
          <w:tab/>
        </w:r>
        <w:r w:rsidR="005A5577">
          <w:rPr>
            <w:noProof/>
            <w:webHidden/>
          </w:rPr>
          <w:fldChar w:fldCharType="begin"/>
        </w:r>
        <w:r w:rsidR="005A5577">
          <w:rPr>
            <w:noProof/>
            <w:webHidden/>
          </w:rPr>
          <w:instrText xml:space="preserve"> PAGEREF _Toc398897963 \h </w:instrText>
        </w:r>
        <w:r w:rsidR="005A5577">
          <w:rPr>
            <w:noProof/>
            <w:webHidden/>
          </w:rPr>
        </w:r>
        <w:r w:rsidR="005A5577">
          <w:rPr>
            <w:noProof/>
            <w:webHidden/>
          </w:rPr>
          <w:fldChar w:fldCharType="separate"/>
        </w:r>
        <w:r w:rsidR="00DC6D66">
          <w:rPr>
            <w:noProof/>
            <w:webHidden/>
          </w:rPr>
          <w:t>61</w:t>
        </w:r>
        <w:r w:rsidR="005A5577">
          <w:rPr>
            <w:noProof/>
            <w:webHidden/>
          </w:rPr>
          <w:fldChar w:fldCharType="end"/>
        </w:r>
      </w:hyperlink>
    </w:p>
    <w:p w:rsidR="005A5577" w:rsidRDefault="001C5F41">
      <w:pPr>
        <w:pStyle w:val="TableofFigures"/>
        <w:tabs>
          <w:tab w:val="right" w:pos="8302"/>
        </w:tabs>
        <w:rPr>
          <w:rFonts w:asciiTheme="minorHAnsi" w:eastAsiaTheme="minorEastAsia" w:hAnsiTheme="minorHAnsi" w:cstheme="minorBidi"/>
          <w:noProof/>
          <w:szCs w:val="22"/>
          <w:lang w:val="de-DE" w:eastAsia="de-DE"/>
        </w:rPr>
      </w:pPr>
      <w:hyperlink w:anchor="_Toc398897964" w:history="1">
        <w:r w:rsidR="005A5577" w:rsidRPr="00871D54">
          <w:rPr>
            <w:rStyle w:val="Hyperlink"/>
            <w:noProof/>
          </w:rPr>
          <w:t>Map 11: Unemployment rate, 2011</w:t>
        </w:r>
        <w:r w:rsidR="005A5577">
          <w:rPr>
            <w:noProof/>
            <w:webHidden/>
          </w:rPr>
          <w:tab/>
        </w:r>
        <w:r w:rsidR="005A5577">
          <w:rPr>
            <w:noProof/>
            <w:webHidden/>
          </w:rPr>
          <w:fldChar w:fldCharType="begin"/>
        </w:r>
        <w:r w:rsidR="005A5577">
          <w:rPr>
            <w:noProof/>
            <w:webHidden/>
          </w:rPr>
          <w:instrText xml:space="preserve"> PAGEREF _Toc398897964 \h </w:instrText>
        </w:r>
        <w:r w:rsidR="005A5577">
          <w:rPr>
            <w:noProof/>
            <w:webHidden/>
          </w:rPr>
        </w:r>
        <w:r w:rsidR="005A5577">
          <w:rPr>
            <w:noProof/>
            <w:webHidden/>
          </w:rPr>
          <w:fldChar w:fldCharType="separate"/>
        </w:r>
        <w:r w:rsidR="00DC6D66">
          <w:rPr>
            <w:noProof/>
            <w:webHidden/>
          </w:rPr>
          <w:t>61</w:t>
        </w:r>
        <w:r w:rsidR="005A5577">
          <w:rPr>
            <w:noProof/>
            <w:webHidden/>
          </w:rPr>
          <w:fldChar w:fldCharType="end"/>
        </w:r>
      </w:hyperlink>
    </w:p>
    <w:p w:rsidR="00E14689" w:rsidRPr="00E14689" w:rsidRDefault="00EB7576" w:rsidP="00E14689">
      <w:pPr>
        <w:jc w:val="center"/>
        <w:rPr>
          <w:b/>
          <w:sz w:val="28"/>
          <w:szCs w:val="28"/>
        </w:rPr>
      </w:pPr>
      <w:r>
        <w:rPr>
          <w:b/>
          <w:sz w:val="28"/>
          <w:szCs w:val="28"/>
        </w:rPr>
        <w:fldChar w:fldCharType="end"/>
      </w:r>
    </w:p>
    <w:p w:rsidR="00740131" w:rsidRDefault="00740131" w:rsidP="008D2A9C">
      <w:pPr>
        <w:pStyle w:val="Heading1"/>
        <w:numPr>
          <w:ilvl w:val="0"/>
          <w:numId w:val="0"/>
        </w:numPr>
        <w:ind w:left="1219" w:firstLine="199"/>
        <w:jc w:val="center"/>
      </w:pPr>
    </w:p>
    <w:p w:rsidR="00E14689" w:rsidRPr="00E14689" w:rsidRDefault="00E14689" w:rsidP="00E14689">
      <w:pPr>
        <w:sectPr w:rsidR="00E14689" w:rsidRPr="00E14689" w:rsidSect="00740131">
          <w:pgSz w:w="11906" w:h="16838"/>
          <w:pgMar w:top="1644" w:right="1797" w:bottom="1644" w:left="1797" w:header="720" w:footer="720" w:gutter="0"/>
          <w:pgNumType w:fmt="lowerRoman" w:start="7"/>
          <w:cols w:space="720"/>
        </w:sectPr>
      </w:pPr>
    </w:p>
    <w:p w:rsidR="00261332" w:rsidRPr="007C26B7" w:rsidRDefault="009441AC" w:rsidP="008D2A9C">
      <w:pPr>
        <w:pStyle w:val="Heading1"/>
        <w:numPr>
          <w:ilvl w:val="0"/>
          <w:numId w:val="0"/>
        </w:numPr>
        <w:ind w:left="1219" w:firstLine="199"/>
        <w:jc w:val="center"/>
      </w:pPr>
      <w:r>
        <w:lastRenderedPageBreak/>
        <w:t>Executive s</w:t>
      </w:r>
      <w:r w:rsidR="00261332" w:rsidRPr="007C26B7">
        <w:t>ummary</w:t>
      </w:r>
      <w:bookmarkEnd w:id="2"/>
      <w:bookmarkEnd w:id="3"/>
      <w:bookmarkEnd w:id="4"/>
    </w:p>
    <w:p w:rsidR="00F059AA" w:rsidRPr="00301583" w:rsidRDefault="00F059AA" w:rsidP="00F059AA"/>
    <w:p w:rsidR="00575719" w:rsidRPr="00301583" w:rsidRDefault="00575719" w:rsidP="007C26B7">
      <w:pPr>
        <w:spacing w:line="276" w:lineRule="auto"/>
      </w:pPr>
      <w:r w:rsidRPr="00301583">
        <w:t xml:space="preserve">The </w:t>
      </w:r>
      <w:r w:rsidR="006C282D" w:rsidRPr="00301583">
        <w:t xml:space="preserve">present </w:t>
      </w:r>
      <w:r w:rsidRPr="00301583">
        <w:t xml:space="preserve">case study </w:t>
      </w:r>
      <w:r w:rsidR="006C282D" w:rsidRPr="00301583">
        <w:t xml:space="preserve">provides a broad picture on the state of poverty and social exclusion in the Slovak </w:t>
      </w:r>
      <w:r w:rsidR="00CD253B">
        <w:t>R</w:t>
      </w:r>
      <w:r w:rsidR="006C282D" w:rsidRPr="00301583">
        <w:t xml:space="preserve">epublic pointing to some of the causes and consequences that do influence the territorially divergent appearance of these phenomena. </w:t>
      </w:r>
      <w:r w:rsidR="00C27D13">
        <w:t>Banská Bystrica</w:t>
      </w:r>
      <w:r w:rsidR="00CD253B">
        <w:t>,</w:t>
      </w:r>
      <w:r w:rsidR="00301583" w:rsidRPr="00301583">
        <w:t xml:space="preserve"> one of the southern NUTS3 regions of Central Slovakia represented the </w:t>
      </w:r>
      <w:r w:rsidR="006C282D" w:rsidRPr="00301583">
        <w:t xml:space="preserve">spatial focus </w:t>
      </w:r>
      <w:r w:rsidR="00316E93" w:rsidRPr="00301583">
        <w:t xml:space="preserve">of </w:t>
      </w:r>
      <w:r w:rsidR="008C32A1">
        <w:t xml:space="preserve">the </w:t>
      </w:r>
      <w:r w:rsidR="00316E93" w:rsidRPr="00301583">
        <w:t>investigation,</w:t>
      </w:r>
      <w:r w:rsidR="006C282D" w:rsidRPr="00301583">
        <w:t xml:space="preserve"> more closely the district of Rimavská Sobota</w:t>
      </w:r>
      <w:r w:rsidR="00E8231A">
        <w:t xml:space="preserve"> </w:t>
      </w:r>
      <w:r w:rsidR="00301583" w:rsidRPr="00301583">
        <w:t>and two villages subsumed under this LAU1 unit</w:t>
      </w:r>
      <w:r w:rsidR="00316E93" w:rsidRPr="00301583">
        <w:t>, whilst residential and educational se</w:t>
      </w:r>
      <w:r w:rsidR="00316E93" w:rsidRPr="00301583">
        <w:t>g</w:t>
      </w:r>
      <w:r w:rsidR="00316E93" w:rsidRPr="00301583">
        <w:t>regation of Romany people represented the thematic focus of the study.</w:t>
      </w:r>
    </w:p>
    <w:p w:rsidR="008D2A9C" w:rsidRDefault="00F059AA" w:rsidP="007C26B7">
      <w:pPr>
        <w:spacing w:line="276" w:lineRule="auto"/>
      </w:pPr>
      <w:r w:rsidRPr="00301583">
        <w:t xml:space="preserve">Statistics and survey data suggest a relatively high level of wealth </w:t>
      </w:r>
      <w:r w:rsidR="000558B2" w:rsidRPr="00301583">
        <w:t xml:space="preserve">in </w:t>
      </w:r>
      <w:r w:rsidRPr="00301583">
        <w:t>Slovakia as compared to fellow post-socialist countries, evidenced by the rate of the population that managed to avoid poverty or social exclusion. The rate of neither poor nor e</w:t>
      </w:r>
      <w:r w:rsidRPr="00301583">
        <w:t>x</w:t>
      </w:r>
      <w:r w:rsidRPr="00301583">
        <w:t xml:space="preserve">cluded members of the population in the Slovak </w:t>
      </w:r>
      <w:r w:rsidR="00316E93" w:rsidRPr="00301583">
        <w:t>R</w:t>
      </w:r>
      <w:r w:rsidRPr="00301583">
        <w:t xml:space="preserve">epublic (79.4%) is higher than the EU average (75.9%), well above the EU-12 (69.6%) and almost reaches the two most developed post-socialist countries, Slovenia and the Czech Republic, which have somewhat better rates (80.7% and 84.7% respectively). Compared to 2005, Slovakia got ahead of its main competitors, Estonia and Hungary, two countries that have been hit harder by the 2008-2009 crisis.However, poverty and social exclusion do exist in Slovakia to a significant extent, but with specificities, namely, </w:t>
      </w:r>
      <w:r w:rsidRPr="00174D27">
        <w:t>in a ge</w:t>
      </w:r>
      <w:r w:rsidRPr="00174D27">
        <w:t>o</w:t>
      </w:r>
      <w:r w:rsidRPr="00174D27">
        <w:t>graphically and socially (ethnically) concentrated (multiplied) manner</w:t>
      </w:r>
      <w:r w:rsidRPr="00301583">
        <w:t xml:space="preserve">. </w:t>
      </w:r>
      <w:r w:rsidR="002C258E" w:rsidRPr="00301583">
        <w:t>A solid stru</w:t>
      </w:r>
      <w:r w:rsidR="002C258E" w:rsidRPr="00301583">
        <w:t>c</w:t>
      </w:r>
      <w:r w:rsidR="002C258E" w:rsidRPr="00301583">
        <w:t xml:space="preserve">tural crisis has been prevailing in Slovakia impacting mainly the southern regions from Nitra via </w:t>
      </w:r>
      <w:r w:rsidR="00C27D13">
        <w:t>Banská Bystrica</w:t>
      </w:r>
      <w:r w:rsidR="002C258E" w:rsidRPr="00301583">
        <w:t xml:space="preserve"> towards Prešov and Košice: 80% of those who have been job seekers for longer than 3 years were registered in these four NUTS3 r</w:t>
      </w:r>
      <w:r w:rsidR="002C258E" w:rsidRPr="00301583">
        <w:t>e</w:t>
      </w:r>
      <w:r w:rsidR="002C258E" w:rsidRPr="00301583">
        <w:t xml:space="preserve">gions in 2012. The highest rate of very longterm job seekers was measured in </w:t>
      </w:r>
      <w:r w:rsidR="000558B2" w:rsidRPr="00301583">
        <w:t xml:space="preserve">the researched NUTS3 region of </w:t>
      </w:r>
      <w:r w:rsidR="00C27D13">
        <w:t>Banská Bystrica</w:t>
      </w:r>
      <w:r w:rsidR="002C258E" w:rsidRPr="00301583">
        <w:t xml:space="preserve"> (31%) whilst this rate was 27% in the regions of Prešov and Košice. This solid structural crisis has been the main cause of spreading poverty and social exclusion</w:t>
      </w:r>
      <w:r w:rsidR="00316E93" w:rsidRPr="00301583">
        <w:t xml:space="preserve"> hitting Romany people the most</w:t>
      </w:r>
      <w:r w:rsidR="008D2A9C">
        <w:t>.</w:t>
      </w:r>
    </w:p>
    <w:p w:rsidR="000558B2" w:rsidRPr="00301583" w:rsidRDefault="000558B2" w:rsidP="007C26B7">
      <w:pPr>
        <w:spacing w:line="276" w:lineRule="auto"/>
      </w:pPr>
      <w:r w:rsidRPr="00301583">
        <w:t>Data on educational attainment also show some Slovakian specificity. The first issue that needs to be highlighted is the extremely low rate of preschool enrolment of R</w:t>
      </w:r>
      <w:r w:rsidRPr="00301583">
        <w:t>o</w:t>
      </w:r>
      <w:r w:rsidRPr="00301583">
        <w:t xml:space="preserve">ma children and non-Roma alike, but especially Roma: only one quarter of Roma children from segregated neighbourhoods </w:t>
      </w:r>
      <w:r w:rsidR="00316E93" w:rsidRPr="00301583">
        <w:t>we</w:t>
      </w:r>
      <w:r w:rsidRPr="00301583">
        <w:t>re enrolled into preschools</w:t>
      </w:r>
      <w:r w:rsidR="00316E93" w:rsidRPr="00301583">
        <w:t xml:space="preserve"> in 2011</w:t>
      </w:r>
      <w:r w:rsidRPr="00301583">
        <w:t>. According to our field research findings, this has to do with several factors, such as fees (though removed recently in the case of children of age five), lacking preschool capacities and finally, the location of the segregated Roma settlements: according to the recent Atlas of Roma, only a quarter of the population of the Roma neighbou</w:t>
      </w:r>
      <w:r w:rsidRPr="00301583">
        <w:t>r</w:t>
      </w:r>
      <w:r w:rsidRPr="00301583">
        <w:t>hoods live inside the administrative boundaries of villages/towns, the majority live at the edge (44%) or outside municipality boundaries at 0.9 to 7 km distance (32%). If public transportation is available, it is costly, and if it is not available, it is simply i</w:t>
      </w:r>
      <w:r w:rsidRPr="00301583">
        <w:t>m</w:t>
      </w:r>
      <w:r w:rsidRPr="00301583">
        <w:t xml:space="preserve">possible for most of the families to carry a child (or </w:t>
      </w:r>
      <w:r w:rsidR="00316E93" w:rsidRPr="00301583">
        <w:t xml:space="preserve">more </w:t>
      </w:r>
      <w:r w:rsidRPr="00301583">
        <w:t>children) to the kinderga</w:t>
      </w:r>
      <w:r w:rsidRPr="00301583">
        <w:t>r</w:t>
      </w:r>
      <w:r w:rsidRPr="00301583">
        <w:t xml:space="preserve">ten. </w:t>
      </w:r>
    </w:p>
    <w:p w:rsidR="000558B2" w:rsidRPr="00301583" w:rsidRDefault="000558B2" w:rsidP="007C26B7">
      <w:pPr>
        <w:spacing w:line="276" w:lineRule="auto"/>
      </w:pPr>
      <w:r w:rsidRPr="00301583">
        <w:t xml:space="preserve">According to the survey data, 90% of Roma who live in segregated neighbourhoods suffer from material deprivation, 80% from severe material deprivation and 87% of </w:t>
      </w:r>
      <w:r w:rsidRPr="00301583">
        <w:lastRenderedPageBreak/>
        <w:t xml:space="preserve">them fell under the poverty threshold in 2011. The gap between Roma and non-Roma was significant; the rate of deprived or poor was almost two times higher in the ranks of the Roma, one third of </w:t>
      </w:r>
      <w:r w:rsidR="008C32A1">
        <w:t>those who</w:t>
      </w:r>
      <w:r w:rsidRPr="00301583">
        <w:t>lacked access to secure housing and the majority of whom (91%) lived in financial insecurity. Like in Hungary, the majority of Roma would prefer living dispersed among non-Roma (72%), but their wish is r</w:t>
      </w:r>
      <w:r w:rsidRPr="00301583">
        <w:t>e</w:t>
      </w:r>
      <w:r w:rsidRPr="00301583">
        <w:t>fused completely by the latter group.</w:t>
      </w:r>
    </w:p>
    <w:p w:rsidR="00434E8B" w:rsidRPr="00301583" w:rsidRDefault="00434E8B" w:rsidP="007C26B7">
      <w:pPr>
        <w:spacing w:line="276" w:lineRule="auto"/>
      </w:pPr>
      <w:r w:rsidRPr="00301583">
        <w:t>In the empirical phase of the research thirty semi-structured interviews were co</w:t>
      </w:r>
      <w:r w:rsidRPr="00301583">
        <w:t>n</w:t>
      </w:r>
      <w:r w:rsidRPr="00301583">
        <w:t xml:space="preserve">ducted with village officials, parents, representatives of NGOs engaged in developing projects, preschool leaders, principals of ordinary and special schools in two villages (one Hungarian and one Slovak) and a Roma only school in the district centre </w:t>
      </w:r>
      <w:r w:rsidR="00316E93" w:rsidRPr="00301583">
        <w:t xml:space="preserve">of </w:t>
      </w:r>
      <w:r w:rsidRPr="00301583">
        <w:t>R</w:t>
      </w:r>
      <w:r w:rsidRPr="00301583">
        <w:t>i</w:t>
      </w:r>
      <w:r w:rsidRPr="00301583">
        <w:t xml:space="preserve">mavská Sobota. Principals of secondary schools </w:t>
      </w:r>
      <w:r w:rsidR="00BD5CE2" w:rsidRPr="00301583">
        <w:t xml:space="preserve">were interviewed </w:t>
      </w:r>
      <w:r w:rsidRPr="00301583">
        <w:t xml:space="preserve">in Rimavská Sobota </w:t>
      </w:r>
      <w:r w:rsidRPr="00301583">
        <w:rPr>
          <w:iCs/>
        </w:rPr>
        <w:t>Tornaľa</w:t>
      </w:r>
      <w:r w:rsidR="00BD5CE2" w:rsidRPr="00301583">
        <w:t xml:space="preserve"> and Hnúšťa</w:t>
      </w:r>
      <w:r w:rsidRPr="00301583">
        <w:t xml:space="preserve"> and representatives of town officials working in the ar</w:t>
      </w:r>
      <w:r w:rsidRPr="00301583">
        <w:t>e</w:t>
      </w:r>
      <w:r w:rsidRPr="00301583">
        <w:t>as of social services and education. Three semi-structured interviews were conduc</w:t>
      </w:r>
      <w:r w:rsidRPr="00301583">
        <w:t>t</w:t>
      </w:r>
      <w:r w:rsidRPr="00301583">
        <w:t>ed with experts of Roma issues at national level to unfold policy measures affecting education and social integration.</w:t>
      </w:r>
    </w:p>
    <w:p w:rsidR="00AC657F" w:rsidRPr="00301583" w:rsidRDefault="00AC657F" w:rsidP="007C26B7">
      <w:pPr>
        <w:spacing w:line="276" w:lineRule="auto"/>
      </w:pPr>
      <w:r w:rsidRPr="00301583">
        <w:t>Severe disadvantages of Roma children were identified in each primary school. Ci</w:t>
      </w:r>
      <w:r w:rsidRPr="00301583">
        <w:t>r</w:t>
      </w:r>
      <w:r w:rsidRPr="00301583">
        <w:t>cumstances were obviously the best in the school of Klenovec, as the rate of Rom</w:t>
      </w:r>
      <w:r w:rsidRPr="00301583">
        <w:t>a</w:t>
      </w:r>
      <w:r w:rsidRPr="00301583">
        <w:t xml:space="preserve">ny children was below 50% and most of them had consolidated family background. Pupils living in the segregated Roma settlement of Klenovec were as problematic as their counterparts in the Village of Rimavská </w:t>
      </w:r>
      <w:r w:rsidR="00B15A22" w:rsidRPr="00301583">
        <w:t>Seč</w:t>
      </w:r>
      <w:r w:rsidRPr="00301583">
        <w:t xml:space="preserve"> and at the ghetto school of the (u</w:t>
      </w:r>
      <w:r w:rsidRPr="00301583">
        <w:t>r</w:t>
      </w:r>
      <w:r w:rsidRPr="00301583">
        <w:t>ban) segregated neighbourhood of Rimanská Sobota. Low motivation of children as a rule, declining performance in upper grades, low number of pupils who continue in secondary education and even fewer who graduate; these are the common traits of accounts. At secondary level, vocational schools perform high dropout rates, esp</w:t>
      </w:r>
      <w:r w:rsidRPr="00301583">
        <w:t>e</w:t>
      </w:r>
      <w:r w:rsidRPr="00301583">
        <w:t>cially in case of girls. Contrarily, Roma children in gymnasiums work hard and ma</w:t>
      </w:r>
      <w:r w:rsidRPr="00301583">
        <w:t>n</w:t>
      </w:r>
      <w:r w:rsidRPr="00301583">
        <w:t xml:space="preserve">age to graduate; however, their number is significantly lower than in vocational schools. Free breakfast is not available among benefits, therefore hungry child and poor clothing is an everyday experience in these schools, especially in lower classes. </w:t>
      </w:r>
    </w:p>
    <w:p w:rsidR="00434E8B" w:rsidRPr="00301583" w:rsidRDefault="0015013F" w:rsidP="007C26B7">
      <w:pPr>
        <w:spacing w:line="276" w:lineRule="auto"/>
      </w:pPr>
      <w:r w:rsidRPr="00301583">
        <w:t xml:space="preserve">Disadvantages </w:t>
      </w:r>
      <w:r w:rsidR="00434E8B" w:rsidRPr="00301583">
        <w:t xml:space="preserve">are rarely mitigated by preschool and afternoon school attendance: though they have to pay half price (2 Euros in 2013), the most vulnerable households with seven to eight children cannot afford paying this fee. Usually half of the children cannot pass the readiness test, thus </w:t>
      </w:r>
      <w:r w:rsidR="00AD28CC">
        <w:t xml:space="preserve">they </w:t>
      </w:r>
      <w:r w:rsidR="00434E8B" w:rsidRPr="00301583">
        <w:t>start their school tenure in grade zero</w:t>
      </w:r>
      <w:r w:rsidR="00DE0CDE" w:rsidRPr="00301583">
        <w:t xml:space="preserve"> and the</w:t>
      </w:r>
      <w:r w:rsidR="00085E0C" w:rsidRPr="00301583">
        <w:t>y</w:t>
      </w:r>
      <w:r w:rsidR="00DE0CDE" w:rsidRPr="00301583">
        <w:t xml:space="preserve"> continue in special class or special school ending up at best in special secon</w:t>
      </w:r>
      <w:r w:rsidR="00DE0CDE" w:rsidRPr="00301583">
        <w:t>d</w:t>
      </w:r>
      <w:r w:rsidR="00DE0CDE" w:rsidRPr="00301583">
        <w:t>ary schools</w:t>
      </w:r>
      <w:r w:rsidR="00434E8B" w:rsidRPr="00301583">
        <w:t>.</w:t>
      </w:r>
      <w:r w:rsidR="00AC657F" w:rsidRPr="00301583">
        <w:t xml:space="preserve"> Special schools were available in each researched settlement and packed exclusively with Roma students.</w:t>
      </w:r>
      <w:r w:rsidR="00D517F2">
        <w:t xml:space="preserve"> </w:t>
      </w:r>
      <w:r w:rsidR="00AC657F" w:rsidRPr="00301583">
        <w:t>In ordinary classes</w:t>
      </w:r>
      <w:r w:rsidR="00DE0CDE" w:rsidRPr="00301583">
        <w:t>, o</w:t>
      </w:r>
      <w:r w:rsidR="00434E8B" w:rsidRPr="00301583">
        <w:t>nly few children are motivated at home and if they are, not for long enough. Most of them have difficulties with maths as well as with comprehending texts: they progress much slower than their fellow pupils of non-Roma background. Teaching languages is also a mistake in Roma-only schools of Hungarian teaching: these pupils are challenged and overbu</w:t>
      </w:r>
      <w:r w:rsidR="00434E8B" w:rsidRPr="00301583">
        <w:t>r</w:t>
      </w:r>
      <w:r w:rsidR="00434E8B" w:rsidRPr="00301583">
        <w:t>dened by the seven Hungarian and five Slovakian classes each week (in the 3</w:t>
      </w:r>
      <w:r w:rsidR="00434E8B" w:rsidRPr="00301583">
        <w:rPr>
          <w:vertAlign w:val="superscript"/>
        </w:rPr>
        <w:t>rd</w:t>
      </w:r>
      <w:r w:rsidR="00434E8B" w:rsidRPr="00301583">
        <w:t xml:space="preserve"> and 4</w:t>
      </w:r>
      <w:r w:rsidR="00434E8B" w:rsidRPr="00301583">
        <w:rPr>
          <w:vertAlign w:val="superscript"/>
        </w:rPr>
        <w:t>th</w:t>
      </w:r>
      <w:r w:rsidR="00434E8B" w:rsidRPr="00301583">
        <w:t xml:space="preserve"> grade</w:t>
      </w:r>
      <w:r w:rsidR="00085E0C" w:rsidRPr="00301583">
        <w:t>s</w:t>
      </w:r>
      <w:r w:rsidR="00434E8B" w:rsidRPr="00301583">
        <w:t>). Therefore, most of them underperform and</w:t>
      </w:r>
      <w:r w:rsidR="00AC657F" w:rsidRPr="00301583">
        <w:t>, from the ghetto school of Rimavská Sobota,</w:t>
      </w:r>
      <w:r w:rsidR="00434E8B" w:rsidRPr="00301583">
        <w:t xml:space="preserve"> only an average of five to six children can continue to an ordinary school once </w:t>
      </w:r>
      <w:r w:rsidR="00AD28CC">
        <w:t xml:space="preserve">they </w:t>
      </w:r>
      <w:r w:rsidR="00434E8B" w:rsidRPr="00301583">
        <w:t>finish the 4</w:t>
      </w:r>
      <w:r w:rsidR="00434E8B" w:rsidRPr="00301583">
        <w:rPr>
          <w:vertAlign w:val="superscript"/>
        </w:rPr>
        <w:t>th</w:t>
      </w:r>
      <w:r w:rsidR="00434E8B" w:rsidRPr="00301583">
        <w:t xml:space="preserve"> grade </w:t>
      </w:r>
      <w:r w:rsidR="00AC657F" w:rsidRPr="00301583">
        <w:t>t</w:t>
      </w:r>
      <w:r w:rsidR="00434E8B" w:rsidRPr="00301583">
        <w:t>here, while the rest continue to the special school located in the town or special classes in of one of the primary schools.</w:t>
      </w:r>
    </w:p>
    <w:p w:rsidR="00AC657F" w:rsidRPr="00301583" w:rsidRDefault="00AC657F" w:rsidP="007C26B7">
      <w:pPr>
        <w:spacing w:line="276" w:lineRule="auto"/>
        <w:rPr>
          <w:rFonts w:cs="Arial"/>
          <w:noProof/>
          <w:szCs w:val="22"/>
        </w:rPr>
      </w:pPr>
      <w:r w:rsidRPr="00301583">
        <w:lastRenderedPageBreak/>
        <w:t>There are important and effective social policy tools against the consequences of poverty (free meals and free equipment for the needy) and segregation like teacher assistants at school and field social workers at segregated neighbourhoods: the la</w:t>
      </w:r>
      <w:r w:rsidRPr="00301583">
        <w:t>t</w:t>
      </w:r>
      <w:r w:rsidRPr="00301583">
        <w:t>ter, field social worker as a thin path between segregated settlements and the ou</w:t>
      </w:r>
      <w:r w:rsidRPr="00301583">
        <w:t>t</w:t>
      </w:r>
      <w:r w:rsidRPr="00301583">
        <w:t>side world is not so common in the region, therefore experiences could be shared among social policy experts and practitioners. An area based so called “Comprehe</w:t>
      </w:r>
      <w:r w:rsidRPr="00301583">
        <w:t>n</w:t>
      </w:r>
      <w:r w:rsidRPr="00301583">
        <w:t>sive Approach” Program</w:t>
      </w:r>
      <w:r w:rsidR="00420C22" w:rsidRPr="00301583">
        <w:t xml:space="preserve"> aiming communities with significant Roma population </w:t>
      </w:r>
      <w:r w:rsidRPr="00301583">
        <w:t xml:space="preserve">was also launched </w:t>
      </w:r>
      <w:r w:rsidR="00420C22" w:rsidRPr="00301583">
        <w:t xml:space="preserve">first </w:t>
      </w:r>
      <w:r w:rsidRPr="00301583">
        <w:t>in 2002, then in 2007, but for a number of reasons it</w:t>
      </w:r>
      <w:r w:rsidR="00420C22" w:rsidRPr="00301583">
        <w:t xml:space="preserve"> practically failed.</w:t>
      </w:r>
    </w:p>
    <w:p w:rsidR="00434E8B" w:rsidRPr="00301583" w:rsidRDefault="00AC657F" w:rsidP="007C26B7">
      <w:pPr>
        <w:spacing w:line="276" w:lineRule="auto"/>
      </w:pPr>
      <w:r w:rsidRPr="00301583">
        <w:t xml:space="preserve">Desegregation policies drafted in the </w:t>
      </w:r>
      <w:r w:rsidR="000D040F" w:rsidRPr="00301583">
        <w:t xml:space="preserve">Strategy for Integration of Roma </w:t>
      </w:r>
      <w:r w:rsidR="00C867D8" w:rsidRPr="00301583">
        <w:t>(2012)</w:t>
      </w:r>
      <w:r w:rsidRPr="00301583">
        <w:t xml:space="preserve"> do a</w:t>
      </w:r>
      <w:r w:rsidRPr="00301583">
        <w:t>d</w:t>
      </w:r>
      <w:r w:rsidRPr="00301583">
        <w:t xml:space="preserve">dress </w:t>
      </w:r>
      <w:r w:rsidR="00C867D8" w:rsidRPr="00301583">
        <w:t xml:space="preserve">the </w:t>
      </w:r>
      <w:r w:rsidR="00420C22" w:rsidRPr="00301583">
        <w:t xml:space="preserve">participation rate of Roma children at preschool and </w:t>
      </w:r>
      <w:r w:rsidRPr="00301583">
        <w:t xml:space="preserve">the parallel system of education but nothing yet come to force </w:t>
      </w:r>
      <w:r w:rsidR="00C867D8" w:rsidRPr="00301583">
        <w:t>until 2013</w:t>
      </w:r>
      <w:r w:rsidR="00AD28CC">
        <w:t>.W</w:t>
      </w:r>
      <w:r w:rsidR="00420C22" w:rsidRPr="00301583">
        <w:t xml:space="preserve">hat is more, worrisome new language and new tone appeared in the declaration of the current Plenipotentiary of the Slovakian Government for Roma Communities called Ten Basic Pillars. Although there are overlaps between the two chief documents, the </w:t>
      </w:r>
      <w:r w:rsidR="000D040F" w:rsidRPr="00301583">
        <w:t>Strategy for Integration of Roma</w:t>
      </w:r>
      <w:r w:rsidR="00420C22" w:rsidRPr="00301583">
        <w:t xml:space="preserve">, on the one hand, and the declaration of the </w:t>
      </w:r>
      <w:r w:rsidR="004E49BB" w:rsidRPr="00301583">
        <w:t xml:space="preserve">Plenipotentiary, on the other hand, the </w:t>
      </w:r>
      <w:r w:rsidR="00420C22" w:rsidRPr="00301583">
        <w:t xml:space="preserve">conformity of the </w:t>
      </w:r>
      <w:r w:rsidR="004E49BB" w:rsidRPr="00301583">
        <w:t xml:space="preserve">latter </w:t>
      </w:r>
      <w:r w:rsidR="00420C22" w:rsidRPr="00301583">
        <w:t>to EU principle</w:t>
      </w:r>
      <w:r w:rsidR="0063218F">
        <w:t>s / laws is highly questionable</w:t>
      </w:r>
      <w:r w:rsidR="00420C22" w:rsidRPr="00301583">
        <w:t xml:space="preserve"> </w:t>
      </w:r>
      <w:r w:rsidR="00420C22" w:rsidRPr="00301583">
        <w:rPr>
          <w:rFonts w:cs="Arial"/>
          <w:szCs w:val="22"/>
        </w:rPr>
        <w:t>(</w:t>
      </w:r>
      <w:r w:rsidR="0063218F">
        <w:rPr>
          <w:rFonts w:cs="Arial"/>
          <w:szCs w:val="22"/>
        </w:rPr>
        <w:t xml:space="preserve">see </w:t>
      </w:r>
      <w:r w:rsidR="00420C22" w:rsidRPr="00301583">
        <w:rPr>
          <w:rFonts w:cs="Arial"/>
          <w:szCs w:val="22"/>
        </w:rPr>
        <w:t xml:space="preserve">Annex </w:t>
      </w:r>
      <w:r w:rsidR="0063218F">
        <w:rPr>
          <w:rFonts w:cs="Arial"/>
          <w:szCs w:val="22"/>
        </w:rPr>
        <w:t>4</w:t>
      </w:r>
      <w:r w:rsidR="00420C22" w:rsidRPr="00301583">
        <w:rPr>
          <w:rFonts w:cs="Arial"/>
          <w:szCs w:val="22"/>
        </w:rPr>
        <w:t>)</w:t>
      </w:r>
    </w:p>
    <w:p w:rsidR="00AC657F" w:rsidRPr="00301583" w:rsidRDefault="00AC657F" w:rsidP="00261332"/>
    <w:p w:rsidR="00AC657F" w:rsidRPr="00301583" w:rsidRDefault="00AC657F" w:rsidP="00261332">
      <w:pPr>
        <w:sectPr w:rsidR="00AC657F" w:rsidRPr="00301583" w:rsidSect="00740131">
          <w:pgSz w:w="11906" w:h="16838"/>
          <w:pgMar w:top="1644" w:right="1797" w:bottom="1644" w:left="1797" w:header="720" w:footer="720" w:gutter="0"/>
          <w:pgNumType w:fmt="lowerRoman" w:start="9"/>
          <w:cols w:space="720"/>
        </w:sectPr>
      </w:pPr>
    </w:p>
    <w:p w:rsidR="00007B80" w:rsidRPr="00301583" w:rsidRDefault="007C26B7" w:rsidP="00007B80">
      <w:pPr>
        <w:pStyle w:val="Heading1"/>
        <w:rPr>
          <w:noProof/>
        </w:rPr>
      </w:pPr>
      <w:bookmarkStart w:id="5" w:name="_Toc380500961"/>
      <w:bookmarkStart w:id="6" w:name="_Toc385271077"/>
      <w:bookmarkStart w:id="7" w:name="_Toc385939040"/>
      <w:r>
        <w:rPr>
          <w:noProof/>
        </w:rPr>
        <w:lastRenderedPageBreak/>
        <w:t>The regional c</w:t>
      </w:r>
      <w:r w:rsidR="00261332" w:rsidRPr="00301583">
        <w:rPr>
          <w:noProof/>
        </w:rPr>
        <w:t>ontext</w:t>
      </w:r>
      <w:bookmarkEnd w:id="5"/>
      <w:bookmarkEnd w:id="6"/>
      <w:bookmarkEnd w:id="7"/>
    </w:p>
    <w:p w:rsidR="00536563" w:rsidRPr="00301583" w:rsidRDefault="00536563" w:rsidP="00536563"/>
    <w:p w:rsidR="008D2A9C" w:rsidRPr="008D2A9C" w:rsidRDefault="00A752E6" w:rsidP="008D2A9C">
      <w:pPr>
        <w:spacing w:after="240" w:line="276" w:lineRule="auto"/>
      </w:pPr>
      <w:r>
        <w:t>Banskobystick</w:t>
      </w:r>
      <w:r w:rsidRPr="00A752E6">
        <w:rPr>
          <w:rFonts w:cs="Arial"/>
          <w:bCs/>
          <w:szCs w:val="22"/>
          <w:lang w:eastAsia="hu-HU"/>
        </w:rPr>
        <w:t>ý</w:t>
      </w:r>
      <w:r>
        <w:t xml:space="preserve"> kray (hereinafter </w:t>
      </w:r>
      <w:r w:rsidR="00C27D13">
        <w:t>Banská Bystrica</w:t>
      </w:r>
      <w:r>
        <w:t>)</w:t>
      </w:r>
      <w:r w:rsidR="00CA2510" w:rsidRPr="00301583">
        <w:t xml:space="preserve"> is situated in </w:t>
      </w:r>
      <w:r w:rsidR="001E4818" w:rsidRPr="00301583">
        <w:t>Stredné Slovensko</w:t>
      </w:r>
      <w:r w:rsidR="00E8231A">
        <w:t xml:space="preserve"> </w:t>
      </w:r>
      <w:r w:rsidR="001E4818">
        <w:t xml:space="preserve">(hereinafter Central Slovakia) </w:t>
      </w:r>
      <w:r w:rsidR="00CA2510" w:rsidRPr="00301583">
        <w:t xml:space="preserve">next to the </w:t>
      </w:r>
      <w:r w:rsidR="0064504F" w:rsidRPr="00301583">
        <w:t>Hungarian border of the country. Since the reform of territorial administration in 1996 the NUTS</w:t>
      </w:r>
      <w:r w:rsidR="00CA2510" w:rsidRPr="00301583">
        <w:t xml:space="preserve">3 </w:t>
      </w:r>
      <w:r w:rsidR="0064504F" w:rsidRPr="00301583">
        <w:t>unit</w:t>
      </w:r>
      <w:r w:rsidR="00E8231A">
        <w:t xml:space="preserve"> </w:t>
      </w:r>
      <w:r w:rsidR="0064504F" w:rsidRPr="00301583">
        <w:t xml:space="preserve">also forms a </w:t>
      </w:r>
      <w:r w:rsidR="00CA2510" w:rsidRPr="00301583">
        <w:t xml:space="preserve">government unit </w:t>
      </w:r>
      <w:r w:rsidR="0064504F" w:rsidRPr="00301583">
        <w:t>named “kraj” (region), which is the highest-level administrative unit in the Slovak Republic</w:t>
      </w:r>
      <w:r w:rsidR="00CA2510" w:rsidRPr="00301583">
        <w:t xml:space="preserve">. </w:t>
      </w:r>
      <w:r w:rsidR="00C27D13">
        <w:t>Banská Bystrica</w:t>
      </w:r>
      <w:r w:rsidR="0064504F" w:rsidRPr="00301583">
        <w:t xml:space="preserve"> and its north neighbour Žilinský kraj</w:t>
      </w:r>
      <w:r w:rsidR="00252305">
        <w:t xml:space="preserve"> (hereinafter </w:t>
      </w:r>
      <w:r w:rsidR="00252305" w:rsidRPr="00301583">
        <w:t>Žilin</w:t>
      </w:r>
      <w:r w:rsidR="00252305">
        <w:t>a)</w:t>
      </w:r>
      <w:r w:rsidR="007C26B7">
        <w:t xml:space="preserve"> </w:t>
      </w:r>
      <w:r w:rsidR="0038087F" w:rsidRPr="00301583">
        <w:t xml:space="preserve">together </w:t>
      </w:r>
      <w:r w:rsidR="0064504F" w:rsidRPr="00301583">
        <w:t xml:space="preserve">constitute </w:t>
      </w:r>
      <w:r w:rsidR="00DE5F3D" w:rsidRPr="00301583">
        <w:t>Central Slovakia NUTS2 statistical region.</w:t>
      </w:r>
      <w:r w:rsidR="00E8231A">
        <w:t xml:space="preserve"> </w:t>
      </w:r>
      <w:r w:rsidR="008D1D15" w:rsidRPr="00301583">
        <w:t xml:space="preserve">As a result of its central position within Slovakia </w:t>
      </w:r>
      <w:r w:rsidR="00C27D13">
        <w:t>Banská Bystrica</w:t>
      </w:r>
      <w:r w:rsidR="008D1D15" w:rsidRPr="00301583">
        <w:t xml:space="preserve"> has several neighbours. Beside </w:t>
      </w:r>
      <w:r w:rsidRPr="00301583">
        <w:t>Ž</w:t>
      </w:r>
      <w:r>
        <w:t xml:space="preserve">ilina </w:t>
      </w:r>
      <w:r w:rsidR="008D1D15" w:rsidRPr="00301583">
        <w:t xml:space="preserve">it is contiguous to Trenčiansky kraj, </w:t>
      </w:r>
      <w:r>
        <w:t xml:space="preserve">(hereinafter Trenčín) Nitransky kray (hereinafter </w:t>
      </w:r>
      <w:r w:rsidR="00C27D13">
        <w:t>N</w:t>
      </w:r>
      <w:r w:rsidR="00C27D13">
        <w:t>i</w:t>
      </w:r>
      <w:r w:rsidR="00C27D13">
        <w:t>tra</w:t>
      </w:r>
      <w:r>
        <w:t>)</w:t>
      </w:r>
      <w:r w:rsidR="008D1D15" w:rsidRPr="00301583">
        <w:t xml:space="preserve">, </w:t>
      </w:r>
      <w:r w:rsidR="00C27D13">
        <w:t>Prešov</w:t>
      </w:r>
      <w:r>
        <w:t>sk</w:t>
      </w:r>
      <w:r w:rsidRPr="004F5C1E">
        <w:rPr>
          <w:rFonts w:cs="Arial"/>
          <w:bCs/>
          <w:szCs w:val="22"/>
          <w:lang w:eastAsia="hu-HU"/>
        </w:rPr>
        <w:t>ý</w:t>
      </w:r>
      <w:r>
        <w:rPr>
          <w:rFonts w:cs="Arial"/>
          <w:bCs/>
          <w:szCs w:val="22"/>
          <w:lang w:eastAsia="hu-HU"/>
        </w:rPr>
        <w:t xml:space="preserve"> kraj (hereinafter </w:t>
      </w:r>
      <w:r>
        <w:t>Prešov)</w:t>
      </w:r>
      <w:r w:rsidR="008D1D15" w:rsidRPr="00301583">
        <w:t xml:space="preserve"> and</w:t>
      </w:r>
      <w:r>
        <w:t xml:space="preserve"> Košick</w:t>
      </w:r>
      <w:r w:rsidRPr="004F5C1E">
        <w:rPr>
          <w:rFonts w:cs="Arial"/>
          <w:bCs/>
          <w:szCs w:val="22"/>
          <w:lang w:eastAsia="hu-HU"/>
        </w:rPr>
        <w:t>ý</w:t>
      </w:r>
      <w:r>
        <w:t xml:space="preserve"> kraj (hereinafter</w:t>
      </w:r>
      <w:r w:rsidR="00E8231A">
        <w:t xml:space="preserve"> </w:t>
      </w:r>
      <w:r w:rsidR="00C27D13">
        <w:t>Košice</w:t>
      </w:r>
      <w:r>
        <w:t>)</w:t>
      </w:r>
      <w:r w:rsidR="008D1D15" w:rsidRPr="00301583">
        <w:t>.</w:t>
      </w:r>
      <w:r w:rsidR="0038087F" w:rsidRPr="00301583">
        <w:t xml:space="preserve"> Orig</w:t>
      </w:r>
      <w:r w:rsidR="0038087F" w:rsidRPr="00301583">
        <w:t>i</w:t>
      </w:r>
      <w:r w:rsidR="0038087F" w:rsidRPr="00301583">
        <w:t xml:space="preserve">nally </w:t>
      </w:r>
      <w:r w:rsidR="00C27D13">
        <w:t>Banská Bystrica</w:t>
      </w:r>
      <w:r w:rsidR="00321E1D" w:rsidRPr="00301583">
        <w:t>was only establis</w:t>
      </w:r>
      <w:r w:rsidR="0038087F" w:rsidRPr="00301583">
        <w:t>hed in 1923</w:t>
      </w:r>
      <w:r w:rsidR="00A44DF8">
        <w:t>;</w:t>
      </w:r>
      <w:r w:rsidR="0038087F" w:rsidRPr="00301583">
        <w:t xml:space="preserve"> however</w:t>
      </w:r>
      <w:r w:rsidR="00A44DF8">
        <w:t>,</w:t>
      </w:r>
      <w:r w:rsidR="0038087F" w:rsidRPr="00301583">
        <w:t xml:space="preserve"> the traditional economic profile</w:t>
      </w:r>
      <w:r w:rsidR="00321E1D" w:rsidRPr="00301583">
        <w:t xml:space="preserve"> and history of the area still ha</w:t>
      </w:r>
      <w:r w:rsidR="0038087F" w:rsidRPr="00301583">
        <w:t>ve</w:t>
      </w:r>
      <w:r w:rsidR="00E8231A">
        <w:t xml:space="preserve"> </w:t>
      </w:r>
      <w:r w:rsidR="0038087F" w:rsidRPr="00301583">
        <w:t>their</w:t>
      </w:r>
      <w:r w:rsidR="00321E1D" w:rsidRPr="00301583">
        <w:t xml:space="preserve"> influence on the present social and ec</w:t>
      </w:r>
      <w:r w:rsidR="00321E1D" w:rsidRPr="00301583">
        <w:t>o</w:t>
      </w:r>
      <w:r w:rsidR="00321E1D" w:rsidRPr="00301583">
        <w:t>nomic conditions of the region.</w:t>
      </w:r>
    </w:p>
    <w:p w:rsidR="005A5577" w:rsidRDefault="005A5577" w:rsidP="005A5577">
      <w:pPr>
        <w:keepNext/>
      </w:pPr>
      <w:r>
        <w:rPr>
          <w:noProof/>
          <w:lang w:val="fi-FI" w:eastAsia="fi-FI"/>
        </w:rPr>
        <w:drawing>
          <wp:inline distT="0" distB="0" distL="0" distR="0" wp14:anchorId="77CCFDE1" wp14:editId="0E34AB95">
            <wp:extent cx="5278755" cy="472948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 TIPSE case study areas CLC per GRID_Banská Bystrica_2_freigestellt.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8755" cy="4729480"/>
                    </a:xfrm>
                    <a:prstGeom prst="rect">
                      <a:avLst/>
                    </a:prstGeom>
                  </pic:spPr>
                </pic:pic>
              </a:graphicData>
            </a:graphic>
          </wp:inline>
        </w:drawing>
      </w:r>
    </w:p>
    <w:p w:rsidR="005A5577" w:rsidRPr="00301583" w:rsidRDefault="005A5577" w:rsidP="005A5577">
      <w:pPr>
        <w:pStyle w:val="Caption"/>
      </w:pPr>
      <w:bookmarkStart w:id="8" w:name="_Toc398897954"/>
      <w:r>
        <w:t xml:space="preserve">Map </w:t>
      </w:r>
      <w:r>
        <w:fldChar w:fldCharType="begin"/>
      </w:r>
      <w:r>
        <w:instrText xml:space="preserve"> SEQ Map \* ARABIC </w:instrText>
      </w:r>
      <w:r>
        <w:fldChar w:fldCharType="separate"/>
      </w:r>
      <w:r w:rsidR="00DC6D66">
        <w:rPr>
          <w:noProof/>
        </w:rPr>
        <w:t>1</w:t>
      </w:r>
      <w:r>
        <w:fldChar w:fldCharType="end"/>
      </w:r>
      <w:r>
        <w:t>: Banská Bystrica in the context of the ESPON s</w:t>
      </w:r>
      <w:r w:rsidRPr="00301583">
        <w:t>pace</w:t>
      </w:r>
      <w:bookmarkEnd w:id="8"/>
    </w:p>
    <w:p w:rsidR="00663029" w:rsidRPr="00301583" w:rsidRDefault="00663029" w:rsidP="00B73ADE">
      <w:pPr>
        <w:pStyle w:val="Caption"/>
        <w:rPr>
          <w:b w:val="0"/>
        </w:rPr>
      </w:pPr>
      <w:bookmarkStart w:id="9" w:name="_Toc333568274"/>
    </w:p>
    <w:p w:rsidR="00663029" w:rsidRPr="00301583" w:rsidRDefault="00DE6E5D" w:rsidP="001E5FFE">
      <w:pPr>
        <w:spacing w:line="276" w:lineRule="auto"/>
      </w:pPr>
      <w:r w:rsidRPr="00301583">
        <w:lastRenderedPageBreak/>
        <w:t xml:space="preserve">The economic </w:t>
      </w:r>
      <w:r w:rsidR="0038087F" w:rsidRPr="00301583">
        <w:t>profile</w:t>
      </w:r>
      <w:r w:rsidR="00E8231A">
        <w:t xml:space="preserve"> </w:t>
      </w:r>
      <w:r w:rsidR="0038087F" w:rsidRPr="00301583">
        <w:t xml:space="preserve">of </w:t>
      </w:r>
      <w:r w:rsidR="00C27D13">
        <w:t>Banská Bystrica</w:t>
      </w:r>
      <w:r w:rsidRPr="00301583">
        <w:t xml:space="preserve"> has always been determined by primary and extractive industries such as </w:t>
      </w:r>
      <w:r w:rsidR="007635E7" w:rsidRPr="00301583">
        <w:t>forestry</w:t>
      </w:r>
      <w:r w:rsidRPr="00301583">
        <w:t xml:space="preserve"> and logging, mining or manufactur</w:t>
      </w:r>
      <w:r w:rsidR="0038087F" w:rsidRPr="00301583">
        <w:t>ing</w:t>
      </w:r>
      <w:r w:rsidRPr="00301583">
        <w:t xml:space="preserve"> non-metallic mineral products (cement etc.). </w:t>
      </w:r>
      <w:r w:rsidR="00754CCC" w:rsidRPr="00301583">
        <w:t xml:space="preserve">In the socialist era Slovakia </w:t>
      </w:r>
      <w:r w:rsidR="00712E1B" w:rsidRPr="00301583">
        <w:t>came close to the economic development level of Czech Republic (within the common state, Czechoslovakia) due to the great investments of the socialist industry. However</w:t>
      </w:r>
      <w:r w:rsidR="00A44DF8">
        <w:t>,</w:t>
      </w:r>
      <w:r w:rsidR="00712E1B" w:rsidRPr="00301583">
        <w:t xml:space="preserve"> it could not be</w:t>
      </w:r>
      <w:r w:rsidR="00736CCE" w:rsidRPr="00301583">
        <w:t>come</w:t>
      </w:r>
      <w:r w:rsidR="00712E1B" w:rsidRPr="00301583">
        <w:t xml:space="preserve"> the lasting mover of the economy as heavy and modern industry was lacking in strong roots in the area</w:t>
      </w:r>
      <w:r w:rsidR="00EB721C" w:rsidRPr="00301583">
        <w:t xml:space="preserve">, causing structural </w:t>
      </w:r>
      <w:r w:rsidR="00861254" w:rsidRPr="00301583">
        <w:t>disproportions</w:t>
      </w:r>
      <w:r w:rsidR="00EB721C" w:rsidRPr="00301583">
        <w:t xml:space="preserve"> with </w:t>
      </w:r>
      <w:r w:rsidR="00736CCE" w:rsidRPr="00301583">
        <w:t>their</w:t>
      </w:r>
      <w:r w:rsidR="00EB721C" w:rsidRPr="00301583">
        <w:t xml:space="preserve"> negative effects</w:t>
      </w:r>
      <w:r w:rsidR="00712E1B" w:rsidRPr="00301583">
        <w:t xml:space="preserve">. </w:t>
      </w:r>
      <w:r w:rsidR="00663029" w:rsidRPr="00301583">
        <w:t xml:space="preserve">After the political change of regime and with the socio-economic transition of the early nineties </w:t>
      </w:r>
      <w:r w:rsidR="00C27D13">
        <w:t>Banská Bystrica</w:t>
      </w:r>
      <w:r w:rsidR="00EB721C" w:rsidRPr="00301583">
        <w:t xml:space="preserve"> – along with several other regions of Slovakia – </w:t>
      </w:r>
      <w:r w:rsidR="00663029" w:rsidRPr="00301583">
        <w:t>got into a deep structural crisis</w:t>
      </w:r>
      <w:r w:rsidR="00D25F99" w:rsidRPr="00301583">
        <w:t>. Traditional economic branches in the area like mining</w:t>
      </w:r>
      <w:r w:rsidR="00E8231A">
        <w:t xml:space="preserve"> </w:t>
      </w:r>
      <w:r w:rsidR="00EA2A3E" w:rsidRPr="00301583">
        <w:t xml:space="preserve">and agriculture </w:t>
      </w:r>
      <w:r w:rsidR="00D25F99" w:rsidRPr="00301583">
        <w:t xml:space="preserve">lost importance while branches of socialist industry </w:t>
      </w:r>
      <w:r w:rsidR="00663029" w:rsidRPr="00301583">
        <w:t>co</w:t>
      </w:r>
      <w:r w:rsidR="00663029" w:rsidRPr="00301583">
        <w:t>l</w:t>
      </w:r>
      <w:r w:rsidR="00663029" w:rsidRPr="00301583">
        <w:t>lapsed</w:t>
      </w:r>
      <w:r w:rsidR="00673843" w:rsidRPr="00301583">
        <w:t>,</w:t>
      </w:r>
      <w:r w:rsidR="00663029" w:rsidRPr="00301583">
        <w:t xml:space="preserve"> causing the </w:t>
      </w:r>
      <w:r w:rsidR="00673843" w:rsidRPr="00301583">
        <w:t xml:space="preserve">high rise of unemployment. </w:t>
      </w:r>
      <w:r w:rsidR="00C27D13">
        <w:t>Banská Bystrica</w:t>
      </w:r>
      <w:r w:rsidR="00EB7350" w:rsidRPr="00301583">
        <w:t xml:space="preserve"> nowadays is still one of </w:t>
      </w:r>
      <w:r w:rsidR="00736CCE" w:rsidRPr="00301583">
        <w:t xml:space="preserve">the </w:t>
      </w:r>
      <w:r w:rsidR="008609CC" w:rsidRPr="00301583">
        <w:t xml:space="preserve">Slovak regions affected by unemployment and the southern part of the region (Rimavská Sobota and its surroundings) is said to be </w:t>
      </w:r>
      <w:r w:rsidR="00F64433" w:rsidRPr="00301583">
        <w:t xml:space="preserve">one of </w:t>
      </w:r>
      <w:r w:rsidR="008609CC" w:rsidRPr="00301583">
        <w:t xml:space="preserve">the </w:t>
      </w:r>
      <w:r w:rsidR="0038087F" w:rsidRPr="00301583">
        <w:t xml:space="preserve">poorest </w:t>
      </w:r>
      <w:r w:rsidR="008609CC" w:rsidRPr="00301583">
        <w:t>area</w:t>
      </w:r>
      <w:r w:rsidR="00F64433" w:rsidRPr="00301583">
        <w:t>s</w:t>
      </w:r>
      <w:r w:rsidR="008609CC" w:rsidRPr="00301583">
        <w:t xml:space="preserve"> of the country.</w:t>
      </w:r>
    </w:p>
    <w:p w:rsidR="008D2A9C" w:rsidRDefault="005C7370" w:rsidP="008D2A9C">
      <w:pPr>
        <w:spacing w:line="276" w:lineRule="auto"/>
      </w:pPr>
      <w:r w:rsidRPr="00301583">
        <w:t>The position of the region, its geographical characteristics and the potential conne</w:t>
      </w:r>
      <w:r w:rsidRPr="00301583">
        <w:t>c</w:t>
      </w:r>
      <w:r w:rsidRPr="00301583">
        <w:t xml:space="preserve">tions with other areas also influence the socio-economic factors of </w:t>
      </w:r>
      <w:r w:rsidR="00C27D13">
        <w:t>Banská Bystrica</w:t>
      </w:r>
      <w:r w:rsidRPr="00301583">
        <w:t>.</w:t>
      </w:r>
      <w:r w:rsidR="00E8231A">
        <w:t xml:space="preserve"> </w:t>
      </w:r>
      <w:r w:rsidR="00F87AA6" w:rsidRPr="00301583">
        <w:t>It can be demonstrated through the presentation of s</w:t>
      </w:r>
      <w:r w:rsidRPr="00301583">
        <w:t>ome ESPON CU regional typol</w:t>
      </w:r>
      <w:r w:rsidRPr="00301583">
        <w:t>o</w:t>
      </w:r>
      <w:r w:rsidRPr="00301583">
        <w:t>gies</w:t>
      </w:r>
      <w:r w:rsidR="00F87AA6" w:rsidRPr="00301583">
        <w:t xml:space="preserve">. As </w:t>
      </w:r>
      <w:r w:rsidR="00736CCE" w:rsidRPr="00301583">
        <w:t xml:space="preserve">being </w:t>
      </w:r>
      <w:r w:rsidR="00F87AA6" w:rsidRPr="00301583">
        <w:t xml:space="preserve">situated in the middle of the continental Europe </w:t>
      </w:r>
      <w:r w:rsidR="00C27D13">
        <w:t>Banská Bystrica</w:t>
      </w:r>
      <w:r w:rsidR="00F87AA6" w:rsidRPr="00301583">
        <w:t xml:space="preserve"> is n</w:t>
      </w:r>
      <w:r w:rsidR="004712EF" w:rsidRPr="00301583">
        <w:t xml:space="preserve">ot covered by the classification of the coastal or the island typology. </w:t>
      </w:r>
      <w:r w:rsidR="00736CCE" w:rsidRPr="00301583">
        <w:t>Similarly to</w:t>
      </w:r>
      <w:r w:rsidR="004712EF" w:rsidRPr="00301583">
        <w:t xml:space="preserve"> all other regions of Slovakia </w:t>
      </w:r>
      <w:r w:rsidR="00C27D13">
        <w:t>Banská Bystrica</w:t>
      </w:r>
      <w:r w:rsidR="004712EF" w:rsidRPr="00301583">
        <w:t xml:space="preserve"> is also contiguous to</w:t>
      </w:r>
      <w:r w:rsidR="00736CCE" w:rsidRPr="00301583">
        <w:t xml:space="preserve"> other countries. The Sl</w:t>
      </w:r>
      <w:r w:rsidR="00736CCE" w:rsidRPr="00301583">
        <w:t>o</w:t>
      </w:r>
      <w:r w:rsidR="00736CCE" w:rsidRPr="00301583">
        <w:t>vakian</w:t>
      </w:r>
      <w:r w:rsidR="008D2A9C">
        <w:t>-</w:t>
      </w:r>
      <w:r w:rsidR="004712EF" w:rsidRPr="00301583">
        <w:t>Hungarian border is an internal border of the E</w:t>
      </w:r>
      <w:r w:rsidR="0038113C" w:rsidRPr="00301583">
        <w:t>U</w:t>
      </w:r>
      <w:r w:rsidR="004712EF" w:rsidRPr="00301583">
        <w:t xml:space="preserve"> and </w:t>
      </w:r>
      <w:r w:rsidR="00736CCE" w:rsidRPr="00301583">
        <w:t>as</w:t>
      </w:r>
      <w:r w:rsidR="004712EF" w:rsidRPr="00301583">
        <w:t xml:space="preserve"> other borders</w:t>
      </w:r>
      <w:r w:rsidR="00A44DF8">
        <w:t>,</w:t>
      </w:r>
      <w:r w:rsidR="004712EF" w:rsidRPr="00301583">
        <w:t xml:space="preserve"> it can be traversed without limitations. </w:t>
      </w:r>
      <w:r w:rsidR="009A31E7" w:rsidRPr="00301583">
        <w:t>At the same time</w:t>
      </w:r>
      <w:r w:rsidR="00423DF7" w:rsidRPr="00301583">
        <w:t xml:space="preserve"> the potential connections between </w:t>
      </w:r>
      <w:r w:rsidR="009A31E7" w:rsidRPr="00301583">
        <w:t xml:space="preserve">these contiguous parts </w:t>
      </w:r>
      <w:r w:rsidR="00736CCE" w:rsidRPr="00301583">
        <w:t xml:space="preserve">of </w:t>
      </w:r>
      <w:r w:rsidR="00423DF7" w:rsidRPr="00301583">
        <w:t xml:space="preserve">Slovakia and Hungary </w:t>
      </w:r>
      <w:r w:rsidR="009A31E7" w:rsidRPr="00301583">
        <w:t>are under-utilized</w:t>
      </w:r>
      <w:r w:rsidR="00046E79" w:rsidRPr="00301583">
        <w:t>, with the exce</w:t>
      </w:r>
      <w:r w:rsidR="00046E79" w:rsidRPr="00301583">
        <w:t>p</w:t>
      </w:r>
      <w:r w:rsidR="00046E79" w:rsidRPr="00301583">
        <w:t xml:space="preserve">tions of the vicinity of the largest urban centres </w:t>
      </w:r>
      <w:r w:rsidR="00A44DF8">
        <w:t>T</w:t>
      </w:r>
      <w:r w:rsidR="00CA4BCA" w:rsidRPr="00301583">
        <w:t>he“</w:t>
      </w:r>
      <w:r w:rsidR="00046E79" w:rsidRPr="00301583">
        <w:t>border</w:t>
      </w:r>
      <w:r w:rsidR="00CA4BCA" w:rsidRPr="00301583">
        <w:t>-effect”</w:t>
      </w:r>
      <w:r w:rsidR="00046E79" w:rsidRPr="00301583">
        <w:t xml:space="preserve"> yet </w:t>
      </w:r>
      <w:r w:rsidR="00CA4BCA" w:rsidRPr="00301583">
        <w:t>seems to ge</w:t>
      </w:r>
      <w:r w:rsidR="00CA4BCA" w:rsidRPr="00301583">
        <w:t>n</w:t>
      </w:r>
      <w:r w:rsidR="00CA4BCA" w:rsidRPr="00301583">
        <w:t>erate here more disadvantages than advantages</w:t>
      </w:r>
      <w:r w:rsidR="009A31E7" w:rsidRPr="00301583">
        <w:t>.</w:t>
      </w:r>
      <w:r w:rsidR="00E8231A">
        <w:t xml:space="preserve"> </w:t>
      </w:r>
      <w:r w:rsidR="0038113C" w:rsidRPr="00301583">
        <w:t>However</w:t>
      </w:r>
      <w:r w:rsidR="00CA4BCA" w:rsidRPr="00301583">
        <w:t xml:space="preserve">, in addition to border-effect, </w:t>
      </w:r>
      <w:r w:rsidR="004827A0" w:rsidRPr="00301583">
        <w:t xml:space="preserve">two other characteristics of the region </w:t>
      </w:r>
      <w:r w:rsidR="00BB4A24" w:rsidRPr="00301583">
        <w:t>might generate relative detriments</w:t>
      </w:r>
      <w:r w:rsidR="00A44DF8">
        <w:t>:</w:t>
      </w:r>
      <w:r w:rsidR="00E8231A">
        <w:t xml:space="preserve"> </w:t>
      </w:r>
      <w:r w:rsidR="00A44DF8">
        <w:t>on the one hand,</w:t>
      </w:r>
      <w:r w:rsidR="00E8231A">
        <w:t xml:space="preserve"> </w:t>
      </w:r>
      <w:r w:rsidR="00C27D13">
        <w:t>Banská Bystrica</w:t>
      </w:r>
      <w:r w:rsidR="0038113C" w:rsidRPr="00301583">
        <w:t xml:space="preserve"> is situated quite far from the biggest economic ce</w:t>
      </w:r>
      <w:r w:rsidR="0038113C" w:rsidRPr="00301583">
        <w:t>n</w:t>
      </w:r>
      <w:r w:rsidR="0038113C" w:rsidRPr="00301583">
        <w:t xml:space="preserve">tres of the country </w:t>
      </w:r>
      <w:r w:rsidR="00A44DF8">
        <w:t>(</w:t>
      </w:r>
      <w:r w:rsidR="0038113C" w:rsidRPr="00301583">
        <w:t>Bratislava in the west, Košice and Prešov in the east</w:t>
      </w:r>
      <w:r w:rsidR="00A44DF8">
        <w:t>)</w:t>
      </w:r>
      <w:r w:rsidR="00BB4A24" w:rsidRPr="00301583">
        <w:t>,</w:t>
      </w:r>
      <w:r w:rsidR="00A44DF8">
        <w:t xml:space="preserve"> while </w:t>
      </w:r>
      <w:r w:rsidR="00BB4A24" w:rsidRPr="00301583">
        <w:t>te</w:t>
      </w:r>
      <w:r w:rsidR="00BB4A24" w:rsidRPr="00301583">
        <w:t>n</w:t>
      </w:r>
      <w:r w:rsidR="00BB4A24" w:rsidRPr="00301583">
        <w:t>sions stemming from the high rate of inhabitants belonging to the Hungarian or Roma minority, on the other</w:t>
      </w:r>
      <w:r w:rsidR="0038113C" w:rsidRPr="00301583">
        <w:t>.</w:t>
      </w:r>
      <w:r w:rsidR="00980686" w:rsidRPr="00301583">
        <w:t xml:space="preserve"> The latter, as well as that of the closeness of the border could be </w:t>
      </w:r>
      <w:r w:rsidR="00C5799D" w:rsidRPr="00301583">
        <w:t>exploited for mutual benefits of both sides, that happens time-to-time in a number of fields, but  large infrastructural investments, particularly in relation to development of road and rail networks as well as industrial regeneration are yet to be brought about.</w:t>
      </w:r>
    </w:p>
    <w:p w:rsidR="008D2A9C" w:rsidRDefault="00C5799D" w:rsidP="008D2A9C">
      <w:pPr>
        <w:spacing w:line="276" w:lineRule="auto"/>
        <w:sectPr w:rsidR="008D2A9C" w:rsidSect="00E36FE5">
          <w:headerReference w:type="even" r:id="rId19"/>
          <w:pgSz w:w="11907" w:h="16840" w:code="9"/>
          <w:pgMar w:top="1440" w:right="1797" w:bottom="1440" w:left="1797" w:header="709" w:footer="709" w:gutter="0"/>
          <w:pgNumType w:start="1"/>
          <w:cols w:space="708"/>
          <w:docGrid w:linePitch="360"/>
        </w:sectPr>
      </w:pPr>
      <w:r w:rsidRPr="00301583">
        <w:t xml:space="preserve"> </w:t>
      </w:r>
    </w:p>
    <w:p w:rsidR="00B843AA" w:rsidRPr="00301583" w:rsidRDefault="00B843AA" w:rsidP="00A81B80">
      <w:pPr>
        <w:pStyle w:val="Caption"/>
        <w:keepNext/>
        <w:spacing w:after="120"/>
      </w:pPr>
      <w:bookmarkStart w:id="10" w:name="_Toc376709380"/>
      <w:bookmarkStart w:id="11" w:name="_Toc385939074"/>
      <w:bookmarkStart w:id="12" w:name="_Toc392509030"/>
      <w:r w:rsidRPr="00301583">
        <w:lastRenderedPageBreak/>
        <w:t>Table</w:t>
      </w:r>
      <w:r w:rsidR="00AF33F5">
        <w:t xml:space="preserve"> </w:t>
      </w:r>
      <w:r w:rsidR="00B759C8">
        <w:fldChar w:fldCharType="begin"/>
      </w:r>
      <w:r w:rsidR="00A752E6">
        <w:instrText xml:space="preserve"> SEQ Table \* ARABIC </w:instrText>
      </w:r>
      <w:r w:rsidR="00B759C8">
        <w:fldChar w:fldCharType="separate"/>
      </w:r>
      <w:r w:rsidR="00DC6D66">
        <w:rPr>
          <w:noProof/>
        </w:rPr>
        <w:t>1</w:t>
      </w:r>
      <w:r w:rsidR="00B759C8">
        <w:rPr>
          <w:noProof/>
        </w:rPr>
        <w:fldChar w:fldCharType="end"/>
      </w:r>
      <w:r w:rsidR="009441AC">
        <w:t>:</w:t>
      </w:r>
      <w:r w:rsidR="00AF33F5">
        <w:t xml:space="preserve"> </w:t>
      </w:r>
      <w:r w:rsidR="009441AC">
        <w:t>Different ESPON CU t</w:t>
      </w:r>
      <w:r w:rsidR="00D624A0" w:rsidRPr="00301583">
        <w:t xml:space="preserve">ypologies of </w:t>
      </w:r>
      <w:r w:rsidR="00C27D13">
        <w:t>Banská Bystrica</w:t>
      </w:r>
      <w:r w:rsidR="00D624A0" w:rsidRPr="00301583">
        <w:t>, 2009</w:t>
      </w:r>
      <w:bookmarkEnd w:id="10"/>
      <w:bookmarkEnd w:id="11"/>
      <w:bookmarkEnd w:id="12"/>
    </w:p>
    <w:tbl>
      <w:tblPr>
        <w:tblW w:w="4801" w:type="pct"/>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5564"/>
      </w:tblGrid>
      <w:tr w:rsidR="00F13244" w:rsidRPr="00301583" w:rsidTr="00E126C8">
        <w:trPr>
          <w:trHeight w:val="397"/>
        </w:trPr>
        <w:tc>
          <w:tcPr>
            <w:tcW w:w="1603" w:type="pct"/>
            <w:shd w:val="clear" w:color="auto" w:fill="auto"/>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Co</w:t>
            </w:r>
            <w:r w:rsidR="00887FE1" w:rsidRPr="008D2A9C">
              <w:rPr>
                <w:rFonts w:cs="Arial"/>
                <w:sz w:val="19"/>
                <w:szCs w:val="19"/>
                <w:lang w:eastAsia="hu-HU"/>
              </w:rPr>
              <w:t>a</w:t>
            </w:r>
            <w:r w:rsidRPr="008D2A9C">
              <w:rPr>
                <w:rFonts w:cs="Arial"/>
                <w:sz w:val="19"/>
                <w:szCs w:val="19"/>
                <w:lang w:eastAsia="hu-HU"/>
              </w:rPr>
              <w:t>stal typology</w:t>
            </w:r>
          </w:p>
        </w:tc>
        <w:tc>
          <w:tcPr>
            <w:tcW w:w="3397" w:type="pct"/>
            <w:shd w:val="clear" w:color="auto" w:fill="auto"/>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Area not covered by classification</w:t>
            </w:r>
          </w:p>
        </w:tc>
      </w:tr>
      <w:tr w:rsidR="00F13244" w:rsidRPr="00301583" w:rsidTr="00E126C8">
        <w:trPr>
          <w:trHeight w:val="397"/>
        </w:trPr>
        <w:tc>
          <w:tcPr>
            <w:tcW w:w="1603" w:type="pct"/>
            <w:shd w:val="clear" w:color="auto" w:fill="D9D9D9" w:themeFill="background1" w:themeFillShade="D9"/>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Island typology</w:t>
            </w:r>
          </w:p>
        </w:tc>
        <w:tc>
          <w:tcPr>
            <w:tcW w:w="3397" w:type="pct"/>
            <w:shd w:val="clear" w:color="auto" w:fill="D9D9D9" w:themeFill="background1" w:themeFillShade="D9"/>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Not an island region</w:t>
            </w:r>
          </w:p>
        </w:tc>
      </w:tr>
      <w:tr w:rsidR="00F13244" w:rsidRPr="00301583" w:rsidTr="00E126C8">
        <w:trPr>
          <w:trHeight w:val="397"/>
        </w:trPr>
        <w:tc>
          <w:tcPr>
            <w:tcW w:w="1603" w:type="pct"/>
            <w:shd w:val="clear" w:color="auto" w:fill="auto"/>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Metropolitan typology</w:t>
            </w:r>
          </w:p>
        </w:tc>
        <w:tc>
          <w:tcPr>
            <w:tcW w:w="3397" w:type="pct"/>
            <w:shd w:val="clear" w:color="auto" w:fill="auto"/>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Not a metropolitan region</w:t>
            </w:r>
          </w:p>
        </w:tc>
      </w:tr>
      <w:tr w:rsidR="00343768" w:rsidRPr="00301583" w:rsidTr="00E126C8">
        <w:trPr>
          <w:trHeight w:val="397"/>
        </w:trPr>
        <w:tc>
          <w:tcPr>
            <w:tcW w:w="1603" w:type="pct"/>
            <w:shd w:val="clear" w:color="auto" w:fill="D9D9D9" w:themeFill="background1" w:themeFillShade="D9"/>
            <w:noWrap/>
            <w:vAlign w:val="center"/>
          </w:tcPr>
          <w:p w:rsidR="00343768" w:rsidRPr="008D2A9C" w:rsidRDefault="00343768" w:rsidP="008D2A9C">
            <w:pPr>
              <w:spacing w:before="20" w:after="20" w:line="240" w:lineRule="auto"/>
              <w:jc w:val="left"/>
              <w:rPr>
                <w:rFonts w:cs="Arial"/>
                <w:sz w:val="19"/>
                <w:szCs w:val="19"/>
                <w:lang w:eastAsia="hu-HU"/>
              </w:rPr>
            </w:pPr>
            <w:r w:rsidRPr="008D2A9C">
              <w:rPr>
                <w:rFonts w:cs="Arial"/>
                <w:sz w:val="19"/>
                <w:szCs w:val="19"/>
                <w:lang w:eastAsia="hu-HU"/>
              </w:rPr>
              <w:t>Border typology</w:t>
            </w:r>
          </w:p>
        </w:tc>
        <w:tc>
          <w:tcPr>
            <w:tcW w:w="3397" w:type="pct"/>
            <w:shd w:val="clear" w:color="auto" w:fill="D9D9D9" w:themeFill="background1" w:themeFillShade="D9"/>
            <w:noWrap/>
            <w:vAlign w:val="center"/>
          </w:tcPr>
          <w:p w:rsidR="00343768" w:rsidRPr="008D2A9C" w:rsidRDefault="00343768" w:rsidP="008D2A9C">
            <w:pPr>
              <w:spacing w:before="20" w:after="20" w:line="240" w:lineRule="auto"/>
              <w:jc w:val="left"/>
              <w:rPr>
                <w:rFonts w:cs="Arial"/>
                <w:sz w:val="19"/>
                <w:szCs w:val="19"/>
                <w:lang w:eastAsia="hu-HU"/>
              </w:rPr>
            </w:pPr>
            <w:r w:rsidRPr="008D2A9C">
              <w:rPr>
                <w:rFonts w:cs="Arial"/>
                <w:sz w:val="19"/>
                <w:szCs w:val="19"/>
                <w:lang w:eastAsia="hu-HU"/>
              </w:rPr>
              <w:t>Internal border region</w:t>
            </w:r>
          </w:p>
        </w:tc>
      </w:tr>
      <w:tr w:rsidR="00F13244" w:rsidRPr="00301583" w:rsidTr="00E126C8">
        <w:trPr>
          <w:trHeight w:val="397"/>
        </w:trPr>
        <w:tc>
          <w:tcPr>
            <w:tcW w:w="1603" w:type="pct"/>
            <w:shd w:val="clear" w:color="auto" w:fill="auto"/>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Mountain typology</w:t>
            </w:r>
          </w:p>
        </w:tc>
        <w:tc>
          <w:tcPr>
            <w:tcW w:w="3397" w:type="pct"/>
            <w:shd w:val="clear" w:color="auto" w:fill="auto"/>
            <w:noWrap/>
            <w:vAlign w:val="center"/>
          </w:tcPr>
          <w:p w:rsidR="00D624A0" w:rsidRPr="008D2A9C" w:rsidRDefault="00F13244" w:rsidP="008D2A9C">
            <w:pPr>
              <w:spacing w:before="20" w:after="20" w:line="240" w:lineRule="auto"/>
              <w:jc w:val="left"/>
              <w:rPr>
                <w:rFonts w:cs="Arial"/>
                <w:sz w:val="19"/>
                <w:szCs w:val="19"/>
                <w:lang w:eastAsia="hu-HU"/>
              </w:rPr>
            </w:pPr>
            <w:r w:rsidRPr="008D2A9C">
              <w:rPr>
                <w:rFonts w:cs="Arial"/>
                <w:sz w:val="19"/>
                <w:szCs w:val="19"/>
                <w:lang w:eastAsia="hu-HU"/>
              </w:rPr>
              <w:t>Predominantly mountaionus region, close to a city</w:t>
            </w:r>
          </w:p>
        </w:tc>
      </w:tr>
      <w:tr w:rsidR="00F13244" w:rsidRPr="00301583" w:rsidTr="00E126C8">
        <w:trPr>
          <w:trHeight w:val="397"/>
        </w:trPr>
        <w:tc>
          <w:tcPr>
            <w:tcW w:w="1603" w:type="pct"/>
            <w:shd w:val="clear" w:color="auto" w:fill="D9D9D9" w:themeFill="background1" w:themeFillShade="D9"/>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Industrial transition typology</w:t>
            </w:r>
          </w:p>
        </w:tc>
        <w:tc>
          <w:tcPr>
            <w:tcW w:w="3397" w:type="pct"/>
            <w:shd w:val="clear" w:color="auto" w:fill="D9D9D9" w:themeFill="background1" w:themeFillShade="D9"/>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Region with industrial branches losing importance</w:t>
            </w:r>
          </w:p>
        </w:tc>
      </w:tr>
      <w:tr w:rsidR="00F13244" w:rsidRPr="00301583" w:rsidTr="00E126C8">
        <w:trPr>
          <w:trHeight w:val="397"/>
        </w:trPr>
        <w:tc>
          <w:tcPr>
            <w:tcW w:w="1603" w:type="pct"/>
            <w:shd w:val="clear" w:color="auto" w:fill="auto"/>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Urban-rural typology</w:t>
            </w:r>
          </w:p>
        </w:tc>
        <w:tc>
          <w:tcPr>
            <w:tcW w:w="3397" w:type="pct"/>
            <w:shd w:val="clear" w:color="auto" w:fill="auto"/>
            <w:noWrap/>
            <w:vAlign w:val="center"/>
          </w:tcPr>
          <w:p w:rsidR="00D624A0" w:rsidRPr="008D2A9C" w:rsidRDefault="00D624A0" w:rsidP="008D2A9C">
            <w:pPr>
              <w:spacing w:before="20" w:after="20" w:line="240" w:lineRule="auto"/>
              <w:jc w:val="left"/>
              <w:rPr>
                <w:rFonts w:cs="Arial"/>
                <w:sz w:val="19"/>
                <w:szCs w:val="19"/>
                <w:lang w:eastAsia="hu-HU"/>
              </w:rPr>
            </w:pPr>
            <w:r w:rsidRPr="008D2A9C">
              <w:rPr>
                <w:rFonts w:cs="Arial"/>
                <w:sz w:val="19"/>
                <w:szCs w:val="19"/>
                <w:lang w:eastAsia="hu-HU"/>
              </w:rPr>
              <w:t xml:space="preserve">Predominantly rural region, </w:t>
            </w:r>
            <w:r w:rsidR="000B391F" w:rsidRPr="008D2A9C">
              <w:rPr>
                <w:rFonts w:cs="Arial"/>
                <w:sz w:val="19"/>
                <w:szCs w:val="19"/>
                <w:lang w:eastAsia="hu-HU"/>
              </w:rPr>
              <w:t>close to a city</w:t>
            </w:r>
          </w:p>
        </w:tc>
      </w:tr>
    </w:tbl>
    <w:p w:rsidR="00D624A0" w:rsidRPr="001E5FFE" w:rsidRDefault="00D624A0" w:rsidP="008D2A9C">
      <w:pPr>
        <w:pStyle w:val="Caption"/>
        <w:spacing w:after="240" w:line="240" w:lineRule="auto"/>
        <w:rPr>
          <w:sz w:val="16"/>
          <w:szCs w:val="16"/>
        </w:rPr>
      </w:pPr>
      <w:r w:rsidRPr="00301583">
        <w:rPr>
          <w:sz w:val="16"/>
          <w:szCs w:val="16"/>
        </w:rPr>
        <w:t>Source:</w:t>
      </w:r>
      <w:r w:rsidR="008D2A9C">
        <w:rPr>
          <w:sz w:val="16"/>
          <w:szCs w:val="16"/>
        </w:rPr>
        <w:t xml:space="preserve"> </w:t>
      </w:r>
      <w:r w:rsidRPr="008D2A9C">
        <w:rPr>
          <w:b w:val="0"/>
          <w:sz w:val="16"/>
          <w:szCs w:val="16"/>
        </w:rPr>
        <w:t>ESPON CU</w:t>
      </w:r>
    </w:p>
    <w:p w:rsidR="00BB1ECB" w:rsidRPr="00301583" w:rsidRDefault="0038113C" w:rsidP="00740131">
      <w:pPr>
        <w:spacing w:line="276" w:lineRule="auto"/>
      </w:pPr>
      <w:r w:rsidRPr="00301583">
        <w:t xml:space="preserve">The accessibility of </w:t>
      </w:r>
      <w:r w:rsidR="00C27D13">
        <w:t>Banská Bystrica</w:t>
      </w:r>
      <w:r w:rsidR="00BF0F23" w:rsidRPr="00301583">
        <w:t>, the settlement structure and many factors of economic activity of the region are</w:t>
      </w:r>
      <w:r w:rsidRPr="00301583">
        <w:t xml:space="preserve"> highly influenced by its geographical </w:t>
      </w:r>
      <w:r w:rsidR="00736CCE" w:rsidRPr="00301583">
        <w:t>characteri</w:t>
      </w:r>
      <w:r w:rsidR="00736CCE" w:rsidRPr="00301583">
        <w:t>s</w:t>
      </w:r>
      <w:r w:rsidR="00736CCE" w:rsidRPr="00301583">
        <w:t>tics</w:t>
      </w:r>
      <w:r w:rsidR="002A3CA6" w:rsidRPr="00301583">
        <w:t xml:space="preserve">. </w:t>
      </w:r>
      <w:r w:rsidRPr="00301583">
        <w:t>The region is a predominantly mountainous area</w:t>
      </w:r>
      <w:r w:rsidR="00BF0F23" w:rsidRPr="00301583">
        <w:t xml:space="preserve">. There are several mountain ranges in </w:t>
      </w:r>
      <w:r w:rsidR="00C27D13">
        <w:t>Banská Bystrica</w:t>
      </w:r>
      <w:r w:rsidR="00BF0F23" w:rsidRPr="00301583">
        <w:t xml:space="preserve"> such as the Low Tatras in the north, Kremnica Mountains, Vtáčnik and Štiavnica Mountains in the west and the Slovak Ore Mountains which are situated in the central and eastern part of the region.</w:t>
      </w:r>
      <w:r w:rsidR="00407786" w:rsidRPr="00301583">
        <w:t xml:space="preserve"> The mountains of </w:t>
      </w:r>
      <w:r w:rsidR="00C27D13">
        <w:t>Banská Bystrica</w:t>
      </w:r>
      <w:r w:rsidR="00407786" w:rsidRPr="00301583">
        <w:t xml:space="preserve"> were once the main sources of European gold and other </w:t>
      </w:r>
      <w:r w:rsidR="00736CCE" w:rsidRPr="00301583">
        <w:t xml:space="preserve">rare </w:t>
      </w:r>
      <w:r w:rsidR="008B3702" w:rsidRPr="00301583">
        <w:t xml:space="preserve">metal </w:t>
      </w:r>
      <w:r w:rsidR="00407786" w:rsidRPr="00301583">
        <w:t xml:space="preserve">ores </w:t>
      </w:r>
      <w:r w:rsidR="00847A3E" w:rsidRPr="00301583">
        <w:t xml:space="preserve">and later </w:t>
      </w:r>
      <w:r w:rsidR="008B3702" w:rsidRPr="00301583">
        <w:t>e.g. in the 19</w:t>
      </w:r>
      <w:r w:rsidR="008B3702" w:rsidRPr="00301583">
        <w:rPr>
          <w:vertAlign w:val="superscript"/>
        </w:rPr>
        <w:t>th</w:t>
      </w:r>
      <w:r w:rsidR="008B3702" w:rsidRPr="00301583">
        <w:t xml:space="preserve"> century </w:t>
      </w:r>
      <w:r w:rsidR="00407786" w:rsidRPr="00301583">
        <w:t xml:space="preserve">mining was </w:t>
      </w:r>
      <w:r w:rsidR="00847A3E" w:rsidRPr="00301583">
        <w:t xml:space="preserve">still </w:t>
      </w:r>
      <w:r w:rsidR="00407786" w:rsidRPr="00301583">
        <w:t>a traditional and dominant ec</w:t>
      </w:r>
      <w:r w:rsidR="00FF2345" w:rsidRPr="00301583">
        <w:t>o</w:t>
      </w:r>
      <w:r w:rsidR="00407786" w:rsidRPr="00301583">
        <w:t>no</w:t>
      </w:r>
      <w:r w:rsidR="00FF2345" w:rsidRPr="00301583">
        <w:t>mic a</w:t>
      </w:r>
      <w:r w:rsidR="00FF2345" w:rsidRPr="00301583">
        <w:t>c</w:t>
      </w:r>
      <w:r w:rsidR="00FF2345" w:rsidRPr="00301583">
        <w:t xml:space="preserve">tivity </w:t>
      </w:r>
      <w:r w:rsidR="00847A3E" w:rsidRPr="00301583">
        <w:t>in the area, but now the formerly prospering mining towns are in decay.</w:t>
      </w:r>
    </w:p>
    <w:p w:rsidR="005A5577" w:rsidRDefault="005A5577" w:rsidP="005A5577">
      <w:pPr>
        <w:keepNext/>
      </w:pPr>
      <w:r>
        <w:rPr>
          <w:noProof/>
          <w:lang w:val="fi-FI" w:eastAsia="fi-FI"/>
        </w:rPr>
        <w:drawing>
          <wp:inline distT="0" distB="0" distL="0" distR="0" wp14:anchorId="2A9F50BF" wp14:editId="3CE968C8">
            <wp:extent cx="5278755" cy="4220210"/>
            <wp:effectExtent l="0" t="0" r="0" b="889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 TIPSE case study areas CLC per GRID_BanskáBystrica_freigestellt.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8755" cy="4220210"/>
                    </a:xfrm>
                    <a:prstGeom prst="rect">
                      <a:avLst/>
                    </a:prstGeom>
                  </pic:spPr>
                </pic:pic>
              </a:graphicData>
            </a:graphic>
          </wp:inline>
        </w:drawing>
      </w:r>
    </w:p>
    <w:p w:rsidR="008B4D58" w:rsidRPr="005A5577" w:rsidRDefault="005A5577" w:rsidP="005A5577">
      <w:pPr>
        <w:pStyle w:val="Caption"/>
      </w:pPr>
      <w:bookmarkStart w:id="13" w:name="_Toc398897955"/>
      <w:r>
        <w:t xml:space="preserve">Map </w:t>
      </w:r>
      <w:r>
        <w:fldChar w:fldCharType="begin"/>
      </w:r>
      <w:r>
        <w:instrText xml:space="preserve"> SEQ Map \* ARABIC </w:instrText>
      </w:r>
      <w:r>
        <w:fldChar w:fldCharType="separate"/>
      </w:r>
      <w:r w:rsidR="00DC6D66">
        <w:rPr>
          <w:noProof/>
        </w:rPr>
        <w:t>2</w:t>
      </w:r>
      <w:r>
        <w:fldChar w:fldCharType="end"/>
      </w:r>
      <w:r>
        <w:t>:</w:t>
      </w:r>
      <w:r w:rsidRPr="005A5577">
        <w:t xml:space="preserve"> </w:t>
      </w:r>
      <w:r>
        <w:t>Corine land c</w:t>
      </w:r>
      <w:r w:rsidRPr="00301583">
        <w:t xml:space="preserve">over </w:t>
      </w:r>
      <w:r>
        <w:t>t</w:t>
      </w:r>
      <w:r w:rsidRPr="00301583">
        <w:t xml:space="preserve">ypology of </w:t>
      </w:r>
      <w:r>
        <w:t>Banská Bystrica</w:t>
      </w:r>
      <w:r w:rsidRPr="00301583">
        <w:t>, 2006</w:t>
      </w:r>
      <w:bookmarkEnd w:id="13"/>
    </w:p>
    <w:p w:rsidR="00663029" w:rsidRPr="00301583" w:rsidRDefault="00847A3E" w:rsidP="001E5FFE">
      <w:pPr>
        <w:spacing w:line="276" w:lineRule="auto"/>
      </w:pPr>
      <w:r w:rsidRPr="00301583">
        <w:lastRenderedPageBreak/>
        <w:t xml:space="preserve">Beside </w:t>
      </w:r>
      <w:r w:rsidR="0013063D" w:rsidRPr="00301583">
        <w:t xml:space="preserve">materials for </w:t>
      </w:r>
      <w:r w:rsidRPr="00301583">
        <w:t>mining</w:t>
      </w:r>
      <w:r w:rsidR="00980686" w:rsidRPr="00301583">
        <w:t>,</w:t>
      </w:r>
      <w:r w:rsidRPr="00301583">
        <w:t xml:space="preserve"> m</w:t>
      </w:r>
      <w:r w:rsidR="0088073A" w:rsidRPr="00301583">
        <w:t xml:space="preserve">ountains can </w:t>
      </w:r>
      <w:r w:rsidRPr="00301583">
        <w:t>provide</w:t>
      </w:r>
      <w:r w:rsidR="0088073A" w:rsidRPr="00301583">
        <w:t xml:space="preserve"> various natural resources </w:t>
      </w:r>
      <w:r w:rsidR="00C1174B" w:rsidRPr="00301583">
        <w:t xml:space="preserve">for </w:t>
      </w:r>
      <w:r w:rsidR="0088073A" w:rsidRPr="00301583">
        <w:t>economic activit</w:t>
      </w:r>
      <w:r w:rsidR="00980686" w:rsidRPr="00301583">
        <w:t>ies</w:t>
      </w:r>
      <w:r w:rsidR="00C1174B" w:rsidRPr="00301583">
        <w:t>,</w:t>
      </w:r>
      <w:r w:rsidR="00E8231A">
        <w:t xml:space="preserve"> </w:t>
      </w:r>
      <w:r w:rsidRPr="00301583">
        <w:t xml:space="preserve">so </w:t>
      </w:r>
      <w:r w:rsidR="00C27D13">
        <w:t>Banská Bystrica</w:t>
      </w:r>
      <w:r w:rsidRPr="00301583">
        <w:t xml:space="preserve"> is an ideal land for </w:t>
      </w:r>
      <w:r w:rsidR="007635E7" w:rsidRPr="00301583">
        <w:t>forestry</w:t>
      </w:r>
      <w:r w:rsidRPr="00301583">
        <w:t>. The wood cove</w:t>
      </w:r>
      <w:r w:rsidRPr="00301583">
        <w:t>r</w:t>
      </w:r>
      <w:r w:rsidRPr="00301583">
        <w:t>age in Slovakia is above 40%, and as the central regions of the country are prevai</w:t>
      </w:r>
      <w:r w:rsidRPr="00301583">
        <w:t>l</w:t>
      </w:r>
      <w:r w:rsidRPr="00301583">
        <w:t>ingly mountainous</w:t>
      </w:r>
      <w:r w:rsidR="00C1174B" w:rsidRPr="00301583">
        <w:t>,</w:t>
      </w:r>
      <w:r w:rsidRPr="00301583">
        <w:t xml:space="preserve"> this ratio is even higher in </w:t>
      </w:r>
      <w:r w:rsidR="00C27D13">
        <w:t>Banská Bystrica</w:t>
      </w:r>
      <w:r w:rsidRPr="00301583">
        <w:t>. The most elevated mountain</w:t>
      </w:r>
      <w:r w:rsidR="00C30F5D" w:rsidRPr="00301583">
        <w:t>s</w:t>
      </w:r>
      <w:r w:rsidRPr="00301583">
        <w:t xml:space="preserve"> in the north are rising to 2000 </w:t>
      </w:r>
      <w:r w:rsidR="00C30F5D" w:rsidRPr="00301583">
        <w:t>metres and they are covered with conife</w:t>
      </w:r>
      <w:r w:rsidR="00C30F5D" w:rsidRPr="00301583">
        <w:t>r</w:t>
      </w:r>
      <w:r w:rsidR="00C30F5D" w:rsidRPr="00301583">
        <w:t xml:space="preserve">ous </w:t>
      </w:r>
      <w:r w:rsidR="00C26E83" w:rsidRPr="00301583">
        <w:t>forests</w:t>
      </w:r>
      <w:r w:rsidR="00576DD3" w:rsidRPr="00301583">
        <w:t>,w</w:t>
      </w:r>
      <w:r w:rsidR="00C26E83" w:rsidRPr="00301583">
        <w:t>hile t</w:t>
      </w:r>
      <w:r w:rsidR="00C30F5D" w:rsidRPr="00301583">
        <w:t xml:space="preserve">he lower </w:t>
      </w:r>
      <w:r w:rsidR="00C26E83" w:rsidRPr="00301583">
        <w:t>mountains in the other parts of the region are mainly co</w:t>
      </w:r>
      <w:r w:rsidR="00C26E83" w:rsidRPr="00301583">
        <w:t>v</w:t>
      </w:r>
      <w:r w:rsidR="00C26E83" w:rsidRPr="00301583">
        <w:t>ered with mixed and broad-l</w:t>
      </w:r>
      <w:r w:rsidR="00C1174B" w:rsidRPr="00301583">
        <w:t>e</w:t>
      </w:r>
      <w:r w:rsidR="00C26E83" w:rsidRPr="00301583">
        <w:t xml:space="preserve">aved forests. Beside this type of vegetation </w:t>
      </w:r>
      <w:r w:rsidR="00C1174B" w:rsidRPr="00301583">
        <w:t xml:space="preserve">the </w:t>
      </w:r>
      <w:r w:rsidR="00576DD3" w:rsidRPr="00301583">
        <w:t>more intensive forms of agricultural activit</w:t>
      </w:r>
      <w:r w:rsidR="00C1174B" w:rsidRPr="00301583">
        <w:t>y</w:t>
      </w:r>
      <w:r w:rsidR="00E167CF" w:rsidRPr="00301583">
        <w:t>(arable land</w:t>
      </w:r>
      <w:r w:rsidR="0013063D" w:rsidRPr="00301583">
        <w:t xml:space="preserve"> for s</w:t>
      </w:r>
      <w:r w:rsidR="00980686" w:rsidRPr="00301583">
        <w:t>t</w:t>
      </w:r>
      <w:r w:rsidR="0013063D" w:rsidRPr="00301583">
        <w:t xml:space="preserve">ock-raising and plant </w:t>
      </w:r>
      <w:r w:rsidR="00861254" w:rsidRPr="00301583">
        <w:t>growing</w:t>
      </w:r>
      <w:r w:rsidR="00E167CF" w:rsidRPr="00301583">
        <w:t>) are only possible o</w:t>
      </w:r>
      <w:r w:rsidR="00576DD3" w:rsidRPr="00301583">
        <w:t xml:space="preserve">n lower reliefs like </w:t>
      </w:r>
      <w:r w:rsidR="00E167CF" w:rsidRPr="00301583">
        <w:t xml:space="preserve">wider river valleys </w:t>
      </w:r>
      <w:r w:rsidR="0013063D" w:rsidRPr="00301583">
        <w:t xml:space="preserve">(Hron, Ipeľ or Rimava) </w:t>
      </w:r>
      <w:r w:rsidR="00E167CF" w:rsidRPr="00301583">
        <w:t>and basins</w:t>
      </w:r>
      <w:r w:rsidR="0013063D" w:rsidRPr="00301583">
        <w:t xml:space="preserve"> (Southern Slovak Basin)</w:t>
      </w:r>
      <w:r w:rsidR="0088073A" w:rsidRPr="00301583">
        <w:t>.</w:t>
      </w:r>
      <w:r w:rsidR="00880876" w:rsidRPr="00301583">
        <w:t xml:space="preserve"> These areas are also the locations of bigger settl</w:t>
      </w:r>
      <w:r w:rsidR="00880876" w:rsidRPr="00301583">
        <w:t>e</w:t>
      </w:r>
      <w:r w:rsidR="00880876" w:rsidRPr="00301583">
        <w:t>ments with continuous urban fabric.</w:t>
      </w:r>
    </w:p>
    <w:p w:rsidR="0013063D" w:rsidRPr="00301583" w:rsidRDefault="00C27D13" w:rsidP="001E5FFE">
      <w:pPr>
        <w:spacing w:line="276" w:lineRule="auto"/>
      </w:pPr>
      <w:r>
        <w:t>Banská Bystrica</w:t>
      </w:r>
      <w:r w:rsidR="0013063D" w:rsidRPr="00301583">
        <w:t xml:space="preserve"> is not a metropolitan region according to ESPON typologies. Its population is above 650 thousand </w:t>
      </w:r>
      <w:r w:rsidR="00EB4E8A" w:rsidRPr="00301583">
        <w:t xml:space="preserve">inhabitants </w:t>
      </w:r>
      <w:r w:rsidR="0013063D" w:rsidRPr="00301583">
        <w:t xml:space="preserve">which is average among the regions of Slovakia, but the area is a predominantly rural </w:t>
      </w:r>
      <w:r w:rsidR="00936260" w:rsidRPr="00301583">
        <w:t xml:space="preserve">region, </w:t>
      </w:r>
      <w:r w:rsidR="00980686" w:rsidRPr="00301583">
        <w:t xml:space="preserve">though </w:t>
      </w:r>
      <w:r w:rsidR="00936260" w:rsidRPr="00301583">
        <w:t xml:space="preserve">close to a city. The most populated settlement </w:t>
      </w:r>
      <w:r w:rsidR="00EB4E8A" w:rsidRPr="00301583">
        <w:t xml:space="preserve">in the area </w:t>
      </w:r>
      <w:r w:rsidR="00936260" w:rsidRPr="00301583">
        <w:t xml:space="preserve">is </w:t>
      </w:r>
      <w:r>
        <w:t>Banská Bystrica</w:t>
      </w:r>
      <w:r w:rsidR="00936260" w:rsidRPr="00301583">
        <w:t>, the seat of the region, which is the 6</w:t>
      </w:r>
      <w:r w:rsidR="00936260" w:rsidRPr="00301583">
        <w:rPr>
          <w:vertAlign w:val="superscript"/>
        </w:rPr>
        <w:t>th</w:t>
      </w:r>
      <w:r w:rsidR="00936260" w:rsidRPr="00301583">
        <w:t xml:space="preserve"> biggest town in Slovakia with its population of 80 thousand</w:t>
      </w:r>
      <w:r w:rsidR="00EB4E8A" w:rsidRPr="00301583">
        <w:t xml:space="preserve"> inhabi</w:t>
      </w:r>
      <w:r w:rsidR="00EB4E8A" w:rsidRPr="00301583">
        <w:t>t</w:t>
      </w:r>
      <w:r w:rsidR="00EB4E8A" w:rsidRPr="00301583">
        <w:t>ants</w:t>
      </w:r>
      <w:r w:rsidR="00936260" w:rsidRPr="00301583">
        <w:t>. Other notable towns are Zvolen (43 thousand inhabitants), Lučenec (28 tho</w:t>
      </w:r>
      <w:r w:rsidR="00936260" w:rsidRPr="00301583">
        <w:t>u</w:t>
      </w:r>
      <w:r w:rsidR="00936260" w:rsidRPr="00301583">
        <w:t>sand inhabitants), Rimavská Sobota</w:t>
      </w:r>
      <w:r w:rsidR="005E2D9F" w:rsidRPr="00301583">
        <w:t xml:space="preserve"> (24 thousand inhabitants)</w:t>
      </w:r>
      <w:r w:rsidR="00936260" w:rsidRPr="00301583">
        <w:t xml:space="preserve"> and Brezno</w:t>
      </w:r>
      <w:r w:rsidR="005E2D9F" w:rsidRPr="00301583">
        <w:t xml:space="preserve"> (22 tho</w:t>
      </w:r>
      <w:r w:rsidR="005E2D9F" w:rsidRPr="00301583">
        <w:t>u</w:t>
      </w:r>
      <w:r w:rsidR="005E2D9F" w:rsidRPr="00301583">
        <w:t>sand inhabitants). With the l</w:t>
      </w:r>
      <w:r w:rsidR="00BD3A3F" w:rsidRPr="00301583">
        <w:t>o</w:t>
      </w:r>
      <w:r w:rsidR="005E2D9F" w:rsidRPr="00301583">
        <w:t xml:space="preserve">osing importance of traditional (logging, mining) </w:t>
      </w:r>
      <w:r w:rsidR="001B298A" w:rsidRPr="00301583">
        <w:t>and socialist industrial branches t</w:t>
      </w:r>
      <w:r w:rsidR="005E2D9F" w:rsidRPr="00301583">
        <w:t xml:space="preserve">hese settlements </w:t>
      </w:r>
      <w:r w:rsidR="001B298A" w:rsidRPr="00301583">
        <w:t xml:space="preserve">nowadays </w:t>
      </w:r>
      <w:r w:rsidR="005E2D9F" w:rsidRPr="00301583">
        <w:t xml:space="preserve">are </w:t>
      </w:r>
      <w:r w:rsidR="001B298A" w:rsidRPr="00301583">
        <w:t xml:space="preserve">mostly </w:t>
      </w:r>
      <w:r w:rsidR="005E2D9F" w:rsidRPr="00301583">
        <w:t>administrative</w:t>
      </w:r>
      <w:r w:rsidR="001B298A" w:rsidRPr="00301583">
        <w:t xml:space="preserve"> and service </w:t>
      </w:r>
      <w:r w:rsidR="005E2D9F" w:rsidRPr="00301583">
        <w:t>centres</w:t>
      </w:r>
      <w:r w:rsidR="001B298A" w:rsidRPr="00301583">
        <w:t>,</w:t>
      </w:r>
      <w:r w:rsidR="00E8231A">
        <w:t xml:space="preserve"> </w:t>
      </w:r>
      <w:r w:rsidR="001B298A" w:rsidRPr="00301583">
        <w:t xml:space="preserve">which – due to their </w:t>
      </w:r>
      <w:r w:rsidR="005E2D9F" w:rsidRPr="00301583">
        <w:t>rich cultural heritage</w:t>
      </w:r>
      <w:r w:rsidR="001B298A" w:rsidRPr="00301583">
        <w:t xml:space="preserve"> (especially </w:t>
      </w:r>
      <w:r>
        <w:t>Banská Bystrica</w:t>
      </w:r>
      <w:r w:rsidR="00E8231A">
        <w:t xml:space="preserve"> </w:t>
      </w:r>
      <w:r w:rsidR="001B298A" w:rsidRPr="00301583">
        <w:t xml:space="preserve">and Zvolen) – are also frequented targets of tourism. The mountainous </w:t>
      </w:r>
      <w:r w:rsidR="000325FE" w:rsidRPr="00301583">
        <w:t>character of the region provides</w:t>
      </w:r>
      <w:r w:rsidR="001B298A" w:rsidRPr="00301583">
        <w:t xml:space="preserve"> good possibi</w:t>
      </w:r>
      <w:r w:rsidR="00BD3A3F" w:rsidRPr="00301583">
        <w:t>lities for mountain tourism too:</w:t>
      </w:r>
      <w:r w:rsidR="001B298A" w:rsidRPr="00301583">
        <w:t xml:space="preserve"> the most frequented Slovakian ski resorts</w:t>
      </w:r>
      <w:r w:rsidR="006D7D98" w:rsidRPr="00301583">
        <w:t xml:space="preserve"> are </w:t>
      </w:r>
      <w:r w:rsidR="00BD3A3F" w:rsidRPr="00301583">
        <w:t xml:space="preserve">also </w:t>
      </w:r>
      <w:r w:rsidR="006D7D98" w:rsidRPr="00301583">
        <w:t xml:space="preserve">located in </w:t>
      </w:r>
      <w:r>
        <w:t>Banská Bystrica</w:t>
      </w:r>
      <w:r w:rsidR="006D7D98" w:rsidRPr="00301583">
        <w:t xml:space="preserve"> (or </w:t>
      </w:r>
      <w:r w:rsidR="001E4818">
        <w:t>closeby</w:t>
      </w:r>
      <w:r w:rsidR="006D7D98" w:rsidRPr="00301583">
        <w:t>).</w:t>
      </w:r>
    </w:p>
    <w:bookmarkEnd w:id="9"/>
    <w:p w:rsidR="006D7D98" w:rsidRPr="00301583" w:rsidRDefault="000325FE" w:rsidP="001E5FFE">
      <w:pPr>
        <w:spacing w:line="276" w:lineRule="auto"/>
        <w:rPr>
          <w:b/>
        </w:rPr>
      </w:pPr>
      <w:r w:rsidRPr="00301583">
        <w:t xml:space="preserve">One of the unfavourable consequences of mountainous character of </w:t>
      </w:r>
      <w:r w:rsidR="00C27D13">
        <w:t>Banská Bystrica</w:t>
      </w:r>
      <w:r w:rsidRPr="00301583">
        <w:t xml:space="preserve"> is the bad accessibility of the region. However the area is situated geographically in the middle part of Slovakia, simultaneously it is a remote region in relation to other parts of the country. The </w:t>
      </w:r>
      <w:r w:rsidR="00BD3A3F" w:rsidRPr="00301583">
        <w:t xml:space="preserve">(mountainous) </w:t>
      </w:r>
      <w:r w:rsidRPr="00301583">
        <w:t xml:space="preserve">physical relief limits the access of the </w:t>
      </w:r>
      <w:r w:rsidR="00143015" w:rsidRPr="00301583">
        <w:t>r</w:t>
      </w:r>
      <w:r w:rsidR="00143015" w:rsidRPr="00301583">
        <w:t>e</w:t>
      </w:r>
      <w:r w:rsidR="00143015" w:rsidRPr="00301583">
        <w:t>gion;</w:t>
      </w:r>
      <w:r w:rsidR="00BD3A3F" w:rsidRPr="00301583">
        <w:t xml:space="preserve">only </w:t>
      </w:r>
      <w:r w:rsidRPr="00301583">
        <w:t xml:space="preserve">some river valleys provide </w:t>
      </w:r>
      <w:r w:rsidR="00143015" w:rsidRPr="00301583">
        <w:t xml:space="preserve">enough </w:t>
      </w:r>
      <w:r w:rsidR="00BD3A3F" w:rsidRPr="00301583">
        <w:t>space</w:t>
      </w:r>
      <w:r w:rsidR="00E8231A">
        <w:t xml:space="preserve"> </w:t>
      </w:r>
      <w:r w:rsidRPr="00301583">
        <w:t xml:space="preserve">for main routes traversing higher mountains </w:t>
      </w:r>
      <w:r w:rsidR="00143015" w:rsidRPr="00301583">
        <w:t xml:space="preserve">which separates </w:t>
      </w:r>
      <w:r w:rsidR="00C27D13">
        <w:t>Banská Bystrica</w:t>
      </w:r>
      <w:r w:rsidR="00143015" w:rsidRPr="00301583">
        <w:t xml:space="preserve"> from </w:t>
      </w:r>
      <w:r w:rsidR="00BD3A3F" w:rsidRPr="00301583">
        <w:t xml:space="preserve">the </w:t>
      </w:r>
      <w:r w:rsidR="00143015" w:rsidRPr="00301583">
        <w:t>neighbouring regions. Th</w:t>
      </w:r>
      <w:r w:rsidR="00BD3A3F" w:rsidRPr="00301583">
        <w:t>at</w:t>
      </w:r>
      <w:r w:rsidR="00143015" w:rsidRPr="00301583">
        <w:t xml:space="preserve"> also limits intraregional circulation </w:t>
      </w:r>
      <w:r w:rsidR="008432B4" w:rsidRPr="00301583">
        <w:t>possibilities</w:t>
      </w:r>
      <w:r w:rsidR="00143015" w:rsidRPr="00301583">
        <w:t xml:space="preserve"> as – depending on the characteristics of geographical relief </w:t>
      </w:r>
      <w:r w:rsidR="008432B4" w:rsidRPr="00301583">
        <w:t xml:space="preserve">–longitudinal or transversal route connections can be lacking. The main routes </w:t>
      </w:r>
      <w:r w:rsidR="00BD3A3F" w:rsidRPr="00301583">
        <w:t xml:space="preserve">in the region </w:t>
      </w:r>
      <w:r w:rsidR="008432B4" w:rsidRPr="00301583">
        <w:t>cross each other in Z</w:t>
      </w:r>
      <w:r w:rsidR="006C503E" w:rsidRPr="00301583">
        <w:t>volen</w:t>
      </w:r>
      <w:r w:rsidR="008432B4" w:rsidRPr="00301583">
        <w:t>: t</w:t>
      </w:r>
      <w:r w:rsidR="009C17D0" w:rsidRPr="00301583">
        <w:t>he one from south to north is an important linkage between South and North Slovakia (and also constitutes the most direct connection between Hungary and Poland); the other from west to east is the part of main transversal route between the western and the</w:t>
      </w:r>
      <w:r w:rsidR="00BD3A3F" w:rsidRPr="00301583">
        <w:t xml:space="preserve"> eastern parts of the country (</w:t>
      </w:r>
      <w:r w:rsidR="009C17D0" w:rsidRPr="00301583">
        <w:t xml:space="preserve">and </w:t>
      </w:r>
      <w:r w:rsidR="00BD3A3F" w:rsidRPr="00301583">
        <w:t xml:space="preserve">also between </w:t>
      </w:r>
      <w:r w:rsidR="009C17D0" w:rsidRPr="00301583">
        <w:t>the two big cities, Bratislava and Košice)</w:t>
      </w:r>
      <w:r w:rsidR="00BD3A3F" w:rsidRPr="00301583">
        <w:t>.This latter tran</w:t>
      </w:r>
      <w:r w:rsidR="00BD3A3F" w:rsidRPr="00301583">
        <w:t>s</w:t>
      </w:r>
      <w:r w:rsidR="00BD3A3F" w:rsidRPr="00301583">
        <w:t xml:space="preserve">versal route in Slovakia </w:t>
      </w:r>
      <w:r w:rsidR="009C17D0" w:rsidRPr="00301583">
        <w:t xml:space="preserve">is otherwise less significant than the </w:t>
      </w:r>
      <w:r w:rsidR="00BD3A3F" w:rsidRPr="00301583">
        <w:t>other (</w:t>
      </w:r>
      <w:r w:rsidR="009C17D0" w:rsidRPr="00301583">
        <w:t>northern</w:t>
      </w:r>
      <w:r w:rsidR="00BD3A3F" w:rsidRPr="00301583">
        <w:t>) tran</w:t>
      </w:r>
      <w:r w:rsidR="00BD3A3F" w:rsidRPr="00301583">
        <w:t>s</w:t>
      </w:r>
      <w:r w:rsidR="00BD3A3F" w:rsidRPr="00301583">
        <w:t>versal</w:t>
      </w:r>
      <w:r w:rsidR="009C17D0" w:rsidRPr="00301583">
        <w:t xml:space="preserve"> one, situated between the Low and the High Tatras. T</w:t>
      </w:r>
      <w:r w:rsidR="008432B4" w:rsidRPr="00301583">
        <w:t xml:space="preserve">he only motorway of the region links </w:t>
      </w:r>
      <w:r w:rsidR="00C27D13">
        <w:t>Banská Bystrica</w:t>
      </w:r>
      <w:r w:rsidR="008432B4" w:rsidRPr="00301583">
        <w:t xml:space="preserve"> and Zvolen and </w:t>
      </w:r>
      <w:r w:rsidR="0031791A" w:rsidRPr="00301583">
        <w:t xml:space="preserve">it </w:t>
      </w:r>
      <w:r w:rsidR="008432B4" w:rsidRPr="00301583">
        <w:t xml:space="preserve">is continued towards the western part of Slovakia, making the linkage between </w:t>
      </w:r>
      <w:r w:rsidR="00C27D13">
        <w:t>Banská Bystrica</w:t>
      </w:r>
      <w:r w:rsidR="008432B4" w:rsidRPr="00301583">
        <w:t xml:space="preserve"> and Bratislava, the capital city of the country.</w:t>
      </w:r>
      <w:r w:rsidR="009C17D0" w:rsidRPr="00301583">
        <w:t xml:space="preserve"> The accessibility situation of the region is</w:t>
      </w:r>
      <w:r w:rsidR="005C6B7E" w:rsidRPr="00301583">
        <w:t xml:space="preserve"> potentially improvable because </w:t>
      </w:r>
      <w:r w:rsidR="009C17D0" w:rsidRPr="00301583">
        <w:t xml:space="preserve">there is an airport with international flights in the area, in Sliač (between </w:t>
      </w:r>
      <w:r w:rsidR="00C27D13">
        <w:t>Banská Bystrica</w:t>
      </w:r>
      <w:r w:rsidR="009C17D0" w:rsidRPr="00301583">
        <w:t xml:space="preserve"> and Zvolen).</w:t>
      </w:r>
    </w:p>
    <w:p w:rsidR="00740131" w:rsidRDefault="008C7986" w:rsidP="001E5FFE">
      <w:pPr>
        <w:spacing w:line="276" w:lineRule="auto"/>
      </w:pPr>
      <w:r w:rsidRPr="00301583">
        <w:t xml:space="preserve">The area of </w:t>
      </w:r>
      <w:r w:rsidR="00C27D13">
        <w:t>Banská Bystrica</w:t>
      </w:r>
      <w:r w:rsidRPr="00301583">
        <w:t xml:space="preserve"> (9</w:t>
      </w:r>
      <w:r w:rsidR="00512625">
        <w:t>,</w:t>
      </w:r>
      <w:r w:rsidRPr="00301583">
        <w:t>500 km</w:t>
      </w:r>
      <w:r w:rsidRPr="00301583">
        <w:rPr>
          <w:vertAlign w:val="superscript"/>
        </w:rPr>
        <w:t>2</w:t>
      </w:r>
      <w:r w:rsidRPr="00301583">
        <w:t xml:space="preserve">) is far the biggest among the Slovak regions, while it is moderately populated due to </w:t>
      </w:r>
      <w:r w:rsidR="00400117" w:rsidRPr="00301583">
        <w:t>(</w:t>
      </w:r>
      <w:r w:rsidRPr="00301583">
        <w:t>among others</w:t>
      </w:r>
      <w:r w:rsidR="00400117" w:rsidRPr="00301583">
        <w:t>)</w:t>
      </w:r>
      <w:r w:rsidRPr="00301583">
        <w:t xml:space="preserve"> the mountainous character of </w:t>
      </w:r>
      <w:r w:rsidRPr="00301583">
        <w:lastRenderedPageBreak/>
        <w:t>the NUTS3 unit. Therefore</w:t>
      </w:r>
      <w:r w:rsidR="00A44DF8">
        <w:t>,</w:t>
      </w:r>
      <w:r w:rsidRPr="00301583">
        <w:t xml:space="preserve"> the population density of the region is the lowest within the country. </w:t>
      </w:r>
      <w:r w:rsidR="006C503E" w:rsidRPr="00301583">
        <w:t>Despite its unfavourable economic characteristics, the region has not had to face with significant</w:t>
      </w:r>
      <w:r w:rsidR="00D47824" w:rsidRPr="00301583">
        <w:t xml:space="preserve"> outmigration and population loss in the past decades. </w:t>
      </w:r>
      <w:r w:rsidR="00400117" w:rsidRPr="00301583">
        <w:t>Its population</w:t>
      </w:r>
      <w:r w:rsidR="00D47824" w:rsidRPr="00301583">
        <w:t xml:space="preserve"> is constantly above 650 thousand </w:t>
      </w:r>
      <w:r w:rsidR="00400117" w:rsidRPr="00301583">
        <w:t xml:space="preserve">inhabitants </w:t>
      </w:r>
      <w:r w:rsidR="00D47824" w:rsidRPr="00301583">
        <w:t xml:space="preserve">and the major towns hold the number of their inhabitants for years. Only the seat of the region, </w:t>
      </w:r>
      <w:r w:rsidR="00C27D13">
        <w:t>Banská Bystrica</w:t>
      </w:r>
      <w:r w:rsidR="001B58E4" w:rsidRPr="00301583">
        <w:t xml:space="preserve"> has suffered notable population loss </w:t>
      </w:r>
      <w:r w:rsidR="00400117" w:rsidRPr="00301583">
        <w:t xml:space="preserve">in the past ten years </w:t>
      </w:r>
      <w:r w:rsidR="001B58E4" w:rsidRPr="00301583">
        <w:t>(~5</w:t>
      </w:r>
      <w:r w:rsidR="00512625">
        <w:t>,</w:t>
      </w:r>
      <w:r w:rsidR="001B58E4" w:rsidRPr="00301583">
        <w:t>000 persons)</w:t>
      </w:r>
      <w:r w:rsidR="00CF3760" w:rsidRPr="00301583">
        <w:t>;</w:t>
      </w:r>
      <w:r w:rsidR="001B58E4" w:rsidRPr="00301583">
        <w:t xml:space="preserve"> however this phenomenon is related </w:t>
      </w:r>
      <w:r w:rsidR="00400117" w:rsidRPr="00301583">
        <w:t xml:space="preserve">more </w:t>
      </w:r>
      <w:r w:rsidR="001B58E4" w:rsidRPr="00301583">
        <w:t xml:space="preserve">to suburbanization rather than </w:t>
      </w:r>
      <w:r w:rsidR="00CF3760" w:rsidRPr="00301583">
        <w:t xml:space="preserve">to </w:t>
      </w:r>
      <w:r w:rsidR="001B58E4" w:rsidRPr="00301583">
        <w:t>outmigration or natural population loss.</w:t>
      </w:r>
    </w:p>
    <w:p w:rsidR="00740131" w:rsidRPr="00740131" w:rsidRDefault="00740131" w:rsidP="001E5FFE">
      <w:pPr>
        <w:spacing w:line="276" w:lineRule="auto"/>
        <w:rPr>
          <w:sz w:val="10"/>
          <w:szCs w:val="10"/>
        </w:rPr>
      </w:pPr>
    </w:p>
    <w:p w:rsidR="005C372B" w:rsidRPr="00301583" w:rsidRDefault="008C7986" w:rsidP="00F4547F">
      <w:pPr>
        <w:pStyle w:val="Caption"/>
        <w:spacing w:after="120"/>
      </w:pPr>
      <w:bookmarkStart w:id="14" w:name="_Toc385939075"/>
      <w:bookmarkStart w:id="15" w:name="_Toc392509031"/>
      <w:r w:rsidRPr="00301583">
        <w:t>Table</w:t>
      </w:r>
      <w:r w:rsidR="000B2AA2">
        <w:t xml:space="preserve"> </w:t>
      </w:r>
      <w:r w:rsidR="00B759C8">
        <w:fldChar w:fldCharType="begin"/>
      </w:r>
      <w:r w:rsidR="00A752E6">
        <w:instrText xml:space="preserve"> SEQ Table \* ARABIC </w:instrText>
      </w:r>
      <w:r w:rsidR="00B759C8">
        <w:fldChar w:fldCharType="separate"/>
      </w:r>
      <w:r w:rsidR="00DC6D66">
        <w:rPr>
          <w:noProof/>
        </w:rPr>
        <w:t>2</w:t>
      </w:r>
      <w:r w:rsidR="00B759C8">
        <w:rPr>
          <w:noProof/>
        </w:rPr>
        <w:fldChar w:fldCharType="end"/>
      </w:r>
      <w:r w:rsidR="009441AC">
        <w:t>: Demographic and l</w:t>
      </w:r>
      <w:r w:rsidRPr="00301583">
        <w:t xml:space="preserve">abour </w:t>
      </w:r>
      <w:r w:rsidR="009441AC">
        <w:t>m</w:t>
      </w:r>
      <w:r w:rsidRPr="00301583">
        <w:t xml:space="preserve">arket </w:t>
      </w:r>
      <w:r w:rsidR="009441AC">
        <w:t>c</w:t>
      </w:r>
      <w:r w:rsidRPr="00301583">
        <w:t>haracteristics</w:t>
      </w:r>
      <w:bookmarkEnd w:id="14"/>
      <w:bookmarkEnd w:id="15"/>
    </w:p>
    <w:tbl>
      <w:tblPr>
        <w:tblW w:w="0" w:type="auto"/>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8"/>
        <w:gridCol w:w="1418"/>
        <w:gridCol w:w="1276"/>
        <w:gridCol w:w="1275"/>
        <w:gridCol w:w="1134"/>
        <w:gridCol w:w="944"/>
      </w:tblGrid>
      <w:tr w:rsidR="0038087F" w:rsidRPr="00301583" w:rsidTr="00E126C8">
        <w:trPr>
          <w:trHeight w:val="285"/>
        </w:trPr>
        <w:tc>
          <w:tcPr>
            <w:tcW w:w="2198" w:type="dxa"/>
            <w:tcBorders>
              <w:bottom w:val="single" w:sz="18" w:space="0" w:color="auto"/>
            </w:tcBorders>
            <w:shd w:val="clear" w:color="auto" w:fill="FFFFFF" w:themeFill="background1"/>
            <w:noWrap/>
          </w:tcPr>
          <w:p w:rsidR="008C7986" w:rsidRPr="00512625" w:rsidRDefault="008C7986" w:rsidP="00512625">
            <w:pPr>
              <w:spacing w:before="20" w:after="20" w:line="240" w:lineRule="auto"/>
              <w:jc w:val="left"/>
              <w:rPr>
                <w:rFonts w:cs="Arial"/>
                <w:sz w:val="19"/>
                <w:szCs w:val="19"/>
                <w:lang w:eastAsia="hu-HU"/>
              </w:rPr>
            </w:pPr>
          </w:p>
        </w:tc>
        <w:tc>
          <w:tcPr>
            <w:tcW w:w="1418" w:type="dxa"/>
            <w:tcBorders>
              <w:bottom w:val="single" w:sz="18" w:space="0" w:color="auto"/>
            </w:tcBorders>
            <w:shd w:val="clear" w:color="auto" w:fill="FFFFFF" w:themeFill="background1"/>
            <w:noWrap/>
            <w:vAlign w:val="center"/>
          </w:tcPr>
          <w:p w:rsidR="008C7986" w:rsidRPr="00512625" w:rsidRDefault="001E4818" w:rsidP="00512625">
            <w:pPr>
              <w:spacing w:before="20" w:after="20" w:line="240" w:lineRule="auto"/>
              <w:jc w:val="left"/>
              <w:rPr>
                <w:rFonts w:cs="Arial"/>
                <w:b/>
                <w:bCs/>
                <w:sz w:val="19"/>
                <w:szCs w:val="19"/>
                <w:lang w:eastAsia="hu-HU"/>
              </w:rPr>
            </w:pPr>
            <w:r w:rsidRPr="00512625">
              <w:rPr>
                <w:rFonts w:cs="Arial"/>
                <w:b/>
                <w:bCs/>
                <w:sz w:val="19"/>
                <w:szCs w:val="19"/>
                <w:lang w:eastAsia="hu-HU"/>
              </w:rPr>
              <w:t>Banská B</w:t>
            </w:r>
            <w:r w:rsidRPr="00512625">
              <w:rPr>
                <w:rFonts w:cs="Arial"/>
                <w:b/>
                <w:bCs/>
                <w:sz w:val="19"/>
                <w:szCs w:val="19"/>
                <w:lang w:eastAsia="hu-HU"/>
              </w:rPr>
              <w:t>y</w:t>
            </w:r>
            <w:r w:rsidRPr="00512625">
              <w:rPr>
                <w:rFonts w:cs="Arial"/>
                <w:b/>
                <w:bCs/>
                <w:sz w:val="19"/>
                <w:szCs w:val="19"/>
                <w:lang w:eastAsia="hu-HU"/>
              </w:rPr>
              <w:t>strica</w:t>
            </w:r>
            <w:r w:rsidR="008C7986" w:rsidRPr="00512625">
              <w:rPr>
                <w:rFonts w:cs="Arial"/>
                <w:b/>
                <w:bCs/>
                <w:sz w:val="19"/>
                <w:szCs w:val="19"/>
                <w:lang w:eastAsia="hu-HU"/>
              </w:rPr>
              <w:t xml:space="preserve"> (SK032)</w:t>
            </w:r>
          </w:p>
        </w:tc>
        <w:tc>
          <w:tcPr>
            <w:tcW w:w="1276" w:type="dxa"/>
            <w:tcBorders>
              <w:bottom w:val="single" w:sz="18" w:space="0" w:color="auto"/>
            </w:tcBorders>
            <w:shd w:val="clear" w:color="auto" w:fill="FFFFFF" w:themeFill="background1"/>
            <w:noWrap/>
            <w:vAlign w:val="center"/>
          </w:tcPr>
          <w:p w:rsidR="008C7986" w:rsidRPr="00512625" w:rsidRDefault="001E4818" w:rsidP="00512625">
            <w:pPr>
              <w:spacing w:before="20" w:after="20" w:line="240" w:lineRule="auto"/>
              <w:jc w:val="left"/>
              <w:rPr>
                <w:rFonts w:cs="Arial"/>
                <w:b/>
                <w:bCs/>
                <w:sz w:val="19"/>
                <w:szCs w:val="19"/>
                <w:lang w:eastAsia="hu-HU"/>
              </w:rPr>
            </w:pPr>
            <w:r w:rsidRPr="00512625">
              <w:rPr>
                <w:rFonts w:cs="Arial"/>
                <w:b/>
                <w:bCs/>
                <w:sz w:val="19"/>
                <w:szCs w:val="19"/>
                <w:lang w:eastAsia="hu-HU"/>
              </w:rPr>
              <w:t>Central Slovakia</w:t>
            </w:r>
            <w:r w:rsidR="008C7986" w:rsidRPr="00512625">
              <w:rPr>
                <w:rFonts w:cs="Arial"/>
                <w:b/>
                <w:bCs/>
                <w:sz w:val="19"/>
                <w:szCs w:val="19"/>
                <w:lang w:eastAsia="hu-HU"/>
              </w:rPr>
              <w:t xml:space="preserve"> (SK03)</w:t>
            </w:r>
          </w:p>
        </w:tc>
        <w:tc>
          <w:tcPr>
            <w:tcW w:w="1275" w:type="dxa"/>
            <w:tcBorders>
              <w:bottom w:val="single" w:sz="18" w:space="0" w:color="auto"/>
            </w:tcBorders>
            <w:shd w:val="clear" w:color="auto" w:fill="FFFFFF" w:themeFill="background1"/>
            <w:noWrap/>
            <w:vAlign w:val="center"/>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Slovakia</w:t>
            </w:r>
          </w:p>
        </w:tc>
        <w:tc>
          <w:tcPr>
            <w:tcW w:w="1134" w:type="dxa"/>
            <w:tcBorders>
              <w:bottom w:val="single" w:sz="18" w:space="0" w:color="auto"/>
            </w:tcBorders>
            <w:shd w:val="clear" w:color="auto" w:fill="FFFFFF" w:themeFill="background1"/>
            <w:noWrap/>
            <w:vAlign w:val="center"/>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EE-NMS*</w:t>
            </w:r>
          </w:p>
        </w:tc>
        <w:tc>
          <w:tcPr>
            <w:tcW w:w="944" w:type="dxa"/>
            <w:tcBorders>
              <w:bottom w:val="single" w:sz="18" w:space="0" w:color="auto"/>
            </w:tcBorders>
            <w:shd w:val="clear" w:color="auto" w:fill="FFFFFF" w:themeFill="background1"/>
            <w:noWrap/>
            <w:vAlign w:val="center"/>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EU27</w:t>
            </w:r>
          </w:p>
        </w:tc>
      </w:tr>
      <w:tr w:rsidR="0038087F" w:rsidRPr="00301583" w:rsidTr="00E126C8">
        <w:trPr>
          <w:trHeight w:val="285"/>
        </w:trPr>
        <w:tc>
          <w:tcPr>
            <w:tcW w:w="2198" w:type="dxa"/>
            <w:tcBorders>
              <w:top w:val="single" w:sz="18" w:space="0" w:color="auto"/>
            </w:tcBorders>
            <w:shd w:val="clear" w:color="auto" w:fill="D9D9D9" w:themeFill="background1" w:themeFillShade="D9"/>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Population (2010)</w:t>
            </w:r>
            <w:r w:rsidRPr="00512625">
              <w:rPr>
                <w:rFonts w:cs="Arial"/>
                <w:b/>
                <w:bCs/>
                <w:sz w:val="19"/>
                <w:szCs w:val="19"/>
                <w:vertAlign w:val="superscript"/>
                <w:lang w:eastAsia="hu-HU"/>
              </w:rPr>
              <w:t>1</w:t>
            </w:r>
            <w:r w:rsidRPr="00512625">
              <w:rPr>
                <w:rFonts w:cs="Arial"/>
                <w:b/>
                <w:bCs/>
                <w:sz w:val="19"/>
                <w:szCs w:val="19"/>
                <w:lang w:eastAsia="hu-HU"/>
              </w:rPr>
              <w:t>, person</w:t>
            </w:r>
          </w:p>
        </w:tc>
        <w:tc>
          <w:tcPr>
            <w:tcW w:w="1418" w:type="dxa"/>
            <w:tcBorders>
              <w:top w:val="single" w:sz="18" w:space="0" w:color="auto"/>
            </w:tcBorders>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653186</w:t>
            </w:r>
          </w:p>
        </w:tc>
        <w:tc>
          <w:tcPr>
            <w:tcW w:w="1276" w:type="dxa"/>
            <w:tcBorders>
              <w:top w:val="single" w:sz="18" w:space="0" w:color="auto"/>
            </w:tcBorders>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1350688</w:t>
            </w:r>
          </w:p>
        </w:tc>
        <w:tc>
          <w:tcPr>
            <w:tcW w:w="1275" w:type="dxa"/>
            <w:tcBorders>
              <w:top w:val="single" w:sz="18" w:space="0" w:color="auto"/>
            </w:tcBorders>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5424925</w:t>
            </w:r>
          </w:p>
        </w:tc>
        <w:tc>
          <w:tcPr>
            <w:tcW w:w="1134" w:type="dxa"/>
            <w:tcBorders>
              <w:top w:val="single" w:sz="18" w:space="0" w:color="auto"/>
            </w:tcBorders>
            <w:shd w:val="clear" w:color="auto" w:fill="D9D9D9" w:themeFill="background1" w:themeFillShade="D9"/>
            <w:noWrap/>
            <w:vAlign w:val="center"/>
          </w:tcPr>
          <w:p w:rsidR="008C7986" w:rsidRPr="00512625" w:rsidRDefault="00301583" w:rsidP="00512625">
            <w:pPr>
              <w:spacing w:before="20" w:after="20" w:line="240" w:lineRule="auto"/>
              <w:jc w:val="center"/>
              <w:rPr>
                <w:rFonts w:cs="Arial"/>
                <w:sz w:val="19"/>
                <w:szCs w:val="19"/>
                <w:lang w:eastAsia="hu-HU"/>
              </w:rPr>
            </w:pPr>
            <w:r w:rsidRPr="00512625">
              <w:rPr>
                <w:rFonts w:cs="Arial"/>
                <w:sz w:val="19"/>
                <w:szCs w:val="19"/>
                <w:lang w:eastAsia="hu-HU"/>
              </w:rPr>
              <w:t>102.</w:t>
            </w:r>
            <w:r w:rsidR="008C7986" w:rsidRPr="00512625">
              <w:rPr>
                <w:rFonts w:cs="Arial"/>
                <w:sz w:val="19"/>
                <w:szCs w:val="19"/>
                <w:lang w:eastAsia="hu-HU"/>
              </w:rPr>
              <w:t>1 M</w:t>
            </w:r>
          </w:p>
        </w:tc>
        <w:tc>
          <w:tcPr>
            <w:tcW w:w="944" w:type="dxa"/>
            <w:tcBorders>
              <w:top w:val="single" w:sz="18" w:space="0" w:color="auto"/>
            </w:tcBorders>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501</w:t>
            </w:r>
            <w:r w:rsidR="00301583" w:rsidRPr="00512625">
              <w:rPr>
                <w:rFonts w:cs="Arial"/>
                <w:sz w:val="19"/>
                <w:szCs w:val="19"/>
                <w:lang w:eastAsia="hu-HU"/>
              </w:rPr>
              <w:t>.</w:t>
            </w:r>
            <w:r w:rsidRPr="00512625">
              <w:rPr>
                <w:rFonts w:cs="Arial"/>
                <w:sz w:val="19"/>
                <w:szCs w:val="19"/>
                <w:lang w:eastAsia="hu-HU"/>
              </w:rPr>
              <w:t>1 M</w:t>
            </w:r>
          </w:p>
        </w:tc>
      </w:tr>
      <w:tr w:rsidR="0038087F" w:rsidRPr="00301583" w:rsidTr="00E126C8">
        <w:trPr>
          <w:trHeight w:val="285"/>
        </w:trPr>
        <w:tc>
          <w:tcPr>
            <w:tcW w:w="2198" w:type="dxa"/>
            <w:shd w:val="clear" w:color="auto" w:fill="auto"/>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Population density (2010)</w:t>
            </w:r>
            <w:r w:rsidRPr="00512625">
              <w:rPr>
                <w:rFonts w:cs="Arial"/>
                <w:b/>
                <w:bCs/>
                <w:sz w:val="19"/>
                <w:szCs w:val="19"/>
                <w:vertAlign w:val="superscript"/>
                <w:lang w:eastAsia="hu-HU"/>
              </w:rPr>
              <w:t>2</w:t>
            </w:r>
            <w:r w:rsidRPr="00512625">
              <w:rPr>
                <w:rFonts w:cs="Arial"/>
                <w:b/>
                <w:bCs/>
                <w:sz w:val="19"/>
                <w:szCs w:val="19"/>
                <w:lang w:eastAsia="hu-HU"/>
              </w:rPr>
              <w:t>, person/km</w:t>
            </w:r>
            <w:r w:rsidRPr="00512625">
              <w:rPr>
                <w:rFonts w:cs="Arial"/>
                <w:b/>
                <w:bCs/>
                <w:sz w:val="19"/>
                <w:szCs w:val="19"/>
                <w:vertAlign w:val="superscript"/>
                <w:lang w:eastAsia="hu-HU"/>
              </w:rPr>
              <w:t>2</w:t>
            </w:r>
          </w:p>
        </w:tc>
        <w:tc>
          <w:tcPr>
            <w:tcW w:w="1418"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69</w:t>
            </w:r>
            <w:r w:rsidR="00301583" w:rsidRPr="00512625">
              <w:rPr>
                <w:rFonts w:cs="Arial"/>
                <w:sz w:val="19"/>
                <w:szCs w:val="19"/>
                <w:lang w:eastAsia="hu-HU"/>
              </w:rPr>
              <w:t>.</w:t>
            </w:r>
            <w:r w:rsidRPr="00512625">
              <w:rPr>
                <w:rFonts w:cs="Arial"/>
                <w:sz w:val="19"/>
                <w:szCs w:val="19"/>
                <w:lang w:eastAsia="hu-HU"/>
              </w:rPr>
              <w:t>0</w:t>
            </w:r>
          </w:p>
        </w:tc>
        <w:tc>
          <w:tcPr>
            <w:tcW w:w="1276"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83</w:t>
            </w:r>
            <w:r w:rsidR="00301583" w:rsidRPr="00512625">
              <w:rPr>
                <w:rFonts w:cs="Arial"/>
                <w:sz w:val="19"/>
                <w:szCs w:val="19"/>
                <w:lang w:eastAsia="hu-HU"/>
              </w:rPr>
              <w:t>.</w:t>
            </w:r>
            <w:r w:rsidRPr="00512625">
              <w:rPr>
                <w:rFonts w:cs="Arial"/>
                <w:sz w:val="19"/>
                <w:szCs w:val="19"/>
                <w:lang w:eastAsia="hu-HU"/>
              </w:rPr>
              <w:t>0</w:t>
            </w:r>
          </w:p>
        </w:tc>
        <w:tc>
          <w:tcPr>
            <w:tcW w:w="1275"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110</w:t>
            </w:r>
            <w:r w:rsidR="00301583" w:rsidRPr="00512625">
              <w:rPr>
                <w:rFonts w:cs="Arial"/>
                <w:sz w:val="19"/>
                <w:szCs w:val="19"/>
                <w:lang w:eastAsia="hu-HU"/>
              </w:rPr>
              <w:t>.</w:t>
            </w:r>
            <w:r w:rsidRPr="00512625">
              <w:rPr>
                <w:rFonts w:cs="Arial"/>
                <w:sz w:val="19"/>
                <w:szCs w:val="19"/>
                <w:lang w:eastAsia="hu-HU"/>
              </w:rPr>
              <w:t>7</w:t>
            </w:r>
          </w:p>
        </w:tc>
        <w:tc>
          <w:tcPr>
            <w:tcW w:w="113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96</w:t>
            </w:r>
            <w:r w:rsidR="00301583" w:rsidRPr="00512625">
              <w:rPr>
                <w:rFonts w:cs="Arial"/>
                <w:sz w:val="19"/>
                <w:szCs w:val="19"/>
                <w:lang w:eastAsia="hu-HU"/>
              </w:rPr>
              <w:t>.</w:t>
            </w:r>
            <w:r w:rsidRPr="00512625">
              <w:rPr>
                <w:rFonts w:cs="Arial"/>
                <w:sz w:val="19"/>
                <w:szCs w:val="19"/>
                <w:lang w:eastAsia="hu-HU"/>
              </w:rPr>
              <w:t>2</w:t>
            </w:r>
          </w:p>
        </w:tc>
        <w:tc>
          <w:tcPr>
            <w:tcW w:w="94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116</w:t>
            </w:r>
            <w:r w:rsidR="00301583" w:rsidRPr="00512625">
              <w:rPr>
                <w:rFonts w:cs="Arial"/>
                <w:sz w:val="19"/>
                <w:szCs w:val="19"/>
                <w:lang w:eastAsia="hu-HU"/>
              </w:rPr>
              <w:t>.</w:t>
            </w:r>
            <w:r w:rsidRPr="00512625">
              <w:rPr>
                <w:rFonts w:cs="Arial"/>
                <w:sz w:val="19"/>
                <w:szCs w:val="19"/>
                <w:lang w:eastAsia="hu-HU"/>
              </w:rPr>
              <w:t>6</w:t>
            </w:r>
          </w:p>
        </w:tc>
      </w:tr>
      <w:tr w:rsidR="0038087F" w:rsidRPr="00301583" w:rsidTr="00E126C8">
        <w:trPr>
          <w:trHeight w:val="285"/>
        </w:trPr>
        <w:tc>
          <w:tcPr>
            <w:tcW w:w="2198" w:type="dxa"/>
            <w:shd w:val="clear" w:color="auto" w:fill="D9D9D9" w:themeFill="background1" w:themeFillShade="D9"/>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 aged &lt;15 (2009)</w:t>
            </w:r>
            <w:r w:rsidRPr="00512625">
              <w:rPr>
                <w:rFonts w:cs="Arial"/>
                <w:b/>
                <w:bCs/>
                <w:sz w:val="19"/>
                <w:szCs w:val="19"/>
                <w:vertAlign w:val="superscript"/>
                <w:lang w:eastAsia="hu-HU"/>
              </w:rPr>
              <w:t>1</w:t>
            </w:r>
          </w:p>
        </w:tc>
        <w:tc>
          <w:tcPr>
            <w:tcW w:w="1418"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14</w:t>
            </w:r>
            <w:r w:rsidR="00301583" w:rsidRPr="00512625">
              <w:rPr>
                <w:rFonts w:cs="Arial"/>
                <w:sz w:val="19"/>
                <w:szCs w:val="19"/>
                <w:lang w:eastAsia="hu-HU"/>
              </w:rPr>
              <w:t>.</w:t>
            </w:r>
            <w:r w:rsidRPr="00512625">
              <w:rPr>
                <w:rFonts w:cs="Arial"/>
                <w:sz w:val="19"/>
                <w:szCs w:val="19"/>
                <w:lang w:eastAsia="hu-HU"/>
              </w:rPr>
              <w:t>9</w:t>
            </w:r>
          </w:p>
        </w:tc>
        <w:tc>
          <w:tcPr>
            <w:tcW w:w="1276"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15</w:t>
            </w:r>
            <w:r w:rsidR="00301583" w:rsidRPr="00512625">
              <w:rPr>
                <w:rFonts w:cs="Arial"/>
                <w:sz w:val="19"/>
                <w:szCs w:val="19"/>
                <w:lang w:eastAsia="hu-HU"/>
              </w:rPr>
              <w:t>.</w:t>
            </w:r>
            <w:r w:rsidRPr="00512625">
              <w:rPr>
                <w:rFonts w:cs="Arial"/>
                <w:sz w:val="19"/>
                <w:szCs w:val="19"/>
                <w:lang w:eastAsia="hu-HU"/>
              </w:rPr>
              <w:t>7</w:t>
            </w:r>
          </w:p>
        </w:tc>
        <w:tc>
          <w:tcPr>
            <w:tcW w:w="1275"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15</w:t>
            </w:r>
            <w:r w:rsidR="00301583" w:rsidRPr="00512625">
              <w:rPr>
                <w:rFonts w:cs="Arial"/>
                <w:sz w:val="19"/>
                <w:szCs w:val="19"/>
                <w:lang w:eastAsia="hu-HU"/>
              </w:rPr>
              <w:t>.</w:t>
            </w:r>
            <w:r w:rsidRPr="00512625">
              <w:rPr>
                <w:rFonts w:cs="Arial"/>
                <w:sz w:val="19"/>
                <w:szCs w:val="19"/>
                <w:lang w:eastAsia="hu-HU"/>
              </w:rPr>
              <w:t>4</w:t>
            </w:r>
          </w:p>
        </w:tc>
        <w:tc>
          <w:tcPr>
            <w:tcW w:w="1134"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14</w:t>
            </w:r>
            <w:r w:rsidR="00301583" w:rsidRPr="00512625">
              <w:rPr>
                <w:rFonts w:cs="Arial"/>
                <w:sz w:val="19"/>
                <w:szCs w:val="19"/>
                <w:lang w:eastAsia="hu-HU"/>
              </w:rPr>
              <w:t>.</w:t>
            </w:r>
            <w:r w:rsidRPr="00512625">
              <w:rPr>
                <w:rFonts w:cs="Arial"/>
                <w:sz w:val="19"/>
                <w:szCs w:val="19"/>
                <w:lang w:eastAsia="hu-HU"/>
              </w:rPr>
              <w:t>9</w:t>
            </w:r>
          </w:p>
        </w:tc>
        <w:tc>
          <w:tcPr>
            <w:tcW w:w="944"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15</w:t>
            </w:r>
            <w:r w:rsidR="00301583" w:rsidRPr="00512625">
              <w:rPr>
                <w:rFonts w:cs="Arial"/>
                <w:sz w:val="19"/>
                <w:szCs w:val="19"/>
                <w:lang w:eastAsia="hu-HU"/>
              </w:rPr>
              <w:t>.</w:t>
            </w:r>
            <w:r w:rsidRPr="00512625">
              <w:rPr>
                <w:rFonts w:cs="Arial"/>
                <w:sz w:val="19"/>
                <w:szCs w:val="19"/>
                <w:lang w:eastAsia="hu-HU"/>
              </w:rPr>
              <w:t>6</w:t>
            </w:r>
          </w:p>
        </w:tc>
      </w:tr>
      <w:tr w:rsidR="0038087F" w:rsidRPr="00301583" w:rsidTr="00E126C8">
        <w:trPr>
          <w:trHeight w:val="285"/>
        </w:trPr>
        <w:tc>
          <w:tcPr>
            <w:tcW w:w="2198" w:type="dxa"/>
            <w:shd w:val="clear" w:color="auto" w:fill="auto"/>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 aged 65+ (2009)</w:t>
            </w:r>
            <w:r w:rsidRPr="00512625">
              <w:rPr>
                <w:rFonts w:cs="Arial"/>
                <w:b/>
                <w:bCs/>
                <w:sz w:val="19"/>
                <w:szCs w:val="19"/>
                <w:vertAlign w:val="superscript"/>
                <w:lang w:eastAsia="hu-HU"/>
              </w:rPr>
              <w:t>1</w:t>
            </w:r>
          </w:p>
        </w:tc>
        <w:tc>
          <w:tcPr>
            <w:tcW w:w="1418"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12</w:t>
            </w:r>
            <w:r w:rsidR="00301583" w:rsidRPr="00512625">
              <w:rPr>
                <w:rFonts w:cs="Arial"/>
                <w:sz w:val="19"/>
                <w:szCs w:val="19"/>
                <w:lang w:eastAsia="hu-HU"/>
              </w:rPr>
              <w:t>.</w:t>
            </w:r>
            <w:r w:rsidRPr="00512625">
              <w:rPr>
                <w:rFonts w:cs="Arial"/>
                <w:sz w:val="19"/>
                <w:szCs w:val="19"/>
                <w:lang w:eastAsia="hu-HU"/>
              </w:rPr>
              <w:t>7</w:t>
            </w:r>
          </w:p>
        </w:tc>
        <w:tc>
          <w:tcPr>
            <w:tcW w:w="1276"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12</w:t>
            </w:r>
            <w:r w:rsidR="00301583" w:rsidRPr="00512625">
              <w:rPr>
                <w:rFonts w:cs="Arial"/>
                <w:sz w:val="19"/>
                <w:szCs w:val="19"/>
                <w:lang w:eastAsia="hu-HU"/>
              </w:rPr>
              <w:t>.</w:t>
            </w:r>
            <w:r w:rsidRPr="00512625">
              <w:rPr>
                <w:rFonts w:cs="Arial"/>
                <w:sz w:val="19"/>
                <w:szCs w:val="19"/>
                <w:lang w:eastAsia="hu-HU"/>
              </w:rPr>
              <w:t>0</w:t>
            </w:r>
          </w:p>
        </w:tc>
        <w:tc>
          <w:tcPr>
            <w:tcW w:w="1275"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12</w:t>
            </w:r>
            <w:r w:rsidR="00301583" w:rsidRPr="00512625">
              <w:rPr>
                <w:rFonts w:cs="Arial"/>
                <w:sz w:val="19"/>
                <w:szCs w:val="19"/>
                <w:lang w:eastAsia="hu-HU"/>
              </w:rPr>
              <w:t>.</w:t>
            </w:r>
            <w:r w:rsidRPr="00512625">
              <w:rPr>
                <w:rFonts w:cs="Arial"/>
                <w:sz w:val="19"/>
                <w:szCs w:val="19"/>
                <w:lang w:eastAsia="hu-HU"/>
              </w:rPr>
              <w:t>1</w:t>
            </w:r>
          </w:p>
        </w:tc>
        <w:tc>
          <w:tcPr>
            <w:tcW w:w="113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14</w:t>
            </w:r>
            <w:r w:rsidR="00301583" w:rsidRPr="00512625">
              <w:rPr>
                <w:rFonts w:cs="Arial"/>
                <w:sz w:val="19"/>
                <w:szCs w:val="19"/>
                <w:lang w:eastAsia="hu-HU"/>
              </w:rPr>
              <w:t>.</w:t>
            </w:r>
            <w:r w:rsidRPr="00512625">
              <w:rPr>
                <w:rFonts w:cs="Arial"/>
                <w:sz w:val="19"/>
                <w:szCs w:val="19"/>
                <w:lang w:eastAsia="hu-HU"/>
              </w:rPr>
              <w:t>7</w:t>
            </w:r>
          </w:p>
        </w:tc>
        <w:tc>
          <w:tcPr>
            <w:tcW w:w="94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17</w:t>
            </w:r>
            <w:r w:rsidR="00301583" w:rsidRPr="00512625">
              <w:rPr>
                <w:rFonts w:cs="Arial"/>
                <w:sz w:val="19"/>
                <w:szCs w:val="19"/>
                <w:lang w:eastAsia="hu-HU"/>
              </w:rPr>
              <w:t>.</w:t>
            </w:r>
            <w:r w:rsidRPr="00512625">
              <w:rPr>
                <w:rFonts w:cs="Arial"/>
                <w:sz w:val="19"/>
                <w:szCs w:val="19"/>
                <w:lang w:eastAsia="hu-HU"/>
              </w:rPr>
              <w:t>2</w:t>
            </w:r>
          </w:p>
        </w:tc>
      </w:tr>
      <w:tr w:rsidR="0038087F" w:rsidRPr="00301583" w:rsidTr="00E126C8">
        <w:trPr>
          <w:trHeight w:val="285"/>
        </w:trPr>
        <w:tc>
          <w:tcPr>
            <w:tcW w:w="2198" w:type="dxa"/>
            <w:shd w:val="clear" w:color="auto" w:fill="D9D9D9" w:themeFill="background1" w:themeFillShade="D9"/>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Economic Activity Rate (2009)</w:t>
            </w:r>
            <w:r w:rsidRPr="00512625">
              <w:rPr>
                <w:rFonts w:cs="Arial"/>
                <w:b/>
                <w:bCs/>
                <w:sz w:val="19"/>
                <w:szCs w:val="19"/>
                <w:vertAlign w:val="superscript"/>
                <w:lang w:eastAsia="hu-HU"/>
              </w:rPr>
              <w:t>3</w:t>
            </w:r>
            <w:r w:rsidRPr="00512625">
              <w:rPr>
                <w:rFonts w:cs="Arial"/>
                <w:b/>
                <w:bCs/>
                <w:sz w:val="19"/>
                <w:szCs w:val="19"/>
                <w:lang w:eastAsia="hu-HU"/>
              </w:rPr>
              <w:t>, %</w:t>
            </w:r>
          </w:p>
        </w:tc>
        <w:tc>
          <w:tcPr>
            <w:tcW w:w="1418"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57</w:t>
            </w:r>
            <w:r w:rsidR="00301583" w:rsidRPr="00512625">
              <w:rPr>
                <w:rFonts w:cs="Arial"/>
                <w:sz w:val="19"/>
                <w:szCs w:val="19"/>
              </w:rPr>
              <w:t>.</w:t>
            </w:r>
            <w:r w:rsidRPr="00512625">
              <w:rPr>
                <w:rFonts w:cs="Arial"/>
                <w:sz w:val="19"/>
                <w:szCs w:val="19"/>
              </w:rPr>
              <w:t>3</w:t>
            </w:r>
          </w:p>
        </w:tc>
        <w:tc>
          <w:tcPr>
            <w:tcW w:w="1276"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57</w:t>
            </w:r>
            <w:r w:rsidR="00301583" w:rsidRPr="00512625">
              <w:rPr>
                <w:rFonts w:cs="Arial"/>
                <w:sz w:val="19"/>
                <w:szCs w:val="19"/>
              </w:rPr>
              <w:t>.</w:t>
            </w:r>
            <w:r w:rsidRPr="00512625">
              <w:rPr>
                <w:rFonts w:cs="Arial"/>
                <w:sz w:val="19"/>
                <w:szCs w:val="19"/>
              </w:rPr>
              <w:t>3</w:t>
            </w:r>
          </w:p>
        </w:tc>
        <w:tc>
          <w:tcPr>
            <w:tcW w:w="1275"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58</w:t>
            </w:r>
            <w:r w:rsidR="00301583" w:rsidRPr="00512625">
              <w:rPr>
                <w:rFonts w:cs="Arial"/>
                <w:sz w:val="19"/>
                <w:szCs w:val="19"/>
              </w:rPr>
              <w:t>.</w:t>
            </w:r>
            <w:r w:rsidRPr="00512625">
              <w:rPr>
                <w:rFonts w:cs="Arial"/>
                <w:sz w:val="19"/>
                <w:szCs w:val="19"/>
              </w:rPr>
              <w:t>9</w:t>
            </w:r>
          </w:p>
        </w:tc>
        <w:tc>
          <w:tcPr>
            <w:tcW w:w="1134"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n/a</w:t>
            </w:r>
          </w:p>
        </w:tc>
        <w:tc>
          <w:tcPr>
            <w:tcW w:w="944"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57</w:t>
            </w:r>
            <w:r w:rsidR="00301583" w:rsidRPr="00512625">
              <w:rPr>
                <w:rFonts w:cs="Arial"/>
                <w:sz w:val="19"/>
                <w:szCs w:val="19"/>
                <w:lang w:eastAsia="hu-HU"/>
              </w:rPr>
              <w:t>.</w:t>
            </w:r>
            <w:r w:rsidRPr="00512625">
              <w:rPr>
                <w:rFonts w:cs="Arial"/>
                <w:sz w:val="19"/>
                <w:szCs w:val="19"/>
                <w:lang w:eastAsia="hu-HU"/>
              </w:rPr>
              <w:t>6</w:t>
            </w:r>
          </w:p>
        </w:tc>
      </w:tr>
      <w:tr w:rsidR="0038087F" w:rsidRPr="00301583" w:rsidTr="00E126C8">
        <w:trPr>
          <w:trHeight w:val="285"/>
        </w:trPr>
        <w:tc>
          <w:tcPr>
            <w:tcW w:w="2198" w:type="dxa"/>
            <w:shd w:val="clear" w:color="auto" w:fill="auto"/>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Employment Rate (2009)</w:t>
            </w:r>
            <w:r w:rsidRPr="00512625">
              <w:rPr>
                <w:rFonts w:cs="Arial"/>
                <w:b/>
                <w:bCs/>
                <w:sz w:val="19"/>
                <w:szCs w:val="19"/>
                <w:vertAlign w:val="superscript"/>
                <w:lang w:eastAsia="hu-HU"/>
              </w:rPr>
              <w:t>4</w:t>
            </w:r>
            <w:r w:rsidRPr="00512625">
              <w:rPr>
                <w:rFonts w:cs="Arial"/>
                <w:b/>
                <w:bCs/>
                <w:sz w:val="19"/>
                <w:szCs w:val="19"/>
                <w:lang w:eastAsia="hu-HU"/>
              </w:rPr>
              <w:t>, %</w:t>
            </w:r>
          </w:p>
        </w:tc>
        <w:tc>
          <w:tcPr>
            <w:tcW w:w="1418" w:type="dxa"/>
            <w:shd w:val="clear" w:color="auto" w:fill="auto"/>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46</w:t>
            </w:r>
            <w:r w:rsidR="00301583" w:rsidRPr="00512625">
              <w:rPr>
                <w:rFonts w:cs="Arial"/>
                <w:sz w:val="19"/>
                <w:szCs w:val="19"/>
              </w:rPr>
              <w:t>.</w:t>
            </w:r>
            <w:r w:rsidRPr="00512625">
              <w:rPr>
                <w:rFonts w:cs="Arial"/>
                <w:sz w:val="19"/>
                <w:szCs w:val="19"/>
              </w:rPr>
              <w:t>5</w:t>
            </w:r>
          </w:p>
        </w:tc>
        <w:tc>
          <w:tcPr>
            <w:tcW w:w="1276" w:type="dxa"/>
            <w:shd w:val="clear" w:color="auto" w:fill="auto"/>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48</w:t>
            </w:r>
            <w:r w:rsidR="00301583" w:rsidRPr="00512625">
              <w:rPr>
                <w:rFonts w:cs="Arial"/>
                <w:sz w:val="19"/>
                <w:szCs w:val="19"/>
              </w:rPr>
              <w:t>.</w:t>
            </w:r>
            <w:r w:rsidRPr="00512625">
              <w:rPr>
                <w:rFonts w:cs="Arial"/>
                <w:sz w:val="19"/>
                <w:szCs w:val="19"/>
              </w:rPr>
              <w:t>9</w:t>
            </w:r>
          </w:p>
        </w:tc>
        <w:tc>
          <w:tcPr>
            <w:tcW w:w="1275" w:type="dxa"/>
            <w:shd w:val="clear" w:color="auto" w:fill="auto"/>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51</w:t>
            </w:r>
            <w:r w:rsidR="00301583" w:rsidRPr="00512625">
              <w:rPr>
                <w:rFonts w:cs="Arial"/>
                <w:sz w:val="19"/>
                <w:szCs w:val="19"/>
              </w:rPr>
              <w:t>.</w:t>
            </w:r>
            <w:r w:rsidRPr="00512625">
              <w:rPr>
                <w:rFonts w:cs="Arial"/>
                <w:sz w:val="19"/>
                <w:szCs w:val="19"/>
              </w:rPr>
              <w:t>8</w:t>
            </w:r>
          </w:p>
        </w:tc>
        <w:tc>
          <w:tcPr>
            <w:tcW w:w="113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n/a</w:t>
            </w:r>
          </w:p>
        </w:tc>
        <w:tc>
          <w:tcPr>
            <w:tcW w:w="94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50</w:t>
            </w:r>
            <w:r w:rsidR="00301583" w:rsidRPr="00512625">
              <w:rPr>
                <w:rFonts w:cs="Arial"/>
                <w:sz w:val="19"/>
                <w:szCs w:val="19"/>
                <w:lang w:eastAsia="hu-HU"/>
              </w:rPr>
              <w:t>.</w:t>
            </w:r>
            <w:r w:rsidRPr="00512625">
              <w:rPr>
                <w:rFonts w:cs="Arial"/>
                <w:sz w:val="19"/>
                <w:szCs w:val="19"/>
                <w:lang w:eastAsia="hu-HU"/>
              </w:rPr>
              <w:t>5</w:t>
            </w:r>
          </w:p>
        </w:tc>
      </w:tr>
      <w:tr w:rsidR="0038087F" w:rsidRPr="00301583" w:rsidTr="00E126C8">
        <w:trPr>
          <w:trHeight w:val="285"/>
        </w:trPr>
        <w:tc>
          <w:tcPr>
            <w:tcW w:w="2198" w:type="dxa"/>
            <w:shd w:val="clear" w:color="auto" w:fill="D9D9D9" w:themeFill="background1" w:themeFillShade="D9"/>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Unemployment rate (2009)</w:t>
            </w:r>
            <w:r w:rsidRPr="00512625">
              <w:rPr>
                <w:rFonts w:cs="Arial"/>
                <w:b/>
                <w:bCs/>
                <w:sz w:val="19"/>
                <w:szCs w:val="19"/>
                <w:vertAlign w:val="superscript"/>
                <w:lang w:eastAsia="hu-HU"/>
              </w:rPr>
              <w:t>5</w:t>
            </w:r>
            <w:r w:rsidRPr="00512625">
              <w:rPr>
                <w:rFonts w:cs="Arial"/>
                <w:b/>
                <w:bCs/>
                <w:sz w:val="19"/>
                <w:szCs w:val="19"/>
                <w:lang w:eastAsia="hu-HU"/>
              </w:rPr>
              <w:t>, %</w:t>
            </w:r>
          </w:p>
        </w:tc>
        <w:tc>
          <w:tcPr>
            <w:tcW w:w="1418"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18</w:t>
            </w:r>
            <w:r w:rsidR="00301583" w:rsidRPr="00512625">
              <w:rPr>
                <w:rFonts w:cs="Arial"/>
                <w:sz w:val="19"/>
                <w:szCs w:val="19"/>
              </w:rPr>
              <w:t>.</w:t>
            </w:r>
            <w:r w:rsidRPr="00512625">
              <w:rPr>
                <w:rFonts w:cs="Arial"/>
                <w:sz w:val="19"/>
                <w:szCs w:val="19"/>
              </w:rPr>
              <w:t>8</w:t>
            </w:r>
          </w:p>
        </w:tc>
        <w:tc>
          <w:tcPr>
            <w:tcW w:w="1276"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14</w:t>
            </w:r>
            <w:r w:rsidR="00301583" w:rsidRPr="00512625">
              <w:rPr>
                <w:rFonts w:cs="Arial"/>
                <w:sz w:val="19"/>
                <w:szCs w:val="19"/>
              </w:rPr>
              <w:t>.</w:t>
            </w:r>
            <w:r w:rsidRPr="00512625">
              <w:rPr>
                <w:rFonts w:cs="Arial"/>
                <w:sz w:val="19"/>
                <w:szCs w:val="19"/>
              </w:rPr>
              <w:t>6</w:t>
            </w:r>
          </w:p>
        </w:tc>
        <w:tc>
          <w:tcPr>
            <w:tcW w:w="1275"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rPr>
            </w:pPr>
            <w:r w:rsidRPr="00512625">
              <w:rPr>
                <w:rFonts w:cs="Arial"/>
                <w:sz w:val="19"/>
                <w:szCs w:val="19"/>
              </w:rPr>
              <w:t>12</w:t>
            </w:r>
            <w:r w:rsidR="00301583" w:rsidRPr="00512625">
              <w:rPr>
                <w:rFonts w:cs="Arial"/>
                <w:sz w:val="19"/>
                <w:szCs w:val="19"/>
              </w:rPr>
              <w:t>.</w:t>
            </w:r>
            <w:r w:rsidRPr="00512625">
              <w:rPr>
                <w:rFonts w:cs="Arial"/>
                <w:sz w:val="19"/>
                <w:szCs w:val="19"/>
              </w:rPr>
              <w:t>1</w:t>
            </w:r>
          </w:p>
        </w:tc>
        <w:tc>
          <w:tcPr>
            <w:tcW w:w="1134"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n/a</w:t>
            </w:r>
          </w:p>
        </w:tc>
        <w:tc>
          <w:tcPr>
            <w:tcW w:w="944" w:type="dxa"/>
            <w:shd w:val="clear" w:color="auto" w:fill="D9D9D9" w:themeFill="background1" w:themeFillShade="D9"/>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8</w:t>
            </w:r>
            <w:r w:rsidR="00301583" w:rsidRPr="00512625">
              <w:rPr>
                <w:rFonts w:cs="Arial"/>
                <w:sz w:val="19"/>
                <w:szCs w:val="19"/>
                <w:lang w:eastAsia="hu-HU"/>
              </w:rPr>
              <w:t>.</w:t>
            </w:r>
            <w:r w:rsidRPr="00512625">
              <w:rPr>
                <w:rFonts w:cs="Arial"/>
                <w:sz w:val="19"/>
                <w:szCs w:val="19"/>
                <w:lang w:eastAsia="hu-HU"/>
              </w:rPr>
              <w:t>9</w:t>
            </w:r>
          </w:p>
        </w:tc>
      </w:tr>
      <w:tr w:rsidR="0038087F" w:rsidRPr="00301583" w:rsidTr="00E126C8">
        <w:trPr>
          <w:trHeight w:val="285"/>
        </w:trPr>
        <w:tc>
          <w:tcPr>
            <w:tcW w:w="2198" w:type="dxa"/>
            <w:shd w:val="clear" w:color="auto" w:fill="auto"/>
            <w:noWrap/>
          </w:tcPr>
          <w:p w:rsidR="008C7986" w:rsidRPr="00512625" w:rsidRDefault="008C7986" w:rsidP="00512625">
            <w:pPr>
              <w:spacing w:before="20" w:after="20" w:line="240" w:lineRule="auto"/>
              <w:jc w:val="left"/>
              <w:rPr>
                <w:rFonts w:cs="Arial"/>
                <w:b/>
                <w:bCs/>
                <w:sz w:val="19"/>
                <w:szCs w:val="19"/>
                <w:lang w:eastAsia="hu-HU"/>
              </w:rPr>
            </w:pPr>
            <w:r w:rsidRPr="00512625">
              <w:rPr>
                <w:rFonts w:cs="Arial"/>
                <w:b/>
                <w:bCs/>
                <w:sz w:val="19"/>
                <w:szCs w:val="19"/>
                <w:lang w:eastAsia="hu-HU"/>
              </w:rPr>
              <w:t>Long-term Une</w:t>
            </w:r>
            <w:r w:rsidRPr="00512625">
              <w:rPr>
                <w:rFonts w:cs="Arial"/>
                <w:b/>
                <w:bCs/>
                <w:sz w:val="19"/>
                <w:szCs w:val="19"/>
                <w:lang w:eastAsia="hu-HU"/>
              </w:rPr>
              <w:t>m</w:t>
            </w:r>
            <w:r w:rsidRPr="00512625">
              <w:rPr>
                <w:rFonts w:cs="Arial"/>
                <w:b/>
                <w:bCs/>
                <w:sz w:val="19"/>
                <w:szCs w:val="19"/>
                <w:lang w:eastAsia="hu-HU"/>
              </w:rPr>
              <w:t>ployment rate (2009)</w:t>
            </w:r>
            <w:r w:rsidRPr="00512625">
              <w:rPr>
                <w:rFonts w:cs="Arial"/>
                <w:b/>
                <w:bCs/>
                <w:sz w:val="19"/>
                <w:szCs w:val="19"/>
                <w:vertAlign w:val="superscript"/>
                <w:lang w:eastAsia="hu-HU"/>
              </w:rPr>
              <w:t>6</w:t>
            </w:r>
            <w:r w:rsidRPr="00512625">
              <w:rPr>
                <w:rFonts w:cs="Arial"/>
                <w:b/>
                <w:bCs/>
                <w:sz w:val="19"/>
                <w:szCs w:val="19"/>
                <w:lang w:eastAsia="hu-HU"/>
              </w:rPr>
              <w:t>, %</w:t>
            </w:r>
          </w:p>
        </w:tc>
        <w:tc>
          <w:tcPr>
            <w:tcW w:w="1418"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n/a</w:t>
            </w:r>
          </w:p>
        </w:tc>
        <w:tc>
          <w:tcPr>
            <w:tcW w:w="1276"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8</w:t>
            </w:r>
            <w:r w:rsidR="00301583" w:rsidRPr="00512625">
              <w:rPr>
                <w:rFonts w:cs="Arial"/>
                <w:sz w:val="19"/>
                <w:szCs w:val="19"/>
                <w:lang w:eastAsia="hu-HU"/>
              </w:rPr>
              <w:t>.</w:t>
            </w:r>
            <w:r w:rsidRPr="00512625">
              <w:rPr>
                <w:rFonts w:cs="Arial"/>
                <w:sz w:val="19"/>
                <w:szCs w:val="19"/>
                <w:lang w:eastAsia="hu-HU"/>
              </w:rPr>
              <w:t>8</w:t>
            </w:r>
          </w:p>
        </w:tc>
        <w:tc>
          <w:tcPr>
            <w:tcW w:w="1275"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6</w:t>
            </w:r>
            <w:r w:rsidR="00301583" w:rsidRPr="00512625">
              <w:rPr>
                <w:rFonts w:cs="Arial"/>
                <w:sz w:val="19"/>
                <w:szCs w:val="19"/>
                <w:lang w:eastAsia="hu-HU"/>
              </w:rPr>
              <w:t>.</w:t>
            </w:r>
            <w:r w:rsidRPr="00512625">
              <w:rPr>
                <w:rFonts w:cs="Arial"/>
                <w:sz w:val="19"/>
                <w:szCs w:val="19"/>
                <w:lang w:eastAsia="hu-HU"/>
              </w:rPr>
              <w:t>5</w:t>
            </w:r>
          </w:p>
        </w:tc>
        <w:tc>
          <w:tcPr>
            <w:tcW w:w="113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n/a</w:t>
            </w:r>
          </w:p>
        </w:tc>
        <w:tc>
          <w:tcPr>
            <w:tcW w:w="944" w:type="dxa"/>
            <w:shd w:val="clear" w:color="auto" w:fill="auto"/>
            <w:noWrap/>
            <w:vAlign w:val="center"/>
          </w:tcPr>
          <w:p w:rsidR="008C7986" w:rsidRPr="00512625" w:rsidRDefault="008C7986" w:rsidP="00512625">
            <w:pPr>
              <w:spacing w:before="20" w:after="20" w:line="240" w:lineRule="auto"/>
              <w:jc w:val="center"/>
              <w:rPr>
                <w:rFonts w:cs="Arial"/>
                <w:sz w:val="19"/>
                <w:szCs w:val="19"/>
                <w:lang w:eastAsia="hu-HU"/>
              </w:rPr>
            </w:pPr>
            <w:r w:rsidRPr="00512625">
              <w:rPr>
                <w:rFonts w:cs="Arial"/>
                <w:sz w:val="19"/>
                <w:szCs w:val="19"/>
                <w:lang w:eastAsia="hu-HU"/>
              </w:rPr>
              <w:t>3</w:t>
            </w:r>
            <w:r w:rsidR="00301583" w:rsidRPr="00512625">
              <w:rPr>
                <w:rFonts w:cs="Arial"/>
                <w:sz w:val="19"/>
                <w:szCs w:val="19"/>
                <w:lang w:eastAsia="hu-HU"/>
              </w:rPr>
              <w:t>.</w:t>
            </w:r>
            <w:r w:rsidRPr="00512625">
              <w:rPr>
                <w:rFonts w:cs="Arial"/>
                <w:sz w:val="19"/>
                <w:szCs w:val="19"/>
                <w:lang w:eastAsia="hu-HU"/>
              </w:rPr>
              <w:t>0</w:t>
            </w:r>
          </w:p>
        </w:tc>
      </w:tr>
    </w:tbl>
    <w:p w:rsidR="008C7986" w:rsidRPr="00301583" w:rsidRDefault="008C7986" w:rsidP="008C7986">
      <w:pPr>
        <w:pStyle w:val="Caption"/>
        <w:spacing w:line="240" w:lineRule="auto"/>
        <w:rPr>
          <w:sz w:val="16"/>
          <w:szCs w:val="16"/>
        </w:rPr>
      </w:pPr>
      <w:r w:rsidRPr="00301583">
        <w:rPr>
          <w:sz w:val="16"/>
          <w:szCs w:val="16"/>
        </w:rPr>
        <w:t>Sources:</w:t>
      </w:r>
    </w:p>
    <w:p w:rsidR="008C7986" w:rsidRPr="00301583" w:rsidRDefault="008C7986" w:rsidP="0095143B">
      <w:pPr>
        <w:pStyle w:val="ListParagraph"/>
        <w:numPr>
          <w:ilvl w:val="0"/>
          <w:numId w:val="2"/>
        </w:numPr>
        <w:spacing w:before="0" w:line="240" w:lineRule="auto"/>
        <w:rPr>
          <w:sz w:val="16"/>
          <w:szCs w:val="16"/>
        </w:rPr>
      </w:pPr>
      <w:r w:rsidRPr="00301583">
        <w:rPr>
          <w:sz w:val="16"/>
          <w:szCs w:val="16"/>
        </w:rPr>
        <w:t>Eurostat Database, Regional Statistics (Reg) Table [demo_r_pjanaggr3]</w:t>
      </w:r>
    </w:p>
    <w:p w:rsidR="008C7986" w:rsidRPr="00191D38" w:rsidRDefault="00B759C8" w:rsidP="0095143B">
      <w:pPr>
        <w:pStyle w:val="ListParagraph"/>
        <w:numPr>
          <w:ilvl w:val="0"/>
          <w:numId w:val="2"/>
        </w:numPr>
        <w:spacing w:before="0" w:line="240" w:lineRule="auto"/>
        <w:rPr>
          <w:sz w:val="16"/>
          <w:szCs w:val="16"/>
          <w:lang w:val="pt-PT"/>
        </w:rPr>
      </w:pPr>
      <w:r w:rsidRPr="00191D38">
        <w:rPr>
          <w:sz w:val="16"/>
          <w:szCs w:val="16"/>
          <w:lang w:val="pt-PT"/>
        </w:rPr>
        <w:t>Eurostat Database, Regional Statistics (Reg) Table [demo_r_d3dens]</w:t>
      </w:r>
    </w:p>
    <w:p w:rsidR="008C7986" w:rsidRPr="00301583" w:rsidRDefault="008C7986" w:rsidP="0095143B">
      <w:pPr>
        <w:pStyle w:val="ListParagraph"/>
        <w:numPr>
          <w:ilvl w:val="0"/>
          <w:numId w:val="2"/>
        </w:numPr>
        <w:spacing w:before="0" w:line="240" w:lineRule="auto"/>
        <w:rPr>
          <w:sz w:val="16"/>
          <w:szCs w:val="16"/>
        </w:rPr>
      </w:pPr>
      <w:r w:rsidRPr="00301583">
        <w:rPr>
          <w:sz w:val="16"/>
          <w:szCs w:val="16"/>
        </w:rPr>
        <w:t>Eurostat Database, Regional Statistics (Reg) Table [lfst_r_lfp3pop]; SO SR, Regional Statistics Database</w:t>
      </w:r>
    </w:p>
    <w:p w:rsidR="008C7986" w:rsidRPr="00301583" w:rsidRDefault="008C7986" w:rsidP="0095143B">
      <w:pPr>
        <w:pStyle w:val="ListParagraph"/>
        <w:numPr>
          <w:ilvl w:val="0"/>
          <w:numId w:val="2"/>
        </w:numPr>
        <w:spacing w:before="0" w:line="240" w:lineRule="auto"/>
        <w:rPr>
          <w:sz w:val="16"/>
          <w:szCs w:val="16"/>
        </w:rPr>
      </w:pPr>
      <w:r w:rsidRPr="00301583">
        <w:rPr>
          <w:sz w:val="16"/>
          <w:szCs w:val="16"/>
        </w:rPr>
        <w:t>Eurostat Database, Regional Statistics (Reg) Table [lfst_r_lfp3pop, lfst_r_lfu3pers]; SO SR, Regional Statistics Database</w:t>
      </w:r>
    </w:p>
    <w:p w:rsidR="008C7986" w:rsidRPr="00301583" w:rsidRDefault="008C7986" w:rsidP="0095143B">
      <w:pPr>
        <w:pStyle w:val="ListParagraph"/>
        <w:numPr>
          <w:ilvl w:val="0"/>
          <w:numId w:val="2"/>
        </w:numPr>
        <w:spacing w:before="0" w:line="240" w:lineRule="auto"/>
        <w:rPr>
          <w:sz w:val="16"/>
          <w:szCs w:val="16"/>
        </w:rPr>
      </w:pPr>
      <w:r w:rsidRPr="00301583">
        <w:rPr>
          <w:sz w:val="16"/>
          <w:szCs w:val="16"/>
        </w:rPr>
        <w:t>Eurostat Database, Regional Statistics (Reg) Table [lfst_r_lfu3pers]; SO SR, Regional Statistics Database</w:t>
      </w:r>
    </w:p>
    <w:p w:rsidR="008C7986" w:rsidRPr="00301583" w:rsidRDefault="008C7986" w:rsidP="0095143B">
      <w:pPr>
        <w:pStyle w:val="ListParagraph"/>
        <w:numPr>
          <w:ilvl w:val="0"/>
          <w:numId w:val="2"/>
        </w:numPr>
        <w:spacing w:before="0" w:line="240" w:lineRule="auto"/>
        <w:rPr>
          <w:sz w:val="16"/>
          <w:szCs w:val="16"/>
        </w:rPr>
      </w:pPr>
      <w:r w:rsidRPr="00301583">
        <w:rPr>
          <w:sz w:val="16"/>
          <w:szCs w:val="16"/>
        </w:rPr>
        <w:t>Eurostat Database, Regional Statistics (Reg) Table [lfst_r_lfu2ltu]</w:t>
      </w:r>
    </w:p>
    <w:p w:rsidR="0031791A" w:rsidRPr="00512625" w:rsidRDefault="008C7986" w:rsidP="00512625">
      <w:pPr>
        <w:spacing w:after="240" w:line="240" w:lineRule="auto"/>
        <w:rPr>
          <w:b/>
          <w:sz w:val="16"/>
          <w:szCs w:val="16"/>
        </w:rPr>
      </w:pPr>
      <w:r w:rsidRPr="00301583">
        <w:rPr>
          <w:b/>
          <w:sz w:val="16"/>
          <w:szCs w:val="16"/>
        </w:rPr>
        <w:t>*</w:t>
      </w:r>
      <w:r w:rsidRPr="00301583">
        <w:rPr>
          <w:sz w:val="16"/>
          <w:szCs w:val="16"/>
        </w:rPr>
        <w:t xml:space="preserve"> East European New Member States of the European Union (Estonia, Latvia, Lithuania, Poland, Czech republic, Slovakia, Hungary, Slovenia, Romania, Bulgaria)</w:t>
      </w:r>
    </w:p>
    <w:p w:rsidR="0031791A" w:rsidRPr="00301583" w:rsidRDefault="00135993" w:rsidP="001E5FFE">
      <w:pPr>
        <w:spacing w:line="276" w:lineRule="auto"/>
      </w:pPr>
      <w:r w:rsidRPr="00301583">
        <w:t>Moreover,</w:t>
      </w:r>
      <w:r w:rsidR="0031791A" w:rsidRPr="00301583">
        <w:t xml:space="preserve"> the number of live birth increases again year by year in the region and </w:t>
      </w:r>
      <w:r w:rsidR="00400117" w:rsidRPr="00301583">
        <w:t xml:space="preserve">the actual value of </w:t>
      </w:r>
      <w:r w:rsidR="0031791A" w:rsidRPr="00301583">
        <w:t>it is close to th</w:t>
      </w:r>
      <w:r w:rsidR="00400117" w:rsidRPr="00301583">
        <w:t>at</w:t>
      </w:r>
      <w:r w:rsidR="0031791A" w:rsidRPr="00301583">
        <w:t xml:space="preserve"> of mid-nineties. Despite this tendency the dem</w:t>
      </w:r>
      <w:r w:rsidR="0031791A" w:rsidRPr="00301583">
        <w:t>o</w:t>
      </w:r>
      <w:r w:rsidR="0031791A" w:rsidRPr="00301583">
        <w:t xml:space="preserve">graphic structure of </w:t>
      </w:r>
      <w:r w:rsidR="00C27D13">
        <w:t>Banská Bystrica</w:t>
      </w:r>
      <w:r w:rsidR="0031791A" w:rsidRPr="00301583">
        <w:t xml:space="preserve"> is quite unbalanced. The ratio of young age groups (aged &lt;15) is lower than the Slovakian average and it is significantly lower than that of the Žilin</w:t>
      </w:r>
      <w:r w:rsidR="0040458C">
        <w:t>a</w:t>
      </w:r>
      <w:r w:rsidR="0031791A" w:rsidRPr="00301583">
        <w:t>. At the same time the ratio of elderly people (aged 65</w:t>
      </w:r>
      <w:r w:rsidRPr="00301583">
        <w:t>+</w:t>
      </w:r>
      <w:r w:rsidR="0031791A" w:rsidRPr="00301583">
        <w:t>)</w:t>
      </w:r>
      <w:r w:rsidR="00400117" w:rsidRPr="00301583">
        <w:t xml:space="preserve"> in the area </w:t>
      </w:r>
      <w:r w:rsidRPr="00301583">
        <w:t xml:space="preserve">is </w:t>
      </w:r>
      <w:r w:rsidR="0031791A" w:rsidRPr="00301583">
        <w:t xml:space="preserve">quite high </w:t>
      </w:r>
      <w:r w:rsidRPr="00301583">
        <w:t xml:space="preserve">as compared to </w:t>
      </w:r>
      <w:r w:rsidR="00400117" w:rsidRPr="00301583">
        <w:t>other</w:t>
      </w:r>
      <w:r w:rsidR="0031791A" w:rsidRPr="00301583">
        <w:t xml:space="preserve"> Slovakia</w:t>
      </w:r>
      <w:r w:rsidR="00400117" w:rsidRPr="00301583">
        <w:t>n regions</w:t>
      </w:r>
      <w:r w:rsidR="0031791A" w:rsidRPr="00301583">
        <w:t xml:space="preserve">. </w:t>
      </w:r>
      <w:r w:rsidR="00833502" w:rsidRPr="00301583">
        <w:t>Consequently,</w:t>
      </w:r>
      <w:r w:rsidR="0031791A" w:rsidRPr="00301583">
        <w:t xml:space="preserve"> the </w:t>
      </w:r>
      <w:r w:rsidR="00524D89" w:rsidRPr="00301583">
        <w:t>propo</w:t>
      </w:r>
      <w:r w:rsidR="00524D89" w:rsidRPr="00301583">
        <w:t>r</w:t>
      </w:r>
      <w:r w:rsidR="00524D89" w:rsidRPr="00301583">
        <w:t>tion</w:t>
      </w:r>
      <w:r w:rsidR="00D517F2">
        <w:t xml:space="preserve"> </w:t>
      </w:r>
      <w:r w:rsidR="00524D89" w:rsidRPr="00301583">
        <w:t xml:space="preserve">of the </w:t>
      </w:r>
      <w:r w:rsidR="0031791A" w:rsidRPr="00301583">
        <w:t xml:space="preserve">actual and </w:t>
      </w:r>
      <w:r w:rsidR="00524D89" w:rsidRPr="00301583">
        <w:t xml:space="preserve">the </w:t>
      </w:r>
      <w:r w:rsidR="0031791A" w:rsidRPr="00301583">
        <w:t xml:space="preserve">potential working age groups is relatively </w:t>
      </w:r>
      <w:r w:rsidR="00524D89" w:rsidRPr="00301583">
        <w:t>low</w:t>
      </w:r>
      <w:r w:rsidR="0031791A" w:rsidRPr="00301583">
        <w:t xml:space="preserve"> underpin</w:t>
      </w:r>
      <w:r w:rsidRPr="00301583">
        <w:t>ning</w:t>
      </w:r>
      <w:r w:rsidR="0031791A" w:rsidRPr="00301583">
        <w:t xml:space="preserve"> some unfavourable labour market characteristics in the region.</w:t>
      </w:r>
    </w:p>
    <w:p w:rsidR="0031791A" w:rsidRPr="00301583" w:rsidRDefault="0031791A" w:rsidP="001E5FFE">
      <w:pPr>
        <w:spacing w:line="276" w:lineRule="auto"/>
      </w:pPr>
      <w:r w:rsidRPr="00301583">
        <w:t>Beside the</w:t>
      </w:r>
      <w:r w:rsidR="00013B34" w:rsidRPr="00301583">
        <w:t>se</w:t>
      </w:r>
      <w:r w:rsidRPr="00301583">
        <w:t xml:space="preserve"> demographical characteristics labour market conditions of </w:t>
      </w:r>
      <w:r w:rsidR="00C27D13">
        <w:t>Banská B</w:t>
      </w:r>
      <w:r w:rsidR="00C27D13">
        <w:t>y</w:t>
      </w:r>
      <w:r w:rsidR="00C27D13">
        <w:t>strica</w:t>
      </w:r>
      <w:r w:rsidRPr="00301583">
        <w:t xml:space="preserve"> compose another factor of </w:t>
      </w:r>
      <w:r w:rsidR="00013B34" w:rsidRPr="00301583">
        <w:t xml:space="preserve">the </w:t>
      </w:r>
      <w:r w:rsidRPr="00301583">
        <w:t xml:space="preserve">generally unfavourable social situation in the region. </w:t>
      </w:r>
      <w:r w:rsidR="00013B34" w:rsidRPr="00301583">
        <w:t>A</w:t>
      </w:r>
      <w:r w:rsidRPr="00301583">
        <w:t xml:space="preserve">ctivity rates of the area can be </w:t>
      </w:r>
      <w:r w:rsidR="00013B34" w:rsidRPr="00301583">
        <w:t>described</w:t>
      </w:r>
      <w:r w:rsidRPr="00301583">
        <w:t xml:space="preserve"> as average in rural Slovakia</w:t>
      </w:r>
      <w:r w:rsidR="00135993" w:rsidRPr="00301583">
        <w:t>:</w:t>
      </w:r>
      <w:r w:rsidRPr="00301583">
        <w:t xml:space="preserve"> the </w:t>
      </w:r>
      <w:r w:rsidR="00135993" w:rsidRPr="00301583">
        <w:t xml:space="preserve">higher </w:t>
      </w:r>
      <w:r w:rsidRPr="00301583">
        <w:t xml:space="preserve">country average </w:t>
      </w:r>
      <w:r w:rsidR="00013B34" w:rsidRPr="00301583">
        <w:t xml:space="preserve">of regional activity rates </w:t>
      </w:r>
      <w:r w:rsidRPr="00301583">
        <w:t xml:space="preserve">is </w:t>
      </w:r>
      <w:r w:rsidR="00135993" w:rsidRPr="00301583">
        <w:t xml:space="preserve">pushed by </w:t>
      </w:r>
      <w:r w:rsidRPr="00301583">
        <w:t xml:space="preserve">Bratislava and West Slovakia. The labour market </w:t>
      </w:r>
      <w:r w:rsidR="00135993" w:rsidRPr="00301583">
        <w:t>disorders</w:t>
      </w:r>
      <w:r w:rsidR="00A44DF8">
        <w:t>,</w:t>
      </w:r>
      <w:r w:rsidR="00B620D2" w:rsidRPr="00301583">
        <w:t xml:space="preserve"> however</w:t>
      </w:r>
      <w:r w:rsidR="00A44DF8">
        <w:t>,</w:t>
      </w:r>
      <w:r w:rsidR="00135993" w:rsidRPr="00301583">
        <w:t xml:space="preserve"> can be better illustrated </w:t>
      </w:r>
      <w:r w:rsidR="00B620D2" w:rsidRPr="00301583">
        <w:t xml:space="preserve">by </w:t>
      </w:r>
      <w:r w:rsidRPr="00301583">
        <w:t>e</w:t>
      </w:r>
      <w:r w:rsidRPr="00301583">
        <w:t>m</w:t>
      </w:r>
      <w:r w:rsidRPr="00301583">
        <w:lastRenderedPageBreak/>
        <w:t xml:space="preserve">ployment and unemployment rates of the area. The employment rate is notably lower both </w:t>
      </w:r>
      <w:r w:rsidR="00013B34" w:rsidRPr="00301583">
        <w:t xml:space="preserve">in </w:t>
      </w:r>
      <w:r w:rsidR="00C27D13">
        <w:t>Banská Bystrica</w:t>
      </w:r>
      <w:r w:rsidRPr="00301583">
        <w:t xml:space="preserve"> and the Central Slovakian NUTS2 unit than in Slovakia itself, not reaching even 50%, </w:t>
      </w:r>
      <w:r w:rsidR="00B620D2" w:rsidRPr="00301583">
        <w:t xml:space="preserve">and </w:t>
      </w:r>
      <w:r w:rsidRPr="00301583">
        <w:t xml:space="preserve">much lower in case of the former one. Unemployment figures show that nowadays </w:t>
      </w:r>
      <w:r w:rsidR="00C27D13">
        <w:t>Banská Bystrica</w:t>
      </w:r>
      <w:r w:rsidRPr="00301583">
        <w:t xml:space="preserve"> is among the most</w:t>
      </w:r>
      <w:r w:rsidR="00B620D2" w:rsidRPr="00301583">
        <w:t xml:space="preserve"> bad</w:t>
      </w:r>
      <w:r w:rsidRPr="00301583">
        <w:t xml:space="preserve">ly affected </w:t>
      </w:r>
      <w:r w:rsidR="00B620D2" w:rsidRPr="00301583">
        <w:t>r</w:t>
      </w:r>
      <w:r w:rsidR="00B620D2" w:rsidRPr="00301583">
        <w:t>e</w:t>
      </w:r>
      <w:r w:rsidR="00B620D2" w:rsidRPr="00301583">
        <w:t xml:space="preserve">gions in Slovakia where </w:t>
      </w:r>
      <w:r w:rsidR="00B620D2" w:rsidRPr="00301583">
        <w:softHyphen/>
        <w:t xml:space="preserve">– </w:t>
      </w:r>
      <w:r w:rsidRPr="00301583">
        <w:t>in</w:t>
      </w:r>
      <w:r w:rsidR="00B843AA" w:rsidRPr="00301583">
        <w:t xml:space="preserve"> contrast with</w:t>
      </w:r>
      <w:r w:rsidR="00B620D2" w:rsidRPr="00301583">
        <w:t xml:space="preserve"> the similarly disadvantaged East Slovakian regions no significant decrease of unemployment rates has been </w:t>
      </w:r>
      <w:r w:rsidR="00C51224" w:rsidRPr="00301583">
        <w:t>taken place</w:t>
      </w:r>
      <w:r w:rsidR="00B620D2" w:rsidRPr="00301583">
        <w:t xml:space="preserve"> recen</w:t>
      </w:r>
      <w:r w:rsidR="00B620D2" w:rsidRPr="00301583">
        <w:t>t</w:t>
      </w:r>
      <w:r w:rsidR="00B620D2" w:rsidRPr="00301583">
        <w:t>ly</w:t>
      </w:r>
      <w:r w:rsidRPr="00301583">
        <w:t>. Long-term unemployment rates are quite high in the wider region (Central Sl</w:t>
      </w:r>
      <w:r w:rsidRPr="00301583">
        <w:t>o</w:t>
      </w:r>
      <w:r w:rsidRPr="00301583">
        <w:t>vakia)</w:t>
      </w:r>
      <w:r w:rsidR="0061141D" w:rsidRPr="00301583">
        <w:t xml:space="preserve"> that</w:t>
      </w:r>
      <w:r w:rsidRPr="00301583">
        <w:t xml:space="preserve"> also underpins the labour market problems of </w:t>
      </w:r>
      <w:r w:rsidR="00833502" w:rsidRPr="00301583">
        <w:t xml:space="preserve">structural origin in </w:t>
      </w:r>
      <w:r w:rsidRPr="00301583">
        <w:t>the area.</w:t>
      </w:r>
    </w:p>
    <w:p w:rsidR="00F614E9" w:rsidRDefault="00DD0EAD" w:rsidP="00F4547F">
      <w:pPr>
        <w:spacing w:line="276" w:lineRule="auto"/>
      </w:pPr>
      <w:r w:rsidRPr="00301583">
        <w:t xml:space="preserve">The economic performance of </w:t>
      </w:r>
      <w:r w:rsidR="00C27D13">
        <w:t>Banská Bystrica</w:t>
      </w:r>
      <w:r w:rsidRPr="00301583">
        <w:t xml:space="preserve"> is the lowest (beside that of </w:t>
      </w:r>
      <w:r w:rsidR="00C27D13">
        <w:t>Prešov</w:t>
      </w:r>
      <w:r w:rsidRPr="00301583">
        <w:t xml:space="preserve">) among the NUTS3 units in Slovakia. The total GDP volume of the region does not reach the 10% of Slovakian GDP, while its share of population is above 12%. It also means that </w:t>
      </w:r>
      <w:r w:rsidR="0061141D" w:rsidRPr="00301583">
        <w:t xml:space="preserve">the 8500 € per capita GDP of </w:t>
      </w:r>
      <w:r w:rsidR="00C27D13">
        <w:t>Banská Bystrica</w:t>
      </w:r>
      <w:r w:rsidR="00D517F2">
        <w:t xml:space="preserve"> </w:t>
      </w:r>
      <w:r w:rsidR="0061141D" w:rsidRPr="00301583">
        <w:t xml:space="preserve">reaching only the 75% of the country average </w:t>
      </w:r>
      <w:r w:rsidRPr="00301583">
        <w:t xml:space="preserve">is </w:t>
      </w:r>
      <w:r w:rsidR="00512625">
        <w:t>the second lowest</w:t>
      </w:r>
      <w:r w:rsidR="00B843AA" w:rsidRPr="00301583">
        <w:t xml:space="preserve"> followed by </w:t>
      </w:r>
      <w:r w:rsidR="00C27D13">
        <w:t>Prešov</w:t>
      </w:r>
      <w:r w:rsidRPr="00301583">
        <w:t xml:space="preserve"> (6</w:t>
      </w:r>
      <w:r w:rsidR="00512625">
        <w:t>,</w:t>
      </w:r>
      <w:r w:rsidRPr="00301583">
        <w:t xml:space="preserve">800 € per inhabitant). </w:t>
      </w:r>
      <w:r w:rsidR="0061141D" w:rsidRPr="00301583">
        <w:t>H</w:t>
      </w:r>
      <w:r w:rsidRPr="00301583">
        <w:t>owever</w:t>
      </w:r>
      <w:r w:rsidR="00A44DF8">
        <w:t>,</w:t>
      </w:r>
      <w:r w:rsidR="00D517F2">
        <w:t xml:space="preserve"> </w:t>
      </w:r>
      <w:r w:rsidR="00833502" w:rsidRPr="00301583">
        <w:t>these figures</w:t>
      </w:r>
      <w:r w:rsidR="00D517F2">
        <w:t xml:space="preserve"> </w:t>
      </w:r>
      <w:r w:rsidR="00833502" w:rsidRPr="00301583">
        <w:t>are</w:t>
      </w:r>
      <w:r w:rsidR="00F614E9" w:rsidRPr="00301583">
        <w:t xml:space="preserve"> not so bad </w:t>
      </w:r>
      <w:r w:rsidRPr="00301583">
        <w:t xml:space="preserve">in international comparison. It is true that the GDP per inhabitant value of the region in percentage of the EU average is only 36%, but it is higher than the average relative economic performance of the East European new member states of the European Union. Thus </w:t>
      </w:r>
      <w:r w:rsidR="0061141D" w:rsidRPr="00301583">
        <w:t xml:space="preserve">the </w:t>
      </w:r>
      <w:r w:rsidRPr="00301583">
        <w:t xml:space="preserve">per capita GDP </w:t>
      </w:r>
      <w:r w:rsidR="0061141D" w:rsidRPr="00301583">
        <w:t xml:space="preserve">of </w:t>
      </w:r>
      <w:r w:rsidR="00C27D13">
        <w:t>Banská B</w:t>
      </w:r>
      <w:r w:rsidR="00C27D13">
        <w:t>y</w:t>
      </w:r>
      <w:r w:rsidR="00C27D13">
        <w:t>strica</w:t>
      </w:r>
      <w:r w:rsidR="0061141D" w:rsidRPr="00301583">
        <w:t>is well ahead of</w:t>
      </w:r>
      <w:r w:rsidR="00D517F2">
        <w:t xml:space="preserve"> </w:t>
      </w:r>
      <w:r w:rsidR="0061141D" w:rsidRPr="00301583">
        <w:t xml:space="preserve">the disadvantaged </w:t>
      </w:r>
      <w:r w:rsidRPr="00301583">
        <w:t xml:space="preserve">regions </w:t>
      </w:r>
      <w:r w:rsidR="00F614E9" w:rsidRPr="00301583">
        <w:t xml:space="preserve">of </w:t>
      </w:r>
      <w:r w:rsidRPr="00301583">
        <w:t>Bulgaria, Romania, Poland or Hungary.</w:t>
      </w:r>
    </w:p>
    <w:p w:rsidR="00512625" w:rsidRPr="00512625" w:rsidRDefault="00512625" w:rsidP="00F4547F">
      <w:pPr>
        <w:spacing w:line="276" w:lineRule="auto"/>
        <w:rPr>
          <w:sz w:val="10"/>
          <w:szCs w:val="10"/>
        </w:rPr>
      </w:pPr>
    </w:p>
    <w:p w:rsidR="007C16FC" w:rsidRPr="00301583" w:rsidRDefault="007C16FC" w:rsidP="00F4547F">
      <w:pPr>
        <w:pStyle w:val="Caption"/>
        <w:spacing w:after="120"/>
      </w:pPr>
      <w:bookmarkStart w:id="16" w:name="_Toc333430273"/>
      <w:bookmarkStart w:id="17" w:name="_Toc385939076"/>
      <w:bookmarkStart w:id="18" w:name="_Toc392509032"/>
      <w:r w:rsidRPr="00301583">
        <w:t xml:space="preserve">Table </w:t>
      </w:r>
      <w:r w:rsidR="00B759C8">
        <w:fldChar w:fldCharType="begin"/>
      </w:r>
      <w:r w:rsidR="00A752E6">
        <w:instrText xml:space="preserve"> SEQ Table \* ARABIC </w:instrText>
      </w:r>
      <w:r w:rsidR="00B759C8">
        <w:fldChar w:fldCharType="separate"/>
      </w:r>
      <w:r w:rsidR="00DC6D66">
        <w:rPr>
          <w:noProof/>
        </w:rPr>
        <w:t>3</w:t>
      </w:r>
      <w:r w:rsidR="00B759C8">
        <w:rPr>
          <w:noProof/>
        </w:rPr>
        <w:fldChar w:fldCharType="end"/>
      </w:r>
      <w:r w:rsidR="009441AC">
        <w:t>:</w:t>
      </w:r>
      <w:r w:rsidRPr="00301583">
        <w:t xml:space="preserve"> GDP </w:t>
      </w:r>
      <w:r w:rsidR="009441AC">
        <w:t>i</w:t>
      </w:r>
      <w:r w:rsidRPr="00301583">
        <w:t>ndicators</w:t>
      </w:r>
      <w:bookmarkEnd w:id="16"/>
      <w:r w:rsidRPr="00301583">
        <w:t>, 2009</w:t>
      </w:r>
      <w:bookmarkEnd w:id="17"/>
      <w:bookmarkEnd w:id="18"/>
    </w:p>
    <w:tbl>
      <w:tblPr>
        <w:tblW w:w="4817" w:type="pct"/>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1258"/>
        <w:gridCol w:w="1261"/>
        <w:gridCol w:w="1256"/>
        <w:gridCol w:w="1260"/>
        <w:gridCol w:w="1109"/>
      </w:tblGrid>
      <w:tr w:rsidR="0038087F" w:rsidRPr="00301583" w:rsidTr="00E126C8">
        <w:trPr>
          <w:trHeight w:val="285"/>
        </w:trPr>
        <w:tc>
          <w:tcPr>
            <w:tcW w:w="1261" w:type="pct"/>
            <w:tcBorders>
              <w:bottom w:val="single" w:sz="18" w:space="0" w:color="auto"/>
            </w:tcBorders>
            <w:shd w:val="clear" w:color="auto" w:fill="FFFFFF" w:themeFill="background1"/>
            <w:noWrap/>
          </w:tcPr>
          <w:p w:rsidR="00480CEC" w:rsidRPr="00512625" w:rsidRDefault="00480CEC" w:rsidP="00512625">
            <w:pPr>
              <w:spacing w:before="20" w:after="20" w:line="240" w:lineRule="auto"/>
              <w:jc w:val="left"/>
              <w:rPr>
                <w:rFonts w:cs="Arial"/>
                <w:sz w:val="19"/>
                <w:szCs w:val="19"/>
                <w:lang w:eastAsia="hu-HU"/>
              </w:rPr>
            </w:pPr>
          </w:p>
        </w:tc>
        <w:tc>
          <w:tcPr>
            <w:tcW w:w="765" w:type="pct"/>
            <w:tcBorders>
              <w:bottom w:val="single" w:sz="18" w:space="0" w:color="auto"/>
            </w:tcBorders>
            <w:shd w:val="clear" w:color="auto" w:fill="FFFFFF" w:themeFill="background1"/>
            <w:noWrap/>
            <w:vAlign w:val="center"/>
          </w:tcPr>
          <w:p w:rsidR="00E8231A" w:rsidRPr="00512625" w:rsidRDefault="00CA5F48" w:rsidP="00512625">
            <w:pPr>
              <w:spacing w:before="20" w:after="20" w:line="240" w:lineRule="auto"/>
              <w:jc w:val="left"/>
              <w:rPr>
                <w:rFonts w:cs="Arial"/>
                <w:b/>
                <w:sz w:val="19"/>
                <w:szCs w:val="19"/>
                <w:lang w:eastAsia="hu-HU"/>
              </w:rPr>
            </w:pPr>
            <w:r w:rsidRPr="00512625">
              <w:rPr>
                <w:rFonts w:cs="Arial"/>
                <w:b/>
                <w:sz w:val="19"/>
                <w:szCs w:val="19"/>
                <w:lang w:eastAsia="hu-HU"/>
              </w:rPr>
              <w:t>Banská Bystrica</w:t>
            </w:r>
          </w:p>
          <w:p w:rsidR="00480CEC" w:rsidRPr="00512625" w:rsidRDefault="00480CEC" w:rsidP="00512625">
            <w:pPr>
              <w:spacing w:before="20" w:after="20" w:line="240" w:lineRule="auto"/>
              <w:jc w:val="left"/>
              <w:rPr>
                <w:rFonts w:cs="Arial"/>
                <w:b/>
                <w:bCs/>
                <w:sz w:val="19"/>
                <w:szCs w:val="19"/>
                <w:lang w:eastAsia="hu-HU"/>
              </w:rPr>
            </w:pPr>
            <w:r w:rsidRPr="00512625">
              <w:rPr>
                <w:rFonts w:cs="Arial"/>
                <w:b/>
                <w:bCs/>
                <w:sz w:val="19"/>
                <w:szCs w:val="19"/>
                <w:lang w:eastAsia="hu-HU"/>
              </w:rPr>
              <w:t>(SK032)</w:t>
            </w:r>
          </w:p>
        </w:tc>
        <w:tc>
          <w:tcPr>
            <w:tcW w:w="767" w:type="pct"/>
            <w:tcBorders>
              <w:bottom w:val="single" w:sz="18" w:space="0" w:color="auto"/>
            </w:tcBorders>
            <w:shd w:val="clear" w:color="auto" w:fill="FFFFFF" w:themeFill="background1"/>
            <w:noWrap/>
            <w:vAlign w:val="center"/>
          </w:tcPr>
          <w:p w:rsidR="00480CEC" w:rsidRPr="00512625" w:rsidRDefault="001E4818" w:rsidP="00512625">
            <w:pPr>
              <w:spacing w:before="20" w:after="20" w:line="240" w:lineRule="auto"/>
              <w:jc w:val="left"/>
              <w:rPr>
                <w:rFonts w:cs="Arial"/>
                <w:b/>
                <w:bCs/>
                <w:sz w:val="19"/>
                <w:szCs w:val="19"/>
                <w:lang w:eastAsia="hu-HU"/>
              </w:rPr>
            </w:pPr>
            <w:r w:rsidRPr="00512625">
              <w:rPr>
                <w:rFonts w:cs="Arial"/>
                <w:b/>
                <w:bCs/>
                <w:sz w:val="19"/>
                <w:szCs w:val="19"/>
                <w:lang w:eastAsia="hu-HU"/>
              </w:rPr>
              <w:t>Central Slovakia</w:t>
            </w:r>
            <w:r w:rsidR="00480CEC" w:rsidRPr="00512625">
              <w:rPr>
                <w:rFonts w:cs="Arial"/>
                <w:b/>
                <w:bCs/>
                <w:sz w:val="19"/>
                <w:szCs w:val="19"/>
                <w:lang w:eastAsia="hu-HU"/>
              </w:rPr>
              <w:t xml:space="preserve"> (SK03)</w:t>
            </w:r>
          </w:p>
        </w:tc>
        <w:tc>
          <w:tcPr>
            <w:tcW w:w="764" w:type="pct"/>
            <w:tcBorders>
              <w:bottom w:val="single" w:sz="18" w:space="0" w:color="auto"/>
            </w:tcBorders>
            <w:shd w:val="clear" w:color="auto" w:fill="FFFFFF" w:themeFill="background1"/>
            <w:noWrap/>
            <w:vAlign w:val="center"/>
          </w:tcPr>
          <w:p w:rsidR="00480CEC" w:rsidRPr="00512625" w:rsidRDefault="00480CEC" w:rsidP="00512625">
            <w:pPr>
              <w:spacing w:before="20" w:after="20" w:line="240" w:lineRule="auto"/>
              <w:jc w:val="left"/>
              <w:rPr>
                <w:rFonts w:cs="Arial"/>
                <w:b/>
                <w:bCs/>
                <w:sz w:val="19"/>
                <w:szCs w:val="19"/>
                <w:lang w:eastAsia="hu-HU"/>
              </w:rPr>
            </w:pPr>
            <w:r w:rsidRPr="00512625">
              <w:rPr>
                <w:rFonts w:cs="Arial"/>
                <w:b/>
                <w:bCs/>
                <w:sz w:val="19"/>
                <w:szCs w:val="19"/>
                <w:lang w:eastAsia="hu-HU"/>
              </w:rPr>
              <w:t>Slovakia</w:t>
            </w:r>
          </w:p>
        </w:tc>
        <w:tc>
          <w:tcPr>
            <w:tcW w:w="767" w:type="pct"/>
            <w:tcBorders>
              <w:bottom w:val="single" w:sz="18" w:space="0" w:color="auto"/>
            </w:tcBorders>
            <w:shd w:val="clear" w:color="auto" w:fill="FFFFFF" w:themeFill="background1"/>
            <w:noWrap/>
            <w:vAlign w:val="center"/>
          </w:tcPr>
          <w:p w:rsidR="00480CEC" w:rsidRPr="00512625" w:rsidRDefault="00480CEC" w:rsidP="00512625">
            <w:pPr>
              <w:spacing w:before="20" w:after="20" w:line="240" w:lineRule="auto"/>
              <w:jc w:val="left"/>
              <w:rPr>
                <w:rFonts w:cs="Arial"/>
                <w:b/>
                <w:bCs/>
                <w:sz w:val="19"/>
                <w:szCs w:val="19"/>
                <w:lang w:eastAsia="hu-HU"/>
              </w:rPr>
            </w:pPr>
            <w:r w:rsidRPr="00512625">
              <w:rPr>
                <w:rFonts w:cs="Arial"/>
                <w:b/>
                <w:bCs/>
                <w:sz w:val="19"/>
                <w:szCs w:val="19"/>
                <w:lang w:eastAsia="hu-HU"/>
              </w:rPr>
              <w:t>EE-NMS</w:t>
            </w:r>
          </w:p>
        </w:tc>
        <w:tc>
          <w:tcPr>
            <w:tcW w:w="675" w:type="pct"/>
            <w:tcBorders>
              <w:bottom w:val="single" w:sz="18" w:space="0" w:color="auto"/>
            </w:tcBorders>
            <w:shd w:val="clear" w:color="auto" w:fill="FFFFFF" w:themeFill="background1"/>
            <w:noWrap/>
            <w:vAlign w:val="center"/>
          </w:tcPr>
          <w:p w:rsidR="00480CEC" w:rsidRPr="00512625" w:rsidRDefault="00480CEC" w:rsidP="00512625">
            <w:pPr>
              <w:spacing w:before="20" w:after="20" w:line="240" w:lineRule="auto"/>
              <w:jc w:val="left"/>
              <w:rPr>
                <w:rFonts w:cs="Arial"/>
                <w:b/>
                <w:bCs/>
                <w:sz w:val="19"/>
                <w:szCs w:val="19"/>
                <w:lang w:eastAsia="hu-HU"/>
              </w:rPr>
            </w:pPr>
            <w:r w:rsidRPr="00512625">
              <w:rPr>
                <w:rFonts w:cs="Arial"/>
                <w:b/>
                <w:bCs/>
                <w:sz w:val="19"/>
                <w:szCs w:val="19"/>
                <w:lang w:eastAsia="hu-HU"/>
              </w:rPr>
              <w:t>EU27</w:t>
            </w:r>
          </w:p>
        </w:tc>
      </w:tr>
      <w:tr w:rsidR="0038087F" w:rsidRPr="00301583" w:rsidTr="00E126C8">
        <w:trPr>
          <w:trHeight w:val="285"/>
        </w:trPr>
        <w:tc>
          <w:tcPr>
            <w:tcW w:w="1261" w:type="pct"/>
            <w:tcBorders>
              <w:top w:val="single" w:sz="18" w:space="0" w:color="auto"/>
            </w:tcBorders>
            <w:shd w:val="clear" w:color="auto" w:fill="D9D9D9" w:themeFill="background1" w:themeFillShade="D9"/>
            <w:noWrap/>
          </w:tcPr>
          <w:p w:rsidR="007C16FC" w:rsidRPr="00512625" w:rsidRDefault="007C16FC" w:rsidP="00512625">
            <w:pPr>
              <w:spacing w:before="20" w:after="20" w:line="240" w:lineRule="auto"/>
              <w:jc w:val="left"/>
              <w:rPr>
                <w:rFonts w:cs="Arial"/>
                <w:b/>
                <w:bCs/>
                <w:sz w:val="19"/>
                <w:szCs w:val="19"/>
                <w:lang w:eastAsia="hu-HU"/>
              </w:rPr>
            </w:pPr>
            <w:r w:rsidRPr="00512625">
              <w:rPr>
                <w:rFonts w:cs="Arial"/>
                <w:b/>
                <w:bCs/>
                <w:sz w:val="19"/>
                <w:szCs w:val="19"/>
                <w:lang w:eastAsia="hu-HU"/>
              </w:rPr>
              <w:t>Millions of euro</w:t>
            </w:r>
          </w:p>
        </w:tc>
        <w:tc>
          <w:tcPr>
            <w:tcW w:w="765" w:type="pct"/>
            <w:tcBorders>
              <w:top w:val="single" w:sz="18" w:space="0" w:color="auto"/>
            </w:tcBorders>
            <w:shd w:val="clear" w:color="auto" w:fill="D9D9D9" w:themeFill="background1" w:themeFillShade="D9"/>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5540</w:t>
            </w:r>
          </w:p>
        </w:tc>
        <w:tc>
          <w:tcPr>
            <w:tcW w:w="767" w:type="pct"/>
            <w:tcBorders>
              <w:top w:val="single" w:sz="18" w:space="0" w:color="auto"/>
            </w:tcBorders>
            <w:shd w:val="clear" w:color="auto" w:fill="D9D9D9" w:themeFill="background1" w:themeFillShade="D9"/>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12529</w:t>
            </w:r>
          </w:p>
        </w:tc>
        <w:tc>
          <w:tcPr>
            <w:tcW w:w="764" w:type="pct"/>
            <w:tcBorders>
              <w:top w:val="single" w:sz="18" w:space="0" w:color="auto"/>
            </w:tcBorders>
            <w:shd w:val="clear" w:color="auto" w:fill="D9D9D9" w:themeFill="background1" w:themeFillShade="D9"/>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62794</w:t>
            </w:r>
          </w:p>
        </w:tc>
        <w:tc>
          <w:tcPr>
            <w:tcW w:w="767" w:type="pct"/>
            <w:tcBorders>
              <w:top w:val="single" w:sz="18" w:space="0" w:color="auto"/>
            </w:tcBorders>
            <w:shd w:val="clear" w:color="auto" w:fill="D9D9D9" w:themeFill="background1" w:themeFillShade="D9"/>
            <w:noWrap/>
            <w:vAlign w:val="center"/>
          </w:tcPr>
          <w:p w:rsidR="007C16FC" w:rsidRPr="00512625" w:rsidRDefault="007C16FC" w:rsidP="00512625">
            <w:pPr>
              <w:spacing w:before="20" w:after="20" w:line="240" w:lineRule="auto"/>
              <w:jc w:val="center"/>
              <w:rPr>
                <w:rFonts w:cs="Arial"/>
                <w:sz w:val="19"/>
                <w:szCs w:val="19"/>
                <w:lang w:eastAsia="hu-HU"/>
              </w:rPr>
            </w:pPr>
            <w:r w:rsidRPr="00512625">
              <w:rPr>
                <w:rFonts w:cs="Arial"/>
                <w:sz w:val="19"/>
                <w:szCs w:val="19"/>
                <w:lang w:eastAsia="hu-HU"/>
              </w:rPr>
              <w:t>853588</w:t>
            </w:r>
          </w:p>
        </w:tc>
        <w:tc>
          <w:tcPr>
            <w:tcW w:w="675" w:type="pct"/>
            <w:tcBorders>
              <w:top w:val="single" w:sz="18" w:space="0" w:color="auto"/>
            </w:tcBorders>
            <w:shd w:val="clear" w:color="auto" w:fill="D9D9D9" w:themeFill="background1" w:themeFillShade="D9"/>
            <w:noWrap/>
            <w:vAlign w:val="center"/>
          </w:tcPr>
          <w:p w:rsidR="007C16FC" w:rsidRPr="00512625" w:rsidRDefault="007C16FC" w:rsidP="00512625">
            <w:pPr>
              <w:spacing w:before="20" w:after="20" w:line="240" w:lineRule="auto"/>
              <w:jc w:val="center"/>
              <w:rPr>
                <w:rFonts w:cs="Arial"/>
                <w:sz w:val="19"/>
                <w:szCs w:val="19"/>
                <w:lang w:eastAsia="hu-HU"/>
              </w:rPr>
            </w:pPr>
            <w:r w:rsidRPr="00512625">
              <w:rPr>
                <w:rFonts w:cs="Arial"/>
                <w:sz w:val="19"/>
                <w:szCs w:val="19"/>
                <w:lang w:eastAsia="hu-HU"/>
              </w:rPr>
              <w:t>11751419</w:t>
            </w:r>
          </w:p>
        </w:tc>
      </w:tr>
      <w:tr w:rsidR="0038087F" w:rsidRPr="00301583" w:rsidTr="00E126C8">
        <w:trPr>
          <w:trHeight w:val="285"/>
        </w:trPr>
        <w:tc>
          <w:tcPr>
            <w:tcW w:w="1261" w:type="pct"/>
            <w:shd w:val="clear" w:color="auto" w:fill="auto"/>
            <w:noWrap/>
          </w:tcPr>
          <w:p w:rsidR="007C16FC" w:rsidRPr="00512625" w:rsidRDefault="007C16FC" w:rsidP="00512625">
            <w:pPr>
              <w:spacing w:before="20" w:after="20" w:line="240" w:lineRule="auto"/>
              <w:jc w:val="left"/>
              <w:rPr>
                <w:rFonts w:cs="Arial"/>
                <w:b/>
                <w:bCs/>
                <w:sz w:val="19"/>
                <w:szCs w:val="19"/>
                <w:lang w:eastAsia="hu-HU"/>
              </w:rPr>
            </w:pPr>
            <w:r w:rsidRPr="00512625">
              <w:rPr>
                <w:rFonts w:cs="Arial"/>
                <w:b/>
                <w:bCs/>
                <w:sz w:val="19"/>
                <w:szCs w:val="19"/>
                <w:lang w:eastAsia="hu-HU"/>
              </w:rPr>
              <w:t>Euro per inhabitant</w:t>
            </w:r>
          </w:p>
        </w:tc>
        <w:tc>
          <w:tcPr>
            <w:tcW w:w="765" w:type="pct"/>
            <w:shd w:val="clear" w:color="auto" w:fill="auto"/>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8500</w:t>
            </w:r>
          </w:p>
        </w:tc>
        <w:tc>
          <w:tcPr>
            <w:tcW w:w="767" w:type="pct"/>
            <w:shd w:val="clear" w:color="auto" w:fill="auto"/>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9300</w:t>
            </w:r>
          </w:p>
        </w:tc>
        <w:tc>
          <w:tcPr>
            <w:tcW w:w="764" w:type="pct"/>
            <w:shd w:val="clear" w:color="auto" w:fill="auto"/>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11600</w:t>
            </w:r>
          </w:p>
        </w:tc>
        <w:tc>
          <w:tcPr>
            <w:tcW w:w="767" w:type="pct"/>
            <w:shd w:val="clear" w:color="auto" w:fill="auto"/>
            <w:noWrap/>
            <w:vAlign w:val="center"/>
          </w:tcPr>
          <w:p w:rsidR="007C16FC" w:rsidRPr="00512625" w:rsidRDefault="007C16FC" w:rsidP="00512625">
            <w:pPr>
              <w:spacing w:before="20" w:after="20" w:line="240" w:lineRule="auto"/>
              <w:jc w:val="center"/>
              <w:rPr>
                <w:rFonts w:cs="Arial"/>
                <w:sz w:val="19"/>
                <w:szCs w:val="19"/>
                <w:lang w:eastAsia="hu-HU"/>
              </w:rPr>
            </w:pPr>
            <w:r w:rsidRPr="00512625">
              <w:rPr>
                <w:rFonts w:cs="Arial"/>
                <w:sz w:val="19"/>
                <w:szCs w:val="19"/>
                <w:lang w:eastAsia="hu-HU"/>
              </w:rPr>
              <w:t>8350</w:t>
            </w:r>
          </w:p>
        </w:tc>
        <w:tc>
          <w:tcPr>
            <w:tcW w:w="675" w:type="pct"/>
            <w:shd w:val="clear" w:color="auto" w:fill="auto"/>
            <w:noWrap/>
            <w:vAlign w:val="center"/>
          </w:tcPr>
          <w:p w:rsidR="007C16FC" w:rsidRPr="00512625" w:rsidRDefault="007C16FC" w:rsidP="00512625">
            <w:pPr>
              <w:spacing w:before="20" w:after="20" w:line="240" w:lineRule="auto"/>
              <w:jc w:val="center"/>
              <w:rPr>
                <w:rFonts w:cs="Arial"/>
                <w:sz w:val="19"/>
                <w:szCs w:val="19"/>
                <w:lang w:eastAsia="hu-HU"/>
              </w:rPr>
            </w:pPr>
            <w:r w:rsidRPr="00512625">
              <w:rPr>
                <w:rFonts w:cs="Arial"/>
                <w:sz w:val="19"/>
                <w:szCs w:val="19"/>
                <w:lang w:eastAsia="hu-HU"/>
              </w:rPr>
              <w:t>23500</w:t>
            </w:r>
          </w:p>
        </w:tc>
      </w:tr>
      <w:tr w:rsidR="0038087F" w:rsidRPr="00301583" w:rsidTr="00E126C8">
        <w:trPr>
          <w:trHeight w:val="285"/>
        </w:trPr>
        <w:tc>
          <w:tcPr>
            <w:tcW w:w="1261" w:type="pct"/>
            <w:shd w:val="clear" w:color="auto" w:fill="D9D9D9" w:themeFill="background1" w:themeFillShade="D9"/>
            <w:noWrap/>
          </w:tcPr>
          <w:p w:rsidR="007C16FC" w:rsidRPr="00512625" w:rsidRDefault="007C16FC" w:rsidP="00512625">
            <w:pPr>
              <w:spacing w:before="20" w:after="20" w:line="240" w:lineRule="auto"/>
              <w:jc w:val="left"/>
              <w:rPr>
                <w:rFonts w:cs="Arial"/>
                <w:b/>
                <w:bCs/>
                <w:sz w:val="19"/>
                <w:szCs w:val="19"/>
                <w:lang w:eastAsia="hu-HU"/>
              </w:rPr>
            </w:pPr>
            <w:r w:rsidRPr="00512625">
              <w:rPr>
                <w:rFonts w:cs="Arial"/>
                <w:b/>
                <w:bCs/>
                <w:sz w:val="19"/>
                <w:szCs w:val="19"/>
                <w:lang w:eastAsia="hu-HU"/>
              </w:rPr>
              <w:t>Euro per inhabitant in percentage of the EU average</w:t>
            </w:r>
          </w:p>
        </w:tc>
        <w:tc>
          <w:tcPr>
            <w:tcW w:w="765" w:type="pct"/>
            <w:shd w:val="clear" w:color="auto" w:fill="D9D9D9" w:themeFill="background1" w:themeFillShade="D9"/>
            <w:noWrap/>
            <w:vAlign w:val="center"/>
          </w:tcPr>
          <w:p w:rsidR="007C16FC" w:rsidRPr="00512625" w:rsidRDefault="00301583" w:rsidP="00512625">
            <w:pPr>
              <w:spacing w:before="20" w:after="20" w:line="240" w:lineRule="auto"/>
              <w:jc w:val="center"/>
              <w:rPr>
                <w:rFonts w:cs="Arial"/>
                <w:sz w:val="19"/>
                <w:szCs w:val="19"/>
                <w:lang w:eastAsia="hu-HU"/>
              </w:rPr>
            </w:pPr>
            <w:r w:rsidRPr="00512625">
              <w:rPr>
                <w:rFonts w:cs="Arial"/>
                <w:sz w:val="19"/>
                <w:szCs w:val="19"/>
                <w:lang w:eastAsia="hu-HU"/>
              </w:rPr>
              <w:t>36.</w:t>
            </w:r>
            <w:r w:rsidR="00480CEC" w:rsidRPr="00512625">
              <w:rPr>
                <w:rFonts w:cs="Arial"/>
                <w:sz w:val="19"/>
                <w:szCs w:val="19"/>
                <w:lang w:eastAsia="hu-HU"/>
              </w:rPr>
              <w:t>0</w:t>
            </w:r>
          </w:p>
        </w:tc>
        <w:tc>
          <w:tcPr>
            <w:tcW w:w="767" w:type="pct"/>
            <w:shd w:val="clear" w:color="auto" w:fill="D9D9D9" w:themeFill="background1" w:themeFillShade="D9"/>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39</w:t>
            </w:r>
            <w:r w:rsidR="00301583" w:rsidRPr="00512625">
              <w:rPr>
                <w:rFonts w:cs="Arial"/>
                <w:sz w:val="19"/>
                <w:szCs w:val="19"/>
                <w:lang w:eastAsia="hu-HU"/>
              </w:rPr>
              <w:t>.</w:t>
            </w:r>
            <w:r w:rsidRPr="00512625">
              <w:rPr>
                <w:rFonts w:cs="Arial"/>
                <w:sz w:val="19"/>
                <w:szCs w:val="19"/>
                <w:lang w:eastAsia="hu-HU"/>
              </w:rPr>
              <w:t>0</w:t>
            </w:r>
          </w:p>
        </w:tc>
        <w:tc>
          <w:tcPr>
            <w:tcW w:w="764" w:type="pct"/>
            <w:shd w:val="clear" w:color="auto" w:fill="D9D9D9" w:themeFill="background1" w:themeFillShade="D9"/>
            <w:noWrap/>
            <w:vAlign w:val="center"/>
          </w:tcPr>
          <w:p w:rsidR="007C16FC" w:rsidRPr="00512625" w:rsidRDefault="00480CEC" w:rsidP="00512625">
            <w:pPr>
              <w:spacing w:before="20" w:after="20" w:line="240" w:lineRule="auto"/>
              <w:jc w:val="center"/>
              <w:rPr>
                <w:rFonts w:cs="Arial"/>
                <w:sz w:val="19"/>
                <w:szCs w:val="19"/>
                <w:lang w:eastAsia="hu-HU"/>
              </w:rPr>
            </w:pPr>
            <w:r w:rsidRPr="00512625">
              <w:rPr>
                <w:rFonts w:cs="Arial"/>
                <w:sz w:val="19"/>
                <w:szCs w:val="19"/>
                <w:lang w:eastAsia="hu-HU"/>
              </w:rPr>
              <w:t>49</w:t>
            </w:r>
            <w:r w:rsidR="00301583" w:rsidRPr="00512625">
              <w:rPr>
                <w:rFonts w:cs="Arial"/>
                <w:sz w:val="19"/>
                <w:szCs w:val="19"/>
                <w:lang w:eastAsia="hu-HU"/>
              </w:rPr>
              <w:t>.</w:t>
            </w:r>
            <w:r w:rsidRPr="00512625">
              <w:rPr>
                <w:rFonts w:cs="Arial"/>
                <w:sz w:val="19"/>
                <w:szCs w:val="19"/>
                <w:lang w:eastAsia="hu-HU"/>
              </w:rPr>
              <w:t>0</w:t>
            </w:r>
          </w:p>
        </w:tc>
        <w:tc>
          <w:tcPr>
            <w:tcW w:w="767" w:type="pct"/>
            <w:shd w:val="clear" w:color="auto" w:fill="D9D9D9" w:themeFill="background1" w:themeFillShade="D9"/>
            <w:noWrap/>
            <w:vAlign w:val="center"/>
          </w:tcPr>
          <w:p w:rsidR="007C16FC" w:rsidRPr="00512625" w:rsidRDefault="007C16FC" w:rsidP="00512625">
            <w:pPr>
              <w:spacing w:before="20" w:after="20" w:line="240" w:lineRule="auto"/>
              <w:jc w:val="center"/>
              <w:rPr>
                <w:rFonts w:cs="Arial"/>
                <w:sz w:val="19"/>
                <w:szCs w:val="19"/>
                <w:lang w:eastAsia="hu-HU"/>
              </w:rPr>
            </w:pPr>
            <w:r w:rsidRPr="00512625">
              <w:rPr>
                <w:rFonts w:cs="Arial"/>
                <w:sz w:val="19"/>
                <w:szCs w:val="19"/>
                <w:lang w:eastAsia="hu-HU"/>
              </w:rPr>
              <w:t>35</w:t>
            </w:r>
            <w:r w:rsidR="00301583" w:rsidRPr="00512625">
              <w:rPr>
                <w:rFonts w:cs="Arial"/>
                <w:sz w:val="19"/>
                <w:szCs w:val="19"/>
                <w:lang w:eastAsia="hu-HU"/>
              </w:rPr>
              <w:t>.</w:t>
            </w:r>
            <w:r w:rsidRPr="00512625">
              <w:rPr>
                <w:rFonts w:cs="Arial"/>
                <w:sz w:val="19"/>
                <w:szCs w:val="19"/>
                <w:lang w:eastAsia="hu-HU"/>
              </w:rPr>
              <w:t>5</w:t>
            </w:r>
          </w:p>
        </w:tc>
        <w:tc>
          <w:tcPr>
            <w:tcW w:w="675" w:type="pct"/>
            <w:shd w:val="clear" w:color="auto" w:fill="D9D9D9" w:themeFill="background1" w:themeFillShade="D9"/>
            <w:noWrap/>
            <w:vAlign w:val="center"/>
          </w:tcPr>
          <w:p w:rsidR="007C16FC" w:rsidRPr="00512625" w:rsidRDefault="007C16FC" w:rsidP="00512625">
            <w:pPr>
              <w:spacing w:before="20" w:after="20" w:line="240" w:lineRule="auto"/>
              <w:jc w:val="center"/>
              <w:rPr>
                <w:rFonts w:cs="Arial"/>
                <w:sz w:val="19"/>
                <w:szCs w:val="19"/>
                <w:lang w:eastAsia="hu-HU"/>
              </w:rPr>
            </w:pPr>
            <w:r w:rsidRPr="00512625">
              <w:rPr>
                <w:rFonts w:cs="Arial"/>
                <w:sz w:val="19"/>
                <w:szCs w:val="19"/>
                <w:lang w:eastAsia="hu-HU"/>
              </w:rPr>
              <w:t>100</w:t>
            </w:r>
          </w:p>
        </w:tc>
      </w:tr>
    </w:tbl>
    <w:p w:rsidR="00013B34" w:rsidRPr="00512625" w:rsidRDefault="007C16FC" w:rsidP="00512625">
      <w:pPr>
        <w:spacing w:after="240" w:line="240" w:lineRule="auto"/>
        <w:rPr>
          <w:sz w:val="16"/>
          <w:szCs w:val="16"/>
          <w:lang w:val="pt-PT"/>
        </w:rPr>
      </w:pPr>
      <w:r w:rsidRPr="00512625">
        <w:rPr>
          <w:b/>
          <w:sz w:val="16"/>
          <w:szCs w:val="16"/>
        </w:rPr>
        <w:t>Source:</w:t>
      </w:r>
      <w:r w:rsidR="00512625" w:rsidRPr="00512625">
        <w:rPr>
          <w:b/>
          <w:sz w:val="16"/>
          <w:szCs w:val="16"/>
        </w:rPr>
        <w:t xml:space="preserve"> </w:t>
      </w:r>
      <w:r w:rsidR="00B759C8" w:rsidRPr="00512625">
        <w:rPr>
          <w:sz w:val="16"/>
          <w:szCs w:val="16"/>
          <w:lang w:val="pt-PT"/>
        </w:rPr>
        <w:t>Eurostat Database, Regional Statistics (Reg) Table [nama_r_e3gdp]</w:t>
      </w:r>
    </w:p>
    <w:p w:rsidR="00E32973" w:rsidRPr="00301583" w:rsidRDefault="00E32973" w:rsidP="001E5FFE">
      <w:pPr>
        <w:spacing w:line="276" w:lineRule="auto"/>
      </w:pPr>
      <w:r w:rsidRPr="00301583">
        <w:t>Considering the long-term development of economic performance of the Slovak</w:t>
      </w:r>
      <w:r w:rsidR="00171FEA" w:rsidRPr="00301583">
        <w:t>ian (NUTS3)</w:t>
      </w:r>
      <w:r w:rsidRPr="00301583">
        <w:t xml:space="preserve"> regions</w:t>
      </w:r>
      <w:r w:rsidR="001718EC" w:rsidRPr="00301583">
        <w:t>,</w:t>
      </w:r>
      <w:r w:rsidR="00D517F2">
        <w:t xml:space="preserve"> </w:t>
      </w:r>
      <w:r w:rsidR="00C27D13">
        <w:t>Banská Bystrica</w:t>
      </w:r>
      <w:r w:rsidR="00171FEA" w:rsidRPr="00301583">
        <w:t xml:space="preserve">is </w:t>
      </w:r>
      <w:r w:rsidRPr="00301583">
        <w:t>among the stagnating or the lagging ones. The economic development and the catching up (e.g</w:t>
      </w:r>
      <w:r w:rsidR="00171FEA" w:rsidRPr="00301583">
        <w:t>.</w:t>
      </w:r>
      <w:r w:rsidRPr="00301583">
        <w:t xml:space="preserve"> to the European average GDP per inhabitant value) of Slovak</w:t>
      </w:r>
      <w:r w:rsidR="00171FEA" w:rsidRPr="00301583">
        <w:t>ian</w:t>
      </w:r>
      <w:r w:rsidRPr="00301583">
        <w:t xml:space="preserve"> regions were almost continuous in the past decades, but in this process the growth rate of </w:t>
      </w:r>
      <w:r w:rsidR="00C27D13">
        <w:t>Banská Bystrica</w:t>
      </w:r>
      <w:r w:rsidRPr="00301583">
        <w:t xml:space="preserve"> lagged behind several others. </w:t>
      </w:r>
      <w:r w:rsidR="003D0ADD" w:rsidRPr="00301583">
        <w:t xml:space="preserve">Some regions in Slovakia had originally better positions for economic development, like </w:t>
      </w:r>
      <w:r w:rsidR="00C27D13">
        <w:t>Bratislava</w:t>
      </w:r>
      <w:r w:rsidR="003D0ADD" w:rsidRPr="00301583">
        <w:t xml:space="preserve"> with its great economic weight and functional diversity or </w:t>
      </w:r>
      <w:r w:rsidR="00C27D13">
        <w:t>Trnava</w:t>
      </w:r>
      <w:r w:rsidR="003D0ADD" w:rsidRPr="00301583">
        <w:t xml:space="preserve"> which is close both to the capital city of Slovakia and the western borders of the country. However</w:t>
      </w:r>
      <w:r w:rsidR="001718EC" w:rsidRPr="00301583">
        <w:t>,</w:t>
      </w:r>
      <w:r w:rsidR="003D0ADD" w:rsidRPr="00301583">
        <w:t xml:space="preserve"> many others (</w:t>
      </w:r>
      <w:r w:rsidR="00C27D13">
        <w:t>Nitra</w:t>
      </w:r>
      <w:r w:rsidR="003D0ADD" w:rsidRPr="00301583">
        <w:t xml:space="preserve">, </w:t>
      </w:r>
      <w:r w:rsidR="00C27D13">
        <w:t>Žilina</w:t>
      </w:r>
      <w:r w:rsidR="00252305">
        <w:t xml:space="preserve"> Trenčín, </w:t>
      </w:r>
      <w:r w:rsidR="00252305" w:rsidRPr="00301583">
        <w:t>Košice</w:t>
      </w:r>
      <w:r w:rsidR="003D0ADD" w:rsidRPr="00301583">
        <w:t>)</w:t>
      </w:r>
      <w:r w:rsidR="00A44DF8">
        <w:t>with</w:t>
      </w:r>
      <w:r w:rsidR="003D0ADD" w:rsidRPr="00301583">
        <w:t xml:space="preserve"> previously similar starting positions in relative economic performance than </w:t>
      </w:r>
      <w:r w:rsidR="00C27D13">
        <w:t>Banská Bystrica</w:t>
      </w:r>
      <w:r w:rsidR="003D0ADD" w:rsidRPr="00301583">
        <w:t xml:space="preserve">, </w:t>
      </w:r>
      <w:r w:rsidR="001718EC" w:rsidRPr="00301583">
        <w:t xml:space="preserve">have managed to catch up to the ranks of </w:t>
      </w:r>
      <w:r w:rsidR="003D0ADD" w:rsidRPr="00301583">
        <w:t>prosperous regions in the last two decades due to (for e</w:t>
      </w:r>
      <w:r w:rsidR="003D0ADD" w:rsidRPr="00301583">
        <w:t>x</w:t>
      </w:r>
      <w:r w:rsidR="003D0ADD" w:rsidRPr="00301583">
        <w:t>ample) their successful industrial transition.</w:t>
      </w:r>
    </w:p>
    <w:p w:rsidR="00EC63B4" w:rsidRPr="00301583" w:rsidRDefault="00EC63B4" w:rsidP="001E5FFE">
      <w:pPr>
        <w:spacing w:line="276" w:lineRule="auto"/>
      </w:pPr>
    </w:p>
    <w:p w:rsidR="00073C9E" w:rsidRPr="00301583" w:rsidRDefault="00A81B80" w:rsidP="00F4547F">
      <w:pPr>
        <w:pStyle w:val="Caption"/>
        <w:spacing w:after="120"/>
      </w:pPr>
      <w:bookmarkStart w:id="19" w:name="_Toc333430271"/>
      <w:r w:rsidRPr="00301583">
        <w:br w:type="page"/>
      </w:r>
      <w:bookmarkStart w:id="20" w:name="_Toc385939077"/>
      <w:bookmarkStart w:id="21" w:name="_Toc392509033"/>
      <w:r w:rsidR="00073C9E" w:rsidRPr="00301583">
        <w:lastRenderedPageBreak/>
        <w:t xml:space="preserve">Table </w:t>
      </w:r>
      <w:r w:rsidR="00B759C8">
        <w:fldChar w:fldCharType="begin"/>
      </w:r>
      <w:r w:rsidR="00A752E6">
        <w:instrText xml:space="preserve"> SEQ Table \* ARABIC </w:instrText>
      </w:r>
      <w:r w:rsidR="00B759C8">
        <w:fldChar w:fldCharType="separate"/>
      </w:r>
      <w:r w:rsidR="00DC6D66">
        <w:rPr>
          <w:noProof/>
        </w:rPr>
        <w:t>4</w:t>
      </w:r>
      <w:r w:rsidR="00B759C8">
        <w:rPr>
          <w:noProof/>
        </w:rPr>
        <w:fldChar w:fldCharType="end"/>
      </w:r>
      <w:r w:rsidR="009441AC">
        <w:t>: Economic a</w:t>
      </w:r>
      <w:r w:rsidR="00073C9E" w:rsidRPr="00301583">
        <w:t xml:space="preserve">ctivity by </w:t>
      </w:r>
      <w:r w:rsidR="009441AC">
        <w:t>s</w:t>
      </w:r>
      <w:r w:rsidR="00073C9E" w:rsidRPr="00301583">
        <w:t>ector</w:t>
      </w:r>
      <w:r w:rsidR="00A8138E" w:rsidRPr="00301583">
        <w:t xml:space="preserve"> (%)</w:t>
      </w:r>
      <w:bookmarkEnd w:id="19"/>
      <w:r w:rsidR="00904CBD" w:rsidRPr="00301583">
        <w:t>, 2009</w:t>
      </w:r>
      <w:bookmarkEnd w:id="20"/>
      <w:bookmarkEnd w:id="21"/>
    </w:p>
    <w:tbl>
      <w:tblPr>
        <w:tblW w:w="0" w:type="auto"/>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2410"/>
        <w:gridCol w:w="1088"/>
        <w:gridCol w:w="1089"/>
        <w:gridCol w:w="1089"/>
        <w:gridCol w:w="1089"/>
        <w:gridCol w:w="941"/>
      </w:tblGrid>
      <w:tr w:rsidR="0038087F" w:rsidRPr="00301583" w:rsidTr="00E126C8">
        <w:trPr>
          <w:trHeight w:val="285"/>
        </w:trPr>
        <w:tc>
          <w:tcPr>
            <w:tcW w:w="2935" w:type="dxa"/>
            <w:gridSpan w:val="2"/>
            <w:tcBorders>
              <w:bottom w:val="single" w:sz="18" w:space="0" w:color="auto"/>
            </w:tcBorders>
            <w:shd w:val="clear" w:color="auto" w:fill="FFFFFF" w:themeFill="background1"/>
            <w:noWrap/>
            <w:vAlign w:val="center"/>
          </w:tcPr>
          <w:p w:rsidR="008A290A" w:rsidRPr="00512625" w:rsidRDefault="008A290A" w:rsidP="00512625">
            <w:pPr>
              <w:spacing w:before="20" w:after="20" w:line="240" w:lineRule="auto"/>
              <w:jc w:val="left"/>
              <w:rPr>
                <w:rFonts w:cs="Arial"/>
                <w:b/>
                <w:bCs/>
                <w:sz w:val="19"/>
                <w:szCs w:val="19"/>
                <w:lang w:eastAsia="hu-HU"/>
              </w:rPr>
            </w:pPr>
            <w:r w:rsidRPr="00512625">
              <w:rPr>
                <w:rFonts w:cs="Arial"/>
                <w:b/>
                <w:bCs/>
                <w:sz w:val="19"/>
                <w:szCs w:val="19"/>
                <w:lang w:eastAsia="hu-HU"/>
              </w:rPr>
              <w:t>NACE Rev. 2 Category</w:t>
            </w:r>
          </w:p>
        </w:tc>
        <w:tc>
          <w:tcPr>
            <w:tcW w:w="1088" w:type="dxa"/>
            <w:tcBorders>
              <w:bottom w:val="single" w:sz="18" w:space="0" w:color="auto"/>
            </w:tcBorders>
            <w:shd w:val="clear" w:color="auto" w:fill="FFFFFF" w:themeFill="background1"/>
            <w:noWrap/>
            <w:vAlign w:val="center"/>
          </w:tcPr>
          <w:p w:rsidR="00AF33F5" w:rsidRPr="00512625" w:rsidRDefault="00CA5F48" w:rsidP="00512625">
            <w:pPr>
              <w:spacing w:before="20" w:after="20" w:line="240" w:lineRule="auto"/>
              <w:jc w:val="left"/>
              <w:rPr>
                <w:rFonts w:cs="Arial"/>
                <w:b/>
                <w:sz w:val="19"/>
                <w:szCs w:val="19"/>
                <w:lang w:eastAsia="hu-HU"/>
              </w:rPr>
            </w:pPr>
            <w:r w:rsidRPr="00512625">
              <w:rPr>
                <w:rFonts w:cs="Arial"/>
                <w:b/>
                <w:sz w:val="19"/>
                <w:szCs w:val="19"/>
                <w:lang w:eastAsia="hu-HU"/>
              </w:rPr>
              <w:t>Banská Bystrica</w:t>
            </w:r>
          </w:p>
          <w:p w:rsidR="008A290A" w:rsidRPr="00512625" w:rsidRDefault="008A290A" w:rsidP="00512625">
            <w:pPr>
              <w:spacing w:before="20" w:after="20" w:line="240" w:lineRule="auto"/>
              <w:jc w:val="left"/>
              <w:rPr>
                <w:rFonts w:cs="Arial"/>
                <w:b/>
                <w:bCs/>
                <w:sz w:val="19"/>
                <w:szCs w:val="19"/>
                <w:lang w:eastAsia="hu-HU"/>
              </w:rPr>
            </w:pPr>
            <w:r w:rsidRPr="00512625">
              <w:rPr>
                <w:rFonts w:cs="Arial"/>
                <w:b/>
                <w:bCs/>
                <w:sz w:val="19"/>
                <w:szCs w:val="19"/>
                <w:lang w:eastAsia="hu-HU"/>
              </w:rPr>
              <w:t>(SK032)</w:t>
            </w:r>
          </w:p>
        </w:tc>
        <w:tc>
          <w:tcPr>
            <w:tcW w:w="1089" w:type="dxa"/>
            <w:tcBorders>
              <w:bottom w:val="single" w:sz="18" w:space="0" w:color="auto"/>
            </w:tcBorders>
            <w:shd w:val="clear" w:color="auto" w:fill="FFFFFF" w:themeFill="background1"/>
            <w:noWrap/>
            <w:vAlign w:val="center"/>
          </w:tcPr>
          <w:p w:rsidR="001E4818" w:rsidRPr="00512625" w:rsidRDefault="001E4818" w:rsidP="00512625">
            <w:pPr>
              <w:spacing w:before="20" w:after="20" w:line="240" w:lineRule="auto"/>
              <w:jc w:val="left"/>
              <w:rPr>
                <w:rFonts w:cs="Arial"/>
                <w:b/>
                <w:bCs/>
                <w:sz w:val="19"/>
                <w:szCs w:val="19"/>
                <w:lang w:eastAsia="hu-HU"/>
              </w:rPr>
            </w:pPr>
            <w:r w:rsidRPr="00512625">
              <w:rPr>
                <w:rFonts w:cs="Arial"/>
                <w:b/>
                <w:bCs/>
                <w:sz w:val="19"/>
                <w:szCs w:val="19"/>
                <w:lang w:eastAsia="hu-HU"/>
              </w:rPr>
              <w:t>Central Slovakia</w:t>
            </w:r>
          </w:p>
          <w:p w:rsidR="008A290A" w:rsidRPr="00512625" w:rsidRDefault="008A290A" w:rsidP="00512625">
            <w:pPr>
              <w:spacing w:before="20" w:after="20" w:line="240" w:lineRule="auto"/>
              <w:jc w:val="left"/>
              <w:rPr>
                <w:rFonts w:cs="Arial"/>
                <w:b/>
                <w:bCs/>
                <w:sz w:val="19"/>
                <w:szCs w:val="19"/>
                <w:lang w:eastAsia="hu-HU"/>
              </w:rPr>
            </w:pPr>
            <w:r w:rsidRPr="00512625">
              <w:rPr>
                <w:rFonts w:cs="Arial"/>
                <w:b/>
                <w:bCs/>
                <w:sz w:val="19"/>
                <w:szCs w:val="19"/>
                <w:lang w:eastAsia="hu-HU"/>
              </w:rPr>
              <w:t>(SK03)</w:t>
            </w:r>
          </w:p>
        </w:tc>
        <w:tc>
          <w:tcPr>
            <w:tcW w:w="1089" w:type="dxa"/>
            <w:tcBorders>
              <w:bottom w:val="single" w:sz="18" w:space="0" w:color="auto"/>
            </w:tcBorders>
            <w:shd w:val="clear" w:color="auto" w:fill="FFFFFF" w:themeFill="background1"/>
            <w:noWrap/>
            <w:vAlign w:val="center"/>
          </w:tcPr>
          <w:p w:rsidR="008A290A" w:rsidRPr="00512625" w:rsidRDefault="008A290A" w:rsidP="00512625">
            <w:pPr>
              <w:spacing w:before="20" w:after="20" w:line="240" w:lineRule="auto"/>
              <w:jc w:val="left"/>
              <w:rPr>
                <w:rFonts w:cs="Arial"/>
                <w:b/>
                <w:bCs/>
                <w:sz w:val="19"/>
                <w:szCs w:val="19"/>
                <w:lang w:eastAsia="hu-HU"/>
              </w:rPr>
            </w:pPr>
            <w:r w:rsidRPr="00512625">
              <w:rPr>
                <w:rFonts w:cs="Arial"/>
                <w:b/>
                <w:bCs/>
                <w:sz w:val="19"/>
                <w:szCs w:val="19"/>
                <w:lang w:eastAsia="hu-HU"/>
              </w:rPr>
              <w:t>Slovakia</w:t>
            </w:r>
          </w:p>
        </w:tc>
        <w:tc>
          <w:tcPr>
            <w:tcW w:w="1089" w:type="dxa"/>
            <w:tcBorders>
              <w:bottom w:val="single" w:sz="18" w:space="0" w:color="auto"/>
            </w:tcBorders>
            <w:shd w:val="clear" w:color="auto" w:fill="FFFFFF" w:themeFill="background1"/>
            <w:noWrap/>
            <w:vAlign w:val="center"/>
          </w:tcPr>
          <w:p w:rsidR="008A290A" w:rsidRPr="00512625" w:rsidRDefault="008A290A" w:rsidP="00512625">
            <w:pPr>
              <w:spacing w:before="20" w:after="20" w:line="240" w:lineRule="auto"/>
              <w:jc w:val="left"/>
              <w:rPr>
                <w:rFonts w:cs="Arial"/>
                <w:b/>
                <w:bCs/>
                <w:sz w:val="19"/>
                <w:szCs w:val="19"/>
                <w:lang w:eastAsia="hu-HU"/>
              </w:rPr>
            </w:pPr>
            <w:r w:rsidRPr="00512625">
              <w:rPr>
                <w:rFonts w:cs="Arial"/>
                <w:b/>
                <w:bCs/>
                <w:sz w:val="19"/>
                <w:szCs w:val="19"/>
                <w:lang w:eastAsia="hu-HU"/>
              </w:rPr>
              <w:t>EE-NMS</w:t>
            </w:r>
          </w:p>
        </w:tc>
        <w:tc>
          <w:tcPr>
            <w:tcW w:w="941" w:type="dxa"/>
            <w:tcBorders>
              <w:bottom w:val="single" w:sz="18" w:space="0" w:color="auto"/>
            </w:tcBorders>
            <w:shd w:val="clear" w:color="auto" w:fill="FFFFFF" w:themeFill="background1"/>
            <w:noWrap/>
            <w:vAlign w:val="center"/>
          </w:tcPr>
          <w:p w:rsidR="008A290A" w:rsidRPr="00512625" w:rsidRDefault="008A290A" w:rsidP="00512625">
            <w:pPr>
              <w:spacing w:before="20" w:after="20" w:line="240" w:lineRule="auto"/>
              <w:jc w:val="left"/>
              <w:rPr>
                <w:rFonts w:cs="Arial"/>
                <w:b/>
                <w:bCs/>
                <w:sz w:val="19"/>
                <w:szCs w:val="19"/>
                <w:lang w:eastAsia="hu-HU"/>
              </w:rPr>
            </w:pPr>
            <w:r w:rsidRPr="00512625">
              <w:rPr>
                <w:rFonts w:cs="Arial"/>
                <w:b/>
                <w:bCs/>
                <w:sz w:val="19"/>
                <w:szCs w:val="19"/>
                <w:lang w:eastAsia="hu-HU"/>
              </w:rPr>
              <w:t>EU27</w:t>
            </w:r>
          </w:p>
        </w:tc>
      </w:tr>
      <w:tr w:rsidR="0038087F" w:rsidRPr="00301583" w:rsidTr="00E126C8">
        <w:trPr>
          <w:trHeight w:val="285"/>
        </w:trPr>
        <w:tc>
          <w:tcPr>
            <w:tcW w:w="525" w:type="dxa"/>
            <w:tcBorders>
              <w:top w:val="single" w:sz="18" w:space="0" w:color="auto"/>
            </w:tcBorders>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A</w:t>
            </w:r>
          </w:p>
        </w:tc>
        <w:tc>
          <w:tcPr>
            <w:tcW w:w="2410" w:type="dxa"/>
            <w:tcBorders>
              <w:top w:val="single" w:sz="18" w:space="0" w:color="auto"/>
            </w:tcBorders>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Agriculture, forestry and fishing</w:t>
            </w:r>
          </w:p>
        </w:tc>
        <w:tc>
          <w:tcPr>
            <w:tcW w:w="1088" w:type="dxa"/>
            <w:tcBorders>
              <w:top w:val="single" w:sz="18" w:space="0" w:color="auto"/>
            </w:tcBorders>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5</w:t>
            </w:r>
            <w:r w:rsidR="00301583" w:rsidRPr="00512625">
              <w:rPr>
                <w:rFonts w:cs="Arial"/>
                <w:sz w:val="19"/>
                <w:szCs w:val="19"/>
              </w:rPr>
              <w:t>.</w:t>
            </w:r>
            <w:r w:rsidRPr="00512625">
              <w:rPr>
                <w:rFonts w:cs="Arial"/>
                <w:sz w:val="19"/>
                <w:szCs w:val="19"/>
              </w:rPr>
              <w:t>2</w:t>
            </w:r>
          </w:p>
        </w:tc>
        <w:tc>
          <w:tcPr>
            <w:tcW w:w="1089" w:type="dxa"/>
            <w:tcBorders>
              <w:top w:val="single" w:sz="18" w:space="0" w:color="auto"/>
            </w:tcBorders>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3</w:t>
            </w:r>
            <w:r w:rsidR="00301583" w:rsidRPr="00512625">
              <w:rPr>
                <w:rFonts w:cs="Arial"/>
                <w:sz w:val="19"/>
                <w:szCs w:val="19"/>
              </w:rPr>
              <w:t>.</w:t>
            </w:r>
            <w:r w:rsidRPr="00512625">
              <w:rPr>
                <w:rFonts w:cs="Arial"/>
                <w:sz w:val="19"/>
                <w:szCs w:val="19"/>
              </w:rPr>
              <w:t>7</w:t>
            </w:r>
          </w:p>
        </w:tc>
        <w:tc>
          <w:tcPr>
            <w:tcW w:w="1089" w:type="dxa"/>
            <w:tcBorders>
              <w:top w:val="single" w:sz="18" w:space="0" w:color="auto"/>
            </w:tcBorders>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3</w:t>
            </w:r>
            <w:r w:rsidR="00301583" w:rsidRPr="00512625">
              <w:rPr>
                <w:rFonts w:cs="Arial"/>
                <w:sz w:val="19"/>
                <w:szCs w:val="19"/>
              </w:rPr>
              <w:t>.</w:t>
            </w:r>
            <w:r w:rsidRPr="00512625">
              <w:rPr>
                <w:rFonts w:cs="Arial"/>
                <w:sz w:val="19"/>
                <w:szCs w:val="19"/>
              </w:rPr>
              <w:t>4</w:t>
            </w:r>
          </w:p>
        </w:tc>
        <w:tc>
          <w:tcPr>
            <w:tcW w:w="1089" w:type="dxa"/>
            <w:tcBorders>
              <w:top w:val="single" w:sz="18" w:space="0" w:color="auto"/>
            </w:tcBorders>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14</w:t>
            </w:r>
            <w:r w:rsidR="00301583" w:rsidRPr="00512625">
              <w:rPr>
                <w:rFonts w:cs="Arial"/>
                <w:sz w:val="19"/>
                <w:szCs w:val="19"/>
                <w:lang w:eastAsia="hu-HU"/>
              </w:rPr>
              <w:t>.</w:t>
            </w:r>
            <w:r w:rsidRPr="00512625">
              <w:rPr>
                <w:rFonts w:cs="Arial"/>
                <w:sz w:val="19"/>
                <w:szCs w:val="19"/>
                <w:lang w:eastAsia="hu-HU"/>
              </w:rPr>
              <w:t>6</w:t>
            </w:r>
          </w:p>
        </w:tc>
        <w:tc>
          <w:tcPr>
            <w:tcW w:w="941" w:type="dxa"/>
            <w:tcBorders>
              <w:top w:val="single" w:sz="18" w:space="0" w:color="auto"/>
            </w:tcBorders>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3</w:t>
            </w:r>
            <w:r w:rsidR="00301583" w:rsidRPr="00512625">
              <w:rPr>
                <w:rFonts w:cs="Arial"/>
                <w:sz w:val="19"/>
                <w:szCs w:val="19"/>
                <w:lang w:eastAsia="hu-HU"/>
              </w:rPr>
              <w:t>.</w:t>
            </w:r>
            <w:r w:rsidRPr="00512625">
              <w:rPr>
                <w:rFonts w:cs="Arial"/>
                <w:sz w:val="19"/>
                <w:szCs w:val="19"/>
                <w:lang w:eastAsia="hu-HU"/>
              </w:rPr>
              <w:t>4</w:t>
            </w:r>
          </w:p>
        </w:tc>
      </w:tr>
      <w:tr w:rsidR="0038087F" w:rsidRPr="00301583" w:rsidTr="00E126C8">
        <w:trPr>
          <w:trHeight w:val="285"/>
        </w:trPr>
        <w:tc>
          <w:tcPr>
            <w:tcW w:w="525"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B-E</w:t>
            </w:r>
          </w:p>
        </w:tc>
        <w:tc>
          <w:tcPr>
            <w:tcW w:w="2410"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Industry (excl. co</w:t>
            </w:r>
            <w:r w:rsidRPr="00512625">
              <w:rPr>
                <w:rFonts w:cs="Arial"/>
                <w:b/>
                <w:bCs/>
                <w:sz w:val="19"/>
                <w:szCs w:val="19"/>
                <w:lang w:eastAsia="hu-HU"/>
              </w:rPr>
              <w:t>n</w:t>
            </w:r>
            <w:r w:rsidRPr="00512625">
              <w:rPr>
                <w:rFonts w:cs="Arial"/>
                <w:b/>
                <w:bCs/>
                <w:sz w:val="19"/>
                <w:szCs w:val="19"/>
                <w:lang w:eastAsia="hu-HU"/>
              </w:rPr>
              <w:t>struction)</w:t>
            </w:r>
          </w:p>
        </w:tc>
        <w:tc>
          <w:tcPr>
            <w:tcW w:w="1088"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22</w:t>
            </w:r>
            <w:r w:rsidR="00301583" w:rsidRPr="00512625">
              <w:rPr>
                <w:rFonts w:cs="Arial"/>
                <w:sz w:val="19"/>
                <w:szCs w:val="19"/>
              </w:rPr>
              <w:t>.</w:t>
            </w:r>
            <w:r w:rsidRPr="00512625">
              <w:rPr>
                <w:rFonts w:cs="Arial"/>
                <w:sz w:val="19"/>
                <w:szCs w:val="19"/>
              </w:rPr>
              <w:t>6</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25</w:t>
            </w:r>
            <w:r w:rsidR="00301583" w:rsidRPr="00512625">
              <w:rPr>
                <w:rFonts w:cs="Arial"/>
                <w:sz w:val="19"/>
                <w:szCs w:val="19"/>
              </w:rPr>
              <w:t>.</w:t>
            </w:r>
            <w:r w:rsidRPr="00512625">
              <w:rPr>
                <w:rFonts w:cs="Arial"/>
                <w:sz w:val="19"/>
                <w:szCs w:val="19"/>
              </w:rPr>
              <w:t>3</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24</w:t>
            </w:r>
            <w:r w:rsidR="00301583" w:rsidRPr="00512625">
              <w:rPr>
                <w:rFonts w:cs="Arial"/>
                <w:sz w:val="19"/>
                <w:szCs w:val="19"/>
              </w:rPr>
              <w:t>.</w:t>
            </w:r>
            <w:r w:rsidRPr="00512625">
              <w:rPr>
                <w:rFonts w:cs="Arial"/>
                <w:sz w:val="19"/>
                <w:szCs w:val="19"/>
              </w:rPr>
              <w:t>0</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22</w:t>
            </w:r>
            <w:r w:rsidR="00301583" w:rsidRPr="00512625">
              <w:rPr>
                <w:rFonts w:cs="Arial"/>
                <w:sz w:val="19"/>
                <w:szCs w:val="19"/>
                <w:lang w:eastAsia="hu-HU"/>
              </w:rPr>
              <w:t>.</w:t>
            </w:r>
            <w:r w:rsidRPr="00512625">
              <w:rPr>
                <w:rFonts w:cs="Arial"/>
                <w:sz w:val="19"/>
                <w:szCs w:val="19"/>
                <w:lang w:eastAsia="hu-HU"/>
              </w:rPr>
              <w:t>7</w:t>
            </w:r>
          </w:p>
        </w:tc>
        <w:tc>
          <w:tcPr>
            <w:tcW w:w="941"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24</w:t>
            </w:r>
            <w:r w:rsidR="00301583" w:rsidRPr="00512625">
              <w:rPr>
                <w:rFonts w:cs="Arial"/>
                <w:sz w:val="19"/>
                <w:szCs w:val="19"/>
                <w:lang w:eastAsia="hu-HU"/>
              </w:rPr>
              <w:t>.</w:t>
            </w:r>
            <w:r w:rsidRPr="00512625">
              <w:rPr>
                <w:rFonts w:cs="Arial"/>
                <w:sz w:val="19"/>
                <w:szCs w:val="19"/>
                <w:lang w:eastAsia="hu-HU"/>
              </w:rPr>
              <w:t>0</w:t>
            </w:r>
          </w:p>
        </w:tc>
      </w:tr>
      <w:tr w:rsidR="0038087F" w:rsidRPr="00301583" w:rsidTr="00E126C8">
        <w:trPr>
          <w:trHeight w:val="285"/>
        </w:trPr>
        <w:tc>
          <w:tcPr>
            <w:tcW w:w="525"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C</w:t>
            </w:r>
          </w:p>
        </w:tc>
        <w:tc>
          <w:tcPr>
            <w:tcW w:w="2410"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Manufacturing</w:t>
            </w:r>
          </w:p>
        </w:tc>
        <w:tc>
          <w:tcPr>
            <w:tcW w:w="1088"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20</w:t>
            </w:r>
            <w:r w:rsidR="00301583" w:rsidRPr="00512625">
              <w:rPr>
                <w:rFonts w:cs="Arial"/>
                <w:sz w:val="19"/>
                <w:szCs w:val="19"/>
              </w:rPr>
              <w:t>.</w:t>
            </w:r>
            <w:r w:rsidRPr="00512625">
              <w:rPr>
                <w:rFonts w:cs="Arial"/>
                <w:sz w:val="19"/>
                <w:szCs w:val="19"/>
              </w:rPr>
              <w:t>3</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23</w:t>
            </w:r>
            <w:r w:rsidR="00301583" w:rsidRPr="00512625">
              <w:rPr>
                <w:rFonts w:cs="Arial"/>
                <w:sz w:val="19"/>
                <w:szCs w:val="19"/>
              </w:rPr>
              <w:t>.</w:t>
            </w:r>
            <w:r w:rsidRPr="00512625">
              <w:rPr>
                <w:rFonts w:cs="Arial"/>
                <w:sz w:val="19"/>
                <w:szCs w:val="19"/>
              </w:rPr>
              <w:t>1</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21</w:t>
            </w:r>
            <w:r w:rsidR="00301583" w:rsidRPr="00512625">
              <w:rPr>
                <w:rFonts w:cs="Arial"/>
                <w:sz w:val="19"/>
                <w:szCs w:val="19"/>
              </w:rPr>
              <w:t>.</w:t>
            </w:r>
            <w:r w:rsidRPr="00512625">
              <w:rPr>
                <w:rFonts w:cs="Arial"/>
                <w:sz w:val="19"/>
                <w:szCs w:val="19"/>
              </w:rPr>
              <w:t>7</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19</w:t>
            </w:r>
            <w:r w:rsidR="00301583" w:rsidRPr="00512625">
              <w:rPr>
                <w:rFonts w:cs="Arial"/>
                <w:sz w:val="19"/>
                <w:szCs w:val="19"/>
                <w:lang w:eastAsia="hu-HU"/>
              </w:rPr>
              <w:t>.</w:t>
            </w:r>
            <w:r w:rsidRPr="00512625">
              <w:rPr>
                <w:rFonts w:cs="Arial"/>
                <w:sz w:val="19"/>
                <w:szCs w:val="19"/>
                <w:lang w:eastAsia="hu-HU"/>
              </w:rPr>
              <w:t>7</w:t>
            </w:r>
          </w:p>
        </w:tc>
        <w:tc>
          <w:tcPr>
            <w:tcW w:w="941"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21</w:t>
            </w:r>
            <w:r w:rsidR="00301583" w:rsidRPr="00512625">
              <w:rPr>
                <w:rFonts w:cs="Arial"/>
                <w:sz w:val="19"/>
                <w:szCs w:val="19"/>
                <w:lang w:eastAsia="hu-HU"/>
              </w:rPr>
              <w:t>.</w:t>
            </w:r>
            <w:r w:rsidRPr="00512625">
              <w:rPr>
                <w:rFonts w:cs="Arial"/>
                <w:sz w:val="19"/>
                <w:szCs w:val="19"/>
                <w:lang w:eastAsia="hu-HU"/>
              </w:rPr>
              <w:t>7</w:t>
            </w:r>
          </w:p>
        </w:tc>
      </w:tr>
      <w:tr w:rsidR="0038087F" w:rsidRPr="00301583" w:rsidTr="00E126C8">
        <w:trPr>
          <w:trHeight w:val="285"/>
        </w:trPr>
        <w:tc>
          <w:tcPr>
            <w:tcW w:w="525"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F</w:t>
            </w:r>
          </w:p>
        </w:tc>
        <w:tc>
          <w:tcPr>
            <w:tcW w:w="2410"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Construction</w:t>
            </w:r>
          </w:p>
        </w:tc>
        <w:tc>
          <w:tcPr>
            <w:tcW w:w="1088"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7</w:t>
            </w:r>
            <w:r w:rsidR="00301583" w:rsidRPr="00512625">
              <w:rPr>
                <w:rFonts w:cs="Arial"/>
                <w:sz w:val="19"/>
                <w:szCs w:val="19"/>
              </w:rPr>
              <w:t>.</w:t>
            </w:r>
            <w:r w:rsidRPr="00512625">
              <w:rPr>
                <w:rFonts w:cs="Arial"/>
                <w:sz w:val="19"/>
                <w:szCs w:val="19"/>
              </w:rPr>
              <w:t>7</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9</w:t>
            </w:r>
            <w:r w:rsidR="00301583" w:rsidRPr="00512625">
              <w:rPr>
                <w:rFonts w:cs="Arial"/>
                <w:sz w:val="19"/>
                <w:szCs w:val="19"/>
              </w:rPr>
              <w:t>.</w:t>
            </w:r>
            <w:r w:rsidRPr="00512625">
              <w:rPr>
                <w:rFonts w:cs="Arial"/>
                <w:sz w:val="19"/>
                <w:szCs w:val="19"/>
              </w:rPr>
              <w:t>6</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8</w:t>
            </w:r>
            <w:r w:rsidR="00301583" w:rsidRPr="00512625">
              <w:rPr>
                <w:rFonts w:cs="Arial"/>
                <w:sz w:val="19"/>
                <w:szCs w:val="19"/>
              </w:rPr>
              <w:t>.</w:t>
            </w:r>
            <w:r w:rsidRPr="00512625">
              <w:rPr>
                <w:rFonts w:cs="Arial"/>
                <w:sz w:val="19"/>
                <w:szCs w:val="19"/>
              </w:rPr>
              <w:t>5</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8</w:t>
            </w:r>
            <w:r w:rsidR="00301583" w:rsidRPr="00512625">
              <w:rPr>
                <w:rFonts w:cs="Arial"/>
                <w:sz w:val="19"/>
                <w:szCs w:val="19"/>
                <w:lang w:eastAsia="hu-HU"/>
              </w:rPr>
              <w:t>.</w:t>
            </w:r>
            <w:r w:rsidRPr="00512625">
              <w:rPr>
                <w:rFonts w:cs="Arial"/>
                <w:sz w:val="19"/>
                <w:szCs w:val="19"/>
                <w:lang w:eastAsia="hu-HU"/>
              </w:rPr>
              <w:t>2</w:t>
            </w:r>
          </w:p>
        </w:tc>
        <w:tc>
          <w:tcPr>
            <w:tcW w:w="941"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8</w:t>
            </w:r>
            <w:r w:rsidR="00301583" w:rsidRPr="00512625">
              <w:rPr>
                <w:rFonts w:cs="Arial"/>
                <w:sz w:val="19"/>
                <w:szCs w:val="19"/>
                <w:lang w:eastAsia="hu-HU"/>
              </w:rPr>
              <w:t>.</w:t>
            </w:r>
            <w:r w:rsidRPr="00512625">
              <w:rPr>
                <w:rFonts w:cs="Arial"/>
                <w:sz w:val="19"/>
                <w:szCs w:val="19"/>
                <w:lang w:eastAsia="hu-HU"/>
              </w:rPr>
              <w:t>5</w:t>
            </w:r>
          </w:p>
        </w:tc>
      </w:tr>
      <w:tr w:rsidR="0038087F" w:rsidRPr="00301583" w:rsidTr="00E126C8">
        <w:trPr>
          <w:trHeight w:val="285"/>
        </w:trPr>
        <w:tc>
          <w:tcPr>
            <w:tcW w:w="525"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G-I</w:t>
            </w:r>
          </w:p>
        </w:tc>
        <w:tc>
          <w:tcPr>
            <w:tcW w:w="2410"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Wholesale, retail, transport, accomm., food services</w:t>
            </w:r>
          </w:p>
        </w:tc>
        <w:tc>
          <w:tcPr>
            <w:tcW w:w="1088"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27</w:t>
            </w:r>
            <w:r w:rsidR="00301583" w:rsidRPr="00512625">
              <w:rPr>
                <w:rFonts w:cs="Arial"/>
                <w:sz w:val="19"/>
                <w:szCs w:val="19"/>
              </w:rPr>
              <w:t>.</w:t>
            </w:r>
            <w:r w:rsidRPr="00512625">
              <w:rPr>
                <w:rFonts w:cs="Arial"/>
                <w:sz w:val="19"/>
                <w:szCs w:val="19"/>
              </w:rPr>
              <w:t>0</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26</w:t>
            </w:r>
            <w:r w:rsidR="00301583" w:rsidRPr="00512625">
              <w:rPr>
                <w:rFonts w:cs="Arial"/>
                <w:sz w:val="19"/>
                <w:szCs w:val="19"/>
              </w:rPr>
              <w:t>.</w:t>
            </w:r>
            <w:r w:rsidRPr="00512625">
              <w:rPr>
                <w:rFonts w:cs="Arial"/>
                <w:sz w:val="19"/>
                <w:szCs w:val="19"/>
              </w:rPr>
              <w:t>9</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27</w:t>
            </w:r>
            <w:r w:rsidR="00301583" w:rsidRPr="00512625">
              <w:rPr>
                <w:rFonts w:cs="Arial"/>
                <w:sz w:val="19"/>
                <w:szCs w:val="19"/>
              </w:rPr>
              <w:t>.</w:t>
            </w:r>
            <w:r w:rsidRPr="00512625">
              <w:rPr>
                <w:rFonts w:cs="Arial"/>
                <w:sz w:val="19"/>
                <w:szCs w:val="19"/>
              </w:rPr>
              <w:t>1</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22</w:t>
            </w:r>
            <w:r w:rsidR="00301583" w:rsidRPr="00512625">
              <w:rPr>
                <w:rFonts w:cs="Arial"/>
                <w:sz w:val="19"/>
                <w:szCs w:val="19"/>
                <w:lang w:eastAsia="hu-HU"/>
              </w:rPr>
              <w:t>.</w:t>
            </w:r>
            <w:r w:rsidRPr="00512625">
              <w:rPr>
                <w:rFonts w:cs="Arial"/>
                <w:sz w:val="19"/>
                <w:szCs w:val="19"/>
                <w:lang w:eastAsia="hu-HU"/>
              </w:rPr>
              <w:t>8</w:t>
            </w:r>
          </w:p>
        </w:tc>
        <w:tc>
          <w:tcPr>
            <w:tcW w:w="941"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27</w:t>
            </w:r>
            <w:r w:rsidR="00301583" w:rsidRPr="00512625">
              <w:rPr>
                <w:rFonts w:cs="Arial"/>
                <w:sz w:val="19"/>
                <w:szCs w:val="19"/>
                <w:lang w:eastAsia="hu-HU"/>
              </w:rPr>
              <w:t>.</w:t>
            </w:r>
            <w:r w:rsidRPr="00512625">
              <w:rPr>
                <w:rFonts w:cs="Arial"/>
                <w:sz w:val="19"/>
                <w:szCs w:val="19"/>
                <w:lang w:eastAsia="hu-HU"/>
              </w:rPr>
              <w:t>1</w:t>
            </w:r>
          </w:p>
        </w:tc>
      </w:tr>
      <w:tr w:rsidR="0038087F" w:rsidRPr="00301583" w:rsidTr="00E126C8">
        <w:trPr>
          <w:trHeight w:val="285"/>
        </w:trPr>
        <w:tc>
          <w:tcPr>
            <w:tcW w:w="525"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J</w:t>
            </w:r>
          </w:p>
        </w:tc>
        <w:tc>
          <w:tcPr>
            <w:tcW w:w="2410"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Information and co</w:t>
            </w:r>
            <w:r w:rsidRPr="00512625">
              <w:rPr>
                <w:rFonts w:cs="Arial"/>
                <w:b/>
                <w:bCs/>
                <w:sz w:val="19"/>
                <w:szCs w:val="19"/>
                <w:lang w:eastAsia="hu-HU"/>
              </w:rPr>
              <w:t>m</w:t>
            </w:r>
            <w:r w:rsidRPr="00512625">
              <w:rPr>
                <w:rFonts w:cs="Arial"/>
                <w:b/>
                <w:bCs/>
                <w:sz w:val="19"/>
                <w:szCs w:val="19"/>
                <w:lang w:eastAsia="hu-HU"/>
              </w:rPr>
              <w:t>munication</w:t>
            </w:r>
          </w:p>
        </w:tc>
        <w:tc>
          <w:tcPr>
            <w:tcW w:w="1088"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1</w:t>
            </w:r>
            <w:r w:rsidR="00301583" w:rsidRPr="00512625">
              <w:rPr>
                <w:rFonts w:cs="Arial"/>
                <w:sz w:val="19"/>
                <w:szCs w:val="19"/>
              </w:rPr>
              <w:t>.</w:t>
            </w:r>
            <w:r w:rsidRPr="00512625">
              <w:rPr>
                <w:rFonts w:cs="Arial"/>
                <w:sz w:val="19"/>
                <w:szCs w:val="19"/>
              </w:rPr>
              <w:t>8</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1</w:t>
            </w:r>
            <w:r w:rsidR="00301583" w:rsidRPr="00512625">
              <w:rPr>
                <w:rFonts w:cs="Arial"/>
                <w:sz w:val="19"/>
                <w:szCs w:val="19"/>
              </w:rPr>
              <w:t>.</w:t>
            </w:r>
            <w:r w:rsidRPr="00512625">
              <w:rPr>
                <w:rFonts w:cs="Arial"/>
                <w:sz w:val="19"/>
                <w:szCs w:val="19"/>
              </w:rPr>
              <w:t>8</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w:t>
            </w:r>
            <w:r w:rsidR="00301583" w:rsidRPr="00512625">
              <w:rPr>
                <w:rFonts w:cs="Arial"/>
                <w:sz w:val="19"/>
                <w:szCs w:val="19"/>
              </w:rPr>
              <w:t>.</w:t>
            </w:r>
            <w:r w:rsidRPr="00512625">
              <w:rPr>
                <w:rFonts w:cs="Arial"/>
                <w:sz w:val="19"/>
                <w:szCs w:val="19"/>
              </w:rPr>
              <w:t>3</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w:t>
            </w:r>
            <w:r w:rsidR="00301583" w:rsidRPr="00512625">
              <w:rPr>
                <w:rFonts w:cs="Arial"/>
                <w:sz w:val="19"/>
                <w:szCs w:val="19"/>
                <w:lang w:eastAsia="hu-HU"/>
              </w:rPr>
              <w:t>.</w:t>
            </w:r>
            <w:r w:rsidRPr="00512625">
              <w:rPr>
                <w:rFonts w:cs="Arial"/>
                <w:sz w:val="19"/>
                <w:szCs w:val="19"/>
                <w:lang w:eastAsia="hu-HU"/>
              </w:rPr>
              <w:t>0</w:t>
            </w:r>
          </w:p>
        </w:tc>
        <w:tc>
          <w:tcPr>
            <w:tcW w:w="941"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w:t>
            </w:r>
            <w:r w:rsidR="00301583" w:rsidRPr="00512625">
              <w:rPr>
                <w:rFonts w:cs="Arial"/>
                <w:sz w:val="19"/>
                <w:szCs w:val="19"/>
                <w:lang w:eastAsia="hu-HU"/>
              </w:rPr>
              <w:t>.</w:t>
            </w:r>
            <w:r w:rsidRPr="00512625">
              <w:rPr>
                <w:rFonts w:cs="Arial"/>
                <w:sz w:val="19"/>
                <w:szCs w:val="19"/>
                <w:lang w:eastAsia="hu-HU"/>
              </w:rPr>
              <w:t>3</w:t>
            </w:r>
          </w:p>
        </w:tc>
      </w:tr>
      <w:tr w:rsidR="0038087F" w:rsidRPr="00301583" w:rsidTr="00E126C8">
        <w:trPr>
          <w:trHeight w:val="285"/>
        </w:trPr>
        <w:tc>
          <w:tcPr>
            <w:tcW w:w="525"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K</w:t>
            </w:r>
          </w:p>
        </w:tc>
        <w:tc>
          <w:tcPr>
            <w:tcW w:w="2410"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Financial and insurance</w:t>
            </w:r>
          </w:p>
        </w:tc>
        <w:tc>
          <w:tcPr>
            <w:tcW w:w="1088"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1</w:t>
            </w:r>
            <w:r w:rsidR="00301583" w:rsidRPr="00512625">
              <w:rPr>
                <w:rFonts w:cs="Arial"/>
                <w:sz w:val="19"/>
                <w:szCs w:val="19"/>
              </w:rPr>
              <w:t>.</w:t>
            </w:r>
            <w:r w:rsidRPr="00512625">
              <w:rPr>
                <w:rFonts w:cs="Arial"/>
                <w:sz w:val="19"/>
                <w:szCs w:val="19"/>
              </w:rPr>
              <w:t>4</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1</w:t>
            </w:r>
            <w:r w:rsidR="00301583" w:rsidRPr="00512625">
              <w:rPr>
                <w:rFonts w:cs="Arial"/>
                <w:sz w:val="19"/>
                <w:szCs w:val="19"/>
              </w:rPr>
              <w:t>.</w:t>
            </w:r>
            <w:r w:rsidRPr="00512625">
              <w:rPr>
                <w:rFonts w:cs="Arial"/>
                <w:sz w:val="19"/>
                <w:szCs w:val="19"/>
              </w:rPr>
              <w:t>3</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1</w:t>
            </w:r>
            <w:r w:rsidR="00301583" w:rsidRPr="00512625">
              <w:rPr>
                <w:rFonts w:cs="Arial"/>
                <w:sz w:val="19"/>
                <w:szCs w:val="19"/>
              </w:rPr>
              <w:t>.</w:t>
            </w:r>
            <w:r w:rsidRPr="00512625">
              <w:rPr>
                <w:rFonts w:cs="Arial"/>
                <w:sz w:val="19"/>
                <w:szCs w:val="19"/>
              </w:rPr>
              <w:t>9</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1</w:t>
            </w:r>
            <w:r w:rsidR="00301583" w:rsidRPr="00512625">
              <w:rPr>
                <w:rFonts w:cs="Arial"/>
                <w:sz w:val="19"/>
                <w:szCs w:val="19"/>
                <w:lang w:eastAsia="hu-HU"/>
              </w:rPr>
              <w:t>.</w:t>
            </w:r>
            <w:r w:rsidRPr="00512625">
              <w:rPr>
                <w:rFonts w:cs="Arial"/>
                <w:sz w:val="19"/>
                <w:szCs w:val="19"/>
                <w:lang w:eastAsia="hu-HU"/>
              </w:rPr>
              <w:t>9</w:t>
            </w:r>
          </w:p>
        </w:tc>
        <w:tc>
          <w:tcPr>
            <w:tcW w:w="941"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1</w:t>
            </w:r>
            <w:r w:rsidR="00301583" w:rsidRPr="00512625">
              <w:rPr>
                <w:rFonts w:cs="Arial"/>
                <w:sz w:val="19"/>
                <w:szCs w:val="19"/>
                <w:lang w:eastAsia="hu-HU"/>
              </w:rPr>
              <w:t>.</w:t>
            </w:r>
            <w:r w:rsidRPr="00512625">
              <w:rPr>
                <w:rFonts w:cs="Arial"/>
                <w:sz w:val="19"/>
                <w:szCs w:val="19"/>
                <w:lang w:eastAsia="hu-HU"/>
              </w:rPr>
              <w:t>9</w:t>
            </w:r>
          </w:p>
        </w:tc>
      </w:tr>
      <w:tr w:rsidR="0038087F" w:rsidRPr="00301583" w:rsidTr="00E126C8">
        <w:trPr>
          <w:trHeight w:val="285"/>
        </w:trPr>
        <w:tc>
          <w:tcPr>
            <w:tcW w:w="525"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L</w:t>
            </w:r>
          </w:p>
        </w:tc>
        <w:tc>
          <w:tcPr>
            <w:tcW w:w="2410"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Real estate</w:t>
            </w:r>
          </w:p>
        </w:tc>
        <w:tc>
          <w:tcPr>
            <w:tcW w:w="1088"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0</w:t>
            </w:r>
            <w:r w:rsidR="00301583" w:rsidRPr="00512625">
              <w:rPr>
                <w:rFonts w:cs="Arial"/>
                <w:sz w:val="19"/>
                <w:szCs w:val="19"/>
              </w:rPr>
              <w:t>.</w:t>
            </w:r>
            <w:r w:rsidRPr="00512625">
              <w:rPr>
                <w:rFonts w:cs="Arial"/>
                <w:sz w:val="19"/>
                <w:szCs w:val="19"/>
              </w:rPr>
              <w:t>7</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0</w:t>
            </w:r>
            <w:r w:rsidR="00301583" w:rsidRPr="00512625">
              <w:rPr>
                <w:rFonts w:cs="Arial"/>
                <w:sz w:val="19"/>
                <w:szCs w:val="19"/>
              </w:rPr>
              <w:t>.</w:t>
            </w:r>
            <w:r w:rsidRPr="00512625">
              <w:rPr>
                <w:rFonts w:cs="Arial"/>
                <w:sz w:val="19"/>
                <w:szCs w:val="19"/>
              </w:rPr>
              <w:t>6</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1</w:t>
            </w:r>
            <w:r w:rsidR="00301583" w:rsidRPr="00512625">
              <w:rPr>
                <w:rFonts w:cs="Arial"/>
                <w:sz w:val="19"/>
                <w:szCs w:val="19"/>
              </w:rPr>
              <w:t>.</w:t>
            </w:r>
            <w:r w:rsidRPr="00512625">
              <w:rPr>
                <w:rFonts w:cs="Arial"/>
                <w:sz w:val="19"/>
                <w:szCs w:val="19"/>
              </w:rPr>
              <w:t>0</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1</w:t>
            </w:r>
            <w:r w:rsidR="00301583" w:rsidRPr="00512625">
              <w:rPr>
                <w:rFonts w:cs="Arial"/>
                <w:sz w:val="19"/>
                <w:szCs w:val="19"/>
                <w:lang w:eastAsia="hu-HU"/>
              </w:rPr>
              <w:t>.</w:t>
            </w:r>
            <w:r w:rsidRPr="00512625">
              <w:rPr>
                <w:rFonts w:cs="Arial"/>
                <w:sz w:val="19"/>
                <w:szCs w:val="19"/>
                <w:lang w:eastAsia="hu-HU"/>
              </w:rPr>
              <w:t>0</w:t>
            </w:r>
          </w:p>
        </w:tc>
        <w:tc>
          <w:tcPr>
            <w:tcW w:w="941"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1</w:t>
            </w:r>
            <w:r w:rsidR="00301583" w:rsidRPr="00512625">
              <w:rPr>
                <w:rFonts w:cs="Arial"/>
                <w:sz w:val="19"/>
                <w:szCs w:val="19"/>
                <w:lang w:eastAsia="hu-HU"/>
              </w:rPr>
              <w:t>.</w:t>
            </w:r>
            <w:r w:rsidRPr="00512625">
              <w:rPr>
                <w:rFonts w:cs="Arial"/>
                <w:sz w:val="19"/>
                <w:szCs w:val="19"/>
                <w:lang w:eastAsia="hu-HU"/>
              </w:rPr>
              <w:t>0</w:t>
            </w:r>
          </w:p>
        </w:tc>
      </w:tr>
      <w:tr w:rsidR="0038087F" w:rsidRPr="00301583" w:rsidTr="00E126C8">
        <w:trPr>
          <w:trHeight w:val="285"/>
        </w:trPr>
        <w:tc>
          <w:tcPr>
            <w:tcW w:w="525"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M-N</w:t>
            </w:r>
          </w:p>
        </w:tc>
        <w:tc>
          <w:tcPr>
            <w:tcW w:w="2410"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Professional, scientific, admin. and support</w:t>
            </w:r>
          </w:p>
        </w:tc>
        <w:tc>
          <w:tcPr>
            <w:tcW w:w="1088"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6</w:t>
            </w:r>
            <w:r w:rsidR="00301583" w:rsidRPr="00512625">
              <w:rPr>
                <w:rFonts w:cs="Arial"/>
                <w:sz w:val="19"/>
                <w:szCs w:val="19"/>
              </w:rPr>
              <w:t>.</w:t>
            </w:r>
            <w:r w:rsidRPr="00512625">
              <w:rPr>
                <w:rFonts w:cs="Arial"/>
                <w:sz w:val="19"/>
                <w:szCs w:val="19"/>
              </w:rPr>
              <w:t>6</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6</w:t>
            </w:r>
            <w:r w:rsidR="00301583" w:rsidRPr="00512625">
              <w:rPr>
                <w:rFonts w:cs="Arial"/>
                <w:sz w:val="19"/>
                <w:szCs w:val="19"/>
              </w:rPr>
              <w:t>.</w:t>
            </w:r>
            <w:r w:rsidRPr="00512625">
              <w:rPr>
                <w:rFonts w:cs="Arial"/>
                <w:sz w:val="19"/>
                <w:szCs w:val="19"/>
              </w:rPr>
              <w:t>1</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8</w:t>
            </w:r>
            <w:r w:rsidR="00301583" w:rsidRPr="00512625">
              <w:rPr>
                <w:rFonts w:cs="Arial"/>
                <w:sz w:val="19"/>
                <w:szCs w:val="19"/>
              </w:rPr>
              <w:t>.</w:t>
            </w:r>
            <w:r w:rsidRPr="00512625">
              <w:rPr>
                <w:rFonts w:cs="Arial"/>
                <w:sz w:val="19"/>
                <w:szCs w:val="19"/>
              </w:rPr>
              <w:t>6</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5</w:t>
            </w:r>
            <w:r w:rsidR="00301583" w:rsidRPr="00512625">
              <w:rPr>
                <w:rFonts w:cs="Arial"/>
                <w:sz w:val="19"/>
                <w:szCs w:val="19"/>
                <w:lang w:eastAsia="hu-HU"/>
              </w:rPr>
              <w:t>.</w:t>
            </w:r>
            <w:r w:rsidRPr="00512625">
              <w:rPr>
                <w:rFonts w:cs="Arial"/>
                <w:sz w:val="19"/>
                <w:szCs w:val="19"/>
                <w:lang w:eastAsia="hu-HU"/>
              </w:rPr>
              <w:t>9</w:t>
            </w:r>
          </w:p>
        </w:tc>
        <w:tc>
          <w:tcPr>
            <w:tcW w:w="941"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8</w:t>
            </w:r>
            <w:r w:rsidR="00301583" w:rsidRPr="00512625">
              <w:rPr>
                <w:rFonts w:cs="Arial"/>
                <w:sz w:val="19"/>
                <w:szCs w:val="19"/>
                <w:lang w:eastAsia="hu-HU"/>
              </w:rPr>
              <w:t>.</w:t>
            </w:r>
            <w:r w:rsidRPr="00512625">
              <w:rPr>
                <w:rFonts w:cs="Arial"/>
                <w:sz w:val="19"/>
                <w:szCs w:val="19"/>
                <w:lang w:eastAsia="hu-HU"/>
              </w:rPr>
              <w:t>6</w:t>
            </w:r>
          </w:p>
        </w:tc>
      </w:tr>
      <w:tr w:rsidR="0038087F" w:rsidRPr="00301583" w:rsidTr="00E126C8">
        <w:trPr>
          <w:trHeight w:val="285"/>
        </w:trPr>
        <w:tc>
          <w:tcPr>
            <w:tcW w:w="525"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O-Q</w:t>
            </w:r>
          </w:p>
        </w:tc>
        <w:tc>
          <w:tcPr>
            <w:tcW w:w="2410" w:type="dxa"/>
            <w:shd w:val="clear" w:color="auto" w:fill="auto"/>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Public admin., defence, education, health and social work</w:t>
            </w:r>
          </w:p>
        </w:tc>
        <w:tc>
          <w:tcPr>
            <w:tcW w:w="1088"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24</w:t>
            </w:r>
            <w:r w:rsidR="00301583" w:rsidRPr="00512625">
              <w:rPr>
                <w:rFonts w:cs="Arial"/>
                <w:sz w:val="19"/>
                <w:szCs w:val="19"/>
              </w:rPr>
              <w:t>.</w:t>
            </w:r>
            <w:r w:rsidRPr="00512625">
              <w:rPr>
                <w:rFonts w:cs="Arial"/>
                <w:sz w:val="19"/>
                <w:szCs w:val="19"/>
              </w:rPr>
              <w:t>2</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22</w:t>
            </w:r>
            <w:r w:rsidR="00301583" w:rsidRPr="00512625">
              <w:rPr>
                <w:rFonts w:cs="Arial"/>
                <w:sz w:val="19"/>
                <w:szCs w:val="19"/>
              </w:rPr>
              <w:t>.</w:t>
            </w:r>
            <w:r w:rsidRPr="00512625">
              <w:rPr>
                <w:rFonts w:cs="Arial"/>
                <w:sz w:val="19"/>
                <w:szCs w:val="19"/>
              </w:rPr>
              <w:t>1</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20</w:t>
            </w:r>
            <w:r w:rsidR="00301583" w:rsidRPr="00512625">
              <w:rPr>
                <w:rFonts w:cs="Arial"/>
                <w:sz w:val="19"/>
                <w:szCs w:val="19"/>
              </w:rPr>
              <w:t>.</w:t>
            </w:r>
            <w:r w:rsidRPr="00512625">
              <w:rPr>
                <w:rFonts w:cs="Arial"/>
                <w:sz w:val="19"/>
                <w:szCs w:val="19"/>
              </w:rPr>
              <w:t>5</w:t>
            </w:r>
          </w:p>
        </w:tc>
        <w:tc>
          <w:tcPr>
            <w:tcW w:w="1089"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17</w:t>
            </w:r>
            <w:r w:rsidR="00301583" w:rsidRPr="00512625">
              <w:rPr>
                <w:rFonts w:cs="Arial"/>
                <w:sz w:val="19"/>
                <w:szCs w:val="19"/>
                <w:lang w:eastAsia="hu-HU"/>
              </w:rPr>
              <w:t>.</w:t>
            </w:r>
            <w:r w:rsidRPr="00512625">
              <w:rPr>
                <w:rFonts w:cs="Arial"/>
                <w:sz w:val="19"/>
                <w:szCs w:val="19"/>
                <w:lang w:eastAsia="hu-HU"/>
              </w:rPr>
              <w:t>9</w:t>
            </w:r>
          </w:p>
        </w:tc>
        <w:tc>
          <w:tcPr>
            <w:tcW w:w="941" w:type="dxa"/>
            <w:shd w:val="clear" w:color="auto" w:fill="auto"/>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20</w:t>
            </w:r>
            <w:r w:rsidR="00301583" w:rsidRPr="00512625">
              <w:rPr>
                <w:rFonts w:cs="Arial"/>
                <w:sz w:val="19"/>
                <w:szCs w:val="19"/>
                <w:lang w:eastAsia="hu-HU"/>
              </w:rPr>
              <w:t>.</w:t>
            </w:r>
            <w:r w:rsidRPr="00512625">
              <w:rPr>
                <w:rFonts w:cs="Arial"/>
                <w:sz w:val="19"/>
                <w:szCs w:val="19"/>
                <w:lang w:eastAsia="hu-HU"/>
              </w:rPr>
              <w:t>5</w:t>
            </w:r>
          </w:p>
        </w:tc>
      </w:tr>
      <w:tr w:rsidR="0038087F" w:rsidRPr="00301583" w:rsidTr="00E126C8">
        <w:trPr>
          <w:trHeight w:val="285"/>
        </w:trPr>
        <w:tc>
          <w:tcPr>
            <w:tcW w:w="525"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R-U</w:t>
            </w:r>
          </w:p>
        </w:tc>
        <w:tc>
          <w:tcPr>
            <w:tcW w:w="2410" w:type="dxa"/>
            <w:shd w:val="clear" w:color="auto" w:fill="D9D9D9" w:themeFill="background1" w:themeFillShade="D9"/>
            <w:noWrap/>
          </w:tcPr>
          <w:p w:rsidR="000077B5" w:rsidRPr="00512625" w:rsidRDefault="000077B5" w:rsidP="00512625">
            <w:pPr>
              <w:spacing w:before="20" w:after="20" w:line="240" w:lineRule="auto"/>
              <w:jc w:val="left"/>
              <w:rPr>
                <w:rFonts w:cs="Arial"/>
                <w:b/>
                <w:bCs/>
                <w:sz w:val="19"/>
                <w:szCs w:val="19"/>
                <w:lang w:eastAsia="hu-HU"/>
              </w:rPr>
            </w:pPr>
            <w:r w:rsidRPr="00512625">
              <w:rPr>
                <w:rFonts w:cs="Arial"/>
                <w:b/>
                <w:bCs/>
                <w:sz w:val="19"/>
                <w:szCs w:val="19"/>
                <w:lang w:eastAsia="hu-HU"/>
              </w:rPr>
              <w:t>Arts, entertainment, recreation</w:t>
            </w:r>
          </w:p>
        </w:tc>
        <w:tc>
          <w:tcPr>
            <w:tcW w:w="1088"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w:t>
            </w:r>
            <w:r w:rsidR="00301583" w:rsidRPr="00512625">
              <w:rPr>
                <w:rFonts w:cs="Arial"/>
                <w:sz w:val="19"/>
                <w:szCs w:val="19"/>
              </w:rPr>
              <w:t>.</w:t>
            </w:r>
            <w:r w:rsidRPr="00512625">
              <w:rPr>
                <w:rFonts w:cs="Arial"/>
                <w:sz w:val="19"/>
                <w:szCs w:val="19"/>
              </w:rPr>
              <w:t>7</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w:t>
            </w:r>
            <w:r w:rsidR="00301583" w:rsidRPr="00512625">
              <w:rPr>
                <w:rFonts w:cs="Arial"/>
                <w:sz w:val="19"/>
                <w:szCs w:val="19"/>
              </w:rPr>
              <w:t>.</w:t>
            </w:r>
            <w:r w:rsidRPr="00512625">
              <w:rPr>
                <w:rFonts w:cs="Arial"/>
                <w:sz w:val="19"/>
                <w:szCs w:val="19"/>
              </w:rPr>
              <w:t>6</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rPr>
            </w:pPr>
            <w:r w:rsidRPr="00512625">
              <w:rPr>
                <w:rFonts w:cs="Arial"/>
                <w:sz w:val="19"/>
                <w:szCs w:val="19"/>
              </w:rPr>
              <w:t>2</w:t>
            </w:r>
            <w:r w:rsidR="00301583" w:rsidRPr="00512625">
              <w:rPr>
                <w:rFonts w:cs="Arial"/>
                <w:sz w:val="19"/>
                <w:szCs w:val="19"/>
              </w:rPr>
              <w:t>.</w:t>
            </w:r>
            <w:r w:rsidRPr="00512625">
              <w:rPr>
                <w:rFonts w:cs="Arial"/>
                <w:sz w:val="19"/>
                <w:szCs w:val="19"/>
              </w:rPr>
              <w:t>6</w:t>
            </w:r>
          </w:p>
        </w:tc>
        <w:tc>
          <w:tcPr>
            <w:tcW w:w="1089"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3</w:t>
            </w:r>
            <w:r w:rsidR="00301583" w:rsidRPr="00512625">
              <w:rPr>
                <w:rFonts w:cs="Arial"/>
                <w:sz w:val="19"/>
                <w:szCs w:val="19"/>
                <w:lang w:eastAsia="hu-HU"/>
              </w:rPr>
              <w:t>.</w:t>
            </w:r>
            <w:r w:rsidRPr="00512625">
              <w:rPr>
                <w:rFonts w:cs="Arial"/>
                <w:sz w:val="19"/>
                <w:szCs w:val="19"/>
                <w:lang w:eastAsia="hu-HU"/>
              </w:rPr>
              <w:t>1</w:t>
            </w:r>
          </w:p>
        </w:tc>
        <w:tc>
          <w:tcPr>
            <w:tcW w:w="941" w:type="dxa"/>
            <w:shd w:val="clear" w:color="auto" w:fill="D9D9D9" w:themeFill="background1" w:themeFillShade="D9"/>
            <w:noWrap/>
            <w:vAlign w:val="center"/>
          </w:tcPr>
          <w:p w:rsidR="000077B5" w:rsidRPr="00512625" w:rsidRDefault="000077B5" w:rsidP="00512625">
            <w:pPr>
              <w:spacing w:before="20" w:after="20" w:line="240" w:lineRule="auto"/>
              <w:jc w:val="center"/>
              <w:rPr>
                <w:rFonts w:cs="Arial"/>
                <w:sz w:val="19"/>
                <w:szCs w:val="19"/>
                <w:lang w:eastAsia="hu-HU"/>
              </w:rPr>
            </w:pPr>
            <w:r w:rsidRPr="00512625">
              <w:rPr>
                <w:rFonts w:cs="Arial"/>
                <w:sz w:val="19"/>
                <w:szCs w:val="19"/>
                <w:lang w:eastAsia="hu-HU"/>
              </w:rPr>
              <w:t>2</w:t>
            </w:r>
            <w:r w:rsidR="00301583" w:rsidRPr="00512625">
              <w:rPr>
                <w:rFonts w:cs="Arial"/>
                <w:sz w:val="19"/>
                <w:szCs w:val="19"/>
                <w:lang w:eastAsia="hu-HU"/>
              </w:rPr>
              <w:t>.</w:t>
            </w:r>
            <w:r w:rsidRPr="00512625">
              <w:rPr>
                <w:rFonts w:cs="Arial"/>
                <w:sz w:val="19"/>
                <w:szCs w:val="19"/>
                <w:lang w:eastAsia="hu-HU"/>
              </w:rPr>
              <w:t>6</w:t>
            </w:r>
          </w:p>
        </w:tc>
      </w:tr>
    </w:tbl>
    <w:p w:rsidR="00073C9E" w:rsidRPr="00E126C8" w:rsidRDefault="00073C9E" w:rsidP="00E126C8">
      <w:pPr>
        <w:spacing w:before="0" w:after="240"/>
        <w:rPr>
          <w:sz w:val="16"/>
          <w:szCs w:val="16"/>
          <w:lang w:val="pt-PT"/>
        </w:rPr>
      </w:pPr>
      <w:r w:rsidRPr="00E126C8">
        <w:rPr>
          <w:b/>
          <w:sz w:val="16"/>
          <w:szCs w:val="16"/>
          <w:lang w:val="pt-PT"/>
        </w:rPr>
        <w:t>Source:</w:t>
      </w:r>
      <w:r w:rsidR="00E126C8" w:rsidRPr="00E126C8">
        <w:rPr>
          <w:b/>
          <w:sz w:val="16"/>
          <w:szCs w:val="16"/>
          <w:lang w:val="pt-PT"/>
        </w:rPr>
        <w:t xml:space="preserve"> </w:t>
      </w:r>
      <w:r w:rsidR="00B759C8" w:rsidRPr="00E126C8">
        <w:rPr>
          <w:sz w:val="16"/>
          <w:szCs w:val="16"/>
          <w:lang w:val="pt-PT"/>
        </w:rPr>
        <w:t>Eurostat Database, Regional Statistics (Reg) Table [nama_r_e3em95r2]</w:t>
      </w:r>
    </w:p>
    <w:p w:rsidR="00CE47D0" w:rsidRPr="00301583" w:rsidRDefault="00DA07B1" w:rsidP="001E5FFE">
      <w:pPr>
        <w:spacing w:line="276" w:lineRule="auto"/>
        <w:rPr>
          <w:b/>
        </w:rPr>
      </w:pPr>
      <w:r w:rsidRPr="00301583">
        <w:t xml:space="preserve">Regarding </w:t>
      </w:r>
      <w:r w:rsidR="00CE47D0" w:rsidRPr="00301583">
        <w:t xml:space="preserve">the </w:t>
      </w:r>
      <w:r w:rsidR="00171FEA" w:rsidRPr="00301583">
        <w:t xml:space="preserve">sectorial </w:t>
      </w:r>
      <w:r w:rsidRPr="00301583">
        <w:t xml:space="preserve">distribution </w:t>
      </w:r>
      <w:r w:rsidR="00171FEA" w:rsidRPr="00301583">
        <w:t>of economic activity i</w:t>
      </w:r>
      <w:r w:rsidR="00CE47D0" w:rsidRPr="00301583">
        <w:t xml:space="preserve">ndustry (manufacturing) (NACE B-E), wholesale, retail, transport, accommodation etc. services (NACE G-I) and public administration, education, health etc. (NACE O-Q) dominate in </w:t>
      </w:r>
      <w:r w:rsidR="00C27D13">
        <w:t>Banská Bystrica</w:t>
      </w:r>
      <w:r w:rsidR="00CE47D0" w:rsidRPr="00301583">
        <w:t>. However</w:t>
      </w:r>
      <w:r w:rsidR="00350D91">
        <w:t>,</w:t>
      </w:r>
      <w:r w:rsidR="00CE47D0" w:rsidRPr="00301583">
        <w:t xml:space="preserve"> it is almost the same </w:t>
      </w:r>
      <w:r w:rsidR="00171FEA" w:rsidRPr="00301583">
        <w:t>situation in</w:t>
      </w:r>
      <w:r w:rsidR="00CE47D0" w:rsidRPr="00301583">
        <w:t xml:space="preserve"> other regions in East Europe. It is more expressive to see the deviance of </w:t>
      </w:r>
      <w:r w:rsidR="00171FEA" w:rsidRPr="00301583">
        <w:t>sectorial</w:t>
      </w:r>
      <w:r w:rsidR="00CE47D0" w:rsidRPr="00301583">
        <w:t xml:space="preserve"> employment ratios considering </w:t>
      </w:r>
      <w:r w:rsidR="00C27D13">
        <w:t>Banská Bystrica</w:t>
      </w:r>
      <w:r w:rsidR="00CE47D0" w:rsidRPr="00301583">
        <w:t>, Slovakia and the EU27. The share of agriculture and forestry is</w:t>
      </w:r>
      <w:r w:rsidRPr="00301583">
        <w:t xml:space="preserve"> yet</w:t>
      </w:r>
      <w:r w:rsidR="00AF33F5">
        <w:t xml:space="preserve"> </w:t>
      </w:r>
      <w:r w:rsidR="00C94452" w:rsidRPr="00301583">
        <w:t xml:space="preserve">rather high </w:t>
      </w:r>
      <w:r w:rsidR="00CE47D0" w:rsidRPr="00301583">
        <w:t>in the region due to the exploitation of the extended forests in the area</w:t>
      </w:r>
      <w:r w:rsidR="00C94452" w:rsidRPr="00301583">
        <w:t>, whilst the role of public services (administration, health, education etc.) in emplo</w:t>
      </w:r>
      <w:r w:rsidR="00C94452" w:rsidRPr="00301583">
        <w:t>y</w:t>
      </w:r>
      <w:r w:rsidR="00C94452" w:rsidRPr="00301583">
        <w:t xml:space="preserve">ment is much higher than </w:t>
      </w:r>
      <w:r w:rsidRPr="00301583">
        <w:t xml:space="preserve">the country or the </w:t>
      </w:r>
      <w:r w:rsidR="00C94452" w:rsidRPr="00301583">
        <w:t>European Union</w:t>
      </w:r>
      <w:r w:rsidRPr="00301583">
        <w:t xml:space="preserve"> average</w:t>
      </w:r>
      <w:r w:rsidR="00C94452" w:rsidRPr="00301583">
        <w:t>.</w:t>
      </w:r>
      <w:r w:rsidR="004D7C53">
        <w:t xml:space="preserve"> </w:t>
      </w:r>
      <w:r w:rsidRPr="00301583">
        <w:t>In contrast</w:t>
      </w:r>
      <w:r w:rsidR="00C94452" w:rsidRPr="00301583">
        <w:t xml:space="preserve">, the </w:t>
      </w:r>
      <w:r w:rsidR="00CE47D0" w:rsidRPr="00301583">
        <w:t>share of industrial sectors</w:t>
      </w:r>
      <w:r w:rsidR="00C94452" w:rsidRPr="00301583">
        <w:t xml:space="preserve"> as well as that of the creative sectors (information, communication, finance, real estate, and science etc. – NACE J-N) are relatively low </w:t>
      </w:r>
      <w:r w:rsidR="002A5C67" w:rsidRPr="00301583">
        <w:t>in</w:t>
      </w:r>
      <w:r w:rsidR="00AF33F5">
        <w:t xml:space="preserve"> </w:t>
      </w:r>
      <w:r w:rsidR="00C27D13">
        <w:t>Banská Bystrica</w:t>
      </w:r>
      <w:r w:rsidRPr="00301583">
        <w:t xml:space="preserve">, whilst </w:t>
      </w:r>
      <w:r w:rsidR="00CE47D0" w:rsidRPr="00301583">
        <w:t xml:space="preserve">the </w:t>
      </w:r>
      <w:r w:rsidR="002A5C67" w:rsidRPr="00301583">
        <w:t xml:space="preserve">role </w:t>
      </w:r>
      <w:r w:rsidR="00CE47D0" w:rsidRPr="00301583">
        <w:t>of personal services in</w:t>
      </w:r>
      <w:r w:rsidR="002A5C67" w:rsidRPr="00301583">
        <w:t xml:space="preserve"> employment</w:t>
      </w:r>
      <w:r w:rsidR="00CE47D0" w:rsidRPr="00301583">
        <w:t xml:space="preserve"> reaches the same level </w:t>
      </w:r>
      <w:r w:rsidR="002A5C67" w:rsidRPr="00301583">
        <w:t xml:space="preserve">as of </w:t>
      </w:r>
      <w:r w:rsidR="00CE47D0" w:rsidRPr="00301583">
        <w:t xml:space="preserve">Slovakia </w:t>
      </w:r>
      <w:r w:rsidR="00171FEA" w:rsidRPr="00301583">
        <w:t>or</w:t>
      </w:r>
      <w:r w:rsidR="00CE47D0" w:rsidRPr="00301583">
        <w:t xml:space="preserve"> the EU27. </w:t>
      </w:r>
    </w:p>
    <w:p w:rsidR="00073C9E" w:rsidRPr="00301583" w:rsidRDefault="00A81B80" w:rsidP="00073C9E">
      <w:r w:rsidRPr="00301583">
        <w:br w:type="page"/>
      </w:r>
    </w:p>
    <w:p w:rsidR="00AA6A40" w:rsidRPr="00301583" w:rsidRDefault="00073C9E" w:rsidP="00F4547F">
      <w:pPr>
        <w:pStyle w:val="Caption"/>
        <w:spacing w:after="120"/>
      </w:pPr>
      <w:bookmarkStart w:id="22" w:name="_Toc333430272"/>
      <w:bookmarkStart w:id="23" w:name="_Toc385939078"/>
      <w:bookmarkStart w:id="24" w:name="_Toc392509034"/>
      <w:r w:rsidRPr="00301583">
        <w:lastRenderedPageBreak/>
        <w:t xml:space="preserve">Table </w:t>
      </w:r>
      <w:r w:rsidR="00B759C8">
        <w:fldChar w:fldCharType="begin"/>
      </w:r>
      <w:r w:rsidR="00A752E6">
        <w:instrText xml:space="preserve"> SEQ Table \* ARABIC </w:instrText>
      </w:r>
      <w:r w:rsidR="00B759C8">
        <w:fldChar w:fldCharType="separate"/>
      </w:r>
      <w:r w:rsidR="00DC6D66">
        <w:rPr>
          <w:noProof/>
        </w:rPr>
        <w:t>5</w:t>
      </w:r>
      <w:r w:rsidR="00B759C8">
        <w:rPr>
          <w:noProof/>
        </w:rPr>
        <w:fldChar w:fldCharType="end"/>
      </w:r>
      <w:r w:rsidR="009441AC">
        <w:t>: Gross v</w:t>
      </w:r>
      <w:r w:rsidRPr="00301583">
        <w:t xml:space="preserve">alue </w:t>
      </w:r>
      <w:r w:rsidR="009441AC">
        <w:t>a</w:t>
      </w:r>
      <w:r w:rsidRPr="00301583">
        <w:t xml:space="preserve">dded by </w:t>
      </w:r>
      <w:r w:rsidR="009441AC">
        <w:t>s</w:t>
      </w:r>
      <w:r w:rsidRPr="00301583">
        <w:t xml:space="preserve">ector and per </w:t>
      </w:r>
      <w:r w:rsidR="009441AC">
        <w:t>h</w:t>
      </w:r>
      <w:r w:rsidRPr="00301583">
        <w:t>ead</w:t>
      </w:r>
      <w:bookmarkEnd w:id="22"/>
      <w:r w:rsidR="00904CBD" w:rsidRPr="00301583">
        <w:t>, 2009</w:t>
      </w:r>
      <w:bookmarkEnd w:id="23"/>
      <w:bookmarkEnd w:id="24"/>
    </w:p>
    <w:tbl>
      <w:tblPr>
        <w:tblW w:w="4842" w:type="pct"/>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1982"/>
        <w:gridCol w:w="1135"/>
        <w:gridCol w:w="1135"/>
        <w:gridCol w:w="712"/>
        <w:gridCol w:w="1135"/>
        <w:gridCol w:w="1135"/>
        <w:gridCol w:w="529"/>
      </w:tblGrid>
      <w:tr w:rsidR="0038087F" w:rsidRPr="00301583" w:rsidTr="008240CB">
        <w:trPr>
          <w:trHeight w:val="285"/>
        </w:trPr>
        <w:tc>
          <w:tcPr>
            <w:tcW w:w="301" w:type="pct"/>
            <w:tcBorders>
              <w:bottom w:val="single" w:sz="4" w:space="0" w:color="auto"/>
            </w:tcBorders>
            <w:shd w:val="clear" w:color="auto" w:fill="FFFFFF" w:themeFill="background1"/>
            <w:noWrap/>
          </w:tcPr>
          <w:p w:rsidR="00EE3B8C" w:rsidRPr="00E126C8" w:rsidRDefault="00EE3B8C" w:rsidP="00E126C8">
            <w:pPr>
              <w:spacing w:before="20" w:after="20" w:line="240" w:lineRule="auto"/>
              <w:jc w:val="left"/>
              <w:rPr>
                <w:rFonts w:cs="Arial"/>
                <w:sz w:val="19"/>
                <w:szCs w:val="19"/>
                <w:lang w:eastAsia="hu-HU"/>
              </w:rPr>
            </w:pPr>
          </w:p>
        </w:tc>
        <w:tc>
          <w:tcPr>
            <w:tcW w:w="1200" w:type="pct"/>
            <w:tcBorders>
              <w:bottom w:val="single" w:sz="4" w:space="0" w:color="auto"/>
            </w:tcBorders>
            <w:shd w:val="clear" w:color="auto" w:fill="FFFFFF" w:themeFill="background1"/>
            <w:noWrap/>
          </w:tcPr>
          <w:p w:rsidR="00EE3B8C" w:rsidRPr="00E126C8" w:rsidRDefault="00EE3B8C" w:rsidP="00E126C8">
            <w:pPr>
              <w:spacing w:before="20" w:after="20" w:line="240" w:lineRule="auto"/>
              <w:jc w:val="left"/>
              <w:rPr>
                <w:rFonts w:cs="Arial"/>
                <w:sz w:val="19"/>
                <w:szCs w:val="19"/>
                <w:lang w:eastAsia="hu-HU"/>
              </w:rPr>
            </w:pPr>
          </w:p>
        </w:tc>
        <w:tc>
          <w:tcPr>
            <w:tcW w:w="687" w:type="pct"/>
            <w:tcBorders>
              <w:bottom w:val="single" w:sz="4" w:space="0" w:color="auto"/>
            </w:tcBorders>
            <w:shd w:val="clear" w:color="auto" w:fill="FFFFFF" w:themeFill="background1"/>
            <w:noWrap/>
          </w:tcPr>
          <w:p w:rsidR="00EE3B8C" w:rsidRPr="00E126C8" w:rsidRDefault="001E4818" w:rsidP="00E126C8">
            <w:pPr>
              <w:spacing w:before="20" w:after="20" w:line="240" w:lineRule="auto"/>
              <w:jc w:val="left"/>
              <w:rPr>
                <w:rFonts w:cs="Arial"/>
                <w:b/>
                <w:sz w:val="19"/>
                <w:szCs w:val="19"/>
                <w:lang w:eastAsia="hu-HU"/>
              </w:rPr>
            </w:pPr>
            <w:r w:rsidRPr="00E126C8">
              <w:rPr>
                <w:rFonts w:cs="Arial"/>
                <w:b/>
                <w:sz w:val="19"/>
                <w:szCs w:val="19"/>
                <w:lang w:eastAsia="hu-HU"/>
              </w:rPr>
              <w:t>Banská Bystrica</w:t>
            </w:r>
            <w:r w:rsidR="00024948" w:rsidRPr="00E126C8">
              <w:rPr>
                <w:rFonts w:cs="Arial"/>
                <w:b/>
                <w:sz w:val="19"/>
                <w:szCs w:val="19"/>
                <w:lang w:eastAsia="hu-HU"/>
              </w:rPr>
              <w:t xml:space="preserve"> (SK032)</w:t>
            </w:r>
          </w:p>
        </w:tc>
        <w:tc>
          <w:tcPr>
            <w:tcW w:w="687" w:type="pct"/>
            <w:tcBorders>
              <w:bottom w:val="single" w:sz="4" w:space="0" w:color="auto"/>
            </w:tcBorders>
            <w:shd w:val="clear" w:color="auto" w:fill="FFFFFF" w:themeFill="background1"/>
            <w:noWrap/>
          </w:tcPr>
          <w:p w:rsidR="00AF33F5" w:rsidRPr="00E126C8" w:rsidRDefault="001E4818" w:rsidP="00E126C8">
            <w:pPr>
              <w:spacing w:before="20" w:after="20" w:line="240" w:lineRule="auto"/>
              <w:jc w:val="left"/>
              <w:rPr>
                <w:rFonts w:cs="Arial"/>
                <w:b/>
                <w:sz w:val="19"/>
                <w:szCs w:val="19"/>
                <w:lang w:eastAsia="hu-HU"/>
              </w:rPr>
            </w:pPr>
            <w:r w:rsidRPr="00E126C8">
              <w:rPr>
                <w:rFonts w:cs="Arial"/>
                <w:b/>
                <w:sz w:val="19"/>
                <w:szCs w:val="19"/>
                <w:lang w:eastAsia="hu-HU"/>
              </w:rPr>
              <w:t>Central Slovakia</w:t>
            </w:r>
          </w:p>
          <w:p w:rsidR="00EE3B8C" w:rsidRPr="00E126C8" w:rsidRDefault="00024948" w:rsidP="00E126C8">
            <w:pPr>
              <w:spacing w:before="20" w:after="20" w:line="240" w:lineRule="auto"/>
              <w:jc w:val="left"/>
              <w:rPr>
                <w:rFonts w:cs="Arial"/>
                <w:b/>
                <w:sz w:val="19"/>
                <w:szCs w:val="19"/>
                <w:lang w:eastAsia="hu-HU"/>
              </w:rPr>
            </w:pPr>
            <w:r w:rsidRPr="00E126C8">
              <w:rPr>
                <w:rFonts w:cs="Arial"/>
                <w:b/>
                <w:sz w:val="19"/>
                <w:szCs w:val="19"/>
                <w:lang w:eastAsia="hu-HU"/>
              </w:rPr>
              <w:t>(SK03)</w:t>
            </w:r>
          </w:p>
        </w:tc>
        <w:tc>
          <w:tcPr>
            <w:tcW w:w="431" w:type="pct"/>
            <w:tcBorders>
              <w:bottom w:val="single" w:sz="4" w:space="0" w:color="auto"/>
            </w:tcBorders>
            <w:shd w:val="clear" w:color="auto" w:fill="FFFFFF" w:themeFill="background1"/>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S</w:t>
            </w:r>
            <w:r w:rsidR="00024948" w:rsidRPr="00E126C8">
              <w:rPr>
                <w:rFonts w:cs="Arial"/>
                <w:b/>
                <w:sz w:val="19"/>
                <w:szCs w:val="19"/>
                <w:lang w:eastAsia="hu-HU"/>
              </w:rPr>
              <w:t>K</w:t>
            </w:r>
          </w:p>
        </w:tc>
        <w:tc>
          <w:tcPr>
            <w:tcW w:w="687" w:type="pct"/>
            <w:tcBorders>
              <w:bottom w:val="single" w:sz="4" w:space="0" w:color="auto"/>
            </w:tcBorders>
            <w:shd w:val="clear" w:color="auto" w:fill="FFFFFF" w:themeFill="background1"/>
            <w:noWrap/>
          </w:tcPr>
          <w:p w:rsidR="00AF33F5" w:rsidRPr="00E126C8" w:rsidRDefault="001E4818" w:rsidP="00E126C8">
            <w:pPr>
              <w:spacing w:before="20" w:after="20" w:line="240" w:lineRule="auto"/>
              <w:jc w:val="left"/>
              <w:rPr>
                <w:rFonts w:cs="Arial"/>
                <w:b/>
                <w:sz w:val="19"/>
                <w:szCs w:val="19"/>
                <w:lang w:eastAsia="hu-HU"/>
              </w:rPr>
            </w:pPr>
            <w:r w:rsidRPr="00E126C8">
              <w:rPr>
                <w:rFonts w:cs="Arial"/>
                <w:b/>
                <w:sz w:val="19"/>
                <w:szCs w:val="19"/>
                <w:lang w:eastAsia="hu-HU"/>
              </w:rPr>
              <w:t>Banská Bystrica</w:t>
            </w:r>
          </w:p>
          <w:p w:rsidR="00EE3B8C" w:rsidRPr="00E126C8" w:rsidRDefault="00024948" w:rsidP="00E126C8">
            <w:pPr>
              <w:spacing w:before="20" w:after="20" w:line="240" w:lineRule="auto"/>
              <w:jc w:val="left"/>
              <w:rPr>
                <w:rFonts w:cs="Arial"/>
                <w:b/>
                <w:sz w:val="19"/>
                <w:szCs w:val="19"/>
                <w:lang w:eastAsia="hu-HU"/>
              </w:rPr>
            </w:pPr>
            <w:r w:rsidRPr="00E126C8">
              <w:rPr>
                <w:rFonts w:cs="Arial"/>
                <w:b/>
                <w:sz w:val="19"/>
                <w:szCs w:val="19"/>
                <w:lang w:eastAsia="hu-HU"/>
              </w:rPr>
              <w:t>(SK032)</w:t>
            </w:r>
          </w:p>
        </w:tc>
        <w:tc>
          <w:tcPr>
            <w:tcW w:w="687" w:type="pct"/>
            <w:tcBorders>
              <w:bottom w:val="single" w:sz="4" w:space="0" w:color="auto"/>
            </w:tcBorders>
            <w:shd w:val="clear" w:color="auto" w:fill="FFFFFF" w:themeFill="background1"/>
            <w:noWrap/>
          </w:tcPr>
          <w:p w:rsidR="00EE3B8C" w:rsidRPr="00E126C8" w:rsidRDefault="001E4818" w:rsidP="00E126C8">
            <w:pPr>
              <w:spacing w:before="20" w:after="20" w:line="240" w:lineRule="auto"/>
              <w:jc w:val="left"/>
              <w:rPr>
                <w:rFonts w:cs="Arial"/>
                <w:b/>
                <w:sz w:val="19"/>
                <w:szCs w:val="19"/>
                <w:lang w:eastAsia="hu-HU"/>
              </w:rPr>
            </w:pPr>
            <w:r w:rsidRPr="00E126C8">
              <w:rPr>
                <w:rFonts w:cs="Arial"/>
                <w:b/>
                <w:sz w:val="19"/>
                <w:szCs w:val="19"/>
                <w:lang w:eastAsia="hu-HU"/>
              </w:rPr>
              <w:t>Central Slovakia</w:t>
            </w:r>
            <w:r w:rsidR="00AF33F5" w:rsidRPr="00E126C8">
              <w:rPr>
                <w:rFonts w:cs="Arial"/>
                <w:b/>
                <w:sz w:val="19"/>
                <w:szCs w:val="19"/>
                <w:lang w:eastAsia="hu-HU"/>
              </w:rPr>
              <w:t xml:space="preserve"> </w:t>
            </w:r>
            <w:r w:rsidR="00024948" w:rsidRPr="00E126C8">
              <w:rPr>
                <w:rFonts w:cs="Arial"/>
                <w:b/>
                <w:sz w:val="19"/>
                <w:szCs w:val="19"/>
                <w:lang w:eastAsia="hu-HU"/>
              </w:rPr>
              <w:t>(SK03)</w:t>
            </w:r>
          </w:p>
        </w:tc>
        <w:tc>
          <w:tcPr>
            <w:tcW w:w="321" w:type="pct"/>
            <w:tcBorders>
              <w:bottom w:val="single" w:sz="4" w:space="0" w:color="auto"/>
            </w:tcBorders>
            <w:shd w:val="clear" w:color="auto" w:fill="FFFFFF" w:themeFill="background1"/>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S</w:t>
            </w:r>
            <w:r w:rsidR="00024948" w:rsidRPr="00E126C8">
              <w:rPr>
                <w:rFonts w:cs="Arial"/>
                <w:b/>
                <w:sz w:val="19"/>
                <w:szCs w:val="19"/>
                <w:lang w:eastAsia="hu-HU"/>
              </w:rPr>
              <w:t>K</w:t>
            </w:r>
          </w:p>
        </w:tc>
      </w:tr>
      <w:tr w:rsidR="00024948" w:rsidRPr="00301583" w:rsidTr="008240CB">
        <w:trPr>
          <w:trHeight w:val="285"/>
        </w:trPr>
        <w:tc>
          <w:tcPr>
            <w:tcW w:w="1501" w:type="pct"/>
            <w:gridSpan w:val="2"/>
            <w:tcBorders>
              <w:bottom w:val="single" w:sz="18" w:space="0" w:color="auto"/>
            </w:tcBorders>
            <w:shd w:val="clear" w:color="auto" w:fill="FFFFFF" w:themeFill="background1"/>
            <w:noWrap/>
          </w:tcPr>
          <w:p w:rsidR="00024948" w:rsidRPr="00E126C8" w:rsidRDefault="00024948" w:rsidP="00E126C8">
            <w:pPr>
              <w:spacing w:before="20" w:after="20" w:line="240" w:lineRule="auto"/>
              <w:jc w:val="left"/>
              <w:rPr>
                <w:rFonts w:cs="Arial"/>
                <w:b/>
                <w:sz w:val="19"/>
                <w:szCs w:val="19"/>
                <w:lang w:eastAsia="hu-HU"/>
              </w:rPr>
            </w:pPr>
            <w:r w:rsidRPr="00E126C8">
              <w:rPr>
                <w:rFonts w:cs="Arial"/>
                <w:b/>
                <w:bCs/>
                <w:sz w:val="19"/>
                <w:szCs w:val="19"/>
                <w:lang w:eastAsia="hu-HU"/>
              </w:rPr>
              <w:t>NACE Rev. 2 Category</w:t>
            </w:r>
          </w:p>
        </w:tc>
        <w:tc>
          <w:tcPr>
            <w:tcW w:w="1805" w:type="pct"/>
            <w:gridSpan w:val="3"/>
            <w:tcBorders>
              <w:bottom w:val="single" w:sz="18" w:space="0" w:color="auto"/>
            </w:tcBorders>
            <w:shd w:val="clear" w:color="auto" w:fill="FFFFFF" w:themeFill="background1"/>
            <w:noWrap/>
          </w:tcPr>
          <w:p w:rsidR="00024948" w:rsidRPr="00E126C8" w:rsidRDefault="00024948" w:rsidP="00E126C8">
            <w:pPr>
              <w:spacing w:before="20" w:after="20" w:line="240" w:lineRule="auto"/>
              <w:jc w:val="left"/>
              <w:rPr>
                <w:rFonts w:cs="Arial"/>
                <w:b/>
                <w:sz w:val="19"/>
                <w:szCs w:val="19"/>
                <w:lang w:eastAsia="hu-HU"/>
              </w:rPr>
            </w:pPr>
            <w:r w:rsidRPr="00E126C8">
              <w:rPr>
                <w:rFonts w:cs="Arial"/>
                <w:b/>
                <w:sz w:val="19"/>
                <w:szCs w:val="19"/>
                <w:lang w:eastAsia="hu-HU"/>
              </w:rPr>
              <w:t>GVA per head of working age population (</w:t>
            </w:r>
            <w:r w:rsidR="006E571A" w:rsidRPr="00E126C8">
              <w:rPr>
                <w:rFonts w:cs="Arial"/>
                <w:b/>
                <w:sz w:val="19"/>
                <w:szCs w:val="19"/>
                <w:lang w:eastAsia="hu-HU"/>
              </w:rPr>
              <w:t xml:space="preserve">thousand </w:t>
            </w:r>
            <w:r w:rsidRPr="00E126C8">
              <w:rPr>
                <w:rFonts w:cs="Arial"/>
                <w:b/>
                <w:sz w:val="19"/>
                <w:szCs w:val="19"/>
                <w:lang w:eastAsia="hu-HU"/>
              </w:rPr>
              <w:t>€)</w:t>
            </w:r>
          </w:p>
        </w:tc>
        <w:tc>
          <w:tcPr>
            <w:tcW w:w="1695" w:type="pct"/>
            <w:gridSpan w:val="3"/>
            <w:tcBorders>
              <w:bottom w:val="single" w:sz="18" w:space="0" w:color="auto"/>
            </w:tcBorders>
            <w:shd w:val="clear" w:color="auto" w:fill="FFFFFF" w:themeFill="background1"/>
            <w:noWrap/>
          </w:tcPr>
          <w:p w:rsidR="00024948" w:rsidRPr="00E126C8" w:rsidRDefault="00024948" w:rsidP="00E126C8">
            <w:pPr>
              <w:spacing w:before="20" w:after="20" w:line="240" w:lineRule="auto"/>
              <w:jc w:val="left"/>
              <w:rPr>
                <w:rFonts w:cs="Arial"/>
                <w:b/>
                <w:sz w:val="19"/>
                <w:szCs w:val="19"/>
                <w:lang w:eastAsia="hu-HU"/>
              </w:rPr>
            </w:pPr>
            <w:r w:rsidRPr="00E126C8">
              <w:rPr>
                <w:rFonts w:cs="Arial"/>
                <w:b/>
                <w:sz w:val="19"/>
                <w:szCs w:val="19"/>
                <w:lang w:eastAsia="hu-HU"/>
              </w:rPr>
              <w:t>Share of GVA by sector (%)</w:t>
            </w:r>
          </w:p>
        </w:tc>
      </w:tr>
      <w:tr w:rsidR="008240CB" w:rsidRPr="00301583" w:rsidTr="008240CB">
        <w:trPr>
          <w:trHeight w:val="285"/>
        </w:trPr>
        <w:tc>
          <w:tcPr>
            <w:tcW w:w="301" w:type="pct"/>
            <w:tcBorders>
              <w:top w:val="single" w:sz="18" w:space="0" w:color="auto"/>
            </w:tcBorders>
            <w:shd w:val="clear" w:color="auto" w:fill="D9D9D9" w:themeFill="background1" w:themeFillShade="D9"/>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A</w:t>
            </w:r>
          </w:p>
        </w:tc>
        <w:tc>
          <w:tcPr>
            <w:tcW w:w="1200" w:type="pct"/>
            <w:tcBorders>
              <w:top w:val="single" w:sz="18" w:space="0" w:color="auto"/>
            </w:tcBorders>
            <w:shd w:val="clear" w:color="auto" w:fill="D9D9D9" w:themeFill="background1" w:themeFillShade="D9"/>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Agriculture, fores</w:t>
            </w:r>
            <w:r w:rsidRPr="00E126C8">
              <w:rPr>
                <w:rFonts w:cs="Arial"/>
                <w:b/>
                <w:bCs/>
                <w:sz w:val="19"/>
                <w:szCs w:val="19"/>
                <w:lang w:eastAsia="hu-HU"/>
              </w:rPr>
              <w:t>t</w:t>
            </w:r>
            <w:r w:rsidRPr="00E126C8">
              <w:rPr>
                <w:rFonts w:cs="Arial"/>
                <w:b/>
                <w:bCs/>
                <w:sz w:val="19"/>
                <w:szCs w:val="19"/>
                <w:lang w:eastAsia="hu-HU"/>
              </w:rPr>
              <w:t>ry and fishing</w:t>
            </w:r>
          </w:p>
        </w:tc>
        <w:tc>
          <w:tcPr>
            <w:tcW w:w="687" w:type="pct"/>
            <w:tcBorders>
              <w:top w:val="single" w:sz="18" w:space="0" w:color="auto"/>
            </w:tcBorders>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31</w:t>
            </w:r>
            <w:r w:rsidR="00301583" w:rsidRPr="00E126C8">
              <w:rPr>
                <w:rFonts w:cs="Arial"/>
                <w:sz w:val="19"/>
                <w:szCs w:val="19"/>
                <w:lang w:eastAsia="hu-HU"/>
              </w:rPr>
              <w:t>.</w:t>
            </w:r>
            <w:r w:rsidRPr="00E126C8">
              <w:rPr>
                <w:rFonts w:cs="Arial"/>
                <w:sz w:val="19"/>
                <w:szCs w:val="19"/>
                <w:lang w:eastAsia="hu-HU"/>
              </w:rPr>
              <w:t>7</w:t>
            </w:r>
          </w:p>
        </w:tc>
        <w:tc>
          <w:tcPr>
            <w:tcW w:w="687" w:type="pct"/>
            <w:tcBorders>
              <w:top w:val="single" w:sz="18" w:space="0" w:color="auto"/>
            </w:tcBorders>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27</w:t>
            </w:r>
            <w:r w:rsidR="00301583" w:rsidRPr="00E126C8">
              <w:rPr>
                <w:rFonts w:cs="Arial"/>
                <w:sz w:val="19"/>
                <w:szCs w:val="19"/>
                <w:lang w:eastAsia="hu-HU"/>
              </w:rPr>
              <w:t>.</w:t>
            </w:r>
            <w:r w:rsidRPr="00E126C8">
              <w:rPr>
                <w:rFonts w:cs="Arial"/>
                <w:sz w:val="19"/>
                <w:szCs w:val="19"/>
                <w:lang w:eastAsia="hu-HU"/>
              </w:rPr>
              <w:t>5</w:t>
            </w:r>
          </w:p>
        </w:tc>
        <w:tc>
          <w:tcPr>
            <w:tcW w:w="431" w:type="pct"/>
            <w:tcBorders>
              <w:top w:val="single" w:sz="18" w:space="0" w:color="auto"/>
            </w:tcBorders>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25</w:t>
            </w:r>
            <w:r w:rsidR="00301583" w:rsidRPr="00E126C8">
              <w:rPr>
                <w:rFonts w:cs="Arial"/>
                <w:sz w:val="19"/>
                <w:szCs w:val="19"/>
                <w:lang w:eastAsia="hu-HU"/>
              </w:rPr>
              <w:t>.</w:t>
            </w:r>
            <w:r w:rsidRPr="00E126C8">
              <w:rPr>
                <w:rFonts w:cs="Arial"/>
                <w:sz w:val="19"/>
                <w:szCs w:val="19"/>
                <w:lang w:eastAsia="hu-HU"/>
              </w:rPr>
              <w:t>4</w:t>
            </w:r>
          </w:p>
        </w:tc>
        <w:tc>
          <w:tcPr>
            <w:tcW w:w="687" w:type="pct"/>
            <w:tcBorders>
              <w:top w:val="single" w:sz="18" w:space="0" w:color="auto"/>
            </w:tcBorders>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7</w:t>
            </w:r>
            <w:r w:rsidR="00301583" w:rsidRPr="00E126C8">
              <w:rPr>
                <w:rFonts w:cs="Arial"/>
                <w:sz w:val="19"/>
                <w:szCs w:val="19"/>
                <w:lang w:eastAsia="hu-HU"/>
              </w:rPr>
              <w:t>.</w:t>
            </w:r>
            <w:r w:rsidRPr="00E126C8">
              <w:rPr>
                <w:rFonts w:cs="Arial"/>
                <w:sz w:val="19"/>
                <w:szCs w:val="19"/>
                <w:lang w:eastAsia="hu-HU"/>
              </w:rPr>
              <w:t>6</w:t>
            </w:r>
          </w:p>
        </w:tc>
        <w:tc>
          <w:tcPr>
            <w:tcW w:w="687" w:type="pct"/>
            <w:tcBorders>
              <w:top w:val="single" w:sz="18" w:space="0" w:color="auto"/>
            </w:tcBorders>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4</w:t>
            </w:r>
            <w:r w:rsidR="00301583" w:rsidRPr="00E126C8">
              <w:rPr>
                <w:rFonts w:cs="Arial"/>
                <w:sz w:val="19"/>
                <w:szCs w:val="19"/>
                <w:lang w:eastAsia="hu-HU"/>
              </w:rPr>
              <w:t>.</w:t>
            </w:r>
            <w:r w:rsidRPr="00E126C8">
              <w:rPr>
                <w:rFonts w:cs="Arial"/>
                <w:sz w:val="19"/>
                <w:szCs w:val="19"/>
                <w:lang w:eastAsia="hu-HU"/>
              </w:rPr>
              <w:t>6</w:t>
            </w:r>
          </w:p>
        </w:tc>
        <w:tc>
          <w:tcPr>
            <w:tcW w:w="321" w:type="pct"/>
            <w:tcBorders>
              <w:top w:val="single" w:sz="18" w:space="0" w:color="auto"/>
            </w:tcBorders>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w:t>
            </w:r>
            <w:r w:rsidR="00301583" w:rsidRPr="00E126C8">
              <w:rPr>
                <w:rFonts w:cs="Arial"/>
                <w:sz w:val="19"/>
                <w:szCs w:val="19"/>
                <w:lang w:eastAsia="hu-HU"/>
              </w:rPr>
              <w:t>.</w:t>
            </w:r>
            <w:r w:rsidRPr="00E126C8">
              <w:rPr>
                <w:rFonts w:cs="Arial"/>
                <w:sz w:val="19"/>
                <w:szCs w:val="19"/>
                <w:lang w:eastAsia="hu-HU"/>
              </w:rPr>
              <w:t>4</w:t>
            </w:r>
          </w:p>
        </w:tc>
      </w:tr>
      <w:tr w:rsidR="0038087F" w:rsidRPr="00301583" w:rsidTr="008240CB">
        <w:trPr>
          <w:trHeight w:val="285"/>
        </w:trPr>
        <w:tc>
          <w:tcPr>
            <w:tcW w:w="301" w:type="pct"/>
            <w:shd w:val="clear" w:color="auto" w:fill="auto"/>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B-E</w:t>
            </w:r>
          </w:p>
        </w:tc>
        <w:tc>
          <w:tcPr>
            <w:tcW w:w="1200" w:type="pct"/>
            <w:shd w:val="clear" w:color="auto" w:fill="auto"/>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Industry (excl. construction)</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19</w:t>
            </w:r>
            <w:r w:rsidR="00301583" w:rsidRPr="00E126C8">
              <w:rPr>
                <w:rFonts w:cs="Arial"/>
                <w:sz w:val="19"/>
                <w:szCs w:val="19"/>
                <w:lang w:eastAsia="hu-HU"/>
              </w:rPr>
              <w:t>.</w:t>
            </w:r>
            <w:r w:rsidRPr="00E126C8">
              <w:rPr>
                <w:rFonts w:cs="Arial"/>
                <w:sz w:val="19"/>
                <w:szCs w:val="19"/>
                <w:lang w:eastAsia="hu-HU"/>
              </w:rPr>
              <w:t>7</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20</w:t>
            </w:r>
            <w:r w:rsidR="00301583" w:rsidRPr="00E126C8">
              <w:rPr>
                <w:rFonts w:cs="Arial"/>
                <w:sz w:val="19"/>
                <w:szCs w:val="19"/>
                <w:lang w:eastAsia="hu-HU"/>
              </w:rPr>
              <w:t>.</w:t>
            </w:r>
            <w:r w:rsidRPr="00E126C8">
              <w:rPr>
                <w:rFonts w:cs="Arial"/>
                <w:sz w:val="19"/>
                <w:szCs w:val="19"/>
                <w:lang w:eastAsia="hu-HU"/>
              </w:rPr>
              <w:t>8</w:t>
            </w:r>
          </w:p>
        </w:tc>
        <w:tc>
          <w:tcPr>
            <w:tcW w:w="43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26</w:t>
            </w:r>
            <w:r w:rsidR="00301583" w:rsidRPr="00E126C8">
              <w:rPr>
                <w:rFonts w:cs="Arial"/>
                <w:sz w:val="19"/>
                <w:szCs w:val="19"/>
                <w:lang w:eastAsia="hu-HU"/>
              </w:rPr>
              <w:t>.</w:t>
            </w:r>
            <w:r w:rsidRPr="00E126C8">
              <w:rPr>
                <w:rFonts w:cs="Arial"/>
                <w:sz w:val="19"/>
                <w:szCs w:val="19"/>
                <w:lang w:eastAsia="hu-HU"/>
              </w:rPr>
              <w:t>4</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20</w:t>
            </w:r>
            <w:r w:rsidR="00301583" w:rsidRPr="00E126C8">
              <w:rPr>
                <w:rFonts w:cs="Arial"/>
                <w:sz w:val="19"/>
                <w:szCs w:val="19"/>
                <w:lang w:eastAsia="hu-HU"/>
              </w:rPr>
              <w:t>.</w:t>
            </w:r>
            <w:r w:rsidRPr="00E126C8">
              <w:rPr>
                <w:rFonts w:cs="Arial"/>
                <w:sz w:val="19"/>
                <w:szCs w:val="19"/>
                <w:lang w:eastAsia="hu-HU"/>
              </w:rPr>
              <w:t>7</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23</w:t>
            </w:r>
            <w:r w:rsidR="00301583" w:rsidRPr="00E126C8">
              <w:rPr>
                <w:rFonts w:cs="Arial"/>
                <w:sz w:val="19"/>
                <w:szCs w:val="19"/>
                <w:lang w:eastAsia="hu-HU"/>
              </w:rPr>
              <w:t>.</w:t>
            </w:r>
            <w:r w:rsidRPr="00E126C8">
              <w:rPr>
                <w:rFonts w:cs="Arial"/>
                <w:sz w:val="19"/>
                <w:szCs w:val="19"/>
                <w:lang w:eastAsia="hu-HU"/>
              </w:rPr>
              <w:t>5</w:t>
            </w:r>
          </w:p>
        </w:tc>
        <w:tc>
          <w:tcPr>
            <w:tcW w:w="32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24</w:t>
            </w:r>
            <w:r w:rsidR="00301583" w:rsidRPr="00E126C8">
              <w:rPr>
                <w:rFonts w:cs="Arial"/>
                <w:sz w:val="19"/>
                <w:szCs w:val="19"/>
                <w:lang w:eastAsia="hu-HU"/>
              </w:rPr>
              <w:t>.</w:t>
            </w:r>
            <w:r w:rsidRPr="00E126C8">
              <w:rPr>
                <w:rFonts w:cs="Arial"/>
                <w:sz w:val="19"/>
                <w:szCs w:val="19"/>
                <w:lang w:eastAsia="hu-HU"/>
              </w:rPr>
              <w:t>5</w:t>
            </w:r>
          </w:p>
        </w:tc>
      </w:tr>
      <w:tr w:rsidR="0038087F" w:rsidRPr="00301583" w:rsidTr="008240CB">
        <w:trPr>
          <w:trHeight w:val="285"/>
        </w:trPr>
        <w:tc>
          <w:tcPr>
            <w:tcW w:w="301" w:type="pct"/>
            <w:shd w:val="clear" w:color="auto" w:fill="D9D9D9" w:themeFill="background1" w:themeFillShade="D9"/>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C</w:t>
            </w:r>
          </w:p>
        </w:tc>
        <w:tc>
          <w:tcPr>
            <w:tcW w:w="1200" w:type="pct"/>
            <w:shd w:val="clear" w:color="auto" w:fill="D9D9D9" w:themeFill="background1" w:themeFillShade="D9"/>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Manufacturing</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18</w:t>
            </w:r>
            <w:r w:rsidR="00301583" w:rsidRPr="00E126C8">
              <w:rPr>
                <w:rFonts w:cs="Arial"/>
                <w:sz w:val="19"/>
                <w:szCs w:val="19"/>
                <w:lang w:eastAsia="hu-HU"/>
              </w:rPr>
              <w:t>.</w:t>
            </w:r>
            <w:r w:rsidRPr="00E126C8">
              <w:rPr>
                <w:rFonts w:cs="Arial"/>
                <w:sz w:val="19"/>
                <w:szCs w:val="19"/>
                <w:lang w:eastAsia="hu-HU"/>
              </w:rPr>
              <w:t>8</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18</w:t>
            </w:r>
            <w:r w:rsidR="00301583" w:rsidRPr="00E126C8">
              <w:rPr>
                <w:rFonts w:cs="Arial"/>
                <w:sz w:val="19"/>
                <w:szCs w:val="19"/>
                <w:lang w:eastAsia="hu-HU"/>
              </w:rPr>
              <w:t>.</w:t>
            </w:r>
            <w:r w:rsidRPr="00E126C8">
              <w:rPr>
                <w:rFonts w:cs="Arial"/>
                <w:sz w:val="19"/>
                <w:szCs w:val="19"/>
                <w:lang w:eastAsia="hu-HU"/>
              </w:rPr>
              <w:t>9</w:t>
            </w:r>
          </w:p>
        </w:tc>
        <w:tc>
          <w:tcPr>
            <w:tcW w:w="43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21</w:t>
            </w:r>
            <w:r w:rsidR="00301583" w:rsidRPr="00E126C8">
              <w:rPr>
                <w:rFonts w:cs="Arial"/>
                <w:sz w:val="19"/>
                <w:szCs w:val="19"/>
                <w:lang w:eastAsia="hu-HU"/>
              </w:rPr>
              <w:t>.</w:t>
            </w:r>
            <w:r w:rsidRPr="00E126C8">
              <w:rPr>
                <w:rFonts w:cs="Arial"/>
                <w:sz w:val="19"/>
                <w:szCs w:val="19"/>
                <w:lang w:eastAsia="hu-HU"/>
              </w:rPr>
              <w:t>3</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17</w:t>
            </w:r>
            <w:r w:rsidR="00301583" w:rsidRPr="00E126C8">
              <w:rPr>
                <w:rFonts w:cs="Arial"/>
                <w:sz w:val="19"/>
                <w:szCs w:val="19"/>
                <w:lang w:eastAsia="hu-HU"/>
              </w:rPr>
              <w:t>.</w:t>
            </w:r>
            <w:r w:rsidRPr="00E126C8">
              <w:rPr>
                <w:rFonts w:cs="Arial"/>
                <w:sz w:val="19"/>
                <w:szCs w:val="19"/>
                <w:lang w:eastAsia="hu-HU"/>
              </w:rPr>
              <w:t>7</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19</w:t>
            </w:r>
            <w:r w:rsidR="00301583" w:rsidRPr="00E126C8">
              <w:rPr>
                <w:rFonts w:cs="Arial"/>
                <w:sz w:val="19"/>
                <w:szCs w:val="19"/>
                <w:lang w:eastAsia="hu-HU"/>
              </w:rPr>
              <w:t>.</w:t>
            </w:r>
            <w:r w:rsidRPr="00E126C8">
              <w:rPr>
                <w:rFonts w:cs="Arial"/>
                <w:sz w:val="19"/>
                <w:szCs w:val="19"/>
                <w:lang w:eastAsia="hu-HU"/>
              </w:rPr>
              <w:t>5</w:t>
            </w:r>
          </w:p>
        </w:tc>
        <w:tc>
          <w:tcPr>
            <w:tcW w:w="32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17</w:t>
            </w:r>
            <w:r w:rsidR="00301583" w:rsidRPr="00E126C8">
              <w:rPr>
                <w:rFonts w:cs="Arial"/>
                <w:sz w:val="19"/>
                <w:szCs w:val="19"/>
                <w:lang w:eastAsia="hu-HU"/>
              </w:rPr>
              <w:t>.</w:t>
            </w:r>
            <w:r w:rsidRPr="00E126C8">
              <w:rPr>
                <w:rFonts w:cs="Arial"/>
                <w:sz w:val="19"/>
                <w:szCs w:val="19"/>
                <w:lang w:eastAsia="hu-HU"/>
              </w:rPr>
              <w:t>8</w:t>
            </w:r>
          </w:p>
        </w:tc>
      </w:tr>
      <w:tr w:rsidR="0038087F" w:rsidRPr="00301583" w:rsidTr="008240CB">
        <w:trPr>
          <w:trHeight w:val="285"/>
        </w:trPr>
        <w:tc>
          <w:tcPr>
            <w:tcW w:w="301" w:type="pct"/>
            <w:shd w:val="clear" w:color="auto" w:fill="auto"/>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F</w:t>
            </w:r>
          </w:p>
        </w:tc>
        <w:tc>
          <w:tcPr>
            <w:tcW w:w="1200" w:type="pct"/>
            <w:shd w:val="clear" w:color="auto" w:fill="auto"/>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Construction</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26</w:t>
            </w:r>
            <w:r w:rsidR="00301583" w:rsidRPr="00E126C8">
              <w:rPr>
                <w:rFonts w:cs="Arial"/>
                <w:sz w:val="19"/>
                <w:szCs w:val="19"/>
                <w:lang w:eastAsia="hu-HU"/>
              </w:rPr>
              <w:t>.</w:t>
            </w:r>
            <w:r w:rsidRPr="00E126C8">
              <w:rPr>
                <w:rFonts w:cs="Arial"/>
                <w:sz w:val="19"/>
                <w:szCs w:val="19"/>
                <w:lang w:eastAsia="hu-HU"/>
              </w:rPr>
              <w:t>7</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30</w:t>
            </w:r>
            <w:r w:rsidR="00301583" w:rsidRPr="00E126C8">
              <w:rPr>
                <w:rFonts w:cs="Arial"/>
                <w:sz w:val="19"/>
                <w:szCs w:val="19"/>
                <w:lang w:eastAsia="hu-HU"/>
              </w:rPr>
              <w:t>.</w:t>
            </w:r>
            <w:r w:rsidRPr="00E126C8">
              <w:rPr>
                <w:rFonts w:cs="Arial"/>
                <w:sz w:val="19"/>
                <w:szCs w:val="19"/>
                <w:lang w:eastAsia="hu-HU"/>
              </w:rPr>
              <w:t>2</w:t>
            </w:r>
          </w:p>
        </w:tc>
        <w:tc>
          <w:tcPr>
            <w:tcW w:w="43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30</w:t>
            </w:r>
            <w:r w:rsidR="00301583" w:rsidRPr="00E126C8">
              <w:rPr>
                <w:rFonts w:cs="Arial"/>
                <w:sz w:val="19"/>
                <w:szCs w:val="19"/>
                <w:lang w:eastAsia="hu-HU"/>
              </w:rPr>
              <w:t>.</w:t>
            </w:r>
            <w:r w:rsidRPr="00E126C8">
              <w:rPr>
                <w:rFonts w:cs="Arial"/>
                <w:sz w:val="19"/>
                <w:szCs w:val="19"/>
                <w:lang w:eastAsia="hu-HU"/>
              </w:rPr>
              <w:t>1</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9</w:t>
            </w:r>
            <w:r w:rsidR="00301583" w:rsidRPr="00E126C8">
              <w:rPr>
                <w:rFonts w:cs="Arial"/>
                <w:sz w:val="19"/>
                <w:szCs w:val="19"/>
                <w:lang w:eastAsia="hu-HU"/>
              </w:rPr>
              <w:t>.</w:t>
            </w:r>
            <w:r w:rsidRPr="00E126C8">
              <w:rPr>
                <w:rFonts w:cs="Arial"/>
                <w:sz w:val="19"/>
                <w:szCs w:val="19"/>
                <w:lang w:eastAsia="hu-HU"/>
              </w:rPr>
              <w:t>5</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12</w:t>
            </w:r>
            <w:r w:rsidR="00301583" w:rsidRPr="00E126C8">
              <w:rPr>
                <w:rFonts w:cs="Arial"/>
                <w:sz w:val="19"/>
                <w:szCs w:val="19"/>
                <w:lang w:eastAsia="hu-HU"/>
              </w:rPr>
              <w:t>.</w:t>
            </w:r>
            <w:r w:rsidRPr="00E126C8">
              <w:rPr>
                <w:rFonts w:cs="Arial"/>
                <w:sz w:val="19"/>
                <w:szCs w:val="19"/>
                <w:lang w:eastAsia="hu-HU"/>
              </w:rPr>
              <w:t>9</w:t>
            </w:r>
          </w:p>
        </w:tc>
        <w:tc>
          <w:tcPr>
            <w:tcW w:w="32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9</w:t>
            </w:r>
            <w:r w:rsidR="00301583" w:rsidRPr="00E126C8">
              <w:rPr>
                <w:rFonts w:cs="Arial"/>
                <w:sz w:val="19"/>
                <w:szCs w:val="19"/>
                <w:lang w:eastAsia="hu-HU"/>
              </w:rPr>
              <w:t>.</w:t>
            </w:r>
            <w:r w:rsidRPr="00E126C8">
              <w:rPr>
                <w:rFonts w:cs="Arial"/>
                <w:sz w:val="19"/>
                <w:szCs w:val="19"/>
                <w:lang w:eastAsia="hu-HU"/>
              </w:rPr>
              <w:t>9</w:t>
            </w:r>
          </w:p>
        </w:tc>
      </w:tr>
      <w:tr w:rsidR="0038087F" w:rsidRPr="00301583" w:rsidTr="008240CB">
        <w:trPr>
          <w:trHeight w:val="285"/>
        </w:trPr>
        <w:tc>
          <w:tcPr>
            <w:tcW w:w="301" w:type="pct"/>
            <w:shd w:val="clear" w:color="auto" w:fill="D9D9D9" w:themeFill="background1" w:themeFillShade="D9"/>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G-I</w:t>
            </w:r>
          </w:p>
        </w:tc>
        <w:tc>
          <w:tcPr>
            <w:tcW w:w="1200" w:type="pct"/>
            <w:shd w:val="clear" w:color="auto" w:fill="D9D9D9" w:themeFill="background1" w:themeFillShade="D9"/>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Wholesale, retail, transport, a</w:t>
            </w:r>
            <w:r w:rsidRPr="00E126C8">
              <w:rPr>
                <w:rFonts w:cs="Arial"/>
                <w:b/>
                <w:bCs/>
                <w:sz w:val="19"/>
                <w:szCs w:val="19"/>
                <w:lang w:eastAsia="hu-HU"/>
              </w:rPr>
              <w:t>c</w:t>
            </w:r>
            <w:r w:rsidRPr="00E126C8">
              <w:rPr>
                <w:rFonts w:cs="Arial"/>
                <w:b/>
                <w:bCs/>
                <w:sz w:val="19"/>
                <w:szCs w:val="19"/>
                <w:lang w:eastAsia="hu-HU"/>
              </w:rPr>
              <w:t>comm., food se</w:t>
            </w:r>
            <w:r w:rsidRPr="00E126C8">
              <w:rPr>
                <w:rFonts w:cs="Arial"/>
                <w:b/>
                <w:bCs/>
                <w:sz w:val="19"/>
                <w:szCs w:val="19"/>
                <w:lang w:eastAsia="hu-HU"/>
              </w:rPr>
              <w:t>r</w:t>
            </w:r>
            <w:r w:rsidRPr="00E126C8">
              <w:rPr>
                <w:rFonts w:cs="Arial"/>
                <w:b/>
                <w:bCs/>
                <w:sz w:val="19"/>
                <w:szCs w:val="19"/>
                <w:lang w:eastAsia="hu-HU"/>
              </w:rPr>
              <w:t>vices</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17</w:t>
            </w:r>
            <w:r w:rsidR="00301583" w:rsidRPr="00E126C8">
              <w:rPr>
                <w:rFonts w:cs="Arial"/>
                <w:sz w:val="19"/>
                <w:szCs w:val="19"/>
                <w:lang w:eastAsia="hu-HU"/>
              </w:rPr>
              <w:t>.</w:t>
            </w:r>
            <w:r w:rsidRPr="00E126C8">
              <w:rPr>
                <w:rFonts w:cs="Arial"/>
                <w:sz w:val="19"/>
                <w:szCs w:val="19"/>
                <w:lang w:eastAsia="hu-HU"/>
              </w:rPr>
              <w:t>6</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17</w:t>
            </w:r>
            <w:r w:rsidR="00301583" w:rsidRPr="00E126C8">
              <w:rPr>
                <w:rFonts w:cs="Arial"/>
                <w:sz w:val="19"/>
                <w:szCs w:val="19"/>
                <w:lang w:eastAsia="hu-HU"/>
              </w:rPr>
              <w:t>.</w:t>
            </w:r>
            <w:r w:rsidRPr="00E126C8">
              <w:rPr>
                <w:rFonts w:cs="Arial"/>
                <w:sz w:val="19"/>
                <w:szCs w:val="19"/>
                <w:lang w:eastAsia="hu-HU"/>
              </w:rPr>
              <w:t>6</w:t>
            </w:r>
          </w:p>
        </w:tc>
        <w:tc>
          <w:tcPr>
            <w:tcW w:w="43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21</w:t>
            </w:r>
            <w:r w:rsidR="00301583" w:rsidRPr="00E126C8">
              <w:rPr>
                <w:rFonts w:cs="Arial"/>
                <w:sz w:val="19"/>
                <w:szCs w:val="19"/>
                <w:lang w:eastAsia="hu-HU"/>
              </w:rPr>
              <w:t>.</w:t>
            </w:r>
            <w:r w:rsidRPr="00E126C8">
              <w:rPr>
                <w:rFonts w:cs="Arial"/>
                <w:sz w:val="19"/>
                <w:szCs w:val="19"/>
                <w:lang w:eastAsia="hu-HU"/>
              </w:rPr>
              <w:t>1</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22</w:t>
            </w:r>
            <w:r w:rsidR="00301583" w:rsidRPr="00E126C8">
              <w:rPr>
                <w:rFonts w:cs="Arial"/>
                <w:sz w:val="19"/>
                <w:szCs w:val="19"/>
                <w:lang w:eastAsia="hu-HU"/>
              </w:rPr>
              <w:t>.</w:t>
            </w:r>
            <w:r w:rsidRPr="00E126C8">
              <w:rPr>
                <w:rFonts w:cs="Arial"/>
                <w:sz w:val="19"/>
                <w:szCs w:val="19"/>
                <w:lang w:eastAsia="hu-HU"/>
              </w:rPr>
              <w:t>0</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21</w:t>
            </w:r>
            <w:r w:rsidR="00301583" w:rsidRPr="00E126C8">
              <w:rPr>
                <w:rFonts w:cs="Arial"/>
                <w:sz w:val="19"/>
                <w:szCs w:val="19"/>
                <w:lang w:eastAsia="hu-HU"/>
              </w:rPr>
              <w:t>.</w:t>
            </w:r>
            <w:r w:rsidRPr="00E126C8">
              <w:rPr>
                <w:rFonts w:cs="Arial"/>
                <w:sz w:val="19"/>
                <w:szCs w:val="19"/>
                <w:lang w:eastAsia="hu-HU"/>
              </w:rPr>
              <w:t>1</w:t>
            </w:r>
          </w:p>
        </w:tc>
        <w:tc>
          <w:tcPr>
            <w:tcW w:w="32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22</w:t>
            </w:r>
            <w:r w:rsidR="00301583" w:rsidRPr="00E126C8">
              <w:rPr>
                <w:rFonts w:cs="Arial"/>
                <w:sz w:val="19"/>
                <w:szCs w:val="19"/>
                <w:lang w:eastAsia="hu-HU"/>
              </w:rPr>
              <w:t>.</w:t>
            </w:r>
            <w:r w:rsidRPr="00E126C8">
              <w:rPr>
                <w:rFonts w:cs="Arial"/>
                <w:sz w:val="19"/>
                <w:szCs w:val="19"/>
                <w:lang w:eastAsia="hu-HU"/>
              </w:rPr>
              <w:t>0</w:t>
            </w:r>
          </w:p>
        </w:tc>
      </w:tr>
      <w:tr w:rsidR="0038087F" w:rsidRPr="00301583" w:rsidTr="008240CB">
        <w:trPr>
          <w:trHeight w:val="285"/>
        </w:trPr>
        <w:tc>
          <w:tcPr>
            <w:tcW w:w="301" w:type="pct"/>
            <w:shd w:val="clear" w:color="auto" w:fill="auto"/>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J</w:t>
            </w:r>
          </w:p>
        </w:tc>
        <w:tc>
          <w:tcPr>
            <w:tcW w:w="1200" w:type="pct"/>
            <w:shd w:val="clear" w:color="auto" w:fill="auto"/>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Information and communication</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61</w:t>
            </w:r>
            <w:r w:rsidR="00301583" w:rsidRPr="00E126C8">
              <w:rPr>
                <w:rFonts w:cs="Arial"/>
                <w:sz w:val="19"/>
                <w:szCs w:val="19"/>
                <w:lang w:eastAsia="hu-HU"/>
              </w:rPr>
              <w:t>.</w:t>
            </w:r>
            <w:r w:rsidRPr="00E126C8">
              <w:rPr>
                <w:rFonts w:cs="Arial"/>
                <w:sz w:val="19"/>
                <w:szCs w:val="19"/>
                <w:lang w:eastAsia="hu-HU"/>
              </w:rPr>
              <w:t>1</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59</w:t>
            </w:r>
            <w:r w:rsidR="00301583" w:rsidRPr="00E126C8">
              <w:rPr>
                <w:rFonts w:cs="Arial"/>
                <w:sz w:val="19"/>
                <w:szCs w:val="19"/>
                <w:lang w:eastAsia="hu-HU"/>
              </w:rPr>
              <w:t>.</w:t>
            </w:r>
            <w:r w:rsidRPr="00E126C8">
              <w:rPr>
                <w:rFonts w:cs="Arial"/>
                <w:sz w:val="19"/>
                <w:szCs w:val="19"/>
                <w:lang w:eastAsia="hu-HU"/>
              </w:rPr>
              <w:t>5</w:t>
            </w:r>
          </w:p>
        </w:tc>
        <w:tc>
          <w:tcPr>
            <w:tcW w:w="43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53</w:t>
            </w:r>
            <w:r w:rsidR="00301583" w:rsidRPr="00E126C8">
              <w:rPr>
                <w:rFonts w:cs="Arial"/>
                <w:sz w:val="19"/>
                <w:szCs w:val="19"/>
                <w:lang w:eastAsia="hu-HU"/>
              </w:rPr>
              <w:t>.</w:t>
            </w:r>
            <w:r w:rsidRPr="00E126C8">
              <w:rPr>
                <w:rFonts w:cs="Arial"/>
                <w:sz w:val="19"/>
                <w:szCs w:val="19"/>
                <w:lang w:eastAsia="hu-HU"/>
              </w:rPr>
              <w:t>5</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5</w:t>
            </w:r>
            <w:r w:rsidR="00301583" w:rsidRPr="00E126C8">
              <w:rPr>
                <w:rFonts w:cs="Arial"/>
                <w:sz w:val="19"/>
                <w:szCs w:val="19"/>
                <w:lang w:eastAsia="hu-HU"/>
              </w:rPr>
              <w:t>.</w:t>
            </w:r>
            <w:r w:rsidRPr="00E126C8">
              <w:rPr>
                <w:rFonts w:cs="Arial"/>
                <w:sz w:val="19"/>
                <w:szCs w:val="19"/>
                <w:lang w:eastAsia="hu-HU"/>
              </w:rPr>
              <w:t>1</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4</w:t>
            </w:r>
            <w:r w:rsidR="00301583" w:rsidRPr="00E126C8">
              <w:rPr>
                <w:rFonts w:cs="Arial"/>
                <w:sz w:val="19"/>
                <w:szCs w:val="19"/>
                <w:lang w:eastAsia="hu-HU"/>
              </w:rPr>
              <w:t>.</w:t>
            </w:r>
            <w:r w:rsidRPr="00E126C8">
              <w:rPr>
                <w:rFonts w:cs="Arial"/>
                <w:sz w:val="19"/>
                <w:szCs w:val="19"/>
                <w:lang w:eastAsia="hu-HU"/>
              </w:rPr>
              <w:t>8</w:t>
            </w:r>
          </w:p>
        </w:tc>
        <w:tc>
          <w:tcPr>
            <w:tcW w:w="32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4</w:t>
            </w:r>
            <w:r w:rsidR="00301583" w:rsidRPr="00E126C8">
              <w:rPr>
                <w:rFonts w:cs="Arial"/>
                <w:sz w:val="19"/>
                <w:szCs w:val="19"/>
                <w:lang w:eastAsia="hu-HU"/>
              </w:rPr>
              <w:t>.</w:t>
            </w:r>
            <w:r w:rsidRPr="00E126C8">
              <w:rPr>
                <w:rFonts w:cs="Arial"/>
                <w:sz w:val="19"/>
                <w:szCs w:val="19"/>
                <w:lang w:eastAsia="hu-HU"/>
              </w:rPr>
              <w:t>8</w:t>
            </w:r>
          </w:p>
        </w:tc>
      </w:tr>
      <w:tr w:rsidR="0038087F" w:rsidRPr="00301583" w:rsidTr="008240CB">
        <w:trPr>
          <w:trHeight w:val="285"/>
        </w:trPr>
        <w:tc>
          <w:tcPr>
            <w:tcW w:w="301" w:type="pct"/>
            <w:shd w:val="clear" w:color="auto" w:fill="D9D9D9" w:themeFill="background1" w:themeFillShade="D9"/>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K</w:t>
            </w:r>
          </w:p>
        </w:tc>
        <w:tc>
          <w:tcPr>
            <w:tcW w:w="1200" w:type="pct"/>
            <w:shd w:val="clear" w:color="auto" w:fill="D9D9D9" w:themeFill="background1" w:themeFillShade="D9"/>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Financial and i</w:t>
            </w:r>
            <w:r w:rsidRPr="00E126C8">
              <w:rPr>
                <w:rFonts w:cs="Arial"/>
                <w:b/>
                <w:bCs/>
                <w:sz w:val="19"/>
                <w:szCs w:val="19"/>
                <w:lang w:eastAsia="hu-HU"/>
              </w:rPr>
              <w:t>n</w:t>
            </w:r>
            <w:r w:rsidRPr="00E126C8">
              <w:rPr>
                <w:rFonts w:cs="Arial"/>
                <w:b/>
                <w:bCs/>
                <w:sz w:val="19"/>
                <w:szCs w:val="19"/>
                <w:lang w:eastAsia="hu-HU"/>
              </w:rPr>
              <w:t>surance</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50</w:t>
            </w:r>
            <w:r w:rsidR="00301583" w:rsidRPr="00E126C8">
              <w:rPr>
                <w:rFonts w:cs="Arial"/>
                <w:sz w:val="19"/>
                <w:szCs w:val="19"/>
                <w:lang w:eastAsia="hu-HU"/>
              </w:rPr>
              <w:t>.</w:t>
            </w:r>
            <w:r w:rsidRPr="00E126C8">
              <w:rPr>
                <w:rFonts w:cs="Arial"/>
                <w:sz w:val="19"/>
                <w:szCs w:val="19"/>
                <w:lang w:eastAsia="hu-HU"/>
              </w:rPr>
              <w:t>4</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57</w:t>
            </w:r>
            <w:r w:rsidR="00301583" w:rsidRPr="00E126C8">
              <w:rPr>
                <w:rFonts w:cs="Arial"/>
                <w:sz w:val="19"/>
                <w:szCs w:val="19"/>
                <w:lang w:eastAsia="hu-HU"/>
              </w:rPr>
              <w:t>.</w:t>
            </w:r>
            <w:r w:rsidRPr="00E126C8">
              <w:rPr>
                <w:rFonts w:cs="Arial"/>
                <w:sz w:val="19"/>
                <w:szCs w:val="19"/>
                <w:lang w:eastAsia="hu-HU"/>
              </w:rPr>
              <w:t>6</w:t>
            </w:r>
          </w:p>
        </w:tc>
        <w:tc>
          <w:tcPr>
            <w:tcW w:w="43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53</w:t>
            </w:r>
            <w:r w:rsidR="00301583" w:rsidRPr="00E126C8">
              <w:rPr>
                <w:rFonts w:cs="Arial"/>
                <w:sz w:val="19"/>
                <w:szCs w:val="19"/>
                <w:lang w:eastAsia="hu-HU"/>
              </w:rPr>
              <w:t>.</w:t>
            </w:r>
            <w:r w:rsidRPr="00E126C8">
              <w:rPr>
                <w:rFonts w:cs="Arial"/>
                <w:sz w:val="19"/>
                <w:szCs w:val="19"/>
                <w:lang w:eastAsia="hu-HU"/>
              </w:rPr>
              <w:t>3</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w:t>
            </w:r>
            <w:r w:rsidR="00301583" w:rsidRPr="00E126C8">
              <w:rPr>
                <w:rFonts w:cs="Arial"/>
                <w:sz w:val="19"/>
                <w:szCs w:val="19"/>
                <w:lang w:eastAsia="hu-HU"/>
              </w:rPr>
              <w:t>.</w:t>
            </w:r>
            <w:r w:rsidRPr="00E126C8">
              <w:rPr>
                <w:rFonts w:cs="Arial"/>
                <w:sz w:val="19"/>
                <w:szCs w:val="19"/>
                <w:lang w:eastAsia="hu-HU"/>
              </w:rPr>
              <w:t>3</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w:t>
            </w:r>
            <w:r w:rsidR="00301583" w:rsidRPr="00E126C8">
              <w:rPr>
                <w:rFonts w:cs="Arial"/>
                <w:sz w:val="19"/>
                <w:szCs w:val="19"/>
                <w:lang w:eastAsia="hu-HU"/>
              </w:rPr>
              <w:t>.</w:t>
            </w:r>
            <w:r w:rsidRPr="00E126C8">
              <w:rPr>
                <w:rFonts w:cs="Arial"/>
                <w:sz w:val="19"/>
                <w:szCs w:val="19"/>
                <w:lang w:eastAsia="hu-HU"/>
              </w:rPr>
              <w:t>3</w:t>
            </w:r>
          </w:p>
        </w:tc>
        <w:tc>
          <w:tcPr>
            <w:tcW w:w="32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w:t>
            </w:r>
            <w:r w:rsidR="00301583" w:rsidRPr="00E126C8">
              <w:rPr>
                <w:rFonts w:cs="Arial"/>
                <w:sz w:val="19"/>
                <w:szCs w:val="19"/>
                <w:lang w:eastAsia="hu-HU"/>
              </w:rPr>
              <w:t>.</w:t>
            </w:r>
            <w:r w:rsidRPr="00E126C8">
              <w:rPr>
                <w:rFonts w:cs="Arial"/>
                <w:sz w:val="19"/>
                <w:szCs w:val="19"/>
                <w:lang w:eastAsia="hu-HU"/>
              </w:rPr>
              <w:t>8</w:t>
            </w:r>
          </w:p>
        </w:tc>
      </w:tr>
      <w:tr w:rsidR="0038087F" w:rsidRPr="00301583" w:rsidTr="008240CB">
        <w:trPr>
          <w:trHeight w:val="285"/>
        </w:trPr>
        <w:tc>
          <w:tcPr>
            <w:tcW w:w="301" w:type="pct"/>
            <w:shd w:val="clear" w:color="auto" w:fill="auto"/>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L</w:t>
            </w:r>
          </w:p>
        </w:tc>
        <w:tc>
          <w:tcPr>
            <w:tcW w:w="1200" w:type="pct"/>
            <w:shd w:val="clear" w:color="auto" w:fill="auto"/>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Real estate</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182</w:t>
            </w:r>
            <w:r w:rsidR="00301583" w:rsidRPr="00E126C8">
              <w:rPr>
                <w:rFonts w:cs="Arial"/>
                <w:sz w:val="19"/>
                <w:szCs w:val="19"/>
                <w:lang w:eastAsia="hu-HU"/>
              </w:rPr>
              <w:t>.</w:t>
            </w:r>
            <w:r w:rsidRPr="00E126C8">
              <w:rPr>
                <w:rFonts w:cs="Arial"/>
                <w:sz w:val="19"/>
                <w:szCs w:val="19"/>
                <w:lang w:eastAsia="hu-HU"/>
              </w:rPr>
              <w:t>6</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213</w:t>
            </w:r>
            <w:r w:rsidR="00301583" w:rsidRPr="00E126C8">
              <w:rPr>
                <w:rFonts w:cs="Arial"/>
                <w:sz w:val="19"/>
                <w:szCs w:val="19"/>
                <w:lang w:eastAsia="hu-HU"/>
              </w:rPr>
              <w:t>.</w:t>
            </w:r>
            <w:r w:rsidRPr="00E126C8">
              <w:rPr>
                <w:rFonts w:cs="Arial"/>
                <w:sz w:val="19"/>
                <w:szCs w:val="19"/>
                <w:lang w:eastAsia="hu-HU"/>
              </w:rPr>
              <w:t>4</w:t>
            </w:r>
          </w:p>
        </w:tc>
        <w:tc>
          <w:tcPr>
            <w:tcW w:w="43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175</w:t>
            </w:r>
            <w:r w:rsidR="00301583" w:rsidRPr="00E126C8">
              <w:rPr>
                <w:rFonts w:cs="Arial"/>
                <w:sz w:val="19"/>
                <w:szCs w:val="19"/>
                <w:lang w:eastAsia="hu-HU"/>
              </w:rPr>
              <w:t>.</w:t>
            </w:r>
            <w:r w:rsidRPr="00E126C8">
              <w:rPr>
                <w:rFonts w:cs="Arial"/>
                <w:sz w:val="19"/>
                <w:szCs w:val="19"/>
                <w:lang w:eastAsia="hu-HU"/>
              </w:rPr>
              <w:t>7</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6</w:t>
            </w:r>
            <w:r w:rsidR="00301583" w:rsidRPr="00E126C8">
              <w:rPr>
                <w:rFonts w:cs="Arial"/>
                <w:sz w:val="19"/>
                <w:szCs w:val="19"/>
                <w:lang w:eastAsia="hu-HU"/>
              </w:rPr>
              <w:t>.</w:t>
            </w:r>
            <w:r w:rsidRPr="00E126C8">
              <w:rPr>
                <w:rFonts w:cs="Arial"/>
                <w:sz w:val="19"/>
                <w:szCs w:val="19"/>
                <w:lang w:eastAsia="hu-HU"/>
              </w:rPr>
              <w:t>2</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5</w:t>
            </w:r>
            <w:r w:rsidR="00301583" w:rsidRPr="00E126C8">
              <w:rPr>
                <w:rFonts w:cs="Arial"/>
                <w:sz w:val="19"/>
                <w:szCs w:val="19"/>
                <w:lang w:eastAsia="hu-HU"/>
              </w:rPr>
              <w:t>.</w:t>
            </w:r>
            <w:r w:rsidRPr="00E126C8">
              <w:rPr>
                <w:rFonts w:cs="Arial"/>
                <w:sz w:val="19"/>
                <w:szCs w:val="19"/>
                <w:lang w:eastAsia="hu-HU"/>
              </w:rPr>
              <w:t>8</w:t>
            </w:r>
          </w:p>
        </w:tc>
        <w:tc>
          <w:tcPr>
            <w:tcW w:w="32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6</w:t>
            </w:r>
            <w:r w:rsidR="00301583" w:rsidRPr="00E126C8">
              <w:rPr>
                <w:rFonts w:cs="Arial"/>
                <w:sz w:val="19"/>
                <w:szCs w:val="19"/>
                <w:lang w:eastAsia="hu-HU"/>
              </w:rPr>
              <w:t>.</w:t>
            </w:r>
            <w:r w:rsidRPr="00E126C8">
              <w:rPr>
                <w:rFonts w:cs="Arial"/>
                <w:sz w:val="19"/>
                <w:szCs w:val="19"/>
                <w:lang w:eastAsia="hu-HU"/>
              </w:rPr>
              <w:t>6</w:t>
            </w:r>
          </w:p>
        </w:tc>
      </w:tr>
      <w:tr w:rsidR="0038087F" w:rsidRPr="00301583" w:rsidTr="008240CB">
        <w:trPr>
          <w:trHeight w:val="285"/>
        </w:trPr>
        <w:tc>
          <w:tcPr>
            <w:tcW w:w="301" w:type="pct"/>
            <w:shd w:val="clear" w:color="auto" w:fill="D9D9D9" w:themeFill="background1" w:themeFillShade="D9"/>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M-N</w:t>
            </w:r>
          </w:p>
        </w:tc>
        <w:tc>
          <w:tcPr>
            <w:tcW w:w="1200" w:type="pct"/>
            <w:shd w:val="clear" w:color="auto" w:fill="D9D9D9" w:themeFill="background1" w:themeFillShade="D9"/>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Professional, sc</w:t>
            </w:r>
            <w:r w:rsidRPr="00E126C8">
              <w:rPr>
                <w:rFonts w:cs="Arial"/>
                <w:b/>
                <w:bCs/>
                <w:sz w:val="19"/>
                <w:szCs w:val="19"/>
                <w:lang w:eastAsia="hu-HU"/>
              </w:rPr>
              <w:t>i</w:t>
            </w:r>
            <w:r w:rsidRPr="00E126C8">
              <w:rPr>
                <w:rFonts w:cs="Arial"/>
                <w:b/>
                <w:bCs/>
                <w:sz w:val="19"/>
                <w:szCs w:val="19"/>
                <w:lang w:eastAsia="hu-HU"/>
              </w:rPr>
              <w:t>entific, admin. and support</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24</w:t>
            </w:r>
            <w:r w:rsidR="00301583" w:rsidRPr="00E126C8">
              <w:rPr>
                <w:rFonts w:cs="Arial"/>
                <w:sz w:val="19"/>
                <w:szCs w:val="19"/>
                <w:lang w:eastAsia="hu-HU"/>
              </w:rPr>
              <w:t>.</w:t>
            </w:r>
            <w:r w:rsidRPr="00E126C8">
              <w:rPr>
                <w:rFonts w:cs="Arial"/>
                <w:sz w:val="19"/>
                <w:szCs w:val="19"/>
                <w:lang w:eastAsia="hu-HU"/>
              </w:rPr>
              <w:t>3</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25</w:t>
            </w:r>
            <w:r w:rsidR="00301583" w:rsidRPr="00E126C8">
              <w:rPr>
                <w:rFonts w:cs="Arial"/>
                <w:sz w:val="19"/>
                <w:szCs w:val="19"/>
                <w:lang w:eastAsia="hu-HU"/>
              </w:rPr>
              <w:t>.</w:t>
            </w:r>
            <w:r w:rsidRPr="00E126C8">
              <w:rPr>
                <w:rFonts w:cs="Arial"/>
                <w:sz w:val="19"/>
                <w:szCs w:val="19"/>
                <w:lang w:eastAsia="hu-HU"/>
              </w:rPr>
              <w:t>4</w:t>
            </w:r>
          </w:p>
        </w:tc>
        <w:tc>
          <w:tcPr>
            <w:tcW w:w="43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23</w:t>
            </w:r>
            <w:r w:rsidR="00301583" w:rsidRPr="00E126C8">
              <w:rPr>
                <w:rFonts w:cs="Arial"/>
                <w:sz w:val="19"/>
                <w:szCs w:val="19"/>
                <w:lang w:eastAsia="hu-HU"/>
              </w:rPr>
              <w:t>.</w:t>
            </w:r>
            <w:r w:rsidRPr="00E126C8">
              <w:rPr>
                <w:rFonts w:cs="Arial"/>
                <w:sz w:val="19"/>
                <w:szCs w:val="19"/>
                <w:lang w:eastAsia="hu-HU"/>
              </w:rPr>
              <w:t>0</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7</w:t>
            </w:r>
            <w:r w:rsidR="00301583" w:rsidRPr="00E126C8">
              <w:rPr>
                <w:rFonts w:cs="Arial"/>
                <w:sz w:val="19"/>
                <w:szCs w:val="19"/>
                <w:lang w:eastAsia="hu-HU"/>
              </w:rPr>
              <w:t>.</w:t>
            </w:r>
            <w:r w:rsidRPr="00E126C8">
              <w:rPr>
                <w:rFonts w:cs="Arial"/>
                <w:sz w:val="19"/>
                <w:szCs w:val="19"/>
                <w:lang w:eastAsia="hu-HU"/>
              </w:rPr>
              <w:t>5</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7</w:t>
            </w:r>
            <w:r w:rsidR="00301583" w:rsidRPr="00E126C8">
              <w:rPr>
                <w:rFonts w:cs="Arial"/>
                <w:sz w:val="19"/>
                <w:szCs w:val="19"/>
                <w:lang w:eastAsia="hu-HU"/>
              </w:rPr>
              <w:t>.</w:t>
            </w:r>
            <w:r w:rsidRPr="00E126C8">
              <w:rPr>
                <w:rFonts w:cs="Arial"/>
                <w:sz w:val="19"/>
                <w:szCs w:val="19"/>
                <w:lang w:eastAsia="hu-HU"/>
              </w:rPr>
              <w:t>0</w:t>
            </w:r>
          </w:p>
        </w:tc>
        <w:tc>
          <w:tcPr>
            <w:tcW w:w="32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7</w:t>
            </w:r>
            <w:r w:rsidR="00301583" w:rsidRPr="00E126C8">
              <w:rPr>
                <w:rFonts w:cs="Arial"/>
                <w:sz w:val="19"/>
                <w:szCs w:val="19"/>
                <w:lang w:eastAsia="hu-HU"/>
              </w:rPr>
              <w:t>.</w:t>
            </w:r>
            <w:r w:rsidRPr="00E126C8">
              <w:rPr>
                <w:rFonts w:cs="Arial"/>
                <w:sz w:val="19"/>
                <w:szCs w:val="19"/>
                <w:lang w:eastAsia="hu-HU"/>
              </w:rPr>
              <w:t>6</w:t>
            </w:r>
          </w:p>
        </w:tc>
      </w:tr>
      <w:tr w:rsidR="0038087F" w:rsidRPr="00301583" w:rsidTr="008240CB">
        <w:trPr>
          <w:trHeight w:val="285"/>
        </w:trPr>
        <w:tc>
          <w:tcPr>
            <w:tcW w:w="301" w:type="pct"/>
            <w:shd w:val="clear" w:color="auto" w:fill="auto"/>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O-Q</w:t>
            </w:r>
          </w:p>
        </w:tc>
        <w:tc>
          <w:tcPr>
            <w:tcW w:w="1200" w:type="pct"/>
            <w:shd w:val="clear" w:color="auto" w:fill="auto"/>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Public admin., d</w:t>
            </w:r>
            <w:r w:rsidRPr="00E126C8">
              <w:rPr>
                <w:rFonts w:cs="Arial"/>
                <w:b/>
                <w:bCs/>
                <w:sz w:val="19"/>
                <w:szCs w:val="19"/>
                <w:lang w:eastAsia="hu-HU"/>
              </w:rPr>
              <w:t>e</w:t>
            </w:r>
            <w:r w:rsidRPr="00E126C8">
              <w:rPr>
                <w:rFonts w:cs="Arial"/>
                <w:b/>
                <w:bCs/>
                <w:sz w:val="19"/>
                <w:szCs w:val="19"/>
                <w:lang w:eastAsia="hu-HU"/>
              </w:rPr>
              <w:t>fence, education, health and social work</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13</w:t>
            </w:r>
            <w:r w:rsidR="00301583" w:rsidRPr="00E126C8">
              <w:rPr>
                <w:rFonts w:cs="Arial"/>
                <w:sz w:val="19"/>
                <w:szCs w:val="19"/>
                <w:lang w:eastAsia="hu-HU"/>
              </w:rPr>
              <w:t>.</w:t>
            </w:r>
            <w:r w:rsidRPr="00E126C8">
              <w:rPr>
                <w:rFonts w:cs="Arial"/>
                <w:sz w:val="19"/>
                <w:szCs w:val="19"/>
                <w:lang w:eastAsia="hu-HU"/>
              </w:rPr>
              <w:t>9</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14</w:t>
            </w:r>
            <w:r w:rsidR="00301583" w:rsidRPr="00E126C8">
              <w:rPr>
                <w:rFonts w:cs="Arial"/>
                <w:sz w:val="19"/>
                <w:szCs w:val="19"/>
                <w:lang w:eastAsia="hu-HU"/>
              </w:rPr>
              <w:t>.</w:t>
            </w:r>
            <w:r w:rsidRPr="00E126C8">
              <w:rPr>
                <w:rFonts w:cs="Arial"/>
                <w:sz w:val="19"/>
                <w:szCs w:val="19"/>
                <w:lang w:eastAsia="hu-HU"/>
              </w:rPr>
              <w:t>4</w:t>
            </w:r>
          </w:p>
        </w:tc>
        <w:tc>
          <w:tcPr>
            <w:tcW w:w="43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17</w:t>
            </w:r>
            <w:r w:rsidR="00301583" w:rsidRPr="00E126C8">
              <w:rPr>
                <w:rFonts w:cs="Arial"/>
                <w:sz w:val="19"/>
                <w:szCs w:val="19"/>
                <w:lang w:eastAsia="hu-HU"/>
              </w:rPr>
              <w:t>.</w:t>
            </w:r>
            <w:r w:rsidRPr="00E126C8">
              <w:rPr>
                <w:rFonts w:cs="Arial"/>
                <w:sz w:val="19"/>
                <w:szCs w:val="19"/>
                <w:lang w:eastAsia="hu-HU"/>
              </w:rPr>
              <w:t>9</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15</w:t>
            </w:r>
            <w:r w:rsidR="00301583" w:rsidRPr="00E126C8">
              <w:rPr>
                <w:rFonts w:cs="Arial"/>
                <w:sz w:val="19"/>
                <w:szCs w:val="19"/>
                <w:lang w:eastAsia="hu-HU"/>
              </w:rPr>
              <w:t>.</w:t>
            </w:r>
            <w:r w:rsidRPr="00E126C8">
              <w:rPr>
                <w:rFonts w:cs="Arial"/>
                <w:sz w:val="19"/>
                <w:szCs w:val="19"/>
                <w:lang w:eastAsia="hu-HU"/>
              </w:rPr>
              <w:t>6</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14</w:t>
            </w:r>
            <w:r w:rsidR="00301583" w:rsidRPr="00E126C8">
              <w:rPr>
                <w:rFonts w:cs="Arial"/>
                <w:sz w:val="19"/>
                <w:szCs w:val="19"/>
                <w:lang w:eastAsia="hu-HU"/>
              </w:rPr>
              <w:t>.</w:t>
            </w:r>
            <w:r w:rsidRPr="00E126C8">
              <w:rPr>
                <w:rFonts w:cs="Arial"/>
                <w:sz w:val="19"/>
                <w:szCs w:val="19"/>
                <w:lang w:eastAsia="hu-HU"/>
              </w:rPr>
              <w:t>2</w:t>
            </w:r>
          </w:p>
        </w:tc>
        <w:tc>
          <w:tcPr>
            <w:tcW w:w="32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14</w:t>
            </w:r>
            <w:r w:rsidR="00301583" w:rsidRPr="00E126C8">
              <w:rPr>
                <w:rFonts w:cs="Arial"/>
                <w:sz w:val="19"/>
                <w:szCs w:val="19"/>
                <w:lang w:eastAsia="hu-HU"/>
              </w:rPr>
              <w:t>.</w:t>
            </w:r>
            <w:r w:rsidRPr="00E126C8">
              <w:rPr>
                <w:rFonts w:cs="Arial"/>
                <w:sz w:val="19"/>
                <w:szCs w:val="19"/>
                <w:lang w:eastAsia="hu-HU"/>
              </w:rPr>
              <w:t>2</w:t>
            </w:r>
          </w:p>
        </w:tc>
      </w:tr>
      <w:tr w:rsidR="0038087F" w:rsidRPr="00301583" w:rsidTr="008240CB">
        <w:trPr>
          <w:trHeight w:val="285"/>
        </w:trPr>
        <w:tc>
          <w:tcPr>
            <w:tcW w:w="301" w:type="pct"/>
            <w:shd w:val="clear" w:color="auto" w:fill="D9D9D9" w:themeFill="background1" w:themeFillShade="D9"/>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R-U</w:t>
            </w:r>
          </w:p>
        </w:tc>
        <w:tc>
          <w:tcPr>
            <w:tcW w:w="1200" w:type="pct"/>
            <w:shd w:val="clear" w:color="auto" w:fill="D9D9D9" w:themeFill="background1" w:themeFillShade="D9"/>
            <w:noWrap/>
          </w:tcPr>
          <w:p w:rsidR="00EE3B8C" w:rsidRPr="00E126C8" w:rsidRDefault="00EE3B8C" w:rsidP="00E126C8">
            <w:pPr>
              <w:spacing w:before="20" w:after="20" w:line="240" w:lineRule="auto"/>
              <w:jc w:val="left"/>
              <w:rPr>
                <w:rFonts w:cs="Arial"/>
                <w:b/>
                <w:bCs/>
                <w:sz w:val="19"/>
                <w:szCs w:val="19"/>
                <w:lang w:eastAsia="hu-HU"/>
              </w:rPr>
            </w:pPr>
            <w:r w:rsidRPr="00E126C8">
              <w:rPr>
                <w:rFonts w:cs="Arial"/>
                <w:b/>
                <w:bCs/>
                <w:sz w:val="19"/>
                <w:szCs w:val="19"/>
                <w:lang w:eastAsia="hu-HU"/>
              </w:rPr>
              <w:t>Arts, entertai</w:t>
            </w:r>
            <w:r w:rsidRPr="00E126C8">
              <w:rPr>
                <w:rFonts w:cs="Arial"/>
                <w:b/>
                <w:bCs/>
                <w:sz w:val="19"/>
                <w:szCs w:val="19"/>
                <w:lang w:eastAsia="hu-HU"/>
              </w:rPr>
              <w:t>n</w:t>
            </w:r>
            <w:r w:rsidRPr="00E126C8">
              <w:rPr>
                <w:rFonts w:cs="Arial"/>
                <w:b/>
                <w:bCs/>
                <w:sz w:val="19"/>
                <w:szCs w:val="19"/>
                <w:lang w:eastAsia="hu-HU"/>
              </w:rPr>
              <w:t>ment, recreation</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20</w:t>
            </w:r>
            <w:r w:rsidR="00301583" w:rsidRPr="00E126C8">
              <w:rPr>
                <w:rFonts w:cs="Arial"/>
                <w:sz w:val="19"/>
                <w:szCs w:val="19"/>
                <w:lang w:eastAsia="hu-HU"/>
              </w:rPr>
              <w:t>.</w:t>
            </w:r>
            <w:r w:rsidRPr="00E126C8">
              <w:rPr>
                <w:rFonts w:cs="Arial"/>
                <w:sz w:val="19"/>
                <w:szCs w:val="19"/>
                <w:lang w:eastAsia="hu-HU"/>
              </w:rPr>
              <w:t>0</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24</w:t>
            </w:r>
            <w:r w:rsidR="00301583" w:rsidRPr="00E126C8">
              <w:rPr>
                <w:rFonts w:cs="Arial"/>
                <w:sz w:val="19"/>
                <w:szCs w:val="19"/>
                <w:lang w:eastAsia="hu-HU"/>
              </w:rPr>
              <w:t>.</w:t>
            </w:r>
            <w:r w:rsidRPr="00E126C8">
              <w:rPr>
                <w:rFonts w:cs="Arial"/>
                <w:sz w:val="19"/>
                <w:szCs w:val="19"/>
                <w:lang w:eastAsia="hu-HU"/>
              </w:rPr>
              <w:t>6</w:t>
            </w:r>
          </w:p>
        </w:tc>
        <w:tc>
          <w:tcPr>
            <w:tcW w:w="43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31</w:t>
            </w:r>
            <w:r w:rsidR="00301583" w:rsidRPr="00E126C8">
              <w:rPr>
                <w:rFonts w:cs="Arial"/>
                <w:sz w:val="19"/>
                <w:szCs w:val="19"/>
                <w:lang w:eastAsia="hu-HU"/>
              </w:rPr>
              <w:t>.</w:t>
            </w:r>
            <w:r w:rsidRPr="00E126C8">
              <w:rPr>
                <w:rFonts w:cs="Arial"/>
                <w:sz w:val="19"/>
                <w:szCs w:val="19"/>
                <w:lang w:eastAsia="hu-HU"/>
              </w:rPr>
              <w:t>0</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w:t>
            </w:r>
            <w:r w:rsidR="00301583" w:rsidRPr="00E126C8">
              <w:rPr>
                <w:rFonts w:cs="Arial"/>
                <w:sz w:val="19"/>
                <w:szCs w:val="19"/>
                <w:lang w:eastAsia="hu-HU"/>
              </w:rPr>
              <w:t>.</w:t>
            </w:r>
            <w:r w:rsidRPr="00E126C8">
              <w:rPr>
                <w:rFonts w:cs="Arial"/>
                <w:sz w:val="19"/>
                <w:szCs w:val="19"/>
                <w:lang w:eastAsia="hu-HU"/>
              </w:rPr>
              <w:t>5</w:t>
            </w:r>
          </w:p>
        </w:tc>
        <w:tc>
          <w:tcPr>
            <w:tcW w:w="687"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w:t>
            </w:r>
            <w:r w:rsidR="00301583" w:rsidRPr="00E126C8">
              <w:rPr>
                <w:rFonts w:cs="Arial"/>
                <w:sz w:val="19"/>
                <w:szCs w:val="19"/>
                <w:lang w:eastAsia="hu-HU"/>
              </w:rPr>
              <w:t>.</w:t>
            </w:r>
            <w:r w:rsidRPr="00E126C8">
              <w:rPr>
                <w:rFonts w:cs="Arial"/>
                <w:sz w:val="19"/>
                <w:szCs w:val="19"/>
                <w:lang w:eastAsia="hu-HU"/>
              </w:rPr>
              <w:t>9</w:t>
            </w:r>
          </w:p>
        </w:tc>
        <w:tc>
          <w:tcPr>
            <w:tcW w:w="321" w:type="pct"/>
            <w:shd w:val="clear" w:color="auto" w:fill="D9D9D9" w:themeFill="background1" w:themeFillShade="D9"/>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3</w:t>
            </w:r>
            <w:r w:rsidR="00301583" w:rsidRPr="00E126C8">
              <w:rPr>
                <w:rFonts w:cs="Arial"/>
                <w:sz w:val="19"/>
                <w:szCs w:val="19"/>
                <w:lang w:eastAsia="hu-HU"/>
              </w:rPr>
              <w:t>.</w:t>
            </w:r>
            <w:r w:rsidRPr="00E126C8">
              <w:rPr>
                <w:rFonts w:cs="Arial"/>
                <w:sz w:val="19"/>
                <w:szCs w:val="19"/>
                <w:lang w:eastAsia="hu-HU"/>
              </w:rPr>
              <w:t>2</w:t>
            </w:r>
          </w:p>
        </w:tc>
      </w:tr>
      <w:tr w:rsidR="0038087F" w:rsidRPr="00301583" w:rsidTr="008240CB">
        <w:trPr>
          <w:trHeight w:val="285"/>
        </w:trPr>
        <w:tc>
          <w:tcPr>
            <w:tcW w:w="301" w:type="pct"/>
            <w:shd w:val="clear" w:color="auto" w:fill="auto"/>
            <w:noWrap/>
          </w:tcPr>
          <w:p w:rsidR="00EE3B8C" w:rsidRPr="00E126C8" w:rsidRDefault="00EE3B8C" w:rsidP="00E126C8">
            <w:pPr>
              <w:spacing w:before="20" w:after="20" w:line="240" w:lineRule="auto"/>
              <w:jc w:val="left"/>
              <w:rPr>
                <w:rFonts w:cs="Arial"/>
                <w:sz w:val="19"/>
                <w:szCs w:val="19"/>
                <w:lang w:eastAsia="hu-HU"/>
              </w:rPr>
            </w:pPr>
          </w:p>
        </w:tc>
        <w:tc>
          <w:tcPr>
            <w:tcW w:w="1200" w:type="pct"/>
            <w:shd w:val="clear" w:color="auto" w:fill="auto"/>
            <w:noWrap/>
          </w:tcPr>
          <w:p w:rsidR="00EE3B8C" w:rsidRPr="00E126C8" w:rsidRDefault="00EE3B8C" w:rsidP="00E126C8">
            <w:pPr>
              <w:spacing w:before="20" w:after="20" w:line="240" w:lineRule="auto"/>
              <w:jc w:val="left"/>
              <w:rPr>
                <w:rFonts w:cs="Arial"/>
                <w:b/>
                <w:sz w:val="19"/>
                <w:szCs w:val="19"/>
                <w:lang w:eastAsia="hu-HU"/>
              </w:rPr>
            </w:pPr>
            <w:r w:rsidRPr="00E126C8">
              <w:rPr>
                <w:rFonts w:cs="Arial"/>
                <w:b/>
                <w:sz w:val="19"/>
                <w:szCs w:val="19"/>
                <w:lang w:eastAsia="hu-HU"/>
              </w:rPr>
              <w:t>Total - All NACE activities</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21</w:t>
            </w:r>
            <w:r w:rsidR="00301583" w:rsidRPr="00E126C8">
              <w:rPr>
                <w:rFonts w:cs="Arial"/>
                <w:sz w:val="19"/>
                <w:szCs w:val="19"/>
                <w:lang w:eastAsia="hu-HU"/>
              </w:rPr>
              <w:t>.</w:t>
            </w:r>
            <w:r w:rsidRPr="00E126C8">
              <w:rPr>
                <w:rFonts w:cs="Arial"/>
                <w:sz w:val="19"/>
                <w:szCs w:val="19"/>
                <w:lang w:eastAsia="hu-HU"/>
              </w:rPr>
              <w:t>6</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22</w:t>
            </w:r>
            <w:r w:rsidR="00301583" w:rsidRPr="00E126C8">
              <w:rPr>
                <w:rFonts w:cs="Arial"/>
                <w:sz w:val="19"/>
                <w:szCs w:val="19"/>
                <w:lang w:eastAsia="hu-HU"/>
              </w:rPr>
              <w:t>.</w:t>
            </w:r>
            <w:r w:rsidRPr="00E126C8">
              <w:rPr>
                <w:rFonts w:cs="Arial"/>
                <w:sz w:val="19"/>
                <w:szCs w:val="19"/>
                <w:lang w:eastAsia="hu-HU"/>
              </w:rPr>
              <w:t>4</w:t>
            </w:r>
          </w:p>
        </w:tc>
        <w:tc>
          <w:tcPr>
            <w:tcW w:w="43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25</w:t>
            </w:r>
            <w:r w:rsidR="00301583" w:rsidRPr="00E126C8">
              <w:rPr>
                <w:rFonts w:cs="Arial"/>
                <w:sz w:val="19"/>
                <w:szCs w:val="19"/>
                <w:lang w:eastAsia="hu-HU"/>
              </w:rPr>
              <w:t>.</w:t>
            </w:r>
            <w:r w:rsidRPr="00E126C8">
              <w:rPr>
                <w:rFonts w:cs="Arial"/>
                <w:sz w:val="19"/>
                <w:szCs w:val="19"/>
                <w:lang w:eastAsia="hu-HU"/>
              </w:rPr>
              <w:t>9</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100</w:t>
            </w:r>
          </w:p>
        </w:tc>
        <w:tc>
          <w:tcPr>
            <w:tcW w:w="687"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100</w:t>
            </w:r>
          </w:p>
        </w:tc>
        <w:tc>
          <w:tcPr>
            <w:tcW w:w="321" w:type="pct"/>
            <w:shd w:val="clear" w:color="auto" w:fill="auto"/>
            <w:noWrap/>
            <w:vAlign w:val="center"/>
          </w:tcPr>
          <w:p w:rsidR="00EE3B8C" w:rsidRPr="00E126C8" w:rsidRDefault="00EE3B8C" w:rsidP="00E126C8">
            <w:pPr>
              <w:spacing w:before="20" w:after="20" w:line="240" w:lineRule="auto"/>
              <w:jc w:val="center"/>
              <w:rPr>
                <w:rFonts w:cs="Arial"/>
                <w:sz w:val="19"/>
                <w:szCs w:val="19"/>
                <w:lang w:eastAsia="hu-HU"/>
              </w:rPr>
            </w:pPr>
            <w:r w:rsidRPr="00E126C8">
              <w:rPr>
                <w:rFonts w:cs="Arial"/>
                <w:sz w:val="19"/>
                <w:szCs w:val="19"/>
                <w:lang w:eastAsia="hu-HU"/>
              </w:rPr>
              <w:t>100</w:t>
            </w:r>
          </w:p>
        </w:tc>
      </w:tr>
    </w:tbl>
    <w:p w:rsidR="00073C9E" w:rsidRPr="00E126C8" w:rsidRDefault="00073C9E" w:rsidP="00E126C8">
      <w:pPr>
        <w:spacing w:before="0" w:after="240"/>
        <w:rPr>
          <w:sz w:val="16"/>
          <w:szCs w:val="16"/>
          <w:lang w:val="pt-PT"/>
        </w:rPr>
      </w:pPr>
      <w:r w:rsidRPr="00E126C8">
        <w:rPr>
          <w:b/>
          <w:sz w:val="16"/>
          <w:szCs w:val="16"/>
        </w:rPr>
        <w:t>Source:</w:t>
      </w:r>
      <w:r w:rsidR="00E126C8" w:rsidRPr="00E126C8">
        <w:rPr>
          <w:b/>
          <w:sz w:val="16"/>
          <w:szCs w:val="16"/>
        </w:rPr>
        <w:t xml:space="preserve"> </w:t>
      </w:r>
      <w:r w:rsidR="00B759C8" w:rsidRPr="00E126C8">
        <w:rPr>
          <w:sz w:val="16"/>
          <w:szCs w:val="16"/>
          <w:lang w:val="pt-PT"/>
        </w:rPr>
        <w:t>Eurostat Database, Regional Statistics (Reg) Table [nama_r_e3vab95r2]</w:t>
      </w:r>
    </w:p>
    <w:p w:rsidR="00073C9E" w:rsidRPr="00301583" w:rsidRDefault="006E571A" w:rsidP="001E5FFE">
      <w:pPr>
        <w:spacing w:line="276" w:lineRule="auto"/>
      </w:pPr>
      <w:r w:rsidRPr="00301583">
        <w:t xml:space="preserve">The figures of economic activity by sectors confirm the assertion about the economic structural problems of </w:t>
      </w:r>
      <w:r w:rsidR="00C27D13">
        <w:t>Banská Bystrica</w:t>
      </w:r>
      <w:r w:rsidRPr="00301583">
        <w:t>. The weight of th</w:t>
      </w:r>
      <w:r w:rsidR="00171FEA" w:rsidRPr="00301583">
        <w:t>ose</w:t>
      </w:r>
      <w:r w:rsidRPr="00301583">
        <w:t xml:space="preserve"> sectors </w:t>
      </w:r>
      <w:r w:rsidR="00171FEA" w:rsidRPr="00301583">
        <w:t>which have</w:t>
      </w:r>
      <w:r w:rsidRPr="00301583">
        <w:t xml:space="preserve"> the highest share in employment is also the biggest in the gross value added of econo</w:t>
      </w:r>
      <w:r w:rsidRPr="00301583">
        <w:t>m</w:t>
      </w:r>
      <w:r w:rsidRPr="00301583">
        <w:t>ic production</w:t>
      </w:r>
      <w:r w:rsidR="002A5C67" w:rsidRPr="00301583">
        <w:t xml:space="preserve"> but u</w:t>
      </w:r>
      <w:r w:rsidRPr="00301583">
        <w:t>nfortunately these are also the le</w:t>
      </w:r>
      <w:r w:rsidR="002A5C67" w:rsidRPr="00301583">
        <w:t>a</w:t>
      </w:r>
      <w:r w:rsidRPr="00301583">
        <w:t>s</w:t>
      </w:r>
      <w:r w:rsidR="002A5C67" w:rsidRPr="00301583">
        <w:t>t</w:t>
      </w:r>
      <w:r w:rsidRPr="00301583">
        <w:t xml:space="preserve"> productive sectors. GVA per head of working age population is </w:t>
      </w:r>
      <w:r w:rsidR="007635E7" w:rsidRPr="00301583">
        <w:t>quite</w:t>
      </w:r>
      <w:r w:rsidRPr="00301583">
        <w:t xml:space="preserve"> low in the sectors </w:t>
      </w:r>
      <w:r w:rsidR="007635E7" w:rsidRPr="00301583">
        <w:t>of public and personal se</w:t>
      </w:r>
      <w:r w:rsidR="007635E7" w:rsidRPr="00301583">
        <w:t>r</w:t>
      </w:r>
      <w:r w:rsidR="007635E7" w:rsidRPr="00301583">
        <w:t xml:space="preserve">vices in the region and it is even lower regarding industry – in comparison </w:t>
      </w:r>
      <w:r w:rsidR="005B5399" w:rsidRPr="00301583">
        <w:t xml:space="preserve">with the </w:t>
      </w:r>
      <w:r w:rsidR="00301583">
        <w:t>national average</w:t>
      </w:r>
      <w:r w:rsidR="007635E7" w:rsidRPr="00301583">
        <w:t xml:space="preserve">. </w:t>
      </w:r>
      <w:r w:rsidR="005B5399" w:rsidRPr="00301583">
        <w:t xml:space="preserve">The productivity of </w:t>
      </w:r>
      <w:r w:rsidR="007635E7" w:rsidRPr="00301583">
        <w:t xml:space="preserve">the agricultural activity (mainly forestry) </w:t>
      </w:r>
      <w:r w:rsidR="005B5399" w:rsidRPr="00301583">
        <w:t xml:space="preserve">and </w:t>
      </w:r>
      <w:r w:rsidR="007635E7" w:rsidRPr="00301583">
        <w:t xml:space="preserve">creative sectors </w:t>
      </w:r>
      <w:r w:rsidR="00955F78" w:rsidRPr="00301583">
        <w:t xml:space="preserve">is at </w:t>
      </w:r>
      <w:r w:rsidR="007635E7" w:rsidRPr="00301583">
        <w:t xml:space="preserve">average </w:t>
      </w:r>
      <w:r w:rsidR="004D7C53">
        <w:t>in country comparison</w:t>
      </w:r>
      <w:r w:rsidR="005B5399" w:rsidRPr="00301583">
        <w:t xml:space="preserve"> or higher</w:t>
      </w:r>
      <w:r w:rsidR="007635E7" w:rsidRPr="00301583">
        <w:t xml:space="preserve">, </w:t>
      </w:r>
      <w:r w:rsidR="00955F78" w:rsidRPr="00301583">
        <w:t xml:space="preserve">these industries </w:t>
      </w:r>
      <w:r w:rsidR="007635E7" w:rsidRPr="00301583">
        <w:t>co</w:t>
      </w:r>
      <w:r w:rsidR="007635E7" w:rsidRPr="00301583">
        <w:t>n</w:t>
      </w:r>
      <w:r w:rsidR="007635E7" w:rsidRPr="00301583">
        <w:t xml:space="preserve">tribute much more to </w:t>
      </w:r>
      <w:r w:rsidR="00491A91" w:rsidRPr="00301583">
        <w:t xml:space="preserve">the economic production of the region than their share in </w:t>
      </w:r>
      <w:r w:rsidR="00171FEA" w:rsidRPr="00301583">
        <w:t>sect</w:t>
      </w:r>
      <w:r w:rsidR="00171FEA" w:rsidRPr="00301583">
        <w:t>o</w:t>
      </w:r>
      <w:r w:rsidR="00171FEA" w:rsidRPr="00301583">
        <w:t>rial</w:t>
      </w:r>
      <w:r w:rsidR="00491A91" w:rsidRPr="00301583">
        <w:t xml:space="preserve"> employment ratios.</w:t>
      </w:r>
    </w:p>
    <w:p w:rsidR="002C1E69" w:rsidRPr="00301583" w:rsidRDefault="00A81B80" w:rsidP="00073C9E">
      <w:r w:rsidRPr="00301583">
        <w:br w:type="page"/>
      </w:r>
    </w:p>
    <w:p w:rsidR="00243001" w:rsidRPr="00301583" w:rsidRDefault="00243001" w:rsidP="00E126C8">
      <w:pPr>
        <w:pStyle w:val="Caption"/>
        <w:keepNext/>
        <w:spacing w:after="120"/>
      </w:pPr>
      <w:bookmarkStart w:id="25" w:name="_Toc385939079"/>
      <w:bookmarkStart w:id="26" w:name="_Toc392509035"/>
      <w:r w:rsidRPr="00301583">
        <w:lastRenderedPageBreak/>
        <w:t xml:space="preserve">Table </w:t>
      </w:r>
      <w:r w:rsidR="00B759C8">
        <w:fldChar w:fldCharType="begin"/>
      </w:r>
      <w:r w:rsidR="00A752E6">
        <w:instrText xml:space="preserve"> SEQ Table \* ARABIC </w:instrText>
      </w:r>
      <w:r w:rsidR="00B759C8">
        <w:fldChar w:fldCharType="separate"/>
      </w:r>
      <w:r w:rsidR="00DC6D66">
        <w:rPr>
          <w:noProof/>
        </w:rPr>
        <w:t>6</w:t>
      </w:r>
      <w:r w:rsidR="00B759C8">
        <w:rPr>
          <w:noProof/>
        </w:rPr>
        <w:fldChar w:fldCharType="end"/>
      </w:r>
      <w:r w:rsidR="009441AC">
        <w:t>: Different p</w:t>
      </w:r>
      <w:r w:rsidR="00A30BFE" w:rsidRPr="00301583">
        <w:t xml:space="preserve">overty </w:t>
      </w:r>
      <w:r w:rsidR="009441AC">
        <w:t>m</w:t>
      </w:r>
      <w:r w:rsidR="00A30BFE" w:rsidRPr="00301583">
        <w:t>easures, 2011</w:t>
      </w:r>
      <w:bookmarkEnd w:id="25"/>
      <w:bookmarkEnd w:id="26"/>
    </w:p>
    <w:tbl>
      <w:tblPr>
        <w:tblW w:w="4875" w:type="pct"/>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1"/>
        <w:gridCol w:w="1289"/>
        <w:gridCol w:w="1291"/>
        <w:gridCol w:w="1291"/>
        <w:gridCol w:w="1224"/>
      </w:tblGrid>
      <w:tr w:rsidR="0038087F" w:rsidRPr="00301583" w:rsidTr="008240CB">
        <w:trPr>
          <w:trHeight w:val="285"/>
        </w:trPr>
        <w:tc>
          <w:tcPr>
            <w:tcW w:w="1937" w:type="pct"/>
            <w:tcBorders>
              <w:bottom w:val="single" w:sz="18" w:space="0" w:color="auto"/>
            </w:tcBorders>
            <w:shd w:val="clear" w:color="auto" w:fill="auto"/>
            <w:noWrap/>
          </w:tcPr>
          <w:p w:rsidR="00243001" w:rsidRPr="00E126C8" w:rsidRDefault="00243001" w:rsidP="00E126C8">
            <w:pPr>
              <w:spacing w:before="20" w:line="240" w:lineRule="auto"/>
              <w:jc w:val="left"/>
              <w:rPr>
                <w:rFonts w:cs="Arial"/>
                <w:sz w:val="19"/>
                <w:szCs w:val="19"/>
                <w:lang w:eastAsia="hu-HU"/>
              </w:rPr>
            </w:pPr>
          </w:p>
        </w:tc>
        <w:tc>
          <w:tcPr>
            <w:tcW w:w="775" w:type="pct"/>
            <w:tcBorders>
              <w:bottom w:val="single" w:sz="18" w:space="0" w:color="auto"/>
            </w:tcBorders>
            <w:shd w:val="clear" w:color="auto" w:fill="auto"/>
            <w:noWrap/>
            <w:vAlign w:val="center"/>
          </w:tcPr>
          <w:p w:rsidR="00243001" w:rsidRPr="00E126C8" w:rsidRDefault="00243001" w:rsidP="00E126C8">
            <w:pPr>
              <w:spacing w:before="20" w:line="240" w:lineRule="auto"/>
              <w:jc w:val="left"/>
              <w:rPr>
                <w:rFonts w:cs="Arial"/>
                <w:b/>
                <w:bCs/>
                <w:sz w:val="19"/>
                <w:szCs w:val="19"/>
                <w:lang w:eastAsia="hu-HU"/>
              </w:rPr>
            </w:pPr>
            <w:r w:rsidRPr="00E126C8">
              <w:rPr>
                <w:rFonts w:cs="Arial"/>
                <w:b/>
                <w:bCs/>
                <w:sz w:val="19"/>
                <w:szCs w:val="19"/>
                <w:lang w:eastAsia="hu-HU"/>
              </w:rPr>
              <w:t>Banskobys-trický kraj (SK032)</w:t>
            </w:r>
          </w:p>
        </w:tc>
        <w:tc>
          <w:tcPr>
            <w:tcW w:w="776" w:type="pct"/>
            <w:tcBorders>
              <w:bottom w:val="single" w:sz="18" w:space="0" w:color="auto"/>
            </w:tcBorders>
            <w:shd w:val="clear" w:color="auto" w:fill="auto"/>
            <w:noWrap/>
            <w:vAlign w:val="center"/>
          </w:tcPr>
          <w:p w:rsidR="00243001" w:rsidRPr="00E126C8" w:rsidRDefault="00243001" w:rsidP="00E126C8">
            <w:pPr>
              <w:spacing w:before="20" w:line="240" w:lineRule="auto"/>
              <w:jc w:val="left"/>
              <w:rPr>
                <w:rFonts w:cs="Arial"/>
                <w:b/>
                <w:bCs/>
                <w:sz w:val="19"/>
                <w:szCs w:val="19"/>
                <w:lang w:eastAsia="hu-HU"/>
              </w:rPr>
            </w:pPr>
            <w:r w:rsidRPr="00E126C8">
              <w:rPr>
                <w:rFonts w:cs="Arial"/>
                <w:b/>
                <w:bCs/>
                <w:sz w:val="19"/>
                <w:szCs w:val="19"/>
                <w:lang w:eastAsia="hu-HU"/>
              </w:rPr>
              <w:t>Stredné Slovensko (SK03)</w:t>
            </w:r>
          </w:p>
        </w:tc>
        <w:tc>
          <w:tcPr>
            <w:tcW w:w="776" w:type="pct"/>
            <w:tcBorders>
              <w:bottom w:val="single" w:sz="18" w:space="0" w:color="auto"/>
            </w:tcBorders>
            <w:shd w:val="clear" w:color="auto" w:fill="auto"/>
            <w:noWrap/>
            <w:vAlign w:val="center"/>
          </w:tcPr>
          <w:p w:rsidR="00243001" w:rsidRPr="00E126C8" w:rsidRDefault="00243001" w:rsidP="00E126C8">
            <w:pPr>
              <w:spacing w:before="20" w:line="240" w:lineRule="auto"/>
              <w:jc w:val="left"/>
              <w:rPr>
                <w:rFonts w:cs="Arial"/>
                <w:b/>
                <w:bCs/>
                <w:sz w:val="19"/>
                <w:szCs w:val="19"/>
                <w:lang w:eastAsia="hu-HU"/>
              </w:rPr>
            </w:pPr>
            <w:r w:rsidRPr="00E126C8">
              <w:rPr>
                <w:rFonts w:cs="Arial"/>
                <w:b/>
                <w:bCs/>
                <w:sz w:val="19"/>
                <w:szCs w:val="19"/>
                <w:lang w:eastAsia="hu-HU"/>
              </w:rPr>
              <w:t>Slovakia</w:t>
            </w:r>
          </w:p>
        </w:tc>
        <w:tc>
          <w:tcPr>
            <w:tcW w:w="737" w:type="pct"/>
            <w:tcBorders>
              <w:bottom w:val="single" w:sz="18" w:space="0" w:color="auto"/>
            </w:tcBorders>
            <w:shd w:val="clear" w:color="auto" w:fill="auto"/>
            <w:noWrap/>
            <w:vAlign w:val="center"/>
          </w:tcPr>
          <w:p w:rsidR="00243001" w:rsidRPr="00E126C8" w:rsidRDefault="00243001" w:rsidP="00E126C8">
            <w:pPr>
              <w:spacing w:before="20" w:line="240" w:lineRule="auto"/>
              <w:jc w:val="left"/>
              <w:rPr>
                <w:rFonts w:cs="Arial"/>
                <w:b/>
                <w:bCs/>
                <w:sz w:val="19"/>
                <w:szCs w:val="19"/>
                <w:lang w:eastAsia="hu-HU"/>
              </w:rPr>
            </w:pPr>
            <w:r w:rsidRPr="00E126C8">
              <w:rPr>
                <w:rFonts w:cs="Arial"/>
                <w:b/>
                <w:bCs/>
                <w:sz w:val="19"/>
                <w:szCs w:val="19"/>
                <w:lang w:eastAsia="hu-HU"/>
              </w:rPr>
              <w:t>EU27</w:t>
            </w:r>
          </w:p>
        </w:tc>
      </w:tr>
      <w:tr w:rsidR="0038087F" w:rsidRPr="00301583" w:rsidTr="008240CB">
        <w:trPr>
          <w:trHeight w:val="285"/>
        </w:trPr>
        <w:tc>
          <w:tcPr>
            <w:tcW w:w="1937" w:type="pct"/>
            <w:tcBorders>
              <w:top w:val="single" w:sz="18" w:space="0" w:color="auto"/>
            </w:tcBorders>
            <w:shd w:val="clear" w:color="auto" w:fill="D9D9D9" w:themeFill="background1" w:themeFillShade="D9"/>
            <w:noWrap/>
          </w:tcPr>
          <w:p w:rsidR="00243001" w:rsidRPr="00E126C8" w:rsidRDefault="00243001" w:rsidP="00E126C8">
            <w:pPr>
              <w:spacing w:before="20" w:line="240" w:lineRule="auto"/>
              <w:jc w:val="left"/>
              <w:rPr>
                <w:rFonts w:cs="Arial"/>
                <w:b/>
                <w:bCs/>
                <w:sz w:val="19"/>
                <w:szCs w:val="19"/>
                <w:vertAlign w:val="superscript"/>
                <w:lang w:eastAsia="hu-HU"/>
              </w:rPr>
            </w:pPr>
            <w:r w:rsidRPr="00E126C8">
              <w:rPr>
                <w:rFonts w:cs="Arial"/>
                <w:b/>
                <w:bCs/>
                <w:sz w:val="19"/>
                <w:szCs w:val="19"/>
                <w:lang w:eastAsia="hu-HU"/>
              </w:rPr>
              <w:t>At-risk-of-poverty rate, %</w:t>
            </w:r>
            <w:r w:rsidR="004C4A96" w:rsidRPr="00E126C8">
              <w:rPr>
                <w:rFonts w:cs="Arial"/>
                <w:b/>
                <w:bCs/>
                <w:sz w:val="19"/>
                <w:szCs w:val="19"/>
                <w:vertAlign w:val="superscript"/>
                <w:lang w:eastAsia="hu-HU"/>
              </w:rPr>
              <w:t>1</w:t>
            </w:r>
          </w:p>
        </w:tc>
        <w:tc>
          <w:tcPr>
            <w:tcW w:w="775" w:type="pct"/>
            <w:tcBorders>
              <w:top w:val="single" w:sz="18" w:space="0" w:color="auto"/>
            </w:tcBorders>
            <w:shd w:val="clear" w:color="auto" w:fill="D9D9D9" w:themeFill="background1" w:themeFillShade="D9"/>
            <w:noWrap/>
            <w:vAlign w:val="center"/>
          </w:tcPr>
          <w:p w:rsidR="00243001" w:rsidRPr="00E126C8" w:rsidRDefault="00243001" w:rsidP="00E126C8">
            <w:pPr>
              <w:spacing w:before="20" w:line="240" w:lineRule="auto"/>
              <w:jc w:val="center"/>
              <w:rPr>
                <w:rFonts w:cs="Arial"/>
                <w:sz w:val="19"/>
                <w:szCs w:val="19"/>
                <w:lang w:eastAsia="hu-HU"/>
              </w:rPr>
            </w:pPr>
            <w:r w:rsidRPr="00E126C8">
              <w:rPr>
                <w:rFonts w:cs="Arial"/>
                <w:sz w:val="19"/>
                <w:szCs w:val="19"/>
                <w:lang w:eastAsia="hu-HU"/>
              </w:rPr>
              <w:t>15</w:t>
            </w:r>
            <w:r w:rsidR="00301583" w:rsidRPr="00E126C8">
              <w:rPr>
                <w:rFonts w:cs="Arial"/>
                <w:sz w:val="19"/>
                <w:szCs w:val="19"/>
                <w:lang w:eastAsia="hu-HU"/>
              </w:rPr>
              <w:t>.</w:t>
            </w:r>
            <w:r w:rsidRPr="00E126C8">
              <w:rPr>
                <w:rFonts w:cs="Arial"/>
                <w:sz w:val="19"/>
                <w:szCs w:val="19"/>
                <w:lang w:eastAsia="hu-HU"/>
              </w:rPr>
              <w:t>3</w:t>
            </w:r>
          </w:p>
        </w:tc>
        <w:tc>
          <w:tcPr>
            <w:tcW w:w="776" w:type="pct"/>
            <w:tcBorders>
              <w:top w:val="single" w:sz="18" w:space="0" w:color="auto"/>
            </w:tcBorders>
            <w:shd w:val="clear" w:color="auto" w:fill="D9D9D9" w:themeFill="background1" w:themeFillShade="D9"/>
            <w:noWrap/>
            <w:vAlign w:val="center"/>
          </w:tcPr>
          <w:p w:rsidR="00243001" w:rsidRPr="00E126C8" w:rsidRDefault="00243001" w:rsidP="00E126C8">
            <w:pPr>
              <w:spacing w:before="20" w:line="240" w:lineRule="auto"/>
              <w:jc w:val="center"/>
              <w:rPr>
                <w:rFonts w:cs="Arial"/>
                <w:sz w:val="19"/>
                <w:szCs w:val="19"/>
                <w:lang w:eastAsia="hu-HU"/>
              </w:rPr>
            </w:pPr>
            <w:r w:rsidRPr="00E126C8">
              <w:rPr>
                <w:rFonts w:cs="Arial"/>
                <w:sz w:val="19"/>
                <w:szCs w:val="19"/>
                <w:lang w:eastAsia="hu-HU"/>
              </w:rPr>
              <w:t>13</w:t>
            </w:r>
            <w:r w:rsidR="00301583" w:rsidRPr="00E126C8">
              <w:rPr>
                <w:rFonts w:cs="Arial"/>
                <w:sz w:val="19"/>
                <w:szCs w:val="19"/>
                <w:lang w:eastAsia="hu-HU"/>
              </w:rPr>
              <w:t>.</w:t>
            </w:r>
            <w:r w:rsidRPr="00E126C8">
              <w:rPr>
                <w:rFonts w:cs="Arial"/>
                <w:sz w:val="19"/>
                <w:szCs w:val="19"/>
                <w:lang w:eastAsia="hu-HU"/>
              </w:rPr>
              <w:t>1</w:t>
            </w:r>
          </w:p>
        </w:tc>
        <w:tc>
          <w:tcPr>
            <w:tcW w:w="776" w:type="pct"/>
            <w:tcBorders>
              <w:top w:val="single" w:sz="18" w:space="0" w:color="auto"/>
            </w:tcBorders>
            <w:shd w:val="clear" w:color="auto" w:fill="D9D9D9" w:themeFill="background1" w:themeFillShade="D9"/>
            <w:noWrap/>
            <w:vAlign w:val="center"/>
          </w:tcPr>
          <w:p w:rsidR="00243001" w:rsidRPr="00E126C8" w:rsidRDefault="00243001" w:rsidP="00E126C8">
            <w:pPr>
              <w:spacing w:before="20" w:line="240" w:lineRule="auto"/>
              <w:jc w:val="center"/>
              <w:rPr>
                <w:rFonts w:cs="Arial"/>
                <w:sz w:val="19"/>
                <w:szCs w:val="19"/>
                <w:lang w:eastAsia="hu-HU"/>
              </w:rPr>
            </w:pPr>
            <w:r w:rsidRPr="00E126C8">
              <w:rPr>
                <w:rFonts w:cs="Arial"/>
                <w:sz w:val="19"/>
                <w:szCs w:val="19"/>
                <w:lang w:eastAsia="hu-HU"/>
              </w:rPr>
              <w:t>13</w:t>
            </w:r>
            <w:r w:rsidR="00301583" w:rsidRPr="00E126C8">
              <w:rPr>
                <w:rFonts w:cs="Arial"/>
                <w:sz w:val="19"/>
                <w:szCs w:val="19"/>
                <w:lang w:eastAsia="hu-HU"/>
              </w:rPr>
              <w:t>.</w:t>
            </w:r>
            <w:r w:rsidRPr="00E126C8">
              <w:rPr>
                <w:rFonts w:cs="Arial"/>
                <w:sz w:val="19"/>
                <w:szCs w:val="19"/>
                <w:lang w:eastAsia="hu-HU"/>
              </w:rPr>
              <w:t>0</w:t>
            </w:r>
          </w:p>
        </w:tc>
        <w:tc>
          <w:tcPr>
            <w:tcW w:w="737" w:type="pct"/>
            <w:tcBorders>
              <w:top w:val="single" w:sz="18" w:space="0" w:color="auto"/>
            </w:tcBorders>
            <w:shd w:val="clear" w:color="auto" w:fill="D9D9D9" w:themeFill="background1" w:themeFillShade="D9"/>
            <w:noWrap/>
            <w:vAlign w:val="center"/>
          </w:tcPr>
          <w:p w:rsidR="00243001" w:rsidRPr="00E126C8" w:rsidRDefault="00595E58" w:rsidP="00E126C8">
            <w:pPr>
              <w:spacing w:before="20" w:line="240" w:lineRule="auto"/>
              <w:jc w:val="center"/>
              <w:rPr>
                <w:rFonts w:cs="Arial"/>
                <w:sz w:val="19"/>
                <w:szCs w:val="19"/>
                <w:lang w:eastAsia="hu-HU"/>
              </w:rPr>
            </w:pPr>
            <w:r w:rsidRPr="00E126C8">
              <w:rPr>
                <w:rFonts w:cs="Arial"/>
                <w:sz w:val="19"/>
                <w:szCs w:val="19"/>
                <w:lang w:eastAsia="hu-HU"/>
              </w:rPr>
              <w:t>-</w:t>
            </w:r>
          </w:p>
        </w:tc>
      </w:tr>
      <w:tr w:rsidR="0038087F" w:rsidRPr="00301583" w:rsidTr="008240CB">
        <w:trPr>
          <w:trHeight w:val="285"/>
        </w:trPr>
        <w:tc>
          <w:tcPr>
            <w:tcW w:w="1937" w:type="pct"/>
            <w:shd w:val="clear" w:color="auto" w:fill="auto"/>
            <w:noWrap/>
          </w:tcPr>
          <w:p w:rsidR="00243001" w:rsidRPr="00E126C8" w:rsidRDefault="00D4222F" w:rsidP="00E126C8">
            <w:pPr>
              <w:spacing w:before="20" w:line="240" w:lineRule="auto"/>
              <w:jc w:val="left"/>
              <w:rPr>
                <w:rFonts w:cs="Arial"/>
                <w:b/>
                <w:bCs/>
                <w:sz w:val="19"/>
                <w:szCs w:val="19"/>
                <w:vertAlign w:val="superscript"/>
                <w:lang w:eastAsia="hu-HU"/>
              </w:rPr>
            </w:pPr>
            <w:r w:rsidRPr="00E126C8">
              <w:rPr>
                <w:rFonts w:cs="Arial"/>
                <w:b/>
                <w:bCs/>
                <w:sz w:val="19"/>
                <w:szCs w:val="19"/>
                <w:lang w:eastAsia="hu-HU"/>
              </w:rPr>
              <w:t>People living in households with very low work intensity, %</w:t>
            </w:r>
            <w:r w:rsidR="004C4A96" w:rsidRPr="00E126C8">
              <w:rPr>
                <w:rFonts w:cs="Arial"/>
                <w:b/>
                <w:bCs/>
                <w:sz w:val="19"/>
                <w:szCs w:val="19"/>
                <w:vertAlign w:val="superscript"/>
                <w:lang w:eastAsia="hu-HU"/>
              </w:rPr>
              <w:t>2</w:t>
            </w:r>
          </w:p>
        </w:tc>
        <w:tc>
          <w:tcPr>
            <w:tcW w:w="775" w:type="pct"/>
            <w:shd w:val="clear" w:color="auto" w:fill="auto"/>
            <w:noWrap/>
            <w:vAlign w:val="center"/>
          </w:tcPr>
          <w:p w:rsidR="00243001" w:rsidRPr="00E126C8" w:rsidRDefault="00D4222F" w:rsidP="00E126C8">
            <w:pPr>
              <w:spacing w:before="20" w:line="240" w:lineRule="auto"/>
              <w:jc w:val="center"/>
              <w:rPr>
                <w:rFonts w:cs="Arial"/>
                <w:sz w:val="19"/>
                <w:szCs w:val="19"/>
                <w:lang w:eastAsia="hu-HU"/>
              </w:rPr>
            </w:pPr>
            <w:r w:rsidRPr="00E126C8">
              <w:rPr>
                <w:rFonts w:cs="Arial"/>
                <w:sz w:val="19"/>
                <w:szCs w:val="19"/>
                <w:lang w:eastAsia="hu-HU"/>
              </w:rPr>
              <w:t>-</w:t>
            </w:r>
          </w:p>
        </w:tc>
        <w:tc>
          <w:tcPr>
            <w:tcW w:w="776" w:type="pct"/>
            <w:shd w:val="clear" w:color="auto" w:fill="auto"/>
            <w:noWrap/>
            <w:vAlign w:val="center"/>
          </w:tcPr>
          <w:p w:rsidR="00243001" w:rsidRPr="00E126C8" w:rsidRDefault="00D4222F" w:rsidP="00E126C8">
            <w:pPr>
              <w:spacing w:before="20" w:line="240" w:lineRule="auto"/>
              <w:jc w:val="center"/>
              <w:rPr>
                <w:rFonts w:cs="Arial"/>
                <w:sz w:val="19"/>
                <w:szCs w:val="19"/>
                <w:lang w:eastAsia="hu-HU"/>
              </w:rPr>
            </w:pPr>
            <w:r w:rsidRPr="00E126C8">
              <w:rPr>
                <w:rFonts w:cs="Arial"/>
                <w:sz w:val="19"/>
                <w:szCs w:val="19"/>
                <w:lang w:eastAsia="hu-HU"/>
              </w:rPr>
              <w:t>7</w:t>
            </w:r>
            <w:r w:rsidR="00301583" w:rsidRPr="00E126C8">
              <w:rPr>
                <w:rFonts w:cs="Arial"/>
                <w:sz w:val="19"/>
                <w:szCs w:val="19"/>
                <w:lang w:eastAsia="hu-HU"/>
              </w:rPr>
              <w:t>.</w:t>
            </w:r>
            <w:r w:rsidRPr="00E126C8">
              <w:rPr>
                <w:rFonts w:cs="Arial"/>
                <w:sz w:val="19"/>
                <w:szCs w:val="19"/>
                <w:lang w:eastAsia="hu-HU"/>
              </w:rPr>
              <w:t>5</w:t>
            </w:r>
          </w:p>
        </w:tc>
        <w:tc>
          <w:tcPr>
            <w:tcW w:w="776" w:type="pct"/>
            <w:shd w:val="clear" w:color="auto" w:fill="auto"/>
            <w:noWrap/>
            <w:vAlign w:val="center"/>
          </w:tcPr>
          <w:p w:rsidR="00243001" w:rsidRPr="00E126C8" w:rsidRDefault="00D4222F" w:rsidP="00E126C8">
            <w:pPr>
              <w:spacing w:before="20" w:line="240" w:lineRule="auto"/>
              <w:jc w:val="center"/>
              <w:rPr>
                <w:rFonts w:cs="Arial"/>
                <w:sz w:val="19"/>
                <w:szCs w:val="19"/>
                <w:lang w:eastAsia="hu-HU"/>
              </w:rPr>
            </w:pPr>
            <w:r w:rsidRPr="00E126C8">
              <w:rPr>
                <w:rFonts w:cs="Arial"/>
                <w:sz w:val="19"/>
                <w:szCs w:val="19"/>
                <w:lang w:eastAsia="hu-HU"/>
              </w:rPr>
              <w:t>7</w:t>
            </w:r>
            <w:r w:rsidR="00301583" w:rsidRPr="00E126C8">
              <w:rPr>
                <w:rFonts w:cs="Arial"/>
                <w:sz w:val="19"/>
                <w:szCs w:val="19"/>
                <w:lang w:eastAsia="hu-HU"/>
              </w:rPr>
              <w:t>.</w:t>
            </w:r>
            <w:r w:rsidRPr="00E126C8">
              <w:rPr>
                <w:rFonts w:cs="Arial"/>
                <w:sz w:val="19"/>
                <w:szCs w:val="19"/>
                <w:lang w:eastAsia="hu-HU"/>
              </w:rPr>
              <w:t>6</w:t>
            </w:r>
          </w:p>
        </w:tc>
        <w:tc>
          <w:tcPr>
            <w:tcW w:w="737" w:type="pct"/>
            <w:shd w:val="clear" w:color="auto" w:fill="auto"/>
            <w:noWrap/>
            <w:vAlign w:val="center"/>
          </w:tcPr>
          <w:p w:rsidR="00243001" w:rsidRPr="00E126C8" w:rsidRDefault="00595E58" w:rsidP="00E126C8">
            <w:pPr>
              <w:spacing w:before="20" w:line="240" w:lineRule="auto"/>
              <w:jc w:val="center"/>
              <w:rPr>
                <w:rFonts w:cs="Arial"/>
                <w:sz w:val="19"/>
                <w:szCs w:val="19"/>
                <w:lang w:eastAsia="hu-HU"/>
              </w:rPr>
            </w:pPr>
            <w:r w:rsidRPr="00E126C8">
              <w:rPr>
                <w:rFonts w:cs="Arial"/>
                <w:sz w:val="19"/>
                <w:szCs w:val="19"/>
                <w:lang w:eastAsia="hu-HU"/>
              </w:rPr>
              <w:t>10</w:t>
            </w:r>
            <w:r w:rsidR="00301583" w:rsidRPr="00E126C8">
              <w:rPr>
                <w:rFonts w:cs="Arial"/>
                <w:sz w:val="19"/>
                <w:szCs w:val="19"/>
                <w:lang w:eastAsia="hu-HU"/>
              </w:rPr>
              <w:t>.</w:t>
            </w:r>
            <w:r w:rsidRPr="00E126C8">
              <w:rPr>
                <w:rFonts w:cs="Arial"/>
                <w:sz w:val="19"/>
                <w:szCs w:val="19"/>
                <w:lang w:eastAsia="hu-HU"/>
              </w:rPr>
              <w:t>2</w:t>
            </w:r>
          </w:p>
        </w:tc>
      </w:tr>
      <w:tr w:rsidR="0038087F" w:rsidRPr="00301583" w:rsidTr="008240CB">
        <w:trPr>
          <w:trHeight w:val="285"/>
        </w:trPr>
        <w:tc>
          <w:tcPr>
            <w:tcW w:w="1937" w:type="pct"/>
            <w:shd w:val="clear" w:color="auto" w:fill="D9D9D9" w:themeFill="background1" w:themeFillShade="D9"/>
            <w:noWrap/>
          </w:tcPr>
          <w:p w:rsidR="00243001" w:rsidRPr="00E126C8" w:rsidRDefault="00D4222F" w:rsidP="00E126C8">
            <w:pPr>
              <w:spacing w:before="20" w:line="240" w:lineRule="auto"/>
              <w:jc w:val="left"/>
              <w:rPr>
                <w:rFonts w:cs="Arial"/>
                <w:b/>
                <w:bCs/>
                <w:sz w:val="19"/>
                <w:szCs w:val="19"/>
                <w:vertAlign w:val="superscript"/>
                <w:lang w:eastAsia="hu-HU"/>
              </w:rPr>
            </w:pPr>
            <w:r w:rsidRPr="00E126C8">
              <w:rPr>
                <w:rFonts w:cs="Arial"/>
                <w:b/>
                <w:bCs/>
                <w:sz w:val="19"/>
                <w:szCs w:val="19"/>
                <w:lang w:eastAsia="hu-HU"/>
              </w:rPr>
              <w:t>Severe material deprivation rate, %</w:t>
            </w:r>
            <w:r w:rsidR="004C4A96" w:rsidRPr="00E126C8">
              <w:rPr>
                <w:rFonts w:cs="Arial"/>
                <w:b/>
                <w:bCs/>
                <w:sz w:val="19"/>
                <w:szCs w:val="19"/>
                <w:vertAlign w:val="superscript"/>
                <w:lang w:eastAsia="hu-HU"/>
              </w:rPr>
              <w:t>2</w:t>
            </w:r>
          </w:p>
        </w:tc>
        <w:tc>
          <w:tcPr>
            <w:tcW w:w="775" w:type="pct"/>
            <w:shd w:val="clear" w:color="auto" w:fill="D9D9D9" w:themeFill="background1" w:themeFillShade="D9"/>
            <w:noWrap/>
            <w:vAlign w:val="center"/>
          </w:tcPr>
          <w:p w:rsidR="00243001" w:rsidRPr="00E126C8" w:rsidRDefault="00D4222F" w:rsidP="00E126C8">
            <w:pPr>
              <w:spacing w:before="20" w:line="240" w:lineRule="auto"/>
              <w:jc w:val="center"/>
              <w:rPr>
                <w:rFonts w:cs="Arial"/>
                <w:sz w:val="19"/>
                <w:szCs w:val="19"/>
                <w:lang w:eastAsia="hu-HU"/>
              </w:rPr>
            </w:pPr>
            <w:r w:rsidRPr="00E126C8">
              <w:rPr>
                <w:rFonts w:cs="Arial"/>
                <w:sz w:val="19"/>
                <w:szCs w:val="19"/>
                <w:lang w:eastAsia="hu-HU"/>
              </w:rPr>
              <w:t>-</w:t>
            </w:r>
          </w:p>
        </w:tc>
        <w:tc>
          <w:tcPr>
            <w:tcW w:w="776" w:type="pct"/>
            <w:shd w:val="clear" w:color="auto" w:fill="D9D9D9" w:themeFill="background1" w:themeFillShade="D9"/>
            <w:noWrap/>
            <w:vAlign w:val="center"/>
          </w:tcPr>
          <w:p w:rsidR="00243001" w:rsidRPr="00E126C8" w:rsidRDefault="00D4222F" w:rsidP="00E126C8">
            <w:pPr>
              <w:spacing w:before="20" w:line="240" w:lineRule="auto"/>
              <w:jc w:val="center"/>
              <w:rPr>
                <w:rFonts w:cs="Arial"/>
                <w:sz w:val="19"/>
                <w:szCs w:val="19"/>
                <w:lang w:eastAsia="hu-HU"/>
              </w:rPr>
            </w:pPr>
            <w:r w:rsidRPr="00E126C8">
              <w:rPr>
                <w:rFonts w:cs="Arial"/>
                <w:sz w:val="19"/>
                <w:szCs w:val="19"/>
                <w:lang w:eastAsia="hu-HU"/>
              </w:rPr>
              <w:t>10</w:t>
            </w:r>
            <w:r w:rsidR="00301583" w:rsidRPr="00E126C8">
              <w:rPr>
                <w:rFonts w:cs="Arial"/>
                <w:sz w:val="19"/>
                <w:szCs w:val="19"/>
                <w:lang w:eastAsia="hu-HU"/>
              </w:rPr>
              <w:t>.</w:t>
            </w:r>
            <w:r w:rsidRPr="00E126C8">
              <w:rPr>
                <w:rFonts w:cs="Arial"/>
                <w:sz w:val="19"/>
                <w:szCs w:val="19"/>
                <w:lang w:eastAsia="hu-HU"/>
              </w:rPr>
              <w:t>7</w:t>
            </w:r>
          </w:p>
        </w:tc>
        <w:tc>
          <w:tcPr>
            <w:tcW w:w="776" w:type="pct"/>
            <w:shd w:val="clear" w:color="auto" w:fill="D9D9D9" w:themeFill="background1" w:themeFillShade="D9"/>
            <w:noWrap/>
            <w:vAlign w:val="center"/>
          </w:tcPr>
          <w:p w:rsidR="00243001" w:rsidRPr="00E126C8" w:rsidRDefault="00D4222F" w:rsidP="00E126C8">
            <w:pPr>
              <w:spacing w:before="20" w:line="240" w:lineRule="auto"/>
              <w:jc w:val="center"/>
              <w:rPr>
                <w:rFonts w:cs="Arial"/>
                <w:sz w:val="19"/>
                <w:szCs w:val="19"/>
                <w:lang w:eastAsia="hu-HU"/>
              </w:rPr>
            </w:pPr>
            <w:r w:rsidRPr="00E126C8">
              <w:rPr>
                <w:rFonts w:cs="Arial"/>
                <w:sz w:val="19"/>
                <w:szCs w:val="19"/>
                <w:lang w:eastAsia="hu-HU"/>
              </w:rPr>
              <w:t>10</w:t>
            </w:r>
            <w:r w:rsidR="00301583" w:rsidRPr="00E126C8">
              <w:rPr>
                <w:rFonts w:cs="Arial"/>
                <w:sz w:val="19"/>
                <w:szCs w:val="19"/>
                <w:lang w:eastAsia="hu-HU"/>
              </w:rPr>
              <w:t>.</w:t>
            </w:r>
            <w:r w:rsidRPr="00E126C8">
              <w:rPr>
                <w:rFonts w:cs="Arial"/>
                <w:sz w:val="19"/>
                <w:szCs w:val="19"/>
                <w:lang w:eastAsia="hu-HU"/>
              </w:rPr>
              <w:t>6</w:t>
            </w:r>
          </w:p>
        </w:tc>
        <w:tc>
          <w:tcPr>
            <w:tcW w:w="737" w:type="pct"/>
            <w:shd w:val="clear" w:color="auto" w:fill="D9D9D9" w:themeFill="background1" w:themeFillShade="D9"/>
            <w:noWrap/>
            <w:vAlign w:val="center"/>
          </w:tcPr>
          <w:p w:rsidR="00243001" w:rsidRPr="00E126C8" w:rsidRDefault="00595E58" w:rsidP="00E126C8">
            <w:pPr>
              <w:spacing w:before="20" w:line="240" w:lineRule="auto"/>
              <w:jc w:val="center"/>
              <w:rPr>
                <w:rFonts w:cs="Arial"/>
                <w:sz w:val="19"/>
                <w:szCs w:val="19"/>
                <w:lang w:eastAsia="hu-HU"/>
              </w:rPr>
            </w:pPr>
            <w:r w:rsidRPr="00E126C8">
              <w:rPr>
                <w:rFonts w:cs="Arial"/>
                <w:sz w:val="19"/>
                <w:szCs w:val="19"/>
                <w:lang w:eastAsia="hu-HU"/>
              </w:rPr>
              <w:t>8</w:t>
            </w:r>
            <w:r w:rsidR="00301583" w:rsidRPr="00E126C8">
              <w:rPr>
                <w:rFonts w:cs="Arial"/>
                <w:sz w:val="19"/>
                <w:szCs w:val="19"/>
                <w:lang w:eastAsia="hu-HU"/>
              </w:rPr>
              <w:t>.</w:t>
            </w:r>
            <w:r w:rsidRPr="00E126C8">
              <w:rPr>
                <w:rFonts w:cs="Arial"/>
                <w:sz w:val="19"/>
                <w:szCs w:val="19"/>
                <w:lang w:eastAsia="hu-HU"/>
              </w:rPr>
              <w:t>8</w:t>
            </w:r>
          </w:p>
        </w:tc>
      </w:tr>
      <w:tr w:rsidR="0038087F" w:rsidRPr="00301583" w:rsidTr="008240CB">
        <w:trPr>
          <w:trHeight w:val="285"/>
        </w:trPr>
        <w:tc>
          <w:tcPr>
            <w:tcW w:w="1937" w:type="pct"/>
            <w:shd w:val="clear" w:color="auto" w:fill="auto"/>
            <w:noWrap/>
          </w:tcPr>
          <w:p w:rsidR="00D4222F" w:rsidRPr="00E126C8" w:rsidRDefault="00D4222F" w:rsidP="00E126C8">
            <w:pPr>
              <w:spacing w:before="20" w:line="240" w:lineRule="auto"/>
              <w:jc w:val="left"/>
              <w:rPr>
                <w:rFonts w:cs="Arial"/>
                <w:b/>
                <w:bCs/>
                <w:sz w:val="19"/>
                <w:szCs w:val="19"/>
                <w:vertAlign w:val="superscript"/>
                <w:lang w:eastAsia="hu-HU"/>
              </w:rPr>
            </w:pPr>
            <w:r w:rsidRPr="00E126C8">
              <w:rPr>
                <w:rFonts w:cs="Arial"/>
                <w:b/>
                <w:bCs/>
                <w:sz w:val="19"/>
                <w:szCs w:val="19"/>
                <w:lang w:eastAsia="hu-HU"/>
              </w:rPr>
              <w:t>Average disposable equivalised household income, € per month</w:t>
            </w:r>
            <w:r w:rsidR="004C4A96" w:rsidRPr="00E126C8">
              <w:rPr>
                <w:rFonts w:cs="Arial"/>
                <w:b/>
                <w:bCs/>
                <w:sz w:val="19"/>
                <w:szCs w:val="19"/>
                <w:vertAlign w:val="superscript"/>
                <w:lang w:eastAsia="hu-HU"/>
              </w:rPr>
              <w:t>1</w:t>
            </w:r>
          </w:p>
        </w:tc>
        <w:tc>
          <w:tcPr>
            <w:tcW w:w="775" w:type="pct"/>
            <w:shd w:val="clear" w:color="auto" w:fill="auto"/>
            <w:noWrap/>
            <w:vAlign w:val="center"/>
          </w:tcPr>
          <w:p w:rsidR="00D4222F" w:rsidRPr="00E126C8" w:rsidRDefault="00595E58" w:rsidP="00E126C8">
            <w:pPr>
              <w:spacing w:before="20" w:line="240" w:lineRule="auto"/>
              <w:jc w:val="center"/>
              <w:rPr>
                <w:rFonts w:cs="Arial"/>
                <w:sz w:val="19"/>
                <w:szCs w:val="19"/>
                <w:lang w:eastAsia="hu-HU"/>
              </w:rPr>
            </w:pPr>
            <w:r w:rsidRPr="00E126C8">
              <w:rPr>
                <w:rFonts w:cs="Arial"/>
                <w:sz w:val="19"/>
                <w:szCs w:val="19"/>
                <w:lang w:eastAsia="hu-HU"/>
              </w:rPr>
              <w:t>558</w:t>
            </w:r>
            <w:r w:rsidR="00301583" w:rsidRPr="00E126C8">
              <w:rPr>
                <w:rFonts w:cs="Arial"/>
                <w:sz w:val="19"/>
                <w:szCs w:val="19"/>
                <w:lang w:eastAsia="hu-HU"/>
              </w:rPr>
              <w:t>.</w:t>
            </w:r>
            <w:r w:rsidRPr="00E126C8">
              <w:rPr>
                <w:rFonts w:cs="Arial"/>
                <w:sz w:val="19"/>
                <w:szCs w:val="19"/>
                <w:lang w:eastAsia="hu-HU"/>
              </w:rPr>
              <w:t>4</w:t>
            </w:r>
          </w:p>
        </w:tc>
        <w:tc>
          <w:tcPr>
            <w:tcW w:w="776" w:type="pct"/>
            <w:shd w:val="clear" w:color="auto" w:fill="auto"/>
            <w:noWrap/>
            <w:vAlign w:val="center"/>
          </w:tcPr>
          <w:p w:rsidR="00D4222F" w:rsidRPr="00E126C8" w:rsidRDefault="00595E58" w:rsidP="00E126C8">
            <w:pPr>
              <w:spacing w:before="20" w:line="240" w:lineRule="auto"/>
              <w:jc w:val="center"/>
              <w:rPr>
                <w:rFonts w:cs="Arial"/>
                <w:sz w:val="19"/>
                <w:szCs w:val="19"/>
                <w:lang w:eastAsia="hu-HU"/>
              </w:rPr>
            </w:pPr>
            <w:r w:rsidRPr="00E126C8">
              <w:rPr>
                <w:rFonts w:cs="Arial"/>
                <w:sz w:val="19"/>
                <w:szCs w:val="19"/>
                <w:lang w:eastAsia="hu-HU"/>
              </w:rPr>
              <w:t>582</w:t>
            </w:r>
            <w:r w:rsidR="00301583" w:rsidRPr="00E126C8">
              <w:rPr>
                <w:rFonts w:cs="Arial"/>
                <w:sz w:val="19"/>
                <w:szCs w:val="19"/>
                <w:lang w:eastAsia="hu-HU"/>
              </w:rPr>
              <w:t>.</w:t>
            </w:r>
            <w:r w:rsidRPr="00E126C8">
              <w:rPr>
                <w:rFonts w:cs="Arial"/>
                <w:sz w:val="19"/>
                <w:szCs w:val="19"/>
                <w:lang w:eastAsia="hu-HU"/>
              </w:rPr>
              <w:t>9</w:t>
            </w:r>
          </w:p>
        </w:tc>
        <w:tc>
          <w:tcPr>
            <w:tcW w:w="776" w:type="pct"/>
            <w:shd w:val="clear" w:color="auto" w:fill="auto"/>
            <w:noWrap/>
            <w:vAlign w:val="center"/>
          </w:tcPr>
          <w:p w:rsidR="00D4222F" w:rsidRPr="00E126C8" w:rsidRDefault="00595E58" w:rsidP="00E126C8">
            <w:pPr>
              <w:spacing w:before="20" w:line="240" w:lineRule="auto"/>
              <w:jc w:val="center"/>
              <w:rPr>
                <w:rFonts w:cs="Arial"/>
                <w:sz w:val="19"/>
                <w:szCs w:val="19"/>
                <w:lang w:eastAsia="hu-HU"/>
              </w:rPr>
            </w:pPr>
            <w:r w:rsidRPr="00E126C8">
              <w:rPr>
                <w:rFonts w:cs="Arial"/>
                <w:sz w:val="19"/>
                <w:szCs w:val="19"/>
                <w:lang w:eastAsia="hu-HU"/>
              </w:rPr>
              <w:t>581</w:t>
            </w:r>
            <w:r w:rsidR="00301583" w:rsidRPr="00E126C8">
              <w:rPr>
                <w:rFonts w:cs="Arial"/>
                <w:sz w:val="19"/>
                <w:szCs w:val="19"/>
                <w:lang w:eastAsia="hu-HU"/>
              </w:rPr>
              <w:t>.</w:t>
            </w:r>
            <w:r w:rsidRPr="00E126C8">
              <w:rPr>
                <w:rFonts w:cs="Arial"/>
                <w:sz w:val="19"/>
                <w:szCs w:val="19"/>
                <w:lang w:eastAsia="hu-HU"/>
              </w:rPr>
              <w:t>6</w:t>
            </w:r>
          </w:p>
        </w:tc>
        <w:tc>
          <w:tcPr>
            <w:tcW w:w="737" w:type="pct"/>
            <w:shd w:val="clear" w:color="auto" w:fill="auto"/>
            <w:noWrap/>
            <w:vAlign w:val="center"/>
          </w:tcPr>
          <w:p w:rsidR="00D4222F" w:rsidRPr="00E126C8" w:rsidRDefault="00D4222F" w:rsidP="00E126C8">
            <w:pPr>
              <w:spacing w:before="20" w:line="240" w:lineRule="auto"/>
              <w:jc w:val="center"/>
              <w:rPr>
                <w:rFonts w:cs="Arial"/>
                <w:sz w:val="19"/>
                <w:szCs w:val="19"/>
                <w:lang w:eastAsia="hu-HU"/>
              </w:rPr>
            </w:pPr>
            <w:r w:rsidRPr="00E126C8">
              <w:rPr>
                <w:rFonts w:cs="Arial"/>
                <w:sz w:val="19"/>
                <w:szCs w:val="19"/>
                <w:lang w:eastAsia="hu-HU"/>
              </w:rPr>
              <w:t>-</w:t>
            </w:r>
          </w:p>
        </w:tc>
      </w:tr>
    </w:tbl>
    <w:p w:rsidR="00243001" w:rsidRPr="00D61793" w:rsidRDefault="00595E58" w:rsidP="00D61793">
      <w:pPr>
        <w:spacing w:before="0"/>
        <w:rPr>
          <w:b/>
          <w:sz w:val="16"/>
          <w:szCs w:val="16"/>
        </w:rPr>
      </w:pPr>
      <w:r w:rsidRPr="00D61793">
        <w:rPr>
          <w:b/>
          <w:sz w:val="16"/>
          <w:szCs w:val="16"/>
        </w:rPr>
        <w:t>Source:</w:t>
      </w:r>
    </w:p>
    <w:p w:rsidR="004C4A96" w:rsidRPr="00D61793" w:rsidRDefault="00821DBC" w:rsidP="0095143B">
      <w:pPr>
        <w:numPr>
          <w:ilvl w:val="0"/>
          <w:numId w:val="3"/>
        </w:numPr>
        <w:spacing w:before="0" w:line="240" w:lineRule="auto"/>
        <w:ind w:left="357" w:hanging="357"/>
        <w:rPr>
          <w:sz w:val="16"/>
          <w:szCs w:val="16"/>
        </w:rPr>
      </w:pPr>
      <w:r w:rsidRPr="00D61793">
        <w:rPr>
          <w:sz w:val="16"/>
          <w:szCs w:val="16"/>
        </w:rPr>
        <w:t xml:space="preserve">Statistical Office of the Slovak Republic, Regional Statistics Database </w:t>
      </w:r>
    </w:p>
    <w:p w:rsidR="00595E58" w:rsidRPr="00D61793" w:rsidRDefault="00821DBC" w:rsidP="00D61793">
      <w:pPr>
        <w:numPr>
          <w:ilvl w:val="0"/>
          <w:numId w:val="3"/>
        </w:numPr>
        <w:spacing w:before="0" w:after="240" w:line="240" w:lineRule="auto"/>
        <w:ind w:left="357" w:hanging="357"/>
        <w:rPr>
          <w:sz w:val="16"/>
          <w:szCs w:val="16"/>
        </w:rPr>
      </w:pPr>
      <w:r w:rsidRPr="00D61793">
        <w:rPr>
          <w:sz w:val="16"/>
          <w:szCs w:val="16"/>
        </w:rPr>
        <w:t>Data from Eurostat Database, Income and Living Conditions (ilc) Table [ilc_lvhl11, ilc_mddd11]</w:t>
      </w:r>
    </w:p>
    <w:p w:rsidR="00F64433" w:rsidRPr="00301583" w:rsidRDefault="00F64433" w:rsidP="001E5FFE">
      <w:pPr>
        <w:spacing w:line="276" w:lineRule="auto"/>
      </w:pPr>
      <w:r w:rsidRPr="00301583">
        <w:t xml:space="preserve">The above mentioned economic profile, demographic and labour force trends all </w:t>
      </w:r>
      <w:r w:rsidR="00A03A0F" w:rsidRPr="00301583">
        <w:t>ind</w:t>
      </w:r>
      <w:r w:rsidR="00A03A0F" w:rsidRPr="00301583">
        <w:t>i</w:t>
      </w:r>
      <w:r w:rsidR="00A03A0F" w:rsidRPr="00301583">
        <w:t>cate</w:t>
      </w:r>
      <w:r w:rsidR="00B74C48" w:rsidRPr="00301583">
        <w:t xml:space="preserve"> and also explain why</w:t>
      </w:r>
      <w:r w:rsidR="00D517F2">
        <w:t xml:space="preserve"> </w:t>
      </w:r>
      <w:r w:rsidR="00C27D13">
        <w:t>Banská Bystrica</w:t>
      </w:r>
      <w:r w:rsidR="00A03A0F" w:rsidRPr="00301583">
        <w:t xml:space="preserve">is lagging behind </w:t>
      </w:r>
      <w:r w:rsidR="00B74C48" w:rsidRPr="00301583">
        <w:t xml:space="preserve">and usually ranked as </w:t>
      </w:r>
      <w:r w:rsidR="00A03A0F" w:rsidRPr="00301583">
        <w:t xml:space="preserve">the second poorest region of the country. </w:t>
      </w:r>
      <w:r w:rsidR="003D2077" w:rsidRPr="00301583">
        <w:t xml:space="preserve">Poverty </w:t>
      </w:r>
      <w:r w:rsidRPr="00301583">
        <w:t>measure</w:t>
      </w:r>
      <w:r w:rsidR="00955F78" w:rsidRPr="00301583">
        <w:t>ment</w:t>
      </w:r>
      <w:r w:rsidRPr="00301583">
        <w:t>s</w:t>
      </w:r>
      <w:r w:rsidR="003D2077" w:rsidRPr="00301583">
        <w:t xml:space="preserve"> of course indicate similar territorial </w:t>
      </w:r>
      <w:r w:rsidR="00B74C48" w:rsidRPr="00301583">
        <w:t>imbalances</w:t>
      </w:r>
      <w:r w:rsidRPr="00301583">
        <w:t xml:space="preserve">. </w:t>
      </w:r>
      <w:r w:rsidR="00955F78" w:rsidRPr="00301583">
        <w:t>M</w:t>
      </w:r>
      <w:r w:rsidRPr="00301583">
        <w:t>easure</w:t>
      </w:r>
      <w:r w:rsidR="00955F78" w:rsidRPr="00301583">
        <w:t>ment</w:t>
      </w:r>
      <w:r w:rsidRPr="00301583">
        <w:t xml:space="preserve">s, like </w:t>
      </w:r>
      <w:r w:rsidRPr="00301583">
        <w:rPr>
          <w:i/>
        </w:rPr>
        <w:t>people living in households with very low work intensity</w:t>
      </w:r>
      <w:r w:rsidRPr="00301583">
        <w:t xml:space="preserve"> or </w:t>
      </w:r>
      <w:r w:rsidRPr="00301583">
        <w:rPr>
          <w:i/>
        </w:rPr>
        <w:t>severe material deprivation rate</w:t>
      </w:r>
      <w:r w:rsidRPr="00301583">
        <w:t xml:space="preserve"> only provide information on</w:t>
      </w:r>
      <w:r w:rsidR="003D2077" w:rsidRPr="00301583">
        <w:t xml:space="preserve"> NUTS2 level of</w:t>
      </w:r>
      <w:r w:rsidR="00CA5F48">
        <w:t xml:space="preserve">Central Slovakia </w:t>
      </w:r>
      <w:r w:rsidRPr="00301583">
        <w:t>where the value of these indicators reaches the country average. However</w:t>
      </w:r>
      <w:r w:rsidR="00EE0444" w:rsidRPr="00301583">
        <w:t>,</w:t>
      </w:r>
      <w:r w:rsidR="00D61793">
        <w:t xml:space="preserve"> </w:t>
      </w:r>
      <w:r w:rsidR="00247B87" w:rsidRPr="00301583">
        <w:t>NUTS2</w:t>
      </w:r>
      <w:r w:rsidR="00EE0444" w:rsidRPr="00301583">
        <w:t xml:space="preserve"> level figures </w:t>
      </w:r>
      <w:r w:rsidRPr="00301583">
        <w:t>obscure the inner inequalities</w:t>
      </w:r>
      <w:r w:rsidR="00A01ED9" w:rsidRPr="00301583">
        <w:t>, namely,</w:t>
      </w:r>
      <w:r w:rsidRPr="00301583">
        <w:t xml:space="preserve"> the more prosperous </w:t>
      </w:r>
      <w:r w:rsidR="00C27D13">
        <w:t>Žilina</w:t>
      </w:r>
      <w:r w:rsidRPr="00301583">
        <w:t xml:space="preserve"> ‘compensates’</w:t>
      </w:r>
      <w:r w:rsidR="00955F78" w:rsidRPr="00301583">
        <w:t xml:space="preserve"> for</w:t>
      </w:r>
      <w:r w:rsidR="00D517F2">
        <w:t xml:space="preserve"> </w:t>
      </w:r>
      <w:r w:rsidR="00C27D13">
        <w:t>Banská Bystrica</w:t>
      </w:r>
      <w:r w:rsidRPr="00301583">
        <w:t>’s unfavour</w:t>
      </w:r>
      <w:r w:rsidRPr="00301583">
        <w:t>a</w:t>
      </w:r>
      <w:r w:rsidRPr="00301583">
        <w:t xml:space="preserve">ble positions. </w:t>
      </w:r>
      <w:r w:rsidR="00EE0444" w:rsidRPr="00301583">
        <w:t xml:space="preserve">The average disposable income of households is the fourth lowest in Slovakia </w:t>
      </w:r>
      <w:r w:rsidR="009004E7" w:rsidRPr="00301583">
        <w:t xml:space="preserve">at </w:t>
      </w:r>
      <w:r w:rsidR="00C27D13">
        <w:t>Banská Bystrica</w:t>
      </w:r>
      <w:r w:rsidR="00D517F2">
        <w:t xml:space="preserve"> </w:t>
      </w:r>
      <w:r w:rsidR="00EE0444" w:rsidRPr="00301583">
        <w:t xml:space="preserve">after Nitriansky, Prešovský and </w:t>
      </w:r>
      <w:r w:rsidR="00C27D13">
        <w:t>Košice</w:t>
      </w:r>
      <w:r w:rsidR="00EE0444" w:rsidRPr="00301583">
        <w:t>s and that of a</w:t>
      </w:r>
      <w:r w:rsidRPr="00301583">
        <w:t>t-risk-of-poverty rate is the second highest (</w:t>
      </w:r>
      <w:r w:rsidR="00EE0444" w:rsidRPr="00301583">
        <w:t xml:space="preserve">after </w:t>
      </w:r>
      <w:r w:rsidR="00C27D13">
        <w:t>Prešov</w:t>
      </w:r>
      <w:r w:rsidRPr="00301583">
        <w:t xml:space="preserve">) in Slovakia. Notwithstanding that these values are not outstanding in European </w:t>
      </w:r>
      <w:r w:rsidR="00A81B80" w:rsidRPr="00301583">
        <w:t>comparison;</w:t>
      </w:r>
      <w:r w:rsidRPr="00301583">
        <w:t xml:space="preserve"> the severity of the problem is unquestionable due to the high spatial concentration of the phenomen</w:t>
      </w:r>
      <w:r w:rsidR="00EE0444" w:rsidRPr="00301583">
        <w:t>on</w:t>
      </w:r>
      <w:r w:rsidRPr="00301583">
        <w:t xml:space="preserve">. Comparing to other areas of the country </w:t>
      </w:r>
      <w:r w:rsidR="00EE0444" w:rsidRPr="00301583">
        <w:t>the spatial concentration of</w:t>
      </w:r>
      <w:r w:rsidRPr="00301583">
        <w:t xml:space="preserve"> impoverished municipalities and districts</w:t>
      </w:r>
      <w:r w:rsidR="00A01ED9" w:rsidRPr="00301583">
        <w:t xml:space="preserve"> is extremely high</w:t>
      </w:r>
      <w:r w:rsidRPr="00301583">
        <w:t xml:space="preserve"> in </w:t>
      </w:r>
      <w:r w:rsidR="00C27D13">
        <w:t>Banská Bystrica</w:t>
      </w:r>
      <w:r w:rsidR="00A03A0F" w:rsidRPr="00301583">
        <w:t>, particularly at</w:t>
      </w:r>
      <w:r w:rsidR="00D517F2">
        <w:t xml:space="preserve"> </w:t>
      </w:r>
      <w:r w:rsidRPr="00301583">
        <w:t xml:space="preserve">the southern part of the region </w:t>
      </w:r>
      <w:r w:rsidR="00A03A0F" w:rsidRPr="00301583">
        <w:t>bordering Hungary</w:t>
      </w:r>
      <w:r w:rsidR="00955F78" w:rsidRPr="00301583">
        <w:t xml:space="preserve"> in the town of </w:t>
      </w:r>
      <w:r w:rsidRPr="00301583">
        <w:t>Rimavská Sobota and its surroundings.</w:t>
      </w:r>
    </w:p>
    <w:p w:rsidR="00EE0444" w:rsidRPr="00301583" w:rsidRDefault="00EE0444" w:rsidP="00F64433"/>
    <w:p w:rsidR="00F64433" w:rsidRPr="00301583" w:rsidRDefault="00F64433" w:rsidP="00073C9E"/>
    <w:p w:rsidR="00D61793" w:rsidRPr="00D61793" w:rsidRDefault="007C16FC" w:rsidP="00D61793">
      <w:pPr>
        <w:pStyle w:val="Heading1"/>
      </w:pPr>
      <w:r w:rsidRPr="00301583">
        <w:br w:type="column"/>
      </w:r>
      <w:bookmarkStart w:id="27" w:name="_Toc380500962"/>
      <w:bookmarkStart w:id="28" w:name="_Toc385271078"/>
      <w:bookmarkStart w:id="29" w:name="_Toc385939041"/>
      <w:r w:rsidR="009441AC">
        <w:lastRenderedPageBreak/>
        <w:t>Characteristics of social e</w:t>
      </w:r>
      <w:r w:rsidR="00536563" w:rsidRPr="00301583">
        <w:t xml:space="preserve">xclusion and </w:t>
      </w:r>
      <w:r w:rsidR="009441AC">
        <w:t>poverty: Patterns and p</w:t>
      </w:r>
      <w:r w:rsidR="00536563" w:rsidRPr="00301583">
        <w:t>rocesses</w:t>
      </w:r>
      <w:bookmarkEnd w:id="27"/>
      <w:bookmarkEnd w:id="28"/>
      <w:bookmarkEnd w:id="29"/>
    </w:p>
    <w:p w:rsidR="00B76F33" w:rsidRPr="00B76F33" w:rsidRDefault="0075482A" w:rsidP="00D61793">
      <w:pPr>
        <w:pStyle w:val="Heading2"/>
        <w:spacing w:before="360"/>
      </w:pPr>
      <w:bookmarkStart w:id="30" w:name="_Toc380500963"/>
      <w:bookmarkStart w:id="31" w:name="_Toc385271079"/>
      <w:bookmarkStart w:id="32" w:name="_Toc385939042"/>
      <w:r w:rsidRPr="00301583">
        <w:t>Enriching the general picture on poverty and social exclusion in Slovakia and its regions</w:t>
      </w:r>
      <w:bookmarkEnd w:id="30"/>
      <w:bookmarkEnd w:id="31"/>
      <w:bookmarkEnd w:id="32"/>
    </w:p>
    <w:p w:rsidR="009D5610" w:rsidRPr="00301583" w:rsidRDefault="006E709A" w:rsidP="00D61793">
      <w:pPr>
        <w:pStyle w:val="Heading3"/>
        <w:spacing w:before="240"/>
      </w:pPr>
      <w:bookmarkStart w:id="33" w:name="_Toc385271080"/>
      <w:bookmarkStart w:id="34" w:name="_Toc385939043"/>
      <w:r w:rsidRPr="00301583">
        <w:t>At risk of poverty in age groups, households and in the regions</w:t>
      </w:r>
      <w:bookmarkEnd w:id="33"/>
      <w:bookmarkEnd w:id="34"/>
    </w:p>
    <w:p w:rsidR="0052083C" w:rsidRPr="00301583" w:rsidRDefault="0052083C" w:rsidP="001E5FFE">
      <w:pPr>
        <w:spacing w:line="276" w:lineRule="auto"/>
      </w:pPr>
      <w:r w:rsidRPr="00301583">
        <w:t xml:space="preserve">To make further use of Eurostat and Slovak statistics and try to gain a clearer picture of poverty and social exclusion in Slovakia, </w:t>
      </w:r>
      <w:r w:rsidR="00CA5F48">
        <w:t>a European comparison and a compar</w:t>
      </w:r>
      <w:r w:rsidR="00CA5F48">
        <w:t>i</w:t>
      </w:r>
      <w:r w:rsidR="00CA5F48">
        <w:t>son to the block of post-socialist countries will be provided first</w:t>
      </w:r>
      <w:r w:rsidRPr="00301583">
        <w:t xml:space="preserve">. As </w:t>
      </w:r>
      <w:r w:rsidR="00432616">
        <w:t>it was</w:t>
      </w:r>
      <w:r w:rsidR="00D517F2">
        <w:t xml:space="preserve"> </w:t>
      </w:r>
      <w:r w:rsidRPr="00301583">
        <w:t xml:space="preserve">pointed out above, most indicators of poverty are not outstanding as compared to either group of countries, thanks to Slovakia’s relative success in attracting investments during the course of the first decade of the 21th century </w:t>
      </w:r>
      <w:r w:rsidR="00432616">
        <w:t xml:space="preserve">This </w:t>
      </w:r>
      <w:r w:rsidRPr="00301583">
        <w:t>helped the country overcome the economic difficulties of the 1990s having stemmed from the collapse of the socialist industries and also managed to prevent to some extent the full impact of the crisis. The relatively high level of wealth reached by Slovakia as compared to fellow post-socialist countries, evidenced by the rate of the population that managed to avoid poverty or social exclusion, is indicated by the graph below. The graph shows that the rate of neither poor nor excluded members of the population in the Slovak repu</w:t>
      </w:r>
      <w:r w:rsidRPr="00301583">
        <w:t>b</w:t>
      </w:r>
      <w:r w:rsidRPr="00301583">
        <w:t>lic (79.4%) is higher than the EU average (75.9%), well above the EU-12 (69.6%) and almost reaches the two most developed post-socialist countries, Slovenia and the Czech Republic, which have somewhat better rates (80.7% and 84.7% respe</w:t>
      </w:r>
      <w:r w:rsidRPr="00301583">
        <w:t>c</w:t>
      </w:r>
      <w:r w:rsidRPr="00301583">
        <w:t>tively). Compared to 2005, Slovakia got ahead of its main competitors, Estonia and Hungary, two countries that have been hit harder by the 2008-2009 crisis.</w:t>
      </w:r>
    </w:p>
    <w:p w:rsidR="0052083C" w:rsidRPr="00301583" w:rsidRDefault="0052083C" w:rsidP="00B15A22">
      <w:pPr>
        <w:rPr>
          <w:color w:val="FF0000"/>
          <w:lang w:eastAsia="en-GB"/>
        </w:rPr>
      </w:pPr>
    </w:p>
    <w:p w:rsidR="00914F9A" w:rsidRPr="00301583" w:rsidRDefault="00914F9A" w:rsidP="00B15A22">
      <w:pPr>
        <w:rPr>
          <w:rFonts w:cs="Arial"/>
          <w:color w:val="FF0000"/>
          <w:sz w:val="20"/>
          <w:lang w:eastAsia="en-GB"/>
        </w:rPr>
      </w:pPr>
    </w:p>
    <w:p w:rsidR="002C258E" w:rsidRPr="00301583" w:rsidRDefault="002C258E" w:rsidP="00914F9A">
      <w:pPr>
        <w:spacing w:before="0" w:line="240" w:lineRule="auto"/>
        <w:jc w:val="left"/>
        <w:rPr>
          <w:rFonts w:cs="Arial"/>
          <w:color w:val="FF0000"/>
          <w:sz w:val="20"/>
          <w:lang w:eastAsia="en-GB"/>
        </w:rPr>
      </w:pPr>
    </w:p>
    <w:p w:rsidR="00914F9A" w:rsidRPr="00301583" w:rsidRDefault="000343B0" w:rsidP="00914F9A">
      <w:pPr>
        <w:jc w:val="left"/>
      </w:pPr>
      <w:r>
        <w:rPr>
          <w:noProof/>
          <w:lang w:val="fi-FI" w:eastAsia="fi-FI"/>
        </w:rPr>
        <w:lastRenderedPageBreak/>
        <mc:AlternateContent>
          <mc:Choice Requires="wps">
            <w:drawing>
              <wp:anchor distT="4294967294" distB="4294967294" distL="114300" distR="114300" simplePos="0" relativeHeight="251662336" behindDoc="0" locked="0" layoutInCell="1" allowOverlap="1" wp14:anchorId="61659FBD" wp14:editId="12AE02C2">
                <wp:simplePos x="0" y="0"/>
                <wp:positionH relativeFrom="column">
                  <wp:posOffset>335280</wp:posOffset>
                </wp:positionH>
                <wp:positionV relativeFrom="paragraph">
                  <wp:posOffset>1242059</wp:posOffset>
                </wp:positionV>
                <wp:extent cx="4299585" cy="0"/>
                <wp:effectExtent l="0" t="0" r="24765" b="19050"/>
                <wp:wrapNone/>
                <wp:docPr id="57" name="Egyenes összekötő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99585" cy="0"/>
                        </a:xfrm>
                        <a:prstGeom prst="line">
                          <a:avLst/>
                        </a:prstGeom>
                        <a:noFill/>
                        <a:ln w="19050" cap="flat" cmpd="sng" algn="ctr">
                          <a:solidFill>
                            <a:srgbClr val="FF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7B06C01" id="Egyenes összekötő 2" o:spid="_x0000_s1026" style="position:absolute;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4pt,97.8pt" to="364.95pt,9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DLf1AEAAH0DAAAOAAAAZHJzL2Uyb0RvYy54bWysU0tuGzEM3RfoHQTt65kYdRsPPM4irrsJ&#10;WgNpD0BrpBkh+kFUPXZv0cvkAkHvVUr+NGl3RWchkCL1SD6+WdzsrWE7GVF71/KrSc2ZdMJ32vUt&#10;//pl/eaaM0zgOjDeyZYfJPKb5etXizE0cuoHbzoZGYE4bMbQ8iGl0FQVikFawIkP0lFQ+WghkRv7&#10;qoswEro11bSu31Wjj12IXkhEul0dg3xZ8JWSIn1WCmVipuXUWypnLOc2n9VyAU0fIQxanNqAf+jC&#10;gnZU9AK1ggTsW9R/QVktokev0kR4W3mltJBlBprmqv5jmvsBgiyzEDkYLjTh/4MVn3abyHTX8tl7&#10;zhxY2tGH/iCdRPb0iPhdPjw9pp8/2DRTNQZs6MWt28Q8rNi7+3DnxQNSrHoRzA6GY9peRZvTaVq2&#10;L9QfLtTLfWKCLt9O5/PZ9YwzcY5V0Jwfhojpo/SWZaPlRrvMCjSwu8OUS0NzTsnXzq+1MWWzxrGR&#10;ZDmvZ7R8ASQwZSCRaQONjK7nDExPyhUpFkj0Rnf5eQbC2G9vTWQ7IPWs1zV9mQUq9yIt114BDse8&#10;EjqlGZdhZNHhqdXfxGRr67vDJp7Zox0X9JMes4ie+2Q//2uWvwAAAP//AwBQSwMEFAAGAAgAAAAh&#10;AKNTLB/eAAAACgEAAA8AAABkcnMvZG93bnJldi54bWxMj01Lw0AQhu+C/2EZwZvdNNDUpNkUCUg9&#10;CKXRg71ts2MSzM6G7LaJ/94RBHt8P3jnmXw7215ccPSdIwXLRQQCqXamo0bB+9vzwyMIHzQZ3TtC&#10;Bd/oYVvc3uQ6M26iA16q0AgeIZ9pBW0IQyalr1u02i/cgMTZpxutDizHRppRTzxuexlHUSKt7ogv&#10;tHrAssX6qzpbBR/73X54LcvEvRx309wky+qw7pW6v5ufNiACzuG/DL/4jA4FM53cmYwXvYJVzOSB&#10;/XSVgODCOk5TEKc/Rxa5vH6h+AEAAP//AwBQSwECLQAUAAYACAAAACEAtoM4kv4AAADhAQAAEwAA&#10;AAAAAAAAAAAAAAAAAAAAW0NvbnRlbnRfVHlwZXNdLnhtbFBLAQItABQABgAIAAAAIQA4/SH/1gAA&#10;AJQBAAALAAAAAAAAAAAAAAAAAC8BAABfcmVscy8ucmVsc1BLAQItABQABgAIAAAAIQBWKDLf1AEA&#10;AH0DAAAOAAAAAAAAAAAAAAAAAC4CAABkcnMvZTJvRG9jLnhtbFBLAQItABQABgAIAAAAIQCjUywf&#10;3gAAAAoBAAAPAAAAAAAAAAAAAAAAAC4EAABkcnMvZG93bnJldi54bWxQSwUGAAAAAAQABADzAAAA&#10;OQUAAAAA&#10;" strokecolor="red" strokeweight="1.5pt">
                <o:lock v:ext="edit" shapetype="f"/>
              </v:line>
            </w:pict>
          </mc:Fallback>
        </mc:AlternateContent>
      </w:r>
      <w:r w:rsidR="00350D91">
        <w:rPr>
          <w:noProof/>
          <w:lang w:val="fi-FI" w:eastAsia="fi-FI"/>
        </w:rPr>
        <w:drawing>
          <wp:inline distT="0" distB="0" distL="0" distR="0" wp14:anchorId="38AC91F0" wp14:editId="4F676646">
            <wp:extent cx="5265607" cy="3655141"/>
            <wp:effectExtent l="0" t="0" r="11430" b="21590"/>
            <wp:docPr id="4" name="Diagra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14F9A" w:rsidRPr="00F4547F" w:rsidRDefault="00914F9A" w:rsidP="00F4547F">
      <w:pPr>
        <w:spacing w:after="240"/>
        <w:rPr>
          <w:b/>
        </w:rPr>
      </w:pPr>
      <w:bookmarkStart w:id="35" w:name="_Toc378241857"/>
      <w:bookmarkStart w:id="36" w:name="_Toc392105192"/>
      <w:bookmarkStart w:id="37" w:name="_Toc392509047"/>
      <w:r w:rsidRPr="009441AC">
        <w:rPr>
          <w:b/>
        </w:rPr>
        <w:t xml:space="preserve">Figure </w:t>
      </w:r>
      <w:r w:rsidR="00B759C8" w:rsidRPr="009441AC">
        <w:rPr>
          <w:b/>
        </w:rPr>
        <w:fldChar w:fldCharType="begin"/>
      </w:r>
      <w:r w:rsidR="00A752E6" w:rsidRPr="009441AC">
        <w:rPr>
          <w:b/>
        </w:rPr>
        <w:instrText xml:space="preserve"> SEQ Figure \* ARABIC </w:instrText>
      </w:r>
      <w:r w:rsidR="00B759C8" w:rsidRPr="009441AC">
        <w:rPr>
          <w:b/>
        </w:rPr>
        <w:fldChar w:fldCharType="separate"/>
      </w:r>
      <w:r w:rsidR="00DC6D66">
        <w:rPr>
          <w:b/>
          <w:noProof/>
        </w:rPr>
        <w:t>1</w:t>
      </w:r>
      <w:r w:rsidR="00B759C8" w:rsidRPr="009441AC">
        <w:rPr>
          <w:b/>
          <w:noProof/>
        </w:rPr>
        <w:fldChar w:fldCharType="end"/>
      </w:r>
      <w:bookmarkEnd w:id="35"/>
      <w:r w:rsidR="009441AC" w:rsidRPr="009441AC">
        <w:rPr>
          <w:b/>
          <w:noProof/>
        </w:rPr>
        <w:t xml:space="preserve">: </w:t>
      </w:r>
      <w:r w:rsidR="0052083C" w:rsidRPr="009441AC">
        <w:rPr>
          <w:b/>
        </w:rPr>
        <w:t>Portion of the population neither at risk of poverty, nor deprived s</w:t>
      </w:r>
      <w:r w:rsidR="0052083C" w:rsidRPr="009441AC">
        <w:rPr>
          <w:b/>
        </w:rPr>
        <w:t>e</w:t>
      </w:r>
      <w:r w:rsidR="0052083C" w:rsidRPr="009441AC">
        <w:rPr>
          <w:b/>
        </w:rPr>
        <w:t>verely, nor living in a household with low work intensity, 2011</w:t>
      </w:r>
      <w:bookmarkEnd w:id="36"/>
      <w:bookmarkEnd w:id="37"/>
    </w:p>
    <w:p w:rsidR="008240CB" w:rsidRPr="00301583" w:rsidRDefault="008240CB" w:rsidP="008240CB">
      <w:pPr>
        <w:spacing w:before="0" w:after="240" w:line="240" w:lineRule="auto"/>
        <w:rPr>
          <w:sz w:val="16"/>
          <w:szCs w:val="16"/>
          <w:lang w:bidi="en-US"/>
        </w:rPr>
      </w:pPr>
      <w:r w:rsidRPr="008240CB">
        <w:rPr>
          <w:b/>
          <w:sz w:val="16"/>
          <w:szCs w:val="16"/>
          <w:lang w:bidi="en-US"/>
        </w:rPr>
        <w:t>Source:</w:t>
      </w:r>
      <w:r w:rsidRPr="00301583">
        <w:rPr>
          <w:sz w:val="16"/>
          <w:szCs w:val="16"/>
          <w:lang w:bidi="en-US"/>
        </w:rPr>
        <w:t xml:space="preserve"> Eurostat database, Social participation statistics, Material deprivation and low work intensity</w:t>
      </w:r>
      <w:r>
        <w:rPr>
          <w:sz w:val="16"/>
          <w:szCs w:val="16"/>
          <w:lang w:bidi="en-US"/>
        </w:rPr>
        <w:t xml:space="preserve"> </w:t>
      </w:r>
      <w:r w:rsidRPr="00301583">
        <w:rPr>
          <w:sz w:val="16"/>
          <w:szCs w:val="16"/>
          <w:lang w:bidi="en-US"/>
        </w:rPr>
        <w:t>statistics, Inte</w:t>
      </w:r>
      <w:r w:rsidRPr="00301583">
        <w:rPr>
          <w:sz w:val="16"/>
          <w:szCs w:val="16"/>
          <w:lang w:bidi="en-US"/>
        </w:rPr>
        <w:t>r</w:t>
      </w:r>
      <w:r w:rsidRPr="00301583">
        <w:rPr>
          <w:sz w:val="16"/>
          <w:szCs w:val="16"/>
          <w:lang w:bidi="en-US"/>
        </w:rPr>
        <w:t>sections of Europe 2020 Poverty Target Indicators by income quintile [ilc_pees03]</w:t>
      </w:r>
    </w:p>
    <w:p w:rsidR="0052083C" w:rsidRPr="00301583" w:rsidRDefault="0052083C" w:rsidP="001E5FFE">
      <w:pPr>
        <w:spacing w:line="276" w:lineRule="auto"/>
      </w:pPr>
      <w:r w:rsidRPr="00301583">
        <w:t xml:space="preserve">However, poverty and social exclusion do exist in Slovakia to a significant extent, but with specificities, namely, </w:t>
      </w:r>
      <w:r w:rsidRPr="00301583">
        <w:rPr>
          <w:i/>
        </w:rPr>
        <w:t>in a geographically and socially (ethnically) concentrated (multiplied) manner</w:t>
      </w:r>
      <w:r w:rsidRPr="00301583">
        <w:t>. If we reverse our point of investigation and consider the rate of those who were hit by poverty, i.e. severe material deprivation as well as social e</w:t>
      </w:r>
      <w:r w:rsidRPr="00301583">
        <w:t>x</w:t>
      </w:r>
      <w:r w:rsidRPr="00301583">
        <w:t xml:space="preserve">clusion, the position of the Slovak Republic is </w:t>
      </w:r>
      <w:r w:rsidR="00432616">
        <w:t xml:space="preserve">by far the </w:t>
      </w:r>
      <w:r w:rsidRPr="00301583">
        <w:t>worst compared to Slovenia or the Czech Republic, though still much better than Bulgaria, the poor countries of the Baltic states, Hungary and Croatia.</w:t>
      </w:r>
    </w:p>
    <w:p w:rsidR="00914F9A" w:rsidRPr="00301583" w:rsidRDefault="00914F9A" w:rsidP="002C258E">
      <w:pPr>
        <w:jc w:val="left"/>
      </w:pPr>
    </w:p>
    <w:p w:rsidR="00914F9A" w:rsidRPr="00301583" w:rsidRDefault="00350D91" w:rsidP="00914F9A">
      <w:pPr>
        <w:jc w:val="left"/>
      </w:pPr>
      <w:r>
        <w:rPr>
          <w:noProof/>
          <w:lang w:val="fi-FI" w:eastAsia="fi-FI"/>
        </w:rPr>
        <w:lastRenderedPageBreak/>
        <w:drawing>
          <wp:inline distT="0" distB="0" distL="0" distR="0" wp14:anchorId="4CCB6D36" wp14:editId="33298C08">
            <wp:extent cx="5759960" cy="3901311"/>
            <wp:effectExtent l="0" t="0" r="12700" b="23495"/>
            <wp:docPr id="5" name="Diagram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14F9A" w:rsidRPr="00301583" w:rsidRDefault="00914F9A" w:rsidP="00F4547F">
      <w:pPr>
        <w:pStyle w:val="Caption"/>
        <w:spacing w:after="240"/>
        <w:rPr>
          <w:lang w:bidi="en-US"/>
        </w:rPr>
      </w:pPr>
      <w:bookmarkStart w:id="38" w:name="_Toc366969040"/>
      <w:bookmarkStart w:id="39" w:name="_Toc376944572"/>
      <w:bookmarkStart w:id="40" w:name="_Toc378241858"/>
      <w:bookmarkStart w:id="41" w:name="_Toc392105193"/>
      <w:bookmarkStart w:id="42" w:name="_Toc392509048"/>
      <w:r w:rsidRPr="00301583">
        <w:t xml:space="preserve">Figure </w:t>
      </w:r>
      <w:r w:rsidR="00B759C8">
        <w:fldChar w:fldCharType="begin"/>
      </w:r>
      <w:r w:rsidR="00A752E6">
        <w:instrText xml:space="preserve"> SEQ Figure \* ARABIC </w:instrText>
      </w:r>
      <w:r w:rsidR="00B759C8">
        <w:fldChar w:fldCharType="separate"/>
      </w:r>
      <w:r w:rsidR="00DC6D66">
        <w:rPr>
          <w:noProof/>
        </w:rPr>
        <w:t>2</w:t>
      </w:r>
      <w:r w:rsidR="00B759C8">
        <w:rPr>
          <w:noProof/>
        </w:rPr>
        <w:fldChar w:fldCharType="end"/>
      </w:r>
      <w:r w:rsidR="009441AC">
        <w:t>:</w:t>
      </w:r>
      <w:r w:rsidRPr="00301583">
        <w:rPr>
          <w:lang w:bidi="en-US"/>
        </w:rPr>
        <w:t xml:space="preserve"> P</w:t>
      </w:r>
      <w:r w:rsidR="0052083C" w:rsidRPr="00301583">
        <w:rPr>
          <w:lang w:bidi="en-US"/>
        </w:rPr>
        <w:t>ortion of p</w:t>
      </w:r>
      <w:r w:rsidRPr="00301583">
        <w:rPr>
          <w:lang w:bidi="en-US"/>
        </w:rPr>
        <w:t>opulation at risk of poverty, severely materially deprived and living in a household with low work intensity, 2011</w:t>
      </w:r>
      <w:bookmarkEnd w:id="38"/>
      <w:bookmarkEnd w:id="39"/>
      <w:bookmarkEnd w:id="40"/>
      <w:bookmarkEnd w:id="41"/>
      <w:bookmarkEnd w:id="42"/>
    </w:p>
    <w:p w:rsidR="008240CB" w:rsidRPr="00301583" w:rsidRDefault="008240CB" w:rsidP="008240CB">
      <w:pPr>
        <w:spacing w:before="0" w:after="240" w:line="240" w:lineRule="auto"/>
        <w:rPr>
          <w:sz w:val="16"/>
          <w:szCs w:val="16"/>
          <w:lang w:bidi="en-US"/>
        </w:rPr>
      </w:pPr>
      <w:r w:rsidRPr="008240CB">
        <w:rPr>
          <w:b/>
          <w:sz w:val="16"/>
          <w:szCs w:val="16"/>
          <w:lang w:bidi="en-US"/>
        </w:rPr>
        <w:t>Source:</w:t>
      </w:r>
      <w:r w:rsidRPr="00301583">
        <w:rPr>
          <w:sz w:val="16"/>
          <w:szCs w:val="16"/>
          <w:lang w:bidi="en-US"/>
        </w:rPr>
        <w:t xml:space="preserve"> Eurostat database, Social participation statistics, Material deprivation and low work intensity statistics, Inte</w:t>
      </w:r>
      <w:r w:rsidRPr="00301583">
        <w:rPr>
          <w:sz w:val="16"/>
          <w:szCs w:val="16"/>
          <w:lang w:bidi="en-US"/>
        </w:rPr>
        <w:t>r</w:t>
      </w:r>
      <w:r w:rsidRPr="00301583">
        <w:rPr>
          <w:sz w:val="16"/>
          <w:szCs w:val="16"/>
          <w:lang w:bidi="en-US"/>
        </w:rPr>
        <w:t xml:space="preserve">sections of Europe 2020 Poverty Target Indicators by income quintile [ilc_pees03] </w:t>
      </w:r>
    </w:p>
    <w:p w:rsidR="00F24D2B" w:rsidRPr="00301583" w:rsidRDefault="00F24D2B" w:rsidP="001E5FFE">
      <w:pPr>
        <w:spacing w:line="276" w:lineRule="auto"/>
      </w:pPr>
      <w:r w:rsidRPr="00301583">
        <w:t>The identified components of poverty generating material deprivation and social e</w:t>
      </w:r>
      <w:r w:rsidRPr="00301583">
        <w:t>x</w:t>
      </w:r>
      <w:r w:rsidRPr="00301583">
        <w:t>clusion that do overlap – in line with EU tendencies – are as follows:</w:t>
      </w:r>
    </w:p>
    <w:p w:rsidR="00F24D2B" w:rsidRPr="00301583" w:rsidRDefault="00F24D2B" w:rsidP="001E5FFE">
      <w:pPr>
        <w:numPr>
          <w:ilvl w:val="0"/>
          <w:numId w:val="9"/>
        </w:numPr>
        <w:spacing w:line="276" w:lineRule="auto"/>
      </w:pPr>
      <w:r w:rsidRPr="00301583">
        <w:t>Unemployment, especially long-term unemployment, resulting in low work i</w:t>
      </w:r>
      <w:r w:rsidRPr="00301583">
        <w:t>n</w:t>
      </w:r>
      <w:r w:rsidRPr="00301583">
        <w:t>tensity rate or no work at all.</w:t>
      </w:r>
    </w:p>
    <w:p w:rsidR="00F24D2B" w:rsidRPr="00301583" w:rsidRDefault="00F24D2B" w:rsidP="001E5FFE">
      <w:pPr>
        <w:numPr>
          <w:ilvl w:val="0"/>
          <w:numId w:val="9"/>
        </w:numPr>
        <w:spacing w:line="276" w:lineRule="auto"/>
      </w:pPr>
      <w:r w:rsidRPr="00301583">
        <w:t>Age structure.</w:t>
      </w:r>
    </w:p>
    <w:p w:rsidR="00F24D2B" w:rsidRPr="00301583" w:rsidRDefault="00F24D2B" w:rsidP="001E5FFE">
      <w:pPr>
        <w:numPr>
          <w:ilvl w:val="0"/>
          <w:numId w:val="9"/>
        </w:numPr>
        <w:spacing w:line="276" w:lineRule="auto"/>
      </w:pPr>
      <w:r w:rsidRPr="00301583">
        <w:t>Household composition: being single, especially with children (lone parents), households with more than 3 children.</w:t>
      </w:r>
    </w:p>
    <w:p w:rsidR="00F24D2B" w:rsidRPr="00301583" w:rsidRDefault="00F24D2B" w:rsidP="001E5FFE">
      <w:pPr>
        <w:spacing w:line="276" w:lineRule="auto"/>
      </w:pPr>
      <w:r w:rsidRPr="00301583">
        <w:t>The quoted volume relies on the EU SILC survey, which identified the highly signif</w:t>
      </w:r>
      <w:r w:rsidRPr="00301583">
        <w:t>i</w:t>
      </w:r>
      <w:r w:rsidRPr="00301583">
        <w:t>cant impact of unemployment on the level of poverty risk: while as little as 6.2% of working people over 18 years of age (excepting students 18 to 24) fell under the 60% of the equalised median income, almost half of the unemployed (44.6%) fell to the group of the relatively poor. (</w:t>
      </w:r>
      <w:r w:rsidRPr="00301583">
        <w:rPr>
          <w:lang w:eastAsia="en-GB"/>
        </w:rPr>
        <w:t>Vlačuha – Kováčová 2013</w:t>
      </w:r>
      <w:r w:rsidR="008240CB">
        <w:rPr>
          <w:lang w:eastAsia="en-GB"/>
        </w:rPr>
        <w:t xml:space="preserve">, p. </w:t>
      </w:r>
      <w:r w:rsidRPr="00301583">
        <w:rPr>
          <w:lang w:eastAsia="en-GB"/>
        </w:rPr>
        <w:t>10)</w:t>
      </w:r>
    </w:p>
    <w:p w:rsidR="00F24D2B" w:rsidRPr="00301583" w:rsidRDefault="00F24D2B" w:rsidP="001E5FFE">
      <w:pPr>
        <w:spacing w:line="276" w:lineRule="auto"/>
      </w:pPr>
      <w:r w:rsidRPr="00301583">
        <w:t xml:space="preserve">The role of household structures is also significant. The rate of the risk of poverty after social transfers was almost two times higher in 2012 than the country average (13.2%) in households of single adults less than 65 years of age (24.1%), whilst the rate was more than twice the country average in households of adult single parents and peaked at 35.1% in the case of households with three or more children. (Source: </w:t>
      </w:r>
      <w:r w:rsidR="008240CB">
        <w:rPr>
          <w:lang w:eastAsia="en-GB"/>
        </w:rPr>
        <w:t xml:space="preserve">Vlačuha – Kováčová, 2013, p. </w:t>
      </w:r>
      <w:r w:rsidRPr="00301583">
        <w:rPr>
          <w:lang w:eastAsia="en-GB"/>
        </w:rPr>
        <w:t>9)</w:t>
      </w:r>
    </w:p>
    <w:p w:rsidR="00F24D2B" w:rsidRPr="00301583" w:rsidRDefault="00F24D2B" w:rsidP="001E5FFE">
      <w:pPr>
        <w:spacing w:line="276" w:lineRule="auto"/>
      </w:pPr>
      <w:r w:rsidRPr="00301583">
        <w:lastRenderedPageBreak/>
        <w:t>The above mentioned figures reflected poverty rates after social transfers. Age, ho</w:t>
      </w:r>
      <w:r w:rsidRPr="00301583">
        <w:t>w</w:t>
      </w:r>
      <w:r w:rsidRPr="00301583">
        <w:t xml:space="preserve">ever, </w:t>
      </w:r>
      <w:r w:rsidR="00085E0C" w:rsidRPr="00301583">
        <w:t xml:space="preserve">illustrates </w:t>
      </w:r>
      <w:r w:rsidRPr="00301583">
        <w:t>the extremely high equalising effects of social transfers in the case of certain age groups, notably the portion of the population over 65 years of age.</w:t>
      </w:r>
    </w:p>
    <w:p w:rsidR="00F24D2B" w:rsidRPr="00301583" w:rsidRDefault="00F24D2B" w:rsidP="008240CB">
      <w:pPr>
        <w:spacing w:before="240" w:after="240" w:line="240" w:lineRule="auto"/>
        <w:ind w:left="709"/>
      </w:pPr>
      <w:r w:rsidRPr="00301583">
        <w:t>“…a</w:t>
      </w:r>
      <w:r w:rsidRPr="00301583">
        <w:rPr>
          <w:rFonts w:eastAsia="Calibri"/>
        </w:rPr>
        <w:t>t-risk-of-poverty rate before all social transfers in this group of the popul</w:t>
      </w:r>
      <w:r w:rsidRPr="00301583">
        <w:rPr>
          <w:rFonts w:eastAsia="Calibri"/>
        </w:rPr>
        <w:t>a</w:t>
      </w:r>
      <w:r w:rsidRPr="00301583">
        <w:rPr>
          <w:rFonts w:eastAsia="Calibri"/>
        </w:rPr>
        <w:t>tion … [was] more than eight times higher than it was in the case of the same age group of the population after taking into account old age and survivor´s benefits in equalised disposable income” (</w:t>
      </w:r>
      <w:r w:rsidRPr="00301583">
        <w:rPr>
          <w:lang w:eastAsia="en-GB"/>
        </w:rPr>
        <w:t>Vlačuha – Kováčová</w:t>
      </w:r>
      <w:r w:rsidR="008240CB">
        <w:rPr>
          <w:lang w:eastAsia="en-GB"/>
        </w:rPr>
        <w:t xml:space="preserve">, 2013, p. </w:t>
      </w:r>
      <w:r w:rsidRPr="00301583">
        <w:rPr>
          <w:lang w:eastAsia="en-GB"/>
        </w:rPr>
        <w:t>22)</w:t>
      </w:r>
    </w:p>
    <w:p w:rsidR="003A6D93" w:rsidRPr="00301583" w:rsidRDefault="00F24D2B" w:rsidP="00F4547F">
      <w:pPr>
        <w:spacing w:after="240" w:line="276" w:lineRule="auto"/>
      </w:pPr>
      <w:r w:rsidRPr="00301583">
        <w:t xml:space="preserve">The risk of a rise </w:t>
      </w:r>
      <w:r w:rsidR="00085E0C" w:rsidRPr="00301583">
        <w:t xml:space="preserve">by </w:t>
      </w:r>
      <w:r w:rsidRPr="00301583">
        <w:t>the poverty rate (cut-off point: 60%) before and after social tran</w:t>
      </w:r>
      <w:r w:rsidRPr="00301583">
        <w:t>s</w:t>
      </w:r>
      <w:r w:rsidRPr="00301583">
        <w:t xml:space="preserve">fers is illustrated in the table below. </w:t>
      </w:r>
      <w:r w:rsidR="00085E0C" w:rsidRPr="00301583">
        <w:t>D</w:t>
      </w:r>
      <w:r w:rsidRPr="00301583">
        <w:t>ata clearly demonstrate that without the efficient equalising effect of old age and survivors’ benefits, the risk of poverty for the elderly would be 2.2 times higher than that of children. Without social transfers, the average poverty rate would increase to almost three times higher.</w:t>
      </w:r>
    </w:p>
    <w:p w:rsidR="00914F9A" w:rsidRPr="00F4547F" w:rsidRDefault="00A51FA1" w:rsidP="00F4547F">
      <w:pPr>
        <w:pStyle w:val="Caption"/>
        <w:spacing w:after="120"/>
        <w:rPr>
          <w:rFonts w:eastAsia="Calibri"/>
        </w:rPr>
      </w:pPr>
      <w:bookmarkStart w:id="43" w:name="_Toc385939080"/>
      <w:bookmarkStart w:id="44" w:name="_Toc392509036"/>
      <w:r w:rsidRPr="00301583">
        <w:rPr>
          <w:rFonts w:eastAsia="Calibri"/>
        </w:rPr>
        <w:t xml:space="preserve">Table </w:t>
      </w:r>
      <w:r w:rsidR="00B759C8">
        <w:fldChar w:fldCharType="begin"/>
      </w:r>
      <w:r w:rsidR="00A752E6">
        <w:instrText xml:space="preserve"> SEQ Table \* ARABIC </w:instrText>
      </w:r>
      <w:r w:rsidR="00B759C8">
        <w:fldChar w:fldCharType="separate"/>
      </w:r>
      <w:r w:rsidR="00DC6D66">
        <w:rPr>
          <w:noProof/>
        </w:rPr>
        <w:t>7</w:t>
      </w:r>
      <w:r w:rsidR="00B759C8">
        <w:rPr>
          <w:noProof/>
        </w:rPr>
        <w:fldChar w:fldCharType="end"/>
      </w:r>
      <w:r w:rsidR="009441AC">
        <w:t>:</w:t>
      </w:r>
      <w:r w:rsidR="00AF33F5">
        <w:t xml:space="preserve"> </w:t>
      </w:r>
      <w:r w:rsidR="00914F9A" w:rsidRPr="00301583">
        <w:rPr>
          <w:rFonts w:eastAsia="Calibri"/>
        </w:rPr>
        <w:t>At-risk-of poverty rate after social transfers by age-groups before and after social transfers 2011 (in %)</w:t>
      </w:r>
      <w:bookmarkEnd w:id="43"/>
      <w:bookmarkEnd w:id="44"/>
    </w:p>
    <w:tbl>
      <w:tblPr>
        <w:tblW w:w="8343" w:type="dxa"/>
        <w:tblInd w:w="122" w:type="dxa"/>
        <w:tblLook w:val="04A0" w:firstRow="1" w:lastRow="0" w:firstColumn="1" w:lastColumn="0" w:noHBand="0" w:noVBand="1"/>
      </w:tblPr>
      <w:tblGrid>
        <w:gridCol w:w="2576"/>
        <w:gridCol w:w="672"/>
        <w:gridCol w:w="742"/>
        <w:gridCol w:w="826"/>
        <w:gridCol w:w="1343"/>
        <w:gridCol w:w="742"/>
        <w:gridCol w:w="650"/>
        <w:gridCol w:w="819"/>
      </w:tblGrid>
      <w:tr w:rsidR="00914F9A" w:rsidRPr="00301583" w:rsidTr="00EB5A1D">
        <w:trPr>
          <w:trHeight w:val="588"/>
        </w:trPr>
        <w:tc>
          <w:tcPr>
            <w:tcW w:w="25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b/>
                <w:color w:val="000000"/>
                <w:sz w:val="19"/>
                <w:szCs w:val="19"/>
                <w:lang w:eastAsia="en-GB"/>
              </w:rPr>
            </w:pPr>
            <w:r w:rsidRPr="001C204F">
              <w:rPr>
                <w:rFonts w:cs="Arial"/>
                <w:b/>
                <w:color w:val="000000"/>
                <w:sz w:val="19"/>
                <w:szCs w:val="19"/>
                <w:lang w:eastAsia="en-GB"/>
              </w:rPr>
              <w:t>At risk of poverty rate</w:t>
            </w:r>
          </w:p>
        </w:tc>
        <w:tc>
          <w:tcPr>
            <w:tcW w:w="2240" w:type="dxa"/>
            <w:gridSpan w:val="3"/>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b/>
                <w:color w:val="000000"/>
                <w:sz w:val="19"/>
                <w:szCs w:val="19"/>
                <w:lang w:eastAsia="en-GB"/>
              </w:rPr>
            </w:pPr>
            <w:r w:rsidRPr="001C204F">
              <w:rPr>
                <w:rFonts w:cs="Arial"/>
                <w:b/>
                <w:color w:val="000000"/>
                <w:sz w:val="19"/>
                <w:szCs w:val="19"/>
                <w:lang w:eastAsia="en-GB"/>
              </w:rPr>
              <w:t>Total</w:t>
            </w:r>
          </w:p>
        </w:tc>
        <w:tc>
          <w:tcPr>
            <w:tcW w:w="13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14F9A" w:rsidRPr="001C204F" w:rsidRDefault="00914F9A" w:rsidP="001C204F">
            <w:pPr>
              <w:spacing w:before="20" w:after="20" w:line="240" w:lineRule="auto"/>
              <w:jc w:val="center"/>
              <w:rPr>
                <w:rFonts w:cs="Arial"/>
                <w:b/>
                <w:color w:val="000000"/>
                <w:sz w:val="19"/>
                <w:szCs w:val="19"/>
                <w:lang w:eastAsia="en-GB"/>
              </w:rPr>
            </w:pPr>
            <w:r w:rsidRPr="001C204F">
              <w:rPr>
                <w:rFonts w:cs="Arial"/>
                <w:b/>
                <w:color w:val="000000"/>
                <w:sz w:val="19"/>
                <w:szCs w:val="19"/>
                <w:lang w:eastAsia="en-GB"/>
              </w:rPr>
              <w:t>Age group 0-17</w:t>
            </w:r>
          </w:p>
        </w:tc>
        <w:tc>
          <w:tcPr>
            <w:tcW w:w="2184" w:type="dxa"/>
            <w:gridSpan w:val="3"/>
            <w:tcBorders>
              <w:top w:val="single" w:sz="4" w:space="0" w:color="auto"/>
              <w:left w:val="nil"/>
              <w:bottom w:val="single" w:sz="4" w:space="0" w:color="auto"/>
              <w:right w:val="single" w:sz="4" w:space="0" w:color="auto"/>
            </w:tcBorders>
            <w:shd w:val="clear" w:color="auto" w:fill="auto"/>
            <w:vAlign w:val="center"/>
          </w:tcPr>
          <w:p w:rsidR="00914F9A" w:rsidRPr="001C204F" w:rsidRDefault="00914F9A" w:rsidP="001C204F">
            <w:pPr>
              <w:spacing w:before="20" w:after="20" w:line="240" w:lineRule="auto"/>
              <w:jc w:val="center"/>
              <w:rPr>
                <w:rFonts w:cs="Arial"/>
                <w:b/>
                <w:color w:val="000000"/>
                <w:sz w:val="19"/>
                <w:szCs w:val="19"/>
                <w:lang w:eastAsia="en-GB"/>
              </w:rPr>
            </w:pPr>
            <w:r w:rsidRPr="001C204F">
              <w:rPr>
                <w:rFonts w:cs="Arial"/>
                <w:b/>
                <w:color w:val="000000"/>
                <w:sz w:val="19"/>
                <w:szCs w:val="19"/>
                <w:lang w:eastAsia="en-GB"/>
              </w:rPr>
              <w:t>Age group 65 years old and over</w:t>
            </w:r>
          </w:p>
        </w:tc>
      </w:tr>
      <w:tr w:rsidR="00914F9A" w:rsidRPr="00301583" w:rsidTr="00EB5A1D">
        <w:trPr>
          <w:trHeight w:val="288"/>
        </w:trPr>
        <w:tc>
          <w:tcPr>
            <w:tcW w:w="2576" w:type="dxa"/>
            <w:vMerge/>
            <w:tcBorders>
              <w:top w:val="single" w:sz="4" w:space="0" w:color="auto"/>
              <w:left w:val="single" w:sz="4" w:space="0" w:color="auto"/>
              <w:bottom w:val="single" w:sz="18" w:space="0" w:color="auto"/>
              <w:right w:val="single" w:sz="4" w:space="0" w:color="auto"/>
            </w:tcBorders>
            <w:shd w:val="clear" w:color="auto" w:fill="auto"/>
            <w:vAlign w:val="center"/>
          </w:tcPr>
          <w:p w:rsidR="00914F9A" w:rsidRPr="001C204F" w:rsidRDefault="00914F9A" w:rsidP="001C204F">
            <w:pPr>
              <w:spacing w:before="20" w:after="20" w:line="240" w:lineRule="auto"/>
              <w:jc w:val="left"/>
              <w:rPr>
                <w:rFonts w:cs="Arial"/>
                <w:color w:val="000000"/>
                <w:sz w:val="19"/>
                <w:szCs w:val="19"/>
                <w:lang w:eastAsia="en-GB"/>
              </w:rPr>
            </w:pPr>
          </w:p>
        </w:tc>
        <w:tc>
          <w:tcPr>
            <w:tcW w:w="672" w:type="dxa"/>
            <w:tcBorders>
              <w:top w:val="single" w:sz="4" w:space="0" w:color="auto"/>
              <w:left w:val="nil"/>
              <w:bottom w:val="single" w:sz="18"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Total</w:t>
            </w:r>
          </w:p>
        </w:tc>
        <w:tc>
          <w:tcPr>
            <w:tcW w:w="742" w:type="dxa"/>
            <w:tcBorders>
              <w:top w:val="nil"/>
              <w:left w:val="nil"/>
              <w:bottom w:val="single" w:sz="18"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male</w:t>
            </w:r>
          </w:p>
        </w:tc>
        <w:tc>
          <w:tcPr>
            <w:tcW w:w="826" w:type="dxa"/>
            <w:tcBorders>
              <w:top w:val="nil"/>
              <w:left w:val="nil"/>
              <w:bottom w:val="single" w:sz="18"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female</w:t>
            </w:r>
          </w:p>
        </w:tc>
        <w:tc>
          <w:tcPr>
            <w:tcW w:w="1343" w:type="dxa"/>
            <w:vMerge/>
            <w:tcBorders>
              <w:top w:val="single" w:sz="4" w:space="0" w:color="auto"/>
              <w:left w:val="single" w:sz="4" w:space="0" w:color="auto"/>
              <w:bottom w:val="single" w:sz="18" w:space="0" w:color="auto"/>
              <w:right w:val="single" w:sz="4" w:space="0" w:color="auto"/>
            </w:tcBorders>
            <w:shd w:val="clear" w:color="auto" w:fill="auto"/>
            <w:vAlign w:val="center"/>
          </w:tcPr>
          <w:p w:rsidR="00914F9A" w:rsidRPr="001C204F" w:rsidRDefault="00914F9A" w:rsidP="001C204F">
            <w:pPr>
              <w:spacing w:before="20" w:after="20" w:line="240" w:lineRule="auto"/>
              <w:jc w:val="left"/>
              <w:rPr>
                <w:rFonts w:cs="Arial"/>
                <w:b/>
                <w:color w:val="000000"/>
                <w:sz w:val="19"/>
                <w:szCs w:val="19"/>
                <w:lang w:eastAsia="en-GB"/>
              </w:rPr>
            </w:pPr>
          </w:p>
        </w:tc>
        <w:tc>
          <w:tcPr>
            <w:tcW w:w="742" w:type="dxa"/>
            <w:tcBorders>
              <w:top w:val="single" w:sz="4" w:space="0" w:color="auto"/>
              <w:left w:val="nil"/>
              <w:bottom w:val="single" w:sz="18"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Total</w:t>
            </w:r>
          </w:p>
        </w:tc>
        <w:tc>
          <w:tcPr>
            <w:tcW w:w="650" w:type="dxa"/>
            <w:tcBorders>
              <w:top w:val="nil"/>
              <w:left w:val="nil"/>
              <w:bottom w:val="single" w:sz="18"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male</w:t>
            </w:r>
          </w:p>
        </w:tc>
        <w:tc>
          <w:tcPr>
            <w:tcW w:w="792" w:type="dxa"/>
            <w:tcBorders>
              <w:top w:val="nil"/>
              <w:left w:val="nil"/>
              <w:bottom w:val="single" w:sz="18"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female</w:t>
            </w:r>
          </w:p>
        </w:tc>
      </w:tr>
      <w:tr w:rsidR="00EB5A1D" w:rsidRPr="00301583" w:rsidTr="00EB5A1D">
        <w:trPr>
          <w:trHeight w:val="864"/>
        </w:trPr>
        <w:tc>
          <w:tcPr>
            <w:tcW w:w="2576" w:type="dxa"/>
            <w:tcBorders>
              <w:top w:val="single" w:sz="18" w:space="0" w:color="auto"/>
              <w:left w:val="single" w:sz="4" w:space="0" w:color="auto"/>
              <w:bottom w:val="single" w:sz="4" w:space="0" w:color="auto"/>
              <w:right w:val="single" w:sz="4" w:space="0" w:color="auto"/>
            </w:tcBorders>
            <w:shd w:val="clear" w:color="auto" w:fill="D9D9D9" w:themeFill="background1" w:themeFillShade="D9"/>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At-risk-of poverty rate b</w:t>
            </w:r>
            <w:r w:rsidRPr="001C204F">
              <w:rPr>
                <w:rFonts w:cs="Arial"/>
                <w:color w:val="000000"/>
                <w:sz w:val="19"/>
                <w:szCs w:val="19"/>
                <w:lang w:eastAsia="en-GB"/>
              </w:rPr>
              <w:t>e</w:t>
            </w:r>
            <w:r w:rsidRPr="001C204F">
              <w:rPr>
                <w:rFonts w:cs="Arial"/>
                <w:color w:val="000000"/>
                <w:sz w:val="19"/>
                <w:szCs w:val="19"/>
                <w:lang w:eastAsia="en-GB"/>
              </w:rPr>
              <w:t>fore all social transfers by selected age groups and by gender (in%)</w:t>
            </w:r>
          </w:p>
        </w:tc>
        <w:tc>
          <w:tcPr>
            <w:tcW w:w="672"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37</w:t>
            </w:r>
            <w:r w:rsidR="00085E0C" w:rsidRPr="001C204F">
              <w:rPr>
                <w:rFonts w:cs="Arial"/>
                <w:color w:val="000000"/>
                <w:sz w:val="19"/>
                <w:szCs w:val="19"/>
                <w:lang w:eastAsia="en-GB"/>
              </w:rPr>
              <w:t>.</w:t>
            </w:r>
            <w:r w:rsidRPr="001C204F">
              <w:rPr>
                <w:rFonts w:cs="Arial"/>
                <w:color w:val="000000"/>
                <w:sz w:val="19"/>
                <w:szCs w:val="19"/>
                <w:lang w:eastAsia="en-GB"/>
              </w:rPr>
              <w:t>9</w:t>
            </w:r>
          </w:p>
        </w:tc>
        <w:tc>
          <w:tcPr>
            <w:tcW w:w="742"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35</w:t>
            </w:r>
            <w:r w:rsidR="00085E0C" w:rsidRPr="001C204F">
              <w:rPr>
                <w:rFonts w:cs="Arial"/>
                <w:color w:val="000000"/>
                <w:sz w:val="19"/>
                <w:szCs w:val="19"/>
                <w:lang w:eastAsia="en-GB"/>
              </w:rPr>
              <w:t>.</w:t>
            </w:r>
            <w:r w:rsidRPr="001C204F">
              <w:rPr>
                <w:rFonts w:cs="Arial"/>
                <w:color w:val="000000"/>
                <w:sz w:val="19"/>
                <w:szCs w:val="19"/>
                <w:lang w:eastAsia="en-GB"/>
              </w:rPr>
              <w:t>0</w:t>
            </w:r>
          </w:p>
        </w:tc>
        <w:tc>
          <w:tcPr>
            <w:tcW w:w="826"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40</w:t>
            </w:r>
            <w:r w:rsidR="00085E0C" w:rsidRPr="001C204F">
              <w:rPr>
                <w:rFonts w:cs="Arial"/>
                <w:color w:val="000000"/>
                <w:sz w:val="19"/>
                <w:szCs w:val="19"/>
                <w:lang w:eastAsia="en-GB"/>
              </w:rPr>
              <w:t>.</w:t>
            </w:r>
            <w:r w:rsidRPr="001C204F">
              <w:rPr>
                <w:rFonts w:cs="Arial"/>
                <w:color w:val="000000"/>
                <w:sz w:val="19"/>
                <w:szCs w:val="19"/>
                <w:lang w:eastAsia="en-GB"/>
              </w:rPr>
              <w:t>5</w:t>
            </w:r>
          </w:p>
        </w:tc>
        <w:tc>
          <w:tcPr>
            <w:tcW w:w="134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36</w:t>
            </w:r>
            <w:r w:rsidR="00085E0C" w:rsidRPr="001C204F">
              <w:rPr>
                <w:rFonts w:cs="Arial"/>
                <w:color w:val="000000"/>
                <w:sz w:val="19"/>
                <w:szCs w:val="19"/>
                <w:lang w:eastAsia="en-GB"/>
              </w:rPr>
              <w:t>.</w:t>
            </w:r>
            <w:r w:rsidRPr="001C204F">
              <w:rPr>
                <w:rFonts w:cs="Arial"/>
                <w:color w:val="000000"/>
                <w:sz w:val="19"/>
                <w:szCs w:val="19"/>
                <w:lang w:eastAsia="en-GB"/>
              </w:rPr>
              <w:t>1</w:t>
            </w:r>
          </w:p>
        </w:tc>
        <w:tc>
          <w:tcPr>
            <w:tcW w:w="742"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83</w:t>
            </w:r>
            <w:r w:rsidR="00085E0C" w:rsidRPr="001C204F">
              <w:rPr>
                <w:rFonts w:cs="Arial"/>
                <w:color w:val="000000"/>
                <w:sz w:val="19"/>
                <w:szCs w:val="19"/>
                <w:lang w:eastAsia="en-GB"/>
              </w:rPr>
              <w:t>.</w:t>
            </w:r>
            <w:r w:rsidRPr="001C204F">
              <w:rPr>
                <w:rFonts w:cs="Arial"/>
                <w:color w:val="000000"/>
                <w:sz w:val="19"/>
                <w:szCs w:val="19"/>
                <w:lang w:eastAsia="en-GB"/>
              </w:rPr>
              <w:t>3</w:t>
            </w:r>
          </w:p>
        </w:tc>
        <w:tc>
          <w:tcPr>
            <w:tcW w:w="6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83</w:t>
            </w:r>
            <w:r w:rsidR="00085E0C" w:rsidRPr="001C204F">
              <w:rPr>
                <w:rFonts w:cs="Arial"/>
                <w:color w:val="000000"/>
                <w:sz w:val="19"/>
                <w:szCs w:val="19"/>
                <w:lang w:eastAsia="en-GB"/>
              </w:rPr>
              <w:t>.0</w:t>
            </w:r>
          </w:p>
        </w:tc>
        <w:tc>
          <w:tcPr>
            <w:tcW w:w="792"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83</w:t>
            </w:r>
            <w:r w:rsidR="00085E0C" w:rsidRPr="001C204F">
              <w:rPr>
                <w:rFonts w:cs="Arial"/>
                <w:color w:val="000000"/>
                <w:sz w:val="19"/>
                <w:szCs w:val="19"/>
                <w:lang w:eastAsia="en-GB"/>
              </w:rPr>
              <w:t>.</w:t>
            </w:r>
            <w:r w:rsidRPr="001C204F">
              <w:rPr>
                <w:rFonts w:cs="Arial"/>
                <w:color w:val="000000"/>
                <w:sz w:val="19"/>
                <w:szCs w:val="19"/>
                <w:lang w:eastAsia="en-GB"/>
              </w:rPr>
              <w:t>5</w:t>
            </w:r>
          </w:p>
        </w:tc>
      </w:tr>
      <w:tr w:rsidR="00914F9A" w:rsidRPr="00301583" w:rsidTr="00EB5A1D">
        <w:trPr>
          <w:trHeight w:val="864"/>
        </w:trPr>
        <w:tc>
          <w:tcPr>
            <w:tcW w:w="2576" w:type="dxa"/>
            <w:tcBorders>
              <w:top w:val="nil"/>
              <w:left w:val="single" w:sz="4" w:space="0" w:color="auto"/>
              <w:bottom w:val="single" w:sz="4" w:space="0" w:color="auto"/>
              <w:right w:val="single" w:sz="4" w:space="0" w:color="auto"/>
            </w:tcBorders>
            <w:shd w:val="clear" w:color="auto" w:fill="auto"/>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At-risk-of poverty rate after social transfers by selected age groups and by gender (in%)</w:t>
            </w:r>
          </w:p>
        </w:tc>
        <w:tc>
          <w:tcPr>
            <w:tcW w:w="672" w:type="dxa"/>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13</w:t>
            </w:r>
            <w:r w:rsidR="00085E0C" w:rsidRPr="001C204F">
              <w:rPr>
                <w:rFonts w:cs="Arial"/>
                <w:color w:val="000000"/>
                <w:sz w:val="19"/>
                <w:szCs w:val="19"/>
                <w:lang w:eastAsia="en-GB"/>
              </w:rPr>
              <w:t>.</w:t>
            </w:r>
            <w:r w:rsidRPr="001C204F">
              <w:rPr>
                <w:rFonts w:cs="Arial"/>
                <w:color w:val="000000"/>
                <w:sz w:val="19"/>
                <w:szCs w:val="19"/>
                <w:lang w:eastAsia="en-GB"/>
              </w:rPr>
              <w:t>2</w:t>
            </w:r>
          </w:p>
        </w:tc>
        <w:tc>
          <w:tcPr>
            <w:tcW w:w="742"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13</w:t>
            </w:r>
            <w:r w:rsidR="00085E0C" w:rsidRPr="001C204F">
              <w:rPr>
                <w:rFonts w:cs="Arial"/>
                <w:color w:val="000000"/>
                <w:sz w:val="19"/>
                <w:szCs w:val="19"/>
                <w:lang w:eastAsia="en-GB"/>
              </w:rPr>
              <w:t>.</w:t>
            </w:r>
            <w:r w:rsidRPr="001C204F">
              <w:rPr>
                <w:rFonts w:cs="Arial"/>
                <w:color w:val="000000"/>
                <w:sz w:val="19"/>
                <w:szCs w:val="19"/>
                <w:lang w:eastAsia="en-GB"/>
              </w:rPr>
              <w:t>2</w:t>
            </w:r>
          </w:p>
        </w:tc>
        <w:tc>
          <w:tcPr>
            <w:tcW w:w="826"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13</w:t>
            </w:r>
            <w:r w:rsidR="00085E0C" w:rsidRPr="001C204F">
              <w:rPr>
                <w:rFonts w:cs="Arial"/>
                <w:color w:val="000000"/>
                <w:sz w:val="19"/>
                <w:szCs w:val="19"/>
                <w:lang w:eastAsia="en-GB"/>
              </w:rPr>
              <w:t>.</w:t>
            </w:r>
            <w:r w:rsidRPr="001C204F">
              <w:rPr>
                <w:rFonts w:cs="Arial"/>
                <w:color w:val="000000"/>
                <w:sz w:val="19"/>
                <w:szCs w:val="19"/>
                <w:lang w:eastAsia="en-GB"/>
              </w:rPr>
              <w:t>3</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21</w:t>
            </w:r>
            <w:r w:rsidR="00085E0C" w:rsidRPr="001C204F">
              <w:rPr>
                <w:rFonts w:cs="Arial"/>
                <w:color w:val="000000"/>
                <w:sz w:val="19"/>
                <w:szCs w:val="19"/>
                <w:lang w:eastAsia="en-GB"/>
              </w:rPr>
              <w:t>.</w:t>
            </w:r>
            <w:r w:rsidRPr="001C204F">
              <w:rPr>
                <w:rFonts w:cs="Arial"/>
                <w:color w:val="000000"/>
                <w:sz w:val="19"/>
                <w:szCs w:val="19"/>
                <w:lang w:eastAsia="en-GB"/>
              </w:rPr>
              <w:t>9</w:t>
            </w:r>
          </w:p>
        </w:tc>
        <w:tc>
          <w:tcPr>
            <w:tcW w:w="742" w:type="dxa"/>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7</w:t>
            </w:r>
            <w:r w:rsidR="00085E0C" w:rsidRPr="001C204F">
              <w:rPr>
                <w:rFonts w:cs="Arial"/>
                <w:color w:val="000000"/>
                <w:sz w:val="19"/>
                <w:szCs w:val="19"/>
                <w:lang w:eastAsia="en-GB"/>
              </w:rPr>
              <w:t>.</w:t>
            </w:r>
            <w:r w:rsidRPr="001C204F">
              <w:rPr>
                <w:rFonts w:cs="Arial"/>
                <w:color w:val="000000"/>
                <w:sz w:val="19"/>
                <w:szCs w:val="19"/>
                <w:lang w:eastAsia="en-GB"/>
              </w:rPr>
              <w:t>8</w:t>
            </w:r>
          </w:p>
        </w:tc>
        <w:tc>
          <w:tcPr>
            <w:tcW w:w="650"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5</w:t>
            </w:r>
            <w:r w:rsidR="00085E0C" w:rsidRPr="001C204F">
              <w:rPr>
                <w:rFonts w:cs="Arial"/>
                <w:color w:val="000000"/>
                <w:sz w:val="19"/>
                <w:szCs w:val="19"/>
                <w:lang w:eastAsia="en-GB"/>
              </w:rPr>
              <w:t>.</w:t>
            </w:r>
            <w:r w:rsidRPr="001C204F">
              <w:rPr>
                <w:rFonts w:cs="Arial"/>
                <w:color w:val="000000"/>
                <w:sz w:val="19"/>
                <w:szCs w:val="19"/>
                <w:lang w:eastAsia="en-GB"/>
              </w:rPr>
              <w:t>9</w:t>
            </w:r>
          </w:p>
        </w:tc>
        <w:tc>
          <w:tcPr>
            <w:tcW w:w="792"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9</w:t>
            </w:r>
            <w:r w:rsidR="00085E0C" w:rsidRPr="001C204F">
              <w:rPr>
                <w:rFonts w:cs="Arial"/>
                <w:color w:val="000000"/>
                <w:sz w:val="19"/>
                <w:szCs w:val="19"/>
                <w:lang w:eastAsia="en-GB"/>
              </w:rPr>
              <w:t>.</w:t>
            </w:r>
            <w:r w:rsidRPr="001C204F">
              <w:rPr>
                <w:rFonts w:cs="Arial"/>
                <w:color w:val="000000"/>
                <w:sz w:val="19"/>
                <w:szCs w:val="19"/>
                <w:lang w:eastAsia="en-GB"/>
              </w:rPr>
              <w:t>0</w:t>
            </w:r>
          </w:p>
        </w:tc>
      </w:tr>
    </w:tbl>
    <w:p w:rsidR="00914F9A" w:rsidRPr="001C204F" w:rsidRDefault="001C204F" w:rsidP="001C204F">
      <w:pPr>
        <w:spacing w:after="240" w:line="240" w:lineRule="auto"/>
        <w:jc w:val="left"/>
        <w:rPr>
          <w:rFonts w:cs="Arial"/>
          <w:sz w:val="16"/>
          <w:szCs w:val="16"/>
          <w:lang w:eastAsia="en-GB"/>
        </w:rPr>
      </w:pPr>
      <w:r w:rsidRPr="001C204F">
        <w:rPr>
          <w:b/>
          <w:sz w:val="16"/>
          <w:szCs w:val="16"/>
        </w:rPr>
        <w:t>Source:</w:t>
      </w:r>
      <w:r w:rsidRPr="001C204F">
        <w:rPr>
          <w:sz w:val="16"/>
          <w:szCs w:val="16"/>
        </w:rPr>
        <w:t xml:space="preserve"> </w:t>
      </w:r>
      <w:r w:rsidR="00914F9A" w:rsidRPr="001C204F">
        <w:rPr>
          <w:sz w:val="16"/>
          <w:szCs w:val="16"/>
        </w:rPr>
        <w:t xml:space="preserve">Compiled from </w:t>
      </w:r>
      <w:r w:rsidR="00914F9A" w:rsidRPr="001C204F">
        <w:rPr>
          <w:rFonts w:cs="Arial"/>
          <w:sz w:val="16"/>
          <w:szCs w:val="16"/>
          <w:lang w:eastAsia="en-GB"/>
        </w:rPr>
        <w:t>Vlačuha – Kováčová</w:t>
      </w:r>
      <w:r w:rsidRPr="001C204F">
        <w:rPr>
          <w:rFonts w:cs="Arial"/>
          <w:sz w:val="16"/>
          <w:szCs w:val="16"/>
          <w:lang w:eastAsia="en-GB"/>
        </w:rPr>
        <w:t>,</w:t>
      </w:r>
      <w:r w:rsidR="00914F9A" w:rsidRPr="001C204F">
        <w:rPr>
          <w:rFonts w:cs="Arial"/>
          <w:sz w:val="16"/>
          <w:szCs w:val="16"/>
          <w:lang w:eastAsia="en-GB"/>
        </w:rPr>
        <w:t xml:space="preserve"> 2013</w:t>
      </w:r>
      <w:r w:rsidRPr="001C204F">
        <w:rPr>
          <w:rFonts w:cs="Arial"/>
          <w:sz w:val="16"/>
          <w:szCs w:val="16"/>
          <w:lang w:eastAsia="en-GB"/>
        </w:rPr>
        <w:t xml:space="preserve">, p. </w:t>
      </w:r>
      <w:r w:rsidR="00914F9A" w:rsidRPr="001C204F">
        <w:rPr>
          <w:rFonts w:cs="Arial"/>
          <w:sz w:val="16"/>
          <w:szCs w:val="16"/>
          <w:lang w:eastAsia="en-GB"/>
        </w:rPr>
        <w:t>21</w:t>
      </w:r>
    </w:p>
    <w:p w:rsidR="00F24D2B" w:rsidRPr="00301583" w:rsidRDefault="00F24D2B" w:rsidP="001E5FFE">
      <w:pPr>
        <w:spacing w:line="276" w:lineRule="auto"/>
        <w:rPr>
          <w:rFonts w:cs="Arial"/>
          <w:szCs w:val="22"/>
          <w:lang w:eastAsia="en-GB"/>
        </w:rPr>
      </w:pPr>
      <w:r w:rsidRPr="00301583">
        <w:rPr>
          <w:rFonts w:cs="Arial"/>
          <w:szCs w:val="22"/>
          <w:lang w:eastAsia="en-GB"/>
        </w:rPr>
        <w:t>Last but not least, regional disparities at NUTS3 level are also discussed in the vo</w:t>
      </w:r>
      <w:r w:rsidRPr="00301583">
        <w:rPr>
          <w:rFonts w:cs="Arial"/>
          <w:szCs w:val="22"/>
          <w:lang w:eastAsia="en-GB"/>
        </w:rPr>
        <w:t>l</w:t>
      </w:r>
      <w:r w:rsidRPr="00301583">
        <w:rPr>
          <w:rFonts w:cs="Arial"/>
          <w:szCs w:val="22"/>
          <w:lang w:eastAsia="en-GB"/>
        </w:rPr>
        <w:t xml:space="preserve">ume. Although low work intensity rate of households is not available on NUTS3 level at EUROSTAT, Slovak statisticians calculated such </w:t>
      </w:r>
      <w:r w:rsidR="00085E0C" w:rsidRPr="00301583">
        <w:rPr>
          <w:rFonts w:cs="Arial"/>
          <w:szCs w:val="22"/>
          <w:lang w:eastAsia="en-GB"/>
        </w:rPr>
        <w:t xml:space="preserve">variables and </w:t>
      </w:r>
      <w:r w:rsidRPr="00301583">
        <w:rPr>
          <w:rFonts w:cs="Arial"/>
          <w:szCs w:val="22"/>
          <w:lang w:eastAsia="en-GB"/>
        </w:rPr>
        <w:t xml:space="preserve">some others </w:t>
      </w:r>
      <w:r w:rsidR="0080255E">
        <w:rPr>
          <w:rFonts w:cs="Arial"/>
          <w:szCs w:val="22"/>
          <w:lang w:eastAsia="en-GB"/>
        </w:rPr>
        <w:t xml:space="preserve">are </w:t>
      </w:r>
      <w:r w:rsidRPr="00301583">
        <w:rPr>
          <w:rFonts w:cs="Arial"/>
          <w:szCs w:val="22"/>
          <w:lang w:eastAsia="en-GB"/>
        </w:rPr>
        <w:t>indicated in the following table:</w:t>
      </w:r>
    </w:p>
    <w:p w:rsidR="00914F9A" w:rsidRPr="00301583" w:rsidRDefault="009D5610" w:rsidP="00914F9A">
      <w:pPr>
        <w:jc w:val="left"/>
        <w:rPr>
          <w:rFonts w:cs="Arial"/>
          <w:szCs w:val="22"/>
          <w:lang w:eastAsia="en-GB"/>
        </w:rPr>
      </w:pPr>
      <w:r w:rsidRPr="00301583">
        <w:rPr>
          <w:rFonts w:cs="Arial"/>
          <w:szCs w:val="22"/>
          <w:lang w:eastAsia="en-GB"/>
        </w:rPr>
        <w:br w:type="page"/>
      </w:r>
    </w:p>
    <w:p w:rsidR="00914F9A" w:rsidRPr="00301583" w:rsidRDefault="00A51FA1" w:rsidP="001C204F">
      <w:pPr>
        <w:pStyle w:val="Caption"/>
        <w:spacing w:after="120"/>
        <w:rPr>
          <w:lang w:eastAsia="en-GB"/>
        </w:rPr>
      </w:pPr>
      <w:bookmarkStart w:id="45" w:name="_Toc385939081"/>
      <w:bookmarkStart w:id="46" w:name="_Toc392509037"/>
      <w:r w:rsidRPr="00301583">
        <w:rPr>
          <w:lang w:eastAsia="en-GB"/>
        </w:rPr>
        <w:lastRenderedPageBreak/>
        <w:t xml:space="preserve">Table </w:t>
      </w:r>
      <w:r w:rsidR="00B759C8">
        <w:fldChar w:fldCharType="begin"/>
      </w:r>
      <w:r w:rsidR="00A752E6">
        <w:instrText xml:space="preserve"> SEQ Table \* ARABIC </w:instrText>
      </w:r>
      <w:r w:rsidR="00B759C8">
        <w:fldChar w:fldCharType="separate"/>
      </w:r>
      <w:r w:rsidR="00DC6D66">
        <w:rPr>
          <w:noProof/>
        </w:rPr>
        <w:t>8</w:t>
      </w:r>
      <w:r w:rsidR="00B759C8">
        <w:rPr>
          <w:noProof/>
        </w:rPr>
        <w:fldChar w:fldCharType="end"/>
      </w:r>
      <w:r w:rsidR="009441AC">
        <w:t>:</w:t>
      </w:r>
      <w:r w:rsidR="00AF33F5">
        <w:t xml:space="preserve"> </w:t>
      </w:r>
      <w:r w:rsidR="00914F9A" w:rsidRPr="00301583">
        <w:rPr>
          <w:lang w:eastAsia="en-GB"/>
        </w:rPr>
        <w:t>Regional disparities in Slovakia expressed in poverty measurements, 2012</w:t>
      </w:r>
      <w:bookmarkEnd w:id="45"/>
      <w:bookmarkEnd w:id="46"/>
    </w:p>
    <w:tbl>
      <w:tblPr>
        <w:tblW w:w="8217" w:type="dxa"/>
        <w:tblInd w:w="164" w:type="dxa"/>
        <w:tblLayout w:type="fixed"/>
        <w:tblLook w:val="04A0" w:firstRow="1" w:lastRow="0" w:firstColumn="1" w:lastColumn="0" w:noHBand="0" w:noVBand="1"/>
      </w:tblPr>
      <w:tblGrid>
        <w:gridCol w:w="1708"/>
        <w:gridCol w:w="1627"/>
        <w:gridCol w:w="1627"/>
        <w:gridCol w:w="1627"/>
        <w:gridCol w:w="1628"/>
      </w:tblGrid>
      <w:tr w:rsidR="00914F9A" w:rsidRPr="00301583" w:rsidTr="00EB5A1D">
        <w:trPr>
          <w:trHeight w:val="1116"/>
        </w:trPr>
        <w:tc>
          <w:tcPr>
            <w:tcW w:w="1708" w:type="dxa"/>
            <w:tcBorders>
              <w:top w:val="single" w:sz="4" w:space="0" w:color="auto"/>
              <w:left w:val="single" w:sz="4" w:space="0" w:color="auto"/>
              <w:bottom w:val="single" w:sz="18"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Regions</w:t>
            </w:r>
          </w:p>
        </w:tc>
        <w:tc>
          <w:tcPr>
            <w:tcW w:w="1627" w:type="dxa"/>
            <w:tcBorders>
              <w:top w:val="single" w:sz="4" w:space="0" w:color="auto"/>
              <w:left w:val="nil"/>
              <w:bottom w:val="single" w:sz="18" w:space="0" w:color="auto"/>
              <w:right w:val="single" w:sz="4" w:space="0" w:color="auto"/>
            </w:tcBorders>
            <w:shd w:val="clear" w:color="auto" w:fill="auto"/>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At-risk-of po</w:t>
            </w:r>
            <w:r w:rsidRPr="001C204F">
              <w:rPr>
                <w:rFonts w:cs="Arial"/>
                <w:b/>
                <w:color w:val="000000"/>
                <w:sz w:val="19"/>
                <w:szCs w:val="19"/>
                <w:lang w:eastAsia="en-GB"/>
              </w:rPr>
              <w:t>v</w:t>
            </w:r>
            <w:r w:rsidRPr="001C204F">
              <w:rPr>
                <w:rFonts w:cs="Arial"/>
                <w:b/>
                <w:color w:val="000000"/>
                <w:sz w:val="19"/>
                <w:szCs w:val="19"/>
                <w:lang w:eastAsia="en-GB"/>
              </w:rPr>
              <w:t>erty rate after social transfers (in%)</w:t>
            </w:r>
          </w:p>
        </w:tc>
        <w:tc>
          <w:tcPr>
            <w:tcW w:w="1627" w:type="dxa"/>
            <w:tcBorders>
              <w:top w:val="single" w:sz="4" w:space="0" w:color="auto"/>
              <w:left w:val="nil"/>
              <w:bottom w:val="single" w:sz="18" w:space="0" w:color="auto"/>
              <w:right w:val="single" w:sz="4" w:space="0" w:color="auto"/>
            </w:tcBorders>
            <w:shd w:val="clear" w:color="auto" w:fill="auto"/>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Low work i</w:t>
            </w:r>
            <w:r w:rsidRPr="001C204F">
              <w:rPr>
                <w:rFonts w:cs="Arial"/>
                <w:b/>
                <w:color w:val="000000"/>
                <w:sz w:val="19"/>
                <w:szCs w:val="19"/>
                <w:lang w:eastAsia="en-GB"/>
              </w:rPr>
              <w:t>n</w:t>
            </w:r>
            <w:r w:rsidRPr="001C204F">
              <w:rPr>
                <w:rFonts w:cs="Arial"/>
                <w:b/>
                <w:color w:val="000000"/>
                <w:sz w:val="19"/>
                <w:szCs w:val="19"/>
                <w:lang w:eastAsia="en-GB"/>
              </w:rPr>
              <w:t>tensity rate of households (18-59, except students 18-24)</w:t>
            </w:r>
          </w:p>
        </w:tc>
        <w:tc>
          <w:tcPr>
            <w:tcW w:w="1627" w:type="dxa"/>
            <w:tcBorders>
              <w:top w:val="single" w:sz="4" w:space="0" w:color="auto"/>
              <w:left w:val="nil"/>
              <w:bottom w:val="single" w:sz="18" w:space="0" w:color="auto"/>
              <w:right w:val="single" w:sz="4" w:space="0" w:color="auto"/>
            </w:tcBorders>
            <w:shd w:val="clear" w:color="auto" w:fill="auto"/>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Inequality of income distr</w:t>
            </w:r>
            <w:r w:rsidRPr="001C204F">
              <w:rPr>
                <w:rFonts w:cs="Arial"/>
                <w:b/>
                <w:color w:val="000000"/>
                <w:sz w:val="19"/>
                <w:szCs w:val="19"/>
                <w:lang w:eastAsia="en-GB"/>
              </w:rPr>
              <w:t>i</w:t>
            </w:r>
            <w:r w:rsidRPr="001C204F">
              <w:rPr>
                <w:rFonts w:cs="Arial"/>
                <w:b/>
                <w:color w:val="000000"/>
                <w:sz w:val="19"/>
                <w:szCs w:val="19"/>
                <w:lang w:eastAsia="en-GB"/>
              </w:rPr>
              <w:t>bution S80/S20 income quintile share ratio by regions</w:t>
            </w:r>
          </w:p>
        </w:tc>
        <w:tc>
          <w:tcPr>
            <w:tcW w:w="1628" w:type="dxa"/>
            <w:tcBorders>
              <w:top w:val="single" w:sz="4" w:space="0" w:color="auto"/>
              <w:left w:val="nil"/>
              <w:bottom w:val="single" w:sz="18" w:space="0" w:color="auto"/>
              <w:right w:val="single" w:sz="4" w:space="0" w:color="auto"/>
            </w:tcBorders>
            <w:shd w:val="clear" w:color="auto" w:fill="auto"/>
            <w:vAlign w:val="center"/>
          </w:tcPr>
          <w:p w:rsidR="00914F9A" w:rsidRPr="001C204F" w:rsidRDefault="00914F9A"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Inequality of income distr</w:t>
            </w:r>
            <w:r w:rsidRPr="001C204F">
              <w:rPr>
                <w:rFonts w:cs="Arial"/>
                <w:b/>
                <w:color w:val="000000"/>
                <w:sz w:val="19"/>
                <w:szCs w:val="19"/>
                <w:lang w:eastAsia="en-GB"/>
              </w:rPr>
              <w:t>i</w:t>
            </w:r>
            <w:r w:rsidRPr="001C204F">
              <w:rPr>
                <w:rFonts w:cs="Arial"/>
                <w:b/>
                <w:color w:val="000000"/>
                <w:sz w:val="19"/>
                <w:szCs w:val="19"/>
                <w:lang w:eastAsia="en-GB"/>
              </w:rPr>
              <w:t>bution: Gini coefficient by regions</w:t>
            </w:r>
          </w:p>
        </w:tc>
      </w:tr>
      <w:tr w:rsidR="00914F9A" w:rsidRPr="00301583" w:rsidTr="00EB5A1D">
        <w:trPr>
          <w:trHeight w:val="288"/>
        </w:trPr>
        <w:tc>
          <w:tcPr>
            <w:tcW w:w="1708" w:type="dxa"/>
            <w:tcBorders>
              <w:top w:val="single" w:sz="18" w:space="0" w:color="auto"/>
              <w:left w:val="single" w:sz="4" w:space="0" w:color="auto"/>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Total (Slovakia)</w:t>
            </w:r>
          </w:p>
        </w:tc>
        <w:tc>
          <w:tcPr>
            <w:tcW w:w="1627" w:type="dxa"/>
            <w:tcBorders>
              <w:top w:val="single" w:sz="18"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13</w:t>
            </w:r>
            <w:r w:rsidR="00301583" w:rsidRPr="001C204F">
              <w:rPr>
                <w:rFonts w:cs="Arial"/>
                <w:color w:val="000000"/>
                <w:sz w:val="19"/>
                <w:szCs w:val="19"/>
                <w:lang w:eastAsia="en-GB"/>
              </w:rPr>
              <w:t>.</w:t>
            </w:r>
            <w:r w:rsidRPr="001C204F">
              <w:rPr>
                <w:rFonts w:cs="Arial"/>
                <w:color w:val="000000"/>
                <w:sz w:val="19"/>
                <w:szCs w:val="19"/>
                <w:lang w:eastAsia="en-GB"/>
              </w:rPr>
              <w:t>2</w:t>
            </w:r>
          </w:p>
        </w:tc>
        <w:tc>
          <w:tcPr>
            <w:tcW w:w="1627" w:type="dxa"/>
            <w:tcBorders>
              <w:top w:val="single" w:sz="18"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7</w:t>
            </w:r>
            <w:r w:rsidR="00301583" w:rsidRPr="001C204F">
              <w:rPr>
                <w:rFonts w:cs="Arial"/>
                <w:color w:val="000000"/>
                <w:sz w:val="19"/>
                <w:szCs w:val="19"/>
                <w:lang w:eastAsia="en-GB"/>
              </w:rPr>
              <w:t>.</w:t>
            </w:r>
            <w:r w:rsidRPr="001C204F">
              <w:rPr>
                <w:rFonts w:cs="Arial"/>
                <w:color w:val="000000"/>
                <w:sz w:val="19"/>
                <w:szCs w:val="19"/>
                <w:lang w:eastAsia="en-GB"/>
              </w:rPr>
              <w:t>2</w:t>
            </w:r>
          </w:p>
        </w:tc>
        <w:tc>
          <w:tcPr>
            <w:tcW w:w="1627" w:type="dxa"/>
            <w:tcBorders>
              <w:top w:val="single" w:sz="18"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w:t>
            </w:r>
            <w:r w:rsidR="00301583" w:rsidRPr="001C204F">
              <w:rPr>
                <w:rFonts w:cs="Arial"/>
                <w:color w:val="000000"/>
                <w:sz w:val="19"/>
                <w:szCs w:val="19"/>
                <w:lang w:eastAsia="en-GB"/>
              </w:rPr>
              <w:t>.</w:t>
            </w:r>
            <w:r w:rsidRPr="001C204F">
              <w:rPr>
                <w:rFonts w:cs="Arial"/>
                <w:color w:val="000000"/>
                <w:sz w:val="19"/>
                <w:szCs w:val="19"/>
                <w:lang w:eastAsia="en-GB"/>
              </w:rPr>
              <w:t>7</w:t>
            </w:r>
          </w:p>
        </w:tc>
        <w:tc>
          <w:tcPr>
            <w:tcW w:w="1628" w:type="dxa"/>
            <w:tcBorders>
              <w:top w:val="single" w:sz="18"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25</w:t>
            </w:r>
            <w:r w:rsidR="00301583" w:rsidRPr="001C204F">
              <w:rPr>
                <w:rFonts w:cs="Arial"/>
                <w:color w:val="000000"/>
                <w:sz w:val="19"/>
                <w:szCs w:val="19"/>
                <w:lang w:eastAsia="en-GB"/>
              </w:rPr>
              <w:t>.</w:t>
            </w:r>
            <w:r w:rsidRPr="001C204F">
              <w:rPr>
                <w:rFonts w:cs="Arial"/>
                <w:color w:val="000000"/>
                <w:sz w:val="19"/>
                <w:szCs w:val="19"/>
                <w:lang w:eastAsia="en-GB"/>
              </w:rPr>
              <w:t>3</w:t>
            </w:r>
          </w:p>
        </w:tc>
      </w:tr>
      <w:tr w:rsidR="00914F9A" w:rsidRPr="00301583" w:rsidTr="00EB5A1D">
        <w:trPr>
          <w:trHeight w:val="288"/>
        </w:trPr>
        <w:tc>
          <w:tcPr>
            <w:tcW w:w="1708" w:type="dxa"/>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Bratislava</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6</w:t>
            </w:r>
            <w:r w:rsidR="00301583" w:rsidRPr="001C204F">
              <w:rPr>
                <w:rFonts w:cs="Arial"/>
                <w:color w:val="000000"/>
                <w:sz w:val="19"/>
                <w:szCs w:val="19"/>
                <w:lang w:eastAsia="en-GB"/>
              </w:rPr>
              <w:t>.</w:t>
            </w:r>
            <w:r w:rsidRPr="001C204F">
              <w:rPr>
                <w:rFonts w:cs="Arial"/>
                <w:color w:val="000000"/>
                <w:sz w:val="19"/>
                <w:szCs w:val="19"/>
                <w:lang w:eastAsia="en-GB"/>
              </w:rPr>
              <w:t>3</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w:t>
            </w:r>
            <w:r w:rsidR="00301583" w:rsidRPr="001C204F">
              <w:rPr>
                <w:rFonts w:cs="Arial"/>
                <w:color w:val="000000"/>
                <w:sz w:val="19"/>
                <w:szCs w:val="19"/>
                <w:lang w:eastAsia="en-GB"/>
              </w:rPr>
              <w:t>.</w:t>
            </w:r>
            <w:r w:rsidRPr="001C204F">
              <w:rPr>
                <w:rFonts w:cs="Arial"/>
                <w:color w:val="000000"/>
                <w:sz w:val="19"/>
                <w:szCs w:val="19"/>
                <w:lang w:eastAsia="en-GB"/>
              </w:rPr>
              <w:t>6</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w:t>
            </w:r>
            <w:r w:rsidR="00301583" w:rsidRPr="001C204F">
              <w:rPr>
                <w:rFonts w:cs="Arial"/>
                <w:color w:val="000000"/>
                <w:sz w:val="19"/>
                <w:szCs w:val="19"/>
                <w:lang w:eastAsia="en-GB"/>
              </w:rPr>
              <w:t>.</w:t>
            </w:r>
            <w:r w:rsidRPr="001C204F">
              <w:rPr>
                <w:rFonts w:cs="Arial"/>
                <w:color w:val="000000"/>
                <w:sz w:val="19"/>
                <w:szCs w:val="19"/>
                <w:lang w:eastAsia="en-GB"/>
              </w:rPr>
              <w:t>7</w:t>
            </w:r>
          </w:p>
        </w:tc>
        <w:tc>
          <w:tcPr>
            <w:tcW w:w="1628"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25</w:t>
            </w:r>
          </w:p>
        </w:tc>
      </w:tr>
      <w:tr w:rsidR="00914F9A" w:rsidRPr="00301583" w:rsidTr="00EB5A1D">
        <w:trPr>
          <w:trHeight w:val="288"/>
        </w:trPr>
        <w:tc>
          <w:tcPr>
            <w:tcW w:w="1708" w:type="dxa"/>
            <w:tcBorders>
              <w:top w:val="nil"/>
              <w:left w:val="single" w:sz="4" w:space="0" w:color="auto"/>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Trnava</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10</w:t>
            </w:r>
            <w:r w:rsidR="00301583" w:rsidRPr="001C204F">
              <w:rPr>
                <w:rFonts w:cs="Arial"/>
                <w:color w:val="000000"/>
                <w:sz w:val="19"/>
                <w:szCs w:val="19"/>
                <w:lang w:eastAsia="en-GB"/>
              </w:rPr>
              <w:t>.</w:t>
            </w:r>
            <w:r w:rsidRPr="001C204F">
              <w:rPr>
                <w:rFonts w:cs="Arial"/>
                <w:color w:val="000000"/>
                <w:sz w:val="19"/>
                <w:szCs w:val="19"/>
                <w:lang w:eastAsia="en-GB"/>
              </w:rPr>
              <w:t>6</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5</w:t>
            </w:r>
            <w:r w:rsidR="00301583" w:rsidRPr="001C204F">
              <w:rPr>
                <w:rFonts w:cs="Arial"/>
                <w:color w:val="000000"/>
                <w:sz w:val="19"/>
                <w:szCs w:val="19"/>
                <w:lang w:eastAsia="en-GB"/>
              </w:rPr>
              <w:t>.</w:t>
            </w:r>
            <w:r w:rsidRPr="001C204F">
              <w:rPr>
                <w:rFonts w:cs="Arial"/>
                <w:color w:val="000000"/>
                <w:sz w:val="19"/>
                <w:szCs w:val="19"/>
                <w:lang w:eastAsia="en-GB"/>
              </w:rPr>
              <w:t>3</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w:t>
            </w:r>
            <w:r w:rsidR="00301583" w:rsidRPr="001C204F">
              <w:rPr>
                <w:rFonts w:cs="Arial"/>
                <w:color w:val="000000"/>
                <w:sz w:val="19"/>
                <w:szCs w:val="19"/>
                <w:lang w:eastAsia="en-GB"/>
              </w:rPr>
              <w:t>.</w:t>
            </w:r>
            <w:r w:rsidRPr="001C204F">
              <w:rPr>
                <w:rFonts w:cs="Arial"/>
                <w:color w:val="000000"/>
                <w:sz w:val="19"/>
                <w:szCs w:val="19"/>
                <w:lang w:eastAsia="en-GB"/>
              </w:rPr>
              <w:t>3</w:t>
            </w:r>
          </w:p>
        </w:tc>
        <w:tc>
          <w:tcPr>
            <w:tcW w:w="1628"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23</w:t>
            </w:r>
            <w:r w:rsidR="00301583" w:rsidRPr="001C204F">
              <w:rPr>
                <w:rFonts w:cs="Arial"/>
                <w:color w:val="000000"/>
                <w:sz w:val="19"/>
                <w:szCs w:val="19"/>
                <w:lang w:eastAsia="en-GB"/>
              </w:rPr>
              <w:t>.</w:t>
            </w:r>
            <w:r w:rsidRPr="001C204F">
              <w:rPr>
                <w:rFonts w:cs="Arial"/>
                <w:color w:val="000000"/>
                <w:sz w:val="19"/>
                <w:szCs w:val="19"/>
                <w:lang w:eastAsia="en-GB"/>
              </w:rPr>
              <w:t>4</w:t>
            </w:r>
          </w:p>
        </w:tc>
      </w:tr>
      <w:tr w:rsidR="00914F9A" w:rsidRPr="00301583" w:rsidTr="00EB5A1D">
        <w:trPr>
          <w:trHeight w:val="288"/>
        </w:trPr>
        <w:tc>
          <w:tcPr>
            <w:tcW w:w="1708" w:type="dxa"/>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Trenčín</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8</w:t>
            </w:r>
            <w:r w:rsidR="00301583" w:rsidRPr="001C204F">
              <w:rPr>
                <w:rFonts w:cs="Arial"/>
                <w:color w:val="000000"/>
                <w:sz w:val="19"/>
                <w:szCs w:val="19"/>
                <w:lang w:eastAsia="en-GB"/>
              </w:rPr>
              <w:t>.</w:t>
            </w:r>
            <w:r w:rsidRPr="001C204F">
              <w:rPr>
                <w:rFonts w:cs="Arial"/>
                <w:color w:val="000000"/>
                <w:sz w:val="19"/>
                <w:szCs w:val="19"/>
                <w:lang w:eastAsia="en-GB"/>
              </w:rPr>
              <w:t>3</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5</w:t>
            </w:r>
            <w:r w:rsidR="00301583" w:rsidRPr="001C204F">
              <w:rPr>
                <w:rFonts w:cs="Arial"/>
                <w:color w:val="000000"/>
                <w:sz w:val="19"/>
                <w:szCs w:val="19"/>
                <w:lang w:eastAsia="en-GB"/>
              </w:rPr>
              <w:t>.</w:t>
            </w:r>
            <w:r w:rsidRPr="001C204F">
              <w:rPr>
                <w:rFonts w:cs="Arial"/>
                <w:color w:val="000000"/>
                <w:sz w:val="19"/>
                <w:szCs w:val="19"/>
                <w:lang w:eastAsia="en-GB"/>
              </w:rPr>
              <w:t>1</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w:t>
            </w:r>
            <w:r w:rsidR="00301583" w:rsidRPr="001C204F">
              <w:rPr>
                <w:rFonts w:cs="Arial"/>
                <w:color w:val="000000"/>
                <w:sz w:val="19"/>
                <w:szCs w:val="19"/>
                <w:lang w:eastAsia="en-GB"/>
              </w:rPr>
              <w:t>.</w:t>
            </w:r>
            <w:r w:rsidRPr="001C204F">
              <w:rPr>
                <w:rFonts w:cs="Arial"/>
                <w:color w:val="000000"/>
                <w:sz w:val="19"/>
                <w:szCs w:val="19"/>
                <w:lang w:eastAsia="en-GB"/>
              </w:rPr>
              <w:t>2</w:t>
            </w:r>
          </w:p>
        </w:tc>
        <w:tc>
          <w:tcPr>
            <w:tcW w:w="1628"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22</w:t>
            </w:r>
            <w:r w:rsidR="00301583" w:rsidRPr="001C204F">
              <w:rPr>
                <w:rFonts w:cs="Arial"/>
                <w:color w:val="000000"/>
                <w:sz w:val="19"/>
                <w:szCs w:val="19"/>
                <w:lang w:eastAsia="en-GB"/>
              </w:rPr>
              <w:t>.</w:t>
            </w:r>
            <w:r w:rsidRPr="001C204F">
              <w:rPr>
                <w:rFonts w:cs="Arial"/>
                <w:color w:val="000000"/>
                <w:sz w:val="19"/>
                <w:szCs w:val="19"/>
                <w:lang w:eastAsia="en-GB"/>
              </w:rPr>
              <w:t>5</w:t>
            </w:r>
          </w:p>
        </w:tc>
      </w:tr>
      <w:tr w:rsidR="00914F9A" w:rsidRPr="00301583" w:rsidTr="00EB5A1D">
        <w:trPr>
          <w:trHeight w:val="288"/>
        </w:trPr>
        <w:tc>
          <w:tcPr>
            <w:tcW w:w="1708" w:type="dxa"/>
            <w:tcBorders>
              <w:top w:val="nil"/>
              <w:left w:val="single" w:sz="4" w:space="0" w:color="auto"/>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Nitra</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15</w:t>
            </w:r>
            <w:r w:rsidR="00301583" w:rsidRPr="001C204F">
              <w:rPr>
                <w:rFonts w:cs="Arial"/>
                <w:color w:val="000000"/>
                <w:sz w:val="19"/>
                <w:szCs w:val="19"/>
                <w:lang w:eastAsia="en-GB"/>
              </w:rPr>
              <w:t>.</w:t>
            </w:r>
            <w:r w:rsidRPr="001C204F">
              <w:rPr>
                <w:rFonts w:cs="Arial"/>
                <w:color w:val="000000"/>
                <w:sz w:val="19"/>
                <w:szCs w:val="19"/>
                <w:lang w:eastAsia="en-GB"/>
              </w:rPr>
              <w:t>9</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10</w:t>
            </w:r>
            <w:r w:rsidR="00301583" w:rsidRPr="001C204F">
              <w:rPr>
                <w:rFonts w:cs="Arial"/>
                <w:color w:val="000000"/>
                <w:sz w:val="19"/>
                <w:szCs w:val="19"/>
                <w:lang w:eastAsia="en-GB"/>
              </w:rPr>
              <w:t>.</w:t>
            </w:r>
            <w:r w:rsidRPr="001C204F">
              <w:rPr>
                <w:rFonts w:cs="Arial"/>
                <w:color w:val="000000"/>
                <w:sz w:val="19"/>
                <w:szCs w:val="19"/>
                <w:lang w:eastAsia="en-GB"/>
              </w:rPr>
              <w:t>2</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w:t>
            </w:r>
            <w:r w:rsidR="00301583" w:rsidRPr="001C204F">
              <w:rPr>
                <w:rFonts w:cs="Arial"/>
                <w:color w:val="000000"/>
                <w:sz w:val="19"/>
                <w:szCs w:val="19"/>
                <w:lang w:eastAsia="en-GB"/>
              </w:rPr>
              <w:t>.</w:t>
            </w:r>
            <w:r w:rsidRPr="001C204F">
              <w:rPr>
                <w:rFonts w:cs="Arial"/>
                <w:color w:val="000000"/>
                <w:sz w:val="19"/>
                <w:szCs w:val="19"/>
                <w:lang w:eastAsia="en-GB"/>
              </w:rPr>
              <w:t>9</w:t>
            </w:r>
          </w:p>
        </w:tc>
        <w:tc>
          <w:tcPr>
            <w:tcW w:w="1628"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25</w:t>
            </w:r>
            <w:r w:rsidR="00301583" w:rsidRPr="001C204F">
              <w:rPr>
                <w:rFonts w:cs="Arial"/>
                <w:color w:val="000000"/>
                <w:sz w:val="19"/>
                <w:szCs w:val="19"/>
                <w:lang w:eastAsia="en-GB"/>
              </w:rPr>
              <w:t>.</w:t>
            </w:r>
            <w:r w:rsidRPr="001C204F">
              <w:rPr>
                <w:rFonts w:cs="Arial"/>
                <w:color w:val="000000"/>
                <w:sz w:val="19"/>
                <w:szCs w:val="19"/>
                <w:lang w:eastAsia="en-GB"/>
              </w:rPr>
              <w:t>7</w:t>
            </w:r>
          </w:p>
        </w:tc>
      </w:tr>
      <w:tr w:rsidR="00914F9A" w:rsidRPr="00301583" w:rsidTr="00EB5A1D">
        <w:trPr>
          <w:trHeight w:val="288"/>
        </w:trPr>
        <w:tc>
          <w:tcPr>
            <w:tcW w:w="1708" w:type="dxa"/>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Žilina</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12</w:t>
            </w:r>
            <w:r w:rsidR="00301583" w:rsidRPr="001C204F">
              <w:rPr>
                <w:rFonts w:cs="Arial"/>
                <w:color w:val="000000"/>
                <w:sz w:val="19"/>
                <w:szCs w:val="19"/>
                <w:lang w:eastAsia="en-GB"/>
              </w:rPr>
              <w:t>.</w:t>
            </w:r>
            <w:r w:rsidRPr="001C204F">
              <w:rPr>
                <w:rFonts w:cs="Arial"/>
                <w:color w:val="000000"/>
                <w:sz w:val="19"/>
                <w:szCs w:val="19"/>
                <w:lang w:eastAsia="en-GB"/>
              </w:rPr>
              <w:t>7</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4</w:t>
            </w:r>
            <w:r w:rsidR="00301583" w:rsidRPr="001C204F">
              <w:rPr>
                <w:rFonts w:cs="Arial"/>
                <w:color w:val="000000"/>
                <w:sz w:val="19"/>
                <w:szCs w:val="19"/>
                <w:lang w:eastAsia="en-GB"/>
              </w:rPr>
              <w:t>.</w:t>
            </w:r>
            <w:r w:rsidRPr="001C204F">
              <w:rPr>
                <w:rFonts w:cs="Arial"/>
                <w:color w:val="000000"/>
                <w:sz w:val="19"/>
                <w:szCs w:val="19"/>
                <w:lang w:eastAsia="en-GB"/>
              </w:rPr>
              <w:t>5</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w:t>
            </w:r>
            <w:r w:rsidR="00301583" w:rsidRPr="001C204F">
              <w:rPr>
                <w:rFonts w:cs="Arial"/>
                <w:color w:val="000000"/>
                <w:sz w:val="19"/>
                <w:szCs w:val="19"/>
                <w:lang w:eastAsia="en-GB"/>
              </w:rPr>
              <w:t>.</w:t>
            </w:r>
            <w:r w:rsidRPr="001C204F">
              <w:rPr>
                <w:rFonts w:cs="Arial"/>
                <w:color w:val="000000"/>
                <w:sz w:val="19"/>
                <w:szCs w:val="19"/>
                <w:lang w:eastAsia="en-GB"/>
              </w:rPr>
              <w:t>6</w:t>
            </w:r>
          </w:p>
        </w:tc>
        <w:tc>
          <w:tcPr>
            <w:tcW w:w="1628"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24</w:t>
            </w:r>
            <w:r w:rsidR="00301583" w:rsidRPr="001C204F">
              <w:rPr>
                <w:rFonts w:cs="Arial"/>
                <w:color w:val="000000"/>
                <w:sz w:val="19"/>
                <w:szCs w:val="19"/>
                <w:lang w:eastAsia="en-GB"/>
              </w:rPr>
              <w:t>.</w:t>
            </w:r>
            <w:r w:rsidRPr="001C204F">
              <w:rPr>
                <w:rFonts w:cs="Arial"/>
                <w:color w:val="000000"/>
                <w:sz w:val="19"/>
                <w:szCs w:val="19"/>
                <w:lang w:eastAsia="en-GB"/>
              </w:rPr>
              <w:t>8</w:t>
            </w:r>
          </w:p>
        </w:tc>
      </w:tr>
      <w:tr w:rsidR="00914F9A" w:rsidRPr="00301583" w:rsidTr="00EB5A1D">
        <w:trPr>
          <w:trHeight w:val="288"/>
        </w:trPr>
        <w:tc>
          <w:tcPr>
            <w:tcW w:w="17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Banská Bystrica</w:t>
            </w:r>
          </w:p>
        </w:tc>
        <w:tc>
          <w:tcPr>
            <w:tcW w:w="1627" w:type="dxa"/>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15</w:t>
            </w:r>
            <w:r w:rsidR="00301583" w:rsidRPr="001C204F">
              <w:rPr>
                <w:rFonts w:cs="Arial"/>
                <w:color w:val="000000"/>
                <w:sz w:val="19"/>
                <w:szCs w:val="19"/>
                <w:lang w:eastAsia="en-GB"/>
              </w:rPr>
              <w:t>.</w:t>
            </w:r>
            <w:r w:rsidRPr="001C204F">
              <w:rPr>
                <w:rFonts w:cs="Arial"/>
                <w:color w:val="000000"/>
                <w:sz w:val="19"/>
                <w:szCs w:val="19"/>
                <w:lang w:eastAsia="en-GB"/>
              </w:rPr>
              <w:t>6</w:t>
            </w:r>
          </w:p>
        </w:tc>
        <w:tc>
          <w:tcPr>
            <w:tcW w:w="1627" w:type="dxa"/>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11</w:t>
            </w:r>
            <w:r w:rsidR="00301583" w:rsidRPr="001C204F">
              <w:rPr>
                <w:rFonts w:cs="Arial"/>
                <w:color w:val="000000"/>
                <w:sz w:val="19"/>
                <w:szCs w:val="19"/>
                <w:lang w:eastAsia="en-GB"/>
              </w:rPr>
              <w:t>.</w:t>
            </w:r>
            <w:r w:rsidRPr="001C204F">
              <w:rPr>
                <w:rFonts w:cs="Arial"/>
                <w:color w:val="000000"/>
                <w:sz w:val="19"/>
                <w:szCs w:val="19"/>
                <w:lang w:eastAsia="en-GB"/>
              </w:rPr>
              <w:t>1</w:t>
            </w:r>
          </w:p>
        </w:tc>
        <w:tc>
          <w:tcPr>
            <w:tcW w:w="1627" w:type="dxa"/>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w:t>
            </w:r>
            <w:r w:rsidR="00301583" w:rsidRPr="001C204F">
              <w:rPr>
                <w:rFonts w:cs="Arial"/>
                <w:color w:val="000000"/>
                <w:sz w:val="19"/>
                <w:szCs w:val="19"/>
                <w:lang w:eastAsia="en-GB"/>
              </w:rPr>
              <w:t>.</w:t>
            </w:r>
            <w:r w:rsidRPr="001C204F">
              <w:rPr>
                <w:rFonts w:cs="Arial"/>
                <w:color w:val="000000"/>
                <w:sz w:val="19"/>
                <w:szCs w:val="19"/>
                <w:lang w:eastAsia="en-GB"/>
              </w:rPr>
              <w:t>8</w:t>
            </w:r>
          </w:p>
        </w:tc>
        <w:tc>
          <w:tcPr>
            <w:tcW w:w="1628" w:type="dxa"/>
            <w:tcBorders>
              <w:top w:val="single" w:sz="4" w:space="0" w:color="auto"/>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25</w:t>
            </w:r>
            <w:r w:rsidR="00301583" w:rsidRPr="001C204F">
              <w:rPr>
                <w:rFonts w:cs="Arial"/>
                <w:color w:val="000000"/>
                <w:sz w:val="19"/>
                <w:szCs w:val="19"/>
                <w:lang w:eastAsia="en-GB"/>
              </w:rPr>
              <w:t>.</w:t>
            </w:r>
            <w:r w:rsidRPr="001C204F">
              <w:rPr>
                <w:rFonts w:cs="Arial"/>
                <w:color w:val="000000"/>
                <w:sz w:val="19"/>
                <w:szCs w:val="19"/>
                <w:lang w:eastAsia="en-GB"/>
              </w:rPr>
              <w:t>6</w:t>
            </w:r>
          </w:p>
        </w:tc>
      </w:tr>
      <w:tr w:rsidR="00914F9A" w:rsidRPr="00301583" w:rsidTr="00EB5A1D">
        <w:trPr>
          <w:trHeight w:val="288"/>
        </w:trPr>
        <w:tc>
          <w:tcPr>
            <w:tcW w:w="1708" w:type="dxa"/>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Prešov</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19</w:t>
            </w:r>
            <w:r w:rsidR="00301583" w:rsidRPr="001C204F">
              <w:rPr>
                <w:rFonts w:cs="Arial"/>
                <w:color w:val="000000"/>
                <w:sz w:val="19"/>
                <w:szCs w:val="19"/>
                <w:lang w:eastAsia="en-GB"/>
              </w:rPr>
              <w:t>.</w:t>
            </w:r>
            <w:r w:rsidRPr="001C204F">
              <w:rPr>
                <w:rFonts w:cs="Arial"/>
                <w:color w:val="000000"/>
                <w:sz w:val="19"/>
                <w:szCs w:val="19"/>
                <w:lang w:eastAsia="en-GB"/>
              </w:rPr>
              <w:t>9</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9</w:t>
            </w:r>
            <w:r w:rsidR="00301583" w:rsidRPr="001C204F">
              <w:rPr>
                <w:rFonts w:cs="Arial"/>
                <w:color w:val="000000"/>
                <w:sz w:val="19"/>
                <w:szCs w:val="19"/>
                <w:lang w:eastAsia="en-GB"/>
              </w:rPr>
              <w:t>.0</w:t>
            </w:r>
          </w:p>
        </w:tc>
        <w:tc>
          <w:tcPr>
            <w:tcW w:w="1627"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4</w:t>
            </w:r>
            <w:r w:rsidR="00301583" w:rsidRPr="001C204F">
              <w:rPr>
                <w:rFonts w:cs="Arial"/>
                <w:color w:val="000000"/>
                <w:sz w:val="19"/>
                <w:szCs w:val="19"/>
                <w:lang w:eastAsia="en-GB"/>
              </w:rPr>
              <w:t>.</w:t>
            </w:r>
            <w:r w:rsidRPr="001C204F">
              <w:rPr>
                <w:rFonts w:cs="Arial"/>
                <w:color w:val="000000"/>
                <w:sz w:val="19"/>
                <w:szCs w:val="19"/>
                <w:lang w:eastAsia="en-GB"/>
              </w:rPr>
              <w:t>4</w:t>
            </w:r>
          </w:p>
        </w:tc>
        <w:tc>
          <w:tcPr>
            <w:tcW w:w="1628" w:type="dxa"/>
            <w:tcBorders>
              <w:top w:val="nil"/>
              <w:left w:val="nil"/>
              <w:bottom w:val="single" w:sz="4" w:space="0" w:color="auto"/>
              <w:right w:val="single" w:sz="4" w:space="0" w:color="auto"/>
            </w:tcBorders>
            <w:shd w:val="clear" w:color="auto" w:fill="D9D9D9" w:themeFill="background1" w:themeFillShade="D9"/>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26</w:t>
            </w:r>
            <w:r w:rsidR="00301583" w:rsidRPr="001C204F">
              <w:rPr>
                <w:rFonts w:cs="Arial"/>
                <w:color w:val="000000"/>
                <w:sz w:val="19"/>
                <w:szCs w:val="19"/>
                <w:lang w:eastAsia="en-GB"/>
              </w:rPr>
              <w:t>.</w:t>
            </w:r>
            <w:r w:rsidRPr="001C204F">
              <w:rPr>
                <w:rFonts w:cs="Arial"/>
                <w:color w:val="000000"/>
                <w:sz w:val="19"/>
                <w:szCs w:val="19"/>
                <w:lang w:eastAsia="en-GB"/>
              </w:rPr>
              <w:t>7</w:t>
            </w:r>
          </w:p>
        </w:tc>
      </w:tr>
      <w:tr w:rsidR="00914F9A" w:rsidRPr="00301583" w:rsidTr="00EB5A1D">
        <w:trPr>
          <w:trHeight w:val="288"/>
        </w:trPr>
        <w:tc>
          <w:tcPr>
            <w:tcW w:w="1708" w:type="dxa"/>
            <w:tcBorders>
              <w:top w:val="nil"/>
              <w:left w:val="single" w:sz="4" w:space="0" w:color="auto"/>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Košice</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13</w:t>
            </w:r>
            <w:r w:rsidR="00301583" w:rsidRPr="001C204F">
              <w:rPr>
                <w:rFonts w:cs="Arial"/>
                <w:color w:val="000000"/>
                <w:sz w:val="19"/>
                <w:szCs w:val="19"/>
                <w:lang w:eastAsia="en-GB"/>
              </w:rPr>
              <w:t>.</w:t>
            </w:r>
            <w:r w:rsidRPr="001C204F">
              <w:rPr>
                <w:rFonts w:cs="Arial"/>
                <w:color w:val="000000"/>
                <w:sz w:val="19"/>
                <w:szCs w:val="19"/>
                <w:lang w:eastAsia="en-GB"/>
              </w:rPr>
              <w:t>5</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8</w:t>
            </w:r>
            <w:r w:rsidR="00301583" w:rsidRPr="001C204F">
              <w:rPr>
                <w:rFonts w:cs="Arial"/>
                <w:color w:val="000000"/>
                <w:sz w:val="19"/>
                <w:szCs w:val="19"/>
                <w:lang w:eastAsia="en-GB"/>
              </w:rPr>
              <w:t>.</w:t>
            </w:r>
            <w:r w:rsidRPr="001C204F">
              <w:rPr>
                <w:rFonts w:cs="Arial"/>
                <w:color w:val="000000"/>
                <w:sz w:val="19"/>
                <w:szCs w:val="19"/>
                <w:lang w:eastAsia="en-GB"/>
              </w:rPr>
              <w:t>5</w:t>
            </w:r>
          </w:p>
        </w:tc>
        <w:tc>
          <w:tcPr>
            <w:tcW w:w="1627"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3</w:t>
            </w:r>
            <w:r w:rsidR="00301583" w:rsidRPr="001C204F">
              <w:rPr>
                <w:rFonts w:cs="Arial"/>
                <w:color w:val="000000"/>
                <w:sz w:val="19"/>
                <w:szCs w:val="19"/>
                <w:lang w:eastAsia="en-GB"/>
              </w:rPr>
              <w:t>.</w:t>
            </w:r>
            <w:r w:rsidRPr="001C204F">
              <w:rPr>
                <w:rFonts w:cs="Arial"/>
                <w:color w:val="000000"/>
                <w:sz w:val="19"/>
                <w:szCs w:val="19"/>
                <w:lang w:eastAsia="en-GB"/>
              </w:rPr>
              <w:t>5</w:t>
            </w:r>
          </w:p>
        </w:tc>
        <w:tc>
          <w:tcPr>
            <w:tcW w:w="1628" w:type="dxa"/>
            <w:tcBorders>
              <w:top w:val="nil"/>
              <w:left w:val="nil"/>
              <w:bottom w:val="single" w:sz="4" w:space="0" w:color="auto"/>
              <w:right w:val="single" w:sz="4" w:space="0" w:color="auto"/>
            </w:tcBorders>
            <w:shd w:val="clear" w:color="auto" w:fill="auto"/>
            <w:noWrap/>
            <w:vAlign w:val="center"/>
          </w:tcPr>
          <w:p w:rsidR="00914F9A" w:rsidRPr="001C204F" w:rsidRDefault="00914F9A" w:rsidP="001C204F">
            <w:pPr>
              <w:spacing w:before="20" w:after="20" w:line="240" w:lineRule="auto"/>
              <w:jc w:val="center"/>
              <w:rPr>
                <w:rFonts w:cs="Arial"/>
                <w:color w:val="000000"/>
                <w:sz w:val="19"/>
                <w:szCs w:val="19"/>
                <w:lang w:eastAsia="en-GB"/>
              </w:rPr>
            </w:pPr>
            <w:r w:rsidRPr="001C204F">
              <w:rPr>
                <w:rFonts w:cs="Arial"/>
                <w:color w:val="000000"/>
                <w:sz w:val="19"/>
                <w:szCs w:val="19"/>
                <w:lang w:eastAsia="en-GB"/>
              </w:rPr>
              <w:t>23</w:t>
            </w:r>
            <w:r w:rsidR="00301583" w:rsidRPr="001C204F">
              <w:rPr>
                <w:rFonts w:cs="Arial"/>
                <w:color w:val="000000"/>
                <w:sz w:val="19"/>
                <w:szCs w:val="19"/>
                <w:lang w:eastAsia="en-GB"/>
              </w:rPr>
              <w:t>.</w:t>
            </w:r>
            <w:r w:rsidRPr="001C204F">
              <w:rPr>
                <w:rFonts w:cs="Arial"/>
                <w:color w:val="000000"/>
                <w:sz w:val="19"/>
                <w:szCs w:val="19"/>
                <w:lang w:eastAsia="en-GB"/>
              </w:rPr>
              <w:t>9</w:t>
            </w:r>
          </w:p>
        </w:tc>
      </w:tr>
    </w:tbl>
    <w:p w:rsidR="00914F9A" w:rsidRPr="001C204F" w:rsidRDefault="001C204F" w:rsidP="001C204F">
      <w:pPr>
        <w:spacing w:after="240" w:line="240" w:lineRule="auto"/>
        <w:jc w:val="left"/>
        <w:rPr>
          <w:rFonts w:cs="Arial"/>
          <w:sz w:val="16"/>
          <w:szCs w:val="16"/>
          <w:lang w:eastAsia="en-GB"/>
        </w:rPr>
      </w:pPr>
      <w:r w:rsidRPr="001C204F">
        <w:rPr>
          <w:b/>
          <w:sz w:val="16"/>
          <w:szCs w:val="16"/>
        </w:rPr>
        <w:t>Source:</w:t>
      </w:r>
      <w:r w:rsidRPr="001C204F">
        <w:rPr>
          <w:sz w:val="16"/>
          <w:szCs w:val="16"/>
        </w:rPr>
        <w:t xml:space="preserve"> </w:t>
      </w:r>
      <w:r w:rsidR="00914F9A" w:rsidRPr="001C204F">
        <w:rPr>
          <w:sz w:val="16"/>
          <w:szCs w:val="16"/>
        </w:rPr>
        <w:t xml:space="preserve">Compiled from </w:t>
      </w:r>
      <w:r w:rsidR="00914F9A" w:rsidRPr="001C204F">
        <w:rPr>
          <w:rFonts w:cs="Arial"/>
          <w:sz w:val="16"/>
          <w:szCs w:val="16"/>
          <w:lang w:eastAsia="en-GB"/>
        </w:rPr>
        <w:t>Vlačuha – Kováčová</w:t>
      </w:r>
      <w:r>
        <w:rPr>
          <w:rFonts w:cs="Arial"/>
          <w:sz w:val="16"/>
          <w:szCs w:val="16"/>
          <w:lang w:eastAsia="en-GB"/>
        </w:rPr>
        <w:t>,</w:t>
      </w:r>
      <w:r w:rsidR="00914F9A" w:rsidRPr="001C204F">
        <w:rPr>
          <w:rFonts w:cs="Arial"/>
          <w:sz w:val="16"/>
          <w:szCs w:val="16"/>
          <w:lang w:eastAsia="en-GB"/>
        </w:rPr>
        <w:t xml:space="preserve"> 2013</w:t>
      </w:r>
    </w:p>
    <w:p w:rsidR="009D5610" w:rsidRDefault="003A6D93" w:rsidP="001C204F">
      <w:pPr>
        <w:spacing w:line="276" w:lineRule="auto"/>
        <w:rPr>
          <w:color w:val="000000"/>
          <w:lang w:eastAsia="en-GB"/>
        </w:rPr>
      </w:pPr>
      <w:r w:rsidRPr="00301583">
        <w:rPr>
          <w:lang w:eastAsia="en-GB"/>
        </w:rPr>
        <w:t xml:space="preserve">The table indicates that according to the 2012 EU SILC data, </w:t>
      </w:r>
      <w:r w:rsidRPr="00301583">
        <w:rPr>
          <w:color w:val="000000"/>
          <w:lang w:eastAsia="en-GB"/>
        </w:rPr>
        <w:t>Prešov</w:t>
      </w:r>
      <w:r w:rsidRPr="00301583">
        <w:rPr>
          <w:lang w:eastAsia="en-GB"/>
        </w:rPr>
        <w:t xml:space="preserve"> (North-East) was the poorest NUTS3 region in Slovakia, followed by </w:t>
      </w:r>
      <w:r w:rsidRPr="00301583">
        <w:rPr>
          <w:color w:val="000000"/>
          <w:lang w:eastAsia="en-GB"/>
        </w:rPr>
        <w:t xml:space="preserve">Banská Bystrica (South-Central) and Nitra (South-West) reflecting West-East as well as North-South </w:t>
      </w:r>
      <w:r w:rsidR="00085E0C" w:rsidRPr="00301583">
        <w:rPr>
          <w:color w:val="000000"/>
          <w:lang w:eastAsia="en-GB"/>
        </w:rPr>
        <w:t>div</w:t>
      </w:r>
      <w:r w:rsidR="00085E0C" w:rsidRPr="00301583">
        <w:rPr>
          <w:color w:val="000000"/>
          <w:lang w:eastAsia="en-GB"/>
        </w:rPr>
        <w:t>i</w:t>
      </w:r>
      <w:r w:rsidR="00085E0C" w:rsidRPr="00301583">
        <w:rPr>
          <w:color w:val="000000"/>
          <w:lang w:eastAsia="en-GB"/>
        </w:rPr>
        <w:t>sions</w:t>
      </w:r>
      <w:r w:rsidRPr="00301583">
        <w:rPr>
          <w:color w:val="000000"/>
          <w:lang w:eastAsia="en-GB"/>
        </w:rPr>
        <w:t>. It is worth mentioning that the highest inequality was measured in Prešov also, regardless of the measurement (Gini coefficient or income quintile share ratio) which points to the correlation between poverty and inequality. The rate of households characterised by less than 20% work intensity is the highest in the neighbouring southern NUTS3 regions of Banská Bystrica and Nitra. The region of Košice as a whole looks rather consolidated, most probably thanks to its seat, Košice, the second largest city of Slovakia (240688 inhabitants). Košice provides a typical example for a developed and populous urban centre obscuring poor neighbourhoods, either within the city boundaries or in the mo</w:t>
      </w:r>
      <w:r w:rsidR="001C204F">
        <w:rPr>
          <w:color w:val="000000"/>
          <w:lang w:eastAsia="en-GB"/>
        </w:rPr>
        <w:t>re distant areas of the region.</w:t>
      </w:r>
    </w:p>
    <w:p w:rsidR="001C204F" w:rsidRPr="001C204F" w:rsidRDefault="001C204F" w:rsidP="001C204F">
      <w:pPr>
        <w:spacing w:line="276" w:lineRule="auto"/>
        <w:rPr>
          <w:color w:val="000000"/>
          <w:sz w:val="10"/>
          <w:szCs w:val="10"/>
          <w:lang w:eastAsia="en-GB"/>
        </w:rPr>
      </w:pPr>
    </w:p>
    <w:p w:rsidR="00CE3B89" w:rsidRPr="00301583" w:rsidRDefault="006E709A" w:rsidP="00CE3B89">
      <w:pPr>
        <w:pStyle w:val="Heading2"/>
        <w:rPr>
          <w:lang w:eastAsia="en-GB"/>
        </w:rPr>
      </w:pPr>
      <w:bookmarkStart w:id="47" w:name="_Toc380500964"/>
      <w:bookmarkStart w:id="48" w:name="_Toc385271081"/>
      <w:bookmarkStart w:id="49" w:name="_Toc385939044"/>
      <w:r w:rsidRPr="00301583">
        <w:rPr>
          <w:lang w:eastAsia="en-GB"/>
        </w:rPr>
        <w:t>Regional disparities in light of unemployment and ethnicity</w:t>
      </w:r>
      <w:bookmarkEnd w:id="47"/>
      <w:bookmarkEnd w:id="48"/>
      <w:bookmarkEnd w:id="49"/>
    </w:p>
    <w:p w:rsidR="00B074CE" w:rsidRDefault="00CE3B89" w:rsidP="001E5FFE">
      <w:pPr>
        <w:spacing w:line="276" w:lineRule="auto"/>
      </w:pPr>
      <w:r w:rsidRPr="00301583">
        <w:t xml:space="preserve">This sub chapters bellow are meant to illustrate that poverty and social exclusion appear in Slovakia </w:t>
      </w:r>
      <w:r w:rsidRPr="00301583">
        <w:rPr>
          <w:i/>
        </w:rPr>
        <w:t>in a geographically and socially (ethnically) concentrated (mult</w:t>
      </w:r>
      <w:r w:rsidRPr="00301583">
        <w:rPr>
          <w:i/>
        </w:rPr>
        <w:t>i</w:t>
      </w:r>
      <w:r w:rsidRPr="00301583">
        <w:rPr>
          <w:i/>
        </w:rPr>
        <w:t>plied) manner</w:t>
      </w:r>
      <w:r w:rsidRPr="00301583">
        <w:t>.</w:t>
      </w:r>
    </w:p>
    <w:p w:rsidR="001C204F" w:rsidRPr="001C204F" w:rsidRDefault="001C204F" w:rsidP="001E5FFE">
      <w:pPr>
        <w:spacing w:line="276" w:lineRule="auto"/>
        <w:rPr>
          <w:sz w:val="10"/>
          <w:szCs w:val="10"/>
        </w:rPr>
      </w:pPr>
    </w:p>
    <w:p w:rsidR="005A2FA5" w:rsidRPr="00301583" w:rsidRDefault="002E560A" w:rsidP="001C204F">
      <w:pPr>
        <w:pStyle w:val="Heading3"/>
        <w:spacing w:before="240" w:line="276" w:lineRule="auto"/>
      </w:pPr>
      <w:bookmarkStart w:id="50" w:name="_Toc385271082"/>
      <w:bookmarkStart w:id="51" w:name="_Toc385939045"/>
      <w:r w:rsidRPr="00301583">
        <w:t>T</w:t>
      </w:r>
      <w:r w:rsidR="006E709A" w:rsidRPr="00301583">
        <w:t>erritorial patterns of unemployment</w:t>
      </w:r>
      <w:bookmarkEnd w:id="50"/>
      <w:bookmarkEnd w:id="51"/>
    </w:p>
    <w:p w:rsidR="00CA52EB" w:rsidRPr="00301583" w:rsidRDefault="00CA52EB" w:rsidP="001E5FFE">
      <w:pPr>
        <w:spacing w:line="276" w:lineRule="auto"/>
      </w:pPr>
      <w:r w:rsidRPr="00301583">
        <w:t>When regional disparities are mentioned in the Slovak context, the scale is rarely considered. In light of data on long-term unemployment published in an annual report of the Ministry of Labour, Social Affairs and Family in 2013, the territorial predispos</w:t>
      </w:r>
      <w:r w:rsidRPr="00301583">
        <w:t>i</w:t>
      </w:r>
      <w:r w:rsidRPr="00301583">
        <w:t>tion of unemployment, both regarding the number of the unemployed and the dur</w:t>
      </w:r>
      <w:r w:rsidRPr="00301583">
        <w:t>a</w:t>
      </w:r>
      <w:r w:rsidRPr="00301583">
        <w:t>tion of unemployment, can clearly be verified.</w:t>
      </w:r>
    </w:p>
    <w:p w:rsidR="00CA52EB" w:rsidRDefault="00CA52EB" w:rsidP="00F4547F">
      <w:pPr>
        <w:spacing w:line="276" w:lineRule="auto"/>
      </w:pPr>
      <w:r w:rsidRPr="00301583">
        <w:lastRenderedPageBreak/>
        <w:t xml:space="preserve">The table below depicts the length of job seeking </w:t>
      </w:r>
      <w:r w:rsidR="0093447E" w:rsidRPr="00301583">
        <w:t xml:space="preserve">by </w:t>
      </w:r>
      <w:r w:rsidRPr="00301583">
        <w:t>NUTS3 regions of Slovakia whilst the graph illustrates the distribution of the very long-term unemployed (being out of employment for more than three years):</w:t>
      </w:r>
    </w:p>
    <w:p w:rsidR="001C204F" w:rsidRPr="001C204F" w:rsidRDefault="001C204F" w:rsidP="00F4547F">
      <w:pPr>
        <w:spacing w:line="276" w:lineRule="auto"/>
        <w:rPr>
          <w:sz w:val="10"/>
          <w:szCs w:val="10"/>
        </w:rPr>
      </w:pPr>
    </w:p>
    <w:p w:rsidR="0015771E" w:rsidRPr="00301583" w:rsidRDefault="0015771E" w:rsidP="001C204F">
      <w:pPr>
        <w:pStyle w:val="Caption"/>
        <w:spacing w:after="120"/>
      </w:pPr>
      <w:bookmarkStart w:id="52" w:name="_Toc385939082"/>
      <w:bookmarkStart w:id="53" w:name="_Toc392509038"/>
      <w:r w:rsidRPr="00301583">
        <w:t>Table</w:t>
      </w:r>
      <w:r w:rsidR="009441AC">
        <w:t xml:space="preserve"> </w:t>
      </w:r>
      <w:r w:rsidR="00B759C8">
        <w:fldChar w:fldCharType="begin"/>
      </w:r>
      <w:r w:rsidR="00A752E6">
        <w:instrText xml:space="preserve"> SEQ Table \* ARABIC </w:instrText>
      </w:r>
      <w:r w:rsidR="00B759C8">
        <w:fldChar w:fldCharType="separate"/>
      </w:r>
      <w:r w:rsidR="00DC6D66">
        <w:rPr>
          <w:noProof/>
        </w:rPr>
        <w:t>9</w:t>
      </w:r>
      <w:r w:rsidR="00B759C8">
        <w:rPr>
          <w:noProof/>
        </w:rPr>
        <w:fldChar w:fldCharType="end"/>
      </w:r>
      <w:r w:rsidR="009441AC">
        <w:t>:</w:t>
      </w:r>
      <w:r w:rsidRPr="00301583">
        <w:t xml:space="preserve"> Average proportion of jobseekers by duration of registration per month in 2012</w:t>
      </w:r>
      <w:bookmarkEnd w:id="52"/>
      <w:bookmarkEnd w:id="53"/>
    </w:p>
    <w:tbl>
      <w:tblPr>
        <w:tblW w:w="8315" w:type="dxa"/>
        <w:tblInd w:w="150" w:type="dxa"/>
        <w:tblLayout w:type="fixed"/>
        <w:tblLook w:val="04A0" w:firstRow="1" w:lastRow="0" w:firstColumn="1" w:lastColumn="0" w:noHBand="0" w:noVBand="1"/>
      </w:tblPr>
      <w:tblGrid>
        <w:gridCol w:w="1006"/>
        <w:gridCol w:w="819"/>
        <w:gridCol w:w="819"/>
        <w:gridCol w:w="819"/>
        <w:gridCol w:w="819"/>
        <w:gridCol w:w="820"/>
        <w:gridCol w:w="819"/>
        <w:gridCol w:w="819"/>
        <w:gridCol w:w="819"/>
        <w:gridCol w:w="756"/>
      </w:tblGrid>
      <w:tr w:rsidR="002A7B18" w:rsidRPr="00301583" w:rsidTr="002A7B18">
        <w:trPr>
          <w:trHeight w:val="1440"/>
        </w:trPr>
        <w:tc>
          <w:tcPr>
            <w:tcW w:w="1006" w:type="dxa"/>
            <w:tcBorders>
              <w:top w:val="single" w:sz="4" w:space="0" w:color="auto"/>
              <w:left w:val="single" w:sz="4" w:space="0" w:color="auto"/>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Length of job seeking (</w:t>
            </w:r>
            <w:r w:rsidR="002A7B18">
              <w:rPr>
                <w:rFonts w:cs="Arial"/>
                <w:b/>
                <w:color w:val="000000"/>
                <w:sz w:val="19"/>
                <w:szCs w:val="19"/>
                <w:lang w:eastAsia="en-GB"/>
              </w:rPr>
              <w:t xml:space="preserve">in </w:t>
            </w:r>
            <w:r w:rsidRPr="001C204F">
              <w:rPr>
                <w:rFonts w:cs="Arial"/>
                <w:b/>
                <w:color w:val="000000"/>
                <w:sz w:val="19"/>
                <w:szCs w:val="19"/>
                <w:lang w:eastAsia="en-GB"/>
              </w:rPr>
              <w:t>months)</w:t>
            </w:r>
          </w:p>
        </w:tc>
        <w:tc>
          <w:tcPr>
            <w:tcW w:w="819"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Brat</w:t>
            </w:r>
            <w:r w:rsidRPr="001C204F">
              <w:rPr>
                <w:rFonts w:cs="Arial"/>
                <w:b/>
                <w:color w:val="000000"/>
                <w:sz w:val="19"/>
                <w:szCs w:val="19"/>
                <w:lang w:eastAsia="en-GB"/>
              </w:rPr>
              <w:t>i</w:t>
            </w:r>
            <w:r w:rsidRPr="001C204F">
              <w:rPr>
                <w:rFonts w:cs="Arial"/>
                <w:b/>
                <w:color w:val="000000"/>
                <w:sz w:val="19"/>
                <w:szCs w:val="19"/>
                <w:lang w:eastAsia="en-GB"/>
              </w:rPr>
              <w:t>slava</w:t>
            </w:r>
          </w:p>
        </w:tc>
        <w:tc>
          <w:tcPr>
            <w:tcW w:w="819"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Trnava</w:t>
            </w:r>
          </w:p>
        </w:tc>
        <w:tc>
          <w:tcPr>
            <w:tcW w:w="819"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Trenčín</w:t>
            </w:r>
          </w:p>
        </w:tc>
        <w:tc>
          <w:tcPr>
            <w:tcW w:w="819"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Nitra</w:t>
            </w:r>
          </w:p>
        </w:tc>
        <w:tc>
          <w:tcPr>
            <w:tcW w:w="820"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Žilina</w:t>
            </w:r>
          </w:p>
        </w:tc>
        <w:tc>
          <w:tcPr>
            <w:tcW w:w="819"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Banská B</w:t>
            </w:r>
            <w:r w:rsidRPr="001C204F">
              <w:rPr>
                <w:rFonts w:cs="Arial"/>
                <w:b/>
                <w:color w:val="000000"/>
                <w:sz w:val="19"/>
                <w:szCs w:val="19"/>
                <w:lang w:eastAsia="en-GB"/>
              </w:rPr>
              <w:t>y</w:t>
            </w:r>
            <w:r w:rsidRPr="001C204F">
              <w:rPr>
                <w:rFonts w:cs="Arial"/>
                <w:b/>
                <w:color w:val="000000"/>
                <w:sz w:val="19"/>
                <w:szCs w:val="19"/>
                <w:lang w:eastAsia="en-GB"/>
              </w:rPr>
              <w:t>strica</w:t>
            </w:r>
          </w:p>
        </w:tc>
        <w:tc>
          <w:tcPr>
            <w:tcW w:w="819"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Prešov</w:t>
            </w:r>
          </w:p>
        </w:tc>
        <w:tc>
          <w:tcPr>
            <w:tcW w:w="819"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Košice</w:t>
            </w:r>
          </w:p>
        </w:tc>
        <w:tc>
          <w:tcPr>
            <w:tcW w:w="756" w:type="dxa"/>
            <w:tcBorders>
              <w:top w:val="single" w:sz="4" w:space="0" w:color="auto"/>
              <w:left w:val="nil"/>
              <w:bottom w:val="single" w:sz="18" w:space="0" w:color="auto"/>
              <w:right w:val="single" w:sz="4" w:space="0" w:color="auto"/>
            </w:tcBorders>
            <w:shd w:val="clear" w:color="auto" w:fill="auto"/>
            <w:vAlign w:val="center"/>
          </w:tcPr>
          <w:p w:rsidR="005D387B" w:rsidRPr="001C204F" w:rsidRDefault="005D387B" w:rsidP="001C204F">
            <w:pPr>
              <w:spacing w:before="20" w:after="20" w:line="240" w:lineRule="auto"/>
              <w:jc w:val="left"/>
              <w:rPr>
                <w:rFonts w:cs="Arial"/>
                <w:b/>
                <w:color w:val="000000"/>
                <w:sz w:val="19"/>
                <w:szCs w:val="19"/>
                <w:lang w:eastAsia="en-GB"/>
              </w:rPr>
            </w:pPr>
            <w:r w:rsidRPr="001C204F">
              <w:rPr>
                <w:rFonts w:cs="Arial"/>
                <w:b/>
                <w:color w:val="000000"/>
                <w:sz w:val="19"/>
                <w:szCs w:val="19"/>
                <w:lang w:eastAsia="en-GB"/>
              </w:rPr>
              <w:t>Sl</w:t>
            </w:r>
            <w:r w:rsidRPr="001C204F">
              <w:rPr>
                <w:rFonts w:cs="Arial"/>
                <w:b/>
                <w:color w:val="000000"/>
                <w:sz w:val="19"/>
                <w:szCs w:val="19"/>
                <w:lang w:eastAsia="en-GB"/>
              </w:rPr>
              <w:t>o</w:t>
            </w:r>
            <w:r w:rsidRPr="001C204F">
              <w:rPr>
                <w:rFonts w:cs="Arial"/>
                <w:b/>
                <w:color w:val="000000"/>
                <w:sz w:val="19"/>
                <w:szCs w:val="19"/>
                <w:lang w:eastAsia="en-GB"/>
              </w:rPr>
              <w:t>vakia</w:t>
            </w:r>
          </w:p>
        </w:tc>
      </w:tr>
      <w:tr w:rsidR="00185026" w:rsidRPr="00301583" w:rsidTr="00185026">
        <w:trPr>
          <w:trHeight w:val="288"/>
        </w:trPr>
        <w:tc>
          <w:tcPr>
            <w:tcW w:w="1006" w:type="dxa"/>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up to 3 months</w:t>
            </w:r>
          </w:p>
        </w:tc>
        <w:tc>
          <w:tcPr>
            <w:tcW w:w="819"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29%</w:t>
            </w:r>
          </w:p>
        </w:tc>
        <w:tc>
          <w:tcPr>
            <w:tcW w:w="819"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25%</w:t>
            </w:r>
          </w:p>
        </w:tc>
        <w:tc>
          <w:tcPr>
            <w:tcW w:w="819"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24%</w:t>
            </w:r>
          </w:p>
        </w:tc>
        <w:tc>
          <w:tcPr>
            <w:tcW w:w="819"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21%</w:t>
            </w:r>
          </w:p>
        </w:tc>
        <w:tc>
          <w:tcPr>
            <w:tcW w:w="820"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23%</w:t>
            </w:r>
          </w:p>
        </w:tc>
        <w:tc>
          <w:tcPr>
            <w:tcW w:w="819"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15%</w:t>
            </w:r>
          </w:p>
        </w:tc>
        <w:tc>
          <w:tcPr>
            <w:tcW w:w="819"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16%</w:t>
            </w:r>
          </w:p>
        </w:tc>
        <w:tc>
          <w:tcPr>
            <w:tcW w:w="819"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16%</w:t>
            </w:r>
          </w:p>
        </w:tc>
        <w:tc>
          <w:tcPr>
            <w:tcW w:w="756"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19%</w:t>
            </w:r>
          </w:p>
        </w:tc>
      </w:tr>
      <w:tr w:rsidR="005D387B" w:rsidRPr="00301583" w:rsidTr="002A7B18">
        <w:trPr>
          <w:trHeight w:val="288"/>
        </w:trPr>
        <w:tc>
          <w:tcPr>
            <w:tcW w:w="1006" w:type="dxa"/>
            <w:tcBorders>
              <w:top w:val="nil"/>
              <w:left w:val="single" w:sz="4" w:space="0" w:color="auto"/>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4-6</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21%</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18%</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15%</w:t>
            </w:r>
          </w:p>
        </w:tc>
        <w:tc>
          <w:tcPr>
            <w:tcW w:w="820"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12%</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13%</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12%</w:t>
            </w:r>
          </w:p>
        </w:tc>
        <w:tc>
          <w:tcPr>
            <w:tcW w:w="756"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14%</w:t>
            </w:r>
          </w:p>
        </w:tc>
      </w:tr>
      <w:tr w:rsidR="005D387B" w:rsidRPr="00301583" w:rsidTr="00185026">
        <w:trPr>
          <w:trHeight w:val="288"/>
        </w:trPr>
        <w:tc>
          <w:tcPr>
            <w:tcW w:w="1006"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7-9 </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13%</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w:t>
            </w:r>
          </w:p>
        </w:tc>
        <w:tc>
          <w:tcPr>
            <w:tcW w:w="820"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8%</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9%</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9%</w:t>
            </w:r>
          </w:p>
        </w:tc>
        <w:tc>
          <w:tcPr>
            <w:tcW w:w="756"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w:t>
            </w:r>
          </w:p>
        </w:tc>
      </w:tr>
      <w:tr w:rsidR="005D387B" w:rsidRPr="00301583" w:rsidTr="002A7B18">
        <w:trPr>
          <w:trHeight w:val="288"/>
        </w:trPr>
        <w:tc>
          <w:tcPr>
            <w:tcW w:w="1006" w:type="dxa"/>
            <w:tcBorders>
              <w:top w:val="nil"/>
              <w:left w:val="single" w:sz="4" w:space="0" w:color="auto"/>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10-12</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9%</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8%</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8%</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8%</w:t>
            </w:r>
          </w:p>
        </w:tc>
        <w:tc>
          <w:tcPr>
            <w:tcW w:w="820"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8%</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756"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8%</w:t>
            </w:r>
          </w:p>
        </w:tc>
      </w:tr>
      <w:tr w:rsidR="005D387B" w:rsidRPr="00301583" w:rsidTr="00185026">
        <w:trPr>
          <w:trHeight w:val="288"/>
        </w:trPr>
        <w:tc>
          <w:tcPr>
            <w:tcW w:w="1006"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13-18</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20"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c>
          <w:tcPr>
            <w:tcW w:w="756"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11%</w:t>
            </w:r>
          </w:p>
        </w:tc>
      </w:tr>
      <w:tr w:rsidR="005D387B" w:rsidRPr="00301583" w:rsidTr="002A7B18">
        <w:trPr>
          <w:trHeight w:val="288"/>
        </w:trPr>
        <w:tc>
          <w:tcPr>
            <w:tcW w:w="1006" w:type="dxa"/>
            <w:tcBorders>
              <w:top w:val="nil"/>
              <w:left w:val="single" w:sz="4" w:space="0" w:color="auto"/>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19-24</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6%</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820"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6%</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c>
          <w:tcPr>
            <w:tcW w:w="756"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7%</w:t>
            </w:r>
          </w:p>
        </w:tc>
      </w:tr>
      <w:tr w:rsidR="005D387B" w:rsidRPr="00301583" w:rsidTr="00185026">
        <w:trPr>
          <w:trHeight w:val="288"/>
        </w:trPr>
        <w:tc>
          <w:tcPr>
            <w:tcW w:w="1006"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25-30 </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20"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6%</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6%</w:t>
            </w:r>
          </w:p>
        </w:tc>
        <w:tc>
          <w:tcPr>
            <w:tcW w:w="756"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r>
      <w:tr w:rsidR="005D387B" w:rsidRPr="00301583" w:rsidTr="002A7B18">
        <w:trPr>
          <w:trHeight w:val="288"/>
        </w:trPr>
        <w:tc>
          <w:tcPr>
            <w:tcW w:w="1006" w:type="dxa"/>
            <w:tcBorders>
              <w:top w:val="nil"/>
              <w:left w:val="single" w:sz="4" w:space="0" w:color="auto"/>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31-36</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3%</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20"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756"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r>
      <w:tr w:rsidR="005D387B" w:rsidRPr="00301583" w:rsidTr="00185026">
        <w:trPr>
          <w:trHeight w:val="288"/>
        </w:trPr>
        <w:tc>
          <w:tcPr>
            <w:tcW w:w="1006"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37-42</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3%</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20"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3%</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756"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r>
      <w:tr w:rsidR="005D387B" w:rsidRPr="00301583" w:rsidTr="002A7B18">
        <w:trPr>
          <w:trHeight w:val="288"/>
        </w:trPr>
        <w:tc>
          <w:tcPr>
            <w:tcW w:w="1006" w:type="dxa"/>
            <w:tcBorders>
              <w:top w:val="nil"/>
              <w:left w:val="single" w:sz="4" w:space="0" w:color="auto"/>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 xml:space="preserve"> 43-48</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3%</w:t>
            </w:r>
          </w:p>
        </w:tc>
        <w:tc>
          <w:tcPr>
            <w:tcW w:w="820"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4%</w:t>
            </w:r>
          </w:p>
        </w:tc>
        <w:tc>
          <w:tcPr>
            <w:tcW w:w="756"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3%</w:t>
            </w:r>
          </w:p>
        </w:tc>
      </w:tr>
      <w:tr w:rsidR="005D387B" w:rsidRPr="00301583" w:rsidTr="00185026">
        <w:trPr>
          <w:trHeight w:val="288"/>
        </w:trPr>
        <w:tc>
          <w:tcPr>
            <w:tcW w:w="1006"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Above 48</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5%</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6%</w:t>
            </w:r>
          </w:p>
        </w:tc>
        <w:tc>
          <w:tcPr>
            <w:tcW w:w="819"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w:t>
            </w:r>
          </w:p>
        </w:tc>
        <w:tc>
          <w:tcPr>
            <w:tcW w:w="820" w:type="dxa"/>
            <w:tcBorders>
              <w:top w:val="nil"/>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8%</w:t>
            </w:r>
          </w:p>
        </w:tc>
        <w:tc>
          <w:tcPr>
            <w:tcW w:w="819"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22%</w:t>
            </w:r>
          </w:p>
        </w:tc>
        <w:tc>
          <w:tcPr>
            <w:tcW w:w="819"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18%</w:t>
            </w:r>
          </w:p>
        </w:tc>
        <w:tc>
          <w:tcPr>
            <w:tcW w:w="819"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19%</w:t>
            </w:r>
          </w:p>
        </w:tc>
        <w:tc>
          <w:tcPr>
            <w:tcW w:w="756"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14%</w:t>
            </w:r>
          </w:p>
        </w:tc>
      </w:tr>
      <w:tr w:rsidR="005D387B" w:rsidRPr="00301583" w:rsidTr="002A7B18">
        <w:trPr>
          <w:trHeight w:val="288"/>
        </w:trPr>
        <w:tc>
          <w:tcPr>
            <w:tcW w:w="1006" w:type="dxa"/>
            <w:tcBorders>
              <w:top w:val="nil"/>
              <w:left w:val="single" w:sz="4" w:space="0" w:color="auto"/>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left"/>
              <w:rPr>
                <w:rFonts w:cs="Arial"/>
                <w:color w:val="000000"/>
                <w:sz w:val="19"/>
                <w:szCs w:val="19"/>
                <w:lang w:eastAsia="en-GB"/>
              </w:rPr>
            </w:pPr>
            <w:r w:rsidRPr="001C204F">
              <w:rPr>
                <w:rFonts w:cs="Arial"/>
                <w:color w:val="000000"/>
                <w:sz w:val="19"/>
                <w:szCs w:val="19"/>
                <w:lang w:eastAsia="en-GB"/>
              </w:rPr>
              <w:t>Slovakia</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820"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819"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c>
          <w:tcPr>
            <w:tcW w:w="756" w:type="dxa"/>
            <w:tcBorders>
              <w:top w:val="nil"/>
              <w:left w:val="nil"/>
              <w:bottom w:val="single" w:sz="4" w:space="0" w:color="auto"/>
              <w:right w:val="single" w:sz="4" w:space="0" w:color="auto"/>
            </w:tcBorders>
            <w:shd w:val="clear" w:color="auto" w:fill="auto"/>
            <w:noWrap/>
            <w:vAlign w:val="bottom"/>
          </w:tcPr>
          <w:p w:rsidR="005D387B" w:rsidRPr="001C204F" w:rsidRDefault="005D387B" w:rsidP="001C204F">
            <w:pPr>
              <w:spacing w:before="20" w:after="20" w:line="240" w:lineRule="auto"/>
              <w:jc w:val="right"/>
              <w:rPr>
                <w:rFonts w:cs="Arial"/>
                <w:color w:val="000000"/>
                <w:sz w:val="19"/>
                <w:szCs w:val="19"/>
                <w:lang w:eastAsia="en-GB"/>
              </w:rPr>
            </w:pPr>
            <w:r w:rsidRPr="001C204F">
              <w:rPr>
                <w:rFonts w:cs="Arial"/>
                <w:color w:val="000000"/>
                <w:sz w:val="19"/>
                <w:szCs w:val="19"/>
                <w:lang w:eastAsia="en-GB"/>
              </w:rPr>
              <w:t>100%</w:t>
            </w:r>
          </w:p>
        </w:tc>
      </w:tr>
    </w:tbl>
    <w:p w:rsidR="00185026" w:rsidRPr="00185026" w:rsidRDefault="0015771E" w:rsidP="00185026">
      <w:pPr>
        <w:spacing w:before="0" w:after="240"/>
        <w:rPr>
          <w:sz w:val="16"/>
          <w:szCs w:val="16"/>
        </w:rPr>
      </w:pPr>
      <w:r w:rsidRPr="0040458C">
        <w:rPr>
          <w:sz w:val="16"/>
          <w:szCs w:val="16"/>
        </w:rPr>
        <w:t xml:space="preserve">Source: Own calculation from </w:t>
      </w:r>
      <w:r w:rsidR="00CE3B89" w:rsidRPr="0040458C">
        <w:rPr>
          <w:sz w:val="16"/>
          <w:szCs w:val="16"/>
        </w:rPr>
        <w:t xml:space="preserve">Table </w:t>
      </w:r>
      <w:r w:rsidRPr="0040458C">
        <w:rPr>
          <w:sz w:val="16"/>
          <w:szCs w:val="16"/>
        </w:rPr>
        <w:t>2.14., Report on … 2013</w:t>
      </w:r>
      <w:r w:rsidR="00185026">
        <w:rPr>
          <w:sz w:val="16"/>
          <w:szCs w:val="16"/>
        </w:rPr>
        <w:t>,</w:t>
      </w:r>
      <w:r w:rsidR="00CA5F48" w:rsidRPr="0040458C">
        <w:rPr>
          <w:sz w:val="16"/>
          <w:szCs w:val="16"/>
        </w:rPr>
        <w:t xml:space="preserve"> p</w:t>
      </w:r>
      <w:r w:rsidR="00185026">
        <w:rPr>
          <w:sz w:val="16"/>
          <w:szCs w:val="16"/>
        </w:rPr>
        <w:t>. 29</w:t>
      </w:r>
    </w:p>
    <w:p w:rsidR="00057A1D" w:rsidRPr="00301583" w:rsidRDefault="00350D91" w:rsidP="005D387B">
      <w:pPr>
        <w:rPr>
          <w:noProof/>
          <w:lang w:eastAsia="en-GB"/>
        </w:rPr>
      </w:pPr>
      <w:r>
        <w:rPr>
          <w:noProof/>
          <w:lang w:val="fi-FI" w:eastAsia="fi-FI"/>
        </w:rPr>
        <w:drawing>
          <wp:inline distT="0" distB="0" distL="0" distR="0" wp14:anchorId="5BEDD975" wp14:editId="4EBC5371">
            <wp:extent cx="4569339" cy="2740545"/>
            <wp:effectExtent l="6093" t="6090" r="6093" b="6090"/>
            <wp:docPr id="6" name="Diagra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5771E" w:rsidRPr="00301583" w:rsidRDefault="0015771E" w:rsidP="00F4547F">
      <w:pPr>
        <w:pStyle w:val="Caption"/>
        <w:spacing w:after="240"/>
      </w:pPr>
      <w:bookmarkStart w:id="54" w:name="_Toc378241859"/>
      <w:bookmarkStart w:id="55" w:name="_Toc392105194"/>
      <w:bookmarkStart w:id="56" w:name="_Toc392509049"/>
      <w:r w:rsidRPr="00301583">
        <w:t>Figure</w:t>
      </w:r>
      <w:r w:rsidR="009441AC">
        <w:t xml:space="preserve"> </w:t>
      </w:r>
      <w:r w:rsidR="00B759C8">
        <w:fldChar w:fldCharType="begin"/>
      </w:r>
      <w:r w:rsidR="00A752E6">
        <w:instrText xml:space="preserve"> SEQ Figure \* ARABIC </w:instrText>
      </w:r>
      <w:r w:rsidR="00B759C8">
        <w:fldChar w:fldCharType="separate"/>
      </w:r>
      <w:r w:rsidR="00DC6D66">
        <w:rPr>
          <w:noProof/>
        </w:rPr>
        <w:t>3</w:t>
      </w:r>
      <w:r w:rsidR="00B759C8">
        <w:rPr>
          <w:noProof/>
        </w:rPr>
        <w:fldChar w:fldCharType="end"/>
      </w:r>
      <w:r w:rsidR="009441AC">
        <w:t>:</w:t>
      </w:r>
      <w:r w:rsidRPr="00301583">
        <w:t xml:space="preserve"> The distribution </w:t>
      </w:r>
      <w:r w:rsidR="00CE3B89" w:rsidRPr="00301583">
        <w:t>of long</w:t>
      </w:r>
      <w:r w:rsidR="009441AC">
        <w:t xml:space="preserve"> </w:t>
      </w:r>
      <w:r w:rsidR="00CE3B89" w:rsidRPr="00301583">
        <w:t>term job seekers (registered for longer than three years) by NUTS3 regions</w:t>
      </w:r>
      <w:bookmarkEnd w:id="54"/>
      <w:bookmarkEnd w:id="55"/>
      <w:bookmarkEnd w:id="56"/>
    </w:p>
    <w:p w:rsidR="00185026" w:rsidRPr="0040458C" w:rsidRDefault="00185026" w:rsidP="00185026">
      <w:pPr>
        <w:spacing w:after="240" w:line="240" w:lineRule="auto"/>
        <w:rPr>
          <w:sz w:val="16"/>
          <w:szCs w:val="16"/>
        </w:rPr>
      </w:pPr>
      <w:r w:rsidRPr="00185026">
        <w:rPr>
          <w:b/>
          <w:sz w:val="16"/>
          <w:szCs w:val="16"/>
        </w:rPr>
        <w:t>Source:</w:t>
      </w:r>
      <w:r w:rsidRPr="0040458C">
        <w:rPr>
          <w:sz w:val="16"/>
          <w:szCs w:val="16"/>
        </w:rPr>
        <w:t xml:space="preserve"> Own calculation from Table 2.14., Report on … 2013</w:t>
      </w:r>
      <w:r>
        <w:rPr>
          <w:sz w:val="16"/>
          <w:szCs w:val="16"/>
        </w:rPr>
        <w:t>,</w:t>
      </w:r>
      <w:r w:rsidRPr="0040458C">
        <w:rPr>
          <w:sz w:val="16"/>
          <w:szCs w:val="16"/>
        </w:rPr>
        <w:t xml:space="preserve"> p</w:t>
      </w:r>
      <w:r>
        <w:rPr>
          <w:sz w:val="16"/>
          <w:szCs w:val="16"/>
        </w:rPr>
        <w:t xml:space="preserve">. </w:t>
      </w:r>
      <w:r w:rsidRPr="0040458C">
        <w:rPr>
          <w:sz w:val="16"/>
          <w:szCs w:val="16"/>
        </w:rPr>
        <w:t>29</w:t>
      </w:r>
    </w:p>
    <w:p w:rsidR="00CE3B89" w:rsidRPr="00301583" w:rsidRDefault="00CA52EB" w:rsidP="001E5FFE">
      <w:pPr>
        <w:spacing w:line="276" w:lineRule="auto"/>
      </w:pPr>
      <w:r w:rsidRPr="00301583">
        <w:lastRenderedPageBreak/>
        <w:t>The data of Table 9 and the illustration suggest that a solid structural crisis has been prevailing in Slovakia, mainly impacting the southern regions from Nitra via Banská Bystrica towards Prešov and Košice. These four NUTS3 regions are responsible for 80% of extremely long unemployment (longer than 3 years). The highest rate of very long-term jobseekers was measured in Banská Bystrica (31%) whilst this rate was 27% in the regions of Prešov and Košice. This solid structural crisis has been the main cause of spreadi</w:t>
      </w:r>
      <w:r w:rsidR="00185026">
        <w:t>ng poverty and social exclusion</w:t>
      </w:r>
      <w:r w:rsidRPr="00301583">
        <w:t xml:space="preserve"> </w:t>
      </w:r>
      <w:r w:rsidR="00185026">
        <w:t>(s</w:t>
      </w:r>
      <w:r w:rsidR="00D07A04">
        <w:t xml:space="preserve">ee also </w:t>
      </w:r>
      <w:r w:rsidR="00D07A04">
        <w:fldChar w:fldCharType="begin"/>
      </w:r>
      <w:r w:rsidR="00D07A04">
        <w:instrText xml:space="preserve"> REF _Ref392106157 \h </w:instrText>
      </w:r>
      <w:r w:rsidR="00D07A04">
        <w:fldChar w:fldCharType="separate"/>
      </w:r>
      <w:r w:rsidR="00DC6D66">
        <w:t xml:space="preserve">Map </w:t>
      </w:r>
      <w:r w:rsidR="00DC6D66">
        <w:rPr>
          <w:noProof/>
        </w:rPr>
        <w:t>11</w:t>
      </w:r>
      <w:r w:rsidR="00D07A04">
        <w:fldChar w:fldCharType="end"/>
      </w:r>
      <w:r w:rsidR="00CE3B89" w:rsidRPr="00301583">
        <w:t>)</w:t>
      </w:r>
      <w:r w:rsidR="00F9174C" w:rsidRPr="00301583">
        <w:t xml:space="preserve">. </w:t>
      </w:r>
    </w:p>
    <w:p w:rsidR="000D4671" w:rsidRDefault="000861FC" w:rsidP="001E5FFE">
      <w:pPr>
        <w:spacing w:line="276" w:lineRule="auto"/>
      </w:pPr>
      <w:r w:rsidRPr="00301583">
        <w:t>Regional disparities in Slovakia are rooted in socialist industrialisation policies crea</w:t>
      </w:r>
      <w:r w:rsidRPr="00301583">
        <w:t>t</w:t>
      </w:r>
      <w:r w:rsidRPr="00301583">
        <w:t>ing mono-segment industries in certain regions, thus generating a high level of d</w:t>
      </w:r>
      <w:r w:rsidRPr="00301583">
        <w:t>e</w:t>
      </w:r>
      <w:r w:rsidRPr="00301583">
        <w:t>pendency on one or a few industries. This led to social and economic troubles in the 1990s (European Social Watch Report 2010). In the researched district of Rimaská Sobota as well as in the neighbouring districts of Southern Slovakia, agriculture and the food industry dominated local economy; given the favourable environment, the fertile plains and the river valleys, these areas were claimed as the ‘breadbasket’ of Czechoslovakia, as the slogan went. This vertical integration collapsed in the 1990s, and new investments have not occurred, or at least not enough. Interviewees me</w:t>
      </w:r>
      <w:r w:rsidRPr="00301583">
        <w:t>n</w:t>
      </w:r>
      <w:r w:rsidRPr="00301583">
        <w:t>tioned one single assembly plant employing a significant number of people (approx. one thousand employees, a South Korean investment in Rimaská Sobota). Lacking highways were also blamed by local people for the scarce interest of foreign direct capital and for the massive lack of jobs – especially jobs for the unskilled. Slovakia is the very country where the unemployment rate among low-qualified persons was the highest among member states in 2012, 45.5%, almost three times higher than the EU-27 average (16.8%). (Report on … 2013, Table 2 of Appendix to Chapter 5). Moreover, the Roma population is concentrated in these (southern and eastern) r</w:t>
      </w:r>
      <w:r w:rsidRPr="00301583">
        <w:t>e</w:t>
      </w:r>
      <w:r w:rsidRPr="00301583">
        <w:t>gions, which further aggravates problems</w:t>
      </w:r>
      <w:r w:rsidR="000D4671">
        <w:t xml:space="preserve"> (s</w:t>
      </w:r>
      <w:r w:rsidRPr="00301583">
        <w:t>ee</w:t>
      </w:r>
      <w:r w:rsidR="00C867D8" w:rsidRPr="00301583">
        <w:t xml:space="preserve"> </w:t>
      </w:r>
      <w:r w:rsidRPr="00301583">
        <w:t>next chap</w:t>
      </w:r>
      <w:r w:rsidR="000D4671">
        <w:t>ter).</w:t>
      </w:r>
    </w:p>
    <w:p w:rsidR="000861FC" w:rsidRDefault="000861FC" w:rsidP="000D4671">
      <w:pPr>
        <w:spacing w:line="276" w:lineRule="auto"/>
      </w:pPr>
      <w:r w:rsidRPr="00301583">
        <w:t>Migration for work would be a logical choice by long-term job seekers; Roma and non-Roma alike do migrate but not yet in large quantities. According to the official figures, 120.7 thousand Slovakian citizens were working abroad in 2012; the 11.2 thousand from Banská Bystrica (9.3% of migrants) is a lower rate than the represe</w:t>
      </w:r>
      <w:r w:rsidRPr="00301583">
        <w:t>n</w:t>
      </w:r>
      <w:r w:rsidRPr="00301583">
        <w:t xml:space="preserve">tation of workers in the region (278.6 thousand annual average, 12.0% of workers in Slovakia). Illegal migration must be much higher; according to a BBC report (aired in December 2013), approximately 200 thousand Roma migrants lived in the UK </w:t>
      </w:r>
      <w:r w:rsidR="00EB5A1D">
        <w:t>(BBC 2013)</w:t>
      </w:r>
      <w:r w:rsidRPr="00301583">
        <w:t>, many of them with Slovakian citizenship.</w:t>
      </w:r>
      <w:r w:rsidRPr="00301583">
        <w:rPr>
          <w:rStyle w:val="FootnoteReference"/>
        </w:rPr>
        <w:footnoteReference w:id="1"/>
      </w:r>
    </w:p>
    <w:p w:rsidR="000D4671" w:rsidRPr="000D4671" w:rsidRDefault="000D4671" w:rsidP="000D4671">
      <w:pPr>
        <w:spacing w:line="276" w:lineRule="auto"/>
        <w:rPr>
          <w:sz w:val="10"/>
          <w:szCs w:val="10"/>
        </w:rPr>
      </w:pPr>
    </w:p>
    <w:p w:rsidR="00C867D8" w:rsidRPr="00301583" w:rsidRDefault="000861FC" w:rsidP="000D4671">
      <w:pPr>
        <w:pStyle w:val="Heading3"/>
        <w:spacing w:before="240"/>
      </w:pPr>
      <w:bookmarkStart w:id="57" w:name="_Toc385271083"/>
      <w:bookmarkStart w:id="58" w:name="_Toc385939046"/>
      <w:r w:rsidRPr="00301583">
        <w:t>Mapping territorial patterns of disadvantages</w:t>
      </w:r>
      <w:bookmarkEnd w:id="57"/>
      <w:bookmarkEnd w:id="58"/>
    </w:p>
    <w:p w:rsidR="000861FC" w:rsidRPr="00301583" w:rsidRDefault="000861FC" w:rsidP="001E5FFE">
      <w:pPr>
        <w:spacing w:line="276" w:lineRule="auto"/>
      </w:pPr>
      <w:r w:rsidRPr="00301583">
        <w:t>The north-south divide and territorial disparities are clearl</w:t>
      </w:r>
      <w:r w:rsidR="004E6E3A">
        <w:t xml:space="preserve">y indicated by </w:t>
      </w:r>
      <w:r w:rsidR="004E6E3A">
        <w:fldChar w:fldCharType="begin"/>
      </w:r>
      <w:r w:rsidR="004E6E3A">
        <w:instrText xml:space="preserve"> REF _Ref392508220 \h </w:instrText>
      </w:r>
      <w:r w:rsidR="004E6E3A">
        <w:fldChar w:fldCharType="separate"/>
      </w:r>
      <w:r w:rsidR="00DC6D66">
        <w:t xml:space="preserve">Map </w:t>
      </w:r>
      <w:r w:rsidR="00DC6D66">
        <w:rPr>
          <w:noProof/>
        </w:rPr>
        <w:t>3</w:t>
      </w:r>
      <w:r w:rsidR="004E6E3A">
        <w:fldChar w:fldCharType="end"/>
      </w:r>
      <w:r w:rsidR="004E6E3A">
        <w:t xml:space="preserve"> - </w:t>
      </w:r>
      <w:r w:rsidR="004E6E3A">
        <w:fldChar w:fldCharType="begin"/>
      </w:r>
      <w:r w:rsidR="004E6E3A">
        <w:instrText xml:space="preserve"> REF _Ref392106157 \h </w:instrText>
      </w:r>
      <w:r w:rsidR="004E6E3A">
        <w:fldChar w:fldCharType="separate"/>
      </w:r>
      <w:r w:rsidR="00DC6D66">
        <w:t xml:space="preserve">Map </w:t>
      </w:r>
      <w:r w:rsidR="00DC6D66">
        <w:rPr>
          <w:noProof/>
        </w:rPr>
        <w:t>11</w:t>
      </w:r>
      <w:r w:rsidR="004E6E3A">
        <w:fldChar w:fldCharType="end"/>
      </w:r>
      <w:r w:rsidRPr="00301583">
        <w:t xml:space="preserve">. Two series of maps were produced, one at LAU1 (district) level and the other at LAU2 level (restricted to the researched LAU1 unit of Rimavská Sobota). Both series show a considerable north-south divide also emphasised by the local experts: in the southern (and eastern) districts, the unemployment rate is much higher than in the </w:t>
      </w:r>
      <w:r w:rsidRPr="00301583">
        <w:lastRenderedPageBreak/>
        <w:t>northern (and western) ones, and the same division seems to prevail within the cou</w:t>
      </w:r>
      <w:r w:rsidRPr="00301583">
        <w:t>n</w:t>
      </w:r>
      <w:r w:rsidRPr="00301583">
        <w:t>try, also within the NUTS3 region of Banská Bystrica (</w:t>
      </w:r>
      <w:r w:rsidR="00D07A04">
        <w:t xml:space="preserve">see </w:t>
      </w:r>
      <w:r w:rsidR="00D07A04">
        <w:fldChar w:fldCharType="begin"/>
      </w:r>
      <w:r w:rsidR="00D07A04">
        <w:instrText xml:space="preserve"> REF _Ref392106157 \h </w:instrText>
      </w:r>
      <w:r w:rsidR="00D07A04">
        <w:fldChar w:fldCharType="separate"/>
      </w:r>
      <w:r w:rsidR="00DC6D66">
        <w:t xml:space="preserve">Map </w:t>
      </w:r>
      <w:r w:rsidR="00DC6D66">
        <w:rPr>
          <w:noProof/>
        </w:rPr>
        <w:t>11</w:t>
      </w:r>
      <w:r w:rsidR="00D07A04">
        <w:fldChar w:fldCharType="end"/>
      </w:r>
      <w:r w:rsidRPr="00301583">
        <w:t>) and the district of Rimaská Sobota (</w:t>
      </w:r>
      <w:r w:rsidR="005103CA">
        <w:t xml:space="preserve">see </w:t>
      </w:r>
      <w:r w:rsidR="005103CA">
        <w:fldChar w:fldCharType="begin"/>
      </w:r>
      <w:r w:rsidR="005103CA">
        <w:instrText xml:space="preserve"> REF _Ref392105782 \h </w:instrText>
      </w:r>
      <w:r w:rsidR="005103CA">
        <w:fldChar w:fldCharType="separate"/>
      </w:r>
      <w:r w:rsidR="00DC6D66">
        <w:t xml:space="preserve">Map </w:t>
      </w:r>
      <w:r w:rsidR="00DC6D66">
        <w:rPr>
          <w:noProof/>
        </w:rPr>
        <w:t>6</w:t>
      </w:r>
      <w:r w:rsidR="005103CA">
        <w:fldChar w:fldCharType="end"/>
      </w:r>
      <w:r w:rsidRPr="00301583">
        <w:t xml:space="preserve">). </w:t>
      </w:r>
      <w:r w:rsidR="00D07A04">
        <w:fldChar w:fldCharType="begin"/>
      </w:r>
      <w:r w:rsidR="00D07A04">
        <w:instrText xml:space="preserve"> REF _Ref392106157 \h </w:instrText>
      </w:r>
      <w:r w:rsidR="00D07A04">
        <w:fldChar w:fldCharType="separate"/>
      </w:r>
      <w:r w:rsidR="00DC6D66">
        <w:t xml:space="preserve">Map </w:t>
      </w:r>
      <w:r w:rsidR="00DC6D66">
        <w:rPr>
          <w:noProof/>
        </w:rPr>
        <w:t>11</w:t>
      </w:r>
      <w:r w:rsidR="00D07A04">
        <w:fldChar w:fldCharType="end"/>
      </w:r>
      <w:r w:rsidR="00D07A04">
        <w:t xml:space="preserve"> </w:t>
      </w:r>
      <w:r w:rsidRPr="00301583">
        <w:t xml:space="preserve">clearly shows that the urban area of </w:t>
      </w:r>
      <w:r w:rsidR="00B15A22" w:rsidRPr="00301583">
        <w:t>Košice</w:t>
      </w:r>
      <w:r w:rsidRPr="00301583">
        <w:t>, the city itself and its surroundings represent the only exception from the rule: except one of the inner districts of the city (with high rate of Roma), the unemployment rate is as low here as in the western most territories</w:t>
      </w:r>
      <w:r w:rsidR="00C867D8" w:rsidRPr="00301583">
        <w:t xml:space="preserve"> thanks to the equalising effect of</w:t>
      </w:r>
      <w:r w:rsidR="00B15A22" w:rsidRPr="00301583">
        <w:t>Košice</w:t>
      </w:r>
      <w:r w:rsidR="00C867D8" w:rsidRPr="00301583">
        <w:t>,</w:t>
      </w:r>
      <w:r w:rsidRPr="00301583">
        <w:t xml:space="preserve"> Slovakia’s second largest city</w:t>
      </w:r>
      <w:r w:rsidR="00C867D8" w:rsidRPr="00301583">
        <w:t>.</w:t>
      </w:r>
    </w:p>
    <w:p w:rsidR="000861FC" w:rsidRPr="00301583" w:rsidRDefault="000861FC" w:rsidP="001E5FFE">
      <w:pPr>
        <w:spacing w:line="276" w:lineRule="auto"/>
        <w:rPr>
          <w:rStyle w:val="ndesc"/>
          <w:bCs/>
        </w:rPr>
      </w:pPr>
      <w:r w:rsidRPr="00301583">
        <w:t>A high rate of unemployment is in an inverse relationship with educational attai</w:t>
      </w:r>
      <w:r w:rsidRPr="00301583">
        <w:t>n</w:t>
      </w:r>
      <w:r w:rsidRPr="00301583">
        <w:t>ment, here indicated (somewhat unusually) with the ratio of secondary school st</w:t>
      </w:r>
      <w:r w:rsidRPr="00301583">
        <w:t>u</w:t>
      </w:r>
      <w:r w:rsidRPr="00301583">
        <w:t>dents (</w:t>
      </w:r>
      <w:r w:rsidR="004D4DC6">
        <w:fldChar w:fldCharType="begin"/>
      </w:r>
      <w:r w:rsidR="004D4DC6">
        <w:instrText xml:space="preserve"> REF _Ref392105610 \h </w:instrText>
      </w:r>
      <w:r w:rsidR="004D4DC6">
        <w:fldChar w:fldCharType="separate"/>
      </w:r>
      <w:r w:rsidR="00DC6D66">
        <w:t xml:space="preserve">Map </w:t>
      </w:r>
      <w:r w:rsidR="00DC6D66">
        <w:rPr>
          <w:noProof/>
        </w:rPr>
        <w:t>5</w:t>
      </w:r>
      <w:r w:rsidR="004D4DC6">
        <w:fldChar w:fldCharType="end"/>
      </w:r>
      <w:r w:rsidR="004D4DC6">
        <w:t xml:space="preserve"> </w:t>
      </w:r>
      <w:r w:rsidRPr="00301583">
        <w:t xml:space="preserve">and </w:t>
      </w:r>
      <w:r w:rsidR="004D4DC6">
        <w:fldChar w:fldCharType="begin"/>
      </w:r>
      <w:r w:rsidR="004D4DC6">
        <w:instrText xml:space="preserve"> REF _Ref392105666 \h </w:instrText>
      </w:r>
      <w:r w:rsidR="004D4DC6">
        <w:fldChar w:fldCharType="separate"/>
      </w:r>
      <w:r w:rsidR="00DC6D66">
        <w:t xml:space="preserve">Map </w:t>
      </w:r>
      <w:r w:rsidR="00DC6D66">
        <w:rPr>
          <w:noProof/>
        </w:rPr>
        <w:t>10</w:t>
      </w:r>
      <w:r w:rsidR="004D4DC6">
        <w:fldChar w:fldCharType="end"/>
      </w:r>
      <w:r w:rsidRPr="00301583">
        <w:t xml:space="preserve">). If the adequacy of these two indicators is to be judged, the rate of secondary school students in the percentage of the population seems to reflect </w:t>
      </w:r>
      <w:r w:rsidR="0093447E" w:rsidRPr="00301583">
        <w:t xml:space="preserve">better than other indicators </w:t>
      </w:r>
      <w:r w:rsidRPr="00301583">
        <w:t>the high rate of people in (deep) poverty (and/or social exclusion)The extremely low rates of secondary school students in the R</w:t>
      </w:r>
      <w:r w:rsidRPr="00301583">
        <w:t>i</w:t>
      </w:r>
      <w:r w:rsidRPr="00301583">
        <w:t xml:space="preserve">mavská Sobota district (1.7% of the population) and in the village of Rimavská Seč (1.4% of the population) show the highly limited access to secondary education of students, especially Roma: principals of secondary schools in </w:t>
      </w:r>
      <w:r w:rsidRPr="00301583">
        <w:rPr>
          <w:rStyle w:val="ndesc"/>
          <w:bCs/>
        </w:rPr>
        <w:t xml:space="preserve">Hnúšťa, </w:t>
      </w:r>
      <w:r w:rsidR="00B15A22" w:rsidRPr="00301583">
        <w:rPr>
          <w:rStyle w:val="ndesc"/>
          <w:bCs/>
        </w:rPr>
        <w:t>Tornaľa</w:t>
      </w:r>
      <w:r w:rsidRPr="00301583">
        <w:rPr>
          <w:rStyle w:val="ndesc"/>
          <w:bCs/>
        </w:rPr>
        <w:t xml:space="preserve"> and Rimavská Sobota equally reported a low enrolment rate and a high dropout rate of Roma students.</w:t>
      </w:r>
    </w:p>
    <w:p w:rsidR="000861FC" w:rsidRDefault="000861FC" w:rsidP="001E5FFE">
      <w:pPr>
        <w:spacing w:line="276" w:lineRule="auto"/>
      </w:pPr>
      <w:r w:rsidRPr="00301583">
        <w:rPr>
          <w:rStyle w:val="ndesc"/>
          <w:bCs/>
        </w:rPr>
        <w:t xml:space="preserve">There is another indicator, highly relevant in the researched context, namely the self-declared nationality of the population indicated </w:t>
      </w:r>
      <w:r w:rsidR="00CA5F48">
        <w:rPr>
          <w:rStyle w:val="ndesc"/>
          <w:bCs/>
        </w:rPr>
        <w:t>at</w:t>
      </w:r>
      <w:r w:rsidR="001C4952">
        <w:rPr>
          <w:rStyle w:val="ndesc"/>
          <w:bCs/>
        </w:rPr>
        <w:t xml:space="preserve"> </w:t>
      </w:r>
      <w:r w:rsidRPr="00301583">
        <w:rPr>
          <w:rStyle w:val="ndesc"/>
          <w:bCs/>
        </w:rPr>
        <w:t xml:space="preserve">the levels of LAU1 and LAU2 (Map </w:t>
      </w:r>
      <w:r w:rsidR="004D4DC6">
        <w:rPr>
          <w:rStyle w:val="ndesc"/>
          <w:bCs/>
        </w:rPr>
        <w:t>3-4</w:t>
      </w:r>
      <w:r w:rsidRPr="00301583">
        <w:rPr>
          <w:rStyle w:val="ndesc"/>
          <w:bCs/>
        </w:rPr>
        <w:t xml:space="preserve"> and Map </w:t>
      </w:r>
      <w:r w:rsidR="005103CA">
        <w:rPr>
          <w:rStyle w:val="ndesc"/>
          <w:bCs/>
        </w:rPr>
        <w:t>7-8-9</w:t>
      </w:r>
      <w:r w:rsidRPr="00301583">
        <w:rPr>
          <w:rStyle w:val="ndesc"/>
          <w:bCs/>
        </w:rPr>
        <w:t xml:space="preserve">). The overlap between the districts of high unemployment and low enrolment rates with the ones with a high rate of Roma population is clear. On the other hand, an overlap with a high representation of Hungarian minority is less clear (the rate of Hungarians is higher in the </w:t>
      </w:r>
      <w:r w:rsidR="0093447E" w:rsidRPr="00301583">
        <w:rPr>
          <w:rStyle w:val="ndesc"/>
          <w:bCs/>
        </w:rPr>
        <w:t xml:space="preserve">more developed </w:t>
      </w:r>
      <w:r w:rsidRPr="00301583">
        <w:rPr>
          <w:rStyle w:val="ndesc"/>
          <w:bCs/>
        </w:rPr>
        <w:t xml:space="preserve">Southwest, Midwest (Trnava and Nitra regions). Nevertheless, the high representation of the Hungarian population is unquestionable in the most disadvantaged districts along the border. </w:t>
      </w:r>
      <w:r w:rsidR="0093447E" w:rsidRPr="00301583">
        <w:rPr>
          <w:rStyle w:val="ndesc"/>
          <w:bCs/>
        </w:rPr>
        <w:t>Since</w:t>
      </w:r>
      <w:r w:rsidRPr="00301583">
        <w:rPr>
          <w:rStyle w:val="ndesc"/>
          <w:bCs/>
        </w:rPr>
        <w:t xml:space="preserve"> many Roma in the same territory have Hungarian identity: their mother tongue is Hungar</w:t>
      </w:r>
      <w:r w:rsidRPr="00301583">
        <w:rPr>
          <w:rStyle w:val="ndesc"/>
          <w:bCs/>
        </w:rPr>
        <w:t>i</w:t>
      </w:r>
      <w:r w:rsidRPr="00301583">
        <w:rPr>
          <w:rStyle w:val="ndesc"/>
          <w:bCs/>
        </w:rPr>
        <w:t>an, and so is their self-declared nationality</w:t>
      </w:r>
      <w:r w:rsidR="0093447E" w:rsidRPr="00301583">
        <w:rPr>
          <w:rStyle w:val="ndesc"/>
          <w:bCs/>
        </w:rPr>
        <w:t>, the real ethnic composition of the area is unclear</w:t>
      </w:r>
      <w:r w:rsidRPr="00301583">
        <w:rPr>
          <w:rStyle w:val="ndesc"/>
          <w:bCs/>
        </w:rPr>
        <w:t xml:space="preserve">. In </w:t>
      </w:r>
      <w:r w:rsidRPr="00301583">
        <w:t>Rimavská Seč, where the rate of Roma population is estimated as high as 70%, only 45 citizens (2% of the population) declared Roma nationality, whist the rate of citizens declaring a Hungarian</w:t>
      </w:r>
      <w:r w:rsidRPr="00301583">
        <w:rPr>
          <w:rStyle w:val="ndesc"/>
          <w:bCs/>
        </w:rPr>
        <w:t xml:space="preserve"> nationality was 91%. Obviously, ethnicity in this context cannot be correctly assessed from official census data. The issue is di</w:t>
      </w:r>
      <w:r w:rsidRPr="00301583">
        <w:rPr>
          <w:rStyle w:val="ndesc"/>
          <w:bCs/>
        </w:rPr>
        <w:t>s</w:t>
      </w:r>
      <w:r w:rsidRPr="00301583">
        <w:rPr>
          <w:rStyle w:val="ndesc"/>
          <w:bCs/>
        </w:rPr>
        <w:t>cussed more in detail in the next chapter.</w:t>
      </w:r>
    </w:p>
    <w:p w:rsidR="000D4671" w:rsidRPr="000D4671" w:rsidRDefault="000D4671" w:rsidP="001E5FFE">
      <w:pPr>
        <w:spacing w:line="276" w:lineRule="auto"/>
        <w:rPr>
          <w:sz w:val="10"/>
          <w:szCs w:val="10"/>
        </w:rPr>
      </w:pPr>
    </w:p>
    <w:p w:rsidR="009D5610" w:rsidRPr="00F4547F" w:rsidRDefault="006E709A" w:rsidP="000D4671">
      <w:pPr>
        <w:pStyle w:val="Heading3"/>
        <w:spacing w:before="240" w:line="276" w:lineRule="auto"/>
      </w:pPr>
      <w:bookmarkStart w:id="59" w:name="_Toc385271084"/>
      <w:bookmarkStart w:id="60" w:name="_Toc385939047"/>
      <w:r w:rsidRPr="00301583">
        <w:t>Roma and Hungarian minorities</w:t>
      </w:r>
      <w:bookmarkEnd w:id="59"/>
      <w:bookmarkEnd w:id="60"/>
    </w:p>
    <w:p w:rsidR="00443584" w:rsidRPr="00301583" w:rsidRDefault="00443584" w:rsidP="001E5FFE">
      <w:pPr>
        <w:spacing w:line="276" w:lineRule="auto"/>
        <w:rPr>
          <w:lang w:eastAsia="en-GB"/>
        </w:rPr>
      </w:pPr>
      <w:r w:rsidRPr="00301583">
        <w:rPr>
          <w:lang w:eastAsia="en-GB"/>
        </w:rPr>
        <w:t xml:space="preserve">If you interview middle aged or older members of the Hungarian minority in Rimavská Sobota, you </w:t>
      </w:r>
      <w:r w:rsidR="005124F5">
        <w:rPr>
          <w:lang w:eastAsia="en-GB"/>
        </w:rPr>
        <w:t>will</w:t>
      </w:r>
      <w:r w:rsidR="00F4547F">
        <w:rPr>
          <w:lang w:eastAsia="en-GB"/>
        </w:rPr>
        <w:t xml:space="preserve"> </w:t>
      </w:r>
      <w:r w:rsidRPr="00301583">
        <w:rPr>
          <w:lang w:eastAsia="en-GB"/>
        </w:rPr>
        <w:t>find a shared conviction that the regional disparities and the bac</w:t>
      </w:r>
      <w:r w:rsidRPr="00301583">
        <w:rPr>
          <w:lang w:eastAsia="en-GB"/>
        </w:rPr>
        <w:t>k</w:t>
      </w:r>
      <w:r w:rsidRPr="00301583">
        <w:rPr>
          <w:lang w:eastAsia="en-GB"/>
        </w:rPr>
        <w:t>wardness of the border area, inhabited by decreasing, but still significant numbers of the Hungarian minority, are the consequence of purposeful anti-minority (anti-Hungarian) government policies. It seems to be more reasonable, however, that ea</w:t>
      </w:r>
      <w:r w:rsidRPr="00301583">
        <w:rPr>
          <w:lang w:eastAsia="en-GB"/>
        </w:rPr>
        <w:t>r</w:t>
      </w:r>
      <w:r w:rsidRPr="00301583">
        <w:rPr>
          <w:lang w:eastAsia="en-GB"/>
        </w:rPr>
        <w:t>lier industrialisation policies and the “division of labour” between the industrial and the agricultural regions during the Czechoslovak era noted above, and lacking fina</w:t>
      </w:r>
      <w:r w:rsidRPr="00301583">
        <w:rPr>
          <w:lang w:eastAsia="en-GB"/>
        </w:rPr>
        <w:t>n</w:t>
      </w:r>
      <w:r w:rsidRPr="00301583">
        <w:rPr>
          <w:lang w:eastAsia="en-GB"/>
        </w:rPr>
        <w:t xml:space="preserve">cial resources to “equalise” </w:t>
      </w:r>
      <w:r w:rsidR="005124F5">
        <w:rPr>
          <w:lang w:eastAsia="en-GB"/>
        </w:rPr>
        <w:t>the</w:t>
      </w:r>
      <w:r w:rsidR="00F4547F">
        <w:rPr>
          <w:lang w:eastAsia="en-GB"/>
        </w:rPr>
        <w:t xml:space="preserve"> </w:t>
      </w:r>
      <w:r w:rsidRPr="00301583">
        <w:rPr>
          <w:lang w:eastAsia="en-GB"/>
        </w:rPr>
        <w:t>uneven distribution of large infrastructures better e</w:t>
      </w:r>
      <w:r w:rsidRPr="00301583">
        <w:rPr>
          <w:lang w:eastAsia="en-GB"/>
        </w:rPr>
        <w:t>x</w:t>
      </w:r>
      <w:r w:rsidRPr="00301583">
        <w:rPr>
          <w:lang w:eastAsia="en-GB"/>
        </w:rPr>
        <w:t>plain the widening gap between the developed western and the lagging eastern and south-central territories of the Slovak Republic.</w:t>
      </w:r>
    </w:p>
    <w:p w:rsidR="00443584" w:rsidRPr="00301583" w:rsidRDefault="00443584" w:rsidP="001E5FFE">
      <w:pPr>
        <w:spacing w:line="276" w:lineRule="auto"/>
        <w:rPr>
          <w:lang w:eastAsia="en-GB"/>
        </w:rPr>
      </w:pPr>
      <w:r w:rsidRPr="00301583">
        <w:rPr>
          <w:lang w:eastAsia="en-GB"/>
        </w:rPr>
        <w:lastRenderedPageBreak/>
        <w:t>The tensions between the majority Slovak and the minority Hungarian population are regularly sparked in high-level political discourse, shaping the relevant legislation as well (see the Slovak law on revoking citizenship</w:t>
      </w:r>
      <w:r w:rsidRPr="00301583">
        <w:rPr>
          <w:rStyle w:val="FootnoteReference"/>
          <w:lang w:eastAsia="en-GB"/>
        </w:rPr>
        <w:footnoteReference w:id="2"/>
      </w:r>
      <w:r w:rsidRPr="00301583">
        <w:rPr>
          <w:lang w:eastAsia="en-GB"/>
        </w:rPr>
        <w:t xml:space="preserve"> and that of using minority la</w:t>
      </w:r>
      <w:r w:rsidRPr="00301583">
        <w:rPr>
          <w:lang w:eastAsia="en-GB"/>
        </w:rPr>
        <w:t>n</w:t>
      </w:r>
      <w:r w:rsidRPr="00301583">
        <w:rPr>
          <w:lang w:eastAsia="en-GB"/>
        </w:rPr>
        <w:t>guages</w:t>
      </w:r>
      <w:r w:rsidRPr="00301583">
        <w:rPr>
          <w:rStyle w:val="FootnoteReference"/>
          <w:lang w:eastAsia="en-GB"/>
        </w:rPr>
        <w:footnoteReference w:id="3"/>
      </w:r>
      <w:r w:rsidRPr="00301583">
        <w:rPr>
          <w:lang w:eastAsia="en-GB"/>
        </w:rPr>
        <w:t>). Therefore it is reasonable to assume that the impacts of the historically problematic border</w:t>
      </w:r>
      <w:r w:rsidRPr="00301583">
        <w:rPr>
          <w:rStyle w:val="FootnoteReference"/>
          <w:lang w:eastAsia="en-GB"/>
        </w:rPr>
        <w:footnoteReference w:id="4"/>
      </w:r>
      <w:r w:rsidRPr="00301583">
        <w:rPr>
          <w:lang w:eastAsia="en-GB"/>
        </w:rPr>
        <w:t xml:space="preserve"> between Slovakia and Hungary, and the repeatedly sparkling tensions between the two countries and the majority and minority populations within Slovakia, do influence government policies, to some extent at least, and aggravate the negative impacts of the border </w:t>
      </w:r>
      <w:r w:rsidR="0093447E" w:rsidRPr="00301583">
        <w:rPr>
          <w:lang w:eastAsia="en-GB"/>
        </w:rPr>
        <w:t xml:space="preserve">line </w:t>
      </w:r>
      <w:r w:rsidRPr="00301583">
        <w:rPr>
          <w:lang w:eastAsia="en-GB"/>
        </w:rPr>
        <w:t>towards development prospects (multiplied ‘border effect’).</w:t>
      </w:r>
    </w:p>
    <w:p w:rsidR="00443584" w:rsidRPr="00301583" w:rsidRDefault="00443584" w:rsidP="001E5FFE">
      <w:pPr>
        <w:spacing w:line="276" w:lineRule="auto"/>
        <w:rPr>
          <w:lang w:eastAsia="en-GB"/>
        </w:rPr>
      </w:pPr>
      <w:r w:rsidRPr="00301583">
        <w:rPr>
          <w:lang w:eastAsia="en-GB"/>
        </w:rPr>
        <w:t>The problematic nature of declaring a national identity in Slovakia is clearly demo</w:t>
      </w:r>
      <w:r w:rsidRPr="00301583">
        <w:rPr>
          <w:lang w:eastAsia="en-GB"/>
        </w:rPr>
        <w:t>n</w:t>
      </w:r>
      <w:r w:rsidRPr="00301583">
        <w:rPr>
          <w:lang w:eastAsia="en-GB"/>
        </w:rPr>
        <w:t>strated by the last census: in 2011, 382.5 thousand citizens in Slovakia (7% of the population) and some 160 thousand people in the districts with relevant Hungarian population failed</w:t>
      </w:r>
      <w:r w:rsidR="000D4671">
        <w:rPr>
          <w:lang w:eastAsia="en-GB"/>
        </w:rPr>
        <w:t xml:space="preserve"> to declare a national identity (Ravasz, 2012, p.</w:t>
      </w:r>
      <w:r w:rsidRPr="00301583">
        <w:rPr>
          <w:lang w:eastAsia="en-GB"/>
        </w:rPr>
        <w:t xml:space="preserve"> 5,7) This is one of the reasons why the precise number and proportion of the Hungarian minority can be yet a matter of debate, despite the obvious and speedy decline in numbers and pr</w:t>
      </w:r>
      <w:r w:rsidRPr="00301583">
        <w:rPr>
          <w:lang w:eastAsia="en-GB"/>
        </w:rPr>
        <w:t>o</w:t>
      </w:r>
      <w:r w:rsidRPr="00301583">
        <w:rPr>
          <w:lang w:eastAsia="en-GB"/>
        </w:rPr>
        <w:t>portion: just during the course of the decade between 2001 and 2011, the number of citizens declaring Hungarian nationality fell from 520.5 thousand (9.68%) to 458.5 thousand (8.49%).</w:t>
      </w:r>
    </w:p>
    <w:p w:rsidR="00443584" w:rsidRPr="00301583" w:rsidRDefault="00443584" w:rsidP="001E5FFE">
      <w:pPr>
        <w:spacing w:line="276" w:lineRule="auto"/>
        <w:rPr>
          <w:lang w:eastAsia="en-GB"/>
        </w:rPr>
      </w:pPr>
      <w:r w:rsidRPr="00301583">
        <w:rPr>
          <w:lang w:eastAsia="en-GB"/>
        </w:rPr>
        <w:t>One also can ask whether those who declared Hungarian nationality are considered Hungarians, or whether some of them would be considered Roma by ‘others’. Rel</w:t>
      </w:r>
      <w:r w:rsidRPr="00301583">
        <w:rPr>
          <w:lang w:eastAsia="en-GB"/>
        </w:rPr>
        <w:t>y</w:t>
      </w:r>
      <w:r w:rsidRPr="00301583">
        <w:rPr>
          <w:lang w:eastAsia="en-GB"/>
        </w:rPr>
        <w:t>ing on fieldwork experiences in the Rimaská Sobota district, the most important fa</w:t>
      </w:r>
      <w:r w:rsidRPr="00301583">
        <w:rPr>
          <w:lang w:eastAsia="en-GB"/>
        </w:rPr>
        <w:t>c</w:t>
      </w:r>
      <w:r w:rsidRPr="00301583">
        <w:rPr>
          <w:lang w:eastAsia="en-GB"/>
        </w:rPr>
        <w:t>tors influencing the willingness of Roma to declare a Roma identity could be as fo</w:t>
      </w:r>
      <w:r w:rsidRPr="00301583">
        <w:rPr>
          <w:lang w:eastAsia="en-GB"/>
        </w:rPr>
        <w:t>l</w:t>
      </w:r>
      <w:r w:rsidRPr="00301583">
        <w:rPr>
          <w:lang w:eastAsia="en-GB"/>
        </w:rPr>
        <w:t>lows in 2011:</w:t>
      </w:r>
    </w:p>
    <w:p w:rsidR="00443584" w:rsidRPr="00301583" w:rsidRDefault="00443584" w:rsidP="001E5FFE">
      <w:pPr>
        <w:numPr>
          <w:ilvl w:val="0"/>
          <w:numId w:val="6"/>
        </w:numPr>
        <w:spacing w:line="276" w:lineRule="auto"/>
        <w:rPr>
          <w:lang w:eastAsia="en-GB"/>
        </w:rPr>
      </w:pPr>
      <w:r w:rsidRPr="00301583">
        <w:rPr>
          <w:lang w:eastAsia="en-GB"/>
        </w:rPr>
        <w:t>Fear of stigmatisation  (against);</w:t>
      </w:r>
    </w:p>
    <w:p w:rsidR="00443584" w:rsidRPr="00301583" w:rsidRDefault="00443584" w:rsidP="001E5FFE">
      <w:pPr>
        <w:numPr>
          <w:ilvl w:val="0"/>
          <w:numId w:val="6"/>
        </w:numPr>
        <w:spacing w:line="276" w:lineRule="auto"/>
        <w:rPr>
          <w:lang w:eastAsia="en-GB"/>
        </w:rPr>
      </w:pPr>
      <w:r w:rsidRPr="00301583">
        <w:rPr>
          <w:lang w:eastAsia="en-GB"/>
        </w:rPr>
        <w:t>Willingness to adapt to the non-Roma majority (against);</w:t>
      </w:r>
    </w:p>
    <w:p w:rsidR="00443584" w:rsidRPr="00301583" w:rsidRDefault="00443584" w:rsidP="001E5FFE">
      <w:pPr>
        <w:numPr>
          <w:ilvl w:val="0"/>
          <w:numId w:val="6"/>
        </w:numPr>
        <w:spacing w:line="276" w:lineRule="auto"/>
        <w:rPr>
          <w:lang w:eastAsia="en-GB"/>
        </w:rPr>
      </w:pPr>
      <w:r w:rsidRPr="00301583">
        <w:rPr>
          <w:lang w:eastAsia="en-GB"/>
        </w:rPr>
        <w:t>Awareness campaign in the Decade countries that tried to convince Roma to declare Roma nationality (in support);</w:t>
      </w:r>
    </w:p>
    <w:p w:rsidR="00443584" w:rsidRPr="00301583" w:rsidRDefault="00443584" w:rsidP="001E5FFE">
      <w:pPr>
        <w:numPr>
          <w:ilvl w:val="0"/>
          <w:numId w:val="6"/>
        </w:numPr>
        <w:spacing w:line="276" w:lineRule="auto"/>
        <w:rPr>
          <w:lang w:eastAsia="en-GB"/>
        </w:rPr>
      </w:pPr>
      <w:r w:rsidRPr="00301583">
        <w:rPr>
          <w:lang w:eastAsia="en-GB"/>
        </w:rPr>
        <w:t>Double identity: the first identity is stuck to mother tongue (non-Roma), and since the Slovakian census did not register second identity, the first identity was declared (against);</w:t>
      </w:r>
    </w:p>
    <w:p w:rsidR="00443584" w:rsidRPr="00301583" w:rsidRDefault="00443584" w:rsidP="001E5FFE">
      <w:pPr>
        <w:numPr>
          <w:ilvl w:val="0"/>
          <w:numId w:val="6"/>
        </w:numPr>
        <w:spacing w:line="276" w:lineRule="auto"/>
        <w:rPr>
          <w:lang w:eastAsia="en-GB"/>
        </w:rPr>
      </w:pPr>
      <w:r w:rsidRPr="00301583">
        <w:rPr>
          <w:lang w:eastAsia="en-GB"/>
        </w:rPr>
        <w:lastRenderedPageBreak/>
        <w:t>Forms of support with criteria of eligibility based on ethnicity, such as the Hungarian government’s minor “grant”</w:t>
      </w:r>
      <w:r w:rsidRPr="00301583">
        <w:rPr>
          <w:rStyle w:val="FootnoteReference"/>
          <w:lang w:eastAsia="en-GB"/>
        </w:rPr>
        <w:footnoteReference w:id="5"/>
      </w:r>
      <w:r w:rsidRPr="00301583">
        <w:rPr>
          <w:lang w:eastAsia="en-GB"/>
        </w:rPr>
        <w:t xml:space="preserve"> provided to attendees of kinderga</w:t>
      </w:r>
      <w:r w:rsidRPr="00301583">
        <w:rPr>
          <w:lang w:eastAsia="en-GB"/>
        </w:rPr>
        <w:t>r</w:t>
      </w:r>
      <w:r w:rsidRPr="00301583">
        <w:rPr>
          <w:lang w:eastAsia="en-GB"/>
        </w:rPr>
        <w:t>tens, elementary and secondary schools where the language of teaching is Hungarian (against).</w:t>
      </w:r>
    </w:p>
    <w:p w:rsidR="00443584" w:rsidRPr="00301583" w:rsidRDefault="00443584" w:rsidP="001E5FFE">
      <w:pPr>
        <w:spacing w:line="276" w:lineRule="auto"/>
        <w:rPr>
          <w:lang w:eastAsia="en-GB"/>
        </w:rPr>
      </w:pPr>
      <w:r w:rsidRPr="00301583">
        <w:rPr>
          <w:lang w:eastAsia="en-GB"/>
        </w:rPr>
        <w:t>Even this simplified list of (risk) factors shows that (at least in the district of Rimavská Sobota) factors against declaring a Roma identity were probably overwhelming du</w:t>
      </w:r>
      <w:r w:rsidRPr="00301583">
        <w:rPr>
          <w:lang w:eastAsia="en-GB"/>
        </w:rPr>
        <w:t>r</w:t>
      </w:r>
      <w:r w:rsidRPr="00301583">
        <w:rPr>
          <w:lang w:eastAsia="en-GB"/>
        </w:rPr>
        <w:t>ing the 2011 elections, explaining the significant gap between the official census fi</w:t>
      </w:r>
      <w:r w:rsidRPr="00301583">
        <w:rPr>
          <w:lang w:eastAsia="en-GB"/>
        </w:rPr>
        <w:t>g</w:t>
      </w:r>
      <w:r w:rsidRPr="00301583">
        <w:rPr>
          <w:lang w:eastAsia="en-GB"/>
        </w:rPr>
        <w:t>ures based on self-declaration (105.7 thousand citizens) and that of the socio-mapping investigation based on local estimations of key respondents (402.8 tho</w:t>
      </w:r>
      <w:r w:rsidRPr="00301583">
        <w:rPr>
          <w:lang w:eastAsia="en-GB"/>
        </w:rPr>
        <w:t>u</w:t>
      </w:r>
      <w:r w:rsidRPr="00301583">
        <w:rPr>
          <w:lang w:eastAsia="en-GB"/>
        </w:rPr>
        <w:t xml:space="preserve">sand citizens </w:t>
      </w:r>
      <w:r w:rsidR="0093447E" w:rsidRPr="00301583">
        <w:rPr>
          <w:lang w:eastAsia="en-GB"/>
        </w:rPr>
        <w:t xml:space="preserve">thought </w:t>
      </w:r>
      <w:r w:rsidRPr="00301583">
        <w:rPr>
          <w:lang w:eastAsia="en-GB"/>
        </w:rPr>
        <w:t>to be Roma by ’others’</w:t>
      </w:r>
      <w:r w:rsidR="0093447E" w:rsidRPr="00301583">
        <w:rPr>
          <w:lang w:eastAsia="en-GB"/>
        </w:rPr>
        <w:t>, that is respondents of the survey</w:t>
      </w:r>
      <w:r w:rsidRPr="00301583">
        <w:rPr>
          <w:lang w:eastAsia="en-GB"/>
        </w:rPr>
        <w:t>).</w:t>
      </w:r>
    </w:p>
    <w:p w:rsidR="00443584" w:rsidRPr="00301583" w:rsidRDefault="00443584" w:rsidP="001E5FFE">
      <w:pPr>
        <w:spacing w:line="276" w:lineRule="auto"/>
        <w:rPr>
          <w:rFonts w:cs="Arial"/>
          <w:szCs w:val="22"/>
        </w:rPr>
      </w:pPr>
      <w:r w:rsidRPr="00301583">
        <w:rPr>
          <w:lang w:eastAsia="en-GB"/>
        </w:rPr>
        <w:t xml:space="preserve">When trying to provide a picture on the distribution of the Romany population throughout the disadvantaged regions of Slovakia, where 80% are concentrated, we used the estimations of </w:t>
      </w:r>
      <w:r w:rsidRPr="00301583">
        <w:rPr>
          <w:rFonts w:cs="Arial"/>
          <w:szCs w:val="22"/>
        </w:rPr>
        <w:t xml:space="preserve">Matlovičová et al. (2012) and the calculations of Ravasz (2013) based on census figures and earlier (other) estimations (of Vano from 2001). </w:t>
      </w:r>
      <w:r w:rsidR="004E6E3A" w:rsidRPr="004E6E3A">
        <w:rPr>
          <w:rFonts w:cs="Arial"/>
          <w:szCs w:val="22"/>
        </w:rPr>
        <w:fldChar w:fldCharType="begin"/>
      </w:r>
      <w:r w:rsidR="004E6E3A" w:rsidRPr="004E6E3A">
        <w:rPr>
          <w:rFonts w:cs="Arial"/>
          <w:szCs w:val="22"/>
        </w:rPr>
        <w:instrText xml:space="preserve"> REF _Ref392508346 \h  \* MERGEFORMAT </w:instrText>
      </w:r>
      <w:r w:rsidR="004E6E3A" w:rsidRPr="004E6E3A">
        <w:rPr>
          <w:rFonts w:cs="Arial"/>
          <w:szCs w:val="22"/>
        </w:rPr>
      </w:r>
      <w:r w:rsidR="004E6E3A" w:rsidRPr="004E6E3A">
        <w:rPr>
          <w:rFonts w:cs="Arial"/>
          <w:szCs w:val="22"/>
        </w:rPr>
        <w:fldChar w:fldCharType="separate"/>
      </w:r>
      <w:r w:rsidR="00DC6D66" w:rsidRPr="00DC6D66">
        <w:t xml:space="preserve">Table </w:t>
      </w:r>
      <w:r w:rsidR="00DC6D66" w:rsidRPr="00DC6D66">
        <w:rPr>
          <w:noProof/>
        </w:rPr>
        <w:t>13</w:t>
      </w:r>
      <w:r w:rsidR="004E6E3A" w:rsidRPr="004E6E3A">
        <w:rPr>
          <w:rFonts w:cs="Arial"/>
          <w:szCs w:val="22"/>
        </w:rPr>
        <w:fldChar w:fldCharType="end"/>
      </w:r>
      <w:r w:rsidR="004E6E3A" w:rsidRPr="004E6E3A">
        <w:rPr>
          <w:rFonts w:cs="Arial"/>
          <w:szCs w:val="22"/>
        </w:rPr>
        <w:t xml:space="preserve"> (</w:t>
      </w:r>
      <w:r w:rsidR="004E6E3A">
        <w:rPr>
          <w:rFonts w:cs="Arial"/>
          <w:szCs w:val="22"/>
        </w:rPr>
        <w:t xml:space="preserve">Annex) </w:t>
      </w:r>
      <w:r w:rsidRPr="00301583">
        <w:rPr>
          <w:rFonts w:cs="Arial"/>
          <w:szCs w:val="22"/>
        </w:rPr>
        <w:t>illustrates the result of ‘merged’ estimations, namely,</w:t>
      </w:r>
    </w:p>
    <w:p w:rsidR="00443584" w:rsidRPr="00301583" w:rsidRDefault="00443584" w:rsidP="001E5FFE">
      <w:pPr>
        <w:numPr>
          <w:ilvl w:val="0"/>
          <w:numId w:val="7"/>
        </w:numPr>
        <w:spacing w:line="276" w:lineRule="auto"/>
        <w:rPr>
          <w:lang w:eastAsia="en-GB"/>
        </w:rPr>
      </w:pPr>
      <w:r w:rsidRPr="00301583">
        <w:rPr>
          <w:lang w:eastAsia="en-GB"/>
        </w:rPr>
        <w:t>The high numbers of Roma do not always correspond to the depth of poverty within a given territorial unit, because a high concentration of non-Roma po</w:t>
      </w:r>
      <w:r w:rsidRPr="00301583">
        <w:rPr>
          <w:lang w:eastAsia="en-GB"/>
        </w:rPr>
        <w:t>p</w:t>
      </w:r>
      <w:r w:rsidRPr="00301583">
        <w:rPr>
          <w:lang w:eastAsia="en-GB"/>
        </w:rPr>
        <w:t xml:space="preserve">ulation relativizes such figures; the obvious example is </w:t>
      </w:r>
      <w:r w:rsidRPr="00301583">
        <w:t>Košice</w:t>
      </w:r>
      <w:r w:rsidRPr="00301583">
        <w:rPr>
          <w:lang w:eastAsia="en-GB"/>
        </w:rPr>
        <w:t xml:space="preserve"> and the district of its surroundings, where (altogether) 112</w:t>
      </w:r>
      <w:r w:rsidR="00301583">
        <w:rPr>
          <w:lang w:eastAsia="en-GB"/>
        </w:rPr>
        <w:t>,</w:t>
      </w:r>
      <w:r w:rsidRPr="00301583">
        <w:rPr>
          <w:lang w:eastAsia="en-GB"/>
        </w:rPr>
        <w:t>210 Roma live, representing only 15% of the population of the given districts; in such cases, LAU2 level anal</w:t>
      </w:r>
      <w:r w:rsidRPr="00301583">
        <w:rPr>
          <w:lang w:eastAsia="en-GB"/>
        </w:rPr>
        <w:t>y</w:t>
      </w:r>
      <w:r w:rsidRPr="00301583">
        <w:rPr>
          <w:lang w:eastAsia="en-GB"/>
        </w:rPr>
        <w:t>sis (and even below LAU2 level) can provide a more precise picture;</w:t>
      </w:r>
    </w:p>
    <w:p w:rsidR="00443584" w:rsidRPr="00301583" w:rsidRDefault="00443584" w:rsidP="001E5FFE">
      <w:pPr>
        <w:numPr>
          <w:ilvl w:val="0"/>
          <w:numId w:val="7"/>
        </w:numPr>
        <w:spacing w:line="276" w:lineRule="auto"/>
        <w:rPr>
          <w:lang w:eastAsia="en-GB"/>
        </w:rPr>
      </w:pPr>
      <w:r w:rsidRPr="00301583">
        <w:rPr>
          <w:lang w:eastAsia="en-GB"/>
        </w:rPr>
        <w:t>In the district of Rimavská Sobota,</w:t>
      </w:r>
      <w:r w:rsidR="00301583">
        <w:rPr>
          <w:lang w:eastAsia="en-GB"/>
        </w:rPr>
        <w:t xml:space="preserve"> the 21,</w:t>
      </w:r>
      <w:r w:rsidRPr="00301583">
        <w:rPr>
          <w:lang w:eastAsia="en-GB"/>
        </w:rPr>
        <w:t>4 thousand Roma represent 25% of the population, the highest rate in the country. The proportion of Romany people is high in Banská Bystrica as well, actually, it is the highest amongst the NUTS3 regions (19%), but the distribution of the Roma population within the region is highly uneven (Roma people are concentrated in four southern districts along the border line from among the 13 LAU1 units of the region).</w:t>
      </w:r>
    </w:p>
    <w:p w:rsidR="00443584" w:rsidRPr="00301583" w:rsidRDefault="00443584" w:rsidP="001E5FFE">
      <w:pPr>
        <w:spacing w:line="276" w:lineRule="auto"/>
        <w:rPr>
          <w:lang w:eastAsia="en-GB"/>
        </w:rPr>
      </w:pPr>
      <w:r w:rsidRPr="00301583">
        <w:rPr>
          <w:lang w:eastAsia="en-GB"/>
        </w:rPr>
        <w:t xml:space="preserve">Finally, when considering the proportion of Roma with a Hungarian affiliation, </w:t>
      </w:r>
      <w:r w:rsidR="004E6E3A">
        <w:rPr>
          <w:lang w:eastAsia="en-GB"/>
        </w:rPr>
        <w:fldChar w:fldCharType="begin"/>
      </w:r>
      <w:r w:rsidR="004E6E3A">
        <w:rPr>
          <w:lang w:eastAsia="en-GB"/>
        </w:rPr>
        <w:instrText xml:space="preserve"> REF _Ref392508593 \h </w:instrText>
      </w:r>
      <w:r w:rsidR="004E6E3A">
        <w:rPr>
          <w:lang w:eastAsia="en-GB"/>
        </w:rPr>
      </w:r>
      <w:r w:rsidR="004E6E3A">
        <w:rPr>
          <w:lang w:eastAsia="en-GB"/>
        </w:rPr>
        <w:fldChar w:fldCharType="separate"/>
      </w:r>
      <w:r w:rsidR="00DC6D66">
        <w:t xml:space="preserve">Table </w:t>
      </w:r>
      <w:r w:rsidR="00DC6D66">
        <w:rPr>
          <w:noProof/>
        </w:rPr>
        <w:t>14</w:t>
      </w:r>
      <w:r w:rsidR="004E6E3A">
        <w:rPr>
          <w:lang w:eastAsia="en-GB"/>
        </w:rPr>
        <w:fldChar w:fldCharType="end"/>
      </w:r>
      <w:r w:rsidR="004E6E3A">
        <w:rPr>
          <w:lang w:eastAsia="en-GB"/>
        </w:rPr>
        <w:t xml:space="preserve"> </w:t>
      </w:r>
      <w:r w:rsidRPr="00301583">
        <w:rPr>
          <w:lang w:eastAsia="en-GB"/>
        </w:rPr>
        <w:t>provides relevant information. According to Ravasz, who examined the Roma population of the</w:t>
      </w:r>
      <w:r w:rsidR="0093447E" w:rsidRPr="00301583">
        <w:rPr>
          <w:lang w:eastAsia="en-GB"/>
        </w:rPr>
        <w:t>se</w:t>
      </w:r>
      <w:r w:rsidRPr="00301583">
        <w:rPr>
          <w:lang w:eastAsia="en-GB"/>
        </w:rPr>
        <w:t xml:space="preserve"> districts with a relevant Hungarian minority, from among the est</w:t>
      </w:r>
      <w:r w:rsidRPr="00301583">
        <w:rPr>
          <w:lang w:eastAsia="en-GB"/>
        </w:rPr>
        <w:t>i</w:t>
      </w:r>
      <w:r w:rsidRPr="00301583">
        <w:rPr>
          <w:lang w:eastAsia="en-GB"/>
        </w:rPr>
        <w:t>mated 188.4 thousand Roma of these districts (listed in the Annex Table),</w:t>
      </w:r>
      <w:r w:rsidR="00301583">
        <w:rPr>
          <w:lang w:eastAsia="en-GB"/>
        </w:rPr>
        <w:t xml:space="preserve"> 60</w:t>
      </w:r>
      <w:r w:rsidR="00A132C4">
        <w:rPr>
          <w:lang w:eastAsia="en-GB"/>
        </w:rPr>
        <w:t>.</w:t>
      </w:r>
      <w:r w:rsidRPr="00301583">
        <w:rPr>
          <w:lang w:eastAsia="en-GB"/>
        </w:rPr>
        <w:t>4 tho</w:t>
      </w:r>
      <w:r w:rsidRPr="00301583">
        <w:rPr>
          <w:lang w:eastAsia="en-GB"/>
        </w:rPr>
        <w:t>u</w:t>
      </w:r>
      <w:r w:rsidRPr="00301583">
        <w:rPr>
          <w:lang w:eastAsia="en-GB"/>
        </w:rPr>
        <w:t xml:space="preserve">sand citizens were assumed to have a Hungarian identity (32%). 41% out of these Roma people with Hungarian national identity live in the Banská Bystrica region, more than half </w:t>
      </w:r>
      <w:r w:rsidR="0093447E" w:rsidRPr="00301583">
        <w:rPr>
          <w:lang w:eastAsia="en-GB"/>
        </w:rPr>
        <w:t xml:space="preserve">of them </w:t>
      </w:r>
      <w:r w:rsidRPr="00301583">
        <w:rPr>
          <w:lang w:eastAsia="en-GB"/>
        </w:rPr>
        <w:t>in the Rimavská Sobota district (21% of the total).</w:t>
      </w:r>
    </w:p>
    <w:p w:rsidR="00985D85" w:rsidRDefault="00443584" w:rsidP="001E5FFE">
      <w:pPr>
        <w:spacing w:line="276" w:lineRule="auto"/>
        <w:rPr>
          <w:lang w:eastAsia="en-GB"/>
        </w:rPr>
      </w:pPr>
      <w:r w:rsidRPr="00301583">
        <w:rPr>
          <w:lang w:eastAsia="en-GB"/>
        </w:rPr>
        <w:t>These figures faithfully reflect the complexity of issues related to ethnicity in general, and in southern district</w:t>
      </w:r>
      <w:r w:rsidR="0093447E" w:rsidRPr="00301583">
        <w:rPr>
          <w:lang w:eastAsia="en-GB"/>
        </w:rPr>
        <w:t>s</w:t>
      </w:r>
      <w:r w:rsidRPr="00301583">
        <w:rPr>
          <w:lang w:eastAsia="en-GB"/>
        </w:rPr>
        <w:t xml:space="preserve"> of Central Slovakia, in particular. We can conclude from the above analysis that in certain contexts, indicators based on official data related to ethnicity cannot be used as proxies indicating poverty and/or social exclusion, d</w:t>
      </w:r>
      <w:r w:rsidRPr="00301583">
        <w:rPr>
          <w:lang w:eastAsia="en-GB"/>
        </w:rPr>
        <w:t>e</w:t>
      </w:r>
      <w:r w:rsidRPr="00301583">
        <w:rPr>
          <w:lang w:eastAsia="en-GB"/>
        </w:rPr>
        <w:t xml:space="preserve">spite the overwhelming deprivation among the members of the given ethnic minority. Where reliable estimates are available, they can substitute for census data in certain </w:t>
      </w:r>
      <w:r w:rsidRPr="00301583">
        <w:rPr>
          <w:lang w:eastAsia="en-GB"/>
        </w:rPr>
        <w:lastRenderedPageBreak/>
        <w:t xml:space="preserve">countries, but the </w:t>
      </w:r>
      <w:r w:rsidR="0093447E" w:rsidRPr="00301583">
        <w:rPr>
          <w:lang w:eastAsia="en-GB"/>
        </w:rPr>
        <w:t xml:space="preserve">reliability </w:t>
      </w:r>
      <w:r w:rsidRPr="00301583">
        <w:rPr>
          <w:lang w:eastAsia="en-GB"/>
        </w:rPr>
        <w:t>of international comparison – due to the uneven access to such estimates – is highly doubtful.</w:t>
      </w:r>
    </w:p>
    <w:p w:rsidR="003F0E0C" w:rsidRPr="003F0E0C" w:rsidRDefault="003F0E0C" w:rsidP="001E5FFE">
      <w:pPr>
        <w:spacing w:line="276" w:lineRule="auto"/>
        <w:rPr>
          <w:sz w:val="10"/>
          <w:szCs w:val="10"/>
          <w:lang w:eastAsia="en-GB"/>
        </w:rPr>
      </w:pPr>
    </w:p>
    <w:p w:rsidR="00914F9A" w:rsidRDefault="003D4BE9" w:rsidP="003F0E0C">
      <w:pPr>
        <w:pStyle w:val="Heading2"/>
        <w:spacing w:before="360" w:line="276" w:lineRule="auto"/>
        <w:rPr>
          <w:lang w:eastAsia="en-GB"/>
        </w:rPr>
      </w:pPr>
      <w:bookmarkStart w:id="61" w:name="_Toc380500965"/>
      <w:bookmarkStart w:id="62" w:name="_Toc385271085"/>
      <w:bookmarkStart w:id="63" w:name="_Toc385939048"/>
      <w:r w:rsidRPr="00301583">
        <w:rPr>
          <w:lang w:eastAsia="en-GB"/>
        </w:rPr>
        <w:t>The 2011 Roma survey and its results</w:t>
      </w:r>
      <w:bookmarkEnd w:id="61"/>
      <w:bookmarkEnd w:id="62"/>
      <w:bookmarkEnd w:id="63"/>
    </w:p>
    <w:p w:rsidR="00B76F33" w:rsidRPr="00B76F33" w:rsidRDefault="003D4BE9" w:rsidP="003F0E0C">
      <w:pPr>
        <w:pStyle w:val="Heading3"/>
        <w:spacing w:before="240" w:after="0" w:line="276" w:lineRule="auto"/>
      </w:pPr>
      <w:bookmarkStart w:id="64" w:name="_Toc385271086"/>
      <w:bookmarkStart w:id="65" w:name="_Toc385939049"/>
      <w:r w:rsidRPr="00301583">
        <w:t xml:space="preserve">The situation of Roma in Slovakia </w:t>
      </w:r>
      <w:r w:rsidR="00CA52EB" w:rsidRPr="00301583">
        <w:t>in comparison to Eastern Europ</w:t>
      </w:r>
      <w:r w:rsidR="00CA52EB" w:rsidRPr="00301583">
        <w:t>e</w:t>
      </w:r>
      <w:r w:rsidR="00CA52EB" w:rsidRPr="00301583">
        <w:t>an countries</w:t>
      </w:r>
      <w:bookmarkEnd w:id="64"/>
      <w:bookmarkEnd w:id="65"/>
    </w:p>
    <w:p w:rsidR="002B1AB4" w:rsidRPr="00301583" w:rsidRDefault="002B1AB4" w:rsidP="001E5FFE">
      <w:pPr>
        <w:spacing w:line="276" w:lineRule="auto"/>
        <w:rPr>
          <w:rFonts w:cs="Arial"/>
          <w:szCs w:val="22"/>
        </w:rPr>
      </w:pPr>
      <w:r w:rsidRPr="00301583">
        <w:rPr>
          <w:rFonts w:cs="Arial"/>
          <w:szCs w:val="22"/>
        </w:rPr>
        <w:t>According to the research of the European Union Agency of Fundamental Rights (FRA), the World Bank and the UNDP finished in 2011, there is a dramatically wide gap between the livelihoods of Roma who live in segregated neighbourhoods and the non-Roma households in close proximity to the assessed Roma settlements. To highlight some of the most important indicators:</w:t>
      </w:r>
    </w:p>
    <w:p w:rsidR="002B1AB4" w:rsidRPr="003F0E0C" w:rsidRDefault="0093447E" w:rsidP="001E5FFE">
      <w:pPr>
        <w:numPr>
          <w:ilvl w:val="0"/>
          <w:numId w:val="16"/>
        </w:numPr>
        <w:spacing w:line="276" w:lineRule="auto"/>
        <w:rPr>
          <w:rFonts w:cs="Arial"/>
          <w:szCs w:val="22"/>
        </w:rPr>
      </w:pPr>
      <w:r w:rsidRPr="003F0E0C">
        <w:rPr>
          <w:rFonts w:cs="Arial"/>
          <w:szCs w:val="22"/>
        </w:rPr>
        <w:t>T</w:t>
      </w:r>
      <w:r w:rsidR="002B1AB4" w:rsidRPr="003F0E0C">
        <w:rPr>
          <w:rFonts w:cs="Arial"/>
          <w:szCs w:val="22"/>
        </w:rPr>
        <w:t xml:space="preserve">he monthly per capita income of Roma living in segregated zones is 26% of the average monthly per capita income in Romania, 36% of that in Hungary, 42% in Bulgaria, 43% in Slovakia and 48% in the Czech Republic. </w:t>
      </w:r>
    </w:p>
    <w:p w:rsidR="0093447E" w:rsidRPr="003F0E0C" w:rsidRDefault="002B1AB4" w:rsidP="001E5FFE">
      <w:pPr>
        <w:numPr>
          <w:ilvl w:val="0"/>
          <w:numId w:val="16"/>
        </w:numPr>
        <w:spacing w:line="276" w:lineRule="auto"/>
        <w:rPr>
          <w:rFonts w:cs="Arial"/>
          <w:szCs w:val="22"/>
        </w:rPr>
      </w:pPr>
      <w:r w:rsidRPr="003F0E0C">
        <w:rPr>
          <w:rFonts w:cs="Arial"/>
          <w:szCs w:val="22"/>
        </w:rPr>
        <w:t>Employment rate is extremely low amongst the assessed Roma, particularly among women. The lowest rates were identified in Slovakia, with a 12.3% female and a 19.4% male employment rate, less than half of the average e</w:t>
      </w:r>
      <w:r w:rsidRPr="003F0E0C">
        <w:rPr>
          <w:rFonts w:cs="Arial"/>
          <w:szCs w:val="22"/>
        </w:rPr>
        <w:t>m</w:t>
      </w:r>
      <w:r w:rsidRPr="003F0E0C">
        <w:rPr>
          <w:rFonts w:cs="Arial"/>
          <w:szCs w:val="22"/>
        </w:rPr>
        <w:t xml:space="preserve">ployment rate; the highest rates were found in Bulgaria, where 31% of women and 43.2 % of men found employment. </w:t>
      </w:r>
    </w:p>
    <w:p w:rsidR="002B1AB4" w:rsidRPr="003F0E0C" w:rsidRDefault="002B1AB4" w:rsidP="001E5FFE">
      <w:pPr>
        <w:numPr>
          <w:ilvl w:val="0"/>
          <w:numId w:val="16"/>
        </w:numPr>
        <w:spacing w:line="276" w:lineRule="auto"/>
        <w:rPr>
          <w:rFonts w:cs="Arial"/>
          <w:szCs w:val="22"/>
        </w:rPr>
      </w:pPr>
      <w:r w:rsidRPr="003F0E0C">
        <w:rPr>
          <w:rFonts w:cs="Arial"/>
          <w:szCs w:val="22"/>
        </w:rPr>
        <w:t>Severe material deprivation is also high among Roma in Hungary and Sl</w:t>
      </w:r>
      <w:r w:rsidRPr="003F0E0C">
        <w:rPr>
          <w:rFonts w:cs="Arial"/>
          <w:szCs w:val="22"/>
        </w:rPr>
        <w:t>o</w:t>
      </w:r>
      <w:r w:rsidRPr="003F0E0C">
        <w:rPr>
          <w:rFonts w:cs="Arial"/>
          <w:szCs w:val="22"/>
        </w:rPr>
        <w:t>vakia, 80% of the researched Roma hou</w:t>
      </w:r>
      <w:r w:rsidR="003F0E0C">
        <w:rPr>
          <w:rFonts w:cs="Arial"/>
          <w:szCs w:val="22"/>
        </w:rPr>
        <w:t xml:space="preserve">seholds were seriously deprived </w:t>
      </w:r>
      <w:r w:rsidR="0093447E" w:rsidRPr="003F0E0C">
        <w:rPr>
          <w:rFonts w:cs="Arial"/>
          <w:szCs w:val="22"/>
        </w:rPr>
        <w:t>(The Situation of Roma, 2012)</w:t>
      </w:r>
    </w:p>
    <w:p w:rsidR="002B1AB4" w:rsidRPr="003F0E0C" w:rsidRDefault="002B1AB4" w:rsidP="001E5FFE">
      <w:pPr>
        <w:numPr>
          <w:ilvl w:val="0"/>
          <w:numId w:val="16"/>
        </w:numPr>
        <w:spacing w:line="276" w:lineRule="auto"/>
        <w:rPr>
          <w:rFonts w:cs="Arial"/>
          <w:szCs w:val="22"/>
        </w:rPr>
      </w:pPr>
      <w:r w:rsidRPr="003F0E0C">
        <w:rPr>
          <w:rFonts w:cs="Arial"/>
          <w:szCs w:val="22"/>
        </w:rPr>
        <w:t>The educational gap is equally dramatic, particularly in Romania, where the rate of Roma household members aged 20 to 24 with completed general or vocational secondary education was as low as 10% against 64% of the same age group in non-Roma neighbourhoods. However, the gap was the widest in the Slovak context, with only 18% secondary education graduates among the Roma against 88% in the non-Roma neighbourhoods. (The Situation of R</w:t>
      </w:r>
      <w:r w:rsidRPr="003F0E0C">
        <w:rPr>
          <w:rFonts w:cs="Arial"/>
          <w:szCs w:val="22"/>
        </w:rPr>
        <w:t>o</w:t>
      </w:r>
      <w:r w:rsidRPr="003F0E0C">
        <w:rPr>
          <w:rFonts w:cs="Arial"/>
          <w:szCs w:val="22"/>
        </w:rPr>
        <w:t>ma, 2012)</w:t>
      </w:r>
    </w:p>
    <w:p w:rsidR="002B1AB4" w:rsidRDefault="002B1AB4" w:rsidP="001E5FFE">
      <w:pPr>
        <w:spacing w:line="276" w:lineRule="auto"/>
        <w:rPr>
          <w:rFonts w:cs="Arial"/>
          <w:szCs w:val="22"/>
        </w:rPr>
      </w:pPr>
      <w:r w:rsidRPr="00A34725">
        <w:rPr>
          <w:rFonts w:cs="Arial"/>
          <w:szCs w:val="22"/>
        </w:rPr>
        <w:t>Low educational attainment keeps the Roma away from labour markets and restricts</w:t>
      </w:r>
      <w:r w:rsidRPr="00301583">
        <w:rPr>
          <w:rFonts w:cs="Arial"/>
          <w:szCs w:val="22"/>
        </w:rPr>
        <w:t xml:space="preserve"> the majority of them to insecure, precarious jobs. Therefore, the generational tran</w:t>
      </w:r>
      <w:r w:rsidRPr="00301583">
        <w:rPr>
          <w:rFonts w:cs="Arial"/>
          <w:szCs w:val="22"/>
        </w:rPr>
        <w:t>s</w:t>
      </w:r>
      <w:r w:rsidRPr="00301583">
        <w:rPr>
          <w:rFonts w:cs="Arial"/>
          <w:szCs w:val="22"/>
        </w:rPr>
        <w:t xml:space="preserve">mission of poverty keeps on going, resulting in a growing, economically and socially </w:t>
      </w:r>
      <w:r w:rsidR="003F0E0C">
        <w:rPr>
          <w:rFonts w:cs="Arial"/>
          <w:szCs w:val="22"/>
        </w:rPr>
        <w:t>excluded social (ethnic) group.</w:t>
      </w:r>
    </w:p>
    <w:p w:rsidR="003F0E0C" w:rsidRDefault="003F0E0C" w:rsidP="001E5FFE">
      <w:pPr>
        <w:spacing w:line="276" w:lineRule="auto"/>
        <w:rPr>
          <w:rFonts w:cs="Arial"/>
          <w:sz w:val="10"/>
          <w:szCs w:val="10"/>
        </w:rPr>
      </w:pPr>
    </w:p>
    <w:p w:rsidR="003F0E0C" w:rsidRPr="003F0E0C" w:rsidRDefault="003F0E0C" w:rsidP="001E5FFE">
      <w:pPr>
        <w:spacing w:line="276" w:lineRule="auto"/>
        <w:rPr>
          <w:rFonts w:cs="Arial"/>
          <w:sz w:val="10"/>
          <w:szCs w:val="10"/>
        </w:rPr>
      </w:pPr>
    </w:p>
    <w:p w:rsidR="002B1AB4" w:rsidRDefault="00C91386" w:rsidP="003F0E0C">
      <w:pPr>
        <w:pStyle w:val="Heading3"/>
        <w:spacing w:before="240" w:line="276" w:lineRule="auto"/>
      </w:pPr>
      <w:bookmarkStart w:id="66" w:name="_Toc385271087"/>
      <w:bookmarkStart w:id="67" w:name="_Toc385939050"/>
      <w:r w:rsidRPr="00301583">
        <w:rPr>
          <w:lang w:eastAsia="en-GB"/>
        </w:rPr>
        <w:t xml:space="preserve">The situation of Roma as </w:t>
      </w:r>
      <w:r w:rsidR="007D4AFC" w:rsidRPr="00301583">
        <w:rPr>
          <w:lang w:eastAsia="en-GB"/>
        </w:rPr>
        <w:t xml:space="preserve">compared with non-Roma: </w:t>
      </w:r>
      <w:r w:rsidR="002B1AB4" w:rsidRPr="00301583">
        <w:t>segregated pe</w:t>
      </w:r>
      <w:r w:rsidR="002B1AB4" w:rsidRPr="00301583">
        <w:t>o</w:t>
      </w:r>
      <w:r w:rsidR="002B1AB4" w:rsidRPr="00301583">
        <w:t>ple and outside people</w:t>
      </w:r>
      <w:bookmarkEnd w:id="66"/>
      <w:bookmarkEnd w:id="67"/>
    </w:p>
    <w:p w:rsidR="00B76F33" w:rsidRPr="00B76F33" w:rsidRDefault="00B76F33" w:rsidP="00B76F33"/>
    <w:p w:rsidR="00B76F33" w:rsidRPr="003F0E0C" w:rsidRDefault="00F00443" w:rsidP="00DB66E0">
      <w:pPr>
        <w:pStyle w:val="Heading4"/>
        <w:numPr>
          <w:ilvl w:val="0"/>
          <w:numId w:val="0"/>
        </w:numPr>
        <w:spacing w:line="276" w:lineRule="auto"/>
        <w:ind w:left="1304" w:hanging="1304"/>
        <w:rPr>
          <w:b w:val="0"/>
          <w:i/>
          <w:sz w:val="22"/>
          <w:szCs w:val="22"/>
        </w:rPr>
      </w:pPr>
      <w:r w:rsidRPr="003F0E0C">
        <w:rPr>
          <w:b w:val="0"/>
          <w:i/>
          <w:sz w:val="22"/>
          <w:szCs w:val="22"/>
        </w:rPr>
        <w:t>Employment</w:t>
      </w:r>
    </w:p>
    <w:p w:rsidR="003F0E0C" w:rsidRDefault="00186F54" w:rsidP="003F0E0C">
      <w:pPr>
        <w:spacing w:line="276" w:lineRule="auto"/>
      </w:pPr>
      <w:r w:rsidRPr="00301583">
        <w:t xml:space="preserve">Before starting the analysis of employment / unemployment figures, the specificities of the survey need to be emphasised once again, namely, that it was accomplished </w:t>
      </w:r>
      <w:r w:rsidRPr="00301583">
        <w:lastRenderedPageBreak/>
        <w:t>based on a sample taken in segregated Roma neighbourhoods and in the non-Roma proximity of such purely Roma settlements. Large urban centres were not included in the investigation. Such non-Roma villages and town districts are usually located in disadvantaged regions, districts, therefore the gap between Roma and non-Roma is necessarily narrower than a comparison between Roma of segregated neighbou</w:t>
      </w:r>
      <w:r w:rsidRPr="00301583">
        <w:t>r</w:t>
      </w:r>
      <w:r w:rsidRPr="00301583">
        <w:t>hoods and the general population. Also, data on the Roma show a darker picture than a survey on the Roma population in general would: in Slovakia, 45% of Roma live dispersed amongst the majority, supposedly in better situation than their fellow citizens of segregated Roma settlements</w:t>
      </w:r>
      <w:r w:rsidR="00547CEF">
        <w:t xml:space="preserve"> (</w:t>
      </w:r>
      <w:r w:rsidRPr="00301583">
        <w:t>55% of the Roma population</w:t>
      </w:r>
      <w:r w:rsidR="00547CEF">
        <w:t>)</w:t>
      </w:r>
      <w:r w:rsidRPr="00301583">
        <w:t>.</w:t>
      </w:r>
    </w:p>
    <w:p w:rsidR="003F0E0C" w:rsidRPr="003F0E0C" w:rsidRDefault="003F0E0C" w:rsidP="00B074CE">
      <w:pPr>
        <w:spacing w:after="240" w:line="276" w:lineRule="auto"/>
        <w:rPr>
          <w:sz w:val="10"/>
          <w:szCs w:val="10"/>
        </w:rPr>
      </w:pPr>
    </w:p>
    <w:p w:rsidR="00B76C57" w:rsidRPr="00301583" w:rsidRDefault="00B76C57" w:rsidP="00B074CE">
      <w:pPr>
        <w:pStyle w:val="Caption"/>
        <w:spacing w:after="120"/>
      </w:pPr>
      <w:bookmarkStart w:id="68" w:name="_Toc385939083"/>
      <w:bookmarkStart w:id="69" w:name="_Toc392509039"/>
      <w:r w:rsidRPr="00301583">
        <w:t xml:space="preserve">Table </w:t>
      </w:r>
      <w:r w:rsidR="00B759C8">
        <w:fldChar w:fldCharType="begin"/>
      </w:r>
      <w:r w:rsidR="00A752E6">
        <w:instrText xml:space="preserve"> SEQ Table \* ARABIC </w:instrText>
      </w:r>
      <w:r w:rsidR="00B759C8">
        <w:fldChar w:fldCharType="separate"/>
      </w:r>
      <w:r w:rsidR="00DC6D66">
        <w:rPr>
          <w:noProof/>
        </w:rPr>
        <w:t>10</w:t>
      </w:r>
      <w:r w:rsidR="00B759C8">
        <w:rPr>
          <w:noProof/>
        </w:rPr>
        <w:fldChar w:fldCharType="end"/>
      </w:r>
      <w:r w:rsidR="00E9042F">
        <w:t>:</w:t>
      </w:r>
      <w:r w:rsidRPr="00301583">
        <w:t xml:space="preserve"> Figures of (un</w:t>
      </w:r>
      <w:r w:rsidR="00B074CE">
        <w:t>-</w:t>
      </w:r>
      <w:r w:rsidRPr="00301583">
        <w:t>)employment and activity</w:t>
      </w:r>
      <w:bookmarkEnd w:id="68"/>
      <w:bookmarkEnd w:id="69"/>
    </w:p>
    <w:tbl>
      <w:tblPr>
        <w:tblW w:w="8288" w:type="dxa"/>
        <w:tblInd w:w="93" w:type="dxa"/>
        <w:tblLayout w:type="fixed"/>
        <w:tblLook w:val="04A0" w:firstRow="1" w:lastRow="0" w:firstColumn="1" w:lastColumn="0" w:noHBand="0" w:noVBand="1"/>
      </w:tblPr>
      <w:tblGrid>
        <w:gridCol w:w="4019"/>
        <w:gridCol w:w="1133"/>
        <w:gridCol w:w="1134"/>
        <w:gridCol w:w="1001"/>
        <w:gridCol w:w="1001"/>
      </w:tblGrid>
      <w:tr w:rsidR="00B76C57" w:rsidRPr="00301583" w:rsidTr="00EB5A1D">
        <w:trPr>
          <w:trHeight w:val="288"/>
        </w:trPr>
        <w:tc>
          <w:tcPr>
            <w:tcW w:w="4019" w:type="dxa"/>
            <w:vMerge w:val="restart"/>
            <w:tcBorders>
              <w:top w:val="single" w:sz="4" w:space="0" w:color="auto"/>
              <w:left w:val="single" w:sz="4" w:space="0" w:color="auto"/>
              <w:right w:val="single" w:sz="4" w:space="0" w:color="auto"/>
            </w:tcBorders>
            <w:shd w:val="clear" w:color="auto" w:fill="auto"/>
            <w:noWrap/>
            <w:vAlign w:val="center"/>
          </w:tcPr>
          <w:p w:rsidR="00B76C57" w:rsidRPr="003F0E0C" w:rsidRDefault="00B76C57" w:rsidP="003F0E0C">
            <w:pPr>
              <w:spacing w:before="20" w:after="20" w:line="240" w:lineRule="auto"/>
              <w:jc w:val="center"/>
              <w:rPr>
                <w:rFonts w:cs="Arial"/>
                <w:b/>
                <w:color w:val="000000"/>
                <w:sz w:val="19"/>
                <w:szCs w:val="19"/>
                <w:lang w:eastAsia="en-GB"/>
              </w:rPr>
            </w:pPr>
            <w:r w:rsidRPr="003F0E0C">
              <w:rPr>
                <w:rFonts w:cs="Arial"/>
                <w:b/>
                <w:color w:val="000000"/>
                <w:sz w:val="19"/>
                <w:szCs w:val="19"/>
                <w:lang w:eastAsia="en-GB"/>
              </w:rPr>
              <w:t>Indicators</w:t>
            </w:r>
          </w:p>
        </w:tc>
        <w:tc>
          <w:tcPr>
            <w:tcW w:w="2267" w:type="dxa"/>
            <w:gridSpan w:val="2"/>
            <w:tcBorders>
              <w:top w:val="single" w:sz="4" w:space="0" w:color="auto"/>
              <w:left w:val="nil"/>
              <w:bottom w:val="single" w:sz="4" w:space="0" w:color="auto"/>
              <w:right w:val="single" w:sz="4" w:space="0" w:color="auto"/>
            </w:tcBorders>
            <w:shd w:val="clear" w:color="auto" w:fill="auto"/>
            <w:vAlign w:val="center"/>
          </w:tcPr>
          <w:p w:rsidR="00B76C57" w:rsidRPr="003F0E0C" w:rsidRDefault="00B76C57" w:rsidP="003F0E0C">
            <w:pPr>
              <w:spacing w:before="20" w:after="20" w:line="240" w:lineRule="auto"/>
              <w:jc w:val="center"/>
              <w:rPr>
                <w:rFonts w:cs="Arial"/>
                <w:b/>
                <w:bCs/>
                <w:color w:val="003300"/>
                <w:sz w:val="19"/>
                <w:szCs w:val="19"/>
                <w:lang w:eastAsia="en-GB"/>
              </w:rPr>
            </w:pPr>
            <w:r w:rsidRPr="003F0E0C">
              <w:rPr>
                <w:rFonts w:cs="Arial"/>
                <w:b/>
                <w:bCs/>
                <w:color w:val="003300"/>
                <w:sz w:val="19"/>
                <w:szCs w:val="19"/>
                <w:lang w:eastAsia="en-GB"/>
              </w:rPr>
              <w:t>Male</w:t>
            </w:r>
          </w:p>
        </w:tc>
        <w:tc>
          <w:tcPr>
            <w:tcW w:w="2002" w:type="dxa"/>
            <w:gridSpan w:val="2"/>
            <w:tcBorders>
              <w:top w:val="single" w:sz="4" w:space="0" w:color="auto"/>
              <w:left w:val="nil"/>
              <w:bottom w:val="single" w:sz="4" w:space="0" w:color="auto"/>
              <w:right w:val="single" w:sz="4" w:space="0" w:color="auto"/>
            </w:tcBorders>
            <w:shd w:val="clear" w:color="auto" w:fill="auto"/>
            <w:vAlign w:val="center"/>
          </w:tcPr>
          <w:p w:rsidR="00B76C57" w:rsidRPr="003F0E0C" w:rsidRDefault="00B76C57" w:rsidP="003F0E0C">
            <w:pPr>
              <w:spacing w:before="20" w:after="20" w:line="240" w:lineRule="auto"/>
              <w:jc w:val="center"/>
              <w:rPr>
                <w:rFonts w:cs="Arial"/>
                <w:b/>
                <w:bCs/>
                <w:color w:val="003300"/>
                <w:sz w:val="19"/>
                <w:szCs w:val="19"/>
                <w:lang w:eastAsia="en-GB"/>
              </w:rPr>
            </w:pPr>
            <w:r w:rsidRPr="003F0E0C">
              <w:rPr>
                <w:rFonts w:cs="Arial"/>
                <w:b/>
                <w:bCs/>
                <w:color w:val="003300"/>
                <w:sz w:val="19"/>
                <w:szCs w:val="19"/>
                <w:lang w:eastAsia="en-GB"/>
              </w:rPr>
              <w:t>Female</w:t>
            </w:r>
          </w:p>
        </w:tc>
      </w:tr>
      <w:tr w:rsidR="00B76C57" w:rsidRPr="00301583" w:rsidTr="00EB5A1D">
        <w:trPr>
          <w:trHeight w:val="288"/>
        </w:trPr>
        <w:tc>
          <w:tcPr>
            <w:tcW w:w="4019" w:type="dxa"/>
            <w:vMerge/>
            <w:tcBorders>
              <w:left w:val="single" w:sz="4" w:space="0" w:color="auto"/>
              <w:bottom w:val="single" w:sz="18" w:space="0" w:color="auto"/>
              <w:right w:val="single" w:sz="4" w:space="0" w:color="auto"/>
            </w:tcBorders>
            <w:shd w:val="clear" w:color="auto" w:fill="auto"/>
            <w:noWrap/>
            <w:vAlign w:val="bottom"/>
          </w:tcPr>
          <w:p w:rsidR="00B76C57" w:rsidRPr="003F0E0C" w:rsidRDefault="00B76C57" w:rsidP="003F0E0C">
            <w:pPr>
              <w:spacing w:before="20" w:after="20" w:line="240" w:lineRule="auto"/>
              <w:jc w:val="left"/>
              <w:rPr>
                <w:rFonts w:cs="Arial"/>
                <w:color w:val="000000"/>
                <w:sz w:val="19"/>
                <w:szCs w:val="19"/>
                <w:lang w:eastAsia="en-GB"/>
              </w:rPr>
            </w:pPr>
          </w:p>
        </w:tc>
        <w:tc>
          <w:tcPr>
            <w:tcW w:w="1133" w:type="dxa"/>
            <w:tcBorders>
              <w:top w:val="nil"/>
              <w:left w:val="nil"/>
              <w:bottom w:val="single" w:sz="18" w:space="0" w:color="auto"/>
              <w:right w:val="single" w:sz="4" w:space="0" w:color="auto"/>
            </w:tcBorders>
            <w:shd w:val="clear" w:color="auto" w:fill="auto"/>
            <w:noWrap/>
            <w:vAlign w:val="center"/>
          </w:tcPr>
          <w:p w:rsidR="00B76C57" w:rsidRPr="003F0E0C" w:rsidRDefault="00B76C57" w:rsidP="003F0E0C">
            <w:pPr>
              <w:spacing w:before="20" w:after="20" w:line="240" w:lineRule="auto"/>
              <w:jc w:val="center"/>
              <w:rPr>
                <w:rFonts w:cs="Arial"/>
                <w:b/>
                <w:bCs/>
                <w:color w:val="003300"/>
                <w:sz w:val="19"/>
                <w:szCs w:val="19"/>
                <w:lang w:eastAsia="en-GB"/>
              </w:rPr>
            </w:pPr>
            <w:r w:rsidRPr="003F0E0C">
              <w:rPr>
                <w:rFonts w:cs="Arial"/>
                <w:b/>
                <w:bCs/>
                <w:color w:val="003300"/>
                <w:sz w:val="19"/>
                <w:szCs w:val="19"/>
                <w:lang w:eastAsia="en-GB"/>
              </w:rPr>
              <w:t>Roma</w:t>
            </w:r>
          </w:p>
        </w:tc>
        <w:tc>
          <w:tcPr>
            <w:tcW w:w="1134" w:type="dxa"/>
            <w:tcBorders>
              <w:top w:val="nil"/>
              <w:left w:val="nil"/>
              <w:bottom w:val="single" w:sz="18" w:space="0" w:color="auto"/>
              <w:right w:val="single" w:sz="4" w:space="0" w:color="auto"/>
            </w:tcBorders>
            <w:shd w:val="clear" w:color="auto" w:fill="auto"/>
            <w:noWrap/>
            <w:vAlign w:val="center"/>
          </w:tcPr>
          <w:p w:rsidR="00B76C57" w:rsidRPr="003F0E0C" w:rsidRDefault="00B76C57" w:rsidP="003F0E0C">
            <w:pPr>
              <w:spacing w:before="20" w:after="20" w:line="240" w:lineRule="auto"/>
              <w:jc w:val="center"/>
              <w:rPr>
                <w:rFonts w:cs="Arial"/>
                <w:b/>
                <w:bCs/>
                <w:color w:val="003300"/>
                <w:sz w:val="19"/>
                <w:szCs w:val="19"/>
                <w:lang w:eastAsia="en-GB"/>
              </w:rPr>
            </w:pPr>
            <w:r w:rsidRPr="003F0E0C">
              <w:rPr>
                <w:rFonts w:cs="Arial"/>
                <w:b/>
                <w:bCs/>
                <w:color w:val="003300"/>
                <w:sz w:val="19"/>
                <w:szCs w:val="19"/>
                <w:lang w:eastAsia="en-GB"/>
              </w:rPr>
              <w:t>Non-Roma</w:t>
            </w:r>
          </w:p>
        </w:tc>
        <w:tc>
          <w:tcPr>
            <w:tcW w:w="1001" w:type="dxa"/>
            <w:tcBorders>
              <w:top w:val="nil"/>
              <w:left w:val="nil"/>
              <w:bottom w:val="single" w:sz="18" w:space="0" w:color="auto"/>
              <w:right w:val="single" w:sz="4" w:space="0" w:color="auto"/>
            </w:tcBorders>
            <w:shd w:val="clear" w:color="auto" w:fill="auto"/>
            <w:noWrap/>
            <w:vAlign w:val="center"/>
          </w:tcPr>
          <w:p w:rsidR="00B76C57" w:rsidRPr="003F0E0C" w:rsidRDefault="00B76C57" w:rsidP="003F0E0C">
            <w:pPr>
              <w:spacing w:before="20" w:after="20" w:line="240" w:lineRule="auto"/>
              <w:jc w:val="center"/>
              <w:rPr>
                <w:rFonts w:cs="Arial"/>
                <w:b/>
                <w:bCs/>
                <w:color w:val="003300"/>
                <w:sz w:val="19"/>
                <w:szCs w:val="19"/>
                <w:lang w:eastAsia="en-GB"/>
              </w:rPr>
            </w:pPr>
            <w:r w:rsidRPr="003F0E0C">
              <w:rPr>
                <w:rFonts w:cs="Arial"/>
                <w:b/>
                <w:bCs/>
                <w:color w:val="003300"/>
                <w:sz w:val="19"/>
                <w:szCs w:val="19"/>
                <w:lang w:eastAsia="en-GB"/>
              </w:rPr>
              <w:t>Roma</w:t>
            </w:r>
          </w:p>
        </w:tc>
        <w:tc>
          <w:tcPr>
            <w:tcW w:w="1001" w:type="dxa"/>
            <w:tcBorders>
              <w:top w:val="nil"/>
              <w:left w:val="nil"/>
              <w:bottom w:val="single" w:sz="18" w:space="0" w:color="auto"/>
              <w:right w:val="single" w:sz="4" w:space="0" w:color="auto"/>
            </w:tcBorders>
            <w:shd w:val="clear" w:color="auto" w:fill="auto"/>
            <w:noWrap/>
            <w:vAlign w:val="center"/>
          </w:tcPr>
          <w:p w:rsidR="00B76C57" w:rsidRPr="003F0E0C" w:rsidRDefault="00B76C57" w:rsidP="003F0E0C">
            <w:pPr>
              <w:spacing w:before="20" w:after="20" w:line="240" w:lineRule="auto"/>
              <w:jc w:val="center"/>
              <w:rPr>
                <w:rFonts w:cs="Arial"/>
                <w:b/>
                <w:bCs/>
                <w:color w:val="003300"/>
                <w:sz w:val="19"/>
                <w:szCs w:val="19"/>
                <w:lang w:eastAsia="en-GB"/>
              </w:rPr>
            </w:pPr>
            <w:r w:rsidRPr="003F0E0C">
              <w:rPr>
                <w:rFonts w:cs="Arial"/>
                <w:b/>
                <w:bCs/>
                <w:color w:val="003300"/>
                <w:sz w:val="19"/>
                <w:szCs w:val="19"/>
                <w:lang w:eastAsia="en-GB"/>
              </w:rPr>
              <w:t>Non-Roma</w:t>
            </w:r>
          </w:p>
        </w:tc>
      </w:tr>
      <w:tr w:rsidR="00B76C57" w:rsidRPr="00301583" w:rsidTr="00EB5A1D">
        <w:trPr>
          <w:trHeight w:val="288"/>
        </w:trPr>
        <w:tc>
          <w:tcPr>
            <w:tcW w:w="4019" w:type="dxa"/>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left"/>
              <w:rPr>
                <w:rFonts w:cs="Arial"/>
                <w:color w:val="000000"/>
                <w:sz w:val="19"/>
                <w:szCs w:val="19"/>
                <w:lang w:eastAsia="en-GB"/>
              </w:rPr>
            </w:pPr>
            <w:r w:rsidRPr="003F0E0C">
              <w:rPr>
                <w:rFonts w:cs="Arial"/>
                <w:color w:val="000000"/>
                <w:sz w:val="19"/>
                <w:szCs w:val="19"/>
                <w:lang w:eastAsia="en-GB"/>
              </w:rPr>
              <w:t>Employment rate (15-64)</w:t>
            </w:r>
          </w:p>
        </w:tc>
        <w:tc>
          <w:tcPr>
            <w:tcW w:w="1133"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20%</w:t>
            </w:r>
          </w:p>
        </w:tc>
        <w:tc>
          <w:tcPr>
            <w:tcW w:w="1134"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46%</w:t>
            </w:r>
          </w:p>
        </w:tc>
        <w:tc>
          <w:tcPr>
            <w:tcW w:w="1001"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9%</w:t>
            </w:r>
          </w:p>
        </w:tc>
        <w:tc>
          <w:tcPr>
            <w:tcW w:w="1001" w:type="dxa"/>
            <w:tcBorders>
              <w:top w:val="single" w:sz="18" w:space="0" w:color="auto"/>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30%</w:t>
            </w:r>
          </w:p>
        </w:tc>
      </w:tr>
      <w:tr w:rsidR="00B76C57" w:rsidRPr="00301583" w:rsidTr="00EB5A1D">
        <w:trPr>
          <w:trHeight w:val="288"/>
        </w:trPr>
        <w:tc>
          <w:tcPr>
            <w:tcW w:w="4019" w:type="dxa"/>
            <w:tcBorders>
              <w:top w:val="nil"/>
              <w:left w:val="single" w:sz="4" w:space="0" w:color="auto"/>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left"/>
              <w:rPr>
                <w:rFonts w:cs="Arial"/>
                <w:color w:val="000000"/>
                <w:sz w:val="19"/>
                <w:szCs w:val="19"/>
                <w:lang w:eastAsia="en-GB"/>
              </w:rPr>
            </w:pPr>
            <w:r w:rsidRPr="003F0E0C">
              <w:rPr>
                <w:rFonts w:cs="Arial"/>
                <w:color w:val="000000"/>
                <w:sz w:val="19"/>
                <w:szCs w:val="19"/>
                <w:lang w:eastAsia="en-GB"/>
              </w:rPr>
              <w:t>Unemployment rate (15-64)</w:t>
            </w:r>
          </w:p>
        </w:tc>
        <w:tc>
          <w:tcPr>
            <w:tcW w:w="1133"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64%</w:t>
            </w:r>
          </w:p>
        </w:tc>
        <w:tc>
          <w:tcPr>
            <w:tcW w:w="1134"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27%</w:t>
            </w:r>
          </w:p>
        </w:tc>
        <w:tc>
          <w:tcPr>
            <w:tcW w:w="1001"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78%</w:t>
            </w:r>
          </w:p>
        </w:tc>
        <w:tc>
          <w:tcPr>
            <w:tcW w:w="1001"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40%</w:t>
            </w:r>
          </w:p>
        </w:tc>
      </w:tr>
      <w:tr w:rsidR="00B76C57" w:rsidRPr="00301583" w:rsidTr="00EB5A1D">
        <w:trPr>
          <w:trHeight w:val="288"/>
        </w:trPr>
        <w:tc>
          <w:tcPr>
            <w:tcW w:w="4019"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left"/>
              <w:rPr>
                <w:rFonts w:cs="Arial"/>
                <w:color w:val="000000"/>
                <w:sz w:val="19"/>
                <w:szCs w:val="19"/>
                <w:lang w:eastAsia="en-GB"/>
              </w:rPr>
            </w:pPr>
            <w:r w:rsidRPr="003F0E0C">
              <w:rPr>
                <w:rFonts w:cs="Arial"/>
                <w:color w:val="000000"/>
                <w:sz w:val="19"/>
                <w:szCs w:val="19"/>
                <w:lang w:eastAsia="en-GB"/>
              </w:rPr>
              <w:t>Activity rate (15-64)</w:t>
            </w:r>
          </w:p>
        </w:tc>
        <w:tc>
          <w:tcPr>
            <w:tcW w:w="1133"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57%</w:t>
            </w:r>
          </w:p>
        </w:tc>
        <w:tc>
          <w:tcPr>
            <w:tcW w:w="1134"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64%</w:t>
            </w:r>
          </w:p>
        </w:tc>
        <w:tc>
          <w:tcPr>
            <w:tcW w:w="1001"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40%</w:t>
            </w:r>
          </w:p>
        </w:tc>
        <w:tc>
          <w:tcPr>
            <w:tcW w:w="1001"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49%</w:t>
            </w:r>
          </w:p>
        </w:tc>
      </w:tr>
      <w:tr w:rsidR="00B76C57" w:rsidRPr="00301583" w:rsidTr="00EB5A1D">
        <w:trPr>
          <w:trHeight w:val="288"/>
        </w:trPr>
        <w:tc>
          <w:tcPr>
            <w:tcW w:w="4019" w:type="dxa"/>
            <w:tcBorders>
              <w:top w:val="nil"/>
              <w:left w:val="single" w:sz="4" w:space="0" w:color="auto"/>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left"/>
              <w:rPr>
                <w:rFonts w:cs="Arial"/>
                <w:color w:val="000000"/>
                <w:sz w:val="19"/>
                <w:szCs w:val="19"/>
                <w:lang w:eastAsia="en-GB"/>
              </w:rPr>
            </w:pPr>
            <w:r w:rsidRPr="003F0E0C">
              <w:rPr>
                <w:rFonts w:cs="Arial"/>
                <w:color w:val="000000"/>
                <w:sz w:val="19"/>
                <w:szCs w:val="19"/>
                <w:lang w:eastAsia="en-GB"/>
              </w:rPr>
              <w:t>No employment experience rate (15-64)</w:t>
            </w:r>
          </w:p>
        </w:tc>
        <w:tc>
          <w:tcPr>
            <w:tcW w:w="1133"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29%</w:t>
            </w:r>
          </w:p>
        </w:tc>
        <w:tc>
          <w:tcPr>
            <w:tcW w:w="1134"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24%</w:t>
            </w:r>
          </w:p>
        </w:tc>
        <w:tc>
          <w:tcPr>
            <w:tcW w:w="1001"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47%</w:t>
            </w:r>
          </w:p>
        </w:tc>
        <w:tc>
          <w:tcPr>
            <w:tcW w:w="1001"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19%</w:t>
            </w:r>
          </w:p>
        </w:tc>
      </w:tr>
      <w:tr w:rsidR="00B76C57" w:rsidRPr="00301583" w:rsidTr="00EB5A1D">
        <w:trPr>
          <w:trHeight w:val="288"/>
        </w:trPr>
        <w:tc>
          <w:tcPr>
            <w:tcW w:w="4019"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left"/>
              <w:rPr>
                <w:rFonts w:cs="Arial"/>
                <w:color w:val="000000"/>
                <w:sz w:val="19"/>
                <w:szCs w:val="19"/>
                <w:lang w:eastAsia="en-GB"/>
              </w:rPr>
            </w:pPr>
            <w:r w:rsidRPr="003F0E0C">
              <w:rPr>
                <w:rFonts w:cs="Arial"/>
                <w:color w:val="000000"/>
                <w:sz w:val="19"/>
                <w:szCs w:val="19"/>
                <w:lang w:eastAsia="en-GB"/>
              </w:rPr>
              <w:t>Informal employment incidence (15-64)</w:t>
            </w:r>
          </w:p>
        </w:tc>
        <w:tc>
          <w:tcPr>
            <w:tcW w:w="1133"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23%</w:t>
            </w:r>
          </w:p>
        </w:tc>
        <w:tc>
          <w:tcPr>
            <w:tcW w:w="1134"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5%</w:t>
            </w:r>
          </w:p>
        </w:tc>
        <w:tc>
          <w:tcPr>
            <w:tcW w:w="1001"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18%</w:t>
            </w:r>
          </w:p>
        </w:tc>
        <w:tc>
          <w:tcPr>
            <w:tcW w:w="1001" w:type="dxa"/>
            <w:tcBorders>
              <w:top w:val="nil"/>
              <w:left w:val="nil"/>
              <w:bottom w:val="single" w:sz="4" w:space="0" w:color="auto"/>
              <w:right w:val="single" w:sz="4" w:space="0" w:color="auto"/>
            </w:tcBorders>
            <w:shd w:val="clear" w:color="auto" w:fill="D9D9D9" w:themeFill="background1" w:themeFillShade="D9"/>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5%</w:t>
            </w:r>
          </w:p>
        </w:tc>
      </w:tr>
      <w:tr w:rsidR="00B76C57" w:rsidRPr="00301583" w:rsidTr="00EB5A1D">
        <w:trPr>
          <w:trHeight w:val="288"/>
        </w:trPr>
        <w:tc>
          <w:tcPr>
            <w:tcW w:w="4019" w:type="dxa"/>
            <w:tcBorders>
              <w:top w:val="nil"/>
              <w:left w:val="single" w:sz="4" w:space="0" w:color="auto"/>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left"/>
              <w:rPr>
                <w:rFonts w:cs="Arial"/>
                <w:color w:val="000000"/>
                <w:sz w:val="19"/>
                <w:szCs w:val="19"/>
                <w:lang w:eastAsia="en-GB"/>
              </w:rPr>
            </w:pPr>
            <w:r w:rsidRPr="003F0E0C">
              <w:rPr>
                <w:rFonts w:cs="Arial"/>
                <w:color w:val="000000"/>
                <w:sz w:val="19"/>
                <w:szCs w:val="19"/>
                <w:lang w:eastAsia="en-GB"/>
              </w:rPr>
              <w:t>Self-employment rate (15-64)</w:t>
            </w:r>
          </w:p>
        </w:tc>
        <w:tc>
          <w:tcPr>
            <w:tcW w:w="1133"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0%</w:t>
            </w:r>
          </w:p>
        </w:tc>
        <w:tc>
          <w:tcPr>
            <w:tcW w:w="1134"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4%</w:t>
            </w:r>
          </w:p>
        </w:tc>
        <w:tc>
          <w:tcPr>
            <w:tcW w:w="1001"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0%</w:t>
            </w:r>
          </w:p>
        </w:tc>
        <w:tc>
          <w:tcPr>
            <w:tcW w:w="1001" w:type="dxa"/>
            <w:tcBorders>
              <w:top w:val="nil"/>
              <w:left w:val="nil"/>
              <w:bottom w:val="single" w:sz="4" w:space="0" w:color="auto"/>
              <w:right w:val="single" w:sz="4" w:space="0" w:color="auto"/>
            </w:tcBorders>
            <w:shd w:val="clear" w:color="000000" w:fill="FFFFFF"/>
            <w:noWrap/>
            <w:vAlign w:val="bottom"/>
          </w:tcPr>
          <w:p w:rsidR="00B76C57" w:rsidRPr="003F0E0C" w:rsidRDefault="00B76C57" w:rsidP="003F0E0C">
            <w:pPr>
              <w:spacing w:before="20" w:after="20" w:line="240" w:lineRule="auto"/>
              <w:jc w:val="right"/>
              <w:rPr>
                <w:rFonts w:cs="Arial"/>
                <w:color w:val="000000"/>
                <w:sz w:val="19"/>
                <w:szCs w:val="19"/>
                <w:lang w:eastAsia="en-GB"/>
              </w:rPr>
            </w:pPr>
            <w:r w:rsidRPr="003F0E0C">
              <w:rPr>
                <w:rFonts w:cs="Arial"/>
                <w:color w:val="000000"/>
                <w:sz w:val="19"/>
                <w:szCs w:val="19"/>
                <w:lang w:eastAsia="en-GB"/>
              </w:rPr>
              <w:t>3%</w:t>
            </w:r>
          </w:p>
        </w:tc>
      </w:tr>
    </w:tbl>
    <w:p w:rsidR="005471DA" w:rsidRPr="003F0E0C" w:rsidRDefault="005471DA" w:rsidP="003F0E0C">
      <w:pPr>
        <w:spacing w:after="240" w:line="240" w:lineRule="auto"/>
        <w:jc w:val="left"/>
        <w:rPr>
          <w:rFonts w:cs="Arial"/>
          <w:sz w:val="16"/>
          <w:szCs w:val="16"/>
          <w:lang w:eastAsia="en-GB"/>
        </w:rPr>
      </w:pPr>
      <w:r w:rsidRPr="003F0E0C">
        <w:rPr>
          <w:rFonts w:cs="Arial"/>
          <w:b/>
          <w:sz w:val="16"/>
          <w:szCs w:val="16"/>
          <w:lang w:eastAsia="en-GB"/>
        </w:rPr>
        <w:t>Source:</w:t>
      </w:r>
      <w:r w:rsidRPr="003F0E0C">
        <w:rPr>
          <w:rFonts w:cs="Arial"/>
          <w:sz w:val="16"/>
          <w:szCs w:val="16"/>
          <w:lang w:eastAsia="en-GB"/>
        </w:rPr>
        <w:t xml:space="preserve"> UNDP/WB/EC Regional survey 2011</w:t>
      </w:r>
    </w:p>
    <w:p w:rsidR="00186F54" w:rsidRPr="00301583" w:rsidRDefault="00186F54" w:rsidP="001E5FFE">
      <w:pPr>
        <w:spacing w:line="276" w:lineRule="auto"/>
      </w:pPr>
      <w:r w:rsidRPr="00301583">
        <w:t xml:space="preserve">As mentioned above, employment figures of the Roma in Slovakia </w:t>
      </w:r>
      <w:r w:rsidR="00547CEF">
        <w:t xml:space="preserve">of segregated settlements </w:t>
      </w:r>
      <w:r w:rsidRPr="00301583">
        <w:t>are meagre even by Eastern European standards</w:t>
      </w:r>
      <w:r w:rsidR="00547CEF">
        <w:t xml:space="preserve"> of the same group</w:t>
      </w:r>
      <w:r w:rsidRPr="00301583">
        <w:t xml:space="preserve">: </w:t>
      </w:r>
    </w:p>
    <w:p w:rsidR="00186F54" w:rsidRPr="00301583" w:rsidRDefault="00186F54" w:rsidP="001E5FFE">
      <w:pPr>
        <w:numPr>
          <w:ilvl w:val="0"/>
          <w:numId w:val="10"/>
        </w:numPr>
        <w:spacing w:line="276" w:lineRule="auto"/>
      </w:pPr>
      <w:r w:rsidRPr="00301583">
        <w:t>only 9% of Roma women and 20% of Roma men were employed in 2011,</w:t>
      </w:r>
    </w:p>
    <w:p w:rsidR="00186F54" w:rsidRPr="00301583" w:rsidRDefault="00186F54" w:rsidP="001E5FFE">
      <w:pPr>
        <w:numPr>
          <w:ilvl w:val="0"/>
          <w:numId w:val="10"/>
        </w:numPr>
        <w:spacing w:line="276" w:lineRule="auto"/>
      </w:pPr>
      <w:r w:rsidRPr="00301583">
        <w:t xml:space="preserve">consequently, unemployment rates skyrocketed (64% of men, 78% of women were unemployed), </w:t>
      </w:r>
    </w:p>
    <w:p w:rsidR="00186F54" w:rsidRPr="00301583" w:rsidRDefault="00186F54" w:rsidP="001E5FFE">
      <w:pPr>
        <w:numPr>
          <w:ilvl w:val="0"/>
          <w:numId w:val="10"/>
        </w:numPr>
        <w:spacing w:line="276" w:lineRule="auto"/>
      </w:pPr>
      <w:r w:rsidRPr="00301583">
        <w:t>29% of Roma men and 47% of Roma women have never had a proper job, and</w:t>
      </w:r>
    </w:p>
    <w:p w:rsidR="00186F54" w:rsidRPr="00301583" w:rsidRDefault="00186F54" w:rsidP="001E5FFE">
      <w:pPr>
        <w:numPr>
          <w:ilvl w:val="0"/>
          <w:numId w:val="10"/>
        </w:numPr>
        <w:spacing w:line="276" w:lineRule="auto"/>
      </w:pPr>
      <w:r w:rsidRPr="00301583">
        <w:t>self-employment as an alternative to wage labour does not seem to be an o</w:t>
      </w:r>
      <w:r w:rsidRPr="00301583">
        <w:t>p</w:t>
      </w:r>
      <w:r w:rsidRPr="00301583">
        <w:t xml:space="preserve">tion for the Roma. </w:t>
      </w:r>
    </w:p>
    <w:p w:rsidR="00186F54" w:rsidRPr="00301583" w:rsidRDefault="00186F54" w:rsidP="001E5FFE">
      <w:pPr>
        <w:spacing w:line="276" w:lineRule="auto"/>
      </w:pPr>
      <w:r w:rsidRPr="00301583">
        <w:t xml:space="preserve">It is no wonder that in such circumstances informal work experience is higher than the employment rate amongst Roma labour, and two times higher in case of women. </w:t>
      </w:r>
    </w:p>
    <w:p w:rsidR="00186F54" w:rsidRPr="00301583" w:rsidRDefault="00186F54" w:rsidP="001E5FFE">
      <w:pPr>
        <w:spacing w:line="276" w:lineRule="auto"/>
      </w:pPr>
      <w:r w:rsidRPr="00301583">
        <w:t>Seeing the figures of female employment, it ought to be emphasised that the role of women in most marginalised Roma households is almost like that of a breadwinner. Their bodies are used (as well as their whole lives) for ensuring security for their families via giving birth to children</w:t>
      </w:r>
      <w:r w:rsidRPr="00301583">
        <w:rPr>
          <w:rStyle w:val="FootnoteReference"/>
          <w:rFonts w:ascii="Times New Roman" w:hAnsi="Times New Roman"/>
          <w:sz w:val="24"/>
          <w:szCs w:val="24"/>
        </w:rPr>
        <w:footnoteReference w:id="6"/>
      </w:r>
      <w:r w:rsidRPr="00301583">
        <w:t>, thus gaining relatively secure and long-term be</w:t>
      </w:r>
      <w:r w:rsidRPr="00301583">
        <w:t>n</w:t>
      </w:r>
      <w:r w:rsidRPr="00301583">
        <w:t>efits using various entitlements.</w:t>
      </w:r>
      <w:r w:rsidRPr="00301583">
        <w:rPr>
          <w:rStyle w:val="FootnoteReference"/>
          <w:rFonts w:ascii="Times New Roman" w:hAnsi="Times New Roman"/>
          <w:sz w:val="24"/>
          <w:szCs w:val="24"/>
        </w:rPr>
        <w:footnoteReference w:id="7"/>
      </w:r>
      <w:r w:rsidRPr="00301583">
        <w:t xml:space="preserve"> Therefore, these women simply cannot aspire for </w:t>
      </w:r>
      <w:r w:rsidRPr="00301583">
        <w:lastRenderedPageBreak/>
        <w:t xml:space="preserve">proper employment unless they are forced by circumstance (divorce, death, eviction) to do so. Nevertheless, the scale of marginalisation of Roma women in relation to the labour market is astonishing and will surely generate long-lasting consequences. </w:t>
      </w:r>
    </w:p>
    <w:p w:rsidR="003F0E0C" w:rsidRDefault="00186F54" w:rsidP="003F0E0C">
      <w:pPr>
        <w:spacing w:line="276" w:lineRule="auto"/>
      </w:pPr>
      <w:r w:rsidRPr="00301583">
        <w:t xml:space="preserve">The graph below is meant to indicate the sources of income of Roma households: the proportion of social assistance and child benefits is almost 59% against 33% rate of dependence </w:t>
      </w:r>
      <w:r w:rsidR="00547CEF">
        <w:t xml:space="preserve">on social transfers </w:t>
      </w:r>
      <w:r w:rsidRPr="00301583">
        <w:t>of the non-Roma households. Earnings from e</w:t>
      </w:r>
      <w:r w:rsidRPr="00301583">
        <w:t>m</w:t>
      </w:r>
      <w:r w:rsidRPr="00301583">
        <w:t>ployment bring less than 20% incom</w:t>
      </w:r>
      <w:r w:rsidR="003F0E0C">
        <w:t>e in an average Roma household.</w:t>
      </w:r>
    </w:p>
    <w:p w:rsidR="003F0E0C" w:rsidRPr="003F0E0C" w:rsidRDefault="003F0E0C" w:rsidP="003F0E0C">
      <w:pPr>
        <w:spacing w:line="276" w:lineRule="auto"/>
        <w:rPr>
          <w:sz w:val="10"/>
          <w:szCs w:val="10"/>
        </w:rPr>
      </w:pPr>
    </w:p>
    <w:p w:rsidR="00B90FE7" w:rsidRPr="00301583" w:rsidRDefault="00350D91" w:rsidP="0040458C">
      <w:pPr>
        <w:jc w:val="center"/>
      </w:pPr>
      <w:r>
        <w:rPr>
          <w:noProof/>
          <w:lang w:val="fi-FI" w:eastAsia="fi-FI"/>
        </w:rPr>
        <w:drawing>
          <wp:anchor distT="0" distB="0" distL="114300" distR="114300" simplePos="0" relativeHeight="251671552" behindDoc="1" locked="0" layoutInCell="1" allowOverlap="1" wp14:anchorId="1F0EC4EE" wp14:editId="14A5A5F2">
            <wp:simplePos x="0" y="0"/>
            <wp:positionH relativeFrom="column">
              <wp:posOffset>20955</wp:posOffset>
            </wp:positionH>
            <wp:positionV relativeFrom="paragraph">
              <wp:posOffset>81280</wp:posOffset>
            </wp:positionV>
            <wp:extent cx="4568825" cy="2740025"/>
            <wp:effectExtent l="0" t="0" r="22225" b="22225"/>
            <wp:wrapTight wrapText="bothSides">
              <wp:wrapPolygon edited="0">
                <wp:start x="0" y="0"/>
                <wp:lineTo x="0" y="21625"/>
                <wp:lineTo x="21615" y="21625"/>
                <wp:lineTo x="21615" y="0"/>
                <wp:lineTo x="0" y="0"/>
              </wp:wrapPolygon>
            </wp:wrapTight>
            <wp:docPr id="7" name="Diagra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rsidR="003F0E0C" w:rsidRDefault="003F0E0C" w:rsidP="003F0E0C">
      <w:pPr>
        <w:spacing w:before="0"/>
        <w:rPr>
          <w:sz w:val="16"/>
          <w:szCs w:val="16"/>
          <w:lang w:eastAsia="en-GB"/>
        </w:rPr>
      </w:pPr>
      <w:bookmarkStart w:id="70" w:name="_Toc378241860"/>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3F0E0C" w:rsidRDefault="003F0E0C" w:rsidP="003F0E0C">
      <w:pPr>
        <w:spacing w:before="0"/>
        <w:rPr>
          <w:sz w:val="16"/>
          <w:szCs w:val="16"/>
          <w:lang w:eastAsia="en-GB"/>
        </w:rPr>
      </w:pPr>
    </w:p>
    <w:p w:rsidR="00A34725" w:rsidRDefault="009E289B" w:rsidP="003F0E0C">
      <w:pPr>
        <w:pStyle w:val="Caption"/>
        <w:spacing w:after="240"/>
      </w:pPr>
      <w:bookmarkStart w:id="71" w:name="_Toc392105195"/>
      <w:bookmarkStart w:id="72" w:name="_Toc392509050"/>
      <w:r w:rsidRPr="00301583">
        <w:t>Figure</w:t>
      </w:r>
      <w:r w:rsidR="00E9042F">
        <w:t xml:space="preserve"> </w:t>
      </w:r>
      <w:r w:rsidR="00B759C8">
        <w:fldChar w:fldCharType="begin"/>
      </w:r>
      <w:r w:rsidR="00A752E6">
        <w:instrText xml:space="preserve"> SEQ Figure \* ARABIC </w:instrText>
      </w:r>
      <w:r w:rsidR="00B759C8">
        <w:fldChar w:fldCharType="separate"/>
      </w:r>
      <w:r w:rsidR="00DC6D66">
        <w:rPr>
          <w:noProof/>
        </w:rPr>
        <w:t>4</w:t>
      </w:r>
      <w:r w:rsidR="00B759C8">
        <w:rPr>
          <w:noProof/>
        </w:rPr>
        <w:fldChar w:fldCharType="end"/>
      </w:r>
      <w:r w:rsidR="00E9042F">
        <w:t>:</w:t>
      </w:r>
      <w:r w:rsidRPr="00301583">
        <w:t xml:space="preserve"> Sources of income in Roma and non-Roma households</w:t>
      </w:r>
      <w:bookmarkEnd w:id="70"/>
      <w:bookmarkEnd w:id="71"/>
      <w:bookmarkEnd w:id="72"/>
    </w:p>
    <w:p w:rsidR="003F0E0C" w:rsidRPr="0040458C" w:rsidRDefault="003F0E0C" w:rsidP="003F0E0C">
      <w:pPr>
        <w:spacing w:before="0" w:after="240" w:line="240" w:lineRule="auto"/>
        <w:rPr>
          <w:sz w:val="16"/>
          <w:szCs w:val="16"/>
        </w:rPr>
      </w:pPr>
      <w:r w:rsidRPr="003F0E0C">
        <w:rPr>
          <w:b/>
          <w:sz w:val="16"/>
          <w:szCs w:val="16"/>
          <w:lang w:eastAsia="en-GB"/>
        </w:rPr>
        <w:t>Source:</w:t>
      </w:r>
      <w:r w:rsidRPr="0040458C">
        <w:rPr>
          <w:sz w:val="16"/>
          <w:szCs w:val="16"/>
          <w:lang w:eastAsia="en-GB"/>
        </w:rPr>
        <w:t xml:space="preserve"> UNDP/WB/EC Regional survey 2011</w:t>
      </w:r>
    </w:p>
    <w:p w:rsidR="00186F54" w:rsidRPr="00301583" w:rsidRDefault="00186F54" w:rsidP="001E5FFE">
      <w:pPr>
        <w:spacing w:line="276" w:lineRule="auto"/>
      </w:pPr>
      <w:r w:rsidRPr="00301583">
        <w:t>It has to be emphasised, though, that employment rates of the non-Roma are also low and clearly reflect the limitations in accessing jobs in disadvantaged regions. U</w:t>
      </w:r>
      <w:r w:rsidRPr="00301583">
        <w:t>n</w:t>
      </w:r>
      <w:r w:rsidRPr="00301583">
        <w:t>employment is high among the non-Roma men (27%) and extremely high among women (40%)</w:t>
      </w:r>
      <w:r w:rsidR="005124F5">
        <w:t>.O</w:t>
      </w:r>
      <w:r w:rsidRPr="00301583">
        <w:t>ne quarter of non-Roma men have never had any work experience</w:t>
      </w:r>
      <w:r w:rsidR="005124F5">
        <w:t xml:space="preserve">, while </w:t>
      </w:r>
      <w:r w:rsidRPr="00301583">
        <w:t>self-employment is low amongst both women and men. Involvement of non-Roma in informal work is significantly less than that of Roma, but if we consider i</w:t>
      </w:r>
      <w:r w:rsidRPr="00301583">
        <w:t>n</w:t>
      </w:r>
      <w:r w:rsidRPr="00301583">
        <w:t>volvement in formal and informal work together, the gap is much narrower between the two groups: 43% of Roma men worked in 2011 either in the formal or informal job markets against 51% of non-Roma men; rates for women are 27% against 35%, r</w:t>
      </w:r>
      <w:r w:rsidRPr="00301583">
        <w:t>e</w:t>
      </w:r>
      <w:r w:rsidRPr="00301583">
        <w:t xml:space="preserve">spectively. </w:t>
      </w:r>
      <w:r w:rsidR="00547CEF">
        <w:t>T</w:t>
      </w:r>
      <w:r w:rsidRPr="00301583">
        <w:t>he</w:t>
      </w:r>
      <w:r w:rsidR="00547CEF">
        <w:t>se data show</w:t>
      </w:r>
      <w:r w:rsidRPr="00301583">
        <w:t xml:space="preserve"> massive scarcity of jobs set</w:t>
      </w:r>
      <w:r w:rsidR="00547CEF">
        <w:t>ting serious limitations i</w:t>
      </w:r>
      <w:r w:rsidRPr="00301583">
        <w:t>n finding emplo</w:t>
      </w:r>
      <w:r w:rsidRPr="00301583">
        <w:t>y</w:t>
      </w:r>
      <w:r w:rsidRPr="00301583">
        <w:t>ment for both ethnic groups. Ther</w:t>
      </w:r>
      <w:r w:rsidRPr="00301583">
        <w:t>e</w:t>
      </w:r>
      <w:r w:rsidRPr="00301583">
        <w:t>fore, compet</w:t>
      </w:r>
      <w:r w:rsidRPr="00301583">
        <w:t>i</w:t>
      </w:r>
      <w:r w:rsidRPr="00301583">
        <w:t>tion for jobs must be fierce, strengthening anti-minority feelings amongst members of the majority.</w:t>
      </w:r>
    </w:p>
    <w:p w:rsidR="005B2B06" w:rsidRDefault="00186F54" w:rsidP="007C131D">
      <w:pPr>
        <w:spacing w:line="276" w:lineRule="auto"/>
      </w:pPr>
      <w:r w:rsidRPr="00301583">
        <w:t>Limited access to formal job markets for both ethnic groups in the researched disa</w:t>
      </w:r>
      <w:r w:rsidRPr="00301583">
        <w:t>d</w:t>
      </w:r>
      <w:r w:rsidRPr="00301583">
        <w:t>vantaged areas is illustrated by the graph below. It indicates the significantly higher employment rates of the general population in the same year of 2011, indirectly r</w:t>
      </w:r>
      <w:r w:rsidRPr="00301583">
        <w:t>e</w:t>
      </w:r>
      <w:r w:rsidRPr="00301583">
        <w:t>porting disparities between the spaces of decline and that of the (non-existent) ave</w:t>
      </w:r>
      <w:r w:rsidRPr="00301583">
        <w:t>r</w:t>
      </w:r>
      <w:r w:rsidR="007C131D">
        <w:t>age.</w:t>
      </w:r>
    </w:p>
    <w:p w:rsidR="007C131D" w:rsidRPr="007C131D" w:rsidRDefault="007C131D" w:rsidP="007C131D">
      <w:pPr>
        <w:spacing w:line="276" w:lineRule="auto"/>
        <w:rPr>
          <w:sz w:val="10"/>
          <w:szCs w:val="10"/>
        </w:rPr>
      </w:pPr>
    </w:p>
    <w:p w:rsidR="005B2B06" w:rsidRPr="00301583" w:rsidRDefault="00350D91" w:rsidP="005D387B">
      <w:pPr>
        <w:jc w:val="center"/>
        <w:rPr>
          <w:noProof/>
          <w:lang w:eastAsia="en-GB"/>
        </w:rPr>
      </w:pPr>
      <w:r>
        <w:rPr>
          <w:noProof/>
          <w:lang w:val="fi-FI" w:eastAsia="fi-FI"/>
        </w:rPr>
        <w:lastRenderedPageBreak/>
        <w:drawing>
          <wp:anchor distT="0" distB="0" distL="114300" distR="114300" simplePos="0" relativeHeight="251672576" behindDoc="1" locked="0" layoutInCell="1" allowOverlap="1" wp14:anchorId="31DBF355" wp14:editId="5E12C31E">
            <wp:simplePos x="0" y="0"/>
            <wp:positionH relativeFrom="column">
              <wp:posOffset>20955</wp:posOffset>
            </wp:positionH>
            <wp:positionV relativeFrom="paragraph">
              <wp:posOffset>87630</wp:posOffset>
            </wp:positionV>
            <wp:extent cx="4568825" cy="2740025"/>
            <wp:effectExtent l="0" t="0" r="22225" b="22225"/>
            <wp:wrapTight wrapText="bothSides">
              <wp:wrapPolygon edited="0">
                <wp:start x="0" y="0"/>
                <wp:lineTo x="0" y="21625"/>
                <wp:lineTo x="21615" y="21625"/>
                <wp:lineTo x="21615" y="0"/>
                <wp:lineTo x="0" y="0"/>
              </wp:wrapPolygon>
            </wp:wrapTight>
            <wp:docPr id="8" name="Diagra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7C131D" w:rsidRDefault="007C131D" w:rsidP="006C0513">
      <w:pPr>
        <w:spacing w:before="0" w:line="240" w:lineRule="auto"/>
        <w:jc w:val="center"/>
        <w:rPr>
          <w:rFonts w:cs="Arial"/>
          <w:sz w:val="16"/>
          <w:szCs w:val="16"/>
          <w:lang w:eastAsia="en-GB"/>
        </w:rPr>
      </w:pPr>
    </w:p>
    <w:p w:rsidR="00CA5F48" w:rsidRDefault="00F57820" w:rsidP="00B76F33">
      <w:pPr>
        <w:pStyle w:val="Caption"/>
        <w:spacing w:after="240"/>
      </w:pPr>
      <w:bookmarkStart w:id="73" w:name="_Toc392105196"/>
      <w:bookmarkStart w:id="74" w:name="_Toc392509051"/>
      <w:r w:rsidRPr="00301583">
        <w:t>Figure</w:t>
      </w:r>
      <w:r w:rsidR="00E9042F">
        <w:t xml:space="preserve"> </w:t>
      </w:r>
      <w:r w:rsidR="00B759C8">
        <w:fldChar w:fldCharType="begin"/>
      </w:r>
      <w:r w:rsidR="00A752E6">
        <w:instrText xml:space="preserve"> SEQ Figure \* ARABIC </w:instrText>
      </w:r>
      <w:r w:rsidR="00B759C8">
        <w:fldChar w:fldCharType="separate"/>
      </w:r>
      <w:r w:rsidR="00DC6D66">
        <w:rPr>
          <w:noProof/>
        </w:rPr>
        <w:t>5</w:t>
      </w:r>
      <w:r w:rsidR="00B759C8">
        <w:rPr>
          <w:noProof/>
        </w:rPr>
        <w:fldChar w:fldCharType="end"/>
      </w:r>
      <w:r w:rsidRPr="00301583">
        <w:t xml:space="preserve">: </w:t>
      </w:r>
      <w:r w:rsidR="006C0513" w:rsidRPr="00301583">
        <w:t>Roma and non Roma employment in segregated neighbourhoods and its proximity</w:t>
      </w:r>
      <w:bookmarkEnd w:id="73"/>
      <w:bookmarkEnd w:id="74"/>
    </w:p>
    <w:p w:rsidR="007C131D" w:rsidRPr="00B074CE" w:rsidRDefault="007C131D" w:rsidP="007C131D">
      <w:pPr>
        <w:spacing w:before="0" w:line="240" w:lineRule="auto"/>
        <w:rPr>
          <w:rFonts w:cs="Arial"/>
          <w:sz w:val="16"/>
          <w:szCs w:val="16"/>
          <w:lang w:eastAsia="en-GB"/>
        </w:rPr>
      </w:pPr>
      <w:r w:rsidRPr="007C131D">
        <w:rPr>
          <w:rFonts w:cs="Arial"/>
          <w:b/>
          <w:sz w:val="16"/>
          <w:szCs w:val="16"/>
          <w:lang w:eastAsia="en-GB"/>
        </w:rPr>
        <w:t>Source 1:</w:t>
      </w:r>
      <w:r w:rsidRPr="00B074CE">
        <w:rPr>
          <w:rFonts w:cs="Arial"/>
          <w:sz w:val="16"/>
          <w:szCs w:val="16"/>
          <w:lang w:eastAsia="en-GB"/>
        </w:rPr>
        <w:t xml:space="preserve"> UNDP/WB/EC Regional survey 2011</w:t>
      </w:r>
    </w:p>
    <w:p w:rsidR="007C131D" w:rsidRPr="00DB66E0" w:rsidRDefault="007C131D" w:rsidP="007C131D">
      <w:pPr>
        <w:spacing w:before="0" w:after="240" w:line="240" w:lineRule="auto"/>
        <w:rPr>
          <w:sz w:val="16"/>
          <w:szCs w:val="16"/>
        </w:rPr>
      </w:pPr>
      <w:r w:rsidRPr="007C131D">
        <w:rPr>
          <w:b/>
          <w:sz w:val="16"/>
          <w:szCs w:val="16"/>
        </w:rPr>
        <w:t>Source 2</w:t>
      </w:r>
      <w:r w:rsidRPr="0040458C">
        <w:rPr>
          <w:sz w:val="16"/>
          <w:szCs w:val="16"/>
        </w:rPr>
        <w:t>: Employment (main characteristics and rates) - annual averages [lfsi_emp_a]</w:t>
      </w:r>
    </w:p>
    <w:p w:rsidR="00B76F33" w:rsidRPr="007C131D" w:rsidRDefault="00F00443" w:rsidP="00DB66E0">
      <w:pPr>
        <w:pStyle w:val="Heading4"/>
        <w:numPr>
          <w:ilvl w:val="0"/>
          <w:numId w:val="0"/>
        </w:numPr>
        <w:spacing w:before="240"/>
        <w:ind w:left="1304" w:hanging="1304"/>
        <w:rPr>
          <w:b w:val="0"/>
          <w:i/>
          <w:sz w:val="22"/>
          <w:szCs w:val="22"/>
        </w:rPr>
      </w:pPr>
      <w:r w:rsidRPr="007C131D">
        <w:rPr>
          <w:b w:val="0"/>
          <w:i/>
          <w:sz w:val="22"/>
          <w:szCs w:val="22"/>
        </w:rPr>
        <w:t>Education</w:t>
      </w:r>
    </w:p>
    <w:p w:rsidR="00D06992" w:rsidRPr="00301583" w:rsidRDefault="00D06992" w:rsidP="001E5FFE">
      <w:pPr>
        <w:spacing w:line="276" w:lineRule="auto"/>
      </w:pPr>
      <w:r w:rsidRPr="00301583">
        <w:t>Data on education</w:t>
      </w:r>
      <w:r w:rsidR="000558B2" w:rsidRPr="00301583">
        <w:t>al attainment</w:t>
      </w:r>
      <w:r w:rsidRPr="00301583">
        <w:t xml:space="preserve"> in light of the accessed dataset also show some Sl</w:t>
      </w:r>
      <w:r w:rsidRPr="00301583">
        <w:t>o</w:t>
      </w:r>
      <w:r w:rsidRPr="00301583">
        <w:t>vakian specificity. The first issue that needs to be highlighted is the extremely low rate of preschool enrolment of Roma children and non-Roma alike, but especially Roma: only one quarter of Roma children from segregated neighbourhoods are e</w:t>
      </w:r>
      <w:r w:rsidRPr="00301583">
        <w:t>n</w:t>
      </w:r>
      <w:r w:rsidRPr="00301583">
        <w:t>rolled into preschools. According to our field research findings, this has to do with several factors, such as fees (though removed recently in the case of children of age five), lacking preschool capacities and finally, the location of the segregated Roma settlements: according to the recent Atlas of Roma, only a quarter of the population of the Roma neighbourhoods live inside the administrative boundaries of villa</w:t>
      </w:r>
      <w:r w:rsidRPr="00301583">
        <w:t>g</w:t>
      </w:r>
      <w:r w:rsidRPr="00301583">
        <w:t>es/towns, the majority live at the edge (44%) or outside municipality boundaries at 0.9 to 7 km distance (32%). If public transportation is available, it is costly, and if it is not available, it is simply impossible for most of the families to carry a child (or chi</w:t>
      </w:r>
      <w:r w:rsidRPr="00301583">
        <w:t>l</w:t>
      </w:r>
      <w:r w:rsidRPr="00301583">
        <w:t xml:space="preserve">dren) to the kindergarten. </w:t>
      </w:r>
    </w:p>
    <w:p w:rsidR="00D06992" w:rsidRPr="00301583" w:rsidRDefault="00D06992" w:rsidP="00D06992">
      <w:r w:rsidRPr="00301583">
        <w:br w:type="page"/>
      </w:r>
    </w:p>
    <w:p w:rsidR="00402031" w:rsidRPr="00301583" w:rsidRDefault="00402031" w:rsidP="00B074CE">
      <w:pPr>
        <w:pStyle w:val="Caption"/>
        <w:spacing w:after="120"/>
      </w:pPr>
      <w:bookmarkStart w:id="75" w:name="_Toc385939084"/>
      <w:bookmarkStart w:id="76" w:name="_Toc392509040"/>
      <w:r w:rsidRPr="00301583">
        <w:lastRenderedPageBreak/>
        <w:t>Table</w:t>
      </w:r>
      <w:r w:rsidR="00AF33F5">
        <w:t xml:space="preserve"> </w:t>
      </w:r>
      <w:r w:rsidR="00B759C8">
        <w:fldChar w:fldCharType="begin"/>
      </w:r>
      <w:r w:rsidR="00A752E6">
        <w:instrText xml:space="preserve"> SEQ Table \* ARABIC </w:instrText>
      </w:r>
      <w:r w:rsidR="00B759C8">
        <w:fldChar w:fldCharType="separate"/>
      </w:r>
      <w:r w:rsidR="00DC6D66">
        <w:rPr>
          <w:noProof/>
        </w:rPr>
        <w:t>11</w:t>
      </w:r>
      <w:r w:rsidR="00B759C8">
        <w:rPr>
          <w:noProof/>
        </w:rPr>
        <w:fldChar w:fldCharType="end"/>
      </w:r>
      <w:r w:rsidR="00E9042F">
        <w:t>:</w:t>
      </w:r>
      <w:r w:rsidRPr="00301583">
        <w:t xml:space="preserve"> Figures of educational attainment</w:t>
      </w:r>
      <w:bookmarkEnd w:id="75"/>
      <w:bookmarkEnd w:id="76"/>
    </w:p>
    <w:tbl>
      <w:tblPr>
        <w:tblW w:w="8289" w:type="dxa"/>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9"/>
        <w:gridCol w:w="930"/>
        <w:gridCol w:w="930"/>
        <w:gridCol w:w="855"/>
        <w:gridCol w:w="855"/>
      </w:tblGrid>
      <w:tr w:rsidR="00253E73" w:rsidRPr="00301583" w:rsidTr="00EB5A1D">
        <w:trPr>
          <w:trHeight w:val="288"/>
        </w:trPr>
        <w:tc>
          <w:tcPr>
            <w:tcW w:w="4719" w:type="dxa"/>
            <w:vMerge w:val="restart"/>
            <w:shd w:val="clear" w:color="auto" w:fill="auto"/>
            <w:noWrap/>
            <w:vAlign w:val="center"/>
          </w:tcPr>
          <w:p w:rsidR="00253E73" w:rsidRPr="007C131D" w:rsidRDefault="00253E73" w:rsidP="007C131D">
            <w:pPr>
              <w:spacing w:before="20" w:after="20" w:line="240" w:lineRule="auto"/>
              <w:jc w:val="center"/>
              <w:rPr>
                <w:rFonts w:cs="Arial"/>
                <w:b/>
                <w:color w:val="000000"/>
                <w:sz w:val="19"/>
                <w:szCs w:val="19"/>
                <w:lang w:eastAsia="en-GB"/>
              </w:rPr>
            </w:pPr>
            <w:r w:rsidRPr="007C131D">
              <w:rPr>
                <w:rFonts w:cs="Arial"/>
                <w:b/>
                <w:color w:val="000000"/>
                <w:sz w:val="19"/>
                <w:szCs w:val="19"/>
                <w:lang w:eastAsia="en-GB"/>
              </w:rPr>
              <w:t>Indicators</w:t>
            </w:r>
          </w:p>
        </w:tc>
        <w:tc>
          <w:tcPr>
            <w:tcW w:w="1860" w:type="dxa"/>
            <w:gridSpan w:val="2"/>
            <w:shd w:val="clear" w:color="auto" w:fill="auto"/>
            <w:vAlign w:val="center"/>
          </w:tcPr>
          <w:p w:rsidR="00253E73" w:rsidRPr="007C131D" w:rsidRDefault="00253E73" w:rsidP="007C131D">
            <w:pPr>
              <w:spacing w:before="20" w:after="20" w:line="240" w:lineRule="auto"/>
              <w:jc w:val="center"/>
              <w:rPr>
                <w:rFonts w:cs="Arial"/>
                <w:b/>
                <w:bCs/>
                <w:color w:val="003300"/>
                <w:sz w:val="19"/>
                <w:szCs w:val="19"/>
                <w:lang w:eastAsia="en-GB"/>
              </w:rPr>
            </w:pPr>
            <w:r w:rsidRPr="007C131D">
              <w:rPr>
                <w:rFonts w:cs="Arial"/>
                <w:b/>
                <w:bCs/>
                <w:color w:val="003300"/>
                <w:sz w:val="19"/>
                <w:szCs w:val="19"/>
                <w:lang w:eastAsia="en-GB"/>
              </w:rPr>
              <w:t>Male</w:t>
            </w:r>
          </w:p>
        </w:tc>
        <w:tc>
          <w:tcPr>
            <w:tcW w:w="1710" w:type="dxa"/>
            <w:gridSpan w:val="2"/>
            <w:shd w:val="clear" w:color="auto" w:fill="auto"/>
            <w:vAlign w:val="center"/>
          </w:tcPr>
          <w:p w:rsidR="00253E73" w:rsidRPr="007C131D" w:rsidRDefault="00253E73" w:rsidP="007C131D">
            <w:pPr>
              <w:spacing w:before="20" w:after="20" w:line="240" w:lineRule="auto"/>
              <w:jc w:val="center"/>
              <w:rPr>
                <w:rFonts w:cs="Arial"/>
                <w:b/>
                <w:bCs/>
                <w:color w:val="003300"/>
                <w:sz w:val="19"/>
                <w:szCs w:val="19"/>
                <w:lang w:eastAsia="en-GB"/>
              </w:rPr>
            </w:pPr>
            <w:r w:rsidRPr="007C131D">
              <w:rPr>
                <w:rFonts w:cs="Arial"/>
                <w:b/>
                <w:bCs/>
                <w:color w:val="003300"/>
                <w:sz w:val="19"/>
                <w:szCs w:val="19"/>
                <w:lang w:eastAsia="en-GB"/>
              </w:rPr>
              <w:t>Female</w:t>
            </w:r>
          </w:p>
        </w:tc>
      </w:tr>
      <w:tr w:rsidR="00253E73" w:rsidRPr="00301583" w:rsidTr="00EB5A1D">
        <w:trPr>
          <w:trHeight w:val="300"/>
        </w:trPr>
        <w:tc>
          <w:tcPr>
            <w:tcW w:w="4719" w:type="dxa"/>
            <w:vMerge/>
            <w:tcBorders>
              <w:bottom w:val="single" w:sz="18" w:space="0" w:color="auto"/>
            </w:tcBorders>
            <w:shd w:val="clear" w:color="auto" w:fill="auto"/>
            <w:noWrap/>
            <w:vAlign w:val="bottom"/>
          </w:tcPr>
          <w:p w:rsidR="00253E73" w:rsidRPr="007C131D" w:rsidRDefault="00253E73" w:rsidP="007C131D">
            <w:pPr>
              <w:spacing w:before="20" w:after="20" w:line="240" w:lineRule="auto"/>
              <w:jc w:val="left"/>
              <w:rPr>
                <w:rFonts w:cs="Arial"/>
                <w:color w:val="000000"/>
                <w:sz w:val="19"/>
                <w:szCs w:val="19"/>
                <w:lang w:eastAsia="en-GB"/>
              </w:rPr>
            </w:pPr>
          </w:p>
        </w:tc>
        <w:tc>
          <w:tcPr>
            <w:tcW w:w="930" w:type="dxa"/>
            <w:tcBorders>
              <w:bottom w:val="single" w:sz="18" w:space="0" w:color="auto"/>
            </w:tcBorders>
            <w:shd w:val="clear" w:color="auto" w:fill="auto"/>
            <w:noWrap/>
            <w:vAlign w:val="center"/>
          </w:tcPr>
          <w:p w:rsidR="00253E73" w:rsidRPr="007C131D" w:rsidRDefault="00253E73" w:rsidP="007C131D">
            <w:pPr>
              <w:spacing w:before="20" w:after="20" w:line="240" w:lineRule="auto"/>
              <w:jc w:val="center"/>
              <w:rPr>
                <w:rFonts w:cs="Arial"/>
                <w:b/>
                <w:bCs/>
                <w:color w:val="003300"/>
                <w:sz w:val="19"/>
                <w:szCs w:val="19"/>
                <w:lang w:eastAsia="en-GB"/>
              </w:rPr>
            </w:pPr>
            <w:r w:rsidRPr="007C131D">
              <w:rPr>
                <w:rFonts w:cs="Arial"/>
                <w:b/>
                <w:bCs/>
                <w:color w:val="003300"/>
                <w:sz w:val="19"/>
                <w:szCs w:val="19"/>
                <w:lang w:eastAsia="en-GB"/>
              </w:rPr>
              <w:t>Roma</w:t>
            </w:r>
          </w:p>
        </w:tc>
        <w:tc>
          <w:tcPr>
            <w:tcW w:w="930" w:type="dxa"/>
            <w:tcBorders>
              <w:bottom w:val="single" w:sz="18" w:space="0" w:color="auto"/>
            </w:tcBorders>
            <w:shd w:val="clear" w:color="auto" w:fill="auto"/>
            <w:noWrap/>
            <w:vAlign w:val="center"/>
          </w:tcPr>
          <w:p w:rsidR="00253E73" w:rsidRPr="007C131D" w:rsidRDefault="00253E73" w:rsidP="007C131D">
            <w:pPr>
              <w:spacing w:before="20" w:after="20" w:line="240" w:lineRule="auto"/>
              <w:jc w:val="center"/>
              <w:rPr>
                <w:rFonts w:cs="Arial"/>
                <w:b/>
                <w:bCs/>
                <w:color w:val="003300"/>
                <w:sz w:val="19"/>
                <w:szCs w:val="19"/>
                <w:lang w:eastAsia="en-GB"/>
              </w:rPr>
            </w:pPr>
            <w:r w:rsidRPr="007C131D">
              <w:rPr>
                <w:rFonts w:cs="Arial"/>
                <w:b/>
                <w:bCs/>
                <w:color w:val="003300"/>
                <w:sz w:val="19"/>
                <w:szCs w:val="19"/>
                <w:lang w:eastAsia="en-GB"/>
              </w:rPr>
              <w:t>Non-Roma</w:t>
            </w:r>
          </w:p>
        </w:tc>
        <w:tc>
          <w:tcPr>
            <w:tcW w:w="855" w:type="dxa"/>
            <w:tcBorders>
              <w:bottom w:val="single" w:sz="18" w:space="0" w:color="auto"/>
            </w:tcBorders>
            <w:shd w:val="clear" w:color="auto" w:fill="auto"/>
            <w:noWrap/>
            <w:vAlign w:val="center"/>
          </w:tcPr>
          <w:p w:rsidR="00253E73" w:rsidRPr="007C131D" w:rsidRDefault="00253E73" w:rsidP="007C131D">
            <w:pPr>
              <w:spacing w:before="20" w:after="20" w:line="240" w:lineRule="auto"/>
              <w:jc w:val="center"/>
              <w:rPr>
                <w:rFonts w:cs="Arial"/>
                <w:b/>
                <w:bCs/>
                <w:color w:val="003300"/>
                <w:sz w:val="19"/>
                <w:szCs w:val="19"/>
                <w:lang w:eastAsia="en-GB"/>
              </w:rPr>
            </w:pPr>
            <w:r w:rsidRPr="007C131D">
              <w:rPr>
                <w:rFonts w:cs="Arial"/>
                <w:b/>
                <w:bCs/>
                <w:color w:val="003300"/>
                <w:sz w:val="19"/>
                <w:szCs w:val="19"/>
                <w:lang w:eastAsia="en-GB"/>
              </w:rPr>
              <w:t>Roma</w:t>
            </w:r>
          </w:p>
        </w:tc>
        <w:tc>
          <w:tcPr>
            <w:tcW w:w="855" w:type="dxa"/>
            <w:tcBorders>
              <w:bottom w:val="single" w:sz="18" w:space="0" w:color="auto"/>
            </w:tcBorders>
            <w:shd w:val="clear" w:color="auto" w:fill="auto"/>
            <w:noWrap/>
            <w:vAlign w:val="center"/>
          </w:tcPr>
          <w:p w:rsidR="00253E73" w:rsidRPr="007C131D" w:rsidRDefault="00253E73" w:rsidP="007C131D">
            <w:pPr>
              <w:spacing w:before="20" w:after="20" w:line="240" w:lineRule="auto"/>
              <w:jc w:val="center"/>
              <w:rPr>
                <w:rFonts w:cs="Arial"/>
                <w:b/>
                <w:bCs/>
                <w:color w:val="003300"/>
                <w:sz w:val="19"/>
                <w:szCs w:val="19"/>
                <w:lang w:eastAsia="en-GB"/>
              </w:rPr>
            </w:pPr>
            <w:r w:rsidRPr="007C131D">
              <w:rPr>
                <w:rFonts w:cs="Arial"/>
                <w:b/>
                <w:bCs/>
                <w:color w:val="003300"/>
                <w:sz w:val="19"/>
                <w:szCs w:val="19"/>
                <w:lang w:eastAsia="en-GB"/>
              </w:rPr>
              <w:t>Non-Roma</w:t>
            </w:r>
          </w:p>
        </w:tc>
      </w:tr>
      <w:tr w:rsidR="00253E73" w:rsidRPr="00301583" w:rsidTr="00EB5A1D">
        <w:trPr>
          <w:trHeight w:val="300"/>
        </w:trPr>
        <w:tc>
          <w:tcPr>
            <w:tcW w:w="4719" w:type="dxa"/>
            <w:tcBorders>
              <w:top w:val="single" w:sz="18" w:space="0" w:color="auto"/>
            </w:tcBorders>
            <w:shd w:val="clear" w:color="auto" w:fill="D9D9D9" w:themeFill="background1" w:themeFillShade="D9"/>
            <w:noWrap/>
            <w:vAlign w:val="bottom"/>
          </w:tcPr>
          <w:p w:rsidR="00253E73" w:rsidRPr="007C131D" w:rsidRDefault="00253E73" w:rsidP="007C131D">
            <w:pPr>
              <w:spacing w:before="20" w:after="20" w:line="240" w:lineRule="auto"/>
              <w:jc w:val="left"/>
              <w:rPr>
                <w:rFonts w:cs="Arial"/>
                <w:color w:val="000000"/>
                <w:sz w:val="19"/>
                <w:szCs w:val="19"/>
                <w:lang w:eastAsia="en-GB"/>
              </w:rPr>
            </w:pPr>
            <w:r w:rsidRPr="007C131D">
              <w:rPr>
                <w:rFonts w:cs="Arial"/>
                <w:color w:val="000000"/>
                <w:sz w:val="19"/>
                <w:szCs w:val="19"/>
                <w:lang w:eastAsia="en-GB"/>
              </w:rPr>
              <w:t>Compulsory education enrolment rate (7-15)</w:t>
            </w:r>
          </w:p>
        </w:tc>
        <w:tc>
          <w:tcPr>
            <w:tcW w:w="930" w:type="dxa"/>
            <w:tcBorders>
              <w:top w:val="single" w:sz="18" w:space="0" w:color="auto"/>
            </w:tcBorders>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83%</w:t>
            </w:r>
          </w:p>
        </w:tc>
        <w:tc>
          <w:tcPr>
            <w:tcW w:w="930" w:type="dxa"/>
            <w:tcBorders>
              <w:top w:val="single" w:sz="18" w:space="0" w:color="auto"/>
            </w:tcBorders>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84%</w:t>
            </w:r>
          </w:p>
        </w:tc>
        <w:tc>
          <w:tcPr>
            <w:tcW w:w="855" w:type="dxa"/>
            <w:tcBorders>
              <w:top w:val="single" w:sz="18" w:space="0" w:color="auto"/>
            </w:tcBorders>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82%</w:t>
            </w:r>
          </w:p>
        </w:tc>
        <w:tc>
          <w:tcPr>
            <w:tcW w:w="855" w:type="dxa"/>
            <w:tcBorders>
              <w:top w:val="single" w:sz="18" w:space="0" w:color="auto"/>
            </w:tcBorders>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90%</w:t>
            </w:r>
          </w:p>
        </w:tc>
      </w:tr>
      <w:tr w:rsidR="00253E73" w:rsidRPr="00301583" w:rsidTr="00EB5A1D">
        <w:trPr>
          <w:trHeight w:val="288"/>
        </w:trPr>
        <w:tc>
          <w:tcPr>
            <w:tcW w:w="4719" w:type="dxa"/>
            <w:shd w:val="clear" w:color="auto" w:fill="auto"/>
            <w:noWrap/>
            <w:vAlign w:val="bottom"/>
          </w:tcPr>
          <w:p w:rsidR="00253E73" w:rsidRPr="007C131D" w:rsidRDefault="00253E73" w:rsidP="007C131D">
            <w:pPr>
              <w:spacing w:before="20" w:after="20" w:line="240" w:lineRule="auto"/>
              <w:jc w:val="left"/>
              <w:rPr>
                <w:rFonts w:cs="Arial"/>
                <w:color w:val="000000"/>
                <w:sz w:val="19"/>
                <w:szCs w:val="19"/>
                <w:lang w:eastAsia="en-GB"/>
              </w:rPr>
            </w:pPr>
            <w:r w:rsidRPr="007C131D">
              <w:rPr>
                <w:rFonts w:cs="Arial"/>
                <w:color w:val="000000"/>
                <w:sz w:val="19"/>
                <w:szCs w:val="19"/>
                <w:lang w:eastAsia="en-GB"/>
              </w:rPr>
              <w:t>Upper-secondary education enrolment rate (16-19)</w:t>
            </w:r>
          </w:p>
        </w:tc>
        <w:tc>
          <w:tcPr>
            <w:tcW w:w="930"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30%</w:t>
            </w:r>
          </w:p>
        </w:tc>
        <w:tc>
          <w:tcPr>
            <w:tcW w:w="930"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75%</w:t>
            </w:r>
          </w:p>
        </w:tc>
        <w:tc>
          <w:tcPr>
            <w:tcW w:w="855"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42%</w:t>
            </w:r>
          </w:p>
        </w:tc>
        <w:tc>
          <w:tcPr>
            <w:tcW w:w="855"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74%</w:t>
            </w:r>
          </w:p>
        </w:tc>
      </w:tr>
      <w:tr w:rsidR="00253E73" w:rsidRPr="00301583" w:rsidTr="00EB5A1D">
        <w:trPr>
          <w:trHeight w:val="288"/>
        </w:trPr>
        <w:tc>
          <w:tcPr>
            <w:tcW w:w="4719" w:type="dxa"/>
            <w:shd w:val="clear" w:color="auto" w:fill="D9D9D9" w:themeFill="background1" w:themeFillShade="D9"/>
            <w:noWrap/>
            <w:vAlign w:val="bottom"/>
          </w:tcPr>
          <w:p w:rsidR="00253E73" w:rsidRPr="007C131D" w:rsidRDefault="00253E73" w:rsidP="007C131D">
            <w:pPr>
              <w:spacing w:before="20" w:after="20" w:line="240" w:lineRule="auto"/>
              <w:jc w:val="left"/>
              <w:rPr>
                <w:rFonts w:cs="Arial"/>
                <w:color w:val="000000"/>
                <w:sz w:val="19"/>
                <w:szCs w:val="19"/>
                <w:lang w:eastAsia="en-GB"/>
              </w:rPr>
            </w:pPr>
            <w:r w:rsidRPr="007C131D">
              <w:rPr>
                <w:rFonts w:cs="Arial"/>
                <w:color w:val="000000"/>
                <w:sz w:val="19"/>
                <w:szCs w:val="19"/>
                <w:lang w:eastAsia="en-GB"/>
              </w:rPr>
              <w:t>Average years of education (25-64)</w:t>
            </w:r>
          </w:p>
        </w:tc>
        <w:tc>
          <w:tcPr>
            <w:tcW w:w="930"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9.05</w:t>
            </w:r>
          </w:p>
        </w:tc>
        <w:tc>
          <w:tcPr>
            <w:tcW w:w="930"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11.96</w:t>
            </w:r>
          </w:p>
        </w:tc>
        <w:tc>
          <w:tcPr>
            <w:tcW w:w="855"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8.78</w:t>
            </w:r>
          </w:p>
        </w:tc>
        <w:tc>
          <w:tcPr>
            <w:tcW w:w="855"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11.90</w:t>
            </w:r>
          </w:p>
        </w:tc>
      </w:tr>
      <w:tr w:rsidR="00253E73" w:rsidRPr="00301583" w:rsidTr="00EB5A1D">
        <w:trPr>
          <w:trHeight w:val="288"/>
        </w:trPr>
        <w:tc>
          <w:tcPr>
            <w:tcW w:w="4719" w:type="dxa"/>
            <w:shd w:val="clear" w:color="auto" w:fill="auto"/>
            <w:noWrap/>
            <w:vAlign w:val="bottom"/>
          </w:tcPr>
          <w:p w:rsidR="00253E73" w:rsidRPr="007C131D" w:rsidRDefault="00253E73" w:rsidP="007C131D">
            <w:pPr>
              <w:spacing w:before="20" w:after="20" w:line="240" w:lineRule="auto"/>
              <w:jc w:val="left"/>
              <w:rPr>
                <w:rFonts w:cs="Arial"/>
                <w:color w:val="000000"/>
                <w:sz w:val="19"/>
                <w:szCs w:val="19"/>
                <w:lang w:eastAsia="en-GB"/>
              </w:rPr>
            </w:pPr>
            <w:r w:rsidRPr="007C131D">
              <w:rPr>
                <w:rFonts w:cs="Arial"/>
                <w:color w:val="000000"/>
                <w:sz w:val="19"/>
                <w:szCs w:val="19"/>
                <w:lang w:eastAsia="en-GB"/>
              </w:rPr>
              <w:t>Average years of education (16-24)</w:t>
            </w:r>
          </w:p>
        </w:tc>
        <w:tc>
          <w:tcPr>
            <w:tcW w:w="930"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9.15</w:t>
            </w:r>
          </w:p>
        </w:tc>
        <w:tc>
          <w:tcPr>
            <w:tcW w:w="930"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11.24</w:t>
            </w:r>
          </w:p>
        </w:tc>
        <w:tc>
          <w:tcPr>
            <w:tcW w:w="855"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9.10</w:t>
            </w:r>
          </w:p>
        </w:tc>
        <w:tc>
          <w:tcPr>
            <w:tcW w:w="855" w:type="dxa"/>
            <w:shd w:val="clear" w:color="auto" w:fill="auto"/>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11.47</w:t>
            </w:r>
          </w:p>
        </w:tc>
      </w:tr>
      <w:tr w:rsidR="00253E73" w:rsidRPr="00301583" w:rsidTr="00EB5A1D">
        <w:trPr>
          <w:trHeight w:val="288"/>
        </w:trPr>
        <w:tc>
          <w:tcPr>
            <w:tcW w:w="4719" w:type="dxa"/>
            <w:shd w:val="clear" w:color="auto" w:fill="D9D9D9" w:themeFill="background1" w:themeFillShade="D9"/>
            <w:noWrap/>
            <w:vAlign w:val="bottom"/>
          </w:tcPr>
          <w:p w:rsidR="00253E73" w:rsidRPr="007C131D" w:rsidRDefault="00253E73" w:rsidP="007C131D">
            <w:pPr>
              <w:spacing w:before="20" w:after="20" w:line="240" w:lineRule="auto"/>
              <w:jc w:val="left"/>
              <w:rPr>
                <w:rFonts w:cs="Arial"/>
                <w:color w:val="000000"/>
                <w:sz w:val="19"/>
                <w:szCs w:val="19"/>
                <w:lang w:eastAsia="en-GB"/>
              </w:rPr>
            </w:pPr>
            <w:r w:rsidRPr="007C131D">
              <w:rPr>
                <w:rFonts w:cs="Arial"/>
                <w:color w:val="000000"/>
                <w:sz w:val="19"/>
                <w:szCs w:val="19"/>
                <w:lang w:eastAsia="en-GB"/>
              </w:rPr>
              <w:t>Pre-school enrolment rate (3-6)</w:t>
            </w:r>
          </w:p>
        </w:tc>
        <w:tc>
          <w:tcPr>
            <w:tcW w:w="930"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26%</w:t>
            </w:r>
          </w:p>
        </w:tc>
        <w:tc>
          <w:tcPr>
            <w:tcW w:w="930"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59%</w:t>
            </w:r>
          </w:p>
        </w:tc>
        <w:tc>
          <w:tcPr>
            <w:tcW w:w="855"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25%</w:t>
            </w:r>
          </w:p>
        </w:tc>
        <w:tc>
          <w:tcPr>
            <w:tcW w:w="855" w:type="dxa"/>
            <w:shd w:val="clear" w:color="auto" w:fill="D9D9D9" w:themeFill="background1" w:themeFillShade="D9"/>
            <w:noWrap/>
            <w:vAlign w:val="bottom"/>
          </w:tcPr>
          <w:p w:rsidR="00253E73" w:rsidRPr="007C131D" w:rsidRDefault="00253E73" w:rsidP="007C131D">
            <w:pPr>
              <w:spacing w:before="20" w:after="20" w:line="240" w:lineRule="auto"/>
              <w:jc w:val="right"/>
              <w:rPr>
                <w:rFonts w:cs="Arial"/>
                <w:color w:val="000000"/>
                <w:sz w:val="19"/>
                <w:szCs w:val="19"/>
                <w:lang w:eastAsia="en-GB"/>
              </w:rPr>
            </w:pPr>
            <w:r w:rsidRPr="007C131D">
              <w:rPr>
                <w:rFonts w:cs="Arial"/>
                <w:color w:val="000000"/>
                <w:sz w:val="19"/>
                <w:szCs w:val="19"/>
                <w:lang w:eastAsia="en-GB"/>
              </w:rPr>
              <w:t>53%</w:t>
            </w:r>
          </w:p>
        </w:tc>
      </w:tr>
    </w:tbl>
    <w:p w:rsidR="00253E73" w:rsidRPr="007C131D" w:rsidRDefault="00253E73" w:rsidP="007C131D">
      <w:pPr>
        <w:spacing w:after="240" w:line="240" w:lineRule="auto"/>
        <w:jc w:val="left"/>
        <w:rPr>
          <w:rFonts w:cs="Arial"/>
          <w:sz w:val="16"/>
          <w:szCs w:val="16"/>
          <w:lang w:eastAsia="en-GB"/>
        </w:rPr>
      </w:pPr>
      <w:r w:rsidRPr="007C131D">
        <w:rPr>
          <w:rFonts w:cs="Arial"/>
          <w:sz w:val="16"/>
          <w:szCs w:val="16"/>
          <w:lang w:eastAsia="en-GB"/>
        </w:rPr>
        <w:t>Source: UNDP/WB/EC Regional survey 2011</w:t>
      </w:r>
    </w:p>
    <w:p w:rsidR="00D06992" w:rsidRPr="00DB66E0" w:rsidRDefault="00D06992" w:rsidP="00DB66E0">
      <w:pPr>
        <w:spacing w:line="276" w:lineRule="auto"/>
      </w:pPr>
      <w:r w:rsidRPr="00301583">
        <w:t>The second issue that deserves attention is the gap appearing between the Roma and the non-Roma with regards to the upper secondary enrolment rate of the rel</w:t>
      </w:r>
      <w:r w:rsidRPr="00301583">
        <w:t>e</w:t>
      </w:r>
      <w:r w:rsidRPr="00301583">
        <w:t>vant age group. The gap is wide in case of both genders, but, it is worth mentioning, female enrolment rates are closer to one another. Differences in relation to average years of education are significant, but the gap is decreasing. Another symptom of the social decay across the non-Roma population (in the proximity of Roma neighbou</w:t>
      </w:r>
      <w:r w:rsidRPr="00301583">
        <w:t>r</w:t>
      </w:r>
      <w:r w:rsidRPr="00301583">
        <w:t>hoods): the average years of education are decreasing in the ranks of the young generation. Therefore, they contribute to closing</w:t>
      </w:r>
      <w:r w:rsidR="00DB66E0">
        <w:t xml:space="preserve"> the gap in a downward move.   </w:t>
      </w:r>
    </w:p>
    <w:p w:rsidR="0097752C" w:rsidRPr="007C131D" w:rsidRDefault="0097752C" w:rsidP="00DB66E0">
      <w:pPr>
        <w:pStyle w:val="Heading4"/>
        <w:numPr>
          <w:ilvl w:val="0"/>
          <w:numId w:val="0"/>
        </w:numPr>
        <w:spacing w:before="240"/>
        <w:rPr>
          <w:b w:val="0"/>
          <w:i/>
          <w:sz w:val="22"/>
          <w:szCs w:val="22"/>
        </w:rPr>
      </w:pPr>
      <w:r w:rsidRPr="007C131D">
        <w:rPr>
          <w:b w:val="0"/>
          <w:i/>
          <w:sz w:val="22"/>
          <w:szCs w:val="22"/>
        </w:rPr>
        <w:t xml:space="preserve">Poverty, deprivation and </w:t>
      </w:r>
      <w:r w:rsidR="00925240" w:rsidRPr="007C131D">
        <w:rPr>
          <w:b w:val="0"/>
          <w:i/>
          <w:sz w:val="22"/>
          <w:szCs w:val="22"/>
        </w:rPr>
        <w:t xml:space="preserve">some other indicators of </w:t>
      </w:r>
      <w:r w:rsidR="00BA7333" w:rsidRPr="007C131D">
        <w:rPr>
          <w:b w:val="0"/>
          <w:i/>
          <w:sz w:val="22"/>
          <w:szCs w:val="22"/>
        </w:rPr>
        <w:t xml:space="preserve">the </w:t>
      </w:r>
      <w:r w:rsidR="00C87466" w:rsidRPr="007C131D">
        <w:rPr>
          <w:b w:val="0"/>
          <w:i/>
          <w:sz w:val="22"/>
          <w:szCs w:val="22"/>
        </w:rPr>
        <w:t>social distress</w:t>
      </w:r>
      <w:r w:rsidR="00BA7333" w:rsidRPr="007C131D">
        <w:rPr>
          <w:b w:val="0"/>
          <w:i/>
          <w:sz w:val="22"/>
          <w:szCs w:val="22"/>
        </w:rPr>
        <w:t xml:space="preserve"> of Romany pe</w:t>
      </w:r>
      <w:r w:rsidR="00BA7333" w:rsidRPr="007C131D">
        <w:rPr>
          <w:b w:val="0"/>
          <w:i/>
          <w:sz w:val="22"/>
          <w:szCs w:val="22"/>
        </w:rPr>
        <w:t>o</w:t>
      </w:r>
      <w:r w:rsidR="00BA7333" w:rsidRPr="007C131D">
        <w:rPr>
          <w:b w:val="0"/>
          <w:i/>
          <w:sz w:val="22"/>
          <w:szCs w:val="22"/>
        </w:rPr>
        <w:t>ple</w:t>
      </w:r>
    </w:p>
    <w:p w:rsidR="00667952" w:rsidRPr="00301583" w:rsidRDefault="00D06992" w:rsidP="00045F19">
      <w:pPr>
        <w:spacing w:line="276" w:lineRule="auto"/>
        <w:jc w:val="left"/>
      </w:pPr>
      <w:r w:rsidRPr="00301583">
        <w:t>In this chapter, we are going to point to some further features of the situation of the Roma in the Slovak Republic. Relevant data drawn f</w:t>
      </w:r>
      <w:r w:rsidR="00837060">
        <w:t>rom</w:t>
      </w:r>
      <w:r w:rsidRPr="00301583">
        <w:t xml:space="preserve"> the published dataset of the </w:t>
      </w:r>
      <w:r w:rsidR="00837060">
        <w:t xml:space="preserve">2011 Roma </w:t>
      </w:r>
      <w:r w:rsidRPr="00301583">
        <w:t xml:space="preserve">survey are available in </w:t>
      </w:r>
      <w:r w:rsidR="004E6E3A">
        <w:fldChar w:fldCharType="begin"/>
      </w:r>
      <w:r w:rsidR="004E6E3A">
        <w:instrText xml:space="preserve"> REF _Ref392508691 \h </w:instrText>
      </w:r>
      <w:r w:rsidR="004E6E3A">
        <w:fldChar w:fldCharType="separate"/>
      </w:r>
      <w:r w:rsidR="00DC6D66">
        <w:t xml:space="preserve">Table </w:t>
      </w:r>
      <w:r w:rsidR="00DC6D66">
        <w:rPr>
          <w:noProof/>
        </w:rPr>
        <w:t>15</w:t>
      </w:r>
      <w:r w:rsidR="004E6E3A">
        <w:fldChar w:fldCharType="end"/>
      </w:r>
      <w:r w:rsidR="004E6E3A">
        <w:t xml:space="preserve"> - </w:t>
      </w:r>
      <w:r w:rsidR="004E6E3A">
        <w:fldChar w:fldCharType="begin"/>
      </w:r>
      <w:r w:rsidR="004E6E3A">
        <w:instrText xml:space="preserve"> REF _Ref392508697 \h </w:instrText>
      </w:r>
      <w:r w:rsidR="004E6E3A">
        <w:fldChar w:fldCharType="separate"/>
      </w:r>
      <w:r w:rsidR="00DC6D66">
        <w:t xml:space="preserve">Table </w:t>
      </w:r>
      <w:r w:rsidR="00DC6D66">
        <w:rPr>
          <w:noProof/>
        </w:rPr>
        <w:t>17</w:t>
      </w:r>
      <w:r w:rsidR="004E6E3A">
        <w:fldChar w:fldCharType="end"/>
      </w:r>
      <w:r w:rsidR="004E6E3A">
        <w:t xml:space="preserve"> in the Annex)</w:t>
      </w:r>
    </w:p>
    <w:p w:rsidR="008326A1" w:rsidRPr="00301583" w:rsidRDefault="00D06992" w:rsidP="00045F19">
      <w:pPr>
        <w:spacing w:line="276" w:lineRule="auto"/>
      </w:pPr>
      <w:r w:rsidRPr="00301583">
        <w:t>According to the survey data, 90% of Roma who live in segregated neighbourhoods suffer from material deprivation, 80% from severe material deprivation and 87% of them fell under the poverty threshold in 2011. The gap between Roma and non-Roma was significant; the rate of deprived or poor was almost two times higher in the ranks of the Roma, one third of whom lacked access to secure housing and the m</w:t>
      </w:r>
      <w:r w:rsidRPr="00301583">
        <w:t>a</w:t>
      </w:r>
      <w:r w:rsidRPr="00301583">
        <w:t>jority of whom (91%) lived in financial insecurity. Like in Hungary, the majority of R</w:t>
      </w:r>
      <w:r w:rsidRPr="00301583">
        <w:t>o</w:t>
      </w:r>
      <w:r w:rsidRPr="00301583">
        <w:t>ma would prefer living dispersed among non-Roma (72%), but their wish is refused completely by the latter group</w:t>
      </w:r>
      <w:r w:rsidR="008A2572" w:rsidRPr="00301583">
        <w:t xml:space="preserve"> (</w:t>
      </w:r>
      <w:r w:rsidR="007C131D">
        <w:t>see</w:t>
      </w:r>
      <w:r w:rsidR="004E6E3A">
        <w:t xml:space="preserve"> </w:t>
      </w:r>
      <w:r w:rsidR="004E6E3A">
        <w:fldChar w:fldCharType="begin"/>
      </w:r>
      <w:r w:rsidR="004E6E3A">
        <w:instrText xml:space="preserve"> REF _Ref392508691 \h </w:instrText>
      </w:r>
      <w:r w:rsidR="004E6E3A">
        <w:fldChar w:fldCharType="separate"/>
      </w:r>
      <w:r w:rsidR="00DC6D66">
        <w:t xml:space="preserve">Table </w:t>
      </w:r>
      <w:r w:rsidR="00DC6D66">
        <w:rPr>
          <w:noProof/>
        </w:rPr>
        <w:t>15</w:t>
      </w:r>
      <w:r w:rsidR="004E6E3A">
        <w:fldChar w:fldCharType="end"/>
      </w:r>
      <w:r w:rsidR="004E6E3A">
        <w:t xml:space="preserve"> in the Annex</w:t>
      </w:r>
      <w:r w:rsidR="00925240" w:rsidRPr="00301583">
        <w:t>)</w:t>
      </w:r>
      <w:r w:rsidR="007C131D">
        <w:t>.</w:t>
      </w:r>
    </w:p>
    <w:p w:rsidR="00BA7333" w:rsidRPr="00301583" w:rsidRDefault="00E27387" w:rsidP="00045F19">
      <w:pPr>
        <w:spacing w:line="276" w:lineRule="auto"/>
      </w:pPr>
      <w:r w:rsidRPr="00301583">
        <w:t>Poverty, deprivation and anti-Roma sentiments of the majority as well as the fr</w:t>
      </w:r>
      <w:r w:rsidRPr="00301583">
        <w:t>e</w:t>
      </w:r>
      <w:r w:rsidRPr="00301583">
        <w:t xml:space="preserve">quently experienced discrimination of employers </w:t>
      </w:r>
      <w:r w:rsidR="005124F5">
        <w:t>have led</w:t>
      </w:r>
      <w:r w:rsidRPr="00301583">
        <w:t>one fifth of the Roma to anticipate migration: 22% of the respondents would like to migrate abroad, whilst the rate of migration-intention amongst the non-Roma is only 14%. The UK leads the preference list of targeted countries; Germany, the Czech Republic and Austria are the second/third favourites. The survey revealed rather important differences in rel</w:t>
      </w:r>
      <w:r w:rsidRPr="00301583">
        <w:t>a</w:t>
      </w:r>
      <w:r w:rsidRPr="00301583">
        <w:t xml:space="preserve">tion to the morals of respondents: Roma seems to be looser in terms of keeping moralistic obligations than non-Roma: acceptance of stealing food, for example, is higher amongst Roma (18% against 7% of non-Roma) which is understandable in a community where being hungry is often experienced and 34% of the population is malnourished </w:t>
      </w:r>
      <w:r w:rsidR="00B86A47" w:rsidRPr="00301583">
        <w:t>(</w:t>
      </w:r>
      <w:r w:rsidR="007C131D">
        <w:t>see</w:t>
      </w:r>
      <w:r w:rsidR="004E6E3A">
        <w:t xml:space="preserve"> </w:t>
      </w:r>
      <w:r w:rsidR="004E6E3A">
        <w:fldChar w:fldCharType="begin"/>
      </w:r>
      <w:r w:rsidR="004E6E3A">
        <w:instrText xml:space="preserve"> REF _Ref392508691 \h </w:instrText>
      </w:r>
      <w:r w:rsidR="004E6E3A">
        <w:fldChar w:fldCharType="separate"/>
      </w:r>
      <w:r w:rsidR="00DC6D66">
        <w:t xml:space="preserve">Table </w:t>
      </w:r>
      <w:r w:rsidR="00DC6D66">
        <w:rPr>
          <w:noProof/>
        </w:rPr>
        <w:t>15</w:t>
      </w:r>
      <w:r w:rsidR="004E6E3A">
        <w:fldChar w:fldCharType="end"/>
      </w:r>
      <w:r w:rsidR="004E6E3A">
        <w:t xml:space="preserve"> - </w:t>
      </w:r>
      <w:r w:rsidR="0063218F">
        <w:fldChar w:fldCharType="begin"/>
      </w:r>
      <w:r w:rsidR="0063218F">
        <w:instrText xml:space="preserve"> REF _Ref392508750 \h </w:instrText>
      </w:r>
      <w:r w:rsidR="0063218F">
        <w:fldChar w:fldCharType="separate"/>
      </w:r>
      <w:r w:rsidR="00DC6D66">
        <w:t xml:space="preserve">Table </w:t>
      </w:r>
      <w:r w:rsidR="00DC6D66">
        <w:rPr>
          <w:noProof/>
        </w:rPr>
        <w:t>16</w:t>
      </w:r>
      <w:r w:rsidR="0063218F">
        <w:fldChar w:fldCharType="end"/>
      </w:r>
      <w:r w:rsidR="0063218F">
        <w:t xml:space="preserve"> in the Annex</w:t>
      </w:r>
      <w:r w:rsidR="00B86A47" w:rsidRPr="00301583">
        <w:t>).</w:t>
      </w:r>
    </w:p>
    <w:p w:rsidR="00E27387" w:rsidRPr="00301583" w:rsidRDefault="00E27387" w:rsidP="00045F19">
      <w:pPr>
        <w:spacing w:line="276" w:lineRule="auto"/>
      </w:pPr>
      <w:r w:rsidRPr="00301583">
        <w:lastRenderedPageBreak/>
        <w:t>The last point we are going to raise here is the distribution of respondents according to their skills and occupation. The data contained in Annex 7 is gathered for the pu</w:t>
      </w:r>
      <w:r w:rsidRPr="00301583">
        <w:t>r</w:t>
      </w:r>
      <w:r w:rsidRPr="00301583">
        <w:t>pose of showing the following contexts:</w:t>
      </w:r>
    </w:p>
    <w:p w:rsidR="00E27387" w:rsidRPr="00301583" w:rsidRDefault="00E27387" w:rsidP="00045F19">
      <w:pPr>
        <w:numPr>
          <w:ilvl w:val="0"/>
          <w:numId w:val="11"/>
        </w:numPr>
        <w:spacing w:line="276" w:lineRule="auto"/>
      </w:pPr>
      <w:r w:rsidRPr="00301583">
        <w:t xml:space="preserve">Business owners, white collar workers, foremen or professionals are weakly represented (altogether 8%) among the Roma, both amongst the employed and unemployed. </w:t>
      </w:r>
    </w:p>
    <w:p w:rsidR="00E27387" w:rsidRPr="00301583" w:rsidRDefault="00E27387" w:rsidP="00045F19">
      <w:pPr>
        <w:numPr>
          <w:ilvl w:val="0"/>
          <w:numId w:val="11"/>
        </w:numPr>
        <w:spacing w:line="276" w:lineRule="auto"/>
      </w:pPr>
      <w:r w:rsidRPr="00301583">
        <w:t>The rate of employed Roma skilled workers, though not high (20%), is neve</w:t>
      </w:r>
      <w:r w:rsidRPr="00301583">
        <w:t>r</w:t>
      </w:r>
      <w:r w:rsidRPr="00301583">
        <w:t>theless four times higher than their rate amongst the unemployed (5%), ind</w:t>
      </w:r>
      <w:r w:rsidRPr="00301583">
        <w:t>i</w:t>
      </w:r>
      <w:r w:rsidRPr="00301583">
        <w:t>cating that skilled Roma labour is successful in searching and keeping jobs.</w:t>
      </w:r>
    </w:p>
    <w:p w:rsidR="00E27387" w:rsidRPr="00301583" w:rsidRDefault="00E27387" w:rsidP="00045F19">
      <w:pPr>
        <w:numPr>
          <w:ilvl w:val="0"/>
          <w:numId w:val="11"/>
        </w:numPr>
        <w:spacing w:line="276" w:lineRule="auto"/>
      </w:pPr>
      <w:r w:rsidRPr="00301583">
        <w:t>The vast majority of Roma lack vocational or higher education; therefore, most of them are employed as unskilled labour primarily in manufactories and mines, as well as in construction and public utilities-related work.</w:t>
      </w:r>
    </w:p>
    <w:p w:rsidR="00E27387" w:rsidRDefault="00E27387" w:rsidP="00806422">
      <w:pPr>
        <w:spacing w:line="276" w:lineRule="auto"/>
      </w:pPr>
      <w:r w:rsidRPr="00301583">
        <w:t>Such ‘division’ of positions of the labour market wrongfully, but inevitably, cast most Roma to the lowest ranks of soc</w:t>
      </w:r>
      <w:r w:rsidR="00806422">
        <w:t>iety.</w:t>
      </w:r>
    </w:p>
    <w:p w:rsidR="00806422" w:rsidRPr="00806422" w:rsidRDefault="00806422" w:rsidP="00806422">
      <w:pPr>
        <w:spacing w:line="276" w:lineRule="auto"/>
        <w:rPr>
          <w:sz w:val="10"/>
          <w:szCs w:val="10"/>
        </w:rPr>
      </w:pPr>
    </w:p>
    <w:p w:rsidR="00806422" w:rsidRPr="00DB66E0" w:rsidRDefault="00D04E7B" w:rsidP="00806422">
      <w:pPr>
        <w:pStyle w:val="Heading2"/>
        <w:spacing w:before="360"/>
      </w:pPr>
      <w:bookmarkStart w:id="77" w:name="_Toc380500966"/>
      <w:bookmarkStart w:id="78" w:name="_Toc385271088"/>
      <w:bookmarkStart w:id="79" w:name="_Toc385939051"/>
      <w:r w:rsidRPr="00301583">
        <w:t>Residential and educational segregation in Southern Slovakia</w:t>
      </w:r>
      <w:bookmarkEnd w:id="77"/>
      <w:bookmarkEnd w:id="78"/>
      <w:bookmarkEnd w:id="79"/>
    </w:p>
    <w:p w:rsidR="00D00C93" w:rsidRPr="00301583" w:rsidRDefault="00D00C93" w:rsidP="00806422">
      <w:pPr>
        <w:pStyle w:val="Heading3"/>
        <w:spacing w:before="240"/>
      </w:pPr>
      <w:bookmarkStart w:id="80" w:name="_Toc385271089"/>
      <w:bookmarkStart w:id="81" w:name="_Toc385939052"/>
      <w:r w:rsidRPr="00301583">
        <w:t>Residential segregation</w:t>
      </w:r>
      <w:r w:rsidR="002E560A" w:rsidRPr="00301583">
        <w:t xml:space="preserve">: </w:t>
      </w:r>
      <w:r w:rsidR="00FB0739" w:rsidRPr="00301583">
        <w:t xml:space="preserve"> Roma Atlas report</w:t>
      </w:r>
      <w:bookmarkEnd w:id="80"/>
      <w:bookmarkEnd w:id="81"/>
    </w:p>
    <w:p w:rsidR="00E27387" w:rsidRPr="00301583" w:rsidRDefault="00E27387" w:rsidP="00045F19">
      <w:pPr>
        <w:autoSpaceDE w:val="0"/>
        <w:autoSpaceDN w:val="0"/>
        <w:adjustRightInd w:val="0"/>
        <w:spacing w:line="276" w:lineRule="auto"/>
      </w:pPr>
      <w:r w:rsidRPr="00301583">
        <w:t>A recent sociomapping survey called Atlas of Roma</w:t>
      </w:r>
      <w:r w:rsidRPr="00301583">
        <w:rPr>
          <w:rStyle w:val="FootnoteReference"/>
        </w:rPr>
        <w:footnoteReference w:id="8"/>
      </w:r>
      <w:r w:rsidRPr="00301583">
        <w:t xml:space="preserve"> covered 1070 municipalities of the total of 2890 municipalities of Slovakia (37.2%). According to the survey results, the estimated number of the Roma population was 402,840 (7.45% of the popul</w:t>
      </w:r>
      <w:r w:rsidRPr="00301583">
        <w:t>a</w:t>
      </w:r>
      <w:r w:rsidRPr="00301583">
        <w:t xml:space="preserve">tion). Almost half of the Roma lived dispersed, while others lived in segregated neighbourhoods </w:t>
      </w:r>
      <w:r w:rsidR="002F16DC">
        <w:t>(</w:t>
      </w:r>
      <w:r w:rsidRPr="00301583">
        <w:t>804 in numbers</w:t>
      </w:r>
      <w:r w:rsidR="002F16DC">
        <w:t>)</w:t>
      </w:r>
      <w:r w:rsidRPr="00301583">
        <w:t>. More precisely, during the course of the asses</w:t>
      </w:r>
      <w:r w:rsidRPr="00301583">
        <w:t>s</w:t>
      </w:r>
      <w:r w:rsidRPr="00301583">
        <w:t>ment in 2012-2013,</w:t>
      </w:r>
    </w:p>
    <w:p w:rsidR="00E27387" w:rsidRPr="00301583" w:rsidRDefault="00E27387" w:rsidP="00045F19">
      <w:pPr>
        <w:numPr>
          <w:ilvl w:val="0"/>
          <w:numId w:val="5"/>
        </w:numPr>
        <w:autoSpaceDE w:val="0"/>
        <w:autoSpaceDN w:val="0"/>
        <w:adjustRightInd w:val="0"/>
        <w:spacing w:line="276" w:lineRule="auto"/>
      </w:pPr>
      <w:r w:rsidRPr="00301583">
        <w:t xml:space="preserve">the rate of municipalities where Roma lived mixed amongst non-Roma was 45%, </w:t>
      </w:r>
    </w:p>
    <w:p w:rsidR="00E27387" w:rsidRPr="00301583" w:rsidRDefault="00E27387" w:rsidP="00045F19">
      <w:pPr>
        <w:numPr>
          <w:ilvl w:val="0"/>
          <w:numId w:val="5"/>
        </w:numPr>
        <w:autoSpaceDE w:val="0"/>
        <w:autoSpaceDN w:val="0"/>
        <w:adjustRightInd w:val="0"/>
        <w:spacing w:line="276" w:lineRule="auto"/>
      </w:pPr>
      <w:r w:rsidRPr="00301583">
        <w:t>in 153 municipalities (14%) Roma lived in segregated neighbourhoods only, whilst,</w:t>
      </w:r>
    </w:p>
    <w:p w:rsidR="00E27387" w:rsidRPr="00301583" w:rsidRDefault="00E27387" w:rsidP="00045F19">
      <w:pPr>
        <w:numPr>
          <w:ilvl w:val="0"/>
          <w:numId w:val="5"/>
        </w:numPr>
        <w:autoSpaceDE w:val="0"/>
        <w:autoSpaceDN w:val="0"/>
        <w:adjustRightInd w:val="0"/>
        <w:spacing w:line="276" w:lineRule="auto"/>
      </w:pPr>
      <w:r w:rsidRPr="00301583">
        <w:t xml:space="preserve">in 40% of the researched municipalities, dispersed and segregated dwellings were equally revealed. </w:t>
      </w:r>
    </w:p>
    <w:p w:rsidR="00E27387" w:rsidRPr="00301583" w:rsidRDefault="00E27387" w:rsidP="00045F19">
      <w:pPr>
        <w:autoSpaceDE w:val="0"/>
        <w:autoSpaceDN w:val="0"/>
        <w:adjustRightInd w:val="0"/>
        <w:spacing w:line="276" w:lineRule="auto"/>
      </w:pPr>
      <w:r w:rsidRPr="00301583">
        <w:t xml:space="preserve"> The distribution of Roma settlements according to their location relative to vi</w:t>
      </w:r>
      <w:r w:rsidRPr="00301583">
        <w:t>l</w:t>
      </w:r>
      <w:r w:rsidRPr="00301583">
        <w:t xml:space="preserve">lage/town boundaries is illustrated by the below figure. </w:t>
      </w:r>
    </w:p>
    <w:p w:rsidR="00E27387" w:rsidRPr="00301583" w:rsidRDefault="00E27387" w:rsidP="00E27387">
      <w:pPr>
        <w:autoSpaceDE w:val="0"/>
        <w:autoSpaceDN w:val="0"/>
        <w:adjustRightInd w:val="0"/>
      </w:pPr>
    </w:p>
    <w:p w:rsidR="00A33C77" w:rsidRPr="00301583" w:rsidRDefault="00350D91" w:rsidP="00D00C93">
      <w:pPr>
        <w:autoSpaceDE w:val="0"/>
        <w:autoSpaceDN w:val="0"/>
        <w:adjustRightInd w:val="0"/>
      </w:pPr>
      <w:r>
        <w:rPr>
          <w:noProof/>
          <w:lang w:val="fi-FI" w:eastAsia="fi-FI"/>
        </w:rPr>
        <w:lastRenderedPageBreak/>
        <w:drawing>
          <wp:inline distT="0" distB="0" distL="0" distR="0" wp14:anchorId="6EA2BEDC" wp14:editId="7480EC4A">
            <wp:extent cx="5264029" cy="3380214"/>
            <wp:effectExtent l="0" t="0" r="13335" b="10795"/>
            <wp:docPr id="9" name="Diagra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54B78" w:rsidRPr="00301583" w:rsidRDefault="00D54B78" w:rsidP="00806422">
      <w:pPr>
        <w:pStyle w:val="Caption"/>
        <w:spacing w:after="120"/>
      </w:pPr>
      <w:bookmarkStart w:id="82" w:name="_Toc378241861"/>
      <w:bookmarkStart w:id="83" w:name="_Toc392105197"/>
      <w:bookmarkStart w:id="84" w:name="_Toc392509052"/>
      <w:r w:rsidRPr="00301583">
        <w:t xml:space="preserve">Figure </w:t>
      </w:r>
      <w:r w:rsidR="00B759C8">
        <w:fldChar w:fldCharType="begin"/>
      </w:r>
      <w:r w:rsidR="00A752E6">
        <w:instrText xml:space="preserve"> SEQ Figure \* ARABIC </w:instrText>
      </w:r>
      <w:r w:rsidR="00B759C8">
        <w:fldChar w:fldCharType="separate"/>
      </w:r>
      <w:r w:rsidR="00DC6D66">
        <w:rPr>
          <w:noProof/>
        </w:rPr>
        <w:t>6</w:t>
      </w:r>
      <w:r w:rsidR="00B759C8">
        <w:rPr>
          <w:noProof/>
        </w:rPr>
        <w:fldChar w:fldCharType="end"/>
      </w:r>
      <w:r w:rsidR="006C0513" w:rsidRPr="00301583">
        <w:t>:</w:t>
      </w:r>
      <w:r w:rsidR="00E9042F">
        <w:t xml:space="preserve"> </w:t>
      </w:r>
      <w:r w:rsidRPr="00301583">
        <w:t>Roma settlements and their inhabitants in 2013</w:t>
      </w:r>
      <w:bookmarkEnd w:id="82"/>
      <w:bookmarkEnd w:id="83"/>
      <w:bookmarkEnd w:id="84"/>
    </w:p>
    <w:p w:rsidR="00806422" w:rsidRPr="0040458C" w:rsidRDefault="00806422" w:rsidP="00806422">
      <w:pPr>
        <w:autoSpaceDE w:val="0"/>
        <w:autoSpaceDN w:val="0"/>
        <w:adjustRightInd w:val="0"/>
        <w:spacing w:after="240" w:line="240" w:lineRule="auto"/>
        <w:rPr>
          <w:sz w:val="16"/>
          <w:szCs w:val="16"/>
        </w:rPr>
      </w:pPr>
      <w:r w:rsidRPr="00806422">
        <w:rPr>
          <w:b/>
          <w:sz w:val="16"/>
          <w:szCs w:val="16"/>
        </w:rPr>
        <w:t>Source:</w:t>
      </w:r>
      <w:r w:rsidRPr="0040458C">
        <w:rPr>
          <w:sz w:val="16"/>
          <w:szCs w:val="16"/>
        </w:rPr>
        <w:t xml:space="preserve"> Atlas of Roma a.n. </w:t>
      </w:r>
    </w:p>
    <w:p w:rsidR="00E27387" w:rsidRDefault="00E27387" w:rsidP="00045F19">
      <w:pPr>
        <w:autoSpaceDE w:val="0"/>
        <w:autoSpaceDN w:val="0"/>
        <w:adjustRightInd w:val="0"/>
        <w:spacing w:line="276" w:lineRule="auto"/>
      </w:pPr>
      <w:r w:rsidRPr="00301583">
        <w:t>The 1070 researched municipalities represent 37.2% of the total number of munic</w:t>
      </w:r>
      <w:r w:rsidRPr="00301583">
        <w:t>i</w:t>
      </w:r>
      <w:r w:rsidRPr="00301583">
        <w:t xml:space="preserve">palities of Slovakia. Those NUTS3 regions where the representation of villages/towns with Roma inhabitants is close to this rate or higher are indicated in the table below. The table also shows that the majority of municipalities where Roma population live in various proportions are found in three regions, Banská Bystrica, </w:t>
      </w:r>
      <w:r w:rsidR="00B15A22" w:rsidRPr="00301583">
        <w:t>Prešov</w:t>
      </w:r>
      <w:r w:rsidRPr="00301583">
        <w:t xml:space="preserve"> and </w:t>
      </w:r>
      <w:r w:rsidR="00B15A22" w:rsidRPr="00301583">
        <w:t>Košice</w:t>
      </w:r>
      <w:r w:rsidRPr="00301583">
        <w:t xml:space="preserve"> (756 municipalities, 71.5% from the 1</w:t>
      </w:r>
      <w:r w:rsidR="00806422">
        <w:t>,</w:t>
      </w:r>
      <w:r w:rsidRPr="00301583">
        <w:t>070 visited municipalities.)</w:t>
      </w:r>
    </w:p>
    <w:p w:rsidR="00806422" w:rsidRPr="00806422" w:rsidRDefault="00806422" w:rsidP="00045F19">
      <w:pPr>
        <w:autoSpaceDE w:val="0"/>
        <w:autoSpaceDN w:val="0"/>
        <w:adjustRightInd w:val="0"/>
        <w:spacing w:line="276" w:lineRule="auto"/>
        <w:rPr>
          <w:sz w:val="10"/>
          <w:szCs w:val="10"/>
        </w:rPr>
      </w:pPr>
    </w:p>
    <w:p w:rsidR="00627017" w:rsidRPr="00301583" w:rsidRDefault="00627017" w:rsidP="00E9042F">
      <w:pPr>
        <w:pStyle w:val="Caption"/>
        <w:spacing w:after="120"/>
      </w:pPr>
      <w:bookmarkStart w:id="85" w:name="_Toc385939085"/>
      <w:bookmarkStart w:id="86" w:name="_Toc392509041"/>
      <w:r w:rsidRPr="00301583">
        <w:t>Table</w:t>
      </w:r>
      <w:r w:rsidR="00AF33F5">
        <w:t xml:space="preserve"> </w:t>
      </w:r>
      <w:r w:rsidR="00B759C8">
        <w:fldChar w:fldCharType="begin"/>
      </w:r>
      <w:r w:rsidR="00A752E6">
        <w:instrText xml:space="preserve"> SEQ Table \* ARABIC </w:instrText>
      </w:r>
      <w:r w:rsidR="00B759C8">
        <w:fldChar w:fldCharType="separate"/>
      </w:r>
      <w:r w:rsidR="00DC6D66">
        <w:rPr>
          <w:noProof/>
        </w:rPr>
        <w:t>12</w:t>
      </w:r>
      <w:r w:rsidR="00B759C8">
        <w:rPr>
          <w:noProof/>
        </w:rPr>
        <w:fldChar w:fldCharType="end"/>
      </w:r>
      <w:r w:rsidR="00E9042F">
        <w:t>:</w:t>
      </w:r>
      <w:r w:rsidRPr="00301583">
        <w:t xml:space="preserve"> The number and rate of municipalities with Roma inhabitants 2013</w:t>
      </w:r>
      <w:bookmarkEnd w:id="85"/>
      <w:bookmarkEnd w:id="86"/>
    </w:p>
    <w:tbl>
      <w:tblPr>
        <w:tblW w:w="0" w:type="auto"/>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2132"/>
        <w:gridCol w:w="2051"/>
        <w:gridCol w:w="2052"/>
      </w:tblGrid>
      <w:tr w:rsidR="00627017" w:rsidRPr="00301583" w:rsidTr="00EB5A1D">
        <w:tc>
          <w:tcPr>
            <w:tcW w:w="1982" w:type="dxa"/>
            <w:vMerge w:val="restart"/>
            <w:shd w:val="clear" w:color="auto" w:fill="auto"/>
            <w:vAlign w:val="center"/>
          </w:tcPr>
          <w:p w:rsidR="00627017" w:rsidRPr="00806422" w:rsidRDefault="00627017" w:rsidP="00806422">
            <w:pPr>
              <w:autoSpaceDE w:val="0"/>
              <w:autoSpaceDN w:val="0"/>
              <w:adjustRightInd w:val="0"/>
              <w:spacing w:before="20" w:after="20" w:line="240" w:lineRule="auto"/>
              <w:jc w:val="left"/>
              <w:rPr>
                <w:b/>
                <w:sz w:val="19"/>
                <w:szCs w:val="19"/>
              </w:rPr>
            </w:pPr>
            <w:r w:rsidRPr="00806422">
              <w:rPr>
                <w:b/>
                <w:sz w:val="19"/>
                <w:szCs w:val="19"/>
              </w:rPr>
              <w:t>NUTS3 regions</w:t>
            </w:r>
          </w:p>
        </w:tc>
        <w:tc>
          <w:tcPr>
            <w:tcW w:w="2132" w:type="dxa"/>
            <w:vMerge w:val="restart"/>
            <w:shd w:val="clear" w:color="auto" w:fill="auto"/>
            <w:vAlign w:val="center"/>
          </w:tcPr>
          <w:p w:rsidR="00627017" w:rsidRPr="00806422" w:rsidRDefault="00CE5BB1" w:rsidP="00806422">
            <w:pPr>
              <w:autoSpaceDE w:val="0"/>
              <w:autoSpaceDN w:val="0"/>
              <w:adjustRightInd w:val="0"/>
              <w:spacing w:before="20" w:after="20" w:line="240" w:lineRule="auto"/>
              <w:jc w:val="center"/>
              <w:rPr>
                <w:b/>
                <w:sz w:val="19"/>
                <w:szCs w:val="19"/>
              </w:rPr>
            </w:pPr>
            <w:r w:rsidRPr="00806422">
              <w:rPr>
                <w:b/>
                <w:sz w:val="19"/>
                <w:szCs w:val="19"/>
              </w:rPr>
              <w:t>Total n</w:t>
            </w:r>
            <w:r w:rsidR="00627017" w:rsidRPr="00806422">
              <w:rPr>
                <w:b/>
                <w:sz w:val="19"/>
                <w:szCs w:val="19"/>
              </w:rPr>
              <w:t>umber of m</w:t>
            </w:r>
            <w:r w:rsidR="00627017" w:rsidRPr="00806422">
              <w:rPr>
                <w:b/>
                <w:sz w:val="19"/>
                <w:szCs w:val="19"/>
              </w:rPr>
              <w:t>u</w:t>
            </w:r>
            <w:r w:rsidR="00627017" w:rsidRPr="00806422">
              <w:rPr>
                <w:b/>
                <w:sz w:val="19"/>
                <w:szCs w:val="19"/>
              </w:rPr>
              <w:t>nicipalities</w:t>
            </w:r>
          </w:p>
        </w:tc>
        <w:tc>
          <w:tcPr>
            <w:tcW w:w="4103" w:type="dxa"/>
            <w:gridSpan w:val="2"/>
            <w:shd w:val="clear" w:color="auto" w:fill="auto"/>
            <w:vAlign w:val="center"/>
          </w:tcPr>
          <w:p w:rsidR="00627017" w:rsidRPr="00806422" w:rsidRDefault="00627017" w:rsidP="00806422">
            <w:pPr>
              <w:autoSpaceDE w:val="0"/>
              <w:autoSpaceDN w:val="0"/>
              <w:adjustRightInd w:val="0"/>
              <w:spacing w:before="20" w:after="20" w:line="240" w:lineRule="auto"/>
              <w:jc w:val="center"/>
              <w:rPr>
                <w:b/>
                <w:sz w:val="19"/>
                <w:szCs w:val="19"/>
              </w:rPr>
            </w:pPr>
            <w:r w:rsidRPr="00806422">
              <w:rPr>
                <w:b/>
                <w:sz w:val="19"/>
                <w:szCs w:val="19"/>
              </w:rPr>
              <w:t>Out of which municipalities with Roma inhabitants</w:t>
            </w:r>
          </w:p>
        </w:tc>
      </w:tr>
      <w:tr w:rsidR="00627017" w:rsidRPr="00301583" w:rsidTr="00EB5A1D">
        <w:tc>
          <w:tcPr>
            <w:tcW w:w="1982" w:type="dxa"/>
            <w:vMerge/>
            <w:tcBorders>
              <w:bottom w:val="single" w:sz="18" w:space="0" w:color="auto"/>
            </w:tcBorders>
            <w:shd w:val="clear" w:color="auto" w:fill="auto"/>
            <w:vAlign w:val="center"/>
          </w:tcPr>
          <w:p w:rsidR="00627017" w:rsidRPr="00806422" w:rsidRDefault="00627017" w:rsidP="00806422">
            <w:pPr>
              <w:autoSpaceDE w:val="0"/>
              <w:autoSpaceDN w:val="0"/>
              <w:adjustRightInd w:val="0"/>
              <w:spacing w:before="20" w:after="20" w:line="240" w:lineRule="auto"/>
              <w:jc w:val="center"/>
              <w:rPr>
                <w:b/>
                <w:sz w:val="19"/>
                <w:szCs w:val="19"/>
              </w:rPr>
            </w:pPr>
          </w:p>
        </w:tc>
        <w:tc>
          <w:tcPr>
            <w:tcW w:w="2132" w:type="dxa"/>
            <w:vMerge/>
            <w:tcBorders>
              <w:bottom w:val="single" w:sz="18" w:space="0" w:color="auto"/>
            </w:tcBorders>
            <w:shd w:val="clear" w:color="auto" w:fill="auto"/>
            <w:vAlign w:val="center"/>
          </w:tcPr>
          <w:p w:rsidR="00627017" w:rsidRPr="00806422" w:rsidRDefault="00627017" w:rsidP="00806422">
            <w:pPr>
              <w:autoSpaceDE w:val="0"/>
              <w:autoSpaceDN w:val="0"/>
              <w:adjustRightInd w:val="0"/>
              <w:spacing w:before="20" w:after="20" w:line="240" w:lineRule="auto"/>
              <w:jc w:val="center"/>
              <w:rPr>
                <w:b/>
                <w:sz w:val="19"/>
                <w:szCs w:val="19"/>
              </w:rPr>
            </w:pPr>
          </w:p>
        </w:tc>
        <w:tc>
          <w:tcPr>
            <w:tcW w:w="2051" w:type="dxa"/>
            <w:tcBorders>
              <w:bottom w:val="single" w:sz="18" w:space="0" w:color="auto"/>
            </w:tcBorders>
            <w:shd w:val="clear" w:color="auto" w:fill="auto"/>
            <w:vAlign w:val="center"/>
          </w:tcPr>
          <w:p w:rsidR="00627017" w:rsidRPr="00806422" w:rsidRDefault="00627017" w:rsidP="00806422">
            <w:pPr>
              <w:autoSpaceDE w:val="0"/>
              <w:autoSpaceDN w:val="0"/>
              <w:adjustRightInd w:val="0"/>
              <w:spacing w:before="20" w:after="20" w:line="240" w:lineRule="auto"/>
              <w:jc w:val="center"/>
              <w:rPr>
                <w:b/>
                <w:sz w:val="19"/>
                <w:szCs w:val="19"/>
              </w:rPr>
            </w:pPr>
            <w:r w:rsidRPr="00806422">
              <w:rPr>
                <w:b/>
                <w:sz w:val="19"/>
                <w:szCs w:val="19"/>
              </w:rPr>
              <w:t>In numbers</w:t>
            </w:r>
          </w:p>
        </w:tc>
        <w:tc>
          <w:tcPr>
            <w:tcW w:w="2052" w:type="dxa"/>
            <w:tcBorders>
              <w:bottom w:val="single" w:sz="18" w:space="0" w:color="auto"/>
            </w:tcBorders>
            <w:shd w:val="clear" w:color="auto" w:fill="auto"/>
            <w:vAlign w:val="center"/>
          </w:tcPr>
          <w:p w:rsidR="00627017" w:rsidRPr="00806422" w:rsidRDefault="00627017" w:rsidP="00806422">
            <w:pPr>
              <w:autoSpaceDE w:val="0"/>
              <w:autoSpaceDN w:val="0"/>
              <w:adjustRightInd w:val="0"/>
              <w:spacing w:before="20" w:after="20" w:line="240" w:lineRule="auto"/>
              <w:jc w:val="center"/>
              <w:rPr>
                <w:b/>
                <w:sz w:val="19"/>
                <w:szCs w:val="19"/>
              </w:rPr>
            </w:pPr>
            <w:r w:rsidRPr="00806422">
              <w:rPr>
                <w:b/>
                <w:sz w:val="19"/>
                <w:szCs w:val="19"/>
              </w:rPr>
              <w:t>In %</w:t>
            </w:r>
          </w:p>
        </w:tc>
      </w:tr>
      <w:tr w:rsidR="00627017" w:rsidRPr="00D44F34" w:rsidTr="00EB5A1D">
        <w:tc>
          <w:tcPr>
            <w:tcW w:w="1982" w:type="dxa"/>
            <w:tcBorders>
              <w:top w:val="single" w:sz="18" w:space="0" w:color="auto"/>
            </w:tcBorders>
            <w:shd w:val="clear" w:color="auto" w:fill="D9D9D9" w:themeFill="background1" w:themeFillShade="D9"/>
          </w:tcPr>
          <w:p w:rsidR="00627017" w:rsidRPr="00806422" w:rsidRDefault="00627017" w:rsidP="00806422">
            <w:pPr>
              <w:autoSpaceDE w:val="0"/>
              <w:autoSpaceDN w:val="0"/>
              <w:adjustRightInd w:val="0"/>
              <w:spacing w:before="20" w:after="20" w:line="240" w:lineRule="auto"/>
              <w:rPr>
                <w:sz w:val="19"/>
                <w:szCs w:val="19"/>
              </w:rPr>
            </w:pPr>
            <w:r w:rsidRPr="00806422">
              <w:rPr>
                <w:rFonts w:cs="Arial"/>
                <w:color w:val="000000"/>
                <w:sz w:val="19"/>
                <w:szCs w:val="19"/>
                <w:lang w:eastAsia="en-GB"/>
              </w:rPr>
              <w:t>Košice</w:t>
            </w:r>
          </w:p>
        </w:tc>
        <w:tc>
          <w:tcPr>
            <w:tcW w:w="2132" w:type="dxa"/>
            <w:tcBorders>
              <w:top w:val="single" w:sz="18" w:space="0" w:color="auto"/>
            </w:tcBorders>
            <w:shd w:val="clear" w:color="auto" w:fill="D9D9D9" w:themeFill="background1" w:themeFillShade="D9"/>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440</w:t>
            </w:r>
          </w:p>
        </w:tc>
        <w:tc>
          <w:tcPr>
            <w:tcW w:w="2051" w:type="dxa"/>
            <w:tcBorders>
              <w:top w:val="single" w:sz="18" w:space="0" w:color="auto"/>
            </w:tcBorders>
            <w:shd w:val="clear" w:color="auto" w:fill="D9D9D9" w:themeFill="background1" w:themeFillShade="D9"/>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256</w:t>
            </w:r>
          </w:p>
        </w:tc>
        <w:tc>
          <w:tcPr>
            <w:tcW w:w="2052" w:type="dxa"/>
            <w:tcBorders>
              <w:top w:val="single" w:sz="18" w:space="0" w:color="auto"/>
            </w:tcBorders>
            <w:shd w:val="clear" w:color="auto" w:fill="D9D9D9" w:themeFill="background1" w:themeFillShade="D9"/>
          </w:tcPr>
          <w:p w:rsidR="00627017" w:rsidRPr="00806422" w:rsidRDefault="007867F5" w:rsidP="00806422">
            <w:pPr>
              <w:autoSpaceDE w:val="0"/>
              <w:autoSpaceDN w:val="0"/>
              <w:adjustRightInd w:val="0"/>
              <w:spacing w:before="20" w:after="20" w:line="240" w:lineRule="auto"/>
              <w:jc w:val="center"/>
              <w:rPr>
                <w:sz w:val="19"/>
                <w:szCs w:val="19"/>
              </w:rPr>
            </w:pPr>
            <w:r w:rsidRPr="00806422">
              <w:rPr>
                <w:sz w:val="19"/>
                <w:szCs w:val="19"/>
              </w:rPr>
              <w:t>58.</w:t>
            </w:r>
            <w:r w:rsidR="00CE5BB1" w:rsidRPr="00806422">
              <w:rPr>
                <w:sz w:val="19"/>
                <w:szCs w:val="19"/>
              </w:rPr>
              <w:t>18</w:t>
            </w:r>
          </w:p>
        </w:tc>
      </w:tr>
      <w:tr w:rsidR="00627017" w:rsidRPr="00D44F34" w:rsidTr="00EB5A1D">
        <w:tc>
          <w:tcPr>
            <w:tcW w:w="1982" w:type="dxa"/>
            <w:shd w:val="clear" w:color="auto" w:fill="auto"/>
          </w:tcPr>
          <w:p w:rsidR="00627017" w:rsidRPr="00806422" w:rsidRDefault="00627017" w:rsidP="00806422">
            <w:pPr>
              <w:autoSpaceDE w:val="0"/>
              <w:autoSpaceDN w:val="0"/>
              <w:adjustRightInd w:val="0"/>
              <w:spacing w:before="20" w:after="20" w:line="240" w:lineRule="auto"/>
              <w:rPr>
                <w:sz w:val="19"/>
                <w:szCs w:val="19"/>
              </w:rPr>
            </w:pPr>
            <w:r w:rsidRPr="00806422">
              <w:rPr>
                <w:sz w:val="19"/>
                <w:szCs w:val="19"/>
              </w:rPr>
              <w:t>Banská Bystrica</w:t>
            </w:r>
          </w:p>
        </w:tc>
        <w:tc>
          <w:tcPr>
            <w:tcW w:w="2132" w:type="dxa"/>
            <w:shd w:val="clear" w:color="auto" w:fill="auto"/>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516</w:t>
            </w:r>
          </w:p>
        </w:tc>
        <w:tc>
          <w:tcPr>
            <w:tcW w:w="2051" w:type="dxa"/>
            <w:shd w:val="clear" w:color="auto" w:fill="auto"/>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266</w:t>
            </w:r>
          </w:p>
        </w:tc>
        <w:tc>
          <w:tcPr>
            <w:tcW w:w="2052" w:type="dxa"/>
            <w:shd w:val="clear" w:color="auto" w:fill="auto"/>
          </w:tcPr>
          <w:p w:rsidR="00627017" w:rsidRPr="00806422" w:rsidRDefault="007867F5" w:rsidP="00806422">
            <w:pPr>
              <w:autoSpaceDE w:val="0"/>
              <w:autoSpaceDN w:val="0"/>
              <w:adjustRightInd w:val="0"/>
              <w:spacing w:before="20" w:after="20" w:line="240" w:lineRule="auto"/>
              <w:jc w:val="center"/>
              <w:rPr>
                <w:sz w:val="19"/>
                <w:szCs w:val="19"/>
              </w:rPr>
            </w:pPr>
            <w:r w:rsidRPr="00806422">
              <w:rPr>
                <w:sz w:val="19"/>
                <w:szCs w:val="19"/>
              </w:rPr>
              <w:t>51.</w:t>
            </w:r>
            <w:r w:rsidR="00CE5BB1" w:rsidRPr="00806422">
              <w:rPr>
                <w:sz w:val="19"/>
                <w:szCs w:val="19"/>
              </w:rPr>
              <w:t>55</w:t>
            </w:r>
          </w:p>
        </w:tc>
      </w:tr>
      <w:tr w:rsidR="00627017" w:rsidRPr="00D44F34" w:rsidTr="00EB5A1D">
        <w:tc>
          <w:tcPr>
            <w:tcW w:w="1982" w:type="dxa"/>
            <w:shd w:val="clear" w:color="auto" w:fill="D9D9D9" w:themeFill="background1" w:themeFillShade="D9"/>
          </w:tcPr>
          <w:p w:rsidR="00627017" w:rsidRPr="00806422" w:rsidRDefault="00627017" w:rsidP="00806422">
            <w:pPr>
              <w:autoSpaceDE w:val="0"/>
              <w:autoSpaceDN w:val="0"/>
              <w:adjustRightInd w:val="0"/>
              <w:spacing w:before="20" w:after="20" w:line="240" w:lineRule="auto"/>
              <w:rPr>
                <w:sz w:val="19"/>
                <w:szCs w:val="19"/>
              </w:rPr>
            </w:pPr>
            <w:r w:rsidRPr="00806422">
              <w:rPr>
                <w:sz w:val="19"/>
                <w:szCs w:val="19"/>
              </w:rPr>
              <w:t>Nitra</w:t>
            </w:r>
          </w:p>
        </w:tc>
        <w:tc>
          <w:tcPr>
            <w:tcW w:w="2132" w:type="dxa"/>
            <w:shd w:val="clear" w:color="auto" w:fill="D9D9D9" w:themeFill="background1" w:themeFillShade="D9"/>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354</w:t>
            </w:r>
          </w:p>
        </w:tc>
        <w:tc>
          <w:tcPr>
            <w:tcW w:w="2051" w:type="dxa"/>
            <w:shd w:val="clear" w:color="auto" w:fill="D9D9D9" w:themeFill="background1" w:themeFillShade="D9"/>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134</w:t>
            </w:r>
          </w:p>
        </w:tc>
        <w:tc>
          <w:tcPr>
            <w:tcW w:w="2052" w:type="dxa"/>
            <w:shd w:val="clear" w:color="auto" w:fill="D9D9D9" w:themeFill="background1" w:themeFillShade="D9"/>
          </w:tcPr>
          <w:p w:rsidR="00627017" w:rsidRPr="00806422" w:rsidRDefault="007867F5" w:rsidP="00806422">
            <w:pPr>
              <w:autoSpaceDE w:val="0"/>
              <w:autoSpaceDN w:val="0"/>
              <w:adjustRightInd w:val="0"/>
              <w:spacing w:before="20" w:after="20" w:line="240" w:lineRule="auto"/>
              <w:jc w:val="center"/>
              <w:rPr>
                <w:sz w:val="19"/>
                <w:szCs w:val="19"/>
              </w:rPr>
            </w:pPr>
            <w:r w:rsidRPr="00806422">
              <w:rPr>
                <w:sz w:val="19"/>
                <w:szCs w:val="19"/>
              </w:rPr>
              <w:t>37.</w:t>
            </w:r>
            <w:r w:rsidR="00CE5BB1" w:rsidRPr="00806422">
              <w:rPr>
                <w:sz w:val="19"/>
                <w:szCs w:val="19"/>
              </w:rPr>
              <w:t>85</w:t>
            </w:r>
          </w:p>
        </w:tc>
      </w:tr>
      <w:tr w:rsidR="00627017" w:rsidRPr="00D44F34" w:rsidTr="00EB5A1D">
        <w:trPr>
          <w:trHeight w:val="70"/>
        </w:trPr>
        <w:tc>
          <w:tcPr>
            <w:tcW w:w="1982" w:type="dxa"/>
            <w:shd w:val="clear" w:color="auto" w:fill="auto"/>
          </w:tcPr>
          <w:p w:rsidR="00627017" w:rsidRPr="00806422" w:rsidRDefault="00627017" w:rsidP="00806422">
            <w:pPr>
              <w:autoSpaceDE w:val="0"/>
              <w:autoSpaceDN w:val="0"/>
              <w:adjustRightInd w:val="0"/>
              <w:spacing w:before="20" w:after="20" w:line="240" w:lineRule="auto"/>
              <w:rPr>
                <w:sz w:val="19"/>
                <w:szCs w:val="19"/>
              </w:rPr>
            </w:pPr>
            <w:r w:rsidRPr="00806422">
              <w:rPr>
                <w:rFonts w:cs="Arial"/>
                <w:color w:val="000000"/>
                <w:sz w:val="19"/>
                <w:szCs w:val="19"/>
                <w:lang w:eastAsia="en-GB"/>
              </w:rPr>
              <w:t>Prešov</w:t>
            </w:r>
          </w:p>
        </w:tc>
        <w:tc>
          <w:tcPr>
            <w:tcW w:w="2132" w:type="dxa"/>
            <w:shd w:val="clear" w:color="auto" w:fill="auto"/>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665</w:t>
            </w:r>
          </w:p>
        </w:tc>
        <w:tc>
          <w:tcPr>
            <w:tcW w:w="2051" w:type="dxa"/>
            <w:shd w:val="clear" w:color="auto" w:fill="auto"/>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243</w:t>
            </w:r>
          </w:p>
        </w:tc>
        <w:tc>
          <w:tcPr>
            <w:tcW w:w="2052" w:type="dxa"/>
            <w:shd w:val="clear" w:color="auto" w:fill="auto"/>
          </w:tcPr>
          <w:p w:rsidR="00627017" w:rsidRPr="00806422" w:rsidRDefault="007867F5" w:rsidP="00806422">
            <w:pPr>
              <w:autoSpaceDE w:val="0"/>
              <w:autoSpaceDN w:val="0"/>
              <w:adjustRightInd w:val="0"/>
              <w:spacing w:before="20" w:after="20" w:line="240" w:lineRule="auto"/>
              <w:jc w:val="center"/>
              <w:rPr>
                <w:sz w:val="19"/>
                <w:szCs w:val="19"/>
              </w:rPr>
            </w:pPr>
            <w:r w:rsidRPr="00806422">
              <w:rPr>
                <w:sz w:val="19"/>
                <w:szCs w:val="19"/>
              </w:rPr>
              <w:t>36.</w:t>
            </w:r>
            <w:r w:rsidR="00CE5BB1" w:rsidRPr="00806422">
              <w:rPr>
                <w:sz w:val="19"/>
                <w:szCs w:val="19"/>
              </w:rPr>
              <w:t>54</w:t>
            </w:r>
          </w:p>
        </w:tc>
      </w:tr>
      <w:tr w:rsidR="00627017" w:rsidRPr="00D44F34" w:rsidTr="00EB5A1D">
        <w:tc>
          <w:tcPr>
            <w:tcW w:w="1982" w:type="dxa"/>
            <w:shd w:val="clear" w:color="auto" w:fill="D9D9D9" w:themeFill="background1" w:themeFillShade="D9"/>
          </w:tcPr>
          <w:p w:rsidR="00627017" w:rsidRPr="00806422" w:rsidRDefault="00627017" w:rsidP="00806422">
            <w:pPr>
              <w:autoSpaceDE w:val="0"/>
              <w:autoSpaceDN w:val="0"/>
              <w:adjustRightInd w:val="0"/>
              <w:spacing w:before="20" w:after="20" w:line="240" w:lineRule="auto"/>
              <w:rPr>
                <w:rFonts w:cs="Arial"/>
                <w:color w:val="000000"/>
                <w:sz w:val="19"/>
                <w:szCs w:val="19"/>
                <w:lang w:eastAsia="en-GB"/>
              </w:rPr>
            </w:pPr>
            <w:r w:rsidRPr="00806422">
              <w:rPr>
                <w:rFonts w:cs="Arial"/>
                <w:color w:val="000000"/>
                <w:sz w:val="19"/>
                <w:szCs w:val="19"/>
                <w:lang w:eastAsia="en-GB"/>
              </w:rPr>
              <w:t>Trnava</w:t>
            </w:r>
          </w:p>
        </w:tc>
        <w:tc>
          <w:tcPr>
            <w:tcW w:w="2132" w:type="dxa"/>
            <w:shd w:val="clear" w:color="auto" w:fill="D9D9D9" w:themeFill="background1" w:themeFillShade="D9"/>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251</w:t>
            </w:r>
          </w:p>
        </w:tc>
        <w:tc>
          <w:tcPr>
            <w:tcW w:w="2051" w:type="dxa"/>
            <w:shd w:val="clear" w:color="auto" w:fill="D9D9D9" w:themeFill="background1" w:themeFillShade="D9"/>
          </w:tcPr>
          <w:p w:rsidR="00627017" w:rsidRPr="00806422" w:rsidRDefault="00CE5BB1" w:rsidP="00806422">
            <w:pPr>
              <w:autoSpaceDE w:val="0"/>
              <w:autoSpaceDN w:val="0"/>
              <w:adjustRightInd w:val="0"/>
              <w:spacing w:before="20" w:after="20" w:line="240" w:lineRule="auto"/>
              <w:jc w:val="center"/>
              <w:rPr>
                <w:sz w:val="19"/>
                <w:szCs w:val="19"/>
              </w:rPr>
            </w:pPr>
            <w:r w:rsidRPr="00806422">
              <w:rPr>
                <w:sz w:val="19"/>
                <w:szCs w:val="19"/>
              </w:rPr>
              <w:t>76</w:t>
            </w:r>
          </w:p>
        </w:tc>
        <w:tc>
          <w:tcPr>
            <w:tcW w:w="2052" w:type="dxa"/>
            <w:shd w:val="clear" w:color="auto" w:fill="D9D9D9" w:themeFill="background1" w:themeFillShade="D9"/>
          </w:tcPr>
          <w:p w:rsidR="00627017" w:rsidRPr="00806422" w:rsidRDefault="007867F5" w:rsidP="00806422">
            <w:pPr>
              <w:autoSpaceDE w:val="0"/>
              <w:autoSpaceDN w:val="0"/>
              <w:adjustRightInd w:val="0"/>
              <w:spacing w:before="20" w:after="20" w:line="240" w:lineRule="auto"/>
              <w:jc w:val="center"/>
              <w:rPr>
                <w:sz w:val="19"/>
                <w:szCs w:val="19"/>
              </w:rPr>
            </w:pPr>
            <w:r w:rsidRPr="00806422">
              <w:rPr>
                <w:sz w:val="19"/>
                <w:szCs w:val="19"/>
              </w:rPr>
              <w:t>30.</w:t>
            </w:r>
            <w:r w:rsidR="00CE5BB1" w:rsidRPr="00806422">
              <w:rPr>
                <w:sz w:val="19"/>
                <w:szCs w:val="19"/>
              </w:rPr>
              <w:t>28</w:t>
            </w:r>
          </w:p>
        </w:tc>
      </w:tr>
    </w:tbl>
    <w:p w:rsidR="00806422" w:rsidRDefault="00CE5BB1" w:rsidP="0040458C">
      <w:pPr>
        <w:autoSpaceDE w:val="0"/>
        <w:autoSpaceDN w:val="0"/>
        <w:adjustRightInd w:val="0"/>
        <w:spacing w:before="0"/>
        <w:rPr>
          <w:sz w:val="16"/>
          <w:szCs w:val="16"/>
        </w:rPr>
      </w:pPr>
      <w:r w:rsidRPr="00806422">
        <w:rPr>
          <w:b/>
          <w:sz w:val="16"/>
          <w:szCs w:val="16"/>
        </w:rPr>
        <w:t>Source:</w:t>
      </w:r>
      <w:r w:rsidRPr="0040458C">
        <w:rPr>
          <w:sz w:val="16"/>
          <w:szCs w:val="16"/>
        </w:rPr>
        <w:t xml:space="preserve"> Atlas of Roma</w:t>
      </w:r>
      <w:r w:rsidR="00806422">
        <w:rPr>
          <w:sz w:val="16"/>
          <w:szCs w:val="16"/>
        </w:rPr>
        <w:t>,</w:t>
      </w:r>
      <w:r w:rsidRPr="0040458C">
        <w:rPr>
          <w:sz w:val="16"/>
          <w:szCs w:val="16"/>
        </w:rPr>
        <w:t xml:space="preserve"> a.n. </w:t>
      </w:r>
    </w:p>
    <w:p w:rsidR="00806422" w:rsidRPr="00806422" w:rsidRDefault="00806422" w:rsidP="0040458C">
      <w:pPr>
        <w:autoSpaceDE w:val="0"/>
        <w:autoSpaceDN w:val="0"/>
        <w:adjustRightInd w:val="0"/>
        <w:spacing w:before="0"/>
        <w:rPr>
          <w:sz w:val="10"/>
          <w:szCs w:val="10"/>
        </w:rPr>
      </w:pPr>
    </w:p>
    <w:p w:rsidR="00D04E7B" w:rsidRPr="00301583" w:rsidRDefault="00E27387" w:rsidP="00806422">
      <w:pPr>
        <w:pStyle w:val="Heading2"/>
        <w:spacing w:before="240"/>
      </w:pPr>
      <w:bookmarkStart w:id="87" w:name="_Toc380500967"/>
      <w:bookmarkStart w:id="88" w:name="_Toc385271090"/>
      <w:bookmarkStart w:id="89" w:name="_Toc385939053"/>
      <w:r w:rsidRPr="00301583">
        <w:t>Field report: t</w:t>
      </w:r>
      <w:r w:rsidR="00D04E7B" w:rsidRPr="00301583">
        <w:t>he field sites, the methods and the research tools</w:t>
      </w:r>
      <w:bookmarkEnd w:id="87"/>
      <w:bookmarkEnd w:id="88"/>
      <w:bookmarkEnd w:id="89"/>
    </w:p>
    <w:p w:rsidR="00D04E7B" w:rsidRPr="00301583" w:rsidRDefault="00D04E7B" w:rsidP="00045F19">
      <w:pPr>
        <w:spacing w:line="276" w:lineRule="auto"/>
      </w:pPr>
      <w:r w:rsidRPr="00301583">
        <w:t xml:space="preserve">As presented in the introductory chapter, </w:t>
      </w:r>
      <w:r w:rsidR="00C27D13">
        <w:t>Banská Bystrica</w:t>
      </w:r>
      <w:r w:rsidRPr="00301583">
        <w:t xml:space="preserve"> does not belong to the most disadvantaged self-governed regions of Slovakia. Želinský argued in his 2007 article that neither the scale, nor the deepness of poverty expressed by the poverty gap index suggest a high concentration of poverty in the region. Nevertheless, a</w:t>
      </w:r>
      <w:r w:rsidRPr="00301583">
        <w:t>c</w:t>
      </w:r>
      <w:r w:rsidRPr="00301583">
        <w:t xml:space="preserve">cording to the headcount index 107,460 people lived below poverty line in 2005 in the </w:t>
      </w:r>
      <w:r w:rsidRPr="00301583">
        <w:lastRenderedPageBreak/>
        <w:t>NUTS-3 region of Banská Bystrica (Želinský</w:t>
      </w:r>
      <w:r w:rsidR="00806422">
        <w:t>,</w:t>
      </w:r>
      <w:r w:rsidRPr="00301583">
        <w:t xml:space="preserve"> 2007), and the LAU1 unit of Rimavská Sobota – situated along the Hungarian border in the Southern part of the country – is one of the poorest districts of Slovakia. This phenomenon has probably to do with the high unemployment rate deriving from the collapse of industries at the district centre and of large-scale agriculture in the surroundings in general. </w:t>
      </w:r>
      <w:r w:rsidR="005124F5">
        <w:t>T</w:t>
      </w:r>
      <w:r w:rsidRPr="00301583">
        <w:t>he high rate of Roma population being hit the most by the collapse of these industries must also play a role: according to a 2010 survey, the proportion of Roma people was 25% in the R</w:t>
      </w:r>
      <w:r w:rsidRPr="00301583">
        <w:t>i</w:t>
      </w:r>
      <w:r w:rsidRPr="00301583">
        <w:t>mavská Sobota district, the highest am</w:t>
      </w:r>
      <w:r w:rsidR="00806422">
        <w:t>ongst the districts of Slovakia (s</w:t>
      </w:r>
      <w:r w:rsidRPr="00301583">
        <w:t xml:space="preserve">ee </w:t>
      </w:r>
      <w:r w:rsidR="005103CA">
        <w:fldChar w:fldCharType="begin"/>
      </w:r>
      <w:r w:rsidR="005103CA">
        <w:instrText xml:space="preserve"> REF _Ref392106009 \h </w:instrText>
      </w:r>
      <w:r w:rsidR="005103CA">
        <w:fldChar w:fldCharType="separate"/>
      </w:r>
      <w:r w:rsidR="00DC6D66">
        <w:t xml:space="preserve">Map </w:t>
      </w:r>
      <w:r w:rsidR="00DC6D66">
        <w:rPr>
          <w:noProof/>
        </w:rPr>
        <w:t>9</w:t>
      </w:r>
      <w:r w:rsidR="005103CA">
        <w:fldChar w:fldCharType="end"/>
      </w:r>
      <w:r w:rsidR="004E6E3A">
        <w:t xml:space="preserve"> and </w:t>
      </w:r>
      <w:r w:rsidR="004E6E3A" w:rsidRPr="004E6E3A">
        <w:fldChar w:fldCharType="begin"/>
      </w:r>
      <w:r w:rsidR="004E6E3A" w:rsidRPr="004E6E3A">
        <w:instrText xml:space="preserve"> REF _Ref392508346 \h  \* MERGEFORMAT </w:instrText>
      </w:r>
      <w:r w:rsidR="004E6E3A" w:rsidRPr="004E6E3A">
        <w:fldChar w:fldCharType="separate"/>
      </w:r>
      <w:r w:rsidR="00DC6D66" w:rsidRPr="00DC6D66">
        <w:t xml:space="preserve">Table </w:t>
      </w:r>
      <w:r w:rsidR="00DC6D66" w:rsidRPr="00DC6D66">
        <w:rPr>
          <w:noProof/>
        </w:rPr>
        <w:t>13</w:t>
      </w:r>
      <w:r w:rsidR="004E6E3A" w:rsidRPr="004E6E3A">
        <w:fldChar w:fldCharType="end"/>
      </w:r>
      <w:r w:rsidR="004E6E3A" w:rsidRPr="004E6E3A">
        <w:t xml:space="preserve"> in the Annex</w:t>
      </w:r>
      <w:r w:rsidRPr="00301583">
        <w:t>) The same survey revealed that more than half of the Roma live in Eastern Slovakia (31% in the Košice, 29% in the Prešov NUTS3 region) and Central Slovakia, in the Banská Bystrica region (one fifth of t</w:t>
      </w:r>
      <w:r w:rsidR="00806422">
        <w:t>he total of the Roma population</w:t>
      </w:r>
      <w:r w:rsidRPr="00301583">
        <w:t>) (Matlovičová et al.</w:t>
      </w:r>
      <w:r w:rsidR="00806422">
        <w:t>,</w:t>
      </w:r>
      <w:r w:rsidRPr="00301583">
        <w:t xml:space="preserve"> 2012)</w:t>
      </w:r>
      <w:r w:rsidR="00806422">
        <w:t>.</w:t>
      </w:r>
      <w:r w:rsidRPr="00301583">
        <w:t xml:space="preserve">  </w:t>
      </w:r>
    </w:p>
    <w:p w:rsidR="00D04E7B" w:rsidRPr="00301583" w:rsidRDefault="00D04E7B" w:rsidP="00045F19">
      <w:pPr>
        <w:spacing w:line="276" w:lineRule="auto"/>
      </w:pPr>
      <w:r w:rsidRPr="00301583">
        <w:t>Rimavská Sobota is the district (LAU-1 unit) selected for the empirical investigation, within which two villages (LAU-2 units) have been researched: Rimavská Seč with 1,936 inhabitants and Klenovec with 3,324 inhabitants (2011 census data). 1,763 Hungarian, 92 Slovak and 45 Roma residents were registered (by self-declared et</w:t>
      </w:r>
      <w:r w:rsidRPr="00301583">
        <w:t>h</w:t>
      </w:r>
      <w:r w:rsidRPr="00301583">
        <w:t>nic affiliation) during the last census in Rimavská Seč, while from among 3,324 i</w:t>
      </w:r>
      <w:r w:rsidRPr="00301583">
        <w:t>n</w:t>
      </w:r>
      <w:r w:rsidRPr="00301583">
        <w:t>habitants, 3,122 respondents declared Slovak and 202 Roma affiliation in Klenovec. However, official figures are misleading: according to village leaders, the rate of the Roma population is as high as 75-80% in the former and roughly 25-30% in the latter locality; which explains their selection as research sites. The issue of majorities and minorities is quite speci</w:t>
      </w:r>
      <w:r w:rsidR="000558B2" w:rsidRPr="00301583">
        <w:t>fic</w:t>
      </w:r>
      <w:r w:rsidRPr="00301583">
        <w:t xml:space="preserve"> in Rimavská Seč: the national majority (Slovak) is repr</w:t>
      </w:r>
      <w:r w:rsidRPr="00301583">
        <w:t>e</w:t>
      </w:r>
      <w:r w:rsidRPr="00301583">
        <w:t>sented by only as little as 5% of villagers, ethnic Hungarians make up roughly 20% of the population – still a local minority –, whilst Roma people, whose vast majority has declared Hungarian affiliation in 2011, represent locally a majority. The Roma here belong to the group of Romungro (</w:t>
      </w:r>
      <w:r w:rsidRPr="00301583">
        <w:rPr>
          <w:i/>
        </w:rPr>
        <w:t>magyar cigányok</w:t>
      </w:r>
      <w:r w:rsidRPr="00301583">
        <w:t>); they do not speak any dialect of the Romany language</w:t>
      </w:r>
      <w:r w:rsidR="00A132C4">
        <w:t xml:space="preserve"> and</w:t>
      </w:r>
      <w:r w:rsidRPr="00301583">
        <w:t xml:space="preserve"> their mother tongue is Hungarian.</w:t>
      </w:r>
      <w:r w:rsidRPr="00301583">
        <w:rPr>
          <w:rStyle w:val="FootnoteReference"/>
        </w:rPr>
        <w:footnoteReference w:id="9"/>
      </w:r>
      <w:r w:rsidRPr="00301583">
        <w:t xml:space="preserve"> Roma of Klenovec speak their own Roma dialect, and Slovakian as a second language. Although we focused on schooling of Roma in rural areas, we interviewed two personalities wor</w:t>
      </w:r>
      <w:r w:rsidRPr="00301583">
        <w:t>k</w:t>
      </w:r>
      <w:r w:rsidRPr="00301583">
        <w:t>ing for key institutions of the segregated settlement belonging to Rimavská Sobota, 4 km far from the town, nicknamed “Black City”: a field social worker and the principal of the ghetto school.</w:t>
      </w:r>
    </w:p>
    <w:p w:rsidR="00D04E7B" w:rsidRDefault="00D04E7B" w:rsidP="00045F19">
      <w:pPr>
        <w:spacing w:line="276" w:lineRule="auto"/>
      </w:pPr>
      <w:r w:rsidRPr="00301583">
        <w:t>In the empirical phase of the research thirty semi-structured interviews were co</w:t>
      </w:r>
      <w:r w:rsidRPr="00301583">
        <w:t>n</w:t>
      </w:r>
      <w:r w:rsidRPr="00301583">
        <w:t xml:space="preserve">ducted with village officials, parents, representatives of NGOs engaged in developing projects, preschool leaders, principals of ordinary and special schools, principals of secondary schools of rural towns in Rimavská Sobota district (Rimavská Sobota, </w:t>
      </w:r>
      <w:r w:rsidRPr="00301583">
        <w:rPr>
          <w:iCs/>
        </w:rPr>
        <w:t>Tornaľa</w:t>
      </w:r>
      <w:r w:rsidRPr="00301583">
        <w:t xml:space="preserve"> and Hnúšťa) and representatives of town officials working in the areas of social services and education. Three semi-structured interviews were conducted with experts of Roma issues at national level to unfold policy measures affecting educ</w:t>
      </w:r>
      <w:r w:rsidRPr="00301583">
        <w:t>a</w:t>
      </w:r>
      <w:r w:rsidRPr="00301583">
        <w:t>tion and social integration. We did not succeed in obtaining data of schools of R</w:t>
      </w:r>
      <w:r w:rsidRPr="00301583">
        <w:t>i</w:t>
      </w:r>
      <w:r w:rsidRPr="00301583">
        <w:t xml:space="preserve">mavská Seč, </w:t>
      </w:r>
      <w:r w:rsidR="000058C1">
        <w:t xml:space="preserve">because </w:t>
      </w:r>
      <w:r w:rsidRPr="00301583">
        <w:t>our request was refused, thus our analysis is based mainly on the interviews and observation in the visited schools and segregated Roma dwel</w:t>
      </w:r>
      <w:r w:rsidRPr="00301583">
        <w:t>l</w:t>
      </w:r>
      <w:r w:rsidRPr="00301583">
        <w:t xml:space="preserve">ings. </w:t>
      </w:r>
    </w:p>
    <w:p w:rsidR="00B074CE" w:rsidRPr="00301583" w:rsidRDefault="00B074CE" w:rsidP="00045F19">
      <w:pPr>
        <w:spacing w:line="276" w:lineRule="auto"/>
      </w:pPr>
    </w:p>
    <w:p w:rsidR="007867F5" w:rsidRPr="00301583" w:rsidRDefault="00EE5122" w:rsidP="00806422">
      <w:pPr>
        <w:pStyle w:val="Heading3"/>
        <w:spacing w:before="240"/>
      </w:pPr>
      <w:bookmarkStart w:id="90" w:name="_Toc385271091"/>
      <w:bookmarkStart w:id="91" w:name="_Toc385939054"/>
      <w:r w:rsidRPr="00301583">
        <w:t xml:space="preserve">A demising village of </w:t>
      </w:r>
      <w:r w:rsidR="007867F5" w:rsidRPr="00301583">
        <w:t>Rimavská Seč</w:t>
      </w:r>
      <w:bookmarkEnd w:id="90"/>
      <w:bookmarkEnd w:id="91"/>
    </w:p>
    <w:p w:rsidR="00D00C93" w:rsidRPr="00301583" w:rsidRDefault="00D00C93" w:rsidP="00045F19">
      <w:pPr>
        <w:spacing w:line="276" w:lineRule="auto"/>
      </w:pPr>
      <w:r w:rsidRPr="00301583">
        <w:t xml:space="preserve">Two-thirds of the village </w:t>
      </w:r>
      <w:r w:rsidR="00F955B6" w:rsidRPr="00301583">
        <w:t xml:space="preserve">of </w:t>
      </w:r>
      <w:r w:rsidRPr="00301583">
        <w:t>Rimavská Seč can be considered an area where the R</w:t>
      </w:r>
      <w:r w:rsidRPr="00301583">
        <w:t>o</w:t>
      </w:r>
      <w:r w:rsidRPr="00301583">
        <w:t xml:space="preserve">ma population is concentrated, though the </w:t>
      </w:r>
      <w:r w:rsidR="00F955B6" w:rsidRPr="00301583">
        <w:t xml:space="preserve">village </w:t>
      </w:r>
      <w:r w:rsidRPr="00301583">
        <w:t>area is far from being homogen</w:t>
      </w:r>
      <w:r w:rsidRPr="00301583">
        <w:t>e</w:t>
      </w:r>
      <w:r w:rsidRPr="00301583">
        <w:t>ous. In addition to the “ghetto” (</w:t>
      </w:r>
      <w:r w:rsidR="00F955B6" w:rsidRPr="00301583">
        <w:t xml:space="preserve">this </w:t>
      </w:r>
      <w:r w:rsidRPr="00301583">
        <w:t>is how local people actually call the area of social housing, separated at the edge of the village), most of the streets to the left of the Village Hall are inhabited by the Roma. In some of these streets, Roma live scattered among a few non-Roma families, but one particular street is inhabited only by the Roma (locally called ‘Kis Sor’ [</w:t>
      </w:r>
      <w:r w:rsidRPr="00301583">
        <w:rPr>
          <w:i/>
        </w:rPr>
        <w:t>Small Row</w:t>
      </w:r>
      <w:r w:rsidRPr="00301583">
        <w:t>]).The Roma in this latter street live in d</w:t>
      </w:r>
      <w:r w:rsidRPr="00301583">
        <w:t>e</w:t>
      </w:r>
      <w:r w:rsidRPr="00301583">
        <w:t>graded houses built by the once richest peasants of the village in the period between the two world wars. Access to electricity, water and the sewage is provided in this part of the village, but few Roma families use them due to the costs of services. The streets to the right of the Village Hall (the smaller part of the village) are inhabited mainly by non-Roma: mostly by ethnic Hungarians and some assimilated Roma fam</w:t>
      </w:r>
      <w:r w:rsidRPr="00301583">
        <w:t>i</w:t>
      </w:r>
      <w:r w:rsidRPr="00301583">
        <w:t>lies (scattered in spots amongst Hungarians).</w:t>
      </w:r>
    </w:p>
    <w:p w:rsidR="00F955B6" w:rsidRPr="00301583" w:rsidRDefault="00D00C93" w:rsidP="00045F19">
      <w:pPr>
        <w:spacing w:line="276" w:lineRule="auto"/>
      </w:pPr>
      <w:r w:rsidRPr="00301583">
        <w:t xml:space="preserve">The Roma have traditionally resided in </w:t>
      </w:r>
      <w:r w:rsidR="00B074CE">
        <w:t>Rimavská Seč</w:t>
      </w:r>
      <w:r w:rsidR="005A699E" w:rsidRPr="00301583">
        <w:t xml:space="preserve"> at </w:t>
      </w:r>
      <w:r w:rsidRPr="00301583">
        <w:t>the</w:t>
      </w:r>
      <w:r w:rsidR="005A699E" w:rsidRPr="00301583">
        <w:t xml:space="preserve"> edge of</w:t>
      </w:r>
      <w:r w:rsidRPr="00301583">
        <w:t xml:space="preserve"> left part of the village.</w:t>
      </w:r>
      <w:r w:rsidR="005A699E" w:rsidRPr="00301583">
        <w:t xml:space="preserve"> Later on, during the 1980s, the co-operative placed Roma families to the fo</w:t>
      </w:r>
      <w:r w:rsidR="005A699E" w:rsidRPr="00301583">
        <w:t>r</w:t>
      </w:r>
      <w:r w:rsidR="005A699E" w:rsidRPr="00301583">
        <w:t>mer peasant houses left empty by their original owners (deceased or migrated).</w:t>
      </w:r>
      <w:r w:rsidRPr="00301583">
        <w:t xml:space="preserve"> The number and proportion of Roma population started to increase </w:t>
      </w:r>
      <w:r w:rsidR="005A699E" w:rsidRPr="00301583">
        <w:t xml:space="preserve">further </w:t>
      </w:r>
      <w:r w:rsidRPr="00301583">
        <w:t xml:space="preserve">in </w:t>
      </w:r>
      <w:r w:rsidR="00F955B6" w:rsidRPr="00301583">
        <w:t xml:space="preserve">early </w:t>
      </w:r>
      <w:r w:rsidRPr="00301583">
        <w:t xml:space="preserve">1990s due to </w:t>
      </w:r>
      <w:r w:rsidR="00F955B6" w:rsidRPr="00301583">
        <w:t xml:space="preserve">a number of </w:t>
      </w:r>
      <w:r w:rsidRPr="00301583">
        <w:t>factors</w:t>
      </w:r>
      <w:r w:rsidR="00F955B6" w:rsidRPr="00301583">
        <w:t xml:space="preserve"> such as</w:t>
      </w:r>
      <w:r w:rsidRPr="00301583">
        <w:t xml:space="preserve">: </w:t>
      </w:r>
    </w:p>
    <w:p w:rsidR="00F955B6" w:rsidRPr="00301583" w:rsidRDefault="00D00C93" w:rsidP="00045F19">
      <w:pPr>
        <w:numPr>
          <w:ilvl w:val="0"/>
          <w:numId w:val="4"/>
        </w:numPr>
        <w:spacing w:line="276" w:lineRule="auto"/>
      </w:pPr>
      <w:r w:rsidRPr="00301583">
        <w:t xml:space="preserve">the decreasing number of children in non-Roma families, </w:t>
      </w:r>
    </w:p>
    <w:p w:rsidR="00F955B6" w:rsidRPr="00301583" w:rsidRDefault="00D00C93" w:rsidP="00045F19">
      <w:pPr>
        <w:numPr>
          <w:ilvl w:val="0"/>
          <w:numId w:val="4"/>
        </w:numPr>
        <w:spacing w:line="276" w:lineRule="auto"/>
      </w:pPr>
      <w:r w:rsidRPr="00301583">
        <w:t xml:space="preserve">the </w:t>
      </w:r>
      <w:r w:rsidR="005A699E" w:rsidRPr="00301583">
        <w:t>exodus</w:t>
      </w:r>
      <w:r w:rsidRPr="00301583">
        <w:t xml:space="preserve"> of non-Roma families, </w:t>
      </w:r>
    </w:p>
    <w:p w:rsidR="00F955B6" w:rsidRPr="00301583" w:rsidRDefault="00D00C93" w:rsidP="00045F19">
      <w:pPr>
        <w:numPr>
          <w:ilvl w:val="0"/>
          <w:numId w:val="4"/>
        </w:numPr>
        <w:spacing w:line="276" w:lineRule="auto"/>
      </w:pPr>
      <w:r w:rsidRPr="00301583">
        <w:t xml:space="preserve">an increasing number of children in Roma families and the waves of poverty migration that reached the village. </w:t>
      </w:r>
    </w:p>
    <w:p w:rsidR="00D00C93" w:rsidRPr="00301583" w:rsidRDefault="00D00C93" w:rsidP="00045F19">
      <w:pPr>
        <w:spacing w:line="276" w:lineRule="auto"/>
      </w:pPr>
      <w:r w:rsidRPr="00301583">
        <w:t>Non-Roma families started to move out of the village because of the unfavourable economic situation (the lack of jobs) and the increasing proportion of the Roma</w:t>
      </w:r>
      <w:r w:rsidR="005A699E" w:rsidRPr="00301583">
        <w:t xml:space="preserve"> from the 19</w:t>
      </w:r>
      <w:r w:rsidR="000058C1">
        <w:t>9</w:t>
      </w:r>
      <w:r w:rsidR="005A699E" w:rsidRPr="00301583">
        <w:t>0s</w:t>
      </w:r>
      <w:r w:rsidRPr="00301583">
        <w:t xml:space="preserve">. Their houses were bought </w:t>
      </w:r>
      <w:r w:rsidR="005A699E" w:rsidRPr="00301583">
        <w:t xml:space="preserve">mostly </w:t>
      </w:r>
      <w:r w:rsidRPr="00301583">
        <w:t>by the local Roma and</w:t>
      </w:r>
      <w:r w:rsidR="005A699E" w:rsidRPr="00301583">
        <w:t xml:space="preserve"> sporadically also</w:t>
      </w:r>
      <w:r w:rsidRPr="00301583">
        <w:t xml:space="preserve"> by immigrant Roma families. Hungarian-speaking newcomer Roma </w:t>
      </w:r>
      <w:r w:rsidR="00F955B6" w:rsidRPr="00301583">
        <w:t xml:space="preserve">people </w:t>
      </w:r>
      <w:r w:rsidRPr="00301583">
        <w:t xml:space="preserve">settled down typically in the left </w:t>
      </w:r>
      <w:r w:rsidR="00F955B6" w:rsidRPr="00301583">
        <w:t xml:space="preserve">part </w:t>
      </w:r>
      <w:r w:rsidRPr="00301583">
        <w:t>of the village where the majority of local Roma lived anyway. Meanwhile the reproduction strategies of most Roma families changed</w:t>
      </w:r>
      <w:r w:rsidR="0075082F" w:rsidRPr="00301583">
        <w:t xml:space="preserve"> and a significant </w:t>
      </w:r>
      <w:r w:rsidR="00F955B6" w:rsidRPr="00301583">
        <w:t xml:space="preserve">rise of </w:t>
      </w:r>
      <w:r w:rsidRPr="00301583">
        <w:t xml:space="preserve">birth-rate </w:t>
      </w:r>
      <w:r w:rsidR="0075082F" w:rsidRPr="00301583">
        <w:t xml:space="preserve">has been witnessed recently, that was </w:t>
      </w:r>
      <w:r w:rsidRPr="00301583">
        <w:t xml:space="preserve">induced </w:t>
      </w:r>
      <w:r w:rsidR="0075082F" w:rsidRPr="00301583">
        <w:t xml:space="preserve">most probably </w:t>
      </w:r>
      <w:r w:rsidRPr="00301583">
        <w:t>by allowances and the lack of alternatives. According to the local doctor, young female adults started to give birth four-five years earlier than they did during the last years of Socialism: at 15-16 years of age. As a consequence</w:t>
      </w:r>
      <w:r w:rsidR="007B76EC" w:rsidRPr="00301583">
        <w:t>, Roma</w:t>
      </w:r>
      <w:r w:rsidR="0075082F" w:rsidRPr="00301583">
        <w:t xml:space="preserve"> have been </w:t>
      </w:r>
      <w:r w:rsidRPr="00301583">
        <w:t>sinking deeper and deeper in</w:t>
      </w:r>
      <w:r w:rsidR="0075082F" w:rsidRPr="00301583">
        <w:t>to</w:t>
      </w:r>
      <w:r w:rsidRPr="00301583">
        <w:t xml:space="preserve"> poverty, resulting in a multiple deprivation of most households.</w:t>
      </w:r>
    </w:p>
    <w:p w:rsidR="00D00C93" w:rsidRPr="00301583" w:rsidRDefault="00D00C93" w:rsidP="00045F19">
      <w:pPr>
        <w:spacing w:line="276" w:lineRule="auto"/>
      </w:pPr>
      <w:r w:rsidRPr="00301583">
        <w:t>Therefore the municipal council applied for a grant from the social housing pr</w:t>
      </w:r>
      <w:r w:rsidRPr="00301583">
        <w:t>o</w:t>
      </w:r>
      <w:r w:rsidRPr="00301583">
        <w:t>gramme in order to improve the living standards of Roma community.</w:t>
      </w:r>
      <w:r w:rsidRPr="00301583">
        <w:rPr>
          <w:rStyle w:val="FootnoteReference"/>
        </w:rPr>
        <w:footnoteReference w:id="10"/>
      </w:r>
      <w:r w:rsidRPr="00301583">
        <w:t xml:space="preserve"> Two rounds </w:t>
      </w:r>
      <w:r w:rsidRPr="00301583">
        <w:lastRenderedPageBreak/>
        <w:t xml:space="preserve">of social housing construction have been completed from </w:t>
      </w:r>
      <w:r w:rsidRPr="00301583">
        <w:rPr>
          <w:lang w:eastAsia="hu-HU"/>
        </w:rPr>
        <w:t xml:space="preserve">central government </w:t>
      </w:r>
      <w:r w:rsidRPr="00301583">
        <w:t>subs</w:t>
      </w:r>
      <w:r w:rsidRPr="00301583">
        <w:t>i</w:t>
      </w:r>
      <w:r w:rsidRPr="00301583">
        <w:t>dies since 2001</w:t>
      </w:r>
      <w:r w:rsidRPr="00301583">
        <w:rPr>
          <w:lang w:eastAsia="hu-HU"/>
        </w:rPr>
        <w:t xml:space="preserve">; in return, the government imposed certain conditions on setting rents and the costs of allocation and construction. The local council acquired the right to set up eligibility criteria for potential tenants at the municipal level. </w:t>
      </w:r>
      <w:r w:rsidR="0075082F" w:rsidRPr="00301583">
        <w:rPr>
          <w:lang w:eastAsia="hu-HU"/>
        </w:rPr>
        <w:t>P</w:t>
      </w:r>
      <w:r w:rsidRPr="00301583">
        <w:rPr>
          <w:rFonts w:cs="TimesNewRomanPSMT"/>
          <w:lang w:eastAsia="hu-HU"/>
        </w:rPr>
        <w:t xml:space="preserve">ublic policy of Slovakia on housing has been criticized, since </w:t>
      </w:r>
      <w:r w:rsidRPr="00301583">
        <w:rPr>
          <w:lang w:eastAsia="hu-HU"/>
        </w:rPr>
        <w:t xml:space="preserve">so-called ‘matching grants’ depended entirely on incentives to low-cost projects. </w:t>
      </w:r>
      <w:r w:rsidRPr="00301583">
        <w:rPr>
          <w:rFonts w:cs="TimesNewRomanPSMT"/>
          <w:lang w:eastAsia="hu-HU"/>
        </w:rPr>
        <w:t>Moreover, this housing policy focused pr</w:t>
      </w:r>
      <w:r w:rsidRPr="00301583">
        <w:rPr>
          <w:rFonts w:cs="TimesNewRomanPSMT"/>
          <w:lang w:eastAsia="hu-HU"/>
        </w:rPr>
        <w:t>i</w:t>
      </w:r>
      <w:r w:rsidRPr="00301583">
        <w:rPr>
          <w:rFonts w:cs="TimesNewRomanPSMT"/>
          <w:lang w:eastAsia="hu-HU"/>
        </w:rPr>
        <w:t>marily on building low-quality flats, without any other measures aiming at increasing the living standards of Roma househ</w:t>
      </w:r>
      <w:r w:rsidR="007B76EC">
        <w:rPr>
          <w:rFonts w:cs="TimesNewRomanPSMT"/>
          <w:lang w:eastAsia="hu-HU"/>
        </w:rPr>
        <w:t>olds (International experiences,</w:t>
      </w:r>
      <w:r w:rsidRPr="00301583">
        <w:rPr>
          <w:rFonts w:cs="TimesNewRomanPSMT"/>
          <w:lang w:eastAsia="hu-HU"/>
        </w:rPr>
        <w:t xml:space="preserve"> n.d.; </w:t>
      </w:r>
      <w:r w:rsidRPr="00301583">
        <w:t>RAXEN T</w:t>
      </w:r>
      <w:r w:rsidR="007B76EC">
        <w:t>hematic Study,</w:t>
      </w:r>
      <w:r w:rsidRPr="00301583">
        <w:t xml:space="preserve"> 2009).</w:t>
      </w:r>
      <w:r w:rsidRPr="00301583">
        <w:rPr>
          <w:rFonts w:cs="TimesNewRomanPSMT"/>
          <w:lang w:eastAsia="hu-HU"/>
        </w:rPr>
        <w:t xml:space="preserve"> Nevertheless, w</w:t>
      </w:r>
      <w:r w:rsidRPr="00301583">
        <w:t xml:space="preserve">ith the help of that programme, 30 low-standard flats were built in Rimavská Seč, each equipped with basic facilities – a washbasin, a shower, a flushing toilet, a hot water boiler and heating – also allowing the installation of stoves. The flats are small, the environment is exiguous and dreary (illustrated by Picture A), but this part of the village, despite its local appellation as ’ghetto,’ still provides better living standards </w:t>
      </w:r>
      <w:r w:rsidR="002C616B" w:rsidRPr="00301583">
        <w:t xml:space="preserve">for </w:t>
      </w:r>
      <w:r w:rsidRPr="00301583">
        <w:t>Roma inhabitants than the former peasant houses, which are in neglected and ravaged conditions.</w:t>
      </w:r>
    </w:p>
    <w:p w:rsidR="00D00C93" w:rsidRPr="00301583" w:rsidRDefault="00D00C93" w:rsidP="00045F19">
      <w:pPr>
        <w:spacing w:line="276" w:lineRule="auto"/>
        <w:rPr>
          <w:lang w:eastAsia="hu-HU"/>
        </w:rPr>
      </w:pPr>
      <w:r w:rsidRPr="00301583">
        <w:rPr>
          <w:lang w:eastAsia="hu-HU"/>
        </w:rPr>
        <w:t>Local criticism is not focused on about the living standards provided by social hou</w:t>
      </w:r>
      <w:r w:rsidRPr="00301583">
        <w:rPr>
          <w:lang w:eastAsia="hu-HU"/>
        </w:rPr>
        <w:t>s</w:t>
      </w:r>
      <w:r w:rsidRPr="00301583">
        <w:rPr>
          <w:lang w:eastAsia="hu-HU"/>
        </w:rPr>
        <w:t xml:space="preserve">ing, rather on the political goals of the programme. </w:t>
      </w:r>
      <w:r w:rsidR="002C616B" w:rsidRPr="00301583">
        <w:rPr>
          <w:lang w:eastAsia="hu-HU"/>
        </w:rPr>
        <w:t xml:space="preserve">Non-Roma </w:t>
      </w:r>
      <w:r w:rsidRPr="00301583">
        <w:rPr>
          <w:lang w:eastAsia="hu-HU"/>
        </w:rPr>
        <w:t xml:space="preserve">respondents consider social housing as a political tool for mayors to gain votes for the election. This ‘public opinion’ is prevalent in </w:t>
      </w:r>
      <w:r w:rsidRPr="00301583">
        <w:t>Rimavská Seč, as demonstrated by the graffiti promoting vo</w:t>
      </w:r>
      <w:r w:rsidRPr="00301583">
        <w:t>t</w:t>
      </w:r>
      <w:r w:rsidR="007B76EC">
        <w:t>ing for the present mayor (s</w:t>
      </w:r>
      <w:r w:rsidRPr="00301583">
        <w:t xml:space="preserve">ee </w:t>
      </w:r>
      <w:r w:rsidRPr="00301583">
        <w:rPr>
          <w:lang w:eastAsia="hu-HU"/>
        </w:rPr>
        <w:t>Picture B).</w:t>
      </w:r>
    </w:p>
    <w:p w:rsidR="002C616B" w:rsidRPr="007B76EC" w:rsidRDefault="002C616B" w:rsidP="00D00C93">
      <w:pPr>
        <w:rPr>
          <w:sz w:val="10"/>
          <w:szCs w:val="10"/>
          <w:lang w:eastAsia="hu-HU"/>
        </w:rPr>
      </w:pPr>
    </w:p>
    <w:p w:rsidR="00D00C93" w:rsidRPr="00301583" w:rsidRDefault="00350D91" w:rsidP="00D00C93">
      <w:r>
        <w:rPr>
          <w:noProof/>
          <w:lang w:val="fi-FI" w:eastAsia="fi-FI"/>
        </w:rPr>
        <w:drawing>
          <wp:inline distT="0" distB="0" distL="0" distR="0" wp14:anchorId="2F990447" wp14:editId="1C45D6E3">
            <wp:extent cx="2466975" cy="1857375"/>
            <wp:effectExtent l="19050" t="0" r="9525" b="0"/>
            <wp:docPr id="10" name="Kép 4" descr="100_7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 descr="100_7234"/>
                    <pic:cNvPicPr>
                      <a:picLocks noChangeAspect="1" noChangeArrowheads="1"/>
                    </pic:cNvPicPr>
                  </pic:nvPicPr>
                  <pic:blipFill>
                    <a:blip r:embed="rId27" cstate="print"/>
                    <a:srcRect/>
                    <a:stretch>
                      <a:fillRect/>
                    </a:stretch>
                  </pic:blipFill>
                  <pic:spPr bwMode="auto">
                    <a:xfrm>
                      <a:off x="0" y="0"/>
                      <a:ext cx="2466975" cy="1857375"/>
                    </a:xfrm>
                    <a:prstGeom prst="rect">
                      <a:avLst/>
                    </a:prstGeom>
                    <a:noFill/>
                    <a:ln w="9525">
                      <a:noFill/>
                      <a:miter lim="800000"/>
                      <a:headEnd/>
                      <a:tailEnd/>
                    </a:ln>
                  </pic:spPr>
                </pic:pic>
              </a:graphicData>
            </a:graphic>
          </wp:inline>
        </w:drawing>
      </w:r>
      <w:r>
        <w:rPr>
          <w:noProof/>
          <w:lang w:val="fi-FI" w:eastAsia="fi-FI"/>
        </w:rPr>
        <w:drawing>
          <wp:inline distT="0" distB="0" distL="0" distR="0" wp14:anchorId="3E5173B1" wp14:editId="55D0341A">
            <wp:extent cx="2619375" cy="1971675"/>
            <wp:effectExtent l="19050" t="0" r="9525" b="0"/>
            <wp:docPr id="11" name="Kép 3" descr="100_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 descr="100_7233"/>
                    <pic:cNvPicPr>
                      <a:picLocks noChangeAspect="1" noChangeArrowheads="1"/>
                    </pic:cNvPicPr>
                  </pic:nvPicPr>
                  <pic:blipFill>
                    <a:blip r:embed="rId28" cstate="print"/>
                    <a:srcRect/>
                    <a:stretch>
                      <a:fillRect/>
                    </a:stretch>
                  </pic:blipFill>
                  <pic:spPr bwMode="auto">
                    <a:xfrm>
                      <a:off x="0" y="0"/>
                      <a:ext cx="2619375" cy="1971675"/>
                    </a:xfrm>
                    <a:prstGeom prst="rect">
                      <a:avLst/>
                    </a:prstGeom>
                    <a:noFill/>
                    <a:ln w="9525">
                      <a:noFill/>
                      <a:miter lim="800000"/>
                      <a:headEnd/>
                      <a:tailEnd/>
                    </a:ln>
                  </pic:spPr>
                </pic:pic>
              </a:graphicData>
            </a:graphic>
          </wp:inline>
        </w:drawing>
      </w:r>
    </w:p>
    <w:p w:rsidR="00E27387" w:rsidRPr="0002325A" w:rsidRDefault="005D755A" w:rsidP="00D00C93">
      <w:pPr>
        <w:rPr>
          <w:b/>
          <w:szCs w:val="22"/>
        </w:rPr>
      </w:pPr>
      <w:r w:rsidRPr="0002325A">
        <w:rPr>
          <w:b/>
          <w:szCs w:val="22"/>
        </w:rPr>
        <w:t xml:space="preserve">Picture A and B: </w:t>
      </w:r>
      <w:r w:rsidRPr="0002325A">
        <w:rPr>
          <w:szCs w:val="22"/>
        </w:rPr>
        <w:t>Social housing in  Rimavská Seč: the ‘ghetto’ (March 2013)</w:t>
      </w:r>
    </w:p>
    <w:p w:rsidR="007B76EC" w:rsidRPr="007B76EC" w:rsidRDefault="007B76EC" w:rsidP="00D00C93">
      <w:pPr>
        <w:rPr>
          <w:b/>
          <w:sz w:val="10"/>
          <w:szCs w:val="10"/>
        </w:rPr>
      </w:pPr>
    </w:p>
    <w:p w:rsidR="00E27387" w:rsidRPr="00301583" w:rsidRDefault="004E18F1" w:rsidP="007B76EC">
      <w:pPr>
        <w:pStyle w:val="Heading3"/>
        <w:spacing w:before="240"/>
      </w:pPr>
      <w:bookmarkStart w:id="92" w:name="_Toc385271092"/>
      <w:bookmarkStart w:id="93" w:name="_Toc385939055"/>
      <w:r w:rsidRPr="00301583">
        <w:lastRenderedPageBreak/>
        <w:t xml:space="preserve">The people of </w:t>
      </w:r>
      <w:r w:rsidR="00E27387" w:rsidRPr="00301583">
        <w:t>Dolinka in Klenovec</w:t>
      </w:r>
      <w:bookmarkEnd w:id="92"/>
      <w:bookmarkEnd w:id="93"/>
    </w:p>
    <w:p w:rsidR="00D00C93" w:rsidRDefault="00D00C93" w:rsidP="007B76EC">
      <w:pPr>
        <w:spacing w:line="276" w:lineRule="auto"/>
      </w:pPr>
      <w:r w:rsidRPr="00301583">
        <w:t xml:space="preserve">Similar village development </w:t>
      </w:r>
      <w:r w:rsidR="00CE57E2" w:rsidRPr="00301583">
        <w:t xml:space="preserve">investments </w:t>
      </w:r>
      <w:r w:rsidRPr="00301583">
        <w:t xml:space="preserve">have not </w:t>
      </w:r>
      <w:r w:rsidR="00CE57E2" w:rsidRPr="00301583">
        <w:t xml:space="preserve">taken place </w:t>
      </w:r>
      <w:r w:rsidRPr="00301583">
        <w:t>in Klenovec, the other village researched, which is 30 kilometre away from Rimavská Seč. According to the last census, its population was 3,</w:t>
      </w:r>
      <w:r w:rsidR="00B4705E" w:rsidRPr="00301583">
        <w:t>324</w:t>
      </w:r>
      <w:r w:rsidR="002C616B" w:rsidRPr="00301583">
        <w:t xml:space="preserve"> in 2011</w:t>
      </w:r>
      <w:r w:rsidRPr="00301583">
        <w:t xml:space="preserve">, </w:t>
      </w:r>
      <w:r w:rsidR="002C616B" w:rsidRPr="00301583">
        <w:t xml:space="preserve">out of which an estimated one third was Roma. Most </w:t>
      </w:r>
      <w:r w:rsidRPr="00301583">
        <w:t xml:space="preserve">of the Roma </w:t>
      </w:r>
      <w:r w:rsidR="002C616B" w:rsidRPr="00301583">
        <w:t xml:space="preserve">in Klenovec </w:t>
      </w:r>
      <w:r w:rsidRPr="00301583">
        <w:t>liv</w:t>
      </w:r>
      <w:r w:rsidR="002C616B" w:rsidRPr="00301583">
        <w:t>e</w:t>
      </w:r>
      <w:r w:rsidRPr="00301583">
        <w:t xml:space="preserve"> mixed among the majority Slovak population. According to local officials, most of the Roma households who are willin</w:t>
      </w:r>
      <w:r w:rsidRPr="00301583">
        <w:t>g</w:t>
      </w:r>
      <w:r w:rsidRPr="00301583">
        <w:t>ly integrated are migrants moving in from neighbouring villages. One-third of the R</w:t>
      </w:r>
      <w:r w:rsidRPr="00301583">
        <w:t>o</w:t>
      </w:r>
      <w:r w:rsidRPr="00301583">
        <w:t xml:space="preserve">ma families, some 250-300 citizens reside, though, in </w:t>
      </w:r>
      <w:r w:rsidR="002C616B" w:rsidRPr="00301583">
        <w:t>the segregated neighbou</w:t>
      </w:r>
      <w:r w:rsidR="002C616B" w:rsidRPr="00301583">
        <w:t>r</w:t>
      </w:r>
      <w:r w:rsidR="002C616B" w:rsidRPr="00301583">
        <w:t xml:space="preserve">hoods </w:t>
      </w:r>
      <w:r w:rsidRPr="00301583">
        <w:t xml:space="preserve">called “Dolinka” (meadow), located at the edge of the village. They live there in wooden shacks among miserable conditions. Altogether 20 houses were built with legal permission (proper planning licence), and about the same number illegally. All the houses are crowded, they all lack public utilities and they hardly defend people against </w:t>
      </w:r>
      <w:r w:rsidR="007B76EC">
        <w:t>cold weather during wintertime.</w:t>
      </w:r>
    </w:p>
    <w:p w:rsidR="007B76EC" w:rsidRPr="007B76EC" w:rsidRDefault="007B76EC" w:rsidP="007B76EC">
      <w:pPr>
        <w:spacing w:line="276" w:lineRule="auto"/>
        <w:rPr>
          <w:sz w:val="10"/>
          <w:szCs w:val="10"/>
        </w:rPr>
      </w:pPr>
    </w:p>
    <w:p w:rsidR="00D00C93" w:rsidRPr="00301583" w:rsidRDefault="00350D91" w:rsidP="00D00C93">
      <w:r>
        <w:rPr>
          <w:noProof/>
          <w:lang w:val="fi-FI" w:eastAsia="fi-FI"/>
        </w:rPr>
        <w:drawing>
          <wp:inline distT="0" distB="0" distL="0" distR="0" wp14:anchorId="2F6BAB61" wp14:editId="509A6B39">
            <wp:extent cx="2571750" cy="1714500"/>
            <wp:effectExtent l="19050" t="0" r="0" b="0"/>
            <wp:docPr id="12" name="Kép 2" descr="Klenove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Klenovec 2"/>
                    <pic:cNvPicPr>
                      <a:picLocks noChangeAspect="1" noChangeArrowheads="1"/>
                    </pic:cNvPicPr>
                  </pic:nvPicPr>
                  <pic:blipFill>
                    <a:blip r:embed="rId29" cstate="print"/>
                    <a:srcRect/>
                    <a:stretch>
                      <a:fillRect/>
                    </a:stretch>
                  </pic:blipFill>
                  <pic:spPr bwMode="auto">
                    <a:xfrm>
                      <a:off x="0" y="0"/>
                      <a:ext cx="2571750" cy="1714500"/>
                    </a:xfrm>
                    <a:prstGeom prst="rect">
                      <a:avLst/>
                    </a:prstGeom>
                    <a:noFill/>
                    <a:ln w="9525">
                      <a:noFill/>
                      <a:miter lim="800000"/>
                      <a:headEnd/>
                      <a:tailEnd/>
                    </a:ln>
                  </pic:spPr>
                </pic:pic>
              </a:graphicData>
            </a:graphic>
          </wp:inline>
        </w:drawing>
      </w:r>
      <w:r>
        <w:rPr>
          <w:noProof/>
          <w:lang w:val="fi-FI" w:eastAsia="fi-FI"/>
        </w:rPr>
        <w:drawing>
          <wp:inline distT="0" distB="0" distL="0" distR="0" wp14:anchorId="4F105262" wp14:editId="403549ED">
            <wp:extent cx="2562225" cy="1704975"/>
            <wp:effectExtent l="19050" t="0" r="9525" b="0"/>
            <wp:docPr id="13" name="Kép 1" descr="Klenov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descr="Klenoves 1"/>
                    <pic:cNvPicPr>
                      <a:picLocks noChangeAspect="1" noChangeArrowheads="1"/>
                    </pic:cNvPicPr>
                  </pic:nvPicPr>
                  <pic:blipFill>
                    <a:blip r:embed="rId30" cstate="print"/>
                    <a:srcRect/>
                    <a:stretch>
                      <a:fillRect/>
                    </a:stretch>
                  </pic:blipFill>
                  <pic:spPr bwMode="auto">
                    <a:xfrm>
                      <a:off x="0" y="0"/>
                      <a:ext cx="2562225" cy="1704975"/>
                    </a:xfrm>
                    <a:prstGeom prst="rect">
                      <a:avLst/>
                    </a:prstGeom>
                    <a:noFill/>
                    <a:ln w="9525">
                      <a:noFill/>
                      <a:miter lim="800000"/>
                      <a:headEnd/>
                      <a:tailEnd/>
                    </a:ln>
                  </pic:spPr>
                </pic:pic>
              </a:graphicData>
            </a:graphic>
          </wp:inline>
        </w:drawing>
      </w:r>
    </w:p>
    <w:p w:rsidR="00D00C93" w:rsidRPr="0002325A" w:rsidRDefault="005D755A" w:rsidP="007B76EC">
      <w:pPr>
        <w:spacing w:after="240" w:line="240" w:lineRule="auto"/>
        <w:rPr>
          <w:szCs w:val="22"/>
        </w:rPr>
      </w:pPr>
      <w:r w:rsidRPr="0002325A">
        <w:rPr>
          <w:b/>
          <w:szCs w:val="22"/>
        </w:rPr>
        <w:t xml:space="preserve">Picture C and D: </w:t>
      </w:r>
      <w:r w:rsidRPr="0002325A">
        <w:rPr>
          <w:szCs w:val="22"/>
        </w:rPr>
        <w:t>Houses and children of “Dolinka” in Klenovec (April 2013)</w:t>
      </w:r>
    </w:p>
    <w:p w:rsidR="008B708F" w:rsidRDefault="00D00C93" w:rsidP="007B76EC">
      <w:pPr>
        <w:spacing w:line="276" w:lineRule="auto"/>
      </w:pPr>
      <w:r w:rsidRPr="00301583">
        <w:t xml:space="preserve">Children living in “Dolinka” rarely attend pre-school, and later often miss schooldays, due to a lack of motivation, </w:t>
      </w:r>
      <w:r w:rsidR="00CE57E2" w:rsidRPr="00301583">
        <w:t xml:space="preserve">indirect </w:t>
      </w:r>
      <w:r w:rsidR="00961A8C" w:rsidRPr="00301583">
        <w:t xml:space="preserve">costs of attendance, </w:t>
      </w:r>
      <w:r w:rsidRPr="00301583">
        <w:t>proper clothes and shoes, and also to physical distance. People of Klenovec consider “Dolinka” residents as the most problematic group within the village; similarly, local schoolteachers claim that the Roma children from “Dolinka” are their most problematic pupils. “Dolinka” thus clearly represents</w:t>
      </w:r>
      <w:r w:rsidR="00961A8C" w:rsidRPr="00301583">
        <w:t xml:space="preserve"> a classical</w:t>
      </w:r>
      <w:r w:rsidRPr="00301583">
        <w:t xml:space="preserve"> segregated Roma </w:t>
      </w:r>
      <w:r w:rsidR="00961A8C" w:rsidRPr="00301583">
        <w:t xml:space="preserve">neighbourhood </w:t>
      </w:r>
      <w:r w:rsidRPr="00301583">
        <w:t>by its very location, while it also shows how physical separation and the miserable living conditions of such segregated Roma settlements become primarily factors of social exclusion (Mládek and Pukačová</w:t>
      </w:r>
      <w:r w:rsidR="007B76EC">
        <w:t xml:space="preserve">, 2010, p. 45-46). </w:t>
      </w:r>
    </w:p>
    <w:p w:rsidR="007B76EC" w:rsidRPr="007B76EC" w:rsidRDefault="007B76EC" w:rsidP="007B76EC">
      <w:pPr>
        <w:spacing w:line="276" w:lineRule="auto"/>
        <w:rPr>
          <w:sz w:val="10"/>
          <w:szCs w:val="10"/>
        </w:rPr>
      </w:pPr>
    </w:p>
    <w:p w:rsidR="00E27387" w:rsidRPr="00B074CE" w:rsidRDefault="00E27387" w:rsidP="007B76EC">
      <w:pPr>
        <w:pStyle w:val="Heading3"/>
        <w:spacing w:before="240"/>
      </w:pPr>
      <w:bookmarkStart w:id="94" w:name="_Toc385271093"/>
      <w:bookmarkStart w:id="95" w:name="_Toc385939056"/>
      <w:r w:rsidRPr="00301583">
        <w:t>An urban ghetto in Rimavská Sobota</w:t>
      </w:r>
      <w:bookmarkEnd w:id="94"/>
      <w:bookmarkEnd w:id="95"/>
    </w:p>
    <w:p w:rsidR="00E27387" w:rsidRPr="00301583" w:rsidRDefault="00E27387" w:rsidP="00045F19">
      <w:pPr>
        <w:spacing w:line="276" w:lineRule="auto"/>
      </w:pPr>
      <w:r w:rsidRPr="00301583">
        <w:t>The ‘ghetto’ of Rimavská Sobota is located 5 km from the administrative boundary of the town. Eight blocks of so-called “panel houses” with eight apartments in each were built here during the late 1970s, originally intended to supply the personnel of the hospital with full-comfort apartments. Services such as shops, a kindergarten, a four-grade primary school, as well as a cultural centre were also made available within the small housing estate surrounded by a pine forest. Soon after the blocks and the se</w:t>
      </w:r>
      <w:r w:rsidRPr="00301583">
        <w:t>r</w:t>
      </w:r>
      <w:r w:rsidRPr="00301583">
        <w:t>vicing units were ready, it turned out that neither doctors nor other citizens wanted to move out from the town and live in a nice and new, but segregated and isolated env</w:t>
      </w:r>
      <w:r w:rsidRPr="00301583">
        <w:t>i</w:t>
      </w:r>
      <w:r w:rsidRPr="00301583">
        <w:t>ronment, therefore the town leadership decided to place Roma here. Hungarian-</w:t>
      </w:r>
      <w:r w:rsidRPr="00301583">
        <w:lastRenderedPageBreak/>
        <w:t xml:space="preserve">speaking Roma belonging to Vlach and Romungro subgroups were settled in the blocks during the 1980s. </w:t>
      </w:r>
    </w:p>
    <w:p w:rsidR="00E27387" w:rsidRPr="00301583" w:rsidRDefault="00E27387" w:rsidP="00045F19">
      <w:pPr>
        <w:spacing w:line="276" w:lineRule="auto"/>
      </w:pPr>
      <w:r w:rsidRPr="00301583">
        <w:t>In twenty years, the entire living quarter has deteriorated completely; the cultural house literally disappeared piece by piece, most of the wood was cut. Social homo</w:t>
      </w:r>
      <w:r w:rsidRPr="00301583">
        <w:t>g</w:t>
      </w:r>
      <w:r w:rsidRPr="00301583">
        <w:t xml:space="preserve">enisation, families’ sinking in deep poverty was speeded up by selective migration: the more entrepreneurial-minded Vlach Roma gradually moved to the town and the Romungro, 90% of whom lost employment during the beginning of transition in early 1990s, stayed. </w:t>
      </w:r>
    </w:p>
    <w:p w:rsidR="00E27387" w:rsidRDefault="00E27387" w:rsidP="007B76EC">
      <w:pPr>
        <w:spacing w:line="276" w:lineRule="auto"/>
      </w:pPr>
      <w:r w:rsidRPr="00301583">
        <w:t>According to the field social worker whose office is on the spot, Roma live mostly off of social transfers combined with occasional illegal work mostly in Austria and Ge</w:t>
      </w:r>
      <w:r w:rsidRPr="00301583">
        <w:t>r</w:t>
      </w:r>
      <w:r w:rsidRPr="00301583">
        <w:t>many. Circumstances forced people, mainly male people, to earning their living from begging abroad. Prostitution in urban centres of Austria and Germany also occurs spora</w:t>
      </w:r>
      <w:r w:rsidR="007B76EC">
        <w:t xml:space="preserve">dically amongst young females. </w:t>
      </w:r>
    </w:p>
    <w:p w:rsidR="007B76EC" w:rsidRPr="007B76EC" w:rsidRDefault="007B76EC" w:rsidP="007B76EC">
      <w:pPr>
        <w:spacing w:line="276" w:lineRule="auto"/>
        <w:rPr>
          <w:sz w:val="10"/>
          <w:szCs w:val="10"/>
        </w:rPr>
      </w:pPr>
    </w:p>
    <w:p w:rsidR="00567FF1" w:rsidRPr="00301583" w:rsidRDefault="00350D91" w:rsidP="00C90C81">
      <w:pPr>
        <w:rPr>
          <w:b/>
        </w:rPr>
      </w:pPr>
      <w:r>
        <w:rPr>
          <w:b/>
          <w:noProof/>
          <w:lang w:val="fi-FI" w:eastAsia="fi-FI"/>
        </w:rPr>
        <w:drawing>
          <wp:inline distT="0" distB="0" distL="0" distR="0" wp14:anchorId="5761D825" wp14:editId="5FADF57B">
            <wp:extent cx="5114925" cy="3419475"/>
            <wp:effectExtent l="19050" t="0" r="9525" b="0"/>
            <wp:docPr id="14" name="Kép 14" descr="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94-1"/>
                    <pic:cNvPicPr>
                      <a:picLocks noChangeAspect="1" noChangeArrowheads="1"/>
                    </pic:cNvPicPr>
                  </pic:nvPicPr>
                  <pic:blipFill>
                    <a:blip r:embed="rId31" cstate="print"/>
                    <a:srcRect/>
                    <a:stretch>
                      <a:fillRect/>
                    </a:stretch>
                  </pic:blipFill>
                  <pic:spPr bwMode="auto">
                    <a:xfrm>
                      <a:off x="0" y="0"/>
                      <a:ext cx="5114925" cy="3419475"/>
                    </a:xfrm>
                    <a:prstGeom prst="rect">
                      <a:avLst/>
                    </a:prstGeom>
                    <a:noFill/>
                    <a:ln w="9525">
                      <a:noFill/>
                      <a:miter lim="800000"/>
                      <a:headEnd/>
                      <a:tailEnd/>
                    </a:ln>
                  </pic:spPr>
                </pic:pic>
              </a:graphicData>
            </a:graphic>
          </wp:inline>
        </w:drawing>
      </w:r>
    </w:p>
    <w:p w:rsidR="006334D4" w:rsidRPr="0002325A" w:rsidRDefault="00C90C81" w:rsidP="007B76EC">
      <w:pPr>
        <w:spacing w:after="240" w:line="240" w:lineRule="auto"/>
        <w:rPr>
          <w:b/>
          <w:szCs w:val="22"/>
        </w:rPr>
      </w:pPr>
      <w:r w:rsidRPr="0002325A">
        <w:rPr>
          <w:b/>
          <w:szCs w:val="22"/>
        </w:rPr>
        <w:t xml:space="preserve">Picture E: </w:t>
      </w:r>
      <w:r w:rsidRPr="0002325A">
        <w:rPr>
          <w:szCs w:val="22"/>
        </w:rPr>
        <w:t xml:space="preserve">View of the </w:t>
      </w:r>
      <w:r w:rsidR="004547E9" w:rsidRPr="0002325A">
        <w:rPr>
          <w:szCs w:val="22"/>
        </w:rPr>
        <w:t xml:space="preserve">Roma </w:t>
      </w:r>
      <w:r w:rsidRPr="0002325A">
        <w:rPr>
          <w:szCs w:val="22"/>
        </w:rPr>
        <w:t>settlement with the town at the back and a public well in the front (November 2013)</w:t>
      </w:r>
    </w:p>
    <w:p w:rsidR="00E27387" w:rsidRPr="00301583" w:rsidRDefault="00E27387" w:rsidP="00045F19">
      <w:pPr>
        <w:spacing w:line="276" w:lineRule="auto"/>
      </w:pPr>
      <w:r w:rsidRPr="00301583">
        <w:t>Amenities are restricted to electricity and heating facilities (stoves) in apartments, while water is provided by a public well. Thanks to an EU project of mainly ES</w:t>
      </w:r>
      <w:r w:rsidR="00CE57E2" w:rsidRPr="00301583">
        <w:t>F</w:t>
      </w:r>
      <w:r w:rsidRPr="00301583">
        <w:t xml:space="preserve"> fun</w:t>
      </w:r>
      <w:r w:rsidRPr="00301583">
        <w:t>d</w:t>
      </w:r>
      <w:r w:rsidRPr="00301583">
        <w:t xml:space="preserve">ing, adjacent to the office of the social worker (whose salary is also paid </w:t>
      </w:r>
      <w:r w:rsidR="00CE57E2" w:rsidRPr="00301583">
        <w:t xml:space="preserve">by </w:t>
      </w:r>
      <w:r w:rsidRPr="00301583">
        <w:t>an ES</w:t>
      </w:r>
      <w:r w:rsidR="00CE57E2" w:rsidRPr="00301583">
        <w:t>F</w:t>
      </w:r>
      <w:r w:rsidRPr="00301583">
        <w:t xml:space="preserve"> project) a common bath and </w:t>
      </w:r>
      <w:r w:rsidR="000058C1">
        <w:t xml:space="preserve">a </w:t>
      </w:r>
      <w:r w:rsidRPr="00301583">
        <w:t xml:space="preserve">laundry with restricted capacities </w:t>
      </w:r>
      <w:r w:rsidR="000058C1">
        <w:t>were</w:t>
      </w:r>
      <w:r w:rsidR="007B76EC">
        <w:t xml:space="preserve"> </w:t>
      </w:r>
      <w:r w:rsidRPr="00301583">
        <w:t>opened two years ago: one single bathtub, two shower stalls and two washing machines have been accessible since then for those who participate in welfare work. No healthcare services are available in the settlement; therefore, it often happens that mothers with sick children have to walk to the town to see a doctor</w:t>
      </w:r>
      <w:r w:rsidR="00CE57E2" w:rsidRPr="00301583">
        <w:t xml:space="preserve"> because</w:t>
      </w:r>
      <w:r w:rsidRPr="00301583">
        <w:t xml:space="preserve"> they cannot afford paying for the bus ticket and</w:t>
      </w:r>
      <w:r w:rsidR="00CE57E2" w:rsidRPr="00301583">
        <w:t>/or</w:t>
      </w:r>
      <w:r w:rsidRPr="00301583">
        <w:t xml:space="preserve"> the medicine prescribed for the child.   </w:t>
      </w:r>
    </w:p>
    <w:p w:rsidR="00E27387" w:rsidRPr="00301583" w:rsidRDefault="00E27387" w:rsidP="00045F19">
      <w:pPr>
        <w:spacing w:line="276" w:lineRule="auto"/>
      </w:pPr>
      <w:r w:rsidRPr="00301583">
        <w:lastRenderedPageBreak/>
        <w:t>As far as educational services are concerned, a kindergarten and a four-grade prim</w:t>
      </w:r>
      <w:r w:rsidRPr="00301583">
        <w:t>a</w:t>
      </w:r>
      <w:r w:rsidRPr="00301583">
        <w:t>ry school are operating in the settlement with full capacities or beyond: both instit</w:t>
      </w:r>
      <w:r w:rsidRPr="00301583">
        <w:t>u</w:t>
      </w:r>
      <w:r w:rsidRPr="00301583">
        <w:t>tions are overcrowded. Approximately 120 pupils are taught here in five ordinary classes and two afternoon classes. According to the principal, the relationship with Roma parents is fairly good. In addition to eight teachers, the school employs four teacher assistants, one of whom is a Roma himself. The principal, like most of her colleagues, is convinced that Romany children do not fit in the ordinary educational system. At the age of six, most of them are not prepared for school, they fail the e</w:t>
      </w:r>
      <w:r w:rsidRPr="00301583">
        <w:t>n</w:t>
      </w:r>
      <w:r w:rsidRPr="00301583">
        <w:t>trance test primarily because of their family background</w:t>
      </w:r>
      <w:r w:rsidR="007B76EC">
        <w:t xml:space="preserve"> (n</w:t>
      </w:r>
      <w:r w:rsidRPr="00301583">
        <w:t>otwithstanding the cultura</w:t>
      </w:r>
      <w:r w:rsidRPr="00301583">
        <w:t>l</w:t>
      </w:r>
      <w:r w:rsidRPr="00301583">
        <w:t>ly biased testing methods. The problem of testing is discussed in detail in Spotáko</w:t>
      </w:r>
      <w:r w:rsidR="007B76EC">
        <w:t>vá, 2011</w:t>
      </w:r>
      <w:r w:rsidRPr="00301583">
        <w:t>)</w:t>
      </w:r>
      <w:r w:rsidR="007B76EC">
        <w:t>.</w:t>
      </w:r>
      <w:r w:rsidRPr="00301583">
        <w:t xml:space="preserve"> </w:t>
      </w:r>
    </w:p>
    <w:p w:rsidR="00FE01C1" w:rsidRDefault="00E27387" w:rsidP="007B76EC">
      <w:pPr>
        <w:spacing w:line="276" w:lineRule="auto"/>
      </w:pPr>
      <w:r w:rsidRPr="00301583">
        <w:t>The huge disadvantages of Roma children at school are rarely mitigated by pr</w:t>
      </w:r>
      <w:r w:rsidRPr="00301583">
        <w:t>e</w:t>
      </w:r>
      <w:r w:rsidRPr="00301583">
        <w:t xml:space="preserve">school and afternoon school attendance: though they have to pay half price (2 Euros in 2013), the most vulnerable households with seven to eight children cannot afford paying this fee. Usually half of the children cannot pass the readiness test, thus start their school tenure in grade zero. Only few children are motivated at home and if they are, not for long enough. Most of them have difficulties with maths as well as with comprehending texts: they progress much slower than their fellow pupils </w:t>
      </w:r>
      <w:r w:rsidR="000058C1">
        <w:t>with</w:t>
      </w:r>
      <w:r w:rsidRPr="00301583">
        <w:t xml:space="preserve"> non-Roma background. Teaching languages is also a mistake in Roma-only schools: these pupils are challenged and overburdened by the seven Hungarian and five Sl</w:t>
      </w:r>
      <w:r w:rsidRPr="00301583">
        <w:t>o</w:t>
      </w:r>
      <w:r w:rsidRPr="00301583">
        <w:t xml:space="preserve">vakian </w:t>
      </w:r>
      <w:r w:rsidR="00393D70" w:rsidRPr="00301583">
        <w:t xml:space="preserve">language </w:t>
      </w:r>
      <w:r w:rsidRPr="00301583">
        <w:t>classes each week (in the 3</w:t>
      </w:r>
      <w:r w:rsidRPr="00301583">
        <w:rPr>
          <w:vertAlign w:val="superscript"/>
        </w:rPr>
        <w:t>rd</w:t>
      </w:r>
      <w:r w:rsidRPr="00301583">
        <w:t xml:space="preserve"> and 4</w:t>
      </w:r>
      <w:r w:rsidRPr="00301583">
        <w:rPr>
          <w:vertAlign w:val="superscript"/>
        </w:rPr>
        <w:t>th</w:t>
      </w:r>
      <w:r w:rsidRPr="00301583">
        <w:t xml:space="preserve"> grade). Therefore, most of them underperform and only an average of five to six children can continue to an ordinary school once </w:t>
      </w:r>
      <w:r w:rsidR="000058C1">
        <w:t>they</w:t>
      </w:r>
      <w:r w:rsidRPr="00301583">
        <w:t xml:space="preserve"> finish the </w:t>
      </w:r>
      <w:r w:rsidR="00393D70" w:rsidRPr="00301583">
        <w:t>5</w:t>
      </w:r>
      <w:r w:rsidRPr="00301583">
        <w:rPr>
          <w:vertAlign w:val="superscript"/>
        </w:rPr>
        <w:t>th</w:t>
      </w:r>
      <w:r w:rsidRPr="00301583">
        <w:t xml:space="preserve"> grade here, while the rest continue </w:t>
      </w:r>
      <w:r w:rsidR="00393D70" w:rsidRPr="00301583">
        <w:t xml:space="preserve">either in </w:t>
      </w:r>
      <w:r w:rsidRPr="00301583">
        <w:t xml:space="preserve">the </w:t>
      </w:r>
      <w:r w:rsidR="00393D70" w:rsidRPr="00301583">
        <w:t xml:space="preserve">town’s </w:t>
      </w:r>
      <w:r w:rsidRPr="00301583">
        <w:t xml:space="preserve">special school or </w:t>
      </w:r>
      <w:r w:rsidR="00393D70" w:rsidRPr="00301583">
        <w:t xml:space="preserve">in either of the </w:t>
      </w:r>
      <w:r w:rsidRPr="00301583">
        <w:t xml:space="preserve">special </w:t>
      </w:r>
      <w:r w:rsidR="007B76EC">
        <w:t>classes of the primary schools.</w:t>
      </w:r>
    </w:p>
    <w:p w:rsidR="007B76EC" w:rsidRPr="007B76EC" w:rsidRDefault="007B76EC" w:rsidP="007B76EC">
      <w:pPr>
        <w:spacing w:line="276" w:lineRule="auto"/>
        <w:rPr>
          <w:sz w:val="10"/>
          <w:szCs w:val="10"/>
        </w:rPr>
      </w:pPr>
    </w:p>
    <w:p w:rsidR="007867F5" w:rsidRPr="00301583" w:rsidRDefault="00350D91" w:rsidP="00D00C93">
      <w:pPr>
        <w:rPr>
          <w:b/>
        </w:rPr>
      </w:pPr>
      <w:r>
        <w:rPr>
          <w:b/>
          <w:noProof/>
          <w:lang w:val="fi-FI" w:eastAsia="fi-FI"/>
        </w:rPr>
        <w:drawing>
          <wp:inline distT="0" distB="0" distL="0" distR="0" wp14:anchorId="2FAF5B0F" wp14:editId="75450D16">
            <wp:extent cx="2714625" cy="1809750"/>
            <wp:effectExtent l="19050" t="0" r="9525" b="0"/>
            <wp:docPr id="15" name="Kép 15" descr="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34-1"/>
                    <pic:cNvPicPr>
                      <a:picLocks noChangeAspect="1" noChangeArrowheads="1"/>
                    </pic:cNvPicPr>
                  </pic:nvPicPr>
                  <pic:blipFill>
                    <a:blip r:embed="rId32" cstate="print"/>
                    <a:srcRect/>
                    <a:stretch>
                      <a:fillRect/>
                    </a:stretch>
                  </pic:blipFill>
                  <pic:spPr bwMode="auto">
                    <a:xfrm>
                      <a:off x="0" y="0"/>
                      <a:ext cx="2714625" cy="1809750"/>
                    </a:xfrm>
                    <a:prstGeom prst="rect">
                      <a:avLst/>
                    </a:prstGeom>
                    <a:noFill/>
                    <a:ln w="9525">
                      <a:noFill/>
                      <a:miter lim="800000"/>
                      <a:headEnd/>
                      <a:tailEnd/>
                    </a:ln>
                  </pic:spPr>
                </pic:pic>
              </a:graphicData>
            </a:graphic>
          </wp:inline>
        </w:drawing>
      </w:r>
      <w:r>
        <w:rPr>
          <w:noProof/>
          <w:lang w:val="fi-FI" w:eastAsia="fi-FI"/>
        </w:rPr>
        <w:drawing>
          <wp:inline distT="0" distB="0" distL="0" distR="0" wp14:anchorId="7513FF7F" wp14:editId="1B3DAABE">
            <wp:extent cx="2495550" cy="1647825"/>
            <wp:effectExtent l="19050" t="0" r="0" b="0"/>
            <wp:docPr id="16" name="Kép 16" descr="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5-2"/>
                    <pic:cNvPicPr>
                      <a:picLocks noChangeAspect="1" noChangeArrowheads="1"/>
                    </pic:cNvPicPr>
                  </pic:nvPicPr>
                  <pic:blipFill>
                    <a:blip r:embed="rId33" cstate="print"/>
                    <a:srcRect/>
                    <a:stretch>
                      <a:fillRect/>
                    </a:stretch>
                  </pic:blipFill>
                  <pic:spPr bwMode="auto">
                    <a:xfrm>
                      <a:off x="0" y="0"/>
                      <a:ext cx="2495550" cy="1647825"/>
                    </a:xfrm>
                    <a:prstGeom prst="rect">
                      <a:avLst/>
                    </a:prstGeom>
                    <a:noFill/>
                    <a:ln w="9525">
                      <a:noFill/>
                      <a:miter lim="800000"/>
                      <a:headEnd/>
                      <a:tailEnd/>
                    </a:ln>
                  </pic:spPr>
                </pic:pic>
              </a:graphicData>
            </a:graphic>
          </wp:inline>
        </w:drawing>
      </w:r>
    </w:p>
    <w:p w:rsidR="00567FF1" w:rsidRPr="00301583" w:rsidRDefault="00350D91" w:rsidP="00D00C93">
      <w:pPr>
        <w:rPr>
          <w:b/>
        </w:rPr>
      </w:pPr>
      <w:r>
        <w:rPr>
          <w:b/>
          <w:noProof/>
          <w:lang w:val="fi-FI" w:eastAsia="fi-FI"/>
        </w:rPr>
        <w:drawing>
          <wp:inline distT="0" distB="0" distL="0" distR="0" wp14:anchorId="27CBFB63" wp14:editId="5777DFED">
            <wp:extent cx="2600325" cy="1724025"/>
            <wp:effectExtent l="19050" t="0" r="9525" b="0"/>
            <wp:docPr id="17" name="Kép 17" descr="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17-2"/>
                    <pic:cNvPicPr>
                      <a:picLocks noChangeAspect="1" noChangeArrowheads="1"/>
                    </pic:cNvPicPr>
                  </pic:nvPicPr>
                  <pic:blipFill>
                    <a:blip r:embed="rId34" cstate="print"/>
                    <a:srcRect/>
                    <a:stretch>
                      <a:fillRect/>
                    </a:stretch>
                  </pic:blipFill>
                  <pic:spPr bwMode="auto">
                    <a:xfrm>
                      <a:off x="0" y="0"/>
                      <a:ext cx="2600325" cy="1724025"/>
                    </a:xfrm>
                    <a:prstGeom prst="rect">
                      <a:avLst/>
                    </a:prstGeom>
                    <a:noFill/>
                    <a:ln w="9525">
                      <a:noFill/>
                      <a:miter lim="800000"/>
                      <a:headEnd/>
                      <a:tailEnd/>
                    </a:ln>
                  </pic:spPr>
                </pic:pic>
              </a:graphicData>
            </a:graphic>
          </wp:inline>
        </w:drawing>
      </w:r>
      <w:r>
        <w:rPr>
          <w:b/>
          <w:noProof/>
          <w:lang w:val="fi-FI" w:eastAsia="fi-FI"/>
        </w:rPr>
        <w:drawing>
          <wp:inline distT="0" distB="0" distL="0" distR="0" wp14:anchorId="2CD67492" wp14:editId="3A42C6FA">
            <wp:extent cx="2590800" cy="1724025"/>
            <wp:effectExtent l="19050" t="0" r="0" b="0"/>
            <wp:docPr id="18" name="Kép 18" descr="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85-2"/>
                    <pic:cNvPicPr>
                      <a:picLocks noChangeAspect="1" noChangeArrowheads="1"/>
                    </pic:cNvPicPr>
                  </pic:nvPicPr>
                  <pic:blipFill>
                    <a:blip r:embed="rId35" cstate="print"/>
                    <a:srcRect/>
                    <a:stretch>
                      <a:fillRect/>
                    </a:stretch>
                  </pic:blipFill>
                  <pic:spPr bwMode="auto">
                    <a:xfrm>
                      <a:off x="0" y="0"/>
                      <a:ext cx="2590800" cy="1724025"/>
                    </a:xfrm>
                    <a:prstGeom prst="rect">
                      <a:avLst/>
                    </a:prstGeom>
                    <a:noFill/>
                    <a:ln w="9525">
                      <a:noFill/>
                      <a:miter lim="800000"/>
                      <a:headEnd/>
                      <a:tailEnd/>
                    </a:ln>
                  </pic:spPr>
                </pic:pic>
              </a:graphicData>
            </a:graphic>
          </wp:inline>
        </w:drawing>
      </w:r>
    </w:p>
    <w:p w:rsidR="00567FF1" w:rsidRPr="0002325A" w:rsidRDefault="005D755A" w:rsidP="007B76EC">
      <w:pPr>
        <w:spacing w:after="240" w:line="240" w:lineRule="auto"/>
        <w:rPr>
          <w:b/>
          <w:szCs w:val="22"/>
        </w:rPr>
      </w:pPr>
      <w:r w:rsidRPr="0002325A">
        <w:rPr>
          <w:b/>
          <w:szCs w:val="22"/>
        </w:rPr>
        <w:t xml:space="preserve">Pictures F – I: </w:t>
      </w:r>
      <w:r w:rsidRPr="0002325A">
        <w:rPr>
          <w:szCs w:val="22"/>
        </w:rPr>
        <w:t>The school from outside (bare yard, lattice groundfloor windows) and inside (electronic table, pupils in the afternoon class) (November 2013)</w:t>
      </w:r>
    </w:p>
    <w:p w:rsidR="007867F5" w:rsidRPr="00B074CE" w:rsidRDefault="00D00C93" w:rsidP="007B76EC">
      <w:pPr>
        <w:spacing w:before="240"/>
        <w:rPr>
          <w:b/>
        </w:rPr>
      </w:pPr>
      <w:r w:rsidRPr="00301583">
        <w:rPr>
          <w:b/>
        </w:rPr>
        <w:lastRenderedPageBreak/>
        <w:t>2.4.3.</w:t>
      </w:r>
      <w:r w:rsidRPr="00301583">
        <w:rPr>
          <w:b/>
        </w:rPr>
        <w:tab/>
        <w:t>Respondents’ views on poverty and social exclusion</w:t>
      </w:r>
      <w:r w:rsidR="00803376" w:rsidRPr="00301583">
        <w:rPr>
          <w:b/>
        </w:rPr>
        <w:t xml:space="preserve"> of Roma and rela</w:t>
      </w:r>
      <w:r w:rsidR="00803376" w:rsidRPr="00301583">
        <w:rPr>
          <w:b/>
        </w:rPr>
        <w:t>t</w:t>
      </w:r>
      <w:r w:rsidR="00803376" w:rsidRPr="00301583">
        <w:rPr>
          <w:b/>
        </w:rPr>
        <w:t>ed issues</w:t>
      </w:r>
    </w:p>
    <w:p w:rsidR="00D00C93" w:rsidRPr="00301583" w:rsidRDefault="00D00C93" w:rsidP="00045F19">
      <w:pPr>
        <w:spacing w:line="276" w:lineRule="auto"/>
      </w:pPr>
      <w:r w:rsidRPr="00301583">
        <w:t xml:space="preserve">Among the Roma families who live in segregated dwelling units, extreme poverty and deprivation prevail, especially in </w:t>
      </w:r>
      <w:r w:rsidR="00393D70" w:rsidRPr="00301583">
        <w:t xml:space="preserve">‘Dolinka’ of </w:t>
      </w:r>
      <w:r w:rsidRPr="00301583">
        <w:t>Klenovec, where public work is less a</w:t>
      </w:r>
      <w:r w:rsidRPr="00301583">
        <w:t>c</w:t>
      </w:r>
      <w:r w:rsidRPr="00301583">
        <w:t>cessible for the poorest Roma citizens</w:t>
      </w:r>
      <w:r w:rsidR="006D5CAE" w:rsidRPr="00301583">
        <w:t xml:space="preserve"> and in the “Black City” of Rimavska Sobota where the availability of public work is relatively limited</w:t>
      </w:r>
      <w:r w:rsidRPr="00301583">
        <w:t xml:space="preserve">. </w:t>
      </w:r>
      <w:r w:rsidR="00961A8C" w:rsidRPr="00301583">
        <w:t>In contrast, e</w:t>
      </w:r>
      <w:r w:rsidRPr="00301583">
        <w:t>xtended public work schemes have been operational in Rimavská Seč for the past few years, in o</w:t>
      </w:r>
      <w:r w:rsidRPr="00301583">
        <w:t>r</w:t>
      </w:r>
      <w:r w:rsidRPr="00301583">
        <w:t xml:space="preserve">der to </w:t>
      </w:r>
      <w:r w:rsidR="007B76EC">
        <w:t xml:space="preserve">increase </w:t>
      </w:r>
      <w:r w:rsidR="00393D70" w:rsidRPr="00301583">
        <w:t>the amount of</w:t>
      </w:r>
      <w:r w:rsidRPr="00301583">
        <w:t xml:space="preserve"> social benefits to over 480 people.</w:t>
      </w:r>
      <w:r w:rsidRPr="00301583">
        <w:rPr>
          <w:rStyle w:val="FootnoteReference"/>
        </w:rPr>
        <w:footnoteReference w:id="11"/>
      </w:r>
      <w:r w:rsidRPr="00301583">
        <w:t xml:space="preserve"> Since the number of public </w:t>
      </w:r>
      <w:r w:rsidR="00961A8C" w:rsidRPr="00301583">
        <w:t xml:space="preserve">(welfare) </w:t>
      </w:r>
      <w:r w:rsidRPr="00301583">
        <w:t>workers is very high, but the budget of the village is scant, ‘real work’ is limited, public workers are restricted to cleaning the village (scavenging and gathering waste). Therefore neither village officials, nor public workers take their d</w:t>
      </w:r>
      <w:r w:rsidRPr="00301583">
        <w:t>u</w:t>
      </w:r>
      <w:r w:rsidRPr="00301583">
        <w:t xml:space="preserve">ties seriously. This form of social allowance was criticized by </w:t>
      </w:r>
      <w:r w:rsidR="00961A8C" w:rsidRPr="00301583">
        <w:t xml:space="preserve">non-Roma </w:t>
      </w:r>
      <w:r w:rsidRPr="00301583">
        <w:t xml:space="preserve">respondents as only another way for mayors to win votes, not an effective measure to combat poverty or to help unemployed people back to work. Our respondents </w:t>
      </w:r>
      <w:r w:rsidR="00961A8C" w:rsidRPr="00301583">
        <w:t>were</w:t>
      </w:r>
      <w:r w:rsidRPr="00301583">
        <w:t xml:space="preserve"> saying that the former public work scheme, operational between 2000 and 2002, was more effective, since it required eight hours of employment and provided minimum wage, furthermore, it also provided additional resources for municipalities to implement a wide range of community work. Having been involved in that scheme, people could have the feeling of performing ‘real work’ or having a proper job, as their work was useful to the community.</w:t>
      </w:r>
    </w:p>
    <w:p w:rsidR="00664DC8" w:rsidRPr="00301583" w:rsidRDefault="00393D70" w:rsidP="00045F19">
      <w:pPr>
        <w:spacing w:line="276" w:lineRule="auto"/>
      </w:pPr>
      <w:r w:rsidRPr="00301583">
        <w:t>Moreover, t</w:t>
      </w:r>
      <w:r w:rsidR="00D00C93" w:rsidRPr="00301583">
        <w:t xml:space="preserve">he Slovak welfare system </w:t>
      </w:r>
      <w:r w:rsidR="00961A8C" w:rsidRPr="00301583">
        <w:t>was</w:t>
      </w:r>
      <w:r w:rsidR="00D00C93" w:rsidRPr="00301583">
        <w:t xml:space="preserve"> criticized </w:t>
      </w:r>
      <w:r w:rsidR="00961A8C" w:rsidRPr="00301583">
        <w:t xml:space="preserve">by </w:t>
      </w:r>
      <w:r w:rsidR="00D00C93" w:rsidRPr="00301583">
        <w:t>our non-Roma respondents</w:t>
      </w:r>
      <w:r w:rsidR="00961A8C" w:rsidRPr="00301583">
        <w:t xml:space="preserve"> fundamentally.</w:t>
      </w:r>
      <w:r w:rsidR="00AF33F5">
        <w:t xml:space="preserve"> </w:t>
      </w:r>
      <w:r w:rsidR="00961A8C" w:rsidRPr="00301583">
        <w:t xml:space="preserve">They </w:t>
      </w:r>
      <w:r w:rsidR="00D00C93" w:rsidRPr="00301583">
        <w:t>argued</w:t>
      </w:r>
      <w:r w:rsidR="00DC79C0" w:rsidRPr="00301583">
        <w:t>,</w:t>
      </w:r>
      <w:r w:rsidR="00D00C93" w:rsidRPr="00301583">
        <w:t xml:space="preserve"> it discouraged the least skilled from earning emplo</w:t>
      </w:r>
      <w:r w:rsidR="00D00C93" w:rsidRPr="00301583">
        <w:t>y</w:t>
      </w:r>
      <w:r w:rsidR="00D00C93" w:rsidRPr="00301583">
        <w:t>ment because of the small margin between minimum income and the benefits avail</w:t>
      </w:r>
      <w:r w:rsidR="00D00C93" w:rsidRPr="00301583">
        <w:t>a</w:t>
      </w:r>
      <w:r w:rsidR="00D00C93" w:rsidRPr="00301583">
        <w:t>ble to households with at least two unemployed.</w:t>
      </w:r>
      <w:r w:rsidR="00D00C93" w:rsidRPr="00301583">
        <w:rPr>
          <w:rStyle w:val="FootnoteReference"/>
        </w:rPr>
        <w:footnoteReference w:id="12"/>
      </w:r>
      <w:r w:rsidR="00D00C93" w:rsidRPr="00301583">
        <w:t xml:space="preserve"> Welfare arrangements and d</w:t>
      </w:r>
      <w:r w:rsidR="00D00C93" w:rsidRPr="00301583">
        <w:t>e</w:t>
      </w:r>
      <w:r w:rsidR="00D00C93" w:rsidRPr="00301583">
        <w:t>pendency on benefits generated by these arrangements were blamed by critics as one the most important factors keeping the Roma away from the labour market. Moreover, most middle-class interviewees believe that chronic unemployment is not the main factor behind the poverty of Roma population. In addition to welfare d</w:t>
      </w:r>
      <w:r w:rsidR="00D00C93" w:rsidRPr="00301583">
        <w:t>e</w:t>
      </w:r>
      <w:r w:rsidR="00D00C93" w:rsidRPr="00301583">
        <w:t xml:space="preserve">pendency, respondents blamed the Roma themselves for their dire and hopeless </w:t>
      </w:r>
      <w:r w:rsidR="00D00C93" w:rsidRPr="00301583">
        <w:lastRenderedPageBreak/>
        <w:t>situation, arguing that the</w:t>
      </w:r>
      <w:r w:rsidR="00203634" w:rsidRPr="00301583">
        <w:t>y</w:t>
      </w:r>
      <w:r w:rsidR="00D517F2">
        <w:t xml:space="preserve"> </w:t>
      </w:r>
      <w:r w:rsidR="000058C1">
        <w:t>do</w:t>
      </w:r>
      <w:r w:rsidR="00D00C93" w:rsidRPr="00301583">
        <w:t xml:space="preserve"> not want to change or improve their own situation and living conditions. In the eyes of those who share this kind of judgement, most Roma have accustomed a low-level income and low living standards, and they do not want to adapt and learn the patterns of the way of life of the majority population. Furthe</w:t>
      </w:r>
      <w:r w:rsidR="00D00C93" w:rsidRPr="00301583">
        <w:t>r</w:t>
      </w:r>
      <w:r w:rsidR="00D00C93" w:rsidRPr="00301583">
        <w:t xml:space="preserve">more, </w:t>
      </w:r>
      <w:r w:rsidR="00DC79C0" w:rsidRPr="00301583">
        <w:t xml:space="preserve">Roma </w:t>
      </w:r>
      <w:r w:rsidR="00D00C93" w:rsidRPr="00301583">
        <w:t xml:space="preserve">are blamed for not being able to </w:t>
      </w:r>
      <w:r w:rsidR="00DC79C0" w:rsidRPr="00301583">
        <w:t xml:space="preserve">divide up </w:t>
      </w:r>
      <w:r w:rsidR="00D00C93" w:rsidRPr="00301583">
        <w:t>their income</w:t>
      </w:r>
      <w:r w:rsidR="00DC79C0" w:rsidRPr="00301583">
        <w:t xml:space="preserve"> and make ends meet</w:t>
      </w:r>
      <w:r w:rsidR="00D00C93" w:rsidRPr="00301583">
        <w:t>: they always end up spending social benefits and state support on the first week, frequently on commodities such as alcohol, cigarettes, unhealthy food or ca</w:t>
      </w:r>
      <w:r w:rsidR="00D00C93" w:rsidRPr="00301583">
        <w:t>n</w:t>
      </w:r>
      <w:r w:rsidR="00D00C93" w:rsidRPr="00301583">
        <w:t>dies for children – or what is worse, gambling. Therefore usury is common in the Roma communit</w:t>
      </w:r>
      <w:r w:rsidR="002038DF" w:rsidRPr="00301583">
        <w:t>ies</w:t>
      </w:r>
      <w:r w:rsidR="00D00C93" w:rsidRPr="00301583">
        <w:t>. The following summary given by the principal of the special el</w:t>
      </w:r>
      <w:r w:rsidR="00D00C93" w:rsidRPr="00301583">
        <w:t>e</w:t>
      </w:r>
      <w:r w:rsidR="00D00C93" w:rsidRPr="00301583">
        <w:t>mentary school of Rimavská Seč is almost a general consensus: “</w:t>
      </w:r>
      <w:r w:rsidR="00D00C93" w:rsidRPr="00301583">
        <w:rPr>
          <w:i/>
        </w:rPr>
        <w:t>Should they want it, they would manage; they have all the means at their disposal to be able to live a better life</w:t>
      </w:r>
      <w:r w:rsidR="00D00C93" w:rsidRPr="00301583">
        <w:t>.” Some of our respondents emphasised that having such way of life and following such patterns of behaviour, it is the Roma that exclude themselves from the majority society and not the other way round. We heard only one slightly more sy</w:t>
      </w:r>
      <w:r w:rsidR="00D00C93" w:rsidRPr="00301583">
        <w:t>m</w:t>
      </w:r>
      <w:r w:rsidR="00D00C93" w:rsidRPr="00301583">
        <w:t>pathetic opinion about the reasons behind Roma’s poverty and its interdependency with exclusion: this interviewee emphasised that such low income coming mostly from social transfers did not help Roma to break out from poverty and social excl</w:t>
      </w:r>
      <w:r w:rsidR="00D00C93" w:rsidRPr="00301583">
        <w:t>u</w:t>
      </w:r>
      <w:r w:rsidR="00D00C93" w:rsidRPr="00301583">
        <w:t xml:space="preserve">sion. </w:t>
      </w:r>
    </w:p>
    <w:p w:rsidR="0002325A" w:rsidRDefault="008B37B6" w:rsidP="00045F19">
      <w:pPr>
        <w:spacing w:line="276" w:lineRule="auto"/>
        <w:sectPr w:rsidR="0002325A" w:rsidSect="00512625">
          <w:pgSz w:w="11907" w:h="16840" w:code="9"/>
          <w:pgMar w:top="1440" w:right="1797" w:bottom="1440" w:left="1797" w:header="709" w:footer="709" w:gutter="0"/>
          <w:pgNumType w:start="3"/>
          <w:cols w:space="708"/>
          <w:docGrid w:linePitch="360"/>
        </w:sectPr>
      </w:pPr>
      <w:r w:rsidRPr="00301583">
        <w:t>When making negative judgements, non-Roma respondents in Rimavská Seč usually mean those people of the “ghetto” and some other newcomers being noisy, missing taking care of their environment and using dirty words, etc. They also address people committing petty crimes. Repeated offenses against one’s property make the offen</w:t>
      </w:r>
      <w:r w:rsidRPr="00301583">
        <w:t>d</w:t>
      </w:r>
      <w:r w:rsidRPr="00301583">
        <w:t>ed ones desperate and – depending to their temperament – angry or even hostile. The immediate damage in one’s property is just one of the consequences of regular petty crimes but not the worst. One of our respondents (in his early fifties) used to pursue gardening</w:t>
      </w:r>
      <w:r w:rsidR="00203634" w:rsidRPr="00301583">
        <w:t>,</w:t>
      </w:r>
      <w:r w:rsidRPr="00301583">
        <w:t xml:space="preserve"> raised pigs and chicken in his backyard, but he stopped home production entirely because of the regular stealing (last year his pine trees were cut).  His case is by no means unique. Last but not least, real estate is unsellable if a vi</w:t>
      </w:r>
      <w:r w:rsidRPr="00301583">
        <w:t>l</w:t>
      </w:r>
      <w:r w:rsidRPr="00301583">
        <w:t xml:space="preserve">lage or town gets hit by ghettoisation, partly because of the absent safety of property and partly because of the demise of the entire environment. People </w:t>
      </w:r>
      <w:r w:rsidR="00203634" w:rsidRPr="00301583">
        <w:t xml:space="preserve">being </w:t>
      </w:r>
      <w:r w:rsidRPr="00301583">
        <w:t xml:space="preserve">stuck in such villages/towns lose a lot which explains their anger and might, unfortunately, back candidates of the far right </w:t>
      </w:r>
      <w:r w:rsidR="000058C1">
        <w:t>in</w:t>
      </w:r>
      <w:r w:rsidRPr="00301583">
        <w:t xml:space="preserve"> the political arena. In </w:t>
      </w:r>
      <w:r w:rsidR="00C27D13">
        <w:t>Banská</w:t>
      </w:r>
      <w:r w:rsidRPr="00301583">
        <w:t xml:space="preserve"> Bystrica, in Nove</w:t>
      </w:r>
      <w:r w:rsidRPr="00301583">
        <w:t>m</w:t>
      </w:r>
      <w:r w:rsidRPr="00301583">
        <w:t>ber 2013 Marian Kotleba, leader of a far right ultra-nationalist party, who had formerly declared Roma people “parasites” was elected as a regional governor with 55</w:t>
      </w:r>
      <w:r w:rsidR="00A132C4">
        <w:t>.</w:t>
      </w:r>
      <w:r w:rsidRPr="00301583">
        <w:t>5% of votes.</w:t>
      </w:r>
      <w:r w:rsidRPr="00301583">
        <w:rPr>
          <w:rStyle w:val="FootnoteReference"/>
        </w:rPr>
        <w:footnoteReference w:id="13"/>
      </w:r>
    </w:p>
    <w:p w:rsidR="00567FF1" w:rsidRPr="00301583" w:rsidRDefault="00350D91" w:rsidP="008933C9">
      <w:pPr>
        <w:jc w:val="center"/>
      </w:pPr>
      <w:r>
        <w:rPr>
          <w:noProof/>
          <w:lang w:val="fi-FI" w:eastAsia="fi-FI"/>
        </w:rPr>
        <w:lastRenderedPageBreak/>
        <w:drawing>
          <wp:anchor distT="0" distB="0" distL="114300" distR="114300" simplePos="0" relativeHeight="251673600" behindDoc="1" locked="0" layoutInCell="1" allowOverlap="1" wp14:anchorId="2ED838AB" wp14:editId="3802B56A">
            <wp:simplePos x="0" y="0"/>
            <wp:positionH relativeFrom="column">
              <wp:posOffset>20955</wp:posOffset>
            </wp:positionH>
            <wp:positionV relativeFrom="paragraph">
              <wp:posOffset>265430</wp:posOffset>
            </wp:positionV>
            <wp:extent cx="4905375" cy="3248025"/>
            <wp:effectExtent l="0" t="0" r="9525" b="9525"/>
            <wp:wrapTight wrapText="bothSides">
              <wp:wrapPolygon edited="0">
                <wp:start x="0" y="0"/>
                <wp:lineTo x="0" y="21537"/>
                <wp:lineTo x="21558" y="21537"/>
                <wp:lineTo x="21558" y="0"/>
                <wp:lineTo x="0" y="0"/>
              </wp:wrapPolygon>
            </wp:wrapTight>
            <wp:docPr id="19" name="Kép 19" descr="DSC054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0549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05375" cy="32480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Default="0002325A" w:rsidP="0002325A">
      <w:pPr>
        <w:spacing w:after="240" w:line="240" w:lineRule="auto"/>
        <w:rPr>
          <w:sz w:val="16"/>
          <w:szCs w:val="16"/>
        </w:rPr>
      </w:pPr>
    </w:p>
    <w:p w:rsidR="0002325A" w:rsidRPr="0002325A" w:rsidRDefault="0002325A" w:rsidP="0002325A">
      <w:pPr>
        <w:spacing w:after="240" w:line="240" w:lineRule="auto"/>
        <w:rPr>
          <w:szCs w:val="22"/>
        </w:rPr>
      </w:pPr>
    </w:p>
    <w:p w:rsidR="0002325A" w:rsidRPr="0002325A" w:rsidRDefault="0002325A" w:rsidP="0002325A">
      <w:pPr>
        <w:spacing w:after="240" w:line="240" w:lineRule="auto"/>
        <w:rPr>
          <w:szCs w:val="22"/>
        </w:rPr>
      </w:pPr>
    </w:p>
    <w:p w:rsidR="00B074CE" w:rsidRPr="0002325A" w:rsidRDefault="0002325A" w:rsidP="0002325A">
      <w:pPr>
        <w:spacing w:after="240" w:line="240" w:lineRule="auto"/>
        <w:rPr>
          <w:szCs w:val="22"/>
        </w:rPr>
      </w:pPr>
      <w:r w:rsidRPr="0002325A">
        <w:rPr>
          <w:b/>
          <w:szCs w:val="22"/>
        </w:rPr>
        <w:t>Picture J:</w:t>
      </w:r>
      <w:r w:rsidRPr="0002325A">
        <w:rPr>
          <w:szCs w:val="22"/>
        </w:rPr>
        <w:t xml:space="preserve"> </w:t>
      </w:r>
      <w:r w:rsidR="00567FF1" w:rsidRPr="0002325A">
        <w:rPr>
          <w:szCs w:val="22"/>
        </w:rPr>
        <w:t>Symptoms of demise: centre of the village, Rimavská Seč (March 2013)</w:t>
      </w:r>
    </w:p>
    <w:p w:rsidR="008B37B6" w:rsidRPr="00301583" w:rsidRDefault="008B37B6" w:rsidP="00045F19">
      <w:pPr>
        <w:spacing w:line="276" w:lineRule="auto"/>
      </w:pPr>
      <w:r w:rsidRPr="00301583">
        <w:t>The anger of losers of ghettoisation is understandable but not acceptable, especially if it is generalised. Such negative judgements widen the gap between Roma and the majority society and make even more difficult for Roma to adjust. Open discrimin</w:t>
      </w:r>
      <w:r w:rsidRPr="00301583">
        <w:t>a</w:t>
      </w:r>
      <w:r w:rsidRPr="00301583">
        <w:t>tion is also widespread in the region. “When calling up to apply for vacancies, appl</w:t>
      </w:r>
      <w:r w:rsidRPr="00301583">
        <w:t>i</w:t>
      </w:r>
      <w:r w:rsidRPr="00301583">
        <w:t xml:space="preserve">cants are openly asked about their ethnicity and told that Roma are not accepted. … </w:t>
      </w:r>
      <w:r w:rsidRPr="00301583">
        <w:rPr>
          <w:rFonts w:cs="Arial"/>
        </w:rPr>
        <w:t>[Therefore] Roma subjectively perceived their status as more equal when working abroad. »</w:t>
      </w:r>
      <w:r w:rsidRPr="00301583">
        <w:rPr>
          <w:rFonts w:cs="Arial"/>
          <w:i/>
        </w:rPr>
        <w:t>Abroad they treat you in a different way</w:t>
      </w:r>
      <w:r w:rsidRPr="00301583">
        <w:rPr>
          <w:rFonts w:cs="Arial"/>
        </w:rPr>
        <w:t>«. This statement was quoted by the authors of a recently published case study based on fieldwork in one of the neig</w:t>
      </w:r>
      <w:r w:rsidRPr="00301583">
        <w:rPr>
          <w:rFonts w:cs="Arial"/>
        </w:rPr>
        <w:t>h</w:t>
      </w:r>
      <w:r w:rsidRPr="00301583">
        <w:rPr>
          <w:rFonts w:cs="Arial"/>
        </w:rPr>
        <w:t>bouri</w:t>
      </w:r>
      <w:r w:rsidR="0002325A">
        <w:rPr>
          <w:rFonts w:cs="Arial"/>
        </w:rPr>
        <w:t>ng districts to Rimavská Sobota</w:t>
      </w:r>
      <w:r w:rsidRPr="00301583">
        <w:rPr>
          <w:rFonts w:cs="Arial"/>
        </w:rPr>
        <w:t xml:space="preserve"> </w:t>
      </w:r>
      <w:r w:rsidRPr="00301583">
        <w:t>(Messing et al</w:t>
      </w:r>
      <w:r w:rsidR="0002325A">
        <w:t xml:space="preserve">, 2013, p. </w:t>
      </w:r>
      <w:r w:rsidRPr="00301583">
        <w:t xml:space="preserve">108). </w:t>
      </w:r>
    </w:p>
    <w:p w:rsidR="00D00C93" w:rsidRDefault="008B37B6" w:rsidP="0002325A">
      <w:pPr>
        <w:spacing w:line="276" w:lineRule="auto"/>
        <w:rPr>
          <w:rFonts w:ascii="Calibri" w:hAnsi="Calibri" w:cs="Calibri"/>
          <w:sz w:val="18"/>
          <w:szCs w:val="18"/>
        </w:rPr>
      </w:pPr>
      <w:r w:rsidRPr="00301583">
        <w:t xml:space="preserve">As it was discussed in the earlier chapters of this paper, the southern border area of the region of Banská Bytsrica is among the poorest areas of Slovakia with extremely high </w:t>
      </w:r>
      <w:r w:rsidR="00203634" w:rsidRPr="00301583">
        <w:t xml:space="preserve">rate of </w:t>
      </w:r>
      <w:r w:rsidRPr="00301583">
        <w:t>longterm unemployment. Even in the town of Rimavská Sobota, the di</w:t>
      </w:r>
      <w:r w:rsidRPr="00301583">
        <w:t>s</w:t>
      </w:r>
      <w:r w:rsidRPr="00301583">
        <w:t>trict centre, “</w:t>
      </w:r>
      <w:r w:rsidRPr="00301583">
        <w:rPr>
          <w:i/>
        </w:rPr>
        <w:t>people could kill for jobs</w:t>
      </w:r>
      <w:r w:rsidRPr="00301583">
        <w:t xml:space="preserve">” as one of our respondents declared; therefore, the competition between skilled and unskilled Roma and non-Roma labour is even fiercer than elsewhere. Whatever is the reason, the shared anti-Roma feelings and conviction of the non-Roma majority strengthen the symbolic exclusion of Roma/poor people and reinforce prejudices and stereotypes. (Džambazovič </w:t>
      </w:r>
      <w:r w:rsidR="0002325A">
        <w:t>&amp;</w:t>
      </w:r>
      <w:r w:rsidRPr="00301583">
        <w:t xml:space="preserve"> Jurásková</w:t>
      </w:r>
      <w:r w:rsidR="0002325A">
        <w:t>,</w:t>
      </w:r>
      <w:r w:rsidRPr="00301583">
        <w:t xml:space="preserve"> 2003a, 2003b; Mládek </w:t>
      </w:r>
      <w:r w:rsidR="0002325A">
        <w:t>&amp;</w:t>
      </w:r>
      <w:r w:rsidRPr="00301583">
        <w:t xml:space="preserve"> Pukačová</w:t>
      </w:r>
      <w:r w:rsidR="0002325A">
        <w:t>,</w:t>
      </w:r>
      <w:r w:rsidRPr="00301583">
        <w:t xml:space="preserve"> 2010) </w:t>
      </w:r>
      <w:r w:rsidR="00B15A22" w:rsidRPr="00301583">
        <w:t xml:space="preserve">The strongest forms of anti-Roma symbolism are made of concrete: walls and fences erected around Roma settlements. These walls were built by non-Roma resident groups aiming at separating Roma neighbourhoods, even in Košice, the cultural capital of Europe in 2013. This must be interpreted as a </w:t>
      </w:r>
      <w:r w:rsidR="00B15A22" w:rsidRPr="00301583">
        <w:lastRenderedPageBreak/>
        <w:t>clear signal of the growing tension between ethnic groups and the spreading intole</w:t>
      </w:r>
      <w:r w:rsidR="00B15A22" w:rsidRPr="00301583">
        <w:t>r</w:t>
      </w:r>
      <w:r w:rsidR="00B15A22" w:rsidRPr="00301583">
        <w:t>ance within the ranks of the majority society</w:t>
      </w:r>
      <w:r w:rsidRPr="00301583">
        <w:rPr>
          <w:rStyle w:val="FootnoteReference"/>
        </w:rPr>
        <w:footnoteReference w:id="14"/>
      </w:r>
      <w:r w:rsidRPr="00301583">
        <w:t xml:space="preserve"> (</w:t>
      </w:r>
      <w:r w:rsidR="0002325A">
        <w:t xml:space="preserve">see </w:t>
      </w:r>
      <w:r w:rsidRPr="00301583">
        <w:t xml:space="preserve">Annex </w:t>
      </w:r>
      <w:r w:rsidR="00A05A41">
        <w:t>5</w:t>
      </w:r>
      <w:r w:rsidRPr="00301583">
        <w:t>)</w:t>
      </w:r>
      <w:r w:rsidR="0002325A">
        <w:rPr>
          <w:rFonts w:ascii="Calibri" w:hAnsi="Calibri" w:cs="Calibri"/>
          <w:sz w:val="18"/>
          <w:szCs w:val="18"/>
        </w:rPr>
        <w:t>.</w:t>
      </w:r>
    </w:p>
    <w:p w:rsidR="0002325A" w:rsidRPr="0002325A" w:rsidRDefault="0002325A" w:rsidP="0002325A">
      <w:pPr>
        <w:spacing w:line="276" w:lineRule="auto"/>
        <w:rPr>
          <w:rFonts w:ascii="Calibri" w:hAnsi="Calibri" w:cs="Calibri"/>
          <w:sz w:val="10"/>
          <w:szCs w:val="10"/>
        </w:rPr>
      </w:pPr>
    </w:p>
    <w:p w:rsidR="00B074CE" w:rsidRPr="00B074CE" w:rsidRDefault="00D00C93" w:rsidP="00B074CE">
      <w:pPr>
        <w:pStyle w:val="Heading3"/>
        <w:spacing w:before="240"/>
      </w:pPr>
      <w:bookmarkStart w:id="96" w:name="_Toc385271094"/>
      <w:bookmarkStart w:id="97" w:name="_Toc385939057"/>
      <w:r w:rsidRPr="00301583">
        <w:t>Examples of school segregation</w:t>
      </w:r>
      <w:bookmarkEnd w:id="96"/>
      <w:bookmarkEnd w:id="97"/>
    </w:p>
    <w:p w:rsidR="00D00C93" w:rsidRPr="0002325A" w:rsidRDefault="00D00C93" w:rsidP="00DB66E0">
      <w:pPr>
        <w:pStyle w:val="Heading4"/>
        <w:numPr>
          <w:ilvl w:val="0"/>
          <w:numId w:val="0"/>
        </w:numPr>
        <w:spacing w:before="240"/>
        <w:ind w:left="1304" w:hanging="1304"/>
        <w:rPr>
          <w:b w:val="0"/>
          <w:i/>
          <w:sz w:val="22"/>
          <w:szCs w:val="22"/>
        </w:rPr>
      </w:pPr>
      <w:r w:rsidRPr="0002325A">
        <w:rPr>
          <w:b w:val="0"/>
          <w:i/>
          <w:sz w:val="22"/>
          <w:szCs w:val="22"/>
        </w:rPr>
        <w:t>Segregation at elementary schools</w:t>
      </w:r>
    </w:p>
    <w:p w:rsidR="00D00C93" w:rsidRPr="00301583" w:rsidRDefault="00D00C93" w:rsidP="00045F19">
      <w:pPr>
        <w:autoSpaceDE w:val="0"/>
        <w:autoSpaceDN w:val="0"/>
        <w:adjustRightInd w:val="0"/>
        <w:spacing w:line="276" w:lineRule="auto"/>
      </w:pPr>
      <w:r w:rsidRPr="00301583">
        <w:t>Segregation of Roma children within the educational system prevails in Slovakia, albeit in different forms and types. The most inacceptable type is perhaps when R</w:t>
      </w:r>
      <w:r w:rsidRPr="00301583">
        <w:t>o</w:t>
      </w:r>
      <w:r w:rsidRPr="00301583">
        <w:t xml:space="preserve">ma children </w:t>
      </w:r>
      <w:r w:rsidR="000058C1">
        <w:t>with</w:t>
      </w:r>
      <w:r w:rsidRPr="00301583">
        <w:t xml:space="preserve"> deprived family backgrounds are placed in special education, kee</w:t>
      </w:r>
      <w:r w:rsidRPr="00301583">
        <w:t>p</w:t>
      </w:r>
      <w:r w:rsidRPr="00301583">
        <w:t>ing them in a parallel but not equivalent educational system that blocks their social integration throughout their entire education: children graduating from such special education schools are not accepted by ordinary vocational schools, they must co</w:t>
      </w:r>
      <w:r w:rsidRPr="00301583">
        <w:t>n</w:t>
      </w:r>
      <w:r w:rsidRPr="00301583">
        <w:t>tinue in</w:t>
      </w:r>
      <w:r w:rsidR="005F0496" w:rsidRPr="00301583">
        <w:t xml:space="preserve"> a</w:t>
      </w:r>
      <w:r w:rsidRPr="00301583">
        <w:t xml:space="preserve"> special vocational school if they are ambitious enough. Another segreg</w:t>
      </w:r>
      <w:r w:rsidRPr="00301583">
        <w:t>a</w:t>
      </w:r>
      <w:r w:rsidRPr="00301583">
        <w:t>tion practice is placing Roma children into segregated classes, floors, buildings, playground, etc. within the standard education system, or seating them separately in the classroom (Lajčaková</w:t>
      </w:r>
      <w:r w:rsidR="0002325A">
        <w:t>, 2012, p. 28-</w:t>
      </w:r>
      <w:r w:rsidRPr="00301583">
        <w:t>29; Hojsík</w:t>
      </w:r>
      <w:r w:rsidR="0002325A">
        <w:t xml:space="preserve">, 2011, </w:t>
      </w:r>
      <w:r w:rsidRPr="00301583">
        <w:t>49). Furthermore, as Hojsík point</w:t>
      </w:r>
      <w:r w:rsidR="005F0496" w:rsidRPr="00301583">
        <w:t>ed</w:t>
      </w:r>
      <w:r w:rsidRPr="00301583">
        <w:t xml:space="preserve"> out, t</w:t>
      </w:r>
      <w:r w:rsidRPr="00301583">
        <w:rPr>
          <w:rFonts w:cs="Georgia"/>
          <w:lang w:eastAsia="hu-HU"/>
        </w:rPr>
        <w:t xml:space="preserve">he segregation of Roma children in school often corresponds </w:t>
      </w:r>
      <w:r w:rsidR="003F1658" w:rsidRPr="00301583">
        <w:rPr>
          <w:rFonts w:cs="Georgia"/>
          <w:lang w:eastAsia="hu-HU"/>
        </w:rPr>
        <w:t xml:space="preserve">to </w:t>
      </w:r>
      <w:r w:rsidRPr="00301583">
        <w:rPr>
          <w:rFonts w:cs="Georgia"/>
          <w:lang w:eastAsia="hu-HU"/>
        </w:rPr>
        <w:t>their residential segregation, or it operates as a substitute for absent residential segreg</w:t>
      </w:r>
      <w:r w:rsidRPr="00301583">
        <w:rPr>
          <w:rFonts w:cs="Georgia"/>
          <w:lang w:eastAsia="hu-HU"/>
        </w:rPr>
        <w:t>a</w:t>
      </w:r>
      <w:r w:rsidRPr="00301583">
        <w:rPr>
          <w:rFonts w:cs="Georgia"/>
          <w:lang w:eastAsia="hu-HU"/>
        </w:rPr>
        <w:t>tion in places where Roma and non-Roma population live mixed. (</w:t>
      </w:r>
      <w:r w:rsidR="005F0496" w:rsidRPr="00301583">
        <w:rPr>
          <w:rFonts w:cs="Georgia"/>
          <w:lang w:eastAsia="hu-HU"/>
        </w:rPr>
        <w:t xml:space="preserve">Hojsik, </w:t>
      </w:r>
      <w:r w:rsidR="0002325A">
        <w:rPr>
          <w:rFonts w:cs="Georgia"/>
          <w:lang w:eastAsia="hu-HU"/>
        </w:rPr>
        <w:t xml:space="preserve">2011, p. </w:t>
      </w:r>
      <w:r w:rsidRPr="00301583">
        <w:rPr>
          <w:rFonts w:cs="Georgia"/>
          <w:lang w:eastAsia="hu-HU"/>
        </w:rPr>
        <w:t xml:space="preserve">49). </w:t>
      </w:r>
      <w:r w:rsidRPr="00301583">
        <w:t>Both ways of segregation appeared at elementary levels in our field sites.</w:t>
      </w:r>
    </w:p>
    <w:p w:rsidR="00D00C93" w:rsidRPr="00301583" w:rsidRDefault="00D00C93" w:rsidP="00045F19">
      <w:pPr>
        <w:spacing w:line="276" w:lineRule="auto"/>
      </w:pPr>
      <w:r w:rsidRPr="00301583">
        <w:t>The proportion of Roma pupils/students at school is considerably higher than within the overall village population: 90% in Rimavská Seč and 50% in Klenovec</w:t>
      </w:r>
      <w:r w:rsidR="00667952" w:rsidRPr="00301583">
        <w:rPr>
          <w:rStyle w:val="FootnoteReference"/>
        </w:rPr>
        <w:footnoteReference w:id="15"/>
      </w:r>
      <w:r w:rsidRPr="00301583">
        <w:t>. In the latter village, almost no Roma child from “Dolinka” goes to kindergarten, preschool capacities are practically shared between ethnic Slovak and integrated Roma chi</w:t>
      </w:r>
      <w:r w:rsidRPr="00301583">
        <w:t>l</w:t>
      </w:r>
      <w:r w:rsidRPr="00301583">
        <w:t>dren, whilst only Roma children are enrolled in the preschool of Rimavská Seč (there are very few ethnic Hungarians in that age-group, and they are all taken away to the preschools of neighbouring villages). The capacity of the kindergarten is limited in Rimavská Seč, with 20%-30% of children entering school without having had pr</w:t>
      </w:r>
      <w:r w:rsidRPr="00301583">
        <w:t>e</w:t>
      </w:r>
      <w:r w:rsidRPr="00301583">
        <w:t>school socialization.</w:t>
      </w:r>
    </w:p>
    <w:p w:rsidR="00D00C93" w:rsidRPr="00301583" w:rsidRDefault="00D00C93" w:rsidP="00045F19">
      <w:pPr>
        <w:spacing w:line="276" w:lineRule="auto"/>
      </w:pPr>
      <w:r w:rsidRPr="00301583">
        <w:t>Free parental choice of school prevails in Slovakia, nevertheless, enrolling children in a school out of the immediate area does not seem to be as common in the r</w:t>
      </w:r>
      <w:r w:rsidRPr="00301583">
        <w:t>e</w:t>
      </w:r>
      <w:r w:rsidRPr="00301583">
        <w:t>searched villages as it is in Hungary, and/or it has started only recently for the better off: some of the very few ethnic Hungarian children go to the closeby towns of R</w:t>
      </w:r>
      <w:r w:rsidRPr="00301583">
        <w:t>i</w:t>
      </w:r>
      <w:r w:rsidRPr="00301583">
        <w:t xml:space="preserve">mavská Sobota or </w:t>
      </w:r>
      <w:r w:rsidRPr="00301583">
        <w:rPr>
          <w:iCs/>
        </w:rPr>
        <w:t xml:space="preserve">Tornaľa from </w:t>
      </w:r>
      <w:r w:rsidRPr="00301583">
        <w:t xml:space="preserve">Rimavská Seč, and to Hnúšťa from Klenovec. </w:t>
      </w:r>
      <w:r w:rsidRPr="00301583">
        <w:rPr>
          <w:iCs/>
        </w:rPr>
        <w:t xml:space="preserve">They are </w:t>
      </w:r>
      <w:r w:rsidRPr="00301583">
        <w:t xml:space="preserve">typically </w:t>
      </w:r>
      <w:r w:rsidRPr="00301583">
        <w:rPr>
          <w:iCs/>
        </w:rPr>
        <w:t>accepted in the lower grades of the eigh</w:t>
      </w:r>
      <w:r w:rsidR="00DB66E0">
        <w:rPr>
          <w:iCs/>
        </w:rPr>
        <w:t>t-grade gymnasiums of the towns</w:t>
      </w:r>
      <w:r w:rsidRPr="00301583">
        <w:rPr>
          <w:iCs/>
        </w:rPr>
        <w:t xml:space="preserve"> (</w:t>
      </w:r>
      <w:r w:rsidR="00DB66E0">
        <w:rPr>
          <w:iCs/>
        </w:rPr>
        <w:t>f</w:t>
      </w:r>
      <w:r w:rsidR="002038DF" w:rsidRPr="00301583">
        <w:rPr>
          <w:iCs/>
        </w:rPr>
        <w:t>or the poor non-Roma it is not an option: u</w:t>
      </w:r>
      <w:r w:rsidRPr="00301583">
        <w:rPr>
          <w:iCs/>
        </w:rPr>
        <w:t xml:space="preserve">nemployment is high </w:t>
      </w:r>
      <w:r w:rsidR="002038DF" w:rsidRPr="00301583">
        <w:rPr>
          <w:iCs/>
        </w:rPr>
        <w:t xml:space="preserve">not only </w:t>
      </w:r>
      <w:r w:rsidRPr="00301583">
        <w:rPr>
          <w:iCs/>
        </w:rPr>
        <w:t xml:space="preserve">amongst </w:t>
      </w:r>
      <w:r w:rsidR="002038DF" w:rsidRPr="00301583">
        <w:rPr>
          <w:iCs/>
        </w:rPr>
        <w:t xml:space="preserve">Roma but </w:t>
      </w:r>
      <w:r w:rsidRPr="00301583">
        <w:rPr>
          <w:iCs/>
        </w:rPr>
        <w:t xml:space="preserve">the non-Roma alike in </w:t>
      </w:r>
      <w:r w:rsidRPr="00301583">
        <w:t>Rimavská Seč; unemployed non-Roma parents simply cannot afford to accompany their children to the district centre this is why they still enrol their children to the local, highly ghettoised school.)</w:t>
      </w:r>
    </w:p>
    <w:p w:rsidR="00D00C93" w:rsidRPr="00301583" w:rsidRDefault="00D00C93" w:rsidP="00045F19">
      <w:pPr>
        <w:spacing w:line="276" w:lineRule="auto"/>
      </w:pPr>
      <w:r w:rsidRPr="00301583">
        <w:lastRenderedPageBreak/>
        <w:t>The mainstream way of “mild” segregation of children in both researched schools is that of selecting classes according to the pupils’ abilities. “A” classes are for the best pupils/students, “B” classes are for those performing less brilliantly, etc.,</w:t>
      </w:r>
      <w:r w:rsidR="00DB66E0">
        <w:t xml:space="preserve"> and “D” are for the worst ones</w:t>
      </w:r>
      <w:r w:rsidRPr="00301583">
        <w:t xml:space="preserve"> (The number of children </w:t>
      </w:r>
      <w:r w:rsidR="00226CD6" w:rsidRPr="00301583">
        <w:t>wa</w:t>
      </w:r>
      <w:r w:rsidRPr="00301583">
        <w:t xml:space="preserve">s 275 in the </w:t>
      </w:r>
      <w:r w:rsidR="002038DF" w:rsidRPr="00301583">
        <w:t xml:space="preserve">2013 </w:t>
      </w:r>
      <w:r w:rsidRPr="00301583">
        <w:t>school year in Kle</w:t>
      </w:r>
      <w:r w:rsidRPr="00301583">
        <w:t>n</w:t>
      </w:r>
      <w:r w:rsidRPr="00301583">
        <w:t xml:space="preserve">ovec, with only two parallel classes, whilst 493 children </w:t>
      </w:r>
      <w:r w:rsidR="00226CD6" w:rsidRPr="00301583">
        <w:t xml:space="preserve">were </w:t>
      </w:r>
      <w:r w:rsidRPr="00301583">
        <w:t>enrolled and four para</w:t>
      </w:r>
      <w:r w:rsidRPr="00301583">
        <w:t>l</w:t>
      </w:r>
      <w:r w:rsidRPr="00301583">
        <w:t xml:space="preserve">lel classes </w:t>
      </w:r>
      <w:r w:rsidR="00A95477" w:rsidRPr="00301583">
        <w:t>we</w:t>
      </w:r>
      <w:r w:rsidRPr="00301583">
        <w:t>re run annually in the school of Rimavská Seč, which absorb</w:t>
      </w:r>
      <w:r w:rsidR="00A95477" w:rsidRPr="00301583">
        <w:t>ed</w:t>
      </w:r>
      <w:r w:rsidRPr="00301583">
        <w:t xml:space="preserve"> chi</w:t>
      </w:r>
      <w:r w:rsidRPr="00301583">
        <w:t>l</w:t>
      </w:r>
      <w:r w:rsidRPr="00301583">
        <w:t>dren from neighbouring villages as well.)</w:t>
      </w:r>
      <w:r w:rsidR="00DB66E0">
        <w:t>.</w:t>
      </w:r>
      <w:r w:rsidRPr="00301583">
        <w:t xml:space="preserve"> Both principals argued that “upward” m</w:t>
      </w:r>
      <w:r w:rsidRPr="00301583">
        <w:t>o</w:t>
      </w:r>
      <w:r w:rsidRPr="00301583">
        <w:t>bility from the worst classes towards the better ones occurs time to time, but they also admitted downward mobility was far more common: a class that starts with 28 pupils can easily end up with half of the children by the 4</w:t>
      </w:r>
      <w:r w:rsidRPr="00301583">
        <w:rPr>
          <w:vertAlign w:val="superscript"/>
        </w:rPr>
        <w:t>th</w:t>
      </w:r>
      <w:r w:rsidRPr="00301583">
        <w:t xml:space="preserve"> grade, due to the high rate of repeaters and children transferred to a poor performers’ parallel class. In other words, there is a wide scale of different techniques for selecting children by perfo</w:t>
      </w:r>
      <w:r w:rsidRPr="00301583">
        <w:t>r</w:t>
      </w:r>
      <w:r w:rsidRPr="00301583">
        <w:t>mance in the school of Rimavská Seč, where a high turnover of children allows for such techniques.</w:t>
      </w:r>
    </w:p>
    <w:p w:rsidR="00D00C93" w:rsidRPr="00301583" w:rsidRDefault="00D00C93" w:rsidP="00045F19">
      <w:pPr>
        <w:spacing w:line="276" w:lineRule="auto"/>
      </w:pPr>
      <w:r w:rsidRPr="00301583">
        <w:t>Children from the poorest Roma families, especially those who have not had the chance to go to kindergarten, arrive at school with tremendous deficits of socializ</w:t>
      </w:r>
      <w:r w:rsidRPr="00301583">
        <w:t>a</w:t>
      </w:r>
      <w:r w:rsidRPr="00301583">
        <w:t>tion; some of them have never used a pencil, or seen a flush toilet before entering the school. Since free school meals are restricted to lunches in Slovakia, children of the poorest families frequently go to school hungry. Achieving good results for pupils arriving from extremely poor and low-motivated parental background is obviously much harder than for those with less disadvantageous background, and occurs rar</w:t>
      </w:r>
      <w:r w:rsidRPr="00301583">
        <w:t>e</w:t>
      </w:r>
      <w:r w:rsidRPr="00301583">
        <w:t xml:space="preserve">ly. </w:t>
      </w:r>
    </w:p>
    <w:p w:rsidR="00DB66E0" w:rsidRPr="00301583" w:rsidRDefault="00D00C93" w:rsidP="00DB66E0">
      <w:pPr>
        <w:spacing w:line="276" w:lineRule="auto"/>
      </w:pPr>
      <w:r w:rsidRPr="00301583">
        <w:t xml:space="preserve">To assist the most disadvantaged children, an afternoon school (extra-curricular study place) was opened by a local civic organization for the upper-grade students in Rimavská Seč in 2010. Example was taken from a Hungarian Roma NGO, finances have been provided so far by the Roma Educational Fund (of Open </w:t>
      </w:r>
      <w:r w:rsidR="00DB66E0">
        <w:t xml:space="preserve">Society Institute, Budapest).  </w:t>
      </w:r>
    </w:p>
    <w:p w:rsidR="00D00C93" w:rsidRPr="00DB66E0" w:rsidRDefault="00D00C93" w:rsidP="00DB66E0">
      <w:pPr>
        <w:pStyle w:val="Heading4"/>
        <w:numPr>
          <w:ilvl w:val="0"/>
          <w:numId w:val="0"/>
        </w:numPr>
        <w:spacing w:before="240"/>
        <w:ind w:left="1304" w:hanging="1304"/>
        <w:rPr>
          <w:b w:val="0"/>
          <w:i/>
          <w:sz w:val="22"/>
          <w:szCs w:val="22"/>
        </w:rPr>
      </w:pPr>
      <w:r w:rsidRPr="00DB66E0">
        <w:rPr>
          <w:b w:val="0"/>
          <w:i/>
          <w:sz w:val="22"/>
          <w:szCs w:val="22"/>
        </w:rPr>
        <w:t>Segregation on secondary level</w:t>
      </w:r>
    </w:p>
    <w:p w:rsidR="00AA4908" w:rsidRPr="00301583" w:rsidRDefault="00D00C93" w:rsidP="00DB66E0">
      <w:pPr>
        <w:spacing w:line="276" w:lineRule="auto"/>
      </w:pPr>
      <w:r w:rsidRPr="00301583">
        <w:t xml:space="preserve">The further education of students follows mainstream patterns: middle class children usually go to general grammar school, whilst disadvantaged children </w:t>
      </w:r>
      <w:r w:rsidR="002D4A57" w:rsidRPr="00301583">
        <w:rPr>
          <w:iCs/>
        </w:rPr>
        <w:t xml:space="preserve">from </w:t>
      </w:r>
      <w:r w:rsidR="002D4A57" w:rsidRPr="00301583">
        <w:t xml:space="preserve">Rimavská Seč </w:t>
      </w:r>
      <w:r w:rsidRPr="00301583">
        <w:t>go the vocational training or secondary school, most frequently to Rimavská Sobota</w:t>
      </w:r>
      <w:r w:rsidR="002D4A57" w:rsidRPr="00301583">
        <w:t>, the district centre</w:t>
      </w:r>
      <w:r w:rsidRPr="00301583">
        <w:t xml:space="preserve"> or </w:t>
      </w:r>
      <w:r w:rsidRPr="00301583">
        <w:rPr>
          <w:iCs/>
        </w:rPr>
        <w:t>Tornaľa</w:t>
      </w:r>
      <w:r w:rsidR="002D4A57" w:rsidRPr="00301583">
        <w:rPr>
          <w:iCs/>
        </w:rPr>
        <w:t xml:space="preserve">, a small town 20 km far </w:t>
      </w:r>
      <w:r w:rsidR="005344B6" w:rsidRPr="00301583">
        <w:rPr>
          <w:iCs/>
        </w:rPr>
        <w:t xml:space="preserve">from the village </w:t>
      </w:r>
      <w:r w:rsidR="002D4A57" w:rsidRPr="00301583">
        <w:rPr>
          <w:iCs/>
        </w:rPr>
        <w:t>in the neighbouring district</w:t>
      </w:r>
      <w:r w:rsidR="005344B6" w:rsidRPr="00301583">
        <w:rPr>
          <w:iCs/>
        </w:rPr>
        <w:t xml:space="preserve"> of Revúca</w:t>
      </w:r>
      <w:r w:rsidRPr="00301583">
        <w:t>, and to Hnúšťa</w:t>
      </w:r>
      <w:r w:rsidR="005344B6" w:rsidRPr="00301583">
        <w:t>, the closest town</w:t>
      </w:r>
      <w:r w:rsidRPr="00301583">
        <w:t xml:space="preserve"> from Klenovec. </w:t>
      </w:r>
      <w:r w:rsidR="00E36600" w:rsidRPr="00301583">
        <w:t>(For the system of</w:t>
      </w:r>
      <w:r w:rsidR="005212F7" w:rsidRPr="00301583">
        <w:t xml:space="preserve"> secondary education in Slovakia see Annex </w:t>
      </w:r>
      <w:r w:rsidR="00925240" w:rsidRPr="00301583">
        <w:t>6</w:t>
      </w:r>
      <w:r w:rsidR="00E36600" w:rsidRPr="00301583">
        <w:t xml:space="preserve">) </w:t>
      </w:r>
      <w:r w:rsidRPr="00301583">
        <w:t>Very few Roma children turn up in gymnasiums, but if they do, they usually succeed in getting a GED (“mat</w:t>
      </w:r>
      <w:r w:rsidRPr="00301583">
        <w:t>u</w:t>
      </w:r>
      <w:r w:rsidRPr="00301583">
        <w:t xml:space="preserve">ration”). The dropout rate is usually high in vocational schools, particularly in the case of female students: early pregnancy as the main cause of girls’ leaving school was mentioned by the principals of vocational schools in both Hnúšťa and Rimavská Sobota. Male students usually chose the two-year classes in Hnúšťa just to fulfil the requirement of 10 years </w:t>
      </w:r>
      <w:r w:rsidR="00D51B8F" w:rsidRPr="00301583">
        <w:t xml:space="preserve">of </w:t>
      </w:r>
      <w:r w:rsidRPr="00301583">
        <w:t xml:space="preserve">compulsory education up to the age of 16. When </w:t>
      </w:r>
      <w:r w:rsidR="005344B6" w:rsidRPr="00301583">
        <w:t xml:space="preserve">such students </w:t>
      </w:r>
      <w:r w:rsidRPr="00301583">
        <w:t xml:space="preserve">reach the age of 16 immediately leave the school without any qualification or occupation. </w:t>
      </w:r>
      <w:r w:rsidR="005344B6" w:rsidRPr="00301583">
        <w:t>T</w:t>
      </w:r>
      <w:r w:rsidRPr="00301583">
        <w:t>hey often miss classes during their short secondary education carrier because they already have seasonal, sometimes illegal job. Increasing number of cases appears when students leave school early because their family migrates to abroad</w:t>
      </w:r>
      <w:r w:rsidR="005344B6" w:rsidRPr="00301583">
        <w:t xml:space="preserve"> for work</w:t>
      </w:r>
      <w:r w:rsidRPr="00301583">
        <w:t>. According to the experiments of the principal of vocational secon</w:t>
      </w:r>
      <w:r w:rsidRPr="00301583">
        <w:t>d</w:t>
      </w:r>
      <w:r w:rsidRPr="00301583">
        <w:lastRenderedPageBreak/>
        <w:t>ary school in Rimavská Sobota, parents sometimes are</w:t>
      </w:r>
      <w:r w:rsidR="005344B6" w:rsidRPr="00301583">
        <w:t xml:space="preserve"> almost</w:t>
      </w:r>
      <w:r w:rsidRPr="00301583">
        <w:t xml:space="preserve"> begging for teacher to oblige their child to repeat grade in elementary school because </w:t>
      </w:r>
      <w:r w:rsidR="00D51B8F" w:rsidRPr="00301583">
        <w:t xml:space="preserve">they </w:t>
      </w:r>
      <w:r w:rsidRPr="00301583">
        <w:t>cannot afford th</w:t>
      </w:r>
      <w:r w:rsidR="00DB66E0">
        <w:t xml:space="preserve">e cost of secondary education. </w:t>
      </w:r>
    </w:p>
    <w:p w:rsidR="00D00C93" w:rsidRPr="00DB66E0" w:rsidRDefault="00D00C93" w:rsidP="00DB66E0">
      <w:pPr>
        <w:pStyle w:val="Heading4"/>
        <w:numPr>
          <w:ilvl w:val="0"/>
          <w:numId w:val="0"/>
        </w:numPr>
        <w:spacing w:before="240"/>
        <w:ind w:left="1304" w:hanging="1304"/>
        <w:rPr>
          <w:b w:val="0"/>
          <w:i/>
          <w:sz w:val="22"/>
          <w:szCs w:val="22"/>
        </w:rPr>
      </w:pPr>
      <w:r w:rsidRPr="00DB66E0">
        <w:rPr>
          <w:b w:val="0"/>
          <w:i/>
          <w:sz w:val="22"/>
          <w:szCs w:val="22"/>
        </w:rPr>
        <w:t>Schools of special education: a dead-end road</w:t>
      </w:r>
    </w:p>
    <w:p w:rsidR="00D00C93" w:rsidRPr="00301583" w:rsidRDefault="00D00C93" w:rsidP="00045F19">
      <w:pPr>
        <w:spacing w:line="276" w:lineRule="auto"/>
      </w:pPr>
      <w:r w:rsidRPr="00301583">
        <w:t>Special education schools are operated in both researched villages for the so-called ‘mentally handicapped’ children. It is symptomatic that all the pupils enrolled in the special school in Rimavská Seč are Roma, according to our own observation and the informal opinion of the teachers. In Klenovec, 60 of the 62 students are socially di</w:t>
      </w:r>
      <w:r w:rsidRPr="00301583">
        <w:t>s</w:t>
      </w:r>
      <w:r w:rsidRPr="00301583">
        <w:t>advantaged, nevertheless, the principal of the school avoided declaring that any would be Roma. Principals of the standard elementary schools and the special schools argued in both villages that such schools providing specific pedagogical methods and reduced curricula are the right institutions for the mentally handicapped children.</w:t>
      </w:r>
      <w:r w:rsidR="00AF33F5">
        <w:t xml:space="preserve"> </w:t>
      </w:r>
      <w:r w:rsidRPr="00301583">
        <w:t>However, doubts have been voiced and confirmed. According to these voi</w:t>
      </w:r>
      <w:r w:rsidRPr="00301583">
        <w:t>c</w:t>
      </w:r>
      <w:r w:rsidRPr="00301583">
        <w:t>es, in addition to the truly handicapped, Roma children with serious social disa</w:t>
      </w:r>
      <w:r w:rsidRPr="00301583">
        <w:t>d</w:t>
      </w:r>
      <w:r w:rsidRPr="00301583">
        <w:t xml:space="preserve">vantages and socialisation deficits </w:t>
      </w:r>
      <w:r w:rsidR="00D51B8F" w:rsidRPr="00301583">
        <w:t xml:space="preserve">have </w:t>
      </w:r>
      <w:r w:rsidRPr="00301583">
        <w:t>tended to be enrolled in special schools (see for example Lajčaková</w:t>
      </w:r>
      <w:r w:rsidR="000D53C4">
        <w:t>, 2012, p. 28-</w:t>
      </w:r>
      <w:r w:rsidRPr="00301583">
        <w:t xml:space="preserve">29). </w:t>
      </w:r>
    </w:p>
    <w:p w:rsidR="00D00C93" w:rsidRPr="00301583" w:rsidRDefault="00D00C93" w:rsidP="00045F19">
      <w:pPr>
        <w:spacing w:line="276" w:lineRule="auto"/>
      </w:pPr>
      <w:r w:rsidRPr="00301583">
        <w:t xml:space="preserve">Beyond the local special school, special classes with reduced numbers </w:t>
      </w:r>
      <w:r w:rsidR="00D51B8F" w:rsidRPr="00301583">
        <w:t>we</w:t>
      </w:r>
      <w:r w:rsidRPr="00301583">
        <w:t>re also operated in lower grades in Rimavská Seč</w:t>
      </w:r>
      <w:r w:rsidR="00D51B8F" w:rsidRPr="00301583">
        <w:t xml:space="preserve"> in 2013</w:t>
      </w:r>
      <w:r w:rsidRPr="00301583">
        <w:t xml:space="preserve">. Pupils whose achievement at entrance assessment was poor and/or who performed extremely poorly in normal classes </w:t>
      </w:r>
      <w:r w:rsidR="00F627B1" w:rsidRPr="00301583">
        <w:t>we</w:t>
      </w:r>
      <w:r w:rsidRPr="00301583">
        <w:t>re enrolled in “catch-up programmes.” Some of those children w</w:t>
      </w:r>
      <w:r w:rsidR="00F627B1" w:rsidRPr="00301583">
        <w:t>ould</w:t>
      </w:r>
      <w:r w:rsidRPr="00301583">
        <w:t xml:space="preserve"> co</w:t>
      </w:r>
      <w:r w:rsidRPr="00301583">
        <w:t>n</w:t>
      </w:r>
      <w:r w:rsidRPr="00301583">
        <w:t>tinue studies in the special school after first grade, while others remain within a catch-up programme: after their first grade at the standard school, usually 5-6 chi</w:t>
      </w:r>
      <w:r w:rsidRPr="00301583">
        <w:t>l</w:t>
      </w:r>
      <w:r w:rsidRPr="00301583">
        <w:t>dren are accepted by the special education school each year. The principal of the school of special education</w:t>
      </w:r>
      <w:r w:rsidR="000058C1">
        <w:t xml:space="preserve"> is</w:t>
      </w:r>
      <w:r w:rsidR="00AF33F5">
        <w:t xml:space="preserve"> </w:t>
      </w:r>
      <w:r w:rsidR="00F627B1" w:rsidRPr="00301583">
        <w:t>used to identify</w:t>
      </w:r>
      <w:r w:rsidRPr="00301583">
        <w:t xml:space="preserve"> children </w:t>
      </w:r>
      <w:r w:rsidR="00F627B1" w:rsidRPr="00301583">
        <w:t xml:space="preserve">to </w:t>
      </w:r>
      <w:r w:rsidRPr="00301583">
        <w:t>be transferred</w:t>
      </w:r>
      <w:r w:rsidR="00F627B1" w:rsidRPr="00301583">
        <w:t xml:space="preserve"> from the standard school</w:t>
      </w:r>
      <w:r w:rsidRPr="00301583">
        <w:t>, in close co-operation with his colleagues. His judgment, however, is subject to the approval of the educational counsellor of the district centre, as well as the approval of the child’s parents.</w:t>
      </w:r>
    </w:p>
    <w:p w:rsidR="00D00C93" w:rsidRPr="00301583" w:rsidRDefault="00D00C93" w:rsidP="00045F19">
      <w:pPr>
        <w:spacing w:line="276" w:lineRule="auto"/>
      </w:pPr>
      <w:r w:rsidRPr="00301583">
        <w:t>The segregation effect of the special school system in Slovakia lies in its ‘parallel but not equivalent’ character (Lajčaková</w:t>
      </w:r>
      <w:r w:rsidR="000D53C4">
        <w:t>,</w:t>
      </w:r>
      <w:r w:rsidRPr="00301583">
        <w:t xml:space="preserve"> 2012). Pupils </w:t>
      </w:r>
      <w:r w:rsidR="00F627B1" w:rsidRPr="00301583">
        <w:t xml:space="preserve">graduating from </w:t>
      </w:r>
      <w:r w:rsidRPr="00301583">
        <w:t>special eleme</w:t>
      </w:r>
      <w:r w:rsidRPr="00301583">
        <w:t>n</w:t>
      </w:r>
      <w:r w:rsidRPr="00301583">
        <w:t xml:space="preserve">tary schools are allowed to continue their studies only at special vocational training schools, qualifying them only as </w:t>
      </w:r>
      <w:r w:rsidR="00F15D0E" w:rsidRPr="00301583">
        <w:t xml:space="preserve">so called </w:t>
      </w:r>
      <w:r w:rsidRPr="00301583">
        <w:t>assistant skilled workers</w:t>
      </w:r>
      <w:r w:rsidR="00376832">
        <w:t xml:space="preserve">. </w:t>
      </w:r>
      <w:r w:rsidR="00F627B1" w:rsidRPr="00301583">
        <w:t>T</w:t>
      </w:r>
      <w:r w:rsidRPr="00301583">
        <w:t xml:space="preserve">hus a certain second-rate </w:t>
      </w:r>
      <w:r w:rsidR="00F15D0E" w:rsidRPr="00301583">
        <w:t xml:space="preserve">parallel </w:t>
      </w:r>
      <w:r w:rsidRPr="00301583">
        <w:t>educational route is designated for pupils attending special ed</w:t>
      </w:r>
      <w:r w:rsidRPr="00301583">
        <w:t>u</w:t>
      </w:r>
      <w:r w:rsidRPr="00301583">
        <w:t xml:space="preserve">cation. Getting back to the standard system is possible only before finishing special elementary school, based on the decision of the educational counsellor of the district centre. But, according to the memories of our respondents, such a case has never happened in the villages concerned. Another more hidden segregation effect of the special education system is the rare appearance of special secondary schools all over the country. If a student completes </w:t>
      </w:r>
      <w:r w:rsidR="000058C1">
        <w:t>their</w:t>
      </w:r>
      <w:r w:rsidRPr="00301583">
        <w:t xml:space="preserve"> stud</w:t>
      </w:r>
      <w:r w:rsidR="000058C1">
        <w:t>ies</w:t>
      </w:r>
      <w:r w:rsidRPr="00301583">
        <w:t xml:space="preserve"> in time at a special elementary school, without repeating grades, </w:t>
      </w:r>
      <w:r w:rsidR="000058C1">
        <w:t>they</w:t>
      </w:r>
      <w:r w:rsidR="00AF33F5">
        <w:t xml:space="preserve"> </w:t>
      </w:r>
      <w:r w:rsidR="000D53C4">
        <w:t>are</w:t>
      </w:r>
      <w:r w:rsidRPr="00301583">
        <w:t xml:space="preserve"> still within the age of compulsory educ</w:t>
      </w:r>
      <w:r w:rsidRPr="00301583">
        <w:t>a</w:t>
      </w:r>
      <w:r w:rsidRPr="00301583">
        <w:t xml:space="preserve">tion, thus </w:t>
      </w:r>
      <w:r w:rsidR="000058C1">
        <w:t xml:space="preserve">they </w:t>
      </w:r>
      <w:r w:rsidRPr="00301583">
        <w:t>still ha</w:t>
      </w:r>
      <w:r w:rsidR="000058C1">
        <w:t>ve</w:t>
      </w:r>
      <w:r w:rsidR="000D53C4">
        <w:t xml:space="preserve"> to continue studying, </w:t>
      </w:r>
      <w:r w:rsidRPr="00301583">
        <w:t xml:space="preserve">but coming more likely from a Roma and/or poor family, the cost of attendance in a distant school is unaffordable for </w:t>
      </w:r>
      <w:r w:rsidR="000058C1">
        <w:t>their</w:t>
      </w:r>
      <w:r w:rsidRPr="00301583">
        <w:t xml:space="preserve"> family. The principal of Klenovec special elementary school has mentioned that their students apply and are admitted to special secondary schools</w:t>
      </w:r>
      <w:r w:rsidR="009D2C0E">
        <w:t>;</w:t>
      </w:r>
      <w:r w:rsidRPr="00301583">
        <w:t xml:space="preserve"> however, most </w:t>
      </w:r>
      <w:r w:rsidR="00F15D0E" w:rsidRPr="00301583">
        <w:t xml:space="preserve">of them </w:t>
      </w:r>
      <w:r w:rsidRPr="00301583">
        <w:t>never turn up in September, or they leave school after only a few months of attendance. The special school students of Rimavská Seč perform better at the se</w:t>
      </w:r>
      <w:r w:rsidRPr="00301583">
        <w:t>c</w:t>
      </w:r>
      <w:r w:rsidRPr="00301583">
        <w:lastRenderedPageBreak/>
        <w:t xml:space="preserve">ondary level according to the principal of the school, who said their former students completed special secondary schools. </w:t>
      </w:r>
    </w:p>
    <w:p w:rsidR="00D00C93" w:rsidRPr="00301583" w:rsidRDefault="00D00C93" w:rsidP="00045F19">
      <w:pPr>
        <w:spacing w:line="276" w:lineRule="auto"/>
      </w:pPr>
      <w:r w:rsidRPr="00301583">
        <w:t>Principals of the special elementary schools we visited stressed that in many cases parents themselves appeal for placing their children into special education. Our field experiences confirmed that some of our Roma respondents from among the repr</w:t>
      </w:r>
      <w:r w:rsidRPr="00301583">
        <w:t>e</w:t>
      </w:r>
      <w:r w:rsidRPr="00301583">
        <w:t>sentatives of parents in Rimavská Seč did not mind</w:t>
      </w:r>
      <w:r w:rsidR="000D53C4">
        <w:t xml:space="preserve"> or</w:t>
      </w:r>
      <w:r w:rsidRPr="00301583">
        <w:t xml:space="preserve"> they even preferred if their children attended the local special school, because they themselves had studied there or their older children had been also enrolled at the special school. They e</w:t>
      </w:r>
      <w:r w:rsidRPr="00301583">
        <w:t>x</w:t>
      </w:r>
      <w:r w:rsidRPr="00301583">
        <w:t>plained that the level of education provided at special school was adequate, and that some students performed quite well at the special school, which could not have ha</w:t>
      </w:r>
      <w:r w:rsidRPr="00301583">
        <w:t>p</w:t>
      </w:r>
      <w:r w:rsidRPr="00301583">
        <w:t>pened at the standard school. Some scholars have argued the low educational a</w:t>
      </w:r>
      <w:r w:rsidRPr="00301583">
        <w:t>t</w:t>
      </w:r>
      <w:r w:rsidRPr="00301583">
        <w:t>tendance and the weak performance of the Roma is also impacted by their negative experiences regarding the value of and the need for education in climbing upwards on the social ladder (Rigová et al.</w:t>
      </w:r>
      <w:r w:rsidR="000D53C4">
        <w:t xml:space="preserve">, 2003, p. </w:t>
      </w:r>
      <w:r w:rsidRPr="00301583">
        <w:t>416). This assumption, linking the sy</w:t>
      </w:r>
      <w:r w:rsidRPr="00301583">
        <w:t>m</w:t>
      </w:r>
      <w:r w:rsidRPr="00301583">
        <w:t>bolic and the psychological exclusion of the Roma people (discrimination) is still prevalent in Slovakia, and it is one of the main factors behind social exclusion. Some of our respondents argued that standard education in Slovakia is inappropriate for Roma children, as it does not match their skills and abilities; they emphasised that the strict, rigid system and the disciplinarian methods of teaching generate imped</w:t>
      </w:r>
      <w:r w:rsidRPr="00301583">
        <w:t>i</w:t>
      </w:r>
      <w:r w:rsidRPr="00301583">
        <w:t>ments before the Roma children’s good performance in education.</w:t>
      </w:r>
    </w:p>
    <w:p w:rsidR="00D04E7B" w:rsidRPr="00301583" w:rsidRDefault="00D04E7B" w:rsidP="000C7211"/>
    <w:p w:rsidR="00D04E7B" w:rsidRPr="00301583" w:rsidRDefault="00985D85" w:rsidP="000C7211">
      <w:r w:rsidRPr="00301583">
        <w:br w:type="page"/>
      </w:r>
    </w:p>
    <w:p w:rsidR="00D00C93" w:rsidRDefault="00E9042F" w:rsidP="004A0571">
      <w:pPr>
        <w:pStyle w:val="Heading1"/>
        <w:rPr>
          <w:noProof/>
        </w:rPr>
      </w:pPr>
      <w:bookmarkStart w:id="98" w:name="_Toc380500968"/>
      <w:bookmarkStart w:id="99" w:name="_Toc385271095"/>
      <w:bookmarkStart w:id="100" w:name="_Toc385939058"/>
      <w:r>
        <w:rPr>
          <w:noProof/>
        </w:rPr>
        <w:lastRenderedPageBreak/>
        <w:t>Analysis of u</w:t>
      </w:r>
      <w:r w:rsidR="00536563" w:rsidRPr="00301583">
        <w:rPr>
          <w:noProof/>
        </w:rPr>
        <w:t xml:space="preserve">nderlying </w:t>
      </w:r>
      <w:r>
        <w:rPr>
          <w:noProof/>
        </w:rPr>
        <w:t>processes and t</w:t>
      </w:r>
      <w:r w:rsidR="00536563" w:rsidRPr="00301583">
        <w:rPr>
          <w:noProof/>
        </w:rPr>
        <w:t>rends</w:t>
      </w:r>
      <w:bookmarkEnd w:id="98"/>
      <w:bookmarkEnd w:id="99"/>
      <w:bookmarkEnd w:id="100"/>
    </w:p>
    <w:p w:rsidR="00F627B1" w:rsidRPr="00B074CE" w:rsidRDefault="00B4705E" w:rsidP="000D53C4">
      <w:pPr>
        <w:pStyle w:val="Heading2"/>
        <w:spacing w:before="360"/>
      </w:pPr>
      <w:bookmarkStart w:id="101" w:name="_Toc380500969"/>
      <w:bookmarkStart w:id="102" w:name="_Toc385271096"/>
      <w:bookmarkStart w:id="103" w:name="_Toc385939059"/>
      <w:r w:rsidRPr="00301583">
        <w:t>Policy measures</w:t>
      </w:r>
      <w:bookmarkEnd w:id="101"/>
      <w:bookmarkEnd w:id="102"/>
      <w:bookmarkEnd w:id="103"/>
    </w:p>
    <w:p w:rsidR="000D53C4" w:rsidRDefault="00B4705E" w:rsidP="00B074CE">
      <w:pPr>
        <w:spacing w:after="240" w:line="276" w:lineRule="auto"/>
      </w:pPr>
      <w:r w:rsidRPr="00301583">
        <w:rPr>
          <w:rFonts w:cs="Arial"/>
          <w:szCs w:val="22"/>
        </w:rPr>
        <w:t>According to the typology of Fenger, Slovakia belongs to the countries of combined post-socialist welfare regimes</w:t>
      </w:r>
      <w:r w:rsidR="006F36D6">
        <w:rPr>
          <w:rFonts w:cs="Arial"/>
          <w:szCs w:val="22"/>
        </w:rPr>
        <w:t xml:space="preserve"> (‘transitional’ in the TiPSE welfare regime typology)</w:t>
      </w:r>
      <w:r w:rsidRPr="00301583">
        <w:rPr>
          <w:rFonts w:cs="Arial"/>
          <w:szCs w:val="22"/>
        </w:rPr>
        <w:t xml:space="preserve">. </w:t>
      </w:r>
      <w:r w:rsidR="00A3335B" w:rsidRPr="00301583">
        <w:t>In relation to the social provisions of the Central and Eastern European countries, Lendvai emphasises the fluidity of welfare regimes, the influence of European Union before and after the accession as well as the impacts of economic and political changes taking place in the countries of the region. According to Lendvai, in sharp contrast to the “complete patchwork” characteristic of the Hungarian and Polish we</w:t>
      </w:r>
      <w:r w:rsidR="00A3335B" w:rsidRPr="00301583">
        <w:t>l</w:t>
      </w:r>
      <w:r w:rsidR="00A3335B" w:rsidRPr="00301583">
        <w:t>fare systems with a “large state” and “jobless growth,” by 2006, the Baltic States, and later on Slovakia opted for the neoliberal model with “radical economic reforms r</w:t>
      </w:r>
      <w:r w:rsidR="00A3335B" w:rsidRPr="00301583">
        <w:t>e</w:t>
      </w:r>
      <w:r w:rsidR="00A3335B" w:rsidRPr="00301583">
        <w:t>sulting in minimal states, low welfare spending, low taxes, strongly deregulated l</w:t>
      </w:r>
      <w:r w:rsidR="00A3335B" w:rsidRPr="00301583">
        <w:t>a</w:t>
      </w:r>
      <w:r w:rsidR="00A3335B" w:rsidRPr="00301583">
        <w:t>bour markets and widespread liberalism… with minimal welfare commitments,” whilst the Czech Republic and Slovenia established a kind of “Scandinavian i</w:t>
      </w:r>
      <w:r w:rsidR="000D53C4">
        <w:t>sland” in post-communist Europe (Lendvai, 2009:21</w:t>
      </w:r>
      <w:r w:rsidR="00A3335B" w:rsidRPr="00301583">
        <w:t>)</w:t>
      </w:r>
      <w:r w:rsidR="000D53C4">
        <w:t>.</w:t>
      </w:r>
      <w:r w:rsidR="00A3335B" w:rsidRPr="00301583">
        <w:rPr>
          <w:rStyle w:val="FootnoteReference"/>
        </w:rPr>
        <w:footnoteReference w:id="16"/>
      </w:r>
      <w:r w:rsidR="00D46EA9" w:rsidRPr="00301583">
        <w:t xml:space="preserve"> The below figure </w:t>
      </w:r>
      <w:r w:rsidR="00812538" w:rsidRPr="00301583">
        <w:t xml:space="preserve">illustrate the relatively low welfare spending of Slovakia thus </w:t>
      </w:r>
      <w:r w:rsidR="00D46EA9" w:rsidRPr="00301583">
        <w:t>seems to support Lendvai’s concept:</w:t>
      </w:r>
    </w:p>
    <w:p w:rsidR="004A0571" w:rsidRPr="004A0571" w:rsidRDefault="004A0571" w:rsidP="00B074CE">
      <w:pPr>
        <w:spacing w:after="240" w:line="276" w:lineRule="auto"/>
        <w:rPr>
          <w:sz w:val="10"/>
          <w:szCs w:val="10"/>
        </w:rPr>
      </w:pPr>
    </w:p>
    <w:p w:rsidR="000F78CF" w:rsidRPr="00301583" w:rsidRDefault="00350D91" w:rsidP="00B4705E">
      <w:pPr>
        <w:rPr>
          <w:noProof/>
          <w:lang w:eastAsia="en-GB"/>
        </w:rPr>
      </w:pPr>
      <w:r>
        <w:rPr>
          <w:noProof/>
          <w:lang w:val="fi-FI" w:eastAsia="fi-FI"/>
        </w:rPr>
        <w:drawing>
          <wp:inline distT="0" distB="0" distL="0" distR="0" wp14:anchorId="5AF66D50" wp14:editId="3ACC6CAE">
            <wp:extent cx="4498975" cy="2651232"/>
            <wp:effectExtent l="19050" t="0" r="15875" b="0"/>
            <wp:docPr id="20" name="Diagra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3335B" w:rsidRDefault="00A3335B" w:rsidP="00A3335B">
      <w:pPr>
        <w:pStyle w:val="Caption"/>
        <w:rPr>
          <w:noProof/>
          <w:lang w:eastAsia="en-GB"/>
        </w:rPr>
      </w:pPr>
      <w:bookmarkStart w:id="104" w:name="_Toc392105198"/>
      <w:bookmarkStart w:id="105" w:name="_Toc392509053"/>
      <w:r w:rsidRPr="00301583">
        <w:rPr>
          <w:noProof/>
          <w:lang w:eastAsia="en-GB"/>
        </w:rPr>
        <w:t>Figure</w:t>
      </w:r>
      <w:r w:rsidR="00E9042F">
        <w:rPr>
          <w:noProof/>
          <w:lang w:eastAsia="en-GB"/>
        </w:rPr>
        <w:t xml:space="preserve"> </w:t>
      </w:r>
      <w:r w:rsidR="00B759C8">
        <w:fldChar w:fldCharType="begin"/>
      </w:r>
      <w:r w:rsidR="00A752E6">
        <w:instrText xml:space="preserve"> SEQ Figure \* ARABIC </w:instrText>
      </w:r>
      <w:r w:rsidR="00B759C8">
        <w:fldChar w:fldCharType="separate"/>
      </w:r>
      <w:r w:rsidR="00DC6D66">
        <w:rPr>
          <w:noProof/>
        </w:rPr>
        <w:t>7</w:t>
      </w:r>
      <w:r w:rsidR="00B759C8">
        <w:rPr>
          <w:noProof/>
        </w:rPr>
        <w:fldChar w:fldCharType="end"/>
      </w:r>
      <w:r w:rsidR="00E9042F">
        <w:t>:</w:t>
      </w:r>
      <w:r w:rsidR="00E9042F">
        <w:rPr>
          <w:noProof/>
          <w:lang w:eastAsia="en-GB"/>
        </w:rPr>
        <w:t xml:space="preserve"> Welfare spending of post s</w:t>
      </w:r>
      <w:r w:rsidRPr="00301583">
        <w:rPr>
          <w:noProof/>
          <w:lang w:eastAsia="en-GB"/>
        </w:rPr>
        <w:t>ocialis</w:t>
      </w:r>
      <w:r w:rsidR="00E9042F">
        <w:rPr>
          <w:noProof/>
          <w:lang w:eastAsia="en-GB"/>
        </w:rPr>
        <w:t>t c</w:t>
      </w:r>
      <w:r w:rsidRPr="00301583">
        <w:rPr>
          <w:noProof/>
          <w:lang w:eastAsia="en-GB"/>
        </w:rPr>
        <w:t>ountries</w:t>
      </w:r>
      <w:r w:rsidR="000D53C4">
        <w:rPr>
          <w:noProof/>
          <w:lang w:eastAsia="en-GB"/>
        </w:rPr>
        <w:t>,</w:t>
      </w:r>
      <w:r w:rsidRPr="00301583">
        <w:rPr>
          <w:noProof/>
          <w:lang w:eastAsia="en-GB"/>
        </w:rPr>
        <w:t xml:space="preserve"> 2010</w:t>
      </w:r>
      <w:bookmarkEnd w:id="104"/>
      <w:bookmarkEnd w:id="105"/>
    </w:p>
    <w:p w:rsidR="000D53C4" w:rsidRPr="0040458C" w:rsidRDefault="000D53C4" w:rsidP="000D53C4">
      <w:pPr>
        <w:spacing w:after="240" w:line="240" w:lineRule="auto"/>
        <w:rPr>
          <w:rFonts w:cs="Arial"/>
          <w:sz w:val="16"/>
          <w:szCs w:val="16"/>
        </w:rPr>
      </w:pPr>
      <w:r w:rsidRPr="000D53C4">
        <w:rPr>
          <w:b/>
          <w:noProof/>
          <w:sz w:val="16"/>
          <w:szCs w:val="16"/>
          <w:lang w:eastAsia="en-GB"/>
        </w:rPr>
        <w:t>Source:</w:t>
      </w:r>
      <w:r w:rsidRPr="0040458C">
        <w:rPr>
          <w:noProof/>
          <w:sz w:val="16"/>
          <w:szCs w:val="16"/>
          <w:lang w:eastAsia="en-GB"/>
        </w:rPr>
        <w:t xml:space="preserve"> Compiled from Eurostat data Expenditure: main results [spr_exp_sum]</w:t>
      </w:r>
    </w:p>
    <w:p w:rsidR="000D53C4" w:rsidRPr="000D53C4" w:rsidRDefault="000D53C4" w:rsidP="000D53C4">
      <w:pPr>
        <w:rPr>
          <w:lang w:eastAsia="en-GB"/>
        </w:rPr>
      </w:pPr>
    </w:p>
    <w:p w:rsidR="00D46EA9" w:rsidRPr="00301583" w:rsidRDefault="00B4705E" w:rsidP="00045F19">
      <w:pPr>
        <w:spacing w:line="276" w:lineRule="auto"/>
        <w:rPr>
          <w:rFonts w:cs="Arial"/>
          <w:szCs w:val="22"/>
        </w:rPr>
      </w:pPr>
      <w:r w:rsidRPr="00301583">
        <w:rPr>
          <w:rFonts w:cs="Arial"/>
          <w:szCs w:val="22"/>
        </w:rPr>
        <w:lastRenderedPageBreak/>
        <w:t xml:space="preserve">However, generous universal provisions looked to be more </w:t>
      </w:r>
      <w:r w:rsidR="004E18F1" w:rsidRPr="00301583">
        <w:rPr>
          <w:rFonts w:cs="Arial"/>
          <w:szCs w:val="22"/>
        </w:rPr>
        <w:t>prevalent</w:t>
      </w:r>
      <w:r w:rsidRPr="00301583">
        <w:rPr>
          <w:rFonts w:cs="Arial"/>
          <w:szCs w:val="22"/>
        </w:rPr>
        <w:t xml:space="preserve"> in Slovakia</w:t>
      </w:r>
      <w:r w:rsidR="00D46EA9" w:rsidRPr="00301583">
        <w:rPr>
          <w:rFonts w:cs="Arial"/>
          <w:szCs w:val="22"/>
        </w:rPr>
        <w:t xml:space="preserve"> up until the end of 2013</w:t>
      </w:r>
      <w:r w:rsidRPr="00301583">
        <w:rPr>
          <w:rFonts w:cs="Arial"/>
          <w:szCs w:val="22"/>
        </w:rPr>
        <w:t xml:space="preserve"> as compared </w:t>
      </w:r>
      <w:r w:rsidR="001A6393" w:rsidRPr="00301583">
        <w:rPr>
          <w:rFonts w:cs="Arial"/>
          <w:szCs w:val="22"/>
        </w:rPr>
        <w:t xml:space="preserve">to </w:t>
      </w:r>
      <w:r w:rsidRPr="00301583">
        <w:rPr>
          <w:rFonts w:cs="Arial"/>
          <w:szCs w:val="22"/>
        </w:rPr>
        <w:t>Hungary</w:t>
      </w:r>
      <w:r w:rsidR="00D46EA9" w:rsidRPr="00301583">
        <w:rPr>
          <w:rFonts w:cs="Arial"/>
          <w:szCs w:val="22"/>
        </w:rPr>
        <w:t>,</w:t>
      </w:r>
      <w:r w:rsidRPr="00301583">
        <w:rPr>
          <w:rFonts w:cs="Arial"/>
          <w:szCs w:val="22"/>
        </w:rPr>
        <w:t xml:space="preserve"> partly as a legacy of socialist past, partly as a result of the ruling left-wing political agenda. </w:t>
      </w:r>
    </w:p>
    <w:p w:rsidR="00D46EA9" w:rsidRPr="00301583" w:rsidRDefault="00D46EA9" w:rsidP="00B4705E">
      <w:pPr>
        <w:rPr>
          <w:rFonts w:cs="Arial"/>
          <w:szCs w:val="22"/>
        </w:rPr>
      </w:pPr>
    </w:p>
    <w:p w:rsidR="00D46EA9" w:rsidRPr="00B074CE" w:rsidRDefault="00D46EA9" w:rsidP="00B4705E">
      <w:pPr>
        <w:pStyle w:val="Heading3"/>
      </w:pPr>
      <w:bookmarkStart w:id="106" w:name="_Toc385271097"/>
      <w:bookmarkStart w:id="107" w:name="_Toc385939060"/>
      <w:r w:rsidRPr="00301583">
        <w:t xml:space="preserve">Social and educational </w:t>
      </w:r>
      <w:r w:rsidR="00C14D2C" w:rsidRPr="00301583">
        <w:t>policies</w:t>
      </w:r>
      <w:bookmarkEnd w:id="106"/>
      <w:bookmarkEnd w:id="107"/>
    </w:p>
    <w:p w:rsidR="00884948" w:rsidRPr="00301583" w:rsidRDefault="00B4705E" w:rsidP="00045F19">
      <w:pPr>
        <w:spacing w:line="276" w:lineRule="auto"/>
        <w:rPr>
          <w:rFonts w:cs="Arial"/>
        </w:rPr>
      </w:pPr>
      <w:r w:rsidRPr="00301583">
        <w:rPr>
          <w:rFonts w:cs="Arial"/>
        </w:rPr>
        <w:t>The low turn-up rates of Roma children in pre</w:t>
      </w:r>
      <w:r w:rsidR="008B7E94" w:rsidRPr="00301583">
        <w:rPr>
          <w:rFonts w:cs="Arial"/>
        </w:rPr>
        <w:t>-</w:t>
      </w:r>
      <w:r w:rsidRPr="00301583">
        <w:rPr>
          <w:rFonts w:cs="Arial"/>
        </w:rPr>
        <w:t xml:space="preserve">schools as well as the dense network of special schools and classes segregating Roma students have been criticized by a number of studies and evaluations. </w:t>
      </w:r>
    </w:p>
    <w:p w:rsidR="00C02F4B" w:rsidRPr="00301583" w:rsidRDefault="00C02F4B" w:rsidP="00045F19">
      <w:pPr>
        <w:spacing w:line="276" w:lineRule="auto"/>
        <w:rPr>
          <w:rFonts w:cs="Arial"/>
        </w:rPr>
      </w:pPr>
      <w:r w:rsidRPr="00301583">
        <w:rPr>
          <w:rFonts w:cs="Arial"/>
        </w:rPr>
        <w:t xml:space="preserve">The continued disproportionate streaming of Roma children in special education and the fact that in many special schools and classes the majority of students are Roma, point to the long way that desegregation policies in the Slovak Republic still have to go. </w:t>
      </w:r>
      <w:r w:rsidR="00F23B22" w:rsidRPr="00301583">
        <w:rPr>
          <w:rFonts w:cs="Arial"/>
        </w:rPr>
        <w:t xml:space="preserve">The </w:t>
      </w:r>
      <w:r w:rsidR="000D040F" w:rsidRPr="00301583">
        <w:rPr>
          <w:rFonts w:cs="Arial"/>
        </w:rPr>
        <w:t xml:space="preserve">Strategy for Integration of Roma </w:t>
      </w:r>
      <w:r w:rsidR="00F23B22" w:rsidRPr="00301583">
        <w:rPr>
          <w:rFonts w:cs="Arial"/>
        </w:rPr>
        <w:t xml:space="preserve">quotes the study of the Roma Educational Fund prepared in 2009, according to which 60% of all students in special schools </w:t>
      </w:r>
      <w:r w:rsidR="00CE65C2" w:rsidRPr="00301583">
        <w:rPr>
          <w:rFonts w:cs="Arial"/>
        </w:rPr>
        <w:t xml:space="preserve">and </w:t>
      </w:r>
      <w:r w:rsidR="00FF1064" w:rsidRPr="00301583">
        <w:rPr>
          <w:rFonts w:cs="Arial"/>
        </w:rPr>
        <w:t xml:space="preserve">83% of pupils </w:t>
      </w:r>
      <w:r w:rsidR="00CE65C2" w:rsidRPr="00301583">
        <w:rPr>
          <w:rFonts w:cs="Arial"/>
        </w:rPr>
        <w:t xml:space="preserve">in special classes of </w:t>
      </w:r>
      <w:r w:rsidR="00FF1064" w:rsidRPr="00301583">
        <w:rPr>
          <w:rFonts w:cs="Arial"/>
        </w:rPr>
        <w:t>regular elementary schools are Roma from ma</w:t>
      </w:r>
      <w:r w:rsidR="00FF1064" w:rsidRPr="00301583">
        <w:rPr>
          <w:rFonts w:cs="Arial"/>
        </w:rPr>
        <w:t>r</w:t>
      </w:r>
      <w:r w:rsidR="00FF1064" w:rsidRPr="00301583">
        <w:rPr>
          <w:rFonts w:cs="Arial"/>
        </w:rPr>
        <w:t>ginalized Roma communitie</w:t>
      </w:r>
      <w:r w:rsidR="000D53C4">
        <w:rPr>
          <w:rFonts w:cs="Arial"/>
        </w:rPr>
        <w:t>s (abbreviated as MRK children)</w:t>
      </w:r>
      <w:r w:rsidR="00FF1064" w:rsidRPr="00301583">
        <w:rPr>
          <w:rFonts w:cs="Arial"/>
        </w:rPr>
        <w:t xml:space="preserve"> (</w:t>
      </w:r>
      <w:r w:rsidR="000D040F" w:rsidRPr="00301583">
        <w:rPr>
          <w:rFonts w:cs="Arial"/>
        </w:rPr>
        <w:t>Strategy for Integration of Roma</w:t>
      </w:r>
      <w:r w:rsidR="000D53C4">
        <w:rPr>
          <w:rFonts w:cs="Arial"/>
        </w:rPr>
        <w:t>,</w:t>
      </w:r>
      <w:r w:rsidR="000D040F" w:rsidRPr="00301583">
        <w:rPr>
          <w:rFonts w:cs="Arial"/>
        </w:rPr>
        <w:t xml:space="preserve"> </w:t>
      </w:r>
      <w:r w:rsidR="000D53C4">
        <w:rPr>
          <w:rFonts w:cs="Arial"/>
        </w:rPr>
        <w:t xml:space="preserve">2012 p. </w:t>
      </w:r>
      <w:r w:rsidR="00FF1064" w:rsidRPr="00301583">
        <w:rPr>
          <w:rFonts w:cs="Arial"/>
        </w:rPr>
        <w:t xml:space="preserve">27) </w:t>
      </w:r>
    </w:p>
    <w:p w:rsidR="00B4705E" w:rsidRPr="00301583" w:rsidRDefault="00B4705E" w:rsidP="00045F19">
      <w:pPr>
        <w:spacing w:line="276" w:lineRule="auto"/>
        <w:rPr>
          <w:rFonts w:cs="Arial"/>
          <w:szCs w:val="22"/>
        </w:rPr>
      </w:pPr>
      <w:r w:rsidRPr="00301583">
        <w:rPr>
          <w:rFonts w:cs="Arial"/>
          <w:szCs w:val="22"/>
        </w:rPr>
        <w:t>So far, almost nothing has changed – at least in the two researched villages – co</w:t>
      </w:r>
      <w:r w:rsidRPr="00301583">
        <w:rPr>
          <w:rFonts w:cs="Arial"/>
          <w:szCs w:val="22"/>
        </w:rPr>
        <w:t>n</w:t>
      </w:r>
      <w:r w:rsidRPr="00301583">
        <w:rPr>
          <w:rFonts w:cs="Arial"/>
          <w:szCs w:val="22"/>
        </w:rPr>
        <w:t xml:space="preserve">cerning mainstream educational and welfare policies. Slovakia’s Roma Inclusion Strategy </w:t>
      </w:r>
      <w:r w:rsidR="00E757E2" w:rsidRPr="00301583">
        <w:rPr>
          <w:rFonts w:cs="Arial"/>
          <w:szCs w:val="22"/>
        </w:rPr>
        <w:t xml:space="preserve">addresses </w:t>
      </w:r>
      <w:r w:rsidR="00FF1064" w:rsidRPr="00301583">
        <w:rPr>
          <w:rFonts w:cs="Arial"/>
          <w:szCs w:val="22"/>
        </w:rPr>
        <w:t xml:space="preserve">these issues with much emphasis. </w:t>
      </w:r>
      <w:r w:rsidR="00E757E2" w:rsidRPr="00301583">
        <w:rPr>
          <w:rFonts w:cs="Arial"/>
          <w:szCs w:val="22"/>
        </w:rPr>
        <w:t xml:space="preserve">Proposed </w:t>
      </w:r>
      <w:r w:rsidR="00FF1064" w:rsidRPr="00301583">
        <w:rPr>
          <w:rFonts w:cs="Arial"/>
          <w:szCs w:val="22"/>
        </w:rPr>
        <w:t>measures are o</w:t>
      </w:r>
      <w:r w:rsidR="00FF1064" w:rsidRPr="00301583">
        <w:rPr>
          <w:rFonts w:cs="Arial"/>
          <w:szCs w:val="22"/>
        </w:rPr>
        <w:t>r</w:t>
      </w:r>
      <w:r w:rsidR="00FF1064" w:rsidRPr="00301583">
        <w:rPr>
          <w:rFonts w:cs="Arial"/>
          <w:szCs w:val="22"/>
        </w:rPr>
        <w:t>ganised along three axes:</w:t>
      </w:r>
    </w:p>
    <w:p w:rsidR="00FF1064" w:rsidRPr="00301583" w:rsidRDefault="00FF1064" w:rsidP="00045F19">
      <w:pPr>
        <w:numPr>
          <w:ilvl w:val="0"/>
          <w:numId w:val="15"/>
        </w:numPr>
        <w:spacing w:line="276" w:lineRule="auto"/>
        <w:rPr>
          <w:rFonts w:cs="Arial"/>
          <w:szCs w:val="22"/>
        </w:rPr>
      </w:pPr>
      <w:r w:rsidRPr="00301583">
        <w:rPr>
          <w:rFonts w:cs="Arial"/>
          <w:szCs w:val="22"/>
        </w:rPr>
        <w:t>investments into pre-primary education of MRK children along with supporting early childhood care programs</w:t>
      </w:r>
    </w:p>
    <w:p w:rsidR="00FF1064" w:rsidRPr="00301583" w:rsidRDefault="00FF1064" w:rsidP="00045F19">
      <w:pPr>
        <w:numPr>
          <w:ilvl w:val="0"/>
          <w:numId w:val="15"/>
        </w:numPr>
        <w:spacing w:line="276" w:lineRule="auto"/>
        <w:rPr>
          <w:rFonts w:cs="Arial"/>
          <w:szCs w:val="22"/>
        </w:rPr>
      </w:pPr>
      <w:r w:rsidRPr="00301583">
        <w:rPr>
          <w:rFonts w:cs="Arial"/>
          <w:szCs w:val="22"/>
        </w:rPr>
        <w:t>development and implementing desegregation standards … with the exce</w:t>
      </w:r>
      <w:r w:rsidRPr="00301583">
        <w:rPr>
          <w:rFonts w:cs="Arial"/>
          <w:szCs w:val="22"/>
        </w:rPr>
        <w:t>p</w:t>
      </w:r>
      <w:r w:rsidRPr="00301583">
        <w:rPr>
          <w:rFonts w:cs="Arial"/>
          <w:szCs w:val="22"/>
        </w:rPr>
        <w:t>tion of Roma national schools and the locations with majority representation of Roma population</w:t>
      </w:r>
    </w:p>
    <w:p w:rsidR="00FF1064" w:rsidRPr="00301583" w:rsidRDefault="00FF1064" w:rsidP="00045F19">
      <w:pPr>
        <w:numPr>
          <w:ilvl w:val="0"/>
          <w:numId w:val="15"/>
        </w:numPr>
        <w:spacing w:line="276" w:lineRule="auto"/>
        <w:rPr>
          <w:rFonts w:cs="Arial"/>
          <w:szCs w:val="22"/>
        </w:rPr>
      </w:pPr>
      <w:r w:rsidRPr="00301583">
        <w:rPr>
          <w:rFonts w:cs="Arial"/>
          <w:szCs w:val="22"/>
        </w:rPr>
        <w:t>developing specific models of school integration (inclusion) for a whole portf</w:t>
      </w:r>
      <w:r w:rsidRPr="00301583">
        <w:rPr>
          <w:rFonts w:cs="Arial"/>
          <w:szCs w:val="22"/>
        </w:rPr>
        <w:t>o</w:t>
      </w:r>
      <w:r w:rsidRPr="00301583">
        <w:rPr>
          <w:rFonts w:cs="Arial"/>
          <w:szCs w:val="22"/>
        </w:rPr>
        <w:t xml:space="preserve">lio of situations and target groups </w:t>
      </w:r>
      <w:r w:rsidRPr="00301583">
        <w:rPr>
          <w:rFonts w:cs="Arial"/>
        </w:rPr>
        <w:t>(</w:t>
      </w:r>
      <w:r w:rsidR="000D040F" w:rsidRPr="00301583">
        <w:rPr>
          <w:rFonts w:cs="Arial"/>
        </w:rPr>
        <w:t xml:space="preserve">Strategy for Integration of Roma </w:t>
      </w:r>
      <w:r w:rsidRPr="00301583">
        <w:rPr>
          <w:rFonts w:cs="Arial"/>
        </w:rPr>
        <w:t xml:space="preserve"> 2012:27) </w:t>
      </w:r>
    </w:p>
    <w:p w:rsidR="005D755A" w:rsidRPr="00301583" w:rsidRDefault="005D755A" w:rsidP="00045F19">
      <w:pPr>
        <w:spacing w:line="276" w:lineRule="auto"/>
        <w:rPr>
          <w:rFonts w:cs="Arial"/>
          <w:szCs w:val="22"/>
        </w:rPr>
      </w:pPr>
      <w:r w:rsidRPr="00301583">
        <w:rPr>
          <w:rFonts w:cs="Arial"/>
          <w:szCs w:val="22"/>
        </w:rPr>
        <w:t>The strategy is in</w:t>
      </w:r>
      <w:r w:rsidR="00FF1064" w:rsidRPr="00301583">
        <w:rPr>
          <w:rFonts w:cs="Arial"/>
          <w:szCs w:val="22"/>
        </w:rPr>
        <w:t xml:space="preserve"> </w:t>
      </w:r>
      <w:r w:rsidR="00FF1064" w:rsidRPr="00A6207F">
        <w:rPr>
          <w:rFonts w:cs="Arial"/>
          <w:szCs w:val="22"/>
        </w:rPr>
        <w:t>line with</w:t>
      </w:r>
      <w:r w:rsidRPr="00A6207F">
        <w:rPr>
          <w:rFonts w:cs="Arial"/>
          <w:szCs w:val="22"/>
        </w:rPr>
        <w:t xml:space="preserve"> the so-called “Comprehensive Development Program of Roma Settlements” adopted by the Slovakian government in 2002. The program then was reintroduced to the political discourse by Klara Orgovánová in 2005 since she was the Plenipotentiary of Slovak Government for Roma Communities at that time. The territorially and ethnically targeted</w:t>
      </w:r>
      <w:r w:rsidRPr="00301583">
        <w:rPr>
          <w:rFonts w:cs="Arial"/>
          <w:szCs w:val="22"/>
        </w:rPr>
        <w:t xml:space="preserve"> program aiming the complex, place based development of Roma communities was part of the Reference Framework for the 2007-2013 programing period with an allocated 200 hundred thousand Euro funding.  However, for a number of reasons, the program practically failed: roughly one fifth of the funding was used till the end of 2012 and the rest was absorbed by the budget of technical assistance partly used for financing the community house programs.  </w:t>
      </w:r>
    </w:p>
    <w:p w:rsidR="0031150D" w:rsidRPr="00301583" w:rsidRDefault="0031150D" w:rsidP="00045F19">
      <w:pPr>
        <w:spacing w:line="276" w:lineRule="auto"/>
        <w:rPr>
          <w:rFonts w:cs="Arial"/>
          <w:szCs w:val="22"/>
        </w:rPr>
      </w:pPr>
      <w:r w:rsidRPr="00301583">
        <w:rPr>
          <w:rFonts w:cs="Arial"/>
          <w:szCs w:val="22"/>
        </w:rPr>
        <w:t>Regarding social protection of schoolchildren, the Slovak welfare arrangements a</w:t>
      </w:r>
      <w:r w:rsidRPr="00301583">
        <w:rPr>
          <w:rFonts w:cs="Arial"/>
          <w:szCs w:val="22"/>
        </w:rPr>
        <w:t>d</w:t>
      </w:r>
      <w:r w:rsidRPr="00301583">
        <w:rPr>
          <w:rFonts w:cs="Arial"/>
          <w:szCs w:val="22"/>
        </w:rPr>
        <w:t>dress child poverty via family allowances and social benefits available at schools like free meals (lunch only), as well as school accessories twice a year. Socially disa</w:t>
      </w:r>
      <w:r w:rsidRPr="00301583">
        <w:rPr>
          <w:rFonts w:cs="Arial"/>
          <w:szCs w:val="22"/>
        </w:rPr>
        <w:t>d</w:t>
      </w:r>
      <w:r w:rsidRPr="00301583">
        <w:rPr>
          <w:rFonts w:cs="Arial"/>
          <w:szCs w:val="22"/>
        </w:rPr>
        <w:t>vantaged children are eligible for such benefits; if more than 50% of the students of a school are eligible, the entire school will qualify. Free lunch is available to children at preschool as well, but not available for the lower grades of eight-grade gymnasiums.</w:t>
      </w:r>
    </w:p>
    <w:p w:rsidR="00B074CE" w:rsidRPr="00B074CE" w:rsidRDefault="00B4705E" w:rsidP="00B074CE">
      <w:pPr>
        <w:pStyle w:val="Heading2"/>
        <w:spacing w:before="360"/>
      </w:pPr>
      <w:bookmarkStart w:id="108" w:name="_Toc380500970"/>
      <w:bookmarkStart w:id="109" w:name="_Toc385271098"/>
      <w:bookmarkStart w:id="110" w:name="_Toc385939061"/>
      <w:r w:rsidRPr="00301583">
        <w:lastRenderedPageBreak/>
        <w:t>Relevant policies</w:t>
      </w:r>
      <w:r w:rsidR="008B7E94" w:rsidRPr="00301583">
        <w:t xml:space="preserve"> in retrospect</w:t>
      </w:r>
      <w:r w:rsidR="00E16848" w:rsidRPr="00301583">
        <w:rPr>
          <w:rStyle w:val="FootnoteReference"/>
          <w:rFonts w:cs="Arial"/>
          <w:b w:val="0"/>
          <w:szCs w:val="22"/>
        </w:rPr>
        <w:footnoteReference w:id="17"/>
      </w:r>
      <w:bookmarkEnd w:id="108"/>
      <w:bookmarkEnd w:id="109"/>
      <w:bookmarkEnd w:id="110"/>
    </w:p>
    <w:p w:rsidR="00D00C93" w:rsidRPr="00301583" w:rsidRDefault="00B4705E" w:rsidP="00A6207F">
      <w:pPr>
        <w:pStyle w:val="Heading3"/>
        <w:spacing w:before="240"/>
      </w:pPr>
      <w:bookmarkStart w:id="111" w:name="_Toc385271099"/>
      <w:bookmarkStart w:id="112" w:name="_Toc385939062"/>
      <w:r w:rsidRPr="00301583">
        <w:t>T</w:t>
      </w:r>
      <w:r w:rsidR="00D00C93" w:rsidRPr="00301583">
        <w:t>he pre-accession period (-2003)</w:t>
      </w:r>
      <w:bookmarkEnd w:id="111"/>
      <w:bookmarkEnd w:id="112"/>
    </w:p>
    <w:p w:rsidR="00D00C93" w:rsidRPr="00301583" w:rsidRDefault="00D00C93" w:rsidP="00045F19">
      <w:pPr>
        <w:spacing w:line="276" w:lineRule="auto"/>
        <w:rPr>
          <w:rFonts w:cs="Arial"/>
          <w:szCs w:val="22"/>
        </w:rPr>
      </w:pPr>
      <w:r w:rsidRPr="00301583">
        <w:rPr>
          <w:rFonts w:cs="Arial"/>
          <w:szCs w:val="22"/>
        </w:rPr>
        <w:t>In the nineties</w:t>
      </w:r>
      <w:r w:rsidR="009D2C0E">
        <w:rPr>
          <w:rFonts w:cs="Arial"/>
          <w:szCs w:val="22"/>
        </w:rPr>
        <w:t>,</w:t>
      </w:r>
      <w:r w:rsidRPr="00301583">
        <w:rPr>
          <w:rFonts w:cs="Arial"/>
          <w:szCs w:val="22"/>
        </w:rPr>
        <w:t xml:space="preserve"> minority right was the ideological framework of coping with the Roma Issue. </w:t>
      </w:r>
      <w:r w:rsidR="0031150D" w:rsidRPr="00301583">
        <w:rPr>
          <w:rFonts w:cs="Arial"/>
          <w:szCs w:val="22"/>
        </w:rPr>
        <w:t>P</w:t>
      </w:r>
      <w:r w:rsidRPr="00301583">
        <w:rPr>
          <w:rFonts w:cs="Arial"/>
          <w:szCs w:val="22"/>
        </w:rPr>
        <w:t xml:space="preserve">artly </w:t>
      </w:r>
      <w:r w:rsidR="0031150D" w:rsidRPr="00301583">
        <w:rPr>
          <w:rFonts w:cs="Arial"/>
          <w:szCs w:val="22"/>
        </w:rPr>
        <w:t xml:space="preserve">it </w:t>
      </w:r>
      <w:r w:rsidRPr="00301583">
        <w:rPr>
          <w:rFonts w:cs="Arial"/>
          <w:szCs w:val="22"/>
        </w:rPr>
        <w:t>was influenced by the claims of the Hungarian minority. During state socialism Roma were not even recognized as ethnic minority. In the next period the Roma question was characterized by economical-social discourse, mostly about the misuse of the welfare system. For the first D</w:t>
      </w:r>
      <w:r w:rsidR="0060268B" w:rsidRPr="00301583">
        <w:rPr>
          <w:rFonts w:cs="Arial"/>
          <w:szCs w:val="22"/>
        </w:rPr>
        <w:t>ž</w:t>
      </w:r>
      <w:r w:rsidRPr="00301583">
        <w:rPr>
          <w:rFonts w:cs="Arial"/>
          <w:szCs w:val="22"/>
        </w:rPr>
        <w:t>urinda government (1998-2002) it was a very good pretext how to sell the restrictions and the social and economic reform. The official slogan was that ‘this is the world of the working people’. This is the no</w:t>
      </w:r>
      <w:r w:rsidRPr="00301583">
        <w:rPr>
          <w:rFonts w:cs="Arial"/>
          <w:szCs w:val="22"/>
        </w:rPr>
        <w:t>r</w:t>
      </w:r>
      <w:r w:rsidRPr="00301583">
        <w:rPr>
          <w:rFonts w:cs="Arial"/>
          <w:szCs w:val="22"/>
        </w:rPr>
        <w:t xml:space="preserve">mal conservative perception which doesn’t care of the context and reasons for the situation. The stress was put on security, control of </w:t>
      </w:r>
      <w:r w:rsidR="00A6207F" w:rsidRPr="00301583">
        <w:rPr>
          <w:rFonts w:cs="Arial"/>
          <w:szCs w:val="22"/>
        </w:rPr>
        <w:t>behaviour</w:t>
      </w:r>
      <w:r w:rsidRPr="00301583">
        <w:rPr>
          <w:rFonts w:cs="Arial"/>
          <w:szCs w:val="22"/>
        </w:rPr>
        <w:t>, enforcement of r</w:t>
      </w:r>
      <w:r w:rsidRPr="00301583">
        <w:rPr>
          <w:rFonts w:cs="Arial"/>
          <w:szCs w:val="22"/>
        </w:rPr>
        <w:t>e</w:t>
      </w:r>
      <w:r w:rsidRPr="00301583">
        <w:rPr>
          <w:rFonts w:cs="Arial"/>
          <w:szCs w:val="22"/>
        </w:rPr>
        <w:t xml:space="preserve">sponsible </w:t>
      </w:r>
      <w:r w:rsidR="00A6207F" w:rsidRPr="00301583">
        <w:rPr>
          <w:rFonts w:cs="Arial"/>
          <w:szCs w:val="22"/>
        </w:rPr>
        <w:t>behaviour</w:t>
      </w:r>
      <w:r w:rsidRPr="00301583">
        <w:rPr>
          <w:rFonts w:cs="Arial"/>
          <w:szCs w:val="22"/>
        </w:rPr>
        <w:t>.</w:t>
      </w:r>
    </w:p>
    <w:p w:rsidR="00D00C93" w:rsidRPr="00301583" w:rsidRDefault="00D00C93" w:rsidP="00045F19">
      <w:pPr>
        <w:spacing w:line="276" w:lineRule="auto"/>
        <w:rPr>
          <w:rFonts w:cs="Arial"/>
          <w:szCs w:val="22"/>
        </w:rPr>
      </w:pPr>
      <w:r w:rsidRPr="00301583">
        <w:rPr>
          <w:rFonts w:cs="Arial"/>
          <w:szCs w:val="22"/>
        </w:rPr>
        <w:t>However this was a period when meeting the EU requirements was of central i</w:t>
      </w:r>
      <w:r w:rsidRPr="00301583">
        <w:rPr>
          <w:rFonts w:cs="Arial"/>
          <w:szCs w:val="22"/>
        </w:rPr>
        <w:t>m</w:t>
      </w:r>
      <w:r w:rsidRPr="00301583">
        <w:rPr>
          <w:rFonts w:cs="Arial"/>
          <w:szCs w:val="22"/>
        </w:rPr>
        <w:t>portance to Slovakia, so many (temporary) positive measures were taken and strat</w:t>
      </w:r>
      <w:r w:rsidRPr="00301583">
        <w:rPr>
          <w:rFonts w:cs="Arial"/>
          <w:szCs w:val="22"/>
        </w:rPr>
        <w:t>e</w:t>
      </w:r>
      <w:r w:rsidRPr="00301583">
        <w:rPr>
          <w:rFonts w:cs="Arial"/>
          <w:szCs w:val="22"/>
        </w:rPr>
        <w:t>gies produced.</w:t>
      </w:r>
    </w:p>
    <w:p w:rsidR="00D00C93" w:rsidRPr="00301583" w:rsidRDefault="00D00C93" w:rsidP="00045F19">
      <w:pPr>
        <w:spacing w:line="276" w:lineRule="auto"/>
        <w:rPr>
          <w:rFonts w:cs="Arial"/>
          <w:szCs w:val="22"/>
        </w:rPr>
      </w:pPr>
      <w:r w:rsidRPr="00301583">
        <w:rPr>
          <w:rFonts w:cs="Arial"/>
          <w:szCs w:val="22"/>
        </w:rPr>
        <w:t>Some of the most important ones:</w:t>
      </w:r>
    </w:p>
    <w:p w:rsidR="00D00C93" w:rsidRPr="00301583" w:rsidRDefault="00A75DA6" w:rsidP="00045F19">
      <w:pPr>
        <w:spacing w:line="276" w:lineRule="auto"/>
        <w:rPr>
          <w:rFonts w:cs="Arial"/>
          <w:szCs w:val="22"/>
        </w:rPr>
      </w:pPr>
      <w:r>
        <w:rPr>
          <w:rFonts w:cs="Arial"/>
          <w:szCs w:val="22"/>
        </w:rPr>
        <w:t>1991 -</w:t>
      </w:r>
      <w:r w:rsidR="00D00C93" w:rsidRPr="00301583">
        <w:rPr>
          <w:rFonts w:cs="Arial"/>
          <w:szCs w:val="22"/>
        </w:rPr>
        <w:t xml:space="preserve"> </w:t>
      </w:r>
      <w:r w:rsidR="00D00C93" w:rsidRPr="00301583">
        <w:rPr>
          <w:rFonts w:cs="Arial"/>
          <w:i/>
          <w:iCs/>
          <w:szCs w:val="22"/>
        </w:rPr>
        <w:t>The Principles of the Government’s Roma Policy</w:t>
      </w:r>
      <w:r w:rsidR="00D00C93" w:rsidRPr="00301583">
        <w:rPr>
          <w:rFonts w:cs="Arial"/>
          <w:szCs w:val="22"/>
        </w:rPr>
        <w:t>. This document included some general ideas on how to approach the Roma issue in terms of culture, educ</w:t>
      </w:r>
      <w:r w:rsidR="00D00C93" w:rsidRPr="00301583">
        <w:rPr>
          <w:rFonts w:cs="Arial"/>
          <w:szCs w:val="22"/>
        </w:rPr>
        <w:t>a</w:t>
      </w:r>
      <w:r w:rsidR="00D00C93" w:rsidRPr="00301583">
        <w:rPr>
          <w:rFonts w:cs="Arial"/>
          <w:szCs w:val="22"/>
        </w:rPr>
        <w:t>tion, economy, social security, and ethnic matters. However, it failed to specify co</w:t>
      </w:r>
      <w:r w:rsidR="00D00C93" w:rsidRPr="00301583">
        <w:rPr>
          <w:rFonts w:cs="Arial"/>
          <w:szCs w:val="22"/>
        </w:rPr>
        <w:t>n</w:t>
      </w:r>
      <w:r w:rsidR="00D00C93" w:rsidRPr="00301583">
        <w:rPr>
          <w:rFonts w:cs="Arial"/>
          <w:szCs w:val="22"/>
        </w:rPr>
        <w:t>crete measures, or to say how the plan would be subsidized. The aim was to acknowledge the Roma as a nation, and thus to ensure their political and legal equa</w:t>
      </w:r>
      <w:r w:rsidR="00D00C93" w:rsidRPr="00301583">
        <w:rPr>
          <w:rFonts w:cs="Arial"/>
          <w:szCs w:val="22"/>
        </w:rPr>
        <w:t>l</w:t>
      </w:r>
      <w:r w:rsidR="00D00C93" w:rsidRPr="00301583">
        <w:rPr>
          <w:rFonts w:cs="Arial"/>
          <w:szCs w:val="22"/>
        </w:rPr>
        <w:t>ity.</w:t>
      </w:r>
    </w:p>
    <w:p w:rsidR="00D00C93" w:rsidRPr="00301583" w:rsidRDefault="00D00C93" w:rsidP="00045F19">
      <w:pPr>
        <w:spacing w:line="276" w:lineRule="auto"/>
        <w:rPr>
          <w:rFonts w:cs="Arial"/>
          <w:szCs w:val="22"/>
        </w:rPr>
      </w:pPr>
      <w:r w:rsidRPr="00301583">
        <w:rPr>
          <w:rFonts w:cs="Arial"/>
          <w:szCs w:val="22"/>
        </w:rPr>
        <w:t xml:space="preserve">1996 - </w:t>
      </w:r>
      <w:r w:rsidRPr="00301583">
        <w:rPr>
          <w:rFonts w:cs="Arial"/>
          <w:i/>
          <w:iCs/>
          <w:szCs w:val="22"/>
        </w:rPr>
        <w:t>Proposal of Tasks and Measures for Solving the Problems of Citizens Requi</w:t>
      </w:r>
      <w:r w:rsidRPr="00301583">
        <w:rPr>
          <w:rFonts w:cs="Arial"/>
          <w:i/>
          <w:iCs/>
          <w:szCs w:val="22"/>
        </w:rPr>
        <w:t>r</w:t>
      </w:r>
      <w:r w:rsidRPr="00301583">
        <w:rPr>
          <w:rFonts w:cs="Arial"/>
          <w:i/>
          <w:iCs/>
          <w:szCs w:val="22"/>
        </w:rPr>
        <w:t>ing Special Help</w:t>
      </w:r>
      <w:r w:rsidRPr="00301583">
        <w:rPr>
          <w:rFonts w:cs="Arial"/>
          <w:szCs w:val="22"/>
        </w:rPr>
        <w:t xml:space="preserve">. Besides briefly defining individual problems such as schooling for children, unemployment, housing, upbringing and education, hygiene and health, and negative social behavior, “citizens requiring special help” without regard </w:t>
      </w:r>
      <w:r w:rsidR="009D2C0E">
        <w:rPr>
          <w:rFonts w:cs="Arial"/>
          <w:szCs w:val="22"/>
        </w:rPr>
        <w:t>to</w:t>
      </w:r>
      <w:r w:rsidRPr="00301583">
        <w:rPr>
          <w:rFonts w:cs="Arial"/>
          <w:szCs w:val="22"/>
        </w:rPr>
        <w:t xml:space="preserve"> their et</w:t>
      </w:r>
      <w:r w:rsidRPr="00301583">
        <w:rPr>
          <w:rFonts w:cs="Arial"/>
          <w:szCs w:val="22"/>
        </w:rPr>
        <w:t>h</w:t>
      </w:r>
      <w:r w:rsidRPr="00301583">
        <w:rPr>
          <w:rFonts w:cs="Arial"/>
          <w:szCs w:val="22"/>
        </w:rPr>
        <w:t>nic origin, the tasks suggested that the target group was the Roma.</w:t>
      </w:r>
    </w:p>
    <w:p w:rsidR="00D00C93" w:rsidRPr="00301583" w:rsidRDefault="00D00C93" w:rsidP="00045F19">
      <w:pPr>
        <w:autoSpaceDE w:val="0"/>
        <w:autoSpaceDN w:val="0"/>
        <w:adjustRightInd w:val="0"/>
        <w:spacing w:line="276" w:lineRule="auto"/>
        <w:rPr>
          <w:rFonts w:cs="Arial"/>
          <w:szCs w:val="22"/>
        </w:rPr>
      </w:pPr>
      <w:r w:rsidRPr="00301583">
        <w:rPr>
          <w:rFonts w:cs="Arial"/>
          <w:szCs w:val="22"/>
        </w:rPr>
        <w:t xml:space="preserve">1997 - </w:t>
      </w:r>
      <w:r w:rsidRPr="00301583">
        <w:rPr>
          <w:rFonts w:cs="Arial"/>
          <w:i/>
          <w:iCs/>
          <w:szCs w:val="22"/>
        </w:rPr>
        <w:t xml:space="preserve">Concept of the Slovak Government for Solving the Problems of the Roma in the Current Socioeconomic Conditions. </w:t>
      </w:r>
      <w:r w:rsidRPr="00301583">
        <w:rPr>
          <w:rFonts w:cs="Arial"/>
          <w:szCs w:val="22"/>
        </w:rPr>
        <w:t>The basic principles of the plan were the civic principle (respecting the values and way of life of the target group), the solidarity principle (removing prejudices and eliminating displays of extremism in society), the principle of allowing citizens to participate in solving their own problems, the principle of personal responsibility (the Roma themselves should take personal responsibility for their living conditions), the principle of positive encouragement of marginalized people, the principle of subsidiary.</w:t>
      </w:r>
    </w:p>
    <w:p w:rsidR="00D00C93" w:rsidRPr="00301583" w:rsidRDefault="00D00C93" w:rsidP="00045F19">
      <w:pPr>
        <w:autoSpaceDE w:val="0"/>
        <w:autoSpaceDN w:val="0"/>
        <w:adjustRightInd w:val="0"/>
        <w:spacing w:line="276" w:lineRule="auto"/>
        <w:rPr>
          <w:rFonts w:cs="Arial"/>
          <w:szCs w:val="22"/>
        </w:rPr>
      </w:pPr>
      <w:r w:rsidRPr="00301583">
        <w:rPr>
          <w:rFonts w:cs="Arial"/>
          <w:szCs w:val="22"/>
        </w:rPr>
        <w:t xml:space="preserve">This seemingly sympathetic construction was immediately scrapped after coming </w:t>
      </w:r>
      <w:r w:rsidR="009D2C0E">
        <w:rPr>
          <w:rFonts w:cs="Arial"/>
          <w:szCs w:val="22"/>
        </w:rPr>
        <w:t>in</w:t>
      </w:r>
      <w:r w:rsidRPr="00301583">
        <w:rPr>
          <w:rFonts w:cs="Arial"/>
          <w:szCs w:val="22"/>
        </w:rPr>
        <w:t xml:space="preserve">to power of the </w:t>
      </w:r>
      <w:r w:rsidR="00D738BA" w:rsidRPr="00301583">
        <w:rPr>
          <w:rFonts w:cs="Arial"/>
          <w:szCs w:val="22"/>
        </w:rPr>
        <w:t>Džurinda</w:t>
      </w:r>
      <w:r w:rsidR="00AF33F5">
        <w:rPr>
          <w:rFonts w:cs="Arial"/>
          <w:szCs w:val="22"/>
        </w:rPr>
        <w:t xml:space="preserve"> </w:t>
      </w:r>
      <w:r w:rsidRPr="00301583">
        <w:rPr>
          <w:rFonts w:cs="Arial"/>
          <w:szCs w:val="22"/>
        </w:rPr>
        <w:t xml:space="preserve">administration in 1999 and was replaced by the </w:t>
      </w:r>
      <w:r w:rsidRPr="00301583">
        <w:rPr>
          <w:rFonts w:cs="Arial"/>
          <w:i/>
          <w:iCs/>
          <w:szCs w:val="22"/>
        </w:rPr>
        <w:t>Strategy of the Slovak Government for Solving the Problems of the Roma and the Set of Impleme</w:t>
      </w:r>
      <w:r w:rsidRPr="00301583">
        <w:rPr>
          <w:rFonts w:cs="Arial"/>
          <w:i/>
          <w:iCs/>
          <w:szCs w:val="22"/>
        </w:rPr>
        <w:t>n</w:t>
      </w:r>
      <w:r w:rsidRPr="00301583">
        <w:rPr>
          <w:rFonts w:cs="Arial"/>
          <w:i/>
          <w:iCs/>
          <w:szCs w:val="22"/>
        </w:rPr>
        <w:t>tation Measures – 1st Stage</w:t>
      </w:r>
      <w:r w:rsidRPr="00301583">
        <w:rPr>
          <w:rFonts w:cs="Arial"/>
          <w:szCs w:val="22"/>
        </w:rPr>
        <w:t xml:space="preserve">, and later in 2000 </w:t>
      </w:r>
      <w:r w:rsidRPr="00301583">
        <w:rPr>
          <w:rFonts w:cs="Arial"/>
          <w:i/>
          <w:iCs/>
          <w:szCs w:val="22"/>
        </w:rPr>
        <w:t>2nd Stage.</w:t>
      </w:r>
      <w:r w:rsidRPr="00301583">
        <w:rPr>
          <w:rFonts w:cs="Arial"/>
          <w:szCs w:val="22"/>
        </w:rPr>
        <w:t xml:space="preserve"> This was the first concept that attempted to find a long-term solution to the Roma issue. Action was to be taken in areas where the situation was critical – unemployment, housing, health, the social </w:t>
      </w:r>
      <w:r w:rsidRPr="00301583">
        <w:rPr>
          <w:rFonts w:cs="Arial"/>
          <w:szCs w:val="22"/>
        </w:rPr>
        <w:lastRenderedPageBreak/>
        <w:t xml:space="preserve">network and the school system – as well as in areas requiring improvement, such as human rights, the rights of national minorities, cooperation with NGOs, and regional development. Two years later the cabinet approved a document called </w:t>
      </w:r>
      <w:r w:rsidRPr="00301583">
        <w:rPr>
          <w:rFonts w:cs="Arial"/>
          <w:i/>
          <w:iCs/>
          <w:szCs w:val="22"/>
        </w:rPr>
        <w:t>Priorities of the Slovak Government in Relation to Roma Communities in 2002</w:t>
      </w:r>
      <w:r w:rsidRPr="00301583">
        <w:rPr>
          <w:rFonts w:cs="Arial"/>
          <w:szCs w:val="22"/>
        </w:rPr>
        <w:t xml:space="preserve">, based on the foregoing strategy. The document envisaged a complex program to develop Roma settlements, and a program of social fieldworkers. </w:t>
      </w:r>
    </w:p>
    <w:p w:rsidR="00D00C93" w:rsidRPr="00301583" w:rsidRDefault="00D00C93" w:rsidP="00045F19">
      <w:pPr>
        <w:autoSpaceDE w:val="0"/>
        <w:autoSpaceDN w:val="0"/>
        <w:adjustRightInd w:val="0"/>
        <w:spacing w:line="276" w:lineRule="auto"/>
        <w:rPr>
          <w:rFonts w:cs="Arial"/>
          <w:bCs/>
          <w:szCs w:val="22"/>
        </w:rPr>
      </w:pPr>
      <w:r w:rsidRPr="00301583">
        <w:rPr>
          <w:rFonts w:cs="Arial"/>
          <w:szCs w:val="22"/>
        </w:rPr>
        <w:t>As it can be seen in this brief summary of concepts, Slovakia’s post−1989 gover</w:t>
      </w:r>
      <w:r w:rsidRPr="00301583">
        <w:rPr>
          <w:rFonts w:cs="Arial"/>
          <w:szCs w:val="22"/>
        </w:rPr>
        <w:t>n</w:t>
      </w:r>
      <w:r w:rsidRPr="00301583">
        <w:rPr>
          <w:rFonts w:cs="Arial"/>
          <w:szCs w:val="22"/>
        </w:rPr>
        <w:t>ments showed varying levels of interest in solving the Roma issue. Scrapping old plans and adopting new concepts every time the government changed proved ine</w:t>
      </w:r>
      <w:r w:rsidRPr="00301583">
        <w:rPr>
          <w:rFonts w:cs="Arial"/>
          <w:szCs w:val="22"/>
        </w:rPr>
        <w:t>f</w:t>
      </w:r>
      <w:r w:rsidRPr="00301583">
        <w:rPr>
          <w:rFonts w:cs="Arial"/>
          <w:szCs w:val="22"/>
        </w:rPr>
        <w:t>fective</w:t>
      </w:r>
      <w:r w:rsidR="009D2C0E">
        <w:rPr>
          <w:rFonts w:cs="Arial"/>
          <w:szCs w:val="22"/>
        </w:rPr>
        <w:t>;</w:t>
      </w:r>
      <w:r w:rsidRPr="00301583">
        <w:rPr>
          <w:rFonts w:cs="Arial"/>
          <w:szCs w:val="22"/>
        </w:rPr>
        <w:t xml:space="preserve"> however, as given the depth of the problems the Roma face, the measures proposed by individual concepts could not be prepared and implemented during a single electoral term.</w:t>
      </w:r>
    </w:p>
    <w:p w:rsidR="00D00C93" w:rsidRDefault="0031150D" w:rsidP="004A0571">
      <w:pPr>
        <w:spacing w:line="276" w:lineRule="auto"/>
        <w:rPr>
          <w:rFonts w:cs="Arial"/>
          <w:szCs w:val="22"/>
        </w:rPr>
      </w:pPr>
      <w:r w:rsidRPr="00301583">
        <w:rPr>
          <w:rFonts w:cs="Arial"/>
          <w:szCs w:val="22"/>
        </w:rPr>
        <w:t xml:space="preserve">In 2001 Klára Orgovánová was </w:t>
      </w:r>
      <w:r w:rsidR="00D00C93" w:rsidRPr="00301583">
        <w:rPr>
          <w:rFonts w:cs="Arial"/>
          <w:szCs w:val="22"/>
        </w:rPr>
        <w:t>elected as the new Government Plenipotentiary for Roma Issues. To improve the coordination function of the Government Represent</w:t>
      </w:r>
      <w:r w:rsidR="00D00C93" w:rsidRPr="00301583">
        <w:rPr>
          <w:rFonts w:cs="Arial"/>
          <w:szCs w:val="22"/>
        </w:rPr>
        <w:t>a</w:t>
      </w:r>
      <w:r w:rsidR="00D00C93" w:rsidRPr="00301583">
        <w:rPr>
          <w:rFonts w:cs="Arial"/>
          <w:szCs w:val="22"/>
        </w:rPr>
        <w:t>tive, the cabinet established a Joint Committee for th</w:t>
      </w:r>
      <w:r w:rsidR="004A0571">
        <w:rPr>
          <w:rFonts w:cs="Arial"/>
          <w:szCs w:val="22"/>
        </w:rPr>
        <w:t xml:space="preserve">e Affairs of Roma Communities. </w:t>
      </w:r>
    </w:p>
    <w:p w:rsidR="004A0571" w:rsidRPr="004A0571" w:rsidRDefault="004A0571" w:rsidP="004A0571">
      <w:pPr>
        <w:spacing w:line="276" w:lineRule="auto"/>
        <w:rPr>
          <w:rFonts w:cs="Arial"/>
          <w:sz w:val="10"/>
          <w:szCs w:val="10"/>
        </w:rPr>
      </w:pPr>
    </w:p>
    <w:p w:rsidR="00985D85" w:rsidRPr="00B074CE" w:rsidRDefault="00D00C93" w:rsidP="004A0571">
      <w:pPr>
        <w:pStyle w:val="Heading3"/>
        <w:spacing w:before="240"/>
      </w:pPr>
      <w:bookmarkStart w:id="113" w:name="_Toc385271100"/>
      <w:bookmarkStart w:id="114" w:name="_Toc385939063"/>
      <w:r w:rsidRPr="00301583">
        <w:t>Post accession developments</w:t>
      </w:r>
      <w:bookmarkEnd w:id="113"/>
      <w:bookmarkEnd w:id="114"/>
    </w:p>
    <w:p w:rsidR="00D00C93" w:rsidRPr="00301583" w:rsidRDefault="00D00C93" w:rsidP="004A0571">
      <w:pPr>
        <w:spacing w:before="240" w:after="240" w:line="240" w:lineRule="auto"/>
        <w:ind w:left="567"/>
        <w:rPr>
          <w:rFonts w:cs="Arial"/>
          <w:szCs w:val="22"/>
        </w:rPr>
      </w:pPr>
      <w:r w:rsidRPr="00301583">
        <w:rPr>
          <w:rFonts w:cs="Arial"/>
          <w:szCs w:val="22"/>
        </w:rPr>
        <w:t>“</w:t>
      </w:r>
      <w:r w:rsidRPr="00A34725">
        <w:rPr>
          <w:rFonts w:cs="Arial"/>
          <w:i/>
          <w:szCs w:val="22"/>
        </w:rPr>
        <w:t>Until 2003 the government paid social benefits, later there were radical cuts in this respect. The labor offices were able to find jobs only for those who could have found jobs anyway. After 2003 practically all players in Roma inclusion have withdrawn – mostly because nobody believed any more that inclusion is possible. (…) Before the activities of the government were motivated by the ambition of Slovakia to join the EU – some things really worked, some only pr</w:t>
      </w:r>
      <w:r w:rsidRPr="00A34725">
        <w:rPr>
          <w:rFonts w:cs="Arial"/>
          <w:i/>
          <w:szCs w:val="22"/>
        </w:rPr>
        <w:t>e</w:t>
      </w:r>
      <w:r w:rsidRPr="00A34725">
        <w:rPr>
          <w:rFonts w:cs="Arial"/>
          <w:i/>
          <w:szCs w:val="22"/>
        </w:rPr>
        <w:t>tended to function, but many things happened. The Roma issue was among the priorities – as an EU requirement for accession. So in that time it was more a façade than a real humanitarian intention</w:t>
      </w:r>
      <w:r w:rsidRPr="00301583">
        <w:rPr>
          <w:rFonts w:cs="Arial"/>
          <w:szCs w:val="22"/>
        </w:rPr>
        <w:t xml:space="preserve">” – claimed </w:t>
      </w:r>
      <w:r w:rsidR="00FF1064" w:rsidRPr="00301583">
        <w:rPr>
          <w:rFonts w:cs="Arial"/>
          <w:szCs w:val="22"/>
        </w:rPr>
        <w:t xml:space="preserve">by </w:t>
      </w:r>
      <w:r w:rsidRPr="00301583">
        <w:rPr>
          <w:rFonts w:cs="Arial"/>
          <w:szCs w:val="22"/>
        </w:rPr>
        <w:t xml:space="preserve">Marek Hojsík speaking about the EU accession as a division line.  </w:t>
      </w:r>
    </w:p>
    <w:p w:rsidR="00D00C93" w:rsidRPr="00301583" w:rsidRDefault="00D00C93" w:rsidP="00045F19">
      <w:pPr>
        <w:autoSpaceDE w:val="0"/>
        <w:autoSpaceDN w:val="0"/>
        <w:adjustRightInd w:val="0"/>
        <w:spacing w:line="276" w:lineRule="auto"/>
        <w:rPr>
          <w:rFonts w:cs="Arial"/>
          <w:szCs w:val="22"/>
          <w:lang w:eastAsia="hu-HU"/>
        </w:rPr>
      </w:pPr>
      <w:r w:rsidRPr="00301583">
        <w:rPr>
          <w:rFonts w:cs="Arial"/>
          <w:i/>
          <w:szCs w:val="22"/>
          <w:lang w:eastAsia="hu-HU"/>
        </w:rPr>
        <w:t>Strategy of the Slovak Republic for Integration of Roma up to 2020</w:t>
      </w:r>
      <w:r w:rsidRPr="00301583">
        <w:rPr>
          <w:rFonts w:cs="Arial"/>
          <w:szCs w:val="22"/>
          <w:lang w:eastAsia="hu-HU"/>
        </w:rPr>
        <w:t xml:space="preserve"> was adopted in 2012 by the Radičová government. For all relevant experts in the field this was and still is the most complex, sensitive and coordinated project ever written for Slovakia. The next government led by PM Fico officially adopted it, promised to continue its implementation, but practically seem</w:t>
      </w:r>
      <w:r w:rsidR="00796DF2" w:rsidRPr="00301583">
        <w:rPr>
          <w:rFonts w:cs="Arial"/>
          <w:szCs w:val="22"/>
          <w:lang w:eastAsia="hu-HU"/>
        </w:rPr>
        <w:t>ed</w:t>
      </w:r>
      <w:r w:rsidRPr="00301583">
        <w:rPr>
          <w:rFonts w:cs="Arial"/>
          <w:szCs w:val="22"/>
          <w:lang w:eastAsia="hu-HU"/>
        </w:rPr>
        <w:t xml:space="preserve"> to boycott it. Instead Peter Pollak, the actual Plenipotentiary introduced a new concept, named </w:t>
      </w:r>
      <w:r w:rsidRPr="00301583">
        <w:rPr>
          <w:rFonts w:cs="Arial"/>
          <w:i/>
          <w:szCs w:val="22"/>
        </w:rPr>
        <w:t>10 basic pillars of the new Go</w:t>
      </w:r>
      <w:r w:rsidRPr="00301583">
        <w:rPr>
          <w:rFonts w:cs="Arial"/>
          <w:i/>
          <w:szCs w:val="22"/>
        </w:rPr>
        <w:t>v</w:t>
      </w:r>
      <w:r w:rsidRPr="00301583">
        <w:rPr>
          <w:rFonts w:cs="Arial"/>
          <w:i/>
          <w:szCs w:val="22"/>
        </w:rPr>
        <w:t>ernment Plenipotentiary</w:t>
      </w:r>
      <w:r w:rsidRPr="00301583">
        <w:rPr>
          <w:rStyle w:val="FootnoteReference"/>
          <w:rFonts w:cs="Arial"/>
          <w:i/>
          <w:szCs w:val="22"/>
        </w:rPr>
        <w:footnoteReference w:customMarkFollows="1" w:id="18"/>
        <w:sym w:font="Symbol" w:char="F02A"/>
      </w:r>
      <w:r w:rsidR="004A0571">
        <w:rPr>
          <w:rFonts w:cs="Arial"/>
          <w:i/>
          <w:szCs w:val="22"/>
        </w:rPr>
        <w:t xml:space="preserve"> </w:t>
      </w:r>
      <w:r w:rsidRPr="00301583">
        <w:rPr>
          <w:rFonts w:cs="Arial"/>
          <w:szCs w:val="22"/>
          <w:lang w:eastAsia="hu-HU"/>
        </w:rPr>
        <w:t>which fundamentally contradicts the letter and the spirit of the Strategy of 2012.</w:t>
      </w:r>
    </w:p>
    <w:p w:rsidR="00D00C93" w:rsidRPr="00301583" w:rsidRDefault="00D00C93" w:rsidP="00045F19">
      <w:pPr>
        <w:spacing w:line="276" w:lineRule="auto"/>
        <w:rPr>
          <w:rFonts w:cs="Arial"/>
          <w:szCs w:val="22"/>
        </w:rPr>
      </w:pPr>
      <w:r w:rsidRPr="00301583">
        <w:rPr>
          <w:rFonts w:cs="Arial"/>
          <w:szCs w:val="22"/>
        </w:rPr>
        <w:t>The current situation in Slovakia is marked by a sharp debate between the gover</w:t>
      </w:r>
      <w:r w:rsidRPr="00301583">
        <w:rPr>
          <w:rFonts w:cs="Arial"/>
          <w:szCs w:val="22"/>
        </w:rPr>
        <w:t>n</w:t>
      </w:r>
      <w:r w:rsidRPr="00301583">
        <w:rPr>
          <w:rFonts w:cs="Arial"/>
          <w:szCs w:val="22"/>
        </w:rPr>
        <w:t xml:space="preserve">ment officials and the representatives of the human rights positions regarding the future activities. Those who support Orgovánová’s concept argue that the </w:t>
      </w:r>
      <w:r w:rsidRPr="00301583">
        <w:rPr>
          <w:rFonts w:cs="Arial"/>
          <w:i/>
          <w:szCs w:val="22"/>
        </w:rPr>
        <w:t>10 pillars</w:t>
      </w:r>
      <w:r w:rsidRPr="00301583">
        <w:rPr>
          <w:rFonts w:cs="Arial"/>
          <w:szCs w:val="22"/>
        </w:rPr>
        <w:t xml:space="preserve"> is not a policy document, but rather a populist political manifesto which aims at increa</w:t>
      </w:r>
      <w:r w:rsidRPr="00301583">
        <w:rPr>
          <w:rFonts w:cs="Arial"/>
          <w:szCs w:val="22"/>
        </w:rPr>
        <w:t>s</w:t>
      </w:r>
      <w:r w:rsidR="004A0571">
        <w:rPr>
          <w:rFonts w:cs="Arial"/>
          <w:szCs w:val="22"/>
        </w:rPr>
        <w:t xml:space="preserve">ing the number of </w:t>
      </w:r>
      <w:r w:rsidRPr="00301583">
        <w:rPr>
          <w:rFonts w:cs="Arial"/>
          <w:szCs w:val="22"/>
        </w:rPr>
        <w:t>votes, has nothing to do with the Roma problem, but rather mirrors the stereotypes of the majority. In their opinion the mere fact that the Plenipote</w:t>
      </w:r>
      <w:r w:rsidRPr="00301583">
        <w:rPr>
          <w:rFonts w:cs="Arial"/>
          <w:szCs w:val="22"/>
        </w:rPr>
        <w:t>n</w:t>
      </w:r>
      <w:r w:rsidRPr="00301583">
        <w:rPr>
          <w:rFonts w:cs="Arial"/>
          <w:szCs w:val="22"/>
        </w:rPr>
        <w:t>tiary’s Office is subordinated to the Ministry of Interior shows that for the current go</w:t>
      </w:r>
      <w:r w:rsidRPr="00301583">
        <w:rPr>
          <w:rFonts w:cs="Arial"/>
          <w:szCs w:val="22"/>
        </w:rPr>
        <w:t>v</w:t>
      </w:r>
      <w:r w:rsidRPr="00301583">
        <w:rPr>
          <w:rFonts w:cs="Arial"/>
          <w:szCs w:val="22"/>
        </w:rPr>
        <w:lastRenderedPageBreak/>
        <w:t xml:space="preserve">ernment this issue is not a social one, but rather a “securitization of the problem”. Roma here appear as a danger and a threat. According </w:t>
      </w:r>
      <w:r w:rsidR="00641451" w:rsidRPr="00301583">
        <w:rPr>
          <w:rFonts w:cs="Arial"/>
          <w:szCs w:val="22"/>
        </w:rPr>
        <w:t>to one of our</w:t>
      </w:r>
      <w:r w:rsidRPr="00301583">
        <w:rPr>
          <w:rFonts w:cs="Arial"/>
          <w:szCs w:val="22"/>
        </w:rPr>
        <w:t xml:space="preserve"> informants it is not likely that the repressive policies will be implemented, but associating the Roma with criminality in the first sentence of the document is a worrying sign. </w:t>
      </w:r>
    </w:p>
    <w:p w:rsidR="00D00C93" w:rsidRPr="00301583" w:rsidRDefault="00D00C93" w:rsidP="00045F19">
      <w:pPr>
        <w:spacing w:line="276" w:lineRule="auto"/>
        <w:rPr>
          <w:rFonts w:cs="Arial"/>
          <w:szCs w:val="22"/>
        </w:rPr>
      </w:pPr>
      <w:r w:rsidRPr="00301583">
        <w:rPr>
          <w:rFonts w:cs="Arial"/>
          <w:szCs w:val="22"/>
        </w:rPr>
        <w:t>However, there are strong arguments in support of the other side too. According to information coming directly from the Plenipotentiary’s Office there is a rational reason behind subordinating this position to the Ministry of Interior. In fact this is the most powerful ministry which in the meantime has the potential to instruct other ministries to follow the Plenipotentiary’s directives. Before all other ministries used this instit</w:t>
      </w:r>
      <w:r w:rsidRPr="00301583">
        <w:rPr>
          <w:rFonts w:cs="Arial"/>
          <w:szCs w:val="22"/>
        </w:rPr>
        <w:t>u</w:t>
      </w:r>
      <w:r w:rsidRPr="00301583">
        <w:rPr>
          <w:rFonts w:cs="Arial"/>
          <w:szCs w:val="22"/>
        </w:rPr>
        <w:t>tion “to burry” their Roma related problems into it. The</w:t>
      </w:r>
      <w:r w:rsidR="00641451" w:rsidRPr="00301583">
        <w:rPr>
          <w:rFonts w:cs="Arial"/>
          <w:i/>
          <w:szCs w:val="22"/>
        </w:rPr>
        <w:t xml:space="preserve"> Ten</w:t>
      </w:r>
      <w:r w:rsidR="00AF33F5">
        <w:rPr>
          <w:rFonts w:cs="Arial"/>
          <w:i/>
          <w:szCs w:val="22"/>
        </w:rPr>
        <w:t xml:space="preserve"> </w:t>
      </w:r>
      <w:r w:rsidR="00641451" w:rsidRPr="00301583">
        <w:rPr>
          <w:rFonts w:cs="Arial"/>
          <w:i/>
          <w:szCs w:val="22"/>
        </w:rPr>
        <w:t>P</w:t>
      </w:r>
      <w:r w:rsidRPr="00301583">
        <w:rPr>
          <w:rFonts w:cs="Arial"/>
          <w:i/>
          <w:szCs w:val="22"/>
        </w:rPr>
        <w:t>illars</w:t>
      </w:r>
      <w:r w:rsidRPr="00301583">
        <w:rPr>
          <w:rFonts w:cs="Arial"/>
          <w:szCs w:val="22"/>
        </w:rPr>
        <w:t xml:space="preserve"> are a result of a compromise, in the focus of which are the two most burning issues of the Slovak Roma community – the problem of lands where the Roma slums are situated, and the problem of schooling. The new law solving those two problems will be proposed in the Parliament personally by the Minister of Interior, the “strong person” of the ru</w:t>
      </w:r>
      <w:r w:rsidRPr="00301583">
        <w:rPr>
          <w:rFonts w:cs="Arial"/>
          <w:szCs w:val="22"/>
        </w:rPr>
        <w:t>l</w:t>
      </w:r>
      <w:r w:rsidRPr="00301583">
        <w:rPr>
          <w:rFonts w:cs="Arial"/>
          <w:szCs w:val="22"/>
        </w:rPr>
        <w:t xml:space="preserve">ing party SMER. The rest of the ten points is present only to trick the otherwise anti-Roma public opinion, and get the support for the two central issues. </w:t>
      </w:r>
    </w:p>
    <w:p w:rsidR="00D00C93" w:rsidRPr="00301583" w:rsidRDefault="00D00C93" w:rsidP="00045F19">
      <w:pPr>
        <w:spacing w:line="276" w:lineRule="auto"/>
        <w:rPr>
          <w:rFonts w:cs="Arial"/>
          <w:szCs w:val="22"/>
        </w:rPr>
      </w:pPr>
      <w:r w:rsidRPr="00301583">
        <w:rPr>
          <w:rFonts w:cs="Arial"/>
          <w:szCs w:val="22"/>
        </w:rPr>
        <w:t>Apart from the outcome of this ongoing debate both sides agree, that the gover</w:t>
      </w:r>
      <w:r w:rsidRPr="00301583">
        <w:rPr>
          <w:rFonts w:cs="Arial"/>
          <w:szCs w:val="22"/>
        </w:rPr>
        <w:t>n</w:t>
      </w:r>
      <w:r w:rsidRPr="00301583">
        <w:rPr>
          <w:rFonts w:cs="Arial"/>
          <w:szCs w:val="22"/>
        </w:rPr>
        <w:t>ment’s communication about the implementation of the actual Roma policy is disa</w:t>
      </w:r>
      <w:r w:rsidRPr="00301583">
        <w:rPr>
          <w:rFonts w:cs="Arial"/>
          <w:szCs w:val="22"/>
        </w:rPr>
        <w:t>s</w:t>
      </w:r>
      <w:r w:rsidRPr="00301583">
        <w:rPr>
          <w:rFonts w:cs="Arial"/>
          <w:szCs w:val="22"/>
        </w:rPr>
        <w:t>trous. As Klara Orgovanová remarked in one of her public lectures in September 2013 there is complete chaos in implementation of the Roma strategy, and nobody can see, if such strategy exists at all.</w:t>
      </w:r>
    </w:p>
    <w:p w:rsidR="00D00C93" w:rsidRPr="00301583" w:rsidRDefault="00D00C93" w:rsidP="00045F19">
      <w:pPr>
        <w:spacing w:line="276" w:lineRule="auto"/>
        <w:rPr>
          <w:rFonts w:cs="Arial"/>
          <w:szCs w:val="22"/>
        </w:rPr>
      </w:pPr>
      <w:r w:rsidRPr="00301583">
        <w:rPr>
          <w:rFonts w:cs="Arial"/>
          <w:szCs w:val="22"/>
        </w:rPr>
        <w:t xml:space="preserve">According to the new concept of social benefits everyone will be obliged to work for </w:t>
      </w:r>
      <w:r w:rsidR="009D2C0E">
        <w:rPr>
          <w:rFonts w:cs="Arial"/>
          <w:szCs w:val="22"/>
        </w:rPr>
        <w:t>their</w:t>
      </w:r>
      <w:r w:rsidRPr="00301583">
        <w:rPr>
          <w:rFonts w:cs="Arial"/>
          <w:szCs w:val="22"/>
        </w:rPr>
        <w:t xml:space="preserve"> social support. </w:t>
      </w:r>
      <w:r w:rsidR="00641451" w:rsidRPr="00301583">
        <w:rPr>
          <w:rFonts w:cs="Arial"/>
          <w:szCs w:val="22"/>
        </w:rPr>
        <w:t>This concept is fiercely attacked by human right activists</w:t>
      </w:r>
      <w:r w:rsidRPr="00301583">
        <w:rPr>
          <w:rFonts w:cs="Arial"/>
          <w:szCs w:val="22"/>
        </w:rPr>
        <w:t>. The other unclear point behind the planned regulation is that the right to decide about social benefits will be delegated to the majors – they are supposed to decide who deserves the support and who not. This provides them not only with economic power, but also with political because in this way they can easily manipulate their political opponents on local level.</w:t>
      </w:r>
    </w:p>
    <w:p w:rsidR="00B074CE" w:rsidRPr="004A0571" w:rsidRDefault="00B074CE" w:rsidP="00D00C93">
      <w:pPr>
        <w:spacing w:line="288" w:lineRule="auto"/>
        <w:rPr>
          <w:rFonts w:cs="Arial"/>
          <w:sz w:val="10"/>
          <w:szCs w:val="10"/>
        </w:rPr>
      </w:pPr>
    </w:p>
    <w:p w:rsidR="00D00C93" w:rsidRPr="00301583" w:rsidRDefault="00D00C93" w:rsidP="004A0571">
      <w:pPr>
        <w:pStyle w:val="Heading2"/>
        <w:spacing w:before="360"/>
      </w:pPr>
      <w:bookmarkStart w:id="115" w:name="_Toc380500971"/>
      <w:bookmarkStart w:id="116" w:name="_Toc385271101"/>
      <w:bookmarkStart w:id="117" w:name="_Toc385939064"/>
      <w:r w:rsidRPr="00301583">
        <w:t>International support for solving the “Roma issue”</w:t>
      </w:r>
      <w:bookmarkEnd w:id="115"/>
      <w:bookmarkEnd w:id="116"/>
      <w:bookmarkEnd w:id="117"/>
    </w:p>
    <w:p w:rsidR="008B7E94" w:rsidRPr="00301583" w:rsidRDefault="00641451" w:rsidP="00045F19">
      <w:pPr>
        <w:autoSpaceDE w:val="0"/>
        <w:autoSpaceDN w:val="0"/>
        <w:adjustRightInd w:val="0"/>
        <w:spacing w:line="276" w:lineRule="auto"/>
        <w:rPr>
          <w:rFonts w:cs="Arial"/>
          <w:szCs w:val="22"/>
        </w:rPr>
      </w:pPr>
      <w:r w:rsidRPr="00301583">
        <w:rPr>
          <w:rFonts w:cs="Arial"/>
          <w:szCs w:val="22"/>
        </w:rPr>
        <w:t>P</w:t>
      </w:r>
      <w:r w:rsidR="00D00C93" w:rsidRPr="00301583">
        <w:rPr>
          <w:rFonts w:cs="Arial"/>
          <w:szCs w:val="22"/>
        </w:rPr>
        <w:t xml:space="preserve">rogramming and implementation of the Roma-related EU projects in Slovakia was </w:t>
      </w:r>
      <w:r w:rsidR="00D00C93" w:rsidRPr="00301583">
        <w:rPr>
          <w:rFonts w:cs="Arial"/>
          <w:bCs/>
          <w:szCs w:val="22"/>
        </w:rPr>
        <w:t>highly centralized</w:t>
      </w:r>
      <w:r w:rsidR="00D517F2">
        <w:rPr>
          <w:rFonts w:cs="Arial"/>
          <w:bCs/>
          <w:szCs w:val="22"/>
        </w:rPr>
        <w:t xml:space="preserve"> </w:t>
      </w:r>
      <w:r w:rsidR="00D00C93" w:rsidRPr="00301583">
        <w:rPr>
          <w:rFonts w:cs="Arial"/>
          <w:szCs w:val="22"/>
        </w:rPr>
        <w:t>with no grant schemes open for project proposal from NGOs, m</w:t>
      </w:r>
      <w:r w:rsidR="00D00C93" w:rsidRPr="00301583">
        <w:rPr>
          <w:rFonts w:cs="Arial"/>
          <w:szCs w:val="22"/>
        </w:rPr>
        <w:t>u</w:t>
      </w:r>
      <w:r w:rsidR="00D00C93" w:rsidRPr="00301583">
        <w:rPr>
          <w:rFonts w:cs="Arial"/>
          <w:szCs w:val="22"/>
        </w:rPr>
        <w:t>nicipalities or other possible beneficiaries. The projects were generated by central government authorities and negotiated with the EC Delegation. A relatively big amount of approximately € 28 million was spent on Roma-related projects mostly in the field of education, housing and social services. Several evaluations have be</w:t>
      </w:r>
      <w:r w:rsidR="008B7E94" w:rsidRPr="00301583">
        <w:rPr>
          <w:rFonts w:cs="Arial"/>
          <w:szCs w:val="22"/>
        </w:rPr>
        <w:t>en</w:t>
      </w:r>
      <w:r w:rsidR="00D00C93" w:rsidRPr="00301583">
        <w:rPr>
          <w:rFonts w:cs="Arial"/>
          <w:szCs w:val="22"/>
        </w:rPr>
        <w:t xml:space="preserve"> written about their implementation. Majority of them agree that there were major problems with efficiency of their implementation mostly due to their </w:t>
      </w:r>
      <w:r w:rsidR="00D00C93" w:rsidRPr="00301583">
        <w:rPr>
          <w:rFonts w:cs="Arial"/>
          <w:bCs/>
          <w:szCs w:val="22"/>
        </w:rPr>
        <w:t>complicated inst</w:t>
      </w:r>
      <w:r w:rsidR="00D00C93" w:rsidRPr="00301583">
        <w:rPr>
          <w:rFonts w:cs="Arial"/>
          <w:bCs/>
          <w:szCs w:val="22"/>
        </w:rPr>
        <w:t>i</w:t>
      </w:r>
      <w:r w:rsidR="00D00C93" w:rsidRPr="00301583">
        <w:rPr>
          <w:rFonts w:cs="Arial"/>
          <w:bCs/>
          <w:szCs w:val="22"/>
        </w:rPr>
        <w:t>tutional structure</w:t>
      </w:r>
      <w:r w:rsidR="00D00C93" w:rsidRPr="00301583">
        <w:rPr>
          <w:rFonts w:cs="Arial"/>
          <w:szCs w:val="22"/>
        </w:rPr>
        <w:t>. However</w:t>
      </w:r>
      <w:r w:rsidR="009D2C0E">
        <w:rPr>
          <w:rFonts w:cs="Arial"/>
          <w:szCs w:val="22"/>
        </w:rPr>
        <w:t>,</w:t>
      </w:r>
      <w:r w:rsidR="00D00C93" w:rsidRPr="00301583">
        <w:rPr>
          <w:rFonts w:cs="Arial"/>
          <w:szCs w:val="22"/>
        </w:rPr>
        <w:t xml:space="preserve"> several new agendas have been introduced into Slovak law and systems of national funding like for instance Roma teacher assistants, zero-classes and transitive classes, field social workers in Roma communities, and co</w:t>
      </w:r>
      <w:r w:rsidR="00D00C93" w:rsidRPr="00301583">
        <w:rPr>
          <w:rFonts w:cs="Arial"/>
          <w:szCs w:val="22"/>
        </w:rPr>
        <w:t>n</w:t>
      </w:r>
      <w:r w:rsidR="00D00C93" w:rsidRPr="00301583">
        <w:rPr>
          <w:rFonts w:cs="Arial"/>
          <w:szCs w:val="22"/>
        </w:rPr>
        <w:t>struction of technical infrastructure and social housing in Roma settlements. As a conclusion the evaluations mostly agree, that neither the infrastructural, nor the i</w:t>
      </w:r>
      <w:r w:rsidR="00D00C93" w:rsidRPr="00301583">
        <w:rPr>
          <w:rFonts w:cs="Arial"/>
          <w:szCs w:val="22"/>
        </w:rPr>
        <w:t>n</w:t>
      </w:r>
      <w:r w:rsidR="00D00C93" w:rsidRPr="00301583">
        <w:rPr>
          <w:rFonts w:cs="Arial"/>
          <w:szCs w:val="22"/>
        </w:rPr>
        <w:t xml:space="preserve">clusion oriented projects achieved their goal </w:t>
      </w:r>
      <w:r w:rsidR="009D2C0E">
        <w:rPr>
          <w:rFonts w:cs="Arial"/>
          <w:szCs w:val="22"/>
        </w:rPr>
        <w:t xml:space="preserve">because </w:t>
      </w:r>
      <w:r w:rsidR="00D00C93" w:rsidRPr="00301583">
        <w:rPr>
          <w:rFonts w:cs="Arial"/>
          <w:szCs w:val="22"/>
        </w:rPr>
        <w:t xml:space="preserve">their procurement period was </w:t>
      </w:r>
      <w:r w:rsidR="00D00C93" w:rsidRPr="00301583">
        <w:rPr>
          <w:rFonts w:cs="Arial"/>
          <w:szCs w:val="22"/>
        </w:rPr>
        <w:lastRenderedPageBreak/>
        <w:t>too short, and the outcomes were not sustainable. The problem here is more general: the interest of donors in seeing quick results usually has a devastating effect, and leads to the opposite result. The short-term nature of the grant cy</w:t>
      </w:r>
      <w:r w:rsidR="004A0571">
        <w:rPr>
          <w:rFonts w:cs="Arial"/>
          <w:szCs w:val="22"/>
        </w:rPr>
        <w:t>cle is not suited to this goal.</w:t>
      </w:r>
    </w:p>
    <w:p w:rsidR="00D00C93" w:rsidRDefault="00641451" w:rsidP="004A0571">
      <w:pPr>
        <w:pStyle w:val="Default"/>
        <w:spacing w:before="120" w:line="276" w:lineRule="auto"/>
        <w:jc w:val="both"/>
        <w:rPr>
          <w:rFonts w:ascii="Arial" w:hAnsi="Arial" w:cs="Arial"/>
          <w:color w:val="auto"/>
          <w:sz w:val="22"/>
          <w:szCs w:val="22"/>
          <w:lang w:val="en-GB"/>
        </w:rPr>
      </w:pPr>
      <w:r w:rsidRPr="00301583">
        <w:rPr>
          <w:rFonts w:ascii="Arial" w:hAnsi="Arial" w:cs="Arial"/>
          <w:color w:val="auto"/>
          <w:sz w:val="22"/>
          <w:szCs w:val="22"/>
          <w:lang w:val="en-GB"/>
        </w:rPr>
        <w:t>As far as the “Comprehensive Approach” Slovakia’s place based development pr</w:t>
      </w:r>
      <w:r w:rsidRPr="00301583">
        <w:rPr>
          <w:rFonts w:ascii="Arial" w:hAnsi="Arial" w:cs="Arial"/>
          <w:color w:val="auto"/>
          <w:sz w:val="22"/>
          <w:szCs w:val="22"/>
          <w:lang w:val="en-GB"/>
        </w:rPr>
        <w:t>o</w:t>
      </w:r>
      <w:r w:rsidRPr="00301583">
        <w:rPr>
          <w:rFonts w:ascii="Arial" w:hAnsi="Arial" w:cs="Arial"/>
          <w:color w:val="auto"/>
          <w:sz w:val="22"/>
          <w:szCs w:val="22"/>
          <w:lang w:val="en-GB"/>
        </w:rPr>
        <w:t>gram targeting Romany communities is concerned, th</w:t>
      </w:r>
      <w:r w:rsidR="00D00C93" w:rsidRPr="00301583">
        <w:rPr>
          <w:rFonts w:ascii="Arial" w:hAnsi="Arial" w:cs="Arial"/>
          <w:color w:val="auto"/>
          <w:sz w:val="22"/>
          <w:szCs w:val="22"/>
          <w:lang w:val="en-GB"/>
        </w:rPr>
        <w:t>e main obstacles for the su</w:t>
      </w:r>
      <w:r w:rsidR="00D00C93" w:rsidRPr="00301583">
        <w:rPr>
          <w:rFonts w:ascii="Arial" w:hAnsi="Arial" w:cs="Arial"/>
          <w:color w:val="auto"/>
          <w:sz w:val="22"/>
          <w:szCs w:val="22"/>
          <w:lang w:val="en-GB"/>
        </w:rPr>
        <w:t>c</w:t>
      </w:r>
      <w:r w:rsidR="00D00C93" w:rsidRPr="00301583">
        <w:rPr>
          <w:rFonts w:ascii="Arial" w:hAnsi="Arial" w:cs="Arial"/>
          <w:color w:val="auto"/>
          <w:sz w:val="22"/>
          <w:szCs w:val="22"/>
          <w:lang w:val="en-GB"/>
        </w:rPr>
        <w:t>cess was once again the “overpower” of the local authorities. Moreover, involvement of other Slovak authorities into the implementation (such as the Ministry of Constru</w:t>
      </w:r>
      <w:r w:rsidR="00D00C93" w:rsidRPr="00301583">
        <w:rPr>
          <w:rFonts w:ascii="Arial" w:hAnsi="Arial" w:cs="Arial"/>
          <w:color w:val="auto"/>
          <w:sz w:val="22"/>
          <w:szCs w:val="22"/>
          <w:lang w:val="en-GB"/>
        </w:rPr>
        <w:t>c</w:t>
      </w:r>
      <w:r w:rsidR="00D00C93" w:rsidRPr="00301583">
        <w:rPr>
          <w:rFonts w:ascii="Arial" w:hAnsi="Arial" w:cs="Arial"/>
          <w:color w:val="auto"/>
          <w:sz w:val="22"/>
          <w:szCs w:val="22"/>
          <w:lang w:val="en-GB"/>
        </w:rPr>
        <w:t xml:space="preserve">tion and Regional Development and Regional Development Support Agency) was particularly difficult and jeopardized the delivery of the project. After initial agreement, several municipalities changed their mind on participating in the </w:t>
      </w:r>
      <w:r w:rsidR="000D040F" w:rsidRPr="00301583">
        <w:rPr>
          <w:rFonts w:ascii="Arial" w:hAnsi="Arial" w:cs="Arial"/>
          <w:color w:val="auto"/>
          <w:sz w:val="22"/>
          <w:szCs w:val="22"/>
          <w:lang w:val="en-GB"/>
        </w:rPr>
        <w:t>program</w:t>
      </w:r>
      <w:r w:rsidR="00D00C93" w:rsidRPr="00301583">
        <w:rPr>
          <w:rFonts w:ascii="Arial" w:hAnsi="Arial" w:cs="Arial"/>
          <w:color w:val="auto"/>
          <w:sz w:val="22"/>
          <w:szCs w:val="22"/>
          <w:lang w:val="en-GB"/>
        </w:rPr>
        <w:t>. In Letanovce</w:t>
      </w:r>
      <w:r w:rsidR="000D040F" w:rsidRPr="00301583">
        <w:rPr>
          <w:rFonts w:ascii="Arial" w:hAnsi="Arial" w:cs="Arial"/>
          <w:color w:val="auto"/>
          <w:sz w:val="22"/>
          <w:szCs w:val="22"/>
          <w:lang w:val="en-GB"/>
        </w:rPr>
        <w:t>, for example, local authorities</w:t>
      </w:r>
      <w:r w:rsidR="00D00C93" w:rsidRPr="00301583">
        <w:rPr>
          <w:rFonts w:ascii="Arial" w:hAnsi="Arial" w:cs="Arial"/>
          <w:color w:val="auto"/>
          <w:sz w:val="22"/>
          <w:szCs w:val="22"/>
          <w:lang w:val="en-GB"/>
        </w:rPr>
        <w:t xml:space="preserve"> changed the location for construction of infrastructure and social housing on the outskirts of neighbo</w:t>
      </w:r>
      <w:r w:rsidR="004A0571">
        <w:rPr>
          <w:rFonts w:ascii="Arial" w:hAnsi="Arial" w:cs="Arial"/>
          <w:color w:val="auto"/>
          <w:sz w:val="22"/>
          <w:szCs w:val="22"/>
          <w:lang w:val="en-GB"/>
        </w:rPr>
        <w:t>u</w:t>
      </w:r>
      <w:r w:rsidR="00D00C93" w:rsidRPr="00301583">
        <w:rPr>
          <w:rFonts w:ascii="Arial" w:hAnsi="Arial" w:cs="Arial"/>
          <w:color w:val="auto"/>
          <w:sz w:val="22"/>
          <w:szCs w:val="22"/>
          <w:lang w:val="en-GB"/>
        </w:rPr>
        <w:t>ring villages, which r</w:t>
      </w:r>
      <w:r w:rsidR="00D00C93" w:rsidRPr="00301583">
        <w:rPr>
          <w:rFonts w:ascii="Arial" w:hAnsi="Arial" w:cs="Arial"/>
          <w:color w:val="auto"/>
          <w:sz w:val="22"/>
          <w:szCs w:val="22"/>
          <w:lang w:val="en-GB"/>
        </w:rPr>
        <w:t>e</w:t>
      </w:r>
      <w:r w:rsidR="00D00C93" w:rsidRPr="00301583">
        <w:rPr>
          <w:rFonts w:ascii="Arial" w:hAnsi="Arial" w:cs="Arial"/>
          <w:color w:val="auto"/>
          <w:sz w:val="22"/>
          <w:szCs w:val="22"/>
          <w:lang w:val="en-GB"/>
        </w:rPr>
        <w:t xml:space="preserve">fused to have Roma from Letanovce in their proximity, and thus the infrastructure and housing is not being used still in 2013. </w:t>
      </w:r>
      <w:r w:rsidR="00796DF2" w:rsidRPr="00301583">
        <w:rPr>
          <w:rFonts w:ascii="Arial" w:hAnsi="Arial" w:cs="Arial"/>
          <w:color w:val="auto"/>
          <w:sz w:val="22"/>
          <w:szCs w:val="22"/>
          <w:lang w:val="en-GB"/>
        </w:rPr>
        <w:t xml:space="preserve">Another example is </w:t>
      </w:r>
      <w:r w:rsidR="00D00C93" w:rsidRPr="00301583">
        <w:rPr>
          <w:rFonts w:ascii="Arial" w:hAnsi="Arial" w:cs="Arial"/>
          <w:color w:val="auto"/>
          <w:sz w:val="22"/>
          <w:szCs w:val="22"/>
          <w:lang w:val="en-GB"/>
        </w:rPr>
        <w:t>Svinia</w:t>
      </w:r>
      <w:r w:rsidR="00796DF2" w:rsidRPr="00301583">
        <w:rPr>
          <w:rFonts w:ascii="Arial" w:hAnsi="Arial" w:cs="Arial"/>
          <w:color w:val="auto"/>
          <w:sz w:val="22"/>
          <w:szCs w:val="22"/>
          <w:lang w:val="en-GB"/>
        </w:rPr>
        <w:t xml:space="preserve"> where</w:t>
      </w:r>
      <w:r w:rsidR="00D00C93" w:rsidRPr="00301583">
        <w:rPr>
          <w:rFonts w:ascii="Arial" w:hAnsi="Arial" w:cs="Arial"/>
          <w:color w:val="auto"/>
          <w:sz w:val="22"/>
          <w:szCs w:val="22"/>
          <w:lang w:val="en-GB"/>
        </w:rPr>
        <w:t xml:space="preserve"> after a local referendum about dismissal of the mayor and election of a new mayor refusing the project, totally cancelled their participation in the project and the allocated funds remained unspent. </w:t>
      </w:r>
    </w:p>
    <w:p w:rsidR="004A0571" w:rsidRPr="004A0571" w:rsidRDefault="004A0571" w:rsidP="004A0571">
      <w:pPr>
        <w:pStyle w:val="Default"/>
        <w:spacing w:before="120" w:line="276" w:lineRule="auto"/>
        <w:jc w:val="both"/>
        <w:rPr>
          <w:rFonts w:ascii="Arial" w:hAnsi="Arial" w:cs="Arial"/>
          <w:color w:val="auto"/>
          <w:sz w:val="10"/>
          <w:szCs w:val="10"/>
          <w:lang w:val="en-GB"/>
        </w:rPr>
      </w:pPr>
    </w:p>
    <w:p w:rsidR="00D00C93" w:rsidRPr="00B074CE" w:rsidRDefault="00D00C93" w:rsidP="004A0571">
      <w:pPr>
        <w:pStyle w:val="Heading2"/>
        <w:spacing w:before="360"/>
      </w:pPr>
      <w:bookmarkStart w:id="118" w:name="_Toc380500972"/>
      <w:bookmarkStart w:id="119" w:name="_Toc385271102"/>
      <w:bookmarkStart w:id="120" w:name="_Toc385939065"/>
      <w:r w:rsidRPr="00301583">
        <w:t>Prospects for the future</w:t>
      </w:r>
      <w:bookmarkEnd w:id="118"/>
      <w:bookmarkEnd w:id="119"/>
      <w:bookmarkEnd w:id="120"/>
    </w:p>
    <w:p w:rsidR="00D00C93" w:rsidRPr="00301583" w:rsidRDefault="00D00C93" w:rsidP="00045F19">
      <w:pPr>
        <w:spacing w:line="276" w:lineRule="auto"/>
        <w:rPr>
          <w:rFonts w:cs="Arial"/>
          <w:szCs w:val="22"/>
        </w:rPr>
      </w:pPr>
      <w:r w:rsidRPr="00301583">
        <w:rPr>
          <w:rFonts w:cs="Arial"/>
          <w:szCs w:val="22"/>
        </w:rPr>
        <w:t>The answer to practically all dilemmas related to segregation and social exclusion should be a combined approach. Strategies of social inclusion for the Roma should be put into effect on all levels of society, and include universal, regional, local and individual efforts. The various forms of poverty in Roma settlements require close cooperation and interventions that go beyond the framework of individual ministries. These interventions should be based on a previously decided set of priority issues, as well as a set of legal regulations in which the human rights aspects are in balance with pragmatic/economic ones. Subsidized workplaces could be one of such sol</w:t>
      </w:r>
      <w:r w:rsidRPr="00301583">
        <w:rPr>
          <w:rFonts w:cs="Arial"/>
          <w:szCs w:val="22"/>
        </w:rPr>
        <w:t>u</w:t>
      </w:r>
      <w:r w:rsidRPr="00301583">
        <w:rPr>
          <w:rFonts w:cs="Arial"/>
          <w:szCs w:val="22"/>
        </w:rPr>
        <w:t>tions – this</w:t>
      </w:r>
      <w:r w:rsidR="00AF33F5">
        <w:rPr>
          <w:rFonts w:cs="Arial"/>
          <w:szCs w:val="22"/>
        </w:rPr>
        <w:t xml:space="preserve"> </w:t>
      </w:r>
      <w:r w:rsidRPr="00301583">
        <w:rPr>
          <w:rFonts w:cs="Arial"/>
          <w:szCs w:val="22"/>
        </w:rPr>
        <w:t xml:space="preserve">costs a lot, but still less than social paying benefits for nothing. The </w:t>
      </w:r>
      <w:r w:rsidR="000D040F" w:rsidRPr="00301583">
        <w:rPr>
          <w:rFonts w:cs="Arial"/>
          <w:i/>
          <w:szCs w:val="22"/>
        </w:rPr>
        <w:t>Ten</w:t>
      </w:r>
      <w:r w:rsidR="00AF33F5">
        <w:rPr>
          <w:rFonts w:cs="Arial"/>
          <w:i/>
          <w:szCs w:val="22"/>
        </w:rPr>
        <w:t xml:space="preserve"> </w:t>
      </w:r>
      <w:r w:rsidR="000D040F" w:rsidRPr="00301583">
        <w:rPr>
          <w:rFonts w:cs="Arial"/>
          <w:i/>
          <w:szCs w:val="22"/>
        </w:rPr>
        <w:t>P</w:t>
      </w:r>
      <w:r w:rsidRPr="00301583">
        <w:rPr>
          <w:rFonts w:cs="Arial"/>
          <w:i/>
          <w:szCs w:val="22"/>
        </w:rPr>
        <w:t>illars</w:t>
      </w:r>
      <w:r w:rsidRPr="00301583">
        <w:rPr>
          <w:rFonts w:cs="Arial"/>
          <w:szCs w:val="22"/>
        </w:rPr>
        <w:t xml:space="preserve"> might be partly useful from pragmatic point of view, but its immanent me</w:t>
      </w:r>
      <w:r w:rsidRPr="00301583">
        <w:rPr>
          <w:rFonts w:cs="Arial"/>
          <w:szCs w:val="22"/>
        </w:rPr>
        <w:t>s</w:t>
      </w:r>
      <w:r w:rsidRPr="00301583">
        <w:rPr>
          <w:rFonts w:cs="Arial"/>
          <w:szCs w:val="22"/>
        </w:rPr>
        <w:t>sage, e. g. reinforcing harmful stereotypes of the majority might have a devastating effect from moral and social aspect</w:t>
      </w:r>
      <w:r w:rsidR="009D2C0E">
        <w:rPr>
          <w:rFonts w:cs="Arial"/>
          <w:szCs w:val="22"/>
        </w:rPr>
        <w:t>s</w:t>
      </w:r>
      <w:r w:rsidR="004A0571">
        <w:rPr>
          <w:rFonts w:cs="Arial"/>
          <w:szCs w:val="22"/>
        </w:rPr>
        <w:t xml:space="preserve"> (s</w:t>
      </w:r>
      <w:r w:rsidR="0071320E" w:rsidRPr="00301583">
        <w:rPr>
          <w:rFonts w:cs="Arial"/>
          <w:szCs w:val="22"/>
        </w:rPr>
        <w:t xml:space="preserve">ee </w:t>
      </w:r>
      <w:r w:rsidR="005212F7" w:rsidRPr="00301583">
        <w:rPr>
          <w:rFonts w:cs="Arial"/>
          <w:szCs w:val="22"/>
        </w:rPr>
        <w:t>A</w:t>
      </w:r>
      <w:r w:rsidR="004A0571">
        <w:rPr>
          <w:rFonts w:cs="Arial"/>
          <w:szCs w:val="22"/>
        </w:rPr>
        <w:t xml:space="preserve">nnex </w:t>
      </w:r>
      <w:r w:rsidR="005212F7" w:rsidRPr="00301583">
        <w:rPr>
          <w:rFonts w:cs="Arial"/>
          <w:szCs w:val="22"/>
        </w:rPr>
        <w:t>7</w:t>
      </w:r>
      <w:r w:rsidR="0071320E" w:rsidRPr="00301583">
        <w:rPr>
          <w:rFonts w:cs="Arial"/>
          <w:szCs w:val="22"/>
        </w:rPr>
        <w:t>)</w:t>
      </w:r>
      <w:r w:rsidR="004A0571">
        <w:rPr>
          <w:rFonts w:cs="Arial"/>
          <w:szCs w:val="22"/>
        </w:rPr>
        <w:t>.</w:t>
      </w:r>
    </w:p>
    <w:p w:rsidR="00556906" w:rsidRPr="00301583" w:rsidRDefault="00556906" w:rsidP="00556906">
      <w:pPr>
        <w:rPr>
          <w:rFonts w:cs="Arial"/>
          <w:szCs w:val="22"/>
        </w:rPr>
      </w:pPr>
    </w:p>
    <w:p w:rsidR="000C7211" w:rsidRPr="00301583" w:rsidRDefault="000C7211" w:rsidP="00536563">
      <w:pPr>
        <w:rPr>
          <w:rFonts w:cs="Arial"/>
          <w:szCs w:val="22"/>
        </w:rPr>
      </w:pPr>
    </w:p>
    <w:p w:rsidR="0053026B" w:rsidRPr="00B074CE" w:rsidRDefault="00536563" w:rsidP="00B074CE">
      <w:pPr>
        <w:pStyle w:val="Heading1"/>
      </w:pPr>
      <w:r w:rsidRPr="00301583">
        <w:rPr>
          <w:noProof/>
        </w:rPr>
        <w:br w:type="column"/>
      </w:r>
      <w:bookmarkStart w:id="121" w:name="_Toc380500973"/>
      <w:bookmarkStart w:id="122" w:name="_Toc385271103"/>
      <w:bookmarkStart w:id="123" w:name="_Toc385939066"/>
      <w:r w:rsidRPr="00B074CE">
        <w:lastRenderedPageBreak/>
        <w:t>Validity of Euro</w:t>
      </w:r>
      <w:r w:rsidR="00E9042F" w:rsidRPr="00B074CE">
        <w:t>pean-wide data analysis from a l</w:t>
      </w:r>
      <w:r w:rsidRPr="00B074CE">
        <w:t xml:space="preserve">ocal </w:t>
      </w:r>
      <w:r w:rsidR="00E9042F" w:rsidRPr="00B074CE">
        <w:t>p</w:t>
      </w:r>
      <w:r w:rsidRPr="00B074CE">
        <w:t>e</w:t>
      </w:r>
      <w:r w:rsidRPr="00B074CE">
        <w:t>r</w:t>
      </w:r>
      <w:r w:rsidRPr="00B074CE">
        <w:t>spective</w:t>
      </w:r>
      <w:bookmarkEnd w:id="121"/>
      <w:bookmarkEnd w:id="122"/>
      <w:bookmarkEnd w:id="123"/>
    </w:p>
    <w:p w:rsidR="00556906" w:rsidRPr="00301583" w:rsidRDefault="00556906" w:rsidP="00556906">
      <w:pPr>
        <w:rPr>
          <w:rFonts w:cs="Arial"/>
          <w:szCs w:val="22"/>
        </w:rPr>
      </w:pPr>
    </w:p>
    <w:p w:rsidR="00F17E45" w:rsidRPr="00301583" w:rsidRDefault="00F17E45" w:rsidP="00045F19">
      <w:pPr>
        <w:spacing w:line="276" w:lineRule="auto"/>
        <w:rPr>
          <w:rFonts w:cs="Arial"/>
          <w:szCs w:val="22"/>
        </w:rPr>
      </w:pPr>
      <w:r w:rsidRPr="00301583">
        <w:rPr>
          <w:rFonts w:cs="Arial"/>
          <w:szCs w:val="22"/>
        </w:rPr>
        <w:t>The results of macro-regional analysis seem valid and explicable ‘from below’ as well. Slovakia has been mentioned among the countries where the rate of population with low educational attainment (only basic education) is surprisingly high. Our micro-scale researches give an explanation for this phenomenon and vice versa: low ed</w:t>
      </w:r>
      <w:r w:rsidRPr="00301583">
        <w:rPr>
          <w:rFonts w:cs="Arial"/>
          <w:szCs w:val="22"/>
        </w:rPr>
        <w:t>u</w:t>
      </w:r>
      <w:r w:rsidRPr="00301583">
        <w:rPr>
          <w:rFonts w:cs="Arial"/>
          <w:szCs w:val="22"/>
        </w:rPr>
        <w:t>cational attainment contributes to the extreme long unemployment in the country where low-skilled labour’s access to employment is the lowest in Europe (therefore the unemployment rate of the low-skilled is almost three times higher than the ave</w:t>
      </w:r>
      <w:r w:rsidRPr="00301583">
        <w:rPr>
          <w:rFonts w:cs="Arial"/>
          <w:szCs w:val="22"/>
        </w:rPr>
        <w:t>r</w:t>
      </w:r>
      <w:r w:rsidRPr="00301583">
        <w:rPr>
          <w:rFonts w:cs="Arial"/>
          <w:szCs w:val="22"/>
        </w:rPr>
        <w:t>age of EU-27). Furthermore,  low enrolment rate and high dropout rate of Roma from secondary education must contribute to the final outcome of high representation of the unskilled since – according to reliable empirical investigations</w:t>
      </w:r>
      <w:r w:rsidRPr="00301583">
        <w:rPr>
          <w:rStyle w:val="FootnoteReference"/>
          <w:rFonts w:cs="Arial"/>
          <w:szCs w:val="22"/>
        </w:rPr>
        <w:footnoteReference w:id="19"/>
      </w:r>
      <w:r w:rsidRPr="00301583">
        <w:rPr>
          <w:rFonts w:cs="Arial"/>
          <w:szCs w:val="22"/>
        </w:rPr>
        <w:t xml:space="preserve"> – the estimated proportion of Romany people is 7.5 % of the population which is, at least two times higher among the young </w:t>
      </w:r>
      <w:r w:rsidR="001177C5" w:rsidRPr="00301583">
        <w:rPr>
          <w:rFonts w:cs="Arial"/>
          <w:szCs w:val="22"/>
        </w:rPr>
        <w:t>people</w:t>
      </w:r>
      <w:r w:rsidRPr="00301583">
        <w:rPr>
          <w:rFonts w:cs="Arial"/>
          <w:szCs w:val="22"/>
        </w:rPr>
        <w:t xml:space="preserve">. </w:t>
      </w:r>
    </w:p>
    <w:p w:rsidR="00F17E45" w:rsidRDefault="00F17E45" w:rsidP="00045F19">
      <w:pPr>
        <w:spacing w:line="276" w:lineRule="auto"/>
        <w:rPr>
          <w:rFonts w:cs="Arial"/>
          <w:szCs w:val="22"/>
        </w:rPr>
      </w:pPr>
      <w:r w:rsidRPr="00301583">
        <w:rPr>
          <w:rFonts w:cs="Arial"/>
          <w:szCs w:val="22"/>
        </w:rPr>
        <w:t xml:space="preserve">As the presented maps indicate, the very low level of economic inactivity rate across Slovakia and especially in the </w:t>
      </w:r>
      <w:r w:rsidRPr="00301583">
        <w:rPr>
          <w:rFonts w:cs="Arial"/>
          <w:szCs w:val="22"/>
          <w:lang w:eastAsia="en-GB"/>
        </w:rPr>
        <w:t>Košice</w:t>
      </w:r>
      <w:r w:rsidRPr="00301583">
        <w:rPr>
          <w:rFonts w:cs="Arial"/>
          <w:szCs w:val="22"/>
        </w:rPr>
        <w:t xml:space="preserve"> NUTS3 region can be taken by a bit of surprise. Reasons for the latter are clear and comply with explanations given in chapter 2.2., namely, the distorting (neutralising) effect of data of big cities on their surroundings. However, in the Bratislava region low inactivity rate is probably a shared pattern of the LAU1 units of the region, whilst in the </w:t>
      </w:r>
      <w:r w:rsidR="00B15A22" w:rsidRPr="00301583">
        <w:rPr>
          <w:rFonts w:cs="Arial"/>
          <w:szCs w:val="22"/>
        </w:rPr>
        <w:t>Košice</w:t>
      </w:r>
      <w:r w:rsidRPr="00301583">
        <w:rPr>
          <w:rFonts w:cs="Arial"/>
          <w:szCs w:val="22"/>
        </w:rPr>
        <w:t xml:space="preserve"> region, the city and its close su</w:t>
      </w:r>
      <w:r w:rsidRPr="00301583">
        <w:rPr>
          <w:rFonts w:cs="Arial"/>
          <w:szCs w:val="22"/>
        </w:rPr>
        <w:t>r</w:t>
      </w:r>
      <w:r w:rsidRPr="00301583">
        <w:rPr>
          <w:rFonts w:cs="Arial"/>
          <w:szCs w:val="22"/>
        </w:rPr>
        <w:t>roundings neutralise the high inactivity rates of the peripheral districts of the entire region.  The map below stands for illustrating this assumption:</w:t>
      </w:r>
    </w:p>
    <w:p w:rsidR="00AD4233" w:rsidRPr="00AD4233" w:rsidRDefault="00AD4233" w:rsidP="00045F19">
      <w:pPr>
        <w:spacing w:line="276" w:lineRule="auto"/>
        <w:rPr>
          <w:rFonts w:cs="Arial"/>
          <w:sz w:val="10"/>
          <w:szCs w:val="10"/>
        </w:rPr>
      </w:pPr>
    </w:p>
    <w:p w:rsidR="00B64AA1" w:rsidRPr="00301583" w:rsidRDefault="00AD4233" w:rsidP="00B64AA1">
      <w:pPr>
        <w:jc w:val="center"/>
        <w:rPr>
          <w:rFonts w:cs="Arial"/>
          <w:szCs w:val="22"/>
        </w:rPr>
      </w:pPr>
      <w:r>
        <w:rPr>
          <w:rFonts w:ascii="Times New Roman" w:hAnsi="Times New Roman"/>
          <w:noProof/>
          <w:sz w:val="24"/>
          <w:szCs w:val="24"/>
          <w:lang w:val="fi-FI" w:eastAsia="fi-FI"/>
        </w:rPr>
        <w:drawing>
          <wp:anchor distT="0" distB="0" distL="114300" distR="114300" simplePos="0" relativeHeight="251674624" behindDoc="1" locked="0" layoutInCell="1" allowOverlap="1" wp14:anchorId="4F722826" wp14:editId="697B2AF2">
            <wp:simplePos x="0" y="0"/>
            <wp:positionH relativeFrom="column">
              <wp:posOffset>11430</wp:posOffset>
            </wp:positionH>
            <wp:positionV relativeFrom="paragraph">
              <wp:posOffset>74295</wp:posOffset>
            </wp:positionV>
            <wp:extent cx="4552950" cy="2343150"/>
            <wp:effectExtent l="19050" t="19050" r="19050" b="19050"/>
            <wp:wrapTight wrapText="bothSides">
              <wp:wrapPolygon edited="0">
                <wp:start x="-90" y="-176"/>
                <wp:lineTo x="-90" y="21600"/>
                <wp:lineTo x="21600" y="21600"/>
                <wp:lineTo x="21600" y="-176"/>
                <wp:lineTo x="-90" y="-176"/>
              </wp:wrapPolygon>
            </wp:wrapTight>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52950" cy="2343150"/>
                    </a:xfrm>
                    <a:prstGeom prst="rect">
                      <a:avLst/>
                    </a:prstGeom>
                    <a:noFill/>
                    <a:ln w="9525">
                      <a:solidFill>
                        <a:schemeClr val="tx1"/>
                      </a:solidFill>
                      <a:miter lim="800000"/>
                      <a:headEnd/>
                      <a:tailEnd/>
                    </a:ln>
                  </pic:spPr>
                </pic:pic>
              </a:graphicData>
            </a:graphic>
            <wp14:sizeRelH relativeFrom="page">
              <wp14:pctWidth>0</wp14:pctWidth>
            </wp14:sizeRelH>
            <wp14:sizeRelV relativeFrom="page">
              <wp14:pctHeight>0</wp14:pctHeight>
            </wp14:sizeRelV>
          </wp:anchor>
        </w:drawing>
      </w:r>
      <w:r w:rsidR="000343B0">
        <w:rPr>
          <w:rFonts w:ascii="Times New Roman" w:hAnsi="Times New Roman"/>
          <w:noProof/>
          <w:sz w:val="24"/>
          <w:szCs w:val="24"/>
          <w:lang w:val="fi-FI" w:eastAsia="fi-FI"/>
        </w:rPr>
        <mc:AlternateContent>
          <mc:Choice Requires="wps">
            <w:drawing>
              <wp:anchor distT="0" distB="0" distL="114300" distR="114300" simplePos="0" relativeHeight="251666432" behindDoc="0" locked="0" layoutInCell="1" allowOverlap="1" wp14:anchorId="352B6A65" wp14:editId="5D9D6E6B">
                <wp:simplePos x="0" y="0"/>
                <wp:positionH relativeFrom="column">
                  <wp:posOffset>4421505</wp:posOffset>
                </wp:positionH>
                <wp:positionV relativeFrom="paragraph">
                  <wp:posOffset>424180</wp:posOffset>
                </wp:positionV>
                <wp:extent cx="914400" cy="480060"/>
                <wp:effectExtent l="952500" t="0" r="19050" b="320040"/>
                <wp:wrapNone/>
                <wp:docPr id="56"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480060"/>
                        </a:xfrm>
                        <a:prstGeom prst="borderCallout2">
                          <a:avLst>
                            <a:gd name="adj1" fmla="val 23810"/>
                            <a:gd name="adj2" fmla="val -8333"/>
                            <a:gd name="adj3" fmla="val 23810"/>
                            <a:gd name="adj4" fmla="val -55903"/>
                            <a:gd name="adj5" fmla="val 163491"/>
                            <a:gd name="adj6" fmla="val -104167"/>
                          </a:avLst>
                        </a:prstGeom>
                        <a:solidFill>
                          <a:srgbClr val="FFFFFF"/>
                        </a:solidFill>
                        <a:ln w="9525">
                          <a:solidFill>
                            <a:srgbClr val="000000"/>
                          </a:solidFill>
                          <a:miter lim="800000"/>
                          <a:headEnd/>
                          <a:tailEnd/>
                        </a:ln>
                      </wps:spPr>
                      <wps:txbx>
                        <w:txbxContent>
                          <w:p w:rsidR="004E6E3A" w:rsidRPr="00B64AA1" w:rsidRDefault="004E6E3A" w:rsidP="00B64AA1">
                            <w:pPr>
                              <w:spacing w:before="0" w:line="240" w:lineRule="auto"/>
                              <w:rPr>
                                <w:sz w:val="16"/>
                                <w:szCs w:val="16"/>
                                <w:lang w:val="hu-HU"/>
                              </w:rPr>
                            </w:pPr>
                            <w:r w:rsidRPr="00985D85">
                              <w:rPr>
                                <w:rFonts w:cs="Arial"/>
                                <w:sz w:val="16"/>
                                <w:szCs w:val="16"/>
                                <w:lang w:eastAsia="en-GB"/>
                              </w:rPr>
                              <w:t>Košice</w:t>
                            </w:r>
                            <w:r w:rsidRPr="00985D85">
                              <w:rPr>
                                <w:sz w:val="16"/>
                                <w:szCs w:val="16"/>
                                <w:lang w:val="hu-HU"/>
                              </w:rPr>
                              <w:t xml:space="preserve"> and </w:t>
                            </w:r>
                            <w:r w:rsidRPr="00985D85">
                              <w:rPr>
                                <w:rFonts w:cs="Arial"/>
                                <w:sz w:val="16"/>
                                <w:szCs w:val="16"/>
                                <w:lang w:eastAsia="en-GB"/>
                              </w:rPr>
                              <w:t>Košice-</w:t>
                            </w:r>
                            <w:r w:rsidRPr="00985D85">
                              <w:rPr>
                                <w:sz w:val="16"/>
                                <w:szCs w:val="16"/>
                                <w:lang w:val="hu-HU"/>
                              </w:rPr>
                              <w:t xml:space="preserve"> surroundings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52B6A65"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24" o:spid="_x0000_s1029" type="#_x0000_t48" style="position:absolute;left:0;text-align:left;margin-left:348.15pt;margin-top:33.4pt;width:1in;height:37.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0yZbAIAACcFAAAOAAAAZHJzL2Uyb0RvYy54bWysVNtuEzEQfUfiHyy/J3vJbppE3VQopQip&#10;QKXCB3htb9bgG7aTTfl6Zr2bdkvLC8IPlu0ZH8+cM+PLq5OS6MidF0ZXOJunGHFNDRN6X+FvX29m&#10;K4x8IJoRaTSv8AP3+Gr79s1lZzc8N62RjDsEINpvOlvhNgS7SRJPW66InxvLNRgb4xQJsHX7hDnS&#10;AbqSSZ6my6QzjllnKPceTq8HI95G/KbhNHxpGs8DkhWG2EKcXZzrfk62l2Szd8S2go5hkH+IQhGh&#10;4dFHqGsSCDo48QJKCeqMN02YU6MS0zSC8pgDZJOlf2Rz3xLLYy5AjrePNPn/B0s/H+8cEqzC5RIj&#10;TRRo9O4QTHwa5UVPUGf9Bvzu7Z3rU/T21tAfHgzJM0u/8eCD6u6TYYBDACeScmqc6m9CuugUuX94&#10;5J6fAqJwuM6KIgWFKJiKFSgbtUnI5nzZOh8+cKNQv6hwDbpztyNSmkPI4zPkeOtDFIGNmRD2PcOo&#10;URI0PRKJ8sUqO2s+8cmnPrPVYrEY62Lis5j6/AWnmPrMynKdvgJUTp2y5aJYZy9fAy2eop5laZEt&#10;L3ov4GPMElZnRqIoRgp2I6SMG7evd9IhSLnCN3GMl/3UTWrUAfFlXkb6ntn8FCKN4zUIJQK0rxSq&#10;wqAZjCGVlhP2XrPYXIEIOawhZKnHqukLZaiscKpPsQAjV30R1YY9QBk5M3Qr/C6waI37hVEHnVph&#10;//NAHMdIftTQCrFyoLXjpigvcqgiN7XUUwvRFKAqHDAalrswfAcH68S+hZeyyIY2fRs0IpzrfIhq&#10;DB+6MYox/hx9u0/30evpf9v+BgAA//8DAFBLAwQUAAYACAAAACEA0XtxBd8AAAAKAQAADwAAAGRy&#10;cy9kb3ducmV2LnhtbEyPQU/DMAyF70j8h8hI3FjKKNXomk4ICU0ckKAw7eomXlutSaom68q/x5zY&#10;zfb79PxesZltLyYaQ+edgvtFAoKc9qZzjYLvr9e7FYgQ0RnsvSMFPxRgU15fFZgbf3afNFWxEWzi&#10;Qo4K2hiHXMqgW7IYFn4gx9rBjxYjr2MjzYhnNre9XCZJJi12jj+0ONBLS/pYnawC3D2+VbWJH9u9&#10;nt79fhsOu1QrdXszP69BRJrjPwx/8Tk6lJyp9idngugVZE/ZA6M8ZFyBgVWa8KFmMl2mIMtCXlYo&#10;fwEAAP//AwBQSwECLQAUAAYACAAAACEAtoM4kv4AAADhAQAAEwAAAAAAAAAAAAAAAAAAAAAAW0Nv&#10;bnRlbnRfVHlwZXNdLnhtbFBLAQItABQABgAIAAAAIQA4/SH/1gAAAJQBAAALAAAAAAAAAAAAAAAA&#10;AC8BAABfcmVscy8ucmVsc1BLAQItABQABgAIAAAAIQBdi0yZbAIAACcFAAAOAAAAAAAAAAAAAAAA&#10;AC4CAABkcnMvZTJvRG9jLnhtbFBLAQItABQABgAIAAAAIQDRe3EF3wAAAAoBAAAPAAAAAAAAAAAA&#10;AAAAAMYEAABkcnMvZG93bnJldi54bWxQSwUGAAAAAAQABADzAAAA0gUAAAAA&#10;" adj="-22500,35314,-12075,5143,,5143">
                <v:textbox>
                  <w:txbxContent>
                    <w:p w:rsidR="004E6E3A" w:rsidRPr="00B64AA1" w:rsidRDefault="004E6E3A" w:rsidP="00B64AA1">
                      <w:pPr>
                        <w:spacing w:before="0" w:line="240" w:lineRule="auto"/>
                        <w:rPr>
                          <w:sz w:val="16"/>
                          <w:szCs w:val="16"/>
                          <w:lang w:val="hu-HU"/>
                        </w:rPr>
                      </w:pPr>
                      <w:r w:rsidRPr="00985D85">
                        <w:rPr>
                          <w:rFonts w:cs="Arial"/>
                          <w:sz w:val="16"/>
                          <w:szCs w:val="16"/>
                          <w:lang w:eastAsia="en-GB"/>
                        </w:rPr>
                        <w:t>Košice</w:t>
                      </w:r>
                      <w:r w:rsidRPr="00985D85">
                        <w:rPr>
                          <w:sz w:val="16"/>
                          <w:szCs w:val="16"/>
                          <w:lang w:val="hu-HU"/>
                        </w:rPr>
                        <w:t xml:space="preserve"> and </w:t>
                      </w:r>
                      <w:r w:rsidRPr="00985D85">
                        <w:rPr>
                          <w:rFonts w:cs="Arial"/>
                          <w:sz w:val="16"/>
                          <w:szCs w:val="16"/>
                          <w:lang w:eastAsia="en-GB"/>
                        </w:rPr>
                        <w:t>Košice-</w:t>
                      </w:r>
                      <w:r w:rsidRPr="00985D85">
                        <w:rPr>
                          <w:sz w:val="16"/>
                          <w:szCs w:val="16"/>
                          <w:lang w:val="hu-HU"/>
                        </w:rPr>
                        <w:t xml:space="preserve"> surroundings</w:t>
                      </w:r>
                    </w:p>
                  </w:txbxContent>
                </v:textbox>
                <o:callout v:ext="edit" minusy="t"/>
              </v:shape>
            </w:pict>
          </mc:Fallback>
        </mc:AlternateContent>
      </w:r>
    </w:p>
    <w:p w:rsidR="00AD4233" w:rsidRDefault="00AD4233" w:rsidP="00556906">
      <w:pPr>
        <w:rPr>
          <w:rFonts w:cs="Arial"/>
          <w:sz w:val="16"/>
          <w:szCs w:val="16"/>
        </w:rPr>
      </w:pPr>
    </w:p>
    <w:p w:rsidR="00AD4233" w:rsidRDefault="00AD4233" w:rsidP="00556906">
      <w:pPr>
        <w:rPr>
          <w:rFonts w:cs="Arial"/>
          <w:sz w:val="16"/>
          <w:szCs w:val="16"/>
        </w:rPr>
      </w:pPr>
    </w:p>
    <w:p w:rsidR="00AD4233" w:rsidRDefault="00AD4233" w:rsidP="00556906">
      <w:pPr>
        <w:rPr>
          <w:rFonts w:cs="Arial"/>
          <w:sz w:val="16"/>
          <w:szCs w:val="16"/>
        </w:rPr>
      </w:pPr>
    </w:p>
    <w:p w:rsidR="00AD4233" w:rsidRDefault="00AD4233" w:rsidP="00556906">
      <w:pPr>
        <w:rPr>
          <w:rFonts w:cs="Arial"/>
          <w:sz w:val="16"/>
          <w:szCs w:val="16"/>
        </w:rPr>
      </w:pPr>
    </w:p>
    <w:p w:rsidR="00AD4233" w:rsidRDefault="00AD4233" w:rsidP="00556906">
      <w:pPr>
        <w:rPr>
          <w:rFonts w:cs="Arial"/>
          <w:sz w:val="16"/>
          <w:szCs w:val="16"/>
        </w:rPr>
      </w:pPr>
    </w:p>
    <w:p w:rsidR="00AD4233" w:rsidRDefault="00AD4233" w:rsidP="00556906">
      <w:pPr>
        <w:rPr>
          <w:rFonts w:cs="Arial"/>
          <w:sz w:val="16"/>
          <w:szCs w:val="16"/>
        </w:rPr>
      </w:pPr>
    </w:p>
    <w:p w:rsidR="00AD4233" w:rsidRDefault="00AD4233" w:rsidP="00556906">
      <w:pPr>
        <w:rPr>
          <w:rFonts w:cs="Arial"/>
          <w:sz w:val="16"/>
          <w:szCs w:val="16"/>
        </w:rPr>
      </w:pPr>
    </w:p>
    <w:p w:rsidR="00AD4233" w:rsidRDefault="00AD4233" w:rsidP="00556906">
      <w:pPr>
        <w:rPr>
          <w:rFonts w:cs="Arial"/>
          <w:sz w:val="16"/>
          <w:szCs w:val="16"/>
        </w:rPr>
      </w:pPr>
    </w:p>
    <w:p w:rsidR="006C0513" w:rsidRDefault="006C0513" w:rsidP="006C0513">
      <w:pPr>
        <w:pStyle w:val="Caption"/>
      </w:pPr>
      <w:bookmarkStart w:id="124" w:name="_Toc392105199"/>
      <w:bookmarkStart w:id="125" w:name="_Toc392509054"/>
      <w:r w:rsidRPr="00301583">
        <w:t xml:space="preserve">Figure </w:t>
      </w:r>
      <w:r w:rsidR="00B759C8">
        <w:fldChar w:fldCharType="begin"/>
      </w:r>
      <w:r w:rsidR="00A752E6">
        <w:instrText xml:space="preserve"> SEQ Figure \* ARABIC </w:instrText>
      </w:r>
      <w:r w:rsidR="00B759C8">
        <w:fldChar w:fldCharType="separate"/>
      </w:r>
      <w:r w:rsidR="00DC6D66">
        <w:rPr>
          <w:noProof/>
        </w:rPr>
        <w:t>8</w:t>
      </w:r>
      <w:r w:rsidR="00B759C8">
        <w:rPr>
          <w:noProof/>
        </w:rPr>
        <w:fldChar w:fldCharType="end"/>
      </w:r>
      <w:r w:rsidR="00E9042F">
        <w:t>:</w:t>
      </w:r>
      <w:r w:rsidRPr="00301583">
        <w:t xml:space="preserve"> Economic dependency rate of inhabitants by districts</w:t>
      </w:r>
      <w:bookmarkEnd w:id="124"/>
      <w:bookmarkEnd w:id="125"/>
    </w:p>
    <w:p w:rsidR="00AD4233" w:rsidRPr="0040458C" w:rsidRDefault="00AD4233" w:rsidP="00AD4233">
      <w:pPr>
        <w:spacing w:after="240" w:line="240" w:lineRule="auto"/>
        <w:rPr>
          <w:rFonts w:cs="Arial"/>
          <w:sz w:val="16"/>
          <w:szCs w:val="16"/>
        </w:rPr>
      </w:pPr>
      <w:r w:rsidRPr="0040458C">
        <w:rPr>
          <w:rFonts w:cs="Arial"/>
          <w:sz w:val="16"/>
          <w:szCs w:val="16"/>
        </w:rPr>
        <w:t>Source: Krasztev</w:t>
      </w:r>
      <w:r>
        <w:rPr>
          <w:rFonts w:cs="Arial"/>
          <w:sz w:val="16"/>
          <w:szCs w:val="16"/>
        </w:rPr>
        <w:t>,</w:t>
      </w:r>
      <w:r w:rsidRPr="0040458C">
        <w:rPr>
          <w:rFonts w:cs="Arial"/>
          <w:sz w:val="16"/>
          <w:szCs w:val="16"/>
        </w:rPr>
        <w:t xml:space="preserve"> 2013</w:t>
      </w:r>
      <w:r>
        <w:rPr>
          <w:rFonts w:cs="Arial"/>
          <w:sz w:val="16"/>
          <w:szCs w:val="16"/>
        </w:rPr>
        <w:t xml:space="preserve">, p. </w:t>
      </w:r>
      <w:r w:rsidRPr="0040458C">
        <w:rPr>
          <w:rFonts w:cs="Arial"/>
          <w:sz w:val="16"/>
          <w:szCs w:val="16"/>
        </w:rPr>
        <w:t>4</w:t>
      </w:r>
    </w:p>
    <w:p w:rsidR="00F17E45" w:rsidRPr="00301583" w:rsidRDefault="00F17E45" w:rsidP="00045F19">
      <w:pPr>
        <w:spacing w:line="276" w:lineRule="auto"/>
      </w:pPr>
      <w:r w:rsidRPr="00301583">
        <w:lastRenderedPageBreak/>
        <w:t>The high unemployment rate across southern and eastern Slovakia is a clear illustr</w:t>
      </w:r>
      <w:r w:rsidRPr="00301583">
        <w:t>a</w:t>
      </w:r>
      <w:r w:rsidRPr="00301583">
        <w:t xml:space="preserve">tion of the West to East slope prevailing not only in Slovakia but also in Hungary and Poland. This </w:t>
      </w:r>
      <w:r w:rsidR="006130BB" w:rsidRPr="00301583">
        <w:t>phenomenon</w:t>
      </w:r>
      <w:r w:rsidRPr="00301583">
        <w:t xml:space="preserve"> has been rooted in historical territorial patterns, industria</w:t>
      </w:r>
      <w:r w:rsidRPr="00301583">
        <w:t>l</w:t>
      </w:r>
      <w:r w:rsidRPr="00301583">
        <w:t xml:space="preserve">isation policies of the socialist era and the collapse of different sectors including a range of industries and agriculture. The massive structural crisis and the desperate need for jobs were highlighted in earlier chapters of this report. </w:t>
      </w:r>
    </w:p>
    <w:p w:rsidR="00F17E45" w:rsidRPr="00301583" w:rsidRDefault="00F17E45" w:rsidP="00045F19">
      <w:pPr>
        <w:spacing w:line="276" w:lineRule="auto"/>
        <w:rPr>
          <w:rFonts w:cs="Arial"/>
          <w:szCs w:val="22"/>
        </w:rPr>
      </w:pPr>
      <w:r w:rsidRPr="00301583">
        <w:t>Finally, the map illustrating the ratio of Roma ethnicity by declared ethnicity in the East-Central European macro-region indicate the most affected NUTS3 regions co</w:t>
      </w:r>
      <w:r w:rsidRPr="00301583">
        <w:t>r</w:t>
      </w:r>
      <w:r w:rsidRPr="00301583">
        <w:t>rectly; however, as it was pointed out, the rates of self-declared Roma are much lo</w:t>
      </w:r>
      <w:r w:rsidRPr="00301583">
        <w:t>w</w:t>
      </w:r>
      <w:r w:rsidRPr="00301583">
        <w:t>er than the estimated number o</w:t>
      </w:r>
      <w:r w:rsidR="00AD4233">
        <w:t>f Romany people in the region (s</w:t>
      </w:r>
      <w:r w:rsidRPr="00301583">
        <w:t xml:space="preserve">ee Chapter 2.2.2). Moreover, in special contexts like </w:t>
      </w:r>
      <w:r w:rsidR="001177C5" w:rsidRPr="00301583">
        <w:t xml:space="preserve">one of </w:t>
      </w:r>
      <w:r w:rsidRPr="00301583">
        <w:t>the researched village communit</w:t>
      </w:r>
      <w:r w:rsidR="001177C5" w:rsidRPr="00301583">
        <w:t>ies</w:t>
      </w:r>
      <w:r w:rsidRPr="00301583">
        <w:t>, even less Roma declare Roma nationality for two reasons. On the one hand, they maintain their double (minority) identity (Hungarian and Roma) and on the other hand, Sl</w:t>
      </w:r>
      <w:r w:rsidRPr="00301583">
        <w:t>o</w:t>
      </w:r>
      <w:r w:rsidRPr="00301583">
        <w:t>vakian census in 2011 did not register double identity (as opposed to the Hungarian one). Therefore, official figures in this special context do not reflect a real position of Banská Bystrica region as compared to the neighbouring regions. According to est</w:t>
      </w:r>
      <w:r w:rsidRPr="00301583">
        <w:t>i</w:t>
      </w:r>
      <w:r w:rsidRPr="00301583">
        <w:t xml:space="preserve">mations, this is the region where the rate of Romany people in the population is the highest (19%) higher than in Slovakia’s poorest and Easternmost region (Prešov 12%) and </w:t>
      </w:r>
      <w:r w:rsidRPr="00301583">
        <w:rPr>
          <w:rFonts w:cs="Arial"/>
          <w:szCs w:val="22"/>
        </w:rPr>
        <w:t xml:space="preserve">in the </w:t>
      </w:r>
      <w:r w:rsidRPr="00301583">
        <w:rPr>
          <w:rFonts w:cs="Arial"/>
          <w:szCs w:val="22"/>
          <w:lang w:eastAsia="en-GB"/>
        </w:rPr>
        <w:t>Košice</w:t>
      </w:r>
      <w:r w:rsidRPr="00301583">
        <w:rPr>
          <w:rFonts w:cs="Arial"/>
          <w:szCs w:val="22"/>
        </w:rPr>
        <w:t xml:space="preserve"> NUTS3 region where an estimated number of more than 120 thousand Roma lived in 2012-2013. However, their proportion is “only” 15%, again due to the “neutralising” effect of “scale” (</w:t>
      </w:r>
      <w:r w:rsidRPr="00301583">
        <w:rPr>
          <w:rFonts w:cs="Arial"/>
          <w:szCs w:val="22"/>
          <w:lang w:eastAsia="en-GB"/>
        </w:rPr>
        <w:t>Košice).</w:t>
      </w:r>
    </w:p>
    <w:p w:rsidR="00BC76DD" w:rsidRPr="00301583" w:rsidRDefault="00BC76DD" w:rsidP="00BC76DD">
      <w:pPr>
        <w:rPr>
          <w:rFonts w:cs="Arial"/>
          <w:szCs w:val="22"/>
        </w:rPr>
      </w:pPr>
    </w:p>
    <w:p w:rsidR="00E66FFF" w:rsidRPr="00301583" w:rsidRDefault="00E66FFF" w:rsidP="00E66FFF">
      <w:pPr>
        <w:rPr>
          <w:rFonts w:cs="Arial"/>
          <w:szCs w:val="22"/>
        </w:rPr>
      </w:pPr>
    </w:p>
    <w:p w:rsidR="00276F86" w:rsidRPr="00B074CE" w:rsidRDefault="00536563" w:rsidP="00B074CE">
      <w:pPr>
        <w:pStyle w:val="Heading1"/>
      </w:pPr>
      <w:r w:rsidRPr="00301583">
        <w:rPr>
          <w:noProof/>
        </w:rPr>
        <w:br w:type="column"/>
      </w:r>
      <w:bookmarkStart w:id="126" w:name="_Toc380500974"/>
      <w:bookmarkStart w:id="127" w:name="_Toc385271104"/>
      <w:bookmarkStart w:id="128" w:name="_Toc385939067"/>
      <w:r w:rsidR="00E9042F" w:rsidRPr="00B074CE">
        <w:lastRenderedPageBreak/>
        <w:t>Transferability of r</w:t>
      </w:r>
      <w:r w:rsidRPr="00B074CE">
        <w:t>esults</w:t>
      </w:r>
      <w:bookmarkEnd w:id="126"/>
      <w:bookmarkEnd w:id="127"/>
      <w:bookmarkEnd w:id="128"/>
    </w:p>
    <w:p w:rsidR="00276F86" w:rsidRPr="00301583" w:rsidRDefault="00276F86" w:rsidP="00276F86"/>
    <w:p w:rsidR="00F17E45" w:rsidRPr="00301583" w:rsidRDefault="00F17E45" w:rsidP="00045F19">
      <w:pPr>
        <w:spacing w:line="276" w:lineRule="auto"/>
        <w:rPr>
          <w:rFonts w:cs="Arial"/>
          <w:szCs w:val="22"/>
        </w:rPr>
      </w:pPr>
      <w:r w:rsidRPr="00301583">
        <w:rPr>
          <w:rFonts w:cs="Arial"/>
          <w:szCs w:val="22"/>
        </w:rPr>
        <w:t>Research material collected in two villages and one rural town reflected similar pa</w:t>
      </w:r>
      <w:r w:rsidRPr="00301583">
        <w:rPr>
          <w:rFonts w:cs="Arial"/>
          <w:szCs w:val="22"/>
        </w:rPr>
        <w:t>t</w:t>
      </w:r>
      <w:r w:rsidRPr="00301583">
        <w:rPr>
          <w:rFonts w:cs="Arial"/>
          <w:szCs w:val="22"/>
        </w:rPr>
        <w:t>terns of Roma marginalisation than in Hungary. The most important causes of ma</w:t>
      </w:r>
      <w:r w:rsidRPr="00301583">
        <w:rPr>
          <w:rFonts w:cs="Arial"/>
          <w:szCs w:val="22"/>
        </w:rPr>
        <w:t>r</w:t>
      </w:r>
      <w:r w:rsidRPr="00301583">
        <w:rPr>
          <w:rFonts w:cs="Arial"/>
          <w:szCs w:val="22"/>
        </w:rPr>
        <w:t>ginalisation are more or less the same: low educational attainment, scarce availability of jobs, high dependency rate on social transfers, miserable living conditions esp</w:t>
      </w:r>
      <w:r w:rsidRPr="00301583">
        <w:rPr>
          <w:rFonts w:cs="Arial"/>
          <w:szCs w:val="22"/>
        </w:rPr>
        <w:t>e</w:t>
      </w:r>
      <w:r w:rsidRPr="00301583">
        <w:rPr>
          <w:rFonts w:cs="Arial"/>
          <w:szCs w:val="22"/>
        </w:rPr>
        <w:t>cially in segregated dwelling units either urban (like the “black city” of Rimaská Sob</w:t>
      </w:r>
      <w:r w:rsidRPr="00301583">
        <w:rPr>
          <w:rFonts w:cs="Arial"/>
          <w:szCs w:val="22"/>
        </w:rPr>
        <w:t>o</w:t>
      </w:r>
      <w:r w:rsidRPr="00301583">
        <w:rPr>
          <w:rFonts w:cs="Arial"/>
          <w:szCs w:val="22"/>
        </w:rPr>
        <w:t xml:space="preserve">ta) or rural (like the wooden shacks of Klenovec) and the prevalence of segregated public schools. Nevertheless, there are some differences and some transferable practices. </w:t>
      </w:r>
    </w:p>
    <w:p w:rsidR="00F17E45" w:rsidRPr="00301583" w:rsidRDefault="00F17E45" w:rsidP="00045F19">
      <w:pPr>
        <w:spacing w:line="276" w:lineRule="auto"/>
        <w:rPr>
          <w:rFonts w:cs="Arial"/>
          <w:szCs w:val="22"/>
        </w:rPr>
      </w:pPr>
      <w:r w:rsidRPr="00301583">
        <w:rPr>
          <w:rFonts w:cs="Arial"/>
          <w:szCs w:val="22"/>
        </w:rPr>
        <w:t>The repeated assessment of Romany population (Atlas of Roma) is one of the bac</w:t>
      </w:r>
      <w:r w:rsidRPr="00301583">
        <w:rPr>
          <w:rFonts w:cs="Arial"/>
          <w:szCs w:val="22"/>
        </w:rPr>
        <w:t>k</w:t>
      </w:r>
      <w:r w:rsidRPr="00301583">
        <w:rPr>
          <w:rFonts w:cs="Arial"/>
          <w:szCs w:val="22"/>
        </w:rPr>
        <w:t>ground studies in Slovakia that should be learnt by the other affected new member states of the region because it is able to provide developers, policy makers and also academic audience with a reliable set of estimations at LAU2 level. The last invest</w:t>
      </w:r>
      <w:r w:rsidRPr="00301583">
        <w:rPr>
          <w:rFonts w:cs="Arial"/>
          <w:szCs w:val="22"/>
        </w:rPr>
        <w:t>i</w:t>
      </w:r>
      <w:r w:rsidRPr="00301583">
        <w:rPr>
          <w:rFonts w:cs="Arial"/>
          <w:szCs w:val="22"/>
        </w:rPr>
        <w:t>gation was literally aiming to support strategic planning with necessary information on the spatial distribution of Romany population and the way of their living (segregated or dispersed).</w:t>
      </w:r>
    </w:p>
    <w:p w:rsidR="00C519C7" w:rsidRPr="00301583" w:rsidRDefault="00C519C7" w:rsidP="00045F19">
      <w:pPr>
        <w:spacing w:line="276" w:lineRule="auto"/>
        <w:rPr>
          <w:rFonts w:cs="Arial"/>
          <w:noProof/>
          <w:szCs w:val="22"/>
        </w:rPr>
      </w:pPr>
      <w:r w:rsidRPr="00301583">
        <w:t>There are important and effective social policy tools against the consequences of poverty (free meals and free equipment for the needy</w:t>
      </w:r>
      <w:r w:rsidR="00857A3A" w:rsidRPr="00301583">
        <w:t>) and</w:t>
      </w:r>
      <w:r w:rsidR="001177C5" w:rsidRPr="00301583">
        <w:t xml:space="preserve"> against</w:t>
      </w:r>
      <w:r w:rsidR="00857A3A" w:rsidRPr="00301583">
        <w:t xml:space="preserve"> segregation like</w:t>
      </w:r>
      <w:r w:rsidRPr="00301583">
        <w:t xml:space="preserve"> teacher assistants at school and field social workers at segregated neighbourhoods: the latter</w:t>
      </w:r>
      <w:r w:rsidR="009D2C0E">
        <w:t xml:space="preserve"> one</w:t>
      </w:r>
      <w:r w:rsidRPr="00301583">
        <w:t>, field social worker as a thin path between segregated settlements and the outside world is not so common in the region</w:t>
      </w:r>
      <w:r w:rsidR="009D2C0E">
        <w:t>;</w:t>
      </w:r>
      <w:r w:rsidRPr="00301583">
        <w:t xml:space="preserve"> therefore</w:t>
      </w:r>
      <w:r w:rsidR="009D2C0E">
        <w:t>,</w:t>
      </w:r>
      <w:r w:rsidRPr="00301583">
        <w:t xml:space="preserve"> experiences should be shared</w:t>
      </w:r>
      <w:r w:rsidR="00857A3A" w:rsidRPr="00301583">
        <w:t xml:space="preserve"> among social policy experts and practitioners</w:t>
      </w:r>
      <w:r w:rsidRPr="00301583">
        <w:t xml:space="preserve">. </w:t>
      </w:r>
      <w:r w:rsidR="00857A3A" w:rsidRPr="00301583">
        <w:rPr>
          <w:rFonts w:cs="Arial"/>
          <w:noProof/>
          <w:szCs w:val="22"/>
        </w:rPr>
        <w:t xml:space="preserve">However, according to the situation analysis of the </w:t>
      </w:r>
      <w:r w:rsidR="000D040F" w:rsidRPr="00301583">
        <w:rPr>
          <w:rFonts w:cs="Arial"/>
          <w:noProof/>
          <w:szCs w:val="22"/>
        </w:rPr>
        <w:t>Strategy for Integration of Roma</w:t>
      </w:r>
      <w:r w:rsidR="00857A3A" w:rsidRPr="00301583">
        <w:rPr>
          <w:rFonts w:cs="Arial"/>
          <w:noProof/>
          <w:szCs w:val="22"/>
        </w:rPr>
        <w:t xml:space="preserve">, only a minor portion of </w:t>
      </w:r>
      <w:r w:rsidR="00B322AF" w:rsidRPr="00301583">
        <w:rPr>
          <w:rFonts w:cs="Arial"/>
          <w:noProof/>
          <w:szCs w:val="22"/>
        </w:rPr>
        <w:t xml:space="preserve">teacher assistants come from Roma background that needs to be remidied in the future. </w:t>
      </w:r>
    </w:p>
    <w:p w:rsidR="00F17E45" w:rsidRPr="00301583" w:rsidRDefault="00F17E45" w:rsidP="00045F19">
      <w:pPr>
        <w:spacing w:line="276" w:lineRule="auto"/>
        <w:rPr>
          <w:rFonts w:cs="Arial"/>
          <w:szCs w:val="22"/>
        </w:rPr>
      </w:pPr>
      <w:r w:rsidRPr="00301583">
        <w:rPr>
          <w:rFonts w:cs="Arial"/>
          <w:szCs w:val="22"/>
        </w:rPr>
        <w:t xml:space="preserve">Segregating children at school is more common in Slovakia than in </w:t>
      </w:r>
      <w:r w:rsidR="00C333E6" w:rsidRPr="00301583">
        <w:rPr>
          <w:rFonts w:cs="Arial"/>
          <w:szCs w:val="22"/>
        </w:rPr>
        <w:t>Hungary. Instit</w:t>
      </w:r>
      <w:r w:rsidR="00C333E6" w:rsidRPr="00301583">
        <w:rPr>
          <w:rFonts w:cs="Arial"/>
          <w:szCs w:val="22"/>
        </w:rPr>
        <w:t>u</w:t>
      </w:r>
      <w:r w:rsidR="00C333E6" w:rsidRPr="00301583">
        <w:rPr>
          <w:rFonts w:cs="Arial"/>
          <w:szCs w:val="22"/>
        </w:rPr>
        <w:t>tions</w:t>
      </w:r>
      <w:r w:rsidRPr="00301583">
        <w:rPr>
          <w:rFonts w:cs="Arial"/>
          <w:szCs w:val="22"/>
        </w:rPr>
        <w:t xml:space="preserve"> like zero grades, special classes and special schools </w:t>
      </w:r>
      <w:r w:rsidR="001177C5" w:rsidRPr="00301583">
        <w:rPr>
          <w:rFonts w:cs="Arial"/>
          <w:szCs w:val="22"/>
        </w:rPr>
        <w:t xml:space="preserve">were </w:t>
      </w:r>
      <w:r w:rsidRPr="00301583">
        <w:rPr>
          <w:rFonts w:cs="Arial"/>
          <w:szCs w:val="22"/>
        </w:rPr>
        <w:t xml:space="preserve">widespread yet in </w:t>
      </w:r>
      <w:r w:rsidR="00EB2A08" w:rsidRPr="00301583">
        <w:rPr>
          <w:rFonts w:cs="Arial"/>
          <w:szCs w:val="22"/>
        </w:rPr>
        <w:t>2012-2013</w:t>
      </w:r>
      <w:r w:rsidRPr="00301583">
        <w:rPr>
          <w:rFonts w:cs="Arial"/>
          <w:szCs w:val="22"/>
        </w:rPr>
        <w:t xml:space="preserve">.  Furthermore, enrolment rate of Roma children to preschool </w:t>
      </w:r>
      <w:r w:rsidR="001177C5" w:rsidRPr="00301583">
        <w:rPr>
          <w:rFonts w:cs="Arial"/>
          <w:szCs w:val="22"/>
        </w:rPr>
        <w:t>wa</w:t>
      </w:r>
      <w:r w:rsidRPr="00301583">
        <w:rPr>
          <w:rFonts w:cs="Arial"/>
          <w:szCs w:val="22"/>
        </w:rPr>
        <w:t>s one of the lowest in Europe. It seems that</w:t>
      </w:r>
      <w:r w:rsidR="00EB2A08" w:rsidRPr="00301583">
        <w:rPr>
          <w:rFonts w:cs="Arial"/>
          <w:szCs w:val="22"/>
        </w:rPr>
        <w:t xml:space="preserve"> the scope of EU funded projects invested into education was narrower here than in other n</w:t>
      </w:r>
      <w:r w:rsidR="00AD4233">
        <w:rPr>
          <w:rFonts w:cs="Arial"/>
          <w:szCs w:val="22"/>
        </w:rPr>
        <w:t>ew member states (s</w:t>
      </w:r>
      <w:r w:rsidRPr="00301583">
        <w:rPr>
          <w:rFonts w:cs="Arial"/>
          <w:szCs w:val="22"/>
        </w:rPr>
        <w:t xml:space="preserve">ure Start does not exist in </w:t>
      </w:r>
      <w:r w:rsidR="00DE0CDE" w:rsidRPr="00301583">
        <w:rPr>
          <w:rFonts w:cs="Arial"/>
          <w:szCs w:val="22"/>
        </w:rPr>
        <w:t xml:space="preserve">the research region of </w:t>
      </w:r>
      <w:r w:rsidRPr="00301583">
        <w:rPr>
          <w:rFonts w:cs="Arial"/>
          <w:szCs w:val="22"/>
        </w:rPr>
        <w:t>Slovakia, extracurricular study place programs promo</w:t>
      </w:r>
      <w:r w:rsidRPr="00301583">
        <w:rPr>
          <w:rFonts w:cs="Arial"/>
          <w:szCs w:val="22"/>
        </w:rPr>
        <w:t>t</w:t>
      </w:r>
      <w:r w:rsidRPr="00301583">
        <w:rPr>
          <w:rFonts w:cs="Arial"/>
          <w:szCs w:val="22"/>
        </w:rPr>
        <w:t>ing afternoon schooling of Roma children appear sporadically transmitted by Hunga</w:t>
      </w:r>
      <w:r w:rsidRPr="00301583">
        <w:rPr>
          <w:rFonts w:cs="Arial"/>
          <w:szCs w:val="22"/>
        </w:rPr>
        <w:t>r</w:t>
      </w:r>
      <w:r w:rsidRPr="00301583">
        <w:rPr>
          <w:rFonts w:cs="Arial"/>
          <w:szCs w:val="22"/>
        </w:rPr>
        <w:t>ian examples sponsored by the Open Society Institute</w:t>
      </w:r>
      <w:r w:rsidR="00E54A1E" w:rsidRPr="00301583">
        <w:rPr>
          <w:rFonts w:cs="Arial"/>
          <w:szCs w:val="22"/>
        </w:rPr>
        <w:t>, Budapest</w:t>
      </w:r>
      <w:r w:rsidRPr="00301583">
        <w:rPr>
          <w:rFonts w:cs="Arial"/>
          <w:szCs w:val="22"/>
        </w:rPr>
        <w:t xml:space="preserve">). However, there are excellent analyses and clear policy visions laid down in the </w:t>
      </w:r>
      <w:r w:rsidR="000D040F" w:rsidRPr="00301583">
        <w:rPr>
          <w:rFonts w:cs="Arial"/>
          <w:szCs w:val="22"/>
        </w:rPr>
        <w:t>Strategy for Integr</w:t>
      </w:r>
      <w:r w:rsidR="000D040F" w:rsidRPr="00301583">
        <w:rPr>
          <w:rFonts w:cs="Arial"/>
          <w:szCs w:val="22"/>
        </w:rPr>
        <w:t>a</w:t>
      </w:r>
      <w:r w:rsidR="000D040F" w:rsidRPr="00301583">
        <w:rPr>
          <w:rFonts w:cs="Arial"/>
          <w:szCs w:val="22"/>
        </w:rPr>
        <w:t xml:space="preserve">tion of Roma </w:t>
      </w:r>
      <w:r w:rsidRPr="00301583">
        <w:rPr>
          <w:rFonts w:cs="Arial"/>
          <w:szCs w:val="22"/>
        </w:rPr>
        <w:t>of Slovakia that might bring results in the future. For example, the methodology of psychological testing of children will probably be changed in the co</w:t>
      </w:r>
      <w:r w:rsidRPr="00301583">
        <w:rPr>
          <w:rFonts w:cs="Arial"/>
          <w:szCs w:val="22"/>
        </w:rPr>
        <w:t>m</w:t>
      </w:r>
      <w:r w:rsidRPr="00301583">
        <w:rPr>
          <w:rFonts w:cs="Arial"/>
          <w:szCs w:val="22"/>
        </w:rPr>
        <w:t>ing years and the socially deprived low-motivated, low-performing children will not be allowed to put on a parallel educational track starting with zero classes leading to nowhere. Special schools will be maintained for the mentally handicapped children. Desegregation policies in Slovakia make difference between various kinds of segr</w:t>
      </w:r>
      <w:r w:rsidRPr="00301583">
        <w:rPr>
          <w:rFonts w:cs="Arial"/>
          <w:szCs w:val="22"/>
        </w:rPr>
        <w:t>e</w:t>
      </w:r>
      <w:r w:rsidRPr="00301583">
        <w:rPr>
          <w:rFonts w:cs="Arial"/>
          <w:szCs w:val="22"/>
        </w:rPr>
        <w:t xml:space="preserve">gation, for instance, they do not address ghetto schools of </w:t>
      </w:r>
      <w:r w:rsidR="00E54A1E" w:rsidRPr="00301583">
        <w:rPr>
          <w:rFonts w:cs="Arial"/>
          <w:szCs w:val="22"/>
        </w:rPr>
        <w:t xml:space="preserve">segregated villages </w:t>
      </w:r>
      <w:r w:rsidRPr="00301583">
        <w:rPr>
          <w:rFonts w:cs="Arial"/>
          <w:szCs w:val="22"/>
        </w:rPr>
        <w:t xml:space="preserve">with the same policies as the ones with relatively low representation of Roma children.   </w:t>
      </w:r>
    </w:p>
    <w:p w:rsidR="00F17E45" w:rsidRPr="00301583" w:rsidRDefault="00F17E45" w:rsidP="00045F19">
      <w:pPr>
        <w:spacing w:line="276" w:lineRule="auto"/>
        <w:rPr>
          <w:rFonts w:cs="Arial"/>
          <w:szCs w:val="22"/>
        </w:rPr>
      </w:pPr>
      <w:r w:rsidRPr="00301583">
        <w:rPr>
          <w:rFonts w:cs="Arial"/>
          <w:szCs w:val="22"/>
        </w:rPr>
        <w:lastRenderedPageBreak/>
        <w:t>One of the good examples is that free school meal and free equipment secured for all pupils at school if the rate of socially deprived children goes above 50% of the e</w:t>
      </w:r>
      <w:r w:rsidRPr="00301583">
        <w:rPr>
          <w:rFonts w:cs="Arial"/>
          <w:szCs w:val="22"/>
        </w:rPr>
        <w:t>n</w:t>
      </w:r>
      <w:r w:rsidRPr="00301583">
        <w:rPr>
          <w:rFonts w:cs="Arial"/>
          <w:szCs w:val="22"/>
        </w:rPr>
        <w:t xml:space="preserve">rolled children.  </w:t>
      </w:r>
    </w:p>
    <w:p w:rsidR="00F17E45" w:rsidRPr="00301583" w:rsidRDefault="00F17E45" w:rsidP="00045F19">
      <w:pPr>
        <w:spacing w:line="276" w:lineRule="auto"/>
        <w:rPr>
          <w:rFonts w:cs="Arial"/>
          <w:szCs w:val="22"/>
        </w:rPr>
      </w:pPr>
      <w:r w:rsidRPr="00301583">
        <w:rPr>
          <w:rFonts w:cs="Arial"/>
          <w:szCs w:val="22"/>
        </w:rPr>
        <w:t>Finally, Slovakian planners and policy makers should learn from their own “Compr</w:t>
      </w:r>
      <w:r w:rsidRPr="00301583">
        <w:rPr>
          <w:rFonts w:cs="Arial"/>
          <w:szCs w:val="22"/>
        </w:rPr>
        <w:t>e</w:t>
      </w:r>
      <w:r w:rsidRPr="00301583">
        <w:rPr>
          <w:rFonts w:cs="Arial"/>
          <w:szCs w:val="22"/>
        </w:rPr>
        <w:t>hensive Approach”</w:t>
      </w:r>
      <w:r w:rsidR="00AC657F" w:rsidRPr="00301583">
        <w:rPr>
          <w:rFonts w:cs="Arial"/>
          <w:szCs w:val="22"/>
        </w:rPr>
        <w:t xml:space="preserve"> Program</w:t>
      </w:r>
      <w:r w:rsidRPr="00301583">
        <w:rPr>
          <w:rFonts w:cs="Arial"/>
          <w:szCs w:val="22"/>
        </w:rPr>
        <w:t>.</w:t>
      </w:r>
      <w:r w:rsidR="00D517F2">
        <w:rPr>
          <w:rFonts w:cs="Arial"/>
          <w:szCs w:val="22"/>
        </w:rPr>
        <w:t xml:space="preserve"> </w:t>
      </w:r>
      <w:r w:rsidRPr="00301583">
        <w:rPr>
          <w:rFonts w:cs="Arial"/>
          <w:szCs w:val="22"/>
        </w:rPr>
        <w:t>The Comprehensive Development Program of Roma Settlements was adopted by the Slovakian government in 2002, then it was reintr</w:t>
      </w:r>
      <w:r w:rsidRPr="00301583">
        <w:rPr>
          <w:rFonts w:cs="Arial"/>
          <w:szCs w:val="22"/>
        </w:rPr>
        <w:t>o</w:t>
      </w:r>
      <w:r w:rsidRPr="00301583">
        <w:rPr>
          <w:rFonts w:cs="Arial"/>
          <w:szCs w:val="22"/>
        </w:rPr>
        <w:t>duced on</w:t>
      </w:r>
      <w:r w:rsidR="005D755A" w:rsidRPr="00301583">
        <w:rPr>
          <w:rFonts w:cs="Arial"/>
          <w:szCs w:val="22"/>
        </w:rPr>
        <w:t>c</w:t>
      </w:r>
      <w:r w:rsidRPr="00301583">
        <w:rPr>
          <w:rFonts w:cs="Arial"/>
          <w:szCs w:val="22"/>
        </w:rPr>
        <w:t xml:space="preserve">e again to the political discourse </w:t>
      </w:r>
      <w:r w:rsidR="006130BB" w:rsidRPr="00301583">
        <w:rPr>
          <w:rFonts w:cs="Arial"/>
          <w:szCs w:val="22"/>
        </w:rPr>
        <w:t>by Kla</w:t>
      </w:r>
      <w:r w:rsidRPr="00301583">
        <w:rPr>
          <w:rFonts w:cs="Arial"/>
          <w:szCs w:val="22"/>
        </w:rPr>
        <w:t>ra Orgovánová in 2005 since she was the Plenipotentiary of Slovak Government for Roma Communities at that time. The territorially and ethnically targeted</w:t>
      </w:r>
      <w:r w:rsidR="00D517F2">
        <w:rPr>
          <w:rFonts w:cs="Arial"/>
          <w:szCs w:val="22"/>
        </w:rPr>
        <w:t xml:space="preserve"> </w:t>
      </w:r>
      <w:r w:rsidRPr="00301583">
        <w:rPr>
          <w:rFonts w:cs="Arial"/>
          <w:szCs w:val="22"/>
        </w:rPr>
        <w:t xml:space="preserve">program aiming the complex, place based development of Roma communities was part of the Reference Framework for the 2007-2013 programing period with an allocated 200 hundred thousand Euro funding.  However, for a number of reasons, the program practically failed: roughly one fifth of the funding was used till the end of 2012 and the rest was absorbed by the budget of technical assistance partly used for financing the community house programs.  </w:t>
      </w:r>
    </w:p>
    <w:p w:rsidR="00F17E45" w:rsidRPr="00301583" w:rsidRDefault="00F17E45" w:rsidP="00045F19">
      <w:pPr>
        <w:spacing w:line="276" w:lineRule="auto"/>
        <w:rPr>
          <w:rFonts w:cs="Arial"/>
          <w:szCs w:val="22"/>
        </w:rPr>
      </w:pPr>
      <w:r w:rsidRPr="00301583">
        <w:rPr>
          <w:rFonts w:cs="Arial"/>
          <w:szCs w:val="22"/>
        </w:rPr>
        <w:t>A recent evaluation of the “Comprehensive Approach” (Kostál C., Salner A. et al.</w:t>
      </w:r>
      <w:r w:rsidR="00AD4233">
        <w:rPr>
          <w:rFonts w:cs="Arial"/>
          <w:szCs w:val="22"/>
        </w:rPr>
        <w:t>,</w:t>
      </w:r>
      <w:r w:rsidRPr="00301583">
        <w:rPr>
          <w:rFonts w:cs="Arial"/>
          <w:szCs w:val="22"/>
        </w:rPr>
        <w:t xml:space="preserve"> 2013) pointed to the following weaknesses of</w:t>
      </w:r>
      <w:r w:rsidR="00C34BD0">
        <w:rPr>
          <w:rFonts w:cs="Arial"/>
          <w:szCs w:val="22"/>
        </w:rPr>
        <w:t xml:space="preserve"> the</w:t>
      </w:r>
      <w:r w:rsidRPr="00301583">
        <w:rPr>
          <w:rFonts w:cs="Arial"/>
          <w:szCs w:val="22"/>
        </w:rPr>
        <w:t xml:space="preserve"> implementation:</w:t>
      </w:r>
    </w:p>
    <w:p w:rsidR="00F17E45" w:rsidRPr="00301583" w:rsidRDefault="00F17E45" w:rsidP="00045F19">
      <w:pPr>
        <w:numPr>
          <w:ilvl w:val="0"/>
          <w:numId w:val="8"/>
        </w:numPr>
        <w:spacing w:line="276" w:lineRule="auto"/>
        <w:rPr>
          <w:rFonts w:cs="Arial"/>
          <w:szCs w:val="22"/>
        </w:rPr>
      </w:pPr>
      <w:r w:rsidRPr="00301583">
        <w:rPr>
          <w:rFonts w:cs="Arial"/>
          <w:szCs w:val="22"/>
        </w:rPr>
        <w:t>Uneven quality of local development strategies</w:t>
      </w:r>
      <w:r w:rsidR="00E54A1E" w:rsidRPr="00301583">
        <w:rPr>
          <w:rFonts w:cs="Arial"/>
          <w:szCs w:val="22"/>
        </w:rPr>
        <w:t xml:space="preserve"> eligible for funding</w:t>
      </w:r>
    </w:p>
    <w:p w:rsidR="00F17E45" w:rsidRPr="00301583" w:rsidRDefault="00F17E45" w:rsidP="00045F19">
      <w:pPr>
        <w:numPr>
          <w:ilvl w:val="0"/>
          <w:numId w:val="8"/>
        </w:numPr>
        <w:spacing w:line="276" w:lineRule="auto"/>
        <w:rPr>
          <w:rFonts w:cs="Arial"/>
          <w:szCs w:val="22"/>
        </w:rPr>
      </w:pPr>
      <w:r w:rsidRPr="00301583">
        <w:rPr>
          <w:rFonts w:cs="Arial"/>
          <w:szCs w:val="22"/>
        </w:rPr>
        <w:t xml:space="preserve">Slow and complicated </w:t>
      </w:r>
      <w:r w:rsidR="00C333E6" w:rsidRPr="00301583">
        <w:rPr>
          <w:rFonts w:cs="Arial"/>
          <w:szCs w:val="22"/>
        </w:rPr>
        <w:t>bureaucratic</w:t>
      </w:r>
      <w:r w:rsidR="00D517F2">
        <w:rPr>
          <w:rFonts w:cs="Arial"/>
          <w:szCs w:val="22"/>
        </w:rPr>
        <w:t xml:space="preserve"> </w:t>
      </w:r>
      <w:r w:rsidRPr="00301583">
        <w:rPr>
          <w:rFonts w:cs="Arial"/>
          <w:szCs w:val="22"/>
        </w:rPr>
        <w:t>procedures</w:t>
      </w:r>
    </w:p>
    <w:p w:rsidR="00F17E45" w:rsidRPr="00301583" w:rsidRDefault="00F17E45" w:rsidP="00045F19">
      <w:pPr>
        <w:numPr>
          <w:ilvl w:val="0"/>
          <w:numId w:val="8"/>
        </w:numPr>
        <w:spacing w:line="276" w:lineRule="auto"/>
        <w:rPr>
          <w:rFonts w:cs="Arial"/>
          <w:szCs w:val="22"/>
        </w:rPr>
      </w:pPr>
      <w:r w:rsidRPr="00301583">
        <w:rPr>
          <w:rFonts w:cs="Arial"/>
          <w:szCs w:val="22"/>
        </w:rPr>
        <w:t xml:space="preserve">Fragmentation of the </w:t>
      </w:r>
      <w:r w:rsidR="00E54A1E" w:rsidRPr="00301583">
        <w:rPr>
          <w:rFonts w:cs="Arial"/>
          <w:szCs w:val="22"/>
        </w:rPr>
        <w:t>administrative system</w:t>
      </w:r>
      <w:r w:rsidRPr="00301583">
        <w:rPr>
          <w:rFonts w:cs="Arial"/>
          <w:szCs w:val="22"/>
        </w:rPr>
        <w:t>: municipalities were not interested in cooperation; therefore, cross municipality programming was rarely brought about</w:t>
      </w:r>
    </w:p>
    <w:p w:rsidR="00F17E45" w:rsidRPr="00301583" w:rsidRDefault="00F17E45" w:rsidP="00045F19">
      <w:pPr>
        <w:numPr>
          <w:ilvl w:val="0"/>
          <w:numId w:val="8"/>
        </w:numPr>
        <w:spacing w:line="276" w:lineRule="auto"/>
        <w:rPr>
          <w:rFonts w:cs="Arial"/>
          <w:szCs w:val="22"/>
        </w:rPr>
      </w:pPr>
      <w:r w:rsidRPr="00301583">
        <w:rPr>
          <w:rFonts w:cs="Arial"/>
          <w:szCs w:val="22"/>
        </w:rPr>
        <w:t>Much of the funding supported projects in the developed regions with low re</w:t>
      </w:r>
      <w:r w:rsidRPr="00301583">
        <w:rPr>
          <w:rFonts w:cs="Arial"/>
          <w:szCs w:val="22"/>
        </w:rPr>
        <w:t>p</w:t>
      </w:r>
      <w:r w:rsidRPr="00301583">
        <w:rPr>
          <w:rFonts w:cs="Arial"/>
          <w:szCs w:val="22"/>
        </w:rPr>
        <w:t xml:space="preserve">resentation of Roma, therefore the program did </w:t>
      </w:r>
      <w:r w:rsidR="00E54A1E" w:rsidRPr="00301583">
        <w:rPr>
          <w:rFonts w:cs="Arial"/>
          <w:szCs w:val="22"/>
        </w:rPr>
        <w:t xml:space="preserve">not </w:t>
      </w:r>
      <w:r w:rsidRPr="00301583">
        <w:rPr>
          <w:rFonts w:cs="Arial"/>
          <w:szCs w:val="22"/>
        </w:rPr>
        <w:t xml:space="preserve">reach the target </w:t>
      </w:r>
      <w:r w:rsidR="00EB4594" w:rsidRPr="00301583">
        <w:rPr>
          <w:rFonts w:cs="Arial"/>
          <w:szCs w:val="22"/>
        </w:rPr>
        <w:t>group in the desired scale</w:t>
      </w:r>
    </w:p>
    <w:p w:rsidR="00F17E45" w:rsidRPr="00301583" w:rsidRDefault="00F17E45" w:rsidP="00045F19">
      <w:pPr>
        <w:numPr>
          <w:ilvl w:val="0"/>
          <w:numId w:val="8"/>
        </w:numPr>
        <w:spacing w:line="276" w:lineRule="auto"/>
        <w:rPr>
          <w:rFonts w:cs="Arial"/>
          <w:szCs w:val="22"/>
        </w:rPr>
      </w:pPr>
      <w:r w:rsidRPr="00301583">
        <w:rPr>
          <w:rFonts w:cs="Arial"/>
          <w:szCs w:val="22"/>
        </w:rPr>
        <w:t>The program was ethnically labelled; therefore, middle classes filled with anti-Roma sentiments practically boycotted the implementation in central and local levels alike</w:t>
      </w:r>
    </w:p>
    <w:p w:rsidR="00F17E45" w:rsidRPr="00301583" w:rsidRDefault="00F17E45" w:rsidP="00045F19">
      <w:pPr>
        <w:numPr>
          <w:ilvl w:val="0"/>
          <w:numId w:val="8"/>
        </w:numPr>
        <w:spacing w:line="276" w:lineRule="auto"/>
        <w:rPr>
          <w:rFonts w:cs="Arial"/>
          <w:szCs w:val="22"/>
        </w:rPr>
      </w:pPr>
      <w:r w:rsidRPr="00301583">
        <w:rPr>
          <w:rFonts w:cs="Arial"/>
          <w:szCs w:val="22"/>
        </w:rPr>
        <w:t>Lack of appropriate technical assistance</w:t>
      </w:r>
    </w:p>
    <w:p w:rsidR="00F17E45" w:rsidRPr="00301583" w:rsidRDefault="00F17E45" w:rsidP="00045F19">
      <w:pPr>
        <w:numPr>
          <w:ilvl w:val="0"/>
          <w:numId w:val="8"/>
        </w:numPr>
        <w:spacing w:line="276" w:lineRule="auto"/>
        <w:rPr>
          <w:rFonts w:cs="Arial"/>
          <w:szCs w:val="22"/>
        </w:rPr>
      </w:pPr>
      <w:r w:rsidRPr="00301583">
        <w:rPr>
          <w:rFonts w:cs="Arial"/>
          <w:szCs w:val="22"/>
        </w:rPr>
        <w:t xml:space="preserve">Instable government structures: </w:t>
      </w:r>
      <w:r w:rsidR="00EB4594" w:rsidRPr="00301583">
        <w:rPr>
          <w:rFonts w:cs="Arial"/>
          <w:szCs w:val="22"/>
        </w:rPr>
        <w:t>if a</w:t>
      </w:r>
      <w:r w:rsidRPr="00301583">
        <w:rPr>
          <w:rFonts w:cs="Arial"/>
          <w:szCs w:val="22"/>
        </w:rPr>
        <w:t xml:space="preserve"> new government c</w:t>
      </w:r>
      <w:r w:rsidR="00EB4594" w:rsidRPr="00301583">
        <w:rPr>
          <w:rFonts w:cs="Arial"/>
          <w:szCs w:val="22"/>
        </w:rPr>
        <w:t>o</w:t>
      </w:r>
      <w:r w:rsidRPr="00301583">
        <w:rPr>
          <w:rFonts w:cs="Arial"/>
          <w:szCs w:val="22"/>
        </w:rPr>
        <w:t>me to power, the co</w:t>
      </w:r>
      <w:r w:rsidRPr="00301583">
        <w:rPr>
          <w:rFonts w:cs="Arial"/>
          <w:szCs w:val="22"/>
        </w:rPr>
        <w:t>n</w:t>
      </w:r>
      <w:r w:rsidRPr="00301583">
        <w:rPr>
          <w:rFonts w:cs="Arial"/>
          <w:szCs w:val="22"/>
        </w:rPr>
        <w:t xml:space="preserve">tinuity of policies and their implementation </w:t>
      </w:r>
      <w:r w:rsidR="00EB4594" w:rsidRPr="00301583">
        <w:rPr>
          <w:rFonts w:cs="Arial"/>
          <w:szCs w:val="22"/>
        </w:rPr>
        <w:t>might stop</w:t>
      </w:r>
      <w:r w:rsidRPr="00301583">
        <w:rPr>
          <w:rFonts w:cs="Arial"/>
          <w:szCs w:val="22"/>
        </w:rPr>
        <w:t>.</w:t>
      </w:r>
    </w:p>
    <w:p w:rsidR="00F17E45" w:rsidRPr="00301583" w:rsidRDefault="00F17E45" w:rsidP="00045F19">
      <w:pPr>
        <w:spacing w:line="276" w:lineRule="auto"/>
        <w:rPr>
          <w:rFonts w:cs="Arial"/>
          <w:szCs w:val="22"/>
        </w:rPr>
      </w:pPr>
      <w:r w:rsidRPr="00301583">
        <w:rPr>
          <w:rFonts w:cs="Arial"/>
          <w:szCs w:val="22"/>
        </w:rPr>
        <w:t>According to the evaluators, territorial targeting is missing from the palette of deve</w:t>
      </w:r>
      <w:r w:rsidRPr="00301583">
        <w:rPr>
          <w:rFonts w:cs="Arial"/>
          <w:szCs w:val="22"/>
        </w:rPr>
        <w:t>l</w:t>
      </w:r>
      <w:r w:rsidRPr="00301583">
        <w:rPr>
          <w:rFonts w:cs="Arial"/>
          <w:szCs w:val="22"/>
        </w:rPr>
        <w:t xml:space="preserve">opment policies in Slovakia; therefore, the “Comprehensive Approach” should be revitalised and implemented in the coming programing period. </w:t>
      </w:r>
    </w:p>
    <w:p w:rsidR="00EB4594" w:rsidRPr="00301583" w:rsidRDefault="00EB4594" w:rsidP="00F17E45"/>
    <w:p w:rsidR="00C142B9" w:rsidRPr="00B074CE" w:rsidRDefault="00536563" w:rsidP="00B074CE">
      <w:pPr>
        <w:pStyle w:val="Heading1"/>
      </w:pPr>
      <w:r w:rsidRPr="00301583">
        <w:rPr>
          <w:noProof/>
        </w:rPr>
        <w:br w:type="column"/>
      </w:r>
      <w:bookmarkStart w:id="129" w:name="_Toc380500975"/>
      <w:bookmarkStart w:id="130" w:name="_Toc385271105"/>
      <w:bookmarkStart w:id="131" w:name="_Toc385939068"/>
      <w:r w:rsidR="00E9042F" w:rsidRPr="00B074CE">
        <w:lastRenderedPageBreak/>
        <w:t>Conclusions for policy development and m</w:t>
      </w:r>
      <w:r w:rsidR="00C142B9" w:rsidRPr="00B074CE">
        <w:t>onitoring</w:t>
      </w:r>
      <w:bookmarkEnd w:id="129"/>
      <w:bookmarkEnd w:id="130"/>
      <w:bookmarkEnd w:id="131"/>
    </w:p>
    <w:p w:rsidR="00C142B9" w:rsidRPr="00301583" w:rsidRDefault="00C142B9" w:rsidP="00C142B9">
      <w:pPr>
        <w:rPr>
          <w:rFonts w:cs="Arial"/>
          <w:noProof/>
          <w:szCs w:val="22"/>
        </w:rPr>
      </w:pPr>
    </w:p>
    <w:p w:rsidR="00C142B9" w:rsidRPr="00301583" w:rsidRDefault="00C142B9" w:rsidP="00045F19">
      <w:pPr>
        <w:spacing w:line="276" w:lineRule="auto"/>
        <w:rPr>
          <w:rFonts w:cs="Arial"/>
          <w:noProof/>
          <w:szCs w:val="22"/>
        </w:rPr>
      </w:pPr>
      <w:r w:rsidRPr="00301583">
        <w:rPr>
          <w:rFonts w:cs="Arial"/>
          <w:noProof/>
          <w:szCs w:val="22"/>
        </w:rPr>
        <w:t>Considering vital issues in relation to the inclusion of Romany population in Slovakia, education inevitably comes to the fore. Huge challenges are to be met in this field and the Slovak Government seems to be determined to address the most important ones subsumed here under three headings</w:t>
      </w:r>
    </w:p>
    <w:p w:rsidR="00C142B9" w:rsidRPr="00AD4233" w:rsidRDefault="00AD4233" w:rsidP="00AD4233">
      <w:pPr>
        <w:rPr>
          <w:rFonts w:cs="Arial"/>
          <w:noProof/>
          <w:szCs w:val="22"/>
        </w:rPr>
      </w:pPr>
      <w:r w:rsidRPr="00AD4233">
        <w:rPr>
          <w:rFonts w:cs="Arial"/>
          <w:noProof/>
          <w:szCs w:val="22"/>
        </w:rPr>
        <w:t xml:space="preserve">a. </w:t>
      </w:r>
      <w:r w:rsidR="00C142B9" w:rsidRPr="00AD4233">
        <w:rPr>
          <w:rFonts w:cs="Arial"/>
          <w:noProof/>
          <w:szCs w:val="22"/>
        </w:rPr>
        <w:t>Giving more chanc</w:t>
      </w:r>
      <w:r w:rsidRPr="00AD4233">
        <w:rPr>
          <w:rFonts w:cs="Arial"/>
          <w:noProof/>
          <w:szCs w:val="22"/>
        </w:rPr>
        <w:t>e to Roma children in education</w:t>
      </w:r>
    </w:p>
    <w:p w:rsidR="00C142B9" w:rsidRPr="00301583" w:rsidRDefault="00C142B9" w:rsidP="00045F19">
      <w:pPr>
        <w:spacing w:line="276" w:lineRule="auto"/>
        <w:rPr>
          <w:rFonts w:cs="Arial"/>
          <w:noProof/>
          <w:szCs w:val="22"/>
        </w:rPr>
      </w:pPr>
      <w:r w:rsidRPr="00301583">
        <w:rPr>
          <w:rFonts w:cs="Arial"/>
          <w:noProof/>
          <w:szCs w:val="22"/>
        </w:rPr>
        <w:t xml:space="preserve">Pro Roma educational policies in Slovakia address two major issues: </w:t>
      </w:r>
    </w:p>
    <w:p w:rsidR="00C142B9" w:rsidRPr="00AD4233" w:rsidRDefault="00C142B9" w:rsidP="00045F19">
      <w:pPr>
        <w:pStyle w:val="ListParagraph"/>
        <w:numPr>
          <w:ilvl w:val="0"/>
          <w:numId w:val="13"/>
        </w:numPr>
        <w:spacing w:line="276" w:lineRule="auto"/>
        <w:rPr>
          <w:rFonts w:cs="Arial"/>
          <w:noProof/>
          <w:szCs w:val="22"/>
        </w:rPr>
      </w:pPr>
      <w:r w:rsidRPr="00AD4233">
        <w:rPr>
          <w:rFonts w:cs="Arial"/>
          <w:noProof/>
          <w:szCs w:val="22"/>
        </w:rPr>
        <w:t xml:space="preserve">early socialisation of children by increasing the attendance in preschool and </w:t>
      </w:r>
    </w:p>
    <w:p w:rsidR="00C142B9" w:rsidRPr="00AD4233" w:rsidRDefault="00C142B9" w:rsidP="00045F19">
      <w:pPr>
        <w:pStyle w:val="ListParagraph"/>
        <w:numPr>
          <w:ilvl w:val="0"/>
          <w:numId w:val="13"/>
        </w:numPr>
        <w:spacing w:line="276" w:lineRule="auto"/>
        <w:rPr>
          <w:rFonts w:cs="Arial"/>
          <w:noProof/>
          <w:szCs w:val="22"/>
        </w:rPr>
      </w:pPr>
      <w:r w:rsidRPr="00AD4233">
        <w:rPr>
          <w:rFonts w:cs="Arial"/>
          <w:noProof/>
          <w:szCs w:val="22"/>
        </w:rPr>
        <w:t xml:space="preserve">challenging the parallel education system. </w:t>
      </w:r>
    </w:p>
    <w:p w:rsidR="00C142B9" w:rsidRPr="00301583" w:rsidRDefault="00C142B9" w:rsidP="00045F19">
      <w:pPr>
        <w:spacing w:line="276" w:lineRule="auto"/>
        <w:rPr>
          <w:rFonts w:cs="Arial"/>
          <w:noProof/>
          <w:szCs w:val="22"/>
        </w:rPr>
      </w:pPr>
      <w:r w:rsidRPr="00301583">
        <w:rPr>
          <w:rFonts w:cs="Arial"/>
          <w:noProof/>
          <w:szCs w:val="22"/>
        </w:rPr>
        <w:t xml:space="preserve">This parallel system, so called special education was originally introduced for mentally handicapped children but studies have proved that healty Roma children in large numbers have been taught in special classes or schools. The institutional fundaments of the parallel system hasto be challenged by policy measures  such as: </w:t>
      </w:r>
    </w:p>
    <w:p w:rsidR="00C142B9" w:rsidRPr="00301583" w:rsidRDefault="00C142B9" w:rsidP="00045F19">
      <w:pPr>
        <w:numPr>
          <w:ilvl w:val="0"/>
          <w:numId w:val="12"/>
        </w:numPr>
        <w:spacing w:line="276" w:lineRule="auto"/>
        <w:rPr>
          <w:rFonts w:cs="Arial"/>
          <w:noProof/>
          <w:szCs w:val="22"/>
        </w:rPr>
      </w:pPr>
      <w:r w:rsidRPr="00301583">
        <w:rPr>
          <w:rFonts w:cs="Arial"/>
          <w:noProof/>
          <w:szCs w:val="22"/>
        </w:rPr>
        <w:t xml:space="preserve">the content and methodology of psychological testing of children’s preparedness before entering school, </w:t>
      </w:r>
    </w:p>
    <w:p w:rsidR="00C142B9" w:rsidRPr="00301583" w:rsidRDefault="00C142B9" w:rsidP="00045F19">
      <w:pPr>
        <w:numPr>
          <w:ilvl w:val="0"/>
          <w:numId w:val="12"/>
        </w:numPr>
        <w:spacing w:line="276" w:lineRule="auto"/>
        <w:rPr>
          <w:rFonts w:cs="Arial"/>
          <w:noProof/>
          <w:szCs w:val="22"/>
        </w:rPr>
      </w:pPr>
      <w:r w:rsidRPr="00301583">
        <w:rPr>
          <w:rFonts w:cs="Arial"/>
          <w:noProof/>
          <w:szCs w:val="22"/>
        </w:rPr>
        <w:t>criteria concerning the treshold between the mentally handicapped and healthy child</w:t>
      </w:r>
    </w:p>
    <w:p w:rsidR="00C142B9" w:rsidRPr="00301583" w:rsidRDefault="00C142B9" w:rsidP="00045F19">
      <w:pPr>
        <w:numPr>
          <w:ilvl w:val="0"/>
          <w:numId w:val="12"/>
        </w:numPr>
        <w:spacing w:line="276" w:lineRule="auto"/>
        <w:rPr>
          <w:rFonts w:cs="Arial"/>
          <w:noProof/>
          <w:szCs w:val="22"/>
        </w:rPr>
      </w:pPr>
      <w:r w:rsidRPr="00301583">
        <w:rPr>
          <w:rFonts w:cs="Arial"/>
          <w:noProof/>
          <w:szCs w:val="22"/>
        </w:rPr>
        <w:t xml:space="preserve">zero grades for the unprepared, </w:t>
      </w:r>
    </w:p>
    <w:p w:rsidR="00C142B9" w:rsidRPr="00301583" w:rsidRDefault="00C142B9" w:rsidP="00045F19">
      <w:pPr>
        <w:numPr>
          <w:ilvl w:val="0"/>
          <w:numId w:val="12"/>
        </w:numPr>
        <w:spacing w:line="276" w:lineRule="auto"/>
        <w:rPr>
          <w:rFonts w:cs="Arial"/>
          <w:noProof/>
          <w:szCs w:val="22"/>
        </w:rPr>
      </w:pPr>
      <w:r w:rsidRPr="00301583">
        <w:rPr>
          <w:rFonts w:cs="Arial"/>
          <w:noProof/>
          <w:szCs w:val="22"/>
        </w:rPr>
        <w:t>special classes and special schools in primary education</w:t>
      </w:r>
    </w:p>
    <w:p w:rsidR="00C142B9" w:rsidRPr="00301583" w:rsidRDefault="00C142B9" w:rsidP="00045F19">
      <w:pPr>
        <w:numPr>
          <w:ilvl w:val="0"/>
          <w:numId w:val="12"/>
        </w:numPr>
        <w:spacing w:line="276" w:lineRule="auto"/>
        <w:rPr>
          <w:rFonts w:cs="Arial"/>
          <w:noProof/>
          <w:szCs w:val="22"/>
        </w:rPr>
      </w:pPr>
      <w:r w:rsidRPr="00301583">
        <w:rPr>
          <w:rFonts w:cs="Arial"/>
          <w:noProof/>
          <w:szCs w:val="22"/>
        </w:rPr>
        <w:t xml:space="preserve">special schools in secondary education. </w:t>
      </w:r>
    </w:p>
    <w:p w:rsidR="00C142B9" w:rsidRPr="00301583" w:rsidRDefault="00C142B9" w:rsidP="00045F19">
      <w:pPr>
        <w:spacing w:line="276" w:lineRule="auto"/>
        <w:rPr>
          <w:rFonts w:cs="Arial"/>
          <w:noProof/>
          <w:szCs w:val="22"/>
        </w:rPr>
      </w:pPr>
      <w:r w:rsidRPr="00301583">
        <w:rPr>
          <w:rFonts w:cs="Arial"/>
          <w:noProof/>
          <w:szCs w:val="22"/>
        </w:rPr>
        <w:t xml:space="preserve">The most important expected result of the vertically linked policies against special education is to significantly reduce the number of children directed towards a segregated, parallel educational system because this practice leads to a dead-end road without proper education and skills required by the labour market. </w:t>
      </w:r>
    </w:p>
    <w:p w:rsidR="00C142B9" w:rsidRPr="00301583" w:rsidRDefault="00C142B9" w:rsidP="00045F19">
      <w:pPr>
        <w:spacing w:line="276" w:lineRule="auto"/>
        <w:rPr>
          <w:rFonts w:cs="Arial"/>
          <w:noProof/>
          <w:szCs w:val="22"/>
        </w:rPr>
      </w:pPr>
      <w:r w:rsidRPr="00301583">
        <w:rPr>
          <w:rFonts w:cs="Arial"/>
          <w:noProof/>
          <w:szCs w:val="22"/>
        </w:rPr>
        <w:t xml:space="preserve">Most of the above mentioned policy goals and tools are not complicated from the perspective of monitoring. Pre-school capacities, the number of enrolled, socially disadvantaged children and children from marginalised Roma communities (both groups of pupils are registered and their numbers are available in the statistics of the relevant Ministry and its branches), the number of zero grades, their attendees can easily be assessed. However, the ‘soft’ aspects of psychological testing and setting tresholds are difficult to accomplish in a ‘culturally correct’ manner (Testing material is obviously culturally coded. The stock of knowledge of children in deep poverty simply differs from that of middle class children’s and has nothing to do with their intelligence and abilities. In the Remavská </w:t>
      </w:r>
      <w:r w:rsidR="00B15A22" w:rsidRPr="00301583">
        <w:rPr>
          <w:rFonts w:cs="Arial"/>
          <w:noProof/>
          <w:szCs w:val="22"/>
        </w:rPr>
        <w:t>Seč</w:t>
      </w:r>
      <w:r w:rsidRPr="00301583">
        <w:rPr>
          <w:rFonts w:cs="Arial"/>
          <w:noProof/>
          <w:szCs w:val="22"/>
        </w:rPr>
        <w:t xml:space="preserve"> pre-school, teachers warned that the environment of testing might prevent them from good performances as well.) Introducing new approaches as part of a mandatory professional protocol must also be difficult, and, it is not easy to find the adequate monitoring tools that should go far </w:t>
      </w:r>
      <w:r w:rsidRPr="00301583">
        <w:rPr>
          <w:rFonts w:cs="Arial"/>
          <w:noProof/>
          <w:szCs w:val="22"/>
        </w:rPr>
        <w:lastRenderedPageBreak/>
        <w:t>beyond the assessment of numbers. The so called participatory evaluation can be advisable within teams of professionals comprising internal and external members.</w:t>
      </w:r>
    </w:p>
    <w:p w:rsidR="00C142B9" w:rsidRPr="00AD4233" w:rsidRDefault="00C142B9" w:rsidP="00AD4233">
      <w:pPr>
        <w:spacing w:line="276" w:lineRule="auto"/>
        <w:rPr>
          <w:rFonts w:cs="Arial"/>
          <w:noProof/>
          <w:szCs w:val="22"/>
        </w:rPr>
      </w:pPr>
      <w:r w:rsidRPr="00301583">
        <w:t xml:space="preserve">There are already </w:t>
      </w:r>
      <w:r w:rsidR="00C519C7" w:rsidRPr="00301583">
        <w:t xml:space="preserve">important and effective tools </w:t>
      </w:r>
      <w:r w:rsidR="00B322AF" w:rsidRPr="00301583">
        <w:t xml:space="preserve">aiming social protection </w:t>
      </w:r>
      <w:r w:rsidRPr="00301583">
        <w:t xml:space="preserve">(free meals and free equipment for the needy), </w:t>
      </w:r>
      <w:r w:rsidR="00B322AF" w:rsidRPr="00301583">
        <w:t xml:space="preserve">or promoting education of Roma children like </w:t>
      </w:r>
      <w:r w:rsidRPr="00301583">
        <w:t>teacher assistants at school and field social workers at segregated neighbourhoods</w:t>
      </w:r>
      <w:r w:rsidR="00C519C7" w:rsidRPr="00301583">
        <w:t xml:space="preserve"> that</w:t>
      </w:r>
      <w:r w:rsidRPr="00301583">
        <w:t xml:space="preserve"> should be further maintained. </w:t>
      </w:r>
      <w:r w:rsidRPr="00301583">
        <w:rPr>
          <w:rFonts w:cs="Arial"/>
          <w:noProof/>
          <w:szCs w:val="22"/>
        </w:rPr>
        <w:t>In order to increase the number of Romany teacher assistants the eligibility criteria of acquiring should / must be easedand measures targeting upward mobility of Roma young adults should be launched (supporting further education of Romany persons with secondary education, promoting Roma NGO</w:t>
      </w:r>
      <w:r w:rsidR="00AD4233">
        <w:rPr>
          <w:rFonts w:cs="Arial"/>
          <w:noProof/>
          <w:szCs w:val="22"/>
        </w:rPr>
        <w:t>’s engaged in education, etc.).</w:t>
      </w:r>
    </w:p>
    <w:p w:rsidR="00C142B9" w:rsidRPr="00AD4233" w:rsidRDefault="00AD4233" w:rsidP="00AD4233">
      <w:pPr>
        <w:spacing w:before="240"/>
        <w:rPr>
          <w:rFonts w:cs="Arial"/>
          <w:noProof/>
          <w:szCs w:val="22"/>
        </w:rPr>
      </w:pPr>
      <w:r w:rsidRPr="00AD4233">
        <w:rPr>
          <w:rFonts w:cs="Arial"/>
          <w:noProof/>
          <w:szCs w:val="22"/>
        </w:rPr>
        <w:t xml:space="preserve">b. </w:t>
      </w:r>
      <w:r w:rsidR="00592945" w:rsidRPr="00AD4233">
        <w:rPr>
          <w:rFonts w:cs="Arial"/>
          <w:noProof/>
          <w:szCs w:val="22"/>
        </w:rPr>
        <w:t xml:space="preserve"> </w:t>
      </w:r>
      <w:r w:rsidR="00C142B9" w:rsidRPr="00AD4233">
        <w:rPr>
          <w:rFonts w:cs="Arial"/>
          <w:noProof/>
          <w:szCs w:val="22"/>
        </w:rPr>
        <w:t xml:space="preserve">Extending the scope of policy interventions and addressing complex issues by relevant policy tools such as complex, place based  programs </w:t>
      </w:r>
    </w:p>
    <w:p w:rsidR="00C142B9" w:rsidRPr="00AD4233" w:rsidRDefault="00C142B9" w:rsidP="00045F19">
      <w:pPr>
        <w:spacing w:line="276" w:lineRule="auto"/>
        <w:rPr>
          <w:rFonts w:cs="Arial"/>
          <w:noProof/>
          <w:szCs w:val="22"/>
        </w:rPr>
      </w:pPr>
      <w:r w:rsidRPr="00301583">
        <w:rPr>
          <w:rFonts w:cs="Arial"/>
          <w:noProof/>
          <w:szCs w:val="22"/>
        </w:rPr>
        <w:t>Slovakian policy makers understandably aim to provide social assistance on a normative basis for the ones in need, either schools or municipalities, based on needs assessment. Therefore efforts are concentrated to ordinary public education and universal patterns of availability. However, extending the scope of the tools of educational policies would allow for developing alternative experimental programs, link</w:t>
      </w:r>
      <w:r w:rsidR="00A07F20" w:rsidRPr="00301583">
        <w:rPr>
          <w:rFonts w:cs="Arial"/>
          <w:noProof/>
          <w:szCs w:val="22"/>
        </w:rPr>
        <w:t>ing</w:t>
      </w:r>
      <w:r w:rsidRPr="00301583">
        <w:rPr>
          <w:rFonts w:cs="Arial"/>
          <w:noProof/>
          <w:szCs w:val="22"/>
        </w:rPr>
        <w:t xml:space="preserve"> subjects and sectors (health care, education, social protection on the one hand, churches, NGO-s, municipal and state agents, minority and majority, etc. on the other hand) and /or introduce such </w:t>
      </w:r>
      <w:r w:rsidRPr="00AD4233">
        <w:rPr>
          <w:rFonts w:cs="Arial"/>
          <w:noProof/>
          <w:szCs w:val="22"/>
        </w:rPr>
        <w:t xml:space="preserve">well-known interventions </w:t>
      </w:r>
      <w:r w:rsidR="00C34BD0" w:rsidRPr="00AD4233">
        <w:rPr>
          <w:rFonts w:cs="Arial"/>
          <w:noProof/>
          <w:szCs w:val="22"/>
        </w:rPr>
        <w:t xml:space="preserve">such </w:t>
      </w:r>
      <w:r w:rsidRPr="00AD4233">
        <w:rPr>
          <w:rFonts w:cs="Arial"/>
          <w:noProof/>
          <w:szCs w:val="22"/>
        </w:rPr>
        <w:t xml:space="preserve">as Sure Start or extracurricular education programs.  Mutual learning is extremely important within and across regions and countries as well. This has been obviously proved by the Rimavská </w:t>
      </w:r>
      <w:r w:rsidR="00B15A22" w:rsidRPr="00AD4233">
        <w:rPr>
          <w:rFonts w:cs="Arial"/>
          <w:noProof/>
          <w:szCs w:val="22"/>
        </w:rPr>
        <w:t>Seč</w:t>
      </w:r>
      <w:r w:rsidRPr="00AD4233">
        <w:rPr>
          <w:rFonts w:cs="Arial"/>
          <w:noProof/>
          <w:szCs w:val="22"/>
        </w:rPr>
        <w:t xml:space="preserve"> extracurricular study place program</w:t>
      </w:r>
      <w:r w:rsidR="00C333E6" w:rsidRPr="00AD4233">
        <w:rPr>
          <w:rFonts w:cs="Arial"/>
          <w:noProof/>
          <w:szCs w:val="22"/>
        </w:rPr>
        <w:t xml:space="preserve"> imported from Hungary and financed by an international donor agency</w:t>
      </w:r>
      <w:r w:rsidRPr="00AD4233">
        <w:rPr>
          <w:rFonts w:cs="Arial"/>
          <w:noProof/>
          <w:szCs w:val="22"/>
        </w:rPr>
        <w:t xml:space="preserve">. </w:t>
      </w:r>
    </w:p>
    <w:p w:rsidR="00C142B9" w:rsidRPr="00AD4233" w:rsidRDefault="00C142B9" w:rsidP="00045F19">
      <w:pPr>
        <w:spacing w:line="276" w:lineRule="auto"/>
        <w:rPr>
          <w:rFonts w:cs="Arial"/>
          <w:noProof/>
          <w:szCs w:val="22"/>
        </w:rPr>
      </w:pPr>
      <w:r w:rsidRPr="00AD4233">
        <w:rPr>
          <w:rFonts w:cs="Arial"/>
          <w:noProof/>
          <w:szCs w:val="22"/>
        </w:rPr>
        <w:t>Proper professional and technical supports are key points as well as the issue of potential beneficiaries of policy measures. One of the interviewees in the Labour Office of Rimavská Sobota complained that some of</w:t>
      </w:r>
      <w:r w:rsidRPr="00301583">
        <w:rPr>
          <w:rFonts w:cs="Arial"/>
          <w:noProof/>
          <w:szCs w:val="22"/>
        </w:rPr>
        <w:t xml:space="preserve"> the big centralised projects could not even start and th</w:t>
      </w:r>
      <w:r w:rsidRPr="00AD4233">
        <w:rPr>
          <w:rFonts w:cs="Arial"/>
          <w:noProof/>
          <w:szCs w:val="22"/>
        </w:rPr>
        <w:t>e allocated funding was lost. The reason was simple: a few potential candidates (big players) jeopardised the public proqurement process. In order to prevent anything like this from happening again</w:t>
      </w:r>
      <w:r w:rsidR="00C34BD0" w:rsidRPr="00AD4233">
        <w:rPr>
          <w:rFonts w:cs="Arial"/>
          <w:noProof/>
          <w:szCs w:val="22"/>
        </w:rPr>
        <w:t>,</w:t>
      </w:r>
      <w:r w:rsidRPr="00AD4233">
        <w:rPr>
          <w:rFonts w:cs="Arial"/>
          <w:noProof/>
          <w:szCs w:val="22"/>
        </w:rPr>
        <w:t xml:space="preserve"> Roma and pro Roma NGO-s </w:t>
      </w:r>
      <w:r w:rsidR="00C333E6" w:rsidRPr="00AD4233">
        <w:rPr>
          <w:rFonts w:cs="Arial"/>
          <w:noProof/>
          <w:szCs w:val="22"/>
        </w:rPr>
        <w:t xml:space="preserve"> and</w:t>
      </w:r>
      <w:r w:rsidRPr="00AD4233">
        <w:rPr>
          <w:rFonts w:cs="Arial"/>
          <w:noProof/>
          <w:szCs w:val="22"/>
        </w:rPr>
        <w:t xml:space="preserve"> various scales and types of projects need</w:t>
      </w:r>
      <w:r w:rsidR="00C333E6" w:rsidRPr="00AD4233">
        <w:rPr>
          <w:rFonts w:cs="Arial"/>
          <w:noProof/>
          <w:szCs w:val="22"/>
        </w:rPr>
        <w:t xml:space="preserve"> to be </w:t>
      </w:r>
      <w:r w:rsidRPr="00AD4233">
        <w:rPr>
          <w:rFonts w:cs="Arial"/>
          <w:noProof/>
          <w:szCs w:val="22"/>
        </w:rPr>
        <w:t>support</w:t>
      </w:r>
      <w:r w:rsidR="00C333E6" w:rsidRPr="00AD4233">
        <w:rPr>
          <w:rFonts w:cs="Arial"/>
          <w:noProof/>
          <w:szCs w:val="22"/>
        </w:rPr>
        <w:t>ed</w:t>
      </w:r>
      <w:r w:rsidRPr="00AD4233">
        <w:rPr>
          <w:rFonts w:cs="Arial"/>
          <w:noProof/>
          <w:szCs w:val="22"/>
        </w:rPr>
        <w:t xml:space="preserve">. </w:t>
      </w:r>
    </w:p>
    <w:p w:rsidR="00C142B9" w:rsidRPr="00301583" w:rsidRDefault="00C142B9" w:rsidP="00045F19">
      <w:pPr>
        <w:spacing w:line="276" w:lineRule="auto"/>
        <w:rPr>
          <w:rFonts w:cs="Arial"/>
          <w:noProof/>
          <w:szCs w:val="22"/>
        </w:rPr>
      </w:pPr>
      <w:r w:rsidRPr="00AD4233">
        <w:rPr>
          <w:rFonts w:cs="Arial"/>
          <w:noProof/>
          <w:szCs w:val="22"/>
        </w:rPr>
        <w:t>The area-based comprehensive program</w:t>
      </w:r>
      <w:r w:rsidR="00AD4233">
        <w:rPr>
          <w:rFonts w:cs="Arial"/>
          <w:noProof/>
          <w:szCs w:val="22"/>
        </w:rPr>
        <w:t>me</w:t>
      </w:r>
      <w:r w:rsidRPr="00AD4233">
        <w:rPr>
          <w:rFonts w:cs="Arial"/>
          <w:noProof/>
          <w:szCs w:val="22"/>
        </w:rPr>
        <w:t xml:space="preserve"> targeting local communities </w:t>
      </w:r>
      <w:r w:rsidR="00C519C7" w:rsidRPr="00AD4233">
        <w:rPr>
          <w:rFonts w:cs="Arial"/>
          <w:noProof/>
          <w:szCs w:val="22"/>
        </w:rPr>
        <w:t xml:space="preserve">with relevant Roma population </w:t>
      </w:r>
      <w:r w:rsidRPr="00AD4233">
        <w:rPr>
          <w:rFonts w:cs="Arial"/>
          <w:noProof/>
          <w:szCs w:val="22"/>
        </w:rPr>
        <w:t>needs to be revised and reintroduced in the 2014-2020 programming period. As starting point</w:t>
      </w:r>
      <w:r w:rsidRPr="00301583">
        <w:rPr>
          <w:rFonts w:cs="Arial"/>
          <w:noProof/>
          <w:szCs w:val="22"/>
        </w:rPr>
        <w:t xml:space="preserve">, statistics based on the Atlas of Roma can be used (when setting up for example eligibility </w:t>
      </w:r>
      <w:r w:rsidR="00C519C7" w:rsidRPr="00301583">
        <w:rPr>
          <w:rFonts w:cs="Arial"/>
          <w:noProof/>
          <w:szCs w:val="22"/>
        </w:rPr>
        <w:t>criteria</w:t>
      </w:r>
      <w:r w:rsidRPr="00301583">
        <w:rPr>
          <w:rFonts w:cs="Arial"/>
          <w:noProof/>
          <w:szCs w:val="22"/>
        </w:rPr>
        <w:t>)</w:t>
      </w:r>
      <w:r w:rsidR="00C519C7" w:rsidRPr="00301583">
        <w:rPr>
          <w:rFonts w:cs="Arial"/>
          <w:noProof/>
          <w:szCs w:val="22"/>
        </w:rPr>
        <w:t>.</w:t>
      </w:r>
    </w:p>
    <w:p w:rsidR="00C142B9" w:rsidRPr="00301583" w:rsidRDefault="00C142B9" w:rsidP="00045F19">
      <w:pPr>
        <w:spacing w:line="276" w:lineRule="auto"/>
        <w:rPr>
          <w:rFonts w:cs="Arial"/>
          <w:noProof/>
          <w:szCs w:val="22"/>
        </w:rPr>
      </w:pPr>
      <w:r w:rsidRPr="00301583">
        <w:rPr>
          <w:rFonts w:cs="Arial"/>
          <w:noProof/>
          <w:szCs w:val="22"/>
        </w:rPr>
        <w:t>As always, the need for simplifying administration and decreasing</w:t>
      </w:r>
      <w:r w:rsidR="00C333E6" w:rsidRPr="00301583">
        <w:rPr>
          <w:rFonts w:cs="Arial"/>
          <w:noProof/>
          <w:szCs w:val="22"/>
        </w:rPr>
        <w:t xml:space="preserve"> bureaucracy</w:t>
      </w:r>
      <w:r w:rsidR="004D7C53">
        <w:rPr>
          <w:rFonts w:cs="Arial"/>
          <w:noProof/>
          <w:szCs w:val="22"/>
        </w:rPr>
        <w:t xml:space="preserve"> </w:t>
      </w:r>
      <w:r w:rsidRPr="00301583">
        <w:rPr>
          <w:rFonts w:cs="Arial"/>
          <w:noProof/>
          <w:szCs w:val="22"/>
        </w:rPr>
        <w:t xml:space="preserve">has to be emphasised; otherwise, ordinary players will not take the burden of dealing with EU projects. Certain projects need to be elaborated and adjusted more to the circumstances.  </w:t>
      </w:r>
      <w:r w:rsidR="00C333E6" w:rsidRPr="00301583">
        <w:rPr>
          <w:rFonts w:cs="Arial"/>
          <w:noProof/>
          <w:szCs w:val="22"/>
        </w:rPr>
        <w:t>For example: c</w:t>
      </w:r>
      <w:r w:rsidRPr="00301583">
        <w:rPr>
          <w:rFonts w:cs="Arial"/>
          <w:noProof/>
          <w:szCs w:val="22"/>
        </w:rPr>
        <w:t>hildren</w:t>
      </w:r>
      <w:r w:rsidR="00C333E6" w:rsidRPr="00301583">
        <w:rPr>
          <w:rFonts w:cs="Arial"/>
          <w:noProof/>
          <w:szCs w:val="22"/>
        </w:rPr>
        <w:t>’s</w:t>
      </w:r>
      <w:r w:rsidRPr="00301583">
        <w:rPr>
          <w:rFonts w:cs="Arial"/>
          <w:noProof/>
          <w:szCs w:val="22"/>
        </w:rPr>
        <w:t xml:space="preserve"> books  are available for certain ESF funded projects but only in Slovakian language. Therefore, Hungarian speaking Roma children have no chance to make a good use of these books as they can only watch them.  </w:t>
      </w:r>
    </w:p>
    <w:p w:rsidR="00C142B9" w:rsidRPr="00301583" w:rsidRDefault="00C142B9" w:rsidP="00C142B9">
      <w:pPr>
        <w:rPr>
          <w:rFonts w:cs="Arial"/>
          <w:b/>
          <w:noProof/>
          <w:szCs w:val="22"/>
        </w:rPr>
      </w:pPr>
    </w:p>
    <w:p w:rsidR="00C142B9" w:rsidRPr="00AD4233" w:rsidRDefault="00AD4233" w:rsidP="00592945">
      <w:pPr>
        <w:rPr>
          <w:rFonts w:cs="Arial"/>
          <w:noProof/>
          <w:szCs w:val="22"/>
        </w:rPr>
      </w:pPr>
      <w:r w:rsidRPr="00AD4233">
        <w:rPr>
          <w:rFonts w:cs="Arial"/>
          <w:noProof/>
          <w:szCs w:val="22"/>
        </w:rPr>
        <w:lastRenderedPageBreak/>
        <w:t xml:space="preserve">c. </w:t>
      </w:r>
      <w:r w:rsidR="00592945" w:rsidRPr="00AD4233">
        <w:rPr>
          <w:rFonts w:cs="Arial"/>
          <w:noProof/>
          <w:szCs w:val="22"/>
        </w:rPr>
        <w:t xml:space="preserve"> </w:t>
      </w:r>
      <w:r w:rsidR="00C142B9" w:rsidRPr="00AD4233">
        <w:rPr>
          <w:rFonts w:cs="Arial"/>
          <w:noProof/>
          <w:szCs w:val="22"/>
        </w:rPr>
        <w:t>Finally, about the unfavourable climate of development</w:t>
      </w:r>
    </w:p>
    <w:p w:rsidR="00C142B9" w:rsidRPr="00301583" w:rsidRDefault="00C142B9" w:rsidP="00045F19">
      <w:pPr>
        <w:spacing w:line="276" w:lineRule="auto"/>
        <w:rPr>
          <w:lang w:eastAsia="en-GB"/>
        </w:rPr>
      </w:pPr>
      <w:r w:rsidRPr="00301583">
        <w:t>One of the components that contributed to the failure of the “Comprehensive A</w:t>
      </w:r>
      <w:r w:rsidRPr="00301583">
        <w:t>p</w:t>
      </w:r>
      <w:r w:rsidRPr="00301583">
        <w:t xml:space="preserve">proach” </w:t>
      </w:r>
      <w:r w:rsidR="00AC657F" w:rsidRPr="00301583">
        <w:t xml:space="preserve">program </w:t>
      </w:r>
      <w:r w:rsidRPr="00301583">
        <w:t xml:space="preserve">mentioned in the previous section was the instable government structures. The point made by evaluators of the concerned program was that projects might be stopped because of the disruptions of the policy process incurred by change in the government. However, there is another threat which has more to do with governance: mismatching policies with contradicting ideological background can run parallel resulting in a kind of policy ‘schizophrenia’. This seems to be the case in relation to the prominent policy documents in Slovakia. </w:t>
      </w:r>
      <w:r w:rsidR="00EA591C" w:rsidRPr="00301583">
        <w:t xml:space="preserve">The </w:t>
      </w:r>
      <w:r w:rsidR="00EA591C" w:rsidRPr="00301583">
        <w:rPr>
          <w:rFonts w:cs="Arial"/>
          <w:i/>
          <w:szCs w:val="22"/>
          <w:lang w:eastAsia="hu-HU"/>
        </w:rPr>
        <w:t>Strategy of the Slovak Republic for Integration of Roma up to 2020</w:t>
      </w:r>
      <w:r w:rsidR="00EA591C" w:rsidRPr="00301583">
        <w:rPr>
          <w:rFonts w:cs="Arial"/>
          <w:szCs w:val="22"/>
          <w:lang w:eastAsia="hu-HU"/>
        </w:rPr>
        <w:t xml:space="preserve"> was adopted in 2012 by the Radičová administration and </w:t>
      </w:r>
      <w:r w:rsidRPr="00301583">
        <w:t>the declaration of the Ten Basic Pillars issued by the current Ple</w:t>
      </w:r>
      <w:r w:rsidRPr="00301583">
        <w:t>n</w:t>
      </w:r>
      <w:r w:rsidRPr="00301583">
        <w:t>ipotentiary of the</w:t>
      </w:r>
      <w:r w:rsidR="00420C22" w:rsidRPr="00301583">
        <w:t xml:space="preserve"> Slovakian Government for Roma C</w:t>
      </w:r>
      <w:r w:rsidRPr="00301583">
        <w:t>ommunities were prepared du</w:t>
      </w:r>
      <w:r w:rsidRPr="00301583">
        <w:t>r</w:t>
      </w:r>
      <w:r w:rsidRPr="00301583">
        <w:t xml:space="preserve">ing the </w:t>
      </w:r>
      <w:r w:rsidR="00EA591C" w:rsidRPr="00301583">
        <w:t>Fico government.</w:t>
      </w:r>
      <w:r w:rsidR="00D517F2">
        <w:t xml:space="preserve"> </w:t>
      </w:r>
      <w:r w:rsidR="00EA591C" w:rsidRPr="00301583">
        <w:t xml:space="preserve">The </w:t>
      </w:r>
      <w:r w:rsidRPr="00301583">
        <w:t xml:space="preserve">approach and norms </w:t>
      </w:r>
      <w:r w:rsidR="00EA591C" w:rsidRPr="00301583">
        <w:t>of the two</w:t>
      </w:r>
      <w:r w:rsidR="000F78CF" w:rsidRPr="00301583">
        <w:t xml:space="preserve"> documents</w:t>
      </w:r>
      <w:r w:rsidR="00D517F2">
        <w:t xml:space="preserve"> </w:t>
      </w:r>
      <w:r w:rsidRPr="00301583">
        <w:t xml:space="preserve">seem to differ fundamentally. The </w:t>
      </w:r>
      <w:r w:rsidR="000F78CF" w:rsidRPr="00301583">
        <w:rPr>
          <w:rFonts w:cs="Arial"/>
          <w:i/>
          <w:szCs w:val="22"/>
          <w:lang w:eastAsia="hu-HU"/>
        </w:rPr>
        <w:t xml:space="preserve">Strategy for Integration of Roma </w:t>
      </w:r>
      <w:r w:rsidRPr="00301583">
        <w:t>is in line with EU inclusion policies and norms, while the conf</w:t>
      </w:r>
      <w:r w:rsidR="000F78CF" w:rsidRPr="00301583">
        <w:t>ormity of the declaration (Ten M</w:t>
      </w:r>
      <w:r w:rsidRPr="00301583">
        <w:t>ajor Pillars) to EU principle</w:t>
      </w:r>
      <w:r w:rsidR="0063218F">
        <w:t>s / laws is highly questionable</w:t>
      </w:r>
      <w:r w:rsidRPr="00301583">
        <w:t xml:space="preserve"> </w:t>
      </w:r>
      <w:r w:rsidR="0063218F">
        <w:rPr>
          <w:rFonts w:cs="Arial"/>
          <w:szCs w:val="22"/>
        </w:rPr>
        <w:t>(see Annex 4</w:t>
      </w:r>
      <w:r w:rsidRPr="00301583">
        <w:rPr>
          <w:rFonts w:cs="Arial"/>
          <w:szCs w:val="22"/>
        </w:rPr>
        <w:t>)</w:t>
      </w:r>
      <w:r w:rsidR="0063218F">
        <w:rPr>
          <w:rFonts w:cs="Arial"/>
          <w:szCs w:val="22"/>
        </w:rPr>
        <w:t>.</w:t>
      </w:r>
      <w:r w:rsidRPr="00301583">
        <w:rPr>
          <w:rFonts w:cs="Arial"/>
          <w:szCs w:val="22"/>
        </w:rPr>
        <w:t xml:space="preserve"> There are matching points but the tone of the latter document makes it hard even to identify such points: for exa</w:t>
      </w:r>
      <w:r w:rsidRPr="00301583">
        <w:rPr>
          <w:rFonts w:cs="Arial"/>
          <w:szCs w:val="22"/>
        </w:rPr>
        <w:t>m</w:t>
      </w:r>
      <w:r w:rsidRPr="00301583">
        <w:rPr>
          <w:rFonts w:cs="Arial"/>
          <w:szCs w:val="22"/>
        </w:rPr>
        <w:t>ple, increasing pre-school attendance of Roma children sounds like this: “</w:t>
      </w:r>
      <w:r w:rsidRPr="00301583">
        <w:rPr>
          <w:i/>
          <w:lang w:eastAsia="en-GB"/>
        </w:rPr>
        <w:t>Gover</w:t>
      </w:r>
      <w:r w:rsidRPr="00301583">
        <w:rPr>
          <w:i/>
          <w:lang w:eastAsia="en-GB"/>
        </w:rPr>
        <w:t>n</w:t>
      </w:r>
      <w:r w:rsidRPr="00301583">
        <w:rPr>
          <w:i/>
          <w:lang w:eastAsia="en-GB"/>
        </w:rPr>
        <w:t>ment shall ensure proper education of irresponsible parents’ children before they enter primary schools</w:t>
      </w:r>
      <w:r w:rsidRPr="00301583">
        <w:rPr>
          <w:lang w:eastAsia="en-GB"/>
        </w:rPr>
        <w:t>”. The face of a punitive state perfectly manifest itself in the last pillar: “</w:t>
      </w:r>
      <w:r w:rsidRPr="00301583">
        <w:rPr>
          <w:i/>
          <w:lang w:eastAsia="en-GB"/>
        </w:rPr>
        <w:t>Government shall introduce measures aimed at taking away transgression immunity from socially dependent citizens who are currently able to perpetrate tran</w:t>
      </w:r>
      <w:r w:rsidRPr="00301583">
        <w:rPr>
          <w:i/>
          <w:lang w:eastAsia="en-GB"/>
        </w:rPr>
        <w:t>s</w:t>
      </w:r>
      <w:r w:rsidRPr="00301583">
        <w:rPr>
          <w:i/>
          <w:lang w:eastAsia="en-GB"/>
        </w:rPr>
        <w:t>gressions with impunity</w:t>
      </w:r>
      <w:r w:rsidRPr="00301583">
        <w:rPr>
          <w:lang w:eastAsia="en-GB"/>
        </w:rPr>
        <w:t>”.</w:t>
      </w:r>
    </w:p>
    <w:p w:rsidR="000D040F" w:rsidRPr="00301583" w:rsidRDefault="000D040F" w:rsidP="00045F19">
      <w:pPr>
        <w:spacing w:line="276" w:lineRule="auto"/>
      </w:pPr>
      <w:r w:rsidRPr="00AD4233">
        <w:rPr>
          <w:rFonts w:cs="Arial"/>
          <w:szCs w:val="22"/>
        </w:rPr>
        <w:t>According to some interpretations, the Ten Pillars are a result of a compromise, in the focus of which are the two most</w:t>
      </w:r>
      <w:r w:rsidRPr="00301583">
        <w:rPr>
          <w:rFonts w:cs="Arial"/>
          <w:szCs w:val="22"/>
        </w:rPr>
        <w:t xml:space="preserve"> burning issues of the Slovak Roma community – the problem of lands where the Roma slums are situated, and the problem of schoo</w:t>
      </w:r>
      <w:r w:rsidRPr="00301583">
        <w:rPr>
          <w:rFonts w:cs="Arial"/>
          <w:szCs w:val="22"/>
        </w:rPr>
        <w:t>l</w:t>
      </w:r>
      <w:r w:rsidRPr="00301583">
        <w:rPr>
          <w:rFonts w:cs="Arial"/>
          <w:szCs w:val="22"/>
        </w:rPr>
        <w:t>ing. The rest of the ten points is present</w:t>
      </w:r>
      <w:r w:rsidR="00C34BD0">
        <w:rPr>
          <w:rFonts w:cs="Arial"/>
          <w:szCs w:val="22"/>
        </w:rPr>
        <w:t>ed</w:t>
      </w:r>
      <w:r w:rsidRPr="00301583">
        <w:rPr>
          <w:rFonts w:cs="Arial"/>
          <w:szCs w:val="22"/>
        </w:rPr>
        <w:t xml:space="preserve"> only to trick the otherwise anti-Roma pu</w:t>
      </w:r>
      <w:r w:rsidRPr="00301583">
        <w:rPr>
          <w:rFonts w:cs="Arial"/>
          <w:szCs w:val="22"/>
        </w:rPr>
        <w:t>b</w:t>
      </w:r>
      <w:r w:rsidRPr="00301583">
        <w:rPr>
          <w:rFonts w:cs="Arial"/>
          <w:szCs w:val="22"/>
        </w:rPr>
        <w:t>lic opinion, and get the support for the two central issues.</w:t>
      </w:r>
    </w:p>
    <w:p w:rsidR="00C142B9" w:rsidRPr="00301583" w:rsidRDefault="000D040F" w:rsidP="00045F19">
      <w:pPr>
        <w:spacing w:line="276" w:lineRule="auto"/>
      </w:pPr>
      <w:r w:rsidRPr="00301583">
        <w:rPr>
          <w:lang w:eastAsia="en-GB"/>
        </w:rPr>
        <w:t>Either way, s</w:t>
      </w:r>
      <w:r w:rsidR="00C142B9" w:rsidRPr="00301583">
        <w:rPr>
          <w:lang w:eastAsia="en-GB"/>
        </w:rPr>
        <w:t>uch unsophisticated language and thinking might jeopardise the impl</w:t>
      </w:r>
      <w:r w:rsidR="00C142B9" w:rsidRPr="00301583">
        <w:rPr>
          <w:lang w:eastAsia="en-GB"/>
        </w:rPr>
        <w:t>e</w:t>
      </w:r>
      <w:r w:rsidR="00C142B9" w:rsidRPr="00301583">
        <w:rPr>
          <w:lang w:eastAsia="en-GB"/>
        </w:rPr>
        <w:t>mentation of any EU conform inclusive policies</w:t>
      </w:r>
      <w:r w:rsidR="00C519C7" w:rsidRPr="00301583">
        <w:rPr>
          <w:lang w:eastAsia="en-GB"/>
        </w:rPr>
        <w:t xml:space="preserve"> in Slovakia</w:t>
      </w:r>
      <w:r w:rsidR="00C142B9" w:rsidRPr="00301583">
        <w:rPr>
          <w:lang w:eastAsia="en-GB"/>
        </w:rPr>
        <w:t>. One can only hope that the necessary consensus in relation to the main policy concepts, goals and tool will be restored soon.</w:t>
      </w:r>
    </w:p>
    <w:p w:rsidR="00D00C93" w:rsidRPr="00301583" w:rsidRDefault="00D00C93" w:rsidP="00C142B9">
      <w:pPr>
        <w:pStyle w:val="Heading1"/>
        <w:numPr>
          <w:ilvl w:val="0"/>
          <w:numId w:val="0"/>
        </w:numPr>
        <w:spacing w:before="240"/>
      </w:pPr>
      <w:r w:rsidRPr="00301583">
        <w:rPr>
          <w:noProof/>
        </w:rPr>
        <w:br w:type="page"/>
      </w:r>
      <w:bookmarkStart w:id="132" w:name="_Toc380500976"/>
      <w:bookmarkStart w:id="133" w:name="_Toc385271106"/>
      <w:bookmarkStart w:id="134" w:name="_Toc385939069"/>
      <w:r w:rsidR="00592945">
        <w:rPr>
          <w:noProof/>
        </w:rPr>
        <w:lastRenderedPageBreak/>
        <w:t>7</w:t>
      </w:r>
      <w:r w:rsidR="00592945">
        <w:rPr>
          <w:noProof/>
        </w:rPr>
        <w:tab/>
      </w:r>
      <w:bookmarkEnd w:id="132"/>
      <w:bookmarkEnd w:id="133"/>
      <w:r w:rsidR="00592945">
        <w:rPr>
          <w:noProof/>
        </w:rPr>
        <w:t>Literature</w:t>
      </w:r>
      <w:bookmarkEnd w:id="134"/>
    </w:p>
    <w:p w:rsidR="00D00C93" w:rsidRPr="00301583" w:rsidRDefault="00D00C93" w:rsidP="00D00C93">
      <w:pPr>
        <w:jc w:val="center"/>
        <w:rPr>
          <w:rFonts w:cs="Arial"/>
          <w:b/>
          <w:szCs w:val="22"/>
        </w:rPr>
      </w:pPr>
    </w:p>
    <w:p w:rsidR="00717CE9" w:rsidRDefault="00A832C7" w:rsidP="00717CE9">
      <w:pPr>
        <w:spacing w:line="240" w:lineRule="auto"/>
        <w:rPr>
          <w:rFonts w:cs="Arial"/>
          <w:szCs w:val="22"/>
        </w:rPr>
      </w:pPr>
      <w:r w:rsidRPr="00717CE9">
        <w:rPr>
          <w:rFonts w:cs="Arial"/>
          <w:i/>
          <w:szCs w:val="22"/>
        </w:rPr>
        <w:t>Atlas of Roma in Slovakia 2013</w:t>
      </w:r>
      <w:r w:rsidRPr="00717CE9">
        <w:rPr>
          <w:rFonts w:cs="Arial"/>
          <w:szCs w:val="22"/>
        </w:rPr>
        <w:t xml:space="preserve"> </w:t>
      </w:r>
      <w:r w:rsidR="00717CE9">
        <w:rPr>
          <w:rFonts w:cs="Arial"/>
          <w:szCs w:val="22"/>
        </w:rPr>
        <w:t xml:space="preserve">[online] Available at: </w:t>
      </w:r>
    </w:p>
    <w:p w:rsidR="0033353C" w:rsidRDefault="00A832C7" w:rsidP="0033353C">
      <w:pPr>
        <w:spacing w:before="0" w:line="240" w:lineRule="auto"/>
        <w:rPr>
          <w:rFonts w:cs="Arial"/>
          <w:szCs w:val="22"/>
        </w:rPr>
      </w:pPr>
      <w:r w:rsidRPr="00717CE9">
        <w:rPr>
          <w:rFonts w:cs="Arial"/>
          <w:szCs w:val="22"/>
        </w:rPr>
        <w:t>http://romadecade.org/cms/upload/file/9653_file2_atlas-romadecade.pdf</w:t>
      </w:r>
      <w:r w:rsidR="00717CE9">
        <w:rPr>
          <w:rFonts w:cs="Arial"/>
          <w:szCs w:val="22"/>
        </w:rPr>
        <w:t xml:space="preserve"> </w:t>
      </w:r>
    </w:p>
    <w:p w:rsidR="00A832C7" w:rsidRPr="00717CE9" w:rsidRDefault="00717CE9" w:rsidP="00717CE9">
      <w:pPr>
        <w:spacing w:before="0" w:after="120" w:line="240" w:lineRule="auto"/>
        <w:rPr>
          <w:rFonts w:cs="Arial"/>
          <w:szCs w:val="22"/>
        </w:rPr>
      </w:pPr>
      <w:r w:rsidRPr="004370E9">
        <w:rPr>
          <w:szCs w:val="24"/>
        </w:rPr>
        <w:t>[</w:t>
      </w:r>
      <w:r>
        <w:rPr>
          <w:szCs w:val="24"/>
        </w:rPr>
        <w:t>accessed January 2014</w:t>
      </w:r>
      <w:r w:rsidRPr="004370E9">
        <w:rPr>
          <w:szCs w:val="24"/>
        </w:rPr>
        <w:t>]</w:t>
      </w:r>
    </w:p>
    <w:p w:rsidR="00EB5A1D" w:rsidRDefault="00EB5A1D" w:rsidP="00EB5A1D">
      <w:r>
        <w:rPr>
          <w:rFonts w:cs="Arial"/>
          <w:szCs w:val="22"/>
        </w:rPr>
        <w:t xml:space="preserve">BBC (2013) </w:t>
      </w:r>
      <w:r>
        <w:t xml:space="preserve">Roma migrants: Could UK do more to integrate them? [online] Available at: </w:t>
      </w:r>
      <w:r w:rsidRPr="00EB5A1D">
        <w:t>http://www.bbc.com/news/uk-25322827</w:t>
      </w:r>
      <w:r>
        <w:t xml:space="preserve"> [accessed April 2013]</w:t>
      </w:r>
    </w:p>
    <w:p w:rsidR="00D00C93" w:rsidRPr="00717CE9" w:rsidRDefault="00717CE9" w:rsidP="00717CE9">
      <w:pPr>
        <w:spacing w:after="120" w:line="240" w:lineRule="auto"/>
        <w:rPr>
          <w:rFonts w:cs="Arial"/>
          <w:szCs w:val="22"/>
        </w:rPr>
      </w:pPr>
      <w:r>
        <w:rPr>
          <w:rFonts w:cs="Arial"/>
          <w:szCs w:val="22"/>
        </w:rPr>
        <w:t>Džambazovič, R. &amp;</w:t>
      </w:r>
      <w:r w:rsidR="00D00C93" w:rsidRPr="00717CE9">
        <w:rPr>
          <w:rFonts w:cs="Arial"/>
          <w:szCs w:val="22"/>
        </w:rPr>
        <w:t xml:space="preserve"> Jurásková, M., (2</w:t>
      </w:r>
      <w:r>
        <w:rPr>
          <w:rFonts w:cs="Arial"/>
          <w:szCs w:val="22"/>
        </w:rPr>
        <w:t>003a)</w:t>
      </w:r>
      <w:r w:rsidR="00D00C93" w:rsidRPr="00717CE9">
        <w:rPr>
          <w:rFonts w:cs="Arial"/>
          <w:szCs w:val="22"/>
        </w:rPr>
        <w:t xml:space="preserve"> A romák társadalmi kirekesztettsége és szegénysége Szlovákiában [The poverty and social exclusion of Roma in Slovakia]</w:t>
      </w:r>
      <w:r w:rsidR="001C4952">
        <w:rPr>
          <w:rFonts w:cs="Arial"/>
          <w:szCs w:val="22"/>
        </w:rPr>
        <w:t>,</w:t>
      </w:r>
      <w:r w:rsidR="00D00C93" w:rsidRPr="00717CE9">
        <w:rPr>
          <w:rFonts w:cs="Arial"/>
          <w:szCs w:val="22"/>
        </w:rPr>
        <w:t xml:space="preserve"> </w:t>
      </w:r>
      <w:r w:rsidR="00D00C93" w:rsidRPr="00717CE9">
        <w:rPr>
          <w:rFonts w:cs="Arial"/>
          <w:i/>
          <w:szCs w:val="22"/>
        </w:rPr>
        <w:t>WEB</w:t>
      </w:r>
      <w:r w:rsidR="0033353C">
        <w:rPr>
          <w:rFonts w:cs="Arial"/>
          <w:szCs w:val="22"/>
        </w:rPr>
        <w:t xml:space="preserve">, 11: </w:t>
      </w:r>
      <w:r w:rsidR="001C4952">
        <w:rPr>
          <w:rFonts w:cs="Arial"/>
          <w:szCs w:val="22"/>
        </w:rPr>
        <w:t>41-</w:t>
      </w:r>
      <w:r w:rsidR="00D00C93" w:rsidRPr="00717CE9">
        <w:rPr>
          <w:rFonts w:cs="Arial"/>
          <w:szCs w:val="22"/>
        </w:rPr>
        <w:t>46</w:t>
      </w:r>
      <w:r>
        <w:rPr>
          <w:rFonts w:cs="Arial"/>
          <w:szCs w:val="22"/>
        </w:rPr>
        <w:t>.</w:t>
      </w:r>
    </w:p>
    <w:p w:rsidR="0033353C" w:rsidRDefault="00717CE9" w:rsidP="0033353C">
      <w:pPr>
        <w:spacing w:line="240" w:lineRule="auto"/>
        <w:rPr>
          <w:rFonts w:cs="Arial"/>
          <w:szCs w:val="22"/>
          <w:lang w:eastAsia="hu-HU"/>
        </w:rPr>
      </w:pPr>
      <w:r>
        <w:rPr>
          <w:rFonts w:cs="Arial"/>
          <w:szCs w:val="22"/>
        </w:rPr>
        <w:t>Džambazovič, R.</w:t>
      </w:r>
      <w:r w:rsidR="0033353C">
        <w:rPr>
          <w:rFonts w:cs="Arial"/>
          <w:szCs w:val="22"/>
        </w:rPr>
        <w:t xml:space="preserve"> </w:t>
      </w:r>
      <w:r>
        <w:rPr>
          <w:rFonts w:cs="Arial"/>
          <w:szCs w:val="22"/>
        </w:rPr>
        <w:t>&amp; Jurásková, M., (2003b)</w:t>
      </w:r>
      <w:r w:rsidR="00D00C93" w:rsidRPr="00717CE9">
        <w:rPr>
          <w:rFonts w:cs="Arial"/>
          <w:szCs w:val="22"/>
        </w:rPr>
        <w:t xml:space="preserve"> Social exclusion of the Roma in Slovakia. In</w:t>
      </w:r>
      <w:r w:rsidR="00E7581D">
        <w:rPr>
          <w:rFonts w:cs="Arial"/>
          <w:szCs w:val="22"/>
        </w:rPr>
        <w:t>:</w:t>
      </w:r>
      <w:r w:rsidR="00D00C93" w:rsidRPr="00717CE9">
        <w:rPr>
          <w:rFonts w:cs="Arial"/>
          <w:szCs w:val="22"/>
        </w:rPr>
        <w:t xml:space="preserve"> </w:t>
      </w:r>
      <w:r w:rsidR="00D00C93" w:rsidRPr="00717CE9">
        <w:rPr>
          <w:rFonts w:cs="Arial"/>
          <w:szCs w:val="22"/>
          <w:lang w:eastAsia="hu-HU"/>
        </w:rPr>
        <w:t>Vašečka, M., Jurás</w:t>
      </w:r>
      <w:r>
        <w:rPr>
          <w:rFonts w:cs="Arial"/>
          <w:szCs w:val="22"/>
          <w:lang w:eastAsia="hu-HU"/>
        </w:rPr>
        <w:t>ková, M., &amp;</w:t>
      </w:r>
      <w:r w:rsidR="001C4952">
        <w:rPr>
          <w:rFonts w:cs="Arial"/>
          <w:szCs w:val="22"/>
          <w:lang w:eastAsia="hu-HU"/>
        </w:rPr>
        <w:t xml:space="preserve"> Nicholson, T., </w:t>
      </w:r>
      <w:r w:rsidR="00D00C93" w:rsidRPr="00717CE9">
        <w:rPr>
          <w:rFonts w:cs="Arial"/>
          <w:szCs w:val="22"/>
          <w:lang w:eastAsia="hu-HU"/>
        </w:rPr>
        <w:t xml:space="preserve">eds. </w:t>
      </w:r>
      <w:r w:rsidR="00D00C93" w:rsidRPr="00717CE9">
        <w:rPr>
          <w:rFonts w:cs="Arial"/>
          <w:i/>
          <w:szCs w:val="22"/>
          <w:lang w:eastAsia="hu-HU"/>
        </w:rPr>
        <w:t>Čačipen pal o Roma – A Global Report on Roma in Slovakia</w:t>
      </w:r>
      <w:r w:rsidR="0033353C">
        <w:rPr>
          <w:rFonts w:cs="Arial"/>
          <w:szCs w:val="22"/>
          <w:lang w:eastAsia="hu-HU"/>
        </w:rPr>
        <w:t>,</w:t>
      </w:r>
      <w:r w:rsidR="00D00C93" w:rsidRPr="00717CE9">
        <w:rPr>
          <w:rFonts w:cs="Arial"/>
          <w:szCs w:val="22"/>
          <w:lang w:eastAsia="hu-HU"/>
        </w:rPr>
        <w:t xml:space="preserve"> Institute </w:t>
      </w:r>
      <w:r w:rsidR="001C4952">
        <w:rPr>
          <w:rFonts w:cs="Arial"/>
          <w:szCs w:val="22"/>
          <w:lang w:eastAsia="hu-HU"/>
        </w:rPr>
        <w:t>for Public Affairs, Bratislava, pp. 325-</w:t>
      </w:r>
      <w:r w:rsidR="0033353C">
        <w:rPr>
          <w:rFonts w:cs="Arial"/>
          <w:szCs w:val="22"/>
          <w:lang w:eastAsia="hu-HU"/>
        </w:rPr>
        <w:t xml:space="preserve">344, </w:t>
      </w:r>
      <w:r w:rsidR="0033353C">
        <w:rPr>
          <w:rFonts w:cs="Arial"/>
          <w:szCs w:val="22"/>
        </w:rPr>
        <w:t>[online]</w:t>
      </w:r>
      <w:r w:rsidR="00D00C93" w:rsidRPr="00717CE9">
        <w:rPr>
          <w:rFonts w:cs="Arial"/>
          <w:szCs w:val="22"/>
          <w:lang w:eastAsia="hu-HU"/>
        </w:rPr>
        <w:t xml:space="preserve"> </w:t>
      </w:r>
      <w:r w:rsidR="0033353C">
        <w:rPr>
          <w:rFonts w:cs="Arial"/>
          <w:szCs w:val="22"/>
        </w:rPr>
        <w:t>Available at:</w:t>
      </w:r>
      <w:r w:rsidR="0033353C">
        <w:rPr>
          <w:rFonts w:cs="Arial"/>
          <w:szCs w:val="22"/>
          <w:lang w:eastAsia="hu-HU"/>
        </w:rPr>
        <w:t xml:space="preserve"> </w:t>
      </w:r>
    </w:p>
    <w:p w:rsidR="00D00C93" w:rsidRPr="00717CE9" w:rsidRDefault="001C5F41" w:rsidP="0033353C">
      <w:pPr>
        <w:spacing w:before="0" w:after="120" w:line="240" w:lineRule="auto"/>
        <w:rPr>
          <w:rFonts w:cs="Arial"/>
          <w:szCs w:val="22"/>
        </w:rPr>
      </w:pPr>
      <w:hyperlink r:id="rId39" w:history="1">
        <w:r w:rsidR="00D00C93" w:rsidRPr="00E7581D">
          <w:rPr>
            <w:rStyle w:val="Hyperlink"/>
            <w:rFonts w:cs="Arial"/>
            <w:color w:val="auto"/>
            <w:szCs w:val="22"/>
            <w:u w:val="none"/>
          </w:rPr>
          <w:t>http://www.eurac.it/en/research/institutes/imr/Documents/romaglob_final.pdf</w:t>
        </w:r>
      </w:hyperlink>
      <w:r w:rsidR="00D00C93" w:rsidRPr="00717CE9">
        <w:rPr>
          <w:rFonts w:cs="Arial"/>
          <w:szCs w:val="22"/>
        </w:rPr>
        <w:t xml:space="preserve"> </w:t>
      </w:r>
      <w:r w:rsidR="0033353C" w:rsidRPr="004370E9">
        <w:rPr>
          <w:szCs w:val="24"/>
        </w:rPr>
        <w:t>[</w:t>
      </w:r>
      <w:r w:rsidR="0033353C">
        <w:rPr>
          <w:szCs w:val="24"/>
        </w:rPr>
        <w:t>a</w:t>
      </w:r>
      <w:r w:rsidR="0033353C">
        <w:rPr>
          <w:szCs w:val="24"/>
        </w:rPr>
        <w:t>c</w:t>
      </w:r>
      <w:r w:rsidR="0033353C">
        <w:rPr>
          <w:szCs w:val="24"/>
        </w:rPr>
        <w:t>cessed 9 December 2014</w:t>
      </w:r>
      <w:r w:rsidR="0033353C" w:rsidRPr="004370E9">
        <w:rPr>
          <w:szCs w:val="24"/>
        </w:rPr>
        <w:t>]</w:t>
      </w:r>
    </w:p>
    <w:p w:rsidR="001256BE" w:rsidRPr="001256BE" w:rsidRDefault="001256BE" w:rsidP="001256BE">
      <w:pPr>
        <w:spacing w:line="240" w:lineRule="auto"/>
        <w:rPr>
          <w:rFonts w:cs="Arial"/>
          <w:szCs w:val="22"/>
        </w:rPr>
      </w:pPr>
      <w:r w:rsidRPr="001256BE">
        <w:rPr>
          <w:rFonts w:cs="Arial"/>
          <w:szCs w:val="22"/>
        </w:rPr>
        <w:t>European Commission, Eurydice Network (2013) The Structure of the European E</w:t>
      </w:r>
      <w:r w:rsidRPr="001256BE">
        <w:rPr>
          <w:rFonts w:cs="Arial"/>
          <w:szCs w:val="22"/>
        </w:rPr>
        <w:t>d</w:t>
      </w:r>
      <w:r w:rsidRPr="001256BE">
        <w:rPr>
          <w:rFonts w:cs="Arial"/>
          <w:szCs w:val="22"/>
        </w:rPr>
        <w:t>ucation Systems 2012/2013.</w:t>
      </w:r>
      <w:r>
        <w:rPr>
          <w:rFonts w:cs="Arial"/>
          <w:szCs w:val="22"/>
        </w:rPr>
        <w:t xml:space="preserve"> [online] Available at: </w:t>
      </w:r>
      <w:r w:rsidRPr="001256BE">
        <w:rPr>
          <w:rFonts w:cs="Arial"/>
          <w:szCs w:val="22"/>
        </w:rPr>
        <w:t xml:space="preserve"> https://webgate.ec.europa.eu/fpfis/mwikis/eurydice/index.php/Slovakia:Overview</w:t>
      </w:r>
    </w:p>
    <w:p w:rsidR="00D00C93" w:rsidRPr="00717CE9" w:rsidRDefault="0033353C" w:rsidP="00717CE9">
      <w:pPr>
        <w:spacing w:after="120" w:line="240" w:lineRule="auto"/>
        <w:rPr>
          <w:rFonts w:cs="Arial"/>
          <w:szCs w:val="22"/>
        </w:rPr>
      </w:pPr>
      <w:r>
        <w:rPr>
          <w:rFonts w:cs="Arial"/>
          <w:szCs w:val="22"/>
        </w:rPr>
        <w:t>Fenger, H.J.M. (2007)</w:t>
      </w:r>
      <w:r w:rsidR="00D00C93" w:rsidRPr="00717CE9">
        <w:rPr>
          <w:rFonts w:cs="Arial"/>
          <w:szCs w:val="22"/>
        </w:rPr>
        <w:t xml:space="preserve"> </w:t>
      </w:r>
      <w:r w:rsidR="00D00C93" w:rsidRPr="0033353C">
        <w:rPr>
          <w:rFonts w:cs="Arial"/>
          <w:i/>
          <w:szCs w:val="22"/>
        </w:rPr>
        <w:t>Welfare Regimes in Central and Eastern Europe</w:t>
      </w:r>
      <w:r w:rsidR="00E7581D">
        <w:rPr>
          <w:rFonts w:cs="Arial"/>
          <w:szCs w:val="22"/>
        </w:rPr>
        <w:t xml:space="preserve">, </w:t>
      </w:r>
      <w:r w:rsidR="00D00C93" w:rsidRPr="00717CE9">
        <w:rPr>
          <w:rFonts w:cs="Arial"/>
          <w:szCs w:val="22"/>
        </w:rPr>
        <w:t>Department of Public Administration, Erasmus University, Rotterdam and Ministry of Social Affairs and Employment, The Netherlands.</w:t>
      </w:r>
    </w:p>
    <w:p w:rsidR="00B65321" w:rsidRPr="00717CE9" w:rsidRDefault="00E7581D" w:rsidP="00E7581D">
      <w:pPr>
        <w:spacing w:line="240" w:lineRule="auto"/>
        <w:rPr>
          <w:rFonts w:cs="Arial"/>
          <w:szCs w:val="22"/>
          <w:lang w:eastAsia="hu-HU"/>
        </w:rPr>
      </w:pPr>
      <w:r>
        <w:rPr>
          <w:rFonts w:cs="Arial"/>
          <w:szCs w:val="22"/>
          <w:lang w:eastAsia="hu-HU"/>
        </w:rPr>
        <w:t>Hapalová, M &amp; Drál, P</w:t>
      </w:r>
      <w:r w:rsidR="001C4952">
        <w:rPr>
          <w:rFonts w:cs="Arial"/>
          <w:szCs w:val="22"/>
          <w:lang w:eastAsia="hu-HU"/>
        </w:rPr>
        <w:t>.</w:t>
      </w:r>
      <w:r>
        <w:rPr>
          <w:rFonts w:cs="Arial"/>
          <w:szCs w:val="22"/>
          <w:lang w:eastAsia="hu-HU"/>
        </w:rPr>
        <w:t xml:space="preserve"> (2011) Education system management.</w:t>
      </w:r>
      <w:r w:rsidR="00B65321" w:rsidRPr="00717CE9">
        <w:rPr>
          <w:rFonts w:cs="Arial"/>
          <w:szCs w:val="22"/>
          <w:lang w:eastAsia="hu-HU"/>
        </w:rPr>
        <w:t xml:space="preserve"> </w:t>
      </w:r>
      <w:r>
        <w:rPr>
          <w:rFonts w:cs="Arial"/>
          <w:szCs w:val="22"/>
          <w:lang w:eastAsia="hu-HU"/>
        </w:rPr>
        <w:t>I</w:t>
      </w:r>
      <w:r w:rsidR="00B65321" w:rsidRPr="00717CE9">
        <w:rPr>
          <w:rFonts w:cs="Arial"/>
          <w:bCs/>
          <w:szCs w:val="22"/>
          <w:lang w:eastAsia="hu-HU"/>
        </w:rPr>
        <w:t>n</w:t>
      </w:r>
      <w:r>
        <w:rPr>
          <w:rFonts w:cs="Arial"/>
          <w:bCs/>
          <w:szCs w:val="22"/>
          <w:lang w:eastAsia="hu-HU"/>
        </w:rPr>
        <w:t>: Rafael, V.</w:t>
      </w:r>
      <w:r w:rsidR="001C4952">
        <w:rPr>
          <w:rFonts w:cs="Arial"/>
          <w:bCs/>
          <w:szCs w:val="22"/>
          <w:lang w:eastAsia="hu-HU"/>
        </w:rPr>
        <w:t>, ed.</w:t>
      </w:r>
      <w:r w:rsidR="00B65321" w:rsidRPr="00717CE9">
        <w:rPr>
          <w:rFonts w:cs="Arial"/>
          <w:bCs/>
          <w:szCs w:val="22"/>
          <w:lang w:eastAsia="hu-HU"/>
        </w:rPr>
        <w:t xml:space="preserve"> </w:t>
      </w:r>
      <w:r w:rsidR="00B65321" w:rsidRPr="00717CE9">
        <w:rPr>
          <w:rFonts w:cs="Arial"/>
          <w:bCs/>
          <w:i/>
          <w:szCs w:val="22"/>
          <w:lang w:eastAsia="hu-HU"/>
        </w:rPr>
        <w:t>Answers to question on (de)Segregation of Roma Students in Slovak Education Sy</w:t>
      </w:r>
      <w:r w:rsidR="00B65321" w:rsidRPr="00717CE9">
        <w:rPr>
          <w:rFonts w:cs="Arial"/>
          <w:bCs/>
          <w:i/>
          <w:szCs w:val="22"/>
          <w:lang w:eastAsia="hu-HU"/>
        </w:rPr>
        <w:t>s</w:t>
      </w:r>
      <w:r w:rsidR="00B65321" w:rsidRPr="00717CE9">
        <w:rPr>
          <w:rFonts w:cs="Arial"/>
          <w:bCs/>
          <w:i/>
          <w:szCs w:val="22"/>
          <w:lang w:eastAsia="hu-HU"/>
        </w:rPr>
        <w:t>tem.</w:t>
      </w:r>
      <w:r w:rsidR="00B65321" w:rsidRPr="00717CE9">
        <w:rPr>
          <w:rFonts w:cs="Arial"/>
          <w:bCs/>
          <w:szCs w:val="22"/>
          <w:lang w:eastAsia="hu-HU"/>
        </w:rPr>
        <w:t xml:space="preserve"> Open Soci</w:t>
      </w:r>
      <w:r>
        <w:rPr>
          <w:rFonts w:cs="Arial"/>
          <w:bCs/>
          <w:szCs w:val="22"/>
          <w:lang w:eastAsia="hu-HU"/>
        </w:rPr>
        <w:t xml:space="preserve">ety Foundation, Bratislava, 63-104. </w:t>
      </w:r>
      <w:r>
        <w:rPr>
          <w:rFonts w:cs="Arial"/>
          <w:szCs w:val="22"/>
        </w:rPr>
        <w:t xml:space="preserve">[online] Available at: </w:t>
      </w:r>
      <w:r>
        <w:rPr>
          <w:rFonts w:cs="Arial"/>
          <w:bCs/>
          <w:szCs w:val="22"/>
          <w:lang w:eastAsia="hu-HU"/>
        </w:rPr>
        <w:t xml:space="preserve"> </w:t>
      </w:r>
    </w:p>
    <w:p w:rsidR="00E7581D" w:rsidRDefault="00E7581D" w:rsidP="00E7581D">
      <w:pPr>
        <w:spacing w:before="0" w:line="240" w:lineRule="auto"/>
        <w:rPr>
          <w:rFonts w:cs="Arial"/>
          <w:szCs w:val="22"/>
        </w:rPr>
      </w:pPr>
      <w:r w:rsidRPr="00E7581D">
        <w:rPr>
          <w:rFonts w:cs="Arial"/>
          <w:szCs w:val="22"/>
        </w:rPr>
        <w:t>http://www.osf.sk/kniznica_a_open_gallery/publikacie/2011/desegregation_of_roma_pupils_in_slovak_educational_system_questions_and_answers</w:t>
      </w:r>
      <w:r>
        <w:rPr>
          <w:rFonts w:cs="Arial"/>
          <w:szCs w:val="22"/>
        </w:rPr>
        <w:t xml:space="preserve"> </w:t>
      </w:r>
    </w:p>
    <w:p w:rsidR="00B65321" w:rsidRPr="00717CE9" w:rsidRDefault="00E7581D" w:rsidP="00E7581D">
      <w:pPr>
        <w:spacing w:before="0" w:after="120" w:line="240" w:lineRule="auto"/>
        <w:rPr>
          <w:rFonts w:cs="Arial"/>
          <w:szCs w:val="22"/>
        </w:rPr>
      </w:pPr>
      <w:r w:rsidRPr="004370E9">
        <w:rPr>
          <w:szCs w:val="24"/>
        </w:rPr>
        <w:t>[</w:t>
      </w:r>
      <w:r>
        <w:rPr>
          <w:szCs w:val="24"/>
        </w:rPr>
        <w:t>accessed September 2013</w:t>
      </w:r>
      <w:r w:rsidRPr="004370E9">
        <w:rPr>
          <w:szCs w:val="24"/>
        </w:rPr>
        <w:t>]</w:t>
      </w:r>
    </w:p>
    <w:p w:rsidR="00E7581D" w:rsidRPr="00717CE9" w:rsidRDefault="001C4952" w:rsidP="00E7581D">
      <w:pPr>
        <w:spacing w:line="240" w:lineRule="auto"/>
        <w:rPr>
          <w:rFonts w:cs="Arial"/>
          <w:szCs w:val="22"/>
          <w:lang w:eastAsia="hu-HU"/>
        </w:rPr>
      </w:pPr>
      <w:r>
        <w:rPr>
          <w:rFonts w:cs="Arial"/>
          <w:szCs w:val="22"/>
          <w:lang w:eastAsia="hu-HU"/>
        </w:rPr>
        <w:t>Hojsík, M.F.</w:t>
      </w:r>
      <w:r w:rsidR="00E7581D">
        <w:rPr>
          <w:rFonts w:cs="Arial"/>
          <w:szCs w:val="22"/>
          <w:lang w:eastAsia="hu-HU"/>
        </w:rPr>
        <w:t xml:space="preserve"> (2011)</w:t>
      </w:r>
      <w:r w:rsidR="00D00C93" w:rsidRPr="00717CE9">
        <w:rPr>
          <w:rFonts w:cs="Arial"/>
          <w:szCs w:val="22"/>
          <w:lang w:eastAsia="hu-HU"/>
        </w:rPr>
        <w:t xml:space="preserve"> </w:t>
      </w:r>
      <w:r w:rsidR="00D00C93" w:rsidRPr="00717CE9">
        <w:rPr>
          <w:rFonts w:cs="Arial"/>
          <w:bCs/>
          <w:szCs w:val="22"/>
          <w:lang w:eastAsia="hu-HU"/>
        </w:rPr>
        <w:t>Social marginalization, residential segregation and sch</w:t>
      </w:r>
      <w:r w:rsidR="00E7581D">
        <w:rPr>
          <w:rFonts w:cs="Arial"/>
          <w:bCs/>
          <w:szCs w:val="22"/>
          <w:lang w:eastAsia="hu-HU"/>
        </w:rPr>
        <w:t>ool a</w:t>
      </w:r>
      <w:r w:rsidR="00E7581D">
        <w:rPr>
          <w:rFonts w:cs="Arial"/>
          <w:bCs/>
          <w:szCs w:val="22"/>
          <w:lang w:eastAsia="hu-HU"/>
        </w:rPr>
        <w:t>t</w:t>
      </w:r>
      <w:r w:rsidR="00E7581D">
        <w:rPr>
          <w:rFonts w:cs="Arial"/>
          <w:bCs/>
          <w:szCs w:val="22"/>
          <w:lang w:eastAsia="hu-HU"/>
        </w:rPr>
        <w:t>tendance of Roma children.</w:t>
      </w:r>
      <w:r w:rsidR="00D00C93" w:rsidRPr="00717CE9">
        <w:rPr>
          <w:rFonts w:cs="Arial"/>
          <w:bCs/>
          <w:szCs w:val="22"/>
          <w:lang w:eastAsia="hu-HU"/>
        </w:rPr>
        <w:t xml:space="preserve"> In</w:t>
      </w:r>
      <w:r w:rsidR="00E7581D">
        <w:rPr>
          <w:rFonts w:cs="Arial"/>
          <w:bCs/>
          <w:szCs w:val="22"/>
          <w:lang w:eastAsia="hu-HU"/>
        </w:rPr>
        <w:t>:</w:t>
      </w:r>
      <w:r>
        <w:rPr>
          <w:rFonts w:cs="Arial"/>
          <w:bCs/>
          <w:szCs w:val="22"/>
          <w:lang w:eastAsia="hu-HU"/>
        </w:rPr>
        <w:t xml:space="preserve"> Rafael, V., ed.</w:t>
      </w:r>
      <w:r w:rsidR="00D00C93" w:rsidRPr="00717CE9">
        <w:rPr>
          <w:rFonts w:cs="Arial"/>
          <w:bCs/>
          <w:szCs w:val="22"/>
          <w:lang w:eastAsia="hu-HU"/>
        </w:rPr>
        <w:t xml:space="preserve"> </w:t>
      </w:r>
      <w:r w:rsidR="00D00C93" w:rsidRPr="00717CE9">
        <w:rPr>
          <w:rFonts w:cs="Arial"/>
          <w:bCs/>
          <w:i/>
          <w:szCs w:val="22"/>
          <w:lang w:eastAsia="hu-HU"/>
        </w:rPr>
        <w:t>Answers to question on (de)Segregation of Roma Students in Slovak Education System.</w:t>
      </w:r>
      <w:r w:rsidR="00D00C93" w:rsidRPr="00717CE9">
        <w:rPr>
          <w:rFonts w:cs="Arial"/>
          <w:bCs/>
          <w:szCs w:val="22"/>
          <w:lang w:eastAsia="hu-HU"/>
        </w:rPr>
        <w:t xml:space="preserve"> Open Society Foundation, Bratislava, pp. 47–53.</w:t>
      </w:r>
      <w:r w:rsidR="00E7581D" w:rsidRPr="00E7581D">
        <w:rPr>
          <w:rFonts w:cs="Arial"/>
          <w:szCs w:val="22"/>
        </w:rPr>
        <w:t xml:space="preserve"> </w:t>
      </w:r>
      <w:r w:rsidR="00E7581D">
        <w:rPr>
          <w:rFonts w:cs="Arial"/>
          <w:szCs w:val="22"/>
        </w:rPr>
        <w:t xml:space="preserve">[online] Available at: </w:t>
      </w:r>
      <w:r w:rsidR="00E7581D">
        <w:rPr>
          <w:rFonts w:cs="Arial"/>
          <w:bCs/>
          <w:szCs w:val="22"/>
          <w:lang w:eastAsia="hu-HU"/>
        </w:rPr>
        <w:t xml:space="preserve"> </w:t>
      </w:r>
    </w:p>
    <w:p w:rsidR="00E7581D" w:rsidRDefault="00E7581D" w:rsidP="00E7581D">
      <w:pPr>
        <w:spacing w:before="0" w:line="240" w:lineRule="auto"/>
        <w:rPr>
          <w:rFonts w:cs="Arial"/>
          <w:szCs w:val="22"/>
        </w:rPr>
      </w:pPr>
      <w:r w:rsidRPr="00E7581D">
        <w:rPr>
          <w:rFonts w:cs="Arial"/>
          <w:szCs w:val="22"/>
        </w:rPr>
        <w:t>http://www.osf.sk/kniznica_a_open_gallery/publikacie/2011/desegregation_of_roma_pupils_in_slovak_educational_system_questions_and_answers</w:t>
      </w:r>
      <w:r>
        <w:rPr>
          <w:rFonts w:cs="Arial"/>
          <w:szCs w:val="22"/>
        </w:rPr>
        <w:t xml:space="preserve"> </w:t>
      </w:r>
    </w:p>
    <w:p w:rsidR="00D00C93" w:rsidRPr="00717CE9" w:rsidRDefault="00E7581D" w:rsidP="00E7581D">
      <w:pPr>
        <w:spacing w:before="0" w:after="120" w:line="240" w:lineRule="auto"/>
        <w:rPr>
          <w:rFonts w:cs="Arial"/>
          <w:szCs w:val="22"/>
        </w:rPr>
      </w:pPr>
      <w:r w:rsidRPr="004370E9">
        <w:rPr>
          <w:szCs w:val="24"/>
        </w:rPr>
        <w:t>[</w:t>
      </w:r>
      <w:r>
        <w:rPr>
          <w:szCs w:val="24"/>
        </w:rPr>
        <w:t>accessed September 2013</w:t>
      </w:r>
      <w:r w:rsidRPr="004370E9">
        <w:rPr>
          <w:szCs w:val="24"/>
        </w:rPr>
        <w:t>]</w:t>
      </w:r>
      <w:r w:rsidR="00D00C93" w:rsidRPr="00717CE9">
        <w:rPr>
          <w:rFonts w:cs="Arial"/>
          <w:szCs w:val="22"/>
        </w:rPr>
        <w:t xml:space="preserve"> </w:t>
      </w:r>
    </w:p>
    <w:p w:rsidR="00E7581D" w:rsidRDefault="00D00C93" w:rsidP="004060D1">
      <w:pPr>
        <w:spacing w:before="0" w:after="120" w:line="240" w:lineRule="auto"/>
        <w:rPr>
          <w:rFonts w:cs="Arial"/>
          <w:szCs w:val="22"/>
        </w:rPr>
      </w:pPr>
      <w:r w:rsidRPr="00717CE9">
        <w:rPr>
          <w:rFonts w:cs="Arial"/>
          <w:szCs w:val="22"/>
          <w:lang w:eastAsia="hu-HU"/>
        </w:rPr>
        <w:t>Int</w:t>
      </w:r>
      <w:r w:rsidR="00E7581D">
        <w:rPr>
          <w:rFonts w:cs="Arial"/>
          <w:szCs w:val="22"/>
          <w:lang w:eastAsia="hu-HU"/>
        </w:rPr>
        <w:t>ernational experiences … (n.d.)</w:t>
      </w:r>
      <w:r w:rsidRPr="00717CE9">
        <w:rPr>
          <w:rFonts w:cs="Arial"/>
          <w:szCs w:val="22"/>
          <w:lang w:eastAsia="hu-HU"/>
        </w:rPr>
        <w:t xml:space="preserve"> </w:t>
      </w:r>
      <w:r w:rsidRPr="00E7581D">
        <w:rPr>
          <w:rFonts w:cs="Arial"/>
          <w:i/>
          <w:szCs w:val="22"/>
          <w:lang w:eastAsia="hu-HU"/>
        </w:rPr>
        <w:t>International experiences in social housing</w:t>
      </w:r>
      <w:r w:rsidRPr="00717CE9">
        <w:rPr>
          <w:rFonts w:cs="Arial"/>
          <w:szCs w:val="22"/>
          <w:lang w:eastAsia="hu-HU"/>
        </w:rPr>
        <w:t xml:space="preserve"> (with a special focus on new EU member states)</w:t>
      </w:r>
      <w:r w:rsidR="004060D1">
        <w:rPr>
          <w:rFonts w:cs="Arial"/>
          <w:szCs w:val="22"/>
          <w:lang w:eastAsia="hu-HU"/>
        </w:rPr>
        <w:t>.</w:t>
      </w:r>
      <w:r w:rsidRPr="00717CE9">
        <w:rPr>
          <w:rFonts w:cs="Arial"/>
          <w:szCs w:val="22"/>
          <w:lang w:eastAsia="hu-HU"/>
        </w:rPr>
        <w:t xml:space="preserve"> </w:t>
      </w:r>
      <w:r w:rsidR="004060D1">
        <w:rPr>
          <w:rFonts w:cs="Arial"/>
          <w:szCs w:val="22"/>
        </w:rPr>
        <w:t xml:space="preserve">[online] Available at: </w:t>
      </w:r>
      <w:r w:rsidR="004060D1">
        <w:rPr>
          <w:rFonts w:cs="Arial"/>
          <w:bCs/>
          <w:szCs w:val="22"/>
          <w:lang w:eastAsia="hu-HU"/>
        </w:rPr>
        <w:t xml:space="preserve"> </w:t>
      </w:r>
      <w:r w:rsidRPr="004060D1">
        <w:rPr>
          <w:rFonts w:cs="Arial"/>
          <w:szCs w:val="22"/>
        </w:rPr>
        <w:t>http://www.mhrr.gov.ba/PDF/Izbjeglice/1.%20International%20Experiences%20in%20Social%20Housing.pdf</w:t>
      </w:r>
      <w:r w:rsidRPr="00717CE9">
        <w:rPr>
          <w:rFonts w:cs="Arial"/>
          <w:szCs w:val="22"/>
        </w:rPr>
        <w:t xml:space="preserve"> </w:t>
      </w:r>
      <w:r w:rsidR="004060D1" w:rsidRPr="004370E9">
        <w:rPr>
          <w:szCs w:val="24"/>
        </w:rPr>
        <w:t>[</w:t>
      </w:r>
      <w:r w:rsidR="004060D1">
        <w:rPr>
          <w:szCs w:val="24"/>
        </w:rPr>
        <w:t>accessed September 2013</w:t>
      </w:r>
      <w:r w:rsidR="004060D1" w:rsidRPr="004370E9">
        <w:rPr>
          <w:szCs w:val="24"/>
        </w:rPr>
        <w:t>]</w:t>
      </w:r>
      <w:r w:rsidR="004060D1" w:rsidRPr="00717CE9">
        <w:rPr>
          <w:rFonts w:cs="Arial"/>
          <w:szCs w:val="22"/>
        </w:rPr>
        <w:t xml:space="preserve"> </w:t>
      </w:r>
    </w:p>
    <w:p w:rsidR="00B64AA1" w:rsidRPr="00717CE9" w:rsidRDefault="001C4952" w:rsidP="00717CE9">
      <w:pPr>
        <w:autoSpaceDE w:val="0"/>
        <w:autoSpaceDN w:val="0"/>
        <w:adjustRightInd w:val="0"/>
        <w:spacing w:after="120" w:line="240" w:lineRule="auto"/>
        <w:rPr>
          <w:rFonts w:cs="Arial"/>
          <w:szCs w:val="22"/>
        </w:rPr>
      </w:pPr>
      <w:r>
        <w:rPr>
          <w:rFonts w:cs="Arial"/>
          <w:szCs w:val="22"/>
        </w:rPr>
        <w:t>Lajčaková, J., ed.</w:t>
      </w:r>
      <w:r w:rsidR="00D00C93" w:rsidRPr="00717CE9">
        <w:rPr>
          <w:rFonts w:cs="Arial"/>
          <w:szCs w:val="22"/>
        </w:rPr>
        <w:t xml:space="preserve"> (2012) </w:t>
      </w:r>
      <w:r w:rsidR="00D00C93" w:rsidRPr="00717CE9">
        <w:rPr>
          <w:rFonts w:cs="Arial"/>
          <w:i/>
          <w:szCs w:val="22"/>
        </w:rPr>
        <w:t>Minority Policy in Slovakia in 2011</w:t>
      </w:r>
      <w:r w:rsidR="00D00C93" w:rsidRPr="00717CE9">
        <w:rPr>
          <w:rFonts w:cs="Arial"/>
          <w:szCs w:val="22"/>
        </w:rPr>
        <w:t xml:space="preserve">. Annual Report. Center for the Research of Ethnicity and Culture, Bratislava. </w:t>
      </w:r>
      <w:r w:rsidR="004060D1">
        <w:rPr>
          <w:rFonts w:cs="Arial"/>
          <w:szCs w:val="22"/>
        </w:rPr>
        <w:t xml:space="preserve">[online] Available at: </w:t>
      </w:r>
      <w:r w:rsidR="004060D1">
        <w:rPr>
          <w:rFonts w:cs="Arial"/>
          <w:bCs/>
          <w:szCs w:val="22"/>
          <w:lang w:eastAsia="hu-HU"/>
        </w:rPr>
        <w:t xml:space="preserve"> </w:t>
      </w:r>
      <w:r w:rsidR="003F1658" w:rsidRPr="004060D1">
        <w:rPr>
          <w:rFonts w:cs="Arial"/>
          <w:szCs w:val="22"/>
        </w:rPr>
        <w:t>http://www.cvek.sk/uploaded/files/Minority%20policy%20in%20Slovakia%20in%202011_Annual%20Report.pdf</w:t>
      </w:r>
      <w:r w:rsidR="004060D1">
        <w:t xml:space="preserve"> </w:t>
      </w:r>
      <w:r w:rsidR="004060D1" w:rsidRPr="004370E9">
        <w:rPr>
          <w:szCs w:val="24"/>
        </w:rPr>
        <w:t>[</w:t>
      </w:r>
      <w:r w:rsidR="004060D1">
        <w:rPr>
          <w:szCs w:val="24"/>
        </w:rPr>
        <w:t>accessed September 2013</w:t>
      </w:r>
      <w:r w:rsidR="004060D1" w:rsidRPr="004370E9">
        <w:rPr>
          <w:szCs w:val="24"/>
        </w:rPr>
        <w:t>]</w:t>
      </w:r>
    </w:p>
    <w:p w:rsidR="00B64AA1" w:rsidRPr="00717CE9" w:rsidRDefault="00B64AA1" w:rsidP="00717CE9">
      <w:pPr>
        <w:autoSpaceDE w:val="0"/>
        <w:autoSpaceDN w:val="0"/>
        <w:adjustRightInd w:val="0"/>
        <w:spacing w:after="120" w:line="240" w:lineRule="auto"/>
        <w:rPr>
          <w:rFonts w:cs="Arial"/>
          <w:szCs w:val="22"/>
          <w:lang w:eastAsia="hu-HU"/>
        </w:rPr>
      </w:pPr>
      <w:r w:rsidRPr="00717CE9">
        <w:rPr>
          <w:rFonts w:cs="Arial"/>
          <w:szCs w:val="22"/>
        </w:rPr>
        <w:t xml:space="preserve">Krasztev, P. (2013) </w:t>
      </w:r>
      <w:r w:rsidRPr="004060D1">
        <w:rPr>
          <w:rFonts w:cs="Arial"/>
          <w:i/>
          <w:szCs w:val="22"/>
        </w:rPr>
        <w:t>The processes of social exclusion. Analysis of the underlying processes and trends in Slovakia</w:t>
      </w:r>
      <w:r w:rsidRPr="00717CE9">
        <w:rPr>
          <w:rFonts w:cs="Arial"/>
          <w:szCs w:val="22"/>
        </w:rPr>
        <w:t>. Manuscript delivered as external expertise to TiPSE</w:t>
      </w:r>
      <w:r w:rsidR="004060D1">
        <w:rPr>
          <w:rFonts w:cs="Arial"/>
          <w:szCs w:val="22"/>
        </w:rPr>
        <w:t>.</w:t>
      </w:r>
    </w:p>
    <w:p w:rsidR="00B9031A" w:rsidRPr="00717CE9" w:rsidRDefault="004060D1" w:rsidP="00717CE9">
      <w:pPr>
        <w:spacing w:after="120" w:line="240" w:lineRule="auto"/>
        <w:rPr>
          <w:rFonts w:cs="Arial"/>
          <w:szCs w:val="22"/>
        </w:rPr>
      </w:pPr>
      <w:r>
        <w:rPr>
          <w:rFonts w:cs="Arial"/>
          <w:szCs w:val="22"/>
        </w:rPr>
        <w:lastRenderedPageBreak/>
        <w:t>Kostál C., Salner A. Hojsik M. &amp; Polackova Z. (2013)</w:t>
      </w:r>
      <w:r w:rsidR="00B9031A" w:rsidRPr="00717CE9">
        <w:rPr>
          <w:rFonts w:cs="Arial"/>
          <w:szCs w:val="22"/>
        </w:rPr>
        <w:t xml:space="preserve"> </w:t>
      </w:r>
      <w:r w:rsidR="00B9031A" w:rsidRPr="004060D1">
        <w:rPr>
          <w:rFonts w:cs="Arial"/>
          <w:i/>
          <w:szCs w:val="22"/>
        </w:rPr>
        <w:t>Lessons from Slovakia’s Co</w:t>
      </w:r>
      <w:r w:rsidR="00B9031A" w:rsidRPr="004060D1">
        <w:rPr>
          <w:rFonts w:cs="Arial"/>
          <w:i/>
          <w:szCs w:val="22"/>
        </w:rPr>
        <w:t>m</w:t>
      </w:r>
      <w:r w:rsidR="00B9031A" w:rsidRPr="004060D1">
        <w:rPr>
          <w:rFonts w:cs="Arial"/>
          <w:i/>
          <w:szCs w:val="22"/>
        </w:rPr>
        <w:t>prehensive Approach</w:t>
      </w:r>
      <w:r>
        <w:rPr>
          <w:rFonts w:cs="Arial"/>
          <w:szCs w:val="22"/>
        </w:rPr>
        <w:t>, June 2013,</w:t>
      </w:r>
      <w:r w:rsidR="00B9031A" w:rsidRPr="00717CE9">
        <w:rPr>
          <w:rFonts w:cs="Arial"/>
          <w:szCs w:val="22"/>
        </w:rPr>
        <w:t xml:space="preserve"> Manuscript</w:t>
      </w:r>
      <w:r>
        <w:rPr>
          <w:rFonts w:cs="Arial"/>
          <w:szCs w:val="22"/>
        </w:rPr>
        <w:t>.</w:t>
      </w:r>
    </w:p>
    <w:p w:rsidR="00D43D21" w:rsidRPr="00717CE9" w:rsidRDefault="00D43D21" w:rsidP="00717CE9">
      <w:pPr>
        <w:spacing w:after="120" w:line="240" w:lineRule="auto"/>
        <w:rPr>
          <w:rFonts w:cs="Arial"/>
          <w:szCs w:val="22"/>
        </w:rPr>
      </w:pPr>
      <w:r w:rsidRPr="00717CE9">
        <w:rPr>
          <w:rFonts w:cs="Arial"/>
          <w:szCs w:val="22"/>
        </w:rPr>
        <w:t xml:space="preserve">Lajčáková, J. (2012) </w:t>
      </w:r>
      <w:r w:rsidRPr="004060D1">
        <w:rPr>
          <w:rFonts w:cs="Arial"/>
          <w:i/>
          <w:szCs w:val="22"/>
        </w:rPr>
        <w:t>Minority Policy in Slovakia in 2011 Annual Report</w:t>
      </w:r>
      <w:r w:rsidRPr="00717CE9">
        <w:rPr>
          <w:rFonts w:cs="Arial"/>
          <w:szCs w:val="22"/>
        </w:rPr>
        <w:t>. Center for the Research of Ethnicity and Culture. Bratislava</w:t>
      </w:r>
      <w:r w:rsidR="004060D1">
        <w:rPr>
          <w:rFonts w:cs="Arial"/>
          <w:szCs w:val="22"/>
        </w:rPr>
        <w:t>.</w:t>
      </w:r>
    </w:p>
    <w:p w:rsidR="00812538" w:rsidRPr="00717CE9" w:rsidRDefault="004060D1" w:rsidP="00717CE9">
      <w:pPr>
        <w:spacing w:after="120" w:line="240" w:lineRule="auto"/>
        <w:rPr>
          <w:rFonts w:cs="Arial"/>
          <w:szCs w:val="22"/>
        </w:rPr>
      </w:pPr>
      <w:r>
        <w:rPr>
          <w:rFonts w:cs="Arial"/>
          <w:szCs w:val="22"/>
        </w:rPr>
        <w:t>Lajčáková, J. &amp; Gallová Kriglerová, E. (2012)</w:t>
      </w:r>
      <w:r w:rsidR="00D43D21" w:rsidRPr="00717CE9">
        <w:rPr>
          <w:rFonts w:cs="Arial"/>
          <w:szCs w:val="22"/>
        </w:rPr>
        <w:t xml:space="preserve"> </w:t>
      </w:r>
      <w:r w:rsidR="00D43D21" w:rsidRPr="004060D1">
        <w:rPr>
          <w:rFonts w:cs="Arial"/>
          <w:i/>
          <w:szCs w:val="22"/>
        </w:rPr>
        <w:t>Newly introduced policy towards the Roma: yet another misunderstood integration?</w:t>
      </w:r>
      <w:r w:rsidR="00D43D21" w:rsidRPr="00717CE9">
        <w:rPr>
          <w:rFonts w:cs="Arial"/>
          <w:szCs w:val="22"/>
        </w:rPr>
        <w:t xml:space="preserve"> Minority Policy in Slovakia. Center for the Research of Ethni</w:t>
      </w:r>
      <w:r>
        <w:rPr>
          <w:rFonts w:cs="Arial"/>
          <w:szCs w:val="22"/>
        </w:rPr>
        <w:t>city and Culture, Bratislava,</w:t>
      </w:r>
      <w:r w:rsidR="00D43D21" w:rsidRPr="00717CE9">
        <w:rPr>
          <w:rFonts w:cs="Arial"/>
          <w:szCs w:val="22"/>
        </w:rPr>
        <w:t xml:space="preserve"> 1-3</w:t>
      </w:r>
      <w:r>
        <w:rPr>
          <w:rFonts w:cs="Arial"/>
          <w:szCs w:val="22"/>
        </w:rPr>
        <w:t>.</w:t>
      </w:r>
    </w:p>
    <w:p w:rsidR="004060D1" w:rsidRDefault="004060D1" w:rsidP="004060D1">
      <w:pPr>
        <w:spacing w:line="240" w:lineRule="auto"/>
        <w:rPr>
          <w:rFonts w:cs="Arial"/>
          <w:szCs w:val="22"/>
        </w:rPr>
      </w:pPr>
      <w:r>
        <w:rPr>
          <w:rFonts w:cs="Arial"/>
          <w:szCs w:val="22"/>
        </w:rPr>
        <w:t>Lendvai, N. (2009)</w:t>
      </w:r>
      <w:r w:rsidR="00812538" w:rsidRPr="00717CE9">
        <w:rPr>
          <w:rFonts w:cs="Arial"/>
          <w:szCs w:val="22"/>
        </w:rPr>
        <w:t xml:space="preserve"> </w:t>
      </w:r>
      <w:r w:rsidR="00812538" w:rsidRPr="00717CE9">
        <w:rPr>
          <w:rFonts w:cs="Arial"/>
          <w:i/>
          <w:szCs w:val="22"/>
        </w:rPr>
        <w:t>Variety of Post-communist welfare: Europeanisation and Emer</w:t>
      </w:r>
      <w:r w:rsidR="00812538" w:rsidRPr="00717CE9">
        <w:rPr>
          <w:rFonts w:cs="Arial"/>
          <w:i/>
          <w:szCs w:val="22"/>
        </w:rPr>
        <w:t>g</w:t>
      </w:r>
      <w:r w:rsidR="00812538" w:rsidRPr="00717CE9">
        <w:rPr>
          <w:rFonts w:cs="Arial"/>
          <w:i/>
          <w:szCs w:val="22"/>
        </w:rPr>
        <w:t>ing Welfare Regimes in the New EU Member States</w:t>
      </w:r>
      <w:r w:rsidR="00812538" w:rsidRPr="00717CE9">
        <w:rPr>
          <w:rFonts w:cs="Arial"/>
          <w:szCs w:val="22"/>
        </w:rPr>
        <w:t>. Paper for the RC-19, Montreal, August 2009. School for Policy Stu</w:t>
      </w:r>
      <w:r>
        <w:rPr>
          <w:rFonts w:cs="Arial"/>
          <w:szCs w:val="22"/>
        </w:rPr>
        <w:t>dies, University of Bristol, UK. [online] Available at:</w:t>
      </w:r>
      <w:r w:rsidR="00812538" w:rsidRPr="00717CE9">
        <w:rPr>
          <w:rFonts w:cs="Arial"/>
          <w:szCs w:val="22"/>
        </w:rPr>
        <w:t xml:space="preserve"> </w:t>
      </w:r>
      <w:r w:rsidR="00812538" w:rsidRPr="004060D1">
        <w:rPr>
          <w:rFonts w:cs="Arial"/>
          <w:szCs w:val="22"/>
        </w:rPr>
        <w:t>http://www.cccg.umontreal.ca/rc19/PDF/Lendvai-N_Rc192009.pdf</w:t>
      </w:r>
      <w:r w:rsidR="00812538" w:rsidRPr="00717CE9">
        <w:rPr>
          <w:rFonts w:cs="Arial"/>
          <w:szCs w:val="22"/>
        </w:rPr>
        <w:t xml:space="preserve"> </w:t>
      </w:r>
    </w:p>
    <w:p w:rsidR="00812538" w:rsidRPr="00717CE9" w:rsidRDefault="004060D1" w:rsidP="004060D1">
      <w:pPr>
        <w:spacing w:before="0" w:after="120" w:line="240" w:lineRule="auto"/>
        <w:rPr>
          <w:rFonts w:cs="Arial"/>
          <w:szCs w:val="22"/>
        </w:rPr>
      </w:pPr>
      <w:r w:rsidRPr="004370E9">
        <w:rPr>
          <w:szCs w:val="24"/>
        </w:rPr>
        <w:t>[</w:t>
      </w:r>
      <w:r>
        <w:rPr>
          <w:szCs w:val="24"/>
        </w:rPr>
        <w:t>accessed June 2013</w:t>
      </w:r>
      <w:r w:rsidRPr="004370E9">
        <w:rPr>
          <w:szCs w:val="24"/>
        </w:rPr>
        <w:t>]</w:t>
      </w:r>
    </w:p>
    <w:p w:rsidR="00D43D21" w:rsidRPr="00717CE9" w:rsidRDefault="00D43D21" w:rsidP="00717CE9">
      <w:pPr>
        <w:spacing w:after="120" w:line="240" w:lineRule="auto"/>
        <w:rPr>
          <w:rFonts w:cs="Arial"/>
          <w:szCs w:val="22"/>
        </w:rPr>
      </w:pPr>
      <w:r w:rsidRPr="00717CE9">
        <w:rPr>
          <w:rFonts w:cs="Arial"/>
          <w:szCs w:val="22"/>
        </w:rPr>
        <w:t>Matlovičová</w:t>
      </w:r>
      <w:r w:rsidR="004060D1">
        <w:rPr>
          <w:rFonts w:cs="Arial"/>
          <w:szCs w:val="22"/>
        </w:rPr>
        <w:t>, K., Matlovič, R., Mušinka, A. &amp;</w:t>
      </w:r>
      <w:r w:rsidRPr="00717CE9">
        <w:rPr>
          <w:rFonts w:cs="Arial"/>
          <w:szCs w:val="22"/>
        </w:rPr>
        <w:t xml:space="preserve"> Židová, A. (2012): The Roma population in Slovakia. Basic characteristics of the Roma population with emphasis on the sp</w:t>
      </w:r>
      <w:r w:rsidRPr="00717CE9">
        <w:rPr>
          <w:rFonts w:cs="Arial"/>
          <w:szCs w:val="22"/>
        </w:rPr>
        <w:t>a</w:t>
      </w:r>
      <w:r w:rsidRPr="00717CE9">
        <w:rPr>
          <w:rFonts w:cs="Arial"/>
          <w:szCs w:val="22"/>
        </w:rPr>
        <w:t>tial aspect of its differentiation</w:t>
      </w:r>
      <w:r w:rsidR="004060D1">
        <w:rPr>
          <w:rFonts w:cs="Arial"/>
          <w:szCs w:val="22"/>
        </w:rPr>
        <w:t>.</w:t>
      </w:r>
      <w:r w:rsidRPr="00717CE9">
        <w:rPr>
          <w:rFonts w:cs="Arial"/>
          <w:szCs w:val="22"/>
        </w:rPr>
        <w:t xml:space="preserve"> In</w:t>
      </w:r>
      <w:r w:rsidR="001C4952">
        <w:rPr>
          <w:rFonts w:cs="Arial"/>
          <w:szCs w:val="22"/>
        </w:rPr>
        <w:t xml:space="preserve">: Penczes, J. &amp; Radics, Z., </w:t>
      </w:r>
      <w:r w:rsidR="004060D1">
        <w:rPr>
          <w:rFonts w:cs="Arial"/>
          <w:szCs w:val="22"/>
        </w:rPr>
        <w:t>e</w:t>
      </w:r>
      <w:r w:rsidR="001C4952">
        <w:rPr>
          <w:rFonts w:cs="Arial"/>
          <w:szCs w:val="22"/>
        </w:rPr>
        <w:t>ds.</w:t>
      </w:r>
      <w:r w:rsidRPr="00717CE9">
        <w:rPr>
          <w:rFonts w:cs="Arial"/>
          <w:szCs w:val="22"/>
        </w:rPr>
        <w:t xml:space="preserve"> </w:t>
      </w:r>
      <w:r w:rsidRPr="004060D1">
        <w:rPr>
          <w:rFonts w:cs="Arial"/>
          <w:i/>
          <w:szCs w:val="22"/>
        </w:rPr>
        <w:t>Roma population on the peripheries of the Visegrád Countries. Spatial trends and social challenges</w:t>
      </w:r>
      <w:r w:rsidR="004060D1">
        <w:rPr>
          <w:rFonts w:cs="Arial"/>
          <w:szCs w:val="22"/>
        </w:rPr>
        <w:t>. D</w:t>
      </w:r>
      <w:r w:rsidR="004060D1">
        <w:rPr>
          <w:rFonts w:cs="Arial"/>
          <w:szCs w:val="22"/>
        </w:rPr>
        <w:t>e</w:t>
      </w:r>
      <w:r w:rsidR="001C4952">
        <w:rPr>
          <w:rFonts w:cs="Arial"/>
          <w:szCs w:val="22"/>
        </w:rPr>
        <w:t>brecen, pp.</w:t>
      </w:r>
      <w:r w:rsidR="004060D1">
        <w:rPr>
          <w:rFonts w:cs="Arial"/>
          <w:szCs w:val="22"/>
        </w:rPr>
        <w:t xml:space="preserve"> </w:t>
      </w:r>
      <w:r w:rsidRPr="00717CE9">
        <w:rPr>
          <w:rFonts w:cs="Arial"/>
          <w:szCs w:val="22"/>
        </w:rPr>
        <w:t>77-104.</w:t>
      </w:r>
    </w:p>
    <w:p w:rsidR="00D00C93" w:rsidRPr="00717CE9" w:rsidRDefault="004060D1" w:rsidP="00717CE9">
      <w:pPr>
        <w:spacing w:after="120" w:line="240" w:lineRule="auto"/>
        <w:rPr>
          <w:rFonts w:cs="Arial"/>
          <w:szCs w:val="22"/>
        </w:rPr>
      </w:pPr>
      <w:r>
        <w:rPr>
          <w:rFonts w:cs="Arial"/>
          <w:szCs w:val="22"/>
        </w:rPr>
        <w:t>Mládek, J. &amp;</w:t>
      </w:r>
      <w:r w:rsidR="00D00C93" w:rsidRPr="00717CE9">
        <w:rPr>
          <w:rFonts w:cs="Arial"/>
          <w:szCs w:val="22"/>
        </w:rPr>
        <w:t xml:space="preserve"> Pukačová, J.</w:t>
      </w:r>
      <w:r>
        <w:rPr>
          <w:rFonts w:cs="Arial"/>
          <w:szCs w:val="22"/>
        </w:rPr>
        <w:t xml:space="preserve"> (2010)</w:t>
      </w:r>
      <w:r w:rsidR="00D00C93" w:rsidRPr="00717CE9">
        <w:rPr>
          <w:rFonts w:cs="Arial"/>
          <w:szCs w:val="22"/>
        </w:rPr>
        <w:t xml:space="preserve"> Social exclusion of the Roma population in Sl</w:t>
      </w:r>
      <w:r w:rsidR="00D00C93" w:rsidRPr="00717CE9">
        <w:rPr>
          <w:rFonts w:cs="Arial"/>
          <w:szCs w:val="22"/>
        </w:rPr>
        <w:t>o</w:t>
      </w:r>
      <w:r w:rsidR="00D00C93" w:rsidRPr="00717CE9">
        <w:rPr>
          <w:rFonts w:cs="Arial"/>
          <w:szCs w:val="22"/>
        </w:rPr>
        <w:t>vakia (selected</w:t>
      </w:r>
      <w:r w:rsidR="001C4952">
        <w:rPr>
          <w:rFonts w:cs="Arial"/>
          <w:szCs w:val="22"/>
        </w:rPr>
        <w:t xml:space="preserve"> characteristics of habitation), </w:t>
      </w:r>
      <w:r w:rsidR="00D00C93" w:rsidRPr="00717CE9">
        <w:rPr>
          <w:rFonts w:cs="Arial"/>
          <w:i/>
          <w:szCs w:val="22"/>
        </w:rPr>
        <w:t>Acta Universitatis Carolinae Geograph</w:t>
      </w:r>
      <w:r w:rsidR="00D00C93" w:rsidRPr="00717CE9">
        <w:rPr>
          <w:rFonts w:cs="Arial"/>
          <w:i/>
          <w:szCs w:val="22"/>
        </w:rPr>
        <w:t>i</w:t>
      </w:r>
      <w:r w:rsidR="00D00C93" w:rsidRPr="00717CE9">
        <w:rPr>
          <w:rFonts w:cs="Arial"/>
          <w:i/>
          <w:szCs w:val="22"/>
        </w:rPr>
        <w:t>ca</w:t>
      </w:r>
      <w:r>
        <w:rPr>
          <w:rFonts w:cs="Arial"/>
          <w:szCs w:val="22"/>
        </w:rPr>
        <w:t xml:space="preserve"> (2):</w:t>
      </w:r>
      <w:r w:rsidR="001C4952">
        <w:rPr>
          <w:rFonts w:cs="Arial"/>
          <w:szCs w:val="22"/>
        </w:rPr>
        <w:t xml:space="preserve"> 41-</w:t>
      </w:r>
      <w:r w:rsidR="00D00C93" w:rsidRPr="00717CE9">
        <w:rPr>
          <w:rFonts w:cs="Arial"/>
          <w:szCs w:val="22"/>
        </w:rPr>
        <w:t>52.</w:t>
      </w:r>
    </w:p>
    <w:p w:rsidR="004060D1" w:rsidRDefault="004060D1" w:rsidP="004060D1">
      <w:pPr>
        <w:spacing w:before="0" w:line="240" w:lineRule="auto"/>
        <w:rPr>
          <w:rFonts w:cs="Arial"/>
          <w:szCs w:val="22"/>
          <w:lang w:eastAsia="hu-HU"/>
        </w:rPr>
      </w:pPr>
      <w:r>
        <w:rPr>
          <w:rFonts w:cs="Arial"/>
          <w:szCs w:val="22"/>
        </w:rPr>
        <w:t>Orgovánová, K. (2006)</w:t>
      </w:r>
      <w:r w:rsidR="00D00C93" w:rsidRPr="00717CE9">
        <w:rPr>
          <w:rFonts w:cs="Arial"/>
          <w:szCs w:val="22"/>
        </w:rPr>
        <w:t xml:space="preserve"> </w:t>
      </w:r>
      <w:r w:rsidR="00D00C93" w:rsidRPr="004060D1">
        <w:rPr>
          <w:rFonts w:cs="Arial"/>
          <w:bCs/>
          <w:i/>
          <w:szCs w:val="22"/>
        </w:rPr>
        <w:t>Housing Policy in the Slovak Republik</w:t>
      </w:r>
      <w:r w:rsidR="00D00C93" w:rsidRPr="00717CE9">
        <w:rPr>
          <w:rFonts w:cs="Arial"/>
          <w:bCs/>
          <w:szCs w:val="22"/>
        </w:rPr>
        <w:t>. International Confe</w:t>
      </w:r>
      <w:r w:rsidR="00D00C93" w:rsidRPr="00717CE9">
        <w:rPr>
          <w:rFonts w:cs="Arial"/>
          <w:bCs/>
          <w:szCs w:val="22"/>
        </w:rPr>
        <w:t>r</w:t>
      </w:r>
      <w:r w:rsidR="00D00C93" w:rsidRPr="00717CE9">
        <w:rPr>
          <w:rFonts w:cs="Arial"/>
          <w:bCs/>
          <w:szCs w:val="22"/>
        </w:rPr>
        <w:t>ence on the Implementation and Harmonization of National Policies on Roma, Sinti and Travellers “</w:t>
      </w:r>
      <w:r w:rsidR="00D00C93" w:rsidRPr="00717CE9">
        <w:rPr>
          <w:rFonts w:cs="Arial"/>
          <w:bCs/>
          <w:iCs/>
          <w:szCs w:val="22"/>
        </w:rPr>
        <w:t>Guidelines for a Common Vision”</w:t>
      </w:r>
      <w:r w:rsidR="00D00C93" w:rsidRPr="00717CE9">
        <w:rPr>
          <w:rFonts w:cs="Arial"/>
          <w:bCs/>
          <w:i/>
          <w:iCs/>
          <w:szCs w:val="22"/>
        </w:rPr>
        <w:t xml:space="preserve">, </w:t>
      </w:r>
      <w:r w:rsidR="00D00C93" w:rsidRPr="00717CE9">
        <w:rPr>
          <w:rFonts w:cs="Arial"/>
          <w:bCs/>
          <w:szCs w:val="22"/>
        </w:rPr>
        <w:t>Bucharest, 4 and 5 May 2006</w:t>
      </w:r>
      <w:r>
        <w:rPr>
          <w:rFonts w:cs="Arial"/>
          <w:bCs/>
          <w:szCs w:val="22"/>
        </w:rPr>
        <w:t>,</w:t>
      </w:r>
      <w:r w:rsidR="00D00C93" w:rsidRPr="00717CE9">
        <w:rPr>
          <w:rFonts w:cs="Arial"/>
          <w:bCs/>
          <w:szCs w:val="22"/>
        </w:rPr>
        <w:t xml:space="preserve"> (</w:t>
      </w:r>
      <w:r w:rsidR="00D00C93" w:rsidRPr="00717CE9">
        <w:rPr>
          <w:rFonts w:cs="Arial"/>
          <w:bCs/>
          <w:i/>
          <w:szCs w:val="22"/>
        </w:rPr>
        <w:t>Manuscript</w:t>
      </w:r>
      <w:r w:rsidR="00D00C93" w:rsidRPr="00717CE9">
        <w:rPr>
          <w:rFonts w:cs="Arial"/>
          <w:bCs/>
          <w:szCs w:val="22"/>
        </w:rPr>
        <w:t>)</w:t>
      </w:r>
      <w:r>
        <w:rPr>
          <w:rFonts w:cs="Arial"/>
          <w:bCs/>
          <w:szCs w:val="22"/>
        </w:rPr>
        <w:t xml:space="preserve">. </w:t>
      </w:r>
      <w:r w:rsidR="00D00C93" w:rsidRPr="00717CE9">
        <w:rPr>
          <w:rFonts w:cs="Arial"/>
          <w:bCs/>
          <w:szCs w:val="22"/>
        </w:rPr>
        <w:t xml:space="preserve"> </w:t>
      </w:r>
      <w:r>
        <w:rPr>
          <w:rFonts w:cs="Arial"/>
          <w:szCs w:val="22"/>
        </w:rPr>
        <w:t>[online] Available at:</w:t>
      </w:r>
      <w:r w:rsidRPr="00717CE9">
        <w:rPr>
          <w:rFonts w:cs="Arial"/>
          <w:szCs w:val="22"/>
        </w:rPr>
        <w:t xml:space="preserve"> </w:t>
      </w:r>
      <w:r w:rsidR="003F1658" w:rsidRPr="00717CE9">
        <w:rPr>
          <w:rFonts w:cs="Arial"/>
          <w:szCs w:val="22"/>
          <w:lang w:eastAsia="hu-HU"/>
        </w:rPr>
        <w:t xml:space="preserve"> </w:t>
      </w:r>
    </w:p>
    <w:p w:rsidR="00D00C93" w:rsidRPr="00717CE9" w:rsidRDefault="001C5F41" w:rsidP="004060D1">
      <w:pPr>
        <w:spacing w:before="0" w:after="120" w:line="240" w:lineRule="auto"/>
        <w:rPr>
          <w:rFonts w:cs="Arial"/>
          <w:szCs w:val="22"/>
        </w:rPr>
      </w:pPr>
      <w:hyperlink r:id="rId40" w:history="1">
        <w:r w:rsidR="00D00C93" w:rsidRPr="00717CE9">
          <w:rPr>
            <w:rStyle w:val="Hyperlink"/>
            <w:rFonts w:cs="Arial"/>
            <w:bCs/>
            <w:color w:val="auto"/>
            <w:szCs w:val="22"/>
          </w:rPr>
          <w:t>http://www.coe.int/t/dg3/romatravellers/archive/documentation/housing/DaskalovaHousing_en.asp</w:t>
        </w:r>
      </w:hyperlink>
      <w:r w:rsidR="004060D1">
        <w:t xml:space="preserve"> </w:t>
      </w:r>
      <w:r w:rsidR="004060D1" w:rsidRPr="004370E9">
        <w:rPr>
          <w:szCs w:val="24"/>
        </w:rPr>
        <w:t>[</w:t>
      </w:r>
      <w:r w:rsidR="004060D1">
        <w:rPr>
          <w:szCs w:val="24"/>
        </w:rPr>
        <w:t>accessed June 2013</w:t>
      </w:r>
      <w:r w:rsidR="004060D1" w:rsidRPr="004370E9">
        <w:rPr>
          <w:szCs w:val="24"/>
        </w:rPr>
        <w:t>]</w:t>
      </w:r>
    </w:p>
    <w:p w:rsidR="006117AE" w:rsidRPr="00717CE9" w:rsidRDefault="004060D1" w:rsidP="00717CE9">
      <w:pPr>
        <w:spacing w:after="120" w:line="240" w:lineRule="auto"/>
        <w:rPr>
          <w:rFonts w:cs="Arial"/>
          <w:szCs w:val="22"/>
          <w:lang w:eastAsia="hu-HU"/>
        </w:rPr>
      </w:pPr>
      <w:r>
        <w:rPr>
          <w:rFonts w:cs="Arial"/>
          <w:szCs w:val="22"/>
          <w:lang w:eastAsia="hu-HU"/>
        </w:rPr>
        <w:t>Ravasz, Á. (2012)</w:t>
      </w:r>
      <w:r w:rsidR="006117AE" w:rsidRPr="00717CE9">
        <w:rPr>
          <w:rFonts w:cs="Arial"/>
          <w:szCs w:val="22"/>
          <w:lang w:eastAsia="hu-HU"/>
        </w:rPr>
        <w:t xml:space="preserve"> </w:t>
      </w:r>
      <w:r w:rsidR="006117AE" w:rsidRPr="004060D1">
        <w:rPr>
          <w:rFonts w:cs="Arial"/>
          <w:i/>
          <w:szCs w:val="22"/>
          <w:lang w:eastAsia="hu-HU"/>
        </w:rPr>
        <w:t>Szlováliai magyarok és a 2011-es népszámlálás: mérleg és el</w:t>
      </w:r>
      <w:r w:rsidR="006117AE" w:rsidRPr="004060D1">
        <w:rPr>
          <w:rFonts w:cs="Arial"/>
          <w:i/>
          <w:szCs w:val="22"/>
          <w:lang w:eastAsia="hu-HU"/>
        </w:rPr>
        <w:t>e</w:t>
      </w:r>
      <w:r w:rsidR="006117AE" w:rsidRPr="004060D1">
        <w:rPr>
          <w:rFonts w:cs="Arial"/>
          <w:i/>
          <w:szCs w:val="22"/>
          <w:lang w:eastAsia="hu-HU"/>
        </w:rPr>
        <w:t>mzés</w:t>
      </w:r>
      <w:r w:rsidR="006117AE" w:rsidRPr="00717CE9">
        <w:rPr>
          <w:rFonts w:cs="Arial"/>
          <w:szCs w:val="22"/>
          <w:lang w:eastAsia="hu-HU"/>
        </w:rPr>
        <w:t xml:space="preserve"> [</w:t>
      </w:r>
      <w:r w:rsidR="0056119D" w:rsidRPr="00717CE9">
        <w:rPr>
          <w:rFonts w:cs="Arial"/>
          <w:szCs w:val="22"/>
          <w:lang w:eastAsia="hu-HU"/>
        </w:rPr>
        <w:t>Hungarian minority in Slovakia and the 2011 census …</w:t>
      </w:r>
      <w:r w:rsidR="006117AE" w:rsidRPr="00717CE9">
        <w:rPr>
          <w:rFonts w:cs="Arial"/>
          <w:szCs w:val="22"/>
          <w:lang w:eastAsia="hu-HU"/>
        </w:rPr>
        <w:t>]</w:t>
      </w:r>
      <w:r w:rsidR="0056119D" w:rsidRPr="00717CE9">
        <w:rPr>
          <w:rFonts w:cs="Arial"/>
          <w:szCs w:val="22"/>
          <w:lang w:eastAsia="hu-HU"/>
        </w:rPr>
        <w:t xml:space="preserve"> Kempelen Intézet, Publicus Slovensko, Komárom-Komarno.</w:t>
      </w:r>
    </w:p>
    <w:p w:rsidR="004060D1" w:rsidRDefault="004060D1" w:rsidP="004060D1">
      <w:pPr>
        <w:spacing w:line="240" w:lineRule="auto"/>
        <w:rPr>
          <w:rFonts w:cs="Arial"/>
          <w:szCs w:val="22"/>
          <w:lang w:eastAsia="hu-HU"/>
        </w:rPr>
      </w:pPr>
      <w:r>
        <w:rPr>
          <w:rFonts w:cs="Arial"/>
          <w:szCs w:val="22"/>
          <w:lang w:eastAsia="hu-HU"/>
        </w:rPr>
        <w:t>RAXEN Thematic Study (2009)</w:t>
      </w:r>
      <w:r w:rsidR="00D00C93" w:rsidRPr="00717CE9">
        <w:rPr>
          <w:rFonts w:cs="Arial"/>
          <w:szCs w:val="22"/>
          <w:lang w:eastAsia="hu-HU"/>
        </w:rPr>
        <w:t xml:space="preserve"> </w:t>
      </w:r>
      <w:r w:rsidR="00D00C93" w:rsidRPr="004060D1">
        <w:rPr>
          <w:rFonts w:cs="Arial"/>
          <w:i/>
          <w:szCs w:val="22"/>
          <w:lang w:eastAsia="hu-HU"/>
        </w:rPr>
        <w:t>Slovakia – RAXEN National Focal Point – Thematic Study – Housing Conditions of Roma and Travellers</w:t>
      </w:r>
      <w:r w:rsidR="00D00C93" w:rsidRPr="00717CE9">
        <w:rPr>
          <w:rFonts w:cs="Arial"/>
          <w:szCs w:val="22"/>
          <w:lang w:eastAsia="hu-HU"/>
        </w:rPr>
        <w:t xml:space="preserve">. </w:t>
      </w:r>
      <w:r w:rsidR="00D00C93" w:rsidRPr="00717CE9">
        <w:rPr>
          <w:rFonts w:cs="Arial"/>
          <w:szCs w:val="22"/>
        </w:rPr>
        <w:t>European Union Agency for Fundamental Rights.</w:t>
      </w:r>
      <w:r>
        <w:rPr>
          <w:rFonts w:cs="Arial"/>
          <w:szCs w:val="22"/>
        </w:rPr>
        <w:t xml:space="preserve"> [online] Available at:</w:t>
      </w:r>
      <w:r w:rsidRPr="00717CE9">
        <w:rPr>
          <w:rFonts w:cs="Arial"/>
          <w:szCs w:val="22"/>
        </w:rPr>
        <w:t xml:space="preserve"> </w:t>
      </w:r>
      <w:r w:rsidRPr="00717CE9">
        <w:rPr>
          <w:rFonts w:cs="Arial"/>
          <w:szCs w:val="22"/>
          <w:lang w:eastAsia="hu-HU"/>
        </w:rPr>
        <w:t xml:space="preserve"> </w:t>
      </w:r>
      <w:r w:rsidR="003F1658" w:rsidRPr="00717CE9">
        <w:rPr>
          <w:rFonts w:cs="Arial"/>
          <w:szCs w:val="22"/>
          <w:lang w:eastAsia="hu-HU"/>
        </w:rPr>
        <w:t xml:space="preserve"> </w:t>
      </w:r>
    </w:p>
    <w:p w:rsidR="005A2FA5" w:rsidRPr="00717CE9" w:rsidRDefault="00D00C93" w:rsidP="004060D1">
      <w:pPr>
        <w:spacing w:before="0" w:after="120" w:line="240" w:lineRule="auto"/>
        <w:rPr>
          <w:rFonts w:cs="Arial"/>
          <w:szCs w:val="22"/>
          <w:lang w:eastAsia="hu-HU"/>
        </w:rPr>
      </w:pPr>
      <w:r w:rsidRPr="004060D1">
        <w:rPr>
          <w:rFonts w:cs="Arial"/>
          <w:szCs w:val="22"/>
          <w:lang w:eastAsia="hu-HU"/>
        </w:rPr>
        <w:t>http://fra.europa.eu/sites/default/files/fra_uploads/592-RAXEN-Roma%20Housing-Slovakia_en.pdf</w:t>
      </w:r>
      <w:r w:rsidR="004060D1">
        <w:rPr>
          <w:rFonts w:cs="Arial"/>
          <w:szCs w:val="22"/>
          <w:lang w:eastAsia="hu-HU"/>
        </w:rPr>
        <w:t xml:space="preserve"> </w:t>
      </w:r>
      <w:r w:rsidR="004060D1" w:rsidRPr="004370E9">
        <w:rPr>
          <w:szCs w:val="24"/>
        </w:rPr>
        <w:t>[</w:t>
      </w:r>
      <w:r w:rsidR="004060D1">
        <w:rPr>
          <w:szCs w:val="24"/>
        </w:rPr>
        <w:t>accessed September 2013</w:t>
      </w:r>
      <w:r w:rsidR="004060D1" w:rsidRPr="004370E9">
        <w:rPr>
          <w:szCs w:val="24"/>
        </w:rPr>
        <w:t>]</w:t>
      </w:r>
    </w:p>
    <w:p w:rsidR="004060D1" w:rsidRDefault="00A03952" w:rsidP="004060D1">
      <w:pPr>
        <w:spacing w:line="240" w:lineRule="auto"/>
        <w:rPr>
          <w:rFonts w:cs="Arial"/>
          <w:bCs/>
          <w:color w:val="000000"/>
          <w:szCs w:val="22"/>
          <w:lang w:eastAsia="en-GB"/>
        </w:rPr>
      </w:pPr>
      <w:r w:rsidRPr="00717CE9">
        <w:rPr>
          <w:rFonts w:cs="Arial"/>
          <w:bCs/>
          <w:color w:val="000000"/>
          <w:szCs w:val="22"/>
          <w:lang w:eastAsia="en-GB"/>
        </w:rPr>
        <w:t xml:space="preserve">Ministry of </w:t>
      </w:r>
      <w:r w:rsidR="00436D20" w:rsidRPr="00717CE9">
        <w:rPr>
          <w:rFonts w:cs="Arial"/>
          <w:bCs/>
          <w:color w:val="000000"/>
          <w:szCs w:val="22"/>
          <w:lang w:eastAsia="en-GB"/>
        </w:rPr>
        <w:t xml:space="preserve">Labour, Social Affairs and Family of the Slovak Republik. Bratislava </w:t>
      </w:r>
      <w:r w:rsidR="004060D1">
        <w:rPr>
          <w:rFonts w:cs="Arial"/>
          <w:bCs/>
          <w:color w:val="000000"/>
          <w:szCs w:val="22"/>
          <w:lang w:eastAsia="en-GB"/>
        </w:rPr>
        <w:t>(</w:t>
      </w:r>
      <w:r w:rsidR="00436D20" w:rsidRPr="00717CE9">
        <w:rPr>
          <w:rFonts w:cs="Arial"/>
          <w:bCs/>
          <w:color w:val="000000"/>
          <w:szCs w:val="22"/>
          <w:lang w:eastAsia="en-GB"/>
        </w:rPr>
        <w:t>2013</w:t>
      </w:r>
      <w:r w:rsidR="004060D1">
        <w:rPr>
          <w:rFonts w:cs="Arial"/>
          <w:bCs/>
          <w:color w:val="000000"/>
          <w:szCs w:val="22"/>
          <w:lang w:eastAsia="en-GB"/>
        </w:rPr>
        <w:t xml:space="preserve">) </w:t>
      </w:r>
      <w:r w:rsidR="004060D1" w:rsidRPr="004060D1">
        <w:rPr>
          <w:rFonts w:cs="Arial"/>
          <w:i/>
          <w:szCs w:val="22"/>
          <w:lang w:eastAsia="hu-HU"/>
        </w:rPr>
        <w:t xml:space="preserve">Report on the </w:t>
      </w:r>
      <w:r w:rsidR="004060D1" w:rsidRPr="004060D1">
        <w:rPr>
          <w:rFonts w:cs="Arial"/>
          <w:bCs/>
          <w:i/>
          <w:color w:val="000000"/>
          <w:szCs w:val="22"/>
          <w:lang w:eastAsia="en-GB"/>
        </w:rPr>
        <w:t>social situation of the population of the Slovak Republic for 2012</w:t>
      </w:r>
      <w:r w:rsidR="004060D1">
        <w:rPr>
          <w:rFonts w:cs="Arial"/>
          <w:bCs/>
          <w:i/>
          <w:color w:val="000000"/>
          <w:szCs w:val="22"/>
          <w:lang w:eastAsia="en-GB"/>
        </w:rPr>
        <w:t xml:space="preserve">. </w:t>
      </w:r>
      <w:r w:rsidR="004060D1">
        <w:rPr>
          <w:rFonts w:cs="Arial"/>
          <w:szCs w:val="22"/>
        </w:rPr>
        <w:t>[online] Available at:</w:t>
      </w:r>
      <w:r w:rsidR="004060D1" w:rsidRPr="00717CE9">
        <w:rPr>
          <w:rFonts w:cs="Arial"/>
          <w:szCs w:val="22"/>
        </w:rPr>
        <w:t xml:space="preserve"> </w:t>
      </w:r>
      <w:r w:rsidR="004060D1" w:rsidRPr="00717CE9">
        <w:rPr>
          <w:rFonts w:cs="Arial"/>
          <w:szCs w:val="22"/>
          <w:lang w:eastAsia="hu-HU"/>
        </w:rPr>
        <w:t xml:space="preserve">  </w:t>
      </w:r>
      <w:r w:rsidR="00162AF6" w:rsidRPr="00717CE9">
        <w:rPr>
          <w:rFonts w:cs="Arial"/>
          <w:bCs/>
          <w:color w:val="000000"/>
          <w:szCs w:val="22"/>
          <w:lang w:eastAsia="en-GB"/>
        </w:rPr>
        <w:t xml:space="preserve"> </w:t>
      </w:r>
    </w:p>
    <w:p w:rsidR="00A03952" w:rsidRPr="00717CE9" w:rsidRDefault="004060D1" w:rsidP="004060D1">
      <w:pPr>
        <w:spacing w:before="0" w:after="120" w:line="240" w:lineRule="auto"/>
        <w:rPr>
          <w:rFonts w:cs="Arial"/>
          <w:bCs/>
          <w:color w:val="000000"/>
          <w:szCs w:val="22"/>
          <w:lang w:eastAsia="en-GB"/>
        </w:rPr>
      </w:pPr>
      <w:r w:rsidRPr="004060D1">
        <w:rPr>
          <w:rFonts w:cs="Arial"/>
          <w:bCs/>
          <w:color w:val="000000"/>
          <w:szCs w:val="22"/>
          <w:lang w:eastAsia="en-GB"/>
        </w:rPr>
        <w:t>http://www.employment.gov.sk/files/legislativa/dokumenty-zoznamy-pod/report-on-social-situation-population-sr-2012.pdf</w:t>
      </w:r>
      <w:r>
        <w:rPr>
          <w:rFonts w:cs="Arial"/>
          <w:bCs/>
          <w:color w:val="000000"/>
          <w:szCs w:val="22"/>
          <w:lang w:eastAsia="en-GB"/>
        </w:rPr>
        <w:t xml:space="preserve"> </w:t>
      </w:r>
      <w:r w:rsidRPr="004370E9">
        <w:rPr>
          <w:szCs w:val="24"/>
        </w:rPr>
        <w:t>[</w:t>
      </w:r>
      <w:r>
        <w:rPr>
          <w:szCs w:val="24"/>
        </w:rPr>
        <w:t>accessed December 2013</w:t>
      </w:r>
      <w:r w:rsidRPr="004370E9">
        <w:rPr>
          <w:szCs w:val="24"/>
        </w:rPr>
        <w:t>]</w:t>
      </w:r>
    </w:p>
    <w:p w:rsidR="009175ED" w:rsidRDefault="00D00C93" w:rsidP="009175ED">
      <w:pPr>
        <w:spacing w:line="240" w:lineRule="auto"/>
      </w:pPr>
      <w:r w:rsidRPr="00717CE9">
        <w:rPr>
          <w:rFonts w:cs="Arial"/>
          <w:szCs w:val="22"/>
          <w:lang w:eastAsia="hu-HU"/>
        </w:rPr>
        <w:t xml:space="preserve">Rigová, S., Maczejková, M., Končeková, E., Šimčáková, L. </w:t>
      </w:r>
      <w:r w:rsidR="009175ED">
        <w:rPr>
          <w:rFonts w:cs="Arial"/>
          <w:szCs w:val="22"/>
          <w:lang w:eastAsia="hu-HU"/>
        </w:rPr>
        <w:t>&amp; Kriglerová, E. (2003)</w:t>
      </w:r>
      <w:r w:rsidRPr="00717CE9">
        <w:rPr>
          <w:rFonts w:cs="Arial"/>
          <w:szCs w:val="22"/>
          <w:lang w:eastAsia="hu-HU"/>
        </w:rPr>
        <w:t xml:space="preserve"> The Roma in the Education System and Alternative Education Projects. In</w:t>
      </w:r>
      <w:r w:rsidR="009175ED">
        <w:rPr>
          <w:rFonts w:cs="Arial"/>
          <w:szCs w:val="22"/>
          <w:lang w:eastAsia="hu-HU"/>
        </w:rPr>
        <w:t>:</w:t>
      </w:r>
      <w:r w:rsidRPr="00717CE9">
        <w:rPr>
          <w:rFonts w:cs="Arial"/>
          <w:szCs w:val="22"/>
          <w:lang w:eastAsia="hu-HU"/>
        </w:rPr>
        <w:t xml:space="preserve"> Vašečka, M., Jurásková, M., </w:t>
      </w:r>
      <w:r w:rsidR="009175ED">
        <w:rPr>
          <w:rFonts w:cs="Arial"/>
          <w:szCs w:val="22"/>
          <w:lang w:eastAsia="hu-HU"/>
        </w:rPr>
        <w:t>&amp; Nicholson, T.</w:t>
      </w:r>
      <w:r w:rsidR="001C4952">
        <w:rPr>
          <w:rFonts w:cs="Arial"/>
          <w:szCs w:val="22"/>
          <w:lang w:eastAsia="hu-HU"/>
        </w:rPr>
        <w:t xml:space="preserve">, </w:t>
      </w:r>
      <w:r w:rsidRPr="00717CE9">
        <w:rPr>
          <w:rFonts w:cs="Arial"/>
          <w:szCs w:val="22"/>
          <w:lang w:eastAsia="hu-HU"/>
        </w:rPr>
        <w:t xml:space="preserve">eds. </w:t>
      </w:r>
      <w:r w:rsidRPr="00717CE9">
        <w:rPr>
          <w:rFonts w:cs="Arial"/>
          <w:i/>
          <w:szCs w:val="22"/>
          <w:lang w:eastAsia="hu-HU"/>
        </w:rPr>
        <w:t>Čačipen pal o Roma – A Global Report on Roma in Slovakia</w:t>
      </w:r>
      <w:r w:rsidR="009175ED">
        <w:rPr>
          <w:rFonts w:cs="Arial"/>
          <w:szCs w:val="22"/>
          <w:lang w:eastAsia="hu-HU"/>
        </w:rPr>
        <w:t>,</w:t>
      </w:r>
      <w:r w:rsidRPr="00717CE9">
        <w:rPr>
          <w:rFonts w:cs="Arial"/>
          <w:szCs w:val="22"/>
          <w:lang w:eastAsia="hu-HU"/>
        </w:rPr>
        <w:t xml:space="preserve"> Institute for Public Affairs, Bratislava, </w:t>
      </w:r>
      <w:r w:rsidR="001C4952">
        <w:rPr>
          <w:rFonts w:cs="Arial"/>
          <w:szCs w:val="22"/>
          <w:lang w:eastAsia="hu-HU"/>
        </w:rPr>
        <w:t xml:space="preserve">pp. </w:t>
      </w:r>
      <w:r w:rsidRPr="00717CE9">
        <w:rPr>
          <w:rFonts w:cs="Arial"/>
          <w:szCs w:val="22"/>
          <w:lang w:eastAsia="hu-HU"/>
        </w:rPr>
        <w:t>415–441.</w:t>
      </w:r>
      <w:r w:rsidR="001D04F8" w:rsidRPr="00717CE9">
        <w:rPr>
          <w:rFonts w:cs="Arial"/>
          <w:szCs w:val="22"/>
          <w:lang w:eastAsia="hu-HU"/>
        </w:rPr>
        <w:t xml:space="preserve"> </w:t>
      </w:r>
      <w:r w:rsidR="009175ED">
        <w:rPr>
          <w:rFonts w:cs="Arial"/>
          <w:szCs w:val="22"/>
        </w:rPr>
        <w:t>[online] Avai</w:t>
      </w:r>
      <w:r w:rsidR="009175ED">
        <w:rPr>
          <w:rFonts w:cs="Arial"/>
          <w:szCs w:val="22"/>
        </w:rPr>
        <w:t>l</w:t>
      </w:r>
      <w:r w:rsidR="009175ED">
        <w:rPr>
          <w:rFonts w:cs="Arial"/>
          <w:szCs w:val="22"/>
        </w:rPr>
        <w:t>able at:</w:t>
      </w:r>
      <w:r w:rsidR="009175ED" w:rsidRPr="00717CE9">
        <w:rPr>
          <w:rFonts w:cs="Arial"/>
          <w:szCs w:val="22"/>
        </w:rPr>
        <w:t xml:space="preserve"> </w:t>
      </w:r>
      <w:r w:rsidR="009175ED" w:rsidRPr="00717CE9">
        <w:rPr>
          <w:rFonts w:cs="Arial"/>
          <w:szCs w:val="22"/>
          <w:lang w:eastAsia="hu-HU"/>
        </w:rPr>
        <w:t xml:space="preserve">  </w:t>
      </w:r>
      <w:r w:rsidRPr="009175ED">
        <w:rPr>
          <w:rFonts w:cs="Arial"/>
          <w:szCs w:val="22"/>
        </w:rPr>
        <w:t>http://www.eurac.it/en/research/institutes/imr/Documents/romaglob_final.pdf</w:t>
      </w:r>
      <w:r w:rsidR="009175ED">
        <w:t xml:space="preserve"> </w:t>
      </w:r>
    </w:p>
    <w:p w:rsidR="00566C15" w:rsidRPr="00717CE9" w:rsidRDefault="009175ED" w:rsidP="009175ED">
      <w:pPr>
        <w:spacing w:before="0" w:after="120" w:line="240" w:lineRule="auto"/>
        <w:rPr>
          <w:rFonts w:cs="Arial"/>
          <w:szCs w:val="22"/>
        </w:rPr>
      </w:pPr>
      <w:r w:rsidRPr="004370E9">
        <w:rPr>
          <w:szCs w:val="24"/>
        </w:rPr>
        <w:t>[</w:t>
      </w:r>
      <w:r>
        <w:rPr>
          <w:szCs w:val="24"/>
        </w:rPr>
        <w:t>accessed September 2013</w:t>
      </w:r>
      <w:r w:rsidRPr="004370E9">
        <w:rPr>
          <w:szCs w:val="24"/>
        </w:rPr>
        <w:t>]</w:t>
      </w:r>
    </w:p>
    <w:p w:rsidR="00566C15" w:rsidRPr="00717CE9" w:rsidRDefault="009175ED" w:rsidP="00717CE9">
      <w:pPr>
        <w:spacing w:after="120" w:line="240" w:lineRule="auto"/>
        <w:rPr>
          <w:rFonts w:cs="Arial"/>
          <w:szCs w:val="22"/>
        </w:rPr>
      </w:pPr>
      <w:r w:rsidRPr="00717CE9">
        <w:rPr>
          <w:rFonts w:cs="Arial"/>
          <w:szCs w:val="22"/>
        </w:rPr>
        <w:t>European Union Agency for Fundamental Rights</w:t>
      </w:r>
      <w:r>
        <w:rPr>
          <w:rFonts w:cs="Arial"/>
          <w:szCs w:val="22"/>
        </w:rPr>
        <w:t xml:space="preserve"> </w:t>
      </w:r>
      <w:r w:rsidRPr="00717CE9">
        <w:rPr>
          <w:rFonts w:cs="Arial"/>
          <w:szCs w:val="22"/>
        </w:rPr>
        <w:t>(2012)</w:t>
      </w:r>
      <w:r>
        <w:rPr>
          <w:rFonts w:cs="Arial"/>
          <w:szCs w:val="22"/>
        </w:rPr>
        <w:t xml:space="preserve"> </w:t>
      </w:r>
      <w:r w:rsidR="00566C15" w:rsidRPr="009175ED">
        <w:rPr>
          <w:rFonts w:cs="Arial"/>
          <w:i/>
          <w:szCs w:val="22"/>
        </w:rPr>
        <w:t>The situation of Roma in 11 EU member states</w:t>
      </w:r>
      <w:r w:rsidR="00566C15" w:rsidRPr="00717CE9">
        <w:rPr>
          <w:rFonts w:cs="Arial"/>
          <w:szCs w:val="22"/>
        </w:rPr>
        <w:t xml:space="preserve">. Survey results at a glance, UNDP, EC: Luxemburg. </w:t>
      </w:r>
    </w:p>
    <w:p w:rsidR="009175ED" w:rsidRDefault="00566C15" w:rsidP="009175ED">
      <w:pPr>
        <w:spacing w:line="240" w:lineRule="auto"/>
        <w:rPr>
          <w:rFonts w:cs="Arial"/>
          <w:szCs w:val="22"/>
          <w:lang w:eastAsia="hu-HU"/>
        </w:rPr>
      </w:pPr>
      <w:r w:rsidRPr="00717CE9">
        <w:rPr>
          <w:rFonts w:cs="Arial"/>
          <w:szCs w:val="22"/>
          <w:lang w:eastAsia="en-GB"/>
        </w:rPr>
        <w:lastRenderedPageBreak/>
        <w:t>UNDP/WB/EC (2011)</w:t>
      </w:r>
      <w:r w:rsidR="009175ED">
        <w:rPr>
          <w:rFonts w:cs="Arial"/>
          <w:szCs w:val="22"/>
          <w:lang w:eastAsia="en-GB"/>
        </w:rPr>
        <w:t xml:space="preserve"> </w:t>
      </w:r>
      <w:r w:rsidR="009175ED" w:rsidRPr="00717CE9">
        <w:rPr>
          <w:rFonts w:cs="Arial"/>
          <w:szCs w:val="22"/>
          <w:lang w:eastAsia="en-GB"/>
        </w:rPr>
        <w:t>Regional survey</w:t>
      </w:r>
      <w:r w:rsidR="009175ED">
        <w:rPr>
          <w:rFonts w:cs="Arial"/>
          <w:szCs w:val="22"/>
          <w:lang w:eastAsia="en-GB"/>
        </w:rPr>
        <w:t xml:space="preserve">, </w:t>
      </w:r>
      <w:r w:rsidR="000D040F" w:rsidRPr="00717CE9">
        <w:rPr>
          <w:rFonts w:cs="Arial"/>
          <w:szCs w:val="22"/>
        </w:rPr>
        <w:t>Strategy of the Slovak Republic for Integr</w:t>
      </w:r>
      <w:r w:rsidR="000D040F" w:rsidRPr="00717CE9">
        <w:rPr>
          <w:rFonts w:cs="Arial"/>
          <w:szCs w:val="22"/>
        </w:rPr>
        <w:t>a</w:t>
      </w:r>
      <w:r w:rsidR="000D040F" w:rsidRPr="00717CE9">
        <w:rPr>
          <w:rFonts w:cs="Arial"/>
          <w:szCs w:val="22"/>
        </w:rPr>
        <w:t xml:space="preserve">tion of Roma </w:t>
      </w:r>
      <w:r w:rsidR="000F58C9" w:rsidRPr="00717CE9">
        <w:rPr>
          <w:rFonts w:cs="Arial"/>
          <w:szCs w:val="22"/>
        </w:rPr>
        <w:t>of Slovak</w:t>
      </w:r>
      <w:r w:rsidR="000D040F" w:rsidRPr="00717CE9">
        <w:rPr>
          <w:rFonts w:cs="Arial"/>
          <w:szCs w:val="22"/>
        </w:rPr>
        <w:t>ia</w:t>
      </w:r>
      <w:r w:rsidR="009175ED">
        <w:rPr>
          <w:rFonts w:cs="Arial"/>
          <w:szCs w:val="22"/>
        </w:rPr>
        <w:t>.</w:t>
      </w:r>
      <w:r w:rsidR="000D040F" w:rsidRPr="00717CE9">
        <w:rPr>
          <w:rFonts w:cs="Arial"/>
          <w:szCs w:val="22"/>
        </w:rPr>
        <w:t xml:space="preserve"> </w:t>
      </w:r>
      <w:r w:rsidR="009175ED">
        <w:rPr>
          <w:rFonts w:cs="Arial"/>
          <w:szCs w:val="22"/>
        </w:rPr>
        <w:t>[online] Available at:</w:t>
      </w:r>
      <w:r w:rsidR="009175ED" w:rsidRPr="00717CE9">
        <w:rPr>
          <w:rFonts w:cs="Arial"/>
          <w:szCs w:val="22"/>
        </w:rPr>
        <w:t xml:space="preserve"> </w:t>
      </w:r>
      <w:r w:rsidR="009175ED" w:rsidRPr="00717CE9">
        <w:rPr>
          <w:rFonts w:cs="Arial"/>
          <w:szCs w:val="22"/>
          <w:lang w:eastAsia="hu-HU"/>
        </w:rPr>
        <w:t xml:space="preserve"> </w:t>
      </w:r>
    </w:p>
    <w:p w:rsidR="009175ED" w:rsidRPr="00717CE9" w:rsidRDefault="009175ED" w:rsidP="009175ED">
      <w:pPr>
        <w:spacing w:before="0" w:after="120" w:line="240" w:lineRule="auto"/>
        <w:rPr>
          <w:rFonts w:cs="Arial"/>
          <w:szCs w:val="22"/>
        </w:rPr>
      </w:pPr>
      <w:r w:rsidRPr="009175ED">
        <w:rPr>
          <w:rFonts w:cs="Arial"/>
          <w:szCs w:val="22"/>
        </w:rPr>
        <w:t>http://ec.europa.eu/justice/discrimination/files/roma_slovakia_strategy_en.pdf</w:t>
      </w:r>
      <w:r>
        <w:rPr>
          <w:rFonts w:cs="Arial"/>
          <w:szCs w:val="22"/>
        </w:rPr>
        <w:t xml:space="preserve"> </w:t>
      </w:r>
      <w:r w:rsidRPr="004370E9">
        <w:rPr>
          <w:szCs w:val="24"/>
        </w:rPr>
        <w:t>[</w:t>
      </w:r>
      <w:r>
        <w:rPr>
          <w:szCs w:val="24"/>
        </w:rPr>
        <w:t>a</w:t>
      </w:r>
      <w:r>
        <w:rPr>
          <w:szCs w:val="24"/>
        </w:rPr>
        <w:t>c</w:t>
      </w:r>
      <w:r>
        <w:rPr>
          <w:szCs w:val="24"/>
        </w:rPr>
        <w:t>cessed January 2014</w:t>
      </w:r>
      <w:r w:rsidRPr="004370E9">
        <w:rPr>
          <w:szCs w:val="24"/>
        </w:rPr>
        <w:t>]</w:t>
      </w:r>
    </w:p>
    <w:p w:rsidR="000F58C9" w:rsidRPr="00717CE9" w:rsidRDefault="000F58C9" w:rsidP="009175ED">
      <w:pPr>
        <w:spacing w:before="0" w:after="120" w:line="240" w:lineRule="auto"/>
        <w:rPr>
          <w:rFonts w:cs="Arial"/>
          <w:szCs w:val="22"/>
        </w:rPr>
      </w:pPr>
    </w:p>
    <w:p w:rsidR="00A75E1B" w:rsidRPr="00717CE9" w:rsidRDefault="00D00C93" w:rsidP="00717CE9">
      <w:pPr>
        <w:spacing w:after="120" w:line="240" w:lineRule="auto"/>
        <w:rPr>
          <w:rFonts w:cs="Arial"/>
          <w:szCs w:val="22"/>
        </w:rPr>
      </w:pPr>
      <w:r w:rsidRPr="00717CE9">
        <w:rPr>
          <w:rFonts w:cs="Arial"/>
          <w:szCs w:val="22"/>
        </w:rPr>
        <w:t>Country Assessment of the Roma Educational Fund (2011)</w:t>
      </w:r>
      <w:r w:rsidR="009175ED">
        <w:rPr>
          <w:rFonts w:cs="Arial"/>
          <w:szCs w:val="22"/>
        </w:rPr>
        <w:t xml:space="preserve"> [online] Available at:</w:t>
      </w:r>
      <w:r w:rsidR="009175ED" w:rsidRPr="00717CE9">
        <w:rPr>
          <w:rFonts w:cs="Arial"/>
          <w:szCs w:val="22"/>
        </w:rPr>
        <w:t xml:space="preserve"> </w:t>
      </w:r>
      <w:r w:rsidR="009175ED" w:rsidRPr="009175ED">
        <w:rPr>
          <w:rFonts w:cs="Arial"/>
          <w:szCs w:val="22"/>
        </w:rPr>
        <w:t>http://www.romaeducationfund.hu/sites/default/files/publications/ref_ca_2011_sk_english_screen.pdf</w:t>
      </w:r>
      <w:r w:rsidR="009175ED">
        <w:rPr>
          <w:rFonts w:cs="Arial"/>
          <w:szCs w:val="22"/>
        </w:rPr>
        <w:t xml:space="preserve"> </w:t>
      </w:r>
      <w:r w:rsidR="009175ED" w:rsidRPr="004370E9">
        <w:rPr>
          <w:szCs w:val="24"/>
        </w:rPr>
        <w:t>[</w:t>
      </w:r>
      <w:r w:rsidR="009175ED">
        <w:rPr>
          <w:szCs w:val="24"/>
        </w:rPr>
        <w:t>accessed May 2013</w:t>
      </w:r>
      <w:r w:rsidR="009175ED" w:rsidRPr="004370E9">
        <w:rPr>
          <w:szCs w:val="24"/>
        </w:rPr>
        <w:t>]</w:t>
      </w:r>
    </w:p>
    <w:p w:rsidR="009175ED" w:rsidRDefault="00B65321" w:rsidP="009175ED">
      <w:pPr>
        <w:spacing w:line="240" w:lineRule="auto"/>
        <w:rPr>
          <w:rFonts w:cs="Arial"/>
          <w:szCs w:val="22"/>
          <w:lang w:eastAsia="hu-HU"/>
        </w:rPr>
      </w:pPr>
      <w:r w:rsidRPr="00717CE9">
        <w:rPr>
          <w:rFonts w:cs="Arial"/>
          <w:szCs w:val="22"/>
          <w:lang w:eastAsia="en-GB"/>
        </w:rPr>
        <w:t>Spotáková, M. (2011): The role of diagnostics in educatio</w:t>
      </w:r>
      <w:r w:rsidR="009175ED">
        <w:rPr>
          <w:rFonts w:cs="Arial"/>
          <w:szCs w:val="22"/>
          <w:lang w:eastAsia="en-GB"/>
        </w:rPr>
        <w:t>n directed at Roma st</w:t>
      </w:r>
      <w:r w:rsidR="009175ED">
        <w:rPr>
          <w:rFonts w:cs="Arial"/>
          <w:szCs w:val="22"/>
          <w:lang w:eastAsia="en-GB"/>
        </w:rPr>
        <w:t>u</w:t>
      </w:r>
      <w:r w:rsidR="009175ED">
        <w:rPr>
          <w:rFonts w:cs="Arial"/>
          <w:szCs w:val="22"/>
          <w:lang w:eastAsia="en-GB"/>
        </w:rPr>
        <w:t>dents. In:</w:t>
      </w:r>
      <w:r w:rsidR="009175ED">
        <w:rPr>
          <w:rFonts w:cs="Arial"/>
          <w:bCs/>
          <w:szCs w:val="22"/>
          <w:lang w:eastAsia="hu-HU"/>
        </w:rPr>
        <w:t xml:space="preserve"> Rafael, V.</w:t>
      </w:r>
      <w:r w:rsidR="001C4952">
        <w:rPr>
          <w:rFonts w:cs="Arial"/>
          <w:bCs/>
          <w:szCs w:val="22"/>
          <w:lang w:eastAsia="hu-HU"/>
        </w:rPr>
        <w:t>, ed.</w:t>
      </w:r>
      <w:r w:rsidRPr="00717CE9">
        <w:rPr>
          <w:rFonts w:cs="Arial"/>
          <w:bCs/>
          <w:szCs w:val="22"/>
          <w:lang w:eastAsia="hu-HU"/>
        </w:rPr>
        <w:t xml:space="preserve"> </w:t>
      </w:r>
      <w:r w:rsidRPr="00717CE9">
        <w:rPr>
          <w:rFonts w:cs="Arial"/>
          <w:bCs/>
          <w:i/>
          <w:szCs w:val="22"/>
          <w:lang w:eastAsia="hu-HU"/>
        </w:rPr>
        <w:t>Answers to question on (de)Segregation of Roma Students in Slovak Education System.</w:t>
      </w:r>
      <w:r w:rsidRPr="00717CE9">
        <w:rPr>
          <w:rFonts w:cs="Arial"/>
          <w:bCs/>
          <w:szCs w:val="22"/>
          <w:lang w:eastAsia="hu-HU"/>
        </w:rPr>
        <w:t xml:space="preserve"> Open Society Foundation, Bratislava, </w:t>
      </w:r>
      <w:r w:rsidR="001C4952">
        <w:rPr>
          <w:rFonts w:cs="Arial"/>
          <w:bCs/>
          <w:szCs w:val="22"/>
          <w:lang w:eastAsia="hu-HU"/>
        </w:rPr>
        <w:t xml:space="preserve">pp. </w:t>
      </w:r>
      <w:r w:rsidRPr="00717CE9">
        <w:rPr>
          <w:rFonts w:cs="Arial"/>
          <w:bCs/>
          <w:szCs w:val="22"/>
          <w:lang w:eastAsia="hu-HU"/>
        </w:rPr>
        <w:t xml:space="preserve">53-62. </w:t>
      </w:r>
      <w:r w:rsidR="009175ED">
        <w:rPr>
          <w:rFonts w:cs="Arial"/>
          <w:szCs w:val="22"/>
        </w:rPr>
        <w:t>[online] Available at:</w:t>
      </w:r>
      <w:r w:rsidR="009175ED">
        <w:rPr>
          <w:rFonts w:cs="Arial"/>
          <w:szCs w:val="22"/>
          <w:lang w:eastAsia="hu-HU"/>
        </w:rPr>
        <w:t xml:space="preserve"> </w:t>
      </w:r>
    </w:p>
    <w:p w:rsidR="009175ED" w:rsidRDefault="009175ED" w:rsidP="009175ED">
      <w:pPr>
        <w:spacing w:before="0" w:line="240" w:lineRule="auto"/>
        <w:rPr>
          <w:rFonts w:cs="Arial"/>
          <w:szCs w:val="22"/>
        </w:rPr>
      </w:pPr>
      <w:r w:rsidRPr="009175ED">
        <w:rPr>
          <w:rFonts w:cs="Arial"/>
          <w:szCs w:val="22"/>
        </w:rPr>
        <w:t>http://www.osf.sk/kniznica_a_open_gallery/publikacie/2011/desegregation_of_roma_pupils_in_slovak_educational_system_questions_and_answers</w:t>
      </w:r>
      <w:r>
        <w:rPr>
          <w:rFonts w:cs="Arial"/>
          <w:szCs w:val="22"/>
        </w:rPr>
        <w:t xml:space="preserve"> </w:t>
      </w:r>
    </w:p>
    <w:p w:rsidR="00B65321" w:rsidRPr="00717CE9" w:rsidRDefault="009175ED" w:rsidP="009175ED">
      <w:pPr>
        <w:spacing w:before="0" w:after="120" w:line="240" w:lineRule="auto"/>
        <w:rPr>
          <w:rFonts w:cs="Arial"/>
          <w:szCs w:val="22"/>
        </w:rPr>
      </w:pPr>
      <w:r w:rsidRPr="004370E9">
        <w:rPr>
          <w:szCs w:val="24"/>
        </w:rPr>
        <w:t>[</w:t>
      </w:r>
      <w:r>
        <w:rPr>
          <w:szCs w:val="24"/>
        </w:rPr>
        <w:t>accessed September 2013</w:t>
      </w:r>
      <w:r w:rsidRPr="004370E9">
        <w:rPr>
          <w:szCs w:val="24"/>
        </w:rPr>
        <w:t>]</w:t>
      </w:r>
    </w:p>
    <w:p w:rsidR="00200D40" w:rsidRPr="00717CE9" w:rsidRDefault="00E05131" w:rsidP="00200D40">
      <w:pPr>
        <w:spacing w:before="0" w:after="120" w:line="240" w:lineRule="auto"/>
        <w:rPr>
          <w:rFonts w:cs="Arial"/>
          <w:szCs w:val="22"/>
        </w:rPr>
      </w:pPr>
      <w:r w:rsidRPr="00717CE9">
        <w:rPr>
          <w:rFonts w:cs="Arial"/>
          <w:szCs w:val="22"/>
          <w:lang w:eastAsia="en-GB"/>
        </w:rPr>
        <w:t xml:space="preserve">Szülőföldön magyarul. </w:t>
      </w:r>
      <w:r w:rsidRPr="00717CE9">
        <w:rPr>
          <w:rFonts w:cs="Arial"/>
          <w:szCs w:val="22"/>
        </w:rPr>
        <w:t>A Bethlen Gábor Alapkezelő Zrt. ….</w:t>
      </w:r>
      <w:r w:rsidR="00200D40">
        <w:rPr>
          <w:rFonts w:cs="Arial"/>
          <w:szCs w:val="22"/>
        </w:rPr>
        <w:t xml:space="preserve"> [online] Available at:</w:t>
      </w:r>
      <w:r w:rsidR="00200D40" w:rsidRPr="00717CE9">
        <w:rPr>
          <w:rFonts w:cs="Arial"/>
          <w:szCs w:val="22"/>
        </w:rPr>
        <w:t xml:space="preserve"> </w:t>
      </w:r>
      <w:r w:rsidRPr="00717CE9">
        <w:rPr>
          <w:rFonts w:cs="Arial"/>
          <w:szCs w:val="22"/>
        </w:rPr>
        <w:t xml:space="preserve"> </w:t>
      </w:r>
      <w:r w:rsidR="00200D40" w:rsidRPr="00200D40">
        <w:rPr>
          <w:rFonts w:cs="Arial"/>
          <w:szCs w:val="22"/>
        </w:rPr>
        <w:t>http://bgazrt.hu/_files/TAMOGATASOK/BH/felhivas.pdf</w:t>
      </w:r>
      <w:r w:rsidR="00200D40">
        <w:rPr>
          <w:rFonts w:cs="Arial"/>
          <w:szCs w:val="22"/>
        </w:rPr>
        <w:t xml:space="preserve"> </w:t>
      </w:r>
      <w:r w:rsidR="00200D40" w:rsidRPr="004370E9">
        <w:rPr>
          <w:szCs w:val="24"/>
        </w:rPr>
        <w:t>[</w:t>
      </w:r>
      <w:r w:rsidR="00200D40">
        <w:rPr>
          <w:szCs w:val="24"/>
        </w:rPr>
        <w:t>accessed September 2013</w:t>
      </w:r>
      <w:r w:rsidR="00200D40" w:rsidRPr="004370E9">
        <w:rPr>
          <w:szCs w:val="24"/>
        </w:rPr>
        <w:t>]</w:t>
      </w:r>
    </w:p>
    <w:p w:rsidR="00200D40" w:rsidRDefault="00186AA0" w:rsidP="00200D40">
      <w:pPr>
        <w:spacing w:line="240" w:lineRule="auto"/>
        <w:rPr>
          <w:rFonts w:cs="Arial"/>
          <w:szCs w:val="22"/>
          <w:lang w:eastAsia="en-GB"/>
        </w:rPr>
      </w:pPr>
      <w:r w:rsidRPr="00717CE9">
        <w:rPr>
          <w:rFonts w:cs="Arial"/>
          <w:szCs w:val="22"/>
          <w:lang w:eastAsia="en-GB"/>
        </w:rPr>
        <w:t>UNDP-World Bank-European Commission</w:t>
      </w:r>
      <w:r w:rsidR="00200D40">
        <w:rPr>
          <w:rFonts w:cs="Arial"/>
          <w:szCs w:val="22"/>
          <w:lang w:eastAsia="en-GB"/>
        </w:rPr>
        <w:t xml:space="preserve"> (n.d.) </w:t>
      </w:r>
      <w:r w:rsidRPr="00200D40">
        <w:rPr>
          <w:rFonts w:cs="Arial"/>
          <w:i/>
          <w:szCs w:val="22"/>
          <w:lang w:eastAsia="en-GB"/>
        </w:rPr>
        <w:t>Regional survey</w:t>
      </w:r>
      <w:r w:rsidRPr="00717CE9">
        <w:rPr>
          <w:rFonts w:cs="Arial"/>
          <w:szCs w:val="22"/>
          <w:lang w:eastAsia="en-GB"/>
        </w:rPr>
        <w:t xml:space="preserve"> 2011</w:t>
      </w:r>
      <w:r w:rsidR="00200D40">
        <w:rPr>
          <w:rFonts w:cs="Arial"/>
          <w:szCs w:val="22"/>
          <w:lang w:eastAsia="en-GB"/>
        </w:rPr>
        <w:t xml:space="preserve"> </w:t>
      </w:r>
      <w:r w:rsidR="00200D40">
        <w:rPr>
          <w:rFonts w:cs="Arial"/>
          <w:szCs w:val="22"/>
        </w:rPr>
        <w:t>[online] Available at:</w:t>
      </w:r>
      <w:r w:rsidR="00200D40">
        <w:rPr>
          <w:rFonts w:cs="Arial"/>
          <w:szCs w:val="22"/>
          <w:lang w:eastAsia="en-GB"/>
        </w:rPr>
        <w:t xml:space="preserve"> </w:t>
      </w:r>
    </w:p>
    <w:p w:rsidR="00186AA0" w:rsidRDefault="00186AA0" w:rsidP="00200D40">
      <w:pPr>
        <w:spacing w:before="0" w:after="120" w:line="240" w:lineRule="auto"/>
        <w:rPr>
          <w:szCs w:val="24"/>
        </w:rPr>
      </w:pPr>
      <w:r w:rsidRPr="00200D40">
        <w:rPr>
          <w:rFonts w:cs="Arial"/>
          <w:szCs w:val="22"/>
        </w:rPr>
        <w:t>http://www.undp.org/content/rbec/en/home/ourwork/povertyreduction/roma-in-central-and-southeast-europe/roma-data.html</w:t>
      </w:r>
      <w:r w:rsidR="00200D40">
        <w:t xml:space="preserve"> </w:t>
      </w:r>
      <w:r w:rsidR="00200D40" w:rsidRPr="004370E9">
        <w:rPr>
          <w:szCs w:val="24"/>
        </w:rPr>
        <w:t>[</w:t>
      </w:r>
      <w:r w:rsidR="00200D40">
        <w:rPr>
          <w:szCs w:val="24"/>
        </w:rPr>
        <w:t xml:space="preserve">accessed </w:t>
      </w:r>
      <w:r w:rsidR="00152EDD">
        <w:rPr>
          <w:szCs w:val="24"/>
        </w:rPr>
        <w:t xml:space="preserve">January </w:t>
      </w:r>
      <w:r w:rsidR="00200D40">
        <w:rPr>
          <w:szCs w:val="24"/>
        </w:rPr>
        <w:t>201</w:t>
      </w:r>
      <w:r w:rsidR="00152EDD">
        <w:rPr>
          <w:szCs w:val="24"/>
        </w:rPr>
        <w:t>4</w:t>
      </w:r>
      <w:r w:rsidR="00200D40" w:rsidRPr="004370E9">
        <w:rPr>
          <w:szCs w:val="24"/>
        </w:rPr>
        <w:t>]</w:t>
      </w:r>
    </w:p>
    <w:p w:rsidR="00D00C93" w:rsidRPr="00717CE9" w:rsidRDefault="00D00C93" w:rsidP="00200D40">
      <w:pPr>
        <w:spacing w:line="240" w:lineRule="auto"/>
        <w:rPr>
          <w:rFonts w:cs="Arial"/>
          <w:szCs w:val="22"/>
        </w:rPr>
      </w:pPr>
      <w:r w:rsidRPr="00717CE9">
        <w:rPr>
          <w:rFonts w:cs="Arial"/>
          <w:szCs w:val="22"/>
        </w:rPr>
        <w:t>Your Social Sec</w:t>
      </w:r>
      <w:r w:rsidR="00200D40">
        <w:rPr>
          <w:rFonts w:cs="Arial"/>
          <w:szCs w:val="22"/>
        </w:rPr>
        <w:t>urity Rights in Slovakia (2012)</w:t>
      </w:r>
      <w:r w:rsidRPr="00717CE9">
        <w:rPr>
          <w:rFonts w:cs="Arial"/>
          <w:szCs w:val="22"/>
        </w:rPr>
        <w:t xml:space="preserve"> </w:t>
      </w:r>
      <w:r w:rsidRPr="00200D40">
        <w:rPr>
          <w:rFonts w:cs="Arial"/>
          <w:i/>
          <w:szCs w:val="22"/>
        </w:rPr>
        <w:t>Employment, Social Affairs &amp; Incl</w:t>
      </w:r>
      <w:r w:rsidRPr="00200D40">
        <w:rPr>
          <w:rFonts w:cs="Arial"/>
          <w:i/>
          <w:szCs w:val="22"/>
        </w:rPr>
        <w:t>u</w:t>
      </w:r>
      <w:r w:rsidRPr="00200D40">
        <w:rPr>
          <w:rFonts w:cs="Arial"/>
          <w:i/>
          <w:szCs w:val="22"/>
        </w:rPr>
        <w:t>sion</w:t>
      </w:r>
      <w:r w:rsidRPr="00717CE9">
        <w:rPr>
          <w:rFonts w:cs="Arial"/>
          <w:szCs w:val="22"/>
        </w:rPr>
        <w:t>. European Union, European Comission.</w:t>
      </w:r>
      <w:r w:rsidR="00200D40">
        <w:rPr>
          <w:rFonts w:cs="Arial"/>
          <w:szCs w:val="22"/>
        </w:rPr>
        <w:t xml:space="preserve"> [online] Available at:</w:t>
      </w:r>
      <w:r w:rsidR="00200D40" w:rsidRPr="00717CE9">
        <w:rPr>
          <w:rFonts w:cs="Arial"/>
          <w:szCs w:val="22"/>
        </w:rPr>
        <w:t xml:space="preserve">  </w:t>
      </w:r>
    </w:p>
    <w:p w:rsidR="00200D40" w:rsidRDefault="00D00C93" w:rsidP="00200D40">
      <w:pPr>
        <w:spacing w:before="0" w:after="120" w:line="240" w:lineRule="auto"/>
      </w:pPr>
      <w:r w:rsidRPr="00200D40">
        <w:rPr>
          <w:rFonts w:cs="Arial"/>
          <w:szCs w:val="22"/>
        </w:rPr>
        <w:t>http://ec.europa.eu/employment_social/empl_portal/SSRinEU/Your%20social%20security%20rights%20in%20Slovakia_en.pdf</w:t>
      </w:r>
      <w:r w:rsidR="00200D40">
        <w:t xml:space="preserve"> </w:t>
      </w:r>
      <w:r w:rsidR="00200D40" w:rsidRPr="004370E9">
        <w:rPr>
          <w:szCs w:val="24"/>
        </w:rPr>
        <w:t>[</w:t>
      </w:r>
      <w:r w:rsidR="00200D40">
        <w:rPr>
          <w:szCs w:val="24"/>
        </w:rPr>
        <w:t>accessed 17 September 2013</w:t>
      </w:r>
      <w:r w:rsidR="00200D40" w:rsidRPr="004370E9">
        <w:rPr>
          <w:szCs w:val="24"/>
        </w:rPr>
        <w:t>]</w:t>
      </w:r>
    </w:p>
    <w:p w:rsidR="00DD69CA" w:rsidRDefault="001D04F8" w:rsidP="00DD69CA">
      <w:pPr>
        <w:spacing w:before="0" w:after="120" w:line="240" w:lineRule="auto"/>
        <w:rPr>
          <w:szCs w:val="24"/>
        </w:rPr>
      </w:pPr>
      <w:r w:rsidRPr="00717CE9">
        <w:rPr>
          <w:rFonts w:cs="Arial"/>
          <w:szCs w:val="22"/>
          <w:lang w:eastAsia="en-GB"/>
        </w:rPr>
        <w:t xml:space="preserve">Vlačuha, R. </w:t>
      </w:r>
      <w:r w:rsidR="00200D40">
        <w:rPr>
          <w:rFonts w:cs="Arial"/>
          <w:szCs w:val="22"/>
          <w:lang w:eastAsia="en-GB"/>
        </w:rPr>
        <w:t>&amp;</w:t>
      </w:r>
      <w:r w:rsidR="003C3384" w:rsidRPr="00717CE9">
        <w:rPr>
          <w:rFonts w:cs="Arial"/>
          <w:szCs w:val="22"/>
          <w:lang w:eastAsia="en-GB"/>
        </w:rPr>
        <w:t xml:space="preserve"> </w:t>
      </w:r>
      <w:r w:rsidR="00200D40">
        <w:rPr>
          <w:rFonts w:cs="Arial"/>
          <w:szCs w:val="22"/>
          <w:lang w:eastAsia="en-GB"/>
        </w:rPr>
        <w:t>Kováčová, I (2013)</w:t>
      </w:r>
      <w:r w:rsidRPr="00717CE9">
        <w:rPr>
          <w:rFonts w:cs="Arial"/>
          <w:szCs w:val="22"/>
          <w:lang w:eastAsia="en-GB"/>
        </w:rPr>
        <w:t xml:space="preserve"> </w:t>
      </w:r>
      <w:r w:rsidRPr="00200D40">
        <w:rPr>
          <w:rFonts w:cs="Arial"/>
          <w:bCs/>
          <w:i/>
          <w:szCs w:val="22"/>
          <w:lang w:eastAsia="en-GB"/>
        </w:rPr>
        <w:t>EU SILC 2012 Indikátory chudoby a sociálneho vylúčenia. Štatistický úrad Slovenskej republiky</w:t>
      </w:r>
      <w:r w:rsidRPr="00717CE9">
        <w:rPr>
          <w:rFonts w:cs="Arial"/>
          <w:bCs/>
          <w:szCs w:val="22"/>
          <w:lang w:eastAsia="en-GB"/>
        </w:rPr>
        <w:t xml:space="preserve">, Bratislava, </w:t>
      </w:r>
      <w:r w:rsidR="00200D40">
        <w:rPr>
          <w:rFonts w:cs="Arial"/>
          <w:szCs w:val="22"/>
        </w:rPr>
        <w:t>[online] Available at:</w:t>
      </w:r>
      <w:r w:rsidR="00200D40" w:rsidRPr="00717CE9">
        <w:rPr>
          <w:rFonts w:cs="Arial"/>
          <w:szCs w:val="22"/>
        </w:rPr>
        <w:t xml:space="preserve"> </w:t>
      </w:r>
      <w:r w:rsidRPr="00717CE9">
        <w:rPr>
          <w:rFonts w:cs="Arial"/>
          <w:bCs/>
          <w:szCs w:val="22"/>
          <w:lang w:eastAsia="en-GB"/>
        </w:rPr>
        <w:t xml:space="preserve"> </w:t>
      </w:r>
      <w:r w:rsidR="00200D40" w:rsidRPr="00200D40">
        <w:rPr>
          <w:rFonts w:cs="Arial"/>
          <w:bCs/>
          <w:szCs w:val="22"/>
          <w:lang w:eastAsia="en-GB"/>
        </w:rPr>
        <w:t>http://portal.statistics.sk/files/indikatory_2012_vystavit.pdf</w:t>
      </w:r>
      <w:r w:rsidR="00200D40">
        <w:rPr>
          <w:rFonts w:cs="Arial"/>
          <w:bCs/>
          <w:szCs w:val="22"/>
          <w:lang w:eastAsia="en-GB"/>
        </w:rPr>
        <w:t xml:space="preserve"> </w:t>
      </w:r>
      <w:r w:rsidR="00200D40" w:rsidRPr="004370E9">
        <w:rPr>
          <w:szCs w:val="24"/>
        </w:rPr>
        <w:t>[</w:t>
      </w:r>
      <w:r w:rsidR="00200D40">
        <w:rPr>
          <w:szCs w:val="24"/>
        </w:rPr>
        <w:t>accessed December 2013</w:t>
      </w:r>
      <w:r w:rsidR="00200D40" w:rsidRPr="004370E9">
        <w:rPr>
          <w:szCs w:val="24"/>
        </w:rPr>
        <w:t>]</w:t>
      </w:r>
    </w:p>
    <w:p w:rsidR="002154C2" w:rsidRPr="00DD69CA" w:rsidRDefault="00200D40" w:rsidP="00EB5A1D">
      <w:pPr>
        <w:pStyle w:val="Caption"/>
        <w:spacing w:before="0" w:after="120" w:line="240" w:lineRule="auto"/>
        <w:jc w:val="center"/>
      </w:pPr>
      <w:r w:rsidRPr="00EB5A1D">
        <w:rPr>
          <w:b w:val="0"/>
          <w:lang w:eastAsia="en-GB"/>
        </w:rPr>
        <w:t>Želinský T. (2007)</w:t>
      </w:r>
      <w:r w:rsidR="001D04F8" w:rsidRPr="00EB5A1D">
        <w:rPr>
          <w:b w:val="0"/>
          <w:lang w:eastAsia="en-GB"/>
        </w:rPr>
        <w:t xml:space="preserve"> </w:t>
      </w:r>
      <w:r w:rsidR="001D04F8" w:rsidRPr="00EB5A1D">
        <w:rPr>
          <w:b w:val="0"/>
          <w:i/>
          <w:lang w:eastAsia="en-GB"/>
        </w:rPr>
        <w:t>Regional analysis of poverty in the Slovak Republic</w:t>
      </w:r>
      <w:r w:rsidR="001D04F8" w:rsidRPr="00EB5A1D">
        <w:rPr>
          <w:b w:val="0"/>
          <w:lang w:eastAsia="en-GB"/>
        </w:rPr>
        <w:t>. 2nd Central European Conference in regional Science – CERS, 2007</w:t>
      </w:r>
      <w:r w:rsidRPr="00EB5A1D">
        <w:rPr>
          <w:b w:val="0"/>
          <w:lang w:eastAsia="en-GB"/>
        </w:rPr>
        <w:t>,</w:t>
      </w:r>
      <w:r w:rsidR="001D04F8" w:rsidRPr="00EB5A1D">
        <w:rPr>
          <w:b w:val="0"/>
          <w:lang w:eastAsia="en-GB"/>
        </w:rPr>
        <w:t xml:space="preserve"> </w:t>
      </w:r>
      <w:r w:rsidR="001C4952" w:rsidRPr="00EB5A1D">
        <w:rPr>
          <w:b w:val="0"/>
          <w:lang w:eastAsia="en-GB"/>
        </w:rPr>
        <w:t xml:space="preserve">pp. </w:t>
      </w:r>
      <w:r w:rsidR="001D04F8" w:rsidRPr="00EB5A1D">
        <w:rPr>
          <w:b w:val="0"/>
          <w:lang w:eastAsia="en-GB"/>
        </w:rPr>
        <w:t>1217-1229</w:t>
      </w:r>
      <w:r w:rsidR="001D04F8" w:rsidRPr="00EB5A1D">
        <w:rPr>
          <w:lang w:eastAsia="en-GB"/>
        </w:rPr>
        <w:t>.</w:t>
      </w:r>
      <w:r w:rsidR="00D00C93" w:rsidRPr="00301583">
        <w:br w:type="page"/>
      </w:r>
      <w:bookmarkStart w:id="135" w:name="_Toc380500978"/>
      <w:bookmarkStart w:id="136" w:name="_Toc385271108"/>
      <w:r w:rsidR="00DD69CA" w:rsidRPr="00EB5A1D">
        <w:rPr>
          <w:rStyle w:val="Heading1Char"/>
          <w:b/>
        </w:rPr>
        <w:lastRenderedPageBreak/>
        <w:t>Annex 1: Additional maps and tables</w:t>
      </w:r>
      <w:bookmarkEnd w:id="135"/>
      <w:bookmarkEnd w:id="136"/>
    </w:p>
    <w:p w:rsidR="00191D38" w:rsidRDefault="00191D38" w:rsidP="00C72148"/>
    <w:p w:rsidR="008B4D58" w:rsidRDefault="009901F5" w:rsidP="008B4D58">
      <w:pPr>
        <w:keepNext/>
      </w:pPr>
      <w:r>
        <w:rPr>
          <w:noProof/>
          <w:lang w:val="fi-FI" w:eastAsia="fi-FI"/>
        </w:rPr>
        <w:drawing>
          <wp:inline distT="0" distB="0" distL="0" distR="0" wp14:anchorId="7BA1F4E1" wp14:editId="0F3C5F2A">
            <wp:extent cx="2714625" cy="3638550"/>
            <wp:effectExtent l="0" t="0" r="9525" b="0"/>
            <wp:docPr id="61" name="Kép 4" descr="C:\Users\Kati\Documents\Fő dokumentumok\Munkák 2013\ESPON\Szlovák esettanulmány\Gergő térképek\LAU2_HunRo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 descr="C:\Users\Kati\Documents\Fő dokumentumok\Munkák 2013\ESPON\Szlovák esettanulmány\Gergő térképek\LAU2_HunRoma.png"/>
                    <pic:cNvPicPr>
                      <a:picLocks noChangeAspect="1" noChangeArrowheads="1"/>
                    </pic:cNvPicPr>
                  </pic:nvPicPr>
                  <pic:blipFill rotWithShape="1">
                    <a:blip r:embed="rId41"/>
                    <a:srcRect l="3301" t="8624" r="2640" b="2331"/>
                    <a:stretch/>
                  </pic:blipFill>
                  <pic:spPr bwMode="auto">
                    <a:xfrm>
                      <a:off x="0" y="0"/>
                      <a:ext cx="2714625" cy="3638550"/>
                    </a:xfrm>
                    <a:prstGeom prst="rect">
                      <a:avLst/>
                    </a:prstGeom>
                    <a:noFill/>
                    <a:ln>
                      <a:noFill/>
                    </a:ln>
                    <a:extLst>
                      <a:ext uri="{53640926-AAD7-44D8-BBD7-CCE9431645EC}">
                        <a14:shadowObscured xmlns:a14="http://schemas.microsoft.com/office/drawing/2010/main"/>
                      </a:ext>
                    </a:extLst>
                  </pic:spPr>
                </pic:pic>
              </a:graphicData>
            </a:graphic>
          </wp:inline>
        </w:drawing>
      </w:r>
    </w:p>
    <w:p w:rsidR="008B4D58" w:rsidRDefault="008B4D58" w:rsidP="008B4D58">
      <w:pPr>
        <w:pStyle w:val="Caption"/>
      </w:pPr>
      <w:bookmarkStart w:id="137" w:name="_Ref392508220"/>
      <w:bookmarkStart w:id="138" w:name="_Toc392105259"/>
      <w:bookmarkStart w:id="139" w:name="_Toc398897956"/>
      <w:r>
        <w:t xml:space="preserve">Map </w:t>
      </w:r>
      <w:r>
        <w:fldChar w:fldCharType="begin"/>
      </w:r>
      <w:r>
        <w:instrText xml:space="preserve"> SEQ Map \* ARABIC </w:instrText>
      </w:r>
      <w:r>
        <w:fldChar w:fldCharType="separate"/>
      </w:r>
      <w:r w:rsidR="00DC6D66">
        <w:rPr>
          <w:noProof/>
        </w:rPr>
        <w:t>3</w:t>
      </w:r>
      <w:r>
        <w:fldChar w:fldCharType="end"/>
      </w:r>
      <w:bookmarkEnd w:id="137"/>
      <w:r>
        <w:t>: Ratio of Hungarians and Roma by self-declared nationality, 2011</w:t>
      </w:r>
      <w:bookmarkEnd w:id="138"/>
      <w:bookmarkEnd w:id="139"/>
    </w:p>
    <w:p w:rsidR="009901F5" w:rsidRPr="009901F5" w:rsidRDefault="009901F5" w:rsidP="00C72148">
      <w:pPr>
        <w:rPr>
          <w:sz w:val="10"/>
          <w:szCs w:val="10"/>
        </w:rPr>
      </w:pPr>
    </w:p>
    <w:p w:rsidR="004E6E3A" w:rsidRDefault="004E6E3A" w:rsidP="004E6E3A">
      <w:pPr>
        <w:keepNext/>
      </w:pPr>
      <w:r>
        <w:rPr>
          <w:noProof/>
          <w:lang w:val="fi-FI" w:eastAsia="fi-FI"/>
        </w:rPr>
        <w:lastRenderedPageBreak/>
        <w:drawing>
          <wp:inline distT="0" distB="0" distL="0" distR="0" wp14:anchorId="1A1B98AA" wp14:editId="2FBC7365">
            <wp:extent cx="2781300" cy="3933825"/>
            <wp:effectExtent l="19050" t="0" r="0" b="0"/>
            <wp:docPr id="30" name="Kép 5" descr="C:\Users\Kati\Documents\Fő dokumentumok\Munkák 2013\ESPON\Szlovák esettanulmány\Gergő térképek\LAU2_Hungari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 descr="C:\Users\Kati\Documents\Fő dokumentumok\Munkák 2013\ESPON\Szlovák esettanulmány\Gergő térképek\LAU2_Hungarian.png"/>
                    <pic:cNvPicPr>
                      <a:picLocks noChangeAspect="1" noChangeArrowheads="1"/>
                    </pic:cNvPicPr>
                  </pic:nvPicPr>
                  <pic:blipFill>
                    <a:blip r:embed="rId42"/>
                    <a:srcRect/>
                    <a:stretch>
                      <a:fillRect/>
                    </a:stretch>
                  </pic:blipFill>
                  <pic:spPr bwMode="auto">
                    <a:xfrm>
                      <a:off x="0" y="0"/>
                      <a:ext cx="2781300" cy="3933825"/>
                    </a:xfrm>
                    <a:prstGeom prst="rect">
                      <a:avLst/>
                    </a:prstGeom>
                    <a:noFill/>
                    <a:ln w="9525">
                      <a:noFill/>
                      <a:miter lim="800000"/>
                      <a:headEnd/>
                      <a:tailEnd/>
                    </a:ln>
                  </pic:spPr>
                </pic:pic>
              </a:graphicData>
            </a:graphic>
          </wp:inline>
        </w:drawing>
      </w:r>
    </w:p>
    <w:p w:rsidR="008B4D58" w:rsidRDefault="004E6E3A" w:rsidP="004E6E3A">
      <w:pPr>
        <w:pStyle w:val="Caption"/>
      </w:pPr>
      <w:bookmarkStart w:id="140" w:name="_Toc398897957"/>
      <w:r>
        <w:t xml:space="preserve">Map </w:t>
      </w:r>
      <w:r>
        <w:fldChar w:fldCharType="begin"/>
      </w:r>
      <w:r>
        <w:instrText xml:space="preserve"> SEQ Map \* ARABIC </w:instrText>
      </w:r>
      <w:r>
        <w:fldChar w:fldCharType="separate"/>
      </w:r>
      <w:r w:rsidR="00DC6D66">
        <w:rPr>
          <w:noProof/>
        </w:rPr>
        <w:t>4</w:t>
      </w:r>
      <w:r>
        <w:fldChar w:fldCharType="end"/>
      </w:r>
      <w:r>
        <w:t>: Ratio of Hungarians by self-declared nationality, 2011</w:t>
      </w:r>
      <w:bookmarkEnd w:id="140"/>
    </w:p>
    <w:p w:rsidR="009901F5" w:rsidRDefault="009901F5" w:rsidP="00C72148"/>
    <w:p w:rsidR="008B4D58" w:rsidRDefault="00124D65" w:rsidP="008B4D58">
      <w:pPr>
        <w:keepNext/>
      </w:pPr>
      <w:r>
        <w:rPr>
          <w:noProof/>
          <w:lang w:val="fi-FI" w:eastAsia="fi-FI"/>
        </w:rPr>
        <w:drawing>
          <wp:inline distT="0" distB="0" distL="0" distR="0" wp14:anchorId="6BA3C806" wp14:editId="053D8253">
            <wp:extent cx="2571750" cy="3476625"/>
            <wp:effectExtent l="0" t="0" r="0" b="9525"/>
            <wp:docPr id="32" name="Kép 8" descr="C:\Users\Kati\Documents\Fő dokumentumok\Munkák 2013\ESPON\Szlovák esettanulmány\Gergő térképek\LAU2_Second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8" descr="C:\Users\Kati\Documents\Fő dokumentumok\Munkák 2013\ESPON\Szlovák esettanulmány\Gergő térképek\LAU2_SecondStudent.png"/>
                    <pic:cNvPicPr>
                      <a:picLocks noChangeAspect="1" noChangeArrowheads="1"/>
                    </pic:cNvPicPr>
                  </pic:nvPicPr>
                  <pic:blipFill rotWithShape="1">
                    <a:blip r:embed="rId43"/>
                    <a:srcRect l="2788" t="8355" r="3136" b="1966"/>
                    <a:stretch/>
                  </pic:blipFill>
                  <pic:spPr bwMode="auto">
                    <a:xfrm>
                      <a:off x="0" y="0"/>
                      <a:ext cx="2571750" cy="3476625"/>
                    </a:xfrm>
                    <a:prstGeom prst="rect">
                      <a:avLst/>
                    </a:prstGeom>
                    <a:noFill/>
                    <a:ln>
                      <a:noFill/>
                    </a:ln>
                    <a:extLst>
                      <a:ext uri="{53640926-AAD7-44D8-BBD7-CCE9431645EC}">
                        <a14:shadowObscured xmlns:a14="http://schemas.microsoft.com/office/drawing/2010/main"/>
                      </a:ext>
                    </a:extLst>
                  </pic:spPr>
                </pic:pic>
              </a:graphicData>
            </a:graphic>
          </wp:inline>
        </w:drawing>
      </w:r>
    </w:p>
    <w:p w:rsidR="009901F5" w:rsidRDefault="008B4D58" w:rsidP="008B4D58">
      <w:pPr>
        <w:pStyle w:val="Caption"/>
      </w:pPr>
      <w:bookmarkStart w:id="141" w:name="_Ref392105610"/>
      <w:bookmarkStart w:id="142" w:name="_Toc392105261"/>
      <w:bookmarkStart w:id="143" w:name="_Toc398897958"/>
      <w:r>
        <w:t xml:space="preserve">Map </w:t>
      </w:r>
      <w:r>
        <w:fldChar w:fldCharType="begin"/>
      </w:r>
      <w:r>
        <w:instrText xml:space="preserve"> SEQ Map \* ARABIC </w:instrText>
      </w:r>
      <w:r>
        <w:fldChar w:fldCharType="separate"/>
      </w:r>
      <w:r w:rsidR="00DC6D66">
        <w:rPr>
          <w:noProof/>
        </w:rPr>
        <w:t>5</w:t>
      </w:r>
      <w:r>
        <w:fldChar w:fldCharType="end"/>
      </w:r>
      <w:bookmarkEnd w:id="141"/>
      <w:r>
        <w:t>: Ratio of secondary school students, 2011</w:t>
      </w:r>
      <w:bookmarkEnd w:id="142"/>
      <w:bookmarkEnd w:id="143"/>
    </w:p>
    <w:p w:rsidR="009901F5" w:rsidRPr="009901F5" w:rsidRDefault="009901F5" w:rsidP="009901F5">
      <w:pPr>
        <w:rPr>
          <w:sz w:val="10"/>
          <w:szCs w:val="10"/>
        </w:rPr>
      </w:pPr>
    </w:p>
    <w:p w:rsidR="00295AF9" w:rsidRDefault="009901F5" w:rsidP="00295AF9">
      <w:pPr>
        <w:keepNext/>
      </w:pPr>
      <w:r>
        <w:rPr>
          <w:noProof/>
          <w:lang w:val="fi-FI" w:eastAsia="fi-FI"/>
        </w:rPr>
        <w:lastRenderedPageBreak/>
        <w:drawing>
          <wp:inline distT="0" distB="0" distL="0" distR="0" wp14:anchorId="23BD4C19" wp14:editId="301D196C">
            <wp:extent cx="2600325" cy="3476625"/>
            <wp:effectExtent l="0" t="0" r="9525" b="9525"/>
            <wp:docPr id="55" name="Kép 11" descr="C:\Users\Kati\Documents\Fő dokumentumok\Munkák 2013\ESPON\Szlovák esettanulmány\Gergő térképek\LAU2_Unemploy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 descr="C:\Users\Kati\Documents\Fő dokumentumok\Munkák 2013\ESPON\Szlovák esettanulmány\Gergő térképek\LAU2_Unemployment.png"/>
                    <pic:cNvPicPr>
                      <a:picLocks noChangeAspect="1" noChangeArrowheads="1"/>
                    </pic:cNvPicPr>
                  </pic:nvPicPr>
                  <pic:blipFill rotWithShape="1">
                    <a:blip r:embed="rId44"/>
                    <a:srcRect l="2439" t="8355" r="2439" b="1966"/>
                    <a:stretch/>
                  </pic:blipFill>
                  <pic:spPr bwMode="auto">
                    <a:xfrm>
                      <a:off x="0" y="0"/>
                      <a:ext cx="2600325" cy="3476625"/>
                    </a:xfrm>
                    <a:prstGeom prst="rect">
                      <a:avLst/>
                    </a:prstGeom>
                    <a:noFill/>
                    <a:ln>
                      <a:noFill/>
                    </a:ln>
                    <a:extLst>
                      <a:ext uri="{53640926-AAD7-44D8-BBD7-CCE9431645EC}">
                        <a14:shadowObscured xmlns:a14="http://schemas.microsoft.com/office/drawing/2010/main"/>
                      </a:ext>
                    </a:extLst>
                  </pic:spPr>
                </pic:pic>
              </a:graphicData>
            </a:graphic>
          </wp:inline>
        </w:drawing>
      </w:r>
    </w:p>
    <w:p w:rsidR="00295AF9" w:rsidRDefault="00295AF9" w:rsidP="00295AF9">
      <w:pPr>
        <w:pStyle w:val="Caption"/>
      </w:pPr>
      <w:bookmarkStart w:id="144" w:name="_Ref392105782"/>
      <w:bookmarkStart w:id="145" w:name="_Toc392105262"/>
      <w:bookmarkStart w:id="146" w:name="_Toc398897959"/>
      <w:r>
        <w:t xml:space="preserve">Map </w:t>
      </w:r>
      <w:r>
        <w:fldChar w:fldCharType="begin"/>
      </w:r>
      <w:r>
        <w:instrText xml:space="preserve"> SEQ Map \* ARABIC </w:instrText>
      </w:r>
      <w:r>
        <w:fldChar w:fldCharType="separate"/>
      </w:r>
      <w:r w:rsidR="00DC6D66">
        <w:rPr>
          <w:noProof/>
        </w:rPr>
        <w:t>6</w:t>
      </w:r>
      <w:r>
        <w:fldChar w:fldCharType="end"/>
      </w:r>
      <w:bookmarkEnd w:id="144"/>
      <w:r>
        <w:t>: Unemployment rate, 2011</w:t>
      </w:r>
      <w:bookmarkEnd w:id="145"/>
      <w:bookmarkEnd w:id="146"/>
    </w:p>
    <w:p w:rsidR="009901F5" w:rsidRDefault="009901F5" w:rsidP="009901F5"/>
    <w:p w:rsidR="009901F5" w:rsidRDefault="009901F5" w:rsidP="009901F5"/>
    <w:p w:rsidR="00295AF9" w:rsidRDefault="00350D91" w:rsidP="00295AF9">
      <w:pPr>
        <w:keepNext/>
      </w:pPr>
      <w:r>
        <w:rPr>
          <w:noProof/>
          <w:lang w:val="fi-FI" w:eastAsia="fi-FI"/>
        </w:rPr>
        <w:drawing>
          <wp:inline distT="0" distB="0" distL="0" distR="0" wp14:anchorId="676522DE" wp14:editId="2DF7884C">
            <wp:extent cx="5076825" cy="2971800"/>
            <wp:effectExtent l="19050" t="19050" r="28575" b="19050"/>
            <wp:docPr id="22" name="Kép 17" descr="C:\Users\Kati\Documents\Fő dokumentumok\Munkák 2013\ESPON\Szlovák esettanulmány\Gergő térképek\LAU1_Hungari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7" descr="C:\Users\Kati\Documents\Fő dokumentumok\Munkák 2013\ESPON\Szlovák esettanulmány\Gergő térképek\LAU1_Hungarian.png"/>
                    <pic:cNvPicPr>
                      <a:picLocks noChangeAspect="1" noChangeArrowheads="1"/>
                    </pic:cNvPicPr>
                  </pic:nvPicPr>
                  <pic:blipFill rotWithShape="1">
                    <a:blip r:embed="rId45" cstate="print"/>
                    <a:srcRect l="3247" t="19083" r="5641" b="5555"/>
                    <a:stretch/>
                  </pic:blipFill>
                  <pic:spPr bwMode="auto">
                    <a:xfrm>
                      <a:off x="0" y="0"/>
                      <a:ext cx="5076825" cy="29718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295AF9" w:rsidRPr="00301583" w:rsidRDefault="00295AF9" w:rsidP="00295AF9">
      <w:pPr>
        <w:pStyle w:val="Caption"/>
      </w:pPr>
      <w:bookmarkStart w:id="147" w:name="_Ref392105873"/>
      <w:bookmarkStart w:id="148" w:name="_Toc392105263"/>
      <w:bookmarkStart w:id="149" w:name="_Toc398897960"/>
      <w:r>
        <w:t xml:space="preserve">Map </w:t>
      </w:r>
      <w:r>
        <w:fldChar w:fldCharType="begin"/>
      </w:r>
      <w:r>
        <w:instrText xml:space="preserve"> SEQ Map \* ARABIC </w:instrText>
      </w:r>
      <w:r>
        <w:fldChar w:fldCharType="separate"/>
      </w:r>
      <w:r w:rsidR="00DC6D66">
        <w:rPr>
          <w:noProof/>
        </w:rPr>
        <w:t>7</w:t>
      </w:r>
      <w:r>
        <w:fldChar w:fldCharType="end"/>
      </w:r>
      <w:bookmarkEnd w:id="147"/>
      <w:r>
        <w:t>: Ratio of Hungarians by self-declared nationality, 2011</w:t>
      </w:r>
      <w:bookmarkEnd w:id="148"/>
      <w:bookmarkEnd w:id="149"/>
    </w:p>
    <w:p w:rsidR="00C72148" w:rsidRDefault="00C72148" w:rsidP="00FA59D2">
      <w:pPr>
        <w:spacing w:after="240" w:line="240" w:lineRule="auto"/>
        <w:rPr>
          <w:sz w:val="16"/>
          <w:szCs w:val="16"/>
        </w:rPr>
      </w:pPr>
      <w:r w:rsidRPr="00FA59D2">
        <w:rPr>
          <w:b/>
          <w:sz w:val="16"/>
          <w:szCs w:val="16"/>
        </w:rPr>
        <w:t>Source:</w:t>
      </w:r>
      <w:r w:rsidRPr="00FA59D2">
        <w:rPr>
          <w:sz w:val="16"/>
          <w:szCs w:val="16"/>
        </w:rPr>
        <w:t xml:space="preserve"> 2011 Census, NSO</w:t>
      </w:r>
      <w:r w:rsidR="00BB6F24" w:rsidRPr="00FA59D2">
        <w:rPr>
          <w:sz w:val="16"/>
          <w:szCs w:val="16"/>
        </w:rPr>
        <w:t xml:space="preserve"> of the Slovak Republic</w:t>
      </w:r>
    </w:p>
    <w:p w:rsidR="00FA59D2" w:rsidRPr="00FA59D2" w:rsidRDefault="00FA59D2" w:rsidP="00FA59D2">
      <w:pPr>
        <w:spacing w:after="240" w:line="240" w:lineRule="auto"/>
        <w:rPr>
          <w:sz w:val="10"/>
          <w:szCs w:val="10"/>
        </w:rPr>
      </w:pPr>
    </w:p>
    <w:p w:rsidR="00295AF9" w:rsidRDefault="000343B0" w:rsidP="00295AF9">
      <w:pPr>
        <w:keepNext/>
      </w:pPr>
      <w:r>
        <w:rPr>
          <w:noProof/>
          <w:lang w:val="fi-FI" w:eastAsia="fi-FI"/>
        </w:rPr>
        <w:lastRenderedPageBreak/>
        <mc:AlternateContent>
          <mc:Choice Requires="wps">
            <w:drawing>
              <wp:anchor distT="0" distB="0" distL="114300" distR="114300" simplePos="0" relativeHeight="251657216" behindDoc="0" locked="0" layoutInCell="1" allowOverlap="1" wp14:anchorId="0C34A9CC" wp14:editId="5B62B6F2">
                <wp:simplePos x="0" y="0"/>
                <wp:positionH relativeFrom="column">
                  <wp:posOffset>227965</wp:posOffset>
                </wp:positionH>
                <wp:positionV relativeFrom="paragraph">
                  <wp:posOffset>335915</wp:posOffset>
                </wp:positionV>
                <wp:extent cx="741680" cy="459740"/>
                <wp:effectExtent l="0" t="0" r="1270" b="0"/>
                <wp:wrapNone/>
                <wp:docPr id="43" name="Szövegdoboz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1680" cy="459740"/>
                        </a:xfrm>
                        <a:prstGeom prst="rect">
                          <a:avLst/>
                        </a:prstGeom>
                        <a:solidFill>
                          <a:sysClr val="window" lastClr="FFFFFF"/>
                        </a:solidFill>
                        <a:ln w="6350">
                          <a:noFill/>
                        </a:ln>
                        <a:effectLst/>
                      </wps:spPr>
                      <wps:txbx>
                        <w:txbxContent>
                          <w:p w:rsidR="004E6E3A" w:rsidRPr="00A81B80" w:rsidRDefault="004E6E3A" w:rsidP="00C72148">
                            <w:pPr>
                              <w:rPr>
                                <w:sz w:val="20"/>
                                <w:lang w:val="hu-HU"/>
                              </w:rPr>
                            </w:pPr>
                            <w:r w:rsidRPr="00A81B80">
                              <w:rPr>
                                <w:sz w:val="20"/>
                                <w:lang w:val="hu-HU"/>
                              </w:rPr>
                              <w:t>Map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shape w14:anchorId="0C34A9CC" id="Szövegdoboz 34" o:spid="_x0000_s1030" type="#_x0000_t202" style="position:absolute;left:0;text-align:left;margin-left:17.95pt;margin-top:26.45pt;width:58.4pt;height:36.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0RlagIAAL0EAAAOAAAAZHJzL2Uyb0RvYy54bWysVMtu2zAQvBfoPxC8N7IT5yVEDtwELgoY&#10;SQCnyJmmKFsoxWVJ2pLzYf2B/FiHlJ24aU9FfaCX3OEud3ZWV9ddo9lGOV+TKfjwaMCZMpLK2iwL&#10;/u1x+umCMx+EKYUmowq+VZ5fjz9+uGptro5pRbpUjiGI8XlrC74KweZZ5uVKNcIfkVUGzopcIwK2&#10;bpmVTrSI3ujseDA4y1pypXUklfc4ve2dfJziV5WS4b6qvApMFxxvC2l1aV3ENRtfiXzphF3VcvcM&#10;8Q+vaERtkPQ11K0Igq1d/UeoppaOPFXhSFKTUVXVUqUaUM1w8K6a+UpYlWoBOd6+0uT/X1h5t3lw&#10;rC4LPjrhzIgGPZo/v/zcqGVJC3pmJ6PIUWt9DujcAhy6z9Sh16leb2ckv3tAsgNMf8EDHTnpKtfE&#10;f1TLcBFt2L5Sr7rAJA7PR8OzC3gkXKPTy/NRak32dtk6H74oalg0Cu7Q2fQAsZn5ENOLfA+JuTzp&#10;upzWWqfN1t9oxzYCIoB2Smo508IHHBZ8mn6xSIT47Zo2rC342cnpIGUyFOP1OG1iXJUEtssfy+8r&#10;jlboFl1P656+BZVbsOeo16C3clqjlBne8SAcRIfqMUjhHkulCZlpZ3G2Ivf8t/OIhxbg5ayFiAvu&#10;f6yFUyjvq4FKLocjEMlC2oxOz4+xcYeexaHHrJsbAkVDjKyVyYz4oPdm5ah5wrxNYla4hJHIXfCw&#10;N29CP1qYV6kmkwSCzq0IMzO3ci+a2KjH7kk4u+tmgAzuaC93kb9rao+NjBuarANVdep45Llndac+&#10;zEjq4m6e4xAe7hPq7asz/gUAAP//AwBQSwMEFAAGAAgAAAAhAFmljbjfAAAACQEAAA8AAABkcnMv&#10;ZG93bnJldi54bWxMj81OwzAQhO9IvIO1SNyo04RACXEqqOiJS2uo4OgkSxzhnyh22vD2bE9w2l3N&#10;aPabcj1bw444ht47ActFAgxd49vedQLe37Y3K2AhKtcq4x0K+MEA6+ryolRF609uj0cZO0YhLhRK&#10;gI5xKDgPjUarwsIP6Ej78qNVkc6x4+2oThRuDU+T5I5b1Tv6oNWAG43Nt5ysgIP+lHJZZy/meZd9&#10;bHev0t9OGyGur+anR2AR5/hnhjM+oUNFTLWfXBuYEZDlD+QUkKc0z3qe3gOraUnzDHhV8v8Nql8A&#10;AAD//wMAUEsBAi0AFAAGAAgAAAAhALaDOJL+AAAA4QEAABMAAAAAAAAAAAAAAAAAAAAAAFtDb250&#10;ZW50X1R5cGVzXS54bWxQSwECLQAUAAYACAAAACEAOP0h/9YAAACUAQAACwAAAAAAAAAAAAAAAAAv&#10;AQAAX3JlbHMvLnJlbHNQSwECLQAUAAYACAAAACEAw1tEZWoCAAC9BAAADgAAAAAAAAAAAAAAAAAu&#10;AgAAZHJzL2Uyb0RvYy54bWxQSwECLQAUAAYACAAAACEAWaWNuN8AAAAJAQAADwAAAAAAAAAAAAAA&#10;AADEBAAAZHJzL2Rvd25yZXYueG1sUEsFBgAAAAAEAAQA8wAAANAFAAAAAA==&#10;" fillcolor="window" stroked="f" strokeweight=".5pt">
                <v:path arrowok="t"/>
                <v:textbox>
                  <w:txbxContent>
                    <w:p w:rsidR="004E6E3A" w:rsidRPr="00A81B80" w:rsidRDefault="004E6E3A" w:rsidP="00C72148">
                      <w:pPr>
                        <w:rPr>
                          <w:sz w:val="20"/>
                          <w:lang w:val="hu-HU"/>
                        </w:rPr>
                      </w:pPr>
                      <w:r w:rsidRPr="00A81B80">
                        <w:rPr>
                          <w:sz w:val="20"/>
                          <w:lang w:val="hu-HU"/>
                        </w:rPr>
                        <w:t>Map 6</w:t>
                      </w:r>
                    </w:p>
                  </w:txbxContent>
                </v:textbox>
              </v:shape>
            </w:pict>
          </mc:Fallback>
        </mc:AlternateContent>
      </w:r>
      <w:r w:rsidR="00350D91">
        <w:rPr>
          <w:noProof/>
          <w:lang w:val="fi-FI" w:eastAsia="fi-FI"/>
        </w:rPr>
        <w:drawing>
          <wp:inline distT="0" distB="0" distL="0" distR="0" wp14:anchorId="751158D3" wp14:editId="35897A9C">
            <wp:extent cx="5210175" cy="2838450"/>
            <wp:effectExtent l="19050" t="19050" r="28575" b="19050"/>
            <wp:docPr id="23" name="Kép 21" descr="C:\Users\Kati\Documents\Fő dokumentumok\Munkák 2013\ESPON\Szlovák esettanulmány\Gergő térképek\LAU1_Ro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1" descr="C:\Users\Kati\Documents\Fő dokumentumok\Munkák 2013\ESPON\Szlovák esettanulmány\Gergő térképek\LAU1_Roma.png"/>
                    <pic:cNvPicPr>
                      <a:picLocks noChangeAspect="1" noChangeArrowheads="1"/>
                    </pic:cNvPicPr>
                  </pic:nvPicPr>
                  <pic:blipFill rotWithShape="1">
                    <a:blip r:embed="rId46" cstate="print"/>
                    <a:srcRect l="3004" t="19487" r="5676" b="4103"/>
                    <a:stretch/>
                  </pic:blipFill>
                  <pic:spPr bwMode="auto">
                    <a:xfrm>
                      <a:off x="0" y="0"/>
                      <a:ext cx="5210175" cy="28384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FA59D2" w:rsidRDefault="00295AF9" w:rsidP="00295AF9">
      <w:pPr>
        <w:pStyle w:val="Caption"/>
      </w:pPr>
      <w:bookmarkStart w:id="150" w:name="_Toc392105264"/>
      <w:bookmarkStart w:id="151" w:name="_Toc398897961"/>
      <w:r>
        <w:t xml:space="preserve">Map </w:t>
      </w:r>
      <w:r>
        <w:fldChar w:fldCharType="begin"/>
      </w:r>
      <w:r>
        <w:instrText xml:space="preserve"> SEQ Map \* ARABIC </w:instrText>
      </w:r>
      <w:r>
        <w:fldChar w:fldCharType="separate"/>
      </w:r>
      <w:r w:rsidR="00DC6D66">
        <w:rPr>
          <w:noProof/>
        </w:rPr>
        <w:t>8</w:t>
      </w:r>
      <w:r>
        <w:fldChar w:fldCharType="end"/>
      </w:r>
      <w:r>
        <w:t>: Ratio of Romas by self-declared nationality, 2011</w:t>
      </w:r>
      <w:bookmarkEnd w:id="150"/>
      <w:bookmarkEnd w:id="151"/>
    </w:p>
    <w:p w:rsidR="00C72148" w:rsidRPr="00FA59D2" w:rsidRDefault="00C72148" w:rsidP="00FA59D2">
      <w:pPr>
        <w:spacing w:after="240" w:line="240" w:lineRule="auto"/>
        <w:rPr>
          <w:b/>
          <w:sz w:val="16"/>
          <w:szCs w:val="16"/>
        </w:rPr>
      </w:pPr>
      <w:r w:rsidRPr="00FA59D2">
        <w:rPr>
          <w:b/>
          <w:sz w:val="16"/>
          <w:szCs w:val="16"/>
        </w:rPr>
        <w:t xml:space="preserve">Source: </w:t>
      </w:r>
      <w:r w:rsidRPr="00FA59D2">
        <w:rPr>
          <w:sz w:val="16"/>
          <w:szCs w:val="16"/>
        </w:rPr>
        <w:t>2011 Census, NSO</w:t>
      </w:r>
      <w:r w:rsidR="00BB6F24" w:rsidRPr="00FA59D2">
        <w:rPr>
          <w:sz w:val="16"/>
          <w:szCs w:val="16"/>
        </w:rPr>
        <w:t xml:space="preserve"> of the Slovak Republic</w:t>
      </w:r>
    </w:p>
    <w:p w:rsidR="00BB6F24" w:rsidRPr="00301583" w:rsidRDefault="00BB6F24" w:rsidP="00C72148">
      <w:pPr>
        <w:rPr>
          <w:rFonts w:cs="Arial"/>
          <w:noProof/>
          <w:lang w:eastAsia="en-GB"/>
        </w:rPr>
      </w:pPr>
    </w:p>
    <w:p w:rsidR="00BB6F24" w:rsidRPr="00301583" w:rsidRDefault="00BB6F24" w:rsidP="00BB6F24">
      <w:pPr>
        <w:rPr>
          <w:rFonts w:cs="Arial"/>
          <w:szCs w:val="22"/>
        </w:rPr>
      </w:pPr>
    </w:p>
    <w:p w:rsidR="00BB6F24" w:rsidRPr="00301583" w:rsidRDefault="00BB6F24" w:rsidP="00BB6F24">
      <w:pPr>
        <w:rPr>
          <w:rFonts w:cs="Arial"/>
          <w:szCs w:val="22"/>
        </w:rPr>
      </w:pPr>
    </w:p>
    <w:p w:rsidR="00295AF9" w:rsidRDefault="00350D91" w:rsidP="00295AF9">
      <w:pPr>
        <w:keepNext/>
      </w:pPr>
      <w:r>
        <w:rPr>
          <w:rFonts w:cs="Arial"/>
          <w:noProof/>
          <w:lang w:val="fi-FI" w:eastAsia="fi-FI"/>
        </w:rPr>
        <w:drawing>
          <wp:inline distT="0" distB="0" distL="0" distR="0" wp14:anchorId="763171FC" wp14:editId="61EEBD0B">
            <wp:extent cx="5150345" cy="2724150"/>
            <wp:effectExtent l="19050" t="19050" r="12700" b="19050"/>
            <wp:docPr id="24"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7"/>
                    <pic:cNvPicPr>
                      <a:picLocks noChangeAspect="1" noChangeArrowheads="1"/>
                    </pic:cNvPicPr>
                  </pic:nvPicPr>
                  <pic:blipFill rotWithShape="1">
                    <a:blip r:embed="rId47" cstate="print"/>
                    <a:srcRect t="10864"/>
                    <a:stretch/>
                  </pic:blipFill>
                  <pic:spPr bwMode="auto">
                    <a:xfrm>
                      <a:off x="0" y="0"/>
                      <a:ext cx="5160874" cy="272971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FA59D2" w:rsidRDefault="00295AF9" w:rsidP="00295AF9">
      <w:pPr>
        <w:pStyle w:val="Caption"/>
      </w:pPr>
      <w:bookmarkStart w:id="152" w:name="_Ref392106009"/>
      <w:bookmarkStart w:id="153" w:name="_Toc392105265"/>
      <w:bookmarkStart w:id="154" w:name="_Toc398897962"/>
      <w:r>
        <w:t xml:space="preserve">Map </w:t>
      </w:r>
      <w:r>
        <w:fldChar w:fldCharType="begin"/>
      </w:r>
      <w:r>
        <w:instrText xml:space="preserve"> SEQ Map \* ARABIC </w:instrText>
      </w:r>
      <w:r>
        <w:fldChar w:fldCharType="separate"/>
      </w:r>
      <w:r w:rsidR="00DC6D66">
        <w:rPr>
          <w:noProof/>
        </w:rPr>
        <w:t>9</w:t>
      </w:r>
      <w:r>
        <w:fldChar w:fldCharType="end"/>
      </w:r>
      <w:bookmarkEnd w:id="152"/>
      <w:r>
        <w:t>: Percentage share of the Roma in the districts of Slovakia</w:t>
      </w:r>
      <w:bookmarkEnd w:id="153"/>
      <w:bookmarkEnd w:id="154"/>
    </w:p>
    <w:p w:rsidR="00FA59D2" w:rsidRPr="00FA59D2" w:rsidRDefault="00FA59D2" w:rsidP="00FA59D2">
      <w:pPr>
        <w:spacing w:after="240" w:line="240" w:lineRule="auto"/>
        <w:rPr>
          <w:rFonts w:cs="Arial"/>
          <w:sz w:val="16"/>
          <w:szCs w:val="16"/>
        </w:rPr>
      </w:pPr>
      <w:r w:rsidRPr="00FA59D2">
        <w:rPr>
          <w:rFonts w:cs="Arial"/>
          <w:b/>
          <w:sz w:val="16"/>
          <w:szCs w:val="16"/>
        </w:rPr>
        <w:t>Source:</w:t>
      </w:r>
      <w:r w:rsidRPr="00FA59D2">
        <w:rPr>
          <w:rFonts w:cs="Arial"/>
          <w:sz w:val="16"/>
          <w:szCs w:val="16"/>
        </w:rPr>
        <w:t xml:space="preserve"> Matlovičová et al. 2012 (qualified estimate to end of 2010)</w:t>
      </w:r>
    </w:p>
    <w:p w:rsidR="00C72148" w:rsidRPr="00301583" w:rsidRDefault="00C72148" w:rsidP="00C72148">
      <w:pPr>
        <w:rPr>
          <w:sz w:val="20"/>
        </w:rPr>
      </w:pPr>
    </w:p>
    <w:p w:rsidR="00295AF9" w:rsidRDefault="00350D91" w:rsidP="00295AF9">
      <w:pPr>
        <w:keepNext/>
      </w:pPr>
      <w:r>
        <w:rPr>
          <w:noProof/>
          <w:lang w:val="fi-FI" w:eastAsia="fi-FI"/>
        </w:rPr>
        <w:lastRenderedPageBreak/>
        <w:drawing>
          <wp:inline distT="0" distB="0" distL="0" distR="0" wp14:anchorId="1ED72970" wp14:editId="3F5D6A61">
            <wp:extent cx="4762500" cy="2600325"/>
            <wp:effectExtent l="19050" t="19050" r="19050" b="28575"/>
            <wp:docPr id="25" name="Kép 26" descr="C:\Users\Kati\Documents\Fő dokumentumok\Munkák 2013\ESPON\Szlovák esettanulmány\Gergő térképek\LAU1_Second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6" descr="C:\Users\Kati\Documents\Fő dokumentumok\Munkák 2013\ESPON\Szlovák esettanulmány\Gergő térképek\LAU1_SecondStudent.png"/>
                    <pic:cNvPicPr>
                      <a:picLocks noChangeAspect="1" noChangeArrowheads="1"/>
                    </pic:cNvPicPr>
                  </pic:nvPicPr>
                  <pic:blipFill rotWithShape="1">
                    <a:blip r:embed="rId48" cstate="print"/>
                    <a:srcRect l="2952" t="17714" r="4797" b="4286"/>
                    <a:stretch/>
                  </pic:blipFill>
                  <pic:spPr bwMode="auto">
                    <a:xfrm>
                      <a:off x="0" y="0"/>
                      <a:ext cx="4762500" cy="260032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FA59D2" w:rsidRDefault="00295AF9" w:rsidP="00295AF9">
      <w:pPr>
        <w:pStyle w:val="Caption"/>
      </w:pPr>
      <w:bookmarkStart w:id="155" w:name="_Ref392105666"/>
      <w:bookmarkStart w:id="156" w:name="_Toc392105266"/>
      <w:bookmarkStart w:id="157" w:name="_Toc398897963"/>
      <w:r>
        <w:t xml:space="preserve">Map </w:t>
      </w:r>
      <w:r>
        <w:fldChar w:fldCharType="begin"/>
      </w:r>
      <w:r>
        <w:instrText xml:space="preserve"> SEQ Map \* ARABIC </w:instrText>
      </w:r>
      <w:r>
        <w:fldChar w:fldCharType="separate"/>
      </w:r>
      <w:r w:rsidR="00DC6D66">
        <w:rPr>
          <w:noProof/>
        </w:rPr>
        <w:t>10</w:t>
      </w:r>
      <w:r>
        <w:fldChar w:fldCharType="end"/>
      </w:r>
      <w:bookmarkEnd w:id="155"/>
      <w:r>
        <w:t>: Ratio of secondary school students, 2011</w:t>
      </w:r>
      <w:bookmarkEnd w:id="156"/>
      <w:bookmarkEnd w:id="157"/>
    </w:p>
    <w:p w:rsidR="00C72148" w:rsidRPr="00FA59D2" w:rsidRDefault="00C72148" w:rsidP="00FA59D2">
      <w:pPr>
        <w:spacing w:after="240" w:line="240" w:lineRule="auto"/>
        <w:rPr>
          <w:sz w:val="16"/>
          <w:szCs w:val="16"/>
        </w:rPr>
      </w:pPr>
      <w:r w:rsidRPr="00FA59D2">
        <w:rPr>
          <w:b/>
          <w:sz w:val="16"/>
          <w:szCs w:val="16"/>
        </w:rPr>
        <w:t>Source:</w:t>
      </w:r>
      <w:r w:rsidRPr="00FA59D2">
        <w:rPr>
          <w:sz w:val="16"/>
          <w:szCs w:val="16"/>
        </w:rPr>
        <w:t xml:space="preserve"> 2011 Census, NSO of the Slovak Republic</w:t>
      </w:r>
    </w:p>
    <w:p w:rsidR="00C72148" w:rsidRPr="00301583" w:rsidRDefault="00A328CD" w:rsidP="00A328CD">
      <w:pPr>
        <w:tabs>
          <w:tab w:val="left" w:pos="1155"/>
        </w:tabs>
      </w:pPr>
      <w:r>
        <w:tab/>
      </w:r>
    </w:p>
    <w:p w:rsidR="008B4D58" w:rsidRDefault="00350D91" w:rsidP="008B4D58">
      <w:pPr>
        <w:keepNext/>
      </w:pPr>
      <w:r>
        <w:rPr>
          <w:noProof/>
          <w:lang w:val="fi-FI" w:eastAsia="fi-FI"/>
        </w:rPr>
        <w:drawing>
          <wp:inline distT="0" distB="0" distL="0" distR="0" wp14:anchorId="7DC6EA05" wp14:editId="530CB967">
            <wp:extent cx="4905375" cy="3000375"/>
            <wp:effectExtent l="19050" t="19050" r="28575" b="28575"/>
            <wp:docPr id="26" name="Kép 25" descr="C:\Users\Kati\Documents\Fő dokumentumok\Munkák 2013\ESPON\Szlovák esettanulmány\Gergő térképek\LAU1_Unemploy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5" descr="C:\Users\Kati\Documents\Fő dokumentumok\Munkák 2013\ESPON\Szlovák esettanulmány\Gergő térképek\LAU1_Unemployment.png"/>
                    <pic:cNvPicPr>
                      <a:picLocks noChangeAspect="1" noChangeArrowheads="1"/>
                    </pic:cNvPicPr>
                  </pic:nvPicPr>
                  <pic:blipFill rotWithShape="1">
                    <a:blip r:embed="rId49" cstate="print"/>
                    <a:srcRect l="2873" t="15736" r="4668" b="4316"/>
                    <a:stretch/>
                  </pic:blipFill>
                  <pic:spPr bwMode="auto">
                    <a:xfrm>
                      <a:off x="0" y="0"/>
                      <a:ext cx="4905375" cy="300037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A328CD" w:rsidRDefault="008B4D58" w:rsidP="008B4D58">
      <w:pPr>
        <w:pStyle w:val="Caption"/>
      </w:pPr>
      <w:bookmarkStart w:id="158" w:name="_Ref392106157"/>
      <w:bookmarkStart w:id="159" w:name="_Toc392105267"/>
      <w:bookmarkStart w:id="160" w:name="_Toc398897964"/>
      <w:r>
        <w:t xml:space="preserve">Map </w:t>
      </w:r>
      <w:r>
        <w:fldChar w:fldCharType="begin"/>
      </w:r>
      <w:r>
        <w:instrText xml:space="preserve"> SEQ Map \* ARABIC </w:instrText>
      </w:r>
      <w:r>
        <w:fldChar w:fldCharType="separate"/>
      </w:r>
      <w:r w:rsidR="00DC6D66">
        <w:rPr>
          <w:noProof/>
        </w:rPr>
        <w:t>11</w:t>
      </w:r>
      <w:r>
        <w:fldChar w:fldCharType="end"/>
      </w:r>
      <w:bookmarkEnd w:id="158"/>
      <w:r>
        <w:t>: Unemployment rate, 2011</w:t>
      </w:r>
      <w:bookmarkEnd w:id="159"/>
      <w:bookmarkEnd w:id="160"/>
    </w:p>
    <w:p w:rsidR="00C72148" w:rsidRPr="00A328CD" w:rsidRDefault="00C72148" w:rsidP="00A328CD">
      <w:pPr>
        <w:spacing w:after="240" w:line="240" w:lineRule="auto"/>
        <w:rPr>
          <w:sz w:val="16"/>
          <w:szCs w:val="16"/>
        </w:rPr>
      </w:pPr>
      <w:r w:rsidRPr="00A328CD">
        <w:rPr>
          <w:sz w:val="16"/>
          <w:szCs w:val="16"/>
        </w:rPr>
        <w:t>Source: 2011 Census, NSO</w:t>
      </w:r>
      <w:r w:rsidR="00BB6F24" w:rsidRPr="00A328CD">
        <w:rPr>
          <w:sz w:val="16"/>
          <w:szCs w:val="16"/>
        </w:rPr>
        <w:t>of the Slovak Republic</w:t>
      </w:r>
    </w:p>
    <w:p w:rsidR="00C72148" w:rsidRPr="00301583" w:rsidRDefault="00C72148" w:rsidP="00C72148"/>
    <w:p w:rsidR="00E92ABF" w:rsidRDefault="00E92ABF" w:rsidP="00E92ABF">
      <w:pPr>
        <w:spacing w:after="120"/>
        <w:rPr>
          <w:b/>
        </w:rPr>
        <w:sectPr w:rsidR="00E92ABF" w:rsidSect="00DB66E0">
          <w:pgSz w:w="11907" w:h="16840" w:code="9"/>
          <w:pgMar w:top="1440" w:right="1797" w:bottom="1440" w:left="1797" w:header="709" w:footer="709" w:gutter="0"/>
          <w:pgNumType w:start="36"/>
          <w:cols w:space="708"/>
          <w:docGrid w:linePitch="360"/>
        </w:sectPr>
      </w:pPr>
    </w:p>
    <w:p w:rsidR="00641B08" w:rsidRPr="00E92ABF" w:rsidRDefault="00641B08" w:rsidP="00E92ABF">
      <w:pPr>
        <w:spacing w:after="120"/>
        <w:rPr>
          <w:b/>
        </w:rPr>
      </w:pPr>
      <w:bookmarkStart w:id="161" w:name="_Ref392508346"/>
      <w:bookmarkStart w:id="162" w:name="_Toc385939086"/>
      <w:bookmarkStart w:id="163" w:name="_Toc392509042"/>
      <w:r w:rsidRPr="00641B08">
        <w:rPr>
          <w:b/>
        </w:rPr>
        <w:lastRenderedPageBreak/>
        <w:t xml:space="preserve">Table </w:t>
      </w:r>
      <w:r w:rsidRPr="00641B08">
        <w:rPr>
          <w:b/>
        </w:rPr>
        <w:fldChar w:fldCharType="begin"/>
      </w:r>
      <w:r w:rsidRPr="00641B08">
        <w:rPr>
          <w:b/>
        </w:rPr>
        <w:instrText xml:space="preserve"> SEQ Table \* ARABIC </w:instrText>
      </w:r>
      <w:r w:rsidRPr="00641B08">
        <w:rPr>
          <w:b/>
        </w:rPr>
        <w:fldChar w:fldCharType="separate"/>
      </w:r>
      <w:r w:rsidR="00DC6D66">
        <w:rPr>
          <w:b/>
          <w:noProof/>
        </w:rPr>
        <w:t>13</w:t>
      </w:r>
      <w:r w:rsidRPr="00641B08">
        <w:rPr>
          <w:b/>
        </w:rPr>
        <w:fldChar w:fldCharType="end"/>
      </w:r>
      <w:bookmarkEnd w:id="161"/>
      <w:r w:rsidRPr="00641B08">
        <w:rPr>
          <w:b/>
        </w:rPr>
        <w:t>: Estimated rate of Romany population</w:t>
      </w:r>
      <w:r w:rsidR="00E92ABF">
        <w:rPr>
          <w:rStyle w:val="FootnoteReference"/>
          <w:b/>
        </w:rPr>
        <w:footnoteReference w:id="20"/>
      </w:r>
      <w:bookmarkEnd w:id="162"/>
      <w:bookmarkEnd w:id="163"/>
    </w:p>
    <w:tbl>
      <w:tblPr>
        <w:tblW w:w="13623" w:type="dxa"/>
        <w:tblInd w:w="93" w:type="dxa"/>
        <w:tblLook w:val="04A0" w:firstRow="1" w:lastRow="0" w:firstColumn="1" w:lastColumn="0" w:noHBand="0" w:noVBand="1"/>
      </w:tblPr>
      <w:tblGrid>
        <w:gridCol w:w="2000"/>
        <w:gridCol w:w="1984"/>
        <w:gridCol w:w="2268"/>
        <w:gridCol w:w="2268"/>
        <w:gridCol w:w="2694"/>
        <w:gridCol w:w="2409"/>
      </w:tblGrid>
      <w:tr w:rsidR="00E92ABF" w:rsidRPr="00A328CD" w:rsidTr="00E92ABF">
        <w:trPr>
          <w:trHeight w:val="1104"/>
        </w:trPr>
        <w:tc>
          <w:tcPr>
            <w:tcW w:w="2000" w:type="dxa"/>
            <w:tcBorders>
              <w:top w:val="single" w:sz="4" w:space="0" w:color="auto"/>
              <w:left w:val="single" w:sz="4" w:space="0" w:color="auto"/>
              <w:bottom w:val="single" w:sz="18" w:space="0" w:color="auto"/>
              <w:right w:val="single" w:sz="4" w:space="0" w:color="auto"/>
            </w:tcBorders>
            <w:shd w:val="clear" w:color="auto" w:fill="auto"/>
            <w:vAlign w:val="center"/>
            <w:hideMark/>
          </w:tcPr>
          <w:p w:rsidR="00016B5F" w:rsidRPr="00A328CD" w:rsidRDefault="00016B5F" w:rsidP="00A328CD">
            <w:pPr>
              <w:spacing w:before="20" w:after="20" w:line="240" w:lineRule="auto"/>
              <w:rPr>
                <w:rFonts w:cs="Arial"/>
                <w:b/>
                <w:bCs/>
                <w:sz w:val="19"/>
                <w:szCs w:val="19"/>
                <w:lang w:eastAsia="en-GB"/>
              </w:rPr>
            </w:pPr>
            <w:r w:rsidRPr="00A328CD">
              <w:rPr>
                <w:rFonts w:cs="Arial"/>
                <w:b/>
                <w:bCs/>
                <w:sz w:val="19"/>
                <w:szCs w:val="19"/>
                <w:lang w:eastAsia="en-GB"/>
              </w:rPr>
              <w:t>Okres</w:t>
            </w:r>
          </w:p>
        </w:tc>
        <w:tc>
          <w:tcPr>
            <w:tcW w:w="1984" w:type="dxa"/>
            <w:tcBorders>
              <w:top w:val="single" w:sz="4" w:space="0" w:color="auto"/>
              <w:left w:val="nil"/>
              <w:bottom w:val="single" w:sz="18" w:space="0" w:color="auto"/>
              <w:right w:val="single" w:sz="4" w:space="0" w:color="auto"/>
            </w:tcBorders>
            <w:shd w:val="clear" w:color="auto" w:fill="auto"/>
            <w:vAlign w:val="center"/>
            <w:hideMark/>
          </w:tcPr>
          <w:p w:rsidR="00016B5F" w:rsidRPr="00A328CD" w:rsidRDefault="00016B5F" w:rsidP="00A328CD">
            <w:pPr>
              <w:spacing w:before="20" w:after="20" w:line="240" w:lineRule="auto"/>
              <w:rPr>
                <w:rFonts w:cs="Arial"/>
                <w:b/>
                <w:bCs/>
                <w:sz w:val="19"/>
                <w:szCs w:val="19"/>
                <w:lang w:eastAsia="en-GB"/>
              </w:rPr>
            </w:pPr>
            <w:r w:rsidRPr="00A328CD">
              <w:rPr>
                <w:rFonts w:cs="Arial"/>
                <w:b/>
                <w:bCs/>
                <w:sz w:val="19"/>
                <w:szCs w:val="19"/>
                <w:lang w:eastAsia="en-GB"/>
              </w:rPr>
              <w:t>Kraj</w:t>
            </w:r>
          </w:p>
        </w:tc>
        <w:tc>
          <w:tcPr>
            <w:tcW w:w="2268" w:type="dxa"/>
            <w:tcBorders>
              <w:top w:val="single" w:sz="4" w:space="0" w:color="auto"/>
              <w:left w:val="nil"/>
              <w:bottom w:val="single" w:sz="18" w:space="0" w:color="auto"/>
              <w:right w:val="single" w:sz="4" w:space="0" w:color="auto"/>
            </w:tcBorders>
            <w:shd w:val="clear" w:color="auto" w:fill="auto"/>
            <w:vAlign w:val="center"/>
            <w:hideMark/>
          </w:tcPr>
          <w:p w:rsidR="00016B5F" w:rsidRPr="00A328CD" w:rsidRDefault="00016B5F" w:rsidP="00E92ABF">
            <w:pPr>
              <w:spacing w:before="20" w:after="20" w:line="240" w:lineRule="auto"/>
              <w:jc w:val="center"/>
              <w:rPr>
                <w:rFonts w:cs="Arial"/>
                <w:b/>
                <w:bCs/>
                <w:sz w:val="19"/>
                <w:szCs w:val="19"/>
                <w:lang w:eastAsia="en-GB"/>
              </w:rPr>
            </w:pPr>
            <w:r w:rsidRPr="00A328CD">
              <w:rPr>
                <w:rFonts w:cs="Arial"/>
                <w:b/>
                <w:bCs/>
                <w:sz w:val="19"/>
                <w:szCs w:val="19"/>
                <w:lang w:eastAsia="en-GB"/>
              </w:rPr>
              <w:t>Population 2011</w:t>
            </w:r>
            <w:r w:rsidR="00E92ABF">
              <w:rPr>
                <w:rFonts w:cs="Arial"/>
                <w:b/>
                <w:bCs/>
                <w:sz w:val="19"/>
                <w:szCs w:val="19"/>
                <w:lang w:eastAsia="en-GB"/>
              </w:rPr>
              <w:t xml:space="preserve">             </w:t>
            </w:r>
            <w:r w:rsidRPr="00A328CD">
              <w:rPr>
                <w:rFonts w:cs="Arial"/>
                <w:b/>
                <w:bCs/>
                <w:sz w:val="19"/>
                <w:szCs w:val="19"/>
                <w:lang w:eastAsia="en-GB"/>
              </w:rPr>
              <w:t>(Census)</w:t>
            </w:r>
            <w:r w:rsidR="00E92ABF">
              <w:rPr>
                <w:rFonts w:cs="Arial"/>
                <w:b/>
                <w:bCs/>
                <w:sz w:val="19"/>
                <w:szCs w:val="19"/>
                <w:lang w:eastAsia="en-GB"/>
              </w:rPr>
              <w:t xml:space="preserve"> </w:t>
            </w:r>
            <w:r w:rsidRPr="00A328CD">
              <w:rPr>
                <w:rFonts w:cs="Arial"/>
                <w:b/>
                <w:bCs/>
                <w:sz w:val="19"/>
                <w:szCs w:val="19"/>
                <w:lang w:eastAsia="en-GB"/>
              </w:rPr>
              <w:t>(headcount)</w:t>
            </w:r>
          </w:p>
        </w:tc>
        <w:tc>
          <w:tcPr>
            <w:tcW w:w="2268" w:type="dxa"/>
            <w:tcBorders>
              <w:top w:val="single" w:sz="4" w:space="0" w:color="auto"/>
              <w:left w:val="nil"/>
              <w:bottom w:val="single" w:sz="18" w:space="0" w:color="auto"/>
              <w:right w:val="single" w:sz="4" w:space="0" w:color="auto"/>
            </w:tcBorders>
            <w:shd w:val="clear" w:color="auto" w:fill="auto"/>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Roma population, estimated (headcount)</w:t>
            </w:r>
          </w:p>
        </w:tc>
        <w:tc>
          <w:tcPr>
            <w:tcW w:w="2694" w:type="dxa"/>
            <w:tcBorders>
              <w:top w:val="single" w:sz="4" w:space="0" w:color="auto"/>
              <w:left w:val="nil"/>
              <w:bottom w:val="single" w:sz="18" w:space="0" w:color="auto"/>
              <w:right w:val="single" w:sz="4" w:space="0" w:color="auto"/>
            </w:tcBorders>
            <w:shd w:val="clear" w:color="auto" w:fill="auto"/>
            <w:vAlign w:val="center"/>
            <w:hideMark/>
          </w:tcPr>
          <w:p w:rsidR="00016B5F" w:rsidRPr="00A328CD" w:rsidRDefault="002F7B68" w:rsidP="00A328CD">
            <w:pPr>
              <w:spacing w:before="20" w:after="20" w:line="240" w:lineRule="auto"/>
              <w:jc w:val="center"/>
              <w:rPr>
                <w:rFonts w:cs="Arial"/>
                <w:b/>
                <w:bCs/>
                <w:sz w:val="19"/>
                <w:szCs w:val="19"/>
                <w:lang w:eastAsia="en-GB"/>
              </w:rPr>
            </w:pPr>
            <w:r w:rsidRPr="00A328CD">
              <w:rPr>
                <w:rFonts w:cs="Arial"/>
                <w:b/>
                <w:bCs/>
                <w:sz w:val="19"/>
                <w:szCs w:val="19"/>
                <w:lang w:eastAsia="en-GB"/>
              </w:rPr>
              <w:t>Estimated r</w:t>
            </w:r>
            <w:r w:rsidR="00016B5F" w:rsidRPr="00A328CD">
              <w:rPr>
                <w:rFonts w:cs="Arial"/>
                <w:b/>
                <w:bCs/>
                <w:sz w:val="19"/>
                <w:szCs w:val="19"/>
                <w:lang w:eastAsia="en-GB"/>
              </w:rPr>
              <w:t>ate of Romany population (%)</w:t>
            </w:r>
          </w:p>
        </w:tc>
        <w:tc>
          <w:tcPr>
            <w:tcW w:w="2409" w:type="dxa"/>
            <w:tcBorders>
              <w:top w:val="single" w:sz="4" w:space="0" w:color="auto"/>
              <w:left w:val="nil"/>
              <w:bottom w:val="single" w:sz="18" w:space="0" w:color="auto"/>
              <w:right w:val="single" w:sz="4" w:space="0" w:color="auto"/>
            </w:tcBorders>
            <w:shd w:val="clear" w:color="auto" w:fill="auto"/>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Distribution of Romany population (%)</w:t>
            </w:r>
          </w:p>
        </w:tc>
      </w:tr>
      <w:tr w:rsidR="00E92ABF" w:rsidRPr="00A328CD" w:rsidTr="00E92ABF">
        <w:trPr>
          <w:trHeight w:val="312"/>
        </w:trPr>
        <w:tc>
          <w:tcPr>
            <w:tcW w:w="2000" w:type="dxa"/>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Lucenec</w:t>
            </w:r>
          </w:p>
        </w:tc>
        <w:tc>
          <w:tcPr>
            <w:tcW w:w="1984"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Banská Bystrica</w:t>
            </w:r>
          </w:p>
        </w:tc>
        <w:tc>
          <w:tcPr>
            <w:tcW w:w="226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74861</w:t>
            </w:r>
          </w:p>
        </w:tc>
        <w:tc>
          <w:tcPr>
            <w:tcW w:w="226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11469</w:t>
            </w:r>
          </w:p>
        </w:tc>
        <w:tc>
          <w:tcPr>
            <w:tcW w:w="2694"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15%</w:t>
            </w:r>
          </w:p>
        </w:tc>
        <w:tc>
          <w:tcPr>
            <w:tcW w:w="24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3%</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Revúca</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Banská Bystrica</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40400</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9769</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24%</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3%</w:t>
            </w:r>
          </w:p>
        </w:tc>
      </w:tr>
      <w:tr w:rsidR="00E92ABF" w:rsidRPr="00A328CD" w:rsidTr="00E92ABF">
        <w:trPr>
          <w:trHeight w:val="312"/>
        </w:trPr>
        <w:tc>
          <w:tcPr>
            <w:tcW w:w="2000" w:type="dxa"/>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rPr>
                <w:rFonts w:cs="Arial"/>
                <w:i/>
                <w:sz w:val="19"/>
                <w:szCs w:val="19"/>
                <w:lang w:eastAsia="en-GB"/>
              </w:rPr>
            </w:pPr>
            <w:r w:rsidRPr="00A328CD">
              <w:rPr>
                <w:rFonts w:cs="Arial"/>
                <w:i/>
                <w:sz w:val="19"/>
                <w:szCs w:val="19"/>
                <w:lang w:eastAsia="en-GB"/>
              </w:rPr>
              <w:t>Rimavská Sobota</w:t>
            </w:r>
          </w:p>
        </w:tc>
        <w:tc>
          <w:tcPr>
            <w:tcW w:w="1984"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C27D13" w:rsidP="00A328CD">
            <w:pPr>
              <w:spacing w:before="20" w:after="20" w:line="240" w:lineRule="auto"/>
              <w:rPr>
                <w:rFonts w:cs="Arial"/>
                <w:i/>
                <w:sz w:val="19"/>
                <w:szCs w:val="19"/>
                <w:lang w:eastAsia="en-GB"/>
              </w:rPr>
            </w:pPr>
            <w:r w:rsidRPr="00A328CD">
              <w:rPr>
                <w:rFonts w:cs="Arial"/>
                <w:i/>
                <w:sz w:val="19"/>
                <w:szCs w:val="19"/>
                <w:lang w:eastAsia="en-GB"/>
              </w:rPr>
              <w:t>Banská Bystrica</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i/>
                <w:sz w:val="19"/>
                <w:szCs w:val="19"/>
                <w:lang w:eastAsia="en-GB"/>
              </w:rPr>
            </w:pPr>
            <w:r w:rsidRPr="00A328CD">
              <w:rPr>
                <w:rFonts w:cs="Arial"/>
                <w:i/>
                <w:sz w:val="19"/>
                <w:szCs w:val="19"/>
                <w:lang w:eastAsia="en-GB"/>
              </w:rPr>
              <w:t>84889</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i/>
                <w:sz w:val="19"/>
                <w:szCs w:val="19"/>
                <w:lang w:eastAsia="en-GB"/>
              </w:rPr>
            </w:pPr>
            <w:r w:rsidRPr="00A328CD">
              <w:rPr>
                <w:rFonts w:cs="Arial"/>
                <w:i/>
                <w:sz w:val="19"/>
                <w:szCs w:val="19"/>
                <w:lang w:eastAsia="en-GB"/>
              </w:rPr>
              <w:t>21431</w:t>
            </w:r>
          </w:p>
        </w:tc>
        <w:tc>
          <w:tcPr>
            <w:tcW w:w="2694"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i/>
                <w:sz w:val="19"/>
                <w:szCs w:val="19"/>
                <w:lang w:eastAsia="en-GB"/>
              </w:rPr>
            </w:pPr>
            <w:r w:rsidRPr="00A328CD">
              <w:rPr>
                <w:rFonts w:cs="Arial"/>
                <w:i/>
                <w:sz w:val="19"/>
                <w:szCs w:val="19"/>
                <w:lang w:eastAsia="en-GB"/>
              </w:rPr>
              <w:t>25%</w:t>
            </w:r>
          </w:p>
        </w:tc>
        <w:tc>
          <w:tcPr>
            <w:tcW w:w="2409"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i/>
                <w:sz w:val="19"/>
                <w:szCs w:val="19"/>
                <w:lang w:eastAsia="en-GB"/>
              </w:rPr>
            </w:pPr>
            <w:r w:rsidRPr="00A328CD">
              <w:rPr>
                <w:rFonts w:cs="Arial"/>
                <w:i/>
                <w:sz w:val="19"/>
                <w:szCs w:val="19"/>
                <w:lang w:eastAsia="en-GB"/>
              </w:rPr>
              <w:t>6%</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Veľký Krtíš</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Banská Bystrica</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45562</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4197</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w:t>
            </w:r>
          </w:p>
        </w:tc>
      </w:tr>
      <w:tr w:rsidR="00E92ABF" w:rsidRPr="00A328CD" w:rsidTr="00E92ABF">
        <w:trPr>
          <w:trHeight w:val="312"/>
        </w:trPr>
        <w:tc>
          <w:tcPr>
            <w:tcW w:w="3984" w:type="dxa"/>
            <w:gridSpan w:val="2"/>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C27D13" w:rsidP="00A328CD">
            <w:pPr>
              <w:spacing w:before="20" w:after="20" w:line="240" w:lineRule="auto"/>
              <w:rPr>
                <w:rFonts w:cs="Arial"/>
                <w:b/>
                <w:bCs/>
                <w:i/>
                <w:sz w:val="19"/>
                <w:szCs w:val="19"/>
                <w:lang w:eastAsia="en-GB"/>
              </w:rPr>
            </w:pPr>
            <w:r w:rsidRPr="00A328CD">
              <w:rPr>
                <w:rFonts w:cs="Arial"/>
                <w:b/>
                <w:bCs/>
                <w:i/>
                <w:sz w:val="19"/>
                <w:szCs w:val="19"/>
                <w:lang w:eastAsia="en-GB"/>
              </w:rPr>
              <w:t>Banská Bystrica</w:t>
            </w:r>
          </w:p>
        </w:tc>
        <w:tc>
          <w:tcPr>
            <w:tcW w:w="2268" w:type="dxa"/>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i/>
                <w:sz w:val="19"/>
                <w:szCs w:val="19"/>
                <w:lang w:eastAsia="en-GB"/>
              </w:rPr>
            </w:pPr>
            <w:r w:rsidRPr="00A328CD">
              <w:rPr>
                <w:rFonts w:cs="Arial"/>
                <w:b/>
                <w:bCs/>
                <w:i/>
                <w:sz w:val="19"/>
                <w:szCs w:val="19"/>
                <w:lang w:eastAsia="en-GB"/>
              </w:rPr>
              <w:t>245712</w:t>
            </w:r>
          </w:p>
        </w:tc>
        <w:tc>
          <w:tcPr>
            <w:tcW w:w="2268" w:type="dxa"/>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i/>
                <w:sz w:val="19"/>
                <w:szCs w:val="19"/>
                <w:lang w:eastAsia="en-GB"/>
              </w:rPr>
            </w:pPr>
            <w:r w:rsidRPr="00A328CD">
              <w:rPr>
                <w:rFonts w:cs="Arial"/>
                <w:b/>
                <w:bCs/>
                <w:i/>
                <w:sz w:val="19"/>
                <w:szCs w:val="19"/>
                <w:lang w:eastAsia="en-GB"/>
              </w:rPr>
              <w:t>46866</w:t>
            </w:r>
          </w:p>
        </w:tc>
        <w:tc>
          <w:tcPr>
            <w:tcW w:w="2694" w:type="dxa"/>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i/>
                <w:sz w:val="19"/>
                <w:szCs w:val="19"/>
                <w:lang w:eastAsia="en-GB"/>
              </w:rPr>
            </w:pPr>
            <w:r w:rsidRPr="00A328CD">
              <w:rPr>
                <w:rFonts w:cs="Arial"/>
                <w:b/>
                <w:bCs/>
                <w:i/>
                <w:sz w:val="19"/>
                <w:szCs w:val="19"/>
                <w:lang w:eastAsia="en-GB"/>
              </w:rPr>
              <w:t>19%</w:t>
            </w:r>
          </w:p>
        </w:tc>
        <w:tc>
          <w:tcPr>
            <w:tcW w:w="2409" w:type="dxa"/>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i/>
                <w:sz w:val="19"/>
                <w:szCs w:val="19"/>
                <w:lang w:eastAsia="en-GB"/>
              </w:rPr>
            </w:pPr>
            <w:r w:rsidRPr="00A328CD">
              <w:rPr>
                <w:rFonts w:cs="Arial"/>
                <w:b/>
                <w:bCs/>
                <w:i/>
                <w:sz w:val="19"/>
                <w:szCs w:val="19"/>
                <w:lang w:eastAsia="en-GB"/>
              </w:rPr>
              <w:t>13%</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Bratislava (I-V.)</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Bratislava</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411228</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10028</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3%</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Kežmarok</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Bratislava</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70487</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17102</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24%</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Senec</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Bratislava</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66265</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557</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0%</w:t>
            </w:r>
          </w:p>
        </w:tc>
      </w:tr>
      <w:tr w:rsidR="00E92ABF" w:rsidRPr="00A328CD" w:rsidTr="00E92ABF">
        <w:trPr>
          <w:trHeight w:val="312"/>
        </w:trPr>
        <w:tc>
          <w:tcPr>
            <w:tcW w:w="3984" w:type="dxa"/>
            <w:gridSpan w:val="2"/>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C27D13" w:rsidP="00A328CD">
            <w:pPr>
              <w:spacing w:before="20" w:after="20" w:line="240" w:lineRule="auto"/>
              <w:rPr>
                <w:rFonts w:cs="Arial"/>
                <w:b/>
                <w:bCs/>
                <w:sz w:val="19"/>
                <w:szCs w:val="19"/>
                <w:lang w:eastAsia="en-GB"/>
              </w:rPr>
            </w:pPr>
            <w:r w:rsidRPr="00A328CD">
              <w:rPr>
                <w:rFonts w:cs="Arial"/>
                <w:b/>
                <w:bCs/>
                <w:sz w:val="19"/>
                <w:szCs w:val="19"/>
                <w:lang w:eastAsia="en-GB"/>
              </w:rPr>
              <w:t>Bratislava</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547980</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27687</w:t>
            </w:r>
          </w:p>
        </w:tc>
        <w:tc>
          <w:tcPr>
            <w:tcW w:w="2694"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5%</w:t>
            </w:r>
          </w:p>
        </w:tc>
        <w:tc>
          <w:tcPr>
            <w:tcW w:w="2409"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8%</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Košice I-IV.</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Košice</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240433</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22284</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Košice – okolie</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Košice</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119227</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22922</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19%</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Michalovce</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Košice</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110842</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17756</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16%</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Rožňava</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Košice</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63351</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12978</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20%</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Spišská Nová Ves</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Košice</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97593</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19036</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20%</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Trebišov</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Košice</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106072</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17234</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16%</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r>
      <w:tr w:rsidR="00E92ABF" w:rsidRPr="00A328CD" w:rsidTr="00E92ABF">
        <w:trPr>
          <w:trHeight w:val="312"/>
        </w:trPr>
        <w:tc>
          <w:tcPr>
            <w:tcW w:w="39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b/>
                <w:bCs/>
                <w:sz w:val="19"/>
                <w:szCs w:val="19"/>
                <w:lang w:eastAsia="en-GB"/>
              </w:rPr>
            </w:pPr>
            <w:r w:rsidRPr="00A328CD">
              <w:rPr>
                <w:rFonts w:cs="Arial"/>
                <w:b/>
                <w:bCs/>
                <w:sz w:val="19"/>
                <w:szCs w:val="19"/>
                <w:lang w:eastAsia="en-GB"/>
              </w:rPr>
              <w:t>Košice</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737518</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112210</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15%</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32%</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Komárno</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Nitra</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103995</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6634</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Levice</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Nitra</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115367</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8008</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7%</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lastRenderedPageBreak/>
              <w:t>Nitra</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Nitra</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159143</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4744</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3%</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Nové Zámky</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Nitra</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144417</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6675</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Šaľa</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Nitra</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53286</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2864</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w:t>
            </w:r>
          </w:p>
        </w:tc>
      </w:tr>
      <w:tr w:rsidR="00E92ABF" w:rsidRPr="00A328CD" w:rsidTr="00E92ABF">
        <w:trPr>
          <w:trHeight w:val="312"/>
        </w:trPr>
        <w:tc>
          <w:tcPr>
            <w:tcW w:w="39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b/>
                <w:bCs/>
                <w:sz w:val="19"/>
                <w:szCs w:val="19"/>
                <w:lang w:eastAsia="en-GB"/>
              </w:rPr>
            </w:pPr>
            <w:r w:rsidRPr="00A328CD">
              <w:rPr>
                <w:rFonts w:cs="Arial"/>
                <w:b/>
                <w:bCs/>
                <w:sz w:val="19"/>
                <w:szCs w:val="19"/>
                <w:lang w:eastAsia="en-GB"/>
              </w:rPr>
              <w:t>Nitra</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576208</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28925</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5%</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8%</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Dunajská Streda</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Trnava</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116492</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6719</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6%</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2%</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Galanta</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Trnava</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93594</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4639</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w:t>
            </w:r>
          </w:p>
        </w:tc>
      </w:tr>
      <w:tr w:rsidR="00E92ABF" w:rsidRPr="00A328CD" w:rsidTr="00E92ABF">
        <w:trPr>
          <w:trHeight w:val="312"/>
        </w:trPr>
        <w:tc>
          <w:tcPr>
            <w:tcW w:w="3984" w:type="dxa"/>
            <w:gridSpan w:val="2"/>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C27D13" w:rsidP="00A328CD">
            <w:pPr>
              <w:spacing w:before="20" w:after="20" w:line="240" w:lineRule="auto"/>
              <w:rPr>
                <w:rFonts w:cs="Arial"/>
                <w:b/>
                <w:bCs/>
                <w:sz w:val="19"/>
                <w:szCs w:val="19"/>
                <w:lang w:eastAsia="en-GB"/>
              </w:rPr>
            </w:pPr>
            <w:r w:rsidRPr="00A328CD">
              <w:rPr>
                <w:rFonts w:cs="Arial"/>
                <w:b/>
                <w:bCs/>
                <w:sz w:val="19"/>
                <w:szCs w:val="19"/>
                <w:lang w:eastAsia="en-GB"/>
              </w:rPr>
              <w:t>Trnava</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210086</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11358</w:t>
            </w:r>
          </w:p>
        </w:tc>
        <w:tc>
          <w:tcPr>
            <w:tcW w:w="2694"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5%</w:t>
            </w:r>
          </w:p>
        </w:tc>
        <w:tc>
          <w:tcPr>
            <w:tcW w:w="2409"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3%</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 xml:space="preserve"> Prešov</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Prešov</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169423</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16226</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10%</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Vranov nad Topľou</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Prešov</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79702</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14588</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18%</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4%</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Sabinov</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Prešov</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57820</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10696</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18%</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3%</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Poprad</w:t>
            </w:r>
          </w:p>
        </w:tc>
        <w:tc>
          <w:tcPr>
            <w:tcW w:w="198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Prešov</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103914</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9424</w:t>
            </w:r>
          </w:p>
        </w:tc>
        <w:tc>
          <w:tcPr>
            <w:tcW w:w="2694"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w:t>
            </w:r>
          </w:p>
        </w:tc>
        <w:tc>
          <w:tcPr>
            <w:tcW w:w="2409"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3%</w:t>
            </w:r>
          </w:p>
        </w:tc>
      </w:tr>
      <w:tr w:rsidR="00E92ABF" w:rsidRPr="00A328CD" w:rsidTr="00E92ABF">
        <w:trPr>
          <w:trHeight w:val="312"/>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rPr>
                <w:rFonts w:cs="Arial"/>
                <w:sz w:val="19"/>
                <w:szCs w:val="19"/>
                <w:lang w:eastAsia="en-GB"/>
              </w:rPr>
            </w:pPr>
            <w:r w:rsidRPr="00A328CD">
              <w:rPr>
                <w:rFonts w:cs="Arial"/>
                <w:sz w:val="19"/>
                <w:szCs w:val="19"/>
                <w:lang w:eastAsia="en-GB"/>
              </w:rPr>
              <w:t>Bardejov</w:t>
            </w:r>
          </w:p>
        </w:tc>
        <w:tc>
          <w:tcPr>
            <w:tcW w:w="1984" w:type="dxa"/>
            <w:tcBorders>
              <w:top w:val="nil"/>
              <w:left w:val="nil"/>
              <w:bottom w:val="single" w:sz="4" w:space="0" w:color="auto"/>
              <w:right w:val="single" w:sz="4" w:space="0" w:color="auto"/>
            </w:tcBorders>
            <w:shd w:val="clear" w:color="auto" w:fill="auto"/>
            <w:noWrap/>
            <w:vAlign w:val="center"/>
            <w:hideMark/>
          </w:tcPr>
          <w:p w:rsidR="00016B5F" w:rsidRPr="00A328CD" w:rsidRDefault="00C27D13" w:rsidP="00A328CD">
            <w:pPr>
              <w:spacing w:before="20" w:after="20" w:line="240" w:lineRule="auto"/>
              <w:rPr>
                <w:rFonts w:cs="Arial"/>
                <w:sz w:val="19"/>
                <w:szCs w:val="19"/>
                <w:lang w:eastAsia="en-GB"/>
              </w:rPr>
            </w:pPr>
            <w:r w:rsidRPr="00A328CD">
              <w:rPr>
                <w:rFonts w:cs="Arial"/>
                <w:sz w:val="19"/>
                <w:szCs w:val="19"/>
                <w:lang w:eastAsia="en-GB"/>
              </w:rPr>
              <w:t>Prešov</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77859</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9038</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12%</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sz w:val="19"/>
                <w:szCs w:val="19"/>
                <w:lang w:eastAsia="en-GB"/>
              </w:rPr>
            </w:pPr>
            <w:r w:rsidRPr="00A328CD">
              <w:rPr>
                <w:rFonts w:cs="Arial"/>
                <w:sz w:val="19"/>
                <w:szCs w:val="19"/>
                <w:lang w:eastAsia="en-GB"/>
              </w:rPr>
              <w:t>3%</w:t>
            </w:r>
          </w:p>
        </w:tc>
      </w:tr>
      <w:tr w:rsidR="00E92ABF" w:rsidRPr="00A328CD" w:rsidTr="00E92ABF">
        <w:trPr>
          <w:trHeight w:val="312"/>
        </w:trPr>
        <w:tc>
          <w:tcPr>
            <w:tcW w:w="3984" w:type="dxa"/>
            <w:gridSpan w:val="2"/>
            <w:tcBorders>
              <w:top w:val="single" w:sz="4" w:space="0" w:color="auto"/>
              <w:left w:val="single" w:sz="4" w:space="0" w:color="auto"/>
              <w:bottom w:val="single" w:sz="4" w:space="0" w:color="auto"/>
              <w:right w:val="single" w:sz="4" w:space="0" w:color="auto"/>
            </w:tcBorders>
            <w:shd w:val="pct15" w:color="000000" w:fill="FFFFFF" w:themeFill="background1"/>
            <w:noWrap/>
            <w:vAlign w:val="center"/>
            <w:hideMark/>
          </w:tcPr>
          <w:p w:rsidR="00016B5F" w:rsidRPr="00A328CD" w:rsidRDefault="00C27D13" w:rsidP="00A328CD">
            <w:pPr>
              <w:spacing w:before="20" w:after="20" w:line="240" w:lineRule="auto"/>
              <w:rPr>
                <w:rFonts w:cs="Arial"/>
                <w:b/>
                <w:bCs/>
                <w:sz w:val="19"/>
                <w:szCs w:val="19"/>
                <w:lang w:eastAsia="en-GB"/>
              </w:rPr>
            </w:pPr>
            <w:r w:rsidRPr="00A328CD">
              <w:rPr>
                <w:rFonts w:cs="Arial"/>
                <w:b/>
                <w:bCs/>
                <w:sz w:val="19"/>
                <w:szCs w:val="19"/>
                <w:lang w:eastAsia="en-GB"/>
              </w:rPr>
              <w:t>Prešov</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488718</w:t>
            </w:r>
          </w:p>
        </w:tc>
        <w:tc>
          <w:tcPr>
            <w:tcW w:w="2268"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59972</w:t>
            </w:r>
          </w:p>
        </w:tc>
        <w:tc>
          <w:tcPr>
            <w:tcW w:w="2694"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12%</w:t>
            </w:r>
          </w:p>
        </w:tc>
        <w:tc>
          <w:tcPr>
            <w:tcW w:w="2409" w:type="dxa"/>
            <w:tcBorders>
              <w:top w:val="single" w:sz="4" w:space="0" w:color="auto"/>
              <w:left w:val="nil"/>
              <w:bottom w:val="single" w:sz="4" w:space="0" w:color="auto"/>
              <w:right w:val="single" w:sz="4" w:space="0" w:color="auto"/>
            </w:tcBorders>
            <w:shd w:val="pct15" w:color="000000" w:fill="FFFFFF" w:themeFill="background1"/>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17%</w:t>
            </w:r>
          </w:p>
        </w:tc>
      </w:tr>
      <w:tr w:rsidR="00E92ABF" w:rsidRPr="00A328CD" w:rsidTr="00E92ABF">
        <w:trPr>
          <w:trHeight w:val="312"/>
        </w:trPr>
        <w:tc>
          <w:tcPr>
            <w:tcW w:w="398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16B5F" w:rsidRPr="00A328CD" w:rsidRDefault="00016B5F" w:rsidP="00A328CD">
            <w:pPr>
              <w:spacing w:before="20" w:after="20" w:line="240" w:lineRule="auto"/>
              <w:rPr>
                <w:rFonts w:cs="Arial"/>
                <w:b/>
                <w:bCs/>
                <w:sz w:val="19"/>
                <w:szCs w:val="19"/>
                <w:lang w:eastAsia="en-GB"/>
              </w:rPr>
            </w:pPr>
            <w:r w:rsidRPr="00A328CD">
              <w:rPr>
                <w:rFonts w:cs="Arial"/>
                <w:b/>
                <w:bCs/>
                <w:sz w:val="19"/>
                <w:szCs w:val="19"/>
                <w:lang w:eastAsia="en-GB"/>
              </w:rPr>
              <w:t>Total</w:t>
            </w:r>
            <w:r w:rsidR="00D04E7B" w:rsidRPr="00A328CD">
              <w:rPr>
                <w:rFonts w:cs="Arial"/>
                <w:b/>
                <w:bCs/>
                <w:sz w:val="19"/>
                <w:szCs w:val="19"/>
                <w:lang w:eastAsia="en-GB"/>
              </w:rPr>
              <w:t xml:space="preserve"> (for the </w:t>
            </w:r>
            <w:r w:rsidR="002F7B68" w:rsidRPr="00A328CD">
              <w:rPr>
                <w:rFonts w:cs="Arial"/>
                <w:b/>
                <w:bCs/>
                <w:sz w:val="19"/>
                <w:szCs w:val="19"/>
                <w:lang w:eastAsia="en-GB"/>
              </w:rPr>
              <w:t>listed territorial units)</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2806222</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287018</w:t>
            </w:r>
          </w:p>
        </w:tc>
        <w:tc>
          <w:tcPr>
            <w:tcW w:w="2694" w:type="dxa"/>
            <w:tcBorders>
              <w:top w:val="nil"/>
              <w:left w:val="nil"/>
              <w:bottom w:val="single" w:sz="4" w:space="0" w:color="auto"/>
              <w:right w:val="single" w:sz="4" w:space="0" w:color="auto"/>
            </w:tcBorders>
            <w:shd w:val="clear" w:color="auto" w:fill="auto"/>
            <w:noWrap/>
            <w:vAlign w:val="center"/>
            <w:hideMark/>
          </w:tcPr>
          <w:p w:rsidR="00016B5F" w:rsidRPr="00A328CD" w:rsidRDefault="00016B5F" w:rsidP="00A328CD">
            <w:pPr>
              <w:spacing w:before="20" w:after="20" w:line="240" w:lineRule="auto"/>
              <w:jc w:val="center"/>
              <w:rPr>
                <w:rFonts w:cs="Arial"/>
                <w:b/>
                <w:bCs/>
                <w:sz w:val="19"/>
                <w:szCs w:val="19"/>
                <w:lang w:eastAsia="en-GB"/>
              </w:rPr>
            </w:pPr>
            <w:r w:rsidRPr="00A328CD">
              <w:rPr>
                <w:rFonts w:cs="Arial"/>
                <w:b/>
                <w:bCs/>
                <w:sz w:val="19"/>
                <w:szCs w:val="19"/>
                <w:lang w:eastAsia="en-GB"/>
              </w:rPr>
              <w:t>10%</w:t>
            </w:r>
          </w:p>
        </w:tc>
        <w:tc>
          <w:tcPr>
            <w:tcW w:w="2409" w:type="dxa"/>
            <w:tcBorders>
              <w:top w:val="nil"/>
              <w:left w:val="nil"/>
              <w:bottom w:val="single" w:sz="4" w:space="0" w:color="auto"/>
              <w:right w:val="single" w:sz="4" w:space="0" w:color="auto"/>
            </w:tcBorders>
            <w:shd w:val="clear" w:color="auto" w:fill="auto"/>
            <w:noWrap/>
            <w:vAlign w:val="center"/>
            <w:hideMark/>
          </w:tcPr>
          <w:p w:rsidR="00016B5F" w:rsidRPr="00A328CD" w:rsidRDefault="002F7B68" w:rsidP="00A328CD">
            <w:pPr>
              <w:spacing w:before="20" w:after="20" w:line="240" w:lineRule="auto"/>
              <w:jc w:val="center"/>
              <w:rPr>
                <w:rFonts w:cs="Arial"/>
                <w:b/>
                <w:bCs/>
                <w:sz w:val="19"/>
                <w:szCs w:val="19"/>
                <w:lang w:eastAsia="en-GB"/>
              </w:rPr>
            </w:pPr>
            <w:r w:rsidRPr="00A328CD">
              <w:rPr>
                <w:rFonts w:cs="Arial"/>
                <w:b/>
                <w:bCs/>
                <w:sz w:val="19"/>
                <w:szCs w:val="19"/>
                <w:lang w:eastAsia="en-GB"/>
              </w:rPr>
              <w:t>100%</w:t>
            </w:r>
          </w:p>
        </w:tc>
      </w:tr>
    </w:tbl>
    <w:p w:rsidR="00DD0FAF" w:rsidRDefault="00016B5F" w:rsidP="00DD0FAF">
      <w:pPr>
        <w:spacing w:after="240" w:line="240" w:lineRule="auto"/>
        <w:rPr>
          <w:rFonts w:cs="Arial"/>
          <w:sz w:val="16"/>
          <w:szCs w:val="16"/>
        </w:rPr>
      </w:pPr>
      <w:r w:rsidRPr="00261A37">
        <w:rPr>
          <w:rFonts w:cs="Arial"/>
          <w:b/>
          <w:sz w:val="16"/>
          <w:szCs w:val="16"/>
        </w:rPr>
        <w:t>Source:</w:t>
      </w:r>
      <w:r w:rsidRPr="00261A37">
        <w:rPr>
          <w:rFonts w:cs="Arial"/>
          <w:sz w:val="16"/>
          <w:szCs w:val="16"/>
        </w:rPr>
        <w:t xml:space="preserve"> Ravasz</w:t>
      </w:r>
      <w:r w:rsidR="00261A37">
        <w:rPr>
          <w:rFonts w:cs="Arial"/>
          <w:sz w:val="16"/>
          <w:szCs w:val="16"/>
        </w:rPr>
        <w:t>,</w:t>
      </w:r>
      <w:r w:rsidRPr="00261A37">
        <w:rPr>
          <w:rFonts w:cs="Arial"/>
          <w:sz w:val="16"/>
          <w:szCs w:val="16"/>
        </w:rPr>
        <w:t xml:space="preserve"> 201</w:t>
      </w:r>
      <w:r w:rsidR="00E92ABF">
        <w:rPr>
          <w:rFonts w:cs="Arial"/>
          <w:sz w:val="16"/>
          <w:szCs w:val="16"/>
        </w:rPr>
        <w:t>2, p. 14 and</w:t>
      </w:r>
      <w:r w:rsidR="00261A37">
        <w:rPr>
          <w:rFonts w:cs="Arial"/>
          <w:sz w:val="16"/>
          <w:szCs w:val="16"/>
        </w:rPr>
        <w:t xml:space="preserve"> Matlovičová, 2012, p. </w:t>
      </w:r>
      <w:r w:rsidRPr="00261A37">
        <w:rPr>
          <w:rFonts w:cs="Arial"/>
          <w:sz w:val="16"/>
          <w:szCs w:val="16"/>
        </w:rPr>
        <w:t>87</w:t>
      </w:r>
    </w:p>
    <w:p w:rsidR="00641B08" w:rsidRDefault="00641B08" w:rsidP="00DD0FAF">
      <w:pPr>
        <w:spacing w:after="120" w:line="240" w:lineRule="auto"/>
        <w:rPr>
          <w:szCs w:val="22"/>
        </w:rPr>
        <w:sectPr w:rsidR="00641B08" w:rsidSect="00E92ABF">
          <w:pgSz w:w="16840" w:h="11907" w:orient="landscape" w:code="9"/>
          <w:pgMar w:top="1797" w:right="1440" w:bottom="1797" w:left="1440" w:header="709" w:footer="709" w:gutter="0"/>
          <w:pgNumType w:start="36"/>
          <w:cols w:space="708"/>
          <w:docGrid w:linePitch="360"/>
        </w:sectPr>
      </w:pPr>
    </w:p>
    <w:p w:rsidR="00641B08" w:rsidRDefault="00641B08" w:rsidP="00641B08">
      <w:pPr>
        <w:pStyle w:val="Caption"/>
        <w:keepNext/>
        <w:spacing w:after="120"/>
      </w:pPr>
      <w:bookmarkStart w:id="164" w:name="_Ref392508593"/>
      <w:bookmarkStart w:id="165" w:name="_Toc385939087"/>
      <w:bookmarkStart w:id="166" w:name="_Toc392509043"/>
      <w:r>
        <w:lastRenderedPageBreak/>
        <w:t xml:space="preserve">Table </w:t>
      </w:r>
      <w:r>
        <w:fldChar w:fldCharType="begin"/>
      </w:r>
      <w:r>
        <w:instrText xml:space="preserve"> SEQ Table \* ARABIC </w:instrText>
      </w:r>
      <w:r>
        <w:fldChar w:fldCharType="separate"/>
      </w:r>
      <w:r w:rsidR="00DC6D66">
        <w:rPr>
          <w:noProof/>
        </w:rPr>
        <w:t>14</w:t>
      </w:r>
      <w:r>
        <w:fldChar w:fldCharType="end"/>
      </w:r>
      <w:bookmarkEnd w:id="164"/>
      <w:r>
        <w:t>: Estimated rate of Romany p</w:t>
      </w:r>
      <w:r w:rsidRPr="00301583">
        <w:t>opulation with Hungari</w:t>
      </w:r>
      <w:r>
        <w:t>an i</w:t>
      </w:r>
      <w:r w:rsidRPr="00301583">
        <w:t>dentity</w:t>
      </w:r>
      <w:bookmarkEnd w:id="165"/>
      <w:bookmarkEnd w:id="166"/>
    </w:p>
    <w:p w:rsidR="00641B08" w:rsidRPr="00641B08" w:rsidRDefault="00641B08" w:rsidP="00641B08">
      <w:pPr>
        <w:spacing w:after="120" w:line="240" w:lineRule="auto"/>
        <w:rPr>
          <w:sz w:val="16"/>
          <w:szCs w:val="16"/>
        </w:rPr>
      </w:pPr>
      <w:r w:rsidRPr="00DD0FAF">
        <w:rPr>
          <w:sz w:val="16"/>
          <w:szCs w:val="16"/>
        </w:rPr>
        <w:t>by those LAU1 and NUTS3 units where a significant rate of Hungarian (and Roma) population concentrated in 2011</w:t>
      </w:r>
    </w:p>
    <w:tbl>
      <w:tblPr>
        <w:tblW w:w="13623" w:type="dxa"/>
        <w:tblInd w:w="93" w:type="dxa"/>
        <w:tblLayout w:type="fixed"/>
        <w:tblLook w:val="04A0" w:firstRow="1" w:lastRow="0" w:firstColumn="1" w:lastColumn="0" w:noHBand="0" w:noVBand="1"/>
      </w:tblPr>
      <w:tblGrid>
        <w:gridCol w:w="1858"/>
        <w:gridCol w:w="2126"/>
        <w:gridCol w:w="1560"/>
        <w:gridCol w:w="2126"/>
        <w:gridCol w:w="2268"/>
        <w:gridCol w:w="1843"/>
        <w:gridCol w:w="1842"/>
      </w:tblGrid>
      <w:tr w:rsidR="0008189B" w:rsidRPr="00DD0FAF" w:rsidTr="00E92ABF">
        <w:trPr>
          <w:trHeight w:val="1104"/>
        </w:trPr>
        <w:tc>
          <w:tcPr>
            <w:tcW w:w="18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16B5F" w:rsidRPr="00DD0FAF" w:rsidRDefault="00016B5F" w:rsidP="00DD0FAF">
            <w:pPr>
              <w:spacing w:before="20" w:after="20" w:line="240" w:lineRule="auto"/>
              <w:jc w:val="center"/>
              <w:rPr>
                <w:rFonts w:cs="Arial"/>
                <w:b/>
                <w:sz w:val="19"/>
                <w:szCs w:val="19"/>
                <w:lang w:eastAsia="en-GB"/>
              </w:rPr>
            </w:pPr>
            <w:r w:rsidRPr="00DD0FAF">
              <w:rPr>
                <w:rFonts w:cs="Arial"/>
                <w:b/>
                <w:sz w:val="19"/>
                <w:szCs w:val="19"/>
                <w:lang w:eastAsia="en-GB"/>
              </w:rPr>
              <w:t>Okres</w:t>
            </w: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16B5F" w:rsidRPr="00DD0FAF" w:rsidRDefault="00016B5F" w:rsidP="00DD0FAF">
            <w:pPr>
              <w:spacing w:before="20" w:after="20" w:line="240" w:lineRule="auto"/>
              <w:jc w:val="center"/>
              <w:rPr>
                <w:rFonts w:cs="Arial"/>
                <w:b/>
                <w:sz w:val="19"/>
                <w:szCs w:val="19"/>
                <w:lang w:eastAsia="en-GB"/>
              </w:rPr>
            </w:pPr>
            <w:r w:rsidRPr="00DD0FAF">
              <w:rPr>
                <w:rFonts w:cs="Arial"/>
                <w:b/>
                <w:sz w:val="19"/>
                <w:szCs w:val="19"/>
                <w:lang w:eastAsia="en-GB"/>
              </w:rPr>
              <w:t>Krajs</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016B5F" w:rsidRPr="00DD0FAF" w:rsidRDefault="0008189B" w:rsidP="00DD0FAF">
            <w:pPr>
              <w:spacing w:before="20" w:after="20" w:line="240" w:lineRule="auto"/>
              <w:jc w:val="center"/>
              <w:rPr>
                <w:rFonts w:cs="Arial"/>
                <w:b/>
                <w:sz w:val="19"/>
                <w:szCs w:val="19"/>
                <w:lang w:eastAsia="en-GB"/>
              </w:rPr>
            </w:pPr>
            <w:r w:rsidRPr="00DD0FAF">
              <w:rPr>
                <w:rFonts w:cs="Arial"/>
                <w:b/>
                <w:sz w:val="19"/>
                <w:szCs w:val="19"/>
                <w:lang w:eastAsia="en-GB"/>
              </w:rPr>
              <w:t>Roma popul</w:t>
            </w:r>
            <w:r w:rsidRPr="00DD0FAF">
              <w:rPr>
                <w:rFonts w:cs="Arial"/>
                <w:b/>
                <w:sz w:val="19"/>
                <w:szCs w:val="19"/>
                <w:lang w:eastAsia="en-GB"/>
              </w:rPr>
              <w:t>a</w:t>
            </w:r>
            <w:r w:rsidRPr="00DD0FAF">
              <w:rPr>
                <w:rFonts w:cs="Arial"/>
                <w:b/>
                <w:sz w:val="19"/>
                <w:szCs w:val="19"/>
                <w:lang w:eastAsia="en-GB"/>
              </w:rPr>
              <w:t>tion</w:t>
            </w:r>
            <w:r w:rsidR="00E92ABF">
              <w:rPr>
                <w:rFonts w:cs="Arial"/>
                <w:b/>
                <w:sz w:val="19"/>
                <w:szCs w:val="19"/>
                <w:lang w:eastAsia="en-GB"/>
              </w:rPr>
              <w:t xml:space="preserve"> </w:t>
            </w:r>
            <w:r w:rsidRPr="00DD0FAF">
              <w:rPr>
                <w:rFonts w:cs="Arial"/>
                <w:b/>
                <w:sz w:val="19"/>
                <w:szCs w:val="19"/>
                <w:lang w:eastAsia="en-GB"/>
              </w:rPr>
              <w:t>(</w:t>
            </w:r>
            <w:r w:rsidR="00016B5F" w:rsidRPr="00DD0FAF">
              <w:rPr>
                <w:rFonts w:cs="Arial"/>
                <w:b/>
                <w:sz w:val="19"/>
                <w:szCs w:val="19"/>
                <w:lang w:eastAsia="en-GB"/>
              </w:rPr>
              <w:t>Census</w:t>
            </w:r>
            <w:r w:rsidRPr="00DD0FAF">
              <w:rPr>
                <w:rFonts w:cs="Arial"/>
                <w:b/>
                <w:sz w:val="19"/>
                <w:szCs w:val="19"/>
                <w:lang w:eastAsia="en-GB"/>
              </w:rPr>
              <w:t>)</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16B5F" w:rsidRPr="00DD0FAF" w:rsidRDefault="0008189B" w:rsidP="00DD0FAF">
            <w:pPr>
              <w:spacing w:before="20" w:after="20" w:line="240" w:lineRule="auto"/>
              <w:jc w:val="center"/>
              <w:rPr>
                <w:rFonts w:cs="Arial"/>
                <w:b/>
                <w:sz w:val="19"/>
                <w:szCs w:val="19"/>
                <w:lang w:eastAsia="en-GB"/>
              </w:rPr>
            </w:pPr>
            <w:r w:rsidRPr="00DD0FAF">
              <w:rPr>
                <w:rFonts w:cs="Arial"/>
                <w:b/>
                <w:sz w:val="19"/>
                <w:szCs w:val="19"/>
                <w:lang w:eastAsia="en-GB"/>
              </w:rPr>
              <w:t>Roma population</w:t>
            </w:r>
            <w:r w:rsidR="00E92ABF">
              <w:rPr>
                <w:rFonts w:cs="Arial"/>
                <w:b/>
                <w:sz w:val="19"/>
                <w:szCs w:val="19"/>
                <w:lang w:eastAsia="en-GB"/>
              </w:rPr>
              <w:t xml:space="preserve"> </w:t>
            </w:r>
            <w:r w:rsidRPr="00DD0FAF">
              <w:rPr>
                <w:rFonts w:cs="Arial"/>
                <w:b/>
                <w:sz w:val="19"/>
                <w:szCs w:val="19"/>
                <w:lang w:eastAsia="en-GB"/>
              </w:rPr>
              <w:t>(</w:t>
            </w:r>
            <w:r w:rsidR="00016B5F" w:rsidRPr="00DD0FAF">
              <w:rPr>
                <w:rFonts w:cs="Arial"/>
                <w:b/>
                <w:sz w:val="19"/>
                <w:szCs w:val="19"/>
                <w:lang w:eastAsia="en-GB"/>
              </w:rPr>
              <w:t>estimated</w:t>
            </w:r>
            <w:r w:rsidR="002F7B68" w:rsidRPr="00DD0FAF">
              <w:rPr>
                <w:rFonts w:cs="Arial"/>
                <w:b/>
                <w:sz w:val="19"/>
                <w:szCs w:val="19"/>
                <w:lang w:eastAsia="en-GB"/>
              </w:rPr>
              <w:t xml:space="preserve"> by </w:t>
            </w:r>
            <w:r w:rsidR="00E92ABF">
              <w:rPr>
                <w:rFonts w:cs="Arial"/>
                <w:b/>
                <w:sz w:val="19"/>
                <w:szCs w:val="19"/>
                <w:lang w:eastAsia="en-GB"/>
              </w:rPr>
              <w:t xml:space="preserve">               </w:t>
            </w:r>
            <w:r w:rsidR="002F7B68" w:rsidRPr="00DD0FAF">
              <w:rPr>
                <w:rFonts w:cs="Arial"/>
                <w:b/>
                <w:sz w:val="19"/>
                <w:szCs w:val="19"/>
                <w:lang w:eastAsia="en-GB"/>
              </w:rPr>
              <w:t>Ravasz</w:t>
            </w:r>
            <w:r w:rsidRPr="00DD0FAF">
              <w:rPr>
                <w:rFonts w:cs="Arial"/>
                <w:b/>
                <w:sz w:val="19"/>
                <w:szCs w:val="19"/>
                <w:lang w:eastAsia="en-GB"/>
              </w:rPr>
              <w:t>)</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016B5F" w:rsidRPr="00DD0FAF" w:rsidRDefault="00016B5F" w:rsidP="00DD0FAF">
            <w:pPr>
              <w:spacing w:before="20" w:after="20" w:line="240" w:lineRule="auto"/>
              <w:jc w:val="center"/>
              <w:rPr>
                <w:rFonts w:cs="Arial"/>
                <w:b/>
                <w:sz w:val="19"/>
                <w:szCs w:val="19"/>
                <w:lang w:eastAsia="en-GB"/>
              </w:rPr>
            </w:pPr>
            <w:r w:rsidRPr="00DD0FAF">
              <w:rPr>
                <w:rFonts w:cs="Arial"/>
                <w:b/>
                <w:sz w:val="19"/>
                <w:szCs w:val="19"/>
                <w:lang w:eastAsia="en-GB"/>
              </w:rPr>
              <w:t>Out of which Roma of Hungarian identity</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16B5F" w:rsidRPr="00DD0FAF" w:rsidRDefault="0008189B" w:rsidP="00DD0FAF">
            <w:pPr>
              <w:spacing w:before="20" w:after="20" w:line="240" w:lineRule="auto"/>
              <w:jc w:val="center"/>
              <w:rPr>
                <w:rFonts w:cs="Arial"/>
                <w:b/>
                <w:sz w:val="19"/>
                <w:szCs w:val="19"/>
                <w:lang w:eastAsia="en-GB"/>
              </w:rPr>
            </w:pPr>
            <w:r w:rsidRPr="00DD0FAF">
              <w:rPr>
                <w:rFonts w:cs="Arial"/>
                <w:b/>
                <w:sz w:val="19"/>
                <w:szCs w:val="19"/>
                <w:lang w:eastAsia="en-GB"/>
              </w:rPr>
              <w:t xml:space="preserve">Theirshare </w:t>
            </w:r>
            <w:r w:rsidR="00016B5F" w:rsidRPr="00DD0FAF">
              <w:rPr>
                <w:rFonts w:cs="Arial"/>
                <w:b/>
                <w:sz w:val="19"/>
                <w:szCs w:val="19"/>
                <w:lang w:eastAsia="en-GB"/>
              </w:rPr>
              <w:t>in</w:t>
            </w:r>
            <w:r w:rsidRPr="00DD0FAF">
              <w:rPr>
                <w:rFonts w:cs="Arial"/>
                <w:b/>
                <w:sz w:val="19"/>
                <w:szCs w:val="19"/>
                <w:lang w:eastAsia="en-GB"/>
              </w:rPr>
              <w:t xml:space="preserve"> all</w:t>
            </w:r>
            <w:r w:rsidR="00016B5F" w:rsidRPr="00DD0FAF">
              <w:rPr>
                <w:rFonts w:cs="Arial"/>
                <w:b/>
                <w:sz w:val="19"/>
                <w:szCs w:val="19"/>
                <w:lang w:eastAsia="en-GB"/>
              </w:rPr>
              <w:t xml:space="preserve"> Roma</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16B5F" w:rsidRPr="00DD0FAF" w:rsidRDefault="0008189B" w:rsidP="00DD0FAF">
            <w:pPr>
              <w:spacing w:before="20" w:after="20" w:line="240" w:lineRule="auto"/>
              <w:jc w:val="center"/>
              <w:rPr>
                <w:rFonts w:cs="Arial"/>
                <w:b/>
                <w:sz w:val="19"/>
                <w:szCs w:val="19"/>
                <w:lang w:eastAsia="en-GB"/>
              </w:rPr>
            </w:pPr>
            <w:r w:rsidRPr="00DD0FAF">
              <w:rPr>
                <w:rFonts w:cs="Arial"/>
                <w:b/>
                <w:sz w:val="19"/>
                <w:szCs w:val="19"/>
                <w:lang w:eastAsia="en-GB"/>
              </w:rPr>
              <w:t xml:space="preserve">Distribution of </w:t>
            </w:r>
            <w:r w:rsidR="00016B5F" w:rsidRPr="00DD0FAF">
              <w:rPr>
                <w:rFonts w:cs="Arial"/>
                <w:b/>
                <w:sz w:val="19"/>
                <w:szCs w:val="19"/>
                <w:lang w:eastAsia="en-GB"/>
              </w:rPr>
              <w:t>Hungarian Roma</w:t>
            </w:r>
          </w:p>
        </w:tc>
      </w:tr>
      <w:tr w:rsidR="0008189B" w:rsidRPr="00DD0FAF" w:rsidTr="00E92ABF">
        <w:trPr>
          <w:trHeight w:val="360"/>
        </w:trPr>
        <w:tc>
          <w:tcPr>
            <w:tcW w:w="1858" w:type="dxa"/>
            <w:vMerge/>
            <w:tcBorders>
              <w:top w:val="single" w:sz="4" w:space="0" w:color="auto"/>
              <w:left w:val="single" w:sz="4" w:space="0" w:color="auto"/>
              <w:bottom w:val="single" w:sz="18" w:space="0" w:color="auto"/>
              <w:right w:val="single" w:sz="4" w:space="0" w:color="auto"/>
            </w:tcBorders>
            <w:shd w:val="clear" w:color="auto" w:fill="auto"/>
            <w:vAlign w:val="center"/>
            <w:hideMark/>
          </w:tcPr>
          <w:p w:rsidR="0008189B" w:rsidRPr="00DD0FAF" w:rsidRDefault="0008189B" w:rsidP="00DD0FAF">
            <w:pPr>
              <w:spacing w:before="20" w:after="20" w:line="240" w:lineRule="auto"/>
              <w:rPr>
                <w:rFonts w:cs="Arial"/>
                <w:sz w:val="19"/>
                <w:szCs w:val="19"/>
                <w:lang w:eastAsia="en-GB"/>
              </w:rPr>
            </w:pPr>
          </w:p>
        </w:tc>
        <w:tc>
          <w:tcPr>
            <w:tcW w:w="2126" w:type="dxa"/>
            <w:vMerge/>
            <w:tcBorders>
              <w:top w:val="single" w:sz="4" w:space="0" w:color="auto"/>
              <w:left w:val="single" w:sz="4" w:space="0" w:color="auto"/>
              <w:bottom w:val="single" w:sz="18" w:space="0" w:color="auto"/>
              <w:right w:val="single" w:sz="4" w:space="0" w:color="auto"/>
            </w:tcBorders>
            <w:shd w:val="clear" w:color="auto" w:fill="auto"/>
            <w:vAlign w:val="center"/>
            <w:hideMark/>
          </w:tcPr>
          <w:p w:rsidR="0008189B" w:rsidRPr="00DD0FAF" w:rsidRDefault="0008189B" w:rsidP="00DD0FAF">
            <w:pPr>
              <w:spacing w:before="20" w:after="20" w:line="240" w:lineRule="auto"/>
              <w:rPr>
                <w:rFonts w:cs="Arial"/>
                <w:sz w:val="19"/>
                <w:szCs w:val="19"/>
                <w:lang w:eastAsia="en-GB"/>
              </w:rPr>
            </w:pPr>
          </w:p>
        </w:tc>
        <w:tc>
          <w:tcPr>
            <w:tcW w:w="5954" w:type="dxa"/>
            <w:gridSpan w:val="3"/>
            <w:tcBorders>
              <w:top w:val="single" w:sz="4" w:space="0" w:color="auto"/>
              <w:left w:val="nil"/>
              <w:bottom w:val="single" w:sz="18" w:space="0" w:color="auto"/>
              <w:right w:val="single" w:sz="4" w:space="0" w:color="auto"/>
            </w:tcBorders>
            <w:shd w:val="clear" w:color="auto" w:fill="auto"/>
            <w:noWrap/>
            <w:vAlign w:val="center"/>
            <w:hideMark/>
          </w:tcPr>
          <w:p w:rsidR="0008189B" w:rsidRPr="00DD0FAF" w:rsidRDefault="002F7B68" w:rsidP="00DD0FAF">
            <w:pPr>
              <w:spacing w:before="20" w:after="20" w:line="240" w:lineRule="auto"/>
              <w:jc w:val="center"/>
              <w:rPr>
                <w:rFonts w:cs="Arial"/>
                <w:sz w:val="19"/>
                <w:szCs w:val="19"/>
                <w:lang w:eastAsia="en-GB"/>
              </w:rPr>
            </w:pPr>
            <w:r w:rsidRPr="00DD0FAF">
              <w:rPr>
                <w:rFonts w:cs="Arial"/>
                <w:sz w:val="19"/>
                <w:szCs w:val="19"/>
                <w:lang w:eastAsia="en-GB"/>
              </w:rPr>
              <w:t>H</w:t>
            </w:r>
            <w:r w:rsidR="0008189B" w:rsidRPr="00DD0FAF">
              <w:rPr>
                <w:rFonts w:cs="Arial"/>
                <w:sz w:val="19"/>
                <w:szCs w:val="19"/>
                <w:lang w:eastAsia="en-GB"/>
              </w:rPr>
              <w:t>eadcount</w:t>
            </w:r>
          </w:p>
        </w:tc>
        <w:tc>
          <w:tcPr>
            <w:tcW w:w="3685" w:type="dxa"/>
            <w:gridSpan w:val="2"/>
            <w:tcBorders>
              <w:top w:val="single" w:sz="4" w:space="0" w:color="auto"/>
              <w:left w:val="nil"/>
              <w:bottom w:val="single" w:sz="18" w:space="0" w:color="auto"/>
              <w:right w:val="single" w:sz="4" w:space="0" w:color="auto"/>
            </w:tcBorders>
            <w:shd w:val="clear" w:color="auto" w:fill="auto"/>
            <w:noWrap/>
            <w:vAlign w:val="center"/>
            <w:hideMark/>
          </w:tcPr>
          <w:p w:rsidR="0008189B" w:rsidRPr="00DD0FAF" w:rsidRDefault="0008189B" w:rsidP="00DD0FAF">
            <w:pPr>
              <w:spacing w:before="20" w:after="20" w:line="240" w:lineRule="auto"/>
              <w:jc w:val="center"/>
              <w:rPr>
                <w:rFonts w:cs="Arial"/>
                <w:sz w:val="19"/>
                <w:szCs w:val="19"/>
                <w:lang w:eastAsia="en-GB"/>
              </w:rPr>
            </w:pPr>
            <w:r w:rsidRPr="00DD0FAF">
              <w:rPr>
                <w:rFonts w:cs="Arial"/>
                <w:sz w:val="19"/>
                <w:szCs w:val="19"/>
                <w:lang w:eastAsia="en-GB"/>
              </w:rPr>
              <w:t>%</w:t>
            </w:r>
          </w:p>
        </w:tc>
      </w:tr>
      <w:tr w:rsidR="0008189B" w:rsidRPr="00DD0FAF" w:rsidTr="00E92ABF">
        <w:trPr>
          <w:trHeight w:val="360"/>
        </w:trPr>
        <w:tc>
          <w:tcPr>
            <w:tcW w:w="1858" w:type="dxa"/>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Lucenec</w:t>
            </w:r>
          </w:p>
        </w:tc>
        <w:tc>
          <w:tcPr>
            <w:tcW w:w="2126"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Banská Bystrica</w:t>
            </w:r>
          </w:p>
        </w:tc>
        <w:tc>
          <w:tcPr>
            <w:tcW w:w="156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2095</w:t>
            </w:r>
          </w:p>
        </w:tc>
        <w:tc>
          <w:tcPr>
            <w:tcW w:w="2126"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11982</w:t>
            </w:r>
          </w:p>
        </w:tc>
        <w:tc>
          <w:tcPr>
            <w:tcW w:w="226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7322</w:t>
            </w:r>
          </w:p>
        </w:tc>
        <w:tc>
          <w:tcPr>
            <w:tcW w:w="1843"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61%</w:t>
            </w:r>
          </w:p>
        </w:tc>
        <w:tc>
          <w:tcPr>
            <w:tcW w:w="1842"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12%</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Revúca</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Banská Bystrica</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2538</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12677</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3727</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29%</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w:t>
            </w:r>
          </w:p>
        </w:tc>
      </w:tr>
      <w:tr w:rsidR="0008189B" w:rsidRPr="00DD0FAF" w:rsidTr="00E92ABF">
        <w:trPr>
          <w:trHeight w:val="360"/>
        </w:trPr>
        <w:tc>
          <w:tcPr>
            <w:tcW w:w="1858"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i/>
                <w:sz w:val="19"/>
                <w:szCs w:val="19"/>
                <w:lang w:eastAsia="en-GB"/>
              </w:rPr>
            </w:pPr>
            <w:r w:rsidRPr="00DD0FAF">
              <w:rPr>
                <w:rFonts w:cs="Arial"/>
                <w:i/>
                <w:sz w:val="19"/>
                <w:szCs w:val="19"/>
                <w:lang w:eastAsia="en-GB"/>
              </w:rPr>
              <w:t>Rimavská Sobota</w:t>
            </w:r>
          </w:p>
        </w:tc>
        <w:tc>
          <w:tcPr>
            <w:tcW w:w="2126" w:type="dxa"/>
            <w:tcBorders>
              <w:top w:val="single" w:sz="4" w:space="0" w:color="auto"/>
              <w:left w:val="nil"/>
              <w:bottom w:val="single" w:sz="4" w:space="0" w:color="auto"/>
              <w:right w:val="single" w:sz="4" w:space="0" w:color="auto"/>
            </w:tcBorders>
            <w:shd w:val="pct15" w:color="auto" w:fill="auto"/>
            <w:noWrap/>
            <w:vAlign w:val="center"/>
            <w:hideMark/>
          </w:tcPr>
          <w:p w:rsidR="00016B5F" w:rsidRPr="00DD0FAF" w:rsidRDefault="00C27D13" w:rsidP="0071153F">
            <w:pPr>
              <w:spacing w:before="20" w:after="20" w:line="240" w:lineRule="auto"/>
              <w:jc w:val="left"/>
              <w:rPr>
                <w:rFonts w:cs="Arial"/>
                <w:i/>
                <w:sz w:val="19"/>
                <w:szCs w:val="19"/>
                <w:lang w:eastAsia="en-GB"/>
              </w:rPr>
            </w:pPr>
            <w:r w:rsidRPr="00DD0FAF">
              <w:rPr>
                <w:rFonts w:cs="Arial"/>
                <w:i/>
                <w:sz w:val="19"/>
                <w:szCs w:val="19"/>
                <w:lang w:eastAsia="en-GB"/>
              </w:rPr>
              <w:t>Banská Bystrica</w:t>
            </w:r>
          </w:p>
        </w:tc>
        <w:tc>
          <w:tcPr>
            <w:tcW w:w="1560" w:type="dxa"/>
            <w:tcBorders>
              <w:top w:val="single" w:sz="4" w:space="0" w:color="auto"/>
              <w:left w:val="nil"/>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i/>
                <w:sz w:val="19"/>
                <w:szCs w:val="19"/>
                <w:lang w:eastAsia="en-GB"/>
              </w:rPr>
            </w:pPr>
            <w:r w:rsidRPr="00DD0FAF">
              <w:rPr>
                <w:rFonts w:cs="Arial"/>
                <w:i/>
                <w:sz w:val="19"/>
                <w:szCs w:val="19"/>
                <w:lang w:eastAsia="en-GB"/>
              </w:rPr>
              <w:t>5270</w:t>
            </w:r>
          </w:p>
        </w:tc>
        <w:tc>
          <w:tcPr>
            <w:tcW w:w="2126" w:type="dxa"/>
            <w:tcBorders>
              <w:top w:val="single" w:sz="4" w:space="0" w:color="auto"/>
              <w:left w:val="nil"/>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i/>
                <w:sz w:val="19"/>
                <w:szCs w:val="19"/>
                <w:lang w:eastAsia="en-GB"/>
              </w:rPr>
            </w:pPr>
            <w:r w:rsidRPr="00DD0FAF">
              <w:rPr>
                <w:rFonts w:cs="Arial"/>
                <w:i/>
                <w:sz w:val="19"/>
                <w:szCs w:val="19"/>
                <w:lang w:eastAsia="en-GB"/>
              </w:rPr>
              <w:t>18506</w:t>
            </w:r>
          </w:p>
        </w:tc>
        <w:tc>
          <w:tcPr>
            <w:tcW w:w="2268" w:type="dxa"/>
            <w:tcBorders>
              <w:top w:val="single" w:sz="4" w:space="0" w:color="auto"/>
              <w:left w:val="nil"/>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i/>
                <w:sz w:val="19"/>
                <w:szCs w:val="19"/>
                <w:lang w:eastAsia="en-GB"/>
              </w:rPr>
            </w:pPr>
            <w:r w:rsidRPr="00DD0FAF">
              <w:rPr>
                <w:rFonts w:cs="Arial"/>
                <w:i/>
                <w:sz w:val="19"/>
                <w:szCs w:val="19"/>
                <w:lang w:eastAsia="en-GB"/>
              </w:rPr>
              <w:t>12857</w:t>
            </w:r>
          </w:p>
        </w:tc>
        <w:tc>
          <w:tcPr>
            <w:tcW w:w="1843" w:type="dxa"/>
            <w:tcBorders>
              <w:top w:val="single" w:sz="4" w:space="0" w:color="auto"/>
              <w:left w:val="nil"/>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i/>
                <w:sz w:val="19"/>
                <w:szCs w:val="19"/>
                <w:lang w:eastAsia="en-GB"/>
              </w:rPr>
            </w:pPr>
            <w:r w:rsidRPr="00DD0FAF">
              <w:rPr>
                <w:rFonts w:cs="Arial"/>
                <w:i/>
                <w:sz w:val="19"/>
                <w:szCs w:val="19"/>
                <w:lang w:eastAsia="en-GB"/>
              </w:rPr>
              <w:t>69%</w:t>
            </w:r>
          </w:p>
        </w:tc>
        <w:tc>
          <w:tcPr>
            <w:tcW w:w="1842" w:type="dxa"/>
            <w:tcBorders>
              <w:top w:val="single" w:sz="4" w:space="0" w:color="auto"/>
              <w:left w:val="nil"/>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i/>
                <w:sz w:val="19"/>
                <w:szCs w:val="19"/>
                <w:lang w:eastAsia="en-GB"/>
              </w:rPr>
            </w:pPr>
            <w:r w:rsidRPr="00DD0FAF">
              <w:rPr>
                <w:rFonts w:cs="Arial"/>
                <w:i/>
                <w:sz w:val="19"/>
                <w:szCs w:val="19"/>
                <w:lang w:eastAsia="en-GB"/>
              </w:rPr>
              <w:t>21%</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Veľký Krtíš</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Banská Bystrica</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469</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4197</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575</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14%</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w:t>
            </w:r>
          </w:p>
        </w:tc>
      </w:tr>
      <w:tr w:rsidR="0008189B" w:rsidRPr="00DD0FAF" w:rsidTr="00E92ABF">
        <w:trPr>
          <w:trHeight w:val="360"/>
        </w:trPr>
        <w:tc>
          <w:tcPr>
            <w:tcW w:w="3984" w:type="dxa"/>
            <w:gridSpan w:val="2"/>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C27D13" w:rsidP="0071153F">
            <w:pPr>
              <w:spacing w:before="20" w:after="20" w:line="240" w:lineRule="auto"/>
              <w:jc w:val="left"/>
              <w:rPr>
                <w:rFonts w:cs="Arial"/>
                <w:b/>
                <w:bCs/>
                <w:i/>
                <w:sz w:val="19"/>
                <w:szCs w:val="19"/>
                <w:lang w:eastAsia="en-GB"/>
              </w:rPr>
            </w:pPr>
            <w:r w:rsidRPr="00DD0FAF">
              <w:rPr>
                <w:rFonts w:cs="Arial"/>
                <w:b/>
                <w:bCs/>
                <w:i/>
                <w:sz w:val="19"/>
                <w:szCs w:val="19"/>
                <w:lang w:eastAsia="en-GB"/>
              </w:rPr>
              <w:t>Banská Bystrica</w:t>
            </w:r>
          </w:p>
        </w:tc>
        <w:tc>
          <w:tcPr>
            <w:tcW w:w="1560"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i/>
                <w:sz w:val="19"/>
                <w:szCs w:val="19"/>
                <w:lang w:eastAsia="en-GB"/>
              </w:rPr>
            </w:pPr>
            <w:r w:rsidRPr="00DD0FAF">
              <w:rPr>
                <w:rFonts w:cs="Arial"/>
                <w:b/>
                <w:bCs/>
                <w:i/>
                <w:sz w:val="19"/>
                <w:szCs w:val="19"/>
                <w:lang w:eastAsia="en-GB"/>
              </w:rPr>
              <w:t>10372</w:t>
            </w:r>
          </w:p>
        </w:tc>
        <w:tc>
          <w:tcPr>
            <w:tcW w:w="2126"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i/>
                <w:sz w:val="19"/>
                <w:szCs w:val="19"/>
                <w:lang w:eastAsia="en-GB"/>
              </w:rPr>
            </w:pPr>
            <w:r w:rsidRPr="00DD0FAF">
              <w:rPr>
                <w:rFonts w:cs="Arial"/>
                <w:b/>
                <w:bCs/>
                <w:i/>
                <w:sz w:val="19"/>
                <w:szCs w:val="19"/>
                <w:lang w:eastAsia="en-GB"/>
              </w:rPr>
              <w:t>47362</w:t>
            </w:r>
          </w:p>
        </w:tc>
        <w:tc>
          <w:tcPr>
            <w:tcW w:w="2268"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i/>
                <w:sz w:val="19"/>
                <w:szCs w:val="19"/>
                <w:lang w:eastAsia="en-GB"/>
              </w:rPr>
            </w:pPr>
            <w:r w:rsidRPr="00DD0FAF">
              <w:rPr>
                <w:rFonts w:cs="Arial"/>
                <w:b/>
                <w:bCs/>
                <w:i/>
                <w:sz w:val="19"/>
                <w:szCs w:val="19"/>
                <w:lang w:eastAsia="en-GB"/>
              </w:rPr>
              <w:t>24481</w:t>
            </w:r>
          </w:p>
        </w:tc>
        <w:tc>
          <w:tcPr>
            <w:tcW w:w="1843"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i/>
                <w:sz w:val="19"/>
                <w:szCs w:val="19"/>
                <w:lang w:eastAsia="en-GB"/>
              </w:rPr>
            </w:pPr>
            <w:r w:rsidRPr="00DD0FAF">
              <w:rPr>
                <w:rFonts w:cs="Arial"/>
                <w:b/>
                <w:bCs/>
                <w:i/>
                <w:sz w:val="19"/>
                <w:szCs w:val="19"/>
                <w:lang w:eastAsia="en-GB"/>
              </w:rPr>
              <w:t>52%</w:t>
            </w:r>
          </w:p>
        </w:tc>
        <w:tc>
          <w:tcPr>
            <w:tcW w:w="1842"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i/>
                <w:sz w:val="19"/>
                <w:szCs w:val="19"/>
                <w:lang w:eastAsia="en-GB"/>
              </w:rPr>
            </w:pPr>
            <w:r w:rsidRPr="00DD0FAF">
              <w:rPr>
                <w:rFonts w:cs="Arial"/>
                <w:b/>
                <w:bCs/>
                <w:i/>
                <w:sz w:val="19"/>
                <w:szCs w:val="19"/>
                <w:lang w:eastAsia="en-GB"/>
              </w:rPr>
              <w:t>41%</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Bratislava (I-V.)</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Bratislava</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370</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10028</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872</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9%</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Senec</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Bratislava</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60</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557</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108</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19%</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0%</w:t>
            </w:r>
          </w:p>
        </w:tc>
      </w:tr>
      <w:tr w:rsidR="0008189B" w:rsidRPr="00DD0FAF" w:rsidTr="00E92ABF">
        <w:trPr>
          <w:trHeight w:val="360"/>
        </w:trPr>
        <w:tc>
          <w:tcPr>
            <w:tcW w:w="39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b/>
                <w:bCs/>
                <w:sz w:val="19"/>
                <w:szCs w:val="19"/>
                <w:lang w:eastAsia="en-GB"/>
              </w:rPr>
            </w:pPr>
            <w:r w:rsidRPr="00DD0FAF">
              <w:rPr>
                <w:rFonts w:cs="Arial"/>
                <w:b/>
                <w:bCs/>
                <w:sz w:val="19"/>
                <w:szCs w:val="19"/>
                <w:lang w:eastAsia="en-GB"/>
              </w:rPr>
              <w:t>Bratislava</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430</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10585</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980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9%</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2%</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Košice (I-IV.)</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Košice</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4892</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22284</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464</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Košice – okolie</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Košice</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7700</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19589</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2217</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11%</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Michalovce</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Košice</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3956</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17957</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2498</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14%</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Rožňava</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Košice</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3487</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12962</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3939</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30%</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7%</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Trebišov</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Košice</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6606</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17390</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5845</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34%</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10%</w:t>
            </w:r>
          </w:p>
        </w:tc>
      </w:tr>
      <w:tr w:rsidR="0008189B" w:rsidRPr="00DD0FAF" w:rsidTr="00E92ABF">
        <w:trPr>
          <w:trHeight w:val="360"/>
        </w:trPr>
        <w:tc>
          <w:tcPr>
            <w:tcW w:w="39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b/>
                <w:bCs/>
                <w:sz w:val="19"/>
                <w:szCs w:val="19"/>
                <w:lang w:eastAsia="en-GB"/>
              </w:rPr>
            </w:pPr>
            <w:r w:rsidRPr="00DD0FAF">
              <w:rPr>
                <w:rFonts w:cs="Arial"/>
                <w:b/>
                <w:bCs/>
                <w:sz w:val="19"/>
                <w:szCs w:val="19"/>
                <w:lang w:eastAsia="en-GB"/>
              </w:rPr>
              <w:t>Košice</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26641</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90182</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14963</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25%</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Komárno</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Nitra</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1250</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6634</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5629</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85%</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9%</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Levice</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Nitra</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796</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8008</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2513</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31%</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lastRenderedPageBreak/>
              <w:t>Nitra</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Nitra</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745</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4744</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53</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0%</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Nové Zámky</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Nitra</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691</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6675</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2953</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44%</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Šaľa</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Nitra</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407</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2864</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1286</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45%</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w:t>
            </w:r>
          </w:p>
        </w:tc>
      </w:tr>
      <w:tr w:rsidR="0008189B" w:rsidRPr="00DD0FAF" w:rsidTr="00E92ABF">
        <w:trPr>
          <w:trHeight w:val="360"/>
        </w:trPr>
        <w:tc>
          <w:tcPr>
            <w:tcW w:w="39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b/>
                <w:bCs/>
                <w:sz w:val="19"/>
                <w:szCs w:val="19"/>
                <w:lang w:eastAsia="en-GB"/>
              </w:rPr>
            </w:pPr>
            <w:r w:rsidRPr="00DD0FAF">
              <w:rPr>
                <w:rFonts w:cs="Arial"/>
                <w:b/>
                <w:bCs/>
                <w:sz w:val="19"/>
                <w:szCs w:val="19"/>
                <w:lang w:eastAsia="en-GB"/>
              </w:rPr>
              <w:t>Nitra</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3889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28925</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12434</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43%</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21%</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Dunajská Streda</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Trnava</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1853</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6719</w:t>
            </w:r>
          </w:p>
        </w:tc>
        <w:tc>
          <w:tcPr>
            <w:tcW w:w="2268"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5312</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79%</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9%</w:t>
            </w:r>
          </w:p>
        </w:tc>
      </w:tr>
      <w:tr w:rsidR="0008189B" w:rsidRPr="00DD0FAF" w:rsidTr="00E92ABF">
        <w:trPr>
          <w:trHeight w:val="36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Galanta</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C27D13" w:rsidP="0071153F">
            <w:pPr>
              <w:spacing w:before="20" w:after="20" w:line="240" w:lineRule="auto"/>
              <w:jc w:val="left"/>
              <w:rPr>
                <w:rFonts w:cs="Arial"/>
                <w:sz w:val="19"/>
                <w:szCs w:val="19"/>
                <w:lang w:eastAsia="en-GB"/>
              </w:rPr>
            </w:pPr>
            <w:r w:rsidRPr="00DD0FAF">
              <w:rPr>
                <w:rFonts w:cs="Arial"/>
                <w:sz w:val="19"/>
                <w:szCs w:val="19"/>
                <w:lang w:eastAsia="en-GB"/>
              </w:rPr>
              <w:t>Trnava</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534</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4639</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2262</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49%</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sz w:val="19"/>
                <w:szCs w:val="19"/>
                <w:lang w:eastAsia="en-GB"/>
              </w:rPr>
            </w:pPr>
            <w:r w:rsidRPr="00DD0FAF">
              <w:rPr>
                <w:rFonts w:cs="Arial"/>
                <w:sz w:val="19"/>
                <w:szCs w:val="19"/>
                <w:lang w:eastAsia="en-GB"/>
              </w:rPr>
              <w:t>4%</w:t>
            </w:r>
          </w:p>
        </w:tc>
      </w:tr>
      <w:tr w:rsidR="0008189B" w:rsidRPr="00DD0FAF" w:rsidTr="00E92ABF">
        <w:trPr>
          <w:trHeight w:val="360"/>
        </w:trPr>
        <w:tc>
          <w:tcPr>
            <w:tcW w:w="3984" w:type="dxa"/>
            <w:gridSpan w:val="2"/>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C27D13" w:rsidP="0071153F">
            <w:pPr>
              <w:spacing w:before="20" w:after="20" w:line="240" w:lineRule="auto"/>
              <w:jc w:val="left"/>
              <w:rPr>
                <w:rFonts w:cs="Arial"/>
                <w:b/>
                <w:bCs/>
                <w:sz w:val="19"/>
                <w:szCs w:val="19"/>
                <w:lang w:eastAsia="en-GB"/>
              </w:rPr>
            </w:pPr>
            <w:r w:rsidRPr="00DD0FAF">
              <w:rPr>
                <w:rFonts w:cs="Arial"/>
                <w:b/>
                <w:bCs/>
                <w:sz w:val="19"/>
                <w:szCs w:val="19"/>
                <w:lang w:eastAsia="en-GB"/>
              </w:rPr>
              <w:t>Trnava</w:t>
            </w:r>
          </w:p>
        </w:tc>
        <w:tc>
          <w:tcPr>
            <w:tcW w:w="1560"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2387</w:t>
            </w:r>
          </w:p>
        </w:tc>
        <w:tc>
          <w:tcPr>
            <w:tcW w:w="2126"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11358</w:t>
            </w:r>
          </w:p>
        </w:tc>
        <w:tc>
          <w:tcPr>
            <w:tcW w:w="2268"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7574</w:t>
            </w:r>
          </w:p>
        </w:tc>
        <w:tc>
          <w:tcPr>
            <w:tcW w:w="1843"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67%</w:t>
            </w:r>
          </w:p>
        </w:tc>
        <w:tc>
          <w:tcPr>
            <w:tcW w:w="1842"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13%</w:t>
            </w:r>
          </w:p>
        </w:tc>
      </w:tr>
      <w:tr w:rsidR="0008189B" w:rsidRPr="00DD0FAF" w:rsidTr="00E92ABF">
        <w:trPr>
          <w:trHeight w:val="360"/>
        </w:trPr>
        <w:tc>
          <w:tcPr>
            <w:tcW w:w="398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Total</w:t>
            </w:r>
            <w:r w:rsidR="002F7B68" w:rsidRPr="00DD0FAF">
              <w:rPr>
                <w:rFonts w:cs="Arial"/>
                <w:b/>
                <w:bCs/>
                <w:sz w:val="19"/>
                <w:szCs w:val="19"/>
                <w:lang w:eastAsia="en-GB"/>
              </w:rPr>
              <w:t xml:space="preserve"> of the districts with relevant Hu</w:t>
            </w:r>
            <w:r w:rsidR="002F7B68" w:rsidRPr="00DD0FAF">
              <w:rPr>
                <w:rFonts w:cs="Arial"/>
                <w:b/>
                <w:bCs/>
                <w:sz w:val="19"/>
                <w:szCs w:val="19"/>
                <w:lang w:eastAsia="en-GB"/>
              </w:rPr>
              <w:t>n</w:t>
            </w:r>
            <w:r w:rsidR="002F7B68" w:rsidRPr="00DD0FAF">
              <w:rPr>
                <w:rFonts w:cs="Arial"/>
                <w:b/>
                <w:bCs/>
                <w:sz w:val="19"/>
                <w:szCs w:val="19"/>
                <w:lang w:eastAsia="en-GB"/>
              </w:rPr>
              <w:t>garian minority</w:t>
            </w:r>
          </w:p>
        </w:tc>
        <w:tc>
          <w:tcPr>
            <w:tcW w:w="1560"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43719</w:t>
            </w:r>
          </w:p>
        </w:tc>
        <w:tc>
          <w:tcPr>
            <w:tcW w:w="2126"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188412</w:t>
            </w:r>
          </w:p>
        </w:tc>
        <w:tc>
          <w:tcPr>
            <w:tcW w:w="2268"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60432</w:t>
            </w:r>
          </w:p>
        </w:tc>
        <w:tc>
          <w:tcPr>
            <w:tcW w:w="1843"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32%</w:t>
            </w:r>
          </w:p>
        </w:tc>
        <w:tc>
          <w:tcPr>
            <w:tcW w:w="1842" w:type="dxa"/>
            <w:tcBorders>
              <w:top w:val="nil"/>
              <w:left w:val="nil"/>
              <w:bottom w:val="single" w:sz="4" w:space="0" w:color="auto"/>
              <w:right w:val="single" w:sz="4" w:space="0" w:color="auto"/>
            </w:tcBorders>
            <w:shd w:val="clear" w:color="auto" w:fill="auto"/>
            <w:noWrap/>
            <w:vAlign w:val="center"/>
            <w:hideMark/>
          </w:tcPr>
          <w:p w:rsidR="00016B5F" w:rsidRPr="00DD0FAF" w:rsidRDefault="00016B5F" w:rsidP="0071153F">
            <w:pPr>
              <w:spacing w:before="20" w:after="20" w:line="240" w:lineRule="auto"/>
              <w:jc w:val="left"/>
              <w:rPr>
                <w:rFonts w:cs="Arial"/>
                <w:b/>
                <w:bCs/>
                <w:sz w:val="19"/>
                <w:szCs w:val="19"/>
                <w:lang w:eastAsia="en-GB"/>
              </w:rPr>
            </w:pPr>
            <w:r w:rsidRPr="00DD0FAF">
              <w:rPr>
                <w:rFonts w:cs="Arial"/>
                <w:b/>
                <w:bCs/>
                <w:sz w:val="19"/>
                <w:szCs w:val="19"/>
                <w:lang w:eastAsia="en-GB"/>
              </w:rPr>
              <w:t>100%</w:t>
            </w:r>
          </w:p>
        </w:tc>
      </w:tr>
    </w:tbl>
    <w:p w:rsidR="00E36600" w:rsidRDefault="00016B5F" w:rsidP="00E92ABF">
      <w:pPr>
        <w:spacing w:after="240" w:line="240" w:lineRule="auto"/>
        <w:rPr>
          <w:rFonts w:cs="Arial"/>
          <w:sz w:val="16"/>
          <w:szCs w:val="16"/>
        </w:rPr>
      </w:pPr>
      <w:r w:rsidRPr="00DD0FAF">
        <w:rPr>
          <w:rFonts w:cs="Arial"/>
          <w:b/>
          <w:sz w:val="16"/>
          <w:szCs w:val="16"/>
        </w:rPr>
        <w:t>Source:</w:t>
      </w:r>
      <w:r w:rsidRPr="00DD0FAF">
        <w:rPr>
          <w:rFonts w:cs="Arial"/>
          <w:sz w:val="16"/>
          <w:szCs w:val="16"/>
        </w:rPr>
        <w:t xml:space="preserve"> Ravasz</w:t>
      </w:r>
      <w:r w:rsidR="00DD0FAF">
        <w:rPr>
          <w:rFonts w:cs="Arial"/>
          <w:sz w:val="16"/>
          <w:szCs w:val="16"/>
        </w:rPr>
        <w:t xml:space="preserve">, 2012, p. </w:t>
      </w:r>
      <w:r w:rsidRPr="00DD0FAF">
        <w:rPr>
          <w:rFonts w:cs="Arial"/>
          <w:sz w:val="16"/>
          <w:szCs w:val="16"/>
        </w:rPr>
        <w:t>14</w:t>
      </w:r>
    </w:p>
    <w:p w:rsidR="00E92ABF" w:rsidRDefault="00E92ABF" w:rsidP="00E92ABF">
      <w:pPr>
        <w:spacing w:after="240" w:line="240" w:lineRule="auto"/>
        <w:sectPr w:rsidR="00E92ABF" w:rsidSect="00E92ABF">
          <w:pgSz w:w="16840" w:h="11907" w:orient="landscape" w:code="9"/>
          <w:pgMar w:top="1797" w:right="1440" w:bottom="1797" w:left="1440" w:header="709" w:footer="709" w:gutter="0"/>
          <w:pgNumType w:start="63"/>
          <w:cols w:space="708"/>
          <w:docGrid w:linePitch="360"/>
        </w:sectPr>
      </w:pPr>
    </w:p>
    <w:p w:rsidR="00641B08" w:rsidRPr="00E92ABF" w:rsidRDefault="00641B08" w:rsidP="00E92ABF">
      <w:pPr>
        <w:pStyle w:val="Caption"/>
        <w:keepNext/>
        <w:spacing w:after="120" w:line="240" w:lineRule="auto"/>
      </w:pPr>
      <w:bookmarkStart w:id="167" w:name="_Ref392508691"/>
      <w:bookmarkStart w:id="168" w:name="_Toc385939088"/>
      <w:bookmarkStart w:id="169" w:name="_Toc392509044"/>
      <w:r>
        <w:lastRenderedPageBreak/>
        <w:t xml:space="preserve">Table </w:t>
      </w:r>
      <w:r>
        <w:fldChar w:fldCharType="begin"/>
      </w:r>
      <w:r>
        <w:instrText xml:space="preserve"> SEQ Table \* ARABIC </w:instrText>
      </w:r>
      <w:r>
        <w:fldChar w:fldCharType="separate"/>
      </w:r>
      <w:r w:rsidR="00DC6D66">
        <w:rPr>
          <w:noProof/>
        </w:rPr>
        <w:t>15</w:t>
      </w:r>
      <w:r>
        <w:fldChar w:fldCharType="end"/>
      </w:r>
      <w:bookmarkEnd w:id="167"/>
      <w:r>
        <w:t xml:space="preserve">: </w:t>
      </w:r>
      <w:r w:rsidRPr="00301583">
        <w:t>Access to various goods and amenities</w:t>
      </w:r>
      <w:r w:rsidR="00E92ABF">
        <w:rPr>
          <w:rStyle w:val="FootnoteReference"/>
        </w:rPr>
        <w:footnoteReference w:id="21"/>
      </w:r>
      <w:bookmarkEnd w:id="168"/>
      <w:bookmarkEnd w:id="169"/>
    </w:p>
    <w:tbl>
      <w:tblPr>
        <w:tblW w:w="83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2"/>
        <w:gridCol w:w="1559"/>
        <w:gridCol w:w="1418"/>
      </w:tblGrid>
      <w:tr w:rsidR="00E36600" w:rsidRPr="00641B08" w:rsidTr="00E92ABF">
        <w:trPr>
          <w:trHeight w:val="300"/>
        </w:trPr>
        <w:tc>
          <w:tcPr>
            <w:tcW w:w="5402" w:type="dxa"/>
            <w:tcBorders>
              <w:bottom w:val="single" w:sz="18" w:space="0" w:color="auto"/>
              <w:right w:val="single" w:sz="4" w:space="0" w:color="auto"/>
            </w:tcBorders>
            <w:shd w:val="clear" w:color="auto" w:fill="auto"/>
            <w:noWrap/>
            <w:vAlign w:val="center"/>
          </w:tcPr>
          <w:p w:rsidR="00E36600" w:rsidRPr="00641B08" w:rsidRDefault="00E36600" w:rsidP="00641B08">
            <w:pPr>
              <w:spacing w:before="20" w:after="20" w:line="240" w:lineRule="auto"/>
              <w:jc w:val="center"/>
              <w:rPr>
                <w:rFonts w:cs="Arial"/>
                <w:b/>
                <w:sz w:val="19"/>
                <w:szCs w:val="19"/>
                <w:lang w:eastAsia="en-GB"/>
              </w:rPr>
            </w:pPr>
            <w:r w:rsidRPr="00641B08">
              <w:rPr>
                <w:rFonts w:cs="Arial"/>
                <w:b/>
                <w:sz w:val="19"/>
                <w:szCs w:val="19"/>
                <w:lang w:eastAsia="en-GB"/>
              </w:rPr>
              <w:t>ASPECTS</w:t>
            </w:r>
          </w:p>
        </w:tc>
        <w:tc>
          <w:tcPr>
            <w:tcW w:w="1559" w:type="dxa"/>
            <w:tcBorders>
              <w:left w:val="single" w:sz="4" w:space="0" w:color="auto"/>
              <w:bottom w:val="single" w:sz="18" w:space="0" w:color="auto"/>
              <w:right w:val="single" w:sz="4" w:space="0" w:color="auto"/>
            </w:tcBorders>
            <w:shd w:val="clear" w:color="auto" w:fill="auto"/>
            <w:noWrap/>
            <w:vAlign w:val="center"/>
          </w:tcPr>
          <w:p w:rsidR="00E36600" w:rsidRPr="00641B08" w:rsidRDefault="00E36600" w:rsidP="00641B08">
            <w:pPr>
              <w:spacing w:before="20" w:after="20" w:line="240" w:lineRule="auto"/>
              <w:jc w:val="center"/>
              <w:rPr>
                <w:rFonts w:cs="Arial"/>
                <w:b/>
                <w:bCs/>
                <w:sz w:val="19"/>
                <w:szCs w:val="19"/>
                <w:lang w:eastAsia="en-GB"/>
              </w:rPr>
            </w:pPr>
            <w:r w:rsidRPr="00641B08">
              <w:rPr>
                <w:rFonts w:cs="Arial"/>
                <w:b/>
                <w:bCs/>
                <w:sz w:val="19"/>
                <w:szCs w:val="19"/>
                <w:lang w:eastAsia="en-GB"/>
              </w:rPr>
              <w:t>Roma</w:t>
            </w:r>
          </w:p>
        </w:tc>
        <w:tc>
          <w:tcPr>
            <w:tcW w:w="1418" w:type="dxa"/>
            <w:tcBorders>
              <w:left w:val="single" w:sz="4" w:space="0" w:color="auto"/>
              <w:bottom w:val="single" w:sz="18" w:space="0" w:color="auto"/>
            </w:tcBorders>
            <w:shd w:val="clear" w:color="auto" w:fill="auto"/>
            <w:noWrap/>
            <w:vAlign w:val="center"/>
          </w:tcPr>
          <w:p w:rsidR="00E36600" w:rsidRPr="00641B08" w:rsidRDefault="00E36600" w:rsidP="00641B08">
            <w:pPr>
              <w:spacing w:before="20" w:after="20" w:line="240" w:lineRule="auto"/>
              <w:jc w:val="center"/>
              <w:rPr>
                <w:rFonts w:cs="Arial"/>
                <w:b/>
                <w:bCs/>
                <w:sz w:val="19"/>
                <w:szCs w:val="19"/>
                <w:lang w:eastAsia="en-GB"/>
              </w:rPr>
            </w:pPr>
            <w:r w:rsidRPr="00641B08">
              <w:rPr>
                <w:rFonts w:cs="Arial"/>
                <w:b/>
                <w:bCs/>
                <w:sz w:val="19"/>
                <w:szCs w:val="19"/>
                <w:lang w:eastAsia="en-GB"/>
              </w:rPr>
              <w:t>Non-Roma</w:t>
            </w:r>
          </w:p>
        </w:tc>
      </w:tr>
      <w:tr w:rsidR="00E36600" w:rsidRPr="00641B08" w:rsidTr="00E92ABF">
        <w:trPr>
          <w:trHeight w:val="300"/>
        </w:trPr>
        <w:tc>
          <w:tcPr>
            <w:tcW w:w="8379" w:type="dxa"/>
            <w:gridSpan w:val="3"/>
            <w:tcBorders>
              <w:top w:val="single" w:sz="18"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b/>
                <w:bCs/>
                <w:color w:val="003300"/>
                <w:sz w:val="19"/>
                <w:szCs w:val="19"/>
                <w:lang w:eastAsia="en-GB"/>
              </w:rPr>
            </w:pPr>
            <w:r w:rsidRPr="00641B08">
              <w:rPr>
                <w:rFonts w:cs="Arial"/>
                <w:b/>
                <w:color w:val="000000"/>
                <w:sz w:val="19"/>
                <w:szCs w:val="19"/>
                <w:lang w:eastAsia="en-GB"/>
              </w:rPr>
              <w:t> Housing</w:t>
            </w:r>
          </w:p>
        </w:tc>
      </w:tr>
      <w:tr w:rsidR="00E36600" w:rsidRPr="00641B08" w:rsidTr="00E92ABF">
        <w:trPr>
          <w:trHeight w:val="288"/>
        </w:trPr>
        <w:tc>
          <w:tcPr>
            <w:tcW w:w="5402" w:type="dxa"/>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Rooms per HH member</w:t>
            </w:r>
          </w:p>
        </w:tc>
        <w:tc>
          <w:tcPr>
            <w:tcW w:w="1559" w:type="dxa"/>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0</w:t>
            </w:r>
            <w:r w:rsidR="00C34BD0" w:rsidRPr="00641B08">
              <w:rPr>
                <w:rFonts w:cs="Arial"/>
                <w:color w:val="000000"/>
                <w:sz w:val="19"/>
                <w:szCs w:val="19"/>
                <w:lang w:eastAsia="en-GB"/>
              </w:rPr>
              <w:t>.</w:t>
            </w:r>
            <w:r w:rsidRPr="00641B08">
              <w:rPr>
                <w:rFonts w:cs="Arial"/>
                <w:color w:val="000000"/>
                <w:sz w:val="19"/>
                <w:szCs w:val="19"/>
                <w:lang w:eastAsia="en-GB"/>
              </w:rPr>
              <w:t>63</w:t>
            </w:r>
          </w:p>
        </w:tc>
        <w:tc>
          <w:tcPr>
            <w:tcW w:w="1418" w:type="dxa"/>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w:t>
            </w:r>
            <w:r w:rsidR="00C34BD0" w:rsidRPr="00641B08">
              <w:rPr>
                <w:rFonts w:cs="Arial"/>
                <w:color w:val="000000"/>
                <w:sz w:val="19"/>
                <w:szCs w:val="19"/>
                <w:lang w:eastAsia="en-GB"/>
              </w:rPr>
              <w:t>.</w:t>
            </w:r>
            <w:r w:rsidRPr="00641B08">
              <w:rPr>
                <w:rFonts w:cs="Arial"/>
                <w:color w:val="000000"/>
                <w:sz w:val="19"/>
                <w:szCs w:val="19"/>
                <w:lang w:eastAsia="en-GB"/>
              </w:rPr>
              <w:t>40</w:t>
            </w:r>
          </w:p>
        </w:tc>
      </w:tr>
      <w:tr w:rsidR="00E36600" w:rsidRPr="00641B08" w:rsidTr="00E92ABF">
        <w:trPr>
          <w:trHeight w:val="288"/>
        </w:trPr>
        <w:tc>
          <w:tcPr>
            <w:tcW w:w="5402" w:type="dxa"/>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Square meters per household member</w:t>
            </w:r>
          </w:p>
        </w:tc>
        <w:tc>
          <w:tcPr>
            <w:tcW w:w="1559" w:type="dxa"/>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13</w:t>
            </w:r>
            <w:r w:rsidR="00C34BD0" w:rsidRPr="00641B08">
              <w:rPr>
                <w:rFonts w:cs="Arial"/>
                <w:color w:val="000000"/>
                <w:sz w:val="19"/>
                <w:szCs w:val="19"/>
                <w:lang w:eastAsia="en-GB"/>
              </w:rPr>
              <w:t>.</w:t>
            </w:r>
            <w:r w:rsidRPr="00641B08">
              <w:rPr>
                <w:rFonts w:cs="Arial"/>
                <w:color w:val="000000"/>
                <w:sz w:val="19"/>
                <w:szCs w:val="19"/>
                <w:lang w:eastAsia="en-GB"/>
              </w:rPr>
              <w:t>69</w:t>
            </w:r>
          </w:p>
        </w:tc>
        <w:tc>
          <w:tcPr>
            <w:tcW w:w="1418" w:type="dxa"/>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28</w:t>
            </w:r>
            <w:r w:rsidR="00C34BD0" w:rsidRPr="00641B08">
              <w:rPr>
                <w:rFonts w:cs="Arial"/>
                <w:color w:val="000000"/>
                <w:sz w:val="19"/>
                <w:szCs w:val="19"/>
                <w:lang w:eastAsia="en-GB"/>
              </w:rPr>
              <w:t>.</w:t>
            </w:r>
            <w:r w:rsidRPr="00641B08">
              <w:rPr>
                <w:rFonts w:cs="Arial"/>
                <w:color w:val="000000"/>
                <w:sz w:val="19"/>
                <w:szCs w:val="19"/>
                <w:lang w:eastAsia="en-GB"/>
              </w:rPr>
              <w:t>01</w:t>
            </w:r>
          </w:p>
        </w:tc>
      </w:tr>
      <w:tr w:rsidR="00E36600" w:rsidRPr="00641B08" w:rsidTr="00E92ABF">
        <w:trPr>
          <w:trHeight w:val="276"/>
        </w:trPr>
        <w:tc>
          <w:tcPr>
            <w:tcW w:w="5402" w:type="dxa"/>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Share of the population not having access to secure housing</w:t>
            </w:r>
          </w:p>
        </w:tc>
        <w:tc>
          <w:tcPr>
            <w:tcW w:w="1559" w:type="dxa"/>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32%</w:t>
            </w:r>
          </w:p>
        </w:tc>
        <w:tc>
          <w:tcPr>
            <w:tcW w:w="1418" w:type="dxa"/>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3%</w:t>
            </w:r>
          </w:p>
        </w:tc>
      </w:tr>
      <w:tr w:rsidR="00E36600" w:rsidRPr="00641B08" w:rsidTr="00E92ABF">
        <w:trPr>
          <w:trHeight w:val="280"/>
        </w:trPr>
        <w:tc>
          <w:tcPr>
            <w:tcW w:w="5402" w:type="dxa"/>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Share of the population not having access to improved water source</w:t>
            </w:r>
          </w:p>
        </w:tc>
        <w:tc>
          <w:tcPr>
            <w:tcW w:w="1559" w:type="dxa"/>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38%</w:t>
            </w:r>
          </w:p>
        </w:tc>
        <w:tc>
          <w:tcPr>
            <w:tcW w:w="1418" w:type="dxa"/>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17%</w:t>
            </w:r>
          </w:p>
        </w:tc>
      </w:tr>
      <w:tr w:rsidR="00E36600" w:rsidRPr="00641B08" w:rsidTr="00E92ABF">
        <w:trPr>
          <w:trHeight w:val="271"/>
        </w:trPr>
        <w:tc>
          <w:tcPr>
            <w:tcW w:w="5402" w:type="dxa"/>
            <w:tcBorders>
              <w:bottom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Share of the population not having access to improved san</w:t>
            </w:r>
            <w:r w:rsidRPr="00641B08">
              <w:rPr>
                <w:rFonts w:cs="Arial"/>
                <w:color w:val="000000"/>
                <w:sz w:val="19"/>
                <w:szCs w:val="19"/>
                <w:lang w:eastAsia="en-GB"/>
              </w:rPr>
              <w:t>i</w:t>
            </w:r>
            <w:r w:rsidRPr="00641B08">
              <w:rPr>
                <w:rFonts w:cs="Arial"/>
                <w:color w:val="000000"/>
                <w:sz w:val="19"/>
                <w:szCs w:val="19"/>
                <w:lang w:eastAsia="en-GB"/>
              </w:rPr>
              <w:t>tation</w:t>
            </w:r>
          </w:p>
        </w:tc>
        <w:tc>
          <w:tcPr>
            <w:tcW w:w="1559" w:type="dxa"/>
            <w:tcBorders>
              <w:bottom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44%</w:t>
            </w:r>
          </w:p>
        </w:tc>
        <w:tc>
          <w:tcPr>
            <w:tcW w:w="1418" w:type="dxa"/>
            <w:tcBorders>
              <w:bottom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12%</w:t>
            </w:r>
          </w:p>
        </w:tc>
      </w:tr>
      <w:tr w:rsidR="00E36600" w:rsidRPr="00641B08" w:rsidTr="00E92ABF">
        <w:trPr>
          <w:trHeight w:val="282"/>
        </w:trPr>
        <w:tc>
          <w:tcPr>
            <w:tcW w:w="8379"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b/>
                <w:color w:val="000000"/>
                <w:sz w:val="19"/>
                <w:szCs w:val="19"/>
              </w:rPr>
            </w:pPr>
            <w:r w:rsidRPr="00641B08">
              <w:rPr>
                <w:rFonts w:cs="Arial"/>
                <w:b/>
                <w:color w:val="000000"/>
                <w:sz w:val="19"/>
                <w:szCs w:val="19"/>
              </w:rPr>
              <w:t>Ownership of Dwelling</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Own household or family</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86%</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97%</w:t>
            </w:r>
          </w:p>
        </w:tc>
      </w:tr>
      <w:tr w:rsidR="00E36600" w:rsidRPr="00641B08" w:rsidTr="00E92ABF">
        <w:trPr>
          <w:trHeight w:val="318"/>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Private ownership (not family)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3%</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1%</w:t>
            </w:r>
          </w:p>
        </w:tc>
      </w:tr>
      <w:tr w:rsidR="00E36600" w:rsidRPr="00641B08" w:rsidTr="00E92ABF">
        <w:trPr>
          <w:trHeight w:val="214"/>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Municipality</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1%</w:t>
            </w:r>
          </w:p>
        </w:tc>
      </w:tr>
      <w:tr w:rsidR="00E36600" w:rsidRPr="00641B08" w:rsidTr="00E92ABF">
        <w:trPr>
          <w:trHeight w:val="276"/>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Unknown ownership</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1%</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rPr>
            </w:pPr>
            <w:r w:rsidRPr="00641B08">
              <w:rPr>
                <w:rFonts w:cs="Arial"/>
                <w:color w:val="000000"/>
                <w:sz w:val="19"/>
                <w:szCs w:val="19"/>
              </w:rPr>
              <w:t>1%</w:t>
            </w:r>
          </w:p>
        </w:tc>
      </w:tr>
      <w:tr w:rsidR="00E36600" w:rsidRPr="00641B08" w:rsidTr="00E92ABF">
        <w:trPr>
          <w:trHeight w:val="214"/>
        </w:trPr>
        <w:tc>
          <w:tcPr>
            <w:tcW w:w="837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b/>
                <w:color w:val="000000"/>
                <w:sz w:val="19"/>
                <w:szCs w:val="19"/>
                <w:lang w:eastAsia="en-GB"/>
              </w:rPr>
            </w:pPr>
            <w:r w:rsidRPr="00641B08">
              <w:rPr>
                <w:rFonts w:cs="Arial"/>
                <w:b/>
                <w:color w:val="000000"/>
                <w:sz w:val="19"/>
                <w:szCs w:val="19"/>
                <w:lang w:eastAsia="en-GB"/>
              </w:rPr>
              <w:t>Access to various HH amenities**</w:t>
            </w:r>
          </w:p>
        </w:tc>
      </w:tr>
      <w:tr w:rsidR="00E36600" w:rsidRPr="00641B08" w:rsidTr="00E92ABF">
        <w:trPr>
          <w:trHeight w:val="23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 Radio receiver</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33%</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60%</w:t>
            </w:r>
          </w:p>
        </w:tc>
      </w:tr>
      <w:tr w:rsidR="00E36600" w:rsidRPr="00641B08" w:rsidTr="00E92ABF">
        <w:trPr>
          <w:trHeight w:val="190"/>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 Colour TV</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99%</w:t>
            </w:r>
          </w:p>
        </w:tc>
      </w:tr>
      <w:tr w:rsidR="00E36600" w:rsidRPr="00641B08" w:rsidTr="00E92ABF">
        <w:trPr>
          <w:trHeight w:val="22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3. Bicycle or motorbike</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41%</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83%</w:t>
            </w:r>
          </w:p>
        </w:tc>
      </w:tr>
      <w:tr w:rsidR="00E36600" w:rsidRPr="00641B08" w:rsidTr="00E92ABF">
        <w:trPr>
          <w:trHeight w:val="70"/>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4. Car/van for private use</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66%</w:t>
            </w:r>
          </w:p>
        </w:tc>
      </w:tr>
      <w:tr w:rsidR="00E36600" w:rsidRPr="00641B08" w:rsidTr="00E92ABF">
        <w:trPr>
          <w:trHeight w:val="27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5. Horse</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w:t>
            </w:r>
          </w:p>
        </w:tc>
      </w:tr>
      <w:tr w:rsidR="00E36600" w:rsidRPr="00641B08" w:rsidTr="00E92ABF">
        <w:trPr>
          <w:trHeight w:val="276"/>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6. Computer</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63%</w:t>
            </w:r>
          </w:p>
        </w:tc>
      </w:tr>
      <w:tr w:rsidR="00E36600" w:rsidRPr="00641B08" w:rsidTr="00E92ABF">
        <w:trPr>
          <w:trHeight w:val="266"/>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7. Internet connection</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12%</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55%</w:t>
            </w:r>
          </w:p>
        </w:tc>
      </w:tr>
      <w:tr w:rsidR="00E36600" w:rsidRPr="00641B08" w:rsidTr="00E92ABF">
        <w:trPr>
          <w:trHeight w:val="284"/>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 Mobile phone or landline</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65%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93%</w:t>
            </w:r>
          </w:p>
        </w:tc>
      </w:tr>
      <w:tr w:rsidR="00E36600" w:rsidRPr="00641B08" w:rsidTr="00E92ABF">
        <w:trPr>
          <w:trHeight w:val="274"/>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9. Washing machine</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72%</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97%</w:t>
            </w:r>
          </w:p>
        </w:tc>
      </w:tr>
      <w:tr w:rsidR="00E36600" w:rsidRPr="00641B08" w:rsidTr="00E92ABF">
        <w:trPr>
          <w:trHeight w:val="264"/>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10. Bed for each HH member including infants</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75%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97%</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11. 30 and more books</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18%</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73%</w:t>
            </w:r>
          </w:p>
        </w:tc>
      </w:tr>
      <w:tr w:rsidR="00E36600" w:rsidRPr="00641B08" w:rsidTr="00E92ABF">
        <w:trPr>
          <w:trHeight w:val="282"/>
        </w:trPr>
        <w:tc>
          <w:tcPr>
            <w:tcW w:w="837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b/>
                <w:color w:val="000000"/>
                <w:sz w:val="19"/>
                <w:szCs w:val="19"/>
                <w:lang w:eastAsia="en-GB"/>
              </w:rPr>
            </w:pPr>
            <w:r w:rsidRPr="00641B08">
              <w:rPr>
                <w:rFonts w:cs="Arial"/>
                <w:b/>
                <w:color w:val="000000"/>
                <w:sz w:val="19"/>
                <w:szCs w:val="19"/>
                <w:lang w:eastAsia="en-GB"/>
              </w:rPr>
              <w:t>Other indices</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Material deprivation</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90%</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59%</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Severe material deprivation</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46%</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Relative poverty rate (60% equalized median income)</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87%</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45%</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Ratio of richest 20% v. poorest 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5,32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8,86</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Financial security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9%</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43%</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Outstanding payments (share of people)</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6%</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Home production</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17%</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40%</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Malnutrition</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34%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7%</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Preference of living in mixed areas</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72%</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A75E1B"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0%</w:t>
            </w:r>
          </w:p>
        </w:tc>
      </w:tr>
      <w:tr w:rsidR="00E36600" w:rsidRPr="00641B08" w:rsidTr="00E92ABF">
        <w:trPr>
          <w:trHeight w:val="282"/>
        </w:trPr>
        <w:tc>
          <w:tcPr>
            <w:tcW w:w="837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b/>
                <w:color w:val="000000"/>
                <w:sz w:val="19"/>
                <w:szCs w:val="19"/>
                <w:lang w:eastAsia="en-GB"/>
              </w:rPr>
            </w:pPr>
            <w:r w:rsidRPr="00641B08">
              <w:rPr>
                <w:rFonts w:cs="Arial"/>
                <w:b/>
                <w:color w:val="000000"/>
                <w:sz w:val="19"/>
                <w:szCs w:val="19"/>
                <w:lang w:eastAsia="en-GB"/>
              </w:rPr>
              <w:t>Preferences - source of income (16-64)</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Live on social assistance with problems making both ends meet but with no particular effort</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24%</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11%</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Have higher standards of living but working hard to earn your living</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76%</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89%</w:t>
            </w:r>
          </w:p>
        </w:tc>
      </w:tr>
      <w:tr w:rsidR="00E36600" w:rsidRPr="00641B08" w:rsidTr="00E92ABF">
        <w:trPr>
          <w:trHeight w:val="282"/>
        </w:trPr>
        <w:tc>
          <w:tcPr>
            <w:tcW w:w="8379" w:type="dxa"/>
            <w:gridSpan w:val="3"/>
            <w:tcBorders>
              <w:top w:val="single" w:sz="4" w:space="0" w:color="auto"/>
              <w:left w:val="single" w:sz="4" w:space="0" w:color="auto"/>
              <w:bottom w:val="single" w:sz="4" w:space="0" w:color="auto"/>
              <w:right w:val="single" w:sz="4" w:space="0" w:color="auto"/>
            </w:tcBorders>
            <w:shd w:val="pct15" w:color="auto" w:fill="auto"/>
            <w:vAlign w:val="bottom"/>
          </w:tcPr>
          <w:p w:rsidR="00E36600" w:rsidRPr="00641B08" w:rsidRDefault="00E36600" w:rsidP="0071153F">
            <w:pPr>
              <w:spacing w:before="20" w:after="20" w:line="240" w:lineRule="auto"/>
              <w:jc w:val="left"/>
              <w:rPr>
                <w:rFonts w:cs="Arial"/>
                <w:b/>
                <w:color w:val="000000"/>
                <w:sz w:val="19"/>
                <w:szCs w:val="19"/>
                <w:lang w:eastAsia="en-GB"/>
              </w:rPr>
            </w:pPr>
            <w:r w:rsidRPr="00641B08">
              <w:rPr>
                <w:rFonts w:cs="Arial"/>
                <w:b/>
                <w:color w:val="000000"/>
                <w:sz w:val="19"/>
                <w:szCs w:val="19"/>
                <w:lang w:eastAsia="en-GB"/>
              </w:rPr>
              <w:t>Preferences - source of income (16-24)</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Live on social assistance with problems making both ends meet but with no particular effort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26%</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11%</w:t>
            </w:r>
          </w:p>
        </w:tc>
      </w:tr>
      <w:tr w:rsidR="00E36600"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 xml:space="preserve">Have higher standards of living but working hard to earn your </w:t>
            </w:r>
            <w:r w:rsidRPr="00641B08">
              <w:rPr>
                <w:rFonts w:cs="Arial"/>
                <w:color w:val="000000"/>
                <w:sz w:val="19"/>
                <w:szCs w:val="19"/>
                <w:lang w:eastAsia="en-GB"/>
              </w:rPr>
              <w:lastRenderedPageBreak/>
              <w:t>living</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lastRenderedPageBreak/>
              <w:t>74%</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641B08" w:rsidRDefault="00E36600"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89%</w:t>
            </w:r>
          </w:p>
        </w:tc>
      </w:tr>
      <w:tr w:rsidR="00CB04CB" w:rsidRPr="00641B08" w:rsidTr="00E92ABF">
        <w:trPr>
          <w:trHeight w:val="282"/>
        </w:trPr>
        <w:tc>
          <w:tcPr>
            <w:tcW w:w="837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CB04CB" w:rsidRPr="00641B08" w:rsidRDefault="00CB04CB" w:rsidP="0071153F">
            <w:pPr>
              <w:spacing w:before="20" w:after="20" w:line="240" w:lineRule="auto"/>
              <w:jc w:val="left"/>
              <w:rPr>
                <w:rFonts w:cs="Arial"/>
                <w:b/>
                <w:color w:val="000000"/>
                <w:sz w:val="19"/>
                <w:szCs w:val="19"/>
                <w:lang w:eastAsia="en-GB"/>
              </w:rPr>
            </w:pPr>
            <w:r w:rsidRPr="00641B08">
              <w:rPr>
                <w:rFonts w:cs="Arial"/>
                <w:b/>
                <w:color w:val="000000"/>
                <w:sz w:val="19"/>
                <w:szCs w:val="19"/>
                <w:lang w:eastAsia="en-GB"/>
              </w:rPr>
              <w:lastRenderedPageBreak/>
              <w:t>Informal work (15-64)</w:t>
            </w:r>
          </w:p>
        </w:tc>
      </w:tr>
      <w:tr w:rsidR="00CB04CB" w:rsidRPr="00641B08" w:rsidTr="00E92ABF">
        <w:trPr>
          <w:trHeight w:val="282"/>
        </w:trPr>
        <w:tc>
          <w:tcPr>
            <w:tcW w:w="5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CB04CB" w:rsidRPr="00641B08" w:rsidRDefault="00CB04CB"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Informal employment incidence</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CB04CB" w:rsidRPr="00641B08" w:rsidRDefault="00CB04CB"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21%</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CB04CB" w:rsidRPr="00641B08" w:rsidRDefault="00CB04CB" w:rsidP="0071153F">
            <w:pPr>
              <w:spacing w:before="20" w:after="20" w:line="240" w:lineRule="auto"/>
              <w:jc w:val="left"/>
              <w:rPr>
                <w:rFonts w:cs="Arial"/>
                <w:color w:val="000000"/>
                <w:sz w:val="19"/>
                <w:szCs w:val="19"/>
                <w:lang w:eastAsia="en-GB"/>
              </w:rPr>
            </w:pPr>
            <w:r w:rsidRPr="00641B08">
              <w:rPr>
                <w:rFonts w:cs="Arial"/>
                <w:color w:val="000000"/>
                <w:sz w:val="19"/>
                <w:szCs w:val="19"/>
                <w:lang w:eastAsia="en-GB"/>
              </w:rPr>
              <w:t>5%</w:t>
            </w:r>
          </w:p>
        </w:tc>
      </w:tr>
    </w:tbl>
    <w:p w:rsidR="00E36600" w:rsidRPr="00152EDD" w:rsidRDefault="00E36600" w:rsidP="00152EDD">
      <w:pPr>
        <w:spacing w:after="240" w:line="240" w:lineRule="auto"/>
        <w:rPr>
          <w:rFonts w:cs="Arial"/>
          <w:sz w:val="16"/>
          <w:szCs w:val="16"/>
          <w:lang w:eastAsia="en-GB"/>
        </w:rPr>
      </w:pPr>
      <w:r w:rsidRPr="00152EDD">
        <w:rPr>
          <w:rFonts w:cs="Arial"/>
          <w:b/>
          <w:sz w:val="16"/>
          <w:szCs w:val="16"/>
        </w:rPr>
        <w:t>Source:</w:t>
      </w:r>
      <w:r w:rsidRPr="00152EDD">
        <w:rPr>
          <w:rFonts w:cs="Arial"/>
          <w:sz w:val="16"/>
          <w:szCs w:val="16"/>
        </w:rPr>
        <w:t xml:space="preserve"> </w:t>
      </w:r>
      <w:r w:rsidRPr="00152EDD">
        <w:rPr>
          <w:rFonts w:cs="Arial"/>
          <w:sz w:val="16"/>
          <w:szCs w:val="16"/>
          <w:lang w:eastAsia="en-GB"/>
        </w:rPr>
        <w:t>UNDP/WB/EC Regional survey 2011</w:t>
      </w:r>
    </w:p>
    <w:p w:rsidR="00F8745C" w:rsidRPr="00301583" w:rsidRDefault="00F8745C" w:rsidP="005D387B">
      <w:pPr>
        <w:jc w:val="center"/>
        <w:rPr>
          <w:rFonts w:cs="Arial"/>
          <w:b/>
          <w:sz w:val="20"/>
        </w:rPr>
      </w:pPr>
    </w:p>
    <w:p w:rsidR="00152EDD" w:rsidRDefault="00152EDD" w:rsidP="00152EDD">
      <w:pPr>
        <w:pStyle w:val="Caption"/>
        <w:keepNext/>
        <w:spacing w:after="120"/>
      </w:pPr>
      <w:bookmarkStart w:id="170" w:name="_Ref392508750"/>
      <w:bookmarkStart w:id="171" w:name="_Toc385939089"/>
      <w:bookmarkStart w:id="172" w:name="_Toc392509045"/>
      <w:r>
        <w:t xml:space="preserve">Table </w:t>
      </w:r>
      <w:r>
        <w:fldChar w:fldCharType="begin"/>
      </w:r>
      <w:r>
        <w:instrText xml:space="preserve"> SEQ Table \* ARABIC </w:instrText>
      </w:r>
      <w:r>
        <w:fldChar w:fldCharType="separate"/>
      </w:r>
      <w:r w:rsidR="00DC6D66">
        <w:rPr>
          <w:noProof/>
        </w:rPr>
        <w:t>16</w:t>
      </w:r>
      <w:r>
        <w:fldChar w:fldCharType="end"/>
      </w:r>
      <w:bookmarkEnd w:id="170"/>
      <w:r>
        <w:t xml:space="preserve">: </w:t>
      </w:r>
      <w:r w:rsidRPr="00301583">
        <w:t>Migration intentions, attitudes and awareness of Slovakian Roma</w:t>
      </w:r>
      <w:r>
        <w:t xml:space="preserve"> </w:t>
      </w:r>
      <w:r w:rsidRPr="00301583">
        <w:rPr>
          <w:rFonts w:cs="Arial"/>
          <w:szCs w:val="24"/>
        </w:rPr>
        <w:t>of segregated neighbourhoods and their non-Roma proximity</w:t>
      </w:r>
      <w:bookmarkEnd w:id="171"/>
      <w:bookmarkEnd w:id="172"/>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1418"/>
      </w:tblGrid>
      <w:tr w:rsidR="00E36600" w:rsidRPr="00152EDD" w:rsidTr="00E92ABF">
        <w:trPr>
          <w:trHeight w:val="300"/>
        </w:trPr>
        <w:tc>
          <w:tcPr>
            <w:tcW w:w="5495" w:type="dxa"/>
            <w:tcBorders>
              <w:bottom w:val="single" w:sz="18" w:space="0" w:color="auto"/>
              <w:right w:val="single" w:sz="4" w:space="0" w:color="auto"/>
            </w:tcBorders>
            <w:shd w:val="clear" w:color="auto" w:fill="auto"/>
            <w:noWrap/>
            <w:vAlign w:val="center"/>
          </w:tcPr>
          <w:p w:rsidR="00E36600" w:rsidRPr="00152EDD" w:rsidRDefault="00E36600" w:rsidP="00152EDD">
            <w:pPr>
              <w:spacing w:before="20" w:after="20" w:line="240" w:lineRule="auto"/>
              <w:jc w:val="center"/>
              <w:rPr>
                <w:rFonts w:cs="Arial"/>
                <w:sz w:val="19"/>
                <w:szCs w:val="19"/>
                <w:lang w:eastAsia="en-GB"/>
              </w:rPr>
            </w:pPr>
            <w:r w:rsidRPr="00152EDD">
              <w:rPr>
                <w:rFonts w:cs="Arial"/>
                <w:b/>
                <w:sz w:val="19"/>
                <w:szCs w:val="19"/>
                <w:lang w:eastAsia="en-GB"/>
              </w:rPr>
              <w:t>ASPECTS</w:t>
            </w:r>
          </w:p>
        </w:tc>
        <w:tc>
          <w:tcPr>
            <w:tcW w:w="1559" w:type="dxa"/>
            <w:tcBorders>
              <w:left w:val="single" w:sz="4" w:space="0" w:color="auto"/>
              <w:bottom w:val="single" w:sz="18" w:space="0" w:color="auto"/>
              <w:right w:val="single" w:sz="4" w:space="0" w:color="auto"/>
            </w:tcBorders>
            <w:shd w:val="clear" w:color="auto" w:fill="auto"/>
            <w:noWrap/>
            <w:vAlign w:val="center"/>
          </w:tcPr>
          <w:p w:rsidR="00E36600" w:rsidRPr="00152EDD" w:rsidRDefault="00E36600" w:rsidP="00152EDD">
            <w:pPr>
              <w:spacing w:before="20" w:after="20" w:line="240" w:lineRule="auto"/>
              <w:jc w:val="center"/>
              <w:rPr>
                <w:rFonts w:cs="Arial"/>
                <w:b/>
                <w:bCs/>
                <w:sz w:val="19"/>
                <w:szCs w:val="19"/>
                <w:lang w:eastAsia="en-GB"/>
              </w:rPr>
            </w:pPr>
            <w:r w:rsidRPr="00152EDD">
              <w:rPr>
                <w:rFonts w:cs="Arial"/>
                <w:b/>
                <w:bCs/>
                <w:sz w:val="19"/>
                <w:szCs w:val="19"/>
                <w:lang w:eastAsia="en-GB"/>
              </w:rPr>
              <w:t>Roma</w:t>
            </w:r>
          </w:p>
        </w:tc>
        <w:tc>
          <w:tcPr>
            <w:tcW w:w="1418" w:type="dxa"/>
            <w:tcBorders>
              <w:left w:val="single" w:sz="4" w:space="0" w:color="auto"/>
              <w:bottom w:val="single" w:sz="18" w:space="0" w:color="auto"/>
            </w:tcBorders>
            <w:shd w:val="clear" w:color="auto" w:fill="auto"/>
            <w:noWrap/>
            <w:vAlign w:val="center"/>
          </w:tcPr>
          <w:p w:rsidR="00E36600" w:rsidRPr="00152EDD" w:rsidRDefault="00E36600" w:rsidP="00152EDD">
            <w:pPr>
              <w:spacing w:before="20" w:after="20" w:line="240" w:lineRule="auto"/>
              <w:jc w:val="center"/>
              <w:rPr>
                <w:rFonts w:cs="Arial"/>
                <w:b/>
                <w:bCs/>
                <w:sz w:val="19"/>
                <w:szCs w:val="19"/>
                <w:lang w:eastAsia="en-GB"/>
              </w:rPr>
            </w:pPr>
            <w:r w:rsidRPr="00152EDD">
              <w:rPr>
                <w:rFonts w:cs="Arial"/>
                <w:b/>
                <w:bCs/>
                <w:sz w:val="19"/>
                <w:szCs w:val="19"/>
                <w:lang w:eastAsia="en-GB"/>
              </w:rPr>
              <w:t>Non-Roma</w:t>
            </w:r>
          </w:p>
        </w:tc>
      </w:tr>
      <w:tr w:rsidR="00E36600" w:rsidRPr="00152EDD" w:rsidTr="00E92ABF">
        <w:trPr>
          <w:trHeight w:val="288"/>
        </w:trPr>
        <w:tc>
          <w:tcPr>
            <w:tcW w:w="5495" w:type="dxa"/>
            <w:tcBorders>
              <w:top w:val="single" w:sz="18" w:space="0" w:color="auto"/>
            </w:tcBorders>
            <w:shd w:val="clear" w:color="auto" w:fill="D9D9D9" w:themeFill="background1" w:themeFillShade="D9"/>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HH migration history</w:t>
            </w:r>
          </w:p>
        </w:tc>
        <w:tc>
          <w:tcPr>
            <w:tcW w:w="1559" w:type="dxa"/>
            <w:tcBorders>
              <w:top w:val="single" w:sz="18"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3%</w:t>
            </w:r>
          </w:p>
        </w:tc>
        <w:tc>
          <w:tcPr>
            <w:tcW w:w="1418" w:type="dxa"/>
            <w:tcBorders>
              <w:top w:val="single" w:sz="18"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5%</w:t>
            </w:r>
          </w:p>
        </w:tc>
      </w:tr>
      <w:tr w:rsidR="00E36600" w:rsidRPr="00152EDD" w:rsidTr="00E92ABF">
        <w:trPr>
          <w:trHeight w:val="288"/>
        </w:trPr>
        <w:tc>
          <w:tcPr>
            <w:tcW w:w="5495" w:type="dxa"/>
            <w:shd w:val="clear" w:color="auto" w:fill="auto"/>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Support from abroad</w:t>
            </w:r>
          </w:p>
        </w:tc>
        <w:tc>
          <w:tcPr>
            <w:tcW w:w="1559" w:type="dxa"/>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4%</w:t>
            </w:r>
          </w:p>
        </w:tc>
        <w:tc>
          <w:tcPr>
            <w:tcW w:w="1418" w:type="dxa"/>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w:t>
            </w:r>
          </w:p>
        </w:tc>
      </w:tr>
      <w:tr w:rsidR="00E36600" w:rsidRPr="00152EDD" w:rsidTr="00E92ABF">
        <w:trPr>
          <w:trHeight w:val="288"/>
        </w:trPr>
        <w:tc>
          <w:tcPr>
            <w:tcW w:w="5495" w:type="dxa"/>
            <w:tcBorders>
              <w:bottom w:val="single" w:sz="4" w:space="0" w:color="auto"/>
            </w:tcBorders>
            <w:shd w:val="clear" w:color="auto" w:fill="D9D9D9" w:themeFill="background1" w:themeFillShade="D9"/>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Migration intention</w:t>
            </w:r>
          </w:p>
        </w:tc>
        <w:tc>
          <w:tcPr>
            <w:tcW w:w="1559" w:type="dxa"/>
            <w:tcBorders>
              <w:bottom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22%</w:t>
            </w:r>
          </w:p>
        </w:tc>
        <w:tc>
          <w:tcPr>
            <w:tcW w:w="1418" w:type="dxa"/>
            <w:tcBorders>
              <w:bottom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14%</w:t>
            </w:r>
          </w:p>
        </w:tc>
      </w:tr>
      <w:tr w:rsidR="00E36600" w:rsidRPr="00152EDD" w:rsidTr="00E92ABF">
        <w:trPr>
          <w:trHeight w:val="288"/>
        </w:trPr>
        <w:tc>
          <w:tcPr>
            <w:tcW w:w="8472" w:type="dxa"/>
            <w:gridSpan w:val="3"/>
            <w:shd w:val="clear" w:color="auto" w:fill="auto"/>
            <w:noWrap/>
            <w:vAlign w:val="bottom"/>
          </w:tcPr>
          <w:p w:rsidR="00E36600" w:rsidRPr="00152EDD" w:rsidRDefault="00E36600" w:rsidP="00E92ABF">
            <w:pPr>
              <w:spacing w:before="20" w:after="20" w:line="240" w:lineRule="auto"/>
              <w:jc w:val="left"/>
              <w:rPr>
                <w:rFonts w:cs="Arial"/>
                <w:b/>
                <w:color w:val="000000"/>
                <w:sz w:val="19"/>
                <w:szCs w:val="19"/>
                <w:lang w:eastAsia="en-GB"/>
              </w:rPr>
            </w:pPr>
            <w:r w:rsidRPr="00152EDD">
              <w:rPr>
                <w:rFonts w:cs="Arial"/>
                <w:b/>
                <w:color w:val="000000"/>
                <w:sz w:val="19"/>
                <w:szCs w:val="19"/>
                <w:lang w:eastAsia="en-GB"/>
              </w:rPr>
              <w:t>Migration timing</w:t>
            </w:r>
          </w:p>
        </w:tc>
      </w:tr>
      <w:tr w:rsidR="00E36600" w:rsidRPr="00152EDD" w:rsidTr="00E92ABF">
        <w:trPr>
          <w:trHeight w:val="292"/>
        </w:trPr>
        <w:tc>
          <w:tcPr>
            <w:tcW w:w="5495" w:type="dxa"/>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 xml:space="preserve"> In less than 6 months</w:t>
            </w:r>
          </w:p>
        </w:tc>
        <w:tc>
          <w:tcPr>
            <w:tcW w:w="1559" w:type="dxa"/>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25%</w:t>
            </w:r>
          </w:p>
        </w:tc>
        <w:tc>
          <w:tcPr>
            <w:tcW w:w="1418" w:type="dxa"/>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24%</w:t>
            </w:r>
          </w:p>
        </w:tc>
      </w:tr>
      <w:tr w:rsidR="00E36600" w:rsidRPr="00152EDD" w:rsidTr="00E92ABF">
        <w:trPr>
          <w:trHeight w:val="268"/>
        </w:trPr>
        <w:tc>
          <w:tcPr>
            <w:tcW w:w="5495" w:type="dxa"/>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 xml:space="preserve"> In 6 to 12 months</w:t>
            </w:r>
          </w:p>
        </w:tc>
        <w:tc>
          <w:tcPr>
            <w:tcW w:w="1559" w:type="dxa"/>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15%</w:t>
            </w:r>
          </w:p>
        </w:tc>
        <w:tc>
          <w:tcPr>
            <w:tcW w:w="1418" w:type="dxa"/>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15%</w:t>
            </w:r>
          </w:p>
        </w:tc>
      </w:tr>
      <w:tr w:rsidR="00E36600" w:rsidRPr="00152EDD" w:rsidTr="00E92ABF">
        <w:trPr>
          <w:trHeight w:val="272"/>
        </w:trPr>
        <w:tc>
          <w:tcPr>
            <w:tcW w:w="5495" w:type="dxa"/>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 xml:space="preserve">In more than a year </w:t>
            </w:r>
          </w:p>
        </w:tc>
        <w:tc>
          <w:tcPr>
            <w:tcW w:w="1559" w:type="dxa"/>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48%</w:t>
            </w:r>
          </w:p>
        </w:tc>
        <w:tc>
          <w:tcPr>
            <w:tcW w:w="1418" w:type="dxa"/>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54%</w:t>
            </w:r>
          </w:p>
        </w:tc>
      </w:tr>
      <w:tr w:rsidR="00E36600" w:rsidRPr="00152EDD" w:rsidTr="00E92ABF">
        <w:trPr>
          <w:trHeight w:val="276"/>
        </w:trPr>
        <w:tc>
          <w:tcPr>
            <w:tcW w:w="5495" w:type="dxa"/>
            <w:tcBorders>
              <w:bottom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I`ll never move there</w:t>
            </w:r>
          </w:p>
        </w:tc>
        <w:tc>
          <w:tcPr>
            <w:tcW w:w="1559" w:type="dxa"/>
            <w:tcBorders>
              <w:bottom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12%</w:t>
            </w:r>
          </w:p>
        </w:tc>
        <w:tc>
          <w:tcPr>
            <w:tcW w:w="1418" w:type="dxa"/>
            <w:tcBorders>
              <w:bottom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7%</w:t>
            </w:r>
          </w:p>
        </w:tc>
      </w:tr>
      <w:tr w:rsidR="00E36600" w:rsidRPr="00152EDD" w:rsidTr="00E92ABF">
        <w:trPr>
          <w:trHeight w:val="276"/>
        </w:trPr>
        <w:tc>
          <w:tcPr>
            <w:tcW w:w="8472" w:type="dxa"/>
            <w:gridSpan w:val="3"/>
            <w:tcBorders>
              <w:top w:val="single" w:sz="4" w:space="0" w:color="auto"/>
              <w:left w:val="single" w:sz="4" w:space="0" w:color="auto"/>
              <w:bottom w:val="single" w:sz="4" w:space="0" w:color="auto"/>
              <w:right w:val="single" w:sz="4" w:space="0" w:color="auto"/>
            </w:tcBorders>
            <w:shd w:val="pct15" w:color="auto" w:fill="auto"/>
            <w:vAlign w:val="bottom"/>
          </w:tcPr>
          <w:p w:rsidR="00E36600" w:rsidRPr="00152EDD" w:rsidRDefault="00E36600" w:rsidP="00E92ABF">
            <w:pPr>
              <w:spacing w:before="20" w:after="20" w:line="240" w:lineRule="auto"/>
              <w:jc w:val="left"/>
              <w:rPr>
                <w:rFonts w:cs="Arial"/>
                <w:b/>
                <w:color w:val="000000"/>
                <w:sz w:val="19"/>
                <w:szCs w:val="19"/>
                <w:lang w:eastAsia="en-GB"/>
              </w:rPr>
            </w:pPr>
            <w:r w:rsidRPr="00152EDD">
              <w:rPr>
                <w:rFonts w:cs="Arial"/>
                <w:b/>
                <w:color w:val="000000"/>
                <w:sz w:val="19"/>
                <w:szCs w:val="19"/>
                <w:lang w:eastAsia="en-GB"/>
              </w:rPr>
              <w:t>Migration targets</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Top 3 target countries Roma</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1. United Kingdom/England</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41%</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2. Czech Republic</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 xml:space="preserve">3. Germany </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11%</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Top 3 target countries non-Roma</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1. United Kingdom/England</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19%</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 xml:space="preserve">2. Germany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12%</w:t>
            </w:r>
          </w:p>
        </w:tc>
      </w:tr>
      <w:tr w:rsidR="00E36600" w:rsidRPr="00152EDD" w:rsidTr="00E92ABF">
        <w:trPr>
          <w:trHeight w:val="276"/>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3. Austria</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12%</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8472"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b/>
                <w:bCs/>
                <w:color w:val="003300"/>
                <w:sz w:val="19"/>
                <w:szCs w:val="19"/>
                <w:lang w:eastAsia="en-GB"/>
              </w:rPr>
            </w:pPr>
            <w:r w:rsidRPr="00152EDD">
              <w:rPr>
                <w:rFonts w:cs="Arial"/>
                <w:b/>
                <w:color w:val="000000"/>
                <w:sz w:val="19"/>
                <w:szCs w:val="19"/>
                <w:lang w:eastAsia="en-GB"/>
              </w:rPr>
              <w:t>Lifestyles and awareness </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8"/>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bribing</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12%</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4%</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8"/>
        </w:trPr>
        <w:tc>
          <w:tcPr>
            <w:tcW w:w="54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getting bribes</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3%</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8"/>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tax evasion</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9%</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4%</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8"/>
        </w:trPr>
        <w:tc>
          <w:tcPr>
            <w:tcW w:w="54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stealing food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18%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7%</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8"/>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mixed marriages</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50%</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31%</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5495"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positive discrimination - language support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91%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84%</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2"/>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positive discrimination – scholarships</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92%</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89%</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9"/>
        </w:trPr>
        <w:tc>
          <w:tcPr>
            <w:tcW w:w="5495"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positive discrimination - preferential a</w:t>
            </w:r>
            <w:r w:rsidRPr="00152EDD">
              <w:rPr>
                <w:rFonts w:cs="Arial"/>
                <w:color w:val="000000"/>
                <w:sz w:val="19"/>
                <w:szCs w:val="19"/>
                <w:lang w:eastAsia="en-GB"/>
              </w:rPr>
              <w:t>c</w:t>
            </w:r>
            <w:r w:rsidRPr="00152EDD">
              <w:rPr>
                <w:rFonts w:cs="Arial"/>
                <w:color w:val="000000"/>
                <w:sz w:val="19"/>
                <w:szCs w:val="19"/>
                <w:lang w:eastAsia="en-GB"/>
              </w:rPr>
              <w:t>ceptance in school</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84%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57%</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positive discrimination - support to employers</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89%</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79%</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5"/>
        </w:trPr>
        <w:tc>
          <w:tcPr>
            <w:tcW w:w="5495" w:type="dxa"/>
            <w:tcBorders>
              <w:top w:val="single" w:sz="4" w:space="0" w:color="auto"/>
              <w:left w:val="single" w:sz="4" w:space="0" w:color="auto"/>
              <w:bottom w:val="single" w:sz="4" w:space="0" w:color="auto"/>
              <w:right w:val="single" w:sz="4" w:space="0" w:color="auto"/>
            </w:tcBorders>
            <w:shd w:val="clear" w:color="auto" w:fill="auto"/>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Acceptability of positive discrimination - public employment</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91%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74%</w:t>
            </w:r>
          </w:p>
        </w:tc>
      </w:tr>
      <w:tr w:rsidR="00E36600" w:rsidRPr="00152EDD" w:rsidTr="00E92A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54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152EDD">
            <w:pPr>
              <w:spacing w:before="20" w:after="20" w:line="240" w:lineRule="auto"/>
              <w:rPr>
                <w:rFonts w:cs="Arial"/>
                <w:color w:val="000000"/>
                <w:sz w:val="19"/>
                <w:szCs w:val="19"/>
                <w:lang w:eastAsia="en-GB"/>
              </w:rPr>
            </w:pPr>
            <w:r w:rsidRPr="00152EDD">
              <w:rPr>
                <w:rFonts w:cs="Arial"/>
                <w:color w:val="000000"/>
                <w:sz w:val="19"/>
                <w:szCs w:val="19"/>
                <w:lang w:eastAsia="en-GB"/>
              </w:rPr>
              <w:t>Awareness of NGOs working for Roma</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21%</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36600" w:rsidRPr="00152EDD" w:rsidRDefault="00E36600" w:rsidP="00E92ABF">
            <w:pPr>
              <w:spacing w:before="20" w:after="20" w:line="240" w:lineRule="auto"/>
              <w:jc w:val="left"/>
              <w:rPr>
                <w:rFonts w:cs="Arial"/>
                <w:color w:val="000000"/>
                <w:sz w:val="19"/>
                <w:szCs w:val="19"/>
                <w:lang w:eastAsia="en-GB"/>
              </w:rPr>
            </w:pPr>
            <w:r w:rsidRPr="00152EDD">
              <w:rPr>
                <w:rFonts w:cs="Arial"/>
                <w:color w:val="000000"/>
                <w:sz w:val="19"/>
                <w:szCs w:val="19"/>
                <w:lang w:eastAsia="en-GB"/>
              </w:rPr>
              <w:t> </w:t>
            </w:r>
          </w:p>
        </w:tc>
      </w:tr>
    </w:tbl>
    <w:p w:rsidR="00E36600" w:rsidRPr="0071153F" w:rsidRDefault="00E36600" w:rsidP="0071153F">
      <w:pPr>
        <w:spacing w:after="240" w:line="240" w:lineRule="auto"/>
        <w:rPr>
          <w:rFonts w:cs="Arial"/>
          <w:sz w:val="16"/>
          <w:szCs w:val="16"/>
          <w:lang w:eastAsia="en-GB"/>
        </w:rPr>
      </w:pPr>
      <w:r w:rsidRPr="0071153F">
        <w:rPr>
          <w:rFonts w:cs="Arial"/>
          <w:b/>
          <w:sz w:val="16"/>
          <w:szCs w:val="16"/>
        </w:rPr>
        <w:t>Source:</w:t>
      </w:r>
      <w:r w:rsidRPr="0071153F">
        <w:rPr>
          <w:rFonts w:cs="Arial"/>
          <w:sz w:val="16"/>
          <w:szCs w:val="16"/>
        </w:rPr>
        <w:t xml:space="preserve"> </w:t>
      </w:r>
      <w:r w:rsidRPr="0071153F">
        <w:rPr>
          <w:rFonts w:cs="Arial"/>
          <w:sz w:val="16"/>
          <w:szCs w:val="16"/>
          <w:lang w:eastAsia="en-GB"/>
        </w:rPr>
        <w:t>UNDP/WB/EC Regional survey 2011</w:t>
      </w:r>
    </w:p>
    <w:p w:rsidR="00E36600" w:rsidRPr="00301583" w:rsidRDefault="00E36600" w:rsidP="008629ED">
      <w:pPr>
        <w:pStyle w:val="Heading1"/>
        <w:numPr>
          <w:ilvl w:val="0"/>
          <w:numId w:val="0"/>
        </w:numPr>
        <w:ind w:left="510"/>
        <w:jc w:val="center"/>
      </w:pPr>
      <w:r w:rsidRPr="00301583">
        <w:rPr>
          <w:rFonts w:cs="Arial"/>
          <w:sz w:val="20"/>
          <w:lang w:eastAsia="en-GB"/>
        </w:rPr>
        <w:br w:type="page"/>
      </w:r>
    </w:p>
    <w:p w:rsidR="0071153F" w:rsidRDefault="0071153F" w:rsidP="0071153F">
      <w:pPr>
        <w:pStyle w:val="Caption"/>
        <w:keepNext/>
        <w:spacing w:after="120"/>
      </w:pPr>
      <w:bookmarkStart w:id="173" w:name="_Ref392508697"/>
      <w:bookmarkStart w:id="174" w:name="_Toc385939090"/>
      <w:bookmarkStart w:id="175" w:name="_Toc392509046"/>
      <w:r>
        <w:lastRenderedPageBreak/>
        <w:t xml:space="preserve">Table </w:t>
      </w:r>
      <w:r>
        <w:fldChar w:fldCharType="begin"/>
      </w:r>
      <w:r>
        <w:instrText xml:space="preserve"> SEQ Table \* ARABIC </w:instrText>
      </w:r>
      <w:r>
        <w:fldChar w:fldCharType="separate"/>
      </w:r>
      <w:r w:rsidR="00DC6D66">
        <w:rPr>
          <w:noProof/>
        </w:rPr>
        <w:t>17</w:t>
      </w:r>
      <w:r>
        <w:fldChar w:fldCharType="end"/>
      </w:r>
      <w:bookmarkEnd w:id="173"/>
      <w:r>
        <w:t xml:space="preserve">: </w:t>
      </w:r>
      <w:r w:rsidRPr="00301583">
        <w:t>Roma and non-Roma by occupation and industry</w:t>
      </w:r>
      <w:bookmarkEnd w:id="174"/>
      <w:bookmarkEnd w:id="175"/>
    </w:p>
    <w:tbl>
      <w:tblPr>
        <w:tblW w:w="80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1134"/>
        <w:gridCol w:w="1276"/>
        <w:gridCol w:w="1275"/>
        <w:gridCol w:w="1276"/>
      </w:tblGrid>
      <w:tr w:rsidR="00E36600" w:rsidRPr="0071153F" w:rsidTr="00E92ABF">
        <w:trPr>
          <w:trHeight w:val="288"/>
        </w:trPr>
        <w:tc>
          <w:tcPr>
            <w:tcW w:w="3134" w:type="dxa"/>
            <w:vMerge w:val="restart"/>
            <w:shd w:val="clear" w:color="auto" w:fill="auto"/>
            <w:noWrap/>
            <w:vAlign w:val="center"/>
          </w:tcPr>
          <w:p w:rsidR="00E36600" w:rsidRPr="0071153F" w:rsidRDefault="00E36600" w:rsidP="0071153F">
            <w:pPr>
              <w:spacing w:before="20" w:after="20" w:line="240" w:lineRule="auto"/>
              <w:jc w:val="left"/>
              <w:rPr>
                <w:rFonts w:cs="Arial"/>
                <w:sz w:val="19"/>
                <w:szCs w:val="19"/>
                <w:lang w:eastAsia="en-GB"/>
              </w:rPr>
            </w:pPr>
          </w:p>
          <w:p w:rsidR="00E36600" w:rsidRPr="0071153F" w:rsidRDefault="00E36600" w:rsidP="0071153F">
            <w:pPr>
              <w:spacing w:before="20" w:after="20" w:line="240" w:lineRule="auto"/>
              <w:jc w:val="left"/>
              <w:rPr>
                <w:rFonts w:cs="Arial"/>
                <w:sz w:val="19"/>
                <w:szCs w:val="19"/>
                <w:lang w:eastAsia="en-GB"/>
              </w:rPr>
            </w:pPr>
            <w:r w:rsidRPr="0071153F">
              <w:rPr>
                <w:rFonts w:cs="Arial"/>
                <w:sz w:val="19"/>
                <w:szCs w:val="19"/>
                <w:lang w:eastAsia="en-GB"/>
              </w:rPr>
              <w:t>Aspects</w:t>
            </w:r>
          </w:p>
        </w:tc>
        <w:tc>
          <w:tcPr>
            <w:tcW w:w="2410" w:type="dxa"/>
            <w:gridSpan w:val="2"/>
            <w:shd w:val="clear" w:color="auto" w:fill="auto"/>
            <w:vAlign w:val="center"/>
          </w:tcPr>
          <w:p w:rsidR="00E36600" w:rsidRPr="0071153F" w:rsidRDefault="00E36600" w:rsidP="0071153F">
            <w:pPr>
              <w:spacing w:before="20" w:after="20" w:line="240" w:lineRule="auto"/>
              <w:jc w:val="left"/>
              <w:rPr>
                <w:rFonts w:cs="Arial"/>
                <w:b/>
                <w:bCs/>
                <w:sz w:val="19"/>
                <w:szCs w:val="19"/>
                <w:lang w:eastAsia="en-GB"/>
              </w:rPr>
            </w:pPr>
            <w:r w:rsidRPr="0071153F">
              <w:rPr>
                <w:rFonts w:cs="Arial"/>
                <w:b/>
                <w:bCs/>
                <w:sz w:val="19"/>
                <w:szCs w:val="19"/>
                <w:lang w:eastAsia="en-GB"/>
              </w:rPr>
              <w:t>Employment (15-64)</w:t>
            </w:r>
          </w:p>
        </w:tc>
        <w:tc>
          <w:tcPr>
            <w:tcW w:w="2551" w:type="dxa"/>
            <w:gridSpan w:val="2"/>
            <w:shd w:val="clear" w:color="auto" w:fill="auto"/>
            <w:vAlign w:val="center"/>
          </w:tcPr>
          <w:p w:rsidR="00E36600" w:rsidRPr="0071153F" w:rsidRDefault="00E36600" w:rsidP="0071153F">
            <w:pPr>
              <w:spacing w:before="20" w:after="20" w:line="240" w:lineRule="auto"/>
              <w:jc w:val="left"/>
              <w:rPr>
                <w:rFonts w:cs="Arial"/>
                <w:b/>
                <w:bCs/>
                <w:sz w:val="19"/>
                <w:szCs w:val="19"/>
                <w:lang w:eastAsia="en-GB"/>
              </w:rPr>
            </w:pPr>
            <w:r w:rsidRPr="0071153F">
              <w:rPr>
                <w:rFonts w:cs="Arial"/>
                <w:b/>
                <w:bCs/>
                <w:sz w:val="19"/>
                <w:szCs w:val="19"/>
                <w:lang w:eastAsia="en-GB"/>
              </w:rPr>
              <w:t>Unemployment (15-64)</w:t>
            </w:r>
          </w:p>
        </w:tc>
      </w:tr>
      <w:tr w:rsidR="00E36600" w:rsidRPr="0071153F" w:rsidTr="00E92ABF">
        <w:trPr>
          <w:trHeight w:val="300"/>
        </w:trPr>
        <w:tc>
          <w:tcPr>
            <w:tcW w:w="3134" w:type="dxa"/>
            <w:vMerge/>
            <w:tcBorders>
              <w:bottom w:val="single" w:sz="18" w:space="0" w:color="auto"/>
            </w:tcBorders>
            <w:shd w:val="clear" w:color="auto" w:fill="auto"/>
            <w:noWrap/>
            <w:vAlign w:val="bottom"/>
          </w:tcPr>
          <w:p w:rsidR="00E36600" w:rsidRPr="0071153F" w:rsidRDefault="00E36600" w:rsidP="0071153F">
            <w:pPr>
              <w:spacing w:before="20" w:after="20" w:line="240" w:lineRule="auto"/>
              <w:jc w:val="left"/>
              <w:rPr>
                <w:rFonts w:cs="Arial"/>
                <w:sz w:val="19"/>
                <w:szCs w:val="19"/>
                <w:lang w:eastAsia="en-GB"/>
              </w:rPr>
            </w:pPr>
          </w:p>
        </w:tc>
        <w:tc>
          <w:tcPr>
            <w:tcW w:w="1134" w:type="dxa"/>
            <w:tcBorders>
              <w:bottom w:val="single" w:sz="18" w:space="0" w:color="auto"/>
            </w:tcBorders>
            <w:shd w:val="clear" w:color="auto" w:fill="auto"/>
            <w:noWrap/>
            <w:vAlign w:val="center"/>
          </w:tcPr>
          <w:p w:rsidR="00E36600" w:rsidRPr="0071153F" w:rsidRDefault="00E36600" w:rsidP="0071153F">
            <w:pPr>
              <w:spacing w:before="20" w:after="20" w:line="240" w:lineRule="auto"/>
              <w:jc w:val="left"/>
              <w:rPr>
                <w:rFonts w:cs="Arial"/>
                <w:b/>
                <w:bCs/>
                <w:sz w:val="19"/>
                <w:szCs w:val="19"/>
                <w:lang w:eastAsia="en-GB"/>
              </w:rPr>
            </w:pPr>
            <w:r w:rsidRPr="0071153F">
              <w:rPr>
                <w:rFonts w:cs="Arial"/>
                <w:b/>
                <w:bCs/>
                <w:sz w:val="19"/>
                <w:szCs w:val="19"/>
                <w:lang w:eastAsia="en-GB"/>
              </w:rPr>
              <w:t>Roma</w:t>
            </w:r>
          </w:p>
        </w:tc>
        <w:tc>
          <w:tcPr>
            <w:tcW w:w="1276" w:type="dxa"/>
            <w:tcBorders>
              <w:bottom w:val="single" w:sz="18" w:space="0" w:color="auto"/>
            </w:tcBorders>
            <w:shd w:val="clear" w:color="auto" w:fill="auto"/>
            <w:noWrap/>
            <w:vAlign w:val="center"/>
          </w:tcPr>
          <w:p w:rsidR="00E36600" w:rsidRPr="0071153F" w:rsidRDefault="00E36600" w:rsidP="0071153F">
            <w:pPr>
              <w:spacing w:before="20" w:after="20" w:line="240" w:lineRule="auto"/>
              <w:jc w:val="left"/>
              <w:rPr>
                <w:rFonts w:cs="Arial"/>
                <w:b/>
                <w:bCs/>
                <w:sz w:val="19"/>
                <w:szCs w:val="19"/>
                <w:lang w:eastAsia="en-GB"/>
              </w:rPr>
            </w:pPr>
            <w:r w:rsidRPr="0071153F">
              <w:rPr>
                <w:rFonts w:cs="Arial"/>
                <w:b/>
                <w:bCs/>
                <w:sz w:val="19"/>
                <w:szCs w:val="19"/>
                <w:lang w:eastAsia="en-GB"/>
              </w:rPr>
              <w:t>Non-Roma</w:t>
            </w:r>
          </w:p>
        </w:tc>
        <w:tc>
          <w:tcPr>
            <w:tcW w:w="1275" w:type="dxa"/>
            <w:tcBorders>
              <w:bottom w:val="single" w:sz="18" w:space="0" w:color="auto"/>
            </w:tcBorders>
            <w:shd w:val="clear" w:color="auto" w:fill="auto"/>
            <w:noWrap/>
            <w:vAlign w:val="center"/>
          </w:tcPr>
          <w:p w:rsidR="00E36600" w:rsidRPr="0071153F" w:rsidRDefault="00E36600" w:rsidP="0071153F">
            <w:pPr>
              <w:spacing w:before="20" w:after="20" w:line="240" w:lineRule="auto"/>
              <w:jc w:val="left"/>
              <w:rPr>
                <w:rFonts w:cs="Arial"/>
                <w:b/>
                <w:bCs/>
                <w:sz w:val="19"/>
                <w:szCs w:val="19"/>
                <w:lang w:eastAsia="en-GB"/>
              </w:rPr>
            </w:pPr>
            <w:r w:rsidRPr="0071153F">
              <w:rPr>
                <w:rFonts w:cs="Arial"/>
                <w:b/>
                <w:bCs/>
                <w:sz w:val="19"/>
                <w:szCs w:val="19"/>
                <w:lang w:eastAsia="en-GB"/>
              </w:rPr>
              <w:t>Roma</w:t>
            </w:r>
          </w:p>
        </w:tc>
        <w:tc>
          <w:tcPr>
            <w:tcW w:w="1276" w:type="dxa"/>
            <w:tcBorders>
              <w:bottom w:val="single" w:sz="18" w:space="0" w:color="auto"/>
            </w:tcBorders>
            <w:shd w:val="clear" w:color="auto" w:fill="auto"/>
            <w:noWrap/>
            <w:vAlign w:val="center"/>
          </w:tcPr>
          <w:p w:rsidR="00E36600" w:rsidRPr="0071153F" w:rsidRDefault="00E36600" w:rsidP="0071153F">
            <w:pPr>
              <w:spacing w:before="20" w:after="20" w:line="240" w:lineRule="auto"/>
              <w:jc w:val="left"/>
              <w:rPr>
                <w:rFonts w:cs="Arial"/>
                <w:b/>
                <w:bCs/>
                <w:sz w:val="19"/>
                <w:szCs w:val="19"/>
                <w:lang w:eastAsia="en-GB"/>
              </w:rPr>
            </w:pPr>
            <w:r w:rsidRPr="0071153F">
              <w:rPr>
                <w:rFonts w:cs="Arial"/>
                <w:b/>
                <w:bCs/>
                <w:sz w:val="19"/>
                <w:szCs w:val="19"/>
                <w:lang w:eastAsia="en-GB"/>
              </w:rPr>
              <w:t>Non-Roma</w:t>
            </w:r>
          </w:p>
        </w:tc>
      </w:tr>
      <w:tr w:rsidR="00E36600" w:rsidRPr="0071153F" w:rsidTr="00E92ABF">
        <w:trPr>
          <w:trHeight w:val="288"/>
        </w:trPr>
        <w:tc>
          <w:tcPr>
            <w:tcW w:w="8095" w:type="dxa"/>
            <w:gridSpan w:val="5"/>
            <w:tcBorders>
              <w:top w:val="single" w:sz="18" w:space="0" w:color="auto"/>
            </w:tcBorders>
            <w:shd w:val="clear" w:color="auto" w:fill="D9D9D9" w:themeFill="background1" w:themeFillShade="D9"/>
            <w:vAlign w:val="bottom"/>
          </w:tcPr>
          <w:p w:rsidR="00E36600" w:rsidRPr="0071153F" w:rsidRDefault="00E36600" w:rsidP="0071153F">
            <w:pPr>
              <w:spacing w:before="20" w:after="20" w:line="240" w:lineRule="auto"/>
              <w:jc w:val="left"/>
              <w:rPr>
                <w:rFonts w:cs="Arial"/>
                <w:b/>
                <w:sz w:val="19"/>
                <w:szCs w:val="19"/>
                <w:lang w:eastAsia="en-GB"/>
              </w:rPr>
            </w:pPr>
            <w:r w:rsidRPr="0071153F">
              <w:rPr>
                <w:rFonts w:cs="Arial"/>
                <w:b/>
                <w:sz w:val="19"/>
                <w:szCs w:val="19"/>
                <w:lang w:eastAsia="en-GB"/>
              </w:rPr>
              <w:t>By occupation</w:t>
            </w:r>
          </w:p>
        </w:tc>
      </w:tr>
      <w:tr w:rsidR="00E36600" w:rsidRPr="0071153F" w:rsidTr="00E92ABF">
        <w:trPr>
          <w:trHeight w:val="28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Owner of own business</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6%</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Manager of enterprise, division</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3%</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Professional</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12%</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White collar, officer</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9%</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4%</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Office worker</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9%</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8%</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Foreman, technician</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3%</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Skilled worker</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20%</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29%</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23%</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Semi-skilled worker</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9%</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10%</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8%</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28%</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Unskilled worker</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58%</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11%</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77%</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23%</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Military</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Civil servant (teacher, police, etc.)</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3%</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4%</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Farmer</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r>
      <w:tr w:rsidR="00E36600" w:rsidRPr="0071153F" w:rsidTr="00E92ABF">
        <w:trPr>
          <w:trHeight w:val="348"/>
        </w:trPr>
        <w:tc>
          <w:tcPr>
            <w:tcW w:w="3134" w:type="dxa"/>
            <w:tcBorders>
              <w:bottom w:val="single" w:sz="4" w:space="0" w:color="auto"/>
            </w:tcBorders>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Landless worker</w:t>
            </w:r>
          </w:p>
        </w:tc>
        <w:tc>
          <w:tcPr>
            <w:tcW w:w="1134" w:type="dxa"/>
            <w:tcBorders>
              <w:bottom w:val="single" w:sz="4" w:space="0" w:color="auto"/>
            </w:tcBorders>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6" w:type="dxa"/>
            <w:tcBorders>
              <w:bottom w:val="single" w:sz="4" w:space="0" w:color="auto"/>
            </w:tcBorders>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5" w:type="dxa"/>
            <w:tcBorders>
              <w:bottom w:val="single" w:sz="4" w:space="0" w:color="auto"/>
            </w:tcBorders>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c>
          <w:tcPr>
            <w:tcW w:w="1276" w:type="dxa"/>
            <w:tcBorders>
              <w:bottom w:val="single" w:sz="4" w:space="0" w:color="auto"/>
            </w:tcBorders>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4%</w:t>
            </w:r>
          </w:p>
        </w:tc>
      </w:tr>
      <w:tr w:rsidR="00E36600" w:rsidRPr="0071153F" w:rsidTr="00E92ABF">
        <w:trPr>
          <w:trHeight w:val="348"/>
        </w:trPr>
        <w:tc>
          <w:tcPr>
            <w:tcW w:w="8095" w:type="dxa"/>
            <w:gridSpan w:val="5"/>
            <w:shd w:val="clear" w:color="auto" w:fill="D9D9D9" w:themeFill="background1" w:themeFillShade="D9"/>
            <w:vAlign w:val="bottom"/>
          </w:tcPr>
          <w:p w:rsidR="00E36600" w:rsidRPr="0071153F" w:rsidRDefault="00E36600" w:rsidP="0071153F">
            <w:pPr>
              <w:spacing w:before="20" w:after="20" w:line="240" w:lineRule="auto"/>
              <w:jc w:val="left"/>
              <w:rPr>
                <w:rFonts w:cs="Arial"/>
                <w:b/>
                <w:sz w:val="19"/>
                <w:szCs w:val="19"/>
                <w:lang w:eastAsia="en-GB"/>
              </w:rPr>
            </w:pPr>
            <w:r w:rsidRPr="0071153F">
              <w:rPr>
                <w:rFonts w:cs="Arial"/>
                <w:b/>
                <w:sz w:val="19"/>
                <w:szCs w:val="19"/>
                <w:lang w:eastAsia="en-GB"/>
              </w:rPr>
              <w:t>By industry</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Industry or mining</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19%</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19%</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9%</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11%</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Construction</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25%</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15%</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39%</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15%</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Transportation</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6%</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7%</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Trade</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13%</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28%</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Agriculture and forestry</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8%</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8%</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12%</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Communication</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r>
      <w:tr w:rsidR="00E36600" w:rsidRPr="0071153F" w:rsidTr="00E92ABF">
        <w:trPr>
          <w:trHeight w:val="350"/>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Leisure services (tourism, resta</w:t>
            </w:r>
            <w:r w:rsidRPr="0071153F">
              <w:rPr>
                <w:rFonts w:cs="Arial"/>
                <w:color w:val="000000"/>
                <w:sz w:val="19"/>
                <w:szCs w:val="19"/>
                <w:lang w:eastAsia="en-GB"/>
              </w:rPr>
              <w:t>u</w:t>
            </w:r>
            <w:r w:rsidRPr="0071153F">
              <w:rPr>
                <w:rFonts w:cs="Arial"/>
                <w:color w:val="000000"/>
                <w:sz w:val="19"/>
                <w:szCs w:val="19"/>
                <w:lang w:eastAsia="en-GB"/>
              </w:rPr>
              <w:t>rants, cafeteria, etc.)</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3%</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7%</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8%</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6%</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Public utilities</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25%</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17%</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13%</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14%</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Education and science</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5%</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Culture and arts</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Healthcare</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3%</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Non-governmental sector</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r>
      <w:tr w:rsidR="00E36600" w:rsidRPr="0071153F" w:rsidTr="00E92ABF">
        <w:trPr>
          <w:trHeight w:val="348"/>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Finances</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r>
      <w:tr w:rsidR="00E36600" w:rsidRPr="0071153F" w:rsidTr="00E92ABF">
        <w:trPr>
          <w:trHeight w:val="348"/>
        </w:trPr>
        <w:tc>
          <w:tcPr>
            <w:tcW w:w="3134" w:type="dxa"/>
            <w:shd w:val="clear" w:color="auto" w:fill="D9D9D9" w:themeFill="background1" w:themeFillShade="D9"/>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Police and security sphere</w:t>
            </w:r>
          </w:p>
        </w:tc>
        <w:tc>
          <w:tcPr>
            <w:tcW w:w="1134"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c>
          <w:tcPr>
            <w:tcW w:w="1275"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0%</w:t>
            </w:r>
          </w:p>
        </w:tc>
        <w:tc>
          <w:tcPr>
            <w:tcW w:w="1276" w:type="dxa"/>
            <w:shd w:val="clear" w:color="auto" w:fill="D9D9D9" w:themeFill="background1" w:themeFillShade="D9"/>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1%</w:t>
            </w:r>
          </w:p>
        </w:tc>
      </w:tr>
      <w:tr w:rsidR="00E36600" w:rsidRPr="0071153F" w:rsidTr="00E92ABF">
        <w:trPr>
          <w:trHeight w:val="320"/>
        </w:trPr>
        <w:tc>
          <w:tcPr>
            <w:tcW w:w="3134" w:type="dxa"/>
            <w:shd w:val="clear" w:color="auto" w:fill="auto"/>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 xml:space="preserve">Other commercial services </w:t>
            </w:r>
          </w:p>
        </w:tc>
        <w:tc>
          <w:tcPr>
            <w:tcW w:w="1134"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4%</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2%</w:t>
            </w:r>
          </w:p>
        </w:tc>
        <w:tc>
          <w:tcPr>
            <w:tcW w:w="1275"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4%</w:t>
            </w:r>
          </w:p>
        </w:tc>
        <w:tc>
          <w:tcPr>
            <w:tcW w:w="1276" w:type="dxa"/>
            <w:shd w:val="clear" w:color="auto" w:fill="auto"/>
            <w:noWrap/>
            <w:vAlign w:val="bottom"/>
          </w:tcPr>
          <w:p w:rsidR="00E36600" w:rsidRPr="0071153F" w:rsidRDefault="00E36600" w:rsidP="0071153F">
            <w:pPr>
              <w:spacing w:before="20" w:after="20" w:line="240" w:lineRule="auto"/>
              <w:jc w:val="left"/>
              <w:rPr>
                <w:rFonts w:cs="Arial"/>
                <w:color w:val="000000"/>
                <w:sz w:val="19"/>
                <w:szCs w:val="19"/>
                <w:lang w:eastAsia="en-GB"/>
              </w:rPr>
            </w:pPr>
            <w:r w:rsidRPr="0071153F">
              <w:rPr>
                <w:rFonts w:cs="Arial"/>
                <w:color w:val="000000"/>
                <w:sz w:val="19"/>
                <w:szCs w:val="19"/>
                <w:lang w:eastAsia="en-GB"/>
              </w:rPr>
              <w:t>6%</w:t>
            </w:r>
          </w:p>
        </w:tc>
      </w:tr>
    </w:tbl>
    <w:p w:rsidR="00E36600" w:rsidRPr="0071153F" w:rsidRDefault="00E36600" w:rsidP="0071153F">
      <w:pPr>
        <w:spacing w:after="240" w:line="240" w:lineRule="auto"/>
        <w:rPr>
          <w:rFonts w:cs="Arial"/>
          <w:sz w:val="16"/>
          <w:szCs w:val="16"/>
          <w:lang w:eastAsia="en-GB"/>
        </w:rPr>
      </w:pPr>
      <w:r w:rsidRPr="0071153F">
        <w:rPr>
          <w:rFonts w:cs="Arial"/>
          <w:b/>
          <w:sz w:val="16"/>
          <w:szCs w:val="16"/>
        </w:rPr>
        <w:t>Source:</w:t>
      </w:r>
      <w:r w:rsidRPr="0071153F">
        <w:rPr>
          <w:rFonts w:cs="Arial"/>
          <w:sz w:val="16"/>
          <w:szCs w:val="16"/>
        </w:rPr>
        <w:t xml:space="preserve"> </w:t>
      </w:r>
      <w:r w:rsidRPr="0071153F">
        <w:rPr>
          <w:rFonts w:cs="Arial"/>
          <w:sz w:val="16"/>
          <w:szCs w:val="16"/>
          <w:lang w:eastAsia="en-GB"/>
        </w:rPr>
        <w:t>UNDP/WB/EC Regional survey</w:t>
      </w:r>
      <w:r w:rsidR="0071153F">
        <w:rPr>
          <w:rFonts w:cs="Arial"/>
          <w:sz w:val="16"/>
          <w:szCs w:val="16"/>
          <w:lang w:eastAsia="en-GB"/>
        </w:rPr>
        <w:t>,</w:t>
      </w:r>
      <w:r w:rsidRPr="0071153F">
        <w:rPr>
          <w:rFonts w:cs="Arial"/>
          <w:sz w:val="16"/>
          <w:szCs w:val="16"/>
          <w:lang w:eastAsia="en-GB"/>
        </w:rPr>
        <w:t xml:space="preserve"> 2011</w:t>
      </w:r>
    </w:p>
    <w:p w:rsidR="006A7403" w:rsidRDefault="006A7403">
      <w:pPr>
        <w:spacing w:before="0" w:line="240" w:lineRule="auto"/>
        <w:jc w:val="left"/>
        <w:rPr>
          <w:sz w:val="20"/>
        </w:rPr>
        <w:sectPr w:rsidR="006A7403" w:rsidSect="00E92ABF">
          <w:pgSz w:w="11907" w:h="16840" w:code="9"/>
          <w:pgMar w:top="1440" w:right="1797" w:bottom="1440" w:left="1797" w:header="709" w:footer="709" w:gutter="0"/>
          <w:pgNumType w:start="63"/>
          <w:cols w:space="708"/>
          <w:docGrid w:linePitch="360"/>
        </w:sectPr>
      </w:pPr>
    </w:p>
    <w:p w:rsidR="00E36600" w:rsidRPr="00DD69CA" w:rsidRDefault="00D048E6" w:rsidP="00DD69CA">
      <w:pPr>
        <w:pStyle w:val="Heading1"/>
        <w:numPr>
          <w:ilvl w:val="0"/>
          <w:numId w:val="0"/>
        </w:numPr>
        <w:ind w:left="510" w:hanging="510"/>
        <w:jc w:val="center"/>
      </w:pPr>
      <w:bookmarkStart w:id="176" w:name="_Toc380500985"/>
      <w:bookmarkStart w:id="177" w:name="_Toc385271115"/>
      <w:bookmarkStart w:id="178" w:name="_Toc385939070"/>
      <w:r w:rsidRPr="00DD69CA">
        <w:lastRenderedPageBreak/>
        <w:t xml:space="preserve">Annex </w:t>
      </w:r>
      <w:r w:rsidR="001256BE" w:rsidRPr="00DD69CA">
        <w:t>2</w:t>
      </w:r>
      <w:r w:rsidR="00E36600" w:rsidRPr="00DD69CA">
        <w:t xml:space="preserve">: </w:t>
      </w:r>
      <w:r w:rsidR="00C87466" w:rsidRPr="00DD69CA">
        <w:rPr>
          <w:rStyle w:val="mw-headline"/>
        </w:rPr>
        <w:t>T</w:t>
      </w:r>
      <w:r w:rsidR="00E36600" w:rsidRPr="00DD69CA">
        <w:rPr>
          <w:rStyle w:val="mw-headline"/>
        </w:rPr>
        <w:t>he national education system in Slovakia 2012/13</w:t>
      </w:r>
      <w:bookmarkEnd w:id="176"/>
      <w:bookmarkEnd w:id="177"/>
      <w:bookmarkEnd w:id="178"/>
    </w:p>
    <w:p w:rsidR="00E36600" w:rsidRPr="00301583" w:rsidRDefault="00E36600" w:rsidP="00E36600"/>
    <w:p w:rsidR="00E36600" w:rsidRPr="00301583" w:rsidRDefault="00350D91" w:rsidP="00E36600">
      <w:r>
        <w:rPr>
          <w:noProof/>
          <w:lang w:val="fi-FI" w:eastAsia="fi-FI"/>
        </w:rPr>
        <w:drawing>
          <wp:inline distT="0" distB="0" distL="0" distR="0" wp14:anchorId="6FB2E2BA" wp14:editId="3CB0DF40">
            <wp:extent cx="6257925" cy="1343025"/>
            <wp:effectExtent l="19050" t="0" r="9525" b="0"/>
            <wp:docPr id="27" name="Kép 27" descr="Diagram_Slovak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iagram_Slovakia"/>
                    <pic:cNvPicPr>
                      <a:picLocks noChangeAspect="1" noChangeArrowheads="1"/>
                    </pic:cNvPicPr>
                  </pic:nvPicPr>
                  <pic:blipFill>
                    <a:blip r:embed="rId50" cstate="print"/>
                    <a:srcRect/>
                    <a:stretch>
                      <a:fillRect/>
                    </a:stretch>
                  </pic:blipFill>
                  <pic:spPr bwMode="auto">
                    <a:xfrm>
                      <a:off x="0" y="0"/>
                      <a:ext cx="6257925" cy="1343025"/>
                    </a:xfrm>
                    <a:prstGeom prst="rect">
                      <a:avLst/>
                    </a:prstGeom>
                    <a:noFill/>
                    <a:ln w="9525">
                      <a:noFill/>
                      <a:miter lim="800000"/>
                      <a:headEnd/>
                      <a:tailEnd/>
                    </a:ln>
                  </pic:spPr>
                </pic:pic>
              </a:graphicData>
            </a:graphic>
          </wp:inline>
        </w:drawing>
      </w:r>
    </w:p>
    <w:p w:rsidR="00E36600" w:rsidRPr="00301583" w:rsidRDefault="00E36600" w:rsidP="00E36600"/>
    <w:p w:rsidR="00E36600" w:rsidRPr="00301583" w:rsidRDefault="00350D91" w:rsidP="00E36600">
      <w:r>
        <w:rPr>
          <w:noProof/>
          <w:lang w:val="fi-FI" w:eastAsia="fi-FI"/>
        </w:rPr>
        <w:drawing>
          <wp:inline distT="0" distB="0" distL="0" distR="0" wp14:anchorId="68716075" wp14:editId="608E49E9">
            <wp:extent cx="6324600" cy="1428750"/>
            <wp:effectExtent l="19050" t="0" r="0" b="0"/>
            <wp:docPr id="28" name="Kép 28" descr="Diagram_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_key"/>
                    <pic:cNvPicPr>
                      <a:picLocks noChangeAspect="1" noChangeArrowheads="1"/>
                    </pic:cNvPicPr>
                  </pic:nvPicPr>
                  <pic:blipFill>
                    <a:blip r:embed="rId51" cstate="print"/>
                    <a:srcRect/>
                    <a:stretch>
                      <a:fillRect/>
                    </a:stretch>
                  </pic:blipFill>
                  <pic:spPr bwMode="auto">
                    <a:xfrm>
                      <a:off x="0" y="0"/>
                      <a:ext cx="6324600" cy="1428750"/>
                    </a:xfrm>
                    <a:prstGeom prst="rect">
                      <a:avLst/>
                    </a:prstGeom>
                    <a:noFill/>
                    <a:ln w="9525">
                      <a:noFill/>
                      <a:miter lim="800000"/>
                      <a:headEnd/>
                      <a:tailEnd/>
                    </a:ln>
                  </pic:spPr>
                </pic:pic>
              </a:graphicData>
            </a:graphic>
          </wp:inline>
        </w:drawing>
      </w:r>
    </w:p>
    <w:p w:rsidR="00E36600" w:rsidRPr="0071153F" w:rsidRDefault="0071153F" w:rsidP="0071153F">
      <w:pPr>
        <w:spacing w:after="240" w:line="240" w:lineRule="auto"/>
        <w:rPr>
          <w:sz w:val="16"/>
          <w:szCs w:val="16"/>
          <w:lang w:val="en-US"/>
        </w:rPr>
      </w:pPr>
      <w:r w:rsidRPr="0071153F">
        <w:rPr>
          <w:b/>
          <w:sz w:val="16"/>
          <w:szCs w:val="16"/>
          <w:lang w:val="en-US"/>
        </w:rPr>
        <w:t>Source:</w:t>
      </w:r>
      <w:r w:rsidRPr="0071153F">
        <w:rPr>
          <w:sz w:val="16"/>
          <w:szCs w:val="16"/>
          <w:lang w:val="en-US"/>
        </w:rPr>
        <w:t xml:space="preserve"> </w:t>
      </w:r>
      <w:r w:rsidRPr="00B90341">
        <w:rPr>
          <w:sz w:val="18"/>
          <w:szCs w:val="18"/>
        </w:rPr>
        <w:t>European Commission, Eurydice Network (2013) The Structure of the European Education Systems 2012/2013</w:t>
      </w:r>
    </w:p>
    <w:p w:rsidR="00E36600" w:rsidRPr="0071153F" w:rsidRDefault="00E36600" w:rsidP="00E36600">
      <w:pPr>
        <w:rPr>
          <w:lang w:val="en-US"/>
        </w:rPr>
      </w:pPr>
    </w:p>
    <w:p w:rsidR="006A7403" w:rsidRDefault="006A7403" w:rsidP="00641B08">
      <w:pPr>
        <w:pStyle w:val="Heading1"/>
        <w:numPr>
          <w:ilvl w:val="0"/>
          <w:numId w:val="0"/>
        </w:numPr>
        <w:ind w:left="510"/>
        <w:jc w:val="center"/>
        <w:sectPr w:rsidR="006A7403" w:rsidSect="006A7403">
          <w:pgSz w:w="16840" w:h="11907" w:orient="landscape" w:code="9"/>
          <w:pgMar w:top="1797" w:right="1440" w:bottom="1797" w:left="1440" w:header="709" w:footer="709" w:gutter="0"/>
          <w:pgNumType w:start="66"/>
          <w:cols w:space="708"/>
          <w:docGrid w:linePitch="360"/>
        </w:sectPr>
      </w:pPr>
      <w:bookmarkStart w:id="179" w:name="_Toc380500979"/>
      <w:bookmarkStart w:id="180" w:name="_Toc385271109"/>
      <w:bookmarkStart w:id="181" w:name="_Toc380500986"/>
      <w:bookmarkStart w:id="182" w:name="_Toc385271116"/>
    </w:p>
    <w:p w:rsidR="00641B08" w:rsidRPr="00301583" w:rsidRDefault="00641B08" w:rsidP="00641B08">
      <w:pPr>
        <w:pStyle w:val="Heading1"/>
        <w:numPr>
          <w:ilvl w:val="0"/>
          <w:numId w:val="0"/>
        </w:numPr>
        <w:ind w:left="510"/>
        <w:jc w:val="center"/>
      </w:pPr>
      <w:bookmarkStart w:id="183" w:name="_Toc385939071"/>
      <w:r w:rsidRPr="00301583">
        <w:lastRenderedPageBreak/>
        <w:t>A</w:t>
      </w:r>
      <w:r>
        <w:t xml:space="preserve">nnex </w:t>
      </w:r>
      <w:r w:rsidR="001256BE">
        <w:t>3</w:t>
      </w:r>
      <w:r>
        <w:t>: List of i</w:t>
      </w:r>
      <w:r w:rsidRPr="00301583">
        <w:t xml:space="preserve">nterviewed </w:t>
      </w:r>
      <w:r>
        <w:t>e</w:t>
      </w:r>
      <w:r w:rsidRPr="00301583">
        <w:t>xperts</w:t>
      </w:r>
      <w:bookmarkEnd w:id="179"/>
      <w:bookmarkEnd w:id="180"/>
      <w:bookmarkEnd w:id="183"/>
    </w:p>
    <w:p w:rsidR="00641B08" w:rsidRDefault="00641B08" w:rsidP="00641B08">
      <w:pPr>
        <w:rPr>
          <w:rFonts w:cs="Arial"/>
          <w:sz w:val="10"/>
          <w:szCs w:val="10"/>
        </w:rPr>
      </w:pPr>
    </w:p>
    <w:p w:rsidR="006A7403" w:rsidRPr="00A328CD" w:rsidRDefault="006A7403" w:rsidP="00641B08">
      <w:pPr>
        <w:rPr>
          <w:rFonts w:cs="Arial"/>
          <w:sz w:val="10"/>
          <w:szCs w:val="10"/>
        </w:rPr>
      </w:pPr>
    </w:p>
    <w:tbl>
      <w:tblPr>
        <w:tblW w:w="136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3119"/>
        <w:gridCol w:w="4678"/>
        <w:gridCol w:w="1842"/>
        <w:gridCol w:w="1560"/>
        <w:gridCol w:w="1842"/>
      </w:tblGrid>
      <w:tr w:rsidR="00641B08" w:rsidRPr="00301583" w:rsidTr="006A7403">
        <w:tc>
          <w:tcPr>
            <w:tcW w:w="567" w:type="dxa"/>
            <w:tcBorders>
              <w:top w:val="single" w:sz="4" w:space="0" w:color="auto"/>
              <w:left w:val="single" w:sz="4" w:space="0" w:color="auto"/>
              <w:bottom w:val="single" w:sz="18" w:space="0" w:color="auto"/>
              <w:right w:val="single" w:sz="4" w:space="0" w:color="auto"/>
            </w:tcBorders>
            <w:shd w:val="clear" w:color="auto" w:fill="auto"/>
            <w:vAlign w:val="center"/>
          </w:tcPr>
          <w:p w:rsidR="00641B08" w:rsidRPr="006A7403" w:rsidRDefault="00641B08" w:rsidP="006A7403">
            <w:pPr>
              <w:spacing w:before="20" w:after="20" w:line="240" w:lineRule="auto"/>
              <w:jc w:val="center"/>
              <w:rPr>
                <w:rFonts w:cs="Arial"/>
                <w:b/>
                <w:sz w:val="19"/>
                <w:szCs w:val="19"/>
              </w:rPr>
            </w:pPr>
          </w:p>
        </w:tc>
        <w:tc>
          <w:tcPr>
            <w:tcW w:w="3119" w:type="dxa"/>
            <w:tcBorders>
              <w:top w:val="single" w:sz="4" w:space="0" w:color="auto"/>
              <w:left w:val="single" w:sz="4" w:space="0" w:color="auto"/>
              <w:bottom w:val="single" w:sz="18" w:space="0" w:color="auto"/>
              <w:right w:val="single" w:sz="4" w:space="0" w:color="auto"/>
            </w:tcBorders>
            <w:shd w:val="clear" w:color="auto" w:fill="auto"/>
            <w:vAlign w:val="center"/>
          </w:tcPr>
          <w:p w:rsidR="00641B08" w:rsidRPr="006A7403" w:rsidRDefault="00641B08" w:rsidP="006A7403">
            <w:pPr>
              <w:spacing w:before="20" w:after="20" w:line="240" w:lineRule="auto"/>
              <w:jc w:val="left"/>
              <w:rPr>
                <w:rFonts w:cs="Arial"/>
                <w:b/>
                <w:sz w:val="19"/>
                <w:szCs w:val="19"/>
              </w:rPr>
            </w:pPr>
            <w:r w:rsidRPr="006A7403">
              <w:rPr>
                <w:rFonts w:cs="Arial"/>
                <w:b/>
                <w:sz w:val="19"/>
                <w:szCs w:val="19"/>
              </w:rPr>
              <w:t>Institution</w:t>
            </w:r>
          </w:p>
        </w:tc>
        <w:tc>
          <w:tcPr>
            <w:tcW w:w="4678" w:type="dxa"/>
            <w:tcBorders>
              <w:top w:val="single" w:sz="4" w:space="0" w:color="auto"/>
              <w:left w:val="single" w:sz="4" w:space="0" w:color="auto"/>
              <w:bottom w:val="single" w:sz="18" w:space="0" w:color="auto"/>
              <w:right w:val="single" w:sz="4" w:space="0" w:color="auto"/>
            </w:tcBorders>
            <w:shd w:val="clear" w:color="auto" w:fill="auto"/>
            <w:vAlign w:val="center"/>
          </w:tcPr>
          <w:p w:rsidR="00641B08" w:rsidRPr="006A7403" w:rsidRDefault="00641B08" w:rsidP="006A7403">
            <w:pPr>
              <w:spacing w:before="20" w:after="20" w:line="240" w:lineRule="auto"/>
              <w:jc w:val="left"/>
              <w:rPr>
                <w:rFonts w:cs="Arial"/>
                <w:b/>
                <w:sz w:val="19"/>
                <w:szCs w:val="19"/>
              </w:rPr>
            </w:pPr>
            <w:r w:rsidRPr="006A7403">
              <w:rPr>
                <w:rFonts w:cs="Arial"/>
                <w:b/>
                <w:sz w:val="19"/>
                <w:szCs w:val="19"/>
              </w:rPr>
              <w:t>Role in dealing with poverty and/or social excl</w:t>
            </w:r>
            <w:r w:rsidRPr="006A7403">
              <w:rPr>
                <w:rFonts w:cs="Arial"/>
                <w:b/>
                <w:sz w:val="19"/>
                <w:szCs w:val="19"/>
              </w:rPr>
              <w:t>u</w:t>
            </w:r>
            <w:r w:rsidRPr="006A7403">
              <w:rPr>
                <w:rFonts w:cs="Arial"/>
                <w:b/>
                <w:sz w:val="19"/>
                <w:szCs w:val="19"/>
              </w:rPr>
              <w:t>sion</w:t>
            </w:r>
          </w:p>
        </w:tc>
        <w:tc>
          <w:tcPr>
            <w:tcW w:w="1842" w:type="dxa"/>
            <w:tcBorders>
              <w:top w:val="single" w:sz="4" w:space="0" w:color="auto"/>
              <w:left w:val="single" w:sz="4" w:space="0" w:color="auto"/>
              <w:bottom w:val="single" w:sz="18" w:space="0" w:color="auto"/>
              <w:right w:val="single" w:sz="4" w:space="0" w:color="auto"/>
            </w:tcBorders>
            <w:shd w:val="clear" w:color="auto" w:fill="auto"/>
            <w:vAlign w:val="center"/>
          </w:tcPr>
          <w:p w:rsidR="00641B08" w:rsidRPr="006A7403" w:rsidRDefault="00641B08" w:rsidP="006A7403">
            <w:pPr>
              <w:spacing w:before="20" w:after="20" w:line="240" w:lineRule="auto"/>
              <w:jc w:val="center"/>
              <w:rPr>
                <w:rFonts w:cs="Arial"/>
                <w:b/>
                <w:sz w:val="19"/>
                <w:szCs w:val="19"/>
              </w:rPr>
            </w:pPr>
            <w:r w:rsidRPr="006A7403">
              <w:rPr>
                <w:rFonts w:cs="Arial"/>
                <w:b/>
                <w:sz w:val="19"/>
                <w:szCs w:val="19"/>
              </w:rPr>
              <w:t>Geographical/</w:t>
            </w:r>
          </w:p>
          <w:p w:rsidR="00641B08" w:rsidRPr="006A7403" w:rsidRDefault="00641B08" w:rsidP="006A7403">
            <w:pPr>
              <w:spacing w:before="20" w:after="20" w:line="240" w:lineRule="auto"/>
              <w:jc w:val="center"/>
              <w:rPr>
                <w:rFonts w:cs="Arial"/>
                <w:b/>
                <w:sz w:val="19"/>
                <w:szCs w:val="19"/>
              </w:rPr>
            </w:pPr>
            <w:r w:rsidRPr="006A7403">
              <w:rPr>
                <w:rFonts w:cs="Arial"/>
                <w:b/>
                <w:sz w:val="19"/>
                <w:szCs w:val="19"/>
              </w:rPr>
              <w:t>political level</w:t>
            </w:r>
          </w:p>
        </w:tc>
        <w:tc>
          <w:tcPr>
            <w:tcW w:w="1560" w:type="dxa"/>
            <w:tcBorders>
              <w:top w:val="single" w:sz="4" w:space="0" w:color="auto"/>
              <w:left w:val="single" w:sz="4" w:space="0" w:color="auto"/>
              <w:bottom w:val="single" w:sz="18" w:space="0" w:color="auto"/>
              <w:right w:val="single" w:sz="4" w:space="0" w:color="auto"/>
            </w:tcBorders>
            <w:shd w:val="clear" w:color="auto" w:fill="auto"/>
            <w:vAlign w:val="center"/>
          </w:tcPr>
          <w:p w:rsidR="00641B08" w:rsidRPr="006A7403" w:rsidRDefault="00641B08" w:rsidP="006A7403">
            <w:pPr>
              <w:spacing w:before="20" w:after="20" w:line="240" w:lineRule="auto"/>
              <w:jc w:val="center"/>
              <w:rPr>
                <w:rFonts w:cs="Arial"/>
                <w:b/>
                <w:sz w:val="19"/>
                <w:szCs w:val="19"/>
              </w:rPr>
            </w:pPr>
            <w:r w:rsidRPr="006A7403">
              <w:rPr>
                <w:rFonts w:cs="Arial"/>
                <w:b/>
                <w:sz w:val="19"/>
                <w:szCs w:val="19"/>
              </w:rPr>
              <w:t>Date</w:t>
            </w:r>
          </w:p>
        </w:tc>
        <w:tc>
          <w:tcPr>
            <w:tcW w:w="1842" w:type="dxa"/>
            <w:tcBorders>
              <w:top w:val="single" w:sz="4" w:space="0" w:color="auto"/>
              <w:left w:val="single" w:sz="4" w:space="0" w:color="auto"/>
              <w:bottom w:val="single" w:sz="18" w:space="0" w:color="auto"/>
              <w:right w:val="single" w:sz="4" w:space="0" w:color="auto"/>
            </w:tcBorders>
            <w:shd w:val="clear" w:color="auto" w:fill="auto"/>
            <w:vAlign w:val="center"/>
          </w:tcPr>
          <w:p w:rsidR="00641B08" w:rsidRPr="006A7403" w:rsidRDefault="00641B08" w:rsidP="006A7403">
            <w:pPr>
              <w:spacing w:before="20" w:after="20" w:line="240" w:lineRule="auto"/>
              <w:jc w:val="center"/>
              <w:rPr>
                <w:rFonts w:cs="Arial"/>
                <w:b/>
                <w:sz w:val="19"/>
                <w:szCs w:val="19"/>
              </w:rPr>
            </w:pPr>
            <w:r w:rsidRPr="006A7403">
              <w:rPr>
                <w:rFonts w:cs="Arial"/>
                <w:b/>
                <w:sz w:val="19"/>
                <w:szCs w:val="19"/>
              </w:rPr>
              <w:t>Has declared willingness to work with TIPSE?</w:t>
            </w:r>
          </w:p>
        </w:tc>
      </w:tr>
      <w:tr w:rsidR="00641B08" w:rsidRPr="00301583" w:rsidTr="006A7403">
        <w:tc>
          <w:tcPr>
            <w:tcW w:w="567" w:type="dxa"/>
            <w:tcBorders>
              <w:top w:val="single" w:sz="18"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w:t>
            </w:r>
          </w:p>
        </w:tc>
        <w:tc>
          <w:tcPr>
            <w:tcW w:w="3119" w:type="dxa"/>
            <w:tcBorders>
              <w:top w:val="single" w:sz="18"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color w:val="000000"/>
                <w:sz w:val="19"/>
                <w:szCs w:val="19"/>
              </w:rPr>
            </w:pPr>
            <w:r w:rsidRPr="006A7403">
              <w:rPr>
                <w:rFonts w:cs="Arial"/>
                <w:color w:val="000000"/>
                <w:sz w:val="19"/>
                <w:szCs w:val="19"/>
              </w:rPr>
              <w:t>Local School, Rimavská Seč</w:t>
            </w:r>
          </w:p>
        </w:tc>
        <w:tc>
          <w:tcPr>
            <w:tcW w:w="4678" w:type="dxa"/>
            <w:tcBorders>
              <w:top w:val="single" w:sz="18"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vice Principal leading a segregating school</w:t>
            </w:r>
          </w:p>
        </w:tc>
        <w:tc>
          <w:tcPr>
            <w:tcW w:w="1842" w:type="dxa"/>
            <w:tcBorders>
              <w:top w:val="single" w:sz="18"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18"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17 March 2013</w:t>
            </w:r>
          </w:p>
        </w:tc>
        <w:tc>
          <w:tcPr>
            <w:tcW w:w="1842" w:type="dxa"/>
            <w:tcBorders>
              <w:top w:val="single" w:sz="18"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 xml:space="preserve">Local preschool, </w:t>
            </w:r>
            <w:r w:rsidRPr="006A7403">
              <w:rPr>
                <w:rFonts w:cs="Arial"/>
                <w:color w:val="000000"/>
                <w:sz w:val="19"/>
                <w:szCs w:val="19"/>
              </w:rPr>
              <w:t>R. Seč</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vice Principal leading a fully segregated preschool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17 March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 xml:space="preserve">3. </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color w:val="000000"/>
                <w:sz w:val="19"/>
                <w:szCs w:val="19"/>
              </w:rPr>
              <w:t>Local special school</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Two teachers, teaching Roma deprived children</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17 March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4.</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 xml:space="preserve">Local physician </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Providing health services for deprived Roma children</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18 March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5.</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 xml:space="preserve">Parents of children taught in the primary school of </w:t>
            </w:r>
            <w:r w:rsidRPr="006A7403">
              <w:rPr>
                <w:rFonts w:cs="Arial"/>
                <w:color w:val="000000"/>
                <w:sz w:val="19"/>
                <w:szCs w:val="19"/>
              </w:rPr>
              <w:t>R. Seč</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Two Roma and one non-Roma parent, all une</w:t>
            </w:r>
            <w:r w:rsidRPr="006A7403">
              <w:rPr>
                <w:rFonts w:cs="Arial"/>
                <w:sz w:val="19"/>
                <w:szCs w:val="19"/>
              </w:rPr>
              <w:t>m</w:t>
            </w:r>
            <w:r w:rsidRPr="006A7403">
              <w:rPr>
                <w:rFonts w:cs="Arial"/>
                <w:sz w:val="19"/>
                <w:szCs w:val="19"/>
              </w:rPr>
              <w:t xml:space="preserve">ployed </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18 March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6.</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Group interview with the leader and a teacher of the afternoon school</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Roma teacher and activist, founder of the local afte</w:t>
            </w:r>
            <w:r w:rsidRPr="006A7403">
              <w:rPr>
                <w:rFonts w:cs="Arial"/>
                <w:sz w:val="19"/>
                <w:szCs w:val="19"/>
              </w:rPr>
              <w:t>r</w:t>
            </w:r>
            <w:r w:rsidRPr="006A7403">
              <w:rPr>
                <w:rFonts w:cs="Arial"/>
                <w:sz w:val="19"/>
                <w:szCs w:val="19"/>
              </w:rPr>
              <w:t>noon 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18 March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7.</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Former leader of the Parents’ Association</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Teacher of the local segregating school</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18 March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8.</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the special school of R. Seč</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fully segregated special 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25 March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 xml:space="preserve">9. </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Psychologist of the Pedagogical Service Centre Rimavska Sobota</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Service provider to deprived children with learning difficulties</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Centre of a catc</w:t>
            </w:r>
            <w:r w:rsidRPr="006A7403">
              <w:rPr>
                <w:rFonts w:cs="Arial"/>
                <w:sz w:val="19"/>
                <w:szCs w:val="19"/>
              </w:rPr>
              <w:t>h</w:t>
            </w:r>
            <w:r w:rsidRPr="006A7403">
              <w:rPr>
                <w:rFonts w:cs="Arial"/>
                <w:sz w:val="19"/>
                <w:szCs w:val="19"/>
              </w:rPr>
              <w:t>ment area</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27 March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10.</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Teaching assistant in the primary school of R. Seč</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assistant works with Roma children with adapt</w:t>
            </w:r>
            <w:r w:rsidRPr="006A7403">
              <w:rPr>
                <w:rFonts w:cs="Arial"/>
                <w:sz w:val="19"/>
                <w:szCs w:val="19"/>
              </w:rPr>
              <w:t>a</w:t>
            </w:r>
            <w:r w:rsidRPr="006A7403">
              <w:rPr>
                <w:rFonts w:cs="Arial"/>
                <w:sz w:val="19"/>
                <w:szCs w:val="19"/>
              </w:rPr>
              <w:t>tion difficulties</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11 April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11.</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the mayor’s office R. Seč</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segregating village</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11 April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12.</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Elected member of the council of R. Seč.</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segregating village</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11 April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13.</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Vice principal of the Gymnasium of Tornalja</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 xml:space="preserve">Leader of a selective secondary school </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Centre of a catc</w:t>
            </w:r>
            <w:r w:rsidRPr="006A7403">
              <w:rPr>
                <w:rFonts w:cs="Arial"/>
                <w:sz w:val="19"/>
                <w:szCs w:val="19"/>
              </w:rPr>
              <w:t>h</w:t>
            </w:r>
            <w:r w:rsidRPr="006A7403">
              <w:rPr>
                <w:rFonts w:cs="Arial"/>
                <w:sz w:val="19"/>
                <w:szCs w:val="19"/>
              </w:rPr>
              <w:t>ment area</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17 April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lastRenderedPageBreak/>
              <w:t>14.</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small (4-grade) school in Cakó</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fully segregated 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17 April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15.</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secondary school in Rimavska Sobota</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secondary school accepts many Roma children from the catchment area</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Centre of a catc</w:t>
            </w:r>
            <w:r w:rsidRPr="006A7403">
              <w:rPr>
                <w:rFonts w:cs="Arial"/>
                <w:sz w:val="19"/>
                <w:szCs w:val="19"/>
              </w:rPr>
              <w:t>h</w:t>
            </w:r>
            <w:r w:rsidRPr="006A7403">
              <w:rPr>
                <w:rFonts w:cs="Arial"/>
                <w:sz w:val="19"/>
                <w:szCs w:val="19"/>
              </w:rPr>
              <w:t>ment area</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17 April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16.</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the primary school in Klenovec</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a moderately segregating 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17 April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 xml:space="preserve">17. </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the social and labour office, Bátka</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office distributes the social benefits to R. Seč eligible inhabitants</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Centre of a catc</w:t>
            </w:r>
            <w:r w:rsidRPr="006A7403">
              <w:rPr>
                <w:rFonts w:cs="Arial"/>
                <w:sz w:val="19"/>
                <w:szCs w:val="19"/>
              </w:rPr>
              <w:t>h</w:t>
            </w:r>
            <w:r w:rsidRPr="006A7403">
              <w:rPr>
                <w:rFonts w:cs="Arial"/>
                <w:sz w:val="19"/>
                <w:szCs w:val="19"/>
              </w:rPr>
              <w:t>ment area</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20, April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 xml:space="preserve">18. </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Mayor and vice mayor of Klen</w:t>
            </w:r>
            <w:r w:rsidRPr="006A7403">
              <w:rPr>
                <w:rFonts w:cs="Arial"/>
                <w:sz w:val="19"/>
                <w:szCs w:val="19"/>
              </w:rPr>
              <w:t>o</w:t>
            </w:r>
            <w:r w:rsidRPr="006A7403">
              <w:rPr>
                <w:rFonts w:cs="Arial"/>
                <w:sz w:val="19"/>
                <w:szCs w:val="19"/>
              </w:rPr>
              <w:t>vec</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Mayor of a village where segregated dwellings of Roma are found</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24 April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19.</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the preschool in Kle</w:t>
            </w:r>
            <w:r w:rsidRPr="006A7403">
              <w:rPr>
                <w:rFonts w:cs="Arial"/>
                <w:sz w:val="19"/>
                <w:szCs w:val="19"/>
              </w:rPr>
              <w:t>n</w:t>
            </w:r>
            <w:r w:rsidRPr="006A7403">
              <w:rPr>
                <w:rFonts w:cs="Arial"/>
                <w:sz w:val="19"/>
                <w:szCs w:val="19"/>
              </w:rPr>
              <w:t>ovec</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leading a segregating pre-school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24 April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13.</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the special school in Klenovec</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a fully segregated school</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25 April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 xml:space="preserve">20. </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color w:val="000000"/>
                <w:sz w:val="19"/>
                <w:szCs w:val="19"/>
              </w:rPr>
              <w:t>Principal of the Gymnasium in Hnúšťa</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selective secondary 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Center of a catc</w:t>
            </w:r>
            <w:r w:rsidRPr="006A7403">
              <w:rPr>
                <w:rFonts w:cs="Arial"/>
                <w:sz w:val="19"/>
                <w:szCs w:val="19"/>
              </w:rPr>
              <w:t>h</w:t>
            </w:r>
            <w:r w:rsidRPr="006A7403">
              <w:rPr>
                <w:rFonts w:cs="Arial"/>
                <w:sz w:val="19"/>
                <w:szCs w:val="19"/>
              </w:rPr>
              <w:t>ment area</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25 April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21.</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Stredná Odborná Skola Hnúšťa</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secondary school accepts many Roma children from the catchment area</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Centre of a catc</w:t>
            </w:r>
            <w:r w:rsidRPr="006A7403">
              <w:rPr>
                <w:rFonts w:cs="Arial"/>
                <w:sz w:val="19"/>
                <w:szCs w:val="19"/>
              </w:rPr>
              <w:t>h</w:t>
            </w:r>
            <w:r w:rsidRPr="006A7403">
              <w:rPr>
                <w:rFonts w:cs="Arial"/>
                <w:sz w:val="19"/>
                <w:szCs w:val="19"/>
              </w:rPr>
              <w:t>ment area</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April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22.</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Roma Institute, Bratislava</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Leading Analyst</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National</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highlight w:val="green"/>
              </w:rPr>
            </w:pPr>
            <w:r w:rsidRPr="006A7403">
              <w:rPr>
                <w:rFonts w:cs="Arial"/>
                <w:sz w:val="19"/>
                <w:szCs w:val="19"/>
              </w:rPr>
              <w:t>9. September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23.</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Office of Plenipotentiary on Roma Issues, Bratislava</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Advisor</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National</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highlight w:val="green"/>
              </w:rPr>
            </w:pPr>
            <w:r w:rsidRPr="006A7403">
              <w:rPr>
                <w:rFonts w:cs="Arial"/>
                <w:sz w:val="19"/>
                <w:szCs w:val="19"/>
              </w:rPr>
              <w:t>8. September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24.</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M. Simecka Foundation, Bratisl</w:t>
            </w:r>
            <w:r w:rsidRPr="006A7403">
              <w:rPr>
                <w:rFonts w:cs="Arial"/>
                <w:sz w:val="19"/>
                <w:szCs w:val="19"/>
              </w:rPr>
              <w:t>a</w:t>
            </w:r>
            <w:r w:rsidRPr="006A7403">
              <w:rPr>
                <w:rFonts w:cs="Arial"/>
                <w:sz w:val="19"/>
                <w:szCs w:val="19"/>
              </w:rPr>
              <w:t>va</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Director</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National</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highlight w:val="green"/>
              </w:rPr>
            </w:pPr>
            <w:r w:rsidRPr="006A7403">
              <w:rPr>
                <w:rFonts w:cs="Arial"/>
                <w:sz w:val="19"/>
                <w:szCs w:val="19"/>
              </w:rPr>
              <w:t>10. September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25.</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an NGO in Rimavská Sobota</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NGO deals with social development projects</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LAU1</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highlight w:val="green"/>
              </w:rPr>
            </w:pPr>
            <w:r w:rsidRPr="006A7403">
              <w:rPr>
                <w:rFonts w:cs="Arial"/>
                <w:sz w:val="19"/>
                <w:szCs w:val="19"/>
              </w:rPr>
              <w:t>4, September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Yes</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26.</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an NGO in Rimavská Sobota</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NGO deals with social development projects</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LAU1</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4, September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27.</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 xml:space="preserve">Leader, official and social worker of Social Affairs Department of Local Council of Rimavská Sobota (3 persons) </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interviewees gave overview of the social situ</w:t>
            </w:r>
            <w:r w:rsidRPr="006A7403">
              <w:rPr>
                <w:rFonts w:cs="Arial"/>
                <w:sz w:val="19"/>
                <w:szCs w:val="19"/>
              </w:rPr>
              <w:t>a</w:t>
            </w:r>
            <w:r w:rsidRPr="006A7403">
              <w:rPr>
                <w:rFonts w:cs="Arial"/>
                <w:sz w:val="19"/>
                <w:szCs w:val="19"/>
              </w:rPr>
              <w:t>tion in Rimavska Sobota District and in the town itself</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LAU1-LAU2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4, September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28.</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a Project Center in the Labour Office in Rimavska Sobota</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interviewee is being in charge of EU supported social projects</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LAU1</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27, November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lastRenderedPageBreak/>
              <w:t>29.</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Leader of Educational Depar</w:t>
            </w:r>
            <w:r w:rsidRPr="006A7403">
              <w:rPr>
                <w:rFonts w:cs="Arial"/>
                <w:sz w:val="19"/>
                <w:szCs w:val="19"/>
              </w:rPr>
              <w:t>t</w:t>
            </w:r>
            <w:r w:rsidRPr="006A7403">
              <w:rPr>
                <w:rFonts w:cs="Arial"/>
                <w:sz w:val="19"/>
                <w:szCs w:val="19"/>
              </w:rPr>
              <w:t>ment, social worker and official of Social Affairs Department of Local Council of Rimavska Sobota (3 persons)</w:t>
            </w:r>
          </w:p>
        </w:tc>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The interviewees gave overview of the educational situation in Rimavská Sobota district and in the town itself</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LAU1</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27, November 2013</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r w:rsidR="00641B08" w:rsidRPr="00301583" w:rsidTr="006A7403">
        <w:tc>
          <w:tcPr>
            <w:tcW w:w="567"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color w:val="000000"/>
                <w:sz w:val="19"/>
                <w:szCs w:val="19"/>
              </w:rPr>
            </w:pPr>
            <w:r w:rsidRPr="006A7403">
              <w:rPr>
                <w:rFonts w:cs="Arial"/>
                <w:color w:val="000000"/>
                <w:sz w:val="19"/>
                <w:szCs w:val="19"/>
              </w:rPr>
              <w:t>30.</w:t>
            </w:r>
          </w:p>
        </w:tc>
        <w:tc>
          <w:tcPr>
            <w:tcW w:w="3119"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the ghetto school of Rimavská Sobota</w:t>
            </w:r>
          </w:p>
        </w:tc>
        <w:tc>
          <w:tcPr>
            <w:tcW w:w="4678"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left"/>
              <w:rPr>
                <w:rFonts w:cs="Arial"/>
                <w:sz w:val="19"/>
                <w:szCs w:val="19"/>
              </w:rPr>
            </w:pPr>
            <w:r w:rsidRPr="006A7403">
              <w:rPr>
                <w:rFonts w:cs="Arial"/>
                <w:sz w:val="19"/>
                <w:szCs w:val="19"/>
              </w:rPr>
              <w:t>Principal of a fully segregated school</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LAU2</w:t>
            </w:r>
          </w:p>
        </w:tc>
        <w:tc>
          <w:tcPr>
            <w:tcW w:w="1560"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27 November 2013</w:t>
            </w:r>
          </w:p>
        </w:tc>
        <w:tc>
          <w:tcPr>
            <w:tcW w:w="1842" w:type="dxa"/>
            <w:tcBorders>
              <w:top w:val="single" w:sz="4" w:space="0" w:color="auto"/>
              <w:left w:val="single" w:sz="4" w:space="0" w:color="auto"/>
              <w:bottom w:val="single" w:sz="4" w:space="0" w:color="auto"/>
              <w:right w:val="single" w:sz="4" w:space="0" w:color="auto"/>
            </w:tcBorders>
            <w:vAlign w:val="center"/>
          </w:tcPr>
          <w:p w:rsidR="00641B08" w:rsidRPr="006A7403" w:rsidRDefault="00641B08" w:rsidP="006A7403">
            <w:pPr>
              <w:spacing w:before="20" w:after="20" w:line="240" w:lineRule="auto"/>
              <w:jc w:val="center"/>
              <w:rPr>
                <w:rFonts w:cs="Arial"/>
                <w:sz w:val="19"/>
                <w:szCs w:val="19"/>
              </w:rPr>
            </w:pPr>
            <w:r w:rsidRPr="006A7403">
              <w:rPr>
                <w:rFonts w:cs="Arial"/>
                <w:sz w:val="19"/>
                <w:szCs w:val="19"/>
              </w:rPr>
              <w:t>No</w:t>
            </w:r>
          </w:p>
        </w:tc>
      </w:tr>
    </w:tbl>
    <w:p w:rsidR="00641B08" w:rsidRPr="00301583" w:rsidRDefault="00641B08" w:rsidP="00641B08">
      <w:pPr>
        <w:spacing w:line="288" w:lineRule="auto"/>
        <w:rPr>
          <w:rFonts w:cs="Arial"/>
          <w:szCs w:val="22"/>
        </w:rPr>
      </w:pPr>
    </w:p>
    <w:p w:rsidR="00641B08" w:rsidRDefault="00641B08" w:rsidP="00641B08">
      <w:pPr>
        <w:pStyle w:val="Heading1"/>
        <w:numPr>
          <w:ilvl w:val="0"/>
          <w:numId w:val="0"/>
        </w:numPr>
        <w:ind w:left="510"/>
        <w:jc w:val="center"/>
        <w:sectPr w:rsidR="00641B08" w:rsidSect="006A7403">
          <w:pgSz w:w="16840" w:h="11907" w:orient="landscape" w:code="9"/>
          <w:pgMar w:top="1797" w:right="1440" w:bottom="1797" w:left="1440" w:header="709" w:footer="709" w:gutter="0"/>
          <w:pgNumType w:start="67"/>
          <w:cols w:space="708"/>
          <w:docGrid w:linePitch="360"/>
        </w:sectPr>
      </w:pPr>
      <w:r w:rsidRPr="00301583">
        <w:rPr>
          <w:rFonts w:cs="Arial"/>
          <w:szCs w:val="22"/>
        </w:rPr>
        <w:br w:type="page"/>
      </w:r>
    </w:p>
    <w:p w:rsidR="00772922" w:rsidRPr="00301583" w:rsidRDefault="00772922" w:rsidP="008629ED">
      <w:pPr>
        <w:pStyle w:val="Heading1"/>
        <w:numPr>
          <w:ilvl w:val="0"/>
          <w:numId w:val="0"/>
        </w:numPr>
        <w:ind w:left="510"/>
        <w:jc w:val="center"/>
        <w:rPr>
          <w:lang w:eastAsia="hu-HU"/>
        </w:rPr>
      </w:pPr>
      <w:bookmarkStart w:id="184" w:name="_Toc385939072"/>
      <w:r w:rsidRPr="00301583">
        <w:lastRenderedPageBreak/>
        <w:t xml:space="preserve">Annex </w:t>
      </w:r>
      <w:r w:rsidR="001256BE">
        <w:t>4</w:t>
      </w:r>
      <w:r w:rsidRPr="00301583">
        <w:t xml:space="preserve">: </w:t>
      </w:r>
      <w:r w:rsidRPr="00301583">
        <w:rPr>
          <w:lang w:eastAsia="hu-HU"/>
        </w:rPr>
        <w:t>Ten basic pillars of the Government Plenipote</w:t>
      </w:r>
      <w:r w:rsidRPr="00301583">
        <w:rPr>
          <w:lang w:eastAsia="hu-HU"/>
        </w:rPr>
        <w:t>n</w:t>
      </w:r>
      <w:r w:rsidRPr="00301583">
        <w:rPr>
          <w:lang w:eastAsia="hu-HU"/>
        </w:rPr>
        <w:t>tiary</w:t>
      </w:r>
      <w:bookmarkEnd w:id="181"/>
      <w:bookmarkEnd w:id="182"/>
      <w:bookmarkEnd w:id="184"/>
    </w:p>
    <w:bookmarkStart w:id="185" w:name="_Toc385939073"/>
    <w:p w:rsidR="000F58C9" w:rsidRDefault="000343B0" w:rsidP="008629ED">
      <w:pPr>
        <w:pStyle w:val="Heading1"/>
        <w:numPr>
          <w:ilvl w:val="0"/>
          <w:numId w:val="0"/>
        </w:numPr>
        <w:jc w:val="center"/>
      </w:pPr>
      <w:r>
        <w:rPr>
          <w:noProof/>
          <w:lang w:val="fi-FI" w:eastAsia="fi-FI"/>
        </w:rPr>
        <mc:AlternateContent>
          <mc:Choice Requires="wps">
            <w:drawing>
              <wp:anchor distT="0" distB="0" distL="114300" distR="114300" simplePos="0" relativeHeight="251670528" behindDoc="0" locked="0" layoutInCell="1" allowOverlap="1" wp14:anchorId="6AADC406" wp14:editId="2746057B">
                <wp:simplePos x="0" y="0"/>
                <wp:positionH relativeFrom="column">
                  <wp:posOffset>-173355</wp:posOffset>
                </wp:positionH>
                <wp:positionV relativeFrom="paragraph">
                  <wp:posOffset>27940</wp:posOffset>
                </wp:positionV>
                <wp:extent cx="5433060" cy="7236460"/>
                <wp:effectExtent l="0" t="0" r="15240" b="21590"/>
                <wp:wrapNone/>
                <wp:docPr id="3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7236460"/>
                        </a:xfrm>
                        <a:prstGeom prst="rect">
                          <a:avLst/>
                        </a:prstGeom>
                        <a:solidFill>
                          <a:srgbClr val="D8D8D8"/>
                        </a:solidFill>
                        <a:ln w="9525">
                          <a:solidFill>
                            <a:srgbClr val="000000"/>
                          </a:solidFill>
                          <a:miter lim="800000"/>
                          <a:headEnd/>
                          <a:tailEnd/>
                        </a:ln>
                      </wps:spPr>
                      <wps:txbx>
                        <w:txbxContent>
                          <w:p w:rsidR="004E6E3A" w:rsidRPr="003246A2" w:rsidRDefault="004E6E3A" w:rsidP="00045F19">
                            <w:pPr>
                              <w:spacing w:line="276" w:lineRule="auto"/>
                              <w:rPr>
                                <w:lang w:eastAsia="en-GB"/>
                              </w:rPr>
                            </w:pPr>
                            <w:r w:rsidRPr="00FA6A06">
                              <w:rPr>
                                <w:rFonts w:cs="Arial"/>
                                <w:szCs w:val="22"/>
                                <w:lang w:val="en-US" w:eastAsia="hu-HU"/>
                              </w:rPr>
                              <w:t> </w:t>
                            </w:r>
                            <w:r w:rsidRPr="003246A2">
                              <w:rPr>
                                <w:lang w:eastAsia="en-GB"/>
                              </w:rPr>
                              <w:t>1. The form and amount of welfare assistance provided by government as well as government’s approach to citizens shall carefully take into account citizens’ a</w:t>
                            </w:r>
                            <w:r w:rsidRPr="003246A2">
                              <w:rPr>
                                <w:lang w:eastAsia="en-GB"/>
                              </w:rPr>
                              <w:t>p</w:t>
                            </w:r>
                            <w:r w:rsidRPr="003246A2">
                              <w:rPr>
                                <w:lang w:eastAsia="en-GB"/>
                              </w:rPr>
                              <w:t>proach to their families, society and state.</w:t>
                            </w:r>
                          </w:p>
                          <w:p w:rsidR="004E6E3A" w:rsidRPr="003246A2" w:rsidRDefault="004E6E3A" w:rsidP="00045F19">
                            <w:pPr>
                              <w:spacing w:line="276" w:lineRule="auto"/>
                              <w:rPr>
                                <w:lang w:eastAsia="en-GB"/>
                              </w:rPr>
                            </w:pPr>
                            <w:r w:rsidRPr="003246A2">
                              <w:rPr>
                                <w:lang w:eastAsia="en-GB"/>
                              </w:rPr>
                              <w:t>2. Government shall systematically evaluate the level of risk a family constitutes to sound development of its children and shall adjust the form and degree of its inte</w:t>
                            </w:r>
                            <w:r w:rsidRPr="003246A2">
                              <w:rPr>
                                <w:lang w:eastAsia="en-GB"/>
                              </w:rPr>
                              <w:t>r</w:t>
                            </w:r>
                            <w:r w:rsidRPr="003246A2">
                              <w:rPr>
                                <w:lang w:eastAsia="en-GB"/>
                              </w:rPr>
                              <w:t>vention accordingly.</w:t>
                            </w:r>
                          </w:p>
                          <w:p w:rsidR="004E6E3A" w:rsidRPr="003246A2" w:rsidRDefault="004E6E3A" w:rsidP="00045F19">
                            <w:pPr>
                              <w:spacing w:line="276" w:lineRule="auto"/>
                              <w:rPr>
                                <w:lang w:eastAsia="en-GB"/>
                              </w:rPr>
                            </w:pPr>
                            <w:r w:rsidRPr="003246A2">
                              <w:rPr>
                                <w:lang w:eastAsia="en-GB"/>
                              </w:rPr>
                              <w:t>3. Government shall stipulate clear critical criteria of assessing municipalities’ risk</w:t>
                            </w:r>
                            <w:r w:rsidRPr="003246A2">
                              <w:rPr>
                                <w:lang w:eastAsia="en-GB"/>
                              </w:rPr>
                              <w:t>i</w:t>
                            </w:r>
                            <w:r w:rsidRPr="003246A2">
                              <w:rPr>
                                <w:lang w:eastAsia="en-GB"/>
                              </w:rPr>
                              <w:t>ness; as soon as these criteria have been fulfilled, government shall directly ensure performance of particular auxiliary professions (e.g. teaching assistants, social fiel</w:t>
                            </w:r>
                            <w:r w:rsidRPr="003246A2">
                              <w:rPr>
                                <w:lang w:eastAsia="en-GB"/>
                              </w:rPr>
                              <w:t>d</w:t>
                            </w:r>
                            <w:r w:rsidRPr="003246A2">
                              <w:rPr>
                                <w:lang w:eastAsia="en-GB"/>
                              </w:rPr>
                              <w:t>workers, health care assistants or police specialists) in the municipality.</w:t>
                            </w:r>
                          </w:p>
                          <w:p w:rsidR="004E6E3A" w:rsidRPr="003246A2" w:rsidRDefault="004E6E3A" w:rsidP="00045F19">
                            <w:pPr>
                              <w:spacing w:line="276" w:lineRule="auto"/>
                              <w:rPr>
                                <w:lang w:eastAsia="en-GB"/>
                              </w:rPr>
                            </w:pPr>
                            <w:r w:rsidRPr="003246A2">
                              <w:rPr>
                                <w:lang w:eastAsia="en-GB"/>
                              </w:rPr>
                              <w:t>4. Government cannot rely on irresponsible parents raising responsible children. Government shall ensure proper education of irresponsible parents’ children before they enter primary schools.</w:t>
                            </w:r>
                          </w:p>
                          <w:p w:rsidR="004E6E3A" w:rsidRPr="003246A2" w:rsidRDefault="004E6E3A" w:rsidP="00045F19">
                            <w:pPr>
                              <w:spacing w:line="276" w:lineRule="auto"/>
                              <w:rPr>
                                <w:lang w:eastAsia="en-GB"/>
                              </w:rPr>
                            </w:pPr>
                            <w:r w:rsidRPr="003246A2">
                              <w:rPr>
                                <w:lang w:eastAsia="en-GB"/>
                              </w:rPr>
                              <w:t>5. Government’s ambition is not to educate children that have completed compulsory school attendance but children that are employable on the labour market.</w:t>
                            </w:r>
                          </w:p>
                          <w:p w:rsidR="004E6E3A" w:rsidRPr="003246A2" w:rsidRDefault="004E6E3A" w:rsidP="00045F19">
                            <w:pPr>
                              <w:spacing w:line="276" w:lineRule="auto"/>
                              <w:rPr>
                                <w:lang w:eastAsia="en-GB"/>
                              </w:rPr>
                            </w:pPr>
                            <w:r w:rsidRPr="003246A2">
                              <w:rPr>
                                <w:lang w:eastAsia="en-GB"/>
                              </w:rPr>
                              <w:t xml:space="preserve">6. Government shall stipulate the minimum scope of </w:t>
                            </w:r>
                            <w:r w:rsidRPr="003246A2">
                              <w:rPr>
                                <w:i/>
                                <w:iCs/>
                                <w:lang w:eastAsia="en-GB"/>
                              </w:rPr>
                              <w:t xml:space="preserve">community </w:t>
                            </w:r>
                            <w:r w:rsidRPr="003246A2">
                              <w:rPr>
                                <w:lang w:eastAsia="en-GB"/>
                              </w:rPr>
                              <w:t>works a socially dependent citizen must perform in order to become eligible to the motivational po</w:t>
                            </w:r>
                            <w:r w:rsidRPr="003246A2">
                              <w:rPr>
                                <w:lang w:eastAsia="en-GB"/>
                              </w:rPr>
                              <w:t>r</w:t>
                            </w:r>
                            <w:r w:rsidRPr="003246A2">
                              <w:rPr>
                                <w:lang w:eastAsia="en-GB"/>
                              </w:rPr>
                              <w:t>tion of welfare benefits. Slovakia is not wealthy enough a country to hand out money to people who are fit to work.</w:t>
                            </w:r>
                          </w:p>
                          <w:p w:rsidR="004E6E3A" w:rsidRPr="003246A2" w:rsidRDefault="004E6E3A" w:rsidP="00045F19">
                            <w:pPr>
                              <w:spacing w:line="276" w:lineRule="auto"/>
                              <w:rPr>
                                <w:lang w:eastAsia="en-GB"/>
                              </w:rPr>
                            </w:pPr>
                            <w:r w:rsidRPr="003246A2">
                              <w:rPr>
                                <w:lang w:eastAsia="en-GB"/>
                              </w:rPr>
                              <w:t>7. Government shall adjust the social security system in order to avoid situations when not working is more profitable than going to work.</w:t>
                            </w:r>
                          </w:p>
                          <w:p w:rsidR="004E6E3A" w:rsidRPr="003246A2" w:rsidRDefault="004E6E3A" w:rsidP="00045F19">
                            <w:pPr>
                              <w:spacing w:line="276" w:lineRule="auto"/>
                              <w:rPr>
                                <w:lang w:eastAsia="en-GB"/>
                              </w:rPr>
                            </w:pPr>
                            <w:r w:rsidRPr="003246A2">
                              <w:rPr>
                                <w:lang w:eastAsia="en-GB"/>
                              </w:rPr>
                              <w:t>8. Government shall compensate owners of land on which it allowed emergence of illegal settlements in the past. Subsequently, the land shall be offered for identical prices to its current users whose illegal dwellings shall be removed from the land if they fail to buy the land within the set time limit.</w:t>
                            </w:r>
                          </w:p>
                          <w:p w:rsidR="004E6E3A" w:rsidRPr="003246A2" w:rsidRDefault="004E6E3A" w:rsidP="00045F19">
                            <w:pPr>
                              <w:spacing w:line="276" w:lineRule="auto"/>
                              <w:rPr>
                                <w:lang w:eastAsia="en-GB"/>
                              </w:rPr>
                            </w:pPr>
                            <w:r w:rsidRPr="003246A2">
                              <w:rPr>
                                <w:lang w:eastAsia="en-GB"/>
                              </w:rPr>
                              <w:t>9. Government shall not automatically disburse housing allowance to all real estate owners and tenants but only to people who respect their lawful obligations and r</w:t>
                            </w:r>
                            <w:r w:rsidRPr="003246A2">
                              <w:rPr>
                                <w:lang w:eastAsia="en-GB"/>
                              </w:rPr>
                              <w:t>e</w:t>
                            </w:r>
                            <w:r w:rsidRPr="003246A2">
                              <w:rPr>
                                <w:lang w:eastAsia="en-GB"/>
                              </w:rPr>
                              <w:t>frain from transgressions and criminal offences, regardless of their relation to the property.</w:t>
                            </w:r>
                          </w:p>
                          <w:p w:rsidR="004E6E3A" w:rsidRPr="003246A2" w:rsidRDefault="004E6E3A" w:rsidP="00045F19">
                            <w:pPr>
                              <w:spacing w:line="276" w:lineRule="auto"/>
                              <w:rPr>
                                <w:szCs w:val="22"/>
                              </w:rPr>
                            </w:pPr>
                            <w:r w:rsidRPr="003246A2">
                              <w:rPr>
                                <w:lang w:eastAsia="en-GB"/>
                              </w:rPr>
                              <w:t>10. Government shall introduce measures aimed at taking away transgression i</w:t>
                            </w:r>
                            <w:r w:rsidRPr="003246A2">
                              <w:rPr>
                                <w:lang w:eastAsia="en-GB"/>
                              </w:rPr>
                              <w:t>m</w:t>
                            </w:r>
                            <w:r w:rsidRPr="003246A2">
                              <w:rPr>
                                <w:lang w:eastAsia="en-GB"/>
                              </w:rPr>
                              <w:t>munity from socially dependent citizens who are currently able to perpetrate tran</w:t>
                            </w:r>
                            <w:r w:rsidRPr="003246A2">
                              <w:rPr>
                                <w:lang w:eastAsia="en-GB"/>
                              </w:rPr>
                              <w:t>s</w:t>
                            </w:r>
                            <w:r w:rsidRPr="003246A2">
                              <w:rPr>
                                <w:lang w:eastAsia="en-GB"/>
                              </w:rPr>
                              <w:t>gressions with impunity.</w:t>
                            </w:r>
                          </w:p>
                          <w:p w:rsidR="004E6E3A" w:rsidRPr="0052335A" w:rsidRDefault="004E6E3A" w:rsidP="00045F19">
                            <w:pPr>
                              <w:spacing w:line="276" w:lineRule="auto"/>
                              <w:rPr>
                                <w:sz w:val="16"/>
                                <w:szCs w:val="16"/>
                              </w:rPr>
                            </w:pPr>
                            <w:r w:rsidRPr="0052335A">
                              <w:rPr>
                                <w:b/>
                                <w:sz w:val="16"/>
                                <w:szCs w:val="16"/>
                              </w:rPr>
                              <w:t>Source:</w:t>
                            </w:r>
                            <w:r w:rsidRPr="0052335A">
                              <w:rPr>
                                <w:sz w:val="16"/>
                                <w:szCs w:val="16"/>
                              </w:rPr>
                              <w:t xml:space="preserve"> Laj</w:t>
                            </w:r>
                            <w:r w:rsidRPr="0052335A">
                              <w:rPr>
                                <w:rFonts w:cs="Arial"/>
                                <w:sz w:val="16"/>
                                <w:szCs w:val="16"/>
                              </w:rPr>
                              <w:t>č</w:t>
                            </w:r>
                            <w:r w:rsidRPr="0052335A">
                              <w:rPr>
                                <w:sz w:val="16"/>
                                <w:szCs w:val="16"/>
                              </w:rPr>
                              <w:t>áková and Gallová Kriglerová 2012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AADC406" id="Text Box 31" o:spid="_x0000_s1031" type="#_x0000_t202" style="position:absolute;left:0;text-align:left;margin-left:-13.65pt;margin-top:2.2pt;width:427.8pt;height:569.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K5LgIAAFoEAAAOAAAAZHJzL2Uyb0RvYy54bWysVNuO2yAQfa/Uf0C8N859s1ac1TbpVpW2&#10;F2m3H4AxtlGBoUBip1/fASdpenupmkiIYYbDzDkzXt/1WpGDcF6CKehkNKZEGA6VNE1BPz8/vFpR&#10;4gMzFVNgREGPwtO7zcsX687mYgotqEo4giDG550taBuCzbPM81Zo5kdghUFnDU6zgKZrssqxDtG1&#10;yqbj8TLrwFXWARfe4+lucNJNwq9rwcPHuvYiEFVQzC2k1aW1jGu2WbO8ccy2kp/SYP+QhWbS4KMX&#10;qB0LjOyd/A1KS+7AQx1GHHQGdS25SDVgNZPxL9U8tcyKVAuS4+2FJv//YPmHwydHZFXQGSplmEaN&#10;nkUfyGvoyWwS+emszzHsyWJg6PEcdU61evsI/IsnBrYtM424dw66VrAK80s3s6urA46PIGX3Hip8&#10;h+0DJKC+djqSh3QQREedjhdtYi4cDxfz2Wy8RBdH3810tpyjgdllLD9ft86HtwI0iZuCOhQ/wbPD&#10;ow9D6DkkvuZByepBKpUM15Rb5ciBYaPsVvF/Qv8pTBnSFfR2MV0MDPwVYpx+f4LQMmDHK6kLuroE&#10;sTzy9sZUqR8Dk2rYY3XKYJGRyMjdwGLoyz5ptjjrU0J1RGYdDA2OA4mbFtw3Sjps7oL6r3vmBCXq&#10;nUF1bifzeZyGZMwXN1M03LWnvPYwwxGqoIGSYbsNwwTtrZNNiy8N/WDgHhWtZeI6ZjxkdUofGzip&#10;dRq2OCHXdor68UnYfAcAAP//AwBQSwMEFAAGAAgAAAAhAJGKR6zfAAAACgEAAA8AAABkcnMvZG93&#10;bnJldi54bWxMj8tuwjAQRfeV+g/WVOqmAofgtlGIgxASasuOxwcMsZtExOMoNhD+vtNVu7y6R3fO&#10;FMvRdeJqh9B60jCbJiAsVd60VGs4HjaTDESISAY7T1bD3QZYlo8PBebG32hnr/tYCx6hkKOGJsY+&#10;lzJUjXUYpr63xN23HxxGjkMtzYA3HnedTJPkTTpsiS802Nt1Y6vz/uI0mHX3slEVfq6O8Wsb7vPx&#10;9fCx0/r5aVwtQEQ7xj8YfvVZHUp2OvkLmSA6DZP0fc6oBqVAcJ+lGecTgzOlEpBlIf+/UP4AAAD/&#10;/wMAUEsBAi0AFAAGAAgAAAAhALaDOJL+AAAA4QEAABMAAAAAAAAAAAAAAAAAAAAAAFtDb250ZW50&#10;X1R5cGVzXS54bWxQSwECLQAUAAYACAAAACEAOP0h/9YAAACUAQAACwAAAAAAAAAAAAAAAAAvAQAA&#10;X3JlbHMvLnJlbHNQSwECLQAUAAYACAAAACEA7wWCuS4CAABaBAAADgAAAAAAAAAAAAAAAAAuAgAA&#10;ZHJzL2Uyb0RvYy54bWxQSwECLQAUAAYACAAAACEAkYpHrN8AAAAKAQAADwAAAAAAAAAAAAAAAACI&#10;BAAAZHJzL2Rvd25yZXYueG1sUEsFBgAAAAAEAAQA8wAAAJQFAAAAAA==&#10;" fillcolor="#d8d8d8">
                <v:textbox>
                  <w:txbxContent>
                    <w:p w:rsidR="004E6E3A" w:rsidRPr="003246A2" w:rsidRDefault="004E6E3A" w:rsidP="00045F19">
                      <w:pPr>
                        <w:spacing w:line="276" w:lineRule="auto"/>
                        <w:rPr>
                          <w:lang w:eastAsia="en-GB"/>
                        </w:rPr>
                      </w:pPr>
                      <w:r w:rsidRPr="00FA6A06">
                        <w:rPr>
                          <w:rFonts w:cs="Arial"/>
                          <w:szCs w:val="22"/>
                          <w:lang w:val="en-US" w:eastAsia="hu-HU"/>
                        </w:rPr>
                        <w:t> </w:t>
                      </w:r>
                      <w:r w:rsidRPr="003246A2">
                        <w:rPr>
                          <w:lang w:eastAsia="en-GB"/>
                        </w:rPr>
                        <w:t>1. The form and amount of welfare assistance provided by government as well as government’s approach to citizens shall carefully take into account citizens’ approach to their families, society and state.</w:t>
                      </w:r>
                    </w:p>
                    <w:p w:rsidR="004E6E3A" w:rsidRPr="003246A2" w:rsidRDefault="004E6E3A" w:rsidP="00045F19">
                      <w:pPr>
                        <w:spacing w:line="276" w:lineRule="auto"/>
                        <w:rPr>
                          <w:lang w:eastAsia="en-GB"/>
                        </w:rPr>
                      </w:pPr>
                      <w:r w:rsidRPr="003246A2">
                        <w:rPr>
                          <w:lang w:eastAsia="en-GB"/>
                        </w:rPr>
                        <w:t>2. Government shall systematically evaluate the level of risk a family constitutes to sound development of its children and shall adjust the form and degree of its intervention accordingly.</w:t>
                      </w:r>
                    </w:p>
                    <w:p w:rsidR="004E6E3A" w:rsidRPr="003246A2" w:rsidRDefault="004E6E3A" w:rsidP="00045F19">
                      <w:pPr>
                        <w:spacing w:line="276" w:lineRule="auto"/>
                        <w:rPr>
                          <w:lang w:eastAsia="en-GB"/>
                        </w:rPr>
                      </w:pPr>
                      <w:r w:rsidRPr="003246A2">
                        <w:rPr>
                          <w:lang w:eastAsia="en-GB"/>
                        </w:rPr>
                        <w:t>3. Government shall stipulate clear critical criteria of assessing municipalities’ riskiness; as soon as these criteria have been fulfilled, government shall directly ensure performance of particular auxiliary professions (e.g. teaching assistants, social fieldworkers, health care assistants or police specialists) in the municipality.</w:t>
                      </w:r>
                    </w:p>
                    <w:p w:rsidR="004E6E3A" w:rsidRPr="003246A2" w:rsidRDefault="004E6E3A" w:rsidP="00045F19">
                      <w:pPr>
                        <w:spacing w:line="276" w:lineRule="auto"/>
                        <w:rPr>
                          <w:lang w:eastAsia="en-GB"/>
                        </w:rPr>
                      </w:pPr>
                      <w:r w:rsidRPr="003246A2">
                        <w:rPr>
                          <w:lang w:eastAsia="en-GB"/>
                        </w:rPr>
                        <w:t>4. Government cannot rely on irresponsible parents raising responsible children. Government shall ensure proper education of irresponsible parents’ children before they enter primary schools.</w:t>
                      </w:r>
                    </w:p>
                    <w:p w:rsidR="004E6E3A" w:rsidRPr="003246A2" w:rsidRDefault="004E6E3A" w:rsidP="00045F19">
                      <w:pPr>
                        <w:spacing w:line="276" w:lineRule="auto"/>
                        <w:rPr>
                          <w:lang w:eastAsia="en-GB"/>
                        </w:rPr>
                      </w:pPr>
                      <w:r w:rsidRPr="003246A2">
                        <w:rPr>
                          <w:lang w:eastAsia="en-GB"/>
                        </w:rPr>
                        <w:t>5. Government’s ambition is not to educate children that have completed compulsory school attendance but children that are employable on the labour market.</w:t>
                      </w:r>
                    </w:p>
                    <w:p w:rsidR="004E6E3A" w:rsidRPr="003246A2" w:rsidRDefault="004E6E3A" w:rsidP="00045F19">
                      <w:pPr>
                        <w:spacing w:line="276" w:lineRule="auto"/>
                        <w:rPr>
                          <w:lang w:eastAsia="en-GB"/>
                        </w:rPr>
                      </w:pPr>
                      <w:r w:rsidRPr="003246A2">
                        <w:rPr>
                          <w:lang w:eastAsia="en-GB"/>
                        </w:rPr>
                        <w:t xml:space="preserve">6. Government shall stipulate the minimum scope of </w:t>
                      </w:r>
                      <w:r w:rsidRPr="003246A2">
                        <w:rPr>
                          <w:i/>
                          <w:iCs/>
                          <w:lang w:eastAsia="en-GB"/>
                        </w:rPr>
                        <w:t xml:space="preserve">community </w:t>
                      </w:r>
                      <w:r w:rsidRPr="003246A2">
                        <w:rPr>
                          <w:lang w:eastAsia="en-GB"/>
                        </w:rPr>
                        <w:t>works a socially dependent citizen must perform in order to become eligible to the motivational portion of welfare benefits. Slovakia is not wealthy enough a country to hand out money to people who are fit to work.</w:t>
                      </w:r>
                    </w:p>
                    <w:p w:rsidR="004E6E3A" w:rsidRPr="003246A2" w:rsidRDefault="004E6E3A" w:rsidP="00045F19">
                      <w:pPr>
                        <w:spacing w:line="276" w:lineRule="auto"/>
                        <w:rPr>
                          <w:lang w:eastAsia="en-GB"/>
                        </w:rPr>
                      </w:pPr>
                      <w:r w:rsidRPr="003246A2">
                        <w:rPr>
                          <w:lang w:eastAsia="en-GB"/>
                        </w:rPr>
                        <w:t>7. Government shall adjust the social security system in order to avoid situations when not working is more profitable than going to work.</w:t>
                      </w:r>
                    </w:p>
                    <w:p w:rsidR="004E6E3A" w:rsidRPr="003246A2" w:rsidRDefault="004E6E3A" w:rsidP="00045F19">
                      <w:pPr>
                        <w:spacing w:line="276" w:lineRule="auto"/>
                        <w:rPr>
                          <w:lang w:eastAsia="en-GB"/>
                        </w:rPr>
                      </w:pPr>
                      <w:r w:rsidRPr="003246A2">
                        <w:rPr>
                          <w:lang w:eastAsia="en-GB"/>
                        </w:rPr>
                        <w:t>8. Government shall compensate owners of land on which it allowed emergence of illegal settlements in the past. Subsequently, the land shall be offered for identical prices to its current users whose illegal dwellings shall be removed from the land if they fail to buy the land within the set time limit.</w:t>
                      </w:r>
                    </w:p>
                    <w:p w:rsidR="004E6E3A" w:rsidRPr="003246A2" w:rsidRDefault="004E6E3A" w:rsidP="00045F19">
                      <w:pPr>
                        <w:spacing w:line="276" w:lineRule="auto"/>
                        <w:rPr>
                          <w:lang w:eastAsia="en-GB"/>
                        </w:rPr>
                      </w:pPr>
                      <w:r w:rsidRPr="003246A2">
                        <w:rPr>
                          <w:lang w:eastAsia="en-GB"/>
                        </w:rPr>
                        <w:t>9. Government shall not automatically disburse housing allowance to all real estate owners and tenants but only to people who respect their lawful obligations and refrain from transgressions and criminal offences, regardless of their relation to the property.</w:t>
                      </w:r>
                    </w:p>
                    <w:p w:rsidR="004E6E3A" w:rsidRPr="003246A2" w:rsidRDefault="004E6E3A" w:rsidP="00045F19">
                      <w:pPr>
                        <w:spacing w:line="276" w:lineRule="auto"/>
                        <w:rPr>
                          <w:szCs w:val="22"/>
                        </w:rPr>
                      </w:pPr>
                      <w:r w:rsidRPr="003246A2">
                        <w:rPr>
                          <w:lang w:eastAsia="en-GB"/>
                        </w:rPr>
                        <w:t>10. Government shall introduce measures aimed at taking away transgression immunity from socially dependent citizens who are currently able to perpetrate transgressions with impunity.</w:t>
                      </w:r>
                    </w:p>
                    <w:p w:rsidR="004E6E3A" w:rsidRPr="0052335A" w:rsidRDefault="004E6E3A" w:rsidP="00045F19">
                      <w:pPr>
                        <w:spacing w:line="276" w:lineRule="auto"/>
                        <w:rPr>
                          <w:sz w:val="16"/>
                          <w:szCs w:val="16"/>
                        </w:rPr>
                      </w:pPr>
                      <w:r w:rsidRPr="0052335A">
                        <w:rPr>
                          <w:b/>
                          <w:sz w:val="16"/>
                          <w:szCs w:val="16"/>
                        </w:rPr>
                        <w:t>Source:</w:t>
                      </w:r>
                      <w:r w:rsidRPr="0052335A">
                        <w:rPr>
                          <w:sz w:val="16"/>
                          <w:szCs w:val="16"/>
                        </w:rPr>
                        <w:t xml:space="preserve"> Laj</w:t>
                      </w:r>
                      <w:r w:rsidRPr="0052335A">
                        <w:rPr>
                          <w:rFonts w:cs="Arial"/>
                          <w:sz w:val="16"/>
                          <w:szCs w:val="16"/>
                        </w:rPr>
                        <w:t>č</w:t>
                      </w:r>
                      <w:r w:rsidRPr="0052335A">
                        <w:rPr>
                          <w:sz w:val="16"/>
                          <w:szCs w:val="16"/>
                        </w:rPr>
                        <w:t>áková and Gallová Kriglerová 2012</w:t>
                      </w:r>
                    </w:p>
                  </w:txbxContent>
                </v:textbox>
              </v:shape>
            </w:pict>
          </mc:Fallback>
        </mc:AlternateContent>
      </w:r>
      <w:r w:rsidR="00772922" w:rsidRPr="00301583">
        <w:br w:type="page"/>
      </w:r>
      <w:bookmarkStart w:id="186" w:name="_Toc385271117"/>
      <w:r w:rsidR="000F58C9" w:rsidRPr="00301583">
        <w:lastRenderedPageBreak/>
        <w:t>Annex</w:t>
      </w:r>
      <w:r w:rsidR="001256BE">
        <w:t xml:space="preserve"> 5</w:t>
      </w:r>
      <w:r w:rsidR="00772922" w:rsidRPr="00301583">
        <w:t xml:space="preserve">: </w:t>
      </w:r>
      <w:r w:rsidR="000F58C9" w:rsidRPr="00301583">
        <w:t xml:space="preserve">Physical barriers as a spreading tool to separate Roma </w:t>
      </w:r>
      <w:r w:rsidR="00772922" w:rsidRPr="00301583">
        <w:t>(Walls)</w:t>
      </w:r>
      <w:bookmarkEnd w:id="185"/>
      <w:bookmarkEnd w:id="186"/>
    </w:p>
    <w:p w:rsidR="001256BE" w:rsidRPr="001256BE" w:rsidRDefault="001256BE" w:rsidP="001256BE"/>
    <w:p w:rsidR="000F58C9" w:rsidRPr="00301583" w:rsidRDefault="001256BE" w:rsidP="000F58C9">
      <w:r>
        <w:rPr>
          <w:noProof/>
          <w:lang w:val="fi-FI" w:eastAsia="fi-FI"/>
        </w:rPr>
        <w:drawing>
          <wp:inline distT="0" distB="0" distL="0" distR="0" wp14:anchorId="74CBA14D" wp14:editId="42F7F8A4">
            <wp:extent cx="3333750" cy="1876425"/>
            <wp:effectExtent l="19050" t="0" r="0" b="0"/>
            <wp:docPr id="33" name="Kép 4" descr="C:\Users\Kati\Documents\Fő dokumentumok\Munkák 2013\ESPON\Szlovák esettanulmány\Hatter -irodalom, stat kiadványok\Falak\_69387584_slovmichalaf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 descr="C:\Users\Kati\Documents\Fő dokumentumok\Munkák 2013\ESPON\Szlovák esettanulmány\Hatter -irodalom, stat kiadványok\Falak\_69387584_slovmichalafp.jpg"/>
                    <pic:cNvPicPr>
                      <a:picLocks noChangeAspect="1" noChangeArrowheads="1"/>
                    </pic:cNvPicPr>
                  </pic:nvPicPr>
                  <pic:blipFill>
                    <a:blip r:embed="rId52"/>
                    <a:srcRect/>
                    <a:stretch>
                      <a:fillRect/>
                    </a:stretch>
                  </pic:blipFill>
                  <pic:spPr bwMode="auto">
                    <a:xfrm>
                      <a:off x="0" y="0"/>
                      <a:ext cx="3333750" cy="1876425"/>
                    </a:xfrm>
                    <a:prstGeom prst="rect">
                      <a:avLst/>
                    </a:prstGeom>
                    <a:noFill/>
                    <a:ln w="9525">
                      <a:noFill/>
                      <a:miter lim="800000"/>
                      <a:headEnd/>
                      <a:tailEnd/>
                    </a:ln>
                  </pic:spPr>
                </pic:pic>
              </a:graphicData>
            </a:graphic>
          </wp:inline>
        </w:drawing>
      </w:r>
    </w:p>
    <w:p w:rsidR="00772922" w:rsidRPr="001256BE" w:rsidRDefault="001256BE" w:rsidP="001256BE">
      <w:pPr>
        <w:spacing w:after="240" w:line="240" w:lineRule="auto"/>
        <w:rPr>
          <w:sz w:val="16"/>
          <w:szCs w:val="16"/>
        </w:rPr>
      </w:pPr>
      <w:r w:rsidRPr="001256BE">
        <w:rPr>
          <w:b/>
          <w:sz w:val="16"/>
          <w:szCs w:val="16"/>
        </w:rPr>
        <w:t>Source:</w:t>
      </w:r>
      <w:r w:rsidRPr="001256BE">
        <w:rPr>
          <w:sz w:val="16"/>
          <w:szCs w:val="16"/>
        </w:rPr>
        <w:t xml:space="preserve"> http://www.gettyimages.com/detail/news-photo/members-of-a-roma-family-walk-along-the-wall-which-news-photo/107069924</w:t>
      </w:r>
    </w:p>
    <w:p w:rsidR="000F58C9" w:rsidRPr="00301583" w:rsidRDefault="006A7403" w:rsidP="000F58C9">
      <w:r>
        <w:rPr>
          <w:noProof/>
          <w:lang w:val="fi-FI" w:eastAsia="fi-FI"/>
        </w:rPr>
        <mc:AlternateContent>
          <mc:Choice Requires="wps">
            <w:drawing>
              <wp:anchor distT="0" distB="0" distL="114300" distR="114300" simplePos="0" relativeHeight="251669504" behindDoc="0" locked="0" layoutInCell="1" allowOverlap="1" wp14:anchorId="775514CA" wp14:editId="160B8997">
                <wp:simplePos x="0" y="0"/>
                <wp:positionH relativeFrom="column">
                  <wp:posOffset>11430</wp:posOffset>
                </wp:positionH>
                <wp:positionV relativeFrom="paragraph">
                  <wp:posOffset>5535930</wp:posOffset>
                </wp:positionV>
                <wp:extent cx="4943475" cy="373380"/>
                <wp:effectExtent l="0" t="0" r="28575" b="26670"/>
                <wp:wrapNone/>
                <wp:docPr id="3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3475" cy="373380"/>
                        </a:xfrm>
                        <a:prstGeom prst="rect">
                          <a:avLst/>
                        </a:prstGeom>
                        <a:solidFill>
                          <a:srgbClr val="FFFFFF"/>
                        </a:solidFill>
                        <a:ln w="9525">
                          <a:solidFill>
                            <a:srgbClr val="000000"/>
                          </a:solidFill>
                          <a:miter lim="800000"/>
                          <a:headEnd/>
                          <a:tailEnd/>
                        </a:ln>
                      </wps:spPr>
                      <wps:txbx>
                        <w:txbxContent>
                          <w:p w:rsidR="004E6E3A" w:rsidRPr="001256BE" w:rsidRDefault="004E6E3A" w:rsidP="001256BE">
                            <w:pPr>
                              <w:spacing w:line="240" w:lineRule="auto"/>
                              <w:rPr>
                                <w:sz w:val="16"/>
                                <w:szCs w:val="16"/>
                              </w:rPr>
                            </w:pPr>
                            <w:r w:rsidRPr="001256BE">
                              <w:rPr>
                                <w:sz w:val="16"/>
                                <w:szCs w:val="16"/>
                              </w:rPr>
                              <w:t>http://ec.europa.eu/commission_2010-2014/vassiliou/headlines/news/2013/docs/letter_en.pdf</w:t>
                            </w:r>
                          </w:p>
                          <w:p w:rsidR="004E6E3A" w:rsidRPr="00772922" w:rsidRDefault="004E6E3A">
                            <w:pP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75514CA" id="Text Box 30" o:spid="_x0000_s1032" type="#_x0000_t202" style="position:absolute;left:0;text-align:left;margin-left:.9pt;margin-top:435.9pt;width:389.25pt;height:29.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Ml1MAIAAFkEAAAOAAAAZHJzL2Uyb0RvYy54bWysVNtu2zAMfR+wfxD0vjiJnTYx4hRdugwD&#10;ugvQ7gNkWbaFyaImKbGzry8lp2nQbS/D/CCIEnV4eEh6fTN0ihyEdRJ0QWeTKSVCc6ikbgr6/XH3&#10;bkmJ80xXTIEWBT0KR282b9+se5OLObSgKmEJgmiX96agrfcmTxLHW9ExNwEjNF7WYDvm0bRNUlnW&#10;I3qnkvl0epX0YCtjgQvn8PRuvKSbiF/Xgvuvde2EJ6qgyM3H1ca1DGuyWbO8scy0kp9osH9g0TGp&#10;MegZ6o55RvZW/gbVSW7BQe0nHLoE6lpyEXPAbGbTV9k8tMyImAuK48xZJvf/YPmXwzdLZFXQdEGJ&#10;Zh3W6FEMnryHgaRRn964HN0eDDr6Ac+xzjFXZ+6B/3BEw7ZluhG31kLfClYhv1lQNrl4GirichdA&#10;yv4zVBiH7T1EoKG2XRAP5SCIjnU6nmsTuHA8zFZZml0jR4536XWaLiO5hOXPr411/qOAjoRNQS3W&#10;PqKzw73zgQ3Ln11CMAdKVjupVDRsU26VJQeGfbKLX0zglZvSpC/oajFfjAL8FWIavz9BdNJjwyvZ&#10;FXR5dmJ5kO2DrmI7eibVuEfKSp90DNKNIvqhHGLJrkKAIGsJ1RGFtTD2N84jblqwvyjpsbcL6n7u&#10;mRWUqE8ai7OaZVkYhmhki+s5Gvbypry8YZojVEE9JeN268cB2hsrmxYjje2g4RYLWsuo9QurE33s&#10;31iC06yFAbm0o9fLH2HzBAAA//8DAFBLAwQUAAYACAAAACEA0goms94AAAAJAQAADwAAAGRycy9k&#10;b3ducmV2LnhtbEyPwU7DMAyG70i8Q2QkLoglUNR2pemEkEBwg4G2a9ZkbUXilCTrytvjneDmX7/1&#10;+XO9mp1lkwlx8CjhZiGAGWy9HrCT8PnxdF0Ci0mhVtajkfBjIqya87NaVdof8d1M69QxgmCslIQ+&#10;pbHiPLa9cSou/GiQur0PTiWKoeM6qCPBneW3QuTcqQHpQq9G89ib9mt9cBLKu5dpG1+zt02b7+0y&#10;XRXT83eQ8vJifrgHlsyc/pbhpE/q0JDTzh9QR2Ypk3giVHEaqC9KkQHbSVhmIgfe1Pz/B80vAAAA&#10;//8DAFBLAQItABQABgAIAAAAIQC2gziS/gAAAOEBAAATAAAAAAAAAAAAAAAAAAAAAABbQ29udGVu&#10;dF9UeXBlc10ueG1sUEsBAi0AFAAGAAgAAAAhADj9If/WAAAAlAEAAAsAAAAAAAAAAAAAAAAALwEA&#10;AF9yZWxzLy5yZWxzUEsBAi0AFAAGAAgAAAAhACPIyXUwAgAAWQQAAA4AAAAAAAAAAAAAAAAALgIA&#10;AGRycy9lMm9Eb2MueG1sUEsBAi0AFAAGAAgAAAAhANIKJrPeAAAACQEAAA8AAAAAAAAAAAAAAAAA&#10;igQAAGRycy9kb3ducmV2LnhtbFBLBQYAAAAABAAEAPMAAACVBQAAAAA=&#10;">
                <v:textbox>
                  <w:txbxContent>
                    <w:p w:rsidR="004E6E3A" w:rsidRPr="001256BE" w:rsidRDefault="004E6E3A" w:rsidP="001256BE">
                      <w:pPr>
                        <w:spacing w:line="240" w:lineRule="auto"/>
                        <w:rPr>
                          <w:sz w:val="16"/>
                          <w:szCs w:val="16"/>
                        </w:rPr>
                      </w:pPr>
                      <w:r w:rsidRPr="001256BE">
                        <w:rPr>
                          <w:sz w:val="16"/>
                          <w:szCs w:val="16"/>
                        </w:rPr>
                        <w:t>http://ec.europa.eu/commission_2010-2014/vassiliou/headlines/news/2013/docs/letter_en.pdf</w:t>
                      </w:r>
                    </w:p>
                    <w:p w:rsidR="004E6E3A" w:rsidRPr="00772922" w:rsidRDefault="004E6E3A">
                      <w:pPr>
                        <w:rPr>
                          <w:sz w:val="18"/>
                          <w:szCs w:val="18"/>
                        </w:rPr>
                      </w:pPr>
                    </w:p>
                  </w:txbxContent>
                </v:textbox>
              </v:shape>
            </w:pict>
          </mc:Fallback>
        </mc:AlternateContent>
      </w:r>
      <w:r w:rsidR="000343B0">
        <w:rPr>
          <w:noProof/>
          <w:lang w:val="fi-FI" w:eastAsia="fi-FI"/>
        </w:rPr>
        <mc:AlternateContent>
          <mc:Choice Requires="wps">
            <w:drawing>
              <wp:anchor distT="0" distB="0" distL="114300" distR="114300" simplePos="0" relativeHeight="251668480" behindDoc="0" locked="0" layoutInCell="1" allowOverlap="1" wp14:anchorId="123188AA" wp14:editId="1154A545">
                <wp:simplePos x="0" y="0"/>
                <wp:positionH relativeFrom="column">
                  <wp:posOffset>9525</wp:posOffset>
                </wp:positionH>
                <wp:positionV relativeFrom="paragraph">
                  <wp:posOffset>76200</wp:posOffset>
                </wp:positionV>
                <wp:extent cx="5243195" cy="5428615"/>
                <wp:effectExtent l="0" t="0" r="14605" b="19685"/>
                <wp:wrapNone/>
                <wp:docPr id="36" name="Szövegdoboz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43195" cy="5428615"/>
                        </a:xfrm>
                        <a:prstGeom prst="rect">
                          <a:avLst/>
                        </a:prstGeom>
                        <a:solidFill>
                          <a:sysClr val="window" lastClr="FFFFFF"/>
                        </a:solidFill>
                        <a:ln w="6350">
                          <a:solidFill>
                            <a:prstClr val="black"/>
                          </a:solidFill>
                        </a:ln>
                        <a:effectLst/>
                      </wps:spPr>
                      <wps:txbx>
                        <w:txbxContent>
                          <w:p w:rsidR="004E6E3A" w:rsidRDefault="004E6E3A" w:rsidP="00772922">
                            <w:r>
                              <w:rPr>
                                <w:noProof/>
                                <w:lang w:val="fi-FI" w:eastAsia="fi-FI"/>
                              </w:rPr>
                              <w:drawing>
                                <wp:inline distT="0" distB="0" distL="0" distR="0" wp14:anchorId="0A9E0100" wp14:editId="6A99017D">
                                  <wp:extent cx="5124450" cy="5267325"/>
                                  <wp:effectExtent l="19050" t="0" r="0" b="0"/>
                                  <wp:docPr id="34"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53"/>
                                          <a:srcRect/>
                                          <a:stretch>
                                            <a:fillRect/>
                                          </a:stretch>
                                        </pic:blipFill>
                                        <pic:spPr bwMode="auto">
                                          <a:xfrm>
                                            <a:off x="0" y="0"/>
                                            <a:ext cx="5124450" cy="5267325"/>
                                          </a:xfrm>
                                          <a:prstGeom prst="rect">
                                            <a:avLst/>
                                          </a:prstGeom>
                                          <a:solidFill>
                                            <a:srgbClr val="F2F2F2"/>
                                          </a:solidFill>
                                          <a:ln w="9525">
                                            <a:noFill/>
                                            <a:miter lim="800000"/>
                                            <a:headEnd/>
                                            <a:tailEnd/>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shape w14:anchorId="123188AA" id="Szövegdoboz 1" o:spid="_x0000_s1033" type="#_x0000_t202" style="position:absolute;left:0;text-align:left;margin-left:.75pt;margin-top:6pt;width:412.85pt;height:427.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KycwIAAOYEAAAOAAAAZHJzL2Uyb0RvYy54bWysVN1u2jAUvp+0d7B8P0L4a4sIFaNimoTa&#10;SnTqteM4JKrj49mGBB5sL9AX27ETKGt3NY0Lc+zz+fx8/k5mt00lyV4YW4JKaNzrUyIUh6xU24T+&#10;eFp9uabEOqYyJkGJhB6Epbfzz59mtZ6KARQgM2EIBlF2WuuEFs7paRRZXoiK2R5oodCZg6mYw63Z&#10;RplhNUavZDTo9ydRDSbTBriwFk/vWiedh/h5Lrh7yHMrHJEJxdpcWE1YU79G8xmbbg3TRcm7Mtg/&#10;VFGxUmHSc6g75hjZmfJDqKrkBizkrsehiiDPSy5CD9hN3H/XzaZgWoRekByrzzTZ/xeW3+8fDSmz&#10;hA4nlChW4Rttjq+/9mKbQQpHEnuKam2niNxoxLrmKzT41KFdq9fAXyxCogtMe8Ei2lPS5Kby/9gs&#10;wYv4Cocz86JxhOPheDAaxjdjSjj6xqPB9SQe+8TR23VtrPsmoCLeSKjBpw0lsP3auhZ6gvhsFmSZ&#10;rUopw+Zgl9KQPUMVoHgyqCmRzDo8TOgq/Lpsf1yTitQJnQzH/bbZy5A+1zlmKhl/+RgBq5fK5xdB&#10;iV2dnqiWG2+5Jm0C/1cnolPIDsizgVasVvNVicnWWO8jM6hOZBAnzj3gkkvACqGzKCnAHP927vEo&#10;GvRSUqPaE2p/7pgRSMN3hXK6iUcjPx5hMxpfDXBjLj3ppUftqiUglTHOtubB9HgnT2ZuoHrGwVz4&#10;rOhiimPuhLqTuXTtDOJgc7FYBBAOhGZurTaan+TlSX5qnpnR3as7FMw9nOaCTd89fov1jCtY7Bzk&#10;ZVCG57lltdMpDlPQVjf4flov9wH19nma/wYAAP//AwBQSwMEFAAGAAgAAAAhAPeAQvXdAAAACAEA&#10;AA8AAABkcnMvZG93bnJldi54bWxMT8FKw0AUvAv9h+UVvNmNkaZtzKbUgqin0iqIt032NQnJvg3Z&#10;bRr/3udJT2+GGebNZNvJdmLEwTeOFNwvIhBIpTMNVQo+3p/v1iB80GR05wgVfKOHbT67yXRq3JWO&#10;OJ5CJTiEfKoV1CH0qZS+rNFqv3A9EmtnN1gdmA6VNIO+crjtZBxFibS6If5Q6x73NZbt6WIV7A5v&#10;xasvH86jaff48vnUt5uvpVK382n3CCLgFP7M8Fufq0POnQp3IeNFx3zJRj4xL2J5Ha9iEAWDJNmA&#10;zDP5f0D+AwAA//8DAFBLAQItABQABgAIAAAAIQC2gziS/gAAAOEBAAATAAAAAAAAAAAAAAAAAAAA&#10;AABbQ29udGVudF9UeXBlc10ueG1sUEsBAi0AFAAGAAgAAAAhADj9If/WAAAAlAEAAAsAAAAAAAAA&#10;AAAAAAAALwEAAF9yZWxzLy5yZWxzUEsBAi0AFAAGAAgAAAAhAJz9krJzAgAA5gQAAA4AAAAAAAAA&#10;AAAAAAAALgIAAGRycy9lMm9Eb2MueG1sUEsBAi0AFAAGAAgAAAAhAPeAQvXdAAAACAEAAA8AAAAA&#10;AAAAAAAAAAAAzQQAAGRycy9kb3ducmV2LnhtbFBLBQYAAAAABAAEAPMAAADXBQAAAAA=&#10;" fillcolor="window" strokeweight=".5pt">
                <v:path arrowok="t"/>
                <v:textbox>
                  <w:txbxContent>
                    <w:p w:rsidR="004E6E3A" w:rsidRDefault="004E6E3A" w:rsidP="00772922">
                      <w:r>
                        <w:rPr>
                          <w:noProof/>
                          <w:lang w:val="fi-FI" w:eastAsia="fi-FI"/>
                        </w:rPr>
                        <w:drawing>
                          <wp:inline distT="0" distB="0" distL="0" distR="0" wp14:anchorId="0A9E0100" wp14:editId="6A99017D">
                            <wp:extent cx="5124450" cy="5267325"/>
                            <wp:effectExtent l="19050" t="0" r="0" b="0"/>
                            <wp:docPr id="34"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54"/>
                                    <a:srcRect/>
                                    <a:stretch>
                                      <a:fillRect/>
                                    </a:stretch>
                                  </pic:blipFill>
                                  <pic:spPr bwMode="auto">
                                    <a:xfrm>
                                      <a:off x="0" y="0"/>
                                      <a:ext cx="5124450" cy="5267325"/>
                                    </a:xfrm>
                                    <a:prstGeom prst="rect">
                                      <a:avLst/>
                                    </a:prstGeom>
                                    <a:solidFill>
                                      <a:srgbClr val="F2F2F2"/>
                                    </a:solidFill>
                                    <a:ln w="9525">
                                      <a:noFill/>
                                      <a:miter lim="800000"/>
                                      <a:headEnd/>
                                      <a:tailEnd/>
                                    </a:ln>
                                  </pic:spPr>
                                </pic:pic>
                              </a:graphicData>
                            </a:graphic>
                          </wp:inline>
                        </w:drawing>
                      </w:r>
                    </w:p>
                  </w:txbxContent>
                </v:textbox>
              </v:shape>
            </w:pict>
          </mc:Fallback>
        </mc:AlternateContent>
      </w:r>
      <w:r w:rsidR="000F58C9" w:rsidRPr="00301583">
        <w:t>2. Androulla Vassiliou’s letter to th</w:t>
      </w:r>
      <w:r w:rsidR="00772922" w:rsidRPr="00301583">
        <w:t xml:space="preserve">e mayor of </w:t>
      </w:r>
      <w:r w:rsidR="00B15A22" w:rsidRPr="00301583">
        <w:t>Košice</w:t>
      </w:r>
      <w:r w:rsidR="00772922" w:rsidRPr="00301583">
        <w:t xml:space="preserve"> in August 201</w:t>
      </w:r>
    </w:p>
    <w:sectPr w:rsidR="000F58C9" w:rsidRPr="00301583" w:rsidSect="006A7403">
      <w:pgSz w:w="11907" w:h="16840" w:code="9"/>
      <w:pgMar w:top="1440" w:right="1797" w:bottom="1440" w:left="1797" w:header="709" w:footer="709" w:gutter="0"/>
      <w:pgNumType w:start="7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5F41" w:rsidRDefault="001C5F41">
      <w:r>
        <w:separator/>
      </w:r>
    </w:p>
    <w:p w:rsidR="001C5F41" w:rsidRDefault="001C5F41"/>
  </w:endnote>
  <w:endnote w:type="continuationSeparator" w:id="0">
    <w:p w:rsidR="001C5F41" w:rsidRDefault="001C5F41">
      <w:r>
        <w:continuationSeparator/>
      </w:r>
    </w:p>
    <w:p w:rsidR="001C5F41" w:rsidRDefault="001C5F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NewRomanPSMT">
    <w:altName w:val="MS Mincho"/>
    <w:panose1 w:val="00000000000000000000"/>
    <w:charset w:val="80"/>
    <w:family w:val="auto"/>
    <w:notTrueType/>
    <w:pitch w:val="default"/>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4075305"/>
      <w:docPartObj>
        <w:docPartGallery w:val="Page Numbers (Bottom of Page)"/>
        <w:docPartUnique/>
      </w:docPartObj>
    </w:sdtPr>
    <w:sdtEndPr/>
    <w:sdtContent>
      <w:p w:rsidR="004E6E3A" w:rsidRDefault="004E6E3A">
        <w:pPr>
          <w:pStyle w:val="Footer"/>
          <w:jc w:val="right"/>
        </w:pPr>
        <w:r>
          <w:fldChar w:fldCharType="begin"/>
        </w:r>
        <w:r>
          <w:instrText>PAGE   \* MERGEFORMAT</w:instrText>
        </w:r>
        <w:r>
          <w:fldChar w:fldCharType="separate"/>
        </w:r>
        <w:r w:rsidR="0059397B" w:rsidRPr="0059397B">
          <w:rPr>
            <w:noProof/>
            <w:lang w:val="de-DE"/>
          </w:rPr>
          <w:t>70</w:t>
        </w:r>
        <w:r>
          <w:fldChar w:fldCharType="end"/>
        </w:r>
      </w:p>
    </w:sdtContent>
  </w:sdt>
  <w:p w:rsidR="004E6E3A" w:rsidRDefault="004E6E3A" w:rsidP="00676302">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E3A" w:rsidRDefault="004E6E3A">
    <w:pPr>
      <w:pStyle w:val="Footer"/>
      <w:jc w:val="right"/>
    </w:pPr>
    <w:r>
      <w:t>xi</w:t>
    </w:r>
  </w:p>
  <w:p w:rsidR="004E6E3A" w:rsidRDefault="004E6E3A">
    <w:pPr>
      <w:pStyle w:val="Footer"/>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902451"/>
      <w:docPartObj>
        <w:docPartGallery w:val="Page Numbers (Bottom of Page)"/>
        <w:docPartUnique/>
      </w:docPartObj>
    </w:sdtPr>
    <w:sdtEndPr/>
    <w:sdtContent>
      <w:p w:rsidR="004E6E3A" w:rsidRDefault="001C5F41" w:rsidP="00540045">
        <w:pPr>
          <w:pStyle w:val="Footer"/>
          <w:jc w:val="right"/>
        </w:pP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5340052"/>
      <w:docPartObj>
        <w:docPartGallery w:val="Page Numbers (Bottom of Page)"/>
        <w:docPartUnique/>
      </w:docPartObj>
    </w:sdtPr>
    <w:sdtEndPr/>
    <w:sdtContent>
      <w:p w:rsidR="004E6E3A" w:rsidRDefault="004E6E3A">
        <w:pPr>
          <w:pStyle w:val="Footer"/>
          <w:jc w:val="right"/>
        </w:pPr>
        <w:r>
          <w:fldChar w:fldCharType="begin"/>
        </w:r>
        <w:r>
          <w:instrText>PAGE   \* MERGEFORMAT</w:instrText>
        </w:r>
        <w:r>
          <w:fldChar w:fldCharType="separate"/>
        </w:r>
        <w:r w:rsidR="0059397B">
          <w:rPr>
            <w:noProof/>
          </w:rPr>
          <w:t>71</w:t>
        </w:r>
        <w:r>
          <w:fldChar w:fldCharType="end"/>
        </w:r>
      </w:p>
    </w:sdtContent>
  </w:sdt>
  <w:p w:rsidR="004E6E3A" w:rsidRDefault="004E6E3A">
    <w:pPr>
      <w:pStyle w:val="Foote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5F41" w:rsidRDefault="001C5F41">
      <w:r>
        <w:separator/>
      </w:r>
    </w:p>
  </w:footnote>
  <w:footnote w:type="continuationSeparator" w:id="0">
    <w:p w:rsidR="001C5F41" w:rsidRDefault="001C5F41">
      <w:r>
        <w:continuationSeparator/>
      </w:r>
    </w:p>
    <w:p w:rsidR="001C5F41" w:rsidRDefault="001C5F41"/>
  </w:footnote>
  <w:footnote w:id="1">
    <w:p w:rsidR="004E6E3A" w:rsidRPr="001E5FFE" w:rsidRDefault="004E6E3A" w:rsidP="000D4671">
      <w:pPr>
        <w:pStyle w:val="FootnoteText"/>
        <w:spacing w:before="60" w:line="240" w:lineRule="auto"/>
        <w:rPr>
          <w:rFonts w:cs="Arial"/>
          <w:sz w:val="18"/>
          <w:szCs w:val="18"/>
          <w:lang w:val="hu-HU"/>
        </w:rPr>
      </w:pPr>
      <w:r w:rsidRPr="000D4671">
        <w:rPr>
          <w:rStyle w:val="FootnoteReference"/>
          <w:rFonts w:cs="Arial"/>
          <w:sz w:val="16"/>
          <w:szCs w:val="16"/>
        </w:rPr>
        <w:footnoteRef/>
      </w:r>
      <w:r w:rsidRPr="000D4671">
        <w:rPr>
          <w:rFonts w:cs="Arial"/>
          <w:sz w:val="16"/>
          <w:szCs w:val="16"/>
        </w:rPr>
        <w:t>By chance, migrant Roma f</w:t>
      </w:r>
      <w:r w:rsidRPr="000D4671">
        <w:rPr>
          <w:rFonts w:cs="Arial"/>
          <w:sz w:val="16"/>
          <w:szCs w:val="16"/>
          <w:lang w:val="hu-HU"/>
        </w:rPr>
        <w:t>r</w:t>
      </w:r>
      <w:r w:rsidRPr="000D4671">
        <w:rPr>
          <w:rFonts w:cs="Arial"/>
          <w:sz w:val="16"/>
          <w:szCs w:val="16"/>
        </w:rPr>
        <w:t>om Southern Slovakia incurred media attention in Page Hall, Sheffield in November 2013</w:t>
      </w:r>
      <w:r w:rsidRPr="000D4671">
        <w:rPr>
          <w:rFonts w:cs="Arial"/>
          <w:sz w:val="16"/>
          <w:szCs w:val="16"/>
          <w:lang w:val="hu-HU"/>
        </w:rPr>
        <w:t>,</w:t>
      </w:r>
      <w:r w:rsidRPr="000D4671">
        <w:rPr>
          <w:rFonts w:cs="Arial"/>
          <w:sz w:val="16"/>
          <w:szCs w:val="16"/>
        </w:rPr>
        <w:t xml:space="preserve"> where an estimated number of 1</w:t>
      </w:r>
      <w:r w:rsidRPr="000D4671">
        <w:rPr>
          <w:rFonts w:cs="Arial"/>
          <w:sz w:val="16"/>
          <w:szCs w:val="16"/>
          <w:lang w:val="hu-HU"/>
        </w:rPr>
        <w:t>,</w:t>
      </w:r>
      <w:r w:rsidRPr="000D4671">
        <w:rPr>
          <w:rFonts w:cs="Arial"/>
          <w:sz w:val="16"/>
          <w:szCs w:val="16"/>
        </w:rPr>
        <w:t>500 Roma migrants live.</w:t>
      </w:r>
      <w:r w:rsidRPr="000D4671">
        <w:rPr>
          <w:rFonts w:cs="Arial"/>
          <w:sz w:val="16"/>
          <w:szCs w:val="16"/>
          <w:lang w:val="hu-HU"/>
        </w:rPr>
        <w:t xml:space="preserve"> ”</w:t>
      </w:r>
      <w:r w:rsidRPr="000D4671">
        <w:rPr>
          <w:rFonts w:cs="Arial"/>
          <w:sz w:val="16"/>
          <w:szCs w:val="16"/>
          <w:lang w:eastAsia="en-GB"/>
        </w:rPr>
        <w:t>Three buses run by Interbus make the 30-hour journey overland from Slovakia to Sheffield each week but just two go back in the other direction.</w:t>
      </w:r>
      <w:r w:rsidRPr="000D4671">
        <w:rPr>
          <w:rFonts w:cs="Arial"/>
          <w:sz w:val="16"/>
          <w:szCs w:val="16"/>
          <w:lang w:val="hu-HU" w:eastAsia="en-GB"/>
        </w:rPr>
        <w:t>”</w:t>
      </w:r>
      <w:r>
        <w:rPr>
          <w:rFonts w:cs="Arial"/>
          <w:sz w:val="16"/>
          <w:szCs w:val="16"/>
          <w:lang w:val="hu-HU" w:eastAsia="en-GB"/>
        </w:rPr>
        <w:t xml:space="preserve"> </w:t>
      </w:r>
      <w:r w:rsidRPr="000D4671">
        <w:rPr>
          <w:rFonts w:cs="Arial"/>
          <w:sz w:val="16"/>
          <w:szCs w:val="16"/>
          <w:lang w:val="hu-HU" w:eastAsia="en-GB"/>
        </w:rPr>
        <w:t>http://www.theguardian.com/uk-news/2013/nov/15/sheffield-page-hall-roma-slovakia-immigration (retrieved in February 15th 2014)</w:t>
      </w:r>
    </w:p>
  </w:footnote>
  <w:footnote w:id="2">
    <w:p w:rsidR="004E6E3A" w:rsidRPr="000D4671" w:rsidRDefault="004E6E3A" w:rsidP="000D4671">
      <w:pPr>
        <w:spacing w:before="60" w:line="240" w:lineRule="auto"/>
        <w:rPr>
          <w:rFonts w:cs="Arial"/>
          <w:sz w:val="18"/>
          <w:szCs w:val="18"/>
          <w:lang w:eastAsia="en-GB"/>
        </w:rPr>
      </w:pPr>
      <w:r w:rsidRPr="000D4671">
        <w:rPr>
          <w:rStyle w:val="FootnoteReference"/>
          <w:rFonts w:cs="Arial"/>
          <w:sz w:val="18"/>
          <w:szCs w:val="18"/>
        </w:rPr>
        <w:footnoteRef/>
      </w:r>
      <w:r w:rsidRPr="000D4671">
        <w:rPr>
          <w:rFonts w:cs="Arial"/>
          <w:sz w:val="18"/>
          <w:szCs w:val="18"/>
        </w:rPr>
        <w:t xml:space="preserve"> In </w:t>
      </w:r>
      <w:r w:rsidRPr="000D4671">
        <w:rPr>
          <w:rFonts w:cs="Arial"/>
          <w:sz w:val="18"/>
          <w:szCs w:val="18"/>
          <w:lang w:eastAsia="en-GB"/>
        </w:rPr>
        <w:t>accordance with the currently valid law, Slovak citizenship is revoked on the day when a Slovak citizen obtains foreign citizenship based on an explicit and voluntary display of free will. The loss of Slovak citizenship also implies the loss of civil service employment or similar labour relations which have the pre</w:t>
      </w:r>
      <w:r>
        <w:rPr>
          <w:rFonts w:cs="Arial"/>
          <w:sz w:val="18"/>
          <w:szCs w:val="18"/>
          <w:lang w:eastAsia="en-GB"/>
        </w:rPr>
        <w:t>condition of Slovak citizenship</w:t>
      </w:r>
      <w:r w:rsidRPr="000D4671">
        <w:rPr>
          <w:rFonts w:cs="Arial"/>
          <w:sz w:val="18"/>
          <w:szCs w:val="18"/>
          <w:lang w:eastAsia="en-GB"/>
        </w:rPr>
        <w:t xml:space="preserve"> (</w:t>
      </w:r>
      <w:r w:rsidRPr="000D4671">
        <w:rPr>
          <w:rFonts w:cs="Arial"/>
          <w:sz w:val="18"/>
          <w:szCs w:val="18"/>
        </w:rPr>
        <w:t>Lajčáková</w:t>
      </w:r>
      <w:r>
        <w:rPr>
          <w:rFonts w:cs="Arial"/>
          <w:sz w:val="18"/>
          <w:szCs w:val="18"/>
        </w:rPr>
        <w:t>,</w:t>
      </w:r>
      <w:r w:rsidRPr="000D4671">
        <w:rPr>
          <w:rFonts w:cs="Arial"/>
          <w:sz w:val="18"/>
          <w:szCs w:val="18"/>
        </w:rPr>
        <w:t xml:space="preserve"> 2012</w:t>
      </w:r>
      <w:r>
        <w:rPr>
          <w:rFonts w:cs="Arial"/>
          <w:sz w:val="18"/>
          <w:szCs w:val="18"/>
        </w:rPr>
        <w:t>, p.</w:t>
      </w:r>
      <w:r w:rsidRPr="000D4671">
        <w:rPr>
          <w:rFonts w:cs="Arial"/>
          <w:sz w:val="18"/>
          <w:szCs w:val="18"/>
        </w:rPr>
        <w:t>18)</w:t>
      </w:r>
    </w:p>
  </w:footnote>
  <w:footnote w:id="3">
    <w:p w:rsidR="004E6E3A" w:rsidRPr="000D4671" w:rsidRDefault="004E6E3A" w:rsidP="000D4671">
      <w:pPr>
        <w:spacing w:before="60" w:line="240" w:lineRule="auto"/>
        <w:rPr>
          <w:rFonts w:cs="Arial"/>
          <w:sz w:val="18"/>
          <w:szCs w:val="18"/>
          <w:lang w:val="hu-HU"/>
        </w:rPr>
      </w:pPr>
      <w:r w:rsidRPr="000D4671">
        <w:rPr>
          <w:rStyle w:val="FootnoteReference"/>
          <w:rFonts w:cs="Arial"/>
          <w:sz w:val="18"/>
          <w:szCs w:val="18"/>
        </w:rPr>
        <w:footnoteRef/>
      </w:r>
      <w:r w:rsidRPr="000D4671">
        <w:rPr>
          <w:rFonts w:cs="Arial"/>
          <w:sz w:val="18"/>
          <w:szCs w:val="18"/>
        </w:rPr>
        <w:t xml:space="preserve"> In accordance with the relevant Act, in localities where the rate of national minorities was below 20% in 1991, Slovak is the mandatory language at public places, citizens are fined for using other languages. In villages and towns where the rate of minority population reached the 20% threshold in 1991, the minority population is allowed to use their</w:t>
      </w:r>
      <w:r>
        <w:rPr>
          <w:rFonts w:cs="Arial"/>
          <w:sz w:val="18"/>
          <w:szCs w:val="18"/>
        </w:rPr>
        <w:t xml:space="preserve"> own languages at public places (t</w:t>
      </w:r>
      <w:r w:rsidRPr="000D4671">
        <w:rPr>
          <w:rFonts w:cs="Arial"/>
          <w:sz w:val="18"/>
          <w:szCs w:val="18"/>
        </w:rPr>
        <w:t>he list of eligible municipalities will be revised in 2021 – see Ravasz</w:t>
      </w:r>
      <w:r>
        <w:rPr>
          <w:rFonts w:cs="Arial"/>
          <w:sz w:val="18"/>
          <w:szCs w:val="18"/>
        </w:rPr>
        <w:t>, 2012, p.</w:t>
      </w:r>
      <w:r w:rsidRPr="000D4671">
        <w:rPr>
          <w:rFonts w:cs="Arial"/>
          <w:sz w:val="18"/>
          <w:szCs w:val="18"/>
        </w:rPr>
        <w:t>17). Though the scope of public places and situations where Slovak should be used was narrowed in 2011 “i.e. leaving out the areas of transport, postal services and telecommunications, fire brigades and certain aspects of keeping school documentation at minority schools [ …], the amendment did not abolish the possibility to impose sanctions (i.e. fines) for violating this otherwise meaningless legislation, which apparently contradicts the Framework Convention for the Protection of National Minorities” (Lajčáková</w:t>
      </w:r>
      <w:r>
        <w:rPr>
          <w:rFonts w:cs="Arial"/>
          <w:sz w:val="18"/>
          <w:szCs w:val="18"/>
        </w:rPr>
        <w:t>,</w:t>
      </w:r>
      <w:r w:rsidRPr="000D4671">
        <w:rPr>
          <w:rFonts w:cs="Arial"/>
          <w:sz w:val="18"/>
          <w:szCs w:val="18"/>
        </w:rPr>
        <w:t xml:space="preserve"> 2012</w:t>
      </w:r>
      <w:r>
        <w:rPr>
          <w:rFonts w:cs="Arial"/>
          <w:sz w:val="18"/>
          <w:szCs w:val="18"/>
        </w:rPr>
        <w:t>,</w:t>
      </w:r>
      <w:r w:rsidRPr="000D4671">
        <w:rPr>
          <w:rFonts w:cs="Arial"/>
          <w:sz w:val="18"/>
          <w:szCs w:val="18"/>
        </w:rPr>
        <w:t xml:space="preserve"> p</w:t>
      </w:r>
      <w:r>
        <w:rPr>
          <w:rFonts w:cs="Arial"/>
          <w:sz w:val="18"/>
          <w:szCs w:val="18"/>
        </w:rPr>
        <w:t xml:space="preserve">. </w:t>
      </w:r>
      <w:r w:rsidRPr="000D4671">
        <w:rPr>
          <w:rFonts w:cs="Arial"/>
          <w:sz w:val="18"/>
          <w:szCs w:val="18"/>
        </w:rPr>
        <w:t xml:space="preserve">41). </w:t>
      </w:r>
    </w:p>
  </w:footnote>
  <w:footnote w:id="4">
    <w:p w:rsidR="004E6E3A" w:rsidRPr="001E5FFE" w:rsidRDefault="004E6E3A" w:rsidP="000D4671">
      <w:pPr>
        <w:pStyle w:val="FootnoteText"/>
        <w:spacing w:before="60" w:line="240" w:lineRule="auto"/>
        <w:rPr>
          <w:rFonts w:cs="Arial"/>
          <w:sz w:val="18"/>
          <w:szCs w:val="18"/>
        </w:rPr>
      </w:pPr>
      <w:r w:rsidRPr="000D4671">
        <w:rPr>
          <w:rStyle w:val="FootnoteReference"/>
          <w:rFonts w:cs="Arial"/>
          <w:sz w:val="18"/>
          <w:szCs w:val="18"/>
        </w:rPr>
        <w:footnoteRef/>
      </w:r>
      <w:r w:rsidRPr="000D4671">
        <w:rPr>
          <w:rFonts w:cs="Arial"/>
          <w:sz w:val="18"/>
          <w:szCs w:val="18"/>
        </w:rPr>
        <w:t xml:space="preserve"> The border was determined by Article 27 of the Trianon Treaty in 1920. The treaty failed to take the ethnic composition into consideration along the border between Hungary and Czechoslovakia, still clea</w:t>
      </w:r>
      <w:r w:rsidRPr="000D4671">
        <w:rPr>
          <w:rFonts w:cs="Arial"/>
          <w:sz w:val="18"/>
          <w:szCs w:val="18"/>
        </w:rPr>
        <w:t>r</w:t>
      </w:r>
      <w:r w:rsidRPr="000D4671">
        <w:rPr>
          <w:rFonts w:cs="Arial"/>
          <w:sz w:val="18"/>
          <w:szCs w:val="18"/>
        </w:rPr>
        <w:t>ly per</w:t>
      </w:r>
      <w:r>
        <w:rPr>
          <w:rFonts w:cs="Arial"/>
          <w:sz w:val="18"/>
          <w:szCs w:val="18"/>
        </w:rPr>
        <w:t>ceivable close to its centenary</w:t>
      </w:r>
      <w:r w:rsidRPr="000D4671">
        <w:rPr>
          <w:rFonts w:cs="Arial"/>
          <w:sz w:val="18"/>
          <w:szCs w:val="18"/>
        </w:rPr>
        <w:t xml:space="preserve"> (see</w:t>
      </w:r>
      <w:r>
        <w:rPr>
          <w:rFonts w:cs="Arial"/>
          <w:sz w:val="18"/>
          <w:szCs w:val="18"/>
        </w:rPr>
        <w:t xml:space="preserve"> </w:t>
      </w:r>
      <w:r w:rsidRPr="004E6E3A">
        <w:rPr>
          <w:rFonts w:cs="Arial"/>
          <w:sz w:val="18"/>
          <w:szCs w:val="18"/>
        </w:rPr>
        <w:fldChar w:fldCharType="begin"/>
      </w:r>
      <w:r w:rsidRPr="004E6E3A">
        <w:rPr>
          <w:rFonts w:cs="Arial"/>
          <w:sz w:val="18"/>
          <w:szCs w:val="18"/>
        </w:rPr>
        <w:instrText xml:space="preserve"> REF _Ref392105873 \h  \* MERGEFORMAT </w:instrText>
      </w:r>
      <w:r w:rsidRPr="004E6E3A">
        <w:rPr>
          <w:rFonts w:cs="Arial"/>
          <w:sz w:val="18"/>
          <w:szCs w:val="18"/>
        </w:rPr>
      </w:r>
      <w:r w:rsidRPr="004E6E3A">
        <w:rPr>
          <w:rFonts w:cs="Arial"/>
          <w:sz w:val="18"/>
          <w:szCs w:val="18"/>
        </w:rPr>
        <w:fldChar w:fldCharType="separate"/>
      </w:r>
      <w:r w:rsidR="00DC6D66" w:rsidRPr="00DC6D66">
        <w:rPr>
          <w:sz w:val="18"/>
          <w:szCs w:val="18"/>
        </w:rPr>
        <w:t xml:space="preserve">Map </w:t>
      </w:r>
      <w:r w:rsidR="00DC6D66" w:rsidRPr="00DC6D66">
        <w:rPr>
          <w:noProof/>
          <w:sz w:val="18"/>
          <w:szCs w:val="18"/>
        </w:rPr>
        <w:t>7</w:t>
      </w:r>
      <w:r w:rsidRPr="004E6E3A">
        <w:rPr>
          <w:rFonts w:cs="Arial"/>
          <w:sz w:val="18"/>
          <w:szCs w:val="18"/>
        </w:rPr>
        <w:fldChar w:fldCharType="end"/>
      </w:r>
      <w:r w:rsidRPr="004E6E3A">
        <w:rPr>
          <w:rFonts w:cs="Arial"/>
          <w:sz w:val="18"/>
          <w:szCs w:val="18"/>
        </w:rPr>
        <w:t xml:space="preserve"> in</w:t>
      </w:r>
      <w:r>
        <w:rPr>
          <w:rFonts w:cs="Arial"/>
          <w:sz w:val="18"/>
          <w:szCs w:val="18"/>
        </w:rPr>
        <w:t xml:space="preserve"> the Annex</w:t>
      </w:r>
      <w:r w:rsidRPr="000D4671">
        <w:rPr>
          <w:rFonts w:cs="Arial"/>
          <w:sz w:val="18"/>
          <w:szCs w:val="18"/>
        </w:rPr>
        <w:t>).</w:t>
      </w:r>
    </w:p>
  </w:footnote>
  <w:footnote w:id="5">
    <w:p w:rsidR="004E6E3A" w:rsidRPr="00301583" w:rsidRDefault="004E6E3A" w:rsidP="000D4671">
      <w:pPr>
        <w:pStyle w:val="FootnoteText"/>
        <w:spacing w:before="60" w:line="240" w:lineRule="auto"/>
        <w:rPr>
          <w:rFonts w:cs="Arial"/>
        </w:rPr>
      </w:pPr>
      <w:r w:rsidRPr="001E5FFE">
        <w:rPr>
          <w:rStyle w:val="FootnoteReference"/>
          <w:rFonts w:cs="Arial"/>
          <w:sz w:val="18"/>
          <w:szCs w:val="18"/>
        </w:rPr>
        <w:footnoteRef/>
      </w:r>
      <w:r w:rsidRPr="001E5FFE">
        <w:rPr>
          <w:rFonts w:cs="Arial"/>
          <w:sz w:val="18"/>
          <w:szCs w:val="18"/>
        </w:rPr>
        <w:t xml:space="preserve"> The value of the grant was EUR 70 in 2012 per year/child, distributed by a government agency called Gábor Bethlen Foundation. The criterion for eligibility was enrolment in a minority Hungarian preschool or school, and a bank account opened in one of the Slovakian branches of a Hungarian Bank (OTP).</w:t>
      </w:r>
    </w:p>
  </w:footnote>
  <w:footnote w:id="6">
    <w:p w:rsidR="004E6E3A" w:rsidRPr="007C131D" w:rsidRDefault="004E6E3A" w:rsidP="003F0E0C">
      <w:pPr>
        <w:pStyle w:val="FootnoteText"/>
        <w:spacing w:before="60" w:line="240" w:lineRule="auto"/>
        <w:rPr>
          <w:rFonts w:cs="Arial"/>
          <w:sz w:val="18"/>
          <w:szCs w:val="18"/>
        </w:rPr>
      </w:pPr>
      <w:r w:rsidRPr="007C131D">
        <w:rPr>
          <w:rStyle w:val="FootnoteReference"/>
          <w:rFonts w:cs="Arial"/>
          <w:sz w:val="18"/>
          <w:szCs w:val="18"/>
        </w:rPr>
        <w:footnoteRef/>
      </w:r>
      <w:r w:rsidRPr="007C131D">
        <w:rPr>
          <w:rFonts w:cs="Arial"/>
          <w:sz w:val="18"/>
          <w:szCs w:val="18"/>
        </w:rPr>
        <w:t xml:space="preserve"> As noted in the field report, according to the children’s doctor in Rimavská Seč who has served the community in the same position for the last 40 years, young Roma women start giving birth 5 to 6 years earlier than during the socialist era and they also have more children: 4 to 6 children per family is not exceptional any more.</w:t>
      </w:r>
    </w:p>
  </w:footnote>
  <w:footnote w:id="7">
    <w:p w:rsidR="004E6E3A" w:rsidRPr="00301583" w:rsidRDefault="004E6E3A" w:rsidP="003F0E0C">
      <w:pPr>
        <w:pStyle w:val="FootnoteText"/>
        <w:spacing w:before="60" w:line="240" w:lineRule="auto"/>
        <w:rPr>
          <w:rFonts w:cs="Arial"/>
        </w:rPr>
      </w:pPr>
      <w:r w:rsidRPr="007C131D">
        <w:rPr>
          <w:rStyle w:val="FootnoteReference"/>
          <w:rFonts w:cs="Arial"/>
          <w:sz w:val="18"/>
          <w:szCs w:val="18"/>
        </w:rPr>
        <w:footnoteRef/>
      </w:r>
      <w:r w:rsidRPr="007C131D">
        <w:rPr>
          <w:rFonts w:cs="Arial"/>
          <w:sz w:val="18"/>
          <w:szCs w:val="18"/>
        </w:rPr>
        <w:t xml:space="preserve"> Child and maternity benefits; see Chapter 2.4.2.</w:t>
      </w:r>
    </w:p>
  </w:footnote>
  <w:footnote w:id="8">
    <w:p w:rsidR="004E6E3A" w:rsidRPr="00806422" w:rsidRDefault="004E6E3A" w:rsidP="00806422">
      <w:pPr>
        <w:pStyle w:val="FootnoteText"/>
        <w:spacing w:before="60" w:line="240" w:lineRule="auto"/>
        <w:rPr>
          <w:rFonts w:cs="Arial"/>
          <w:sz w:val="18"/>
          <w:szCs w:val="18"/>
          <w:lang w:val="hu-HU"/>
        </w:rPr>
      </w:pPr>
      <w:r w:rsidRPr="00806422">
        <w:rPr>
          <w:rStyle w:val="FootnoteReference"/>
          <w:rFonts w:cs="Arial"/>
          <w:sz w:val="18"/>
          <w:szCs w:val="18"/>
        </w:rPr>
        <w:footnoteRef/>
      </w:r>
      <w:r w:rsidRPr="00806422">
        <w:rPr>
          <w:rFonts w:cs="Arial"/>
          <w:sz w:val="18"/>
          <w:szCs w:val="18"/>
        </w:rPr>
        <w:t xml:space="preserve"> The methodology of sociomapping in Slovakia has been based on surveys covering those municipal</w:t>
      </w:r>
      <w:r w:rsidRPr="00806422">
        <w:rPr>
          <w:rFonts w:cs="Arial"/>
          <w:sz w:val="18"/>
          <w:szCs w:val="18"/>
        </w:rPr>
        <w:t>i</w:t>
      </w:r>
      <w:r w:rsidRPr="00806422">
        <w:rPr>
          <w:rFonts w:cs="Arial"/>
          <w:sz w:val="18"/>
          <w:szCs w:val="18"/>
        </w:rPr>
        <w:t>ties where the headcount of self-declared Roma goes beyond a certain minimum number (it was 30 people during the course of the 2012-2013 survey, but other sets of information were also taken into consideration, like the settlement lists of the Office of Roma Plenipotentiary and the database of the 2004 survey). The first round of mapping was implemented in 2003-2004, the second round, with the participation of 30 researchers, from September 2012 to August 31, 2013. Meanwhile, a so-called qual</w:t>
      </w:r>
      <w:r w:rsidRPr="00806422">
        <w:rPr>
          <w:rFonts w:cs="Arial"/>
          <w:sz w:val="18"/>
          <w:szCs w:val="18"/>
        </w:rPr>
        <w:t>i</w:t>
      </w:r>
      <w:r w:rsidRPr="00806422">
        <w:rPr>
          <w:rFonts w:cs="Arial"/>
          <w:sz w:val="18"/>
          <w:szCs w:val="18"/>
        </w:rPr>
        <w:t>tative estimation of the number of Roma was completed in 2010 based on telephone interviews.  See Matlovičová et al.</w:t>
      </w:r>
      <w:r>
        <w:rPr>
          <w:rFonts w:cs="Arial"/>
          <w:sz w:val="18"/>
          <w:szCs w:val="18"/>
        </w:rPr>
        <w:t>,</w:t>
      </w:r>
      <w:r w:rsidRPr="00806422">
        <w:rPr>
          <w:rFonts w:cs="Arial"/>
          <w:sz w:val="18"/>
          <w:szCs w:val="18"/>
        </w:rPr>
        <w:t xml:space="preserve"> 2012</w:t>
      </w:r>
      <w:r w:rsidRPr="00806422">
        <w:rPr>
          <w:rFonts w:cs="Arial"/>
          <w:sz w:val="18"/>
          <w:szCs w:val="18"/>
          <w:lang w:val="hu-HU"/>
        </w:rPr>
        <w:t>, Atlas of Roma … a.n.</w:t>
      </w:r>
    </w:p>
  </w:footnote>
  <w:footnote w:id="9">
    <w:p w:rsidR="004E6E3A" w:rsidRPr="00806422" w:rsidRDefault="004E6E3A" w:rsidP="00806422">
      <w:pPr>
        <w:pStyle w:val="FootnoteText"/>
        <w:spacing w:before="60" w:line="240" w:lineRule="auto"/>
        <w:rPr>
          <w:rFonts w:cs="Arial"/>
          <w:sz w:val="18"/>
          <w:szCs w:val="18"/>
          <w:lang w:val="hu-HU"/>
        </w:rPr>
      </w:pPr>
      <w:r w:rsidRPr="00806422">
        <w:rPr>
          <w:rStyle w:val="FootnoteReference"/>
          <w:rFonts w:cs="Arial"/>
          <w:sz w:val="18"/>
          <w:szCs w:val="18"/>
        </w:rPr>
        <w:footnoteRef/>
      </w:r>
      <w:r>
        <w:rPr>
          <w:rFonts w:cs="Arial"/>
          <w:sz w:val="18"/>
          <w:szCs w:val="18"/>
          <w:lang w:val="hu-HU"/>
        </w:rPr>
        <w:t xml:space="preserve"> </w:t>
      </w:r>
      <w:r w:rsidRPr="00806422">
        <w:rPr>
          <w:rFonts w:cs="Arial"/>
          <w:sz w:val="18"/>
          <w:szCs w:val="18"/>
          <w:lang w:val="hu-HU"/>
        </w:rPr>
        <w:t>Estimation of local key informants</w:t>
      </w:r>
      <w:r>
        <w:rPr>
          <w:rFonts w:cs="Arial"/>
          <w:sz w:val="18"/>
          <w:szCs w:val="18"/>
          <w:lang w:val="hu-HU"/>
        </w:rPr>
        <w:t>.</w:t>
      </w:r>
    </w:p>
  </w:footnote>
  <w:footnote w:id="10">
    <w:p w:rsidR="004E6E3A" w:rsidRPr="00301583" w:rsidRDefault="004E6E3A" w:rsidP="007B76EC">
      <w:pPr>
        <w:spacing w:before="60" w:line="240" w:lineRule="auto"/>
        <w:rPr>
          <w:rFonts w:cs="Arial"/>
          <w:sz w:val="20"/>
        </w:rPr>
      </w:pPr>
      <w:r w:rsidRPr="007B76EC">
        <w:rPr>
          <w:rStyle w:val="FootnoteReference"/>
          <w:rFonts w:cs="Arial"/>
          <w:sz w:val="18"/>
          <w:szCs w:val="18"/>
        </w:rPr>
        <w:footnoteRef/>
      </w:r>
      <w:r w:rsidRPr="007B76EC">
        <w:rPr>
          <w:rFonts w:cs="Arial"/>
          <w:sz w:val="18"/>
          <w:szCs w:val="18"/>
        </w:rPr>
        <w:t xml:space="preserve"> One of the programmes was that of the Ministry of Construction and Regional Development impl</w:t>
      </w:r>
      <w:r w:rsidRPr="007B76EC">
        <w:rPr>
          <w:rFonts w:cs="Arial"/>
          <w:sz w:val="18"/>
          <w:szCs w:val="18"/>
        </w:rPr>
        <w:t>e</w:t>
      </w:r>
      <w:r w:rsidRPr="007B76EC">
        <w:rPr>
          <w:rFonts w:cs="Arial"/>
          <w:sz w:val="18"/>
          <w:szCs w:val="18"/>
        </w:rPr>
        <w:t xml:space="preserve">mented on the basis of a governmental resolution of 2001 </w:t>
      </w:r>
      <w:r w:rsidRPr="007B76EC">
        <w:rPr>
          <w:rFonts w:cs="Arial"/>
          <w:bCs/>
          <w:sz w:val="18"/>
          <w:szCs w:val="18"/>
        </w:rPr>
        <w:t>concerning the ’Proposal to Support the Co</w:t>
      </w:r>
      <w:r w:rsidRPr="007B76EC">
        <w:rPr>
          <w:rFonts w:cs="Arial"/>
          <w:bCs/>
          <w:sz w:val="18"/>
          <w:szCs w:val="18"/>
        </w:rPr>
        <w:t>n</w:t>
      </w:r>
      <w:r w:rsidRPr="007B76EC">
        <w:rPr>
          <w:rFonts w:cs="Arial"/>
          <w:bCs/>
          <w:sz w:val="18"/>
          <w:szCs w:val="18"/>
        </w:rPr>
        <w:t>struction of Municipal Rental Flats of a Different Standard Designed to House Persons in Material Di</w:t>
      </w:r>
      <w:r w:rsidRPr="007B76EC">
        <w:rPr>
          <w:rFonts w:cs="Arial"/>
          <w:bCs/>
          <w:sz w:val="18"/>
          <w:szCs w:val="18"/>
        </w:rPr>
        <w:t>s</w:t>
      </w:r>
      <w:r w:rsidRPr="007B76EC">
        <w:rPr>
          <w:rFonts w:cs="Arial"/>
          <w:bCs/>
          <w:sz w:val="18"/>
          <w:szCs w:val="18"/>
        </w:rPr>
        <w:t>tress and the Construction of Technical Infrastructure in Roma Settle</w:t>
      </w:r>
      <w:r>
        <w:rPr>
          <w:rFonts w:cs="Arial"/>
          <w:bCs/>
          <w:sz w:val="18"/>
          <w:szCs w:val="18"/>
        </w:rPr>
        <w:t xml:space="preserve">ments. </w:t>
      </w:r>
      <w:r w:rsidRPr="007B76EC">
        <w:rPr>
          <w:rFonts w:cs="Arial"/>
          <w:bCs/>
          <w:sz w:val="18"/>
          <w:szCs w:val="18"/>
        </w:rPr>
        <w:t>T</w:t>
      </w:r>
      <w:r w:rsidRPr="007B76EC">
        <w:rPr>
          <w:rFonts w:cs="Arial"/>
          <w:sz w:val="18"/>
          <w:szCs w:val="18"/>
        </w:rPr>
        <w:t>he minimum sanitary standards of such houses were regulated by the Ministry of Health. The ’</w:t>
      </w:r>
      <w:r w:rsidRPr="007B76EC">
        <w:rPr>
          <w:rFonts w:cs="Arial"/>
          <w:bCs/>
          <w:sz w:val="18"/>
          <w:szCs w:val="18"/>
        </w:rPr>
        <w:t>Long-term Concept of Housing for Marginalised Population Groups and the Model of Financing the Concept’</w:t>
      </w:r>
      <w:r>
        <w:rPr>
          <w:rFonts w:cs="Arial"/>
          <w:bCs/>
          <w:sz w:val="18"/>
          <w:szCs w:val="18"/>
        </w:rPr>
        <w:t xml:space="preserve"> </w:t>
      </w:r>
      <w:r w:rsidRPr="007B76EC">
        <w:rPr>
          <w:rFonts w:cs="Arial"/>
          <w:sz w:val="18"/>
          <w:szCs w:val="18"/>
        </w:rPr>
        <w:t>were also prepared in co-operation with the Ministry of Construction and Regional Development; the document was approved by</w:t>
      </w:r>
      <w:r w:rsidRPr="00301583">
        <w:rPr>
          <w:rFonts w:cs="Arial"/>
          <w:sz w:val="20"/>
        </w:rPr>
        <w:t xml:space="preserve"> </w:t>
      </w:r>
      <w:r w:rsidRPr="007B76EC">
        <w:rPr>
          <w:rFonts w:cs="Arial"/>
          <w:sz w:val="18"/>
          <w:szCs w:val="18"/>
        </w:rPr>
        <w:t>the Government in January 2005. The main objective of the concept was to propose principles and support the ways to provide appropriate standards of housing to the populations of socially excluded communities. The Concept also proposed a method based on inter-ministerial co-operation for using EU Structural Funds to co-finance activities related to the development of housing for marginalised popul</w:t>
      </w:r>
      <w:r w:rsidRPr="007B76EC">
        <w:rPr>
          <w:rFonts w:cs="Arial"/>
          <w:sz w:val="18"/>
          <w:szCs w:val="18"/>
        </w:rPr>
        <w:t>a</w:t>
      </w:r>
      <w:r>
        <w:rPr>
          <w:rFonts w:cs="Arial"/>
          <w:sz w:val="18"/>
          <w:szCs w:val="18"/>
        </w:rPr>
        <w:t>tion groups in 2007-2013</w:t>
      </w:r>
      <w:r w:rsidRPr="007B76EC">
        <w:rPr>
          <w:rFonts w:cs="Arial"/>
          <w:sz w:val="18"/>
          <w:szCs w:val="18"/>
        </w:rPr>
        <w:t xml:space="preserve"> (Orgovánová</w:t>
      </w:r>
      <w:r>
        <w:rPr>
          <w:rFonts w:cs="Arial"/>
          <w:sz w:val="18"/>
          <w:szCs w:val="18"/>
        </w:rPr>
        <w:t>,</w:t>
      </w:r>
      <w:r w:rsidRPr="007B76EC">
        <w:rPr>
          <w:rFonts w:cs="Arial"/>
          <w:sz w:val="18"/>
          <w:szCs w:val="18"/>
        </w:rPr>
        <w:t xml:space="preserve"> 2006)</w:t>
      </w:r>
      <w:r>
        <w:rPr>
          <w:rFonts w:cs="Arial"/>
          <w:sz w:val="18"/>
          <w:szCs w:val="18"/>
        </w:rPr>
        <w:t>.</w:t>
      </w:r>
    </w:p>
  </w:footnote>
  <w:footnote w:id="11">
    <w:p w:rsidR="004E6E3A" w:rsidRPr="0002325A" w:rsidRDefault="004E6E3A" w:rsidP="0002325A">
      <w:pPr>
        <w:pStyle w:val="FootnoteText"/>
        <w:spacing w:before="60" w:line="240" w:lineRule="auto"/>
        <w:rPr>
          <w:rFonts w:cs="Arial"/>
          <w:sz w:val="18"/>
          <w:szCs w:val="18"/>
        </w:rPr>
      </w:pPr>
      <w:r w:rsidRPr="0002325A">
        <w:rPr>
          <w:rStyle w:val="FootnoteReference"/>
          <w:rFonts w:cs="Arial"/>
          <w:sz w:val="18"/>
          <w:szCs w:val="18"/>
        </w:rPr>
        <w:footnoteRef/>
      </w:r>
      <w:r w:rsidRPr="0002325A">
        <w:rPr>
          <w:rFonts w:cs="Arial"/>
          <w:sz w:val="18"/>
          <w:szCs w:val="18"/>
        </w:rPr>
        <w:t xml:space="preserve"> Activation allowance (</w:t>
      </w:r>
      <w:r w:rsidRPr="0002325A">
        <w:rPr>
          <w:rFonts w:cs="Arial"/>
          <w:i/>
          <w:iCs/>
          <w:sz w:val="18"/>
          <w:szCs w:val="18"/>
        </w:rPr>
        <w:t>Aktivačný príspevok</w:t>
      </w:r>
      <w:r w:rsidRPr="0002325A">
        <w:rPr>
          <w:rFonts w:cs="Arial"/>
          <w:sz w:val="18"/>
          <w:szCs w:val="18"/>
        </w:rPr>
        <w:t xml:space="preserve">) is one of the components of </w:t>
      </w:r>
      <w:r w:rsidRPr="0002325A">
        <w:rPr>
          <w:rFonts w:cs="Arial"/>
          <w:i/>
          <w:sz w:val="18"/>
          <w:szCs w:val="18"/>
        </w:rPr>
        <w:t>benefits to people in material need</w:t>
      </w:r>
      <w:r w:rsidRPr="0002325A">
        <w:rPr>
          <w:rFonts w:cs="Arial"/>
          <w:sz w:val="18"/>
          <w:szCs w:val="18"/>
        </w:rPr>
        <w:t>; currently it amounts to €63.50 for those participating in training programs or performing minor community work</w:t>
      </w:r>
      <w:r>
        <w:rPr>
          <w:rFonts w:cs="Arial"/>
          <w:sz w:val="18"/>
          <w:szCs w:val="18"/>
        </w:rPr>
        <w:t xml:space="preserve"> for at least ten hours a week)</w:t>
      </w:r>
      <w:r w:rsidRPr="0002325A">
        <w:rPr>
          <w:rFonts w:cs="Arial"/>
          <w:sz w:val="18"/>
          <w:szCs w:val="18"/>
        </w:rPr>
        <w:t xml:space="preserve"> (You</w:t>
      </w:r>
      <w:r>
        <w:rPr>
          <w:rFonts w:cs="Arial"/>
          <w:sz w:val="18"/>
          <w:szCs w:val="18"/>
        </w:rPr>
        <w:t xml:space="preserve">r social security, </w:t>
      </w:r>
      <w:r w:rsidRPr="0002325A">
        <w:rPr>
          <w:rFonts w:cs="Arial"/>
          <w:sz w:val="18"/>
          <w:szCs w:val="18"/>
        </w:rPr>
        <w:t xml:space="preserve"> 2012)</w:t>
      </w:r>
      <w:r>
        <w:rPr>
          <w:rFonts w:cs="Arial"/>
          <w:sz w:val="18"/>
          <w:szCs w:val="18"/>
        </w:rPr>
        <w:t>.</w:t>
      </w:r>
    </w:p>
  </w:footnote>
  <w:footnote w:id="12">
    <w:p w:rsidR="004E6E3A" w:rsidRPr="00A34725" w:rsidRDefault="004E6E3A" w:rsidP="0002325A">
      <w:pPr>
        <w:spacing w:before="60" w:line="240" w:lineRule="auto"/>
        <w:rPr>
          <w:rFonts w:cs="Arial"/>
          <w:sz w:val="20"/>
        </w:rPr>
      </w:pPr>
      <w:r w:rsidRPr="0002325A">
        <w:rPr>
          <w:rStyle w:val="FootnoteReference"/>
          <w:rFonts w:eastAsia="Calibri" w:cs="Arial"/>
          <w:sz w:val="18"/>
          <w:szCs w:val="18"/>
        </w:rPr>
        <w:footnoteRef/>
      </w:r>
      <w:r w:rsidRPr="0002325A">
        <w:rPr>
          <w:rFonts w:cs="Arial"/>
          <w:sz w:val="18"/>
          <w:szCs w:val="18"/>
        </w:rPr>
        <w:t xml:space="preserve"> In addition to </w:t>
      </w:r>
      <w:r w:rsidRPr="0002325A">
        <w:rPr>
          <w:rFonts w:cs="Arial"/>
          <w:i/>
          <w:sz w:val="18"/>
          <w:szCs w:val="18"/>
        </w:rPr>
        <w:t>child benefit</w:t>
      </w:r>
      <w:r w:rsidRPr="0002325A">
        <w:rPr>
          <w:rFonts w:cs="Arial"/>
          <w:sz w:val="18"/>
          <w:szCs w:val="18"/>
        </w:rPr>
        <w:t xml:space="preserve"> (which is a universal flat-rate allowance, unrelated to family income, cu</w:t>
      </w:r>
      <w:r w:rsidRPr="0002325A">
        <w:rPr>
          <w:rFonts w:cs="Arial"/>
          <w:sz w:val="18"/>
          <w:szCs w:val="18"/>
        </w:rPr>
        <w:t>r</w:t>
      </w:r>
      <w:r w:rsidRPr="0002325A">
        <w:rPr>
          <w:rFonts w:cs="Arial"/>
          <w:sz w:val="18"/>
          <w:szCs w:val="18"/>
        </w:rPr>
        <w:t xml:space="preserve">rently amounting to €22.54 per child, paid until the completion of compulsory education), and </w:t>
      </w:r>
      <w:r w:rsidRPr="0002325A">
        <w:rPr>
          <w:rFonts w:cs="Arial"/>
          <w:i/>
          <w:sz w:val="18"/>
          <w:szCs w:val="18"/>
        </w:rPr>
        <w:t>parental allowance</w:t>
      </w:r>
      <w:r w:rsidRPr="0002325A">
        <w:rPr>
          <w:rFonts w:cs="Arial"/>
          <w:sz w:val="18"/>
          <w:szCs w:val="18"/>
        </w:rPr>
        <w:t xml:space="preserve"> (a universal, monthly flat-rate benefit, paid regardless of family income up to the child’s age of three, currently €194.70), the </w:t>
      </w:r>
      <w:r w:rsidRPr="0002325A">
        <w:rPr>
          <w:rFonts w:cs="Arial"/>
          <w:i/>
          <w:sz w:val="18"/>
          <w:szCs w:val="18"/>
        </w:rPr>
        <w:t xml:space="preserve">‘material need’ benefit </w:t>
      </w:r>
      <w:r w:rsidRPr="0002325A">
        <w:rPr>
          <w:rFonts w:cs="Arial"/>
          <w:sz w:val="18"/>
          <w:szCs w:val="18"/>
        </w:rPr>
        <w:t>is the most important source of income for perm</w:t>
      </w:r>
      <w:r w:rsidRPr="0002325A">
        <w:rPr>
          <w:rFonts w:cs="Arial"/>
          <w:sz w:val="18"/>
          <w:szCs w:val="18"/>
        </w:rPr>
        <w:t>a</w:t>
      </w:r>
      <w:r w:rsidRPr="0002325A">
        <w:rPr>
          <w:rFonts w:cs="Arial"/>
          <w:sz w:val="18"/>
          <w:szCs w:val="18"/>
        </w:rPr>
        <w:t xml:space="preserve">nently unemployed families. This latter form of assistance isa means-tested benefit for those whose income is lower than the subsistence minimum </w:t>
      </w:r>
      <w:r w:rsidRPr="0002325A">
        <w:rPr>
          <w:rFonts w:cs="Arial"/>
          <w:i/>
          <w:iCs/>
          <w:sz w:val="18"/>
          <w:szCs w:val="18"/>
        </w:rPr>
        <w:t xml:space="preserve">(životné minimum), </w:t>
      </w:r>
      <w:r w:rsidRPr="0002325A">
        <w:rPr>
          <w:rFonts w:cs="Arial"/>
          <w:sz w:val="18"/>
          <w:szCs w:val="18"/>
        </w:rPr>
        <w:t>and who cannot provide income for themselves. The amount of the ‘material need benefit’ varies according to family composition. It is calc</w:t>
      </w:r>
      <w:r w:rsidRPr="0002325A">
        <w:rPr>
          <w:rFonts w:cs="Arial"/>
          <w:sz w:val="18"/>
          <w:szCs w:val="18"/>
        </w:rPr>
        <w:t>u</w:t>
      </w:r>
      <w:r w:rsidRPr="0002325A">
        <w:rPr>
          <w:rFonts w:cs="Arial"/>
          <w:sz w:val="18"/>
          <w:szCs w:val="18"/>
        </w:rPr>
        <w:t>lated as the difference between the income of an individual or a household and the theoretical maximum of ‘material need benefit.’ The latter corresponds to €60.50 for singles; €115.10 for single parents with one to four children; €105.20 for couples without children; €157.60 for couples with one to four children; €168.20 for single parents with five or more children; €212.30 for couples with five or more children. The ‘material need benefit’ is paid as long as the situation of material need lasts. Other benefits contributing to calculating ‘material need benefit’ are: a) the benefit for pregnant women from the fourth month of pregnancy; b) the benefit to persons in material need with a child smaller than one year; c) healthcare allowance (</w:t>
      </w:r>
      <w:r w:rsidRPr="0002325A">
        <w:rPr>
          <w:rFonts w:cs="Arial"/>
          <w:i/>
          <w:iCs/>
          <w:sz w:val="18"/>
          <w:szCs w:val="18"/>
        </w:rPr>
        <w:t>príspevok na zdravotnú starostlivosť</w:t>
      </w:r>
      <w:r w:rsidRPr="0002325A">
        <w:rPr>
          <w:rFonts w:cs="Arial"/>
          <w:sz w:val="18"/>
          <w:szCs w:val="18"/>
        </w:rPr>
        <w:t>); d) protection allowance; e) housing benefit (</w:t>
      </w:r>
      <w:r w:rsidRPr="0002325A">
        <w:rPr>
          <w:rFonts w:cs="Arial"/>
          <w:i/>
          <w:iCs/>
          <w:sz w:val="18"/>
          <w:szCs w:val="18"/>
        </w:rPr>
        <w:t>príspevok na bývanie</w:t>
      </w:r>
      <w:r w:rsidRPr="0002325A">
        <w:rPr>
          <w:rFonts w:cs="Arial"/>
          <w:sz w:val="18"/>
          <w:szCs w:val="18"/>
        </w:rPr>
        <w:t>) for those paying the costs of lodging properly; f) activation allowance (</w:t>
      </w:r>
      <w:r w:rsidRPr="0002325A">
        <w:rPr>
          <w:rFonts w:cs="Arial"/>
          <w:i/>
          <w:iCs/>
          <w:sz w:val="18"/>
          <w:szCs w:val="18"/>
        </w:rPr>
        <w:t>aktivačný príspevok</w:t>
      </w:r>
      <w:r w:rsidRPr="0002325A">
        <w:rPr>
          <w:rFonts w:cs="Arial"/>
          <w:sz w:val="18"/>
          <w:szCs w:val="18"/>
        </w:rPr>
        <w:t>) for those following a back-to-work programme (training or performance of minor community work for at least ten hours a week); g) benefit for a child during the period of compulsory education (ages 6–16 years) (</w:t>
      </w:r>
      <w:r w:rsidRPr="0002325A">
        <w:rPr>
          <w:rFonts w:cs="Arial"/>
          <w:i/>
          <w:iCs/>
          <w:sz w:val="18"/>
          <w:szCs w:val="18"/>
        </w:rPr>
        <w:t>dávka pre dieťa</w:t>
      </w:r>
      <w:r>
        <w:rPr>
          <w:rFonts w:cs="Arial"/>
          <w:sz w:val="18"/>
          <w:szCs w:val="18"/>
        </w:rPr>
        <w:t xml:space="preserve">) (Your social security,  2012, p. </w:t>
      </w:r>
      <w:r w:rsidRPr="0002325A">
        <w:rPr>
          <w:rFonts w:cs="Arial"/>
          <w:sz w:val="18"/>
          <w:szCs w:val="18"/>
        </w:rPr>
        <w:t xml:space="preserve"> 29–35)</w:t>
      </w:r>
      <w:r>
        <w:rPr>
          <w:rFonts w:cs="Arial"/>
          <w:sz w:val="18"/>
          <w:szCs w:val="18"/>
        </w:rPr>
        <w:t>.</w:t>
      </w:r>
    </w:p>
  </w:footnote>
  <w:footnote w:id="13">
    <w:p w:rsidR="004E6E3A" w:rsidRPr="0002325A" w:rsidRDefault="004E6E3A" w:rsidP="0002325A">
      <w:pPr>
        <w:spacing w:before="60" w:line="240" w:lineRule="auto"/>
        <w:rPr>
          <w:rFonts w:cs="Arial"/>
          <w:sz w:val="18"/>
          <w:szCs w:val="18"/>
          <w:lang w:val="hu-HU"/>
        </w:rPr>
      </w:pPr>
      <w:r w:rsidRPr="0002325A">
        <w:rPr>
          <w:rStyle w:val="FootnoteReference"/>
          <w:rFonts w:cs="Arial"/>
          <w:sz w:val="18"/>
          <w:szCs w:val="18"/>
        </w:rPr>
        <w:footnoteRef/>
      </w:r>
      <w:r>
        <w:rPr>
          <w:rFonts w:cs="Arial"/>
          <w:sz w:val="18"/>
          <w:szCs w:val="18"/>
          <w:lang w:val="hu-HU"/>
        </w:rPr>
        <w:t xml:space="preserve"> </w:t>
      </w:r>
      <w:r w:rsidRPr="0002325A">
        <w:rPr>
          <w:rFonts w:cs="Arial"/>
          <w:sz w:val="18"/>
          <w:szCs w:val="18"/>
          <w:lang w:val="hu-HU"/>
        </w:rPr>
        <w:t>The news appeared at the BBC website on November 24, 2013 and was retrieved in January 2014.</w:t>
      </w:r>
    </w:p>
  </w:footnote>
  <w:footnote w:id="14">
    <w:p w:rsidR="004E6E3A" w:rsidRPr="00DB66E0" w:rsidRDefault="004E6E3A" w:rsidP="00DB66E0">
      <w:pPr>
        <w:pStyle w:val="FootnoteText"/>
        <w:spacing w:before="60" w:line="240" w:lineRule="auto"/>
        <w:rPr>
          <w:rFonts w:cs="Arial"/>
          <w:sz w:val="18"/>
          <w:szCs w:val="18"/>
          <w:lang w:val="hu-HU"/>
        </w:rPr>
      </w:pPr>
      <w:r w:rsidRPr="00DB66E0">
        <w:rPr>
          <w:rStyle w:val="FootnoteReference"/>
          <w:rFonts w:cs="Arial"/>
          <w:sz w:val="18"/>
          <w:szCs w:val="18"/>
        </w:rPr>
        <w:footnoteRef/>
      </w:r>
      <w:r>
        <w:rPr>
          <w:rFonts w:cs="Arial"/>
          <w:sz w:val="18"/>
          <w:szCs w:val="18"/>
          <w:lang w:val="hu-HU"/>
        </w:rPr>
        <w:t xml:space="preserve"> </w:t>
      </w:r>
      <w:r w:rsidRPr="00DB66E0">
        <w:rPr>
          <w:rFonts w:cs="Arial"/>
          <w:sz w:val="18"/>
          <w:szCs w:val="18"/>
        </w:rPr>
        <w:t xml:space="preserve">The construction of </w:t>
      </w:r>
      <w:r w:rsidRPr="00DB66E0">
        <w:rPr>
          <w:rFonts w:cs="Arial"/>
          <w:i/>
          <w:iCs/>
          <w:sz w:val="18"/>
          <w:szCs w:val="18"/>
        </w:rPr>
        <w:t xml:space="preserve">anti-Roma </w:t>
      </w:r>
      <w:r w:rsidRPr="00DB66E0">
        <w:rPr>
          <w:rFonts w:cs="Arial"/>
          <w:sz w:val="18"/>
          <w:szCs w:val="18"/>
        </w:rPr>
        <w:t>barriers might be qualified as an unlawful discriminatory action as they physically prevent all residents of the Romani communities in question from access to goods, services, education or medical care solely on grounds of their ethnic origin.</w:t>
      </w:r>
      <w:r w:rsidRPr="00DB66E0">
        <w:rPr>
          <w:rFonts w:cs="Arial"/>
          <w:sz w:val="18"/>
          <w:szCs w:val="18"/>
          <w:lang w:val="hu-HU"/>
        </w:rPr>
        <w:t>”  (</w:t>
      </w:r>
      <w:r>
        <w:rPr>
          <w:rFonts w:cs="Arial"/>
          <w:sz w:val="18"/>
          <w:szCs w:val="18"/>
        </w:rPr>
        <w:t>Lajčáková,</w:t>
      </w:r>
      <w:r w:rsidRPr="00DB66E0">
        <w:rPr>
          <w:rFonts w:cs="Arial"/>
          <w:sz w:val="18"/>
          <w:szCs w:val="18"/>
        </w:rPr>
        <w:t xml:space="preserve"> 2012</w:t>
      </w:r>
      <w:r>
        <w:rPr>
          <w:rFonts w:cs="Arial"/>
          <w:sz w:val="18"/>
          <w:szCs w:val="18"/>
          <w:lang w:val="hu-HU"/>
        </w:rPr>
        <w:t xml:space="preserve">, p. </w:t>
      </w:r>
      <w:r w:rsidRPr="00DB66E0">
        <w:rPr>
          <w:rFonts w:cs="Arial"/>
          <w:sz w:val="18"/>
          <w:szCs w:val="18"/>
          <w:lang w:val="hu-HU"/>
        </w:rPr>
        <w:t>24)</w:t>
      </w:r>
      <w:r>
        <w:rPr>
          <w:rFonts w:cs="Arial"/>
          <w:sz w:val="18"/>
          <w:szCs w:val="18"/>
          <w:lang w:val="hu-HU"/>
        </w:rPr>
        <w:t>.</w:t>
      </w:r>
    </w:p>
  </w:footnote>
  <w:footnote w:id="15">
    <w:p w:rsidR="004E6E3A" w:rsidRPr="00A34725" w:rsidRDefault="004E6E3A" w:rsidP="00DB66E0">
      <w:pPr>
        <w:spacing w:before="60" w:line="240" w:lineRule="auto"/>
        <w:rPr>
          <w:rFonts w:cs="Arial"/>
          <w:sz w:val="20"/>
        </w:rPr>
      </w:pPr>
      <w:r w:rsidRPr="00DB66E0">
        <w:rPr>
          <w:rStyle w:val="FootnoteReference"/>
          <w:rFonts w:cs="Arial"/>
          <w:sz w:val="18"/>
          <w:szCs w:val="18"/>
        </w:rPr>
        <w:footnoteRef/>
      </w:r>
      <w:r w:rsidRPr="00DB66E0">
        <w:rPr>
          <w:rFonts w:cs="Arial"/>
          <w:sz w:val="18"/>
          <w:szCs w:val="18"/>
        </w:rPr>
        <w:t xml:space="preserve"> Interviews with Slovakian respondents were conducted by Larisa Urbankock in April-May, 2013</w:t>
      </w:r>
      <w:r>
        <w:rPr>
          <w:rFonts w:cs="Arial"/>
          <w:sz w:val="18"/>
          <w:szCs w:val="18"/>
        </w:rPr>
        <w:t>.</w:t>
      </w:r>
    </w:p>
  </w:footnote>
  <w:footnote w:id="16">
    <w:p w:rsidR="004E6E3A" w:rsidRPr="000D53C4" w:rsidRDefault="004E6E3A" w:rsidP="000D53C4">
      <w:pPr>
        <w:pStyle w:val="FootnoteText"/>
        <w:spacing w:before="60" w:line="240" w:lineRule="auto"/>
        <w:rPr>
          <w:rFonts w:cs="Arial"/>
          <w:sz w:val="18"/>
          <w:szCs w:val="18"/>
        </w:rPr>
      </w:pPr>
      <w:r w:rsidRPr="000D53C4">
        <w:rPr>
          <w:rStyle w:val="FootnoteReference"/>
          <w:rFonts w:cs="Arial"/>
          <w:sz w:val="18"/>
          <w:szCs w:val="18"/>
        </w:rPr>
        <w:footnoteRef/>
      </w:r>
      <w:r w:rsidRPr="000D53C4">
        <w:rPr>
          <w:rFonts w:cs="Arial"/>
          <w:sz w:val="18"/>
          <w:szCs w:val="18"/>
        </w:rPr>
        <w:t xml:space="preserve"> However, the fluidity of the regimes provoked new changes in Eastern Central Europe in 2011-2012, Slovakia made a turn towards the social democratic model since a left-wing government came into po</w:t>
      </w:r>
      <w:r w:rsidRPr="000D53C4">
        <w:rPr>
          <w:rFonts w:cs="Arial"/>
          <w:sz w:val="18"/>
          <w:szCs w:val="18"/>
        </w:rPr>
        <w:t>w</w:t>
      </w:r>
      <w:r w:rsidRPr="000D53C4">
        <w:rPr>
          <w:rFonts w:cs="Arial"/>
          <w:sz w:val="18"/>
          <w:szCs w:val="18"/>
        </w:rPr>
        <w:t>er in 2010, whilst the new, right-wing government of Hungary absorbed more neo-liberal principles in its dominantly Bismarckian welfare regime. Paradoxically, in Slovakia a new (authoritarian? anti-Roma? punitive neoliberal?) agenda appeared parallel to the mainstream policies during the second Fico go</w:t>
      </w:r>
      <w:r w:rsidRPr="000D53C4">
        <w:rPr>
          <w:rFonts w:cs="Arial"/>
          <w:sz w:val="18"/>
          <w:szCs w:val="18"/>
        </w:rPr>
        <w:t>v</w:t>
      </w:r>
      <w:r w:rsidRPr="000D53C4">
        <w:rPr>
          <w:rFonts w:cs="Arial"/>
          <w:sz w:val="18"/>
          <w:szCs w:val="18"/>
        </w:rPr>
        <w:t xml:space="preserve">ernment in 2012-2013. </w:t>
      </w:r>
    </w:p>
  </w:footnote>
  <w:footnote w:id="17">
    <w:p w:rsidR="004E6E3A" w:rsidRPr="00A75DA6" w:rsidRDefault="004E6E3A" w:rsidP="00A75DA6">
      <w:pPr>
        <w:spacing w:before="60" w:line="240" w:lineRule="auto"/>
        <w:rPr>
          <w:rFonts w:cs="Arial"/>
          <w:sz w:val="18"/>
          <w:szCs w:val="18"/>
          <w:lang w:val="hu-HU"/>
        </w:rPr>
      </w:pPr>
      <w:r w:rsidRPr="00A75DA6">
        <w:rPr>
          <w:rStyle w:val="FootnoteReference"/>
          <w:rFonts w:cs="Arial"/>
          <w:sz w:val="18"/>
          <w:szCs w:val="18"/>
        </w:rPr>
        <w:footnoteRef/>
      </w:r>
      <w:r>
        <w:rPr>
          <w:rFonts w:cs="Arial"/>
          <w:sz w:val="18"/>
          <w:szCs w:val="18"/>
          <w:lang w:val="hu-HU"/>
        </w:rPr>
        <w:t xml:space="preserve"> </w:t>
      </w:r>
      <w:r w:rsidRPr="00A75DA6">
        <w:rPr>
          <w:rFonts w:cs="Arial"/>
          <w:sz w:val="18"/>
          <w:szCs w:val="18"/>
          <w:lang w:val="hu-HU"/>
        </w:rPr>
        <w:t>This chapter was written by Péter Krasztev, external expert</w:t>
      </w:r>
      <w:r>
        <w:rPr>
          <w:rFonts w:cs="Arial"/>
          <w:sz w:val="18"/>
          <w:szCs w:val="18"/>
          <w:lang w:val="hu-HU"/>
        </w:rPr>
        <w:t>.</w:t>
      </w:r>
    </w:p>
  </w:footnote>
  <w:footnote w:id="18">
    <w:p w:rsidR="004E6E3A" w:rsidRPr="004A0571" w:rsidRDefault="004E6E3A" w:rsidP="004A0571">
      <w:pPr>
        <w:spacing w:before="60" w:line="240" w:lineRule="auto"/>
        <w:rPr>
          <w:rFonts w:cs="Arial"/>
          <w:sz w:val="18"/>
          <w:szCs w:val="18"/>
          <w:lang w:val="en-US"/>
        </w:rPr>
      </w:pPr>
      <w:r w:rsidRPr="004A0571">
        <w:rPr>
          <w:rStyle w:val="FootnoteReference"/>
          <w:rFonts w:cs="Arial"/>
          <w:sz w:val="18"/>
          <w:szCs w:val="18"/>
          <w:lang w:val="en-US"/>
        </w:rPr>
        <w:sym w:font="Symbol" w:char="F02A"/>
      </w:r>
      <w:r w:rsidRPr="004A0571">
        <w:rPr>
          <w:rFonts w:cs="Arial"/>
          <w:sz w:val="18"/>
          <w:szCs w:val="18"/>
          <w:lang w:val="en-US"/>
        </w:rPr>
        <w:t xml:space="preserve"> See the full text in the Appendix.</w:t>
      </w:r>
    </w:p>
  </w:footnote>
  <w:footnote w:id="19">
    <w:p w:rsidR="004E6E3A" w:rsidRPr="00AD4233" w:rsidRDefault="004E6E3A" w:rsidP="00AD4233">
      <w:pPr>
        <w:pStyle w:val="FootnoteText"/>
        <w:spacing w:before="60" w:line="240" w:lineRule="auto"/>
        <w:rPr>
          <w:rFonts w:cs="Arial"/>
          <w:sz w:val="18"/>
          <w:szCs w:val="18"/>
          <w:lang w:val="hu-HU"/>
        </w:rPr>
      </w:pPr>
      <w:r w:rsidRPr="00AD4233">
        <w:rPr>
          <w:rStyle w:val="FootnoteReference"/>
          <w:rFonts w:cs="Arial"/>
          <w:sz w:val="18"/>
          <w:szCs w:val="18"/>
        </w:rPr>
        <w:footnoteRef/>
      </w:r>
      <w:r>
        <w:rPr>
          <w:rFonts w:cs="Arial"/>
          <w:sz w:val="18"/>
          <w:szCs w:val="18"/>
          <w:lang w:val="hu-HU"/>
        </w:rPr>
        <w:t xml:space="preserve"> </w:t>
      </w:r>
      <w:r w:rsidRPr="00AD4233">
        <w:rPr>
          <w:rFonts w:cs="Arial"/>
          <w:sz w:val="18"/>
          <w:szCs w:val="18"/>
          <w:lang w:val="hu-HU"/>
        </w:rPr>
        <w:t>Socio-mapping within the framework of  Atlas of Roma 2012-2013</w:t>
      </w:r>
      <w:r>
        <w:rPr>
          <w:rFonts w:cs="Arial"/>
          <w:sz w:val="18"/>
          <w:szCs w:val="18"/>
          <w:lang w:val="hu-HU"/>
        </w:rPr>
        <w:t>.</w:t>
      </w:r>
    </w:p>
  </w:footnote>
  <w:footnote w:id="20">
    <w:p w:rsidR="004E6E3A" w:rsidRPr="00E92ABF" w:rsidRDefault="004E6E3A" w:rsidP="00E92ABF">
      <w:pPr>
        <w:pStyle w:val="FootnoteText"/>
        <w:spacing w:before="60" w:line="240" w:lineRule="auto"/>
        <w:rPr>
          <w:sz w:val="18"/>
          <w:szCs w:val="18"/>
          <w:lang w:val="en-US"/>
        </w:rPr>
      </w:pPr>
      <w:r w:rsidRPr="00E92ABF">
        <w:rPr>
          <w:rStyle w:val="FootnoteReference"/>
          <w:sz w:val="18"/>
          <w:szCs w:val="18"/>
        </w:rPr>
        <w:footnoteRef/>
      </w:r>
      <w:r w:rsidRPr="00E92ABF">
        <w:rPr>
          <w:sz w:val="18"/>
          <w:szCs w:val="18"/>
        </w:rPr>
        <w:t xml:space="preserve"> by those LAU1 and NUTS3 units where 80% of Romany people concentrated in 2011</w:t>
      </w:r>
    </w:p>
  </w:footnote>
  <w:footnote w:id="21">
    <w:p w:rsidR="004E6E3A" w:rsidRPr="00E92ABF" w:rsidRDefault="004E6E3A" w:rsidP="00E92ABF">
      <w:pPr>
        <w:pStyle w:val="FootnoteText"/>
        <w:spacing w:before="60" w:line="240" w:lineRule="auto"/>
        <w:rPr>
          <w:sz w:val="18"/>
          <w:szCs w:val="18"/>
          <w:lang w:val="en-US"/>
        </w:rPr>
      </w:pPr>
      <w:r w:rsidRPr="00E92ABF">
        <w:rPr>
          <w:rStyle w:val="FootnoteReference"/>
          <w:sz w:val="18"/>
          <w:szCs w:val="18"/>
        </w:rPr>
        <w:footnoteRef/>
      </w:r>
      <w:r w:rsidRPr="00E92ABF">
        <w:rPr>
          <w:sz w:val="18"/>
          <w:szCs w:val="18"/>
        </w:rPr>
        <w:t xml:space="preserve"> of Slovakian Roma in segregated neighbourhoods and non-Roma proximity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E3A" w:rsidRDefault="004E6E3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5A0756"/>
    <w:multiLevelType w:val="hybridMultilevel"/>
    <w:tmpl w:val="42AAE706"/>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89A2891"/>
    <w:multiLevelType w:val="hybridMultilevel"/>
    <w:tmpl w:val="D9ECDDDA"/>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FCE0899"/>
    <w:multiLevelType w:val="hybridMultilevel"/>
    <w:tmpl w:val="072A3684"/>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5B75017"/>
    <w:multiLevelType w:val="multilevel"/>
    <w:tmpl w:val="1158E470"/>
    <w:lvl w:ilvl="0">
      <w:start w:val="1"/>
      <w:numFmt w:val="decimal"/>
      <w:pStyle w:val="Heading1"/>
      <w:lvlText w:val="%1"/>
      <w:lvlJc w:val="left"/>
      <w:pPr>
        <w:tabs>
          <w:tab w:val="num" w:pos="510"/>
        </w:tabs>
        <w:ind w:left="510" w:hanging="510"/>
      </w:pPr>
    </w:lvl>
    <w:lvl w:ilvl="1">
      <w:start w:val="1"/>
      <w:numFmt w:val="decimal"/>
      <w:pStyle w:val="Heading2"/>
      <w:lvlText w:val="%1.%2"/>
      <w:lvlJc w:val="left"/>
      <w:pPr>
        <w:tabs>
          <w:tab w:val="num" w:pos="5274"/>
        </w:tabs>
        <w:ind w:left="5274" w:hanging="737"/>
      </w:pPr>
    </w:lvl>
    <w:lvl w:ilvl="2">
      <w:start w:val="1"/>
      <w:numFmt w:val="decimal"/>
      <w:pStyle w:val="Heading3"/>
      <w:lvlText w:val="%1.%2.%3"/>
      <w:lvlJc w:val="left"/>
      <w:pPr>
        <w:tabs>
          <w:tab w:val="num" w:pos="1021"/>
        </w:tabs>
        <w:ind w:left="1021" w:hanging="1021"/>
      </w:pPr>
    </w:lvl>
    <w:lvl w:ilvl="3">
      <w:start w:val="1"/>
      <w:numFmt w:val="decimal"/>
      <w:pStyle w:val="Heading4"/>
      <w:lvlText w:val="%1.%2.%3.%4"/>
      <w:lvlJc w:val="left"/>
      <w:pPr>
        <w:tabs>
          <w:tab w:val="num" w:pos="1304"/>
        </w:tabs>
        <w:ind w:left="1304" w:hanging="1304"/>
      </w:pPr>
    </w:lvl>
    <w:lvl w:ilvl="4">
      <w:start w:val="1"/>
      <w:numFmt w:val="decimal"/>
      <w:pStyle w:val="Heading5"/>
      <w:lvlText w:val="%1.%2.%3.%4.%5"/>
      <w:lvlJc w:val="left"/>
      <w:pPr>
        <w:tabs>
          <w:tab w:val="num" w:pos="1644"/>
        </w:tabs>
        <w:ind w:left="1644" w:hanging="1644"/>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nsid w:val="16E6229D"/>
    <w:multiLevelType w:val="hybridMultilevel"/>
    <w:tmpl w:val="6B0E843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1E112CAD"/>
    <w:multiLevelType w:val="hybridMultilevel"/>
    <w:tmpl w:val="7EF85F82"/>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0547B67"/>
    <w:multiLevelType w:val="hybridMultilevel"/>
    <w:tmpl w:val="7478C154"/>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A8C010E"/>
    <w:multiLevelType w:val="hybridMultilevel"/>
    <w:tmpl w:val="EE0CC61E"/>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37D17B76"/>
    <w:multiLevelType w:val="hybridMultilevel"/>
    <w:tmpl w:val="F866F06E"/>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A896BA2"/>
    <w:multiLevelType w:val="hybridMultilevel"/>
    <w:tmpl w:val="CF8E0C8E"/>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42063536"/>
    <w:multiLevelType w:val="hybridMultilevel"/>
    <w:tmpl w:val="2B20B502"/>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4B7766AF"/>
    <w:multiLevelType w:val="hybridMultilevel"/>
    <w:tmpl w:val="783AEB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4D9B014C"/>
    <w:multiLevelType w:val="hybridMultilevel"/>
    <w:tmpl w:val="BBB8F428"/>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5259651E"/>
    <w:multiLevelType w:val="hybridMultilevel"/>
    <w:tmpl w:val="DFECD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4D64CF0"/>
    <w:multiLevelType w:val="hybridMultilevel"/>
    <w:tmpl w:val="AA483A6A"/>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634F11C9"/>
    <w:multiLevelType w:val="hybridMultilevel"/>
    <w:tmpl w:val="784A450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6C4860E1"/>
    <w:multiLevelType w:val="multilevel"/>
    <w:tmpl w:val="1182202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055183"/>
    <w:multiLevelType w:val="hybridMultilevel"/>
    <w:tmpl w:val="7D50CFF0"/>
    <w:lvl w:ilvl="0" w:tplc="2432DBB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6"/>
  </w:num>
  <w:num w:numId="4">
    <w:abstractNumId w:val="13"/>
  </w:num>
  <w:num w:numId="5">
    <w:abstractNumId w:val="10"/>
  </w:num>
  <w:num w:numId="6">
    <w:abstractNumId w:val="9"/>
  </w:num>
  <w:num w:numId="7">
    <w:abstractNumId w:val="0"/>
  </w:num>
  <w:num w:numId="8">
    <w:abstractNumId w:val="1"/>
  </w:num>
  <w:num w:numId="9">
    <w:abstractNumId w:val="6"/>
  </w:num>
  <w:num w:numId="10">
    <w:abstractNumId w:val="12"/>
  </w:num>
  <w:num w:numId="11">
    <w:abstractNumId w:val="7"/>
  </w:num>
  <w:num w:numId="12">
    <w:abstractNumId w:val="14"/>
  </w:num>
  <w:num w:numId="13">
    <w:abstractNumId w:val="17"/>
  </w:num>
  <w:num w:numId="14">
    <w:abstractNumId w:val="11"/>
  </w:num>
  <w:num w:numId="15">
    <w:abstractNumId w:val="8"/>
  </w:num>
  <w:num w:numId="16">
    <w:abstractNumId w:val="2"/>
  </w:num>
  <w:num w:numId="17">
    <w:abstractNumId w:val="5"/>
  </w:num>
  <w:num w:numId="18">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de-AT"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activeWritingStyle w:appName="MSWord" w:lang="hu-HU" w:vendorID="7" w:dllVersion="513"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425"/>
  <w:evenAndOddHeaders/>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EB2"/>
    <w:rsid w:val="0000028F"/>
    <w:rsid w:val="000006F2"/>
    <w:rsid w:val="00000B0C"/>
    <w:rsid w:val="00001202"/>
    <w:rsid w:val="00001391"/>
    <w:rsid w:val="000017E6"/>
    <w:rsid w:val="00002167"/>
    <w:rsid w:val="0000258D"/>
    <w:rsid w:val="00003E84"/>
    <w:rsid w:val="000058C1"/>
    <w:rsid w:val="000067E6"/>
    <w:rsid w:val="00006BE0"/>
    <w:rsid w:val="00007744"/>
    <w:rsid w:val="000077B5"/>
    <w:rsid w:val="00007B80"/>
    <w:rsid w:val="0001090E"/>
    <w:rsid w:val="000113CF"/>
    <w:rsid w:val="0001183B"/>
    <w:rsid w:val="00012ECC"/>
    <w:rsid w:val="00013B34"/>
    <w:rsid w:val="000140DE"/>
    <w:rsid w:val="0001599D"/>
    <w:rsid w:val="00015CEC"/>
    <w:rsid w:val="00016B2C"/>
    <w:rsid w:val="00016B5F"/>
    <w:rsid w:val="00017991"/>
    <w:rsid w:val="00017F32"/>
    <w:rsid w:val="000202B2"/>
    <w:rsid w:val="000213DB"/>
    <w:rsid w:val="000216BC"/>
    <w:rsid w:val="000230A7"/>
    <w:rsid w:val="00023175"/>
    <w:rsid w:val="000231EB"/>
    <w:rsid w:val="0002325A"/>
    <w:rsid w:val="00024948"/>
    <w:rsid w:val="00025AF4"/>
    <w:rsid w:val="0002608A"/>
    <w:rsid w:val="0002775E"/>
    <w:rsid w:val="00031896"/>
    <w:rsid w:val="000321CA"/>
    <w:rsid w:val="000325FE"/>
    <w:rsid w:val="00033EFC"/>
    <w:rsid w:val="000343B0"/>
    <w:rsid w:val="000346BE"/>
    <w:rsid w:val="000347A3"/>
    <w:rsid w:val="000349D6"/>
    <w:rsid w:val="00034A1E"/>
    <w:rsid w:val="00034E16"/>
    <w:rsid w:val="00034ECB"/>
    <w:rsid w:val="00035D19"/>
    <w:rsid w:val="000375E7"/>
    <w:rsid w:val="00037ACA"/>
    <w:rsid w:val="00040905"/>
    <w:rsid w:val="000412CF"/>
    <w:rsid w:val="00041655"/>
    <w:rsid w:val="0004374E"/>
    <w:rsid w:val="00044645"/>
    <w:rsid w:val="00045B9A"/>
    <w:rsid w:val="00045F19"/>
    <w:rsid w:val="00046E79"/>
    <w:rsid w:val="0005053A"/>
    <w:rsid w:val="000514C6"/>
    <w:rsid w:val="0005364B"/>
    <w:rsid w:val="00053C9F"/>
    <w:rsid w:val="00054EE7"/>
    <w:rsid w:val="0005579D"/>
    <w:rsid w:val="000558B2"/>
    <w:rsid w:val="00055AEC"/>
    <w:rsid w:val="000561E7"/>
    <w:rsid w:val="00056948"/>
    <w:rsid w:val="00057A1D"/>
    <w:rsid w:val="00061EC4"/>
    <w:rsid w:val="000630F9"/>
    <w:rsid w:val="00064076"/>
    <w:rsid w:val="00064A7E"/>
    <w:rsid w:val="00065BDB"/>
    <w:rsid w:val="00067257"/>
    <w:rsid w:val="0006781E"/>
    <w:rsid w:val="000679AE"/>
    <w:rsid w:val="00067CB5"/>
    <w:rsid w:val="00070603"/>
    <w:rsid w:val="00070899"/>
    <w:rsid w:val="00071B0B"/>
    <w:rsid w:val="000720FE"/>
    <w:rsid w:val="00073A00"/>
    <w:rsid w:val="00073C9E"/>
    <w:rsid w:val="00074A6D"/>
    <w:rsid w:val="000750A5"/>
    <w:rsid w:val="000757B4"/>
    <w:rsid w:val="0007691F"/>
    <w:rsid w:val="00076CE3"/>
    <w:rsid w:val="00077EC7"/>
    <w:rsid w:val="00080C5E"/>
    <w:rsid w:val="0008189B"/>
    <w:rsid w:val="00083584"/>
    <w:rsid w:val="000837BC"/>
    <w:rsid w:val="00083B2D"/>
    <w:rsid w:val="000848D0"/>
    <w:rsid w:val="00084E99"/>
    <w:rsid w:val="000858C8"/>
    <w:rsid w:val="00085E0C"/>
    <w:rsid w:val="000861FC"/>
    <w:rsid w:val="00086448"/>
    <w:rsid w:val="00086B1F"/>
    <w:rsid w:val="000876F1"/>
    <w:rsid w:val="000932C8"/>
    <w:rsid w:val="000955C3"/>
    <w:rsid w:val="000A2A3A"/>
    <w:rsid w:val="000A4357"/>
    <w:rsid w:val="000A5445"/>
    <w:rsid w:val="000A55A7"/>
    <w:rsid w:val="000A5C93"/>
    <w:rsid w:val="000A6B6E"/>
    <w:rsid w:val="000B0210"/>
    <w:rsid w:val="000B0A14"/>
    <w:rsid w:val="000B141D"/>
    <w:rsid w:val="000B1C1D"/>
    <w:rsid w:val="000B2AA2"/>
    <w:rsid w:val="000B321B"/>
    <w:rsid w:val="000B3347"/>
    <w:rsid w:val="000B391F"/>
    <w:rsid w:val="000B4AD8"/>
    <w:rsid w:val="000B4BBC"/>
    <w:rsid w:val="000C02FC"/>
    <w:rsid w:val="000C0B1C"/>
    <w:rsid w:val="000C232A"/>
    <w:rsid w:val="000C3116"/>
    <w:rsid w:val="000C3A3D"/>
    <w:rsid w:val="000C41E1"/>
    <w:rsid w:val="000C4473"/>
    <w:rsid w:val="000C47EA"/>
    <w:rsid w:val="000C4907"/>
    <w:rsid w:val="000C57FB"/>
    <w:rsid w:val="000C5A20"/>
    <w:rsid w:val="000C5BDC"/>
    <w:rsid w:val="000C694E"/>
    <w:rsid w:val="000C6B73"/>
    <w:rsid w:val="000C7211"/>
    <w:rsid w:val="000D040F"/>
    <w:rsid w:val="000D0B9C"/>
    <w:rsid w:val="000D3760"/>
    <w:rsid w:val="000D3E21"/>
    <w:rsid w:val="000D4671"/>
    <w:rsid w:val="000D53C4"/>
    <w:rsid w:val="000D5AE1"/>
    <w:rsid w:val="000D621B"/>
    <w:rsid w:val="000D6230"/>
    <w:rsid w:val="000D6D23"/>
    <w:rsid w:val="000E2716"/>
    <w:rsid w:val="000E27F4"/>
    <w:rsid w:val="000E292D"/>
    <w:rsid w:val="000E420E"/>
    <w:rsid w:val="000E42A3"/>
    <w:rsid w:val="000E4847"/>
    <w:rsid w:val="000E4A6B"/>
    <w:rsid w:val="000E54B7"/>
    <w:rsid w:val="000E6776"/>
    <w:rsid w:val="000E6BE3"/>
    <w:rsid w:val="000E7061"/>
    <w:rsid w:val="000E73F1"/>
    <w:rsid w:val="000E75A3"/>
    <w:rsid w:val="000F4604"/>
    <w:rsid w:val="000F4747"/>
    <w:rsid w:val="000F58C9"/>
    <w:rsid w:val="000F5B25"/>
    <w:rsid w:val="000F5BFE"/>
    <w:rsid w:val="000F78CF"/>
    <w:rsid w:val="000F7F2F"/>
    <w:rsid w:val="001020E0"/>
    <w:rsid w:val="0010210C"/>
    <w:rsid w:val="00102CEF"/>
    <w:rsid w:val="0010333F"/>
    <w:rsid w:val="00103677"/>
    <w:rsid w:val="001036E6"/>
    <w:rsid w:val="00103ABE"/>
    <w:rsid w:val="00103CF5"/>
    <w:rsid w:val="00103D07"/>
    <w:rsid w:val="00103E0C"/>
    <w:rsid w:val="0010441A"/>
    <w:rsid w:val="00104D6D"/>
    <w:rsid w:val="00105086"/>
    <w:rsid w:val="00106186"/>
    <w:rsid w:val="001069FE"/>
    <w:rsid w:val="001078B6"/>
    <w:rsid w:val="00110672"/>
    <w:rsid w:val="00112CC8"/>
    <w:rsid w:val="00112EA9"/>
    <w:rsid w:val="0011367E"/>
    <w:rsid w:val="001158E3"/>
    <w:rsid w:val="00117328"/>
    <w:rsid w:val="0011739D"/>
    <w:rsid w:val="001177C5"/>
    <w:rsid w:val="0012005B"/>
    <w:rsid w:val="001202B8"/>
    <w:rsid w:val="00120C00"/>
    <w:rsid w:val="001216B0"/>
    <w:rsid w:val="001232C7"/>
    <w:rsid w:val="001238A1"/>
    <w:rsid w:val="00123957"/>
    <w:rsid w:val="00124AE2"/>
    <w:rsid w:val="00124D65"/>
    <w:rsid w:val="00124E1D"/>
    <w:rsid w:val="001256BE"/>
    <w:rsid w:val="0012683A"/>
    <w:rsid w:val="0012724A"/>
    <w:rsid w:val="00127468"/>
    <w:rsid w:val="0013063D"/>
    <w:rsid w:val="001337C3"/>
    <w:rsid w:val="00133C76"/>
    <w:rsid w:val="00134A21"/>
    <w:rsid w:val="001355B8"/>
    <w:rsid w:val="00135993"/>
    <w:rsid w:val="00135A3D"/>
    <w:rsid w:val="0013603B"/>
    <w:rsid w:val="00141052"/>
    <w:rsid w:val="0014164F"/>
    <w:rsid w:val="00142531"/>
    <w:rsid w:val="00142B9D"/>
    <w:rsid w:val="00143015"/>
    <w:rsid w:val="001443BC"/>
    <w:rsid w:val="00144F70"/>
    <w:rsid w:val="00145352"/>
    <w:rsid w:val="001455CB"/>
    <w:rsid w:val="001456F6"/>
    <w:rsid w:val="00146196"/>
    <w:rsid w:val="00147AEE"/>
    <w:rsid w:val="00147E28"/>
    <w:rsid w:val="0015013F"/>
    <w:rsid w:val="00152EDD"/>
    <w:rsid w:val="001552EA"/>
    <w:rsid w:val="001566B2"/>
    <w:rsid w:val="0015771E"/>
    <w:rsid w:val="00161317"/>
    <w:rsid w:val="00162AF6"/>
    <w:rsid w:val="001644F5"/>
    <w:rsid w:val="00164958"/>
    <w:rsid w:val="00164B49"/>
    <w:rsid w:val="00165D18"/>
    <w:rsid w:val="00167721"/>
    <w:rsid w:val="00171736"/>
    <w:rsid w:val="001718EC"/>
    <w:rsid w:val="00171FEA"/>
    <w:rsid w:val="0017265C"/>
    <w:rsid w:val="00172B10"/>
    <w:rsid w:val="001737DD"/>
    <w:rsid w:val="00174D27"/>
    <w:rsid w:val="001758F2"/>
    <w:rsid w:val="00176E13"/>
    <w:rsid w:val="001803F8"/>
    <w:rsid w:val="0018124A"/>
    <w:rsid w:val="001813C9"/>
    <w:rsid w:val="0018352F"/>
    <w:rsid w:val="00184360"/>
    <w:rsid w:val="0018444A"/>
    <w:rsid w:val="0018445E"/>
    <w:rsid w:val="00184AC0"/>
    <w:rsid w:val="00184DC6"/>
    <w:rsid w:val="00185026"/>
    <w:rsid w:val="00186983"/>
    <w:rsid w:val="00186AA0"/>
    <w:rsid w:val="00186BC7"/>
    <w:rsid w:val="00186F54"/>
    <w:rsid w:val="001903D6"/>
    <w:rsid w:val="0019070F"/>
    <w:rsid w:val="00191D38"/>
    <w:rsid w:val="00193DC7"/>
    <w:rsid w:val="0019503C"/>
    <w:rsid w:val="001A264C"/>
    <w:rsid w:val="001A281D"/>
    <w:rsid w:val="001A357B"/>
    <w:rsid w:val="001A3A68"/>
    <w:rsid w:val="001A43C8"/>
    <w:rsid w:val="001A4A11"/>
    <w:rsid w:val="001A4A16"/>
    <w:rsid w:val="001A4FDA"/>
    <w:rsid w:val="001A6393"/>
    <w:rsid w:val="001A72FA"/>
    <w:rsid w:val="001B06C0"/>
    <w:rsid w:val="001B06D3"/>
    <w:rsid w:val="001B2097"/>
    <w:rsid w:val="001B298A"/>
    <w:rsid w:val="001B312D"/>
    <w:rsid w:val="001B332E"/>
    <w:rsid w:val="001B35A9"/>
    <w:rsid w:val="001B46E4"/>
    <w:rsid w:val="001B4FB4"/>
    <w:rsid w:val="001B58E4"/>
    <w:rsid w:val="001C068B"/>
    <w:rsid w:val="001C0D00"/>
    <w:rsid w:val="001C0EBB"/>
    <w:rsid w:val="001C1BDD"/>
    <w:rsid w:val="001C204F"/>
    <w:rsid w:val="001C35B1"/>
    <w:rsid w:val="001C367A"/>
    <w:rsid w:val="001C3A8C"/>
    <w:rsid w:val="001C4952"/>
    <w:rsid w:val="001C4CCC"/>
    <w:rsid w:val="001C4CD5"/>
    <w:rsid w:val="001C5ABE"/>
    <w:rsid w:val="001C5F41"/>
    <w:rsid w:val="001C7C0E"/>
    <w:rsid w:val="001D04F8"/>
    <w:rsid w:val="001D151C"/>
    <w:rsid w:val="001D342C"/>
    <w:rsid w:val="001D39C1"/>
    <w:rsid w:val="001D491F"/>
    <w:rsid w:val="001D7873"/>
    <w:rsid w:val="001E117C"/>
    <w:rsid w:val="001E1583"/>
    <w:rsid w:val="001E1A1C"/>
    <w:rsid w:val="001E24BA"/>
    <w:rsid w:val="001E3840"/>
    <w:rsid w:val="001E3ED5"/>
    <w:rsid w:val="001E4469"/>
    <w:rsid w:val="001E4818"/>
    <w:rsid w:val="001E5F9A"/>
    <w:rsid w:val="001E5FFE"/>
    <w:rsid w:val="001E6504"/>
    <w:rsid w:val="001E6CE5"/>
    <w:rsid w:val="001E716B"/>
    <w:rsid w:val="001F2182"/>
    <w:rsid w:val="001F288D"/>
    <w:rsid w:val="001F2983"/>
    <w:rsid w:val="001F3B17"/>
    <w:rsid w:val="001F3B68"/>
    <w:rsid w:val="001F630F"/>
    <w:rsid w:val="001F7573"/>
    <w:rsid w:val="0020078E"/>
    <w:rsid w:val="002008F4"/>
    <w:rsid w:val="00200D40"/>
    <w:rsid w:val="00201098"/>
    <w:rsid w:val="002010FF"/>
    <w:rsid w:val="002011F9"/>
    <w:rsid w:val="0020231D"/>
    <w:rsid w:val="00203634"/>
    <w:rsid w:val="002038DF"/>
    <w:rsid w:val="00204D37"/>
    <w:rsid w:val="00205306"/>
    <w:rsid w:val="00205E2A"/>
    <w:rsid w:val="002062EC"/>
    <w:rsid w:val="00210090"/>
    <w:rsid w:val="00211179"/>
    <w:rsid w:val="00211287"/>
    <w:rsid w:val="00213880"/>
    <w:rsid w:val="002147C8"/>
    <w:rsid w:val="002154C2"/>
    <w:rsid w:val="002154F7"/>
    <w:rsid w:val="00215B72"/>
    <w:rsid w:val="002200D9"/>
    <w:rsid w:val="002205A7"/>
    <w:rsid w:val="00220791"/>
    <w:rsid w:val="0022390E"/>
    <w:rsid w:val="00224958"/>
    <w:rsid w:val="00224A28"/>
    <w:rsid w:val="0022546F"/>
    <w:rsid w:val="00225964"/>
    <w:rsid w:val="00226092"/>
    <w:rsid w:val="0022682D"/>
    <w:rsid w:val="00226871"/>
    <w:rsid w:val="00226CD6"/>
    <w:rsid w:val="00227431"/>
    <w:rsid w:val="002279D7"/>
    <w:rsid w:val="00230312"/>
    <w:rsid w:val="00232225"/>
    <w:rsid w:val="00233E96"/>
    <w:rsid w:val="002342F3"/>
    <w:rsid w:val="0023544B"/>
    <w:rsid w:val="00235AAC"/>
    <w:rsid w:val="00235C20"/>
    <w:rsid w:val="00236C3D"/>
    <w:rsid w:val="002418BE"/>
    <w:rsid w:val="002419F4"/>
    <w:rsid w:val="00242599"/>
    <w:rsid w:val="00242F8B"/>
    <w:rsid w:val="00243001"/>
    <w:rsid w:val="0024499B"/>
    <w:rsid w:val="00245BB9"/>
    <w:rsid w:val="00245BCF"/>
    <w:rsid w:val="00245D9F"/>
    <w:rsid w:val="00246B4C"/>
    <w:rsid w:val="0024704A"/>
    <w:rsid w:val="00247B87"/>
    <w:rsid w:val="00251F9E"/>
    <w:rsid w:val="00252305"/>
    <w:rsid w:val="00253E73"/>
    <w:rsid w:val="00254997"/>
    <w:rsid w:val="00255476"/>
    <w:rsid w:val="00256C08"/>
    <w:rsid w:val="00256CCE"/>
    <w:rsid w:val="00257897"/>
    <w:rsid w:val="00260458"/>
    <w:rsid w:val="00261332"/>
    <w:rsid w:val="00261846"/>
    <w:rsid w:val="00261A37"/>
    <w:rsid w:val="00264801"/>
    <w:rsid w:val="00266F82"/>
    <w:rsid w:val="00267206"/>
    <w:rsid w:val="00267928"/>
    <w:rsid w:val="00267B2C"/>
    <w:rsid w:val="0027046F"/>
    <w:rsid w:val="0027063C"/>
    <w:rsid w:val="00271198"/>
    <w:rsid w:val="00273722"/>
    <w:rsid w:val="00273A3A"/>
    <w:rsid w:val="002742E8"/>
    <w:rsid w:val="00276709"/>
    <w:rsid w:val="00276F23"/>
    <w:rsid w:val="00276F86"/>
    <w:rsid w:val="00277045"/>
    <w:rsid w:val="00280C32"/>
    <w:rsid w:val="00280DAD"/>
    <w:rsid w:val="002819F8"/>
    <w:rsid w:val="00284116"/>
    <w:rsid w:val="0028616F"/>
    <w:rsid w:val="0028635A"/>
    <w:rsid w:val="00286557"/>
    <w:rsid w:val="00286F5B"/>
    <w:rsid w:val="00290383"/>
    <w:rsid w:val="00291573"/>
    <w:rsid w:val="00291917"/>
    <w:rsid w:val="002950B1"/>
    <w:rsid w:val="00295871"/>
    <w:rsid w:val="00295AF9"/>
    <w:rsid w:val="002967A9"/>
    <w:rsid w:val="002977F2"/>
    <w:rsid w:val="00297F5A"/>
    <w:rsid w:val="002A0D2E"/>
    <w:rsid w:val="002A1040"/>
    <w:rsid w:val="002A19E9"/>
    <w:rsid w:val="002A2940"/>
    <w:rsid w:val="002A2CB0"/>
    <w:rsid w:val="002A2CBD"/>
    <w:rsid w:val="002A38AF"/>
    <w:rsid w:val="002A3CA6"/>
    <w:rsid w:val="002A41F9"/>
    <w:rsid w:val="002A5C67"/>
    <w:rsid w:val="002A6DE0"/>
    <w:rsid w:val="002A74E1"/>
    <w:rsid w:val="002A7B18"/>
    <w:rsid w:val="002A7DF8"/>
    <w:rsid w:val="002B09F4"/>
    <w:rsid w:val="002B1AB4"/>
    <w:rsid w:val="002B2F2B"/>
    <w:rsid w:val="002B46E2"/>
    <w:rsid w:val="002B4ED5"/>
    <w:rsid w:val="002B5AED"/>
    <w:rsid w:val="002B6353"/>
    <w:rsid w:val="002B6894"/>
    <w:rsid w:val="002B7D59"/>
    <w:rsid w:val="002C00C7"/>
    <w:rsid w:val="002C0632"/>
    <w:rsid w:val="002C0CB3"/>
    <w:rsid w:val="002C130D"/>
    <w:rsid w:val="002C1832"/>
    <w:rsid w:val="002C1B81"/>
    <w:rsid w:val="002C1E69"/>
    <w:rsid w:val="002C258E"/>
    <w:rsid w:val="002C49AD"/>
    <w:rsid w:val="002C6129"/>
    <w:rsid w:val="002C616B"/>
    <w:rsid w:val="002C70AA"/>
    <w:rsid w:val="002D4A57"/>
    <w:rsid w:val="002D5048"/>
    <w:rsid w:val="002D542B"/>
    <w:rsid w:val="002D5AA7"/>
    <w:rsid w:val="002D6531"/>
    <w:rsid w:val="002D7500"/>
    <w:rsid w:val="002D7F22"/>
    <w:rsid w:val="002E0E85"/>
    <w:rsid w:val="002E2567"/>
    <w:rsid w:val="002E257B"/>
    <w:rsid w:val="002E26A0"/>
    <w:rsid w:val="002E2D82"/>
    <w:rsid w:val="002E38CA"/>
    <w:rsid w:val="002E3AB0"/>
    <w:rsid w:val="002E4263"/>
    <w:rsid w:val="002E4EEB"/>
    <w:rsid w:val="002E50FF"/>
    <w:rsid w:val="002E530C"/>
    <w:rsid w:val="002E5386"/>
    <w:rsid w:val="002E560A"/>
    <w:rsid w:val="002E5783"/>
    <w:rsid w:val="002E5F59"/>
    <w:rsid w:val="002E5F9E"/>
    <w:rsid w:val="002E6532"/>
    <w:rsid w:val="002E6C4C"/>
    <w:rsid w:val="002F0188"/>
    <w:rsid w:val="002F0FD4"/>
    <w:rsid w:val="002F107C"/>
    <w:rsid w:val="002F121E"/>
    <w:rsid w:val="002F12B8"/>
    <w:rsid w:val="002F16DC"/>
    <w:rsid w:val="002F2967"/>
    <w:rsid w:val="002F4897"/>
    <w:rsid w:val="002F59AA"/>
    <w:rsid w:val="002F661A"/>
    <w:rsid w:val="002F7AE3"/>
    <w:rsid w:val="002F7B68"/>
    <w:rsid w:val="003004C2"/>
    <w:rsid w:val="00300DF9"/>
    <w:rsid w:val="00301583"/>
    <w:rsid w:val="003016AB"/>
    <w:rsid w:val="003028B8"/>
    <w:rsid w:val="0030322D"/>
    <w:rsid w:val="00303F10"/>
    <w:rsid w:val="0030445F"/>
    <w:rsid w:val="00304AE3"/>
    <w:rsid w:val="00306116"/>
    <w:rsid w:val="0030618A"/>
    <w:rsid w:val="0030641F"/>
    <w:rsid w:val="00307F3C"/>
    <w:rsid w:val="00310A28"/>
    <w:rsid w:val="0031150D"/>
    <w:rsid w:val="0031283D"/>
    <w:rsid w:val="00312B44"/>
    <w:rsid w:val="003132F9"/>
    <w:rsid w:val="00316E93"/>
    <w:rsid w:val="0031700E"/>
    <w:rsid w:val="0031791A"/>
    <w:rsid w:val="00320501"/>
    <w:rsid w:val="00321E1D"/>
    <w:rsid w:val="003234F3"/>
    <w:rsid w:val="00324460"/>
    <w:rsid w:val="003246A2"/>
    <w:rsid w:val="00324BBC"/>
    <w:rsid w:val="00324E79"/>
    <w:rsid w:val="00326086"/>
    <w:rsid w:val="0032621C"/>
    <w:rsid w:val="003308CD"/>
    <w:rsid w:val="00330B77"/>
    <w:rsid w:val="0033353C"/>
    <w:rsid w:val="003346E4"/>
    <w:rsid w:val="00335EBC"/>
    <w:rsid w:val="00336B6A"/>
    <w:rsid w:val="00337C7F"/>
    <w:rsid w:val="003429F0"/>
    <w:rsid w:val="00343768"/>
    <w:rsid w:val="0034456D"/>
    <w:rsid w:val="00346E28"/>
    <w:rsid w:val="00350416"/>
    <w:rsid w:val="00350D91"/>
    <w:rsid w:val="003511EB"/>
    <w:rsid w:val="003524C9"/>
    <w:rsid w:val="0035392E"/>
    <w:rsid w:val="00355255"/>
    <w:rsid w:val="00356071"/>
    <w:rsid w:val="003573F3"/>
    <w:rsid w:val="0036108B"/>
    <w:rsid w:val="00361448"/>
    <w:rsid w:val="00362778"/>
    <w:rsid w:val="00362DEE"/>
    <w:rsid w:val="003630B0"/>
    <w:rsid w:val="003637EB"/>
    <w:rsid w:val="00363E65"/>
    <w:rsid w:val="0036430A"/>
    <w:rsid w:val="003649CA"/>
    <w:rsid w:val="00365673"/>
    <w:rsid w:val="00366226"/>
    <w:rsid w:val="00367E4F"/>
    <w:rsid w:val="00367EB0"/>
    <w:rsid w:val="003705CD"/>
    <w:rsid w:val="003711B3"/>
    <w:rsid w:val="003719EB"/>
    <w:rsid w:val="00371A39"/>
    <w:rsid w:val="00372936"/>
    <w:rsid w:val="00372DE1"/>
    <w:rsid w:val="00372F34"/>
    <w:rsid w:val="00373929"/>
    <w:rsid w:val="003747B6"/>
    <w:rsid w:val="00374AB1"/>
    <w:rsid w:val="00376527"/>
    <w:rsid w:val="00376832"/>
    <w:rsid w:val="00377F72"/>
    <w:rsid w:val="0038087F"/>
    <w:rsid w:val="00380A7F"/>
    <w:rsid w:val="0038113C"/>
    <w:rsid w:val="0038166F"/>
    <w:rsid w:val="00382054"/>
    <w:rsid w:val="003822DC"/>
    <w:rsid w:val="0038256D"/>
    <w:rsid w:val="00382A20"/>
    <w:rsid w:val="00382E94"/>
    <w:rsid w:val="00384379"/>
    <w:rsid w:val="003848CA"/>
    <w:rsid w:val="003860D6"/>
    <w:rsid w:val="00386725"/>
    <w:rsid w:val="00387A47"/>
    <w:rsid w:val="00390969"/>
    <w:rsid w:val="00391521"/>
    <w:rsid w:val="00392031"/>
    <w:rsid w:val="0039222F"/>
    <w:rsid w:val="00392D71"/>
    <w:rsid w:val="003937A3"/>
    <w:rsid w:val="003938EF"/>
    <w:rsid w:val="00393D70"/>
    <w:rsid w:val="00393E13"/>
    <w:rsid w:val="00394353"/>
    <w:rsid w:val="003945E2"/>
    <w:rsid w:val="00395ADD"/>
    <w:rsid w:val="00397647"/>
    <w:rsid w:val="003A0177"/>
    <w:rsid w:val="003A3674"/>
    <w:rsid w:val="003A43EB"/>
    <w:rsid w:val="003A6D93"/>
    <w:rsid w:val="003A7A02"/>
    <w:rsid w:val="003B0CDF"/>
    <w:rsid w:val="003B12D7"/>
    <w:rsid w:val="003B17E4"/>
    <w:rsid w:val="003B217A"/>
    <w:rsid w:val="003B235F"/>
    <w:rsid w:val="003B75DA"/>
    <w:rsid w:val="003B7BFC"/>
    <w:rsid w:val="003C05E9"/>
    <w:rsid w:val="003C18A5"/>
    <w:rsid w:val="003C1C4A"/>
    <w:rsid w:val="003C1E88"/>
    <w:rsid w:val="003C31B4"/>
    <w:rsid w:val="003C3384"/>
    <w:rsid w:val="003C3E1B"/>
    <w:rsid w:val="003C54C6"/>
    <w:rsid w:val="003C6AD6"/>
    <w:rsid w:val="003C6B4A"/>
    <w:rsid w:val="003C76C9"/>
    <w:rsid w:val="003C7A2C"/>
    <w:rsid w:val="003D026B"/>
    <w:rsid w:val="003D0ADD"/>
    <w:rsid w:val="003D1330"/>
    <w:rsid w:val="003D1894"/>
    <w:rsid w:val="003D1CA1"/>
    <w:rsid w:val="003D2077"/>
    <w:rsid w:val="003D36A7"/>
    <w:rsid w:val="003D4AAC"/>
    <w:rsid w:val="003D4AC0"/>
    <w:rsid w:val="003D4BE9"/>
    <w:rsid w:val="003D4D91"/>
    <w:rsid w:val="003D5518"/>
    <w:rsid w:val="003D59BD"/>
    <w:rsid w:val="003D6738"/>
    <w:rsid w:val="003D73C8"/>
    <w:rsid w:val="003D751C"/>
    <w:rsid w:val="003D7B3B"/>
    <w:rsid w:val="003E0883"/>
    <w:rsid w:val="003E3A50"/>
    <w:rsid w:val="003E40B4"/>
    <w:rsid w:val="003E51E2"/>
    <w:rsid w:val="003E6A8B"/>
    <w:rsid w:val="003E700A"/>
    <w:rsid w:val="003E715A"/>
    <w:rsid w:val="003E7951"/>
    <w:rsid w:val="003F00CA"/>
    <w:rsid w:val="003F0E0C"/>
    <w:rsid w:val="003F0E17"/>
    <w:rsid w:val="003F1658"/>
    <w:rsid w:val="003F41AB"/>
    <w:rsid w:val="003F6AEC"/>
    <w:rsid w:val="003F6C51"/>
    <w:rsid w:val="003F7C2B"/>
    <w:rsid w:val="00400117"/>
    <w:rsid w:val="00401112"/>
    <w:rsid w:val="00401204"/>
    <w:rsid w:val="00402031"/>
    <w:rsid w:val="00402C1C"/>
    <w:rsid w:val="0040404A"/>
    <w:rsid w:val="0040458C"/>
    <w:rsid w:val="00404B5C"/>
    <w:rsid w:val="00404F97"/>
    <w:rsid w:val="004053AC"/>
    <w:rsid w:val="004060D1"/>
    <w:rsid w:val="004066DC"/>
    <w:rsid w:val="004069CA"/>
    <w:rsid w:val="00407786"/>
    <w:rsid w:val="00412310"/>
    <w:rsid w:val="004129AF"/>
    <w:rsid w:val="004144EA"/>
    <w:rsid w:val="00415862"/>
    <w:rsid w:val="00415DA9"/>
    <w:rsid w:val="004209D7"/>
    <w:rsid w:val="00420C22"/>
    <w:rsid w:val="00420F4C"/>
    <w:rsid w:val="00421DA6"/>
    <w:rsid w:val="00422996"/>
    <w:rsid w:val="00423DF7"/>
    <w:rsid w:val="00423E76"/>
    <w:rsid w:val="00426B2C"/>
    <w:rsid w:val="0042721F"/>
    <w:rsid w:val="00427D00"/>
    <w:rsid w:val="004303C4"/>
    <w:rsid w:val="00430686"/>
    <w:rsid w:val="00430AC9"/>
    <w:rsid w:val="00430F39"/>
    <w:rsid w:val="0043149C"/>
    <w:rsid w:val="00431886"/>
    <w:rsid w:val="00432616"/>
    <w:rsid w:val="00432E8C"/>
    <w:rsid w:val="004344FA"/>
    <w:rsid w:val="00434634"/>
    <w:rsid w:val="00434E8B"/>
    <w:rsid w:val="00435BBC"/>
    <w:rsid w:val="0043696D"/>
    <w:rsid w:val="00436D20"/>
    <w:rsid w:val="00437D67"/>
    <w:rsid w:val="00437E1F"/>
    <w:rsid w:val="00442AA6"/>
    <w:rsid w:val="00442D41"/>
    <w:rsid w:val="0044301B"/>
    <w:rsid w:val="004431D0"/>
    <w:rsid w:val="00443584"/>
    <w:rsid w:val="004437E7"/>
    <w:rsid w:val="00445CA6"/>
    <w:rsid w:val="00446A29"/>
    <w:rsid w:val="004474B5"/>
    <w:rsid w:val="00447854"/>
    <w:rsid w:val="00452917"/>
    <w:rsid w:val="004530F0"/>
    <w:rsid w:val="00453265"/>
    <w:rsid w:val="004539E7"/>
    <w:rsid w:val="00453A34"/>
    <w:rsid w:val="004547E9"/>
    <w:rsid w:val="00455209"/>
    <w:rsid w:val="00455D6B"/>
    <w:rsid w:val="00460005"/>
    <w:rsid w:val="00461CF3"/>
    <w:rsid w:val="00461D0D"/>
    <w:rsid w:val="00465EC5"/>
    <w:rsid w:val="00465F14"/>
    <w:rsid w:val="00467115"/>
    <w:rsid w:val="0047003F"/>
    <w:rsid w:val="00470AAD"/>
    <w:rsid w:val="004712EF"/>
    <w:rsid w:val="00471A27"/>
    <w:rsid w:val="00473821"/>
    <w:rsid w:val="00473A4A"/>
    <w:rsid w:val="0047662B"/>
    <w:rsid w:val="004806D6"/>
    <w:rsid w:val="00480CEC"/>
    <w:rsid w:val="004827A0"/>
    <w:rsid w:val="0048298D"/>
    <w:rsid w:val="00483AD5"/>
    <w:rsid w:val="0048433B"/>
    <w:rsid w:val="004846E9"/>
    <w:rsid w:val="00486CF9"/>
    <w:rsid w:val="004871FD"/>
    <w:rsid w:val="00487BD9"/>
    <w:rsid w:val="0049045A"/>
    <w:rsid w:val="00490E1F"/>
    <w:rsid w:val="00491A91"/>
    <w:rsid w:val="004929E9"/>
    <w:rsid w:val="00492A81"/>
    <w:rsid w:val="00493C92"/>
    <w:rsid w:val="004967E1"/>
    <w:rsid w:val="004A0571"/>
    <w:rsid w:val="004A057E"/>
    <w:rsid w:val="004A2F61"/>
    <w:rsid w:val="004A4FF6"/>
    <w:rsid w:val="004A5D38"/>
    <w:rsid w:val="004A6152"/>
    <w:rsid w:val="004A678B"/>
    <w:rsid w:val="004A6CA1"/>
    <w:rsid w:val="004A7DD9"/>
    <w:rsid w:val="004A7E57"/>
    <w:rsid w:val="004B0CD7"/>
    <w:rsid w:val="004B0D5C"/>
    <w:rsid w:val="004B1109"/>
    <w:rsid w:val="004B32A5"/>
    <w:rsid w:val="004B3372"/>
    <w:rsid w:val="004B485B"/>
    <w:rsid w:val="004B5647"/>
    <w:rsid w:val="004B5D42"/>
    <w:rsid w:val="004B5DBA"/>
    <w:rsid w:val="004B60E6"/>
    <w:rsid w:val="004B6400"/>
    <w:rsid w:val="004B641B"/>
    <w:rsid w:val="004B701E"/>
    <w:rsid w:val="004B7235"/>
    <w:rsid w:val="004C1755"/>
    <w:rsid w:val="004C2A5F"/>
    <w:rsid w:val="004C2B82"/>
    <w:rsid w:val="004C4A96"/>
    <w:rsid w:val="004C6434"/>
    <w:rsid w:val="004C652F"/>
    <w:rsid w:val="004C7D49"/>
    <w:rsid w:val="004D233E"/>
    <w:rsid w:val="004D266B"/>
    <w:rsid w:val="004D2DFC"/>
    <w:rsid w:val="004D32E8"/>
    <w:rsid w:val="004D4A49"/>
    <w:rsid w:val="004D4DC6"/>
    <w:rsid w:val="004D51CD"/>
    <w:rsid w:val="004D64B7"/>
    <w:rsid w:val="004D7C53"/>
    <w:rsid w:val="004E09A6"/>
    <w:rsid w:val="004E18F1"/>
    <w:rsid w:val="004E266B"/>
    <w:rsid w:val="004E2B35"/>
    <w:rsid w:val="004E330F"/>
    <w:rsid w:val="004E49BB"/>
    <w:rsid w:val="004E4BC3"/>
    <w:rsid w:val="004E6737"/>
    <w:rsid w:val="004E6CB4"/>
    <w:rsid w:val="004E6D6D"/>
    <w:rsid w:val="004E6E3A"/>
    <w:rsid w:val="004E6EDF"/>
    <w:rsid w:val="004E730C"/>
    <w:rsid w:val="004E7628"/>
    <w:rsid w:val="004E7FEE"/>
    <w:rsid w:val="004F179E"/>
    <w:rsid w:val="004F3C45"/>
    <w:rsid w:val="004F4190"/>
    <w:rsid w:val="0050033F"/>
    <w:rsid w:val="005007A3"/>
    <w:rsid w:val="00501048"/>
    <w:rsid w:val="00504D9D"/>
    <w:rsid w:val="00505452"/>
    <w:rsid w:val="005076B1"/>
    <w:rsid w:val="00507855"/>
    <w:rsid w:val="005103CA"/>
    <w:rsid w:val="005112FB"/>
    <w:rsid w:val="005124F5"/>
    <w:rsid w:val="00512625"/>
    <w:rsid w:val="00514490"/>
    <w:rsid w:val="0051479A"/>
    <w:rsid w:val="005156AF"/>
    <w:rsid w:val="005169AD"/>
    <w:rsid w:val="00517649"/>
    <w:rsid w:val="0052046A"/>
    <w:rsid w:val="0052083C"/>
    <w:rsid w:val="005212F7"/>
    <w:rsid w:val="005217A3"/>
    <w:rsid w:val="00521BA2"/>
    <w:rsid w:val="005223CB"/>
    <w:rsid w:val="00522698"/>
    <w:rsid w:val="00522BD5"/>
    <w:rsid w:val="0052335A"/>
    <w:rsid w:val="00524BC5"/>
    <w:rsid w:val="00524D89"/>
    <w:rsid w:val="0053026B"/>
    <w:rsid w:val="005330B9"/>
    <w:rsid w:val="00533E0F"/>
    <w:rsid w:val="005344B6"/>
    <w:rsid w:val="005355FE"/>
    <w:rsid w:val="005356B5"/>
    <w:rsid w:val="00535F58"/>
    <w:rsid w:val="00536563"/>
    <w:rsid w:val="00536AFB"/>
    <w:rsid w:val="00536C3C"/>
    <w:rsid w:val="005371CC"/>
    <w:rsid w:val="005376D5"/>
    <w:rsid w:val="00537CFF"/>
    <w:rsid w:val="00540045"/>
    <w:rsid w:val="005409B5"/>
    <w:rsid w:val="00542256"/>
    <w:rsid w:val="0054367E"/>
    <w:rsid w:val="00544768"/>
    <w:rsid w:val="00544EE6"/>
    <w:rsid w:val="00544FCA"/>
    <w:rsid w:val="005462D1"/>
    <w:rsid w:val="00546D91"/>
    <w:rsid w:val="005471DA"/>
    <w:rsid w:val="0054799C"/>
    <w:rsid w:val="00547CEF"/>
    <w:rsid w:val="00547E40"/>
    <w:rsid w:val="005505B9"/>
    <w:rsid w:val="00550DD5"/>
    <w:rsid w:val="0055186F"/>
    <w:rsid w:val="00551C08"/>
    <w:rsid w:val="0055286A"/>
    <w:rsid w:val="005535F1"/>
    <w:rsid w:val="00553651"/>
    <w:rsid w:val="005536A0"/>
    <w:rsid w:val="00554197"/>
    <w:rsid w:val="00554B91"/>
    <w:rsid w:val="00556906"/>
    <w:rsid w:val="00556AF5"/>
    <w:rsid w:val="00560F65"/>
    <w:rsid w:val="0056119D"/>
    <w:rsid w:val="0056216C"/>
    <w:rsid w:val="0056240A"/>
    <w:rsid w:val="00564205"/>
    <w:rsid w:val="005649A4"/>
    <w:rsid w:val="005659CC"/>
    <w:rsid w:val="00566C15"/>
    <w:rsid w:val="00566F14"/>
    <w:rsid w:val="005671C8"/>
    <w:rsid w:val="005674F3"/>
    <w:rsid w:val="00567FF1"/>
    <w:rsid w:val="005703AA"/>
    <w:rsid w:val="005715AF"/>
    <w:rsid w:val="00571677"/>
    <w:rsid w:val="00572B35"/>
    <w:rsid w:val="00572DBD"/>
    <w:rsid w:val="00573A7D"/>
    <w:rsid w:val="00574106"/>
    <w:rsid w:val="00574D4A"/>
    <w:rsid w:val="00575719"/>
    <w:rsid w:val="00576DD3"/>
    <w:rsid w:val="00580616"/>
    <w:rsid w:val="00580BC9"/>
    <w:rsid w:val="005812F3"/>
    <w:rsid w:val="0058169D"/>
    <w:rsid w:val="005852DD"/>
    <w:rsid w:val="0059040F"/>
    <w:rsid w:val="005907B4"/>
    <w:rsid w:val="00590F92"/>
    <w:rsid w:val="0059201D"/>
    <w:rsid w:val="00592095"/>
    <w:rsid w:val="00592945"/>
    <w:rsid w:val="0059313B"/>
    <w:rsid w:val="0059397B"/>
    <w:rsid w:val="00593BEB"/>
    <w:rsid w:val="00593EFA"/>
    <w:rsid w:val="00595E58"/>
    <w:rsid w:val="005960D2"/>
    <w:rsid w:val="0059652A"/>
    <w:rsid w:val="00596D61"/>
    <w:rsid w:val="005A0154"/>
    <w:rsid w:val="005A2AF1"/>
    <w:rsid w:val="005A2FA5"/>
    <w:rsid w:val="005A5577"/>
    <w:rsid w:val="005A5D6F"/>
    <w:rsid w:val="005A699E"/>
    <w:rsid w:val="005A6AE3"/>
    <w:rsid w:val="005A6AEA"/>
    <w:rsid w:val="005A7BAD"/>
    <w:rsid w:val="005B0A2D"/>
    <w:rsid w:val="005B0C4A"/>
    <w:rsid w:val="005B12D2"/>
    <w:rsid w:val="005B137C"/>
    <w:rsid w:val="005B2879"/>
    <w:rsid w:val="005B2B06"/>
    <w:rsid w:val="005B2CD3"/>
    <w:rsid w:val="005B2F2B"/>
    <w:rsid w:val="005B346C"/>
    <w:rsid w:val="005B3D76"/>
    <w:rsid w:val="005B447E"/>
    <w:rsid w:val="005B4758"/>
    <w:rsid w:val="005B5399"/>
    <w:rsid w:val="005B5790"/>
    <w:rsid w:val="005B65C6"/>
    <w:rsid w:val="005B6ED1"/>
    <w:rsid w:val="005B779A"/>
    <w:rsid w:val="005C0029"/>
    <w:rsid w:val="005C0147"/>
    <w:rsid w:val="005C0BE9"/>
    <w:rsid w:val="005C0E63"/>
    <w:rsid w:val="005C13F8"/>
    <w:rsid w:val="005C1A28"/>
    <w:rsid w:val="005C2119"/>
    <w:rsid w:val="005C32D8"/>
    <w:rsid w:val="005C36A4"/>
    <w:rsid w:val="005C372B"/>
    <w:rsid w:val="005C381A"/>
    <w:rsid w:val="005C416F"/>
    <w:rsid w:val="005C6675"/>
    <w:rsid w:val="005C6B7E"/>
    <w:rsid w:val="005C7370"/>
    <w:rsid w:val="005C7CBA"/>
    <w:rsid w:val="005D0882"/>
    <w:rsid w:val="005D0A0A"/>
    <w:rsid w:val="005D1C9E"/>
    <w:rsid w:val="005D387B"/>
    <w:rsid w:val="005D445F"/>
    <w:rsid w:val="005D44CA"/>
    <w:rsid w:val="005D5616"/>
    <w:rsid w:val="005D5755"/>
    <w:rsid w:val="005D755A"/>
    <w:rsid w:val="005D7C57"/>
    <w:rsid w:val="005E03F0"/>
    <w:rsid w:val="005E08F2"/>
    <w:rsid w:val="005E2D9F"/>
    <w:rsid w:val="005E3104"/>
    <w:rsid w:val="005E4676"/>
    <w:rsid w:val="005E55E2"/>
    <w:rsid w:val="005E5F2D"/>
    <w:rsid w:val="005E778B"/>
    <w:rsid w:val="005E7DEB"/>
    <w:rsid w:val="005F0496"/>
    <w:rsid w:val="005F24D0"/>
    <w:rsid w:val="005F3194"/>
    <w:rsid w:val="005F323E"/>
    <w:rsid w:val="005F3919"/>
    <w:rsid w:val="005F3CA8"/>
    <w:rsid w:val="005F4B5C"/>
    <w:rsid w:val="005F4E29"/>
    <w:rsid w:val="005F4F6F"/>
    <w:rsid w:val="005F6F0E"/>
    <w:rsid w:val="005F7D5B"/>
    <w:rsid w:val="00600549"/>
    <w:rsid w:val="006005EE"/>
    <w:rsid w:val="00600AF7"/>
    <w:rsid w:val="006014AE"/>
    <w:rsid w:val="00601BAD"/>
    <w:rsid w:val="00602392"/>
    <w:rsid w:val="0060268B"/>
    <w:rsid w:val="00603722"/>
    <w:rsid w:val="00603C42"/>
    <w:rsid w:val="00603DC0"/>
    <w:rsid w:val="00603FCB"/>
    <w:rsid w:val="00604CC4"/>
    <w:rsid w:val="00604EA5"/>
    <w:rsid w:val="0060506C"/>
    <w:rsid w:val="00605433"/>
    <w:rsid w:val="006060FF"/>
    <w:rsid w:val="006100B6"/>
    <w:rsid w:val="00610405"/>
    <w:rsid w:val="006109BA"/>
    <w:rsid w:val="00610AC8"/>
    <w:rsid w:val="0061141D"/>
    <w:rsid w:val="006117AE"/>
    <w:rsid w:val="006130BB"/>
    <w:rsid w:val="006131A0"/>
    <w:rsid w:val="0061330E"/>
    <w:rsid w:val="0061373E"/>
    <w:rsid w:val="00615784"/>
    <w:rsid w:val="00616205"/>
    <w:rsid w:val="00616CDA"/>
    <w:rsid w:val="00617362"/>
    <w:rsid w:val="00617478"/>
    <w:rsid w:val="00617CE1"/>
    <w:rsid w:val="006206B8"/>
    <w:rsid w:val="006214D8"/>
    <w:rsid w:val="00622043"/>
    <w:rsid w:val="006232E5"/>
    <w:rsid w:val="00623AEF"/>
    <w:rsid w:val="00625AFF"/>
    <w:rsid w:val="0062696A"/>
    <w:rsid w:val="00627017"/>
    <w:rsid w:val="00630513"/>
    <w:rsid w:val="00631A6D"/>
    <w:rsid w:val="0063218F"/>
    <w:rsid w:val="006322E1"/>
    <w:rsid w:val="006334D4"/>
    <w:rsid w:val="006351F2"/>
    <w:rsid w:val="0063584F"/>
    <w:rsid w:val="006358A4"/>
    <w:rsid w:val="00636012"/>
    <w:rsid w:val="0063732F"/>
    <w:rsid w:val="00637487"/>
    <w:rsid w:val="00637E1B"/>
    <w:rsid w:val="0064005D"/>
    <w:rsid w:val="00640777"/>
    <w:rsid w:val="00641451"/>
    <w:rsid w:val="00641B08"/>
    <w:rsid w:val="006424AB"/>
    <w:rsid w:val="006425A1"/>
    <w:rsid w:val="006425E0"/>
    <w:rsid w:val="0064504F"/>
    <w:rsid w:val="00645AE8"/>
    <w:rsid w:val="00645FF6"/>
    <w:rsid w:val="00647AAB"/>
    <w:rsid w:val="00652DD6"/>
    <w:rsid w:val="00655359"/>
    <w:rsid w:val="0066247D"/>
    <w:rsid w:val="00662CE3"/>
    <w:rsid w:val="00663029"/>
    <w:rsid w:val="0066377D"/>
    <w:rsid w:val="0066429B"/>
    <w:rsid w:val="006646D9"/>
    <w:rsid w:val="006648FB"/>
    <w:rsid w:val="00664DC8"/>
    <w:rsid w:val="00664DFB"/>
    <w:rsid w:val="00664E39"/>
    <w:rsid w:val="00664F4E"/>
    <w:rsid w:val="00667952"/>
    <w:rsid w:val="00670DF1"/>
    <w:rsid w:val="006719C1"/>
    <w:rsid w:val="00671FA8"/>
    <w:rsid w:val="00672297"/>
    <w:rsid w:val="00673843"/>
    <w:rsid w:val="00673B1C"/>
    <w:rsid w:val="00673B3B"/>
    <w:rsid w:val="0067593C"/>
    <w:rsid w:val="00675EA7"/>
    <w:rsid w:val="00676302"/>
    <w:rsid w:val="00677E01"/>
    <w:rsid w:val="00680762"/>
    <w:rsid w:val="00683AB8"/>
    <w:rsid w:val="006844CD"/>
    <w:rsid w:val="00685036"/>
    <w:rsid w:val="00685ED7"/>
    <w:rsid w:val="00686BF7"/>
    <w:rsid w:val="00686C2C"/>
    <w:rsid w:val="006907E0"/>
    <w:rsid w:val="00690C57"/>
    <w:rsid w:val="006913B0"/>
    <w:rsid w:val="006915E2"/>
    <w:rsid w:val="006915EA"/>
    <w:rsid w:val="006922C2"/>
    <w:rsid w:val="00694E36"/>
    <w:rsid w:val="00695659"/>
    <w:rsid w:val="006977F9"/>
    <w:rsid w:val="006A0171"/>
    <w:rsid w:val="006A0AF0"/>
    <w:rsid w:val="006A0CBB"/>
    <w:rsid w:val="006A1DF6"/>
    <w:rsid w:val="006A20E6"/>
    <w:rsid w:val="006A3846"/>
    <w:rsid w:val="006A4239"/>
    <w:rsid w:val="006A4A81"/>
    <w:rsid w:val="006A4E94"/>
    <w:rsid w:val="006A5F53"/>
    <w:rsid w:val="006A631F"/>
    <w:rsid w:val="006A7148"/>
    <w:rsid w:val="006A7403"/>
    <w:rsid w:val="006B0102"/>
    <w:rsid w:val="006B15DC"/>
    <w:rsid w:val="006B17BF"/>
    <w:rsid w:val="006B3FEB"/>
    <w:rsid w:val="006B4211"/>
    <w:rsid w:val="006B54F3"/>
    <w:rsid w:val="006B57A5"/>
    <w:rsid w:val="006B5896"/>
    <w:rsid w:val="006B5E7A"/>
    <w:rsid w:val="006C0513"/>
    <w:rsid w:val="006C10C4"/>
    <w:rsid w:val="006C1415"/>
    <w:rsid w:val="006C1EDD"/>
    <w:rsid w:val="006C20A5"/>
    <w:rsid w:val="006C2123"/>
    <w:rsid w:val="006C224F"/>
    <w:rsid w:val="006C282D"/>
    <w:rsid w:val="006C33A1"/>
    <w:rsid w:val="006C3CC8"/>
    <w:rsid w:val="006C40BF"/>
    <w:rsid w:val="006C42D0"/>
    <w:rsid w:val="006C4AC4"/>
    <w:rsid w:val="006C503E"/>
    <w:rsid w:val="006C56D9"/>
    <w:rsid w:val="006C6D13"/>
    <w:rsid w:val="006D13E0"/>
    <w:rsid w:val="006D145A"/>
    <w:rsid w:val="006D22F7"/>
    <w:rsid w:val="006D2C4A"/>
    <w:rsid w:val="006D5CAE"/>
    <w:rsid w:val="006D6890"/>
    <w:rsid w:val="006D72E1"/>
    <w:rsid w:val="006D7D98"/>
    <w:rsid w:val="006D7F0D"/>
    <w:rsid w:val="006E17AD"/>
    <w:rsid w:val="006E56FA"/>
    <w:rsid w:val="006E571A"/>
    <w:rsid w:val="006E67A1"/>
    <w:rsid w:val="006E6DCF"/>
    <w:rsid w:val="006E709A"/>
    <w:rsid w:val="006F07AC"/>
    <w:rsid w:val="006F3218"/>
    <w:rsid w:val="006F336D"/>
    <w:rsid w:val="006F36D6"/>
    <w:rsid w:val="006F4045"/>
    <w:rsid w:val="006F48B9"/>
    <w:rsid w:val="006F54A0"/>
    <w:rsid w:val="006F5A5C"/>
    <w:rsid w:val="006F7F00"/>
    <w:rsid w:val="0070177E"/>
    <w:rsid w:val="00702603"/>
    <w:rsid w:val="00702617"/>
    <w:rsid w:val="007027B2"/>
    <w:rsid w:val="00702CFB"/>
    <w:rsid w:val="00703BA0"/>
    <w:rsid w:val="00706765"/>
    <w:rsid w:val="0070738A"/>
    <w:rsid w:val="007104E5"/>
    <w:rsid w:val="007114C7"/>
    <w:rsid w:val="0071153F"/>
    <w:rsid w:val="00712764"/>
    <w:rsid w:val="00712CC9"/>
    <w:rsid w:val="00712E1B"/>
    <w:rsid w:val="0071320E"/>
    <w:rsid w:val="00715F9E"/>
    <w:rsid w:val="00717CE9"/>
    <w:rsid w:val="0072085E"/>
    <w:rsid w:val="00721715"/>
    <w:rsid w:val="00723487"/>
    <w:rsid w:val="00723871"/>
    <w:rsid w:val="00723EA4"/>
    <w:rsid w:val="00724424"/>
    <w:rsid w:val="007250D9"/>
    <w:rsid w:val="007254E4"/>
    <w:rsid w:val="00725E62"/>
    <w:rsid w:val="00726CC0"/>
    <w:rsid w:val="00727BDE"/>
    <w:rsid w:val="00731BD3"/>
    <w:rsid w:val="00731C1D"/>
    <w:rsid w:val="00731CC9"/>
    <w:rsid w:val="00731DCD"/>
    <w:rsid w:val="00732F1D"/>
    <w:rsid w:val="00732F51"/>
    <w:rsid w:val="0073315B"/>
    <w:rsid w:val="00736CCE"/>
    <w:rsid w:val="00737FA0"/>
    <w:rsid w:val="00740131"/>
    <w:rsid w:val="00743764"/>
    <w:rsid w:val="00744346"/>
    <w:rsid w:val="00745C96"/>
    <w:rsid w:val="00745E0E"/>
    <w:rsid w:val="00745F63"/>
    <w:rsid w:val="00746522"/>
    <w:rsid w:val="00747297"/>
    <w:rsid w:val="00747DAC"/>
    <w:rsid w:val="0075082F"/>
    <w:rsid w:val="0075160D"/>
    <w:rsid w:val="00752E2A"/>
    <w:rsid w:val="0075482A"/>
    <w:rsid w:val="00754CCC"/>
    <w:rsid w:val="00755765"/>
    <w:rsid w:val="007566B2"/>
    <w:rsid w:val="00757356"/>
    <w:rsid w:val="007607C5"/>
    <w:rsid w:val="007610CD"/>
    <w:rsid w:val="007631FF"/>
    <w:rsid w:val="007635E7"/>
    <w:rsid w:val="007645EB"/>
    <w:rsid w:val="00766D75"/>
    <w:rsid w:val="00767035"/>
    <w:rsid w:val="00770688"/>
    <w:rsid w:val="007726A2"/>
    <w:rsid w:val="00772922"/>
    <w:rsid w:val="00772EE5"/>
    <w:rsid w:val="00774B73"/>
    <w:rsid w:val="00774F0E"/>
    <w:rsid w:val="00774F4B"/>
    <w:rsid w:val="00775612"/>
    <w:rsid w:val="00776A31"/>
    <w:rsid w:val="00776FE1"/>
    <w:rsid w:val="007803AB"/>
    <w:rsid w:val="007828ED"/>
    <w:rsid w:val="00783B19"/>
    <w:rsid w:val="007845D4"/>
    <w:rsid w:val="00784B03"/>
    <w:rsid w:val="007857D9"/>
    <w:rsid w:val="0078669C"/>
    <w:rsid w:val="007867F5"/>
    <w:rsid w:val="00786E19"/>
    <w:rsid w:val="00787C62"/>
    <w:rsid w:val="00787C73"/>
    <w:rsid w:val="00791139"/>
    <w:rsid w:val="00791B17"/>
    <w:rsid w:val="00792830"/>
    <w:rsid w:val="00793FA1"/>
    <w:rsid w:val="00794083"/>
    <w:rsid w:val="0079481E"/>
    <w:rsid w:val="0079546B"/>
    <w:rsid w:val="00795A75"/>
    <w:rsid w:val="00796772"/>
    <w:rsid w:val="00796BE5"/>
    <w:rsid w:val="00796D91"/>
    <w:rsid w:val="00796DF2"/>
    <w:rsid w:val="007975AF"/>
    <w:rsid w:val="0079778D"/>
    <w:rsid w:val="007A0AA6"/>
    <w:rsid w:val="007A1A6A"/>
    <w:rsid w:val="007A21F6"/>
    <w:rsid w:val="007A32B4"/>
    <w:rsid w:val="007A420A"/>
    <w:rsid w:val="007A5481"/>
    <w:rsid w:val="007A5766"/>
    <w:rsid w:val="007A57CA"/>
    <w:rsid w:val="007A60D0"/>
    <w:rsid w:val="007A744A"/>
    <w:rsid w:val="007B0404"/>
    <w:rsid w:val="007B1110"/>
    <w:rsid w:val="007B4DC3"/>
    <w:rsid w:val="007B598F"/>
    <w:rsid w:val="007B61F3"/>
    <w:rsid w:val="007B76EC"/>
    <w:rsid w:val="007B78B4"/>
    <w:rsid w:val="007C08DF"/>
    <w:rsid w:val="007C131D"/>
    <w:rsid w:val="007C16FC"/>
    <w:rsid w:val="007C1A6C"/>
    <w:rsid w:val="007C1DB4"/>
    <w:rsid w:val="007C26B7"/>
    <w:rsid w:val="007C2E15"/>
    <w:rsid w:val="007C30CC"/>
    <w:rsid w:val="007C37B0"/>
    <w:rsid w:val="007C3FFD"/>
    <w:rsid w:val="007C7FE1"/>
    <w:rsid w:val="007D02E9"/>
    <w:rsid w:val="007D1558"/>
    <w:rsid w:val="007D1642"/>
    <w:rsid w:val="007D2C33"/>
    <w:rsid w:val="007D30CA"/>
    <w:rsid w:val="007D4160"/>
    <w:rsid w:val="007D41A1"/>
    <w:rsid w:val="007D4AFC"/>
    <w:rsid w:val="007D6303"/>
    <w:rsid w:val="007D70F2"/>
    <w:rsid w:val="007D7466"/>
    <w:rsid w:val="007E03CC"/>
    <w:rsid w:val="007E4955"/>
    <w:rsid w:val="007E4CC6"/>
    <w:rsid w:val="007E59B3"/>
    <w:rsid w:val="007F0498"/>
    <w:rsid w:val="007F19B7"/>
    <w:rsid w:val="007F3409"/>
    <w:rsid w:val="007F487A"/>
    <w:rsid w:val="007F49C7"/>
    <w:rsid w:val="007F4ABE"/>
    <w:rsid w:val="007F7488"/>
    <w:rsid w:val="007F7C12"/>
    <w:rsid w:val="00800440"/>
    <w:rsid w:val="0080108C"/>
    <w:rsid w:val="0080255E"/>
    <w:rsid w:val="00802831"/>
    <w:rsid w:val="00803376"/>
    <w:rsid w:val="00803A67"/>
    <w:rsid w:val="0080548D"/>
    <w:rsid w:val="0080622A"/>
    <w:rsid w:val="00806422"/>
    <w:rsid w:val="00806670"/>
    <w:rsid w:val="0081032E"/>
    <w:rsid w:val="00810650"/>
    <w:rsid w:val="00811551"/>
    <w:rsid w:val="00812482"/>
    <w:rsid w:val="00812538"/>
    <w:rsid w:val="00813BC7"/>
    <w:rsid w:val="0081694E"/>
    <w:rsid w:val="008179C2"/>
    <w:rsid w:val="00817F63"/>
    <w:rsid w:val="008202A7"/>
    <w:rsid w:val="00821DBC"/>
    <w:rsid w:val="00822864"/>
    <w:rsid w:val="008230B1"/>
    <w:rsid w:val="00823B25"/>
    <w:rsid w:val="008240CB"/>
    <w:rsid w:val="00824FAA"/>
    <w:rsid w:val="008264A9"/>
    <w:rsid w:val="00826748"/>
    <w:rsid w:val="00826EEE"/>
    <w:rsid w:val="00827380"/>
    <w:rsid w:val="0082742A"/>
    <w:rsid w:val="0083059A"/>
    <w:rsid w:val="008306B8"/>
    <w:rsid w:val="008326A1"/>
    <w:rsid w:val="0083294C"/>
    <w:rsid w:val="00832B7E"/>
    <w:rsid w:val="00833502"/>
    <w:rsid w:val="008349C0"/>
    <w:rsid w:val="00834A55"/>
    <w:rsid w:val="0083524C"/>
    <w:rsid w:val="00835D2F"/>
    <w:rsid w:val="00836923"/>
    <w:rsid w:val="00836A32"/>
    <w:rsid w:val="00837060"/>
    <w:rsid w:val="00837CE7"/>
    <w:rsid w:val="008414C5"/>
    <w:rsid w:val="008432B4"/>
    <w:rsid w:val="0084378D"/>
    <w:rsid w:val="00843B2F"/>
    <w:rsid w:val="008446C7"/>
    <w:rsid w:val="00844768"/>
    <w:rsid w:val="00844D4C"/>
    <w:rsid w:val="0084589F"/>
    <w:rsid w:val="00846160"/>
    <w:rsid w:val="00847A3E"/>
    <w:rsid w:val="00847FCD"/>
    <w:rsid w:val="00850FA9"/>
    <w:rsid w:val="00853B7C"/>
    <w:rsid w:val="00855023"/>
    <w:rsid w:val="008550C3"/>
    <w:rsid w:val="008552D2"/>
    <w:rsid w:val="00855A27"/>
    <w:rsid w:val="00855E03"/>
    <w:rsid w:val="008567E3"/>
    <w:rsid w:val="00856EA6"/>
    <w:rsid w:val="00857A3A"/>
    <w:rsid w:val="00857BC9"/>
    <w:rsid w:val="008601CB"/>
    <w:rsid w:val="008609CC"/>
    <w:rsid w:val="00861254"/>
    <w:rsid w:val="0086232B"/>
    <w:rsid w:val="008629ED"/>
    <w:rsid w:val="0086314C"/>
    <w:rsid w:val="0086364C"/>
    <w:rsid w:val="0086607C"/>
    <w:rsid w:val="00866F0B"/>
    <w:rsid w:val="00867014"/>
    <w:rsid w:val="00867BE1"/>
    <w:rsid w:val="00872218"/>
    <w:rsid w:val="00872457"/>
    <w:rsid w:val="00872D70"/>
    <w:rsid w:val="00872E6B"/>
    <w:rsid w:val="00873A9D"/>
    <w:rsid w:val="00873B3E"/>
    <w:rsid w:val="00873C84"/>
    <w:rsid w:val="00874491"/>
    <w:rsid w:val="00874779"/>
    <w:rsid w:val="008750DE"/>
    <w:rsid w:val="0087685F"/>
    <w:rsid w:val="008773E8"/>
    <w:rsid w:val="008801C7"/>
    <w:rsid w:val="008802AA"/>
    <w:rsid w:val="0088073A"/>
    <w:rsid w:val="00880876"/>
    <w:rsid w:val="00880E45"/>
    <w:rsid w:val="00881200"/>
    <w:rsid w:val="0088317F"/>
    <w:rsid w:val="008831A1"/>
    <w:rsid w:val="008836CB"/>
    <w:rsid w:val="008837B4"/>
    <w:rsid w:val="008842D1"/>
    <w:rsid w:val="00884948"/>
    <w:rsid w:val="0088498B"/>
    <w:rsid w:val="00887473"/>
    <w:rsid w:val="00887F5C"/>
    <w:rsid w:val="00887FE1"/>
    <w:rsid w:val="0089020B"/>
    <w:rsid w:val="0089147A"/>
    <w:rsid w:val="008924D7"/>
    <w:rsid w:val="00892CA5"/>
    <w:rsid w:val="008933C9"/>
    <w:rsid w:val="00893585"/>
    <w:rsid w:val="00893D93"/>
    <w:rsid w:val="00895002"/>
    <w:rsid w:val="008952B1"/>
    <w:rsid w:val="008957AC"/>
    <w:rsid w:val="00895C3B"/>
    <w:rsid w:val="00895DF5"/>
    <w:rsid w:val="008971E8"/>
    <w:rsid w:val="008A027A"/>
    <w:rsid w:val="008A0864"/>
    <w:rsid w:val="008A1AB6"/>
    <w:rsid w:val="008A1AD3"/>
    <w:rsid w:val="008A2572"/>
    <w:rsid w:val="008A290A"/>
    <w:rsid w:val="008A32A9"/>
    <w:rsid w:val="008A48A6"/>
    <w:rsid w:val="008A5AF4"/>
    <w:rsid w:val="008A651D"/>
    <w:rsid w:val="008B2334"/>
    <w:rsid w:val="008B2D8B"/>
    <w:rsid w:val="008B2DCC"/>
    <w:rsid w:val="008B3702"/>
    <w:rsid w:val="008B37B6"/>
    <w:rsid w:val="008B412B"/>
    <w:rsid w:val="008B42DE"/>
    <w:rsid w:val="008B4D58"/>
    <w:rsid w:val="008B5A4D"/>
    <w:rsid w:val="008B5DAC"/>
    <w:rsid w:val="008B69D5"/>
    <w:rsid w:val="008B708F"/>
    <w:rsid w:val="008B7B84"/>
    <w:rsid w:val="008B7E94"/>
    <w:rsid w:val="008C20BA"/>
    <w:rsid w:val="008C2D1E"/>
    <w:rsid w:val="008C32A1"/>
    <w:rsid w:val="008C3D90"/>
    <w:rsid w:val="008C4AA9"/>
    <w:rsid w:val="008C5E12"/>
    <w:rsid w:val="008C7986"/>
    <w:rsid w:val="008D0421"/>
    <w:rsid w:val="008D1874"/>
    <w:rsid w:val="008D1D15"/>
    <w:rsid w:val="008D28A3"/>
    <w:rsid w:val="008D2A9C"/>
    <w:rsid w:val="008D5889"/>
    <w:rsid w:val="008D6005"/>
    <w:rsid w:val="008E0248"/>
    <w:rsid w:val="008E13A2"/>
    <w:rsid w:val="008E2633"/>
    <w:rsid w:val="008E2FD9"/>
    <w:rsid w:val="008E3535"/>
    <w:rsid w:val="008E40BA"/>
    <w:rsid w:val="008E4357"/>
    <w:rsid w:val="008E4E43"/>
    <w:rsid w:val="008E5889"/>
    <w:rsid w:val="008E58F5"/>
    <w:rsid w:val="008E5FA1"/>
    <w:rsid w:val="008E697F"/>
    <w:rsid w:val="008F0522"/>
    <w:rsid w:val="008F14A5"/>
    <w:rsid w:val="008F172F"/>
    <w:rsid w:val="008F1BAC"/>
    <w:rsid w:val="008F1DAE"/>
    <w:rsid w:val="008F21F4"/>
    <w:rsid w:val="008F2301"/>
    <w:rsid w:val="008F28F1"/>
    <w:rsid w:val="008F3543"/>
    <w:rsid w:val="008F5C2F"/>
    <w:rsid w:val="008F61A4"/>
    <w:rsid w:val="008F6657"/>
    <w:rsid w:val="008F7D45"/>
    <w:rsid w:val="009004E7"/>
    <w:rsid w:val="00900872"/>
    <w:rsid w:val="00900A3C"/>
    <w:rsid w:val="009015C2"/>
    <w:rsid w:val="00901A57"/>
    <w:rsid w:val="00901D94"/>
    <w:rsid w:val="009027B9"/>
    <w:rsid w:val="00902AF5"/>
    <w:rsid w:val="00903D22"/>
    <w:rsid w:val="009049F1"/>
    <w:rsid w:val="00904CBD"/>
    <w:rsid w:val="00905673"/>
    <w:rsid w:val="00905818"/>
    <w:rsid w:val="0090771F"/>
    <w:rsid w:val="00907C2C"/>
    <w:rsid w:val="00910100"/>
    <w:rsid w:val="00911975"/>
    <w:rsid w:val="00913528"/>
    <w:rsid w:val="00913F51"/>
    <w:rsid w:val="00914F9A"/>
    <w:rsid w:val="00915918"/>
    <w:rsid w:val="0091603D"/>
    <w:rsid w:val="00916850"/>
    <w:rsid w:val="009175ED"/>
    <w:rsid w:val="00920B37"/>
    <w:rsid w:val="00922549"/>
    <w:rsid w:val="00922F7A"/>
    <w:rsid w:val="0092457F"/>
    <w:rsid w:val="009250D9"/>
    <w:rsid w:val="00925240"/>
    <w:rsid w:val="00925C23"/>
    <w:rsid w:val="009260F1"/>
    <w:rsid w:val="00927A69"/>
    <w:rsid w:val="009309AB"/>
    <w:rsid w:val="00930B97"/>
    <w:rsid w:val="00930CC4"/>
    <w:rsid w:val="0093340F"/>
    <w:rsid w:val="0093414F"/>
    <w:rsid w:val="0093418C"/>
    <w:rsid w:val="0093447E"/>
    <w:rsid w:val="00934DAA"/>
    <w:rsid w:val="0093559E"/>
    <w:rsid w:val="00936215"/>
    <w:rsid w:val="00936260"/>
    <w:rsid w:val="0093632B"/>
    <w:rsid w:val="00936501"/>
    <w:rsid w:val="009373B3"/>
    <w:rsid w:val="0093747B"/>
    <w:rsid w:val="00940982"/>
    <w:rsid w:val="009429FC"/>
    <w:rsid w:val="00942BB8"/>
    <w:rsid w:val="0094320F"/>
    <w:rsid w:val="00943BCE"/>
    <w:rsid w:val="009441AC"/>
    <w:rsid w:val="00944BD9"/>
    <w:rsid w:val="00945FCB"/>
    <w:rsid w:val="00946B3E"/>
    <w:rsid w:val="009472D4"/>
    <w:rsid w:val="00950896"/>
    <w:rsid w:val="00950EE3"/>
    <w:rsid w:val="00951054"/>
    <w:rsid w:val="0095143B"/>
    <w:rsid w:val="0095163E"/>
    <w:rsid w:val="009537C4"/>
    <w:rsid w:val="00953B36"/>
    <w:rsid w:val="0095411C"/>
    <w:rsid w:val="009541E4"/>
    <w:rsid w:val="009548DD"/>
    <w:rsid w:val="009556EC"/>
    <w:rsid w:val="00955F78"/>
    <w:rsid w:val="00956017"/>
    <w:rsid w:val="00956CB4"/>
    <w:rsid w:val="00956CEA"/>
    <w:rsid w:val="00956E3A"/>
    <w:rsid w:val="00957D1D"/>
    <w:rsid w:val="009611FF"/>
    <w:rsid w:val="00961A8C"/>
    <w:rsid w:val="00962877"/>
    <w:rsid w:val="00963AE1"/>
    <w:rsid w:val="00963BFD"/>
    <w:rsid w:val="00965790"/>
    <w:rsid w:val="009664A4"/>
    <w:rsid w:val="00966B91"/>
    <w:rsid w:val="00970D52"/>
    <w:rsid w:val="00970D5D"/>
    <w:rsid w:val="00972AFD"/>
    <w:rsid w:val="00973540"/>
    <w:rsid w:val="00973669"/>
    <w:rsid w:val="0097407B"/>
    <w:rsid w:val="0097516F"/>
    <w:rsid w:val="00975B57"/>
    <w:rsid w:val="0097752C"/>
    <w:rsid w:val="00980686"/>
    <w:rsid w:val="00980BEE"/>
    <w:rsid w:val="00980F7E"/>
    <w:rsid w:val="00982BB3"/>
    <w:rsid w:val="00984308"/>
    <w:rsid w:val="009853D0"/>
    <w:rsid w:val="00985D85"/>
    <w:rsid w:val="009871A0"/>
    <w:rsid w:val="00987AB3"/>
    <w:rsid w:val="00987B29"/>
    <w:rsid w:val="009901F5"/>
    <w:rsid w:val="00990F74"/>
    <w:rsid w:val="009916C1"/>
    <w:rsid w:val="00991788"/>
    <w:rsid w:val="00992A1F"/>
    <w:rsid w:val="00994A96"/>
    <w:rsid w:val="00997032"/>
    <w:rsid w:val="009971EB"/>
    <w:rsid w:val="009972C5"/>
    <w:rsid w:val="00997D31"/>
    <w:rsid w:val="00997FCE"/>
    <w:rsid w:val="009A0E71"/>
    <w:rsid w:val="009A1010"/>
    <w:rsid w:val="009A10AD"/>
    <w:rsid w:val="009A1CD9"/>
    <w:rsid w:val="009A2176"/>
    <w:rsid w:val="009A27DB"/>
    <w:rsid w:val="009A27DF"/>
    <w:rsid w:val="009A2A4F"/>
    <w:rsid w:val="009A31E7"/>
    <w:rsid w:val="009A3202"/>
    <w:rsid w:val="009A349F"/>
    <w:rsid w:val="009A3AE9"/>
    <w:rsid w:val="009A4D3E"/>
    <w:rsid w:val="009A69D7"/>
    <w:rsid w:val="009A7FB3"/>
    <w:rsid w:val="009B0927"/>
    <w:rsid w:val="009B0C9B"/>
    <w:rsid w:val="009B1A03"/>
    <w:rsid w:val="009B1B84"/>
    <w:rsid w:val="009B4113"/>
    <w:rsid w:val="009B52BC"/>
    <w:rsid w:val="009B5EDD"/>
    <w:rsid w:val="009B669F"/>
    <w:rsid w:val="009B6701"/>
    <w:rsid w:val="009B7E64"/>
    <w:rsid w:val="009B7F1E"/>
    <w:rsid w:val="009B7F39"/>
    <w:rsid w:val="009C08E5"/>
    <w:rsid w:val="009C0A44"/>
    <w:rsid w:val="009C17D0"/>
    <w:rsid w:val="009C1A63"/>
    <w:rsid w:val="009C2535"/>
    <w:rsid w:val="009C2FA9"/>
    <w:rsid w:val="009C2FC0"/>
    <w:rsid w:val="009C3139"/>
    <w:rsid w:val="009C68BC"/>
    <w:rsid w:val="009C6996"/>
    <w:rsid w:val="009C6F15"/>
    <w:rsid w:val="009D2C0E"/>
    <w:rsid w:val="009D4725"/>
    <w:rsid w:val="009D4EC0"/>
    <w:rsid w:val="009D5610"/>
    <w:rsid w:val="009D6084"/>
    <w:rsid w:val="009D67B9"/>
    <w:rsid w:val="009D6D77"/>
    <w:rsid w:val="009D7AD5"/>
    <w:rsid w:val="009E0AF5"/>
    <w:rsid w:val="009E177E"/>
    <w:rsid w:val="009E289B"/>
    <w:rsid w:val="009E2912"/>
    <w:rsid w:val="009E4932"/>
    <w:rsid w:val="009E4ED3"/>
    <w:rsid w:val="009E527B"/>
    <w:rsid w:val="009E5432"/>
    <w:rsid w:val="009E5AB5"/>
    <w:rsid w:val="009E5E13"/>
    <w:rsid w:val="009E6C58"/>
    <w:rsid w:val="009E763E"/>
    <w:rsid w:val="009F0982"/>
    <w:rsid w:val="009F0D2B"/>
    <w:rsid w:val="009F232E"/>
    <w:rsid w:val="009F3094"/>
    <w:rsid w:val="009F365D"/>
    <w:rsid w:val="009F3CA7"/>
    <w:rsid w:val="009F3E56"/>
    <w:rsid w:val="009F42CE"/>
    <w:rsid w:val="009F46F0"/>
    <w:rsid w:val="009F4DBA"/>
    <w:rsid w:val="009F5490"/>
    <w:rsid w:val="009F58C0"/>
    <w:rsid w:val="009F5912"/>
    <w:rsid w:val="009F5DE5"/>
    <w:rsid w:val="009F6265"/>
    <w:rsid w:val="009F75EB"/>
    <w:rsid w:val="009F7F7F"/>
    <w:rsid w:val="00A0036C"/>
    <w:rsid w:val="00A01ED9"/>
    <w:rsid w:val="00A0297C"/>
    <w:rsid w:val="00A03952"/>
    <w:rsid w:val="00A03A0F"/>
    <w:rsid w:val="00A0449B"/>
    <w:rsid w:val="00A048F2"/>
    <w:rsid w:val="00A04C05"/>
    <w:rsid w:val="00A053FF"/>
    <w:rsid w:val="00A05A41"/>
    <w:rsid w:val="00A05E8E"/>
    <w:rsid w:val="00A06918"/>
    <w:rsid w:val="00A06E55"/>
    <w:rsid w:val="00A076E3"/>
    <w:rsid w:val="00A07F20"/>
    <w:rsid w:val="00A12DD8"/>
    <w:rsid w:val="00A132C4"/>
    <w:rsid w:val="00A1333C"/>
    <w:rsid w:val="00A13988"/>
    <w:rsid w:val="00A1421F"/>
    <w:rsid w:val="00A14590"/>
    <w:rsid w:val="00A1464D"/>
    <w:rsid w:val="00A16008"/>
    <w:rsid w:val="00A1746D"/>
    <w:rsid w:val="00A1752B"/>
    <w:rsid w:val="00A17C27"/>
    <w:rsid w:val="00A20060"/>
    <w:rsid w:val="00A20102"/>
    <w:rsid w:val="00A20428"/>
    <w:rsid w:val="00A20540"/>
    <w:rsid w:val="00A208E9"/>
    <w:rsid w:val="00A229A7"/>
    <w:rsid w:val="00A22CD5"/>
    <w:rsid w:val="00A230BA"/>
    <w:rsid w:val="00A24CE2"/>
    <w:rsid w:val="00A25015"/>
    <w:rsid w:val="00A25782"/>
    <w:rsid w:val="00A25C86"/>
    <w:rsid w:val="00A2719D"/>
    <w:rsid w:val="00A30468"/>
    <w:rsid w:val="00A30641"/>
    <w:rsid w:val="00A30BFE"/>
    <w:rsid w:val="00A328CD"/>
    <w:rsid w:val="00A32C77"/>
    <w:rsid w:val="00A3335B"/>
    <w:rsid w:val="00A33C77"/>
    <w:rsid w:val="00A33EC5"/>
    <w:rsid w:val="00A34725"/>
    <w:rsid w:val="00A36829"/>
    <w:rsid w:val="00A37D69"/>
    <w:rsid w:val="00A41725"/>
    <w:rsid w:val="00A418EB"/>
    <w:rsid w:val="00A41BF9"/>
    <w:rsid w:val="00A43302"/>
    <w:rsid w:val="00A4367B"/>
    <w:rsid w:val="00A447F8"/>
    <w:rsid w:val="00A44ACD"/>
    <w:rsid w:val="00A44DF8"/>
    <w:rsid w:val="00A455AF"/>
    <w:rsid w:val="00A458E9"/>
    <w:rsid w:val="00A46331"/>
    <w:rsid w:val="00A467BA"/>
    <w:rsid w:val="00A472AA"/>
    <w:rsid w:val="00A5056B"/>
    <w:rsid w:val="00A51FA1"/>
    <w:rsid w:val="00A52D41"/>
    <w:rsid w:val="00A53484"/>
    <w:rsid w:val="00A53945"/>
    <w:rsid w:val="00A5479D"/>
    <w:rsid w:val="00A56E7C"/>
    <w:rsid w:val="00A57EF4"/>
    <w:rsid w:val="00A6207F"/>
    <w:rsid w:val="00A651E4"/>
    <w:rsid w:val="00A66F73"/>
    <w:rsid w:val="00A670AE"/>
    <w:rsid w:val="00A6766E"/>
    <w:rsid w:val="00A67B37"/>
    <w:rsid w:val="00A67B9E"/>
    <w:rsid w:val="00A67BAC"/>
    <w:rsid w:val="00A67E83"/>
    <w:rsid w:val="00A701BF"/>
    <w:rsid w:val="00A705E6"/>
    <w:rsid w:val="00A722BC"/>
    <w:rsid w:val="00A72EB1"/>
    <w:rsid w:val="00A73D24"/>
    <w:rsid w:val="00A752E6"/>
    <w:rsid w:val="00A75531"/>
    <w:rsid w:val="00A75DA6"/>
    <w:rsid w:val="00A75E1B"/>
    <w:rsid w:val="00A766DB"/>
    <w:rsid w:val="00A774E3"/>
    <w:rsid w:val="00A77650"/>
    <w:rsid w:val="00A8040D"/>
    <w:rsid w:val="00A8138E"/>
    <w:rsid w:val="00A81A4C"/>
    <w:rsid w:val="00A81A4D"/>
    <w:rsid w:val="00A81B80"/>
    <w:rsid w:val="00A83160"/>
    <w:rsid w:val="00A832C7"/>
    <w:rsid w:val="00A8342E"/>
    <w:rsid w:val="00A83C6B"/>
    <w:rsid w:val="00A84287"/>
    <w:rsid w:val="00A85123"/>
    <w:rsid w:val="00A86CDF"/>
    <w:rsid w:val="00A879D3"/>
    <w:rsid w:val="00A906CF"/>
    <w:rsid w:val="00A90A20"/>
    <w:rsid w:val="00A912BA"/>
    <w:rsid w:val="00A9269D"/>
    <w:rsid w:val="00A92A72"/>
    <w:rsid w:val="00A9303F"/>
    <w:rsid w:val="00A94126"/>
    <w:rsid w:val="00A94B9B"/>
    <w:rsid w:val="00A94E70"/>
    <w:rsid w:val="00A95477"/>
    <w:rsid w:val="00A95787"/>
    <w:rsid w:val="00A96C4F"/>
    <w:rsid w:val="00A97056"/>
    <w:rsid w:val="00A97A2A"/>
    <w:rsid w:val="00A97F05"/>
    <w:rsid w:val="00AA016D"/>
    <w:rsid w:val="00AA0C5C"/>
    <w:rsid w:val="00AA1232"/>
    <w:rsid w:val="00AA1278"/>
    <w:rsid w:val="00AA149B"/>
    <w:rsid w:val="00AA1A13"/>
    <w:rsid w:val="00AA2AE7"/>
    <w:rsid w:val="00AA3FBB"/>
    <w:rsid w:val="00AA4662"/>
    <w:rsid w:val="00AA4908"/>
    <w:rsid w:val="00AA620F"/>
    <w:rsid w:val="00AA6A40"/>
    <w:rsid w:val="00AA78EC"/>
    <w:rsid w:val="00AB1713"/>
    <w:rsid w:val="00AB1AC6"/>
    <w:rsid w:val="00AB1E22"/>
    <w:rsid w:val="00AB1F33"/>
    <w:rsid w:val="00AB24A2"/>
    <w:rsid w:val="00AB2EA7"/>
    <w:rsid w:val="00AB66B6"/>
    <w:rsid w:val="00AB6CD2"/>
    <w:rsid w:val="00AB7342"/>
    <w:rsid w:val="00AC05F0"/>
    <w:rsid w:val="00AC07B4"/>
    <w:rsid w:val="00AC098F"/>
    <w:rsid w:val="00AC0D28"/>
    <w:rsid w:val="00AC1E5B"/>
    <w:rsid w:val="00AC29B5"/>
    <w:rsid w:val="00AC3DC1"/>
    <w:rsid w:val="00AC541E"/>
    <w:rsid w:val="00AC657F"/>
    <w:rsid w:val="00AC6AFD"/>
    <w:rsid w:val="00AC6C96"/>
    <w:rsid w:val="00AC73B7"/>
    <w:rsid w:val="00AD28CC"/>
    <w:rsid w:val="00AD295F"/>
    <w:rsid w:val="00AD32B9"/>
    <w:rsid w:val="00AD3A1B"/>
    <w:rsid w:val="00AD4233"/>
    <w:rsid w:val="00AD45B0"/>
    <w:rsid w:val="00AD4735"/>
    <w:rsid w:val="00AD4AB5"/>
    <w:rsid w:val="00AD5AEB"/>
    <w:rsid w:val="00AD5CBA"/>
    <w:rsid w:val="00AD6689"/>
    <w:rsid w:val="00AD7BBC"/>
    <w:rsid w:val="00AE0357"/>
    <w:rsid w:val="00AE0924"/>
    <w:rsid w:val="00AE3F79"/>
    <w:rsid w:val="00AE4349"/>
    <w:rsid w:val="00AE44A4"/>
    <w:rsid w:val="00AE470F"/>
    <w:rsid w:val="00AE5E68"/>
    <w:rsid w:val="00AE6DD1"/>
    <w:rsid w:val="00AE7D4D"/>
    <w:rsid w:val="00AF0423"/>
    <w:rsid w:val="00AF2A9E"/>
    <w:rsid w:val="00AF33F5"/>
    <w:rsid w:val="00AF3EAB"/>
    <w:rsid w:val="00AF577F"/>
    <w:rsid w:val="00AF6C49"/>
    <w:rsid w:val="00AF738B"/>
    <w:rsid w:val="00AF7930"/>
    <w:rsid w:val="00B00118"/>
    <w:rsid w:val="00B010E1"/>
    <w:rsid w:val="00B022BE"/>
    <w:rsid w:val="00B023B6"/>
    <w:rsid w:val="00B02B94"/>
    <w:rsid w:val="00B05AF4"/>
    <w:rsid w:val="00B065F6"/>
    <w:rsid w:val="00B074CE"/>
    <w:rsid w:val="00B10AE5"/>
    <w:rsid w:val="00B13D05"/>
    <w:rsid w:val="00B13F17"/>
    <w:rsid w:val="00B15A22"/>
    <w:rsid w:val="00B15EFF"/>
    <w:rsid w:val="00B16F1F"/>
    <w:rsid w:val="00B222E3"/>
    <w:rsid w:val="00B2296A"/>
    <w:rsid w:val="00B24FCB"/>
    <w:rsid w:val="00B2540B"/>
    <w:rsid w:val="00B271A5"/>
    <w:rsid w:val="00B30CDE"/>
    <w:rsid w:val="00B31613"/>
    <w:rsid w:val="00B322AF"/>
    <w:rsid w:val="00B32855"/>
    <w:rsid w:val="00B32C93"/>
    <w:rsid w:val="00B35680"/>
    <w:rsid w:val="00B35E7E"/>
    <w:rsid w:val="00B36030"/>
    <w:rsid w:val="00B3647B"/>
    <w:rsid w:val="00B369F0"/>
    <w:rsid w:val="00B415A9"/>
    <w:rsid w:val="00B41B18"/>
    <w:rsid w:val="00B43949"/>
    <w:rsid w:val="00B43C0F"/>
    <w:rsid w:val="00B45A99"/>
    <w:rsid w:val="00B465BD"/>
    <w:rsid w:val="00B4705E"/>
    <w:rsid w:val="00B51379"/>
    <w:rsid w:val="00B5352F"/>
    <w:rsid w:val="00B537AA"/>
    <w:rsid w:val="00B60963"/>
    <w:rsid w:val="00B60BE9"/>
    <w:rsid w:val="00B61F2F"/>
    <w:rsid w:val="00B620D2"/>
    <w:rsid w:val="00B644D0"/>
    <w:rsid w:val="00B64AA1"/>
    <w:rsid w:val="00B65321"/>
    <w:rsid w:val="00B65567"/>
    <w:rsid w:val="00B6567D"/>
    <w:rsid w:val="00B65F25"/>
    <w:rsid w:val="00B663B1"/>
    <w:rsid w:val="00B66F9F"/>
    <w:rsid w:val="00B670F4"/>
    <w:rsid w:val="00B67C63"/>
    <w:rsid w:val="00B70C9E"/>
    <w:rsid w:val="00B71502"/>
    <w:rsid w:val="00B73790"/>
    <w:rsid w:val="00B73ADE"/>
    <w:rsid w:val="00B73DE7"/>
    <w:rsid w:val="00B74515"/>
    <w:rsid w:val="00B74C48"/>
    <w:rsid w:val="00B759C8"/>
    <w:rsid w:val="00B75E47"/>
    <w:rsid w:val="00B75FBA"/>
    <w:rsid w:val="00B76C57"/>
    <w:rsid w:val="00B76F33"/>
    <w:rsid w:val="00B805D5"/>
    <w:rsid w:val="00B809D8"/>
    <w:rsid w:val="00B80C0B"/>
    <w:rsid w:val="00B80CBD"/>
    <w:rsid w:val="00B82751"/>
    <w:rsid w:val="00B829C7"/>
    <w:rsid w:val="00B83EB5"/>
    <w:rsid w:val="00B843AA"/>
    <w:rsid w:val="00B85F2B"/>
    <w:rsid w:val="00B86A47"/>
    <w:rsid w:val="00B86DF5"/>
    <w:rsid w:val="00B9031A"/>
    <w:rsid w:val="00B90FE7"/>
    <w:rsid w:val="00B925BF"/>
    <w:rsid w:val="00B92EA3"/>
    <w:rsid w:val="00B93310"/>
    <w:rsid w:val="00B93C95"/>
    <w:rsid w:val="00B96333"/>
    <w:rsid w:val="00B963BC"/>
    <w:rsid w:val="00B97930"/>
    <w:rsid w:val="00B97E34"/>
    <w:rsid w:val="00BA1E78"/>
    <w:rsid w:val="00BA2C67"/>
    <w:rsid w:val="00BA3542"/>
    <w:rsid w:val="00BA4B8E"/>
    <w:rsid w:val="00BA4C71"/>
    <w:rsid w:val="00BA5D81"/>
    <w:rsid w:val="00BA6DD5"/>
    <w:rsid w:val="00BA7333"/>
    <w:rsid w:val="00BB0AF3"/>
    <w:rsid w:val="00BB16E9"/>
    <w:rsid w:val="00BB1ECB"/>
    <w:rsid w:val="00BB1EE3"/>
    <w:rsid w:val="00BB4A24"/>
    <w:rsid w:val="00BB5A9A"/>
    <w:rsid w:val="00BB6F24"/>
    <w:rsid w:val="00BB72E8"/>
    <w:rsid w:val="00BC1832"/>
    <w:rsid w:val="00BC19FF"/>
    <w:rsid w:val="00BC3B09"/>
    <w:rsid w:val="00BC438F"/>
    <w:rsid w:val="00BC45F5"/>
    <w:rsid w:val="00BC48E0"/>
    <w:rsid w:val="00BC5794"/>
    <w:rsid w:val="00BC5FFE"/>
    <w:rsid w:val="00BC6BD4"/>
    <w:rsid w:val="00BC76DD"/>
    <w:rsid w:val="00BD01AA"/>
    <w:rsid w:val="00BD0263"/>
    <w:rsid w:val="00BD27EA"/>
    <w:rsid w:val="00BD28CA"/>
    <w:rsid w:val="00BD3A3F"/>
    <w:rsid w:val="00BD42D4"/>
    <w:rsid w:val="00BD5CE2"/>
    <w:rsid w:val="00BD68E9"/>
    <w:rsid w:val="00BD6A24"/>
    <w:rsid w:val="00BD779A"/>
    <w:rsid w:val="00BE021D"/>
    <w:rsid w:val="00BE0C92"/>
    <w:rsid w:val="00BE15DB"/>
    <w:rsid w:val="00BE3176"/>
    <w:rsid w:val="00BE3EEA"/>
    <w:rsid w:val="00BE3F8B"/>
    <w:rsid w:val="00BE5D6C"/>
    <w:rsid w:val="00BE6A8C"/>
    <w:rsid w:val="00BE6CB5"/>
    <w:rsid w:val="00BE6D46"/>
    <w:rsid w:val="00BE7D1B"/>
    <w:rsid w:val="00BF09EE"/>
    <w:rsid w:val="00BF0DFA"/>
    <w:rsid w:val="00BF0F23"/>
    <w:rsid w:val="00BF2178"/>
    <w:rsid w:val="00BF21C8"/>
    <w:rsid w:val="00BF2787"/>
    <w:rsid w:val="00BF399C"/>
    <w:rsid w:val="00BF3A89"/>
    <w:rsid w:val="00BF3F5E"/>
    <w:rsid w:val="00BF5663"/>
    <w:rsid w:val="00BF58E8"/>
    <w:rsid w:val="00BF5B2A"/>
    <w:rsid w:val="00BF6E4C"/>
    <w:rsid w:val="00C0013E"/>
    <w:rsid w:val="00C01363"/>
    <w:rsid w:val="00C018F4"/>
    <w:rsid w:val="00C01D41"/>
    <w:rsid w:val="00C02F4B"/>
    <w:rsid w:val="00C03473"/>
    <w:rsid w:val="00C035DF"/>
    <w:rsid w:val="00C0442A"/>
    <w:rsid w:val="00C05C2C"/>
    <w:rsid w:val="00C06036"/>
    <w:rsid w:val="00C06FF7"/>
    <w:rsid w:val="00C07155"/>
    <w:rsid w:val="00C10104"/>
    <w:rsid w:val="00C10CA7"/>
    <w:rsid w:val="00C10EC0"/>
    <w:rsid w:val="00C1174B"/>
    <w:rsid w:val="00C1293E"/>
    <w:rsid w:val="00C12DE7"/>
    <w:rsid w:val="00C12ECE"/>
    <w:rsid w:val="00C13247"/>
    <w:rsid w:val="00C142B9"/>
    <w:rsid w:val="00C14D2C"/>
    <w:rsid w:val="00C152B5"/>
    <w:rsid w:val="00C15BB3"/>
    <w:rsid w:val="00C15F53"/>
    <w:rsid w:val="00C164E3"/>
    <w:rsid w:val="00C16540"/>
    <w:rsid w:val="00C1683E"/>
    <w:rsid w:val="00C175CC"/>
    <w:rsid w:val="00C175E5"/>
    <w:rsid w:val="00C17A46"/>
    <w:rsid w:val="00C17AEF"/>
    <w:rsid w:val="00C20E68"/>
    <w:rsid w:val="00C21F6C"/>
    <w:rsid w:val="00C233EF"/>
    <w:rsid w:val="00C23408"/>
    <w:rsid w:val="00C237D5"/>
    <w:rsid w:val="00C237FB"/>
    <w:rsid w:val="00C2389C"/>
    <w:rsid w:val="00C26E83"/>
    <w:rsid w:val="00C27242"/>
    <w:rsid w:val="00C27D13"/>
    <w:rsid w:val="00C300AA"/>
    <w:rsid w:val="00C3011F"/>
    <w:rsid w:val="00C3023D"/>
    <w:rsid w:val="00C30F5D"/>
    <w:rsid w:val="00C31548"/>
    <w:rsid w:val="00C3239B"/>
    <w:rsid w:val="00C32CEE"/>
    <w:rsid w:val="00C333E6"/>
    <w:rsid w:val="00C33CC9"/>
    <w:rsid w:val="00C34BD0"/>
    <w:rsid w:val="00C3591C"/>
    <w:rsid w:val="00C359A0"/>
    <w:rsid w:val="00C364F9"/>
    <w:rsid w:val="00C37296"/>
    <w:rsid w:val="00C378CB"/>
    <w:rsid w:val="00C409E5"/>
    <w:rsid w:val="00C40B54"/>
    <w:rsid w:val="00C41148"/>
    <w:rsid w:val="00C41DFE"/>
    <w:rsid w:val="00C41F7A"/>
    <w:rsid w:val="00C43045"/>
    <w:rsid w:val="00C44F68"/>
    <w:rsid w:val="00C462FA"/>
    <w:rsid w:val="00C51224"/>
    <w:rsid w:val="00C519C7"/>
    <w:rsid w:val="00C52436"/>
    <w:rsid w:val="00C55E68"/>
    <w:rsid w:val="00C56138"/>
    <w:rsid w:val="00C564F3"/>
    <w:rsid w:val="00C56B65"/>
    <w:rsid w:val="00C5799D"/>
    <w:rsid w:val="00C57B5F"/>
    <w:rsid w:val="00C57D50"/>
    <w:rsid w:val="00C61157"/>
    <w:rsid w:val="00C6122E"/>
    <w:rsid w:val="00C618BB"/>
    <w:rsid w:val="00C62DB9"/>
    <w:rsid w:val="00C6579A"/>
    <w:rsid w:val="00C65983"/>
    <w:rsid w:val="00C66BC1"/>
    <w:rsid w:val="00C7004C"/>
    <w:rsid w:val="00C70916"/>
    <w:rsid w:val="00C7101D"/>
    <w:rsid w:val="00C714BF"/>
    <w:rsid w:val="00C72148"/>
    <w:rsid w:val="00C77BBB"/>
    <w:rsid w:val="00C809EC"/>
    <w:rsid w:val="00C8131F"/>
    <w:rsid w:val="00C81476"/>
    <w:rsid w:val="00C81736"/>
    <w:rsid w:val="00C82741"/>
    <w:rsid w:val="00C82DBD"/>
    <w:rsid w:val="00C8307E"/>
    <w:rsid w:val="00C840B2"/>
    <w:rsid w:val="00C867D8"/>
    <w:rsid w:val="00C86F04"/>
    <w:rsid w:val="00C87414"/>
    <w:rsid w:val="00C87466"/>
    <w:rsid w:val="00C901E1"/>
    <w:rsid w:val="00C9035F"/>
    <w:rsid w:val="00C907E1"/>
    <w:rsid w:val="00C90C81"/>
    <w:rsid w:val="00C91386"/>
    <w:rsid w:val="00C91978"/>
    <w:rsid w:val="00C91A81"/>
    <w:rsid w:val="00C91DAE"/>
    <w:rsid w:val="00C93170"/>
    <w:rsid w:val="00C933C8"/>
    <w:rsid w:val="00C93943"/>
    <w:rsid w:val="00C94391"/>
    <w:rsid w:val="00C94452"/>
    <w:rsid w:val="00C947E3"/>
    <w:rsid w:val="00C94D7E"/>
    <w:rsid w:val="00C95EAB"/>
    <w:rsid w:val="00C962EB"/>
    <w:rsid w:val="00C9650B"/>
    <w:rsid w:val="00C96D95"/>
    <w:rsid w:val="00C96EB0"/>
    <w:rsid w:val="00CA0445"/>
    <w:rsid w:val="00CA0A66"/>
    <w:rsid w:val="00CA1124"/>
    <w:rsid w:val="00CA190F"/>
    <w:rsid w:val="00CA1FBB"/>
    <w:rsid w:val="00CA2510"/>
    <w:rsid w:val="00CA27EF"/>
    <w:rsid w:val="00CA2F9F"/>
    <w:rsid w:val="00CA4BCA"/>
    <w:rsid w:val="00CA52EB"/>
    <w:rsid w:val="00CA53E3"/>
    <w:rsid w:val="00CA5F48"/>
    <w:rsid w:val="00CA5FED"/>
    <w:rsid w:val="00CA6BED"/>
    <w:rsid w:val="00CA6E28"/>
    <w:rsid w:val="00CA72BB"/>
    <w:rsid w:val="00CA74F1"/>
    <w:rsid w:val="00CA7598"/>
    <w:rsid w:val="00CB04CB"/>
    <w:rsid w:val="00CB0717"/>
    <w:rsid w:val="00CB19AF"/>
    <w:rsid w:val="00CB1BF4"/>
    <w:rsid w:val="00CB204E"/>
    <w:rsid w:val="00CB2CF4"/>
    <w:rsid w:val="00CB2FAA"/>
    <w:rsid w:val="00CB30A4"/>
    <w:rsid w:val="00CB4348"/>
    <w:rsid w:val="00CB58B7"/>
    <w:rsid w:val="00CB5B3E"/>
    <w:rsid w:val="00CB5EEC"/>
    <w:rsid w:val="00CC16A4"/>
    <w:rsid w:val="00CC1E8F"/>
    <w:rsid w:val="00CC26AD"/>
    <w:rsid w:val="00CC3160"/>
    <w:rsid w:val="00CC3D0C"/>
    <w:rsid w:val="00CC534D"/>
    <w:rsid w:val="00CC6141"/>
    <w:rsid w:val="00CC62B6"/>
    <w:rsid w:val="00CC6302"/>
    <w:rsid w:val="00CC6619"/>
    <w:rsid w:val="00CC7C03"/>
    <w:rsid w:val="00CD12AF"/>
    <w:rsid w:val="00CD1712"/>
    <w:rsid w:val="00CD180E"/>
    <w:rsid w:val="00CD1A39"/>
    <w:rsid w:val="00CD2284"/>
    <w:rsid w:val="00CD253B"/>
    <w:rsid w:val="00CD300F"/>
    <w:rsid w:val="00CD3548"/>
    <w:rsid w:val="00CD36E5"/>
    <w:rsid w:val="00CD49B6"/>
    <w:rsid w:val="00CD728A"/>
    <w:rsid w:val="00CD7AC8"/>
    <w:rsid w:val="00CE0E9B"/>
    <w:rsid w:val="00CE112A"/>
    <w:rsid w:val="00CE1323"/>
    <w:rsid w:val="00CE3B89"/>
    <w:rsid w:val="00CE47D0"/>
    <w:rsid w:val="00CE4B35"/>
    <w:rsid w:val="00CE52B1"/>
    <w:rsid w:val="00CE5343"/>
    <w:rsid w:val="00CE57E2"/>
    <w:rsid w:val="00CE5BB1"/>
    <w:rsid w:val="00CE5BFB"/>
    <w:rsid w:val="00CE6204"/>
    <w:rsid w:val="00CE65C2"/>
    <w:rsid w:val="00CE7BF9"/>
    <w:rsid w:val="00CF018B"/>
    <w:rsid w:val="00CF3760"/>
    <w:rsid w:val="00CF38F0"/>
    <w:rsid w:val="00CF4FE6"/>
    <w:rsid w:val="00CF534C"/>
    <w:rsid w:val="00CF729B"/>
    <w:rsid w:val="00D00516"/>
    <w:rsid w:val="00D00748"/>
    <w:rsid w:val="00D007A0"/>
    <w:rsid w:val="00D00C93"/>
    <w:rsid w:val="00D02743"/>
    <w:rsid w:val="00D048E6"/>
    <w:rsid w:val="00D04E7B"/>
    <w:rsid w:val="00D06992"/>
    <w:rsid w:val="00D06E7F"/>
    <w:rsid w:val="00D077F3"/>
    <w:rsid w:val="00D07A04"/>
    <w:rsid w:val="00D12793"/>
    <w:rsid w:val="00D13C79"/>
    <w:rsid w:val="00D140EF"/>
    <w:rsid w:val="00D14D7B"/>
    <w:rsid w:val="00D17698"/>
    <w:rsid w:val="00D21FAC"/>
    <w:rsid w:val="00D23579"/>
    <w:rsid w:val="00D25F99"/>
    <w:rsid w:val="00D26D97"/>
    <w:rsid w:val="00D2717A"/>
    <w:rsid w:val="00D272BF"/>
    <w:rsid w:val="00D27D69"/>
    <w:rsid w:val="00D31BAA"/>
    <w:rsid w:val="00D31C5F"/>
    <w:rsid w:val="00D3303D"/>
    <w:rsid w:val="00D33B04"/>
    <w:rsid w:val="00D34263"/>
    <w:rsid w:val="00D34490"/>
    <w:rsid w:val="00D35AC8"/>
    <w:rsid w:val="00D35D00"/>
    <w:rsid w:val="00D37537"/>
    <w:rsid w:val="00D37FE5"/>
    <w:rsid w:val="00D4222F"/>
    <w:rsid w:val="00D42D86"/>
    <w:rsid w:val="00D43D21"/>
    <w:rsid w:val="00D44341"/>
    <w:rsid w:val="00D44F34"/>
    <w:rsid w:val="00D4526F"/>
    <w:rsid w:val="00D461DA"/>
    <w:rsid w:val="00D46E1E"/>
    <w:rsid w:val="00D46EA9"/>
    <w:rsid w:val="00D47035"/>
    <w:rsid w:val="00D473F7"/>
    <w:rsid w:val="00D47824"/>
    <w:rsid w:val="00D47E7F"/>
    <w:rsid w:val="00D50839"/>
    <w:rsid w:val="00D50C1A"/>
    <w:rsid w:val="00D517F2"/>
    <w:rsid w:val="00D51B8F"/>
    <w:rsid w:val="00D51D8B"/>
    <w:rsid w:val="00D52459"/>
    <w:rsid w:val="00D53C5F"/>
    <w:rsid w:val="00D540C8"/>
    <w:rsid w:val="00D54140"/>
    <w:rsid w:val="00D54B78"/>
    <w:rsid w:val="00D54ED0"/>
    <w:rsid w:val="00D6046F"/>
    <w:rsid w:val="00D60597"/>
    <w:rsid w:val="00D60B58"/>
    <w:rsid w:val="00D61793"/>
    <w:rsid w:val="00D617BD"/>
    <w:rsid w:val="00D624A0"/>
    <w:rsid w:val="00D63A30"/>
    <w:rsid w:val="00D6464A"/>
    <w:rsid w:val="00D658AA"/>
    <w:rsid w:val="00D71267"/>
    <w:rsid w:val="00D714E0"/>
    <w:rsid w:val="00D717E8"/>
    <w:rsid w:val="00D738BA"/>
    <w:rsid w:val="00D74B5A"/>
    <w:rsid w:val="00D822C7"/>
    <w:rsid w:val="00D82636"/>
    <w:rsid w:val="00D82B4E"/>
    <w:rsid w:val="00D83401"/>
    <w:rsid w:val="00D85B8A"/>
    <w:rsid w:val="00D85F1D"/>
    <w:rsid w:val="00D873C5"/>
    <w:rsid w:val="00D91BAB"/>
    <w:rsid w:val="00D91E7E"/>
    <w:rsid w:val="00D92624"/>
    <w:rsid w:val="00D94F42"/>
    <w:rsid w:val="00D95FA4"/>
    <w:rsid w:val="00D979F5"/>
    <w:rsid w:val="00D97C8F"/>
    <w:rsid w:val="00DA07B1"/>
    <w:rsid w:val="00DA1FE2"/>
    <w:rsid w:val="00DA329A"/>
    <w:rsid w:val="00DA561B"/>
    <w:rsid w:val="00DA5761"/>
    <w:rsid w:val="00DA5BF1"/>
    <w:rsid w:val="00DA7666"/>
    <w:rsid w:val="00DA7E17"/>
    <w:rsid w:val="00DB0F27"/>
    <w:rsid w:val="00DB161C"/>
    <w:rsid w:val="00DB2B08"/>
    <w:rsid w:val="00DB3C46"/>
    <w:rsid w:val="00DB3EA8"/>
    <w:rsid w:val="00DB4A78"/>
    <w:rsid w:val="00DB5C15"/>
    <w:rsid w:val="00DB66E0"/>
    <w:rsid w:val="00DC1A9E"/>
    <w:rsid w:val="00DC2492"/>
    <w:rsid w:val="00DC3FF8"/>
    <w:rsid w:val="00DC4DEA"/>
    <w:rsid w:val="00DC6991"/>
    <w:rsid w:val="00DC6D66"/>
    <w:rsid w:val="00DC6E77"/>
    <w:rsid w:val="00DC79C0"/>
    <w:rsid w:val="00DD0566"/>
    <w:rsid w:val="00DD09D0"/>
    <w:rsid w:val="00DD0EAD"/>
    <w:rsid w:val="00DD0FAF"/>
    <w:rsid w:val="00DD0FB7"/>
    <w:rsid w:val="00DD44D4"/>
    <w:rsid w:val="00DD5A08"/>
    <w:rsid w:val="00DD69CA"/>
    <w:rsid w:val="00DE08AD"/>
    <w:rsid w:val="00DE0CDE"/>
    <w:rsid w:val="00DE16BB"/>
    <w:rsid w:val="00DE261B"/>
    <w:rsid w:val="00DE2F7E"/>
    <w:rsid w:val="00DE3E0E"/>
    <w:rsid w:val="00DE539F"/>
    <w:rsid w:val="00DE5991"/>
    <w:rsid w:val="00DE5F3D"/>
    <w:rsid w:val="00DE68BB"/>
    <w:rsid w:val="00DE6E5D"/>
    <w:rsid w:val="00DE758E"/>
    <w:rsid w:val="00DF2648"/>
    <w:rsid w:val="00DF3767"/>
    <w:rsid w:val="00DF61A5"/>
    <w:rsid w:val="00DF6443"/>
    <w:rsid w:val="00DF6C1B"/>
    <w:rsid w:val="00DF7215"/>
    <w:rsid w:val="00E00700"/>
    <w:rsid w:val="00E013CA"/>
    <w:rsid w:val="00E0202C"/>
    <w:rsid w:val="00E03405"/>
    <w:rsid w:val="00E04393"/>
    <w:rsid w:val="00E04FAD"/>
    <w:rsid w:val="00E05131"/>
    <w:rsid w:val="00E07759"/>
    <w:rsid w:val="00E105C4"/>
    <w:rsid w:val="00E11A48"/>
    <w:rsid w:val="00E11A51"/>
    <w:rsid w:val="00E126C8"/>
    <w:rsid w:val="00E131FA"/>
    <w:rsid w:val="00E14689"/>
    <w:rsid w:val="00E161C2"/>
    <w:rsid w:val="00E167CF"/>
    <w:rsid w:val="00E16848"/>
    <w:rsid w:val="00E2073B"/>
    <w:rsid w:val="00E21E2F"/>
    <w:rsid w:val="00E23FDE"/>
    <w:rsid w:val="00E240F8"/>
    <w:rsid w:val="00E2510F"/>
    <w:rsid w:val="00E2674B"/>
    <w:rsid w:val="00E26799"/>
    <w:rsid w:val="00E267C6"/>
    <w:rsid w:val="00E27192"/>
    <w:rsid w:val="00E27387"/>
    <w:rsid w:val="00E31B04"/>
    <w:rsid w:val="00E32973"/>
    <w:rsid w:val="00E32D77"/>
    <w:rsid w:val="00E33F73"/>
    <w:rsid w:val="00E36546"/>
    <w:rsid w:val="00E36600"/>
    <w:rsid w:val="00E36FE5"/>
    <w:rsid w:val="00E3709B"/>
    <w:rsid w:val="00E42A94"/>
    <w:rsid w:val="00E42F73"/>
    <w:rsid w:val="00E433BF"/>
    <w:rsid w:val="00E4427D"/>
    <w:rsid w:val="00E448A5"/>
    <w:rsid w:val="00E45451"/>
    <w:rsid w:val="00E462AB"/>
    <w:rsid w:val="00E46736"/>
    <w:rsid w:val="00E47FA2"/>
    <w:rsid w:val="00E504B5"/>
    <w:rsid w:val="00E50F1D"/>
    <w:rsid w:val="00E51210"/>
    <w:rsid w:val="00E512AA"/>
    <w:rsid w:val="00E51A0B"/>
    <w:rsid w:val="00E528C0"/>
    <w:rsid w:val="00E54223"/>
    <w:rsid w:val="00E54A1E"/>
    <w:rsid w:val="00E55455"/>
    <w:rsid w:val="00E55E49"/>
    <w:rsid w:val="00E55FD1"/>
    <w:rsid w:val="00E56B55"/>
    <w:rsid w:val="00E572F5"/>
    <w:rsid w:val="00E65413"/>
    <w:rsid w:val="00E66FFF"/>
    <w:rsid w:val="00E67B37"/>
    <w:rsid w:val="00E70E19"/>
    <w:rsid w:val="00E7233B"/>
    <w:rsid w:val="00E72B36"/>
    <w:rsid w:val="00E74AD2"/>
    <w:rsid w:val="00E757E2"/>
    <w:rsid w:val="00E7581D"/>
    <w:rsid w:val="00E75887"/>
    <w:rsid w:val="00E761B4"/>
    <w:rsid w:val="00E763D0"/>
    <w:rsid w:val="00E77D57"/>
    <w:rsid w:val="00E808CF"/>
    <w:rsid w:val="00E8231A"/>
    <w:rsid w:val="00E9042F"/>
    <w:rsid w:val="00E90A34"/>
    <w:rsid w:val="00E90F0F"/>
    <w:rsid w:val="00E90F8D"/>
    <w:rsid w:val="00E92550"/>
    <w:rsid w:val="00E92ABF"/>
    <w:rsid w:val="00E96221"/>
    <w:rsid w:val="00E96EB8"/>
    <w:rsid w:val="00E97FD3"/>
    <w:rsid w:val="00EA028D"/>
    <w:rsid w:val="00EA0549"/>
    <w:rsid w:val="00EA1FF2"/>
    <w:rsid w:val="00EA2368"/>
    <w:rsid w:val="00EA27B7"/>
    <w:rsid w:val="00EA2A3E"/>
    <w:rsid w:val="00EA3D91"/>
    <w:rsid w:val="00EA591C"/>
    <w:rsid w:val="00EA59E4"/>
    <w:rsid w:val="00EA6868"/>
    <w:rsid w:val="00EA68A1"/>
    <w:rsid w:val="00EA6B25"/>
    <w:rsid w:val="00EA6B3E"/>
    <w:rsid w:val="00EB0CD2"/>
    <w:rsid w:val="00EB1AE4"/>
    <w:rsid w:val="00EB2A08"/>
    <w:rsid w:val="00EB4594"/>
    <w:rsid w:val="00EB4E8A"/>
    <w:rsid w:val="00EB57B8"/>
    <w:rsid w:val="00EB57D7"/>
    <w:rsid w:val="00EB5A1D"/>
    <w:rsid w:val="00EB721C"/>
    <w:rsid w:val="00EB7350"/>
    <w:rsid w:val="00EB7576"/>
    <w:rsid w:val="00EB78AE"/>
    <w:rsid w:val="00EC219A"/>
    <w:rsid w:val="00EC5106"/>
    <w:rsid w:val="00EC5B0E"/>
    <w:rsid w:val="00EC609E"/>
    <w:rsid w:val="00EC622F"/>
    <w:rsid w:val="00EC63B4"/>
    <w:rsid w:val="00EC66B9"/>
    <w:rsid w:val="00EC6772"/>
    <w:rsid w:val="00EC6E84"/>
    <w:rsid w:val="00EC714C"/>
    <w:rsid w:val="00EC7BEF"/>
    <w:rsid w:val="00ED043E"/>
    <w:rsid w:val="00ED04D0"/>
    <w:rsid w:val="00ED055B"/>
    <w:rsid w:val="00ED07D7"/>
    <w:rsid w:val="00ED1A09"/>
    <w:rsid w:val="00ED2DF9"/>
    <w:rsid w:val="00ED4285"/>
    <w:rsid w:val="00ED4808"/>
    <w:rsid w:val="00ED62B1"/>
    <w:rsid w:val="00EE0444"/>
    <w:rsid w:val="00EE2736"/>
    <w:rsid w:val="00EE2CF2"/>
    <w:rsid w:val="00EE3B8C"/>
    <w:rsid w:val="00EE4070"/>
    <w:rsid w:val="00EE4797"/>
    <w:rsid w:val="00EE4CC1"/>
    <w:rsid w:val="00EE5122"/>
    <w:rsid w:val="00EE51F2"/>
    <w:rsid w:val="00EE5EB2"/>
    <w:rsid w:val="00EE61BE"/>
    <w:rsid w:val="00EE65A3"/>
    <w:rsid w:val="00EE6BDF"/>
    <w:rsid w:val="00EE735E"/>
    <w:rsid w:val="00EE7619"/>
    <w:rsid w:val="00EF0EB5"/>
    <w:rsid w:val="00EF122C"/>
    <w:rsid w:val="00EF2062"/>
    <w:rsid w:val="00EF4A8B"/>
    <w:rsid w:val="00EF4C9E"/>
    <w:rsid w:val="00EF5ABB"/>
    <w:rsid w:val="00F00443"/>
    <w:rsid w:val="00F00B28"/>
    <w:rsid w:val="00F01107"/>
    <w:rsid w:val="00F018BA"/>
    <w:rsid w:val="00F01A90"/>
    <w:rsid w:val="00F02EC2"/>
    <w:rsid w:val="00F059AA"/>
    <w:rsid w:val="00F0660E"/>
    <w:rsid w:val="00F07276"/>
    <w:rsid w:val="00F07615"/>
    <w:rsid w:val="00F10015"/>
    <w:rsid w:val="00F13244"/>
    <w:rsid w:val="00F1473C"/>
    <w:rsid w:val="00F14786"/>
    <w:rsid w:val="00F148D9"/>
    <w:rsid w:val="00F15206"/>
    <w:rsid w:val="00F154EB"/>
    <w:rsid w:val="00F15D0E"/>
    <w:rsid w:val="00F1655A"/>
    <w:rsid w:val="00F17DE6"/>
    <w:rsid w:val="00F17E45"/>
    <w:rsid w:val="00F2254B"/>
    <w:rsid w:val="00F23B22"/>
    <w:rsid w:val="00F24187"/>
    <w:rsid w:val="00F2446E"/>
    <w:rsid w:val="00F24BE0"/>
    <w:rsid w:val="00F24D2B"/>
    <w:rsid w:val="00F26442"/>
    <w:rsid w:val="00F27717"/>
    <w:rsid w:val="00F31048"/>
    <w:rsid w:val="00F3108B"/>
    <w:rsid w:val="00F312BF"/>
    <w:rsid w:val="00F3193E"/>
    <w:rsid w:val="00F31A05"/>
    <w:rsid w:val="00F31E2F"/>
    <w:rsid w:val="00F33031"/>
    <w:rsid w:val="00F35730"/>
    <w:rsid w:val="00F35768"/>
    <w:rsid w:val="00F40264"/>
    <w:rsid w:val="00F41F67"/>
    <w:rsid w:val="00F44EA2"/>
    <w:rsid w:val="00F451E0"/>
    <w:rsid w:val="00F452BD"/>
    <w:rsid w:val="00F4547F"/>
    <w:rsid w:val="00F46905"/>
    <w:rsid w:val="00F471F1"/>
    <w:rsid w:val="00F47AA4"/>
    <w:rsid w:val="00F520B0"/>
    <w:rsid w:val="00F5252C"/>
    <w:rsid w:val="00F52D43"/>
    <w:rsid w:val="00F57820"/>
    <w:rsid w:val="00F614E9"/>
    <w:rsid w:val="00F627B1"/>
    <w:rsid w:val="00F627E1"/>
    <w:rsid w:val="00F63597"/>
    <w:rsid w:val="00F64274"/>
    <w:rsid w:val="00F64433"/>
    <w:rsid w:val="00F64E87"/>
    <w:rsid w:val="00F65E0F"/>
    <w:rsid w:val="00F65E94"/>
    <w:rsid w:val="00F66408"/>
    <w:rsid w:val="00F666CC"/>
    <w:rsid w:val="00F66798"/>
    <w:rsid w:val="00F67531"/>
    <w:rsid w:val="00F71174"/>
    <w:rsid w:val="00F71EF5"/>
    <w:rsid w:val="00F73191"/>
    <w:rsid w:val="00F732B6"/>
    <w:rsid w:val="00F73647"/>
    <w:rsid w:val="00F73BFB"/>
    <w:rsid w:val="00F73F6E"/>
    <w:rsid w:val="00F744AD"/>
    <w:rsid w:val="00F75982"/>
    <w:rsid w:val="00F75F62"/>
    <w:rsid w:val="00F76176"/>
    <w:rsid w:val="00F763B1"/>
    <w:rsid w:val="00F767D3"/>
    <w:rsid w:val="00F77EB8"/>
    <w:rsid w:val="00F804E6"/>
    <w:rsid w:val="00F807E0"/>
    <w:rsid w:val="00F8096D"/>
    <w:rsid w:val="00F80D87"/>
    <w:rsid w:val="00F81158"/>
    <w:rsid w:val="00F815D0"/>
    <w:rsid w:val="00F81992"/>
    <w:rsid w:val="00F823AA"/>
    <w:rsid w:val="00F83313"/>
    <w:rsid w:val="00F836F4"/>
    <w:rsid w:val="00F83D32"/>
    <w:rsid w:val="00F84500"/>
    <w:rsid w:val="00F85163"/>
    <w:rsid w:val="00F85D7C"/>
    <w:rsid w:val="00F8745C"/>
    <w:rsid w:val="00F87521"/>
    <w:rsid w:val="00F8798F"/>
    <w:rsid w:val="00F87AA6"/>
    <w:rsid w:val="00F9054A"/>
    <w:rsid w:val="00F9174C"/>
    <w:rsid w:val="00F91F57"/>
    <w:rsid w:val="00F92075"/>
    <w:rsid w:val="00F922FB"/>
    <w:rsid w:val="00F933C8"/>
    <w:rsid w:val="00F933E1"/>
    <w:rsid w:val="00F93A12"/>
    <w:rsid w:val="00F941CA"/>
    <w:rsid w:val="00F948D3"/>
    <w:rsid w:val="00F94B98"/>
    <w:rsid w:val="00F94F3B"/>
    <w:rsid w:val="00F9549F"/>
    <w:rsid w:val="00F955B6"/>
    <w:rsid w:val="00F9591C"/>
    <w:rsid w:val="00F96297"/>
    <w:rsid w:val="00FA011B"/>
    <w:rsid w:val="00FA1639"/>
    <w:rsid w:val="00FA1D83"/>
    <w:rsid w:val="00FA3BBE"/>
    <w:rsid w:val="00FA4DD6"/>
    <w:rsid w:val="00FA5813"/>
    <w:rsid w:val="00FA59D2"/>
    <w:rsid w:val="00FA5E6E"/>
    <w:rsid w:val="00FA6271"/>
    <w:rsid w:val="00FA69CA"/>
    <w:rsid w:val="00FA6A06"/>
    <w:rsid w:val="00FA6CFC"/>
    <w:rsid w:val="00FA701F"/>
    <w:rsid w:val="00FB0739"/>
    <w:rsid w:val="00FB2102"/>
    <w:rsid w:val="00FB2BE1"/>
    <w:rsid w:val="00FB2DC9"/>
    <w:rsid w:val="00FB4DDA"/>
    <w:rsid w:val="00FB693B"/>
    <w:rsid w:val="00FB73E9"/>
    <w:rsid w:val="00FB7ECD"/>
    <w:rsid w:val="00FC0629"/>
    <w:rsid w:val="00FC0B66"/>
    <w:rsid w:val="00FC114D"/>
    <w:rsid w:val="00FC14C9"/>
    <w:rsid w:val="00FC2290"/>
    <w:rsid w:val="00FC2F4B"/>
    <w:rsid w:val="00FC3FA2"/>
    <w:rsid w:val="00FC43CD"/>
    <w:rsid w:val="00FC7555"/>
    <w:rsid w:val="00FC7850"/>
    <w:rsid w:val="00FC7861"/>
    <w:rsid w:val="00FC78FE"/>
    <w:rsid w:val="00FC7A96"/>
    <w:rsid w:val="00FD0284"/>
    <w:rsid w:val="00FD055F"/>
    <w:rsid w:val="00FD0DDA"/>
    <w:rsid w:val="00FD1861"/>
    <w:rsid w:val="00FD1F53"/>
    <w:rsid w:val="00FD2251"/>
    <w:rsid w:val="00FD3959"/>
    <w:rsid w:val="00FD4D19"/>
    <w:rsid w:val="00FD4E25"/>
    <w:rsid w:val="00FD589D"/>
    <w:rsid w:val="00FD5CF8"/>
    <w:rsid w:val="00FD63D7"/>
    <w:rsid w:val="00FD6BDD"/>
    <w:rsid w:val="00FD77A6"/>
    <w:rsid w:val="00FE01C1"/>
    <w:rsid w:val="00FE1BCB"/>
    <w:rsid w:val="00FE2E0A"/>
    <w:rsid w:val="00FE2E86"/>
    <w:rsid w:val="00FE2FD3"/>
    <w:rsid w:val="00FE3A92"/>
    <w:rsid w:val="00FE516E"/>
    <w:rsid w:val="00FE627A"/>
    <w:rsid w:val="00FE688F"/>
    <w:rsid w:val="00FF1064"/>
    <w:rsid w:val="00FF2345"/>
    <w:rsid w:val="00FF2B12"/>
    <w:rsid w:val="00FF2F7B"/>
    <w:rsid w:val="00FF3E15"/>
    <w:rsid w:val="00FF6439"/>
    <w:rsid w:val="00FF678D"/>
  </w:rsids>
  <m:mathPr>
    <m:mathFont m:val="Cambria Math"/>
    <m:brkBin m:val="before"/>
    <m:brkBinSub m:val="--"/>
    <m:smallFrac/>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hu-HU" w:eastAsia="hu-H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annotation text" w:uiPriority="99"/>
    <w:lsdException w:name="footer" w:uiPriority="99"/>
    <w:lsdException w:name="caption"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0A5"/>
    <w:pPr>
      <w:spacing w:before="120" w:line="320" w:lineRule="atLeast"/>
      <w:jc w:val="both"/>
    </w:pPr>
    <w:rPr>
      <w:rFonts w:ascii="Arial" w:hAnsi="Arial"/>
      <w:sz w:val="22"/>
      <w:lang w:val="en-GB"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AE5E68"/>
    <w:pPr>
      <w:keepNext/>
      <w:numPr>
        <w:ilvl w:val="1"/>
        <w:numId w:val="1"/>
      </w:numPr>
      <w:tabs>
        <w:tab w:val="clear" w:pos="5274"/>
      </w:tabs>
      <w:spacing w:after="120"/>
      <w:ind w:left="737"/>
      <w:outlineLvl w:val="1"/>
    </w:pPr>
    <w:rPr>
      <w:b/>
      <w:sz w:val="24"/>
    </w:rPr>
  </w:style>
  <w:style w:type="paragraph" w:styleId="Heading3">
    <w:name w:val="heading 3"/>
    <w:aliases w:val="ESPON Heading 3"/>
    <w:basedOn w:val="Normal"/>
    <w:next w:val="Normal"/>
    <w:qFormat/>
    <w:rsid w:val="00AF6C49"/>
    <w:pPr>
      <w:keepNext/>
      <w:numPr>
        <w:ilvl w:val="2"/>
        <w:numId w:val="1"/>
      </w:numPr>
      <w:spacing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qFormat/>
    <w:rsid w:val="001256BE"/>
    <w:pPr>
      <w:tabs>
        <w:tab w:val="left" w:pos="1191"/>
        <w:tab w:val="right" w:leader="dot" w:pos="9356"/>
      </w:tabs>
      <w:spacing w:before="0" w:line="360" w:lineRule="auto"/>
      <w:ind w:right="-1044"/>
      <w:jc w:val="center"/>
    </w:pPr>
    <w:rPr>
      <w:noProof/>
    </w:rPr>
  </w:style>
  <w:style w:type="paragraph" w:styleId="TOC5">
    <w:name w:val="toc 5"/>
    <w:aliases w:val="ESPON Index 5"/>
    <w:basedOn w:val="Normal"/>
    <w:next w:val="Normal"/>
    <w:autoRedefine/>
    <w:semiHidden/>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rsid w:val="00CF018B"/>
    <w:pPr>
      <w:tabs>
        <w:tab w:val="center" w:pos="4536"/>
        <w:tab w:val="right" w:pos="9072"/>
      </w:tabs>
    </w:pPr>
  </w:style>
  <w:style w:type="paragraph" w:styleId="TOC2">
    <w:name w:val="toc 2"/>
    <w:aliases w:val="ESPON Index 2"/>
    <w:basedOn w:val="Normal"/>
    <w:next w:val="Normal"/>
    <w:autoRedefine/>
    <w:uiPriority w:val="39"/>
    <w:qFormat/>
    <w:rsid w:val="00DD69CA"/>
    <w:pPr>
      <w:tabs>
        <w:tab w:val="right" w:leader="dot" w:pos="9356"/>
      </w:tabs>
      <w:spacing w:line="360" w:lineRule="auto"/>
      <w:ind w:left="1191" w:right="1134" w:hanging="907"/>
    </w:pPr>
  </w:style>
  <w:style w:type="paragraph" w:styleId="TOC3">
    <w:name w:val="toc 3"/>
    <w:aliases w:val="ESPON Index 3"/>
    <w:basedOn w:val="Normal"/>
    <w:next w:val="Normal"/>
    <w:autoRedefine/>
    <w:uiPriority w:val="39"/>
    <w:qFormat/>
    <w:rsid w:val="00DD69CA"/>
    <w:pPr>
      <w:tabs>
        <w:tab w:val="right" w:leader="dot" w:pos="9356"/>
      </w:tabs>
      <w:spacing w:line="240" w:lineRule="auto"/>
      <w:ind w:left="1134" w:right="1134" w:hanging="567"/>
    </w:pPr>
  </w:style>
  <w:style w:type="paragraph" w:styleId="TOC4">
    <w:name w:val="toc 4"/>
    <w:aliases w:val="ESPON Index 4"/>
    <w:basedOn w:val="Normal"/>
    <w:next w:val="Normal"/>
    <w:autoRedefine/>
    <w:semiHidden/>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semiHidden/>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semiHidden/>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semiHidden/>
    <w:rsid w:val="00CF018B"/>
    <w:pPr>
      <w:ind w:left="1400"/>
    </w:pPr>
  </w:style>
  <w:style w:type="paragraph" w:styleId="TOC9">
    <w:name w:val="toc 9"/>
    <w:basedOn w:val="Normal"/>
    <w:next w:val="Normal"/>
    <w:autoRedefine/>
    <w:semiHidden/>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link w:val="Heading1"/>
    <w:rsid w:val="00056948"/>
    <w:rPr>
      <w:rFonts w:ascii="Arial" w:hAnsi="Arial"/>
      <w:b/>
      <w:kern w:val="28"/>
      <w:sz w:val="28"/>
      <w:lang w:eastAsia="en-US"/>
    </w:rPr>
  </w:style>
  <w:style w:type="paragraph" w:styleId="Caption">
    <w:name w:val="caption"/>
    <w:basedOn w:val="Normal"/>
    <w:next w:val="Normal"/>
    <w:qFormat/>
    <w:rsid w:val="00D95FA4"/>
    <w:rPr>
      <w:b/>
      <w:bCs/>
    </w:rPr>
  </w:style>
  <w:style w:type="table" w:styleId="TableGrid">
    <w:name w:val="Table Grid"/>
    <w:basedOn w:val="TableNormal"/>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uiPriority w:val="99"/>
    <w:rsid w:val="004E266B"/>
    <w:rPr>
      <w:sz w:val="16"/>
      <w:szCs w:val="16"/>
    </w:rPr>
  </w:style>
  <w:style w:type="paragraph" w:styleId="CommentText">
    <w:name w:val="annotation text"/>
    <w:basedOn w:val="Normal"/>
    <w:link w:val="CommentTextChar"/>
    <w:uiPriority w:val="99"/>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link w:val="BalloonTextChar"/>
    <w:uiPriority w:val="99"/>
    <w:semiHidden/>
    <w:rsid w:val="001B06C0"/>
    <w:rPr>
      <w:rFonts w:ascii="Tahoma" w:hAnsi="Tahoma" w:cs="Tahoma"/>
      <w:sz w:val="16"/>
      <w:szCs w:val="16"/>
    </w:rPr>
  </w:style>
  <w:style w:type="character" w:styleId="FootnoteReference">
    <w:name w:val="footnote reference"/>
    <w:aliases w:val="Footnote symbol,Times 10 Point,Exposant 3 Point"/>
    <w:uiPriority w:val="99"/>
    <w:unhideWhenUsed/>
    <w:rsid w:val="00AF6C49"/>
    <w:rPr>
      <w:rFonts w:ascii="Arial" w:hAnsi="Arial"/>
      <w:vertAlign w:val="superscript"/>
    </w:rPr>
  </w:style>
  <w:style w:type="character" w:customStyle="1" w:styleId="FooterChar">
    <w:name w:val="Footer Char"/>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
    <w:basedOn w:val="Normal"/>
    <w:link w:val="FootnoteTextChar"/>
    <w:uiPriority w:val="99"/>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
    <w:link w:val="FootnoteText"/>
    <w:uiPriority w:val="99"/>
    <w:semiHidden/>
    <w:locked/>
    <w:rsid w:val="0012683A"/>
    <w:rPr>
      <w:rFonts w:ascii="Arial" w:hAnsi="Arial"/>
      <w:lang w:eastAsia="en-US"/>
    </w:rPr>
  </w:style>
  <w:style w:type="table" w:customStyle="1" w:styleId="LightGrid1">
    <w:name w:val="Light Grid1"/>
    <w:basedOn w:val="TableNormal"/>
    <w:uiPriority w:val="62"/>
    <w:rsid w:val="009D67B9"/>
    <w:rPr>
      <w:rFonts w:ascii="Calibri" w:hAnsi="Calibri"/>
      <w:sz w:val="22"/>
      <w:szCs w:val="22"/>
      <w:lang w:val="de-DE" w:eastAsia="de-D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leaf">
    <w:name w:val="leaf"/>
    <w:basedOn w:val="DefaultParagraphFont"/>
    <w:rsid w:val="00073C9E"/>
  </w:style>
  <w:style w:type="character" w:customStyle="1" w:styleId="rightside">
    <w:name w:val="right_side"/>
    <w:basedOn w:val="DefaultParagraphFont"/>
    <w:rsid w:val="00073C9E"/>
  </w:style>
  <w:style w:type="paragraph" w:customStyle="1" w:styleId="Default">
    <w:name w:val="Default"/>
    <w:rsid w:val="00D00C93"/>
    <w:pPr>
      <w:autoSpaceDE w:val="0"/>
      <w:autoSpaceDN w:val="0"/>
      <w:adjustRightInd w:val="0"/>
    </w:pPr>
    <w:rPr>
      <w:rFonts w:ascii="Verdana" w:hAnsi="Verdana" w:cs="Verdana"/>
      <w:color w:val="000000"/>
      <w:sz w:val="24"/>
      <w:szCs w:val="24"/>
    </w:rPr>
  </w:style>
  <w:style w:type="character" w:customStyle="1" w:styleId="BalloonTextChar">
    <w:name w:val="Balloon Text Char"/>
    <w:link w:val="BalloonText"/>
    <w:uiPriority w:val="99"/>
    <w:semiHidden/>
    <w:rsid w:val="00D00C93"/>
    <w:rPr>
      <w:rFonts w:ascii="Tahoma" w:hAnsi="Tahoma" w:cs="Tahoma"/>
      <w:sz w:val="16"/>
      <w:szCs w:val="16"/>
      <w:lang w:eastAsia="en-US"/>
    </w:rPr>
  </w:style>
  <w:style w:type="character" w:customStyle="1" w:styleId="CommentTextChar">
    <w:name w:val="Comment Text Char"/>
    <w:link w:val="CommentText"/>
    <w:uiPriority w:val="99"/>
    <w:rsid w:val="00D00C93"/>
    <w:rPr>
      <w:rFonts w:ascii="Arial" w:hAnsi="Arial"/>
      <w:sz w:val="22"/>
      <w:lang w:eastAsia="en-US"/>
    </w:rPr>
  </w:style>
  <w:style w:type="character" w:customStyle="1" w:styleId="mw-headline">
    <w:name w:val="mw-headline"/>
    <w:rsid w:val="00E36600"/>
  </w:style>
  <w:style w:type="character" w:customStyle="1" w:styleId="ndesc">
    <w:name w:val="ndesc"/>
    <w:rsid w:val="000861FC"/>
  </w:style>
  <w:style w:type="paragraph" w:styleId="TOCHeading">
    <w:name w:val="TOC Heading"/>
    <w:basedOn w:val="Heading1"/>
    <w:next w:val="Normal"/>
    <w:uiPriority w:val="39"/>
    <w:semiHidden/>
    <w:unhideWhenUsed/>
    <w:qFormat/>
    <w:rsid w:val="00C867D8"/>
    <w:pPr>
      <w:keepLines/>
      <w:numPr>
        <w:numId w:val="0"/>
      </w:numPr>
      <w:spacing w:after="0" w:line="276" w:lineRule="auto"/>
      <w:jc w:val="left"/>
      <w:outlineLvl w:val="9"/>
    </w:pPr>
    <w:rPr>
      <w:rFonts w:ascii="Cambria" w:hAnsi="Cambria"/>
      <w:bCs/>
      <w:color w:val="365F91"/>
      <w:kern w:val="0"/>
      <w:szCs w:val="28"/>
      <w:lang w:eastAsia="en-GB"/>
    </w:rPr>
  </w:style>
  <w:style w:type="character" w:styleId="Emphasis">
    <w:name w:val="Emphasis"/>
    <w:basedOn w:val="DefaultParagraphFont"/>
    <w:qFormat/>
    <w:rsid w:val="00EB5A1D"/>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u-HU" w:eastAsia="hu-H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annotation text" w:uiPriority="99"/>
    <w:lsdException w:name="footer" w:uiPriority="99"/>
    <w:lsdException w:name="caption"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0A5"/>
    <w:pPr>
      <w:spacing w:before="120" w:line="320" w:lineRule="atLeast"/>
      <w:jc w:val="both"/>
    </w:pPr>
    <w:rPr>
      <w:rFonts w:ascii="Arial" w:hAnsi="Arial"/>
      <w:sz w:val="22"/>
      <w:lang w:val="en-GB"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AE5E68"/>
    <w:pPr>
      <w:keepNext/>
      <w:numPr>
        <w:ilvl w:val="1"/>
        <w:numId w:val="1"/>
      </w:numPr>
      <w:tabs>
        <w:tab w:val="clear" w:pos="5274"/>
      </w:tabs>
      <w:spacing w:after="120"/>
      <w:ind w:left="737"/>
      <w:outlineLvl w:val="1"/>
    </w:pPr>
    <w:rPr>
      <w:b/>
      <w:sz w:val="24"/>
    </w:rPr>
  </w:style>
  <w:style w:type="paragraph" w:styleId="Heading3">
    <w:name w:val="heading 3"/>
    <w:aliases w:val="ESPON Heading 3"/>
    <w:basedOn w:val="Normal"/>
    <w:next w:val="Normal"/>
    <w:qFormat/>
    <w:rsid w:val="00AF6C49"/>
    <w:pPr>
      <w:keepNext/>
      <w:numPr>
        <w:ilvl w:val="2"/>
        <w:numId w:val="1"/>
      </w:numPr>
      <w:spacing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qFormat/>
    <w:rsid w:val="001256BE"/>
    <w:pPr>
      <w:tabs>
        <w:tab w:val="left" w:pos="1191"/>
        <w:tab w:val="right" w:leader="dot" w:pos="9356"/>
      </w:tabs>
      <w:spacing w:before="0" w:line="360" w:lineRule="auto"/>
      <w:ind w:right="-1044"/>
      <w:jc w:val="center"/>
    </w:pPr>
    <w:rPr>
      <w:noProof/>
    </w:rPr>
  </w:style>
  <w:style w:type="paragraph" w:styleId="TOC5">
    <w:name w:val="toc 5"/>
    <w:aliases w:val="ESPON Index 5"/>
    <w:basedOn w:val="Normal"/>
    <w:next w:val="Normal"/>
    <w:autoRedefine/>
    <w:semiHidden/>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rsid w:val="00CF018B"/>
    <w:pPr>
      <w:tabs>
        <w:tab w:val="center" w:pos="4536"/>
        <w:tab w:val="right" w:pos="9072"/>
      </w:tabs>
    </w:pPr>
  </w:style>
  <w:style w:type="paragraph" w:styleId="TOC2">
    <w:name w:val="toc 2"/>
    <w:aliases w:val="ESPON Index 2"/>
    <w:basedOn w:val="Normal"/>
    <w:next w:val="Normal"/>
    <w:autoRedefine/>
    <w:uiPriority w:val="39"/>
    <w:qFormat/>
    <w:rsid w:val="00DD69CA"/>
    <w:pPr>
      <w:tabs>
        <w:tab w:val="right" w:leader="dot" w:pos="9356"/>
      </w:tabs>
      <w:spacing w:line="360" w:lineRule="auto"/>
      <w:ind w:left="1191" w:right="1134" w:hanging="907"/>
    </w:pPr>
  </w:style>
  <w:style w:type="paragraph" w:styleId="TOC3">
    <w:name w:val="toc 3"/>
    <w:aliases w:val="ESPON Index 3"/>
    <w:basedOn w:val="Normal"/>
    <w:next w:val="Normal"/>
    <w:autoRedefine/>
    <w:uiPriority w:val="39"/>
    <w:qFormat/>
    <w:rsid w:val="00DD69CA"/>
    <w:pPr>
      <w:tabs>
        <w:tab w:val="right" w:leader="dot" w:pos="9356"/>
      </w:tabs>
      <w:spacing w:line="240" w:lineRule="auto"/>
      <w:ind w:left="1134" w:right="1134" w:hanging="567"/>
    </w:pPr>
  </w:style>
  <w:style w:type="paragraph" w:styleId="TOC4">
    <w:name w:val="toc 4"/>
    <w:aliases w:val="ESPON Index 4"/>
    <w:basedOn w:val="Normal"/>
    <w:next w:val="Normal"/>
    <w:autoRedefine/>
    <w:semiHidden/>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semiHidden/>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semiHidden/>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semiHidden/>
    <w:rsid w:val="00CF018B"/>
    <w:pPr>
      <w:ind w:left="1400"/>
    </w:pPr>
  </w:style>
  <w:style w:type="paragraph" w:styleId="TOC9">
    <w:name w:val="toc 9"/>
    <w:basedOn w:val="Normal"/>
    <w:next w:val="Normal"/>
    <w:autoRedefine/>
    <w:semiHidden/>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link w:val="Heading1"/>
    <w:rsid w:val="00056948"/>
    <w:rPr>
      <w:rFonts w:ascii="Arial" w:hAnsi="Arial"/>
      <w:b/>
      <w:kern w:val="28"/>
      <w:sz w:val="28"/>
      <w:lang w:eastAsia="en-US"/>
    </w:rPr>
  </w:style>
  <w:style w:type="paragraph" w:styleId="Caption">
    <w:name w:val="caption"/>
    <w:basedOn w:val="Normal"/>
    <w:next w:val="Normal"/>
    <w:qFormat/>
    <w:rsid w:val="00D95FA4"/>
    <w:rPr>
      <w:b/>
      <w:bCs/>
    </w:rPr>
  </w:style>
  <w:style w:type="table" w:styleId="TableGrid">
    <w:name w:val="Table Grid"/>
    <w:basedOn w:val="TableNormal"/>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uiPriority w:val="99"/>
    <w:rsid w:val="004E266B"/>
    <w:rPr>
      <w:sz w:val="16"/>
      <w:szCs w:val="16"/>
    </w:rPr>
  </w:style>
  <w:style w:type="paragraph" w:styleId="CommentText">
    <w:name w:val="annotation text"/>
    <w:basedOn w:val="Normal"/>
    <w:link w:val="CommentTextChar"/>
    <w:uiPriority w:val="99"/>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link w:val="BalloonTextChar"/>
    <w:uiPriority w:val="99"/>
    <w:semiHidden/>
    <w:rsid w:val="001B06C0"/>
    <w:rPr>
      <w:rFonts w:ascii="Tahoma" w:hAnsi="Tahoma" w:cs="Tahoma"/>
      <w:sz w:val="16"/>
      <w:szCs w:val="16"/>
    </w:rPr>
  </w:style>
  <w:style w:type="character" w:styleId="FootnoteReference">
    <w:name w:val="footnote reference"/>
    <w:aliases w:val="Footnote symbol,Times 10 Point,Exposant 3 Point"/>
    <w:uiPriority w:val="99"/>
    <w:unhideWhenUsed/>
    <w:rsid w:val="00AF6C49"/>
    <w:rPr>
      <w:rFonts w:ascii="Arial" w:hAnsi="Arial"/>
      <w:vertAlign w:val="superscript"/>
    </w:rPr>
  </w:style>
  <w:style w:type="character" w:customStyle="1" w:styleId="FooterChar">
    <w:name w:val="Footer Char"/>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
    <w:basedOn w:val="Normal"/>
    <w:link w:val="FootnoteTextChar"/>
    <w:uiPriority w:val="99"/>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
    <w:link w:val="FootnoteText"/>
    <w:uiPriority w:val="99"/>
    <w:semiHidden/>
    <w:locked/>
    <w:rsid w:val="0012683A"/>
    <w:rPr>
      <w:rFonts w:ascii="Arial" w:hAnsi="Arial"/>
      <w:lang w:eastAsia="en-US"/>
    </w:rPr>
  </w:style>
  <w:style w:type="table" w:customStyle="1" w:styleId="LightGrid1">
    <w:name w:val="Light Grid1"/>
    <w:basedOn w:val="TableNormal"/>
    <w:uiPriority w:val="62"/>
    <w:rsid w:val="009D67B9"/>
    <w:rPr>
      <w:rFonts w:ascii="Calibri" w:hAnsi="Calibri"/>
      <w:sz w:val="22"/>
      <w:szCs w:val="22"/>
      <w:lang w:val="de-DE" w:eastAsia="de-D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leaf">
    <w:name w:val="leaf"/>
    <w:basedOn w:val="DefaultParagraphFont"/>
    <w:rsid w:val="00073C9E"/>
  </w:style>
  <w:style w:type="character" w:customStyle="1" w:styleId="rightside">
    <w:name w:val="right_side"/>
    <w:basedOn w:val="DefaultParagraphFont"/>
    <w:rsid w:val="00073C9E"/>
  </w:style>
  <w:style w:type="paragraph" w:customStyle="1" w:styleId="Default">
    <w:name w:val="Default"/>
    <w:rsid w:val="00D00C93"/>
    <w:pPr>
      <w:autoSpaceDE w:val="0"/>
      <w:autoSpaceDN w:val="0"/>
      <w:adjustRightInd w:val="0"/>
    </w:pPr>
    <w:rPr>
      <w:rFonts w:ascii="Verdana" w:hAnsi="Verdana" w:cs="Verdana"/>
      <w:color w:val="000000"/>
      <w:sz w:val="24"/>
      <w:szCs w:val="24"/>
    </w:rPr>
  </w:style>
  <w:style w:type="character" w:customStyle="1" w:styleId="BalloonTextChar">
    <w:name w:val="Balloon Text Char"/>
    <w:link w:val="BalloonText"/>
    <w:uiPriority w:val="99"/>
    <w:semiHidden/>
    <w:rsid w:val="00D00C93"/>
    <w:rPr>
      <w:rFonts w:ascii="Tahoma" w:hAnsi="Tahoma" w:cs="Tahoma"/>
      <w:sz w:val="16"/>
      <w:szCs w:val="16"/>
      <w:lang w:eastAsia="en-US"/>
    </w:rPr>
  </w:style>
  <w:style w:type="character" w:customStyle="1" w:styleId="CommentTextChar">
    <w:name w:val="Comment Text Char"/>
    <w:link w:val="CommentText"/>
    <w:uiPriority w:val="99"/>
    <w:rsid w:val="00D00C93"/>
    <w:rPr>
      <w:rFonts w:ascii="Arial" w:hAnsi="Arial"/>
      <w:sz w:val="22"/>
      <w:lang w:eastAsia="en-US"/>
    </w:rPr>
  </w:style>
  <w:style w:type="character" w:customStyle="1" w:styleId="mw-headline">
    <w:name w:val="mw-headline"/>
    <w:rsid w:val="00E36600"/>
  </w:style>
  <w:style w:type="character" w:customStyle="1" w:styleId="ndesc">
    <w:name w:val="ndesc"/>
    <w:rsid w:val="000861FC"/>
  </w:style>
  <w:style w:type="paragraph" w:styleId="TOCHeading">
    <w:name w:val="TOC Heading"/>
    <w:basedOn w:val="Heading1"/>
    <w:next w:val="Normal"/>
    <w:uiPriority w:val="39"/>
    <w:semiHidden/>
    <w:unhideWhenUsed/>
    <w:qFormat/>
    <w:rsid w:val="00C867D8"/>
    <w:pPr>
      <w:keepLines/>
      <w:numPr>
        <w:numId w:val="0"/>
      </w:numPr>
      <w:spacing w:after="0" w:line="276" w:lineRule="auto"/>
      <w:jc w:val="left"/>
      <w:outlineLvl w:val="9"/>
    </w:pPr>
    <w:rPr>
      <w:rFonts w:ascii="Cambria" w:hAnsi="Cambria"/>
      <w:bCs/>
      <w:color w:val="365F91"/>
      <w:kern w:val="0"/>
      <w:szCs w:val="28"/>
      <w:lang w:eastAsia="en-GB"/>
    </w:rPr>
  </w:style>
  <w:style w:type="character" w:styleId="Emphasis">
    <w:name w:val="Emphasis"/>
    <w:basedOn w:val="DefaultParagraphFont"/>
    <w:qFormat/>
    <w:rsid w:val="00EB5A1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221453405">
      <w:bodyDiv w:val="1"/>
      <w:marLeft w:val="0"/>
      <w:marRight w:val="0"/>
      <w:marTop w:val="0"/>
      <w:marBottom w:val="0"/>
      <w:divBdr>
        <w:top w:val="none" w:sz="0" w:space="0" w:color="auto"/>
        <w:left w:val="none" w:sz="0" w:space="0" w:color="auto"/>
        <w:bottom w:val="none" w:sz="0" w:space="0" w:color="auto"/>
        <w:right w:val="none" w:sz="0" w:space="0" w:color="auto"/>
      </w:divBdr>
    </w:div>
    <w:div w:id="239799054">
      <w:bodyDiv w:val="1"/>
      <w:marLeft w:val="0"/>
      <w:marRight w:val="0"/>
      <w:marTop w:val="0"/>
      <w:marBottom w:val="0"/>
      <w:divBdr>
        <w:top w:val="none" w:sz="0" w:space="0" w:color="auto"/>
        <w:left w:val="none" w:sz="0" w:space="0" w:color="auto"/>
        <w:bottom w:val="none" w:sz="0" w:space="0" w:color="auto"/>
        <w:right w:val="none" w:sz="0" w:space="0" w:color="auto"/>
      </w:divBdr>
    </w:div>
    <w:div w:id="291330810">
      <w:bodyDiv w:val="1"/>
      <w:marLeft w:val="0"/>
      <w:marRight w:val="0"/>
      <w:marTop w:val="0"/>
      <w:marBottom w:val="0"/>
      <w:divBdr>
        <w:top w:val="none" w:sz="0" w:space="0" w:color="auto"/>
        <w:left w:val="none" w:sz="0" w:space="0" w:color="auto"/>
        <w:bottom w:val="none" w:sz="0" w:space="0" w:color="auto"/>
        <w:right w:val="none" w:sz="0" w:space="0" w:color="auto"/>
      </w:divBdr>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452018213">
      <w:bodyDiv w:val="1"/>
      <w:marLeft w:val="0"/>
      <w:marRight w:val="0"/>
      <w:marTop w:val="0"/>
      <w:marBottom w:val="0"/>
      <w:divBdr>
        <w:top w:val="none" w:sz="0" w:space="0" w:color="auto"/>
        <w:left w:val="none" w:sz="0" w:space="0" w:color="auto"/>
        <w:bottom w:val="none" w:sz="0" w:space="0" w:color="auto"/>
        <w:right w:val="none" w:sz="0" w:space="0" w:color="auto"/>
      </w:divBdr>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555120092">
      <w:bodyDiv w:val="1"/>
      <w:marLeft w:val="0"/>
      <w:marRight w:val="0"/>
      <w:marTop w:val="0"/>
      <w:marBottom w:val="0"/>
      <w:divBdr>
        <w:top w:val="none" w:sz="0" w:space="0" w:color="auto"/>
        <w:left w:val="none" w:sz="0" w:space="0" w:color="auto"/>
        <w:bottom w:val="none" w:sz="0" w:space="0" w:color="auto"/>
        <w:right w:val="none" w:sz="0" w:space="0" w:color="auto"/>
      </w:divBdr>
    </w:div>
    <w:div w:id="647369643">
      <w:bodyDiv w:val="1"/>
      <w:marLeft w:val="0"/>
      <w:marRight w:val="0"/>
      <w:marTop w:val="0"/>
      <w:marBottom w:val="0"/>
      <w:divBdr>
        <w:top w:val="none" w:sz="0" w:space="0" w:color="auto"/>
        <w:left w:val="none" w:sz="0" w:space="0" w:color="auto"/>
        <w:bottom w:val="none" w:sz="0" w:space="0" w:color="auto"/>
        <w:right w:val="none" w:sz="0" w:space="0" w:color="auto"/>
      </w:divBdr>
    </w:div>
    <w:div w:id="801119893">
      <w:bodyDiv w:val="1"/>
      <w:marLeft w:val="0"/>
      <w:marRight w:val="0"/>
      <w:marTop w:val="0"/>
      <w:marBottom w:val="0"/>
      <w:divBdr>
        <w:top w:val="none" w:sz="0" w:space="0" w:color="auto"/>
        <w:left w:val="none" w:sz="0" w:space="0" w:color="auto"/>
        <w:bottom w:val="none" w:sz="0" w:space="0" w:color="auto"/>
        <w:right w:val="none" w:sz="0" w:space="0" w:color="auto"/>
      </w:divBdr>
    </w:div>
    <w:div w:id="843204110">
      <w:bodyDiv w:val="1"/>
      <w:marLeft w:val="0"/>
      <w:marRight w:val="0"/>
      <w:marTop w:val="0"/>
      <w:marBottom w:val="0"/>
      <w:divBdr>
        <w:top w:val="none" w:sz="0" w:space="0" w:color="auto"/>
        <w:left w:val="none" w:sz="0" w:space="0" w:color="auto"/>
        <w:bottom w:val="none" w:sz="0" w:space="0" w:color="auto"/>
        <w:right w:val="none" w:sz="0" w:space="0" w:color="auto"/>
      </w:divBdr>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901134935">
      <w:bodyDiv w:val="1"/>
      <w:marLeft w:val="0"/>
      <w:marRight w:val="0"/>
      <w:marTop w:val="0"/>
      <w:marBottom w:val="0"/>
      <w:divBdr>
        <w:top w:val="none" w:sz="0" w:space="0" w:color="auto"/>
        <w:left w:val="none" w:sz="0" w:space="0" w:color="auto"/>
        <w:bottom w:val="none" w:sz="0" w:space="0" w:color="auto"/>
        <w:right w:val="none" w:sz="0" w:space="0" w:color="auto"/>
      </w:divBdr>
    </w:div>
    <w:div w:id="941491040">
      <w:bodyDiv w:val="1"/>
      <w:marLeft w:val="0"/>
      <w:marRight w:val="0"/>
      <w:marTop w:val="0"/>
      <w:marBottom w:val="0"/>
      <w:divBdr>
        <w:top w:val="none" w:sz="0" w:space="0" w:color="auto"/>
        <w:left w:val="none" w:sz="0" w:space="0" w:color="auto"/>
        <w:bottom w:val="none" w:sz="0" w:space="0" w:color="auto"/>
        <w:right w:val="none" w:sz="0" w:space="0" w:color="auto"/>
      </w:divBdr>
    </w:div>
    <w:div w:id="968823473">
      <w:bodyDiv w:val="1"/>
      <w:marLeft w:val="0"/>
      <w:marRight w:val="0"/>
      <w:marTop w:val="0"/>
      <w:marBottom w:val="0"/>
      <w:divBdr>
        <w:top w:val="none" w:sz="0" w:space="0" w:color="auto"/>
        <w:left w:val="none" w:sz="0" w:space="0" w:color="auto"/>
        <w:bottom w:val="none" w:sz="0" w:space="0" w:color="auto"/>
        <w:right w:val="none" w:sz="0" w:space="0" w:color="auto"/>
      </w:divBdr>
    </w:div>
    <w:div w:id="1044671836">
      <w:bodyDiv w:val="1"/>
      <w:marLeft w:val="0"/>
      <w:marRight w:val="0"/>
      <w:marTop w:val="0"/>
      <w:marBottom w:val="0"/>
      <w:divBdr>
        <w:top w:val="none" w:sz="0" w:space="0" w:color="auto"/>
        <w:left w:val="none" w:sz="0" w:space="0" w:color="auto"/>
        <w:bottom w:val="none" w:sz="0" w:space="0" w:color="auto"/>
        <w:right w:val="none" w:sz="0" w:space="0" w:color="auto"/>
      </w:divBdr>
    </w:div>
    <w:div w:id="1071318087">
      <w:bodyDiv w:val="1"/>
      <w:marLeft w:val="0"/>
      <w:marRight w:val="0"/>
      <w:marTop w:val="0"/>
      <w:marBottom w:val="0"/>
      <w:divBdr>
        <w:top w:val="none" w:sz="0" w:space="0" w:color="auto"/>
        <w:left w:val="none" w:sz="0" w:space="0" w:color="auto"/>
        <w:bottom w:val="none" w:sz="0" w:space="0" w:color="auto"/>
        <w:right w:val="none" w:sz="0" w:space="0" w:color="auto"/>
      </w:divBdr>
    </w:div>
    <w:div w:id="1145006227">
      <w:bodyDiv w:val="1"/>
      <w:marLeft w:val="0"/>
      <w:marRight w:val="0"/>
      <w:marTop w:val="0"/>
      <w:marBottom w:val="0"/>
      <w:divBdr>
        <w:top w:val="none" w:sz="0" w:space="0" w:color="auto"/>
        <w:left w:val="none" w:sz="0" w:space="0" w:color="auto"/>
        <w:bottom w:val="none" w:sz="0" w:space="0" w:color="auto"/>
        <w:right w:val="none" w:sz="0" w:space="0" w:color="auto"/>
      </w:divBdr>
    </w:div>
    <w:div w:id="1150293711">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283342642">
      <w:bodyDiv w:val="1"/>
      <w:marLeft w:val="0"/>
      <w:marRight w:val="0"/>
      <w:marTop w:val="0"/>
      <w:marBottom w:val="0"/>
      <w:divBdr>
        <w:top w:val="none" w:sz="0" w:space="0" w:color="auto"/>
        <w:left w:val="none" w:sz="0" w:space="0" w:color="auto"/>
        <w:bottom w:val="none" w:sz="0" w:space="0" w:color="auto"/>
        <w:right w:val="none" w:sz="0" w:space="0" w:color="auto"/>
      </w:divBdr>
    </w:div>
    <w:div w:id="1359891324">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502624674">
      <w:bodyDiv w:val="1"/>
      <w:marLeft w:val="0"/>
      <w:marRight w:val="0"/>
      <w:marTop w:val="0"/>
      <w:marBottom w:val="0"/>
      <w:divBdr>
        <w:top w:val="none" w:sz="0" w:space="0" w:color="auto"/>
        <w:left w:val="none" w:sz="0" w:space="0" w:color="auto"/>
        <w:bottom w:val="none" w:sz="0" w:space="0" w:color="auto"/>
        <w:right w:val="none" w:sz="0" w:space="0" w:color="auto"/>
      </w:divBdr>
    </w:div>
    <w:div w:id="1508791447">
      <w:bodyDiv w:val="1"/>
      <w:marLeft w:val="0"/>
      <w:marRight w:val="0"/>
      <w:marTop w:val="0"/>
      <w:marBottom w:val="0"/>
      <w:divBdr>
        <w:top w:val="none" w:sz="0" w:space="0" w:color="auto"/>
        <w:left w:val="none" w:sz="0" w:space="0" w:color="auto"/>
        <w:bottom w:val="none" w:sz="0" w:space="0" w:color="auto"/>
        <w:right w:val="none" w:sz="0" w:space="0" w:color="auto"/>
      </w:divBdr>
    </w:div>
    <w:div w:id="1533881419">
      <w:bodyDiv w:val="1"/>
      <w:marLeft w:val="0"/>
      <w:marRight w:val="0"/>
      <w:marTop w:val="0"/>
      <w:marBottom w:val="0"/>
      <w:divBdr>
        <w:top w:val="none" w:sz="0" w:space="0" w:color="auto"/>
        <w:left w:val="none" w:sz="0" w:space="0" w:color="auto"/>
        <w:bottom w:val="none" w:sz="0" w:space="0" w:color="auto"/>
        <w:right w:val="none" w:sz="0" w:space="0" w:color="auto"/>
      </w:divBdr>
    </w:div>
    <w:div w:id="1716735778">
      <w:bodyDiv w:val="1"/>
      <w:marLeft w:val="0"/>
      <w:marRight w:val="0"/>
      <w:marTop w:val="0"/>
      <w:marBottom w:val="0"/>
      <w:divBdr>
        <w:top w:val="none" w:sz="0" w:space="0" w:color="auto"/>
        <w:left w:val="none" w:sz="0" w:space="0" w:color="auto"/>
        <w:bottom w:val="none" w:sz="0" w:space="0" w:color="auto"/>
        <w:right w:val="none" w:sz="0" w:space="0" w:color="auto"/>
      </w:divBdr>
    </w:div>
    <w:div w:id="1831747034">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 w:id="2033726273">
      <w:bodyDiv w:val="1"/>
      <w:marLeft w:val="0"/>
      <w:marRight w:val="0"/>
      <w:marTop w:val="0"/>
      <w:marBottom w:val="0"/>
      <w:divBdr>
        <w:top w:val="none" w:sz="0" w:space="0" w:color="auto"/>
        <w:left w:val="none" w:sz="0" w:space="0" w:color="auto"/>
        <w:bottom w:val="none" w:sz="0" w:space="0" w:color="auto"/>
        <w:right w:val="none" w:sz="0" w:space="0" w:color="auto"/>
      </w:divBdr>
    </w:div>
    <w:div w:id="2059939627">
      <w:bodyDiv w:val="1"/>
      <w:marLeft w:val="0"/>
      <w:marRight w:val="0"/>
      <w:marTop w:val="0"/>
      <w:marBottom w:val="0"/>
      <w:divBdr>
        <w:top w:val="none" w:sz="0" w:space="0" w:color="auto"/>
        <w:left w:val="none" w:sz="0" w:space="0" w:color="auto"/>
        <w:bottom w:val="none" w:sz="0" w:space="0" w:color="auto"/>
        <w:right w:val="none" w:sz="0" w:space="0" w:color="auto"/>
      </w:divBdr>
    </w:div>
    <w:div w:id="2125997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tif"/><Relationship Id="rId26" Type="http://schemas.openxmlformats.org/officeDocument/2006/relationships/chart" Target="charts/chart6.xml"/><Relationship Id="rId39" Type="http://schemas.openxmlformats.org/officeDocument/2006/relationships/hyperlink" Target="http://www.eurac.it/en/research/institutes/imr/Documents/romaglob_final.pdf" TargetMode="External"/><Relationship Id="rId21" Type="http://schemas.openxmlformats.org/officeDocument/2006/relationships/chart" Target="charts/chart1.xml"/><Relationship Id="rId34" Type="http://schemas.openxmlformats.org/officeDocument/2006/relationships/image" Target="media/image11.jpeg"/><Relationship Id="rId42" Type="http://schemas.openxmlformats.org/officeDocument/2006/relationships/image" Target="media/image16.png"/><Relationship Id="rId47" Type="http://schemas.openxmlformats.org/officeDocument/2006/relationships/image" Target="media/image21.emf"/><Relationship Id="rId50" Type="http://schemas.openxmlformats.org/officeDocument/2006/relationships/image" Target="media/image24.png"/><Relationship Id="rId55"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footer" Target="footer4.xml"/><Relationship Id="rId25" Type="http://schemas.openxmlformats.org/officeDocument/2006/relationships/chart" Target="charts/chart5.xml"/><Relationship Id="rId33" Type="http://schemas.openxmlformats.org/officeDocument/2006/relationships/image" Target="media/image10.jpeg"/><Relationship Id="rId38" Type="http://schemas.openxmlformats.org/officeDocument/2006/relationships/image" Target="media/image14.emf"/><Relationship Id="rId46"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hyperlink" Target="http://www.espon.eu" TargetMode="External"/><Relationship Id="rId20" Type="http://schemas.openxmlformats.org/officeDocument/2006/relationships/image" Target="media/image3.tif"/><Relationship Id="rId29" Type="http://schemas.openxmlformats.org/officeDocument/2006/relationships/image" Target="media/image6.jpeg"/><Relationship Id="rId41" Type="http://schemas.openxmlformats.org/officeDocument/2006/relationships/image" Target="media/image15.png"/><Relationship Id="rId54" Type="http://schemas.openxmlformats.org/officeDocument/2006/relationships/image" Target="media/image27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chart" Target="charts/chart4.xml"/><Relationship Id="rId32" Type="http://schemas.openxmlformats.org/officeDocument/2006/relationships/image" Target="media/image9.jpeg"/><Relationship Id="rId37" Type="http://schemas.openxmlformats.org/officeDocument/2006/relationships/chart" Target="charts/chart7.xml"/><Relationship Id="rId40" Type="http://schemas.openxmlformats.org/officeDocument/2006/relationships/hyperlink" Target="http://www.coe.int/t/dg3/romatravellers/archive/documentation/housing/DaskalovaHousing_en.asp" TargetMode="External"/><Relationship Id="rId45" Type="http://schemas.openxmlformats.org/officeDocument/2006/relationships/image" Target="media/image19.png"/><Relationship Id="rId53" Type="http://schemas.openxmlformats.org/officeDocument/2006/relationships/image" Target="media/image27.emf"/><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chart" Target="charts/chart3.xml"/><Relationship Id="rId28" Type="http://schemas.openxmlformats.org/officeDocument/2006/relationships/image" Target="media/image5.jpeg"/><Relationship Id="rId36" Type="http://schemas.openxmlformats.org/officeDocument/2006/relationships/image" Target="media/image13.jpeg"/><Relationship Id="rId49"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image" Target="media/image8.jpeg"/><Relationship Id="rId44" Type="http://schemas.openxmlformats.org/officeDocument/2006/relationships/image" Target="media/image18.png"/><Relationship Id="rId52" Type="http://schemas.openxmlformats.org/officeDocument/2006/relationships/image" Target="media/image2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chart" Target="charts/chart2.xml"/><Relationship Id="rId27"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5.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Kati\Documents\F&#337;%20dokumentumok\Munk&#225;k%202013\ESPON\Szlov&#225;k%20esettanulm&#225;ny\Adatok,%20grafik&#225;k\Szlov&#225;k%20gy&#369;jt&#233;s.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Kati\Documents\F&#337;%20dokumentumok\Munk&#225;k%202013\ESPON\Szlov&#225;k%20esettanulm&#225;ny\Adatok,%20grafik&#225;k\Szlov&#225;k%20gy&#369;jt&#233;s.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Kati\Documents\F&#337;%20dokumentumok\Munk&#225;k%202013\ESPON\Adatok\Szlov&#225;k%20adatok\Szlov&#225;k%20szeg&#233;nys&#233;g-SILC%20&#233;s%20&#233;vk&#246;nyv.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Kati\Documents\F&#337;%20dokumentumok\Munk&#225;k%202013\ESPON\Szlov&#225;k%20esettanulm&#225;ny\Adatok,%20grafik&#225;k\UNDP%20szlov&#225;k-magyar-2.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Kati\Documents\F&#337;%20dokumentumok\Munk&#225;k%202013\ESPON\Szlov&#225;k%20esettanulm&#225;ny\Adatok,%20grafik&#225;k\UNDP%20szlov&#225;k-magyar-2.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Kati\Documents\F&#337;%20dokumentumok\Munk&#225;k%202013\ESPON\Szlov&#225;k%20esettanulm&#225;ny\Adatok,%20grafik&#225;k\Szlov&#225;k%20gy&#369;jt&#233;s.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Kati\Documents\F&#337;%20dokumentumok\Munk&#225;k%202013\ESPON\Szlov&#225;k%20esettanulm&#225;ny\Adatok,%20grafik&#225;k\Szlov&#225;k%20gy&#369;jt&#233;s.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en-GB" sz="1100"/>
            </a:pPr>
            <a:r>
              <a:rPr lang="en-US" sz="1100">
                <a:latin typeface="Arial" panose="020B0604020202020204" pitchFamily="34" charset="0"/>
                <a:cs typeface="Arial" panose="020B0604020202020204" pitchFamily="34" charset="0"/>
              </a:rPr>
              <a:t>Rate of popu</a:t>
            </a:r>
            <a:r>
              <a:rPr lang="hu-HU" sz="1100">
                <a:latin typeface="Arial" panose="020B0604020202020204" pitchFamily="34" charset="0"/>
                <a:cs typeface="Arial" panose="020B0604020202020204" pitchFamily="34" charset="0"/>
              </a:rPr>
              <a:t>l</a:t>
            </a:r>
            <a:r>
              <a:rPr lang="en-US" sz="1100">
                <a:latin typeface="Arial" panose="020B0604020202020204" pitchFamily="34" charset="0"/>
                <a:cs typeface="Arial" panose="020B0604020202020204" pitchFamily="34" charset="0"/>
              </a:rPr>
              <a:t>ation neither</a:t>
            </a:r>
            <a:r>
              <a:rPr lang="hu-HU" sz="1100">
                <a:latin typeface="Arial" panose="020B0604020202020204" pitchFamily="34" charset="0"/>
                <a:cs typeface="Arial" panose="020B0604020202020204" pitchFamily="34" charset="0"/>
              </a:rPr>
              <a:t> at risk of poverty nor severely materially deprived nor living in a household with low work intensity</a:t>
            </a:r>
            <a:r>
              <a:rPr lang="en-US" sz="1100">
                <a:latin typeface="Arial" panose="020B0604020202020204" pitchFamily="34" charset="0"/>
                <a:cs typeface="Arial" panose="020B0604020202020204" pitchFamily="34" charset="0"/>
              </a:rPr>
              <a:t> </a:t>
            </a:r>
          </a:p>
        </c:rich>
      </c:tx>
      <c:overlay val="0"/>
    </c:title>
    <c:autoTitleDeleted val="0"/>
    <c:plotArea>
      <c:layout/>
      <c:barChart>
        <c:barDir val="col"/>
        <c:grouping val="clustered"/>
        <c:varyColors val="0"/>
        <c:ser>
          <c:idx val="0"/>
          <c:order val="0"/>
          <c:tx>
            <c:strRef>
              <c:f>'pandan-kép jó'!$C$9</c:f>
              <c:strCache>
                <c:ptCount val="1"/>
                <c:pt idx="0">
                  <c:v>2005</c:v>
                </c:pt>
              </c:strCache>
            </c:strRef>
          </c:tx>
          <c:invertIfNegative val="0"/>
          <c:dPt>
            <c:idx val="4"/>
            <c:invertIfNegative val="0"/>
            <c:bubble3D val="0"/>
            <c:spPr>
              <a:solidFill>
                <a:schemeClr val="accent1"/>
              </a:solidFill>
            </c:spPr>
          </c:dPt>
          <c:dPt>
            <c:idx val="5"/>
            <c:invertIfNegative val="0"/>
            <c:bubble3D val="0"/>
            <c:spPr>
              <a:solidFill>
                <a:schemeClr val="tx2">
                  <a:lumMod val="40000"/>
                  <a:lumOff val="60000"/>
                </a:schemeClr>
              </a:solidFill>
            </c:spPr>
          </c:dPt>
          <c:dPt>
            <c:idx val="7"/>
            <c:invertIfNegative val="0"/>
            <c:bubble3D val="0"/>
            <c:spPr>
              <a:solidFill>
                <a:schemeClr val="tx2"/>
              </a:solidFill>
            </c:spPr>
          </c:dPt>
          <c:dPt>
            <c:idx val="9"/>
            <c:invertIfNegative val="0"/>
            <c:bubble3D val="0"/>
            <c:spPr>
              <a:solidFill>
                <a:schemeClr val="accent1">
                  <a:lumMod val="60000"/>
                  <a:lumOff val="40000"/>
                </a:schemeClr>
              </a:solidFill>
            </c:spPr>
          </c:dPt>
          <c:cat>
            <c:strRef>
              <c:f>'pandan-kép jó'!$B$10:$B$21</c:f>
              <c:strCache>
                <c:ptCount val="12"/>
                <c:pt idx="0">
                  <c:v>Bulgaria</c:v>
                </c:pt>
                <c:pt idx="1">
                  <c:v>Romania</c:v>
                </c:pt>
                <c:pt idx="2">
                  <c:v>Latvia</c:v>
                </c:pt>
                <c:pt idx="3">
                  <c:v>Lithuania</c:v>
                </c:pt>
                <c:pt idx="4">
                  <c:v>Hungary</c:v>
                </c:pt>
                <c:pt idx="5">
                  <c:v>New Member States (12 countries)</c:v>
                </c:pt>
                <c:pt idx="6">
                  <c:v>Poland</c:v>
                </c:pt>
                <c:pt idx="7">
                  <c:v>European Union (27 countries)</c:v>
                </c:pt>
                <c:pt idx="8">
                  <c:v>Estonia</c:v>
                </c:pt>
                <c:pt idx="9">
                  <c:v>Slovakia</c:v>
                </c:pt>
                <c:pt idx="10">
                  <c:v>Slovenia</c:v>
                </c:pt>
                <c:pt idx="11">
                  <c:v>Czech Republic</c:v>
                </c:pt>
              </c:strCache>
            </c:strRef>
          </c:cat>
          <c:val>
            <c:numRef>
              <c:f>'pandan-kép jó'!$C$10:$C$21</c:f>
              <c:numCache>
                <c:formatCode>General</c:formatCode>
                <c:ptCount val="12"/>
                <c:pt idx="2" formatCode="#,##0.0">
                  <c:v>54.2</c:v>
                </c:pt>
                <c:pt idx="3" formatCode="#,##0.0">
                  <c:v>59</c:v>
                </c:pt>
                <c:pt idx="4" formatCode="#,##0.0">
                  <c:v>67.900000000000006</c:v>
                </c:pt>
                <c:pt idx="5" formatCode="#,##0.0">
                  <c:v>59</c:v>
                </c:pt>
                <c:pt idx="6" formatCode="#,##0.0">
                  <c:v>54.7</c:v>
                </c:pt>
                <c:pt idx="7" formatCode="#,##0.0">
                  <c:v>74.400000000000006</c:v>
                </c:pt>
                <c:pt idx="8" formatCode="#,##0.0">
                  <c:v>74.099999999999994</c:v>
                </c:pt>
                <c:pt idx="9" formatCode="#,##0.0">
                  <c:v>68</c:v>
                </c:pt>
                <c:pt idx="10" formatCode="#,##0.0">
                  <c:v>81.5</c:v>
                </c:pt>
                <c:pt idx="11" formatCode="#,##0.0">
                  <c:v>80.400000000000006</c:v>
                </c:pt>
              </c:numCache>
            </c:numRef>
          </c:val>
        </c:ser>
        <c:ser>
          <c:idx val="1"/>
          <c:order val="1"/>
          <c:tx>
            <c:strRef>
              <c:f>'pandan-kép jó'!$D$9</c:f>
              <c:strCache>
                <c:ptCount val="1"/>
                <c:pt idx="0">
                  <c:v>2011</c:v>
                </c:pt>
              </c:strCache>
            </c:strRef>
          </c:tx>
          <c:invertIfNegative val="0"/>
          <c:dPt>
            <c:idx val="4"/>
            <c:invertIfNegative val="0"/>
            <c:bubble3D val="0"/>
            <c:spPr>
              <a:solidFill>
                <a:schemeClr val="accent2"/>
              </a:solidFill>
            </c:spPr>
          </c:dPt>
          <c:dPt>
            <c:idx val="5"/>
            <c:invertIfNegative val="0"/>
            <c:bubble3D val="0"/>
            <c:spPr>
              <a:solidFill>
                <a:srgbClr val="FF5050"/>
              </a:solidFill>
            </c:spPr>
          </c:dPt>
          <c:dPt>
            <c:idx val="7"/>
            <c:invertIfNegative val="0"/>
            <c:bubble3D val="0"/>
            <c:spPr>
              <a:solidFill>
                <a:srgbClr val="FF0000"/>
              </a:solidFill>
            </c:spPr>
          </c:dPt>
          <c:dPt>
            <c:idx val="9"/>
            <c:invertIfNegative val="0"/>
            <c:bubble3D val="0"/>
            <c:spPr>
              <a:solidFill>
                <a:schemeClr val="accent2">
                  <a:lumMod val="40000"/>
                  <a:lumOff val="60000"/>
                </a:schemeClr>
              </a:solidFill>
            </c:spPr>
          </c:dPt>
          <c:cat>
            <c:strRef>
              <c:f>'pandan-kép jó'!$B$10:$B$21</c:f>
              <c:strCache>
                <c:ptCount val="12"/>
                <c:pt idx="0">
                  <c:v>Bulgaria</c:v>
                </c:pt>
                <c:pt idx="1">
                  <c:v>Romania</c:v>
                </c:pt>
                <c:pt idx="2">
                  <c:v>Latvia</c:v>
                </c:pt>
                <c:pt idx="3">
                  <c:v>Lithuania</c:v>
                </c:pt>
                <c:pt idx="4">
                  <c:v>Hungary</c:v>
                </c:pt>
                <c:pt idx="5">
                  <c:v>New Member States (12 countries)</c:v>
                </c:pt>
                <c:pt idx="6">
                  <c:v>Poland</c:v>
                </c:pt>
                <c:pt idx="7">
                  <c:v>European Union (27 countries)</c:v>
                </c:pt>
                <c:pt idx="8">
                  <c:v>Estonia</c:v>
                </c:pt>
                <c:pt idx="9">
                  <c:v>Slovakia</c:v>
                </c:pt>
                <c:pt idx="10">
                  <c:v>Slovenia</c:v>
                </c:pt>
                <c:pt idx="11">
                  <c:v>Czech Republic</c:v>
                </c:pt>
              </c:strCache>
            </c:strRef>
          </c:cat>
          <c:val>
            <c:numRef>
              <c:f>'pandan-kép jó'!$D$10:$D$21</c:f>
              <c:numCache>
                <c:formatCode>#,##0.0</c:formatCode>
                <c:ptCount val="12"/>
                <c:pt idx="0">
                  <c:v>52.9</c:v>
                </c:pt>
                <c:pt idx="1">
                  <c:v>59.7</c:v>
                </c:pt>
                <c:pt idx="2">
                  <c:v>59.9</c:v>
                </c:pt>
                <c:pt idx="3">
                  <c:v>66.599999999999994</c:v>
                </c:pt>
                <c:pt idx="4">
                  <c:v>69</c:v>
                </c:pt>
                <c:pt idx="5">
                  <c:v>69.599999999999994</c:v>
                </c:pt>
                <c:pt idx="6">
                  <c:v>72.8</c:v>
                </c:pt>
                <c:pt idx="7">
                  <c:v>75.900000000000006</c:v>
                </c:pt>
                <c:pt idx="8">
                  <c:v>76.900000000000006</c:v>
                </c:pt>
                <c:pt idx="9">
                  <c:v>79.400000000000006</c:v>
                </c:pt>
                <c:pt idx="10">
                  <c:v>80.7</c:v>
                </c:pt>
                <c:pt idx="11">
                  <c:v>84.7</c:v>
                </c:pt>
              </c:numCache>
            </c:numRef>
          </c:val>
        </c:ser>
        <c:dLbls>
          <c:showLegendKey val="0"/>
          <c:showVal val="0"/>
          <c:showCatName val="0"/>
          <c:showSerName val="0"/>
          <c:showPercent val="0"/>
          <c:showBubbleSize val="0"/>
        </c:dLbls>
        <c:gapWidth val="150"/>
        <c:axId val="214307584"/>
        <c:axId val="214309120"/>
      </c:barChart>
      <c:catAx>
        <c:axId val="214307584"/>
        <c:scaling>
          <c:orientation val="minMax"/>
        </c:scaling>
        <c:delete val="0"/>
        <c:axPos val="b"/>
        <c:numFmt formatCode="General" sourceLinked="0"/>
        <c:majorTickMark val="none"/>
        <c:minorTickMark val="none"/>
        <c:tickLblPos val="nextTo"/>
        <c:txPr>
          <a:bodyPr/>
          <a:lstStyle/>
          <a:p>
            <a:pPr>
              <a:defRPr lang="en-GB"/>
            </a:pPr>
            <a:endParaRPr lang="fi-FI"/>
          </a:p>
        </c:txPr>
        <c:crossAx val="214309120"/>
        <c:crosses val="autoZero"/>
        <c:auto val="1"/>
        <c:lblAlgn val="ctr"/>
        <c:lblOffset val="100"/>
        <c:noMultiLvlLbl val="0"/>
      </c:catAx>
      <c:valAx>
        <c:axId val="214309120"/>
        <c:scaling>
          <c:orientation val="minMax"/>
        </c:scaling>
        <c:delete val="0"/>
        <c:axPos val="l"/>
        <c:majorGridlines/>
        <c:numFmt formatCode="General" sourceLinked="1"/>
        <c:majorTickMark val="none"/>
        <c:minorTickMark val="none"/>
        <c:tickLblPos val="nextTo"/>
        <c:txPr>
          <a:bodyPr/>
          <a:lstStyle/>
          <a:p>
            <a:pPr>
              <a:defRPr lang="en-GB"/>
            </a:pPr>
            <a:endParaRPr lang="fi-FI"/>
          </a:p>
        </c:txPr>
        <c:crossAx val="214307584"/>
        <c:crosses val="autoZero"/>
        <c:crossBetween val="between"/>
      </c:valAx>
    </c:plotArea>
    <c:legend>
      <c:legendPos val="r"/>
      <c:overlay val="0"/>
      <c:txPr>
        <a:bodyPr/>
        <a:lstStyle/>
        <a:p>
          <a:pPr>
            <a:defRPr lang="en-GB"/>
          </a:pPr>
          <a:endParaRPr lang="fi-FI"/>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en-GB" sz="1100">
                <a:latin typeface="Arial" panose="020B0604020202020204" pitchFamily="34" charset="0"/>
                <a:cs typeface="Arial" panose="020B0604020202020204" pitchFamily="34" charset="0"/>
              </a:defRPr>
            </a:pPr>
            <a:r>
              <a:rPr lang="en-US" sz="1100">
                <a:latin typeface="Arial" panose="020B0604020202020204" pitchFamily="34" charset="0"/>
                <a:cs typeface="Arial" panose="020B0604020202020204" pitchFamily="34" charset="0"/>
              </a:rPr>
              <a:t>Population at risk of poverty, severely materially deprived and living in a household with low work intensity</a:t>
            </a:r>
            <a:r>
              <a:rPr lang="hu-HU" sz="1100">
                <a:latin typeface="Arial" panose="020B0604020202020204" pitchFamily="34" charset="0"/>
                <a:cs typeface="Arial" panose="020B0604020202020204" pitchFamily="34" charset="0"/>
              </a:rPr>
              <a:t>, </a:t>
            </a:r>
            <a:r>
              <a:rPr lang="en-US" sz="1100">
                <a:latin typeface="Arial" panose="020B0604020202020204" pitchFamily="34" charset="0"/>
                <a:cs typeface="Arial" panose="020B0604020202020204" pitchFamily="34" charset="0"/>
              </a:rPr>
              <a:t>2011</a:t>
            </a:r>
          </a:p>
        </c:rich>
      </c:tx>
      <c:overlay val="0"/>
    </c:title>
    <c:autoTitleDeleted val="0"/>
    <c:plotArea>
      <c:layout/>
      <c:barChart>
        <c:barDir val="col"/>
        <c:grouping val="clustered"/>
        <c:varyColors val="0"/>
        <c:ser>
          <c:idx val="0"/>
          <c:order val="0"/>
          <c:tx>
            <c:strRef>
              <c:f>halmozott!$M$1</c:f>
              <c:strCache>
                <c:ptCount val="1"/>
                <c:pt idx="0">
                  <c:v>2011</c:v>
                </c:pt>
              </c:strCache>
            </c:strRef>
          </c:tx>
          <c:invertIfNegative val="0"/>
          <c:dPt>
            <c:idx val="12"/>
            <c:invertIfNegative val="0"/>
            <c:bubble3D val="0"/>
            <c:spPr>
              <a:solidFill>
                <a:schemeClr val="accent3">
                  <a:lumMod val="75000"/>
                </a:schemeClr>
              </a:solidFill>
            </c:spPr>
          </c:dPt>
          <c:dPt>
            <c:idx val="14"/>
            <c:invertIfNegative val="0"/>
            <c:bubble3D val="0"/>
            <c:spPr>
              <a:solidFill>
                <a:schemeClr val="accent3">
                  <a:lumMod val="75000"/>
                </a:schemeClr>
              </a:solidFill>
            </c:spPr>
          </c:dPt>
          <c:dPt>
            <c:idx val="17"/>
            <c:invertIfNegative val="0"/>
            <c:bubble3D val="0"/>
            <c:spPr>
              <a:solidFill>
                <a:srgbClr val="A50021"/>
              </a:solidFill>
            </c:spPr>
          </c:dPt>
          <c:dPt>
            <c:idx val="18"/>
            <c:invertIfNegative val="0"/>
            <c:bubble3D val="0"/>
            <c:spPr>
              <a:solidFill>
                <a:schemeClr val="accent3">
                  <a:lumMod val="75000"/>
                </a:schemeClr>
              </a:solidFill>
            </c:spPr>
          </c:dPt>
          <c:dPt>
            <c:idx val="19"/>
            <c:invertIfNegative val="0"/>
            <c:bubble3D val="0"/>
            <c:spPr>
              <a:solidFill>
                <a:srgbClr val="FF0000"/>
              </a:solidFill>
            </c:spPr>
          </c:dPt>
          <c:dPt>
            <c:idx val="21"/>
            <c:invertIfNegative val="0"/>
            <c:bubble3D val="0"/>
            <c:spPr>
              <a:solidFill>
                <a:schemeClr val="accent3">
                  <a:lumMod val="75000"/>
                </a:schemeClr>
              </a:solidFill>
            </c:spPr>
          </c:dPt>
          <c:dPt>
            <c:idx val="22"/>
            <c:invertIfNegative val="0"/>
            <c:bubble3D val="0"/>
            <c:spPr>
              <a:solidFill>
                <a:schemeClr val="accent1"/>
              </a:solidFill>
            </c:spPr>
          </c:dPt>
          <c:dPt>
            <c:idx val="23"/>
            <c:invertIfNegative val="0"/>
            <c:bubble3D val="0"/>
            <c:spPr>
              <a:solidFill>
                <a:schemeClr val="accent2">
                  <a:lumMod val="60000"/>
                  <a:lumOff val="40000"/>
                </a:schemeClr>
              </a:solidFill>
            </c:spPr>
          </c:dPt>
          <c:dPt>
            <c:idx val="24"/>
            <c:invertIfNegative val="0"/>
            <c:bubble3D val="0"/>
            <c:spPr>
              <a:solidFill>
                <a:schemeClr val="accent1"/>
              </a:solidFill>
            </c:spPr>
          </c:dPt>
          <c:dPt>
            <c:idx val="25"/>
            <c:invertIfNegative val="0"/>
            <c:bubble3D val="0"/>
            <c:spPr>
              <a:solidFill>
                <a:schemeClr val="accent3">
                  <a:lumMod val="75000"/>
                </a:schemeClr>
              </a:solidFill>
            </c:spPr>
          </c:dPt>
          <c:dPt>
            <c:idx val="26"/>
            <c:invertIfNegative val="0"/>
            <c:bubble3D val="0"/>
            <c:spPr>
              <a:solidFill>
                <a:schemeClr val="accent3">
                  <a:lumMod val="40000"/>
                  <a:lumOff val="60000"/>
                </a:schemeClr>
              </a:solidFill>
            </c:spPr>
          </c:dPt>
          <c:dPt>
            <c:idx val="28"/>
            <c:invertIfNegative val="0"/>
            <c:bubble3D val="0"/>
            <c:spPr>
              <a:solidFill>
                <a:schemeClr val="accent3">
                  <a:lumMod val="75000"/>
                </a:schemeClr>
              </a:solidFill>
            </c:spPr>
          </c:dPt>
          <c:dPt>
            <c:idx val="29"/>
            <c:invertIfNegative val="0"/>
            <c:bubble3D val="0"/>
            <c:spPr>
              <a:solidFill>
                <a:schemeClr val="accent3">
                  <a:lumMod val="75000"/>
                </a:schemeClr>
              </a:solidFill>
            </c:spPr>
          </c:dPt>
          <c:dPt>
            <c:idx val="30"/>
            <c:invertIfNegative val="0"/>
            <c:bubble3D val="0"/>
            <c:spPr>
              <a:solidFill>
                <a:schemeClr val="accent3">
                  <a:lumMod val="75000"/>
                </a:schemeClr>
              </a:solidFill>
            </c:spPr>
          </c:dPt>
          <c:dPt>
            <c:idx val="31"/>
            <c:invertIfNegative val="0"/>
            <c:bubble3D val="0"/>
            <c:spPr>
              <a:solidFill>
                <a:schemeClr val="accent3">
                  <a:lumMod val="75000"/>
                </a:schemeClr>
              </a:solidFill>
            </c:spPr>
          </c:dPt>
          <c:dPt>
            <c:idx val="32"/>
            <c:invertIfNegative val="0"/>
            <c:bubble3D val="0"/>
            <c:spPr>
              <a:solidFill>
                <a:schemeClr val="accent3">
                  <a:lumMod val="75000"/>
                </a:schemeClr>
              </a:solidFill>
            </c:spPr>
          </c:dPt>
          <c:cat>
            <c:strRef>
              <c:f>halmozott!$L$2:$L$34</c:f>
              <c:strCache>
                <c:ptCount val="33"/>
                <c:pt idx="0">
                  <c:v>Luxembourg</c:v>
                </c:pt>
                <c:pt idx="1">
                  <c:v>Iceland</c:v>
                </c:pt>
                <c:pt idx="2">
                  <c:v>Switzerland</c:v>
                </c:pt>
                <c:pt idx="3">
                  <c:v>Sweden</c:v>
                </c:pt>
                <c:pt idx="4">
                  <c:v>Denmark</c:v>
                </c:pt>
                <c:pt idx="5">
                  <c:v>Cyprus</c:v>
                </c:pt>
                <c:pt idx="6">
                  <c:v>Norway</c:v>
                </c:pt>
                <c:pt idx="7">
                  <c:v>Netherlands</c:v>
                </c:pt>
                <c:pt idx="8">
                  <c:v>Finland</c:v>
                </c:pt>
                <c:pt idx="9">
                  <c:v>Spain</c:v>
                </c:pt>
                <c:pt idx="10">
                  <c:v>Malta</c:v>
                </c:pt>
                <c:pt idx="11">
                  <c:v>Austria</c:v>
                </c:pt>
                <c:pt idx="12">
                  <c:v>Slovenia</c:v>
                </c:pt>
                <c:pt idx="13">
                  <c:v>United Kingdom</c:v>
                </c:pt>
                <c:pt idx="14">
                  <c:v>Czech Republic</c:v>
                </c:pt>
                <c:pt idx="15">
                  <c:v>France</c:v>
                </c:pt>
                <c:pt idx="16">
                  <c:v>Portugal</c:v>
                </c:pt>
                <c:pt idx="17">
                  <c:v>European Union (15 countries)</c:v>
                </c:pt>
                <c:pt idx="18">
                  <c:v>Poland</c:v>
                </c:pt>
                <c:pt idx="19">
                  <c:v>European Union (27 countries)</c:v>
                </c:pt>
                <c:pt idx="20">
                  <c:v>Italy</c:v>
                </c:pt>
                <c:pt idx="21">
                  <c:v>Romania</c:v>
                </c:pt>
                <c:pt idx="22">
                  <c:v>Germany (including  former GDR from 1991)</c:v>
                </c:pt>
                <c:pt idx="23">
                  <c:v>New Member States (12 countries)</c:v>
                </c:pt>
                <c:pt idx="24">
                  <c:v>Belgium</c:v>
                </c:pt>
                <c:pt idx="25">
                  <c:v>Estonia</c:v>
                </c:pt>
                <c:pt idx="26">
                  <c:v>Slovakia</c:v>
                </c:pt>
                <c:pt idx="27">
                  <c:v>Greece</c:v>
                </c:pt>
                <c:pt idx="28">
                  <c:v>Lithuania</c:v>
                </c:pt>
                <c:pt idx="29">
                  <c:v>Croatia</c:v>
                </c:pt>
                <c:pt idx="30">
                  <c:v>Hungary</c:v>
                </c:pt>
                <c:pt idx="31">
                  <c:v>Latvia</c:v>
                </c:pt>
                <c:pt idx="32">
                  <c:v>Bulgaria</c:v>
                </c:pt>
              </c:strCache>
            </c:strRef>
          </c:cat>
          <c:val>
            <c:numRef>
              <c:f>halmozott!$M$2:$M$34</c:f>
              <c:numCache>
                <c:formatCode>#,##0.0</c:formatCode>
                <c:ptCount val="33"/>
                <c:pt idx="0">
                  <c:v>0.1</c:v>
                </c:pt>
                <c:pt idx="1">
                  <c:v>0.2</c:v>
                </c:pt>
                <c:pt idx="2">
                  <c:v>0.30000000000000032</c:v>
                </c:pt>
                <c:pt idx="3">
                  <c:v>0.4</c:v>
                </c:pt>
                <c:pt idx="4">
                  <c:v>0.5</c:v>
                </c:pt>
                <c:pt idx="5">
                  <c:v>0.60000000000000064</c:v>
                </c:pt>
                <c:pt idx="6">
                  <c:v>0.8</c:v>
                </c:pt>
                <c:pt idx="7">
                  <c:v>0.9</c:v>
                </c:pt>
                <c:pt idx="8">
                  <c:v>0.9</c:v>
                </c:pt>
                <c:pt idx="9">
                  <c:v>1.1000000000000001</c:v>
                </c:pt>
                <c:pt idx="10">
                  <c:v>1.1000000000000001</c:v>
                </c:pt>
                <c:pt idx="11">
                  <c:v>1.2</c:v>
                </c:pt>
                <c:pt idx="12">
                  <c:v>1.2</c:v>
                </c:pt>
                <c:pt idx="13">
                  <c:v>1.2</c:v>
                </c:pt>
                <c:pt idx="14">
                  <c:v>1.3</c:v>
                </c:pt>
                <c:pt idx="15">
                  <c:v>1.3</c:v>
                </c:pt>
                <c:pt idx="16">
                  <c:v>1.3</c:v>
                </c:pt>
                <c:pt idx="17">
                  <c:v>1.4</c:v>
                </c:pt>
                <c:pt idx="18">
                  <c:v>1.5</c:v>
                </c:pt>
                <c:pt idx="19">
                  <c:v>1.6</c:v>
                </c:pt>
                <c:pt idx="20">
                  <c:v>1.6</c:v>
                </c:pt>
                <c:pt idx="21">
                  <c:v>1.8</c:v>
                </c:pt>
                <c:pt idx="22">
                  <c:v>1.9000000000000001</c:v>
                </c:pt>
                <c:pt idx="23">
                  <c:v>2.2000000000000002</c:v>
                </c:pt>
                <c:pt idx="24">
                  <c:v>2.2000000000000002</c:v>
                </c:pt>
                <c:pt idx="25">
                  <c:v>2.4</c:v>
                </c:pt>
                <c:pt idx="26">
                  <c:v>2.5</c:v>
                </c:pt>
                <c:pt idx="27">
                  <c:v>2.8</c:v>
                </c:pt>
                <c:pt idx="28">
                  <c:v>3.2</c:v>
                </c:pt>
                <c:pt idx="29">
                  <c:v>3.5</c:v>
                </c:pt>
                <c:pt idx="30">
                  <c:v>4</c:v>
                </c:pt>
                <c:pt idx="31">
                  <c:v>4.5999999999999996</c:v>
                </c:pt>
                <c:pt idx="32">
                  <c:v>5.5</c:v>
                </c:pt>
              </c:numCache>
            </c:numRef>
          </c:val>
        </c:ser>
        <c:dLbls>
          <c:showLegendKey val="0"/>
          <c:showVal val="0"/>
          <c:showCatName val="0"/>
          <c:showSerName val="0"/>
          <c:showPercent val="0"/>
          <c:showBubbleSize val="0"/>
        </c:dLbls>
        <c:gapWidth val="150"/>
        <c:axId val="214446848"/>
        <c:axId val="214448384"/>
      </c:barChart>
      <c:catAx>
        <c:axId val="214446848"/>
        <c:scaling>
          <c:orientation val="minMax"/>
        </c:scaling>
        <c:delete val="0"/>
        <c:axPos val="b"/>
        <c:numFmt formatCode="General" sourceLinked="0"/>
        <c:majorTickMark val="out"/>
        <c:minorTickMark val="none"/>
        <c:tickLblPos val="nextTo"/>
        <c:txPr>
          <a:bodyPr/>
          <a:lstStyle/>
          <a:p>
            <a:pPr>
              <a:defRPr lang="en-GB"/>
            </a:pPr>
            <a:endParaRPr lang="fi-FI"/>
          </a:p>
        </c:txPr>
        <c:crossAx val="214448384"/>
        <c:crosses val="autoZero"/>
        <c:auto val="1"/>
        <c:lblAlgn val="ctr"/>
        <c:lblOffset val="100"/>
        <c:noMultiLvlLbl val="0"/>
      </c:catAx>
      <c:valAx>
        <c:axId val="214448384"/>
        <c:scaling>
          <c:orientation val="minMax"/>
        </c:scaling>
        <c:delete val="0"/>
        <c:axPos val="l"/>
        <c:majorGridlines/>
        <c:numFmt formatCode="#,##0.0" sourceLinked="1"/>
        <c:majorTickMark val="out"/>
        <c:minorTickMark val="none"/>
        <c:tickLblPos val="nextTo"/>
        <c:txPr>
          <a:bodyPr/>
          <a:lstStyle/>
          <a:p>
            <a:pPr>
              <a:defRPr lang="en-GB"/>
            </a:pPr>
            <a:endParaRPr lang="fi-FI"/>
          </a:p>
        </c:txPr>
        <c:crossAx val="214446848"/>
        <c:crosses val="autoZero"/>
        <c:crossBetween val="between"/>
      </c:valAx>
    </c:plotArea>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'Job seekers'!$M$7</c:f>
              <c:strCache>
                <c:ptCount val="1"/>
                <c:pt idx="0">
                  <c:v>Bratislava</c:v>
                </c:pt>
              </c:strCache>
            </c:strRef>
          </c:tx>
          <c:invertIfNegative val="0"/>
          <c:dLbls>
            <c:delete val="1"/>
          </c:dLbls>
          <c:val>
            <c:numRef>
              <c:f>'Job seekers'!$M$8</c:f>
              <c:numCache>
                <c:formatCode>0.0%</c:formatCode>
                <c:ptCount val="1"/>
                <c:pt idx="0">
                  <c:v>1.1869772931016881E-2</c:v>
                </c:pt>
              </c:numCache>
            </c:numRef>
          </c:val>
        </c:ser>
        <c:ser>
          <c:idx val="1"/>
          <c:order val="1"/>
          <c:tx>
            <c:strRef>
              <c:f>'Job seekers'!$N$7</c:f>
              <c:strCache>
                <c:ptCount val="1"/>
                <c:pt idx="0">
                  <c:v>Trnava</c:v>
                </c:pt>
              </c:strCache>
            </c:strRef>
          </c:tx>
          <c:invertIfNegative val="0"/>
          <c:dLbls>
            <c:delete val="1"/>
          </c:dLbls>
          <c:val>
            <c:numRef>
              <c:f>'Job seekers'!$N$8</c:f>
              <c:numCache>
                <c:formatCode>0.0%</c:formatCode>
                <c:ptCount val="1"/>
                <c:pt idx="0">
                  <c:v>3.5189451108110253E-2</c:v>
                </c:pt>
              </c:numCache>
            </c:numRef>
          </c:val>
        </c:ser>
        <c:ser>
          <c:idx val="2"/>
          <c:order val="2"/>
          <c:tx>
            <c:strRef>
              <c:f>'Job seekers'!$O$7</c:f>
              <c:strCache>
                <c:ptCount val="1"/>
                <c:pt idx="0">
                  <c:v>Trenčín</c:v>
                </c:pt>
              </c:strCache>
            </c:strRef>
          </c:tx>
          <c:invertIfNegative val="0"/>
          <c:dLbls>
            <c:delete val="1"/>
          </c:dLbls>
          <c:val>
            <c:numRef>
              <c:f>'Job seekers'!$O$8</c:f>
              <c:numCache>
                <c:formatCode>0.0%</c:formatCode>
                <c:ptCount val="1"/>
                <c:pt idx="0">
                  <c:v>4.7910307184276524E-2</c:v>
                </c:pt>
              </c:numCache>
            </c:numRef>
          </c:val>
        </c:ser>
        <c:ser>
          <c:idx val="3"/>
          <c:order val="3"/>
          <c:tx>
            <c:strRef>
              <c:f>'Job seekers'!$P$7</c:f>
              <c:strCache>
                <c:ptCount val="1"/>
                <c:pt idx="0">
                  <c:v>Nitra</c:v>
                </c:pt>
              </c:strCache>
            </c:strRef>
          </c:tx>
          <c:invertIfNegative val="0"/>
          <c:dLbls>
            <c:spPr>
              <a:noFill/>
              <a:ln>
                <a:noFill/>
              </a:ln>
              <a:effectLst/>
            </c:spPr>
            <c:txPr>
              <a:bodyPr/>
              <a:lstStyle/>
              <a:p>
                <a:pPr>
                  <a:defRPr lang="en-GB">
                    <a:solidFill>
                      <a:schemeClr val="bg1"/>
                    </a:solidFill>
                  </a:defRPr>
                </a:pPr>
                <a:endParaRPr lang="fi-FI"/>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'Job seekers'!$P$8</c:f>
              <c:numCache>
                <c:formatCode>0.0%</c:formatCode>
                <c:ptCount val="1"/>
                <c:pt idx="0">
                  <c:v>0.10167606640718115</c:v>
                </c:pt>
              </c:numCache>
            </c:numRef>
          </c:val>
        </c:ser>
        <c:ser>
          <c:idx val="4"/>
          <c:order val="4"/>
          <c:tx>
            <c:strRef>
              <c:f>'Job seekers'!$Q$7</c:f>
              <c:strCache>
                <c:ptCount val="1"/>
                <c:pt idx="0">
                  <c:v>Žilina</c:v>
                </c:pt>
              </c:strCache>
            </c:strRef>
          </c:tx>
          <c:invertIfNegative val="0"/>
          <c:dLbls>
            <c:spPr>
              <a:noFill/>
              <a:ln>
                <a:noFill/>
              </a:ln>
              <a:effectLst/>
            </c:spPr>
            <c:txPr>
              <a:bodyPr/>
              <a:lstStyle/>
              <a:p>
                <a:pPr>
                  <a:defRPr lang="en-GB">
                    <a:solidFill>
                      <a:schemeClr val="bg1"/>
                    </a:solidFill>
                  </a:defRPr>
                </a:pPr>
                <a:endParaRPr lang="fi-FI"/>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'Job seekers'!$Q$8</c:f>
              <c:numCache>
                <c:formatCode>0.0%</c:formatCode>
                <c:ptCount val="1"/>
                <c:pt idx="0">
                  <c:v>6.9448384644190508E-2</c:v>
                </c:pt>
              </c:numCache>
            </c:numRef>
          </c:val>
        </c:ser>
        <c:ser>
          <c:idx val="5"/>
          <c:order val="5"/>
          <c:tx>
            <c:strRef>
              <c:f>'Job seekers'!$R$7</c:f>
              <c:strCache>
                <c:ptCount val="1"/>
                <c:pt idx="0">
                  <c:v>Banská Bystrica</c:v>
                </c:pt>
              </c:strCache>
            </c:strRef>
          </c:tx>
          <c:spPr>
            <a:solidFill>
              <a:schemeClr val="bg1">
                <a:lumMod val="9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'Job seekers'!$R$8</c:f>
              <c:numCache>
                <c:formatCode>0.0%</c:formatCode>
                <c:ptCount val="1"/>
                <c:pt idx="0">
                  <c:v>0.24219556755898006</c:v>
                </c:pt>
              </c:numCache>
            </c:numRef>
          </c:val>
        </c:ser>
        <c:ser>
          <c:idx val="6"/>
          <c:order val="6"/>
          <c:tx>
            <c:strRef>
              <c:f>'Job seekers'!$S$7</c:f>
              <c:strCache>
                <c:ptCount val="1"/>
                <c:pt idx="0">
                  <c:v>Prešov</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'Job seekers'!$S$8</c:f>
              <c:numCache>
                <c:formatCode>0.0%</c:formatCode>
                <c:ptCount val="1"/>
                <c:pt idx="0">
                  <c:v>0.25636893886953482</c:v>
                </c:pt>
              </c:numCache>
            </c:numRef>
          </c:val>
        </c:ser>
        <c:ser>
          <c:idx val="7"/>
          <c:order val="7"/>
          <c:tx>
            <c:strRef>
              <c:f>'Job seekers'!$T$7</c:f>
              <c:strCache>
                <c:ptCount val="1"/>
                <c:pt idx="0">
                  <c:v>Košice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'Job seekers'!$T$8</c:f>
              <c:numCache>
                <c:formatCode>0.0%</c:formatCode>
                <c:ptCount val="1"/>
                <c:pt idx="0">
                  <c:v>0.23536420684724807</c:v>
                </c:pt>
              </c:numCache>
            </c:numRef>
          </c:val>
        </c:ser>
        <c:dLbls>
          <c:showLegendKey val="0"/>
          <c:showVal val="1"/>
          <c:showCatName val="0"/>
          <c:showSerName val="0"/>
          <c:showPercent val="0"/>
          <c:showBubbleSize val="0"/>
        </c:dLbls>
        <c:gapWidth val="150"/>
        <c:shape val="cylinder"/>
        <c:axId val="214493440"/>
        <c:axId val="143261696"/>
        <c:axId val="0"/>
      </c:bar3DChart>
      <c:catAx>
        <c:axId val="214493440"/>
        <c:scaling>
          <c:orientation val="minMax"/>
        </c:scaling>
        <c:delete val="1"/>
        <c:axPos val="b"/>
        <c:majorTickMark val="out"/>
        <c:minorTickMark val="none"/>
        <c:tickLblPos val="none"/>
        <c:crossAx val="143261696"/>
        <c:crosses val="autoZero"/>
        <c:auto val="1"/>
        <c:lblAlgn val="ctr"/>
        <c:lblOffset val="100"/>
        <c:noMultiLvlLbl val="0"/>
      </c:catAx>
      <c:valAx>
        <c:axId val="143261696"/>
        <c:scaling>
          <c:orientation val="minMax"/>
        </c:scaling>
        <c:delete val="0"/>
        <c:axPos val="l"/>
        <c:majorGridlines/>
        <c:numFmt formatCode="0.0%" sourceLinked="1"/>
        <c:majorTickMark val="out"/>
        <c:minorTickMark val="none"/>
        <c:tickLblPos val="nextTo"/>
        <c:txPr>
          <a:bodyPr/>
          <a:lstStyle/>
          <a:p>
            <a:pPr>
              <a:defRPr lang="en-GB"/>
            </a:pPr>
            <a:endParaRPr lang="fi-FI"/>
          </a:p>
        </c:txPr>
        <c:crossAx val="214493440"/>
        <c:crosses val="autoZero"/>
        <c:crossBetween val="between"/>
      </c:valAx>
    </c:plotArea>
    <c:legend>
      <c:legendPos val="r"/>
      <c:overlay val="0"/>
      <c:txPr>
        <a:bodyPr/>
        <a:lstStyle/>
        <a:p>
          <a:pPr>
            <a:defRPr lang="en-GB"/>
          </a:pPr>
          <a:endParaRPr lang="fi-FI"/>
        </a:p>
      </c:tx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'Poverty + outstanding payments'!$B$45</c:f>
              <c:strCache>
                <c:ptCount val="1"/>
                <c:pt idx="0">
                  <c:v>Earnings from employment</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'Poverty + outstanding payments'!$C$44:$D$44</c:f>
              <c:strCache>
                <c:ptCount val="2"/>
                <c:pt idx="0">
                  <c:v>Roma</c:v>
                </c:pt>
                <c:pt idx="1">
                  <c:v>Non-Roma</c:v>
                </c:pt>
              </c:strCache>
            </c:strRef>
          </c:cat>
          <c:val>
            <c:numRef>
              <c:f>'Poverty + outstanding payments'!$C$45:$D$45</c:f>
              <c:numCache>
                <c:formatCode>0%</c:formatCode>
                <c:ptCount val="2"/>
                <c:pt idx="0">
                  <c:v>0.17</c:v>
                </c:pt>
                <c:pt idx="1">
                  <c:v>0.4</c:v>
                </c:pt>
              </c:numCache>
            </c:numRef>
          </c:val>
        </c:ser>
        <c:ser>
          <c:idx val="1"/>
          <c:order val="1"/>
          <c:tx>
            <c:strRef>
              <c:f>'Poverty + outstanding payments'!$B$46</c:f>
              <c:strCache>
                <c:ptCount val="1"/>
                <c:pt idx="0">
                  <c:v>Unemployment benetits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'Poverty + outstanding payments'!$C$44:$D$44</c:f>
              <c:strCache>
                <c:ptCount val="2"/>
                <c:pt idx="0">
                  <c:v>Roma</c:v>
                </c:pt>
                <c:pt idx="1">
                  <c:v>Non-Roma</c:v>
                </c:pt>
              </c:strCache>
            </c:strRef>
          </c:cat>
          <c:val>
            <c:numRef>
              <c:f>'Poverty + outstanding payments'!$C$46:$D$46</c:f>
              <c:numCache>
                <c:formatCode>0%</c:formatCode>
                <c:ptCount val="2"/>
                <c:pt idx="0">
                  <c:v>0.1</c:v>
                </c:pt>
                <c:pt idx="1">
                  <c:v>4.0000000000000022E-2</c:v>
                </c:pt>
              </c:numCache>
            </c:numRef>
          </c:val>
        </c:ser>
        <c:ser>
          <c:idx val="2"/>
          <c:order val="2"/>
          <c:tx>
            <c:strRef>
              <c:f>'Poverty + outstanding payments'!$B$47</c:f>
              <c:strCache>
                <c:ptCount val="1"/>
                <c:pt idx="0">
                  <c:v>Pensions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'Poverty + outstanding payments'!$C$44:$D$44</c:f>
              <c:strCache>
                <c:ptCount val="2"/>
                <c:pt idx="0">
                  <c:v>Roma</c:v>
                </c:pt>
                <c:pt idx="1">
                  <c:v>Non-Roma</c:v>
                </c:pt>
              </c:strCache>
            </c:strRef>
          </c:cat>
          <c:val>
            <c:numRef>
              <c:f>'Poverty + outstanding payments'!$C$47:$D$47</c:f>
              <c:numCache>
                <c:formatCode>0%</c:formatCode>
                <c:ptCount val="2"/>
                <c:pt idx="0">
                  <c:v>0.12000000000000002</c:v>
                </c:pt>
                <c:pt idx="1">
                  <c:v>0.23</c:v>
                </c:pt>
              </c:numCache>
            </c:numRef>
          </c:val>
        </c:ser>
        <c:ser>
          <c:idx val="3"/>
          <c:order val="3"/>
          <c:tx>
            <c:strRef>
              <c:f>'Poverty + outstanding payments'!$B$48</c:f>
              <c:strCache>
                <c:ptCount val="1"/>
                <c:pt idx="0">
                  <c:v>Social assistence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'Poverty + outstanding payments'!$C$44:$D$44</c:f>
              <c:strCache>
                <c:ptCount val="2"/>
                <c:pt idx="0">
                  <c:v>Roma</c:v>
                </c:pt>
                <c:pt idx="1">
                  <c:v>Non-Roma</c:v>
                </c:pt>
              </c:strCache>
            </c:strRef>
          </c:cat>
          <c:val>
            <c:numRef>
              <c:f>'Poverty + outstanding payments'!$C$48:$D$48</c:f>
              <c:numCache>
                <c:formatCode>0%</c:formatCode>
                <c:ptCount val="2"/>
                <c:pt idx="0">
                  <c:v>0.33000000000000096</c:v>
                </c:pt>
                <c:pt idx="1">
                  <c:v>0.18000000000000024</c:v>
                </c:pt>
              </c:numCache>
            </c:numRef>
          </c:val>
        </c:ser>
        <c:ser>
          <c:idx val="4"/>
          <c:order val="4"/>
          <c:tx>
            <c:strRef>
              <c:f>'Poverty + outstanding payments'!$B$49</c:f>
              <c:strCache>
                <c:ptCount val="1"/>
                <c:pt idx="0">
                  <c:v>Child allowance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'Poverty + outstanding payments'!$C$44:$D$44</c:f>
              <c:strCache>
                <c:ptCount val="2"/>
                <c:pt idx="0">
                  <c:v>Roma</c:v>
                </c:pt>
                <c:pt idx="1">
                  <c:v>Non-Roma</c:v>
                </c:pt>
              </c:strCache>
            </c:strRef>
          </c:cat>
          <c:val>
            <c:numRef>
              <c:f>'Poverty + outstanding payments'!$C$49:$D$49</c:f>
              <c:numCache>
                <c:formatCode>0%</c:formatCode>
                <c:ptCount val="2"/>
                <c:pt idx="0">
                  <c:v>0.26</c:v>
                </c:pt>
                <c:pt idx="1">
                  <c:v>0.15000000000000024</c:v>
                </c:pt>
              </c:numCache>
            </c:numRef>
          </c:val>
        </c:ser>
        <c:ser>
          <c:idx val="5"/>
          <c:order val="5"/>
          <c:tx>
            <c:strRef>
              <c:f>'Poverty + outstanding payments'!$B$50</c:f>
              <c:strCache>
                <c:ptCount val="1"/>
                <c:pt idx="0">
                  <c:v>Other</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'Poverty + outstanding payments'!$C$44:$D$44</c:f>
              <c:strCache>
                <c:ptCount val="2"/>
                <c:pt idx="0">
                  <c:v>Roma</c:v>
                </c:pt>
                <c:pt idx="1">
                  <c:v>Non-Roma</c:v>
                </c:pt>
              </c:strCache>
            </c:strRef>
          </c:cat>
          <c:val>
            <c:numRef>
              <c:f>'Poverty + outstanding payments'!$C$50:$D$50</c:f>
              <c:numCache>
                <c:formatCode>0%</c:formatCode>
                <c:ptCount val="2"/>
                <c:pt idx="0">
                  <c:v>1.0000000000000005E-2</c:v>
                </c:pt>
                <c:pt idx="1">
                  <c:v>1.0000000000000005E-2</c:v>
                </c:pt>
              </c:numCache>
            </c:numRef>
          </c:val>
        </c:ser>
        <c:dLbls>
          <c:showLegendKey val="0"/>
          <c:showVal val="1"/>
          <c:showCatName val="0"/>
          <c:showSerName val="0"/>
          <c:showPercent val="0"/>
          <c:showBubbleSize val="0"/>
        </c:dLbls>
        <c:gapWidth val="150"/>
        <c:shape val="cylinder"/>
        <c:axId val="143296768"/>
        <c:axId val="143310848"/>
        <c:axId val="0"/>
      </c:bar3DChart>
      <c:catAx>
        <c:axId val="143296768"/>
        <c:scaling>
          <c:orientation val="minMax"/>
        </c:scaling>
        <c:delete val="0"/>
        <c:axPos val="b"/>
        <c:numFmt formatCode="General" sourceLinked="0"/>
        <c:majorTickMark val="out"/>
        <c:minorTickMark val="none"/>
        <c:tickLblPos val="nextTo"/>
        <c:txPr>
          <a:bodyPr/>
          <a:lstStyle/>
          <a:p>
            <a:pPr>
              <a:defRPr lang="en-GB">
                <a:solidFill>
                  <a:sysClr val="windowText" lastClr="000000"/>
                </a:solidFill>
              </a:defRPr>
            </a:pPr>
            <a:endParaRPr lang="fi-FI"/>
          </a:p>
        </c:txPr>
        <c:crossAx val="143310848"/>
        <c:crosses val="autoZero"/>
        <c:auto val="1"/>
        <c:lblAlgn val="ctr"/>
        <c:lblOffset val="100"/>
        <c:noMultiLvlLbl val="0"/>
      </c:catAx>
      <c:valAx>
        <c:axId val="143310848"/>
        <c:scaling>
          <c:orientation val="minMax"/>
        </c:scaling>
        <c:delete val="0"/>
        <c:axPos val="l"/>
        <c:majorGridlines/>
        <c:numFmt formatCode="0%" sourceLinked="1"/>
        <c:majorTickMark val="out"/>
        <c:minorTickMark val="none"/>
        <c:tickLblPos val="nextTo"/>
        <c:txPr>
          <a:bodyPr/>
          <a:lstStyle/>
          <a:p>
            <a:pPr>
              <a:defRPr lang="en-GB"/>
            </a:pPr>
            <a:endParaRPr lang="fi-FI"/>
          </a:p>
        </c:txPr>
        <c:crossAx val="143296768"/>
        <c:crosses val="autoZero"/>
        <c:crossBetween val="between"/>
      </c:valAx>
    </c:plotArea>
    <c:legend>
      <c:legendPos val="r"/>
      <c:overlay val="0"/>
      <c:txPr>
        <a:bodyPr/>
        <a:lstStyle/>
        <a:p>
          <a:pPr>
            <a:defRPr lang="en-GB">
              <a:solidFill>
                <a:sysClr val="windowText" lastClr="000000"/>
              </a:solidFill>
            </a:defRPr>
          </a:pPr>
          <a:endParaRPr lang="fi-FI"/>
        </a:p>
      </c:txPr>
    </c:legend>
    <c:plotVisOnly val="1"/>
    <c:dispBlanksAs val="gap"/>
    <c:showDLblsOverMax val="0"/>
  </c:chart>
  <c:txPr>
    <a:bodyPr/>
    <a:lstStyle/>
    <a:p>
      <a:pPr>
        <a:defRPr sz="800">
          <a:solidFill>
            <a:schemeClr val="bg1"/>
          </a:solidFill>
        </a:defRPr>
      </a:pPr>
      <a:endParaRPr lang="fi-FI"/>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en-GB" sz="1050">
                <a:latin typeface="Arial" panose="020B0604020202020204" pitchFamily="34" charset="0"/>
                <a:cs typeface="Arial" panose="020B0604020202020204" pitchFamily="34" charset="0"/>
              </a:defRPr>
            </a:pPr>
            <a:r>
              <a:rPr lang="en-GB" sz="1050">
                <a:latin typeface="Arial" panose="020B0604020202020204" pitchFamily="34" charset="0"/>
                <a:cs typeface="Arial" panose="020B0604020202020204" pitchFamily="34" charset="0"/>
              </a:rPr>
              <a:t>Employment rate</a:t>
            </a:r>
            <a:r>
              <a:rPr lang="hu-HU" sz="1050">
                <a:latin typeface="Arial" panose="020B0604020202020204" pitchFamily="34" charset="0"/>
                <a:cs typeface="Arial" panose="020B0604020202020204" pitchFamily="34" charset="0"/>
              </a:rPr>
              <a:t>s of the researched  population</a:t>
            </a:r>
            <a:r>
              <a:rPr lang="hu-HU" sz="1050" baseline="0">
                <a:latin typeface="Arial" panose="020B0604020202020204" pitchFamily="34" charset="0"/>
                <a:cs typeface="Arial" panose="020B0604020202020204" pitchFamily="34" charset="0"/>
              </a:rPr>
              <a:t> in comparison with  average rates</a:t>
            </a:r>
            <a:r>
              <a:rPr lang="en-GB" sz="1050">
                <a:latin typeface="Arial" panose="020B0604020202020204" pitchFamily="34" charset="0"/>
                <a:cs typeface="Arial" panose="020B0604020202020204" pitchFamily="34" charset="0"/>
              </a:rPr>
              <a:t> (15-64)</a:t>
            </a:r>
          </a:p>
        </c:rich>
      </c:tx>
      <c:overlay val="0"/>
    </c:title>
    <c:autoTitleDeleted val="0"/>
    <c:plotArea>
      <c:layout/>
      <c:barChart>
        <c:barDir val="col"/>
        <c:grouping val="clustered"/>
        <c:varyColors val="0"/>
        <c:ser>
          <c:idx val="0"/>
          <c:order val="0"/>
          <c:tx>
            <c:strRef>
              <c:f>'Slovák foglalkoztatás'!$K$4</c:f>
              <c:strCache>
                <c:ptCount val="1"/>
                <c:pt idx="0">
                  <c:v>Employment rate (15-64)</c:v>
                </c:pt>
              </c:strCache>
            </c:strRef>
          </c:tx>
          <c:invertIfNegative val="0"/>
          <c:dPt>
            <c:idx val="1"/>
            <c:invertIfNegative val="0"/>
            <c:bubble3D val="0"/>
            <c:spPr>
              <a:solidFill>
                <a:schemeClr val="accent2"/>
              </a:solidFill>
            </c:spPr>
          </c:dPt>
          <c:dPt>
            <c:idx val="3"/>
            <c:invertIfNegative val="0"/>
            <c:bubble3D val="0"/>
            <c:spPr>
              <a:solidFill>
                <a:schemeClr val="accent2"/>
              </a:solidFill>
            </c:spPr>
          </c:dPt>
          <c:dPt>
            <c:idx val="4"/>
            <c:invertIfNegative val="0"/>
            <c:bubble3D val="0"/>
            <c:spPr>
              <a:solidFill>
                <a:schemeClr val="tx2"/>
              </a:solidFill>
            </c:spPr>
          </c:dPt>
          <c:dPt>
            <c:idx val="5"/>
            <c:invertIfNegative val="0"/>
            <c:bubble3D val="0"/>
            <c:spPr>
              <a:solidFill>
                <a:schemeClr val="accent2">
                  <a:lumMod val="40000"/>
                  <a:lumOff val="60000"/>
                </a:schemeClr>
              </a:solidFill>
            </c:spPr>
          </c:dPt>
          <c:cat>
            <c:multiLvlStrRef>
              <c:f>'Slovák foglalkoztatás'!$L$2:$Q$3</c:f>
              <c:multiLvlStrCache>
                <c:ptCount val="6"/>
                <c:lvl>
                  <c:pt idx="0">
                    <c:v>Roma</c:v>
                  </c:pt>
                  <c:pt idx="1">
                    <c:v>Non-Roma</c:v>
                  </c:pt>
                  <c:pt idx="2">
                    <c:v>Roma</c:v>
                  </c:pt>
                  <c:pt idx="3">
                    <c:v>Non-Roma</c:v>
                  </c:pt>
                  <c:pt idx="4">
                    <c:v>Male</c:v>
                  </c:pt>
                  <c:pt idx="5">
                    <c:v>Female</c:v>
                  </c:pt>
                </c:lvl>
                <c:lvl>
                  <c:pt idx="0">
                    <c:v>Male</c:v>
                  </c:pt>
                  <c:pt idx="2">
                    <c:v>Female</c:v>
                  </c:pt>
                  <c:pt idx="4">
                    <c:v>General population </c:v>
                  </c:pt>
                </c:lvl>
              </c:multiLvlStrCache>
            </c:multiLvlStrRef>
          </c:cat>
          <c:val>
            <c:numRef>
              <c:f>'Slovák foglalkoztatás'!$L$4:$Q$4</c:f>
              <c:numCache>
                <c:formatCode>0%</c:formatCode>
                <c:ptCount val="6"/>
                <c:pt idx="0">
                  <c:v>0.20491029322147375</c:v>
                </c:pt>
                <c:pt idx="1">
                  <c:v>0.46305418014526384</c:v>
                </c:pt>
                <c:pt idx="2">
                  <c:v>8.711770176887508E-2</c:v>
                </c:pt>
                <c:pt idx="3">
                  <c:v>0.29519450664520208</c:v>
                </c:pt>
                <c:pt idx="4">
                  <c:v>0.66300000000000192</c:v>
                </c:pt>
                <c:pt idx="5">
                  <c:v>0.52700000000000002</c:v>
                </c:pt>
              </c:numCache>
            </c:numRef>
          </c:val>
        </c:ser>
        <c:dLbls>
          <c:showLegendKey val="0"/>
          <c:showVal val="0"/>
          <c:showCatName val="0"/>
          <c:showSerName val="0"/>
          <c:showPercent val="0"/>
          <c:showBubbleSize val="0"/>
        </c:dLbls>
        <c:gapWidth val="150"/>
        <c:axId val="214357120"/>
        <c:axId val="214358656"/>
      </c:barChart>
      <c:catAx>
        <c:axId val="214357120"/>
        <c:scaling>
          <c:orientation val="minMax"/>
        </c:scaling>
        <c:delete val="0"/>
        <c:axPos val="b"/>
        <c:numFmt formatCode="General" sourceLinked="0"/>
        <c:majorTickMark val="out"/>
        <c:minorTickMark val="none"/>
        <c:tickLblPos val="nextTo"/>
        <c:txPr>
          <a:bodyPr/>
          <a:lstStyle/>
          <a:p>
            <a:pPr>
              <a:defRPr lang="en-GB"/>
            </a:pPr>
            <a:endParaRPr lang="fi-FI"/>
          </a:p>
        </c:txPr>
        <c:crossAx val="214358656"/>
        <c:crosses val="autoZero"/>
        <c:auto val="1"/>
        <c:lblAlgn val="ctr"/>
        <c:lblOffset val="100"/>
        <c:noMultiLvlLbl val="0"/>
      </c:catAx>
      <c:valAx>
        <c:axId val="214358656"/>
        <c:scaling>
          <c:orientation val="minMax"/>
        </c:scaling>
        <c:delete val="0"/>
        <c:axPos val="l"/>
        <c:majorGridlines/>
        <c:numFmt formatCode="0%" sourceLinked="1"/>
        <c:majorTickMark val="out"/>
        <c:minorTickMark val="none"/>
        <c:tickLblPos val="nextTo"/>
        <c:txPr>
          <a:bodyPr/>
          <a:lstStyle/>
          <a:p>
            <a:pPr>
              <a:defRPr lang="en-GB"/>
            </a:pPr>
            <a:endParaRPr lang="fi-FI"/>
          </a:p>
        </c:txPr>
        <c:crossAx val="214357120"/>
        <c:crosses val="autoZero"/>
        <c:crossBetween val="between"/>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en-GB" sz="1050">
                <a:latin typeface="Arial" panose="020B0604020202020204" pitchFamily="34" charset="0"/>
                <a:cs typeface="Arial" panose="020B0604020202020204" pitchFamily="34" charset="0"/>
              </a:defRPr>
            </a:pPr>
            <a:r>
              <a:rPr lang="hu-HU" sz="1050">
                <a:latin typeface="Arial" panose="020B0604020202020204" pitchFamily="34" charset="0"/>
                <a:cs typeface="Arial" panose="020B0604020202020204" pitchFamily="34" charset="0"/>
              </a:rPr>
              <a:t>Kinds</a:t>
            </a:r>
            <a:r>
              <a:rPr lang="hu-HU" sz="1050" baseline="0">
                <a:latin typeface="Arial" panose="020B0604020202020204" pitchFamily="34" charset="0"/>
                <a:cs typeface="Arial" panose="020B0604020202020204" pitchFamily="34" charset="0"/>
              </a:rPr>
              <a:t> of segregated Roma settlement and distribution of the Romany population amongst them (2013)</a:t>
            </a:r>
            <a:endParaRPr lang="en-GB" sz="1050">
              <a:latin typeface="Arial" panose="020B0604020202020204" pitchFamily="34" charset="0"/>
              <a:cs typeface="Arial" panose="020B0604020202020204"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'Roma atlas 2013'!$C$11</c:f>
              <c:strCache>
                <c:ptCount val="1"/>
                <c:pt idx="0">
                  <c:v>Inside administrative boundaries</c:v>
                </c:pt>
              </c:strCache>
            </c:strRef>
          </c:tx>
          <c:invertIfNegative val="0"/>
          <c:dLbls>
            <c:spPr>
              <a:noFill/>
              <a:ln>
                <a:noFill/>
              </a:ln>
              <a:effectLst/>
            </c:spPr>
            <c:txPr>
              <a:bodyPr/>
              <a:lstStyle/>
              <a:p>
                <a:pPr>
                  <a:defRPr lang="en-GB">
                    <a:solidFill>
                      <a:schemeClr val="bg1"/>
                    </a:solidFill>
                  </a:defRPr>
                </a:pPr>
                <a:endParaRPr lang="fi-FI"/>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'Roma atlas 2013'!$D$10:$E$10</c:f>
              <c:strCache>
                <c:ptCount val="2"/>
                <c:pt idx="0">
                  <c:v>Roma settlements (N=804)</c:v>
                </c:pt>
                <c:pt idx="1">
                  <c:v>Roma people of segregated dwellings (N=215,555)</c:v>
                </c:pt>
              </c:strCache>
            </c:strRef>
          </c:cat>
          <c:val>
            <c:numRef>
              <c:f>'Roma atlas 2013'!$D$11:$E$11</c:f>
              <c:numCache>
                <c:formatCode>0%</c:formatCode>
                <c:ptCount val="2"/>
                <c:pt idx="0">
                  <c:v>0.30597014925373212</c:v>
                </c:pt>
                <c:pt idx="1">
                  <c:v>0.24016553584377553</c:v>
                </c:pt>
              </c:numCache>
            </c:numRef>
          </c:val>
        </c:ser>
        <c:ser>
          <c:idx val="1"/>
          <c:order val="1"/>
          <c:tx>
            <c:strRef>
              <c:f>'Roma atlas 2013'!$C$12</c:f>
              <c:strCache>
                <c:ptCount val="1"/>
                <c:pt idx="0">
                  <c:v>At the edge of villages/towns</c:v>
                </c:pt>
              </c:strCache>
            </c:strRef>
          </c:tx>
          <c:invertIfNegative val="0"/>
          <c:dLbls>
            <c:spPr>
              <a:noFill/>
              <a:ln>
                <a:noFill/>
              </a:ln>
              <a:effectLst/>
            </c:spPr>
            <c:txPr>
              <a:bodyPr/>
              <a:lstStyle/>
              <a:p>
                <a:pPr>
                  <a:defRPr lang="en-GB">
                    <a:solidFill>
                      <a:schemeClr val="bg1"/>
                    </a:solidFill>
                  </a:defRPr>
                </a:pPr>
                <a:endParaRPr lang="fi-FI"/>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'Roma atlas 2013'!$D$10:$E$10</c:f>
              <c:strCache>
                <c:ptCount val="2"/>
                <c:pt idx="0">
                  <c:v>Roma settlements (N=804)</c:v>
                </c:pt>
                <c:pt idx="1">
                  <c:v>Roma people of segregated dwellings (N=215,555)</c:v>
                </c:pt>
              </c:strCache>
            </c:strRef>
          </c:cat>
          <c:val>
            <c:numRef>
              <c:f>'Roma atlas 2013'!$D$12:$E$12</c:f>
              <c:numCache>
                <c:formatCode>0%</c:formatCode>
                <c:ptCount val="2"/>
                <c:pt idx="0">
                  <c:v>0.40671641791044905</c:v>
                </c:pt>
                <c:pt idx="1">
                  <c:v>0.44326563791805434</c:v>
                </c:pt>
              </c:numCache>
            </c:numRef>
          </c:val>
        </c:ser>
        <c:ser>
          <c:idx val="2"/>
          <c:order val="2"/>
          <c:tx>
            <c:strRef>
              <c:f>'Roma atlas 2013'!$C$13</c:f>
              <c:strCache>
                <c:ptCount val="1"/>
                <c:pt idx="0">
                  <c:v>0,9-7 km far from the village/town boundaries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'Roma atlas 2013'!$D$10:$E$10</c:f>
              <c:strCache>
                <c:ptCount val="2"/>
                <c:pt idx="0">
                  <c:v>Roma settlements (N=804)</c:v>
                </c:pt>
                <c:pt idx="1">
                  <c:v>Roma people of segregated dwellings (N=215,555)</c:v>
                </c:pt>
              </c:strCache>
            </c:strRef>
          </c:cat>
          <c:val>
            <c:numRef>
              <c:f>'Roma atlas 2013'!$D$13:$E$13</c:f>
              <c:numCache>
                <c:formatCode>0%</c:formatCode>
                <c:ptCount val="2"/>
                <c:pt idx="0">
                  <c:v>0.28731343283582167</c:v>
                </c:pt>
                <c:pt idx="1">
                  <c:v>0.31656882623817106</c:v>
                </c:pt>
              </c:numCache>
            </c:numRef>
          </c:val>
        </c:ser>
        <c:dLbls>
          <c:showLegendKey val="0"/>
          <c:showVal val="1"/>
          <c:showCatName val="0"/>
          <c:showSerName val="0"/>
          <c:showPercent val="0"/>
          <c:showBubbleSize val="0"/>
        </c:dLbls>
        <c:gapWidth val="55"/>
        <c:gapDepth val="55"/>
        <c:shape val="cylinder"/>
        <c:axId val="231523840"/>
        <c:axId val="231525376"/>
        <c:axId val="0"/>
      </c:bar3DChart>
      <c:catAx>
        <c:axId val="231523840"/>
        <c:scaling>
          <c:orientation val="minMax"/>
        </c:scaling>
        <c:delete val="0"/>
        <c:axPos val="b"/>
        <c:numFmt formatCode="General" sourceLinked="0"/>
        <c:majorTickMark val="none"/>
        <c:minorTickMark val="none"/>
        <c:tickLblPos val="nextTo"/>
        <c:txPr>
          <a:bodyPr/>
          <a:lstStyle/>
          <a:p>
            <a:pPr>
              <a:defRPr lang="en-GB"/>
            </a:pPr>
            <a:endParaRPr lang="fi-FI"/>
          </a:p>
        </c:txPr>
        <c:crossAx val="231525376"/>
        <c:crosses val="autoZero"/>
        <c:auto val="1"/>
        <c:lblAlgn val="ctr"/>
        <c:lblOffset val="100"/>
        <c:noMultiLvlLbl val="0"/>
      </c:catAx>
      <c:valAx>
        <c:axId val="231525376"/>
        <c:scaling>
          <c:orientation val="minMax"/>
        </c:scaling>
        <c:delete val="0"/>
        <c:axPos val="l"/>
        <c:majorGridlines/>
        <c:numFmt formatCode="0%" sourceLinked="1"/>
        <c:majorTickMark val="none"/>
        <c:minorTickMark val="none"/>
        <c:tickLblPos val="nextTo"/>
        <c:txPr>
          <a:bodyPr/>
          <a:lstStyle/>
          <a:p>
            <a:pPr>
              <a:defRPr lang="en-GB"/>
            </a:pPr>
            <a:endParaRPr lang="fi-FI"/>
          </a:p>
        </c:txPr>
        <c:crossAx val="231523840"/>
        <c:crosses val="autoZero"/>
        <c:crossBetween val="between"/>
      </c:valAx>
    </c:plotArea>
    <c:legend>
      <c:legendPos val="r"/>
      <c:overlay val="0"/>
      <c:txPr>
        <a:bodyPr/>
        <a:lstStyle/>
        <a:p>
          <a:pPr>
            <a:defRPr lang="en-GB"/>
          </a:pPr>
          <a:endParaRPr lang="fi-FI"/>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'[1]Welfare expend csak postsoc'!$H$27</c:f>
              <c:strCache>
                <c:ptCount val="1"/>
                <c:pt idx="0">
                  <c:v>Disability, seakness, heath</c:v>
                </c:pt>
              </c:strCache>
            </c:strRef>
          </c:tx>
          <c:invertIfNegative val="0"/>
          <c:cat>
            <c:strRef>
              <c:f>'[1]Welfare expend csak postsoc'!$G$28:$G$40</c:f>
              <c:strCache>
                <c:ptCount val="13"/>
                <c:pt idx="0">
                  <c:v>European Union (27 countries)</c:v>
                </c:pt>
                <c:pt idx="1">
                  <c:v>Bulgaria</c:v>
                </c:pt>
                <c:pt idx="2">
                  <c:v>Czech Republic</c:v>
                </c:pt>
                <c:pt idx="3">
                  <c:v>Estonia</c:v>
                </c:pt>
                <c:pt idx="4">
                  <c:v>Latvia</c:v>
                </c:pt>
                <c:pt idx="5">
                  <c:v>Lithuania</c:v>
                </c:pt>
                <c:pt idx="6">
                  <c:v>Hungary</c:v>
                </c:pt>
                <c:pt idx="7">
                  <c:v>Poland</c:v>
                </c:pt>
                <c:pt idx="8">
                  <c:v>Romania</c:v>
                </c:pt>
                <c:pt idx="9">
                  <c:v>Slovenia</c:v>
                </c:pt>
                <c:pt idx="10">
                  <c:v>Slovakia</c:v>
                </c:pt>
                <c:pt idx="11">
                  <c:v>Croatia</c:v>
                </c:pt>
                <c:pt idx="12">
                  <c:v>Serbia</c:v>
                </c:pt>
              </c:strCache>
            </c:strRef>
          </c:cat>
          <c:val>
            <c:numRef>
              <c:f>'[1]Welfare expend csak postsoc'!$H$28:$H$40</c:f>
              <c:numCache>
                <c:formatCode>General</c:formatCode>
                <c:ptCount val="13"/>
                <c:pt idx="0">
                  <c:v>10.559779000000002</c:v>
                </c:pt>
                <c:pt idx="1">
                  <c:v>5.7645249999999804</c:v>
                </c:pt>
                <c:pt idx="2">
                  <c:v>8.2447429999999997</c:v>
                </c:pt>
                <c:pt idx="3">
                  <c:v>6.1417120000000001</c:v>
                </c:pt>
                <c:pt idx="4">
                  <c:v>5.4744869999999946</c:v>
                </c:pt>
                <c:pt idx="5">
                  <c:v>6.6382770000000004</c:v>
                </c:pt>
                <c:pt idx="6">
                  <c:v>7.0610750000000007</c:v>
                </c:pt>
                <c:pt idx="7">
                  <c:v>6.6109819999999804</c:v>
                </c:pt>
                <c:pt idx="8">
                  <c:v>6.0328240000000006</c:v>
                </c:pt>
                <c:pt idx="9">
                  <c:v>9.6189199999999992</c:v>
                </c:pt>
                <c:pt idx="10">
                  <c:v>7.1235939999999891</c:v>
                </c:pt>
                <c:pt idx="11">
                  <c:v>10.46852</c:v>
                </c:pt>
                <c:pt idx="12">
                  <c:v>8.4486479999999986</c:v>
                </c:pt>
              </c:numCache>
            </c:numRef>
          </c:val>
        </c:ser>
        <c:ser>
          <c:idx val="1"/>
          <c:order val="1"/>
          <c:tx>
            <c:strRef>
              <c:f>'[1]Welfare expend csak postsoc'!$I$27</c:f>
              <c:strCache>
                <c:ptCount val="1"/>
                <c:pt idx="0">
                  <c:v>Old age</c:v>
                </c:pt>
              </c:strCache>
            </c:strRef>
          </c:tx>
          <c:invertIfNegative val="0"/>
          <c:cat>
            <c:strRef>
              <c:f>'[1]Welfare expend csak postsoc'!$G$28:$G$40</c:f>
              <c:strCache>
                <c:ptCount val="13"/>
                <c:pt idx="0">
                  <c:v>European Union (27 countries)</c:v>
                </c:pt>
                <c:pt idx="1">
                  <c:v>Bulgaria</c:v>
                </c:pt>
                <c:pt idx="2">
                  <c:v>Czech Republic</c:v>
                </c:pt>
                <c:pt idx="3">
                  <c:v>Estonia</c:v>
                </c:pt>
                <c:pt idx="4">
                  <c:v>Latvia</c:v>
                </c:pt>
                <c:pt idx="5">
                  <c:v>Lithuania</c:v>
                </c:pt>
                <c:pt idx="6">
                  <c:v>Hungary</c:v>
                </c:pt>
                <c:pt idx="7">
                  <c:v>Poland</c:v>
                </c:pt>
                <c:pt idx="8">
                  <c:v>Romania</c:v>
                </c:pt>
                <c:pt idx="9">
                  <c:v>Slovenia</c:v>
                </c:pt>
                <c:pt idx="10">
                  <c:v>Slovakia</c:v>
                </c:pt>
                <c:pt idx="11">
                  <c:v>Croatia</c:v>
                </c:pt>
                <c:pt idx="12">
                  <c:v>Serbia</c:v>
                </c:pt>
              </c:strCache>
            </c:strRef>
          </c:cat>
          <c:val>
            <c:numRef>
              <c:f>'[1]Welfare expend csak postsoc'!$I$28:$I$40</c:f>
              <c:numCache>
                <c:formatCode>General</c:formatCode>
                <c:ptCount val="13"/>
                <c:pt idx="0">
                  <c:v>11.044069999999998</c:v>
                </c:pt>
                <c:pt idx="1">
                  <c:v>8.4608650000000001</c:v>
                </c:pt>
                <c:pt idx="2">
                  <c:v>7.7984559999999945</c:v>
                </c:pt>
                <c:pt idx="3">
                  <c:v>9.1171549999999986</c:v>
                </c:pt>
                <c:pt idx="4">
                  <c:v>7.4726869999999996</c:v>
                </c:pt>
                <c:pt idx="5">
                  <c:v>9.1680599999999988</c:v>
                </c:pt>
                <c:pt idx="6">
                  <c:v>9.3089679999999984</c:v>
                </c:pt>
                <c:pt idx="7">
                  <c:v>11.326751</c:v>
                </c:pt>
                <c:pt idx="8">
                  <c:v>8.0402159999999991</c:v>
                </c:pt>
                <c:pt idx="9">
                  <c:v>9.5548660000000005</c:v>
                </c:pt>
                <c:pt idx="10">
                  <c:v>6.8024199999999881</c:v>
                </c:pt>
                <c:pt idx="11">
                  <c:v>5.5505719999999945</c:v>
                </c:pt>
                <c:pt idx="12">
                  <c:v>10.52571</c:v>
                </c:pt>
              </c:numCache>
            </c:numRef>
          </c:val>
        </c:ser>
        <c:ser>
          <c:idx val="2"/>
          <c:order val="2"/>
          <c:tx>
            <c:strRef>
              <c:f>'[1]Welfare expend csak postsoc'!$J$27</c:f>
              <c:strCache>
                <c:ptCount val="1"/>
                <c:pt idx="0">
                  <c:v>Family and children</c:v>
                </c:pt>
              </c:strCache>
            </c:strRef>
          </c:tx>
          <c:invertIfNegative val="0"/>
          <c:cat>
            <c:strRef>
              <c:f>'[1]Welfare expend csak postsoc'!$G$28:$G$40</c:f>
              <c:strCache>
                <c:ptCount val="13"/>
                <c:pt idx="0">
                  <c:v>European Union (27 countries)</c:v>
                </c:pt>
                <c:pt idx="1">
                  <c:v>Bulgaria</c:v>
                </c:pt>
                <c:pt idx="2">
                  <c:v>Czech Republic</c:v>
                </c:pt>
                <c:pt idx="3">
                  <c:v>Estonia</c:v>
                </c:pt>
                <c:pt idx="4">
                  <c:v>Latvia</c:v>
                </c:pt>
                <c:pt idx="5">
                  <c:v>Lithuania</c:v>
                </c:pt>
                <c:pt idx="6">
                  <c:v>Hungary</c:v>
                </c:pt>
                <c:pt idx="7">
                  <c:v>Poland</c:v>
                </c:pt>
                <c:pt idx="8">
                  <c:v>Romania</c:v>
                </c:pt>
                <c:pt idx="9">
                  <c:v>Slovenia</c:v>
                </c:pt>
                <c:pt idx="10">
                  <c:v>Slovakia</c:v>
                </c:pt>
                <c:pt idx="11">
                  <c:v>Croatia</c:v>
                </c:pt>
                <c:pt idx="12">
                  <c:v>Serbia</c:v>
                </c:pt>
              </c:strCache>
            </c:strRef>
          </c:cat>
          <c:val>
            <c:numRef>
              <c:f>'[1]Welfare expend csak postsoc'!$J$28:$J$40</c:f>
              <c:numCache>
                <c:formatCode>General</c:formatCode>
                <c:ptCount val="13"/>
                <c:pt idx="0">
                  <c:v>2.2595179999999999</c:v>
                </c:pt>
                <c:pt idx="1">
                  <c:v>1.3321350000000001</c:v>
                </c:pt>
                <c:pt idx="2">
                  <c:v>2.2801180000000012</c:v>
                </c:pt>
                <c:pt idx="3">
                  <c:v>1.4946139999999999</c:v>
                </c:pt>
                <c:pt idx="4">
                  <c:v>2.1812589999999967</c:v>
                </c:pt>
                <c:pt idx="5">
                  <c:v>2.9215369999999998</c:v>
                </c:pt>
                <c:pt idx="6">
                  <c:v>0.78606199999999959</c:v>
                </c:pt>
                <c:pt idx="7">
                  <c:v>1.4632829999999999</c:v>
                </c:pt>
                <c:pt idx="8">
                  <c:v>1.6762870000000043</c:v>
                </c:pt>
                <c:pt idx="9">
                  <c:v>2.1611030000000002</c:v>
                </c:pt>
                <c:pt idx="10">
                  <c:v>1.7578029999999998</c:v>
                </c:pt>
                <c:pt idx="11">
                  <c:v>1.649578</c:v>
                </c:pt>
                <c:pt idx="12">
                  <c:v>1.2938729999999998</c:v>
                </c:pt>
              </c:numCache>
            </c:numRef>
          </c:val>
        </c:ser>
        <c:ser>
          <c:idx val="3"/>
          <c:order val="3"/>
          <c:tx>
            <c:strRef>
              <c:f>'[1]Welfare expend csak postsoc'!$K$27</c:f>
              <c:strCache>
                <c:ptCount val="1"/>
                <c:pt idx="0">
                  <c:v>Unemployment</c:v>
                </c:pt>
              </c:strCache>
            </c:strRef>
          </c:tx>
          <c:invertIfNegative val="0"/>
          <c:cat>
            <c:strRef>
              <c:f>'[1]Welfare expend csak postsoc'!$G$28:$G$40</c:f>
              <c:strCache>
                <c:ptCount val="13"/>
                <c:pt idx="0">
                  <c:v>European Union (27 countries)</c:v>
                </c:pt>
                <c:pt idx="1">
                  <c:v>Bulgaria</c:v>
                </c:pt>
                <c:pt idx="2">
                  <c:v>Czech Republic</c:v>
                </c:pt>
                <c:pt idx="3">
                  <c:v>Estonia</c:v>
                </c:pt>
                <c:pt idx="4">
                  <c:v>Latvia</c:v>
                </c:pt>
                <c:pt idx="5">
                  <c:v>Lithuania</c:v>
                </c:pt>
                <c:pt idx="6">
                  <c:v>Hungary</c:v>
                </c:pt>
                <c:pt idx="7">
                  <c:v>Poland</c:v>
                </c:pt>
                <c:pt idx="8">
                  <c:v>Romania</c:v>
                </c:pt>
                <c:pt idx="9">
                  <c:v>Slovenia</c:v>
                </c:pt>
                <c:pt idx="10">
                  <c:v>Slovakia</c:v>
                </c:pt>
                <c:pt idx="11">
                  <c:v>Croatia</c:v>
                </c:pt>
                <c:pt idx="12">
                  <c:v>Serbia</c:v>
                </c:pt>
              </c:strCache>
            </c:strRef>
          </c:cat>
          <c:val>
            <c:numRef>
              <c:f>'[1]Welfare expend csak postsoc'!$K$28:$K$40</c:f>
              <c:numCache>
                <c:formatCode>General</c:formatCode>
                <c:ptCount val="13"/>
                <c:pt idx="0">
                  <c:v>1.6967639999999999</c:v>
                </c:pt>
                <c:pt idx="1">
                  <c:v>0.81640800000000002</c:v>
                </c:pt>
                <c:pt idx="2">
                  <c:v>0.75730799999999998</c:v>
                </c:pt>
                <c:pt idx="3">
                  <c:v>1.3107</c:v>
                </c:pt>
                <c:pt idx="4">
                  <c:v>0.80156899999999831</c:v>
                </c:pt>
                <c:pt idx="5">
                  <c:v>0.90876299999999843</c:v>
                </c:pt>
                <c:pt idx="6">
                  <c:v>0.41772700000000001</c:v>
                </c:pt>
                <c:pt idx="7">
                  <c:v>1.4427899999999998</c:v>
                </c:pt>
                <c:pt idx="8">
                  <c:v>0.56374200000000063</c:v>
                </c:pt>
                <c:pt idx="9">
                  <c:v>0.66895800000000194</c:v>
                </c:pt>
                <c:pt idx="10">
                  <c:v>0.92235299999999831</c:v>
                </c:pt>
                <c:pt idx="11">
                  <c:v>0.47706000000000032</c:v>
                </c:pt>
                <c:pt idx="12">
                  <c:v>0.86688200000000004</c:v>
                </c:pt>
              </c:numCache>
            </c:numRef>
          </c:val>
        </c:ser>
        <c:dLbls>
          <c:showLegendKey val="0"/>
          <c:showVal val="0"/>
          <c:showCatName val="0"/>
          <c:showSerName val="0"/>
          <c:showPercent val="0"/>
          <c:showBubbleSize val="0"/>
        </c:dLbls>
        <c:gapWidth val="150"/>
        <c:shape val="cylinder"/>
        <c:axId val="143378304"/>
        <c:axId val="143379840"/>
        <c:axId val="0"/>
      </c:bar3DChart>
      <c:catAx>
        <c:axId val="143378304"/>
        <c:scaling>
          <c:orientation val="minMax"/>
        </c:scaling>
        <c:delete val="0"/>
        <c:axPos val="b"/>
        <c:numFmt formatCode="General" sourceLinked="0"/>
        <c:majorTickMark val="out"/>
        <c:minorTickMark val="none"/>
        <c:tickLblPos val="nextTo"/>
        <c:txPr>
          <a:bodyPr/>
          <a:lstStyle/>
          <a:p>
            <a:pPr>
              <a:defRPr lang="en-GB"/>
            </a:pPr>
            <a:endParaRPr lang="fi-FI"/>
          </a:p>
        </c:txPr>
        <c:crossAx val="143379840"/>
        <c:crosses val="autoZero"/>
        <c:auto val="1"/>
        <c:lblAlgn val="ctr"/>
        <c:lblOffset val="100"/>
        <c:noMultiLvlLbl val="0"/>
      </c:catAx>
      <c:valAx>
        <c:axId val="143379840"/>
        <c:scaling>
          <c:orientation val="minMax"/>
        </c:scaling>
        <c:delete val="0"/>
        <c:axPos val="l"/>
        <c:majorGridlines/>
        <c:numFmt formatCode="General" sourceLinked="1"/>
        <c:majorTickMark val="out"/>
        <c:minorTickMark val="none"/>
        <c:tickLblPos val="nextTo"/>
        <c:txPr>
          <a:bodyPr/>
          <a:lstStyle/>
          <a:p>
            <a:pPr>
              <a:defRPr lang="en-GB"/>
            </a:pPr>
            <a:endParaRPr lang="fi-FI"/>
          </a:p>
        </c:txPr>
        <c:crossAx val="143378304"/>
        <c:crosses val="autoZero"/>
        <c:crossBetween val="between"/>
      </c:valAx>
    </c:plotArea>
    <c:legend>
      <c:legendPos val="r"/>
      <c:overlay val="0"/>
      <c:txPr>
        <a:bodyPr/>
        <a:lstStyle/>
        <a:p>
          <a:pPr>
            <a:defRPr lang="en-GB"/>
          </a:pPr>
          <a:endParaRPr lang="fi-FI"/>
        </a:p>
      </c:txPr>
    </c:legend>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0.05522</cdr:x>
      <cdr:y>0.46986</cdr:y>
    </cdr:from>
    <cdr:to>
      <cdr:x>0.9916</cdr:x>
      <cdr:y>0.47695</cdr:y>
    </cdr:to>
    <cdr:cxnSp macro="">
      <cdr:nvCxnSpPr>
        <cdr:cNvPr id="3" name="Egyenes összekötő 2"/>
        <cdr:cNvCxnSpPr/>
      </cdr:nvCxnSpPr>
      <cdr:spPr>
        <a:xfrm xmlns:a="http://schemas.openxmlformats.org/drawingml/2006/main" flipV="1">
          <a:off x="350520" y="2019300"/>
          <a:ext cx="5943600" cy="30480"/>
        </a:xfrm>
        <a:prstGeom xmlns:a="http://schemas.openxmlformats.org/drawingml/2006/main" prst="line">
          <a:avLst/>
        </a:prstGeom>
        <a:ln xmlns:a="http://schemas.openxmlformats.org/drawingml/2006/main" w="19050">
          <a:solidFill>
            <a:srgbClr val="FF0000"/>
          </a:solidFill>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B55545BE707EE41963776E429A300E2" ma:contentTypeVersion="0" ma:contentTypeDescription="Create a new document." ma:contentTypeScope="" ma:versionID="1960ad8117ed82e40aadc2475d47e6b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6CF545-DAFC-4C81-9D9A-21D186853990}">
  <ds:schemaRefs>
    <ds:schemaRef ds:uri="http://schemas.microsoft.com/sharepoint/v3/contenttype/forms"/>
  </ds:schemaRefs>
</ds:datastoreItem>
</file>

<file path=customXml/itemProps2.xml><?xml version="1.0" encoding="utf-8"?>
<ds:datastoreItem xmlns:ds="http://schemas.openxmlformats.org/officeDocument/2006/customXml" ds:itemID="{AFC83203-149A-4C92-833C-2DE35CD46A33}">
  <ds:schemaRefs>
    <ds:schemaRef ds:uri="http://schemas.microsoft.com/office/2006/metadata/properties"/>
  </ds:schemaRefs>
</ds:datastoreItem>
</file>

<file path=customXml/itemProps3.xml><?xml version="1.0" encoding="utf-8"?>
<ds:datastoreItem xmlns:ds="http://schemas.openxmlformats.org/officeDocument/2006/customXml" ds:itemID="{C1D2BDFE-F53B-471B-AB8A-A053F58722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DFFB27D1-EED9-48A4-9C54-A5CD7C317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87</Pages>
  <Words>18229</Words>
  <Characters>147661</Characters>
  <Application>Microsoft Office Word</Application>
  <DocSecurity>0</DocSecurity>
  <Lines>1230</Lines>
  <Paragraphs>331</Paragraphs>
  <ScaleCrop>false</ScaleCrop>
  <HeadingPairs>
    <vt:vector size="8" baseType="variant">
      <vt:variant>
        <vt:lpstr>Title</vt:lpstr>
      </vt:variant>
      <vt:variant>
        <vt:i4>1</vt:i4>
      </vt:variant>
      <vt:variant>
        <vt:lpstr>Otsikko</vt:lpstr>
      </vt:variant>
      <vt:variant>
        <vt:i4>1</vt:i4>
      </vt:variant>
      <vt:variant>
        <vt:lpstr>Titel</vt:lpstr>
      </vt:variant>
      <vt:variant>
        <vt:i4>1</vt:i4>
      </vt:variant>
      <vt:variant>
        <vt:lpstr>Cím</vt:lpstr>
      </vt:variant>
      <vt:variant>
        <vt:i4>1</vt:i4>
      </vt:variant>
    </vt:vector>
  </HeadingPairs>
  <TitlesOfParts>
    <vt:vector size="4" baseType="lpstr">
      <vt:lpstr>Version 1 22/09/2008</vt:lpstr>
      <vt:lpstr>Version 1 22/09/2008</vt:lpstr>
      <vt:lpstr>Version 1 22/09/2008</vt:lpstr>
      <vt:lpstr>Version 1 22/09/2008</vt:lpstr>
    </vt:vector>
  </TitlesOfParts>
  <Company>University of Eastern Finland</Company>
  <LinksUpToDate>false</LinksUpToDate>
  <CharactersWithSpaces>165559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Petri Kahila</cp:lastModifiedBy>
  <cp:revision>2</cp:revision>
  <cp:lastPrinted>2014-10-07T06:50:00Z</cp:lastPrinted>
  <dcterms:created xsi:type="dcterms:W3CDTF">2014-10-17T12:52:00Z</dcterms:created>
  <dcterms:modified xsi:type="dcterms:W3CDTF">2014-10-17T12:52:00Z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0x0101000B55545BE707EE41963776E429A300E2</vt:lpwstr>
  </property>
</Properties>
</file>