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686" w:rsidRPr="006C3BAA" w:rsidRDefault="00CD0272" w:rsidP="00430686">
      <w:pPr>
        <w:spacing w:before="0"/>
        <w:ind w:left="-1701"/>
        <w:rPr>
          <w:iCs/>
        </w:rPr>
      </w:pPr>
      <w:bookmarkStart w:id="0" w:name="_Toc221439757"/>
      <w:r w:rsidRPr="00CD0272">
        <w:rPr>
          <w:noProof/>
          <w:lang w:val="hu-HU" w:eastAsia="hu-HU"/>
        </w:rPr>
        <w:pict>
          <v:shapetype id="_x0000_t202" coordsize="21600,21600" o:spt="202" path="m,l,21600r21600,l21600,xe">
            <v:stroke joinstyle="miter"/>
            <v:path gradientshapeok="t" o:connecttype="rect"/>
          </v:shapetype>
          <v:shape id="Text Box 301" o:spid="_x0000_s1026" type="#_x0000_t202" style="position:absolute;left:0;text-align:left;margin-left:-64.05pt;margin-top:309.5pt;width:554pt;height:144.5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" filled="f" stroked="f">
            <v:textbox>
              <w:txbxContent>
                <w:p w:rsidR="00CC1A02" w:rsidRDefault="00CC1A02" w:rsidP="00430686">
                  <w:pPr>
                    <w:ind w:left="426" w:right="530"/>
                    <w:jc w:val="center"/>
                    <w:rPr>
                      <w:rFonts w:cs="Arial"/>
                      <w:sz w:val="60"/>
                      <w:szCs w:val="60"/>
                    </w:rPr>
                  </w:pPr>
                  <w:proofErr w:type="spellStart"/>
                  <w:r>
                    <w:rPr>
                      <w:rFonts w:cs="Arial"/>
                      <w:sz w:val="60"/>
                      <w:szCs w:val="60"/>
                    </w:rPr>
                    <w:t>TiPSE</w:t>
                  </w:r>
                  <w:proofErr w:type="spellEnd"/>
                </w:p>
                <w:p w:rsidR="00CC1A02" w:rsidRPr="00721B03" w:rsidRDefault="00CC1A02" w:rsidP="00430686">
                  <w:pPr>
                    <w:ind w:left="426" w:right="530"/>
                    <w:jc w:val="center"/>
                    <w:rPr>
                      <w:rFonts w:cs="Arial"/>
                      <w:sz w:val="60"/>
                      <w:szCs w:val="60"/>
                    </w:rPr>
                  </w:pPr>
                  <w:r w:rsidRPr="00377F72">
                    <w:rPr>
                      <w:rFonts w:cs="Arial"/>
                      <w:sz w:val="60"/>
                      <w:szCs w:val="60"/>
                    </w:rPr>
                    <w:t xml:space="preserve">The </w:t>
                  </w:r>
                  <w:r>
                    <w:rPr>
                      <w:rFonts w:cs="Arial"/>
                      <w:color w:val="FF0000"/>
                      <w:sz w:val="60"/>
                      <w:szCs w:val="60"/>
                    </w:rPr>
                    <w:t>T</w:t>
                  </w:r>
                  <w:r>
                    <w:rPr>
                      <w:rFonts w:cs="Arial"/>
                      <w:sz w:val="60"/>
                      <w:szCs w:val="60"/>
                    </w:rPr>
                    <w:t>erritorial D</w:t>
                  </w:r>
                  <w:r w:rsidRPr="00377F72">
                    <w:rPr>
                      <w:rFonts w:cs="Arial"/>
                      <w:color w:val="FF0000"/>
                      <w:sz w:val="60"/>
                      <w:szCs w:val="60"/>
                    </w:rPr>
                    <w:t>i</w:t>
                  </w:r>
                  <w:r>
                    <w:rPr>
                      <w:rFonts w:cs="Arial"/>
                      <w:sz w:val="60"/>
                      <w:szCs w:val="60"/>
                    </w:rPr>
                    <w:t xml:space="preserve">mension of </w:t>
                  </w:r>
                  <w:r>
                    <w:rPr>
                      <w:rFonts w:cs="Arial"/>
                      <w:color w:val="FF0000"/>
                      <w:sz w:val="60"/>
                      <w:szCs w:val="60"/>
                    </w:rPr>
                    <w:t>P</w:t>
                  </w:r>
                  <w:r>
                    <w:rPr>
                      <w:rFonts w:cs="Arial"/>
                      <w:sz w:val="60"/>
                      <w:szCs w:val="60"/>
                    </w:rPr>
                    <w:t xml:space="preserve">overty and </w:t>
                  </w:r>
                  <w:r>
                    <w:rPr>
                      <w:rFonts w:cs="Arial"/>
                      <w:color w:val="FF0000"/>
                      <w:sz w:val="60"/>
                      <w:szCs w:val="60"/>
                    </w:rPr>
                    <w:t>S</w:t>
                  </w:r>
                  <w:r>
                    <w:rPr>
                      <w:rFonts w:cs="Arial"/>
                      <w:sz w:val="60"/>
                      <w:szCs w:val="60"/>
                    </w:rPr>
                    <w:t xml:space="preserve">ocial </w:t>
                  </w:r>
                  <w:r>
                    <w:rPr>
                      <w:rFonts w:cs="Arial"/>
                      <w:color w:val="FF0000"/>
                      <w:sz w:val="60"/>
                      <w:szCs w:val="60"/>
                    </w:rPr>
                    <w:t>E</w:t>
                  </w:r>
                  <w:r>
                    <w:rPr>
                      <w:rFonts w:cs="Arial"/>
                      <w:sz w:val="60"/>
                      <w:szCs w:val="60"/>
                    </w:rPr>
                    <w:t>xclusion in Europe</w:t>
                  </w:r>
                </w:p>
              </w:txbxContent>
            </v:textbox>
          </v:shape>
        </w:pict>
      </w:r>
      <w:r w:rsidRPr="00CD0272">
        <w:rPr>
          <w:noProof/>
          <w:lang w:val="hu-HU" w:eastAsia="hu-HU"/>
        </w:rPr>
        <w:pict>
          <v:shape id="Text Box 303" o:spid="_x0000_s1027" type="#_x0000_t202" style="position:absolute;left:0;text-align:left;margin-left:-64.05pt;margin-top:508pt;width:554pt;height:264.1pt;z-index:25166028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" filled="f" stroked="f">
            <v:textbox style="mso-fit-shape-to-text:t">
              <w:txbxContent>
                <w:p w:rsidR="00CC1A02" w:rsidRPr="00DD1DB9" w:rsidRDefault="00CC1A02" w:rsidP="0006284F">
                  <w:pPr>
                    <w:jc w:val="center"/>
                    <w:rPr>
                      <w:rFonts w:cs="Arial"/>
                      <w:b/>
                      <w:sz w:val="32"/>
                      <w:szCs w:val="32"/>
                      <w:lang w:val="en-US"/>
                    </w:rPr>
                  </w:pPr>
                  <w:r w:rsidRPr="00DD1DB9">
                    <w:rPr>
                      <w:rFonts w:cs="Arial"/>
                      <w:b/>
                      <w:sz w:val="32"/>
                      <w:szCs w:val="32"/>
                      <w:lang w:val="en-US"/>
                    </w:rPr>
                    <w:t>FINAL REPORT</w:t>
                  </w:r>
                </w:p>
                <w:p w:rsidR="00CC1A02" w:rsidRDefault="00CC1A02" w:rsidP="0006284F">
                  <w:pPr>
                    <w:jc w:val="center"/>
                    <w:rPr>
                      <w:rFonts w:cs="Arial"/>
                      <w:sz w:val="32"/>
                      <w:szCs w:val="32"/>
                      <w:lang w:val="en-US"/>
                    </w:rPr>
                  </w:pPr>
                </w:p>
                <w:p w:rsidR="00CC1A02" w:rsidRDefault="00CC1A02" w:rsidP="0006284F">
                  <w:pPr>
                    <w:jc w:val="center"/>
                    <w:rPr>
                      <w:rFonts w:cs="Arial"/>
                      <w:b/>
                      <w:color w:val="002060"/>
                      <w:sz w:val="28"/>
                      <w:szCs w:val="32"/>
                      <w:lang w:val="en-US"/>
                    </w:rPr>
                  </w:pPr>
                  <w:r>
                    <w:rPr>
                      <w:rFonts w:cs="Arial"/>
                      <w:b/>
                      <w:color w:val="002060"/>
                      <w:sz w:val="28"/>
                      <w:szCs w:val="32"/>
                      <w:lang w:val="en-US"/>
                    </w:rPr>
                    <w:t>ANNEX 6</w:t>
                  </w:r>
                </w:p>
                <w:p w:rsidR="00CC1A02" w:rsidRPr="00513573" w:rsidRDefault="00CC1A02" w:rsidP="0006284F">
                  <w:pPr>
                    <w:jc w:val="center"/>
                    <w:rPr>
                      <w:rFonts w:cs="Arial"/>
                      <w:b/>
                      <w:color w:val="002060"/>
                      <w:sz w:val="28"/>
                      <w:szCs w:val="32"/>
                      <w:lang w:val="en-US"/>
                    </w:rPr>
                  </w:pPr>
                  <w:r>
                    <w:rPr>
                      <w:rFonts w:cs="Arial"/>
                      <w:b/>
                      <w:color w:val="002060"/>
                      <w:sz w:val="28"/>
                      <w:szCs w:val="32"/>
                      <w:lang w:val="en-US"/>
                    </w:rPr>
                    <w:t>Development and Mapping of Social Exclusion I</w:t>
                  </w:r>
                  <w:r w:rsidRPr="00A007DC">
                    <w:rPr>
                      <w:rFonts w:cs="Arial"/>
                      <w:b/>
                      <w:color w:val="002060"/>
                      <w:sz w:val="28"/>
                      <w:szCs w:val="32"/>
                      <w:lang w:val="en-US"/>
                    </w:rPr>
                    <w:t>ndicators</w:t>
                  </w:r>
                </w:p>
                <w:p w:rsidR="00CC1A02" w:rsidRDefault="00CC1A02" w:rsidP="00430686">
                  <w:pPr>
                    <w:jc w:val="center"/>
                    <w:rPr>
                      <w:rFonts w:cs="Arial"/>
                      <w:color w:val="1F497D" w:themeColor="text2"/>
                      <w:sz w:val="28"/>
                      <w:szCs w:val="28"/>
                      <w:lang w:val="en-US"/>
                    </w:rPr>
                  </w:pPr>
                </w:p>
                <w:p w:rsidR="00CC1A02" w:rsidRDefault="00CC1A02" w:rsidP="00430686">
                  <w:pPr>
                    <w:jc w:val="center"/>
                    <w:rPr>
                      <w:rFonts w:cs="Arial"/>
                      <w:color w:val="1F497D" w:themeColor="text2"/>
                      <w:sz w:val="28"/>
                      <w:szCs w:val="28"/>
                      <w:lang w:val="en-US"/>
                    </w:rPr>
                  </w:pPr>
                  <w:proofErr w:type="spellStart"/>
                  <w:r>
                    <w:rPr>
                      <w:rFonts w:cs="Arial"/>
                      <w:color w:val="1F497D" w:themeColor="text2"/>
                      <w:sz w:val="28"/>
                      <w:szCs w:val="28"/>
                      <w:lang w:val="en-US"/>
                    </w:rPr>
                    <w:t>Márton</w:t>
                  </w:r>
                  <w:proofErr w:type="spellEnd"/>
                  <w:r>
                    <w:rPr>
                      <w:rFonts w:cs="Arial"/>
                      <w:color w:val="1F497D" w:themeColor="text2"/>
                      <w:sz w:val="28"/>
                      <w:szCs w:val="28"/>
                      <w:lang w:val="en-US"/>
                    </w:rPr>
                    <w:t xml:space="preserve"> </w:t>
                  </w:r>
                  <w:proofErr w:type="spellStart"/>
                  <w:r>
                    <w:rPr>
                      <w:rFonts w:cs="Arial"/>
                      <w:color w:val="1F497D" w:themeColor="text2"/>
                      <w:sz w:val="28"/>
                      <w:szCs w:val="28"/>
                      <w:lang w:val="en-US"/>
                    </w:rPr>
                    <w:t>Czirfusz</w:t>
                  </w:r>
                  <w:proofErr w:type="spellEnd"/>
                </w:p>
                <w:p w:rsidR="00CC1A02" w:rsidRPr="00B34188" w:rsidRDefault="00CC1A02" w:rsidP="00430686">
                  <w:pPr>
                    <w:jc w:val="center"/>
                    <w:rPr>
                      <w:rFonts w:cs="Arial"/>
                      <w:color w:val="1F497D" w:themeColor="text2"/>
                      <w:sz w:val="28"/>
                      <w:szCs w:val="28"/>
                      <w:lang w:val="en-US"/>
                    </w:rPr>
                  </w:pPr>
                  <w:proofErr w:type="gramStart"/>
                  <w:r>
                    <w:rPr>
                      <w:rFonts w:cs="Arial"/>
                      <w:color w:val="1F497D" w:themeColor="text2"/>
                      <w:sz w:val="28"/>
                      <w:szCs w:val="28"/>
                      <w:lang w:val="en-US"/>
                    </w:rPr>
                    <w:t>in</w:t>
                  </w:r>
                  <w:proofErr w:type="gramEnd"/>
                  <w:r>
                    <w:rPr>
                      <w:rFonts w:cs="Arial"/>
                      <w:color w:val="1F497D" w:themeColor="text2"/>
                      <w:sz w:val="28"/>
                      <w:szCs w:val="28"/>
                      <w:lang w:val="en-US"/>
                    </w:rPr>
                    <w:t xml:space="preserve"> collaboration with </w:t>
                  </w:r>
                  <w:proofErr w:type="spellStart"/>
                  <w:r>
                    <w:rPr>
                      <w:rFonts w:cs="Arial"/>
                      <w:color w:val="1F497D" w:themeColor="text2"/>
                      <w:sz w:val="28"/>
                      <w:szCs w:val="28"/>
                      <w:lang w:val="en-US"/>
                    </w:rPr>
                    <w:t>Katalin</w:t>
                  </w:r>
                  <w:proofErr w:type="spellEnd"/>
                  <w:r>
                    <w:rPr>
                      <w:rFonts w:cs="Arial"/>
                      <w:color w:val="1F497D" w:themeColor="text2"/>
                      <w:sz w:val="28"/>
                      <w:szCs w:val="28"/>
                      <w:lang w:val="en-US"/>
                    </w:rPr>
                    <w:t xml:space="preserve"> </w:t>
                  </w:r>
                  <w:proofErr w:type="spellStart"/>
                  <w:r>
                    <w:rPr>
                      <w:rFonts w:cs="Arial"/>
                      <w:color w:val="1F497D" w:themeColor="text2"/>
                      <w:sz w:val="28"/>
                      <w:szCs w:val="28"/>
                      <w:lang w:val="en-US"/>
                    </w:rPr>
                    <w:t>Kovács</w:t>
                  </w:r>
                  <w:proofErr w:type="spellEnd"/>
                  <w:r>
                    <w:rPr>
                      <w:rFonts w:cs="Arial"/>
                      <w:color w:val="1F497D" w:themeColor="text2"/>
                      <w:sz w:val="28"/>
                      <w:szCs w:val="28"/>
                      <w:lang w:val="en-US"/>
                    </w:rPr>
                    <w:t xml:space="preserve"> and </w:t>
                  </w:r>
                  <w:proofErr w:type="spellStart"/>
                  <w:r>
                    <w:rPr>
                      <w:rFonts w:cs="Arial"/>
                      <w:color w:val="1F497D" w:themeColor="text2"/>
                      <w:sz w:val="28"/>
                      <w:szCs w:val="28"/>
                      <w:lang w:val="en-US"/>
                    </w:rPr>
                    <w:t>Gergely</w:t>
                  </w:r>
                  <w:proofErr w:type="spellEnd"/>
                  <w:r>
                    <w:rPr>
                      <w:rFonts w:cs="Arial"/>
                      <w:color w:val="1F497D" w:themeColor="text2"/>
                      <w:sz w:val="28"/>
                      <w:szCs w:val="28"/>
                      <w:lang w:val="en-US"/>
                    </w:rPr>
                    <w:t xml:space="preserve"> </w:t>
                  </w:r>
                  <w:proofErr w:type="spellStart"/>
                  <w:r>
                    <w:rPr>
                      <w:rFonts w:cs="Arial"/>
                      <w:color w:val="1F497D" w:themeColor="text2"/>
                      <w:sz w:val="28"/>
                      <w:szCs w:val="28"/>
                      <w:lang w:val="en-US"/>
                    </w:rPr>
                    <w:t>Tagai</w:t>
                  </w:r>
                  <w:proofErr w:type="spellEnd"/>
                </w:p>
                <w:p w:rsidR="00CC1A02" w:rsidRDefault="00CC1A02" w:rsidP="00430686">
                  <w:pPr>
                    <w:jc w:val="center"/>
                    <w:rPr>
                      <w:rFonts w:cs="Arial"/>
                      <w:sz w:val="32"/>
                      <w:szCs w:val="32"/>
                      <w:lang w:val="en-US"/>
                    </w:rPr>
                  </w:pPr>
                </w:p>
                <w:p w:rsidR="00CC1A02" w:rsidRDefault="00CC1A02" w:rsidP="00430686">
                  <w:pPr>
                    <w:jc w:val="center"/>
                    <w:rPr>
                      <w:rFonts w:cs="Arial"/>
                      <w:sz w:val="32"/>
                      <w:szCs w:val="32"/>
                      <w:lang w:val="en-US"/>
                    </w:rPr>
                  </w:pPr>
                </w:p>
                <w:p w:rsidR="00CC1A02" w:rsidRDefault="00CC1A02" w:rsidP="00430686">
                  <w:pPr>
                    <w:jc w:val="center"/>
                    <w:rPr>
                      <w:rFonts w:cs="Arial"/>
                      <w:sz w:val="32"/>
                      <w:szCs w:val="32"/>
                      <w:lang w:val="en-US"/>
                    </w:rPr>
                  </w:pPr>
                </w:p>
                <w:p w:rsidR="00CC1A02" w:rsidRDefault="00CC1A02" w:rsidP="00430686">
                  <w:pPr>
                    <w:jc w:val="center"/>
                    <w:rPr>
                      <w:rFonts w:cs="Arial"/>
                      <w:sz w:val="32"/>
                      <w:szCs w:val="32"/>
                      <w:lang w:val="en-US"/>
                    </w:rPr>
                  </w:pPr>
                  <w:r>
                    <w:rPr>
                      <w:rFonts w:cs="Arial"/>
                      <w:sz w:val="32"/>
                      <w:szCs w:val="32"/>
                      <w:lang w:val="en-US"/>
                    </w:rPr>
                    <w:t>September 2014</w:t>
                  </w:r>
                </w:p>
              </w:txbxContent>
            </v:textbox>
          </v:shape>
        </w:pict>
      </w:r>
      <w:r w:rsidRPr="00CD0272">
        <w:rPr>
          <w:noProof/>
          <w:lang w:val="hu-HU" w:eastAsia="hu-HU"/>
        </w:rPr>
        <w:pict>
          <v:shape id="Text Box 302" o:spid="_x0000_s1028" type="#_x0000_t202" style="position:absolute;left:0;text-align:left;margin-left:-64.05pt;margin-top:470pt;width:554pt;height:31.6pt;z-index:251659264;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" filled="f" stroked="f">
            <v:textbox style="mso-fit-shape-to-text:t">
              <w:txbxContent>
                <w:p w:rsidR="00CC1A02" w:rsidRPr="00DC3CE6" w:rsidRDefault="00CC1A02" w:rsidP="00430686">
                  <w:pPr>
                    <w:jc w:val="center"/>
                    <w:rPr>
                      <w:rFonts w:cs="Arial"/>
                      <w:sz w:val="32"/>
                      <w:szCs w:val="32"/>
                      <w:lang w:val="en-US"/>
                    </w:rPr>
                  </w:pPr>
                  <w:r>
                    <w:rPr>
                      <w:rFonts w:cs="Arial"/>
                      <w:sz w:val="32"/>
                      <w:szCs w:val="32"/>
                      <w:lang w:val="en-US"/>
                    </w:rPr>
                    <w:t>Applied Research</w:t>
                  </w:r>
                  <w:r w:rsidRPr="00DC3CE6">
                    <w:rPr>
                      <w:rFonts w:cs="Arial"/>
                      <w:sz w:val="32"/>
                      <w:szCs w:val="32"/>
                      <w:lang w:val="en-US"/>
                    </w:rPr>
                    <w:t xml:space="preserve"> 2013/</w:t>
                  </w:r>
                  <w:r>
                    <w:rPr>
                      <w:rFonts w:cs="Arial"/>
                      <w:sz w:val="32"/>
                      <w:szCs w:val="32"/>
                      <w:lang w:val="en-US"/>
                    </w:rPr>
                    <w:t>1</w:t>
                  </w:r>
                  <w:r w:rsidRPr="00DC3CE6">
                    <w:rPr>
                      <w:rFonts w:cs="Arial"/>
                      <w:sz w:val="32"/>
                      <w:szCs w:val="32"/>
                      <w:lang w:val="en-US"/>
                    </w:rPr>
                    <w:t>/</w:t>
                  </w:r>
                  <w:r>
                    <w:rPr>
                      <w:rFonts w:cs="Arial"/>
                      <w:sz w:val="32"/>
                      <w:szCs w:val="32"/>
                      <w:lang w:val="en-US"/>
                    </w:rPr>
                    <w:t>24</w:t>
                  </w:r>
                </w:p>
              </w:txbxContent>
            </v:textbox>
          </v:shape>
        </w:pict>
      </w:r>
      <w:r w:rsidR="004929E9" w:rsidRPr="006C3BAA">
        <w:rPr>
          <w:noProof/>
          <w:lang w:val="hu-HU" w:eastAsia="hu-HU"/>
        </w:rPr>
        <w:drawing>
          <wp:inline distT="0" distB="0" distL="0" distR="0">
            <wp:extent cx="7572375" cy="13944600"/>
            <wp:effectExtent l="19050" t="0" r="9525" b="0"/>
            <wp:docPr id="1" name="Picture 1" descr="Cover-TPG-Whi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ver-TPG-White"/>
                    <pic:cNvPicPr preferRelativeResize="0">
                      <a:picLocks noChangeArrowheads="1"/>
                    </pic:cNvPicPr>
                  </pic:nvPicPr>
                  <pic:blipFill>
                    <a:blip r:embed="rId11" cstate="print"/>
                    <a:srcRect l="51128"/>
                    <a:stretch>
                      <a:fillRect/>
                    </a:stretch>
                  </pic:blipFill>
                  <pic:spPr bwMode="auto">
                    <a:xfrm>
                      <a:off x="0" y="0"/>
                      <a:ext cx="7572375" cy="13944600"/>
                    </a:xfrm>
                    <a:prstGeom prst="rect">
                      <a:avLst/>
                    </a:prstGeom>
                    <a:noFill/>
                    <a:ln w="9525">
                      <a:noFill/>
                      <a:miter lim="800000"/>
                      <a:headEnd/>
                      <a:tailEnd/>
                    </a:ln>
                  </pic:spPr>
                </pic:pic>
              </a:graphicData>
            </a:graphic>
          </wp:inline>
        </w:drawing>
      </w:r>
    </w:p>
    <w:bookmarkEnd w:id="0"/>
    <w:p w:rsidR="00956CB4" w:rsidRPr="006C3BAA" w:rsidRDefault="00956CB4" w:rsidP="00006BE0">
      <w:pPr>
        <w:pStyle w:val="ESPONText"/>
      </w:pPr>
    </w:p>
    <w:p w:rsidR="00390969" w:rsidRPr="006C3BAA" w:rsidRDefault="00390969" w:rsidP="00ED043E">
      <w:pPr>
        <w:pStyle w:val="ESPONColophon"/>
        <w:ind w:left="810"/>
        <w:sectPr w:rsidR="00390969" w:rsidRPr="006C3BAA" w:rsidSect="000858C8">
          <w:footerReference w:type="even" r:id="rId12"/>
          <w:footerReference w:type="default" r:id="rId13"/>
          <w:pgSz w:w="11906" w:h="16838" w:code="9"/>
          <w:pgMar w:top="0" w:right="851" w:bottom="0" w:left="1701" w:header="720" w:footer="720" w:gutter="0"/>
          <w:pgNumType w:fmt="lowerRoman" w:start="1"/>
          <w:cols w:space="720"/>
          <w:titlePg/>
        </w:sectPr>
      </w:pPr>
    </w:p>
    <w:p w:rsidR="00ED043E" w:rsidRPr="006C3BAA" w:rsidRDefault="00ED043E" w:rsidP="00AF6C49">
      <w:pPr>
        <w:pStyle w:val="ESPONColophon"/>
      </w:pPr>
    </w:p>
    <w:p w:rsidR="009D28B3" w:rsidRPr="006C3BAA" w:rsidRDefault="009D28B3" w:rsidP="009D28B3">
      <w:pPr>
        <w:pStyle w:val="ESPONColophon"/>
        <w:ind w:left="810"/>
      </w:pPr>
      <w:r w:rsidRPr="006C3BAA">
        <w:t xml:space="preserve">This report is one of the deliverables of the </w:t>
      </w:r>
      <w:proofErr w:type="spellStart"/>
      <w:r w:rsidRPr="006C3BAA">
        <w:t>TiPSE</w:t>
      </w:r>
      <w:proofErr w:type="spellEnd"/>
      <w:r w:rsidRPr="006C3BAA">
        <w:t xml:space="preserve"> project. This Applied Research Project is conducted within the framework of the ESPON 2013 Programme, partly financed by the European Regional Development Fund.</w:t>
      </w:r>
    </w:p>
    <w:p w:rsidR="009D28B3" w:rsidRPr="006C3BAA" w:rsidRDefault="009D28B3" w:rsidP="009D28B3">
      <w:pPr>
        <w:pStyle w:val="ESPONColophon"/>
        <w:ind w:left="810"/>
      </w:pPr>
    </w:p>
    <w:p w:rsidR="00ED043E" w:rsidRPr="006C3BAA" w:rsidRDefault="00ED043E" w:rsidP="00ED043E">
      <w:pPr>
        <w:pStyle w:val="ESPONColophon"/>
        <w:ind w:left="810"/>
      </w:pPr>
      <w:r w:rsidRPr="006C3BAA">
        <w:t>The partnership behind the ESPON Programme consists of the EU Commission and the Member States of the EU27, plus Iceland, Liechtenstein, Norway and Switzerland. Each partner is represented in the ESPON Monitoring Committee.</w:t>
      </w:r>
    </w:p>
    <w:p w:rsidR="00ED043E" w:rsidRPr="006C3BAA" w:rsidRDefault="00ED043E" w:rsidP="00ED043E">
      <w:pPr>
        <w:pStyle w:val="ESPONColophon"/>
        <w:ind w:left="810"/>
      </w:pPr>
    </w:p>
    <w:p w:rsidR="00ED043E" w:rsidRPr="006C3BAA" w:rsidRDefault="00ED043E" w:rsidP="00ED043E">
      <w:pPr>
        <w:pStyle w:val="ESPONColophon"/>
        <w:ind w:left="810"/>
      </w:pPr>
      <w:r w:rsidRPr="006C3BAA">
        <w:t>This report does not necessarily reflect the opinion of the members of the Monitoring Committee.</w:t>
      </w:r>
    </w:p>
    <w:p w:rsidR="00ED043E" w:rsidRPr="006C3BAA" w:rsidRDefault="00ED043E" w:rsidP="00ED043E">
      <w:pPr>
        <w:pStyle w:val="ESPONColophon"/>
        <w:ind w:left="810"/>
      </w:pPr>
    </w:p>
    <w:p w:rsidR="00ED043E" w:rsidRPr="006C3BAA" w:rsidRDefault="00ED043E" w:rsidP="00ED043E">
      <w:pPr>
        <w:pStyle w:val="ESPONColophon"/>
        <w:ind w:left="810"/>
      </w:pPr>
      <w:r w:rsidRPr="006C3BAA">
        <w:t xml:space="preserve">Information on the ESPON Programme and projects can be found on </w:t>
      </w:r>
      <w:hyperlink r:id="rId14" w:history="1">
        <w:r w:rsidRPr="006C3BAA">
          <w:rPr>
            <w:rStyle w:val="Hiperhivatkozs"/>
          </w:rPr>
          <w:t>www.espon.eu</w:t>
        </w:r>
      </w:hyperlink>
    </w:p>
    <w:p w:rsidR="00ED043E" w:rsidRPr="006C3BAA" w:rsidRDefault="00ED043E" w:rsidP="00ED043E">
      <w:pPr>
        <w:pStyle w:val="ESPONColophon"/>
        <w:ind w:left="810"/>
      </w:pPr>
    </w:p>
    <w:p w:rsidR="00ED043E" w:rsidRPr="006C3BAA" w:rsidRDefault="00ED043E" w:rsidP="00ED043E">
      <w:pPr>
        <w:pStyle w:val="ESPONColophon"/>
        <w:ind w:left="810"/>
      </w:pPr>
      <w:r w:rsidRPr="006C3BAA">
        <w:t>The web site provides the possibility to download and examine the most recent documents produced by finalised and ongoing ESPON projects.</w:t>
      </w:r>
    </w:p>
    <w:p w:rsidR="00895002" w:rsidRDefault="00895002" w:rsidP="00ED043E">
      <w:pPr>
        <w:pStyle w:val="ESPONColophon"/>
        <w:ind w:left="810"/>
      </w:pPr>
    </w:p>
    <w:p w:rsidR="007854D3" w:rsidRDefault="007854D3" w:rsidP="007854D3">
      <w:pPr>
        <w:pStyle w:val="ESPONColophon"/>
        <w:ind w:left="810" w:right="4484"/>
      </w:pPr>
      <w:r>
        <w:t>ISBN number – 987-2-919777-42-6</w:t>
      </w:r>
    </w:p>
    <w:p w:rsidR="007854D3" w:rsidRPr="006C3BAA" w:rsidRDefault="007854D3" w:rsidP="00ED043E">
      <w:pPr>
        <w:pStyle w:val="ESPONColophon"/>
        <w:ind w:left="810"/>
      </w:pPr>
      <w:bookmarkStart w:id="1" w:name="_GoBack"/>
      <w:bookmarkEnd w:id="1"/>
    </w:p>
    <w:p w:rsidR="00ED043E" w:rsidRPr="006C3BAA" w:rsidRDefault="00ED043E" w:rsidP="00ED043E">
      <w:pPr>
        <w:pStyle w:val="ESPONColophon"/>
        <w:ind w:left="810"/>
      </w:pPr>
      <w:proofErr w:type="gramStart"/>
      <w:r w:rsidRPr="006C3BAA">
        <w:t>© ESPON &amp;</w:t>
      </w:r>
      <w:r w:rsidR="00282F2F" w:rsidRPr="006C3BAA">
        <w:t xml:space="preserve"> </w:t>
      </w:r>
      <w:r w:rsidR="00790F8B">
        <w:t>MTA KRTK</w:t>
      </w:r>
      <w:r w:rsidRPr="006C3BAA">
        <w:t>, 201</w:t>
      </w:r>
      <w:r w:rsidR="00790F8B">
        <w:t>4</w:t>
      </w:r>
      <w:r w:rsidRPr="006C3BAA">
        <w:t>.</w:t>
      </w:r>
      <w:proofErr w:type="gramEnd"/>
    </w:p>
    <w:p w:rsidR="00ED043E" w:rsidRPr="006C3BAA" w:rsidRDefault="00ED043E" w:rsidP="00ED043E">
      <w:pPr>
        <w:pStyle w:val="ESPONColophon"/>
        <w:ind w:left="810"/>
      </w:pPr>
    </w:p>
    <w:p w:rsidR="00ED043E" w:rsidRPr="006C3BAA" w:rsidRDefault="00ED043E" w:rsidP="00ED043E">
      <w:pPr>
        <w:pStyle w:val="ESPONColophon"/>
        <w:ind w:left="810"/>
      </w:pPr>
      <w:r w:rsidRPr="006C3BAA">
        <w:t>Printing, reproduction or quotation is authorised provided the source is acknowledged and a copy is forwarded to the ESPON Coordination Unit in Luxembourg.</w:t>
      </w:r>
    </w:p>
    <w:p w:rsidR="00ED043E" w:rsidRPr="006C3BAA" w:rsidRDefault="00ED043E" w:rsidP="00ED043E">
      <w:pPr>
        <w:pStyle w:val="ESPONColophon"/>
        <w:ind w:left="810"/>
      </w:pPr>
    </w:p>
    <w:p w:rsidR="005703AA" w:rsidRPr="006C3BAA" w:rsidRDefault="005703AA" w:rsidP="00A9269D">
      <w:pPr>
        <w:pStyle w:val="ESPONText"/>
      </w:pPr>
    </w:p>
    <w:p w:rsidR="00261332" w:rsidRPr="006C3BAA" w:rsidRDefault="005703AA" w:rsidP="00FD2877">
      <w:pPr>
        <w:pStyle w:val="Kpalrs"/>
        <w:rPr>
          <w:sz w:val="28"/>
          <w:szCs w:val="28"/>
        </w:rPr>
      </w:pPr>
      <w:r w:rsidRPr="006C3BAA">
        <w:br w:type="column"/>
      </w:r>
      <w:r w:rsidR="00FD2877" w:rsidRPr="006C3BAA">
        <w:rPr>
          <w:sz w:val="28"/>
          <w:szCs w:val="28"/>
        </w:rPr>
        <w:lastRenderedPageBreak/>
        <w:t>The ESPON</w:t>
      </w:r>
      <w:r w:rsidR="00831F1E" w:rsidRPr="006C3BAA">
        <w:rPr>
          <w:sz w:val="28"/>
          <w:szCs w:val="28"/>
        </w:rPr>
        <w:t xml:space="preserve"> </w:t>
      </w:r>
      <w:proofErr w:type="spellStart"/>
      <w:r w:rsidR="00261332" w:rsidRPr="006C3BAA">
        <w:rPr>
          <w:sz w:val="28"/>
          <w:szCs w:val="28"/>
        </w:rPr>
        <w:t>TiPSE</w:t>
      </w:r>
      <w:proofErr w:type="spellEnd"/>
      <w:r w:rsidR="00FD2877" w:rsidRPr="006C3BAA">
        <w:rPr>
          <w:sz w:val="28"/>
          <w:szCs w:val="28"/>
        </w:rPr>
        <w:t xml:space="preserve"> Project</w:t>
      </w:r>
      <w:r w:rsidR="00261332" w:rsidRPr="006C3BAA">
        <w:rPr>
          <w:sz w:val="28"/>
          <w:szCs w:val="28"/>
        </w:rPr>
        <w:t>:</w:t>
      </w:r>
    </w:p>
    <w:p w:rsidR="00FD2877" w:rsidRPr="006C3BAA" w:rsidRDefault="00FD2877" w:rsidP="00FD2877"/>
    <w:p w:rsidR="00FD2877" w:rsidRPr="006C3BAA" w:rsidRDefault="00FD2877" w:rsidP="00FD2877">
      <w:pPr>
        <w:pStyle w:val="ESPONText"/>
      </w:pPr>
      <w:r w:rsidRPr="006C3BAA">
        <w:t xml:space="preserve">The </w:t>
      </w:r>
      <w:proofErr w:type="spellStart"/>
      <w:r w:rsidRPr="006C3BAA">
        <w:t>TiPSE</w:t>
      </w:r>
      <w:proofErr w:type="spellEnd"/>
      <w:r w:rsidRPr="006C3BAA">
        <w:t xml:space="preserve"> project has been commissioned by the European Observation Network for Territorial Development and Cohesion (ESPON) programme. It is concerned with the issue of poverty and processes of social exclusion in Europe. The project aims to improve the evidence base for policy which promotes inclusive growth</w:t>
      </w:r>
      <w:r w:rsidR="009F458E" w:rsidRPr="006C3BAA">
        <w:t>, within the context of the EU2020 strategy.</w:t>
      </w:r>
    </w:p>
    <w:p w:rsidR="00FD2877" w:rsidRPr="006C3BAA" w:rsidRDefault="00FD2877" w:rsidP="00FD2877">
      <w:pPr>
        <w:pStyle w:val="ESPONText"/>
      </w:pPr>
      <w:r w:rsidRPr="006C3BAA">
        <w:t>One of the key challenges in Europe is to address regional or local concentrations of poverty and social exclusion. This remains a national responsibility within the context of EU strategic guidance. In practice it is often regional or local administrations which face the challenge of implementing national policies to ameliorate deprivation and exclusion. At a higher level, the EU defines its role as identifying best practices and promoting mutual learning.</w:t>
      </w:r>
    </w:p>
    <w:p w:rsidR="00FD2877" w:rsidRPr="006C3BAA" w:rsidRDefault="00E8420C" w:rsidP="00FD2877">
      <w:pPr>
        <w:pStyle w:val="ESPONText"/>
      </w:pPr>
      <w:r>
        <w:t xml:space="preserve">The ESPON </w:t>
      </w:r>
      <w:proofErr w:type="spellStart"/>
      <w:r>
        <w:t>Ti</w:t>
      </w:r>
      <w:r w:rsidR="00FD2877" w:rsidRPr="006C3BAA">
        <w:t>PSE</w:t>
      </w:r>
      <w:proofErr w:type="spellEnd"/>
      <w:r w:rsidR="00FD2877" w:rsidRPr="006C3BAA">
        <w:t xml:space="preserve"> project aims to support policy, both by enhancing the evidence base and by identifying existing good practice. Poverty and social exclusion are essentially relative concepts, arguably meaningful only within a specified geographical context. This underlines the central importance of observation, measurement, and careful data analysis as an essential preparation for intervention.</w:t>
      </w:r>
    </w:p>
    <w:p w:rsidR="00FD2877" w:rsidRPr="006C3BAA" w:rsidRDefault="00FD2877" w:rsidP="00FD2877">
      <w:pPr>
        <w:pStyle w:val="ESPONText"/>
      </w:pPr>
      <w:r w:rsidRPr="006C3BAA">
        <w:t>A central aim of the project is to generate a regional database, and associated maps, of poverty and social exclusion indicators. The project will thus establish macro and micro-scale patterns of poverty and social exclusion across the ESPON space. Such quantitative analysis of geographical patterns is considered a crucial part of the evidence base for policy.</w:t>
      </w:r>
    </w:p>
    <w:p w:rsidR="00FD2877" w:rsidRPr="006C3BAA" w:rsidRDefault="00FD2877" w:rsidP="00FD2877">
      <w:pPr>
        <w:pStyle w:val="ESPONText"/>
      </w:pPr>
      <w:r w:rsidRPr="006C3BAA">
        <w:t xml:space="preserve">In addition, in order to better understand the various social and institutional processes which are the context of these patterns, a set of ten case studies </w:t>
      </w:r>
      <w:r w:rsidR="00790C74" w:rsidRPr="006C3BAA">
        <w:t xml:space="preserve">are to be </w:t>
      </w:r>
      <w:r w:rsidRPr="006C3BAA">
        <w:t>carried out. These are more qualitative in approach, in order to convey holistic portraits of different kinds of poverty and social exclusion as experienced in a wide variety of European territorial contexts. An important goal for the project will be to identify policy approaches which can effectively tackle exclusion, and thus strengthen territorial cohesion. The case studies are intended to further this objective by exploring local policy processes and highlighting good practice.</w:t>
      </w:r>
    </w:p>
    <w:p w:rsidR="00FD2877" w:rsidRPr="006C3BAA" w:rsidRDefault="00FD2877" w:rsidP="00FD2877">
      <w:pPr>
        <w:pStyle w:val="ESPONText"/>
      </w:pPr>
      <w:r w:rsidRPr="006C3BAA">
        <w:t>The</w:t>
      </w:r>
      <w:r w:rsidR="00502913">
        <w:t xml:space="preserve"> </w:t>
      </w:r>
      <w:proofErr w:type="spellStart"/>
      <w:r w:rsidR="00502913">
        <w:t>TiPSE</w:t>
      </w:r>
      <w:proofErr w:type="spellEnd"/>
      <w:r w:rsidR="00502913">
        <w:t xml:space="preserve"> research team comprises 7</w:t>
      </w:r>
      <w:r w:rsidRPr="006C3BAA">
        <w:t xml:space="preserve"> partners from 5 EU Member States:</w:t>
      </w:r>
    </w:p>
    <w:tbl>
      <w:tblPr>
        <w:tblW w:w="9009" w:type="dxa"/>
        <w:tblInd w:w="10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tblPr>
      <w:tblGrid>
        <w:gridCol w:w="539"/>
        <w:gridCol w:w="5635"/>
        <w:gridCol w:w="567"/>
        <w:gridCol w:w="2268"/>
      </w:tblGrid>
      <w:tr w:rsidR="00FD2877" w:rsidRPr="006C3BAA" w:rsidTr="00B226E7">
        <w:trPr>
          <w:trHeight w:val="255"/>
        </w:trPr>
        <w:tc>
          <w:tcPr>
            <w:tcW w:w="539" w:type="dxa"/>
            <w:tcBorders>
              <w:top w:val="single" w:sz="4" w:space="0" w:color="auto"/>
              <w:bottom w:val="single" w:sz="4" w:space="0" w:color="auto"/>
            </w:tcBorders>
            <w:shd w:val="clear" w:color="auto" w:fill="auto"/>
            <w:noWrap/>
            <w:tcMar>
              <w:top w:w="0" w:type="dxa"/>
              <w:left w:w="40" w:type="dxa"/>
              <w:bottom w:w="0" w:type="dxa"/>
              <w:right w:w="40" w:type="dxa"/>
            </w:tcMar>
            <w:vAlign w:val="center"/>
          </w:tcPr>
          <w:p w:rsidR="00FD2877" w:rsidRPr="006C3BAA" w:rsidRDefault="00FD2877" w:rsidP="00B226E7">
            <w:pPr>
              <w:spacing w:before="0" w:line="240" w:lineRule="auto"/>
              <w:jc w:val="right"/>
              <w:rPr>
                <w:rFonts w:cs="Arial"/>
                <w:b/>
                <w:bCs/>
                <w:sz w:val="20"/>
                <w:lang w:eastAsia="en-GB"/>
              </w:rPr>
            </w:pPr>
            <w:r w:rsidRPr="006C3BAA">
              <w:rPr>
                <w:rFonts w:cs="Arial"/>
                <w:b/>
                <w:bCs/>
                <w:sz w:val="20"/>
                <w:lang w:eastAsia="en-GB"/>
              </w:rPr>
              <w:t>No.</w:t>
            </w:r>
          </w:p>
        </w:tc>
        <w:tc>
          <w:tcPr>
            <w:tcW w:w="5635" w:type="dxa"/>
            <w:tcBorders>
              <w:top w:val="single" w:sz="4" w:space="0" w:color="auto"/>
              <w:bottom w:val="single" w:sz="4" w:space="0" w:color="auto"/>
            </w:tcBorders>
            <w:shd w:val="clear" w:color="auto" w:fill="auto"/>
            <w:noWrap/>
            <w:tcMar>
              <w:top w:w="0" w:type="dxa"/>
              <w:left w:w="40" w:type="dxa"/>
              <w:bottom w:w="0" w:type="dxa"/>
              <w:right w:w="40" w:type="dxa"/>
            </w:tcMar>
            <w:vAlign w:val="center"/>
          </w:tcPr>
          <w:p w:rsidR="00FD2877" w:rsidRPr="006C3BAA" w:rsidRDefault="00FD2877" w:rsidP="00B226E7">
            <w:pPr>
              <w:spacing w:before="0" w:line="240" w:lineRule="auto"/>
              <w:jc w:val="left"/>
              <w:rPr>
                <w:rFonts w:cs="Arial"/>
                <w:b/>
                <w:bCs/>
                <w:sz w:val="20"/>
                <w:lang w:eastAsia="en-GB"/>
              </w:rPr>
            </w:pPr>
            <w:r w:rsidRPr="006C3BAA">
              <w:rPr>
                <w:rFonts w:cs="Arial"/>
                <w:b/>
                <w:bCs/>
                <w:sz w:val="20"/>
                <w:lang w:eastAsia="en-GB"/>
              </w:rPr>
              <w:t>Partner</w:t>
            </w:r>
          </w:p>
        </w:tc>
        <w:tc>
          <w:tcPr>
            <w:tcW w:w="567" w:type="dxa"/>
            <w:tcBorders>
              <w:top w:val="single" w:sz="4" w:space="0" w:color="auto"/>
              <w:bottom w:val="single" w:sz="4" w:space="0" w:color="auto"/>
            </w:tcBorders>
            <w:shd w:val="clear" w:color="auto" w:fill="auto"/>
            <w:noWrap/>
            <w:tcMar>
              <w:top w:w="0" w:type="dxa"/>
              <w:left w:w="40" w:type="dxa"/>
              <w:bottom w:w="0" w:type="dxa"/>
              <w:right w:w="40" w:type="dxa"/>
            </w:tcMar>
            <w:vAlign w:val="center"/>
          </w:tcPr>
          <w:p w:rsidR="00FD2877" w:rsidRPr="006C3BAA" w:rsidRDefault="00FD2877" w:rsidP="00B226E7">
            <w:pPr>
              <w:spacing w:before="0" w:line="240" w:lineRule="auto"/>
              <w:jc w:val="left"/>
              <w:rPr>
                <w:rFonts w:cs="Arial"/>
                <w:b/>
                <w:bCs/>
                <w:sz w:val="20"/>
                <w:lang w:eastAsia="en-GB"/>
              </w:rPr>
            </w:pPr>
            <w:r w:rsidRPr="006C3BAA">
              <w:rPr>
                <w:rFonts w:cs="Arial"/>
                <w:b/>
                <w:bCs/>
                <w:sz w:val="20"/>
                <w:lang w:eastAsia="en-GB"/>
              </w:rPr>
              <w:t>MS</w:t>
            </w:r>
          </w:p>
        </w:tc>
        <w:tc>
          <w:tcPr>
            <w:tcW w:w="2268" w:type="dxa"/>
            <w:tcBorders>
              <w:top w:val="single" w:sz="4" w:space="0" w:color="auto"/>
              <w:bottom w:val="single" w:sz="4" w:space="0" w:color="auto"/>
            </w:tcBorders>
            <w:tcMar>
              <w:top w:w="0" w:type="dxa"/>
              <w:left w:w="40" w:type="dxa"/>
              <w:bottom w:w="0" w:type="dxa"/>
              <w:right w:w="40" w:type="dxa"/>
            </w:tcMar>
            <w:vAlign w:val="center"/>
          </w:tcPr>
          <w:p w:rsidR="00FD2877" w:rsidRPr="006C3BAA" w:rsidRDefault="00FD2877" w:rsidP="00B226E7">
            <w:pPr>
              <w:spacing w:before="0" w:line="240" w:lineRule="auto"/>
              <w:jc w:val="left"/>
              <w:rPr>
                <w:rFonts w:cs="Arial"/>
                <w:b/>
                <w:bCs/>
                <w:sz w:val="20"/>
                <w:lang w:eastAsia="en-GB"/>
              </w:rPr>
            </w:pPr>
            <w:r w:rsidRPr="006C3BAA">
              <w:rPr>
                <w:rFonts w:cs="Arial"/>
                <w:b/>
                <w:bCs/>
                <w:sz w:val="20"/>
                <w:lang w:eastAsia="en-GB"/>
              </w:rPr>
              <w:t>Principal Researchers</w:t>
            </w:r>
          </w:p>
        </w:tc>
      </w:tr>
      <w:tr w:rsidR="00FD2877" w:rsidRPr="006C3BAA" w:rsidTr="00B226E7">
        <w:trPr>
          <w:trHeight w:val="255"/>
        </w:trPr>
        <w:tc>
          <w:tcPr>
            <w:tcW w:w="539" w:type="dxa"/>
            <w:tcBorders>
              <w:top w:val="single" w:sz="4" w:space="0" w:color="auto"/>
            </w:tcBorders>
            <w:shd w:val="clear" w:color="auto" w:fill="auto"/>
            <w:tcMar>
              <w:top w:w="0" w:type="dxa"/>
              <w:left w:w="40" w:type="dxa"/>
              <w:bottom w:w="0" w:type="dxa"/>
              <w:right w:w="40" w:type="dxa"/>
            </w:tcMar>
            <w:vAlign w:val="center"/>
          </w:tcPr>
          <w:p w:rsidR="00FD2877" w:rsidRPr="006C3BAA" w:rsidRDefault="00FD2877" w:rsidP="00B226E7">
            <w:pPr>
              <w:spacing w:before="0" w:line="240" w:lineRule="auto"/>
              <w:jc w:val="center"/>
              <w:rPr>
                <w:rFonts w:cs="Arial"/>
                <w:color w:val="000000"/>
                <w:sz w:val="20"/>
                <w:lang w:eastAsia="en-GB"/>
              </w:rPr>
            </w:pPr>
            <w:r w:rsidRPr="006C3BAA">
              <w:rPr>
                <w:rFonts w:cs="Arial"/>
                <w:color w:val="000000"/>
                <w:sz w:val="20"/>
                <w:lang w:eastAsia="en-GB"/>
              </w:rPr>
              <w:t>LP</w:t>
            </w:r>
          </w:p>
        </w:tc>
        <w:tc>
          <w:tcPr>
            <w:tcW w:w="5635" w:type="dxa"/>
            <w:tcBorders>
              <w:top w:val="single" w:sz="4" w:space="0" w:color="auto"/>
            </w:tcBorders>
            <w:shd w:val="clear" w:color="auto" w:fill="auto"/>
            <w:tcMar>
              <w:top w:w="0" w:type="dxa"/>
              <w:left w:w="40" w:type="dxa"/>
              <w:bottom w:w="0" w:type="dxa"/>
              <w:right w:w="40" w:type="dxa"/>
            </w:tcMar>
            <w:vAlign w:val="center"/>
          </w:tcPr>
          <w:p w:rsidR="00FD2877" w:rsidRPr="006C3BAA" w:rsidRDefault="00FD2877" w:rsidP="00B226E7">
            <w:pPr>
              <w:spacing w:before="0" w:line="240" w:lineRule="auto"/>
              <w:jc w:val="left"/>
              <w:rPr>
                <w:rFonts w:cs="Arial"/>
                <w:color w:val="000000"/>
                <w:sz w:val="20"/>
                <w:lang w:eastAsia="en-GB"/>
              </w:rPr>
            </w:pPr>
            <w:proofErr w:type="spellStart"/>
            <w:r w:rsidRPr="006C3BAA">
              <w:rPr>
                <w:rFonts w:cs="Arial"/>
                <w:color w:val="000000"/>
                <w:sz w:val="20"/>
                <w:lang w:eastAsia="en-GB"/>
              </w:rPr>
              <w:t>Nordregio</w:t>
            </w:r>
            <w:proofErr w:type="spellEnd"/>
            <w:r w:rsidRPr="006C3BAA">
              <w:rPr>
                <w:rFonts w:cs="Arial"/>
                <w:color w:val="000000"/>
                <w:sz w:val="20"/>
                <w:lang w:eastAsia="en-GB"/>
              </w:rPr>
              <w:t xml:space="preserve"> - Nordic Centre for Spatial Development</w:t>
            </w:r>
          </w:p>
        </w:tc>
        <w:tc>
          <w:tcPr>
            <w:tcW w:w="567" w:type="dxa"/>
            <w:tcBorders>
              <w:top w:val="single" w:sz="4" w:space="0" w:color="auto"/>
            </w:tcBorders>
            <w:shd w:val="clear" w:color="auto" w:fill="auto"/>
            <w:noWrap/>
            <w:tcMar>
              <w:top w:w="0" w:type="dxa"/>
              <w:left w:w="40" w:type="dxa"/>
              <w:bottom w:w="0" w:type="dxa"/>
              <w:right w:w="40" w:type="dxa"/>
            </w:tcMar>
            <w:vAlign w:val="center"/>
          </w:tcPr>
          <w:p w:rsidR="00FD2877" w:rsidRPr="006C3BAA" w:rsidRDefault="00FD2877" w:rsidP="00B226E7">
            <w:pPr>
              <w:spacing w:before="0" w:line="240" w:lineRule="auto"/>
              <w:jc w:val="left"/>
              <w:rPr>
                <w:rFonts w:cs="Arial"/>
                <w:sz w:val="20"/>
                <w:lang w:eastAsia="en-GB"/>
              </w:rPr>
            </w:pPr>
            <w:r w:rsidRPr="006C3BAA">
              <w:rPr>
                <w:rFonts w:cs="Arial"/>
                <w:sz w:val="20"/>
                <w:lang w:eastAsia="en-GB"/>
              </w:rPr>
              <w:t>SE</w:t>
            </w:r>
          </w:p>
        </w:tc>
        <w:tc>
          <w:tcPr>
            <w:tcW w:w="2268" w:type="dxa"/>
            <w:tcBorders>
              <w:top w:val="single" w:sz="4" w:space="0" w:color="auto"/>
            </w:tcBorders>
            <w:tcMar>
              <w:top w:w="0" w:type="dxa"/>
              <w:left w:w="40" w:type="dxa"/>
              <w:bottom w:w="0" w:type="dxa"/>
              <w:right w:w="40" w:type="dxa"/>
            </w:tcMar>
            <w:vAlign w:val="center"/>
          </w:tcPr>
          <w:p w:rsidR="00FD2877" w:rsidRPr="006C3BAA" w:rsidRDefault="00FD2877" w:rsidP="00B226E7">
            <w:pPr>
              <w:spacing w:before="0" w:line="240" w:lineRule="auto"/>
              <w:jc w:val="left"/>
              <w:rPr>
                <w:rFonts w:cs="Arial"/>
                <w:sz w:val="20"/>
                <w:lang w:eastAsia="en-GB"/>
              </w:rPr>
            </w:pPr>
            <w:r w:rsidRPr="006C3BAA">
              <w:rPr>
                <w:rFonts w:cs="Arial"/>
                <w:sz w:val="20"/>
                <w:lang w:eastAsia="en-GB"/>
              </w:rPr>
              <w:t xml:space="preserve">Petri </w:t>
            </w:r>
            <w:proofErr w:type="spellStart"/>
            <w:r w:rsidRPr="006C3BAA">
              <w:rPr>
                <w:rFonts w:cs="Arial"/>
                <w:sz w:val="20"/>
                <w:lang w:eastAsia="en-GB"/>
              </w:rPr>
              <w:t>Kahila</w:t>
            </w:r>
            <w:proofErr w:type="spellEnd"/>
          </w:p>
        </w:tc>
      </w:tr>
      <w:tr w:rsidR="00FD2877" w:rsidRPr="006C3BAA" w:rsidTr="00B226E7">
        <w:trPr>
          <w:trHeight w:val="255"/>
        </w:trPr>
        <w:tc>
          <w:tcPr>
            <w:tcW w:w="539" w:type="dxa"/>
            <w:shd w:val="clear" w:color="auto" w:fill="auto"/>
            <w:tcMar>
              <w:top w:w="0" w:type="dxa"/>
              <w:left w:w="40" w:type="dxa"/>
              <w:bottom w:w="0" w:type="dxa"/>
              <w:right w:w="40" w:type="dxa"/>
            </w:tcMar>
            <w:vAlign w:val="center"/>
          </w:tcPr>
          <w:p w:rsidR="00FD2877" w:rsidRPr="006C3BAA" w:rsidRDefault="00FD2877" w:rsidP="00B226E7">
            <w:pPr>
              <w:spacing w:before="0" w:line="240" w:lineRule="auto"/>
              <w:jc w:val="center"/>
              <w:rPr>
                <w:rFonts w:cs="Arial"/>
                <w:bCs/>
                <w:color w:val="000000"/>
                <w:sz w:val="20"/>
                <w:lang w:eastAsia="en-GB"/>
              </w:rPr>
            </w:pPr>
            <w:r w:rsidRPr="006C3BAA">
              <w:rPr>
                <w:rFonts w:cs="Arial"/>
                <w:bCs/>
                <w:color w:val="000000"/>
                <w:sz w:val="20"/>
                <w:lang w:eastAsia="en-GB"/>
              </w:rPr>
              <w:t>2</w:t>
            </w:r>
          </w:p>
        </w:tc>
        <w:tc>
          <w:tcPr>
            <w:tcW w:w="5635" w:type="dxa"/>
            <w:shd w:val="clear" w:color="auto" w:fill="auto"/>
            <w:tcMar>
              <w:top w:w="0" w:type="dxa"/>
              <w:left w:w="40" w:type="dxa"/>
              <w:bottom w:w="0" w:type="dxa"/>
              <w:right w:w="40" w:type="dxa"/>
            </w:tcMar>
            <w:vAlign w:val="center"/>
          </w:tcPr>
          <w:p w:rsidR="00FD2877" w:rsidRPr="006C3BAA" w:rsidRDefault="00FD2877" w:rsidP="00B226E7">
            <w:pPr>
              <w:spacing w:before="0" w:line="240" w:lineRule="auto"/>
              <w:jc w:val="left"/>
              <w:rPr>
                <w:rFonts w:cs="Arial"/>
                <w:bCs/>
                <w:color w:val="000000"/>
                <w:sz w:val="20"/>
                <w:lang w:eastAsia="en-GB"/>
              </w:rPr>
            </w:pPr>
            <w:r w:rsidRPr="006C3BAA">
              <w:rPr>
                <w:rFonts w:cs="Arial"/>
                <w:bCs/>
                <w:color w:val="000000"/>
                <w:sz w:val="20"/>
                <w:lang w:eastAsia="en-GB"/>
              </w:rPr>
              <w:t>UHI Millennium Institute</w:t>
            </w:r>
          </w:p>
        </w:tc>
        <w:tc>
          <w:tcPr>
            <w:tcW w:w="567" w:type="dxa"/>
            <w:shd w:val="clear" w:color="auto" w:fill="auto"/>
            <w:noWrap/>
            <w:tcMar>
              <w:top w:w="0" w:type="dxa"/>
              <w:left w:w="40" w:type="dxa"/>
              <w:bottom w:w="0" w:type="dxa"/>
              <w:right w:w="40" w:type="dxa"/>
            </w:tcMar>
            <w:vAlign w:val="center"/>
          </w:tcPr>
          <w:p w:rsidR="00FD2877" w:rsidRPr="006C3BAA" w:rsidRDefault="00FD2877" w:rsidP="00B226E7">
            <w:pPr>
              <w:spacing w:before="0" w:line="240" w:lineRule="auto"/>
              <w:jc w:val="left"/>
              <w:rPr>
                <w:rFonts w:cs="Arial"/>
                <w:bCs/>
                <w:sz w:val="20"/>
                <w:lang w:eastAsia="en-GB"/>
              </w:rPr>
            </w:pPr>
            <w:r w:rsidRPr="006C3BAA">
              <w:rPr>
                <w:rFonts w:cs="Arial"/>
                <w:bCs/>
                <w:sz w:val="20"/>
                <w:lang w:eastAsia="en-GB"/>
              </w:rPr>
              <w:t>UK</w:t>
            </w:r>
          </w:p>
        </w:tc>
        <w:tc>
          <w:tcPr>
            <w:tcW w:w="2268" w:type="dxa"/>
            <w:tcMar>
              <w:top w:w="0" w:type="dxa"/>
              <w:left w:w="40" w:type="dxa"/>
              <w:bottom w:w="0" w:type="dxa"/>
              <w:right w:w="40" w:type="dxa"/>
            </w:tcMar>
            <w:vAlign w:val="center"/>
          </w:tcPr>
          <w:p w:rsidR="00FD2877" w:rsidRPr="006C3BAA" w:rsidRDefault="00CA0D5A" w:rsidP="00B226E7">
            <w:pPr>
              <w:spacing w:before="0" w:line="240" w:lineRule="auto"/>
              <w:jc w:val="left"/>
              <w:rPr>
                <w:rFonts w:cs="Arial"/>
                <w:bCs/>
                <w:sz w:val="20"/>
                <w:lang w:eastAsia="en-GB"/>
              </w:rPr>
            </w:pPr>
            <w:r>
              <w:rPr>
                <w:rFonts w:cs="Arial"/>
                <w:bCs/>
                <w:sz w:val="20"/>
                <w:lang w:eastAsia="en-GB"/>
              </w:rPr>
              <w:t>Philomena de Lima</w:t>
            </w:r>
          </w:p>
        </w:tc>
      </w:tr>
      <w:tr w:rsidR="00FD2877" w:rsidRPr="006C3BAA" w:rsidTr="00B226E7">
        <w:trPr>
          <w:trHeight w:val="285"/>
        </w:trPr>
        <w:tc>
          <w:tcPr>
            <w:tcW w:w="539" w:type="dxa"/>
            <w:shd w:val="clear" w:color="auto" w:fill="auto"/>
            <w:tcMar>
              <w:top w:w="0" w:type="dxa"/>
              <w:left w:w="40" w:type="dxa"/>
              <w:bottom w:w="0" w:type="dxa"/>
              <w:right w:w="40" w:type="dxa"/>
            </w:tcMar>
            <w:vAlign w:val="center"/>
          </w:tcPr>
          <w:p w:rsidR="00FD2877" w:rsidRPr="006C3BAA" w:rsidRDefault="00FD2877" w:rsidP="00B226E7">
            <w:pPr>
              <w:spacing w:before="0" w:line="240" w:lineRule="auto"/>
              <w:jc w:val="center"/>
              <w:rPr>
                <w:rFonts w:cs="Arial"/>
                <w:color w:val="000000"/>
                <w:sz w:val="20"/>
                <w:lang w:eastAsia="en-GB"/>
              </w:rPr>
            </w:pPr>
            <w:r w:rsidRPr="006C3BAA">
              <w:rPr>
                <w:rFonts w:cs="Arial"/>
                <w:color w:val="000000"/>
                <w:sz w:val="20"/>
                <w:lang w:eastAsia="en-GB"/>
              </w:rPr>
              <w:t>3</w:t>
            </w:r>
          </w:p>
        </w:tc>
        <w:tc>
          <w:tcPr>
            <w:tcW w:w="5635" w:type="dxa"/>
            <w:shd w:val="clear" w:color="auto" w:fill="auto"/>
            <w:tcMar>
              <w:top w:w="0" w:type="dxa"/>
              <w:left w:w="40" w:type="dxa"/>
              <w:bottom w:w="0" w:type="dxa"/>
              <w:right w:w="40" w:type="dxa"/>
            </w:tcMar>
            <w:vAlign w:val="center"/>
          </w:tcPr>
          <w:p w:rsidR="00FD2877" w:rsidRPr="006C3BAA" w:rsidRDefault="00FD2877" w:rsidP="00B226E7">
            <w:pPr>
              <w:spacing w:before="0" w:line="240" w:lineRule="auto"/>
              <w:jc w:val="left"/>
              <w:rPr>
                <w:rFonts w:cs="Arial"/>
                <w:color w:val="000000"/>
                <w:sz w:val="20"/>
                <w:lang w:eastAsia="en-GB"/>
              </w:rPr>
            </w:pPr>
            <w:r w:rsidRPr="006C3BAA">
              <w:rPr>
                <w:rFonts w:cs="Arial"/>
                <w:color w:val="000000"/>
                <w:sz w:val="20"/>
                <w:lang w:eastAsia="en-GB"/>
              </w:rPr>
              <w:t>Newcastle University</w:t>
            </w:r>
          </w:p>
        </w:tc>
        <w:tc>
          <w:tcPr>
            <w:tcW w:w="567" w:type="dxa"/>
            <w:shd w:val="clear" w:color="auto" w:fill="auto"/>
            <w:noWrap/>
            <w:tcMar>
              <w:top w:w="0" w:type="dxa"/>
              <w:left w:w="40" w:type="dxa"/>
              <w:bottom w:w="0" w:type="dxa"/>
              <w:right w:w="40" w:type="dxa"/>
            </w:tcMar>
            <w:vAlign w:val="center"/>
          </w:tcPr>
          <w:p w:rsidR="00FD2877" w:rsidRPr="006C3BAA" w:rsidRDefault="00FD2877" w:rsidP="00B226E7">
            <w:pPr>
              <w:spacing w:before="0" w:line="240" w:lineRule="auto"/>
              <w:jc w:val="left"/>
              <w:rPr>
                <w:rFonts w:cs="Arial"/>
                <w:sz w:val="20"/>
                <w:lang w:eastAsia="en-GB"/>
              </w:rPr>
            </w:pPr>
            <w:r w:rsidRPr="006C3BAA">
              <w:rPr>
                <w:rFonts w:cs="Arial"/>
                <w:sz w:val="20"/>
                <w:lang w:eastAsia="en-GB"/>
              </w:rPr>
              <w:t>UK</w:t>
            </w:r>
          </w:p>
        </w:tc>
        <w:tc>
          <w:tcPr>
            <w:tcW w:w="2268" w:type="dxa"/>
            <w:tcMar>
              <w:top w:w="0" w:type="dxa"/>
              <w:left w:w="40" w:type="dxa"/>
              <w:bottom w:w="0" w:type="dxa"/>
              <w:right w:w="40" w:type="dxa"/>
            </w:tcMar>
            <w:vAlign w:val="center"/>
          </w:tcPr>
          <w:p w:rsidR="00FD2877" w:rsidRPr="006C3BAA" w:rsidRDefault="00FD2877" w:rsidP="00B226E7">
            <w:pPr>
              <w:spacing w:before="0" w:line="240" w:lineRule="auto"/>
              <w:jc w:val="left"/>
              <w:rPr>
                <w:rFonts w:cs="Arial"/>
                <w:sz w:val="20"/>
                <w:lang w:eastAsia="en-GB"/>
              </w:rPr>
            </w:pPr>
            <w:r w:rsidRPr="006C3BAA">
              <w:rPr>
                <w:rFonts w:cs="Arial"/>
                <w:sz w:val="20"/>
                <w:lang w:eastAsia="en-GB"/>
              </w:rPr>
              <w:t xml:space="preserve">Mark </w:t>
            </w:r>
            <w:proofErr w:type="spellStart"/>
            <w:r w:rsidRPr="006C3BAA">
              <w:rPr>
                <w:rFonts w:cs="Arial"/>
                <w:sz w:val="20"/>
                <w:lang w:eastAsia="en-GB"/>
              </w:rPr>
              <w:t>Shucksmith</w:t>
            </w:r>
            <w:proofErr w:type="spellEnd"/>
          </w:p>
        </w:tc>
      </w:tr>
      <w:tr w:rsidR="00FD2877" w:rsidRPr="006C3BAA" w:rsidTr="00B226E7">
        <w:trPr>
          <w:trHeight w:val="255"/>
        </w:trPr>
        <w:tc>
          <w:tcPr>
            <w:tcW w:w="539" w:type="dxa"/>
            <w:shd w:val="clear" w:color="auto" w:fill="auto"/>
            <w:tcMar>
              <w:top w:w="0" w:type="dxa"/>
              <w:left w:w="40" w:type="dxa"/>
              <w:bottom w:w="0" w:type="dxa"/>
              <w:right w:w="40" w:type="dxa"/>
            </w:tcMar>
            <w:vAlign w:val="center"/>
          </w:tcPr>
          <w:p w:rsidR="00FD2877" w:rsidRPr="006C3BAA" w:rsidRDefault="00FD2877" w:rsidP="00B226E7">
            <w:pPr>
              <w:spacing w:before="0" w:line="240" w:lineRule="auto"/>
              <w:jc w:val="center"/>
              <w:rPr>
                <w:rFonts w:cs="Arial"/>
                <w:color w:val="000000"/>
                <w:sz w:val="20"/>
                <w:lang w:eastAsia="en-GB"/>
              </w:rPr>
            </w:pPr>
            <w:r w:rsidRPr="006C3BAA">
              <w:rPr>
                <w:rFonts w:cs="Arial"/>
                <w:color w:val="000000"/>
                <w:sz w:val="20"/>
                <w:lang w:eastAsia="en-GB"/>
              </w:rPr>
              <w:t>4</w:t>
            </w:r>
          </w:p>
        </w:tc>
        <w:tc>
          <w:tcPr>
            <w:tcW w:w="5635" w:type="dxa"/>
            <w:shd w:val="clear" w:color="auto" w:fill="auto"/>
            <w:tcMar>
              <w:top w:w="0" w:type="dxa"/>
              <w:left w:w="40" w:type="dxa"/>
              <w:bottom w:w="0" w:type="dxa"/>
              <w:right w:w="40" w:type="dxa"/>
            </w:tcMar>
            <w:vAlign w:val="center"/>
          </w:tcPr>
          <w:p w:rsidR="00FD2877" w:rsidRPr="006C3BAA" w:rsidRDefault="00DD1DB9" w:rsidP="00B226E7">
            <w:pPr>
              <w:spacing w:before="0" w:line="240" w:lineRule="auto"/>
              <w:jc w:val="left"/>
              <w:rPr>
                <w:rFonts w:cs="Arial"/>
                <w:color w:val="000000"/>
                <w:sz w:val="20"/>
                <w:lang w:eastAsia="en-GB"/>
              </w:rPr>
            </w:pPr>
            <w:r>
              <w:rPr>
                <w:rFonts w:cs="Arial"/>
                <w:color w:val="000000"/>
                <w:sz w:val="20"/>
                <w:lang w:eastAsia="en-GB"/>
              </w:rPr>
              <w:t>MTA KRTK</w:t>
            </w:r>
            <w:r w:rsidR="00D434A2">
              <w:rPr>
                <w:rFonts w:cs="Arial"/>
                <w:color w:val="000000"/>
                <w:sz w:val="20"/>
                <w:lang w:eastAsia="en-GB"/>
              </w:rPr>
              <w:t xml:space="preserve"> – </w:t>
            </w:r>
            <w:r w:rsidR="008B7B6E" w:rsidRPr="006C3BAA">
              <w:rPr>
                <w:rFonts w:cs="Arial"/>
                <w:color w:val="000000"/>
                <w:sz w:val="20"/>
                <w:lang w:eastAsia="en-GB"/>
              </w:rPr>
              <w:t>Centre for Economic and Regional Studies,</w:t>
            </w:r>
            <w:r w:rsidR="00FD2877" w:rsidRPr="006C3BAA">
              <w:rPr>
                <w:rFonts w:cs="Arial"/>
                <w:color w:val="000000"/>
                <w:sz w:val="20"/>
                <w:lang w:eastAsia="en-GB"/>
              </w:rPr>
              <w:t xml:space="preserve"> Hungarian Academy of Sciences</w:t>
            </w:r>
          </w:p>
        </w:tc>
        <w:tc>
          <w:tcPr>
            <w:tcW w:w="567" w:type="dxa"/>
            <w:shd w:val="clear" w:color="auto" w:fill="auto"/>
            <w:noWrap/>
            <w:tcMar>
              <w:top w:w="0" w:type="dxa"/>
              <w:left w:w="40" w:type="dxa"/>
              <w:bottom w:w="0" w:type="dxa"/>
              <w:right w:w="40" w:type="dxa"/>
            </w:tcMar>
            <w:vAlign w:val="center"/>
          </w:tcPr>
          <w:p w:rsidR="00FD2877" w:rsidRPr="006C3BAA" w:rsidRDefault="00FD2877" w:rsidP="00B226E7">
            <w:pPr>
              <w:spacing w:before="0" w:line="240" w:lineRule="auto"/>
              <w:jc w:val="left"/>
              <w:rPr>
                <w:rFonts w:cs="Arial"/>
                <w:sz w:val="20"/>
                <w:lang w:eastAsia="en-GB"/>
              </w:rPr>
            </w:pPr>
            <w:r w:rsidRPr="006C3BAA">
              <w:rPr>
                <w:rFonts w:cs="Arial"/>
                <w:sz w:val="20"/>
                <w:lang w:eastAsia="en-GB"/>
              </w:rPr>
              <w:t>HU</w:t>
            </w:r>
          </w:p>
        </w:tc>
        <w:tc>
          <w:tcPr>
            <w:tcW w:w="2268" w:type="dxa"/>
            <w:tcMar>
              <w:top w:w="0" w:type="dxa"/>
              <w:left w:w="40" w:type="dxa"/>
              <w:bottom w:w="0" w:type="dxa"/>
              <w:right w:w="40" w:type="dxa"/>
            </w:tcMar>
            <w:vAlign w:val="center"/>
          </w:tcPr>
          <w:p w:rsidR="00FD2877" w:rsidRPr="006C3BAA" w:rsidRDefault="00FD2877" w:rsidP="00B226E7">
            <w:pPr>
              <w:spacing w:before="0" w:line="240" w:lineRule="auto"/>
              <w:jc w:val="left"/>
              <w:rPr>
                <w:rFonts w:cs="Arial"/>
                <w:sz w:val="20"/>
                <w:lang w:eastAsia="en-GB"/>
              </w:rPr>
            </w:pPr>
            <w:proofErr w:type="spellStart"/>
            <w:r w:rsidRPr="006C3BAA">
              <w:rPr>
                <w:rFonts w:cs="Arial"/>
                <w:sz w:val="20"/>
                <w:lang w:eastAsia="en-GB"/>
              </w:rPr>
              <w:t>Katalin</w:t>
            </w:r>
            <w:proofErr w:type="spellEnd"/>
            <w:r w:rsidR="008048F8" w:rsidRPr="006C3BAA">
              <w:rPr>
                <w:rFonts w:cs="Arial"/>
                <w:sz w:val="20"/>
                <w:lang w:eastAsia="en-GB"/>
              </w:rPr>
              <w:t xml:space="preserve"> </w:t>
            </w:r>
            <w:proofErr w:type="spellStart"/>
            <w:r w:rsidRPr="006C3BAA">
              <w:rPr>
                <w:rFonts w:cs="Arial"/>
                <w:sz w:val="20"/>
                <w:lang w:eastAsia="en-GB"/>
              </w:rPr>
              <w:t>Kovács</w:t>
            </w:r>
            <w:proofErr w:type="spellEnd"/>
          </w:p>
        </w:tc>
      </w:tr>
      <w:tr w:rsidR="00FD2877" w:rsidRPr="006C3BAA" w:rsidTr="00B226E7">
        <w:trPr>
          <w:trHeight w:val="255"/>
        </w:trPr>
        <w:tc>
          <w:tcPr>
            <w:tcW w:w="539" w:type="dxa"/>
            <w:shd w:val="clear" w:color="auto" w:fill="auto"/>
            <w:tcMar>
              <w:top w:w="0" w:type="dxa"/>
              <w:left w:w="40" w:type="dxa"/>
              <w:bottom w:w="0" w:type="dxa"/>
              <w:right w:w="40" w:type="dxa"/>
            </w:tcMar>
            <w:vAlign w:val="center"/>
          </w:tcPr>
          <w:p w:rsidR="00FD2877" w:rsidRPr="006C3BAA" w:rsidRDefault="00FD2877" w:rsidP="00B226E7">
            <w:pPr>
              <w:spacing w:before="0" w:line="240" w:lineRule="auto"/>
              <w:jc w:val="center"/>
              <w:rPr>
                <w:rFonts w:cs="Arial"/>
                <w:color w:val="000000"/>
                <w:sz w:val="20"/>
                <w:lang w:eastAsia="en-GB"/>
              </w:rPr>
            </w:pPr>
            <w:r w:rsidRPr="006C3BAA">
              <w:rPr>
                <w:rFonts w:cs="Arial"/>
                <w:color w:val="000000"/>
                <w:sz w:val="20"/>
                <w:lang w:eastAsia="en-GB"/>
              </w:rPr>
              <w:t>5</w:t>
            </w:r>
          </w:p>
        </w:tc>
        <w:tc>
          <w:tcPr>
            <w:tcW w:w="5635" w:type="dxa"/>
            <w:shd w:val="clear" w:color="auto" w:fill="auto"/>
            <w:tcMar>
              <w:top w:w="0" w:type="dxa"/>
              <w:left w:w="40" w:type="dxa"/>
              <w:bottom w:w="0" w:type="dxa"/>
              <w:right w:w="40" w:type="dxa"/>
            </w:tcMar>
            <w:vAlign w:val="center"/>
          </w:tcPr>
          <w:p w:rsidR="00FD2877" w:rsidRPr="006C3BAA" w:rsidRDefault="00D434A2" w:rsidP="00B226E7">
            <w:pPr>
              <w:spacing w:before="0" w:line="240" w:lineRule="auto"/>
              <w:jc w:val="left"/>
              <w:rPr>
                <w:rFonts w:cs="Arial"/>
                <w:color w:val="000000"/>
                <w:sz w:val="20"/>
                <w:lang w:eastAsia="en-GB"/>
              </w:rPr>
            </w:pPr>
            <w:r>
              <w:rPr>
                <w:rFonts w:cs="Arial"/>
                <w:color w:val="000000"/>
                <w:sz w:val="20"/>
                <w:lang w:eastAsia="en-GB"/>
              </w:rPr>
              <w:t>ILS –</w:t>
            </w:r>
            <w:r w:rsidR="00FD2877" w:rsidRPr="006C3BAA">
              <w:rPr>
                <w:rFonts w:cs="Arial"/>
                <w:color w:val="000000"/>
                <w:sz w:val="20"/>
                <w:lang w:eastAsia="en-GB"/>
              </w:rPr>
              <w:t xml:space="preserve"> Research Institute for Regional and Urban Development</w:t>
            </w:r>
          </w:p>
        </w:tc>
        <w:tc>
          <w:tcPr>
            <w:tcW w:w="567" w:type="dxa"/>
            <w:shd w:val="clear" w:color="auto" w:fill="auto"/>
            <w:noWrap/>
            <w:tcMar>
              <w:top w:w="0" w:type="dxa"/>
              <w:left w:w="40" w:type="dxa"/>
              <w:bottom w:w="0" w:type="dxa"/>
              <w:right w:w="40" w:type="dxa"/>
            </w:tcMar>
            <w:vAlign w:val="center"/>
          </w:tcPr>
          <w:p w:rsidR="00FD2877" w:rsidRPr="006C3BAA" w:rsidRDefault="00FD2877" w:rsidP="00B226E7">
            <w:pPr>
              <w:spacing w:before="0" w:line="240" w:lineRule="auto"/>
              <w:jc w:val="left"/>
              <w:rPr>
                <w:rFonts w:cs="Arial"/>
                <w:sz w:val="20"/>
                <w:lang w:eastAsia="en-GB"/>
              </w:rPr>
            </w:pPr>
            <w:r w:rsidRPr="006C3BAA">
              <w:rPr>
                <w:rFonts w:cs="Arial"/>
                <w:sz w:val="20"/>
                <w:lang w:eastAsia="en-GB"/>
              </w:rPr>
              <w:t>DE</w:t>
            </w:r>
          </w:p>
        </w:tc>
        <w:tc>
          <w:tcPr>
            <w:tcW w:w="2268" w:type="dxa"/>
            <w:tcMar>
              <w:top w:w="0" w:type="dxa"/>
              <w:left w:w="40" w:type="dxa"/>
              <w:bottom w:w="0" w:type="dxa"/>
              <w:right w:w="40" w:type="dxa"/>
            </w:tcMar>
            <w:vAlign w:val="center"/>
          </w:tcPr>
          <w:p w:rsidR="00FD2877" w:rsidRPr="006C3BAA" w:rsidRDefault="00FD2877" w:rsidP="00B226E7">
            <w:pPr>
              <w:spacing w:before="0" w:line="240" w:lineRule="auto"/>
              <w:jc w:val="left"/>
              <w:rPr>
                <w:rFonts w:cs="Arial"/>
                <w:sz w:val="20"/>
                <w:lang w:eastAsia="en-GB"/>
              </w:rPr>
            </w:pPr>
            <w:r w:rsidRPr="006C3BAA">
              <w:rPr>
                <w:rFonts w:cs="Arial"/>
                <w:sz w:val="20"/>
                <w:lang w:eastAsia="en-GB"/>
              </w:rPr>
              <w:t xml:space="preserve">Sabine </w:t>
            </w:r>
            <w:proofErr w:type="spellStart"/>
            <w:r w:rsidRPr="006C3BAA">
              <w:rPr>
                <w:rFonts w:cs="Arial"/>
                <w:sz w:val="20"/>
                <w:lang w:eastAsia="en-GB"/>
              </w:rPr>
              <w:t>Weck</w:t>
            </w:r>
            <w:proofErr w:type="spellEnd"/>
          </w:p>
        </w:tc>
      </w:tr>
      <w:tr w:rsidR="00FD2877" w:rsidRPr="006C3BAA" w:rsidTr="00B226E7">
        <w:trPr>
          <w:trHeight w:val="285"/>
        </w:trPr>
        <w:tc>
          <w:tcPr>
            <w:tcW w:w="539" w:type="dxa"/>
            <w:shd w:val="clear" w:color="auto" w:fill="auto"/>
            <w:tcMar>
              <w:top w:w="0" w:type="dxa"/>
              <w:left w:w="40" w:type="dxa"/>
              <w:bottom w:w="0" w:type="dxa"/>
              <w:right w:w="40" w:type="dxa"/>
            </w:tcMar>
            <w:vAlign w:val="center"/>
          </w:tcPr>
          <w:p w:rsidR="00FD2877" w:rsidRPr="006C3BAA" w:rsidRDefault="00FD2877" w:rsidP="00B226E7">
            <w:pPr>
              <w:spacing w:before="0" w:line="240" w:lineRule="auto"/>
              <w:jc w:val="center"/>
              <w:rPr>
                <w:rFonts w:cs="Arial"/>
                <w:color w:val="000000"/>
                <w:sz w:val="20"/>
                <w:lang w:eastAsia="en-GB"/>
              </w:rPr>
            </w:pPr>
            <w:r w:rsidRPr="006C3BAA">
              <w:rPr>
                <w:rFonts w:cs="Arial"/>
                <w:color w:val="000000"/>
                <w:sz w:val="20"/>
                <w:lang w:eastAsia="en-GB"/>
              </w:rPr>
              <w:t>6</w:t>
            </w:r>
          </w:p>
        </w:tc>
        <w:tc>
          <w:tcPr>
            <w:tcW w:w="5635" w:type="dxa"/>
            <w:shd w:val="clear" w:color="auto" w:fill="auto"/>
            <w:tcMar>
              <w:top w:w="0" w:type="dxa"/>
              <w:left w:w="40" w:type="dxa"/>
              <w:bottom w:w="0" w:type="dxa"/>
              <w:right w:w="40" w:type="dxa"/>
            </w:tcMar>
            <w:vAlign w:val="center"/>
          </w:tcPr>
          <w:p w:rsidR="00FD2877" w:rsidRPr="006C3BAA" w:rsidRDefault="00FD2877" w:rsidP="00D434A2">
            <w:pPr>
              <w:spacing w:before="0" w:line="240" w:lineRule="auto"/>
              <w:jc w:val="left"/>
              <w:rPr>
                <w:rFonts w:cs="Arial"/>
                <w:color w:val="000000"/>
                <w:sz w:val="20"/>
                <w:lang w:eastAsia="en-GB"/>
              </w:rPr>
            </w:pPr>
            <w:r w:rsidRPr="006C3BAA">
              <w:rPr>
                <w:rFonts w:cs="Arial"/>
                <w:color w:val="000000"/>
                <w:sz w:val="20"/>
                <w:lang w:eastAsia="en-GB"/>
              </w:rPr>
              <w:t xml:space="preserve">EKKE </w:t>
            </w:r>
            <w:r w:rsidR="00D434A2">
              <w:rPr>
                <w:rFonts w:cs="Arial"/>
                <w:color w:val="000000"/>
                <w:sz w:val="20"/>
                <w:lang w:eastAsia="en-GB"/>
              </w:rPr>
              <w:t>–</w:t>
            </w:r>
            <w:r w:rsidRPr="006C3BAA">
              <w:rPr>
                <w:rFonts w:cs="Arial"/>
                <w:color w:val="000000"/>
                <w:sz w:val="20"/>
                <w:lang w:eastAsia="en-GB"/>
              </w:rPr>
              <w:t xml:space="preserve"> </w:t>
            </w:r>
            <w:r w:rsidRPr="006C3BAA">
              <w:rPr>
                <w:rFonts w:cs="Arial"/>
                <w:sz w:val="20"/>
              </w:rPr>
              <w:t>National Centre for Social Research</w:t>
            </w:r>
          </w:p>
        </w:tc>
        <w:tc>
          <w:tcPr>
            <w:tcW w:w="567" w:type="dxa"/>
            <w:shd w:val="clear" w:color="auto" w:fill="auto"/>
            <w:noWrap/>
            <w:tcMar>
              <w:top w:w="0" w:type="dxa"/>
              <w:left w:w="40" w:type="dxa"/>
              <w:bottom w:w="0" w:type="dxa"/>
              <w:right w:w="40" w:type="dxa"/>
            </w:tcMar>
            <w:vAlign w:val="center"/>
          </w:tcPr>
          <w:p w:rsidR="00FD2877" w:rsidRPr="006C3BAA" w:rsidRDefault="00FD2877" w:rsidP="00B226E7">
            <w:pPr>
              <w:spacing w:before="0" w:line="240" w:lineRule="auto"/>
              <w:jc w:val="left"/>
              <w:rPr>
                <w:rFonts w:cs="Arial"/>
                <w:sz w:val="20"/>
                <w:lang w:eastAsia="en-GB"/>
              </w:rPr>
            </w:pPr>
            <w:r w:rsidRPr="006C3BAA">
              <w:rPr>
                <w:rFonts w:cs="Arial"/>
                <w:sz w:val="20"/>
                <w:lang w:eastAsia="en-GB"/>
              </w:rPr>
              <w:t>EL</w:t>
            </w:r>
          </w:p>
        </w:tc>
        <w:tc>
          <w:tcPr>
            <w:tcW w:w="2268" w:type="dxa"/>
            <w:tcMar>
              <w:top w:w="0" w:type="dxa"/>
              <w:left w:w="40" w:type="dxa"/>
              <w:bottom w:w="0" w:type="dxa"/>
              <w:right w:w="40" w:type="dxa"/>
            </w:tcMar>
            <w:vAlign w:val="center"/>
          </w:tcPr>
          <w:p w:rsidR="00FD2877" w:rsidRPr="006C3BAA" w:rsidRDefault="00FD2877" w:rsidP="00B226E7">
            <w:pPr>
              <w:spacing w:before="0" w:line="240" w:lineRule="auto"/>
              <w:jc w:val="left"/>
              <w:rPr>
                <w:rFonts w:cs="Arial"/>
                <w:sz w:val="20"/>
                <w:lang w:eastAsia="en-GB"/>
              </w:rPr>
            </w:pPr>
            <w:r w:rsidRPr="006C3BAA">
              <w:rPr>
                <w:rFonts w:cs="Arial"/>
                <w:sz w:val="20"/>
                <w:lang w:eastAsia="en-GB"/>
              </w:rPr>
              <w:t xml:space="preserve">Thomas </w:t>
            </w:r>
            <w:proofErr w:type="spellStart"/>
            <w:r w:rsidRPr="006C3BAA">
              <w:rPr>
                <w:rFonts w:cs="Arial"/>
                <w:sz w:val="20"/>
                <w:lang w:eastAsia="en-GB"/>
              </w:rPr>
              <w:t>Maloutas</w:t>
            </w:r>
            <w:proofErr w:type="spellEnd"/>
          </w:p>
        </w:tc>
      </w:tr>
      <w:tr w:rsidR="00CA0D5A" w:rsidRPr="006C3BAA" w:rsidTr="00B226E7">
        <w:trPr>
          <w:trHeight w:val="285"/>
        </w:trPr>
        <w:tc>
          <w:tcPr>
            <w:tcW w:w="539" w:type="dxa"/>
            <w:shd w:val="clear" w:color="auto" w:fill="auto"/>
            <w:tcMar>
              <w:top w:w="0" w:type="dxa"/>
              <w:left w:w="40" w:type="dxa"/>
              <w:bottom w:w="0" w:type="dxa"/>
              <w:right w:w="40" w:type="dxa"/>
            </w:tcMar>
            <w:vAlign w:val="center"/>
          </w:tcPr>
          <w:p w:rsidR="00CA0D5A" w:rsidRPr="006C3BAA" w:rsidRDefault="00CA0D5A" w:rsidP="00B226E7">
            <w:pPr>
              <w:spacing w:before="0" w:line="240" w:lineRule="auto"/>
              <w:jc w:val="center"/>
              <w:rPr>
                <w:rFonts w:cs="Arial"/>
                <w:color w:val="000000"/>
                <w:sz w:val="20"/>
                <w:lang w:eastAsia="en-GB"/>
              </w:rPr>
            </w:pPr>
            <w:r>
              <w:rPr>
                <w:rFonts w:cs="Arial"/>
                <w:color w:val="000000"/>
                <w:sz w:val="20"/>
                <w:lang w:eastAsia="en-GB"/>
              </w:rPr>
              <w:t>7</w:t>
            </w:r>
          </w:p>
        </w:tc>
        <w:tc>
          <w:tcPr>
            <w:tcW w:w="5635" w:type="dxa"/>
            <w:shd w:val="clear" w:color="auto" w:fill="auto"/>
            <w:tcMar>
              <w:top w:w="0" w:type="dxa"/>
              <w:left w:w="40" w:type="dxa"/>
              <w:bottom w:w="0" w:type="dxa"/>
              <w:right w:w="40" w:type="dxa"/>
            </w:tcMar>
            <w:vAlign w:val="center"/>
          </w:tcPr>
          <w:p w:rsidR="00CA0D5A" w:rsidRPr="006C3BAA" w:rsidRDefault="00CA0D5A" w:rsidP="00D434A2">
            <w:pPr>
              <w:spacing w:before="0" w:line="240" w:lineRule="auto"/>
              <w:jc w:val="left"/>
              <w:rPr>
                <w:rFonts w:cs="Arial"/>
                <w:color w:val="000000"/>
                <w:sz w:val="20"/>
                <w:lang w:eastAsia="en-GB"/>
              </w:rPr>
            </w:pPr>
            <w:r>
              <w:rPr>
                <w:rFonts w:cs="Arial"/>
                <w:color w:val="000000"/>
                <w:sz w:val="20"/>
                <w:lang w:eastAsia="en-GB"/>
              </w:rPr>
              <w:t>James Hutton Institute</w:t>
            </w:r>
          </w:p>
        </w:tc>
        <w:tc>
          <w:tcPr>
            <w:tcW w:w="567" w:type="dxa"/>
            <w:shd w:val="clear" w:color="auto" w:fill="auto"/>
            <w:noWrap/>
            <w:tcMar>
              <w:top w:w="0" w:type="dxa"/>
              <w:left w:w="40" w:type="dxa"/>
              <w:bottom w:w="0" w:type="dxa"/>
              <w:right w:w="40" w:type="dxa"/>
            </w:tcMar>
            <w:vAlign w:val="center"/>
          </w:tcPr>
          <w:p w:rsidR="00CA0D5A" w:rsidRPr="006C3BAA" w:rsidRDefault="00CA0D5A" w:rsidP="00B226E7">
            <w:pPr>
              <w:spacing w:before="0" w:line="240" w:lineRule="auto"/>
              <w:jc w:val="left"/>
              <w:rPr>
                <w:rFonts w:cs="Arial"/>
                <w:sz w:val="20"/>
                <w:lang w:eastAsia="en-GB"/>
              </w:rPr>
            </w:pPr>
            <w:r>
              <w:rPr>
                <w:rFonts w:cs="Arial"/>
                <w:sz w:val="20"/>
                <w:lang w:eastAsia="en-GB"/>
              </w:rPr>
              <w:t>UK</w:t>
            </w:r>
          </w:p>
        </w:tc>
        <w:tc>
          <w:tcPr>
            <w:tcW w:w="2268" w:type="dxa"/>
            <w:tcMar>
              <w:top w:w="0" w:type="dxa"/>
              <w:left w:w="40" w:type="dxa"/>
              <w:bottom w:w="0" w:type="dxa"/>
              <w:right w:w="40" w:type="dxa"/>
            </w:tcMar>
            <w:vAlign w:val="center"/>
          </w:tcPr>
          <w:p w:rsidR="00CA0D5A" w:rsidRPr="006C3BAA" w:rsidRDefault="00CA0D5A" w:rsidP="00B226E7">
            <w:pPr>
              <w:spacing w:before="0" w:line="240" w:lineRule="auto"/>
              <w:jc w:val="left"/>
              <w:rPr>
                <w:rFonts w:cs="Arial"/>
                <w:sz w:val="20"/>
                <w:lang w:eastAsia="en-GB"/>
              </w:rPr>
            </w:pPr>
            <w:r>
              <w:rPr>
                <w:rFonts w:cs="Arial"/>
                <w:sz w:val="20"/>
                <w:lang w:eastAsia="en-GB"/>
              </w:rPr>
              <w:t xml:space="preserve">Andrew </w:t>
            </w:r>
            <w:proofErr w:type="spellStart"/>
            <w:r>
              <w:rPr>
                <w:rFonts w:cs="Arial"/>
                <w:sz w:val="20"/>
                <w:lang w:eastAsia="en-GB"/>
              </w:rPr>
              <w:t>Copus</w:t>
            </w:r>
            <w:proofErr w:type="spellEnd"/>
          </w:p>
        </w:tc>
      </w:tr>
    </w:tbl>
    <w:p w:rsidR="00FD2877" w:rsidRPr="006C3BAA" w:rsidRDefault="00FD2877" w:rsidP="00FD2877">
      <w:pPr>
        <w:spacing w:line="240" w:lineRule="auto"/>
        <w:rPr>
          <w:sz w:val="20"/>
        </w:rPr>
      </w:pPr>
    </w:p>
    <w:p w:rsidR="00FD2877" w:rsidRPr="006C3BAA" w:rsidRDefault="00FD2877" w:rsidP="00FD2877">
      <w:pPr>
        <w:pStyle w:val="ESPONText"/>
        <w:rPr>
          <w:b/>
          <w:sz w:val="32"/>
          <w:szCs w:val="32"/>
        </w:rPr>
      </w:pPr>
      <w:r w:rsidRPr="006C3BAA">
        <w:rPr>
          <w:sz w:val="32"/>
          <w:szCs w:val="32"/>
        </w:rPr>
        <w:br w:type="column"/>
      </w:r>
      <w:r w:rsidRPr="006C3BAA">
        <w:rPr>
          <w:b/>
          <w:sz w:val="32"/>
          <w:szCs w:val="32"/>
        </w:rPr>
        <w:lastRenderedPageBreak/>
        <w:t>LIST OF ABBREVIATIONS</w:t>
      </w:r>
    </w:p>
    <w:p w:rsidR="00D64729" w:rsidRDefault="00D64729" w:rsidP="00FD2877">
      <w:pPr>
        <w:pStyle w:val="ESPONText"/>
        <w:spacing w:after="0"/>
      </w:pPr>
      <w:r>
        <w:t>CAP – Common Agricultural Policy</w:t>
      </w:r>
    </w:p>
    <w:p w:rsidR="00D64729" w:rsidRDefault="00D64729" w:rsidP="00FD2877">
      <w:pPr>
        <w:pStyle w:val="ESPONText"/>
        <w:spacing w:after="0"/>
      </w:pPr>
      <w:r>
        <w:t>ERDF – European Regional Development Fund</w:t>
      </w:r>
    </w:p>
    <w:p w:rsidR="00D64729" w:rsidRDefault="00D64729" w:rsidP="00FD2877">
      <w:pPr>
        <w:pStyle w:val="ESPONText"/>
        <w:spacing w:after="0"/>
      </w:pPr>
      <w:r>
        <w:t xml:space="preserve">ESPON – </w:t>
      </w:r>
      <w:r w:rsidRPr="006C3BAA">
        <w:t>European Observation Network for Territorial Development and Cohesion</w:t>
      </w:r>
    </w:p>
    <w:p w:rsidR="00FD2877" w:rsidRDefault="00D64729" w:rsidP="00FD2877">
      <w:pPr>
        <w:pStyle w:val="ESPONText"/>
        <w:spacing w:after="0"/>
      </w:pPr>
      <w:r>
        <w:t>EU – European Union</w:t>
      </w:r>
    </w:p>
    <w:p w:rsidR="003A20F8" w:rsidRDefault="003A20F8" w:rsidP="00FD2877">
      <w:pPr>
        <w:pStyle w:val="ESPONText"/>
        <w:spacing w:after="0"/>
      </w:pPr>
      <w:r>
        <w:t>FYROM – Former Yugoslavian Republic of Macedonia</w:t>
      </w:r>
    </w:p>
    <w:p w:rsidR="00D64729" w:rsidRDefault="00D64729" w:rsidP="00FD2877">
      <w:pPr>
        <w:pStyle w:val="ESPONText"/>
        <w:spacing w:after="0"/>
      </w:pPr>
      <w:r>
        <w:t>GDP – Gross Domestic Product</w:t>
      </w:r>
    </w:p>
    <w:p w:rsidR="00D64729" w:rsidRDefault="00D64729" w:rsidP="00FD2877">
      <w:pPr>
        <w:pStyle w:val="ESPONText"/>
        <w:spacing w:after="0"/>
      </w:pPr>
      <w:r>
        <w:t>LAU – Local Administrative Unit</w:t>
      </w:r>
    </w:p>
    <w:p w:rsidR="000F0EAF" w:rsidRPr="00D64729" w:rsidRDefault="000F0EAF" w:rsidP="00FD2877">
      <w:pPr>
        <w:pStyle w:val="ESPONText"/>
        <w:spacing w:after="0"/>
      </w:pPr>
      <w:r>
        <w:t>LFS – Labour Force Survey</w:t>
      </w:r>
    </w:p>
    <w:p w:rsidR="00D64729" w:rsidRDefault="00D64729" w:rsidP="00FD2877">
      <w:pPr>
        <w:pStyle w:val="ESPONText"/>
        <w:spacing w:after="0"/>
      </w:pPr>
      <w:r>
        <w:t xml:space="preserve">NUTS – </w:t>
      </w:r>
      <w:r w:rsidRPr="00D64729">
        <w:t>Nomenclature of Territorial Units for Statistics</w:t>
      </w:r>
    </w:p>
    <w:p w:rsidR="00D64729" w:rsidRDefault="00D64729" w:rsidP="00FD2877">
      <w:pPr>
        <w:pStyle w:val="ESPONText"/>
        <w:spacing w:after="0"/>
      </w:pPr>
      <w:r>
        <w:t>OMC – Open Method of Coordination</w:t>
      </w:r>
    </w:p>
    <w:p w:rsidR="00D64729" w:rsidRDefault="00D64729" w:rsidP="00FD2877">
      <w:pPr>
        <w:pStyle w:val="ESPONText"/>
        <w:spacing w:after="0"/>
      </w:pPr>
      <w:proofErr w:type="spellStart"/>
      <w:r>
        <w:t>TiPSE</w:t>
      </w:r>
      <w:proofErr w:type="spellEnd"/>
      <w:r>
        <w:t xml:space="preserve"> – </w:t>
      </w:r>
      <w:r w:rsidRPr="00D64729">
        <w:t>The Territorial Dimension of Poverty and Social Exclusion in Europe</w:t>
      </w:r>
    </w:p>
    <w:p w:rsidR="00C24A00" w:rsidRDefault="00C24A00" w:rsidP="00FD2877">
      <w:pPr>
        <w:pStyle w:val="ESPONText"/>
        <w:spacing w:after="0"/>
      </w:pPr>
      <w:r>
        <w:t>TPG – Transnational Project Group</w:t>
      </w:r>
    </w:p>
    <w:p w:rsidR="00D64729" w:rsidRDefault="00D64729" w:rsidP="00FD2877">
      <w:pPr>
        <w:pStyle w:val="ESPONText"/>
        <w:spacing w:after="0"/>
      </w:pPr>
      <w:r>
        <w:t>UNDP – United Nations Development Programme</w:t>
      </w:r>
    </w:p>
    <w:p w:rsidR="00D64729" w:rsidRDefault="00D64729" w:rsidP="00FD2877">
      <w:pPr>
        <w:pStyle w:val="ESPONText"/>
        <w:spacing w:after="0"/>
      </w:pPr>
    </w:p>
    <w:p w:rsidR="00D64729" w:rsidRDefault="00D64729" w:rsidP="00FD2877">
      <w:pPr>
        <w:pStyle w:val="ESPONText"/>
        <w:spacing w:after="0"/>
      </w:pPr>
    </w:p>
    <w:p w:rsidR="00CD5D60" w:rsidRDefault="00CD5D60" w:rsidP="00FD2877">
      <w:pPr>
        <w:pStyle w:val="ESPONText"/>
        <w:spacing w:after="0"/>
      </w:pPr>
      <w:r>
        <w:t>Referred ‘Tasks’ r</w:t>
      </w:r>
      <w:r w:rsidR="00C24A00">
        <w:t xml:space="preserve">elate to tasks of </w:t>
      </w:r>
      <w:proofErr w:type="spellStart"/>
      <w:r w:rsidR="00C24A00">
        <w:t>TiPSE</w:t>
      </w:r>
      <w:proofErr w:type="spellEnd"/>
      <w:r w:rsidR="00C24A00">
        <w:t xml:space="preserve"> project</w:t>
      </w:r>
    </w:p>
    <w:p w:rsidR="00CD5D60" w:rsidRPr="006C3BAA" w:rsidRDefault="00CD5D60" w:rsidP="00FD2877">
      <w:pPr>
        <w:pStyle w:val="ESPONText"/>
        <w:spacing w:after="0"/>
      </w:pPr>
      <w:r>
        <w:t xml:space="preserve">Referred ‘Annexes’ relate to the Final Report of </w:t>
      </w:r>
      <w:proofErr w:type="spellStart"/>
      <w:r>
        <w:t>TiPSE</w:t>
      </w:r>
      <w:proofErr w:type="spellEnd"/>
      <w:r>
        <w:t xml:space="preserve"> project</w:t>
      </w:r>
    </w:p>
    <w:p w:rsidR="00D95FA4" w:rsidRPr="006C3BAA" w:rsidRDefault="005703AA" w:rsidP="00895DF5">
      <w:pPr>
        <w:pStyle w:val="ESPONSubtitle"/>
        <w:jc w:val="center"/>
      </w:pPr>
      <w:r w:rsidRPr="006C3BAA">
        <w:br w:type="column"/>
      </w:r>
      <w:r w:rsidR="00C82741" w:rsidRPr="006C3BAA">
        <w:lastRenderedPageBreak/>
        <w:t>CONTENTS</w:t>
      </w:r>
    </w:p>
    <w:p w:rsidR="00E36FE5" w:rsidRPr="006C3BAA" w:rsidRDefault="00E36FE5">
      <w:pPr>
        <w:pStyle w:val="TJ1"/>
        <w:rPr>
          <w:szCs w:val="22"/>
        </w:rPr>
      </w:pPr>
    </w:p>
    <w:p w:rsidR="00216E93" w:rsidRDefault="00CD0272">
      <w:pPr>
        <w:pStyle w:val="TJ1"/>
        <w:rPr>
          <w:rFonts w:asciiTheme="minorHAnsi" w:eastAsiaTheme="minorEastAsia" w:hAnsiTheme="minorHAnsi" w:cstheme="minorBidi"/>
          <w:szCs w:val="22"/>
          <w:lang w:val="hu-HU" w:eastAsia="hu-HU"/>
        </w:rPr>
      </w:pPr>
      <w:r w:rsidRPr="006C3BAA">
        <w:rPr>
          <w:szCs w:val="22"/>
        </w:rPr>
        <w:fldChar w:fldCharType="begin"/>
      </w:r>
      <w:r w:rsidR="00BB5A9A" w:rsidRPr="006C3BAA">
        <w:rPr>
          <w:szCs w:val="22"/>
        </w:rPr>
        <w:instrText xml:space="preserve"> TOC \o "1-2" \h \z \u </w:instrText>
      </w:r>
      <w:r w:rsidRPr="006C3BAA">
        <w:rPr>
          <w:szCs w:val="22"/>
        </w:rPr>
        <w:fldChar w:fldCharType="separate"/>
      </w:r>
      <w:hyperlink w:anchor="_Toc401264620" w:history="1">
        <w:r w:rsidR="00216E93" w:rsidRPr="00CA5123">
          <w:rPr>
            <w:rStyle w:val="Hiperhivatkozs"/>
          </w:rPr>
          <w:t>Executive Summary</w:t>
        </w:r>
        <w:r w:rsidR="00216E93">
          <w:rPr>
            <w:webHidden/>
          </w:rPr>
          <w:tab/>
        </w:r>
        <w:r>
          <w:rPr>
            <w:webHidden/>
          </w:rPr>
          <w:fldChar w:fldCharType="begin"/>
        </w:r>
        <w:r w:rsidR="00216E93">
          <w:rPr>
            <w:webHidden/>
          </w:rPr>
          <w:instrText xml:space="preserve"> PAGEREF _Toc401264620 \h </w:instrText>
        </w:r>
        <w:r>
          <w:rPr>
            <w:webHidden/>
          </w:rPr>
        </w:r>
        <w:r>
          <w:rPr>
            <w:webHidden/>
          </w:rPr>
          <w:fldChar w:fldCharType="separate"/>
        </w:r>
        <w:r w:rsidR="00216E93">
          <w:rPr>
            <w:webHidden/>
          </w:rPr>
          <w:t>vi</w:t>
        </w:r>
        <w:r>
          <w:rPr>
            <w:webHidden/>
          </w:rPr>
          <w:fldChar w:fldCharType="end"/>
        </w:r>
      </w:hyperlink>
    </w:p>
    <w:p w:rsidR="00216E93" w:rsidRDefault="00CD0272">
      <w:pPr>
        <w:pStyle w:val="TJ1"/>
        <w:rPr>
          <w:rFonts w:asciiTheme="minorHAnsi" w:eastAsiaTheme="minorEastAsia" w:hAnsiTheme="minorHAnsi" w:cstheme="minorBidi"/>
          <w:szCs w:val="22"/>
          <w:lang w:val="hu-HU" w:eastAsia="hu-HU"/>
        </w:rPr>
      </w:pPr>
      <w:hyperlink w:anchor="_Toc401264621" w:history="1">
        <w:r w:rsidR="00216E93" w:rsidRPr="00CA5123">
          <w:rPr>
            <w:rStyle w:val="Hiperhivatkozs"/>
          </w:rPr>
          <w:t>1</w:t>
        </w:r>
        <w:r w:rsidR="00216E93">
          <w:rPr>
            <w:rFonts w:asciiTheme="minorHAnsi" w:eastAsiaTheme="minorEastAsia" w:hAnsiTheme="minorHAnsi" w:cstheme="minorBidi"/>
            <w:szCs w:val="22"/>
            <w:lang w:val="hu-HU" w:eastAsia="hu-HU"/>
          </w:rPr>
          <w:tab/>
        </w:r>
        <w:r w:rsidR="00216E93" w:rsidRPr="00CA5123">
          <w:rPr>
            <w:rStyle w:val="Hiperhivatkozs"/>
          </w:rPr>
          <w:t>Introduction</w:t>
        </w:r>
        <w:r w:rsidR="00216E93">
          <w:rPr>
            <w:webHidden/>
          </w:rPr>
          <w:tab/>
        </w:r>
        <w:r>
          <w:rPr>
            <w:webHidden/>
          </w:rPr>
          <w:fldChar w:fldCharType="begin"/>
        </w:r>
        <w:r w:rsidR="00216E93">
          <w:rPr>
            <w:webHidden/>
          </w:rPr>
          <w:instrText xml:space="preserve"> PAGEREF _Toc401264621 \h </w:instrText>
        </w:r>
        <w:r>
          <w:rPr>
            <w:webHidden/>
          </w:rPr>
        </w:r>
        <w:r>
          <w:rPr>
            <w:webHidden/>
          </w:rPr>
          <w:fldChar w:fldCharType="separate"/>
        </w:r>
        <w:r w:rsidR="00216E93">
          <w:rPr>
            <w:webHidden/>
          </w:rPr>
          <w:t>1</w:t>
        </w:r>
        <w:r>
          <w:rPr>
            <w:webHidden/>
          </w:rPr>
          <w:fldChar w:fldCharType="end"/>
        </w:r>
      </w:hyperlink>
    </w:p>
    <w:p w:rsidR="00216E93" w:rsidRDefault="00CD0272">
      <w:pPr>
        <w:pStyle w:val="TJ1"/>
        <w:rPr>
          <w:rFonts w:asciiTheme="minorHAnsi" w:eastAsiaTheme="minorEastAsia" w:hAnsiTheme="minorHAnsi" w:cstheme="minorBidi"/>
          <w:szCs w:val="22"/>
          <w:lang w:val="hu-HU" w:eastAsia="hu-HU"/>
        </w:rPr>
      </w:pPr>
      <w:hyperlink w:anchor="_Toc401264622" w:history="1">
        <w:r w:rsidR="00216E93" w:rsidRPr="00CA5123">
          <w:rPr>
            <w:rStyle w:val="Hiperhivatkozs"/>
          </w:rPr>
          <w:t>2</w:t>
        </w:r>
        <w:r w:rsidR="00216E93">
          <w:rPr>
            <w:rFonts w:asciiTheme="minorHAnsi" w:eastAsiaTheme="minorEastAsia" w:hAnsiTheme="minorHAnsi" w:cstheme="minorBidi"/>
            <w:szCs w:val="22"/>
            <w:lang w:val="hu-HU" w:eastAsia="hu-HU"/>
          </w:rPr>
          <w:tab/>
        </w:r>
        <w:r w:rsidR="00216E93" w:rsidRPr="00CA5123">
          <w:rPr>
            <w:rStyle w:val="Hiperhivatkozs"/>
          </w:rPr>
          <w:t>Domains, dimensions and indicators of social exclusion</w:t>
        </w:r>
        <w:r w:rsidR="00216E93">
          <w:rPr>
            <w:webHidden/>
          </w:rPr>
          <w:tab/>
        </w:r>
        <w:r>
          <w:rPr>
            <w:webHidden/>
          </w:rPr>
          <w:fldChar w:fldCharType="begin"/>
        </w:r>
        <w:r w:rsidR="00216E93">
          <w:rPr>
            <w:webHidden/>
          </w:rPr>
          <w:instrText xml:space="preserve"> PAGEREF _Toc401264622 \h </w:instrText>
        </w:r>
        <w:r>
          <w:rPr>
            <w:webHidden/>
          </w:rPr>
        </w:r>
        <w:r>
          <w:rPr>
            <w:webHidden/>
          </w:rPr>
          <w:fldChar w:fldCharType="separate"/>
        </w:r>
        <w:r w:rsidR="00216E93">
          <w:rPr>
            <w:webHidden/>
          </w:rPr>
          <w:t>2</w:t>
        </w:r>
        <w:r>
          <w:rPr>
            <w:webHidden/>
          </w:rPr>
          <w:fldChar w:fldCharType="end"/>
        </w:r>
      </w:hyperlink>
    </w:p>
    <w:p w:rsidR="00216E93" w:rsidRDefault="00CD0272">
      <w:pPr>
        <w:pStyle w:val="TJ2"/>
        <w:rPr>
          <w:rFonts w:asciiTheme="minorHAnsi" w:eastAsiaTheme="minorEastAsia" w:hAnsiTheme="minorHAnsi" w:cstheme="minorBidi"/>
          <w:noProof/>
          <w:szCs w:val="22"/>
          <w:lang w:val="hu-HU" w:eastAsia="hu-HU"/>
        </w:rPr>
      </w:pPr>
      <w:hyperlink w:anchor="_Toc401264623" w:history="1">
        <w:r w:rsidR="00216E93" w:rsidRPr="00CA5123">
          <w:rPr>
            <w:rStyle w:val="Hiperhivatkozs"/>
            <w:noProof/>
          </w:rPr>
          <w:t>2.1</w:t>
        </w:r>
        <w:r w:rsidR="00216E93">
          <w:rPr>
            <w:rFonts w:asciiTheme="minorHAnsi" w:eastAsiaTheme="minorEastAsia" w:hAnsiTheme="minorHAnsi" w:cstheme="minorBidi"/>
            <w:noProof/>
            <w:szCs w:val="22"/>
            <w:lang w:val="hu-HU" w:eastAsia="hu-HU"/>
          </w:rPr>
          <w:tab/>
        </w:r>
        <w:r w:rsidR="00216E93" w:rsidRPr="00CA5123">
          <w:rPr>
            <w:rStyle w:val="Hiperhivatkozs"/>
            <w:noProof/>
          </w:rPr>
          <w:t>Some notes on the territorial dimension of social exclusion</w:t>
        </w:r>
        <w:r w:rsidR="00216E93">
          <w:rPr>
            <w:noProof/>
            <w:webHidden/>
          </w:rPr>
          <w:tab/>
        </w:r>
        <w:r>
          <w:rPr>
            <w:noProof/>
            <w:webHidden/>
          </w:rPr>
          <w:fldChar w:fldCharType="begin"/>
        </w:r>
        <w:r w:rsidR="00216E93">
          <w:rPr>
            <w:noProof/>
            <w:webHidden/>
          </w:rPr>
          <w:instrText xml:space="preserve"> PAGEREF _Toc401264623 \h </w:instrText>
        </w:r>
        <w:r>
          <w:rPr>
            <w:noProof/>
            <w:webHidden/>
          </w:rPr>
        </w:r>
        <w:r>
          <w:rPr>
            <w:noProof/>
            <w:webHidden/>
          </w:rPr>
          <w:fldChar w:fldCharType="separate"/>
        </w:r>
        <w:r w:rsidR="00216E93">
          <w:rPr>
            <w:noProof/>
            <w:webHidden/>
          </w:rPr>
          <w:t>3</w:t>
        </w:r>
        <w:r>
          <w:rPr>
            <w:noProof/>
            <w:webHidden/>
          </w:rPr>
          <w:fldChar w:fldCharType="end"/>
        </w:r>
      </w:hyperlink>
    </w:p>
    <w:p w:rsidR="00216E93" w:rsidRDefault="00CD0272">
      <w:pPr>
        <w:pStyle w:val="TJ2"/>
        <w:rPr>
          <w:rFonts w:asciiTheme="minorHAnsi" w:eastAsiaTheme="minorEastAsia" w:hAnsiTheme="minorHAnsi" w:cstheme="minorBidi"/>
          <w:noProof/>
          <w:szCs w:val="22"/>
          <w:lang w:val="hu-HU" w:eastAsia="hu-HU"/>
        </w:rPr>
      </w:pPr>
      <w:hyperlink w:anchor="_Toc401264624" w:history="1">
        <w:r w:rsidR="00216E93" w:rsidRPr="00CA5123">
          <w:rPr>
            <w:rStyle w:val="Hiperhivatkozs"/>
            <w:noProof/>
          </w:rPr>
          <w:t>2.2</w:t>
        </w:r>
        <w:r w:rsidR="00216E93">
          <w:rPr>
            <w:rFonts w:asciiTheme="minorHAnsi" w:eastAsiaTheme="minorEastAsia" w:hAnsiTheme="minorHAnsi" w:cstheme="minorBidi"/>
            <w:noProof/>
            <w:szCs w:val="22"/>
            <w:lang w:val="hu-HU" w:eastAsia="hu-HU"/>
          </w:rPr>
          <w:tab/>
        </w:r>
        <w:r w:rsidR="00216E93" w:rsidRPr="00CA5123">
          <w:rPr>
            <w:rStyle w:val="Hiperhivatkozs"/>
            <w:noProof/>
          </w:rPr>
          <w:t>Domains of social exclusion</w:t>
        </w:r>
        <w:r w:rsidR="00216E93">
          <w:rPr>
            <w:noProof/>
            <w:webHidden/>
          </w:rPr>
          <w:tab/>
        </w:r>
        <w:r>
          <w:rPr>
            <w:noProof/>
            <w:webHidden/>
          </w:rPr>
          <w:fldChar w:fldCharType="begin"/>
        </w:r>
        <w:r w:rsidR="00216E93">
          <w:rPr>
            <w:noProof/>
            <w:webHidden/>
          </w:rPr>
          <w:instrText xml:space="preserve"> PAGEREF _Toc401264624 \h </w:instrText>
        </w:r>
        <w:r>
          <w:rPr>
            <w:noProof/>
            <w:webHidden/>
          </w:rPr>
        </w:r>
        <w:r>
          <w:rPr>
            <w:noProof/>
            <w:webHidden/>
          </w:rPr>
          <w:fldChar w:fldCharType="separate"/>
        </w:r>
        <w:r w:rsidR="00216E93">
          <w:rPr>
            <w:noProof/>
            <w:webHidden/>
          </w:rPr>
          <w:t>4</w:t>
        </w:r>
        <w:r>
          <w:rPr>
            <w:noProof/>
            <w:webHidden/>
          </w:rPr>
          <w:fldChar w:fldCharType="end"/>
        </w:r>
      </w:hyperlink>
    </w:p>
    <w:p w:rsidR="00216E93" w:rsidRDefault="00CD0272">
      <w:pPr>
        <w:pStyle w:val="TJ2"/>
        <w:rPr>
          <w:rFonts w:asciiTheme="minorHAnsi" w:eastAsiaTheme="minorEastAsia" w:hAnsiTheme="minorHAnsi" w:cstheme="minorBidi"/>
          <w:noProof/>
          <w:szCs w:val="22"/>
          <w:lang w:val="hu-HU" w:eastAsia="hu-HU"/>
        </w:rPr>
      </w:pPr>
      <w:hyperlink w:anchor="_Toc401264625" w:history="1">
        <w:r w:rsidR="00216E93" w:rsidRPr="00CA5123">
          <w:rPr>
            <w:rStyle w:val="Hiperhivatkozs"/>
            <w:noProof/>
          </w:rPr>
          <w:t>2.3</w:t>
        </w:r>
        <w:r w:rsidR="00216E93">
          <w:rPr>
            <w:rFonts w:asciiTheme="minorHAnsi" w:eastAsiaTheme="minorEastAsia" w:hAnsiTheme="minorHAnsi" w:cstheme="minorBidi"/>
            <w:noProof/>
            <w:szCs w:val="22"/>
            <w:lang w:val="hu-HU" w:eastAsia="hu-HU"/>
          </w:rPr>
          <w:tab/>
        </w:r>
        <w:r w:rsidR="00216E93" w:rsidRPr="00CA5123">
          <w:rPr>
            <w:rStyle w:val="Hiperhivatkozs"/>
            <w:noProof/>
          </w:rPr>
          <w:t>Dimensions of social exclusion</w:t>
        </w:r>
        <w:r w:rsidR="00216E93">
          <w:rPr>
            <w:noProof/>
            <w:webHidden/>
          </w:rPr>
          <w:tab/>
        </w:r>
        <w:r>
          <w:rPr>
            <w:noProof/>
            <w:webHidden/>
          </w:rPr>
          <w:fldChar w:fldCharType="begin"/>
        </w:r>
        <w:r w:rsidR="00216E93">
          <w:rPr>
            <w:noProof/>
            <w:webHidden/>
          </w:rPr>
          <w:instrText xml:space="preserve"> PAGEREF _Toc401264625 \h </w:instrText>
        </w:r>
        <w:r>
          <w:rPr>
            <w:noProof/>
            <w:webHidden/>
          </w:rPr>
        </w:r>
        <w:r>
          <w:rPr>
            <w:noProof/>
            <w:webHidden/>
          </w:rPr>
          <w:fldChar w:fldCharType="separate"/>
        </w:r>
        <w:r w:rsidR="00216E93">
          <w:rPr>
            <w:noProof/>
            <w:webHidden/>
          </w:rPr>
          <w:t>6</w:t>
        </w:r>
        <w:r>
          <w:rPr>
            <w:noProof/>
            <w:webHidden/>
          </w:rPr>
          <w:fldChar w:fldCharType="end"/>
        </w:r>
      </w:hyperlink>
    </w:p>
    <w:p w:rsidR="00216E93" w:rsidRDefault="00CD0272">
      <w:pPr>
        <w:pStyle w:val="TJ2"/>
        <w:rPr>
          <w:rFonts w:asciiTheme="minorHAnsi" w:eastAsiaTheme="minorEastAsia" w:hAnsiTheme="minorHAnsi" w:cstheme="minorBidi"/>
          <w:noProof/>
          <w:szCs w:val="22"/>
          <w:lang w:val="hu-HU" w:eastAsia="hu-HU"/>
        </w:rPr>
      </w:pPr>
      <w:hyperlink w:anchor="_Toc401264626" w:history="1">
        <w:r w:rsidR="00216E93" w:rsidRPr="00CA5123">
          <w:rPr>
            <w:rStyle w:val="Hiperhivatkozs"/>
            <w:noProof/>
          </w:rPr>
          <w:t>2.4</w:t>
        </w:r>
        <w:r w:rsidR="00216E93">
          <w:rPr>
            <w:rFonts w:asciiTheme="minorHAnsi" w:eastAsiaTheme="minorEastAsia" w:hAnsiTheme="minorHAnsi" w:cstheme="minorBidi"/>
            <w:noProof/>
            <w:szCs w:val="22"/>
            <w:lang w:val="hu-HU" w:eastAsia="hu-HU"/>
          </w:rPr>
          <w:tab/>
        </w:r>
        <w:r w:rsidR="00216E93" w:rsidRPr="00CA5123">
          <w:rPr>
            <w:rStyle w:val="Hiperhivatkozs"/>
            <w:noProof/>
          </w:rPr>
          <w:t>Indicators of social exclusion</w:t>
        </w:r>
        <w:r w:rsidR="00216E93">
          <w:rPr>
            <w:noProof/>
            <w:webHidden/>
          </w:rPr>
          <w:tab/>
        </w:r>
        <w:r>
          <w:rPr>
            <w:noProof/>
            <w:webHidden/>
          </w:rPr>
          <w:fldChar w:fldCharType="begin"/>
        </w:r>
        <w:r w:rsidR="00216E93">
          <w:rPr>
            <w:noProof/>
            <w:webHidden/>
          </w:rPr>
          <w:instrText xml:space="preserve"> PAGEREF _Toc401264626 \h </w:instrText>
        </w:r>
        <w:r>
          <w:rPr>
            <w:noProof/>
            <w:webHidden/>
          </w:rPr>
        </w:r>
        <w:r>
          <w:rPr>
            <w:noProof/>
            <w:webHidden/>
          </w:rPr>
          <w:fldChar w:fldCharType="separate"/>
        </w:r>
        <w:r w:rsidR="00216E93">
          <w:rPr>
            <w:noProof/>
            <w:webHidden/>
          </w:rPr>
          <w:t>10</w:t>
        </w:r>
        <w:r>
          <w:rPr>
            <w:noProof/>
            <w:webHidden/>
          </w:rPr>
          <w:fldChar w:fldCharType="end"/>
        </w:r>
      </w:hyperlink>
    </w:p>
    <w:p w:rsidR="00216E93" w:rsidRDefault="00CD0272">
      <w:pPr>
        <w:pStyle w:val="TJ1"/>
        <w:rPr>
          <w:rFonts w:asciiTheme="minorHAnsi" w:eastAsiaTheme="minorEastAsia" w:hAnsiTheme="minorHAnsi" w:cstheme="minorBidi"/>
          <w:szCs w:val="22"/>
          <w:lang w:val="hu-HU" w:eastAsia="hu-HU"/>
        </w:rPr>
      </w:pPr>
      <w:hyperlink w:anchor="_Toc401264627" w:history="1">
        <w:r w:rsidR="00216E93" w:rsidRPr="00CA5123">
          <w:rPr>
            <w:rStyle w:val="Hiperhivatkozs"/>
          </w:rPr>
          <w:t>3</w:t>
        </w:r>
        <w:r w:rsidR="00216E93">
          <w:rPr>
            <w:rFonts w:asciiTheme="minorHAnsi" w:eastAsiaTheme="minorEastAsia" w:hAnsiTheme="minorHAnsi" w:cstheme="minorBidi"/>
            <w:szCs w:val="22"/>
            <w:lang w:val="hu-HU" w:eastAsia="hu-HU"/>
          </w:rPr>
          <w:tab/>
        </w:r>
        <w:r w:rsidR="00216E93" w:rsidRPr="00CA5123">
          <w:rPr>
            <w:rStyle w:val="Hiperhivatkozs"/>
          </w:rPr>
          <w:t>Methodology of development and mapping of social exclusion indicators</w:t>
        </w:r>
        <w:r w:rsidR="00216E93">
          <w:rPr>
            <w:webHidden/>
          </w:rPr>
          <w:tab/>
        </w:r>
        <w:r>
          <w:rPr>
            <w:webHidden/>
          </w:rPr>
          <w:fldChar w:fldCharType="begin"/>
        </w:r>
        <w:r w:rsidR="00216E93">
          <w:rPr>
            <w:webHidden/>
          </w:rPr>
          <w:instrText xml:space="preserve"> PAGEREF _Toc401264627 \h </w:instrText>
        </w:r>
        <w:r>
          <w:rPr>
            <w:webHidden/>
          </w:rPr>
        </w:r>
        <w:r>
          <w:rPr>
            <w:webHidden/>
          </w:rPr>
          <w:fldChar w:fldCharType="separate"/>
        </w:r>
        <w:r w:rsidR="00216E93">
          <w:rPr>
            <w:webHidden/>
          </w:rPr>
          <w:t>20</w:t>
        </w:r>
        <w:r>
          <w:rPr>
            <w:webHidden/>
          </w:rPr>
          <w:fldChar w:fldCharType="end"/>
        </w:r>
      </w:hyperlink>
    </w:p>
    <w:p w:rsidR="00216E93" w:rsidRDefault="00CD0272">
      <w:pPr>
        <w:pStyle w:val="TJ2"/>
        <w:rPr>
          <w:rFonts w:asciiTheme="minorHAnsi" w:eastAsiaTheme="minorEastAsia" w:hAnsiTheme="minorHAnsi" w:cstheme="minorBidi"/>
          <w:noProof/>
          <w:szCs w:val="22"/>
          <w:lang w:val="hu-HU" w:eastAsia="hu-HU"/>
        </w:rPr>
      </w:pPr>
      <w:hyperlink w:anchor="_Toc401264628" w:history="1">
        <w:r w:rsidR="00216E93" w:rsidRPr="00CA5123">
          <w:rPr>
            <w:rStyle w:val="Hiperhivatkozs"/>
            <w:noProof/>
          </w:rPr>
          <w:t>3.1</w:t>
        </w:r>
        <w:r w:rsidR="00216E93">
          <w:rPr>
            <w:rFonts w:asciiTheme="minorHAnsi" w:eastAsiaTheme="minorEastAsia" w:hAnsiTheme="minorHAnsi" w:cstheme="minorBidi"/>
            <w:noProof/>
            <w:szCs w:val="22"/>
            <w:lang w:val="hu-HU" w:eastAsia="hu-HU"/>
          </w:rPr>
          <w:tab/>
        </w:r>
        <w:r w:rsidR="00216E93" w:rsidRPr="00CA5123">
          <w:rPr>
            <w:rStyle w:val="Hiperhivatkozs"/>
            <w:noProof/>
          </w:rPr>
          <w:t>A review of potential methodologies and the introduction of TiPSE approach</w:t>
        </w:r>
        <w:r w:rsidR="00216E93">
          <w:rPr>
            <w:noProof/>
            <w:webHidden/>
          </w:rPr>
          <w:tab/>
        </w:r>
        <w:r>
          <w:rPr>
            <w:noProof/>
            <w:webHidden/>
          </w:rPr>
          <w:fldChar w:fldCharType="begin"/>
        </w:r>
        <w:r w:rsidR="00216E93">
          <w:rPr>
            <w:noProof/>
            <w:webHidden/>
          </w:rPr>
          <w:instrText xml:space="preserve"> PAGEREF _Toc401264628 \h </w:instrText>
        </w:r>
        <w:r>
          <w:rPr>
            <w:noProof/>
            <w:webHidden/>
          </w:rPr>
        </w:r>
        <w:r>
          <w:rPr>
            <w:noProof/>
            <w:webHidden/>
          </w:rPr>
          <w:fldChar w:fldCharType="separate"/>
        </w:r>
        <w:r w:rsidR="00216E93">
          <w:rPr>
            <w:noProof/>
            <w:webHidden/>
          </w:rPr>
          <w:t>20</w:t>
        </w:r>
        <w:r>
          <w:rPr>
            <w:noProof/>
            <w:webHidden/>
          </w:rPr>
          <w:fldChar w:fldCharType="end"/>
        </w:r>
      </w:hyperlink>
    </w:p>
    <w:p w:rsidR="00216E93" w:rsidRDefault="00CD0272">
      <w:pPr>
        <w:pStyle w:val="TJ2"/>
        <w:rPr>
          <w:rFonts w:asciiTheme="minorHAnsi" w:eastAsiaTheme="minorEastAsia" w:hAnsiTheme="minorHAnsi" w:cstheme="minorBidi"/>
          <w:noProof/>
          <w:szCs w:val="22"/>
          <w:lang w:val="hu-HU" w:eastAsia="hu-HU"/>
        </w:rPr>
      </w:pPr>
      <w:hyperlink w:anchor="_Toc401264629" w:history="1">
        <w:r w:rsidR="00216E93" w:rsidRPr="00CA5123">
          <w:rPr>
            <w:rStyle w:val="Hiperhivatkozs"/>
            <w:noProof/>
          </w:rPr>
          <w:t>3.2</w:t>
        </w:r>
        <w:r w:rsidR="00216E93">
          <w:rPr>
            <w:rFonts w:asciiTheme="minorHAnsi" w:eastAsiaTheme="minorEastAsia" w:hAnsiTheme="minorHAnsi" w:cstheme="minorBidi"/>
            <w:noProof/>
            <w:szCs w:val="22"/>
            <w:lang w:val="hu-HU" w:eastAsia="hu-HU"/>
          </w:rPr>
          <w:tab/>
        </w:r>
        <w:r w:rsidR="00216E93" w:rsidRPr="00CA5123">
          <w:rPr>
            <w:rStyle w:val="Hiperhivatkozs"/>
            <w:noProof/>
          </w:rPr>
          <w:t>Introduction of a pilot model of a composite representation of social exclusion</w:t>
        </w:r>
        <w:r w:rsidR="00216E93">
          <w:rPr>
            <w:noProof/>
            <w:webHidden/>
          </w:rPr>
          <w:tab/>
        </w:r>
        <w:r>
          <w:rPr>
            <w:noProof/>
            <w:webHidden/>
          </w:rPr>
          <w:fldChar w:fldCharType="begin"/>
        </w:r>
        <w:r w:rsidR="00216E93">
          <w:rPr>
            <w:noProof/>
            <w:webHidden/>
          </w:rPr>
          <w:instrText xml:space="preserve"> PAGEREF _Toc401264629 \h </w:instrText>
        </w:r>
        <w:r>
          <w:rPr>
            <w:noProof/>
            <w:webHidden/>
          </w:rPr>
        </w:r>
        <w:r>
          <w:rPr>
            <w:noProof/>
            <w:webHidden/>
          </w:rPr>
          <w:fldChar w:fldCharType="separate"/>
        </w:r>
        <w:r w:rsidR="00216E93">
          <w:rPr>
            <w:noProof/>
            <w:webHidden/>
          </w:rPr>
          <w:t>25</w:t>
        </w:r>
        <w:r>
          <w:rPr>
            <w:noProof/>
            <w:webHidden/>
          </w:rPr>
          <w:fldChar w:fldCharType="end"/>
        </w:r>
      </w:hyperlink>
    </w:p>
    <w:p w:rsidR="00216E93" w:rsidRDefault="00CD0272">
      <w:pPr>
        <w:pStyle w:val="TJ1"/>
        <w:rPr>
          <w:rFonts w:asciiTheme="minorHAnsi" w:eastAsiaTheme="minorEastAsia" w:hAnsiTheme="minorHAnsi" w:cstheme="minorBidi"/>
          <w:szCs w:val="22"/>
          <w:lang w:val="hu-HU" w:eastAsia="hu-HU"/>
        </w:rPr>
      </w:pPr>
      <w:hyperlink w:anchor="_Toc401264630" w:history="1">
        <w:r w:rsidR="00216E93" w:rsidRPr="00CA5123">
          <w:rPr>
            <w:rStyle w:val="Hiperhivatkozs"/>
          </w:rPr>
          <w:t>4</w:t>
        </w:r>
        <w:r w:rsidR="00216E93">
          <w:rPr>
            <w:rFonts w:asciiTheme="minorHAnsi" w:eastAsiaTheme="minorEastAsia" w:hAnsiTheme="minorHAnsi" w:cstheme="minorBidi"/>
            <w:szCs w:val="22"/>
            <w:lang w:val="hu-HU" w:eastAsia="hu-HU"/>
          </w:rPr>
          <w:tab/>
        </w:r>
        <w:r w:rsidR="00216E93" w:rsidRPr="00CA5123">
          <w:rPr>
            <w:rStyle w:val="Hiperhivatkozs"/>
          </w:rPr>
          <w:t>Measuring social exclusion – description of the indicators</w:t>
        </w:r>
        <w:r w:rsidR="00216E93">
          <w:rPr>
            <w:webHidden/>
          </w:rPr>
          <w:tab/>
        </w:r>
        <w:r>
          <w:rPr>
            <w:webHidden/>
          </w:rPr>
          <w:fldChar w:fldCharType="begin"/>
        </w:r>
        <w:r w:rsidR="00216E93">
          <w:rPr>
            <w:webHidden/>
          </w:rPr>
          <w:instrText xml:space="preserve"> PAGEREF _Toc401264630 \h </w:instrText>
        </w:r>
        <w:r>
          <w:rPr>
            <w:webHidden/>
          </w:rPr>
        </w:r>
        <w:r>
          <w:rPr>
            <w:webHidden/>
          </w:rPr>
          <w:fldChar w:fldCharType="separate"/>
        </w:r>
        <w:r w:rsidR="00216E93">
          <w:rPr>
            <w:webHidden/>
          </w:rPr>
          <w:t>31</w:t>
        </w:r>
        <w:r>
          <w:rPr>
            <w:webHidden/>
          </w:rPr>
          <w:fldChar w:fldCharType="end"/>
        </w:r>
      </w:hyperlink>
    </w:p>
    <w:p w:rsidR="00216E93" w:rsidRDefault="00CD0272">
      <w:pPr>
        <w:pStyle w:val="TJ2"/>
        <w:rPr>
          <w:rFonts w:asciiTheme="minorHAnsi" w:eastAsiaTheme="minorEastAsia" w:hAnsiTheme="minorHAnsi" w:cstheme="minorBidi"/>
          <w:noProof/>
          <w:szCs w:val="22"/>
          <w:lang w:val="hu-HU" w:eastAsia="hu-HU"/>
        </w:rPr>
      </w:pPr>
      <w:hyperlink w:anchor="_Toc401264631" w:history="1">
        <w:r w:rsidR="00216E93" w:rsidRPr="00CA5123">
          <w:rPr>
            <w:rStyle w:val="Hiperhivatkozs"/>
            <w:noProof/>
          </w:rPr>
          <w:t>4.1</w:t>
        </w:r>
        <w:r w:rsidR="00216E93">
          <w:rPr>
            <w:rFonts w:asciiTheme="minorHAnsi" w:eastAsiaTheme="minorEastAsia" w:hAnsiTheme="minorHAnsi" w:cstheme="minorBidi"/>
            <w:noProof/>
            <w:szCs w:val="22"/>
            <w:lang w:val="hu-HU" w:eastAsia="hu-HU"/>
          </w:rPr>
          <w:tab/>
        </w:r>
        <w:r w:rsidR="00216E93" w:rsidRPr="00CA5123">
          <w:rPr>
            <w:rStyle w:val="Hiperhivatkozs"/>
            <w:noProof/>
          </w:rPr>
          <w:t>Earning a living</w:t>
        </w:r>
        <w:r w:rsidR="00216E93">
          <w:rPr>
            <w:noProof/>
            <w:webHidden/>
          </w:rPr>
          <w:tab/>
        </w:r>
        <w:r>
          <w:rPr>
            <w:noProof/>
            <w:webHidden/>
          </w:rPr>
          <w:fldChar w:fldCharType="begin"/>
        </w:r>
        <w:r w:rsidR="00216E93">
          <w:rPr>
            <w:noProof/>
            <w:webHidden/>
          </w:rPr>
          <w:instrText xml:space="preserve"> PAGEREF _Toc401264631 \h </w:instrText>
        </w:r>
        <w:r>
          <w:rPr>
            <w:noProof/>
            <w:webHidden/>
          </w:rPr>
        </w:r>
        <w:r>
          <w:rPr>
            <w:noProof/>
            <w:webHidden/>
          </w:rPr>
          <w:fldChar w:fldCharType="separate"/>
        </w:r>
        <w:r w:rsidR="00216E93">
          <w:rPr>
            <w:noProof/>
            <w:webHidden/>
          </w:rPr>
          <w:t>31</w:t>
        </w:r>
        <w:r>
          <w:rPr>
            <w:noProof/>
            <w:webHidden/>
          </w:rPr>
          <w:fldChar w:fldCharType="end"/>
        </w:r>
      </w:hyperlink>
    </w:p>
    <w:p w:rsidR="00216E93" w:rsidRDefault="00CD0272">
      <w:pPr>
        <w:pStyle w:val="TJ2"/>
        <w:rPr>
          <w:rFonts w:asciiTheme="minorHAnsi" w:eastAsiaTheme="minorEastAsia" w:hAnsiTheme="minorHAnsi" w:cstheme="minorBidi"/>
          <w:noProof/>
          <w:szCs w:val="22"/>
          <w:lang w:val="hu-HU" w:eastAsia="hu-HU"/>
        </w:rPr>
      </w:pPr>
      <w:hyperlink w:anchor="_Toc401264632" w:history="1">
        <w:r w:rsidR="00216E93" w:rsidRPr="00CA5123">
          <w:rPr>
            <w:rStyle w:val="Hiperhivatkozs"/>
            <w:noProof/>
          </w:rPr>
          <w:t>4.2</w:t>
        </w:r>
        <w:r w:rsidR="00216E93">
          <w:rPr>
            <w:rFonts w:asciiTheme="minorHAnsi" w:eastAsiaTheme="minorEastAsia" w:hAnsiTheme="minorHAnsi" w:cstheme="minorBidi"/>
            <w:noProof/>
            <w:szCs w:val="22"/>
            <w:lang w:val="hu-HU" w:eastAsia="hu-HU"/>
          </w:rPr>
          <w:tab/>
        </w:r>
        <w:r w:rsidR="00216E93" w:rsidRPr="00CA5123">
          <w:rPr>
            <w:rStyle w:val="Hiperhivatkozs"/>
            <w:noProof/>
          </w:rPr>
          <w:t>Access to basic services</w:t>
        </w:r>
        <w:r w:rsidR="00216E93">
          <w:rPr>
            <w:noProof/>
            <w:webHidden/>
          </w:rPr>
          <w:tab/>
        </w:r>
        <w:r>
          <w:rPr>
            <w:noProof/>
            <w:webHidden/>
          </w:rPr>
          <w:fldChar w:fldCharType="begin"/>
        </w:r>
        <w:r w:rsidR="00216E93">
          <w:rPr>
            <w:noProof/>
            <w:webHidden/>
          </w:rPr>
          <w:instrText xml:space="preserve"> PAGEREF _Toc401264632 \h </w:instrText>
        </w:r>
        <w:r>
          <w:rPr>
            <w:noProof/>
            <w:webHidden/>
          </w:rPr>
        </w:r>
        <w:r>
          <w:rPr>
            <w:noProof/>
            <w:webHidden/>
          </w:rPr>
          <w:fldChar w:fldCharType="separate"/>
        </w:r>
        <w:r w:rsidR="00216E93">
          <w:rPr>
            <w:noProof/>
            <w:webHidden/>
          </w:rPr>
          <w:t>34</w:t>
        </w:r>
        <w:r>
          <w:rPr>
            <w:noProof/>
            <w:webHidden/>
          </w:rPr>
          <w:fldChar w:fldCharType="end"/>
        </w:r>
      </w:hyperlink>
    </w:p>
    <w:p w:rsidR="00216E93" w:rsidRDefault="00CD0272">
      <w:pPr>
        <w:pStyle w:val="TJ2"/>
        <w:rPr>
          <w:rFonts w:asciiTheme="minorHAnsi" w:eastAsiaTheme="minorEastAsia" w:hAnsiTheme="minorHAnsi" w:cstheme="minorBidi"/>
          <w:noProof/>
          <w:szCs w:val="22"/>
          <w:lang w:val="hu-HU" w:eastAsia="hu-HU"/>
        </w:rPr>
      </w:pPr>
      <w:hyperlink w:anchor="_Toc401264633" w:history="1">
        <w:r w:rsidR="00216E93" w:rsidRPr="00CA5123">
          <w:rPr>
            <w:rStyle w:val="Hiperhivatkozs"/>
            <w:noProof/>
          </w:rPr>
          <w:t>4.3</w:t>
        </w:r>
        <w:r w:rsidR="00216E93">
          <w:rPr>
            <w:rFonts w:asciiTheme="minorHAnsi" w:eastAsiaTheme="minorEastAsia" w:hAnsiTheme="minorHAnsi" w:cstheme="minorBidi"/>
            <w:noProof/>
            <w:szCs w:val="22"/>
            <w:lang w:val="hu-HU" w:eastAsia="hu-HU"/>
          </w:rPr>
          <w:tab/>
        </w:r>
        <w:r w:rsidR="00216E93" w:rsidRPr="00CA5123">
          <w:rPr>
            <w:rStyle w:val="Hiperhivatkozs"/>
            <w:noProof/>
          </w:rPr>
          <w:t>Social environment</w:t>
        </w:r>
        <w:r w:rsidR="00216E93">
          <w:rPr>
            <w:noProof/>
            <w:webHidden/>
          </w:rPr>
          <w:tab/>
        </w:r>
        <w:r>
          <w:rPr>
            <w:noProof/>
            <w:webHidden/>
          </w:rPr>
          <w:fldChar w:fldCharType="begin"/>
        </w:r>
        <w:r w:rsidR="00216E93">
          <w:rPr>
            <w:noProof/>
            <w:webHidden/>
          </w:rPr>
          <w:instrText xml:space="preserve"> PAGEREF _Toc401264633 \h </w:instrText>
        </w:r>
        <w:r>
          <w:rPr>
            <w:noProof/>
            <w:webHidden/>
          </w:rPr>
        </w:r>
        <w:r>
          <w:rPr>
            <w:noProof/>
            <w:webHidden/>
          </w:rPr>
          <w:fldChar w:fldCharType="separate"/>
        </w:r>
        <w:r w:rsidR="00216E93">
          <w:rPr>
            <w:noProof/>
            <w:webHidden/>
          </w:rPr>
          <w:t>38</w:t>
        </w:r>
        <w:r>
          <w:rPr>
            <w:noProof/>
            <w:webHidden/>
          </w:rPr>
          <w:fldChar w:fldCharType="end"/>
        </w:r>
      </w:hyperlink>
    </w:p>
    <w:p w:rsidR="00216E93" w:rsidRDefault="00CD0272">
      <w:pPr>
        <w:pStyle w:val="TJ2"/>
        <w:rPr>
          <w:rFonts w:asciiTheme="minorHAnsi" w:eastAsiaTheme="minorEastAsia" w:hAnsiTheme="minorHAnsi" w:cstheme="minorBidi"/>
          <w:noProof/>
          <w:szCs w:val="22"/>
          <w:lang w:val="hu-HU" w:eastAsia="hu-HU"/>
        </w:rPr>
      </w:pPr>
      <w:hyperlink w:anchor="_Toc401264634" w:history="1">
        <w:r w:rsidR="00216E93" w:rsidRPr="00CA5123">
          <w:rPr>
            <w:rStyle w:val="Hiperhivatkozs"/>
            <w:noProof/>
          </w:rPr>
          <w:t>4.4</w:t>
        </w:r>
        <w:r w:rsidR="00216E93">
          <w:rPr>
            <w:rFonts w:asciiTheme="minorHAnsi" w:eastAsiaTheme="minorEastAsia" w:hAnsiTheme="minorHAnsi" w:cstheme="minorBidi"/>
            <w:noProof/>
            <w:szCs w:val="22"/>
            <w:lang w:val="hu-HU" w:eastAsia="hu-HU"/>
          </w:rPr>
          <w:tab/>
        </w:r>
        <w:r w:rsidR="00216E93" w:rsidRPr="00CA5123">
          <w:rPr>
            <w:rStyle w:val="Hiperhivatkozs"/>
            <w:noProof/>
          </w:rPr>
          <w:t>Political participation</w:t>
        </w:r>
        <w:r w:rsidR="00216E93">
          <w:rPr>
            <w:noProof/>
            <w:webHidden/>
          </w:rPr>
          <w:tab/>
        </w:r>
        <w:r>
          <w:rPr>
            <w:noProof/>
            <w:webHidden/>
          </w:rPr>
          <w:fldChar w:fldCharType="begin"/>
        </w:r>
        <w:r w:rsidR="00216E93">
          <w:rPr>
            <w:noProof/>
            <w:webHidden/>
          </w:rPr>
          <w:instrText xml:space="preserve"> PAGEREF _Toc401264634 \h </w:instrText>
        </w:r>
        <w:r>
          <w:rPr>
            <w:noProof/>
            <w:webHidden/>
          </w:rPr>
        </w:r>
        <w:r>
          <w:rPr>
            <w:noProof/>
            <w:webHidden/>
          </w:rPr>
          <w:fldChar w:fldCharType="separate"/>
        </w:r>
        <w:r w:rsidR="00216E93">
          <w:rPr>
            <w:noProof/>
            <w:webHidden/>
          </w:rPr>
          <w:t>42</w:t>
        </w:r>
        <w:r>
          <w:rPr>
            <w:noProof/>
            <w:webHidden/>
          </w:rPr>
          <w:fldChar w:fldCharType="end"/>
        </w:r>
      </w:hyperlink>
    </w:p>
    <w:p w:rsidR="00216E93" w:rsidRDefault="00CD0272">
      <w:pPr>
        <w:pStyle w:val="TJ1"/>
        <w:rPr>
          <w:rFonts w:asciiTheme="minorHAnsi" w:eastAsiaTheme="minorEastAsia" w:hAnsiTheme="minorHAnsi" w:cstheme="minorBidi"/>
          <w:szCs w:val="22"/>
          <w:lang w:val="hu-HU" w:eastAsia="hu-HU"/>
        </w:rPr>
      </w:pPr>
      <w:hyperlink w:anchor="_Toc401264635" w:history="1">
        <w:r w:rsidR="00216E93" w:rsidRPr="00CA5123">
          <w:rPr>
            <w:rStyle w:val="Hiperhivatkozs"/>
          </w:rPr>
          <w:t>5</w:t>
        </w:r>
        <w:r w:rsidR="00216E93">
          <w:rPr>
            <w:rFonts w:asciiTheme="minorHAnsi" w:eastAsiaTheme="minorEastAsia" w:hAnsiTheme="minorHAnsi" w:cstheme="minorBidi"/>
            <w:szCs w:val="22"/>
            <w:lang w:val="hu-HU" w:eastAsia="hu-HU"/>
          </w:rPr>
          <w:tab/>
        </w:r>
        <w:r w:rsidR="00216E93" w:rsidRPr="00CA5123">
          <w:rPr>
            <w:rStyle w:val="Hiperhivatkozs"/>
          </w:rPr>
          <w:t>Discussion and preliminary policy implications</w:t>
        </w:r>
        <w:r w:rsidR="00216E93">
          <w:rPr>
            <w:webHidden/>
          </w:rPr>
          <w:tab/>
        </w:r>
        <w:r>
          <w:rPr>
            <w:webHidden/>
          </w:rPr>
          <w:fldChar w:fldCharType="begin"/>
        </w:r>
        <w:r w:rsidR="00216E93">
          <w:rPr>
            <w:webHidden/>
          </w:rPr>
          <w:instrText xml:space="preserve"> PAGEREF _Toc401264635 \h </w:instrText>
        </w:r>
        <w:r>
          <w:rPr>
            <w:webHidden/>
          </w:rPr>
        </w:r>
        <w:r>
          <w:rPr>
            <w:webHidden/>
          </w:rPr>
          <w:fldChar w:fldCharType="separate"/>
        </w:r>
        <w:r w:rsidR="00216E93">
          <w:rPr>
            <w:webHidden/>
          </w:rPr>
          <w:t>44</w:t>
        </w:r>
        <w:r>
          <w:rPr>
            <w:webHidden/>
          </w:rPr>
          <w:fldChar w:fldCharType="end"/>
        </w:r>
      </w:hyperlink>
    </w:p>
    <w:p w:rsidR="00216E93" w:rsidRDefault="00CD0272">
      <w:pPr>
        <w:pStyle w:val="TJ2"/>
        <w:rPr>
          <w:rFonts w:asciiTheme="minorHAnsi" w:eastAsiaTheme="minorEastAsia" w:hAnsiTheme="minorHAnsi" w:cstheme="minorBidi"/>
          <w:noProof/>
          <w:szCs w:val="22"/>
          <w:lang w:val="hu-HU" w:eastAsia="hu-HU"/>
        </w:rPr>
      </w:pPr>
      <w:hyperlink w:anchor="_Toc401264636" w:history="1">
        <w:r w:rsidR="00216E93" w:rsidRPr="00CA5123">
          <w:rPr>
            <w:rStyle w:val="Hiperhivatkozs"/>
            <w:noProof/>
          </w:rPr>
          <w:t>5.1</w:t>
        </w:r>
        <w:r w:rsidR="00216E93">
          <w:rPr>
            <w:rFonts w:asciiTheme="minorHAnsi" w:eastAsiaTheme="minorEastAsia" w:hAnsiTheme="minorHAnsi" w:cstheme="minorBidi"/>
            <w:noProof/>
            <w:szCs w:val="22"/>
            <w:lang w:val="hu-HU" w:eastAsia="hu-HU"/>
          </w:rPr>
          <w:tab/>
        </w:r>
        <w:r w:rsidR="00216E93" w:rsidRPr="00CA5123">
          <w:rPr>
            <w:rStyle w:val="Hiperhivatkozs"/>
            <w:noProof/>
          </w:rPr>
          <w:t>Indicators list – possibilities, limitations and comparability issues</w:t>
        </w:r>
        <w:r w:rsidR="00216E93">
          <w:rPr>
            <w:noProof/>
            <w:webHidden/>
          </w:rPr>
          <w:tab/>
        </w:r>
        <w:r>
          <w:rPr>
            <w:noProof/>
            <w:webHidden/>
          </w:rPr>
          <w:fldChar w:fldCharType="begin"/>
        </w:r>
        <w:r w:rsidR="00216E93">
          <w:rPr>
            <w:noProof/>
            <w:webHidden/>
          </w:rPr>
          <w:instrText xml:space="preserve"> PAGEREF _Toc401264636 \h </w:instrText>
        </w:r>
        <w:r>
          <w:rPr>
            <w:noProof/>
            <w:webHidden/>
          </w:rPr>
        </w:r>
        <w:r>
          <w:rPr>
            <w:noProof/>
            <w:webHidden/>
          </w:rPr>
          <w:fldChar w:fldCharType="separate"/>
        </w:r>
        <w:r w:rsidR="00216E93">
          <w:rPr>
            <w:noProof/>
            <w:webHidden/>
          </w:rPr>
          <w:t>44</w:t>
        </w:r>
        <w:r>
          <w:rPr>
            <w:noProof/>
            <w:webHidden/>
          </w:rPr>
          <w:fldChar w:fldCharType="end"/>
        </w:r>
      </w:hyperlink>
    </w:p>
    <w:p w:rsidR="00216E93" w:rsidRDefault="00CD0272">
      <w:pPr>
        <w:pStyle w:val="TJ2"/>
        <w:rPr>
          <w:rFonts w:asciiTheme="minorHAnsi" w:eastAsiaTheme="minorEastAsia" w:hAnsiTheme="minorHAnsi" w:cstheme="minorBidi"/>
          <w:noProof/>
          <w:szCs w:val="22"/>
          <w:lang w:val="hu-HU" w:eastAsia="hu-HU"/>
        </w:rPr>
      </w:pPr>
      <w:hyperlink w:anchor="_Toc401264637" w:history="1">
        <w:r w:rsidR="00216E93" w:rsidRPr="00CA5123">
          <w:rPr>
            <w:rStyle w:val="Hiperhivatkozs"/>
            <w:noProof/>
          </w:rPr>
          <w:t>5.2</w:t>
        </w:r>
        <w:r w:rsidR="00216E93">
          <w:rPr>
            <w:rFonts w:asciiTheme="minorHAnsi" w:eastAsiaTheme="minorEastAsia" w:hAnsiTheme="minorHAnsi" w:cstheme="minorBidi"/>
            <w:noProof/>
            <w:szCs w:val="22"/>
            <w:lang w:val="hu-HU" w:eastAsia="hu-HU"/>
          </w:rPr>
          <w:tab/>
        </w:r>
        <w:r w:rsidR="00216E93" w:rsidRPr="00CA5123">
          <w:rPr>
            <w:rStyle w:val="Hiperhivatkozs"/>
            <w:noProof/>
          </w:rPr>
          <w:t>Learning from other ESPON projects</w:t>
        </w:r>
        <w:r w:rsidR="00216E93">
          <w:rPr>
            <w:noProof/>
            <w:webHidden/>
          </w:rPr>
          <w:tab/>
        </w:r>
        <w:r>
          <w:rPr>
            <w:noProof/>
            <w:webHidden/>
          </w:rPr>
          <w:fldChar w:fldCharType="begin"/>
        </w:r>
        <w:r w:rsidR="00216E93">
          <w:rPr>
            <w:noProof/>
            <w:webHidden/>
          </w:rPr>
          <w:instrText xml:space="preserve"> PAGEREF _Toc401264637 \h </w:instrText>
        </w:r>
        <w:r>
          <w:rPr>
            <w:noProof/>
            <w:webHidden/>
          </w:rPr>
        </w:r>
        <w:r>
          <w:rPr>
            <w:noProof/>
            <w:webHidden/>
          </w:rPr>
          <w:fldChar w:fldCharType="separate"/>
        </w:r>
        <w:r w:rsidR="00216E93">
          <w:rPr>
            <w:noProof/>
            <w:webHidden/>
          </w:rPr>
          <w:t>46</w:t>
        </w:r>
        <w:r>
          <w:rPr>
            <w:noProof/>
            <w:webHidden/>
          </w:rPr>
          <w:fldChar w:fldCharType="end"/>
        </w:r>
      </w:hyperlink>
    </w:p>
    <w:p w:rsidR="00216E93" w:rsidRDefault="00CD0272">
      <w:pPr>
        <w:pStyle w:val="TJ2"/>
        <w:rPr>
          <w:rFonts w:asciiTheme="minorHAnsi" w:eastAsiaTheme="minorEastAsia" w:hAnsiTheme="minorHAnsi" w:cstheme="minorBidi"/>
          <w:noProof/>
          <w:szCs w:val="22"/>
          <w:lang w:val="hu-HU" w:eastAsia="hu-HU"/>
        </w:rPr>
      </w:pPr>
      <w:hyperlink w:anchor="_Toc401264638" w:history="1">
        <w:r w:rsidR="00216E93" w:rsidRPr="00CA5123">
          <w:rPr>
            <w:rStyle w:val="Hiperhivatkozs"/>
            <w:noProof/>
          </w:rPr>
          <w:t>5.3</w:t>
        </w:r>
        <w:r w:rsidR="00216E93">
          <w:rPr>
            <w:rFonts w:asciiTheme="minorHAnsi" w:eastAsiaTheme="minorEastAsia" w:hAnsiTheme="minorHAnsi" w:cstheme="minorBidi"/>
            <w:noProof/>
            <w:szCs w:val="22"/>
            <w:lang w:val="hu-HU" w:eastAsia="hu-HU"/>
          </w:rPr>
          <w:tab/>
        </w:r>
        <w:r w:rsidR="00216E93" w:rsidRPr="00CA5123">
          <w:rPr>
            <w:rStyle w:val="Hiperhivatkozs"/>
            <w:noProof/>
          </w:rPr>
          <w:t>Mapping the socially excluded – possibilities and limitations</w:t>
        </w:r>
        <w:r w:rsidR="00216E93">
          <w:rPr>
            <w:noProof/>
            <w:webHidden/>
          </w:rPr>
          <w:tab/>
        </w:r>
        <w:r>
          <w:rPr>
            <w:noProof/>
            <w:webHidden/>
          </w:rPr>
          <w:fldChar w:fldCharType="begin"/>
        </w:r>
        <w:r w:rsidR="00216E93">
          <w:rPr>
            <w:noProof/>
            <w:webHidden/>
          </w:rPr>
          <w:instrText xml:space="preserve"> PAGEREF _Toc401264638 \h </w:instrText>
        </w:r>
        <w:r>
          <w:rPr>
            <w:noProof/>
            <w:webHidden/>
          </w:rPr>
        </w:r>
        <w:r>
          <w:rPr>
            <w:noProof/>
            <w:webHidden/>
          </w:rPr>
          <w:fldChar w:fldCharType="separate"/>
        </w:r>
        <w:r w:rsidR="00216E93">
          <w:rPr>
            <w:noProof/>
            <w:webHidden/>
          </w:rPr>
          <w:t>48</w:t>
        </w:r>
        <w:r>
          <w:rPr>
            <w:noProof/>
            <w:webHidden/>
          </w:rPr>
          <w:fldChar w:fldCharType="end"/>
        </w:r>
      </w:hyperlink>
    </w:p>
    <w:p w:rsidR="00216E93" w:rsidRDefault="00CD0272">
      <w:pPr>
        <w:pStyle w:val="TJ1"/>
        <w:rPr>
          <w:rFonts w:asciiTheme="minorHAnsi" w:eastAsiaTheme="minorEastAsia" w:hAnsiTheme="minorHAnsi" w:cstheme="minorBidi"/>
          <w:szCs w:val="22"/>
          <w:lang w:val="hu-HU" w:eastAsia="hu-HU"/>
        </w:rPr>
      </w:pPr>
      <w:hyperlink w:anchor="_Toc401264639" w:history="1">
        <w:r w:rsidR="00216E93" w:rsidRPr="00CA5123">
          <w:rPr>
            <w:rStyle w:val="Hiperhivatkozs"/>
          </w:rPr>
          <w:t>6</w:t>
        </w:r>
        <w:r w:rsidR="00216E93">
          <w:rPr>
            <w:rFonts w:asciiTheme="minorHAnsi" w:eastAsiaTheme="minorEastAsia" w:hAnsiTheme="minorHAnsi" w:cstheme="minorBidi"/>
            <w:szCs w:val="22"/>
            <w:lang w:val="hu-HU" w:eastAsia="hu-HU"/>
          </w:rPr>
          <w:tab/>
        </w:r>
        <w:r w:rsidR="00216E93" w:rsidRPr="00CA5123">
          <w:rPr>
            <w:rStyle w:val="Hiperhivatkozs"/>
          </w:rPr>
          <w:t>References</w:t>
        </w:r>
        <w:r w:rsidR="00216E93">
          <w:rPr>
            <w:webHidden/>
          </w:rPr>
          <w:tab/>
        </w:r>
        <w:r>
          <w:rPr>
            <w:webHidden/>
          </w:rPr>
          <w:fldChar w:fldCharType="begin"/>
        </w:r>
        <w:r w:rsidR="00216E93">
          <w:rPr>
            <w:webHidden/>
          </w:rPr>
          <w:instrText xml:space="preserve"> PAGEREF _Toc401264639 \h </w:instrText>
        </w:r>
        <w:r>
          <w:rPr>
            <w:webHidden/>
          </w:rPr>
        </w:r>
        <w:r>
          <w:rPr>
            <w:webHidden/>
          </w:rPr>
          <w:fldChar w:fldCharType="separate"/>
        </w:r>
        <w:r w:rsidR="00216E93">
          <w:rPr>
            <w:webHidden/>
          </w:rPr>
          <w:t>49</w:t>
        </w:r>
        <w:r>
          <w:rPr>
            <w:webHidden/>
          </w:rPr>
          <w:fldChar w:fldCharType="end"/>
        </w:r>
      </w:hyperlink>
    </w:p>
    <w:p w:rsidR="002A7DF8" w:rsidRPr="006C3BAA" w:rsidRDefault="00CD0272" w:rsidP="00006BE0">
      <w:pPr>
        <w:pStyle w:val="ESPONText"/>
        <w:rPr>
          <w:szCs w:val="22"/>
        </w:rPr>
      </w:pPr>
      <w:r w:rsidRPr="006C3BAA">
        <w:rPr>
          <w:szCs w:val="22"/>
        </w:rPr>
        <w:fldChar w:fldCharType="end"/>
      </w:r>
      <w:r w:rsidR="007D30CA" w:rsidRPr="006C3BAA">
        <w:rPr>
          <w:szCs w:val="22"/>
        </w:rPr>
        <w:br w:type="column"/>
      </w:r>
    </w:p>
    <w:p w:rsidR="00BF09EE" w:rsidRPr="006C3BAA" w:rsidRDefault="005B346C" w:rsidP="00BF09EE">
      <w:pPr>
        <w:pStyle w:val="ESPONSubtitle"/>
        <w:spacing w:after="0"/>
        <w:jc w:val="center"/>
      </w:pPr>
      <w:r w:rsidRPr="006C3BAA">
        <w:t>TABLES</w:t>
      </w:r>
    </w:p>
    <w:p w:rsidR="00216E93" w:rsidRDefault="00CD0272">
      <w:pPr>
        <w:pStyle w:val="brajegyzk"/>
        <w:tabs>
          <w:tab w:val="right" w:pos="9344"/>
        </w:tabs>
        <w:rPr>
          <w:rFonts w:asciiTheme="minorHAnsi" w:eastAsiaTheme="minorEastAsia" w:hAnsiTheme="minorHAnsi" w:cstheme="minorBidi"/>
          <w:noProof/>
          <w:szCs w:val="22"/>
          <w:lang w:val="hu-HU" w:eastAsia="hu-HU"/>
        </w:rPr>
      </w:pPr>
      <w:r w:rsidRPr="006C3BAA">
        <w:fldChar w:fldCharType="begin"/>
      </w:r>
      <w:r w:rsidR="00EA1FF2" w:rsidRPr="006C3BAA">
        <w:instrText xml:space="preserve"> TOC \h \z \c "Table" </w:instrText>
      </w:r>
      <w:r w:rsidRPr="006C3BAA">
        <w:fldChar w:fldCharType="separate"/>
      </w:r>
      <w:hyperlink w:anchor="_Toc401264640" w:history="1">
        <w:r w:rsidR="00216E93" w:rsidRPr="00E61537">
          <w:rPr>
            <w:rStyle w:val="Hiperhivatkozs"/>
            <w:noProof/>
          </w:rPr>
          <w:t>Table 1: Domains and dimensions of social exclusion recommended by Task 2.1 and Task 2.6</w:t>
        </w:r>
        <w:r w:rsidR="00216E93">
          <w:rPr>
            <w:noProof/>
            <w:webHidden/>
          </w:rPr>
          <w:tab/>
        </w:r>
        <w:r>
          <w:rPr>
            <w:noProof/>
            <w:webHidden/>
          </w:rPr>
          <w:fldChar w:fldCharType="begin"/>
        </w:r>
        <w:r w:rsidR="00216E93">
          <w:rPr>
            <w:noProof/>
            <w:webHidden/>
          </w:rPr>
          <w:instrText xml:space="preserve"> PAGEREF _Toc401264640 \h </w:instrText>
        </w:r>
        <w:r>
          <w:rPr>
            <w:noProof/>
            <w:webHidden/>
          </w:rPr>
        </w:r>
        <w:r>
          <w:rPr>
            <w:noProof/>
            <w:webHidden/>
          </w:rPr>
          <w:fldChar w:fldCharType="separate"/>
        </w:r>
        <w:r w:rsidR="00216E93">
          <w:rPr>
            <w:noProof/>
            <w:webHidden/>
          </w:rPr>
          <w:t>8</w:t>
        </w:r>
        <w:r>
          <w:rPr>
            <w:noProof/>
            <w:webHidden/>
          </w:rPr>
          <w:fldChar w:fldCharType="end"/>
        </w:r>
      </w:hyperlink>
    </w:p>
    <w:p w:rsidR="00216E93" w:rsidRDefault="00CD0272">
      <w:pPr>
        <w:pStyle w:val="brajegyzk"/>
        <w:tabs>
          <w:tab w:val="right" w:pos="9344"/>
        </w:tabs>
        <w:rPr>
          <w:rFonts w:asciiTheme="minorHAnsi" w:eastAsiaTheme="minorEastAsia" w:hAnsiTheme="minorHAnsi" w:cstheme="minorBidi"/>
          <w:noProof/>
          <w:szCs w:val="22"/>
          <w:lang w:val="hu-HU" w:eastAsia="hu-HU"/>
        </w:rPr>
      </w:pPr>
      <w:hyperlink w:anchor="_Toc401264641" w:history="1">
        <w:r w:rsidR="00216E93" w:rsidRPr="00E61537">
          <w:rPr>
            <w:rStyle w:val="Hiperhivatkozs"/>
            <w:noProof/>
          </w:rPr>
          <w:t>Table 2: Matching TiPSE’s domains and dimensions with Reimer (2004) and Philip and Shucksmith’s (2003) systems of social exclusion</w:t>
        </w:r>
        <w:r w:rsidR="00216E93">
          <w:rPr>
            <w:noProof/>
            <w:webHidden/>
          </w:rPr>
          <w:tab/>
        </w:r>
        <w:r>
          <w:rPr>
            <w:noProof/>
            <w:webHidden/>
          </w:rPr>
          <w:fldChar w:fldCharType="begin"/>
        </w:r>
        <w:r w:rsidR="00216E93">
          <w:rPr>
            <w:noProof/>
            <w:webHidden/>
          </w:rPr>
          <w:instrText xml:space="preserve"> PAGEREF _Toc401264641 \h </w:instrText>
        </w:r>
        <w:r>
          <w:rPr>
            <w:noProof/>
            <w:webHidden/>
          </w:rPr>
        </w:r>
        <w:r>
          <w:rPr>
            <w:noProof/>
            <w:webHidden/>
          </w:rPr>
          <w:fldChar w:fldCharType="separate"/>
        </w:r>
        <w:r w:rsidR="00216E93">
          <w:rPr>
            <w:noProof/>
            <w:webHidden/>
          </w:rPr>
          <w:t>9</w:t>
        </w:r>
        <w:r>
          <w:rPr>
            <w:noProof/>
            <w:webHidden/>
          </w:rPr>
          <w:fldChar w:fldCharType="end"/>
        </w:r>
      </w:hyperlink>
    </w:p>
    <w:p w:rsidR="00216E93" w:rsidRDefault="00CD0272">
      <w:pPr>
        <w:pStyle w:val="brajegyzk"/>
        <w:tabs>
          <w:tab w:val="right" w:pos="9344"/>
        </w:tabs>
        <w:rPr>
          <w:rFonts w:asciiTheme="minorHAnsi" w:eastAsiaTheme="minorEastAsia" w:hAnsiTheme="minorHAnsi" w:cstheme="minorBidi"/>
          <w:noProof/>
          <w:szCs w:val="22"/>
          <w:lang w:val="hu-HU" w:eastAsia="hu-HU"/>
        </w:rPr>
      </w:pPr>
      <w:hyperlink w:anchor="_Toc401264642" w:history="1">
        <w:r w:rsidR="00216E93" w:rsidRPr="00E61537">
          <w:rPr>
            <w:rStyle w:val="Hiperhivatkozs"/>
            <w:noProof/>
          </w:rPr>
          <w:t>Table 3: ESPON TiPSE indicators of social exclusion by dimensions and domains</w:t>
        </w:r>
        <w:r w:rsidR="00216E93">
          <w:rPr>
            <w:noProof/>
            <w:webHidden/>
          </w:rPr>
          <w:tab/>
        </w:r>
        <w:r>
          <w:rPr>
            <w:noProof/>
            <w:webHidden/>
          </w:rPr>
          <w:fldChar w:fldCharType="begin"/>
        </w:r>
        <w:r w:rsidR="00216E93">
          <w:rPr>
            <w:noProof/>
            <w:webHidden/>
          </w:rPr>
          <w:instrText xml:space="preserve"> PAGEREF _Toc401264642 \h </w:instrText>
        </w:r>
        <w:r>
          <w:rPr>
            <w:noProof/>
            <w:webHidden/>
          </w:rPr>
        </w:r>
        <w:r>
          <w:rPr>
            <w:noProof/>
            <w:webHidden/>
          </w:rPr>
          <w:fldChar w:fldCharType="separate"/>
        </w:r>
        <w:r w:rsidR="00216E93">
          <w:rPr>
            <w:noProof/>
            <w:webHidden/>
          </w:rPr>
          <w:t>13</w:t>
        </w:r>
        <w:r>
          <w:rPr>
            <w:noProof/>
            <w:webHidden/>
          </w:rPr>
          <w:fldChar w:fldCharType="end"/>
        </w:r>
      </w:hyperlink>
    </w:p>
    <w:p w:rsidR="00216E93" w:rsidRDefault="00CD0272">
      <w:pPr>
        <w:pStyle w:val="brajegyzk"/>
        <w:tabs>
          <w:tab w:val="right" w:pos="9344"/>
        </w:tabs>
        <w:rPr>
          <w:rFonts w:asciiTheme="minorHAnsi" w:eastAsiaTheme="minorEastAsia" w:hAnsiTheme="minorHAnsi" w:cstheme="minorBidi"/>
          <w:noProof/>
          <w:szCs w:val="22"/>
          <w:lang w:val="hu-HU" w:eastAsia="hu-HU"/>
        </w:rPr>
      </w:pPr>
      <w:hyperlink w:anchor="_Toc401264643" w:history="1">
        <w:r w:rsidR="00216E93" w:rsidRPr="00E61537">
          <w:rPr>
            <w:rStyle w:val="Hiperhivatkozs"/>
            <w:noProof/>
          </w:rPr>
          <w:t>Table 4: Macro-regions of the TiPSE project</w:t>
        </w:r>
        <w:r w:rsidR="00216E93">
          <w:rPr>
            <w:noProof/>
            <w:webHidden/>
          </w:rPr>
          <w:tab/>
        </w:r>
        <w:r>
          <w:rPr>
            <w:noProof/>
            <w:webHidden/>
          </w:rPr>
          <w:fldChar w:fldCharType="begin"/>
        </w:r>
        <w:r w:rsidR="00216E93">
          <w:rPr>
            <w:noProof/>
            <w:webHidden/>
          </w:rPr>
          <w:instrText xml:space="preserve"> PAGEREF _Toc401264643 \h </w:instrText>
        </w:r>
        <w:r>
          <w:rPr>
            <w:noProof/>
            <w:webHidden/>
          </w:rPr>
        </w:r>
        <w:r>
          <w:rPr>
            <w:noProof/>
            <w:webHidden/>
          </w:rPr>
          <w:fldChar w:fldCharType="separate"/>
        </w:r>
        <w:r w:rsidR="00216E93">
          <w:rPr>
            <w:noProof/>
            <w:webHidden/>
          </w:rPr>
          <w:t>24</w:t>
        </w:r>
        <w:r>
          <w:rPr>
            <w:noProof/>
            <w:webHidden/>
          </w:rPr>
          <w:fldChar w:fldCharType="end"/>
        </w:r>
      </w:hyperlink>
    </w:p>
    <w:p w:rsidR="00216E93" w:rsidRDefault="00CD0272">
      <w:pPr>
        <w:pStyle w:val="brajegyzk"/>
        <w:tabs>
          <w:tab w:val="right" w:pos="9344"/>
        </w:tabs>
        <w:rPr>
          <w:rFonts w:asciiTheme="minorHAnsi" w:eastAsiaTheme="minorEastAsia" w:hAnsiTheme="minorHAnsi" w:cstheme="minorBidi"/>
          <w:noProof/>
          <w:szCs w:val="22"/>
          <w:lang w:val="hu-HU" w:eastAsia="hu-HU"/>
        </w:rPr>
      </w:pPr>
      <w:hyperlink w:anchor="_Toc401264644" w:history="1">
        <w:r w:rsidR="00216E93" w:rsidRPr="00E61537">
          <w:rPr>
            <w:rStyle w:val="Hiperhivatkozs"/>
            <w:noProof/>
          </w:rPr>
          <w:t>Table 5 Selected poverty and social exclusion indicators from other ESPON projects</w:t>
        </w:r>
        <w:r w:rsidR="00216E93">
          <w:rPr>
            <w:noProof/>
            <w:webHidden/>
          </w:rPr>
          <w:tab/>
        </w:r>
        <w:r>
          <w:rPr>
            <w:noProof/>
            <w:webHidden/>
          </w:rPr>
          <w:fldChar w:fldCharType="begin"/>
        </w:r>
        <w:r w:rsidR="00216E93">
          <w:rPr>
            <w:noProof/>
            <w:webHidden/>
          </w:rPr>
          <w:instrText xml:space="preserve"> PAGEREF _Toc401264644 \h </w:instrText>
        </w:r>
        <w:r>
          <w:rPr>
            <w:noProof/>
            <w:webHidden/>
          </w:rPr>
        </w:r>
        <w:r>
          <w:rPr>
            <w:noProof/>
            <w:webHidden/>
          </w:rPr>
          <w:fldChar w:fldCharType="separate"/>
        </w:r>
        <w:r w:rsidR="00216E93">
          <w:rPr>
            <w:noProof/>
            <w:webHidden/>
          </w:rPr>
          <w:t>47</w:t>
        </w:r>
        <w:r>
          <w:rPr>
            <w:noProof/>
            <w:webHidden/>
          </w:rPr>
          <w:fldChar w:fldCharType="end"/>
        </w:r>
      </w:hyperlink>
    </w:p>
    <w:p w:rsidR="00956CB4" w:rsidRPr="006C3BAA" w:rsidRDefault="00CD0272" w:rsidP="00AA149B">
      <w:pPr>
        <w:pStyle w:val="ESPONText"/>
        <w:tabs>
          <w:tab w:val="left" w:pos="9072"/>
        </w:tabs>
        <w:spacing w:after="0"/>
      </w:pPr>
      <w:r w:rsidRPr="006C3BAA">
        <w:fldChar w:fldCharType="end"/>
      </w:r>
    </w:p>
    <w:p w:rsidR="00BF09EE" w:rsidRPr="006C3BAA" w:rsidRDefault="005B346C" w:rsidP="00BF09EE">
      <w:pPr>
        <w:pStyle w:val="ESPONSubtitle"/>
        <w:spacing w:after="0"/>
        <w:jc w:val="center"/>
      </w:pPr>
      <w:r w:rsidRPr="006C3BAA">
        <w:t>FIGURES</w:t>
      </w:r>
    </w:p>
    <w:p w:rsidR="00216E93" w:rsidRDefault="00CD0272">
      <w:pPr>
        <w:pStyle w:val="brajegyzk"/>
        <w:tabs>
          <w:tab w:val="right" w:pos="9344"/>
        </w:tabs>
        <w:rPr>
          <w:rFonts w:asciiTheme="minorHAnsi" w:eastAsiaTheme="minorEastAsia" w:hAnsiTheme="minorHAnsi" w:cstheme="minorBidi"/>
          <w:noProof/>
          <w:szCs w:val="22"/>
          <w:lang w:val="hu-HU" w:eastAsia="hu-HU"/>
        </w:rPr>
      </w:pPr>
      <w:r w:rsidRPr="006C3BAA">
        <w:fldChar w:fldCharType="begin"/>
      </w:r>
      <w:r w:rsidR="005B346C" w:rsidRPr="006C3BAA">
        <w:instrText xml:space="preserve"> TOC \h \z \c "Figure" </w:instrText>
      </w:r>
      <w:r w:rsidRPr="006C3BAA">
        <w:fldChar w:fldCharType="separate"/>
      </w:r>
      <w:hyperlink w:anchor="_Toc401264645" w:history="1">
        <w:r w:rsidR="00216E93" w:rsidRPr="009B7068">
          <w:rPr>
            <w:rStyle w:val="Hiperhivatkozs"/>
            <w:noProof/>
          </w:rPr>
          <w:t>Figure 1: Measuring complex phenomena: an outline of possible methodologies</w:t>
        </w:r>
        <w:r w:rsidR="00216E93">
          <w:rPr>
            <w:noProof/>
            <w:webHidden/>
          </w:rPr>
          <w:tab/>
        </w:r>
        <w:r>
          <w:rPr>
            <w:noProof/>
            <w:webHidden/>
          </w:rPr>
          <w:fldChar w:fldCharType="begin"/>
        </w:r>
        <w:r w:rsidR="00216E93">
          <w:rPr>
            <w:noProof/>
            <w:webHidden/>
          </w:rPr>
          <w:instrText xml:space="preserve"> PAGEREF _Toc401264645 \h </w:instrText>
        </w:r>
        <w:r>
          <w:rPr>
            <w:noProof/>
            <w:webHidden/>
          </w:rPr>
        </w:r>
        <w:r>
          <w:rPr>
            <w:noProof/>
            <w:webHidden/>
          </w:rPr>
          <w:fldChar w:fldCharType="separate"/>
        </w:r>
        <w:r w:rsidR="00216E93">
          <w:rPr>
            <w:noProof/>
            <w:webHidden/>
          </w:rPr>
          <w:t>21</w:t>
        </w:r>
        <w:r>
          <w:rPr>
            <w:noProof/>
            <w:webHidden/>
          </w:rPr>
          <w:fldChar w:fldCharType="end"/>
        </w:r>
      </w:hyperlink>
    </w:p>
    <w:p w:rsidR="00216E93" w:rsidRDefault="00CD0272">
      <w:pPr>
        <w:pStyle w:val="brajegyzk"/>
        <w:tabs>
          <w:tab w:val="right" w:pos="9344"/>
        </w:tabs>
        <w:rPr>
          <w:rFonts w:asciiTheme="minorHAnsi" w:eastAsiaTheme="minorEastAsia" w:hAnsiTheme="minorHAnsi" w:cstheme="minorBidi"/>
          <w:noProof/>
          <w:szCs w:val="22"/>
          <w:lang w:val="hu-HU" w:eastAsia="hu-HU"/>
        </w:rPr>
      </w:pPr>
      <w:hyperlink w:anchor="_Toc401264646" w:history="1">
        <w:r w:rsidR="00216E93" w:rsidRPr="009B7068">
          <w:rPr>
            <w:rStyle w:val="Hiperhivatkozs"/>
            <w:noProof/>
          </w:rPr>
          <w:t>Figure 2: ESPON space map and macro-regional zooms: an example</w:t>
        </w:r>
        <w:r w:rsidR="00216E93">
          <w:rPr>
            <w:noProof/>
            <w:webHidden/>
          </w:rPr>
          <w:tab/>
        </w:r>
        <w:r>
          <w:rPr>
            <w:noProof/>
            <w:webHidden/>
          </w:rPr>
          <w:fldChar w:fldCharType="begin"/>
        </w:r>
        <w:r w:rsidR="00216E93">
          <w:rPr>
            <w:noProof/>
            <w:webHidden/>
          </w:rPr>
          <w:instrText xml:space="preserve"> PAGEREF _Toc401264646 \h </w:instrText>
        </w:r>
        <w:r>
          <w:rPr>
            <w:noProof/>
            <w:webHidden/>
          </w:rPr>
        </w:r>
        <w:r>
          <w:rPr>
            <w:noProof/>
            <w:webHidden/>
          </w:rPr>
          <w:fldChar w:fldCharType="separate"/>
        </w:r>
        <w:r w:rsidR="00216E93">
          <w:rPr>
            <w:noProof/>
            <w:webHidden/>
          </w:rPr>
          <w:t>25</w:t>
        </w:r>
        <w:r>
          <w:rPr>
            <w:noProof/>
            <w:webHidden/>
          </w:rPr>
          <w:fldChar w:fldCharType="end"/>
        </w:r>
      </w:hyperlink>
    </w:p>
    <w:p w:rsidR="00B80002" w:rsidRPr="006C3BAA" w:rsidRDefault="00CD0272" w:rsidP="00AA149B">
      <w:pPr>
        <w:pStyle w:val="ESPONText"/>
        <w:tabs>
          <w:tab w:val="left" w:pos="9072"/>
        </w:tabs>
        <w:spacing w:after="0"/>
      </w:pPr>
      <w:r w:rsidRPr="006C3BAA">
        <w:fldChar w:fldCharType="end"/>
      </w:r>
    </w:p>
    <w:p w:rsidR="00261332" w:rsidRPr="006C3BAA" w:rsidRDefault="00261332" w:rsidP="00A007DC">
      <w:pPr>
        <w:pStyle w:val="Cmsor1"/>
        <w:numPr>
          <w:ilvl w:val="0"/>
          <w:numId w:val="0"/>
        </w:numPr>
      </w:pPr>
      <w:r w:rsidRPr="006C3BAA">
        <w:br w:type="column"/>
      </w:r>
      <w:bookmarkStart w:id="2" w:name="_Toc401264620"/>
      <w:r w:rsidRPr="006C3BAA">
        <w:lastRenderedPageBreak/>
        <w:t>Executive Summary</w:t>
      </w:r>
      <w:bookmarkEnd w:id="2"/>
    </w:p>
    <w:p w:rsidR="00473821" w:rsidRDefault="006C3BAA" w:rsidP="00727BDE">
      <w:pPr>
        <w:pStyle w:val="ESPONText"/>
        <w:tabs>
          <w:tab w:val="left" w:pos="9072"/>
        </w:tabs>
      </w:pPr>
      <w:r w:rsidRPr="006C3BAA">
        <w:t xml:space="preserve">The aim of </w:t>
      </w:r>
      <w:r w:rsidR="00CD5D60">
        <w:t>Task 2</w:t>
      </w:r>
      <w:r w:rsidRPr="006C3BAA">
        <w:t xml:space="preserve">.6 </w:t>
      </w:r>
      <w:r>
        <w:t xml:space="preserve">‘Development and mapping of social exclusion indicators’ </w:t>
      </w:r>
      <w:r w:rsidRPr="006C3BAA">
        <w:t xml:space="preserve">of the research project </w:t>
      </w:r>
      <w:proofErr w:type="spellStart"/>
      <w:r w:rsidRPr="006C3BAA">
        <w:t>TiPSE</w:t>
      </w:r>
      <w:proofErr w:type="spellEnd"/>
      <w:r w:rsidRPr="006C3BAA">
        <w:t xml:space="preserve"> (The Territorial Dimension of Poverty and Social Exclusion in Europe) </w:t>
      </w:r>
      <w:r>
        <w:t xml:space="preserve">was to establish a link between </w:t>
      </w:r>
      <w:r w:rsidR="00CD5D60">
        <w:t xml:space="preserve">Task </w:t>
      </w:r>
      <w:r>
        <w:t xml:space="preserve">2.1 (Review of concepts of poverty and social exclusion) and </w:t>
      </w:r>
      <w:r w:rsidR="00CD5D60">
        <w:t xml:space="preserve">Task </w:t>
      </w:r>
      <w:r>
        <w:t xml:space="preserve">2.8 (Analysis of conceptual implications of social exclusion maps), with the help of the </w:t>
      </w:r>
      <w:proofErr w:type="spellStart"/>
      <w:r>
        <w:t>TiPSE</w:t>
      </w:r>
      <w:proofErr w:type="spellEnd"/>
      <w:r>
        <w:t xml:space="preserve"> database generated in </w:t>
      </w:r>
      <w:r w:rsidR="00CD5D60">
        <w:t xml:space="preserve">Task </w:t>
      </w:r>
      <w:r>
        <w:t xml:space="preserve">2.3. </w:t>
      </w:r>
    </w:p>
    <w:p w:rsidR="006C3BAA" w:rsidRDefault="006C3BAA" w:rsidP="00727BDE">
      <w:pPr>
        <w:pStyle w:val="ESPONText"/>
        <w:tabs>
          <w:tab w:val="left" w:pos="9072"/>
        </w:tabs>
      </w:pPr>
      <w:r>
        <w:t xml:space="preserve">Methodologically, the project uses a </w:t>
      </w:r>
      <w:proofErr w:type="spellStart"/>
      <w:r>
        <w:t>hypothetico</w:t>
      </w:r>
      <w:proofErr w:type="spellEnd"/>
      <w:r>
        <w:t xml:space="preserve">-deductive framework: after conceptualisation of social exclusion in </w:t>
      </w:r>
      <w:r w:rsidR="00CD5D60">
        <w:t xml:space="preserve">Task </w:t>
      </w:r>
      <w:r>
        <w:t xml:space="preserve">2.1, the task of this work package was the </w:t>
      </w:r>
      <w:proofErr w:type="spellStart"/>
      <w:r>
        <w:t>operationalization</w:t>
      </w:r>
      <w:proofErr w:type="spellEnd"/>
      <w:r>
        <w:t xml:space="preserve"> of social exclusion. Thus, the basic </w:t>
      </w:r>
      <w:r w:rsidR="00872DD4">
        <w:t xml:space="preserve">issues </w:t>
      </w:r>
      <w:r>
        <w:t>were</w:t>
      </w:r>
    </w:p>
    <w:p w:rsidR="006C3BAA" w:rsidRPr="007B4DD5" w:rsidRDefault="006C3BAA" w:rsidP="007B4DD5">
      <w:pPr>
        <w:pStyle w:val="ESPONbulletlist"/>
      </w:pPr>
      <w:r w:rsidRPr="007B4DD5">
        <w:t>to find specific indicators throughout the ESPON space which cover domains and dimensions of s</w:t>
      </w:r>
      <w:r w:rsidR="000E035E">
        <w:t>ocial exclusion, decided</w:t>
      </w:r>
      <w:r w:rsidRPr="007B4DD5">
        <w:t xml:space="preserve"> in </w:t>
      </w:r>
      <w:r w:rsidR="00CD5D60">
        <w:t xml:space="preserve">Task </w:t>
      </w:r>
      <w:r w:rsidRPr="007B4DD5">
        <w:t>2.1;</w:t>
      </w:r>
    </w:p>
    <w:p w:rsidR="007B4DD5" w:rsidRPr="007B4DD5" w:rsidRDefault="006C3BAA" w:rsidP="007B4DD5">
      <w:pPr>
        <w:pStyle w:val="ESPONbulletlist"/>
      </w:pPr>
      <w:r w:rsidRPr="007B4DD5">
        <w:t xml:space="preserve">to collect data at the </w:t>
      </w:r>
      <w:r w:rsidR="007B4DD5" w:rsidRPr="007B4DD5">
        <w:t xml:space="preserve">lowest possible regional scale from different official sources (see </w:t>
      </w:r>
      <w:r w:rsidR="00876C76">
        <w:t>Task 2.3</w:t>
      </w:r>
      <w:r w:rsidR="00CD5D60">
        <w:t xml:space="preserve"> o</w:t>
      </w:r>
      <w:r w:rsidR="00876C76">
        <w:t>n</w:t>
      </w:r>
      <w:r w:rsidR="00CD5D60">
        <w:t xml:space="preserve"> </w:t>
      </w:r>
      <w:proofErr w:type="spellStart"/>
      <w:r w:rsidR="00876C76">
        <w:t>TiPSE</w:t>
      </w:r>
      <w:proofErr w:type="spellEnd"/>
      <w:r w:rsidR="00876C76">
        <w:t xml:space="preserve"> database</w:t>
      </w:r>
      <w:r w:rsidR="007B4DD5" w:rsidRPr="007B4DD5">
        <w:t xml:space="preserve">), integrate and map them (thereby offering a meaningful starting point for macro-regional and cross-European comparisons in </w:t>
      </w:r>
      <w:r w:rsidR="00CD5D60">
        <w:t xml:space="preserve">Annex </w:t>
      </w:r>
      <w:r w:rsidR="007B4DD5" w:rsidRPr="007B4DD5">
        <w:t>8</w:t>
      </w:r>
      <w:r w:rsidR="00CD5D60">
        <w:t xml:space="preserve"> of Final Report</w:t>
      </w:r>
      <w:r w:rsidR="007B4DD5" w:rsidRPr="007B4DD5">
        <w:t>);</w:t>
      </w:r>
    </w:p>
    <w:p w:rsidR="006C3BAA" w:rsidRPr="007B4DD5" w:rsidRDefault="007B4DD5" w:rsidP="007B4DD5">
      <w:pPr>
        <w:pStyle w:val="ESPONbulletlist"/>
      </w:pPr>
      <w:proofErr w:type="gramStart"/>
      <w:r w:rsidRPr="007B4DD5">
        <w:t>reflect</w:t>
      </w:r>
      <w:proofErr w:type="gramEnd"/>
      <w:r w:rsidRPr="007B4DD5">
        <w:t xml:space="preserve"> on the usability of the database in understanding the territorial dimension of social exclusion in Europe.</w:t>
      </w:r>
    </w:p>
    <w:p w:rsidR="007B4DD5" w:rsidRDefault="00872DD4" w:rsidP="00727BDE">
      <w:pPr>
        <w:pStyle w:val="ESPONText"/>
        <w:tabs>
          <w:tab w:val="left" w:pos="9072"/>
        </w:tabs>
      </w:pPr>
      <w:r>
        <w:t>The st</w:t>
      </w:r>
      <w:r w:rsidR="00072289">
        <w:t xml:space="preserve">udy identified four domains and </w:t>
      </w:r>
      <w:r>
        <w:t xml:space="preserve">10 dimensions of social exclusion (see the table below).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92"/>
        <w:gridCol w:w="2392"/>
        <w:gridCol w:w="2393"/>
        <w:gridCol w:w="2393"/>
      </w:tblGrid>
      <w:tr w:rsidR="000E035E" w:rsidRPr="006C3BAA" w:rsidTr="000E035E">
        <w:tc>
          <w:tcPr>
            <w:tcW w:w="1250" w:type="pct"/>
          </w:tcPr>
          <w:p w:rsidR="000E035E" w:rsidRPr="006C3BAA" w:rsidRDefault="000E035E" w:rsidP="00CD5D60">
            <w:pPr>
              <w:spacing w:line="240" w:lineRule="auto"/>
              <w:jc w:val="left"/>
              <w:rPr>
                <w:i/>
                <w:iCs/>
              </w:rPr>
            </w:pPr>
            <w:r w:rsidRPr="006C3BAA">
              <w:rPr>
                <w:i/>
                <w:iCs/>
              </w:rPr>
              <w:t xml:space="preserve">Domain identified by </w:t>
            </w:r>
            <w:r w:rsidR="00CD5D60">
              <w:rPr>
                <w:i/>
                <w:iCs/>
              </w:rPr>
              <w:t xml:space="preserve">Task </w:t>
            </w:r>
            <w:r w:rsidRPr="006C3BAA">
              <w:rPr>
                <w:i/>
                <w:iCs/>
              </w:rPr>
              <w:t>2.1</w:t>
            </w:r>
          </w:p>
        </w:tc>
        <w:tc>
          <w:tcPr>
            <w:tcW w:w="1250" w:type="pct"/>
          </w:tcPr>
          <w:p w:rsidR="000E035E" w:rsidRPr="006C3BAA" w:rsidRDefault="000E035E" w:rsidP="00CD5D60">
            <w:pPr>
              <w:spacing w:line="240" w:lineRule="auto"/>
              <w:jc w:val="left"/>
              <w:rPr>
                <w:i/>
                <w:iCs/>
              </w:rPr>
            </w:pPr>
            <w:r w:rsidRPr="006C3BAA">
              <w:rPr>
                <w:i/>
                <w:iCs/>
              </w:rPr>
              <w:t xml:space="preserve">Dimension recommended by </w:t>
            </w:r>
            <w:r w:rsidR="00CD5D60">
              <w:rPr>
                <w:i/>
                <w:iCs/>
              </w:rPr>
              <w:t xml:space="preserve">Task </w:t>
            </w:r>
            <w:r w:rsidRPr="006C3BAA">
              <w:rPr>
                <w:i/>
                <w:iCs/>
              </w:rPr>
              <w:t>2.6</w:t>
            </w:r>
          </w:p>
        </w:tc>
        <w:tc>
          <w:tcPr>
            <w:tcW w:w="1250" w:type="pct"/>
          </w:tcPr>
          <w:p w:rsidR="000E035E" w:rsidRPr="006C3BAA" w:rsidRDefault="000E035E" w:rsidP="000E035E">
            <w:pPr>
              <w:spacing w:line="240" w:lineRule="auto"/>
              <w:jc w:val="left"/>
              <w:rPr>
                <w:i/>
                <w:iCs/>
              </w:rPr>
            </w:pPr>
            <w:r>
              <w:rPr>
                <w:i/>
                <w:iCs/>
              </w:rPr>
              <w:t>Number of indicators (2001)</w:t>
            </w:r>
          </w:p>
        </w:tc>
        <w:tc>
          <w:tcPr>
            <w:tcW w:w="1250" w:type="pct"/>
          </w:tcPr>
          <w:p w:rsidR="000E035E" w:rsidRDefault="000E035E" w:rsidP="00072289">
            <w:pPr>
              <w:spacing w:line="240" w:lineRule="auto"/>
              <w:jc w:val="left"/>
              <w:rPr>
                <w:i/>
                <w:iCs/>
              </w:rPr>
            </w:pPr>
            <w:r>
              <w:rPr>
                <w:i/>
                <w:iCs/>
              </w:rPr>
              <w:t>Number of indicators (2011)</w:t>
            </w:r>
          </w:p>
        </w:tc>
      </w:tr>
      <w:tr w:rsidR="000E035E" w:rsidRPr="006C3BAA" w:rsidTr="000E035E">
        <w:tc>
          <w:tcPr>
            <w:tcW w:w="1250" w:type="pct"/>
            <w:vMerge w:val="restart"/>
          </w:tcPr>
          <w:p w:rsidR="000E035E" w:rsidRPr="006C3BAA" w:rsidRDefault="000E035E" w:rsidP="00872DD4">
            <w:pPr>
              <w:spacing w:line="240" w:lineRule="auto"/>
            </w:pPr>
            <w:r w:rsidRPr="006C3BAA">
              <w:t>Earning a living</w:t>
            </w:r>
          </w:p>
        </w:tc>
        <w:tc>
          <w:tcPr>
            <w:tcW w:w="1250" w:type="pct"/>
          </w:tcPr>
          <w:p w:rsidR="000E035E" w:rsidRPr="006C3BAA" w:rsidRDefault="000E035E" w:rsidP="00872DD4">
            <w:pPr>
              <w:spacing w:line="240" w:lineRule="auto"/>
            </w:pPr>
            <w:r w:rsidRPr="006C3BAA">
              <w:t>Income earned by tax payers</w:t>
            </w:r>
          </w:p>
        </w:tc>
        <w:tc>
          <w:tcPr>
            <w:tcW w:w="1250" w:type="pct"/>
          </w:tcPr>
          <w:p w:rsidR="000E035E" w:rsidRPr="006C3BAA" w:rsidRDefault="000E035E" w:rsidP="00872DD4">
            <w:pPr>
              <w:spacing w:line="240" w:lineRule="auto"/>
            </w:pPr>
            <w:r>
              <w:t>2</w:t>
            </w:r>
          </w:p>
        </w:tc>
        <w:tc>
          <w:tcPr>
            <w:tcW w:w="1250" w:type="pct"/>
          </w:tcPr>
          <w:p w:rsidR="000E035E" w:rsidRDefault="000E035E" w:rsidP="00872DD4">
            <w:pPr>
              <w:spacing w:line="240" w:lineRule="auto"/>
            </w:pPr>
            <w:r>
              <w:t>2</w:t>
            </w:r>
          </w:p>
        </w:tc>
      </w:tr>
      <w:tr w:rsidR="000E035E" w:rsidRPr="006C3BAA" w:rsidTr="000E035E">
        <w:tc>
          <w:tcPr>
            <w:tcW w:w="1250" w:type="pct"/>
            <w:vMerge/>
          </w:tcPr>
          <w:p w:rsidR="000E035E" w:rsidRPr="006C3BAA" w:rsidRDefault="000E035E" w:rsidP="00872DD4">
            <w:pPr>
              <w:spacing w:line="240" w:lineRule="auto"/>
            </w:pPr>
          </w:p>
        </w:tc>
        <w:tc>
          <w:tcPr>
            <w:tcW w:w="1250" w:type="pct"/>
          </w:tcPr>
          <w:p w:rsidR="000E035E" w:rsidRPr="006C3BAA" w:rsidRDefault="000E035E" w:rsidP="00872DD4">
            <w:pPr>
              <w:spacing w:line="240" w:lineRule="auto"/>
            </w:pPr>
            <w:r w:rsidRPr="006C3BAA">
              <w:t>Employment</w:t>
            </w:r>
          </w:p>
        </w:tc>
        <w:tc>
          <w:tcPr>
            <w:tcW w:w="1250" w:type="pct"/>
          </w:tcPr>
          <w:p w:rsidR="000E035E" w:rsidRPr="006C3BAA" w:rsidRDefault="000E035E" w:rsidP="00872DD4">
            <w:pPr>
              <w:spacing w:line="240" w:lineRule="auto"/>
            </w:pPr>
            <w:r>
              <w:t>27</w:t>
            </w:r>
          </w:p>
        </w:tc>
        <w:tc>
          <w:tcPr>
            <w:tcW w:w="1250" w:type="pct"/>
          </w:tcPr>
          <w:p w:rsidR="000E035E" w:rsidRDefault="000E035E" w:rsidP="00872DD4">
            <w:pPr>
              <w:spacing w:line="240" w:lineRule="auto"/>
            </w:pPr>
            <w:r>
              <w:t>4</w:t>
            </w:r>
          </w:p>
        </w:tc>
      </w:tr>
      <w:tr w:rsidR="000E035E" w:rsidRPr="006C3BAA" w:rsidTr="000E035E">
        <w:tc>
          <w:tcPr>
            <w:tcW w:w="1250" w:type="pct"/>
            <w:vMerge w:val="restart"/>
          </w:tcPr>
          <w:p w:rsidR="000E035E" w:rsidRPr="006C3BAA" w:rsidRDefault="000E035E" w:rsidP="00872DD4">
            <w:pPr>
              <w:spacing w:line="240" w:lineRule="auto"/>
            </w:pPr>
            <w:r w:rsidRPr="006C3BAA">
              <w:t>Access to basic services</w:t>
            </w:r>
          </w:p>
        </w:tc>
        <w:tc>
          <w:tcPr>
            <w:tcW w:w="1250" w:type="pct"/>
          </w:tcPr>
          <w:p w:rsidR="000E035E" w:rsidRPr="006C3BAA" w:rsidRDefault="000E035E" w:rsidP="00872DD4">
            <w:pPr>
              <w:spacing w:line="240" w:lineRule="auto"/>
            </w:pPr>
            <w:r w:rsidRPr="006C3BAA">
              <w:t>Health</w:t>
            </w:r>
          </w:p>
        </w:tc>
        <w:tc>
          <w:tcPr>
            <w:tcW w:w="1250" w:type="pct"/>
          </w:tcPr>
          <w:p w:rsidR="000E035E" w:rsidRPr="006C3BAA" w:rsidRDefault="000E035E" w:rsidP="00872DD4">
            <w:pPr>
              <w:spacing w:line="240" w:lineRule="auto"/>
            </w:pPr>
            <w:r>
              <w:t>3</w:t>
            </w:r>
          </w:p>
        </w:tc>
        <w:tc>
          <w:tcPr>
            <w:tcW w:w="1250" w:type="pct"/>
          </w:tcPr>
          <w:p w:rsidR="000E035E" w:rsidRDefault="000E035E" w:rsidP="00872DD4">
            <w:pPr>
              <w:spacing w:line="240" w:lineRule="auto"/>
            </w:pPr>
            <w:r>
              <w:t>3</w:t>
            </w:r>
          </w:p>
        </w:tc>
      </w:tr>
      <w:tr w:rsidR="000E035E" w:rsidRPr="006C3BAA" w:rsidTr="000E035E">
        <w:tc>
          <w:tcPr>
            <w:tcW w:w="1250" w:type="pct"/>
            <w:vMerge/>
          </w:tcPr>
          <w:p w:rsidR="000E035E" w:rsidRPr="006C3BAA" w:rsidRDefault="000E035E" w:rsidP="00872DD4">
            <w:pPr>
              <w:spacing w:line="240" w:lineRule="auto"/>
            </w:pPr>
          </w:p>
        </w:tc>
        <w:tc>
          <w:tcPr>
            <w:tcW w:w="1250" w:type="pct"/>
          </w:tcPr>
          <w:p w:rsidR="000E035E" w:rsidRPr="006C3BAA" w:rsidRDefault="000E035E" w:rsidP="00872DD4">
            <w:pPr>
              <w:spacing w:line="240" w:lineRule="auto"/>
            </w:pPr>
            <w:r w:rsidRPr="006C3BAA">
              <w:t>Education</w:t>
            </w:r>
          </w:p>
        </w:tc>
        <w:tc>
          <w:tcPr>
            <w:tcW w:w="1250" w:type="pct"/>
          </w:tcPr>
          <w:p w:rsidR="000E035E" w:rsidRPr="006C3BAA" w:rsidRDefault="000E035E" w:rsidP="00872DD4">
            <w:pPr>
              <w:spacing w:line="240" w:lineRule="auto"/>
            </w:pPr>
            <w:r>
              <w:t>2</w:t>
            </w:r>
          </w:p>
        </w:tc>
        <w:tc>
          <w:tcPr>
            <w:tcW w:w="1250" w:type="pct"/>
          </w:tcPr>
          <w:p w:rsidR="000E035E" w:rsidRDefault="000E035E" w:rsidP="00872DD4">
            <w:pPr>
              <w:spacing w:line="240" w:lineRule="auto"/>
            </w:pPr>
            <w:r>
              <w:t>2</w:t>
            </w:r>
          </w:p>
        </w:tc>
      </w:tr>
      <w:tr w:rsidR="000E035E" w:rsidRPr="006C3BAA" w:rsidTr="000E035E">
        <w:tc>
          <w:tcPr>
            <w:tcW w:w="1250" w:type="pct"/>
            <w:vMerge/>
          </w:tcPr>
          <w:p w:rsidR="000E035E" w:rsidRPr="006C3BAA" w:rsidRDefault="000E035E" w:rsidP="00872DD4">
            <w:pPr>
              <w:spacing w:line="240" w:lineRule="auto"/>
            </w:pPr>
          </w:p>
        </w:tc>
        <w:tc>
          <w:tcPr>
            <w:tcW w:w="1250" w:type="pct"/>
          </w:tcPr>
          <w:p w:rsidR="000E035E" w:rsidRPr="006C3BAA" w:rsidRDefault="000E035E" w:rsidP="00872DD4">
            <w:pPr>
              <w:spacing w:line="240" w:lineRule="auto"/>
            </w:pPr>
            <w:r w:rsidRPr="006C3BAA">
              <w:t>Housing</w:t>
            </w:r>
          </w:p>
        </w:tc>
        <w:tc>
          <w:tcPr>
            <w:tcW w:w="1250" w:type="pct"/>
          </w:tcPr>
          <w:p w:rsidR="000E035E" w:rsidRPr="006C3BAA" w:rsidRDefault="000E035E" w:rsidP="00872DD4">
            <w:pPr>
              <w:spacing w:line="240" w:lineRule="auto"/>
            </w:pPr>
            <w:r>
              <w:t>6</w:t>
            </w:r>
          </w:p>
        </w:tc>
        <w:tc>
          <w:tcPr>
            <w:tcW w:w="1250" w:type="pct"/>
          </w:tcPr>
          <w:p w:rsidR="000E035E" w:rsidRDefault="000E035E" w:rsidP="00872DD4">
            <w:pPr>
              <w:spacing w:line="240" w:lineRule="auto"/>
            </w:pPr>
            <w:r>
              <w:t>3</w:t>
            </w:r>
          </w:p>
        </w:tc>
      </w:tr>
      <w:tr w:rsidR="000E035E" w:rsidRPr="006C3BAA" w:rsidTr="000E035E">
        <w:tc>
          <w:tcPr>
            <w:tcW w:w="1250" w:type="pct"/>
            <w:vMerge w:val="restart"/>
          </w:tcPr>
          <w:p w:rsidR="000E035E" w:rsidRPr="006C3BAA" w:rsidRDefault="000E035E" w:rsidP="00872DD4">
            <w:pPr>
              <w:spacing w:line="240" w:lineRule="auto"/>
            </w:pPr>
            <w:r w:rsidRPr="006C3BAA">
              <w:t>Social environment</w:t>
            </w:r>
          </w:p>
        </w:tc>
        <w:tc>
          <w:tcPr>
            <w:tcW w:w="1250" w:type="pct"/>
          </w:tcPr>
          <w:p w:rsidR="000E035E" w:rsidRPr="006C3BAA" w:rsidRDefault="000E035E" w:rsidP="00872DD4">
            <w:pPr>
              <w:spacing w:line="240" w:lineRule="auto"/>
            </w:pPr>
            <w:r w:rsidRPr="006C3BAA">
              <w:t>Age</w:t>
            </w:r>
          </w:p>
        </w:tc>
        <w:tc>
          <w:tcPr>
            <w:tcW w:w="1250" w:type="pct"/>
          </w:tcPr>
          <w:p w:rsidR="000E035E" w:rsidRPr="006C3BAA" w:rsidRDefault="000E035E" w:rsidP="00872DD4">
            <w:pPr>
              <w:spacing w:line="240" w:lineRule="auto"/>
            </w:pPr>
            <w:r>
              <w:t>3</w:t>
            </w:r>
          </w:p>
        </w:tc>
        <w:tc>
          <w:tcPr>
            <w:tcW w:w="1250" w:type="pct"/>
          </w:tcPr>
          <w:p w:rsidR="000E035E" w:rsidRDefault="000E035E" w:rsidP="00872DD4">
            <w:pPr>
              <w:spacing w:line="240" w:lineRule="auto"/>
            </w:pPr>
            <w:r>
              <w:t>3</w:t>
            </w:r>
          </w:p>
        </w:tc>
      </w:tr>
      <w:tr w:rsidR="000E035E" w:rsidRPr="006C3BAA" w:rsidTr="000E035E">
        <w:tc>
          <w:tcPr>
            <w:tcW w:w="1250" w:type="pct"/>
            <w:vMerge/>
          </w:tcPr>
          <w:p w:rsidR="000E035E" w:rsidRPr="006C3BAA" w:rsidRDefault="000E035E" w:rsidP="00872DD4">
            <w:pPr>
              <w:spacing w:line="240" w:lineRule="auto"/>
            </w:pPr>
          </w:p>
        </w:tc>
        <w:tc>
          <w:tcPr>
            <w:tcW w:w="1250" w:type="pct"/>
          </w:tcPr>
          <w:p w:rsidR="000E035E" w:rsidRPr="006C3BAA" w:rsidRDefault="000E035E" w:rsidP="00872DD4">
            <w:pPr>
              <w:spacing w:line="240" w:lineRule="auto"/>
            </w:pPr>
            <w:r w:rsidRPr="006C3BAA">
              <w:t>Ethnic composition</w:t>
            </w:r>
          </w:p>
        </w:tc>
        <w:tc>
          <w:tcPr>
            <w:tcW w:w="1250" w:type="pct"/>
          </w:tcPr>
          <w:p w:rsidR="000E035E" w:rsidRPr="006C3BAA" w:rsidRDefault="000E035E" w:rsidP="00872DD4">
            <w:pPr>
              <w:spacing w:line="240" w:lineRule="auto"/>
            </w:pPr>
            <w:r>
              <w:t>1</w:t>
            </w:r>
          </w:p>
        </w:tc>
        <w:tc>
          <w:tcPr>
            <w:tcW w:w="1250" w:type="pct"/>
          </w:tcPr>
          <w:p w:rsidR="000E035E" w:rsidRDefault="000E035E" w:rsidP="00872DD4">
            <w:pPr>
              <w:spacing w:line="240" w:lineRule="auto"/>
            </w:pPr>
            <w:r>
              <w:t>1</w:t>
            </w:r>
          </w:p>
        </w:tc>
      </w:tr>
      <w:tr w:rsidR="000E035E" w:rsidRPr="006C3BAA" w:rsidTr="000E035E">
        <w:tc>
          <w:tcPr>
            <w:tcW w:w="1250" w:type="pct"/>
            <w:vMerge/>
          </w:tcPr>
          <w:p w:rsidR="000E035E" w:rsidRPr="006C3BAA" w:rsidRDefault="000E035E" w:rsidP="00872DD4">
            <w:pPr>
              <w:spacing w:line="240" w:lineRule="auto"/>
            </w:pPr>
          </w:p>
        </w:tc>
        <w:tc>
          <w:tcPr>
            <w:tcW w:w="1250" w:type="pct"/>
          </w:tcPr>
          <w:p w:rsidR="000E035E" w:rsidRPr="006C3BAA" w:rsidRDefault="000E035E" w:rsidP="00872DD4">
            <w:pPr>
              <w:spacing w:line="240" w:lineRule="auto"/>
            </w:pPr>
            <w:r w:rsidRPr="006C3BAA">
              <w:t>Immigrants</w:t>
            </w:r>
          </w:p>
        </w:tc>
        <w:tc>
          <w:tcPr>
            <w:tcW w:w="1250" w:type="pct"/>
          </w:tcPr>
          <w:p w:rsidR="000E035E" w:rsidRPr="006C3BAA" w:rsidRDefault="000E035E" w:rsidP="00872DD4">
            <w:pPr>
              <w:spacing w:line="240" w:lineRule="auto"/>
            </w:pPr>
            <w:r>
              <w:t>1</w:t>
            </w:r>
          </w:p>
        </w:tc>
        <w:tc>
          <w:tcPr>
            <w:tcW w:w="1250" w:type="pct"/>
          </w:tcPr>
          <w:p w:rsidR="000E035E" w:rsidRDefault="000E035E" w:rsidP="00872DD4">
            <w:pPr>
              <w:spacing w:line="240" w:lineRule="auto"/>
            </w:pPr>
            <w:r>
              <w:t>1</w:t>
            </w:r>
          </w:p>
        </w:tc>
      </w:tr>
      <w:tr w:rsidR="000E035E" w:rsidRPr="006C3BAA" w:rsidTr="000E035E">
        <w:tc>
          <w:tcPr>
            <w:tcW w:w="1250" w:type="pct"/>
            <w:vMerge/>
          </w:tcPr>
          <w:p w:rsidR="000E035E" w:rsidRPr="006C3BAA" w:rsidRDefault="000E035E" w:rsidP="00872DD4">
            <w:pPr>
              <w:spacing w:line="240" w:lineRule="auto"/>
            </w:pPr>
          </w:p>
        </w:tc>
        <w:tc>
          <w:tcPr>
            <w:tcW w:w="1250" w:type="pct"/>
          </w:tcPr>
          <w:p w:rsidR="000E035E" w:rsidRPr="006C3BAA" w:rsidRDefault="000E035E" w:rsidP="00872DD4">
            <w:pPr>
              <w:spacing w:line="240" w:lineRule="auto"/>
            </w:pPr>
            <w:r>
              <w:t>Household structure</w:t>
            </w:r>
          </w:p>
        </w:tc>
        <w:tc>
          <w:tcPr>
            <w:tcW w:w="1250" w:type="pct"/>
          </w:tcPr>
          <w:p w:rsidR="000E035E" w:rsidRDefault="000E035E" w:rsidP="00872DD4">
            <w:pPr>
              <w:spacing w:line="240" w:lineRule="auto"/>
            </w:pPr>
            <w:r>
              <w:t>4</w:t>
            </w:r>
          </w:p>
        </w:tc>
        <w:tc>
          <w:tcPr>
            <w:tcW w:w="1250" w:type="pct"/>
          </w:tcPr>
          <w:p w:rsidR="000E035E" w:rsidRDefault="000E035E" w:rsidP="00872DD4">
            <w:pPr>
              <w:spacing w:line="240" w:lineRule="auto"/>
            </w:pPr>
            <w:r>
              <w:t>2</w:t>
            </w:r>
          </w:p>
        </w:tc>
      </w:tr>
      <w:tr w:rsidR="000E035E" w:rsidRPr="006C3BAA" w:rsidTr="000E035E">
        <w:tc>
          <w:tcPr>
            <w:tcW w:w="1250" w:type="pct"/>
          </w:tcPr>
          <w:p w:rsidR="000E035E" w:rsidRPr="006C3BAA" w:rsidRDefault="000E035E" w:rsidP="00872DD4">
            <w:pPr>
              <w:spacing w:line="240" w:lineRule="auto"/>
            </w:pPr>
            <w:r w:rsidRPr="006C3BAA">
              <w:t>Political participation</w:t>
            </w:r>
          </w:p>
        </w:tc>
        <w:tc>
          <w:tcPr>
            <w:tcW w:w="1250" w:type="pct"/>
          </w:tcPr>
          <w:p w:rsidR="000E035E" w:rsidRPr="006C3BAA" w:rsidRDefault="000E035E" w:rsidP="00872DD4">
            <w:pPr>
              <w:spacing w:line="240" w:lineRule="auto"/>
            </w:pPr>
            <w:r w:rsidRPr="006C3BAA">
              <w:t>Citizenship</w:t>
            </w:r>
          </w:p>
        </w:tc>
        <w:tc>
          <w:tcPr>
            <w:tcW w:w="1250" w:type="pct"/>
          </w:tcPr>
          <w:p w:rsidR="000E035E" w:rsidRPr="006C3BAA" w:rsidRDefault="000E035E" w:rsidP="00872DD4">
            <w:pPr>
              <w:spacing w:line="240" w:lineRule="auto"/>
            </w:pPr>
            <w:r>
              <w:t>1</w:t>
            </w:r>
          </w:p>
        </w:tc>
        <w:tc>
          <w:tcPr>
            <w:tcW w:w="1250" w:type="pct"/>
          </w:tcPr>
          <w:p w:rsidR="000E035E" w:rsidRDefault="000E035E" w:rsidP="00872DD4">
            <w:pPr>
              <w:spacing w:line="240" w:lineRule="auto"/>
            </w:pPr>
            <w:r>
              <w:t>1</w:t>
            </w:r>
          </w:p>
        </w:tc>
      </w:tr>
    </w:tbl>
    <w:p w:rsidR="00872DD4" w:rsidRDefault="00872DD4" w:rsidP="00727BDE">
      <w:pPr>
        <w:pStyle w:val="ESPONText"/>
        <w:tabs>
          <w:tab w:val="left" w:pos="9072"/>
        </w:tabs>
      </w:pPr>
    </w:p>
    <w:p w:rsidR="00872DD4" w:rsidRDefault="00872DD4" w:rsidP="00727BDE">
      <w:pPr>
        <w:pStyle w:val="ESPONText"/>
        <w:tabs>
          <w:tab w:val="left" w:pos="9072"/>
        </w:tabs>
      </w:pPr>
      <w:r>
        <w:t xml:space="preserve">The </w:t>
      </w:r>
      <w:r w:rsidR="00EB3AC1">
        <w:t xml:space="preserve">indicators were chosen after detailed considerations by project partners regarding relevance, policy implications and data availability. </w:t>
      </w:r>
      <w:r w:rsidR="001839C0">
        <w:t xml:space="preserve">Data sources are partly standardised </w:t>
      </w:r>
      <w:proofErr w:type="spellStart"/>
      <w:r w:rsidR="001839C0">
        <w:t>Eurostat</w:t>
      </w:r>
      <w:proofErr w:type="spellEnd"/>
      <w:r w:rsidR="001839C0">
        <w:t xml:space="preserve"> datasets, partly official national statistics collected by </w:t>
      </w:r>
      <w:proofErr w:type="spellStart"/>
      <w:r w:rsidR="001839C0">
        <w:t>TiPSE</w:t>
      </w:r>
      <w:proofErr w:type="spellEnd"/>
      <w:r w:rsidR="001839C0">
        <w:t xml:space="preserve"> project partners. </w:t>
      </w:r>
      <w:r w:rsidR="000E035E">
        <w:t>N</w:t>
      </w:r>
      <w:r w:rsidR="001839C0">
        <w:t>on-</w:t>
      </w:r>
      <w:r w:rsidR="001839C0">
        <w:lastRenderedPageBreak/>
        <w:t xml:space="preserve">census </w:t>
      </w:r>
      <w:proofErr w:type="spellStart"/>
      <w:r w:rsidR="001839C0">
        <w:t>Eurostat</w:t>
      </w:r>
      <w:proofErr w:type="spellEnd"/>
      <w:r w:rsidR="001839C0">
        <w:t xml:space="preserve"> data</w:t>
      </w:r>
      <w:r w:rsidR="000E035E">
        <w:t>,</w:t>
      </w:r>
      <w:r w:rsidR="001839C0">
        <w:t xml:space="preserve"> census 2001 </w:t>
      </w:r>
      <w:r w:rsidR="000E035E">
        <w:t xml:space="preserve">and 2011 </w:t>
      </w:r>
      <w:r w:rsidR="001839C0">
        <w:t xml:space="preserve">data from national sources is part of ESPON </w:t>
      </w:r>
      <w:proofErr w:type="spellStart"/>
      <w:r w:rsidR="001839C0">
        <w:t>TiPSE’s</w:t>
      </w:r>
      <w:proofErr w:type="spellEnd"/>
      <w:r w:rsidR="001839C0">
        <w:t xml:space="preserve"> integrated database</w:t>
      </w:r>
      <w:r w:rsidR="00072289">
        <w:t xml:space="preserve"> (</w:t>
      </w:r>
      <w:r w:rsidR="00CD5D60">
        <w:t>Annex 2</w:t>
      </w:r>
      <w:r w:rsidR="00072289">
        <w:t>)</w:t>
      </w:r>
      <w:r w:rsidR="000E035E">
        <w:t xml:space="preserve"> as well.</w:t>
      </w:r>
    </w:p>
    <w:p w:rsidR="001839C0" w:rsidRDefault="001839C0" w:rsidP="00727BDE">
      <w:pPr>
        <w:pStyle w:val="ESPONText"/>
        <w:tabs>
          <w:tab w:val="left" w:pos="9072"/>
        </w:tabs>
      </w:pPr>
      <w:r>
        <w:t xml:space="preserve">This research conceptualized social exclusion as a </w:t>
      </w:r>
      <w:r w:rsidR="00886DE5">
        <w:t xml:space="preserve">relational, process-oriented and </w:t>
      </w:r>
      <w:r>
        <w:t xml:space="preserve">multidimensional phenomenon. ESPON </w:t>
      </w:r>
      <w:proofErr w:type="spellStart"/>
      <w:r>
        <w:t>TiPSE</w:t>
      </w:r>
      <w:proofErr w:type="spellEnd"/>
      <w:r>
        <w:t xml:space="preserve"> identified several indicators for each of the dimensions as proxy variables. </w:t>
      </w:r>
      <w:r w:rsidR="000E035E">
        <w:t xml:space="preserve">Furthermore, a </w:t>
      </w:r>
      <w:r w:rsidR="0083371B">
        <w:t xml:space="preserve">pilot model for a </w:t>
      </w:r>
      <w:r w:rsidR="000E035E">
        <w:t xml:space="preserve">composite index of vulnerability to social exclusion was developed using the 2011 dataset. </w:t>
      </w:r>
      <w:r>
        <w:t>The reason for not using complex mathematical-statistical analysis during the interpretation of the dataset</w:t>
      </w:r>
      <w:r w:rsidR="000D559F">
        <w:t xml:space="preserve"> – only in a form of a pilot experiment – </w:t>
      </w:r>
      <w:r>
        <w:t xml:space="preserve">is that this is more viable for applied projects with policy relevance. </w:t>
      </w:r>
    </w:p>
    <w:p w:rsidR="001839C0" w:rsidRDefault="001839C0" w:rsidP="00727BDE">
      <w:pPr>
        <w:pStyle w:val="ESPONText"/>
        <w:tabs>
          <w:tab w:val="left" w:pos="9072"/>
        </w:tabs>
      </w:pPr>
      <w:r>
        <w:t xml:space="preserve">An important deliverable for </w:t>
      </w:r>
      <w:r w:rsidR="00CD5D60">
        <w:t xml:space="preserve">Task </w:t>
      </w:r>
      <w:r w:rsidR="007763EC">
        <w:t>2.</w:t>
      </w:r>
      <w:r>
        <w:t>6 was a set of maps which visualised all indicators throughout the ESPON space. 50 maps of the ESPON space was prepared</w:t>
      </w:r>
      <w:r w:rsidR="00790F8B">
        <w:t xml:space="preserve"> from </w:t>
      </w:r>
      <w:proofErr w:type="spellStart"/>
      <w:r w:rsidR="00790F8B">
        <w:t>Eurostat</w:t>
      </w:r>
      <w:proofErr w:type="spellEnd"/>
      <w:r w:rsidR="00790F8B">
        <w:t xml:space="preserve"> and census 2001 data, as well as 22 maps showing census 2011 data</w:t>
      </w:r>
      <w:r>
        <w:t xml:space="preserve">. Apart from that, to ease partners’ duties in </w:t>
      </w:r>
      <w:r w:rsidR="00CD5D60">
        <w:t xml:space="preserve">Task </w:t>
      </w:r>
      <w:r w:rsidR="007763EC">
        <w:t>2.</w:t>
      </w:r>
      <w:r>
        <w:t>8</w:t>
      </w:r>
      <w:r w:rsidR="00072289">
        <w:t>,</w:t>
      </w:r>
      <w:r>
        <w:t xml:space="preserve"> separate maps </w:t>
      </w:r>
      <w:r w:rsidR="00072289">
        <w:t xml:space="preserve">with the same categorisation </w:t>
      </w:r>
      <w:r>
        <w:t xml:space="preserve">were prepared for each of the 4 macro-regions in the </w:t>
      </w:r>
      <w:proofErr w:type="spellStart"/>
      <w:r>
        <w:t>TiPSE</w:t>
      </w:r>
      <w:proofErr w:type="spellEnd"/>
      <w:r>
        <w:t xml:space="preserve"> project</w:t>
      </w:r>
      <w:r w:rsidR="00072289">
        <w:t>;</w:t>
      </w:r>
      <w:r>
        <w:t xml:space="preserve"> these were used in the macro-regional chapters of </w:t>
      </w:r>
      <w:r w:rsidR="00CD5D60">
        <w:t xml:space="preserve">Annex </w:t>
      </w:r>
      <w:r>
        <w:t>8.</w:t>
      </w:r>
    </w:p>
    <w:p w:rsidR="00072289" w:rsidRDefault="00072289" w:rsidP="00727BDE">
      <w:pPr>
        <w:pStyle w:val="ESPONText"/>
        <w:tabs>
          <w:tab w:val="left" w:pos="9072"/>
        </w:tabs>
      </w:pPr>
      <w:r>
        <w:t xml:space="preserve">After collecting and mapping the data for social exclusion, this </w:t>
      </w:r>
      <w:r w:rsidR="00CD5D60">
        <w:t xml:space="preserve">task of the </w:t>
      </w:r>
      <w:proofErr w:type="spellStart"/>
      <w:r w:rsidR="00CD5D60">
        <w:t>TiPSE</w:t>
      </w:r>
      <w:proofErr w:type="spellEnd"/>
      <w:r w:rsidR="00CD5D60">
        <w:t xml:space="preserve"> project</w:t>
      </w:r>
      <w:r>
        <w:t xml:space="preserve"> concluded that </w:t>
      </w:r>
      <w:proofErr w:type="spellStart"/>
      <w:r>
        <w:t>Eurostat</w:t>
      </w:r>
      <w:proofErr w:type="spellEnd"/>
      <w:r>
        <w:t xml:space="preserve"> covers some dimensions of social exclusion at the NUTS 3 spatial scale, but not all. Therefore, census data from national sources was indispensable to capture some dimensions. Non-standard statistical sources were not considered in the project because of comparability issues across European countries.</w:t>
      </w:r>
    </w:p>
    <w:p w:rsidR="00072289" w:rsidRPr="006C3BAA" w:rsidRDefault="00AA4576" w:rsidP="00727BDE">
      <w:pPr>
        <w:pStyle w:val="ESPONText"/>
        <w:tabs>
          <w:tab w:val="left" w:pos="9072"/>
        </w:tabs>
      </w:pPr>
      <w:r>
        <w:t>This methodological paper ended</w:t>
      </w:r>
      <w:r w:rsidR="00072289">
        <w:t xml:space="preserve"> with a discussion on possibilities and limitations of mapping the social</w:t>
      </w:r>
      <w:r>
        <w:t>ly</w:t>
      </w:r>
      <w:r w:rsidR="00072289">
        <w:t xml:space="preserve"> excluded. Macro-level mapping is important in outlining social exclusion, but the social construction of maps through researchers has</w:t>
      </w:r>
      <w:r>
        <w:t xml:space="preserve"> also</w:t>
      </w:r>
      <w:r w:rsidR="00072289">
        <w:t xml:space="preserve"> to be taken into account. People’s place-based and context-dependent perceptions on social exclusion are not </w:t>
      </w:r>
      <w:r>
        <w:t>part of</w:t>
      </w:r>
      <w:r w:rsidR="00072289">
        <w:t xml:space="preserve"> </w:t>
      </w:r>
      <w:r w:rsidR="00CD5D60">
        <w:t xml:space="preserve">Task </w:t>
      </w:r>
      <w:r w:rsidR="00072289">
        <w:t xml:space="preserve">2.6, but are discussed in detail in ESPON </w:t>
      </w:r>
      <w:proofErr w:type="spellStart"/>
      <w:r w:rsidR="00072289">
        <w:t>TiPSE’s</w:t>
      </w:r>
      <w:proofErr w:type="spellEnd"/>
      <w:r w:rsidR="00072289">
        <w:t xml:space="preserve"> case studies.</w:t>
      </w:r>
    </w:p>
    <w:p w:rsidR="00261332" w:rsidRPr="006C3BAA" w:rsidRDefault="00261332" w:rsidP="00261332"/>
    <w:p w:rsidR="00261332" w:rsidRPr="006C3BAA" w:rsidRDefault="00261332" w:rsidP="00261332">
      <w:pPr>
        <w:sectPr w:rsidR="00261332" w:rsidRPr="006C3BAA" w:rsidSect="00164958">
          <w:type w:val="continuous"/>
          <w:pgSz w:w="11906" w:h="16838"/>
          <w:pgMar w:top="1644" w:right="851" w:bottom="1644" w:left="1701" w:header="720" w:footer="720" w:gutter="0"/>
          <w:pgNumType w:fmt="lowerRoman" w:start="1"/>
          <w:cols w:space="720"/>
        </w:sectPr>
      </w:pPr>
    </w:p>
    <w:p w:rsidR="009D3803" w:rsidRPr="006C3BAA" w:rsidRDefault="00A007DC" w:rsidP="00A007DC">
      <w:pPr>
        <w:pStyle w:val="Cmsor1"/>
      </w:pPr>
      <w:bookmarkStart w:id="3" w:name="_Toc401264621"/>
      <w:r w:rsidRPr="006C3BAA">
        <w:lastRenderedPageBreak/>
        <w:t>Introduction</w:t>
      </w:r>
      <w:bookmarkEnd w:id="3"/>
    </w:p>
    <w:p w:rsidR="00A007DC" w:rsidRPr="006C3BAA" w:rsidRDefault="00A007DC" w:rsidP="00A007DC">
      <w:r w:rsidRPr="006C3BAA">
        <w:t xml:space="preserve">This </w:t>
      </w:r>
      <w:r w:rsidR="007B4DD5">
        <w:t xml:space="preserve">methodological paper </w:t>
      </w:r>
      <w:r w:rsidRPr="006C3BAA">
        <w:t xml:space="preserve">on social exclusion indicators </w:t>
      </w:r>
      <w:r w:rsidR="007B4DD5">
        <w:t xml:space="preserve">is one of the outputs of </w:t>
      </w:r>
      <w:r w:rsidR="007763EC">
        <w:t xml:space="preserve">Task </w:t>
      </w:r>
      <w:r w:rsidRPr="006C3BAA">
        <w:t>2.6 entitled ‘Development and Mapping of SE indicators’</w:t>
      </w:r>
      <w:r w:rsidR="007B4DD5">
        <w:t xml:space="preserve"> (the other being a set of maps on the territorial dimension of various aspects of social exclusion)</w:t>
      </w:r>
      <w:r w:rsidRPr="006C3BAA">
        <w:t xml:space="preserve">. The project proposal </w:t>
      </w:r>
      <w:r w:rsidR="007B4DD5">
        <w:t xml:space="preserve">of ESPON </w:t>
      </w:r>
      <w:proofErr w:type="spellStart"/>
      <w:r w:rsidR="007B4DD5">
        <w:t>TiPSE</w:t>
      </w:r>
      <w:proofErr w:type="spellEnd"/>
      <w:r w:rsidR="007B4DD5">
        <w:t xml:space="preserve"> described</w:t>
      </w:r>
      <w:r w:rsidRPr="006C3BAA">
        <w:t xml:space="preserve"> t</w:t>
      </w:r>
      <w:r w:rsidR="007763EC">
        <w:t xml:space="preserve">he aims of Task </w:t>
      </w:r>
      <w:r w:rsidR="007B4DD5">
        <w:t>2.6 and established</w:t>
      </w:r>
      <w:r w:rsidRPr="006C3BAA">
        <w:t xml:space="preserve"> links to other work packages. As page 23 of the App</w:t>
      </w:r>
      <w:r w:rsidR="007B4DD5">
        <w:t>lication form Part B states, this</w:t>
      </w:r>
      <w:r w:rsidR="007763EC">
        <w:t xml:space="preserve"> task </w:t>
      </w:r>
      <w:r w:rsidR="001D4FAA">
        <w:t>‘aims to develop ‘</w:t>
      </w:r>
      <w:proofErr w:type="spellStart"/>
      <w:r w:rsidRPr="006C3BAA">
        <w:t>map</w:t>
      </w:r>
      <w:r w:rsidR="008C2E6B">
        <w:t>p</w:t>
      </w:r>
      <w:r w:rsidRPr="006C3BAA">
        <w:t>able</w:t>
      </w:r>
      <w:proofErr w:type="spellEnd"/>
      <w:r w:rsidR="001D4FAA">
        <w:t>’</w:t>
      </w:r>
      <w:r w:rsidRPr="006C3BAA">
        <w:t xml:space="preserve"> indicators of social exclusion a</w:t>
      </w:r>
      <w:r w:rsidR="007763EC">
        <w:t>t the NUTS 3 or LAU 1 level’. Task</w:t>
      </w:r>
      <w:r w:rsidRPr="006C3BAA">
        <w:t xml:space="preserve"> 2.6 establish</w:t>
      </w:r>
      <w:r w:rsidR="007B4DD5">
        <w:t>ed</w:t>
      </w:r>
      <w:r w:rsidRPr="006C3BAA">
        <w:t xml:space="preserve"> explicit links to the definitions of social exclusion</w:t>
      </w:r>
      <w:r w:rsidR="007763EC">
        <w:t xml:space="preserve"> put forward in Task </w:t>
      </w:r>
      <w:r w:rsidRPr="006C3BAA">
        <w:t>2.1</w:t>
      </w:r>
      <w:r w:rsidR="006D30D2">
        <w:t xml:space="preserve"> (see Annex 1 of the </w:t>
      </w:r>
      <w:proofErr w:type="spellStart"/>
      <w:r w:rsidR="006D30D2">
        <w:t>TiPSE</w:t>
      </w:r>
      <w:proofErr w:type="spellEnd"/>
      <w:r w:rsidR="006D30D2">
        <w:t xml:space="preserve"> </w:t>
      </w:r>
      <w:r w:rsidR="00790F8B">
        <w:t>Final</w:t>
      </w:r>
      <w:r w:rsidR="006D30D2">
        <w:t xml:space="preserve"> Report)</w:t>
      </w:r>
      <w:r w:rsidRPr="006C3BAA">
        <w:t xml:space="preserve">. The first part of this </w:t>
      </w:r>
      <w:r w:rsidR="007B4DD5">
        <w:t xml:space="preserve">methodological paper </w:t>
      </w:r>
      <w:r w:rsidRPr="006C3BAA">
        <w:t>therefore explains, how ‘academic’ definitions summarised</w:t>
      </w:r>
      <w:r w:rsidR="007B4DD5">
        <w:t xml:space="preserve"> in </w:t>
      </w:r>
      <w:r w:rsidR="007763EC">
        <w:t xml:space="preserve">Annex </w:t>
      </w:r>
      <w:r w:rsidR="007B4DD5">
        <w:t>1 might</w:t>
      </w:r>
      <w:r w:rsidRPr="006C3BAA">
        <w:t xml:space="preserve"> be matched with ‘Implications for indicators’; i.e. how issues touched upon in academic literature are to be elaborated on in a meaningful way in cross-European regional mapping of t</w:t>
      </w:r>
      <w:r w:rsidR="007B4DD5">
        <w:t>he t</w:t>
      </w:r>
      <w:r w:rsidRPr="006C3BAA">
        <w:t xml:space="preserve">erritorial dimension of social exclusion. </w:t>
      </w:r>
    </w:p>
    <w:p w:rsidR="00A007DC" w:rsidRPr="006C3BAA" w:rsidRDefault="00A007DC" w:rsidP="00A007DC">
      <w:r w:rsidRPr="006C3BAA">
        <w:t xml:space="preserve">As for the implementation of this mapping exercise, ESPON </w:t>
      </w:r>
      <w:proofErr w:type="spellStart"/>
      <w:r w:rsidRPr="006C3BAA">
        <w:t>TiPSE</w:t>
      </w:r>
      <w:proofErr w:type="spellEnd"/>
      <w:r w:rsidRPr="006C3BAA">
        <w:t xml:space="preserve"> project proposal advanced the simple proxy indicator methodology</w:t>
      </w:r>
      <w:r w:rsidR="00790F8B">
        <w:t>, and also a simple composite index was developed in the course of the project</w:t>
      </w:r>
      <w:r w:rsidRPr="006C3BAA">
        <w:t xml:space="preserve">. In order to validate the usefulness of this approach, this </w:t>
      </w:r>
      <w:r w:rsidR="007B4DD5">
        <w:t xml:space="preserve">methodological paper </w:t>
      </w:r>
      <w:r w:rsidRPr="006C3BAA">
        <w:t>offers a short</w:t>
      </w:r>
      <w:r w:rsidR="007B4DD5">
        <w:t xml:space="preserve"> overview of possible methods when one is to measure</w:t>
      </w:r>
      <w:r w:rsidR="00AA4576">
        <w:t xml:space="preserve"> or quantify</w:t>
      </w:r>
      <w:r w:rsidRPr="006C3BAA">
        <w:t xml:space="preserve"> different dimensions of (territorial) social exclusion. These aspects hav</w:t>
      </w:r>
      <w:r w:rsidR="007763EC">
        <w:t xml:space="preserve">e already been highlighted in Annex </w:t>
      </w:r>
      <w:r w:rsidRPr="006C3BAA">
        <w:t>1 ‘Review of concepts of poverty and social exclusion’</w:t>
      </w:r>
      <w:r w:rsidR="007763EC">
        <w:t xml:space="preserve">. However, Annex </w:t>
      </w:r>
      <w:r w:rsidRPr="006C3BAA">
        <w:t xml:space="preserve">1 did not aimed at putting emphasis on possibilities of </w:t>
      </w:r>
      <w:r w:rsidR="006D30D2">
        <w:t xml:space="preserve">comparisons throughout the </w:t>
      </w:r>
      <w:r w:rsidRPr="006C3BAA">
        <w:t>ESPON</w:t>
      </w:r>
      <w:r w:rsidR="006D30D2">
        <w:t xml:space="preserve"> </w:t>
      </w:r>
      <w:r w:rsidRPr="006C3BAA">
        <w:t xml:space="preserve">space and the availability of cross-European regional (NUTS 3 level) data. In this sense, this </w:t>
      </w:r>
      <w:r w:rsidR="00AA4576">
        <w:t xml:space="preserve">paper </w:t>
      </w:r>
      <w:r w:rsidRPr="006C3BAA">
        <w:t>distils some considerations from the academic debates and po</w:t>
      </w:r>
      <w:r w:rsidR="007763EC">
        <w:t xml:space="preserve">licy practices reported on in Annex </w:t>
      </w:r>
      <w:r w:rsidRPr="006C3BAA">
        <w:t>1, a</w:t>
      </w:r>
      <w:r w:rsidR="007763EC">
        <w:t xml:space="preserve">nd triangulates these with Task </w:t>
      </w:r>
      <w:r w:rsidRPr="006C3BAA">
        <w:t xml:space="preserve">2.3 on the </w:t>
      </w:r>
      <w:proofErr w:type="spellStart"/>
      <w:r w:rsidRPr="006C3BAA">
        <w:t>TiPSE</w:t>
      </w:r>
      <w:proofErr w:type="spellEnd"/>
      <w:r w:rsidRPr="006C3BAA">
        <w:t xml:space="preserve"> database (see </w:t>
      </w:r>
      <w:r w:rsidR="007763EC">
        <w:t>also Annex 2</w:t>
      </w:r>
      <w:r w:rsidR="006D30D2">
        <w:t xml:space="preserve"> of the </w:t>
      </w:r>
      <w:proofErr w:type="spellStart"/>
      <w:r w:rsidR="006D30D2">
        <w:t>TiPSE</w:t>
      </w:r>
      <w:proofErr w:type="spellEnd"/>
      <w:r w:rsidR="006D30D2">
        <w:t xml:space="preserve"> </w:t>
      </w:r>
      <w:r w:rsidR="00790F8B">
        <w:t>Final</w:t>
      </w:r>
      <w:r w:rsidR="006D30D2">
        <w:t xml:space="preserve"> Report</w:t>
      </w:r>
      <w:r w:rsidRPr="006C3BAA">
        <w:t xml:space="preserve">). </w:t>
      </w:r>
    </w:p>
    <w:p w:rsidR="00A007DC" w:rsidRPr="006C3BAA" w:rsidRDefault="00A007DC" w:rsidP="00A007DC">
      <w:r w:rsidRPr="006C3BAA">
        <w:t xml:space="preserve">In the chapter ‘Measuring social exclusion – a step-by-step approach’ we aim at showing the dimensions and some proxy variables of social exclusion at the European </w:t>
      </w:r>
      <w:r w:rsidR="006D30D2">
        <w:t>scale</w:t>
      </w:r>
      <w:r w:rsidRPr="006C3BAA">
        <w:t xml:space="preserve">. </w:t>
      </w:r>
      <w:r w:rsidR="006D30D2">
        <w:t xml:space="preserve">This chapter </w:t>
      </w:r>
      <w:r w:rsidR="00790F8B">
        <w:t xml:space="preserve">features both </w:t>
      </w:r>
      <w:r w:rsidR="006D30D2">
        <w:t xml:space="preserve">census 2001 </w:t>
      </w:r>
      <w:r w:rsidR="00790F8B">
        <w:t xml:space="preserve">and census 2011 </w:t>
      </w:r>
      <w:r w:rsidR="006D30D2">
        <w:t xml:space="preserve">data. </w:t>
      </w:r>
      <w:r w:rsidRPr="006C3BAA">
        <w:t xml:space="preserve">According to the </w:t>
      </w:r>
      <w:proofErr w:type="spellStart"/>
      <w:r w:rsidRPr="006C3BAA">
        <w:t>TiPSE</w:t>
      </w:r>
      <w:proofErr w:type="spellEnd"/>
      <w:r w:rsidRPr="006C3BAA">
        <w:t xml:space="preserve"> project proposal, </w:t>
      </w:r>
      <w:r w:rsidR="006D30D2">
        <w:t xml:space="preserve">mapping has </w:t>
      </w:r>
      <w:r w:rsidRPr="006C3BAA">
        <w:t xml:space="preserve">been </w:t>
      </w:r>
      <w:r w:rsidR="006D30D2">
        <w:t xml:space="preserve">undertaken </w:t>
      </w:r>
      <w:r w:rsidRPr="006C3BAA">
        <w:t xml:space="preserve">primarily on NUTS 3 level, but </w:t>
      </w:r>
      <w:r w:rsidR="006D30D2">
        <w:t>regarding some indicators o</w:t>
      </w:r>
      <w:r w:rsidR="00AA4576">
        <w:t>nly NUTS 2 level data was</w:t>
      </w:r>
      <w:r w:rsidR="006D30D2">
        <w:t xml:space="preserve"> available. Collection of data and m</w:t>
      </w:r>
      <w:r w:rsidRPr="006C3BAA">
        <w:t xml:space="preserve">apping </w:t>
      </w:r>
      <w:r w:rsidR="006D30D2">
        <w:t xml:space="preserve">of social exclusion indicators </w:t>
      </w:r>
      <w:r w:rsidRPr="006C3BAA">
        <w:t>on LAU 1 level (using primarily census data)</w:t>
      </w:r>
      <w:r w:rsidR="006D30D2">
        <w:t xml:space="preserve"> was dedicated </w:t>
      </w:r>
      <w:r w:rsidR="007763EC">
        <w:t xml:space="preserve">to the case studies of </w:t>
      </w:r>
      <w:proofErr w:type="spellStart"/>
      <w:r w:rsidR="007763EC">
        <w:t>TiPSE</w:t>
      </w:r>
      <w:proofErr w:type="spellEnd"/>
      <w:r w:rsidR="007763EC">
        <w:t xml:space="preserve"> (Task </w:t>
      </w:r>
      <w:r w:rsidR="006D30D2">
        <w:t>2.4) in the course of the project</w:t>
      </w:r>
      <w:r w:rsidRPr="006C3BAA">
        <w:t xml:space="preserve">. </w:t>
      </w:r>
    </w:p>
    <w:p w:rsidR="00A007DC" w:rsidRPr="006C3BAA" w:rsidRDefault="00A007DC" w:rsidP="00A007DC">
      <w:r w:rsidRPr="006C3BAA">
        <w:t>This paper ends with the discussion of the results and with some considerations for the EU-level policy-</w:t>
      </w:r>
      <w:r w:rsidR="00AA4576">
        <w:t xml:space="preserve">making regarding the mapping of </w:t>
      </w:r>
      <w:r w:rsidRPr="006C3BAA">
        <w:t>social exclusion.</w:t>
      </w:r>
    </w:p>
    <w:p w:rsidR="00D434A2" w:rsidRDefault="00D434A2">
      <w:pPr>
        <w:spacing w:before="0"/>
      </w:pPr>
      <w:r>
        <w:br w:type="page"/>
      </w:r>
    </w:p>
    <w:p w:rsidR="004918AD" w:rsidRPr="006C3BAA" w:rsidRDefault="00A007DC" w:rsidP="00A007DC">
      <w:pPr>
        <w:pStyle w:val="Cmsor1"/>
      </w:pPr>
      <w:bookmarkStart w:id="4" w:name="_Toc401264622"/>
      <w:r w:rsidRPr="006C3BAA">
        <w:lastRenderedPageBreak/>
        <w:t>Domains, dimensions and indicators of social exclusion</w:t>
      </w:r>
      <w:bookmarkEnd w:id="4"/>
    </w:p>
    <w:p w:rsidR="00A007DC" w:rsidRPr="006C3BAA" w:rsidRDefault="00A007DC" w:rsidP="00A007DC">
      <w:r w:rsidRPr="006C3BAA">
        <w:t xml:space="preserve">Social exclusion and its ‘territorial dimension’ is a fuzzy concept </w:t>
      </w:r>
      <w:r w:rsidR="00CE065E">
        <w:t xml:space="preserve">both </w:t>
      </w:r>
      <w:r w:rsidRPr="006C3BAA">
        <w:t>in the academic literature and in the policy practice</w:t>
      </w:r>
      <w:r w:rsidR="00EE3C04">
        <w:t xml:space="preserve">. Annex </w:t>
      </w:r>
      <w:r w:rsidRPr="006C3BAA">
        <w:t xml:space="preserve">1 </w:t>
      </w:r>
      <w:r w:rsidR="00CE065E">
        <w:t xml:space="preserve">has </w:t>
      </w:r>
      <w:r w:rsidRPr="006C3BAA">
        <w:t xml:space="preserve">already documented an extensive body of academic and policy literature on these concepts which is not needed to </w:t>
      </w:r>
      <w:r w:rsidR="00CE065E">
        <w:t>reiterate</w:t>
      </w:r>
      <w:r w:rsidRPr="006C3BAA">
        <w:t xml:space="preserve"> here. However, the review of academic practices has clear implications for </w:t>
      </w:r>
      <w:r w:rsidR="00EE3C04">
        <w:t xml:space="preserve">the tasks to be undertaken in Task </w:t>
      </w:r>
      <w:r w:rsidRPr="006C3BAA">
        <w:t xml:space="preserve">2.6, as far as how to </w:t>
      </w:r>
      <w:proofErr w:type="spellStart"/>
      <w:r w:rsidRPr="006C3BAA">
        <w:t>operationali</w:t>
      </w:r>
      <w:r w:rsidR="00CE065E">
        <w:t>z</w:t>
      </w:r>
      <w:r w:rsidRPr="006C3BAA">
        <w:t>e</w:t>
      </w:r>
      <w:proofErr w:type="spellEnd"/>
      <w:r w:rsidRPr="006C3BAA">
        <w:t xml:space="preserve"> these theoretical concerns in a cross-European regional level mapping exercise on different dimensions of territorial social exclusion.</w:t>
      </w:r>
    </w:p>
    <w:p w:rsidR="00A007DC" w:rsidRPr="006C3BAA" w:rsidRDefault="00A007DC" w:rsidP="00A007DC">
      <w:r w:rsidRPr="006C3BAA">
        <w:t xml:space="preserve">One of the </w:t>
      </w:r>
      <w:r w:rsidR="00EE3C04">
        <w:t xml:space="preserve">most important conclusions of Annex </w:t>
      </w:r>
      <w:r w:rsidRPr="006C3BAA">
        <w:t xml:space="preserve">1 for </w:t>
      </w:r>
      <w:r w:rsidR="00EE3C04">
        <w:t xml:space="preserve">Task </w:t>
      </w:r>
      <w:r w:rsidRPr="006C3BAA">
        <w:t xml:space="preserve">2.6 is that definitions of social exclusion, academic and policy practices are highly context-dependent, they reflect situated </w:t>
      </w:r>
      <w:proofErr w:type="spellStart"/>
      <w:r w:rsidRPr="006C3BAA">
        <w:t>knowledges</w:t>
      </w:r>
      <w:proofErr w:type="spellEnd"/>
      <w:r w:rsidRPr="006C3BAA">
        <w:t xml:space="preserve"> of researchers and policy-makers (cf. </w:t>
      </w:r>
      <w:proofErr w:type="spellStart"/>
      <w:r w:rsidRPr="006C3BAA">
        <w:t>Haraway</w:t>
      </w:r>
      <w:proofErr w:type="spellEnd"/>
      <w:r w:rsidRPr="006C3BAA">
        <w:t>, 1988)</w:t>
      </w:r>
      <w:r w:rsidR="00313B4A">
        <w:t>, and are also a result of how statisticians conceive the world</w:t>
      </w:r>
      <w:r w:rsidR="00CA7299">
        <w:t xml:space="preserve"> (state-thinking in </w:t>
      </w:r>
      <w:proofErr w:type="spellStart"/>
      <w:r w:rsidR="00CA7299">
        <w:t>Bourdieu’s</w:t>
      </w:r>
      <w:proofErr w:type="spellEnd"/>
      <w:r w:rsidR="00CA7299">
        <w:t xml:space="preserve"> words – </w:t>
      </w:r>
      <w:proofErr w:type="spellStart"/>
      <w:r w:rsidR="00CA7299">
        <w:t>Bourdieu</w:t>
      </w:r>
      <w:proofErr w:type="spellEnd"/>
      <w:r w:rsidR="00CA7299">
        <w:t>, 2004: 90–91)</w:t>
      </w:r>
      <w:r w:rsidRPr="006C3BAA">
        <w:t xml:space="preserve">. They offer a partial view from partial closed spaces of the research or policy field of the particular studies and policy actions. Hence, they cannot be easily </w:t>
      </w:r>
      <w:proofErr w:type="spellStart"/>
      <w:r w:rsidRPr="006C3BAA">
        <w:t>upscaled</w:t>
      </w:r>
      <w:proofErr w:type="spellEnd"/>
      <w:r w:rsidRPr="006C3BAA">
        <w:t xml:space="preserve"> to an ESPON-space</w:t>
      </w:r>
      <w:r w:rsidR="00AA4576">
        <w:t>-wide</w:t>
      </w:r>
      <w:r w:rsidRPr="006C3BAA">
        <w:t xml:space="preserve"> NUTS 3 level mapping of social exclusion. Nevertheless, the l</w:t>
      </w:r>
      <w:r w:rsidR="00EE3C04">
        <w:t xml:space="preserve">iterature brought together in Annex </w:t>
      </w:r>
      <w:r w:rsidRPr="006C3BAA">
        <w:t xml:space="preserve">1 </w:t>
      </w:r>
      <w:r w:rsidR="00AA4576">
        <w:t>wa</w:t>
      </w:r>
      <w:r w:rsidRPr="006C3BAA">
        <w:t xml:space="preserve">s essential in making decisions in ESPON </w:t>
      </w:r>
      <w:proofErr w:type="spellStart"/>
      <w:r w:rsidRPr="006C3BAA">
        <w:t>TiPSE</w:t>
      </w:r>
      <w:proofErr w:type="spellEnd"/>
      <w:r w:rsidRPr="006C3BAA">
        <w:t xml:space="preserve"> on domains, dimensions and indicators of social exclusion.</w:t>
      </w:r>
    </w:p>
    <w:p w:rsidR="00A007DC" w:rsidRPr="006C3BAA" w:rsidRDefault="00A007DC" w:rsidP="00A007DC">
      <w:r w:rsidRPr="006C3BAA">
        <w:t xml:space="preserve">Social exclusion is a relational, dynamic and multifaceted phenomenon, according to Silver (1994). Consequently, measuring and mapping (territorial) social exclusion should aim at finding indicators and proxy variables which </w:t>
      </w:r>
    </w:p>
    <w:p w:rsidR="00A007DC" w:rsidRPr="006C3BAA" w:rsidRDefault="00A007DC" w:rsidP="00AA4576">
      <w:pPr>
        <w:pStyle w:val="ESPONnumberedlist"/>
        <w:numPr>
          <w:ilvl w:val="0"/>
          <w:numId w:val="21"/>
        </w:numPr>
        <w:spacing w:before="120"/>
        <w:ind w:left="714" w:hanging="357"/>
      </w:pPr>
      <w:r w:rsidRPr="006C3BAA">
        <w:t>at least in some examples refle</w:t>
      </w:r>
      <w:r w:rsidR="00AA4576">
        <w:t xml:space="preserve">ct the relational nature of included and </w:t>
      </w:r>
      <w:r w:rsidRPr="006C3BAA">
        <w:t>excluded people / groups of people</w:t>
      </w:r>
      <w:r w:rsidR="00C90456">
        <w:t xml:space="preserve"> (gender gaps are good examples of this type of understanding)</w:t>
      </w:r>
      <w:r w:rsidR="00CA7299">
        <w:t>;</w:t>
      </w:r>
    </w:p>
    <w:p w:rsidR="00A007DC" w:rsidRPr="006C3BAA" w:rsidRDefault="00A007DC" w:rsidP="00AA4576">
      <w:pPr>
        <w:pStyle w:val="ESPONnumberedlist"/>
        <w:numPr>
          <w:ilvl w:val="0"/>
          <w:numId w:val="21"/>
        </w:numPr>
      </w:pPr>
      <w:r w:rsidRPr="006C3BAA">
        <w:t xml:space="preserve">as exclusion is not only a state of ‘being in a society’ but also a process, apart from stock indicators flow indicators may be used as well </w:t>
      </w:r>
      <w:r w:rsidR="00C90456">
        <w:t xml:space="preserve">(this is one of the reasons for collecting both 2001 and 2011 census data) </w:t>
      </w:r>
      <w:r w:rsidRPr="006C3BAA">
        <w:t xml:space="preserve">(cf. also </w:t>
      </w:r>
      <w:proofErr w:type="spellStart"/>
      <w:r w:rsidRPr="006C3BAA">
        <w:t>Madani</w:t>
      </w:r>
      <w:r w:rsidR="00C90456">
        <w:t>pour</w:t>
      </w:r>
      <w:proofErr w:type="spellEnd"/>
      <w:r w:rsidR="00C90456">
        <w:t xml:space="preserve"> et al, 2003)</w:t>
      </w:r>
      <w:r w:rsidR="00CA7299">
        <w:t>;</w:t>
      </w:r>
    </w:p>
    <w:p w:rsidR="00A007DC" w:rsidRPr="006C3BAA" w:rsidRDefault="00A007DC" w:rsidP="00AA4576">
      <w:pPr>
        <w:pStyle w:val="ESPONnumberedlist"/>
        <w:numPr>
          <w:ilvl w:val="0"/>
          <w:numId w:val="21"/>
        </w:numPr>
      </w:pPr>
      <w:r w:rsidRPr="006C3BAA">
        <w:t>cover several dimensions of social exclusion that are inseparable from each other but interact in complex ways and on different geograph</w:t>
      </w:r>
      <w:r w:rsidR="00EE3C04">
        <w:t xml:space="preserve">ical scales (for this aspect, Task </w:t>
      </w:r>
      <w:r w:rsidRPr="006C3BAA">
        <w:t xml:space="preserve">2.6 will only deliver inputs, results will be analysed in </w:t>
      </w:r>
      <w:r w:rsidR="00EE3C04">
        <w:t xml:space="preserve">Task </w:t>
      </w:r>
      <w:r w:rsidRPr="006C3BAA">
        <w:t xml:space="preserve">2.8). </w:t>
      </w:r>
    </w:p>
    <w:p w:rsidR="00A007DC" w:rsidRPr="006C3BAA" w:rsidRDefault="00A007DC" w:rsidP="00A007DC">
      <w:r w:rsidRPr="006C3BAA">
        <w:t xml:space="preserve">In this section, following some notes on the territorial dimension of social exclusion, </w:t>
      </w:r>
      <w:r w:rsidRPr="006C3BAA">
        <w:rPr>
          <w:i/>
          <w:iCs/>
        </w:rPr>
        <w:t>domains, dimensions and indicators</w:t>
      </w:r>
      <w:r w:rsidRPr="006C3BAA">
        <w:t xml:space="preserve"> of ESPON </w:t>
      </w:r>
      <w:proofErr w:type="spellStart"/>
      <w:r w:rsidRPr="006C3BAA">
        <w:t>TiPSE’s</w:t>
      </w:r>
      <w:proofErr w:type="spellEnd"/>
      <w:r w:rsidRPr="006C3BAA">
        <w:t xml:space="preserve"> understanding of social exclusion will be introduced and discussed. This approach of having a three-level hierarchy is following the seminal study of </w:t>
      </w:r>
      <w:proofErr w:type="spellStart"/>
      <w:r w:rsidRPr="006C3BAA">
        <w:t>Levitas</w:t>
      </w:r>
      <w:proofErr w:type="spellEnd"/>
      <w:r w:rsidRPr="006C3BAA">
        <w:t xml:space="preserve"> et al. (2007) which differentiated between three subject groups and ten dimensions of social exclusion each of which measured by various indicators.</w:t>
      </w:r>
    </w:p>
    <w:p w:rsidR="00DC2035" w:rsidRPr="006C3BAA" w:rsidRDefault="00DC2035" w:rsidP="004918AD"/>
    <w:p w:rsidR="004918AD" w:rsidRPr="006C3BAA" w:rsidRDefault="00A007DC" w:rsidP="00A007DC">
      <w:pPr>
        <w:pStyle w:val="Cmsor2"/>
      </w:pPr>
      <w:bookmarkStart w:id="5" w:name="_Toc401264623"/>
      <w:r w:rsidRPr="006C3BAA">
        <w:lastRenderedPageBreak/>
        <w:t>Some notes on the territorial dimension of social exclusion</w:t>
      </w:r>
      <w:bookmarkEnd w:id="5"/>
    </w:p>
    <w:p w:rsidR="00A007DC" w:rsidRPr="006C3BAA" w:rsidRDefault="00A007DC" w:rsidP="00A007DC">
      <w:r w:rsidRPr="006C3BAA">
        <w:t xml:space="preserve">ESPON </w:t>
      </w:r>
      <w:proofErr w:type="spellStart"/>
      <w:r w:rsidRPr="006C3BAA">
        <w:t>TiPSE</w:t>
      </w:r>
      <w:proofErr w:type="spellEnd"/>
      <w:r w:rsidRPr="006C3BAA">
        <w:t xml:space="preserve"> project </w:t>
      </w:r>
      <w:r w:rsidR="00AA4576">
        <w:t xml:space="preserve">does </w:t>
      </w:r>
      <w:r w:rsidRPr="006C3BAA">
        <w:t xml:space="preserve">not </w:t>
      </w:r>
      <w:r w:rsidR="00AA4576">
        <w:t>focus</w:t>
      </w:r>
      <w:r w:rsidRPr="006C3BAA">
        <w:t xml:space="preserve"> on social exclusion in general, but the overarching </w:t>
      </w:r>
      <w:r w:rsidR="00C90456">
        <w:t xml:space="preserve">aim </w:t>
      </w:r>
      <w:r w:rsidRPr="006C3BAA">
        <w:t xml:space="preserve">is to draw conclusions on the </w:t>
      </w:r>
      <w:r w:rsidRPr="00C90456">
        <w:rPr>
          <w:i/>
        </w:rPr>
        <w:t>territorial aspects</w:t>
      </w:r>
      <w:r w:rsidR="00EE3C04">
        <w:t xml:space="preserve"> of the phenomenon. As Annex </w:t>
      </w:r>
      <w:r w:rsidRPr="006C3BAA">
        <w:t xml:space="preserve">1 noted, most of the EU policy documents are aware that there is some sort of spatiality </w:t>
      </w:r>
      <w:r w:rsidR="00C90456">
        <w:t>(</w:t>
      </w:r>
      <w:r w:rsidR="00AA4576">
        <w:t xml:space="preserve">or </w:t>
      </w:r>
      <w:r w:rsidR="00C90456">
        <w:t xml:space="preserve">regional inequalities) </w:t>
      </w:r>
      <w:r w:rsidRPr="006C3BAA">
        <w:t>in the distribution of poverty and social exclusion, but they more or less theorise ‘the spatial’ as an appearance, i.e. only registering that soci</w:t>
      </w:r>
      <w:r w:rsidR="006B3D50">
        <w:t>al phenomena differ over space.</w:t>
      </w:r>
    </w:p>
    <w:p w:rsidR="00A007DC" w:rsidRPr="006C3BAA" w:rsidRDefault="00EE3C04" w:rsidP="00A007DC">
      <w:r>
        <w:t xml:space="preserve">Annex </w:t>
      </w:r>
      <w:r w:rsidR="00A007DC" w:rsidRPr="006C3BAA">
        <w:t xml:space="preserve">1 emphasised that many of contemporary approaches </w:t>
      </w:r>
      <w:r w:rsidR="00C90456">
        <w:t xml:space="preserve">address </w:t>
      </w:r>
      <w:r w:rsidR="00A007DC" w:rsidRPr="006C3BAA">
        <w:t xml:space="preserve">sites and spaces of exclusion, such as exclusive and inclusive spaces. Examples catalogued in </w:t>
      </w:r>
      <w:r w:rsidR="00C90456">
        <w:t xml:space="preserve">Annex 1 of the </w:t>
      </w:r>
      <w:proofErr w:type="spellStart"/>
      <w:r w:rsidR="00C90456">
        <w:t>TiPSE</w:t>
      </w:r>
      <w:proofErr w:type="spellEnd"/>
      <w:r w:rsidR="00C90456">
        <w:t xml:space="preserve"> </w:t>
      </w:r>
      <w:r w:rsidR="00790F8B">
        <w:t>Final</w:t>
      </w:r>
      <w:r w:rsidR="00C90456">
        <w:t xml:space="preserve"> Report </w:t>
      </w:r>
      <w:r w:rsidR="00A007DC" w:rsidRPr="006C3BAA">
        <w:t xml:space="preserve">vividly show that most of these empirical studies are on </w:t>
      </w:r>
      <w:r w:rsidR="00AA4576">
        <w:t xml:space="preserve">the </w:t>
      </w:r>
      <w:r w:rsidR="00A007DC" w:rsidRPr="006C3BAA">
        <w:t>‘micro-level’ (</w:t>
      </w:r>
      <w:r w:rsidR="00313B4A">
        <w:t xml:space="preserve">research on </w:t>
      </w:r>
      <w:r w:rsidR="00A007DC" w:rsidRPr="006C3BAA">
        <w:t>exclusion within the city, in rural spaces and places etc.), and regional level studies focus largely on which natural, social and economic</w:t>
      </w:r>
      <w:r w:rsidR="006B3D50">
        <w:t xml:space="preserve"> endowments regions possess of.</w:t>
      </w:r>
    </w:p>
    <w:p w:rsidR="00A007DC" w:rsidRPr="006C3BAA" w:rsidRDefault="00A007DC" w:rsidP="00A007DC">
      <w:r w:rsidRPr="006C3BAA">
        <w:t xml:space="preserve">Social sciences in the past decades more or less univocally understand </w:t>
      </w:r>
      <w:proofErr w:type="spellStart"/>
      <w:r w:rsidRPr="006C3BAA">
        <w:t>ontologies</w:t>
      </w:r>
      <w:proofErr w:type="spellEnd"/>
      <w:r w:rsidRPr="006C3BAA">
        <w:t xml:space="preserve"> of ‘the social’ and ‘the spatial’ in their co-constitution (for an early example see Gregory and </w:t>
      </w:r>
      <w:proofErr w:type="spellStart"/>
      <w:r w:rsidRPr="006C3BAA">
        <w:t>Urry</w:t>
      </w:r>
      <w:proofErr w:type="spellEnd"/>
      <w:r w:rsidRPr="006C3BAA">
        <w:t>, 1985). This approach dismisses the idea of space as being a stage on which social relations unfold, as well as the i</w:t>
      </w:r>
      <w:r w:rsidR="00313B4A">
        <w:t>dea of the abstract space which has</w:t>
      </w:r>
      <w:r w:rsidRPr="006C3BAA">
        <w:t xml:space="preserve"> a pure distance-decay function (</w:t>
      </w:r>
      <w:r w:rsidR="00313B4A">
        <w:t xml:space="preserve">as </w:t>
      </w:r>
      <w:r w:rsidRPr="006C3BAA">
        <w:t xml:space="preserve">put forward by neoclassical economics). What this ‘new’ approach stressed instead is the view that social relations are constructed over space, and that space plays a role in how social relations are constructed (Massey, 1985; </w:t>
      </w:r>
      <w:proofErr w:type="spellStart"/>
      <w:r w:rsidRPr="006C3BAA">
        <w:t>Sayer</w:t>
      </w:r>
      <w:proofErr w:type="spellEnd"/>
      <w:r w:rsidRPr="006C3BAA">
        <w:t>, 1985).</w:t>
      </w:r>
    </w:p>
    <w:p w:rsidR="00A007DC" w:rsidRPr="006C3BAA" w:rsidRDefault="00A007DC" w:rsidP="00A007DC">
      <w:r w:rsidRPr="006C3BAA">
        <w:t xml:space="preserve">This understanding has some serious implications for the research done on social and spatial exclusion (also in the context of ESPON </w:t>
      </w:r>
      <w:proofErr w:type="spellStart"/>
      <w:r w:rsidRPr="006C3BAA">
        <w:t>TiPSE</w:t>
      </w:r>
      <w:proofErr w:type="spellEnd"/>
      <w:r w:rsidRPr="006C3BAA">
        <w:t xml:space="preserve">). Firstly, spatiality of social exclusion is not something to be abstracted of in any research. In this sense, ESPON has a crucial role in directing policy-makers’ attention towards the idea that social exclusion is inherently spatial (at multiple scales) which must be considered in any policy-making practice. </w:t>
      </w:r>
    </w:p>
    <w:p w:rsidR="00A007DC" w:rsidRPr="006C3BAA" w:rsidRDefault="00A007DC" w:rsidP="00A007DC">
      <w:r w:rsidRPr="006C3BAA">
        <w:t>Secondly, spatiality of social exclusion is not yet another dimension or aspect to be conceptualised. In this sense, maps on different dimensions of social exclusion (and specific indicators derived from these dimensions) show the co-constitution of society and sp</w:t>
      </w:r>
      <w:r w:rsidR="00313B4A">
        <w:t>ace in a complex way</w:t>
      </w:r>
      <w:r w:rsidRPr="006C3BAA">
        <w:t xml:space="preserve">. ESPON </w:t>
      </w:r>
      <w:proofErr w:type="spellStart"/>
      <w:r w:rsidRPr="006C3BAA">
        <w:t>TiPSE</w:t>
      </w:r>
      <w:proofErr w:type="spellEnd"/>
      <w:r w:rsidRPr="006C3BAA">
        <w:t xml:space="preserve"> </w:t>
      </w:r>
      <w:r w:rsidR="00313B4A">
        <w:t xml:space="preserve">also </w:t>
      </w:r>
      <w:r w:rsidRPr="006C3BAA">
        <w:t>tackles this theoretical, methodological and ethica</w:t>
      </w:r>
      <w:r w:rsidR="00EE3C04">
        <w:t>l issue by combining mapping (Task 2.6) and its interpretation (Task 2.8) with case studies (Task 2.</w:t>
      </w:r>
      <w:r w:rsidRPr="006C3BAA">
        <w:t xml:space="preserve">4). </w:t>
      </w:r>
    </w:p>
    <w:p w:rsidR="00A007DC" w:rsidRPr="006C3BAA" w:rsidRDefault="00A007DC" w:rsidP="00A007DC">
      <w:r w:rsidRPr="006C3BAA">
        <w:t xml:space="preserve">Thirdly, </w:t>
      </w:r>
      <w:r w:rsidR="00EE3C04">
        <w:t xml:space="preserve">although the maps produced in Task </w:t>
      </w:r>
      <w:r w:rsidRPr="006C3BAA">
        <w:t xml:space="preserve">2.6 may be easily interpreted as showing socially excluded NUTS 3 regions, one has to take into consideration that it is not the region which is excluded, but in the end people or groups of people. As social exclusion is an issue also </w:t>
      </w:r>
      <w:r w:rsidR="00313B4A">
        <w:t>addressed</w:t>
      </w:r>
      <w:r w:rsidRPr="006C3BAA">
        <w:t xml:space="preserve"> by EU’s regional policy, it is meaningful nonetheless to map social exclusion on NUTS 3 level. For it is important to gather information which regions and in which meaningful ways may be targeted by EU’s regional policy to open up more inclusive realities for people living in these areas. </w:t>
      </w:r>
    </w:p>
    <w:p w:rsidR="00A007DC" w:rsidRPr="006C3BAA" w:rsidRDefault="00A007DC" w:rsidP="00A007DC">
      <w:r w:rsidRPr="006C3BAA">
        <w:lastRenderedPageBreak/>
        <w:t xml:space="preserve">Fourthly, socio-spatial exclusion is a multi-scalar phenomenon. Although current literature on the social </w:t>
      </w:r>
      <w:proofErr w:type="spellStart"/>
      <w:r w:rsidRPr="006C3BAA">
        <w:t>constructedness</w:t>
      </w:r>
      <w:proofErr w:type="spellEnd"/>
      <w:r w:rsidRPr="006C3BAA">
        <w:t xml:space="preserve"> of scale (Herod, 2011) challenges that different social phenomena can be meaningfully linked to pre-constructed ‘levels’ and </w:t>
      </w:r>
      <w:proofErr w:type="spellStart"/>
      <w:r w:rsidRPr="006C3BAA">
        <w:t>territorialisations</w:t>
      </w:r>
      <w:proofErr w:type="spellEnd"/>
      <w:r w:rsidRPr="006C3BAA">
        <w:t xml:space="preserve"> of space, a consequence for ESPON </w:t>
      </w:r>
      <w:proofErr w:type="spellStart"/>
      <w:r w:rsidRPr="006C3BAA">
        <w:t>TiPSE</w:t>
      </w:r>
      <w:proofErr w:type="spellEnd"/>
      <w:r w:rsidRPr="006C3BAA">
        <w:t xml:space="preserve"> is to elaborate on the multi-</w:t>
      </w:r>
      <w:proofErr w:type="spellStart"/>
      <w:r w:rsidRPr="006C3BAA">
        <w:t>scalarity</w:t>
      </w:r>
      <w:proofErr w:type="spellEnd"/>
      <w:r w:rsidRPr="006C3BAA">
        <w:t xml:space="preserve"> of social exclusion. Hence, different dimensions of social exclus</w:t>
      </w:r>
      <w:r w:rsidR="00313B4A">
        <w:t>ion have different importance at</w:t>
      </w:r>
      <w:r w:rsidRPr="006C3BAA">
        <w:t xml:space="preserve"> certain geographical scales. This means that a mixed-method approach with a combination of NUTS 3 level mapping and qualitative micro-level case studies </w:t>
      </w:r>
      <w:r w:rsidR="00313B4A">
        <w:t xml:space="preserve">(at lower spatial scales) </w:t>
      </w:r>
      <w:r w:rsidRPr="006C3BAA">
        <w:t>would tell us something about how social exclusion actually takes place. In fact, NUTS 3 level mapping alone can also reveal some aspects of the multi-</w:t>
      </w:r>
      <w:proofErr w:type="spellStart"/>
      <w:r w:rsidRPr="006C3BAA">
        <w:t>scalarity</w:t>
      </w:r>
      <w:proofErr w:type="spellEnd"/>
      <w:r w:rsidRPr="006C3BAA">
        <w:t xml:space="preserve"> of social exclusion. To name a few examples, intra-household exclusion may be indicated by the proportion of inactive population (housewives are also within this group); ethnic/migrant composition of a region may indicate neighbourhood-level exclusion in urban areas; NUTS 3 level data on access to cultural institutions (such as a library) or passenger car density within the population may reveal that inhabitants of small villages within a rural region are facing social exclusion. State-level social policies (such as laws on social transfers) impact undoubtedly NUTS 3 level data as well.</w:t>
      </w:r>
    </w:p>
    <w:p w:rsidR="00A007DC" w:rsidRPr="006C3BAA" w:rsidRDefault="00A007DC" w:rsidP="00A007DC">
      <w:r w:rsidRPr="006C3BAA">
        <w:t>This summary on the territorial dimension of social exclusion attempted to put forward some key theoretical issues on how ‘the social’ and ‘the spatial’ interact, the co-constitution of which may interfere w</w:t>
      </w:r>
      <w:r w:rsidR="00EE3C04">
        <w:t xml:space="preserve">ith the mapping exercise of Task </w:t>
      </w:r>
      <w:r w:rsidRPr="006C3BAA">
        <w:t>2.6. Some further notes will be made in the methodological and concluding part of this report.</w:t>
      </w:r>
    </w:p>
    <w:p w:rsidR="00A007DC" w:rsidRPr="006C3BAA" w:rsidRDefault="00A007DC" w:rsidP="00A007DC"/>
    <w:p w:rsidR="004918AD" w:rsidRPr="006C3BAA" w:rsidRDefault="00A007DC" w:rsidP="00A007DC">
      <w:pPr>
        <w:pStyle w:val="Cmsor2"/>
      </w:pPr>
      <w:bookmarkStart w:id="6" w:name="_Toc401264624"/>
      <w:r w:rsidRPr="006C3BAA">
        <w:t>Domains of social exclusion</w:t>
      </w:r>
      <w:bookmarkEnd w:id="6"/>
    </w:p>
    <w:p w:rsidR="00CA7299" w:rsidRDefault="00CA7299" w:rsidP="00A007DC">
      <w:r>
        <w:t xml:space="preserve">This part of the ESPON </w:t>
      </w:r>
      <w:proofErr w:type="spellStart"/>
      <w:r>
        <w:t>TiPSE</w:t>
      </w:r>
      <w:proofErr w:type="spellEnd"/>
      <w:r>
        <w:t xml:space="preserve"> research project from outlining social exclusion as a scientific and poli</w:t>
      </w:r>
      <w:r w:rsidR="00907A79">
        <w:t xml:space="preserve">cy concept (Task 2.1) through obtaining data (Task 2.3) through mapping (Task </w:t>
      </w:r>
      <w:r>
        <w:t>2.6</w:t>
      </w:r>
      <w:r w:rsidR="00907A79">
        <w:t xml:space="preserve">) and interpretation of maps (Task </w:t>
      </w:r>
      <w:r>
        <w:t xml:space="preserve">2.8) more-or-less follows a </w:t>
      </w:r>
      <w:proofErr w:type="spellStart"/>
      <w:r>
        <w:t>hypothetico</w:t>
      </w:r>
      <w:proofErr w:type="spellEnd"/>
      <w:r>
        <w:t>-deductive scheme. It might be conceived as a testing exercise starting from hypotheses on soc</w:t>
      </w:r>
      <w:r w:rsidR="00AA4576">
        <w:t>ial exclusion and testing them i</w:t>
      </w:r>
      <w:r>
        <w:t xml:space="preserve">n the ESPON space. </w:t>
      </w:r>
      <w:r w:rsidR="00907A79">
        <w:t xml:space="preserve">Task </w:t>
      </w:r>
      <w:r w:rsidR="00AA4576">
        <w:t>2.1 undertook the conceptualiz</w:t>
      </w:r>
      <w:r>
        <w:t xml:space="preserve">ation of social exclusion, the major value added of </w:t>
      </w:r>
      <w:r w:rsidR="00907A79">
        <w:t xml:space="preserve">Task </w:t>
      </w:r>
      <w:r>
        <w:t xml:space="preserve">2.6 being the </w:t>
      </w:r>
      <w:proofErr w:type="spellStart"/>
      <w:r>
        <w:t>operationalization</w:t>
      </w:r>
      <w:proofErr w:type="spellEnd"/>
      <w:r>
        <w:t xml:space="preserve"> of the same term. </w:t>
      </w:r>
    </w:p>
    <w:p w:rsidR="00A007DC" w:rsidRPr="006C3BAA" w:rsidRDefault="00CA7299" w:rsidP="00A007DC">
      <w:r>
        <w:t xml:space="preserve">In the course of the conceptualization of social exclusion, </w:t>
      </w:r>
      <w:r w:rsidR="00907A79">
        <w:t xml:space="preserve">Annex </w:t>
      </w:r>
      <w:r w:rsidR="00A007DC" w:rsidRPr="006C3BAA">
        <w:t xml:space="preserve">1 identified different domains of social exclusion. According to Reimer (2004) and Philip and </w:t>
      </w:r>
      <w:proofErr w:type="spellStart"/>
      <w:r w:rsidR="00A007DC" w:rsidRPr="006C3BAA">
        <w:t>Shucksmith</w:t>
      </w:r>
      <w:proofErr w:type="spellEnd"/>
      <w:r w:rsidR="00A007DC" w:rsidRPr="006C3BAA">
        <w:t xml:space="preserve"> (2003), social exclusion operates in an interrelated way through four overlapping major social systems:</w:t>
      </w:r>
    </w:p>
    <w:p w:rsidR="00A007DC" w:rsidRPr="006C3BAA" w:rsidRDefault="00A007DC" w:rsidP="00313B4A">
      <w:pPr>
        <w:pStyle w:val="ESPONbulletlist"/>
        <w:numPr>
          <w:ilvl w:val="0"/>
          <w:numId w:val="16"/>
        </w:numPr>
        <w:spacing w:before="120"/>
        <w:ind w:left="714" w:hanging="357"/>
      </w:pPr>
      <w:r w:rsidRPr="006C3BAA">
        <w:t>Marke</w:t>
      </w:r>
      <w:r w:rsidR="00CA7299">
        <w:t>t relations, or private systems;</w:t>
      </w:r>
    </w:p>
    <w:p w:rsidR="00A007DC" w:rsidRPr="006C3BAA" w:rsidRDefault="00A007DC" w:rsidP="00313B4A">
      <w:pPr>
        <w:pStyle w:val="ESPONbulletlist"/>
        <w:numPr>
          <w:ilvl w:val="0"/>
          <w:numId w:val="16"/>
        </w:numPr>
      </w:pPr>
      <w:r w:rsidRPr="006C3BAA">
        <w:t xml:space="preserve">Bureaucratic relations, </w:t>
      </w:r>
      <w:r w:rsidR="00CA7299">
        <w:t>or state administrative systems;</w:t>
      </w:r>
    </w:p>
    <w:p w:rsidR="00A007DC" w:rsidRPr="006C3BAA" w:rsidRDefault="00A007DC" w:rsidP="00313B4A">
      <w:pPr>
        <w:pStyle w:val="ESPONbulletlist"/>
        <w:numPr>
          <w:ilvl w:val="0"/>
          <w:numId w:val="16"/>
        </w:numPr>
      </w:pPr>
      <w:r w:rsidRPr="006C3BAA">
        <w:t>Associative relations, i.e. collective action proc</w:t>
      </w:r>
      <w:r w:rsidR="00CA7299">
        <w:t>esses based on shared interests;</w:t>
      </w:r>
    </w:p>
    <w:p w:rsidR="00A007DC" w:rsidRPr="006C3BAA" w:rsidRDefault="00A007DC" w:rsidP="00313B4A">
      <w:pPr>
        <w:pStyle w:val="ESPONbulletlist"/>
        <w:numPr>
          <w:ilvl w:val="0"/>
          <w:numId w:val="16"/>
        </w:numPr>
      </w:pPr>
      <w:r w:rsidRPr="006C3BAA">
        <w:lastRenderedPageBreak/>
        <w:t xml:space="preserve">Communal </w:t>
      </w:r>
      <w:proofErr w:type="gramStart"/>
      <w:r w:rsidRPr="006C3BAA">
        <w:t>relations,</w:t>
      </w:r>
      <w:proofErr w:type="gramEnd"/>
      <w:r w:rsidRPr="006C3BAA">
        <w:t xml:space="preserve"> based on shared identity, among family and friends networks.</w:t>
      </w:r>
    </w:p>
    <w:p w:rsidR="00A007DC" w:rsidRPr="006C3BAA" w:rsidRDefault="00A007DC" w:rsidP="00A007DC">
      <w:r w:rsidRPr="006C3BAA">
        <w:t xml:space="preserve">This concept of different relations undoubtedly helps in making sense of how social relations unfold (also over space) in order to exclude or include people or groups of people. Nevertheless, for </w:t>
      </w:r>
      <w:proofErr w:type="spellStart"/>
      <w:r w:rsidRPr="006C3BAA">
        <w:t>TiPSE</w:t>
      </w:r>
      <w:proofErr w:type="spellEnd"/>
      <w:r w:rsidRPr="006C3BAA">
        <w:t xml:space="preserve"> they represent an abstract level of social exclusion which has to be measured by some ‘clear’ indicators which are meaningful and available at NUTS 3 regional level in the ESPON countries. </w:t>
      </w:r>
      <w:r w:rsidR="00907A79">
        <w:t xml:space="preserve">Because of these limitations, Annex </w:t>
      </w:r>
      <w:r w:rsidRPr="006C3BAA">
        <w:t>1 has already identified four domains of social exclusion for the mapping exercise:</w:t>
      </w:r>
    </w:p>
    <w:p w:rsidR="00A007DC" w:rsidRPr="006C3BAA" w:rsidRDefault="00CA7299" w:rsidP="00CA7299">
      <w:pPr>
        <w:pStyle w:val="ESPONnumberedlist"/>
        <w:spacing w:before="120"/>
        <w:ind w:left="714" w:hanging="357"/>
      </w:pPr>
      <w:r>
        <w:t>Earning a living;</w:t>
      </w:r>
    </w:p>
    <w:p w:rsidR="00A007DC" w:rsidRPr="006C3BAA" w:rsidRDefault="00CA7299" w:rsidP="00CA7299">
      <w:pPr>
        <w:pStyle w:val="ESPONnumberedlist"/>
      </w:pPr>
      <w:r>
        <w:t>Access to basic services;</w:t>
      </w:r>
    </w:p>
    <w:p w:rsidR="00A007DC" w:rsidRPr="006C3BAA" w:rsidRDefault="00CA7299" w:rsidP="00CA7299">
      <w:pPr>
        <w:pStyle w:val="ESPONnumberedlist"/>
      </w:pPr>
      <w:r>
        <w:t>Social environment;</w:t>
      </w:r>
    </w:p>
    <w:p w:rsidR="00A007DC" w:rsidRPr="006C3BAA" w:rsidRDefault="00A007DC" w:rsidP="00CA7299">
      <w:pPr>
        <w:pStyle w:val="ESPONnumberedlist"/>
      </w:pPr>
      <w:r w:rsidRPr="006C3BAA">
        <w:t>Political participation.</w:t>
      </w:r>
    </w:p>
    <w:p w:rsidR="00A007DC" w:rsidRPr="006C3BAA" w:rsidRDefault="00907A79" w:rsidP="00A007DC">
      <w:r>
        <w:t xml:space="preserve">Annex </w:t>
      </w:r>
      <w:r w:rsidR="00A007DC" w:rsidRPr="006C3BAA">
        <w:t xml:space="preserve">1, however, did not </w:t>
      </w:r>
      <w:proofErr w:type="gramStart"/>
      <w:r w:rsidR="00A007DC" w:rsidRPr="006C3BAA">
        <w:t>established</w:t>
      </w:r>
      <w:proofErr w:type="gramEnd"/>
      <w:r w:rsidR="00A007DC" w:rsidRPr="006C3BAA">
        <w:t xml:space="preserve"> the conceptual links between Philip and </w:t>
      </w:r>
      <w:proofErr w:type="spellStart"/>
      <w:r w:rsidR="00A007DC" w:rsidRPr="006C3BAA">
        <w:t>Shucksmith’s</w:t>
      </w:r>
      <w:proofErr w:type="spellEnd"/>
      <w:r w:rsidR="00A007DC" w:rsidRPr="006C3BAA">
        <w:t xml:space="preserve"> social systems and ESPON </w:t>
      </w:r>
      <w:proofErr w:type="spellStart"/>
      <w:r w:rsidR="00A007DC" w:rsidRPr="006C3BAA">
        <w:t>TiPSE’s</w:t>
      </w:r>
      <w:proofErr w:type="spellEnd"/>
      <w:r w:rsidR="00A007DC" w:rsidRPr="006C3BAA">
        <w:t xml:space="preserve"> domains. There is </w:t>
      </w:r>
      <w:r w:rsidR="00CA7299">
        <w:t xml:space="preserve">apparently </w:t>
      </w:r>
      <w:r w:rsidR="00A007DC" w:rsidRPr="006C3BAA">
        <w:t xml:space="preserve">a direct link between the two, but some deviations will be summarised in the following chapter on ESPON </w:t>
      </w:r>
      <w:proofErr w:type="spellStart"/>
      <w:r w:rsidR="00A007DC" w:rsidRPr="006C3BAA">
        <w:t>TiPSE</w:t>
      </w:r>
      <w:proofErr w:type="spellEnd"/>
      <w:r w:rsidR="00A007DC" w:rsidRPr="006C3BAA">
        <w:t xml:space="preserve"> Indicators.</w:t>
      </w:r>
    </w:p>
    <w:p w:rsidR="00A007DC" w:rsidRPr="006C3BAA" w:rsidRDefault="00A007DC" w:rsidP="00A007DC">
      <w:r w:rsidRPr="006C3BAA">
        <w:t>EU level policies’ frameworks changed in the past whether they identify do</w:t>
      </w:r>
      <w:r w:rsidR="00907A79">
        <w:t xml:space="preserve">mains of social exclusion. As Annex </w:t>
      </w:r>
      <w:r w:rsidRPr="006C3BAA">
        <w:t xml:space="preserve">1 noted, EU-commissioned research in 1998 identified five domains (factors) that </w:t>
      </w:r>
      <w:r w:rsidRPr="006C3BAA">
        <w:rPr>
          <w:i/>
          <w:iCs/>
        </w:rPr>
        <w:t>cause</w:t>
      </w:r>
      <w:r w:rsidRPr="006C3BAA">
        <w:t xml:space="preserve"> social exclusion, namely social, economic, institutional, territorial factors and symbolic references (European Commission</w:t>
      </w:r>
      <w:r w:rsidR="00CA7299">
        <w:t>,</w:t>
      </w:r>
      <w:r w:rsidRPr="006C3BAA">
        <w:t xml:space="preserve"> 1998). Hence, </w:t>
      </w:r>
      <w:r w:rsidRPr="006C3BAA">
        <w:rPr>
          <w:i/>
          <w:iCs/>
        </w:rPr>
        <w:t>a difference should be made between a) domains–dimensions–indicators along which causes of social exclusion may be measured, and b) domains–dimensions–indicators along which policy intervention can tackle social exclusion.</w:t>
      </w:r>
      <w:r w:rsidRPr="006C3BAA">
        <w:t xml:space="preserve"> A slightly similar approach is adopted by a Polish case study which differentiates between ‘symptoms’ of social exclusion and refers also to the monitoring of policy intervention by assessing subjective exclusion consequences (for the latter, survey data was used) (Ministry of Labour and Social Policy and UNDP 2006). </w:t>
      </w:r>
    </w:p>
    <w:p w:rsidR="00A007DC" w:rsidRPr="006C3BAA" w:rsidRDefault="00A007DC" w:rsidP="00A007DC">
      <w:r w:rsidRPr="006C3BAA">
        <w:t>EU level policies following the 1998 report focused more on t</w:t>
      </w:r>
      <w:r w:rsidR="00907A79">
        <w:t xml:space="preserve">he ‘Earning a living’ domain. Annex </w:t>
      </w:r>
      <w:r w:rsidRPr="006C3BAA">
        <w:t>1 concluded that the Lisbon Strategy and its re</w:t>
      </w:r>
      <w:r w:rsidR="00681937">
        <w:t>-</w:t>
      </w:r>
      <w:r w:rsidRPr="006C3BAA">
        <w:t>launch in 2005 shifted the emphasis from economic and social cohesion to growth and jobs; which means that the policy discourse is focused on coping social exclusion by job-creation and increasing (per capita) income. The EU</w:t>
      </w:r>
      <w:r w:rsidR="00907A79">
        <w:t xml:space="preserve"> 2020 agenda – also cited in Annex </w:t>
      </w:r>
      <w:r w:rsidRPr="006C3BAA">
        <w:t>1 – on the one hand pushes forward a slightly different understanding by emphasising social exclusion throughout the life-</w:t>
      </w:r>
      <w:proofErr w:type="gramStart"/>
      <w:r w:rsidRPr="006C3BAA">
        <w:t>cycle,</w:t>
      </w:r>
      <w:proofErr w:type="gramEnd"/>
      <w:r w:rsidRPr="006C3BAA">
        <w:t xml:space="preserve"> on the other hand the growth-related understanding of </w:t>
      </w:r>
      <w:r w:rsidR="00681937">
        <w:t>social exclusion did not change</w:t>
      </w:r>
      <w:r w:rsidRPr="006C3BAA">
        <w:t xml:space="preserve"> at all. In this sense, the approach followed by the EU policy-making corresponds to only one or two of the three characteristics of social exclusion referred to earlier (</w:t>
      </w:r>
      <w:proofErr w:type="spellStart"/>
      <w:r w:rsidRPr="006C3BAA">
        <w:t>relationality</w:t>
      </w:r>
      <w:proofErr w:type="spellEnd"/>
      <w:r w:rsidRPr="006C3BAA">
        <w:t xml:space="preserve">, process-orientation and multidimensional character). </w:t>
      </w:r>
      <w:proofErr w:type="spellStart"/>
      <w:r w:rsidRPr="006C3BAA">
        <w:t>Relationality</w:t>
      </w:r>
      <w:proofErr w:type="spellEnd"/>
      <w:r w:rsidRPr="006C3BAA">
        <w:t xml:space="preserve"> of social exclusion is considered one-</w:t>
      </w:r>
      <w:r w:rsidRPr="006C3BAA">
        <w:lastRenderedPageBreak/>
        <w:t xml:space="preserve">sidedly, as relations between the ‘excluded’ and the ‘included’ are narrowed down to economic, growth-related issues (i.e. exclusion can be solved only by the fact that some ‘included’ people are working and producing added-value in the economy). Process-orientation of social exclusion is covered by focusing EU policy on a process (growth), and not on some static goal. Multi-dimensionality of social exclusion is, however, </w:t>
      </w:r>
      <w:r w:rsidR="00E7101E">
        <w:t>largely</w:t>
      </w:r>
      <w:r w:rsidRPr="006C3BAA">
        <w:t xml:space="preserve"> omitted. </w:t>
      </w:r>
      <w:r w:rsidR="00E7101E">
        <w:t xml:space="preserve">Generally speaking, </w:t>
      </w:r>
      <w:r w:rsidRPr="006C3BAA">
        <w:t xml:space="preserve">the same approach was followed in the aforementioned Polish study which conceptualised social exclusion as </w:t>
      </w:r>
      <w:r w:rsidR="00E7101E">
        <w:t xml:space="preserve">reflected in </w:t>
      </w:r>
      <w:r w:rsidRPr="006C3BAA">
        <w:t xml:space="preserve">two areas: exclusion from the labour market and exclusion from the market of goods and services (consumption), thereby offering a ‘pure economic’ perspective of the phenomenon (for the details see Ministry of Labour and Social Policy and UNDP 2006). </w:t>
      </w:r>
    </w:p>
    <w:p w:rsidR="00A007DC" w:rsidRPr="006C3BAA" w:rsidRDefault="00A007DC" w:rsidP="00A007DC">
      <w:r w:rsidRPr="006C3BAA">
        <w:t>There are other examples, however, which take into account different, non-economic areas of social exclusion. UNDP (2011) differentiates between exclusion from economic life, social services, civic and social participation; and the OMC (Open Method of Coordination on Social Protection and Social Inclusion) also follows the same approach with the following domains: income (poverty), material deprivation, health, (low) educational attainment, access to the labour market, access to social care.</w:t>
      </w:r>
    </w:p>
    <w:p w:rsidR="00A007DC" w:rsidRDefault="00A007DC" w:rsidP="00A007DC">
      <w:r w:rsidRPr="006C3BAA">
        <w:t xml:space="preserve">Neither approach is </w:t>
      </w:r>
      <w:r w:rsidR="00E7101E">
        <w:t xml:space="preserve">necessarily </w:t>
      </w:r>
      <w:r w:rsidRPr="006C3BAA">
        <w:t xml:space="preserve">capable of solving the conceptualisation problem of social exclusion in all prevailing socio-spatial contexts or ‘welfare regimes’ throughout Europe. For example, several studies in </w:t>
      </w:r>
      <w:r w:rsidR="00E7101E">
        <w:t xml:space="preserve">both Western and </w:t>
      </w:r>
      <w:r w:rsidRPr="006C3BAA">
        <w:t xml:space="preserve">post-socialist countries (with research undertaken before </w:t>
      </w:r>
      <w:r w:rsidR="00E7101E">
        <w:t xml:space="preserve">and after </w:t>
      </w:r>
      <w:r w:rsidRPr="006C3BAA">
        <w:t>the 2008 crisis) analysed the emerging group of working poor, which means that people with jobs are also facing poverty and social exclusion in th</w:t>
      </w:r>
      <w:r w:rsidR="00681937">
        <w:t>e</w:t>
      </w:r>
      <w:r w:rsidRPr="006C3BAA">
        <w:t>s</w:t>
      </w:r>
      <w:r w:rsidR="00681937">
        <w:t>e</w:t>
      </w:r>
      <w:r w:rsidRPr="006C3BAA">
        <w:t xml:space="preserve"> region</w:t>
      </w:r>
      <w:r w:rsidR="00681937">
        <w:t>s</w:t>
      </w:r>
      <w:r w:rsidRPr="006C3BAA">
        <w:t xml:space="preserve"> (Smith, </w:t>
      </w:r>
      <w:proofErr w:type="spellStart"/>
      <w:r w:rsidRPr="006C3BAA">
        <w:t>Stenning</w:t>
      </w:r>
      <w:proofErr w:type="spellEnd"/>
      <w:r w:rsidRPr="006C3BAA">
        <w:t xml:space="preserve">, </w:t>
      </w:r>
      <w:proofErr w:type="spellStart"/>
      <w:r w:rsidRPr="006C3BAA">
        <w:t>Rochovská</w:t>
      </w:r>
      <w:proofErr w:type="spellEnd"/>
      <w:r w:rsidRPr="006C3BAA">
        <w:t xml:space="preserve"> </w:t>
      </w:r>
      <w:r w:rsidR="00E7101E">
        <w:t xml:space="preserve">and </w:t>
      </w:r>
      <w:proofErr w:type="spellStart"/>
      <w:r w:rsidRPr="006C3BAA">
        <w:t>Świątek</w:t>
      </w:r>
      <w:proofErr w:type="spellEnd"/>
      <w:r w:rsidRPr="006C3BAA">
        <w:t>, 2008</w:t>
      </w:r>
      <w:r w:rsidR="00DF17C0">
        <w:t xml:space="preserve">; Wills and </w:t>
      </w:r>
      <w:proofErr w:type="spellStart"/>
      <w:r w:rsidR="00DF17C0">
        <w:t>Linneker</w:t>
      </w:r>
      <w:proofErr w:type="spellEnd"/>
      <w:r w:rsidR="00DF17C0">
        <w:t xml:space="preserve"> 2014</w:t>
      </w:r>
      <w:r w:rsidRPr="006C3BAA">
        <w:t xml:space="preserve">). Although many (mostly theoretical) criticisms on the </w:t>
      </w:r>
      <w:r w:rsidR="00681937">
        <w:t>‘</w:t>
      </w:r>
      <w:r w:rsidRPr="006C3BAA">
        <w:t>active inclusion through employment</w:t>
      </w:r>
      <w:r w:rsidR="00681937">
        <w:t>’</w:t>
      </w:r>
      <w:r w:rsidRPr="006C3BAA">
        <w:t xml:space="preserve"> approach were cited by </w:t>
      </w:r>
      <w:r w:rsidR="003A20F8">
        <w:t xml:space="preserve">Annex </w:t>
      </w:r>
      <w:r w:rsidRPr="006C3BAA">
        <w:t xml:space="preserve">1, it is also important to note that it is exactly the territoriality (or socio-spatial </w:t>
      </w:r>
      <w:proofErr w:type="spellStart"/>
      <w:r w:rsidRPr="006C3BAA">
        <w:t>embeddedness</w:t>
      </w:r>
      <w:proofErr w:type="spellEnd"/>
      <w:r w:rsidRPr="006C3BAA">
        <w:t xml:space="preserve">) of social exclusion because of which cross-European, univocal understandings and ‘treatments’ may fail in the end. In this sense, the EU’s reformed regional policy focusing on place-based approaches would establish a good opportunity to take into account the variegated socio-spatial contexts of exclusion. </w:t>
      </w:r>
    </w:p>
    <w:p w:rsidR="00D434A2" w:rsidRPr="006C3BAA" w:rsidRDefault="00D434A2" w:rsidP="00A007DC"/>
    <w:p w:rsidR="00DC2035" w:rsidRPr="006C3BAA" w:rsidRDefault="00A007DC" w:rsidP="00A007DC">
      <w:pPr>
        <w:pStyle w:val="Cmsor2"/>
      </w:pPr>
      <w:bookmarkStart w:id="7" w:name="_Toc401264625"/>
      <w:r w:rsidRPr="006C3BAA">
        <w:t>Dimensions of social exclusion</w:t>
      </w:r>
      <w:bookmarkEnd w:id="7"/>
    </w:p>
    <w:p w:rsidR="00A007DC" w:rsidRPr="006C3BAA" w:rsidRDefault="00907A79" w:rsidP="00A007DC">
      <w:r>
        <w:t xml:space="preserve">Annex </w:t>
      </w:r>
      <w:r w:rsidR="00A007DC" w:rsidRPr="006C3BAA">
        <w:t xml:space="preserve">1 identified four domains of social exclusion for the </w:t>
      </w:r>
      <w:proofErr w:type="spellStart"/>
      <w:r w:rsidR="00A007DC" w:rsidRPr="006C3BAA">
        <w:t>TiPSE</w:t>
      </w:r>
      <w:proofErr w:type="spellEnd"/>
      <w:r w:rsidR="00A007DC" w:rsidRPr="006C3BAA">
        <w:t xml:space="preserve"> project to be used in the ma</w:t>
      </w:r>
      <w:r w:rsidR="00D64729">
        <w:t xml:space="preserve">pping exercise. To </w:t>
      </w:r>
      <w:proofErr w:type="spellStart"/>
      <w:r w:rsidR="00D64729">
        <w:t>operationaliz</w:t>
      </w:r>
      <w:r w:rsidR="00A007DC" w:rsidRPr="006C3BAA">
        <w:t>e</w:t>
      </w:r>
      <w:proofErr w:type="spellEnd"/>
      <w:r w:rsidR="00A007DC" w:rsidRPr="006C3BAA">
        <w:t xml:space="preserve"> these four domains, several ‘dimensions’ </w:t>
      </w:r>
      <w:r w:rsidR="00D64729">
        <w:t xml:space="preserve">were </w:t>
      </w:r>
      <w:r w:rsidR="00A007DC" w:rsidRPr="006C3BAA">
        <w:t xml:space="preserve">chosen as the next step. </w:t>
      </w:r>
    </w:p>
    <w:p w:rsidR="00A007DC" w:rsidRPr="006C3BAA" w:rsidRDefault="00A007DC" w:rsidP="00A007DC">
      <w:r w:rsidRPr="006C3BAA">
        <w:t xml:space="preserve">Although explicit domains of social exclusion are mostly missing from European policy-related documents (but these can be elaborated on ‘inductively’ </w:t>
      </w:r>
      <w:r w:rsidR="00907A79">
        <w:t xml:space="preserve">in research overviews such as Task 2.1 or Task </w:t>
      </w:r>
      <w:r w:rsidRPr="006C3BAA">
        <w:t xml:space="preserve">2.6 of </w:t>
      </w:r>
      <w:proofErr w:type="spellStart"/>
      <w:r w:rsidRPr="006C3BAA">
        <w:t>TiPSE</w:t>
      </w:r>
      <w:proofErr w:type="spellEnd"/>
      <w:r w:rsidRPr="006C3BAA">
        <w:t xml:space="preserve">), dimensions of poverty and social exclusion are present in many cross-European and national social policy documents. </w:t>
      </w:r>
      <w:r w:rsidR="00907A79">
        <w:lastRenderedPageBreak/>
        <w:t xml:space="preserve">As Annex </w:t>
      </w:r>
      <w:r w:rsidRPr="006C3BAA">
        <w:t>1 offered an extensive overview of them, only the European level will be discussed further in this paper.</w:t>
      </w:r>
    </w:p>
    <w:p w:rsidR="00A007DC" w:rsidRPr="006C3BAA" w:rsidRDefault="00A007DC" w:rsidP="00A007DC">
      <w:r w:rsidRPr="006C3BAA">
        <w:t>Povert</w:t>
      </w:r>
      <w:r w:rsidR="00907A79">
        <w:t xml:space="preserve">y is not a central concept in Task </w:t>
      </w:r>
      <w:r w:rsidRPr="006C3BAA">
        <w:t xml:space="preserve">2.6, and poverty is mostly defined one-sidedly, only relating to material-financial assets. </w:t>
      </w:r>
      <w:r w:rsidR="00D64729">
        <w:t>In spite of that, s</w:t>
      </w:r>
      <w:r w:rsidRPr="006C3BAA">
        <w:t>ome documents move towards a multi-dimensional understanding, as identifying dimensions of poverty is present in some documents of the EU policy. As an e</w:t>
      </w:r>
      <w:r w:rsidR="00907A79">
        <w:t xml:space="preserve">xample, also referred to in Annex </w:t>
      </w:r>
      <w:r w:rsidRPr="006C3BAA">
        <w:t xml:space="preserve">1, the European Commission’s Platform against Poverty and Social Exclusion monitors and targets social exclusion with using three dimensions: the at-risk-of-poverty rate after social transfers, the index of material deprivation (lacking 4+ deprivation items) and the percentage of people living in households with very low work intensity (Bradshaw and Mayhew, 2010). </w:t>
      </w:r>
    </w:p>
    <w:p w:rsidR="00A007DC" w:rsidRPr="006C3BAA" w:rsidRDefault="002B3046" w:rsidP="00A007DC">
      <w:r>
        <w:t>Both t</w:t>
      </w:r>
      <w:r w:rsidR="00A007DC" w:rsidRPr="006C3BAA">
        <w:t xml:space="preserve">he Fifth </w:t>
      </w:r>
      <w:r>
        <w:t xml:space="preserve">and the Sixth </w:t>
      </w:r>
      <w:r w:rsidR="00A007DC" w:rsidRPr="006C3BAA">
        <w:t>report on economic, social and territorial cohesion (European Commission 2010</w:t>
      </w:r>
      <w:r>
        <w:t>, 2014</w:t>
      </w:r>
      <w:r w:rsidR="00A007DC" w:rsidRPr="006C3BAA">
        <w:t xml:space="preserve">) identified different aspects of social exclusion. In the evaluation of the impacts of cohesion policy, the </w:t>
      </w:r>
      <w:r>
        <w:t>reports take</w:t>
      </w:r>
      <w:r w:rsidR="00A007DC" w:rsidRPr="006C3BAA">
        <w:t xml:space="preserve"> into consideration the important role of cohesion policy in reducing unemployment and increasing employability, as well as in tackling disadvantages in education and training. </w:t>
      </w:r>
      <w:r w:rsidR="00D64729">
        <w:t>Furthermore</w:t>
      </w:r>
      <w:r w:rsidR="00A007DC" w:rsidRPr="006C3BAA">
        <w:t xml:space="preserve">, </w:t>
      </w:r>
      <w:r>
        <w:t>they discuss</w:t>
      </w:r>
      <w:r w:rsidR="00A007DC" w:rsidRPr="006C3BAA">
        <w:t xml:space="preserve"> the contribution ERDF made by funding infrastructural investments throughout Europe. All of these aspects are covered by ESPON </w:t>
      </w:r>
      <w:proofErr w:type="spellStart"/>
      <w:r w:rsidR="00A007DC" w:rsidRPr="006C3BAA">
        <w:t>TiPSE’s</w:t>
      </w:r>
      <w:proofErr w:type="spellEnd"/>
      <w:r w:rsidR="00A007DC" w:rsidRPr="006C3BAA">
        <w:t xml:space="preserve"> proposal on the different dimensions and indicators of social exclusion (</w:t>
      </w:r>
      <w:r w:rsidR="00D64729">
        <w:t xml:space="preserve">see </w:t>
      </w:r>
      <w:r w:rsidR="00A007DC" w:rsidRPr="006C3BAA">
        <w:t>the next chapter</w:t>
      </w:r>
      <w:r w:rsidR="00D64729">
        <w:t xml:space="preserve"> as well</w:t>
      </w:r>
      <w:r w:rsidR="00A007DC" w:rsidRPr="006C3BAA">
        <w:t xml:space="preserve">). In the Fifth cohesion report the multi-dimensional character of exclusion is discussed as to be tackled by identifying vulnerable groups (whose constitution as a separate group reflects different dimensions of their social exclusion), such as ‘people with special needs’, ‘migrants and minorities’, ‘asylum seekers’ or ‘Roma people’ (pages 227–230.). Targeted may it sound, and not calling into question the easiness of this understanding in the policy practice, an inherent problem in this approach is the stigmatisation of whole groups of people as being excluded (because they are migrants or because they are Roma). </w:t>
      </w:r>
      <w:r>
        <w:t xml:space="preserve">The Sixth cohesion report uses the Europe 2020 strategy’s approach by using three aspects (being severely materially deprived; living in a jobless household or household with very low work intensity; being at risk of poverty) to measure social exclusion (European Commission 2014). </w:t>
      </w:r>
      <w:proofErr w:type="gramStart"/>
      <w:r w:rsidR="00A007DC" w:rsidRPr="006C3BAA">
        <w:t xml:space="preserve">Having said that, ESPON </w:t>
      </w:r>
      <w:proofErr w:type="spellStart"/>
      <w:r w:rsidR="00A007DC" w:rsidRPr="006C3BAA">
        <w:t>TiPSE</w:t>
      </w:r>
      <w:r w:rsidR="00D64729">
        <w:t>’s</w:t>
      </w:r>
      <w:proofErr w:type="spellEnd"/>
      <w:r w:rsidR="00A007DC" w:rsidRPr="006C3BAA">
        <w:t xml:space="preserve"> work packages </w:t>
      </w:r>
      <w:r w:rsidR="00681937">
        <w:t xml:space="preserve">partly </w:t>
      </w:r>
      <w:r w:rsidR="00A007DC" w:rsidRPr="006C3BAA">
        <w:t>aim at the verification these approaches by cross-compariso</w:t>
      </w:r>
      <w:r w:rsidR="00D64729">
        <w:t>ns of several dimensions and</w:t>
      </w:r>
      <w:r w:rsidR="00A007DC" w:rsidRPr="006C3BAA">
        <w:t xml:space="preserve"> indicators (such as the dimension of ethnic composition or that of immigrants with the employment dimension).</w:t>
      </w:r>
      <w:proofErr w:type="gramEnd"/>
      <w:r w:rsidR="00A007DC" w:rsidRPr="006C3BAA">
        <w:t xml:space="preserve"> </w:t>
      </w:r>
    </w:p>
    <w:p w:rsidR="00A007DC" w:rsidRPr="006C3BAA" w:rsidRDefault="00A007DC" w:rsidP="00A007DC">
      <w:r w:rsidRPr="006C3BAA">
        <w:t>Another</w:t>
      </w:r>
      <w:r w:rsidR="00907A79">
        <w:t xml:space="preserve"> </w:t>
      </w:r>
      <w:proofErr w:type="spellStart"/>
      <w:r w:rsidR="00907A79">
        <w:t>sectoral</w:t>
      </w:r>
      <w:proofErr w:type="spellEnd"/>
      <w:r w:rsidR="00907A79">
        <w:t xml:space="preserve"> policy discussed by Annex </w:t>
      </w:r>
      <w:r w:rsidRPr="006C3BAA">
        <w:t xml:space="preserve">1 </w:t>
      </w:r>
      <w:r w:rsidR="00E87A56">
        <w:t xml:space="preserve">of Final Report </w:t>
      </w:r>
      <w:r w:rsidRPr="006C3BAA">
        <w:t xml:space="preserve">is the common agricultural policy (CAP). In the past decades the emphasis of CAP shifted from direct subvention of agriculture to a multi-faceted rural development agenda. In this sense, the EU is targeting with the common agricultural policy-making one territorial appearance of social exclusion, namely that of rural areas and of people living in rural areas. A logical conclusion to be drawn is that industrial structure of regional economies (e.g. agriculture’s share in the GDP or in the employment) may also be considered as one possible dimension in the ‘Earning a living’ domain, to be touched </w:t>
      </w:r>
      <w:r w:rsidRPr="006C3BAA">
        <w:lastRenderedPageBreak/>
        <w:t xml:space="preserve">upon by ESPON </w:t>
      </w:r>
      <w:proofErr w:type="spellStart"/>
      <w:r w:rsidRPr="006C3BAA">
        <w:t>TiPSE</w:t>
      </w:r>
      <w:proofErr w:type="spellEnd"/>
      <w:r w:rsidRPr="006C3BAA">
        <w:t xml:space="preserve">. </w:t>
      </w:r>
      <w:r w:rsidR="00D64729">
        <w:t>However, i</w:t>
      </w:r>
      <w:r w:rsidRPr="006C3BAA">
        <w:t xml:space="preserve">t will not be considered among the indicators in this project. The main reason for that is that the </w:t>
      </w:r>
      <w:proofErr w:type="spellStart"/>
      <w:r w:rsidRPr="006C3BAA">
        <w:t>sectoral</w:t>
      </w:r>
      <w:proofErr w:type="spellEnd"/>
      <w:r w:rsidRPr="006C3BAA">
        <w:t xml:space="preserve"> composition of regional economies is in non-mutual relationship with the vulnerability to social exclusion (e.g. higher percentage of the manufacturing industry may indicate a region of industrial decline with higher social exclusion or prosperous manufacturing with less social exclusion).</w:t>
      </w:r>
    </w:p>
    <w:p w:rsidR="00A007DC" w:rsidRPr="006C3BAA" w:rsidRDefault="00A007DC" w:rsidP="00A007DC">
      <w:r w:rsidRPr="006C3BAA">
        <w:t>Following that, the four domains of social exclusion have been disaggregated into different dimensions (see Table 1).</w:t>
      </w:r>
    </w:p>
    <w:p w:rsidR="00A007DC" w:rsidRPr="006C3BAA" w:rsidRDefault="00A007DC" w:rsidP="00A007DC"/>
    <w:p w:rsidR="00A007DC" w:rsidRPr="00E6231A" w:rsidRDefault="00E6231A" w:rsidP="00E6231A">
      <w:pPr>
        <w:pStyle w:val="Kpalrs"/>
      </w:pPr>
      <w:bookmarkStart w:id="8" w:name="_Toc401264640"/>
      <w:r w:rsidRPr="00E6231A">
        <w:t xml:space="preserve">Table </w:t>
      </w:r>
      <w:r w:rsidR="00CD0272">
        <w:fldChar w:fldCharType="begin"/>
      </w:r>
      <w:r w:rsidR="00B6257D">
        <w:instrText xml:space="preserve"> SEQ Table \* ARABIC </w:instrText>
      </w:r>
      <w:r w:rsidR="00CD0272">
        <w:fldChar w:fldCharType="separate"/>
      </w:r>
      <w:r w:rsidR="00FA7411">
        <w:rPr>
          <w:noProof/>
        </w:rPr>
        <w:t>1</w:t>
      </w:r>
      <w:r w:rsidR="00CD0272">
        <w:rPr>
          <w:noProof/>
        </w:rPr>
        <w:fldChar w:fldCharType="end"/>
      </w:r>
      <w:r w:rsidR="00A007DC" w:rsidRPr="00E6231A">
        <w:t>: Domains and dimensions of so</w:t>
      </w:r>
      <w:r w:rsidR="00907A79">
        <w:t xml:space="preserve">cial exclusion recommended by Task 2.1 and Task </w:t>
      </w:r>
      <w:r w:rsidR="00A007DC" w:rsidRPr="00E6231A">
        <w:t>2.6</w:t>
      </w:r>
      <w:bookmarkEnd w:id="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58"/>
        <w:gridCol w:w="4258"/>
      </w:tblGrid>
      <w:tr w:rsidR="00A007DC" w:rsidRPr="006C3BAA" w:rsidTr="00872DD4">
        <w:tc>
          <w:tcPr>
            <w:tcW w:w="2500" w:type="pct"/>
          </w:tcPr>
          <w:p w:rsidR="00A007DC" w:rsidRPr="006C3BAA" w:rsidRDefault="00907A79" w:rsidP="00A007DC">
            <w:pPr>
              <w:spacing w:line="240" w:lineRule="auto"/>
              <w:rPr>
                <w:i/>
                <w:iCs/>
              </w:rPr>
            </w:pPr>
            <w:r>
              <w:rPr>
                <w:i/>
                <w:iCs/>
              </w:rPr>
              <w:t xml:space="preserve">Domain identified by Task </w:t>
            </w:r>
            <w:r w:rsidR="00A007DC" w:rsidRPr="006C3BAA">
              <w:rPr>
                <w:i/>
                <w:iCs/>
              </w:rPr>
              <w:t>2.1</w:t>
            </w:r>
          </w:p>
        </w:tc>
        <w:tc>
          <w:tcPr>
            <w:tcW w:w="2500" w:type="pct"/>
          </w:tcPr>
          <w:p w:rsidR="00A007DC" w:rsidRPr="006C3BAA" w:rsidRDefault="00907A79" w:rsidP="00A007DC">
            <w:pPr>
              <w:spacing w:line="240" w:lineRule="auto"/>
              <w:rPr>
                <w:i/>
                <w:iCs/>
              </w:rPr>
            </w:pPr>
            <w:r>
              <w:rPr>
                <w:i/>
                <w:iCs/>
              </w:rPr>
              <w:t xml:space="preserve">Dimension identified by Task 2.1 and recommended by Task </w:t>
            </w:r>
            <w:r w:rsidR="00A007DC" w:rsidRPr="006C3BAA">
              <w:rPr>
                <w:i/>
                <w:iCs/>
              </w:rPr>
              <w:t>2.6</w:t>
            </w:r>
          </w:p>
        </w:tc>
      </w:tr>
      <w:tr w:rsidR="00A007DC" w:rsidRPr="006C3BAA" w:rsidTr="00872DD4">
        <w:tc>
          <w:tcPr>
            <w:tcW w:w="2500" w:type="pct"/>
            <w:vMerge w:val="restart"/>
          </w:tcPr>
          <w:p w:rsidR="00A007DC" w:rsidRPr="006C3BAA" w:rsidRDefault="00A007DC" w:rsidP="00A007DC">
            <w:pPr>
              <w:spacing w:line="240" w:lineRule="auto"/>
            </w:pPr>
            <w:r w:rsidRPr="006C3BAA">
              <w:t>Earning a living</w:t>
            </w:r>
          </w:p>
        </w:tc>
        <w:tc>
          <w:tcPr>
            <w:tcW w:w="2500" w:type="pct"/>
          </w:tcPr>
          <w:p w:rsidR="00A007DC" w:rsidRPr="006C3BAA" w:rsidRDefault="00A007DC" w:rsidP="00A007DC">
            <w:pPr>
              <w:spacing w:line="240" w:lineRule="auto"/>
            </w:pPr>
            <w:r w:rsidRPr="006C3BAA">
              <w:t>Income earned by tax payers</w:t>
            </w:r>
          </w:p>
        </w:tc>
      </w:tr>
      <w:tr w:rsidR="00A007DC" w:rsidRPr="006C3BAA" w:rsidTr="00872DD4">
        <w:tc>
          <w:tcPr>
            <w:tcW w:w="2500" w:type="pct"/>
            <w:vMerge/>
          </w:tcPr>
          <w:p w:rsidR="00A007DC" w:rsidRPr="006C3BAA" w:rsidRDefault="00A007DC" w:rsidP="00A007DC">
            <w:pPr>
              <w:spacing w:line="240" w:lineRule="auto"/>
            </w:pPr>
          </w:p>
        </w:tc>
        <w:tc>
          <w:tcPr>
            <w:tcW w:w="2500" w:type="pct"/>
          </w:tcPr>
          <w:p w:rsidR="00A007DC" w:rsidRPr="006C3BAA" w:rsidRDefault="00A007DC" w:rsidP="00A007DC">
            <w:pPr>
              <w:spacing w:line="240" w:lineRule="auto"/>
            </w:pPr>
            <w:r w:rsidRPr="006C3BAA">
              <w:t>Employment</w:t>
            </w:r>
          </w:p>
        </w:tc>
      </w:tr>
      <w:tr w:rsidR="00A007DC" w:rsidRPr="006C3BAA" w:rsidTr="00872DD4">
        <w:tc>
          <w:tcPr>
            <w:tcW w:w="2500" w:type="pct"/>
            <w:vMerge w:val="restart"/>
          </w:tcPr>
          <w:p w:rsidR="00A007DC" w:rsidRPr="006C3BAA" w:rsidRDefault="00A007DC" w:rsidP="00A007DC">
            <w:pPr>
              <w:spacing w:line="240" w:lineRule="auto"/>
            </w:pPr>
            <w:r w:rsidRPr="006C3BAA">
              <w:t>Access to basic services</w:t>
            </w:r>
          </w:p>
        </w:tc>
        <w:tc>
          <w:tcPr>
            <w:tcW w:w="2500" w:type="pct"/>
          </w:tcPr>
          <w:p w:rsidR="00A007DC" w:rsidRPr="006C3BAA" w:rsidRDefault="00A007DC" w:rsidP="00A007DC">
            <w:pPr>
              <w:spacing w:line="240" w:lineRule="auto"/>
            </w:pPr>
            <w:r w:rsidRPr="006C3BAA">
              <w:t>Health</w:t>
            </w:r>
          </w:p>
        </w:tc>
      </w:tr>
      <w:tr w:rsidR="00A007DC" w:rsidRPr="006C3BAA" w:rsidTr="00872DD4">
        <w:tc>
          <w:tcPr>
            <w:tcW w:w="2500" w:type="pct"/>
            <w:vMerge/>
          </w:tcPr>
          <w:p w:rsidR="00A007DC" w:rsidRPr="006C3BAA" w:rsidRDefault="00A007DC" w:rsidP="00A007DC">
            <w:pPr>
              <w:spacing w:line="240" w:lineRule="auto"/>
            </w:pPr>
          </w:p>
        </w:tc>
        <w:tc>
          <w:tcPr>
            <w:tcW w:w="2500" w:type="pct"/>
          </w:tcPr>
          <w:p w:rsidR="00A007DC" w:rsidRPr="006C3BAA" w:rsidRDefault="00A007DC" w:rsidP="00A007DC">
            <w:pPr>
              <w:spacing w:line="240" w:lineRule="auto"/>
            </w:pPr>
            <w:r w:rsidRPr="006C3BAA">
              <w:t>Education</w:t>
            </w:r>
          </w:p>
        </w:tc>
      </w:tr>
      <w:tr w:rsidR="00A007DC" w:rsidRPr="006C3BAA" w:rsidTr="00872DD4">
        <w:tc>
          <w:tcPr>
            <w:tcW w:w="2500" w:type="pct"/>
            <w:vMerge/>
          </w:tcPr>
          <w:p w:rsidR="00A007DC" w:rsidRPr="006C3BAA" w:rsidRDefault="00A007DC" w:rsidP="00A007DC">
            <w:pPr>
              <w:spacing w:line="240" w:lineRule="auto"/>
            </w:pPr>
          </w:p>
        </w:tc>
        <w:tc>
          <w:tcPr>
            <w:tcW w:w="2500" w:type="pct"/>
          </w:tcPr>
          <w:p w:rsidR="00A007DC" w:rsidRPr="006C3BAA" w:rsidRDefault="00A007DC" w:rsidP="00A007DC">
            <w:pPr>
              <w:spacing w:line="240" w:lineRule="auto"/>
            </w:pPr>
            <w:r w:rsidRPr="006C3BAA">
              <w:t>Housing</w:t>
            </w:r>
          </w:p>
        </w:tc>
      </w:tr>
      <w:tr w:rsidR="00A007DC" w:rsidRPr="006C3BAA" w:rsidTr="00872DD4">
        <w:tc>
          <w:tcPr>
            <w:tcW w:w="2500" w:type="pct"/>
            <w:vMerge/>
          </w:tcPr>
          <w:p w:rsidR="00A007DC" w:rsidRPr="006C3BAA" w:rsidRDefault="00A007DC" w:rsidP="00A007DC">
            <w:pPr>
              <w:spacing w:line="240" w:lineRule="auto"/>
            </w:pPr>
          </w:p>
        </w:tc>
        <w:tc>
          <w:tcPr>
            <w:tcW w:w="2500" w:type="pct"/>
          </w:tcPr>
          <w:p w:rsidR="00A007DC" w:rsidRPr="00872DD4" w:rsidRDefault="00A007DC" w:rsidP="00A007DC">
            <w:pPr>
              <w:spacing w:line="240" w:lineRule="auto"/>
              <w:rPr>
                <w:strike/>
              </w:rPr>
            </w:pPr>
            <w:r w:rsidRPr="00872DD4">
              <w:rPr>
                <w:strike/>
              </w:rPr>
              <w:t>Transport and communication</w:t>
            </w:r>
            <w:r w:rsidR="00872DD4" w:rsidRPr="00872DD4">
              <w:t>*</w:t>
            </w:r>
          </w:p>
        </w:tc>
      </w:tr>
      <w:tr w:rsidR="00872DD4" w:rsidRPr="006C3BAA" w:rsidTr="00872DD4">
        <w:tc>
          <w:tcPr>
            <w:tcW w:w="2500" w:type="pct"/>
            <w:vMerge w:val="restart"/>
          </w:tcPr>
          <w:p w:rsidR="00872DD4" w:rsidRPr="006C3BAA" w:rsidRDefault="00872DD4" w:rsidP="00A007DC">
            <w:pPr>
              <w:spacing w:line="240" w:lineRule="auto"/>
            </w:pPr>
            <w:r w:rsidRPr="006C3BAA">
              <w:t>Social environment</w:t>
            </w:r>
          </w:p>
        </w:tc>
        <w:tc>
          <w:tcPr>
            <w:tcW w:w="2500" w:type="pct"/>
          </w:tcPr>
          <w:p w:rsidR="00872DD4" w:rsidRPr="006C3BAA" w:rsidRDefault="00872DD4" w:rsidP="00A007DC">
            <w:pPr>
              <w:spacing w:line="240" w:lineRule="auto"/>
            </w:pPr>
            <w:r w:rsidRPr="006C3BAA">
              <w:t>Age</w:t>
            </w:r>
          </w:p>
        </w:tc>
      </w:tr>
      <w:tr w:rsidR="00872DD4" w:rsidRPr="006C3BAA" w:rsidTr="00872DD4">
        <w:tc>
          <w:tcPr>
            <w:tcW w:w="2500" w:type="pct"/>
            <w:vMerge/>
          </w:tcPr>
          <w:p w:rsidR="00872DD4" w:rsidRPr="006C3BAA" w:rsidRDefault="00872DD4" w:rsidP="00A007DC">
            <w:pPr>
              <w:spacing w:line="240" w:lineRule="auto"/>
            </w:pPr>
          </w:p>
        </w:tc>
        <w:tc>
          <w:tcPr>
            <w:tcW w:w="2500" w:type="pct"/>
          </w:tcPr>
          <w:p w:rsidR="00872DD4" w:rsidRPr="006C3BAA" w:rsidRDefault="00872DD4" w:rsidP="00A007DC">
            <w:pPr>
              <w:spacing w:line="240" w:lineRule="auto"/>
            </w:pPr>
            <w:r w:rsidRPr="006C3BAA">
              <w:t>Ethnic composition</w:t>
            </w:r>
          </w:p>
        </w:tc>
      </w:tr>
      <w:tr w:rsidR="00872DD4" w:rsidRPr="006C3BAA" w:rsidTr="00872DD4">
        <w:tc>
          <w:tcPr>
            <w:tcW w:w="2500" w:type="pct"/>
            <w:vMerge/>
          </w:tcPr>
          <w:p w:rsidR="00872DD4" w:rsidRPr="006C3BAA" w:rsidRDefault="00872DD4" w:rsidP="00A007DC">
            <w:pPr>
              <w:spacing w:line="240" w:lineRule="auto"/>
            </w:pPr>
          </w:p>
        </w:tc>
        <w:tc>
          <w:tcPr>
            <w:tcW w:w="2500" w:type="pct"/>
          </w:tcPr>
          <w:p w:rsidR="00872DD4" w:rsidRPr="006C3BAA" w:rsidRDefault="00872DD4" w:rsidP="00A007DC">
            <w:pPr>
              <w:spacing w:line="240" w:lineRule="auto"/>
            </w:pPr>
            <w:r w:rsidRPr="006C3BAA">
              <w:t>Immigrants</w:t>
            </w:r>
          </w:p>
        </w:tc>
      </w:tr>
      <w:tr w:rsidR="00872DD4" w:rsidRPr="006C3BAA" w:rsidTr="00872DD4">
        <w:tc>
          <w:tcPr>
            <w:tcW w:w="2500" w:type="pct"/>
            <w:vMerge/>
          </w:tcPr>
          <w:p w:rsidR="00872DD4" w:rsidRPr="006C3BAA" w:rsidRDefault="00872DD4" w:rsidP="00A007DC">
            <w:pPr>
              <w:spacing w:line="240" w:lineRule="auto"/>
            </w:pPr>
          </w:p>
        </w:tc>
        <w:tc>
          <w:tcPr>
            <w:tcW w:w="2500" w:type="pct"/>
          </w:tcPr>
          <w:p w:rsidR="00872DD4" w:rsidRPr="00872DD4" w:rsidRDefault="00872DD4" w:rsidP="00A007DC">
            <w:pPr>
              <w:spacing w:line="240" w:lineRule="auto"/>
            </w:pPr>
            <w:r w:rsidRPr="00872DD4">
              <w:rPr>
                <w:strike/>
              </w:rPr>
              <w:t>Crime and safety</w:t>
            </w:r>
            <w:r>
              <w:t>*</w:t>
            </w:r>
          </w:p>
        </w:tc>
      </w:tr>
      <w:tr w:rsidR="00872DD4" w:rsidRPr="006C3BAA" w:rsidTr="00872DD4">
        <w:tc>
          <w:tcPr>
            <w:tcW w:w="2500" w:type="pct"/>
            <w:vMerge/>
          </w:tcPr>
          <w:p w:rsidR="00872DD4" w:rsidRPr="006C3BAA" w:rsidRDefault="00872DD4" w:rsidP="00A007DC">
            <w:pPr>
              <w:spacing w:line="240" w:lineRule="auto"/>
            </w:pPr>
          </w:p>
        </w:tc>
        <w:tc>
          <w:tcPr>
            <w:tcW w:w="2500" w:type="pct"/>
          </w:tcPr>
          <w:p w:rsidR="00872DD4" w:rsidRPr="006C3BAA" w:rsidRDefault="00872DD4" w:rsidP="00A007DC">
            <w:pPr>
              <w:spacing w:line="240" w:lineRule="auto"/>
            </w:pPr>
            <w:r w:rsidRPr="00872DD4">
              <w:rPr>
                <w:strike/>
              </w:rPr>
              <w:t>Municipal income from property taxes</w:t>
            </w:r>
            <w:r>
              <w:t>*</w:t>
            </w:r>
          </w:p>
        </w:tc>
      </w:tr>
      <w:tr w:rsidR="00872DD4" w:rsidRPr="006C3BAA" w:rsidTr="00872DD4">
        <w:tc>
          <w:tcPr>
            <w:tcW w:w="2500" w:type="pct"/>
            <w:vMerge/>
          </w:tcPr>
          <w:p w:rsidR="00872DD4" w:rsidRPr="006C3BAA" w:rsidRDefault="00872DD4" w:rsidP="00A007DC">
            <w:pPr>
              <w:spacing w:line="240" w:lineRule="auto"/>
            </w:pPr>
          </w:p>
        </w:tc>
        <w:tc>
          <w:tcPr>
            <w:tcW w:w="2500" w:type="pct"/>
          </w:tcPr>
          <w:p w:rsidR="00872DD4" w:rsidRPr="006C3BAA" w:rsidRDefault="00872DD4" w:rsidP="00A007DC">
            <w:pPr>
              <w:spacing w:line="240" w:lineRule="auto"/>
            </w:pPr>
            <w:r w:rsidRPr="00872DD4">
              <w:rPr>
                <w:strike/>
              </w:rPr>
              <w:t>Municipal spending on social assistance</w:t>
            </w:r>
            <w:r>
              <w:t>*</w:t>
            </w:r>
          </w:p>
        </w:tc>
      </w:tr>
      <w:tr w:rsidR="00872DD4" w:rsidRPr="006C3BAA" w:rsidTr="00872DD4">
        <w:tc>
          <w:tcPr>
            <w:tcW w:w="2500" w:type="pct"/>
            <w:vMerge/>
          </w:tcPr>
          <w:p w:rsidR="00872DD4" w:rsidRPr="006C3BAA" w:rsidRDefault="00872DD4" w:rsidP="00A007DC">
            <w:pPr>
              <w:spacing w:line="240" w:lineRule="auto"/>
            </w:pPr>
          </w:p>
        </w:tc>
        <w:tc>
          <w:tcPr>
            <w:tcW w:w="2500" w:type="pct"/>
          </w:tcPr>
          <w:p w:rsidR="00872DD4" w:rsidRPr="006C3BAA" w:rsidRDefault="00872DD4" w:rsidP="00A007DC">
            <w:pPr>
              <w:spacing w:line="240" w:lineRule="auto"/>
            </w:pPr>
            <w:r>
              <w:t>Household structure**</w:t>
            </w:r>
          </w:p>
        </w:tc>
      </w:tr>
      <w:tr w:rsidR="00A007DC" w:rsidRPr="006C3BAA" w:rsidTr="00872DD4">
        <w:tc>
          <w:tcPr>
            <w:tcW w:w="2500" w:type="pct"/>
            <w:vMerge w:val="restart"/>
          </w:tcPr>
          <w:p w:rsidR="00A007DC" w:rsidRPr="006C3BAA" w:rsidRDefault="00A007DC" w:rsidP="00A007DC">
            <w:pPr>
              <w:spacing w:line="240" w:lineRule="auto"/>
            </w:pPr>
            <w:r w:rsidRPr="006C3BAA">
              <w:t>Political participation</w:t>
            </w:r>
          </w:p>
        </w:tc>
        <w:tc>
          <w:tcPr>
            <w:tcW w:w="2500" w:type="pct"/>
          </w:tcPr>
          <w:p w:rsidR="00A007DC" w:rsidRPr="006C3BAA" w:rsidRDefault="00A007DC" w:rsidP="00A007DC">
            <w:pPr>
              <w:spacing w:line="240" w:lineRule="auto"/>
            </w:pPr>
            <w:r w:rsidRPr="006C3BAA">
              <w:t>Citizenship</w:t>
            </w:r>
          </w:p>
        </w:tc>
      </w:tr>
      <w:tr w:rsidR="00A007DC" w:rsidRPr="006C3BAA" w:rsidTr="00872DD4">
        <w:tc>
          <w:tcPr>
            <w:tcW w:w="2500" w:type="pct"/>
            <w:vMerge/>
          </w:tcPr>
          <w:p w:rsidR="00A007DC" w:rsidRPr="006C3BAA" w:rsidRDefault="00A007DC" w:rsidP="00A007DC">
            <w:pPr>
              <w:spacing w:line="240" w:lineRule="auto"/>
            </w:pPr>
          </w:p>
        </w:tc>
        <w:tc>
          <w:tcPr>
            <w:tcW w:w="2500" w:type="pct"/>
          </w:tcPr>
          <w:p w:rsidR="00A007DC" w:rsidRPr="006C3BAA" w:rsidRDefault="00A007DC" w:rsidP="00A007DC">
            <w:pPr>
              <w:spacing w:line="240" w:lineRule="auto"/>
            </w:pPr>
            <w:r w:rsidRPr="00872DD4">
              <w:rPr>
                <w:strike/>
              </w:rPr>
              <w:t>Voters</w:t>
            </w:r>
            <w:r w:rsidR="00872DD4">
              <w:t>*</w:t>
            </w:r>
          </w:p>
        </w:tc>
      </w:tr>
      <w:tr w:rsidR="00A007DC" w:rsidRPr="006C3BAA" w:rsidTr="00872DD4">
        <w:tc>
          <w:tcPr>
            <w:tcW w:w="2500" w:type="pct"/>
            <w:vMerge/>
          </w:tcPr>
          <w:p w:rsidR="00A007DC" w:rsidRPr="006C3BAA" w:rsidRDefault="00A007DC" w:rsidP="00A007DC">
            <w:pPr>
              <w:spacing w:line="240" w:lineRule="auto"/>
            </w:pPr>
          </w:p>
        </w:tc>
        <w:tc>
          <w:tcPr>
            <w:tcW w:w="2500" w:type="pct"/>
          </w:tcPr>
          <w:p w:rsidR="00A007DC" w:rsidRPr="006C3BAA" w:rsidRDefault="00A007DC" w:rsidP="00A007DC">
            <w:pPr>
              <w:spacing w:line="240" w:lineRule="auto"/>
            </w:pPr>
            <w:r w:rsidRPr="00872DD4">
              <w:rPr>
                <w:strike/>
              </w:rPr>
              <w:t>Civic engagement</w:t>
            </w:r>
            <w:r w:rsidR="00872DD4">
              <w:t>*</w:t>
            </w:r>
          </w:p>
        </w:tc>
      </w:tr>
    </w:tbl>
    <w:p w:rsidR="00872DD4" w:rsidRDefault="00872DD4" w:rsidP="00A007DC">
      <w:r>
        <w:t xml:space="preserve">Notes: </w:t>
      </w:r>
    </w:p>
    <w:p w:rsidR="00A007DC" w:rsidRDefault="00872DD4" w:rsidP="00A007DC">
      <w:r>
        <w:t xml:space="preserve">* Listed as potential dimension in </w:t>
      </w:r>
      <w:r w:rsidR="00907A79">
        <w:t xml:space="preserve">Annex </w:t>
      </w:r>
      <w:r>
        <w:t xml:space="preserve">1 </w:t>
      </w:r>
      <w:r w:rsidR="00907A79">
        <w:t xml:space="preserve">(related to works of Task 2.1) </w:t>
      </w:r>
      <w:r>
        <w:t xml:space="preserve">and omitted during the </w:t>
      </w:r>
      <w:proofErr w:type="spellStart"/>
      <w:r>
        <w:t>operationalization</w:t>
      </w:r>
      <w:proofErr w:type="spellEnd"/>
      <w:r w:rsidR="00907A79">
        <w:t xml:space="preserve"> in Task </w:t>
      </w:r>
      <w:r w:rsidR="00681937">
        <w:t>2.6</w:t>
      </w:r>
      <w:r>
        <w:t xml:space="preserve">. </w:t>
      </w:r>
    </w:p>
    <w:p w:rsidR="00872DD4" w:rsidRDefault="00872DD4" w:rsidP="00A007DC">
      <w:r>
        <w:t xml:space="preserve">** New dimension proposed by </w:t>
      </w:r>
      <w:r w:rsidR="00907A79">
        <w:t xml:space="preserve">Task </w:t>
      </w:r>
      <w:r>
        <w:t xml:space="preserve">2.6 and </w:t>
      </w:r>
      <w:r w:rsidR="00681937">
        <w:t>not included</w:t>
      </w:r>
      <w:r>
        <w:t xml:space="preserve"> in </w:t>
      </w:r>
      <w:r w:rsidR="00907A79">
        <w:t xml:space="preserve">Annex </w:t>
      </w:r>
      <w:r>
        <w:t>1.</w:t>
      </w:r>
    </w:p>
    <w:p w:rsidR="00872DD4" w:rsidRDefault="00872DD4" w:rsidP="00A007DC"/>
    <w:p w:rsidR="008746CD" w:rsidRDefault="00A007DC" w:rsidP="00681937">
      <w:r w:rsidRPr="006C3BAA">
        <w:t>Using this approach, a vast majority o</w:t>
      </w:r>
      <w:r w:rsidR="00E6231A">
        <w:t>f dimensions covered by EU’s</w:t>
      </w:r>
      <w:r w:rsidRPr="006C3BAA">
        <w:t xml:space="preserve"> and member states’ social policy are ta</w:t>
      </w:r>
      <w:r w:rsidR="00E6231A">
        <w:t>ken into account. Moreover, this combination</w:t>
      </w:r>
      <w:r w:rsidRPr="006C3BAA">
        <w:t xml:space="preserve"> reflect</w:t>
      </w:r>
      <w:r w:rsidR="00E6231A">
        <w:t>s</w:t>
      </w:r>
      <w:r w:rsidRPr="006C3BAA">
        <w:t xml:space="preserve"> the </w:t>
      </w:r>
      <w:r w:rsidRPr="006C3BAA">
        <w:lastRenderedPageBreak/>
        <w:t>multi-dimensionality of social exclusion which is the mainstream understanding in the academic discou</w:t>
      </w:r>
      <w:r w:rsidR="00907A79">
        <w:t xml:space="preserve">rses evaluated in Annex </w:t>
      </w:r>
      <w:r w:rsidR="00E6231A">
        <w:t>1.</w:t>
      </w:r>
      <w:r w:rsidRPr="006C3BAA">
        <w:t xml:space="preserve"> </w:t>
      </w:r>
      <w:r w:rsidR="00E6231A">
        <w:t xml:space="preserve">The dimensions </w:t>
      </w:r>
      <w:r w:rsidRPr="006C3BAA">
        <w:t xml:space="preserve">also address Reimer (2004) and Philip and </w:t>
      </w:r>
      <w:proofErr w:type="spellStart"/>
      <w:r w:rsidRPr="006C3BAA">
        <w:t>Schucksmith’s</w:t>
      </w:r>
      <w:proofErr w:type="spellEnd"/>
      <w:r w:rsidRPr="006C3BAA">
        <w:t xml:space="preserve"> (2003) four overlapping social systems, further specified in Table 2.</w:t>
      </w:r>
    </w:p>
    <w:p w:rsidR="008746CD" w:rsidRDefault="008746CD" w:rsidP="00681937"/>
    <w:p w:rsidR="00A007DC" w:rsidRPr="006C3BAA" w:rsidRDefault="00E6231A" w:rsidP="00E6231A">
      <w:pPr>
        <w:pStyle w:val="Kpalrs"/>
      </w:pPr>
      <w:bookmarkStart w:id="9" w:name="_Toc401264641"/>
      <w:r>
        <w:t xml:space="preserve">Table </w:t>
      </w:r>
      <w:r w:rsidR="00CD0272">
        <w:fldChar w:fldCharType="begin"/>
      </w:r>
      <w:r w:rsidR="00B6257D">
        <w:instrText xml:space="preserve"> SEQ Table \* ARABIC </w:instrText>
      </w:r>
      <w:r w:rsidR="00CD0272">
        <w:fldChar w:fldCharType="separate"/>
      </w:r>
      <w:r w:rsidR="00FA7411">
        <w:rPr>
          <w:noProof/>
        </w:rPr>
        <w:t>2</w:t>
      </w:r>
      <w:r w:rsidR="00CD0272">
        <w:rPr>
          <w:noProof/>
        </w:rPr>
        <w:fldChar w:fldCharType="end"/>
      </w:r>
      <w:r w:rsidR="00A007DC" w:rsidRPr="006C3BAA">
        <w:t xml:space="preserve">: Matching </w:t>
      </w:r>
      <w:proofErr w:type="spellStart"/>
      <w:r w:rsidR="00A007DC" w:rsidRPr="006C3BAA">
        <w:t>TiPSE’s</w:t>
      </w:r>
      <w:proofErr w:type="spellEnd"/>
      <w:r w:rsidR="00A007DC" w:rsidRPr="006C3BAA">
        <w:t xml:space="preserve"> domains and dimensions with</w:t>
      </w:r>
      <w:r w:rsidR="00AB354F">
        <w:t xml:space="preserve"> Reimer (2004) and Philip and </w:t>
      </w:r>
      <w:proofErr w:type="spellStart"/>
      <w:r w:rsidR="00AB354F">
        <w:t>S</w:t>
      </w:r>
      <w:r w:rsidR="00A007DC" w:rsidRPr="006C3BAA">
        <w:t>hucksmith’s</w:t>
      </w:r>
      <w:proofErr w:type="spellEnd"/>
      <w:r w:rsidR="00A007DC" w:rsidRPr="006C3BAA">
        <w:t xml:space="preserve"> (2003) systems of social exclusion</w:t>
      </w:r>
      <w:bookmarkEnd w:id="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64"/>
        <w:gridCol w:w="2838"/>
        <w:gridCol w:w="727"/>
        <w:gridCol w:w="729"/>
        <w:gridCol w:w="729"/>
        <w:gridCol w:w="729"/>
      </w:tblGrid>
      <w:tr w:rsidR="00A007DC" w:rsidRPr="006C3BAA" w:rsidTr="00E6231A">
        <w:trPr>
          <w:cantSplit/>
          <w:trHeight w:val="283"/>
        </w:trPr>
        <w:tc>
          <w:tcPr>
            <w:tcW w:w="1623" w:type="pct"/>
            <w:vMerge w:val="restart"/>
          </w:tcPr>
          <w:p w:rsidR="00A007DC" w:rsidRPr="006C3BAA" w:rsidRDefault="00907A79" w:rsidP="00A007DC">
            <w:pPr>
              <w:spacing w:line="240" w:lineRule="auto"/>
              <w:rPr>
                <w:i/>
                <w:iCs/>
              </w:rPr>
            </w:pPr>
            <w:r>
              <w:rPr>
                <w:i/>
                <w:iCs/>
              </w:rPr>
              <w:t xml:space="preserve">Domain identified by Task </w:t>
            </w:r>
            <w:r w:rsidR="00A007DC" w:rsidRPr="006C3BAA">
              <w:rPr>
                <w:i/>
                <w:iCs/>
              </w:rPr>
              <w:t>2.1</w:t>
            </w:r>
          </w:p>
        </w:tc>
        <w:tc>
          <w:tcPr>
            <w:tcW w:w="1666" w:type="pct"/>
            <w:vMerge w:val="restart"/>
          </w:tcPr>
          <w:p w:rsidR="00A007DC" w:rsidRPr="006C3BAA" w:rsidRDefault="00907A79" w:rsidP="00A007DC">
            <w:pPr>
              <w:spacing w:line="240" w:lineRule="auto"/>
              <w:rPr>
                <w:i/>
                <w:iCs/>
              </w:rPr>
            </w:pPr>
            <w:r>
              <w:rPr>
                <w:i/>
                <w:iCs/>
              </w:rPr>
              <w:t xml:space="preserve">Dimension identified by Task 2.1 and recommended by Task </w:t>
            </w:r>
            <w:r w:rsidR="00A007DC" w:rsidRPr="006C3BAA">
              <w:rPr>
                <w:i/>
                <w:iCs/>
              </w:rPr>
              <w:t>2.6</w:t>
            </w:r>
          </w:p>
        </w:tc>
        <w:tc>
          <w:tcPr>
            <w:tcW w:w="1711" w:type="pct"/>
            <w:gridSpan w:val="4"/>
            <w:vAlign w:val="center"/>
          </w:tcPr>
          <w:p w:rsidR="00A007DC" w:rsidRPr="006C3BAA" w:rsidRDefault="00A007DC" w:rsidP="00AB354F">
            <w:pPr>
              <w:spacing w:line="240" w:lineRule="auto"/>
              <w:rPr>
                <w:i/>
                <w:iCs/>
              </w:rPr>
            </w:pPr>
            <w:r w:rsidRPr="006C3BAA">
              <w:rPr>
                <w:i/>
                <w:iCs/>
              </w:rPr>
              <w:t xml:space="preserve">Reimer (2004) and Philip and </w:t>
            </w:r>
            <w:proofErr w:type="spellStart"/>
            <w:r w:rsidRPr="006C3BAA">
              <w:rPr>
                <w:i/>
                <w:iCs/>
              </w:rPr>
              <w:t>Shucksmith’s</w:t>
            </w:r>
            <w:proofErr w:type="spellEnd"/>
            <w:r w:rsidRPr="006C3BAA">
              <w:rPr>
                <w:i/>
                <w:iCs/>
              </w:rPr>
              <w:t xml:space="preserve"> (2003) social systems</w:t>
            </w:r>
          </w:p>
        </w:tc>
      </w:tr>
      <w:tr w:rsidR="00A007DC" w:rsidRPr="006C3BAA" w:rsidTr="00E6231A">
        <w:trPr>
          <w:cantSplit/>
          <w:trHeight w:val="2267"/>
        </w:trPr>
        <w:tc>
          <w:tcPr>
            <w:tcW w:w="1623" w:type="pct"/>
            <w:vMerge/>
          </w:tcPr>
          <w:p w:rsidR="00A007DC" w:rsidRPr="006C3BAA" w:rsidRDefault="00A007DC" w:rsidP="00A007DC">
            <w:pPr>
              <w:spacing w:line="240" w:lineRule="auto"/>
              <w:rPr>
                <w:i/>
                <w:iCs/>
              </w:rPr>
            </w:pPr>
          </w:p>
        </w:tc>
        <w:tc>
          <w:tcPr>
            <w:tcW w:w="1666" w:type="pct"/>
            <w:vMerge/>
          </w:tcPr>
          <w:p w:rsidR="00A007DC" w:rsidRPr="006C3BAA" w:rsidRDefault="00A007DC" w:rsidP="00A007DC">
            <w:pPr>
              <w:spacing w:line="240" w:lineRule="auto"/>
              <w:rPr>
                <w:i/>
                <w:iCs/>
              </w:rPr>
            </w:pPr>
          </w:p>
        </w:tc>
        <w:tc>
          <w:tcPr>
            <w:tcW w:w="427" w:type="pct"/>
            <w:textDirection w:val="btLr"/>
            <w:vAlign w:val="center"/>
          </w:tcPr>
          <w:p w:rsidR="00A007DC" w:rsidRPr="006C3BAA" w:rsidRDefault="00A007DC" w:rsidP="00E6231A">
            <w:pPr>
              <w:spacing w:before="0" w:line="240" w:lineRule="auto"/>
              <w:ind w:left="113" w:right="113"/>
              <w:jc w:val="left"/>
              <w:rPr>
                <w:i/>
                <w:iCs/>
              </w:rPr>
            </w:pPr>
            <w:r w:rsidRPr="006C3BAA">
              <w:rPr>
                <w:i/>
                <w:iCs/>
              </w:rPr>
              <w:t>Market relations (Private systems)</w:t>
            </w:r>
          </w:p>
        </w:tc>
        <w:tc>
          <w:tcPr>
            <w:tcW w:w="428" w:type="pct"/>
            <w:textDirection w:val="btLr"/>
            <w:vAlign w:val="center"/>
          </w:tcPr>
          <w:p w:rsidR="00A007DC" w:rsidRPr="006C3BAA" w:rsidRDefault="00A007DC" w:rsidP="00E6231A">
            <w:pPr>
              <w:spacing w:before="0" w:line="240" w:lineRule="auto"/>
              <w:ind w:left="113" w:right="113"/>
              <w:jc w:val="left"/>
              <w:rPr>
                <w:i/>
                <w:iCs/>
              </w:rPr>
            </w:pPr>
            <w:r w:rsidRPr="006C3BAA">
              <w:rPr>
                <w:i/>
                <w:iCs/>
              </w:rPr>
              <w:t>Bureaucratic relations (State systems)</w:t>
            </w:r>
          </w:p>
        </w:tc>
        <w:tc>
          <w:tcPr>
            <w:tcW w:w="428" w:type="pct"/>
            <w:textDirection w:val="btLr"/>
            <w:vAlign w:val="center"/>
          </w:tcPr>
          <w:p w:rsidR="00A007DC" w:rsidRPr="006C3BAA" w:rsidRDefault="00A007DC" w:rsidP="00E6231A">
            <w:pPr>
              <w:spacing w:before="0" w:line="240" w:lineRule="auto"/>
              <w:ind w:left="113" w:right="113"/>
              <w:jc w:val="left"/>
              <w:rPr>
                <w:i/>
                <w:iCs/>
              </w:rPr>
            </w:pPr>
            <w:r w:rsidRPr="006C3BAA">
              <w:rPr>
                <w:i/>
                <w:iCs/>
              </w:rPr>
              <w:t>Associative relations (voluntary systems)</w:t>
            </w:r>
          </w:p>
        </w:tc>
        <w:tc>
          <w:tcPr>
            <w:tcW w:w="428" w:type="pct"/>
            <w:textDirection w:val="btLr"/>
            <w:vAlign w:val="center"/>
          </w:tcPr>
          <w:p w:rsidR="00A007DC" w:rsidRPr="006C3BAA" w:rsidRDefault="00A007DC" w:rsidP="00E6231A">
            <w:pPr>
              <w:spacing w:before="0" w:line="240" w:lineRule="auto"/>
              <w:ind w:left="113" w:right="113"/>
              <w:jc w:val="left"/>
              <w:rPr>
                <w:i/>
                <w:iCs/>
              </w:rPr>
            </w:pPr>
            <w:r w:rsidRPr="006C3BAA">
              <w:rPr>
                <w:i/>
                <w:iCs/>
              </w:rPr>
              <w:t>Communal relations (family and friends)</w:t>
            </w:r>
          </w:p>
        </w:tc>
      </w:tr>
      <w:tr w:rsidR="00A007DC" w:rsidRPr="006C3BAA" w:rsidTr="00E6231A">
        <w:tc>
          <w:tcPr>
            <w:tcW w:w="1623" w:type="pct"/>
            <w:vMerge w:val="restart"/>
          </w:tcPr>
          <w:p w:rsidR="00A007DC" w:rsidRPr="006C3BAA" w:rsidRDefault="00A007DC" w:rsidP="00907A79">
            <w:pPr>
              <w:spacing w:before="60" w:line="240" w:lineRule="auto"/>
            </w:pPr>
            <w:r w:rsidRPr="006C3BAA">
              <w:t>Earning a living</w:t>
            </w:r>
          </w:p>
        </w:tc>
        <w:tc>
          <w:tcPr>
            <w:tcW w:w="1666" w:type="pct"/>
          </w:tcPr>
          <w:p w:rsidR="00A007DC" w:rsidRPr="006C3BAA" w:rsidRDefault="00A007DC" w:rsidP="00907A79">
            <w:pPr>
              <w:spacing w:before="60" w:line="240" w:lineRule="auto"/>
              <w:jc w:val="left"/>
            </w:pPr>
            <w:r w:rsidRPr="006C3BAA">
              <w:t>Income earned by tax payers</w:t>
            </w:r>
          </w:p>
        </w:tc>
        <w:tc>
          <w:tcPr>
            <w:tcW w:w="427" w:type="pct"/>
          </w:tcPr>
          <w:p w:rsidR="00A007DC" w:rsidRPr="006C3BAA" w:rsidRDefault="00A007DC" w:rsidP="00907A79">
            <w:pPr>
              <w:spacing w:before="60" w:line="240" w:lineRule="auto"/>
              <w:jc w:val="center"/>
            </w:pPr>
            <w:r w:rsidRPr="006C3BAA">
              <w:t>X</w:t>
            </w:r>
          </w:p>
        </w:tc>
        <w:tc>
          <w:tcPr>
            <w:tcW w:w="428" w:type="pct"/>
          </w:tcPr>
          <w:p w:rsidR="00A007DC" w:rsidRPr="006C3BAA" w:rsidRDefault="00A007DC" w:rsidP="00907A79">
            <w:pPr>
              <w:spacing w:before="60" w:line="240" w:lineRule="auto"/>
              <w:jc w:val="center"/>
            </w:pPr>
          </w:p>
        </w:tc>
        <w:tc>
          <w:tcPr>
            <w:tcW w:w="428" w:type="pct"/>
          </w:tcPr>
          <w:p w:rsidR="00A007DC" w:rsidRPr="006C3BAA" w:rsidRDefault="00A007DC" w:rsidP="00907A79">
            <w:pPr>
              <w:spacing w:before="60" w:line="240" w:lineRule="auto"/>
              <w:jc w:val="center"/>
            </w:pPr>
          </w:p>
        </w:tc>
        <w:tc>
          <w:tcPr>
            <w:tcW w:w="428" w:type="pct"/>
          </w:tcPr>
          <w:p w:rsidR="00A007DC" w:rsidRPr="006C3BAA" w:rsidRDefault="00A007DC" w:rsidP="00907A79">
            <w:pPr>
              <w:spacing w:before="60" w:line="240" w:lineRule="auto"/>
              <w:jc w:val="center"/>
            </w:pPr>
          </w:p>
        </w:tc>
      </w:tr>
      <w:tr w:rsidR="00A007DC" w:rsidRPr="006C3BAA" w:rsidTr="00E6231A">
        <w:tc>
          <w:tcPr>
            <w:tcW w:w="1623" w:type="pct"/>
            <w:vMerge/>
          </w:tcPr>
          <w:p w:rsidR="00A007DC" w:rsidRPr="006C3BAA" w:rsidRDefault="00A007DC" w:rsidP="00907A79">
            <w:pPr>
              <w:spacing w:before="60" w:line="240" w:lineRule="auto"/>
            </w:pPr>
          </w:p>
        </w:tc>
        <w:tc>
          <w:tcPr>
            <w:tcW w:w="1666" w:type="pct"/>
          </w:tcPr>
          <w:p w:rsidR="00A007DC" w:rsidRPr="006C3BAA" w:rsidRDefault="00A007DC" w:rsidP="00907A79">
            <w:pPr>
              <w:spacing w:before="60" w:line="240" w:lineRule="auto"/>
              <w:jc w:val="left"/>
            </w:pPr>
            <w:r w:rsidRPr="006C3BAA">
              <w:t>Employment</w:t>
            </w:r>
          </w:p>
        </w:tc>
        <w:tc>
          <w:tcPr>
            <w:tcW w:w="427" w:type="pct"/>
          </w:tcPr>
          <w:p w:rsidR="00A007DC" w:rsidRPr="006C3BAA" w:rsidRDefault="00A007DC" w:rsidP="00907A79">
            <w:pPr>
              <w:spacing w:before="60" w:line="240" w:lineRule="auto"/>
              <w:jc w:val="center"/>
            </w:pPr>
            <w:r w:rsidRPr="006C3BAA">
              <w:t>X</w:t>
            </w:r>
          </w:p>
        </w:tc>
        <w:tc>
          <w:tcPr>
            <w:tcW w:w="428" w:type="pct"/>
          </w:tcPr>
          <w:p w:rsidR="00A007DC" w:rsidRPr="006C3BAA" w:rsidRDefault="00A007DC" w:rsidP="00907A79">
            <w:pPr>
              <w:spacing w:before="60" w:line="240" w:lineRule="auto"/>
              <w:jc w:val="center"/>
            </w:pPr>
          </w:p>
        </w:tc>
        <w:tc>
          <w:tcPr>
            <w:tcW w:w="428" w:type="pct"/>
          </w:tcPr>
          <w:p w:rsidR="00A007DC" w:rsidRPr="006C3BAA" w:rsidRDefault="00A007DC" w:rsidP="00907A79">
            <w:pPr>
              <w:spacing w:before="60" w:line="240" w:lineRule="auto"/>
              <w:jc w:val="center"/>
            </w:pPr>
          </w:p>
        </w:tc>
        <w:tc>
          <w:tcPr>
            <w:tcW w:w="428" w:type="pct"/>
          </w:tcPr>
          <w:p w:rsidR="00A007DC" w:rsidRPr="006C3BAA" w:rsidRDefault="00A007DC" w:rsidP="00907A79">
            <w:pPr>
              <w:spacing w:before="60" w:line="240" w:lineRule="auto"/>
              <w:jc w:val="center"/>
            </w:pPr>
          </w:p>
        </w:tc>
      </w:tr>
      <w:tr w:rsidR="00A007DC" w:rsidRPr="006C3BAA" w:rsidTr="00E6231A">
        <w:tc>
          <w:tcPr>
            <w:tcW w:w="1623" w:type="pct"/>
            <w:vMerge w:val="restart"/>
          </w:tcPr>
          <w:p w:rsidR="00A007DC" w:rsidRPr="006C3BAA" w:rsidRDefault="00A007DC" w:rsidP="00907A79">
            <w:pPr>
              <w:spacing w:before="60" w:line="240" w:lineRule="auto"/>
            </w:pPr>
            <w:r w:rsidRPr="006C3BAA">
              <w:t>Access to basic services</w:t>
            </w:r>
          </w:p>
        </w:tc>
        <w:tc>
          <w:tcPr>
            <w:tcW w:w="1666" w:type="pct"/>
          </w:tcPr>
          <w:p w:rsidR="00A007DC" w:rsidRPr="006C3BAA" w:rsidRDefault="00A007DC" w:rsidP="00907A79">
            <w:pPr>
              <w:spacing w:before="60" w:line="240" w:lineRule="auto"/>
              <w:jc w:val="left"/>
            </w:pPr>
            <w:r w:rsidRPr="006C3BAA">
              <w:t>Health</w:t>
            </w:r>
          </w:p>
        </w:tc>
        <w:tc>
          <w:tcPr>
            <w:tcW w:w="427" w:type="pct"/>
          </w:tcPr>
          <w:p w:rsidR="00A007DC" w:rsidRPr="006C3BAA" w:rsidRDefault="00A007DC" w:rsidP="00907A79">
            <w:pPr>
              <w:spacing w:before="60" w:line="240" w:lineRule="auto"/>
              <w:jc w:val="center"/>
            </w:pPr>
          </w:p>
        </w:tc>
        <w:tc>
          <w:tcPr>
            <w:tcW w:w="428" w:type="pct"/>
          </w:tcPr>
          <w:p w:rsidR="00A007DC" w:rsidRPr="006C3BAA" w:rsidRDefault="00A007DC" w:rsidP="00907A79">
            <w:pPr>
              <w:spacing w:before="60" w:line="240" w:lineRule="auto"/>
              <w:jc w:val="center"/>
            </w:pPr>
            <w:r w:rsidRPr="006C3BAA">
              <w:t>X</w:t>
            </w:r>
          </w:p>
        </w:tc>
        <w:tc>
          <w:tcPr>
            <w:tcW w:w="428" w:type="pct"/>
          </w:tcPr>
          <w:p w:rsidR="00A007DC" w:rsidRPr="006C3BAA" w:rsidRDefault="00A007DC" w:rsidP="00907A79">
            <w:pPr>
              <w:spacing w:before="60" w:line="240" w:lineRule="auto"/>
              <w:jc w:val="center"/>
            </w:pPr>
          </w:p>
        </w:tc>
        <w:tc>
          <w:tcPr>
            <w:tcW w:w="428" w:type="pct"/>
          </w:tcPr>
          <w:p w:rsidR="00A007DC" w:rsidRPr="006C3BAA" w:rsidRDefault="00A007DC" w:rsidP="00907A79">
            <w:pPr>
              <w:spacing w:before="60" w:line="240" w:lineRule="auto"/>
              <w:jc w:val="center"/>
            </w:pPr>
          </w:p>
        </w:tc>
      </w:tr>
      <w:tr w:rsidR="00A007DC" w:rsidRPr="006C3BAA" w:rsidTr="00E6231A">
        <w:tc>
          <w:tcPr>
            <w:tcW w:w="1623" w:type="pct"/>
            <w:vMerge/>
          </w:tcPr>
          <w:p w:rsidR="00A007DC" w:rsidRPr="006C3BAA" w:rsidRDefault="00A007DC" w:rsidP="00907A79">
            <w:pPr>
              <w:spacing w:before="60" w:line="240" w:lineRule="auto"/>
            </w:pPr>
          </w:p>
        </w:tc>
        <w:tc>
          <w:tcPr>
            <w:tcW w:w="1666" w:type="pct"/>
          </w:tcPr>
          <w:p w:rsidR="00A007DC" w:rsidRPr="006C3BAA" w:rsidRDefault="00A007DC" w:rsidP="00907A79">
            <w:pPr>
              <w:spacing w:before="60" w:line="240" w:lineRule="auto"/>
              <w:jc w:val="left"/>
            </w:pPr>
            <w:r w:rsidRPr="006C3BAA">
              <w:t>Education</w:t>
            </w:r>
          </w:p>
        </w:tc>
        <w:tc>
          <w:tcPr>
            <w:tcW w:w="427" w:type="pct"/>
          </w:tcPr>
          <w:p w:rsidR="00A007DC" w:rsidRPr="006C3BAA" w:rsidRDefault="00A007DC" w:rsidP="00907A79">
            <w:pPr>
              <w:spacing w:before="60" w:line="240" w:lineRule="auto"/>
              <w:jc w:val="center"/>
            </w:pPr>
          </w:p>
        </w:tc>
        <w:tc>
          <w:tcPr>
            <w:tcW w:w="428" w:type="pct"/>
          </w:tcPr>
          <w:p w:rsidR="00A007DC" w:rsidRPr="006C3BAA" w:rsidRDefault="00A007DC" w:rsidP="00907A79">
            <w:pPr>
              <w:spacing w:before="60" w:line="240" w:lineRule="auto"/>
              <w:jc w:val="center"/>
            </w:pPr>
            <w:r w:rsidRPr="006C3BAA">
              <w:t>X</w:t>
            </w:r>
          </w:p>
        </w:tc>
        <w:tc>
          <w:tcPr>
            <w:tcW w:w="428" w:type="pct"/>
          </w:tcPr>
          <w:p w:rsidR="00A007DC" w:rsidRPr="006C3BAA" w:rsidRDefault="00A007DC" w:rsidP="00907A79">
            <w:pPr>
              <w:spacing w:before="60" w:line="240" w:lineRule="auto"/>
              <w:jc w:val="center"/>
            </w:pPr>
          </w:p>
        </w:tc>
        <w:tc>
          <w:tcPr>
            <w:tcW w:w="428" w:type="pct"/>
          </w:tcPr>
          <w:p w:rsidR="00A007DC" w:rsidRPr="006C3BAA" w:rsidRDefault="00A007DC" w:rsidP="00907A79">
            <w:pPr>
              <w:spacing w:before="60" w:line="240" w:lineRule="auto"/>
              <w:jc w:val="center"/>
            </w:pPr>
          </w:p>
        </w:tc>
      </w:tr>
      <w:tr w:rsidR="00A007DC" w:rsidRPr="006C3BAA" w:rsidTr="00E6231A">
        <w:tc>
          <w:tcPr>
            <w:tcW w:w="1623" w:type="pct"/>
            <w:vMerge/>
          </w:tcPr>
          <w:p w:rsidR="00A007DC" w:rsidRPr="006C3BAA" w:rsidRDefault="00A007DC" w:rsidP="00907A79">
            <w:pPr>
              <w:spacing w:before="60" w:line="240" w:lineRule="auto"/>
            </w:pPr>
          </w:p>
        </w:tc>
        <w:tc>
          <w:tcPr>
            <w:tcW w:w="1666" w:type="pct"/>
          </w:tcPr>
          <w:p w:rsidR="00A007DC" w:rsidRPr="006C3BAA" w:rsidRDefault="00A007DC" w:rsidP="00907A79">
            <w:pPr>
              <w:spacing w:before="60" w:line="240" w:lineRule="auto"/>
              <w:jc w:val="left"/>
            </w:pPr>
            <w:r w:rsidRPr="006C3BAA">
              <w:t>Housing</w:t>
            </w:r>
          </w:p>
        </w:tc>
        <w:tc>
          <w:tcPr>
            <w:tcW w:w="427" w:type="pct"/>
          </w:tcPr>
          <w:p w:rsidR="00A007DC" w:rsidRPr="006C3BAA" w:rsidRDefault="00A007DC" w:rsidP="00907A79">
            <w:pPr>
              <w:spacing w:before="60" w:line="240" w:lineRule="auto"/>
              <w:jc w:val="center"/>
            </w:pPr>
            <w:r w:rsidRPr="006C3BAA">
              <w:t>X</w:t>
            </w:r>
          </w:p>
        </w:tc>
        <w:tc>
          <w:tcPr>
            <w:tcW w:w="428" w:type="pct"/>
          </w:tcPr>
          <w:p w:rsidR="00A007DC" w:rsidRPr="006C3BAA" w:rsidRDefault="00A007DC" w:rsidP="00907A79">
            <w:pPr>
              <w:spacing w:before="60" w:line="240" w:lineRule="auto"/>
              <w:jc w:val="center"/>
            </w:pPr>
            <w:r w:rsidRPr="006C3BAA">
              <w:t>(X)</w:t>
            </w:r>
          </w:p>
        </w:tc>
        <w:tc>
          <w:tcPr>
            <w:tcW w:w="428" w:type="pct"/>
          </w:tcPr>
          <w:p w:rsidR="00A007DC" w:rsidRPr="006C3BAA" w:rsidRDefault="00A007DC" w:rsidP="00907A79">
            <w:pPr>
              <w:spacing w:before="60" w:line="240" w:lineRule="auto"/>
              <w:jc w:val="center"/>
            </w:pPr>
          </w:p>
        </w:tc>
        <w:tc>
          <w:tcPr>
            <w:tcW w:w="428" w:type="pct"/>
          </w:tcPr>
          <w:p w:rsidR="00A007DC" w:rsidRPr="006C3BAA" w:rsidRDefault="00A007DC" w:rsidP="00907A79">
            <w:pPr>
              <w:spacing w:before="60" w:line="240" w:lineRule="auto"/>
              <w:jc w:val="center"/>
            </w:pPr>
          </w:p>
        </w:tc>
      </w:tr>
      <w:tr w:rsidR="00A007DC" w:rsidRPr="006C3BAA" w:rsidTr="00E6231A">
        <w:tc>
          <w:tcPr>
            <w:tcW w:w="1623" w:type="pct"/>
            <w:vMerge/>
          </w:tcPr>
          <w:p w:rsidR="00A007DC" w:rsidRPr="006C3BAA" w:rsidRDefault="00A007DC" w:rsidP="00907A79">
            <w:pPr>
              <w:spacing w:before="60" w:line="240" w:lineRule="auto"/>
            </w:pPr>
          </w:p>
        </w:tc>
        <w:tc>
          <w:tcPr>
            <w:tcW w:w="1666" w:type="pct"/>
          </w:tcPr>
          <w:p w:rsidR="00A007DC" w:rsidRPr="00681937" w:rsidRDefault="00A007DC" w:rsidP="00907A79">
            <w:pPr>
              <w:spacing w:before="60" w:line="240" w:lineRule="auto"/>
              <w:jc w:val="left"/>
              <w:rPr>
                <w:strike/>
              </w:rPr>
            </w:pPr>
            <w:r w:rsidRPr="00681937">
              <w:rPr>
                <w:strike/>
              </w:rPr>
              <w:t>Transport and communication</w:t>
            </w:r>
            <w:r w:rsidR="00886DE5" w:rsidRPr="00886DE5">
              <w:t>*</w:t>
            </w:r>
          </w:p>
        </w:tc>
        <w:tc>
          <w:tcPr>
            <w:tcW w:w="427" w:type="pct"/>
          </w:tcPr>
          <w:p w:rsidR="00A007DC" w:rsidRPr="006C3BAA" w:rsidRDefault="00A007DC" w:rsidP="00907A79">
            <w:pPr>
              <w:spacing w:before="60" w:line="240" w:lineRule="auto"/>
              <w:jc w:val="center"/>
            </w:pPr>
            <w:r w:rsidRPr="006C3BAA">
              <w:t>(X)</w:t>
            </w:r>
          </w:p>
        </w:tc>
        <w:tc>
          <w:tcPr>
            <w:tcW w:w="428" w:type="pct"/>
          </w:tcPr>
          <w:p w:rsidR="00A007DC" w:rsidRPr="006C3BAA" w:rsidRDefault="00A007DC" w:rsidP="00907A79">
            <w:pPr>
              <w:spacing w:before="60" w:line="240" w:lineRule="auto"/>
              <w:jc w:val="center"/>
            </w:pPr>
            <w:r w:rsidRPr="006C3BAA">
              <w:t>X</w:t>
            </w:r>
          </w:p>
        </w:tc>
        <w:tc>
          <w:tcPr>
            <w:tcW w:w="428" w:type="pct"/>
          </w:tcPr>
          <w:p w:rsidR="00A007DC" w:rsidRPr="006C3BAA" w:rsidRDefault="00A007DC" w:rsidP="00907A79">
            <w:pPr>
              <w:spacing w:before="60" w:line="240" w:lineRule="auto"/>
              <w:jc w:val="center"/>
            </w:pPr>
          </w:p>
        </w:tc>
        <w:tc>
          <w:tcPr>
            <w:tcW w:w="428" w:type="pct"/>
          </w:tcPr>
          <w:p w:rsidR="00A007DC" w:rsidRPr="006C3BAA" w:rsidRDefault="00A007DC" w:rsidP="00907A79">
            <w:pPr>
              <w:spacing w:before="60" w:line="240" w:lineRule="auto"/>
              <w:jc w:val="center"/>
            </w:pPr>
          </w:p>
        </w:tc>
      </w:tr>
      <w:tr w:rsidR="00681937" w:rsidRPr="006C3BAA" w:rsidTr="00E6231A">
        <w:tc>
          <w:tcPr>
            <w:tcW w:w="1623" w:type="pct"/>
            <w:vMerge w:val="restart"/>
          </w:tcPr>
          <w:p w:rsidR="00681937" w:rsidRPr="006C3BAA" w:rsidRDefault="00681937" w:rsidP="00907A79">
            <w:pPr>
              <w:spacing w:before="60" w:line="240" w:lineRule="auto"/>
            </w:pPr>
            <w:r w:rsidRPr="006C3BAA">
              <w:t>Social environment</w:t>
            </w:r>
          </w:p>
        </w:tc>
        <w:tc>
          <w:tcPr>
            <w:tcW w:w="1666" w:type="pct"/>
          </w:tcPr>
          <w:p w:rsidR="00681937" w:rsidRPr="006C3BAA" w:rsidRDefault="00681937" w:rsidP="00907A79">
            <w:pPr>
              <w:spacing w:before="60" w:line="240" w:lineRule="auto"/>
              <w:jc w:val="left"/>
            </w:pPr>
            <w:r w:rsidRPr="006C3BAA">
              <w:t>Age</w:t>
            </w:r>
          </w:p>
        </w:tc>
        <w:tc>
          <w:tcPr>
            <w:tcW w:w="427" w:type="pct"/>
          </w:tcPr>
          <w:p w:rsidR="00681937" w:rsidRPr="006C3BAA" w:rsidRDefault="00681937" w:rsidP="00907A79">
            <w:pPr>
              <w:spacing w:before="60" w:line="240" w:lineRule="auto"/>
              <w:jc w:val="center"/>
            </w:pPr>
          </w:p>
        </w:tc>
        <w:tc>
          <w:tcPr>
            <w:tcW w:w="428" w:type="pct"/>
          </w:tcPr>
          <w:p w:rsidR="00681937" w:rsidRPr="006C3BAA" w:rsidRDefault="00681937" w:rsidP="00907A79">
            <w:pPr>
              <w:spacing w:before="60" w:line="240" w:lineRule="auto"/>
              <w:jc w:val="center"/>
            </w:pPr>
          </w:p>
        </w:tc>
        <w:tc>
          <w:tcPr>
            <w:tcW w:w="428" w:type="pct"/>
          </w:tcPr>
          <w:p w:rsidR="00681937" w:rsidRPr="006C3BAA" w:rsidRDefault="00681937" w:rsidP="00907A79">
            <w:pPr>
              <w:spacing w:before="60" w:line="240" w:lineRule="auto"/>
              <w:jc w:val="center"/>
            </w:pPr>
            <w:r w:rsidRPr="006C3BAA">
              <w:t>(X)</w:t>
            </w:r>
          </w:p>
        </w:tc>
        <w:tc>
          <w:tcPr>
            <w:tcW w:w="428" w:type="pct"/>
          </w:tcPr>
          <w:p w:rsidR="00681937" w:rsidRPr="006C3BAA" w:rsidRDefault="00681937" w:rsidP="00907A79">
            <w:pPr>
              <w:spacing w:before="60" w:line="240" w:lineRule="auto"/>
              <w:jc w:val="center"/>
            </w:pPr>
            <w:r w:rsidRPr="006C3BAA">
              <w:t>(X)</w:t>
            </w:r>
          </w:p>
        </w:tc>
      </w:tr>
      <w:tr w:rsidR="00681937" w:rsidRPr="006C3BAA" w:rsidTr="00E6231A">
        <w:tc>
          <w:tcPr>
            <w:tcW w:w="1623" w:type="pct"/>
            <w:vMerge/>
          </w:tcPr>
          <w:p w:rsidR="00681937" w:rsidRPr="006C3BAA" w:rsidRDefault="00681937" w:rsidP="00907A79">
            <w:pPr>
              <w:spacing w:before="60" w:line="240" w:lineRule="auto"/>
            </w:pPr>
          </w:p>
        </w:tc>
        <w:tc>
          <w:tcPr>
            <w:tcW w:w="1666" w:type="pct"/>
          </w:tcPr>
          <w:p w:rsidR="00681937" w:rsidRPr="006C3BAA" w:rsidRDefault="00681937" w:rsidP="00907A79">
            <w:pPr>
              <w:spacing w:before="60" w:line="240" w:lineRule="auto"/>
              <w:jc w:val="left"/>
            </w:pPr>
            <w:r w:rsidRPr="006C3BAA">
              <w:t>Ethnic composition</w:t>
            </w:r>
          </w:p>
        </w:tc>
        <w:tc>
          <w:tcPr>
            <w:tcW w:w="427" w:type="pct"/>
          </w:tcPr>
          <w:p w:rsidR="00681937" w:rsidRPr="006C3BAA" w:rsidRDefault="00681937" w:rsidP="00907A79">
            <w:pPr>
              <w:spacing w:before="60" w:line="240" w:lineRule="auto"/>
              <w:jc w:val="center"/>
            </w:pPr>
          </w:p>
        </w:tc>
        <w:tc>
          <w:tcPr>
            <w:tcW w:w="428" w:type="pct"/>
          </w:tcPr>
          <w:p w:rsidR="00681937" w:rsidRPr="006C3BAA" w:rsidRDefault="00681937" w:rsidP="00907A79">
            <w:pPr>
              <w:spacing w:before="60" w:line="240" w:lineRule="auto"/>
              <w:jc w:val="center"/>
            </w:pPr>
          </w:p>
        </w:tc>
        <w:tc>
          <w:tcPr>
            <w:tcW w:w="428" w:type="pct"/>
          </w:tcPr>
          <w:p w:rsidR="00681937" w:rsidRPr="006C3BAA" w:rsidRDefault="00681937" w:rsidP="00907A79">
            <w:pPr>
              <w:spacing w:before="60" w:line="240" w:lineRule="auto"/>
              <w:jc w:val="center"/>
            </w:pPr>
            <w:r w:rsidRPr="006C3BAA">
              <w:t>(X)</w:t>
            </w:r>
          </w:p>
        </w:tc>
        <w:tc>
          <w:tcPr>
            <w:tcW w:w="428" w:type="pct"/>
          </w:tcPr>
          <w:p w:rsidR="00681937" w:rsidRPr="006C3BAA" w:rsidRDefault="00681937" w:rsidP="00907A79">
            <w:pPr>
              <w:spacing w:before="60" w:line="240" w:lineRule="auto"/>
              <w:jc w:val="center"/>
            </w:pPr>
          </w:p>
        </w:tc>
      </w:tr>
      <w:tr w:rsidR="00681937" w:rsidRPr="006C3BAA" w:rsidTr="00E6231A">
        <w:tc>
          <w:tcPr>
            <w:tcW w:w="1623" w:type="pct"/>
            <w:vMerge/>
          </w:tcPr>
          <w:p w:rsidR="00681937" w:rsidRPr="006C3BAA" w:rsidRDefault="00681937" w:rsidP="00907A79">
            <w:pPr>
              <w:spacing w:before="60" w:line="240" w:lineRule="auto"/>
            </w:pPr>
          </w:p>
        </w:tc>
        <w:tc>
          <w:tcPr>
            <w:tcW w:w="1666" w:type="pct"/>
          </w:tcPr>
          <w:p w:rsidR="00681937" w:rsidRPr="006C3BAA" w:rsidRDefault="00681937" w:rsidP="00907A79">
            <w:pPr>
              <w:spacing w:before="60" w:line="240" w:lineRule="auto"/>
              <w:jc w:val="left"/>
            </w:pPr>
            <w:r w:rsidRPr="006C3BAA">
              <w:t>Immigrants</w:t>
            </w:r>
          </w:p>
        </w:tc>
        <w:tc>
          <w:tcPr>
            <w:tcW w:w="427" w:type="pct"/>
          </w:tcPr>
          <w:p w:rsidR="00681937" w:rsidRPr="006C3BAA" w:rsidRDefault="00681937" w:rsidP="00907A79">
            <w:pPr>
              <w:spacing w:before="60" w:line="240" w:lineRule="auto"/>
              <w:jc w:val="center"/>
            </w:pPr>
          </w:p>
        </w:tc>
        <w:tc>
          <w:tcPr>
            <w:tcW w:w="428" w:type="pct"/>
          </w:tcPr>
          <w:p w:rsidR="00681937" w:rsidRPr="006C3BAA" w:rsidRDefault="00681937" w:rsidP="00907A79">
            <w:pPr>
              <w:spacing w:before="60" w:line="240" w:lineRule="auto"/>
              <w:jc w:val="center"/>
            </w:pPr>
          </w:p>
        </w:tc>
        <w:tc>
          <w:tcPr>
            <w:tcW w:w="428" w:type="pct"/>
          </w:tcPr>
          <w:p w:rsidR="00681937" w:rsidRPr="006C3BAA" w:rsidRDefault="00681937" w:rsidP="00907A79">
            <w:pPr>
              <w:spacing w:before="60" w:line="240" w:lineRule="auto"/>
              <w:jc w:val="center"/>
            </w:pPr>
            <w:r w:rsidRPr="006C3BAA">
              <w:t>(X)</w:t>
            </w:r>
          </w:p>
        </w:tc>
        <w:tc>
          <w:tcPr>
            <w:tcW w:w="428" w:type="pct"/>
          </w:tcPr>
          <w:p w:rsidR="00681937" w:rsidRPr="006C3BAA" w:rsidRDefault="00681937" w:rsidP="00907A79">
            <w:pPr>
              <w:spacing w:before="60" w:line="240" w:lineRule="auto"/>
              <w:jc w:val="center"/>
            </w:pPr>
            <w:r w:rsidRPr="006C3BAA">
              <w:t>(X)</w:t>
            </w:r>
          </w:p>
        </w:tc>
      </w:tr>
      <w:tr w:rsidR="00681937" w:rsidRPr="006C3BAA" w:rsidTr="00E6231A">
        <w:tc>
          <w:tcPr>
            <w:tcW w:w="1623" w:type="pct"/>
            <w:vMerge/>
          </w:tcPr>
          <w:p w:rsidR="00681937" w:rsidRPr="006C3BAA" w:rsidRDefault="00681937" w:rsidP="00907A79">
            <w:pPr>
              <w:spacing w:before="60" w:line="240" w:lineRule="auto"/>
            </w:pPr>
          </w:p>
        </w:tc>
        <w:tc>
          <w:tcPr>
            <w:tcW w:w="1666" w:type="pct"/>
          </w:tcPr>
          <w:p w:rsidR="00681937" w:rsidRPr="00681937" w:rsidRDefault="00681937" w:rsidP="00907A79">
            <w:pPr>
              <w:spacing w:before="60" w:line="240" w:lineRule="auto"/>
              <w:jc w:val="left"/>
              <w:rPr>
                <w:strike/>
              </w:rPr>
            </w:pPr>
            <w:r w:rsidRPr="00681937">
              <w:rPr>
                <w:strike/>
              </w:rPr>
              <w:t>Crime and safety</w:t>
            </w:r>
            <w:r w:rsidR="00886DE5" w:rsidRPr="00886DE5">
              <w:t>*</w:t>
            </w:r>
          </w:p>
        </w:tc>
        <w:tc>
          <w:tcPr>
            <w:tcW w:w="427" w:type="pct"/>
          </w:tcPr>
          <w:p w:rsidR="00681937" w:rsidRPr="006C3BAA" w:rsidRDefault="00681937" w:rsidP="00907A79">
            <w:pPr>
              <w:spacing w:before="60" w:line="240" w:lineRule="auto"/>
              <w:jc w:val="center"/>
            </w:pPr>
          </w:p>
        </w:tc>
        <w:tc>
          <w:tcPr>
            <w:tcW w:w="428" w:type="pct"/>
          </w:tcPr>
          <w:p w:rsidR="00681937" w:rsidRPr="006C3BAA" w:rsidRDefault="00681937" w:rsidP="00907A79">
            <w:pPr>
              <w:spacing w:before="60" w:line="240" w:lineRule="auto"/>
              <w:jc w:val="center"/>
            </w:pPr>
          </w:p>
        </w:tc>
        <w:tc>
          <w:tcPr>
            <w:tcW w:w="428" w:type="pct"/>
          </w:tcPr>
          <w:p w:rsidR="00681937" w:rsidRPr="006C3BAA" w:rsidRDefault="00681937" w:rsidP="00907A79">
            <w:pPr>
              <w:spacing w:before="60" w:line="240" w:lineRule="auto"/>
              <w:jc w:val="center"/>
            </w:pPr>
            <w:r w:rsidRPr="006C3BAA">
              <w:t>(X)</w:t>
            </w:r>
          </w:p>
        </w:tc>
        <w:tc>
          <w:tcPr>
            <w:tcW w:w="428" w:type="pct"/>
          </w:tcPr>
          <w:p w:rsidR="00681937" w:rsidRPr="006C3BAA" w:rsidRDefault="00681937" w:rsidP="00907A79">
            <w:pPr>
              <w:spacing w:before="60" w:line="240" w:lineRule="auto"/>
              <w:jc w:val="center"/>
            </w:pPr>
          </w:p>
        </w:tc>
      </w:tr>
      <w:tr w:rsidR="00681937" w:rsidRPr="006C3BAA" w:rsidTr="00E6231A">
        <w:tc>
          <w:tcPr>
            <w:tcW w:w="1623" w:type="pct"/>
            <w:vMerge/>
          </w:tcPr>
          <w:p w:rsidR="00681937" w:rsidRPr="006C3BAA" w:rsidRDefault="00681937" w:rsidP="00907A79">
            <w:pPr>
              <w:spacing w:before="60" w:line="240" w:lineRule="auto"/>
            </w:pPr>
          </w:p>
        </w:tc>
        <w:tc>
          <w:tcPr>
            <w:tcW w:w="1666" w:type="pct"/>
          </w:tcPr>
          <w:p w:rsidR="00681937" w:rsidRPr="00681937" w:rsidRDefault="00681937" w:rsidP="00907A79">
            <w:pPr>
              <w:spacing w:before="60" w:line="240" w:lineRule="auto"/>
              <w:jc w:val="left"/>
              <w:rPr>
                <w:strike/>
              </w:rPr>
            </w:pPr>
            <w:r w:rsidRPr="00681937">
              <w:rPr>
                <w:strike/>
              </w:rPr>
              <w:t>Municipal income from property taxes</w:t>
            </w:r>
            <w:r w:rsidR="00886DE5" w:rsidRPr="00886DE5">
              <w:t>*</w:t>
            </w:r>
          </w:p>
        </w:tc>
        <w:tc>
          <w:tcPr>
            <w:tcW w:w="427" w:type="pct"/>
          </w:tcPr>
          <w:p w:rsidR="00681937" w:rsidRPr="006C3BAA" w:rsidRDefault="00681937" w:rsidP="00907A79">
            <w:pPr>
              <w:spacing w:before="60" w:line="240" w:lineRule="auto"/>
              <w:jc w:val="center"/>
            </w:pPr>
          </w:p>
        </w:tc>
        <w:tc>
          <w:tcPr>
            <w:tcW w:w="428" w:type="pct"/>
          </w:tcPr>
          <w:p w:rsidR="00681937" w:rsidRPr="006C3BAA" w:rsidRDefault="00681937" w:rsidP="00907A79">
            <w:pPr>
              <w:spacing w:before="60" w:line="240" w:lineRule="auto"/>
              <w:jc w:val="center"/>
            </w:pPr>
            <w:r w:rsidRPr="006C3BAA">
              <w:t>X</w:t>
            </w:r>
          </w:p>
        </w:tc>
        <w:tc>
          <w:tcPr>
            <w:tcW w:w="428" w:type="pct"/>
          </w:tcPr>
          <w:p w:rsidR="00681937" w:rsidRPr="006C3BAA" w:rsidRDefault="00681937" w:rsidP="00907A79">
            <w:pPr>
              <w:spacing w:before="60" w:line="240" w:lineRule="auto"/>
              <w:jc w:val="center"/>
            </w:pPr>
          </w:p>
        </w:tc>
        <w:tc>
          <w:tcPr>
            <w:tcW w:w="428" w:type="pct"/>
          </w:tcPr>
          <w:p w:rsidR="00681937" w:rsidRPr="006C3BAA" w:rsidRDefault="00681937" w:rsidP="00907A79">
            <w:pPr>
              <w:spacing w:before="60" w:line="240" w:lineRule="auto"/>
              <w:jc w:val="center"/>
            </w:pPr>
          </w:p>
        </w:tc>
      </w:tr>
      <w:tr w:rsidR="00681937" w:rsidRPr="006C3BAA" w:rsidTr="00E6231A">
        <w:tc>
          <w:tcPr>
            <w:tcW w:w="1623" w:type="pct"/>
            <w:vMerge/>
          </w:tcPr>
          <w:p w:rsidR="00681937" w:rsidRPr="006C3BAA" w:rsidRDefault="00681937" w:rsidP="00907A79">
            <w:pPr>
              <w:spacing w:before="60" w:line="240" w:lineRule="auto"/>
            </w:pPr>
          </w:p>
        </w:tc>
        <w:tc>
          <w:tcPr>
            <w:tcW w:w="1666" w:type="pct"/>
          </w:tcPr>
          <w:p w:rsidR="00681937" w:rsidRPr="00681937" w:rsidRDefault="00681937" w:rsidP="00907A79">
            <w:pPr>
              <w:spacing w:before="60" w:line="240" w:lineRule="auto"/>
              <w:jc w:val="left"/>
              <w:rPr>
                <w:strike/>
              </w:rPr>
            </w:pPr>
            <w:r w:rsidRPr="00681937">
              <w:rPr>
                <w:strike/>
              </w:rPr>
              <w:t>Municipal spending on social assistance</w:t>
            </w:r>
            <w:r w:rsidR="00886DE5" w:rsidRPr="00886DE5">
              <w:t>*</w:t>
            </w:r>
          </w:p>
        </w:tc>
        <w:tc>
          <w:tcPr>
            <w:tcW w:w="427" w:type="pct"/>
          </w:tcPr>
          <w:p w:rsidR="00681937" w:rsidRPr="006C3BAA" w:rsidRDefault="00681937" w:rsidP="00907A79">
            <w:pPr>
              <w:spacing w:before="60" w:line="240" w:lineRule="auto"/>
              <w:jc w:val="center"/>
            </w:pPr>
          </w:p>
        </w:tc>
        <w:tc>
          <w:tcPr>
            <w:tcW w:w="428" w:type="pct"/>
          </w:tcPr>
          <w:p w:rsidR="00681937" w:rsidRPr="006C3BAA" w:rsidRDefault="00681937" w:rsidP="00907A79">
            <w:pPr>
              <w:spacing w:before="60" w:line="240" w:lineRule="auto"/>
              <w:jc w:val="center"/>
            </w:pPr>
            <w:r w:rsidRPr="006C3BAA">
              <w:t>X</w:t>
            </w:r>
          </w:p>
        </w:tc>
        <w:tc>
          <w:tcPr>
            <w:tcW w:w="428" w:type="pct"/>
          </w:tcPr>
          <w:p w:rsidR="00681937" w:rsidRPr="006C3BAA" w:rsidRDefault="00681937" w:rsidP="00907A79">
            <w:pPr>
              <w:spacing w:before="60" w:line="240" w:lineRule="auto"/>
              <w:jc w:val="center"/>
            </w:pPr>
          </w:p>
        </w:tc>
        <w:tc>
          <w:tcPr>
            <w:tcW w:w="428" w:type="pct"/>
          </w:tcPr>
          <w:p w:rsidR="00681937" w:rsidRPr="006C3BAA" w:rsidRDefault="00681937" w:rsidP="00907A79">
            <w:pPr>
              <w:spacing w:before="60" w:line="240" w:lineRule="auto"/>
              <w:jc w:val="center"/>
            </w:pPr>
          </w:p>
        </w:tc>
      </w:tr>
      <w:tr w:rsidR="00681937" w:rsidRPr="006C3BAA" w:rsidTr="00E6231A">
        <w:tc>
          <w:tcPr>
            <w:tcW w:w="1623" w:type="pct"/>
            <w:vMerge/>
          </w:tcPr>
          <w:p w:rsidR="00681937" w:rsidRPr="006C3BAA" w:rsidRDefault="00681937" w:rsidP="00907A79">
            <w:pPr>
              <w:spacing w:before="60" w:line="240" w:lineRule="auto"/>
            </w:pPr>
          </w:p>
        </w:tc>
        <w:tc>
          <w:tcPr>
            <w:tcW w:w="1666" w:type="pct"/>
          </w:tcPr>
          <w:p w:rsidR="00681937" w:rsidRPr="00681937" w:rsidRDefault="00681937" w:rsidP="00907A79">
            <w:pPr>
              <w:spacing w:before="60" w:line="240" w:lineRule="auto"/>
              <w:jc w:val="left"/>
            </w:pPr>
            <w:r w:rsidRPr="00681937">
              <w:t>Household structure</w:t>
            </w:r>
            <w:r w:rsidR="00886DE5">
              <w:t>**</w:t>
            </w:r>
          </w:p>
        </w:tc>
        <w:tc>
          <w:tcPr>
            <w:tcW w:w="427" w:type="pct"/>
          </w:tcPr>
          <w:p w:rsidR="00681937" w:rsidRPr="006C3BAA" w:rsidRDefault="00681937" w:rsidP="00907A79">
            <w:pPr>
              <w:spacing w:before="60" w:line="240" w:lineRule="auto"/>
              <w:jc w:val="center"/>
            </w:pPr>
          </w:p>
        </w:tc>
        <w:tc>
          <w:tcPr>
            <w:tcW w:w="428" w:type="pct"/>
          </w:tcPr>
          <w:p w:rsidR="00681937" w:rsidRPr="006C3BAA" w:rsidRDefault="00681937" w:rsidP="00907A79">
            <w:pPr>
              <w:spacing w:before="60" w:line="240" w:lineRule="auto"/>
              <w:jc w:val="center"/>
            </w:pPr>
          </w:p>
        </w:tc>
        <w:tc>
          <w:tcPr>
            <w:tcW w:w="428" w:type="pct"/>
          </w:tcPr>
          <w:p w:rsidR="00681937" w:rsidRPr="006C3BAA" w:rsidRDefault="00681937" w:rsidP="00907A79">
            <w:pPr>
              <w:spacing w:before="60" w:line="240" w:lineRule="auto"/>
              <w:jc w:val="center"/>
            </w:pPr>
          </w:p>
        </w:tc>
        <w:tc>
          <w:tcPr>
            <w:tcW w:w="428" w:type="pct"/>
          </w:tcPr>
          <w:p w:rsidR="00681937" w:rsidRPr="006C3BAA" w:rsidRDefault="00681937" w:rsidP="00907A79">
            <w:pPr>
              <w:spacing w:before="60" w:line="240" w:lineRule="auto"/>
              <w:jc w:val="center"/>
            </w:pPr>
            <w:r>
              <w:t>X</w:t>
            </w:r>
          </w:p>
        </w:tc>
      </w:tr>
      <w:tr w:rsidR="00A007DC" w:rsidRPr="006C3BAA" w:rsidTr="00E6231A">
        <w:tc>
          <w:tcPr>
            <w:tcW w:w="1623" w:type="pct"/>
            <w:vMerge w:val="restart"/>
          </w:tcPr>
          <w:p w:rsidR="00A007DC" w:rsidRPr="006C3BAA" w:rsidRDefault="00A007DC" w:rsidP="00907A79">
            <w:pPr>
              <w:spacing w:before="60" w:line="240" w:lineRule="auto"/>
            </w:pPr>
            <w:r w:rsidRPr="006C3BAA">
              <w:t>Political participation</w:t>
            </w:r>
          </w:p>
        </w:tc>
        <w:tc>
          <w:tcPr>
            <w:tcW w:w="1666" w:type="pct"/>
          </w:tcPr>
          <w:p w:rsidR="00A007DC" w:rsidRPr="006C3BAA" w:rsidRDefault="00A007DC" w:rsidP="00907A79">
            <w:pPr>
              <w:spacing w:before="60" w:line="240" w:lineRule="auto"/>
              <w:jc w:val="left"/>
            </w:pPr>
            <w:r w:rsidRPr="006C3BAA">
              <w:t>Citizenship</w:t>
            </w:r>
          </w:p>
        </w:tc>
        <w:tc>
          <w:tcPr>
            <w:tcW w:w="427" w:type="pct"/>
          </w:tcPr>
          <w:p w:rsidR="00A007DC" w:rsidRPr="006C3BAA" w:rsidRDefault="00A007DC" w:rsidP="00907A79">
            <w:pPr>
              <w:spacing w:before="60" w:line="240" w:lineRule="auto"/>
              <w:jc w:val="center"/>
            </w:pPr>
          </w:p>
        </w:tc>
        <w:tc>
          <w:tcPr>
            <w:tcW w:w="428" w:type="pct"/>
          </w:tcPr>
          <w:p w:rsidR="00A007DC" w:rsidRPr="006C3BAA" w:rsidRDefault="00A007DC" w:rsidP="00907A79">
            <w:pPr>
              <w:spacing w:before="60" w:line="240" w:lineRule="auto"/>
              <w:jc w:val="center"/>
            </w:pPr>
            <w:r w:rsidRPr="006C3BAA">
              <w:t>(X)</w:t>
            </w:r>
          </w:p>
        </w:tc>
        <w:tc>
          <w:tcPr>
            <w:tcW w:w="428" w:type="pct"/>
          </w:tcPr>
          <w:p w:rsidR="00A007DC" w:rsidRPr="006C3BAA" w:rsidRDefault="00A007DC" w:rsidP="00907A79">
            <w:pPr>
              <w:spacing w:before="60" w:line="240" w:lineRule="auto"/>
              <w:jc w:val="center"/>
            </w:pPr>
            <w:r w:rsidRPr="006C3BAA">
              <w:t>X</w:t>
            </w:r>
          </w:p>
        </w:tc>
        <w:tc>
          <w:tcPr>
            <w:tcW w:w="428" w:type="pct"/>
          </w:tcPr>
          <w:p w:rsidR="00A007DC" w:rsidRPr="006C3BAA" w:rsidRDefault="00A007DC" w:rsidP="00907A79">
            <w:pPr>
              <w:spacing w:before="60" w:line="240" w:lineRule="auto"/>
              <w:jc w:val="center"/>
            </w:pPr>
          </w:p>
        </w:tc>
      </w:tr>
      <w:tr w:rsidR="00A007DC" w:rsidRPr="006C3BAA" w:rsidTr="00E6231A">
        <w:tc>
          <w:tcPr>
            <w:tcW w:w="1623" w:type="pct"/>
            <w:vMerge/>
          </w:tcPr>
          <w:p w:rsidR="00A007DC" w:rsidRPr="006C3BAA" w:rsidRDefault="00A007DC" w:rsidP="00907A79">
            <w:pPr>
              <w:spacing w:before="60" w:line="240" w:lineRule="auto"/>
            </w:pPr>
          </w:p>
        </w:tc>
        <w:tc>
          <w:tcPr>
            <w:tcW w:w="1666" w:type="pct"/>
          </w:tcPr>
          <w:p w:rsidR="00A007DC" w:rsidRPr="00681937" w:rsidRDefault="00A007DC" w:rsidP="00907A79">
            <w:pPr>
              <w:spacing w:before="60" w:line="240" w:lineRule="auto"/>
              <w:jc w:val="left"/>
              <w:rPr>
                <w:strike/>
              </w:rPr>
            </w:pPr>
            <w:r w:rsidRPr="00681937">
              <w:rPr>
                <w:strike/>
              </w:rPr>
              <w:t>Voters</w:t>
            </w:r>
            <w:r w:rsidR="00886DE5" w:rsidRPr="00886DE5">
              <w:t>*</w:t>
            </w:r>
          </w:p>
        </w:tc>
        <w:tc>
          <w:tcPr>
            <w:tcW w:w="427" w:type="pct"/>
          </w:tcPr>
          <w:p w:rsidR="00A007DC" w:rsidRPr="006C3BAA" w:rsidRDefault="00A007DC" w:rsidP="00907A79">
            <w:pPr>
              <w:spacing w:before="60" w:line="240" w:lineRule="auto"/>
              <w:jc w:val="center"/>
            </w:pPr>
          </w:p>
        </w:tc>
        <w:tc>
          <w:tcPr>
            <w:tcW w:w="428" w:type="pct"/>
          </w:tcPr>
          <w:p w:rsidR="00A007DC" w:rsidRPr="006C3BAA" w:rsidRDefault="00A007DC" w:rsidP="00907A79">
            <w:pPr>
              <w:spacing w:before="60" w:line="240" w:lineRule="auto"/>
              <w:jc w:val="center"/>
            </w:pPr>
            <w:r w:rsidRPr="006C3BAA">
              <w:t>(X)</w:t>
            </w:r>
          </w:p>
        </w:tc>
        <w:tc>
          <w:tcPr>
            <w:tcW w:w="428" w:type="pct"/>
          </w:tcPr>
          <w:p w:rsidR="00A007DC" w:rsidRPr="006C3BAA" w:rsidRDefault="00A007DC" w:rsidP="00907A79">
            <w:pPr>
              <w:spacing w:before="60" w:line="240" w:lineRule="auto"/>
              <w:jc w:val="center"/>
            </w:pPr>
            <w:r w:rsidRPr="006C3BAA">
              <w:t>X</w:t>
            </w:r>
          </w:p>
        </w:tc>
        <w:tc>
          <w:tcPr>
            <w:tcW w:w="428" w:type="pct"/>
          </w:tcPr>
          <w:p w:rsidR="00A007DC" w:rsidRPr="006C3BAA" w:rsidRDefault="00A007DC" w:rsidP="00907A79">
            <w:pPr>
              <w:spacing w:before="60" w:line="240" w:lineRule="auto"/>
              <w:jc w:val="center"/>
            </w:pPr>
          </w:p>
        </w:tc>
      </w:tr>
      <w:tr w:rsidR="00A007DC" w:rsidRPr="006C3BAA" w:rsidTr="00E6231A">
        <w:tc>
          <w:tcPr>
            <w:tcW w:w="1623" w:type="pct"/>
            <w:vMerge/>
          </w:tcPr>
          <w:p w:rsidR="00A007DC" w:rsidRPr="006C3BAA" w:rsidRDefault="00A007DC" w:rsidP="00907A79">
            <w:pPr>
              <w:spacing w:before="60" w:line="240" w:lineRule="auto"/>
            </w:pPr>
          </w:p>
        </w:tc>
        <w:tc>
          <w:tcPr>
            <w:tcW w:w="1666" w:type="pct"/>
          </w:tcPr>
          <w:p w:rsidR="00A007DC" w:rsidRPr="00681937" w:rsidRDefault="00A007DC" w:rsidP="00907A79">
            <w:pPr>
              <w:spacing w:before="60" w:line="240" w:lineRule="auto"/>
              <w:jc w:val="left"/>
              <w:rPr>
                <w:strike/>
              </w:rPr>
            </w:pPr>
            <w:r w:rsidRPr="00681937">
              <w:rPr>
                <w:strike/>
              </w:rPr>
              <w:t>Civic engagement</w:t>
            </w:r>
            <w:r w:rsidR="00886DE5" w:rsidRPr="00886DE5">
              <w:t>*</w:t>
            </w:r>
          </w:p>
        </w:tc>
        <w:tc>
          <w:tcPr>
            <w:tcW w:w="427" w:type="pct"/>
          </w:tcPr>
          <w:p w:rsidR="00A007DC" w:rsidRPr="006C3BAA" w:rsidRDefault="00A007DC" w:rsidP="00907A79">
            <w:pPr>
              <w:spacing w:before="60" w:line="240" w:lineRule="auto"/>
              <w:jc w:val="center"/>
            </w:pPr>
          </w:p>
        </w:tc>
        <w:tc>
          <w:tcPr>
            <w:tcW w:w="428" w:type="pct"/>
          </w:tcPr>
          <w:p w:rsidR="00A007DC" w:rsidRPr="006C3BAA" w:rsidRDefault="00A007DC" w:rsidP="00907A79">
            <w:pPr>
              <w:spacing w:before="60" w:line="240" w:lineRule="auto"/>
              <w:jc w:val="center"/>
            </w:pPr>
          </w:p>
        </w:tc>
        <w:tc>
          <w:tcPr>
            <w:tcW w:w="428" w:type="pct"/>
          </w:tcPr>
          <w:p w:rsidR="00A007DC" w:rsidRPr="006C3BAA" w:rsidRDefault="00A007DC" w:rsidP="00907A79">
            <w:pPr>
              <w:spacing w:before="60" w:line="240" w:lineRule="auto"/>
              <w:jc w:val="center"/>
            </w:pPr>
            <w:r w:rsidRPr="006C3BAA">
              <w:t>X</w:t>
            </w:r>
          </w:p>
        </w:tc>
        <w:tc>
          <w:tcPr>
            <w:tcW w:w="428" w:type="pct"/>
          </w:tcPr>
          <w:p w:rsidR="00A007DC" w:rsidRPr="006C3BAA" w:rsidRDefault="00A007DC" w:rsidP="00907A79">
            <w:pPr>
              <w:spacing w:before="60" w:line="240" w:lineRule="auto"/>
              <w:jc w:val="center"/>
            </w:pPr>
          </w:p>
        </w:tc>
      </w:tr>
    </w:tbl>
    <w:p w:rsidR="00681937" w:rsidRDefault="00681937" w:rsidP="00A007DC">
      <w:r>
        <w:t>Notes:</w:t>
      </w:r>
    </w:p>
    <w:p w:rsidR="00886DE5" w:rsidRDefault="00886DE5" w:rsidP="00886DE5">
      <w:r>
        <w:t>* Lis</w:t>
      </w:r>
      <w:r w:rsidR="00907A79">
        <w:t xml:space="preserve">ted as potential dimension in Annex </w:t>
      </w:r>
      <w:r>
        <w:t xml:space="preserve">1 </w:t>
      </w:r>
      <w:r w:rsidR="00907A79">
        <w:t xml:space="preserve">of Final Report </w:t>
      </w:r>
      <w:r>
        <w:t>and omitted dur</w:t>
      </w:r>
      <w:r w:rsidR="00907A79">
        <w:t xml:space="preserve">ing the </w:t>
      </w:r>
      <w:proofErr w:type="spellStart"/>
      <w:r w:rsidR="00907A79">
        <w:t>operationalization</w:t>
      </w:r>
      <w:proofErr w:type="spellEnd"/>
      <w:r w:rsidR="00907A79">
        <w:t xml:space="preserve"> in Task </w:t>
      </w:r>
      <w:r>
        <w:t xml:space="preserve">2.6. </w:t>
      </w:r>
    </w:p>
    <w:p w:rsidR="00886DE5" w:rsidRDefault="00907A79" w:rsidP="00886DE5">
      <w:r>
        <w:t xml:space="preserve">** New dimension proposed by Task </w:t>
      </w:r>
      <w:r w:rsidR="00886DE5">
        <w:t xml:space="preserve">2.6 and not included in </w:t>
      </w:r>
      <w:r>
        <w:t xml:space="preserve">Annex </w:t>
      </w:r>
      <w:r w:rsidR="00886DE5">
        <w:t>1.</w:t>
      </w:r>
    </w:p>
    <w:p w:rsidR="00A007DC" w:rsidRPr="006C3BAA" w:rsidRDefault="00A007DC" w:rsidP="00A007DC">
      <w:r w:rsidRPr="006C3BAA">
        <w:lastRenderedPageBreak/>
        <w:t>X primary correspondence</w:t>
      </w:r>
      <w:r w:rsidR="00681937">
        <w:t>;</w:t>
      </w:r>
      <w:r w:rsidRPr="006C3BAA">
        <w:t xml:space="preserve"> (X) secondary correspondence</w:t>
      </w:r>
    </w:p>
    <w:p w:rsidR="00A007DC" w:rsidRPr="006C3BAA" w:rsidRDefault="00A007DC" w:rsidP="00A007DC"/>
    <w:p w:rsidR="00A007DC" w:rsidRDefault="00A007DC" w:rsidP="00A007DC">
      <w:r w:rsidRPr="006C3BAA">
        <w:t xml:space="preserve">Reimer (2004) and Philip and </w:t>
      </w:r>
      <w:proofErr w:type="spellStart"/>
      <w:r w:rsidRPr="006C3BAA">
        <w:t>Shucksmith’s</w:t>
      </w:r>
      <w:proofErr w:type="spellEnd"/>
      <w:r w:rsidRPr="006C3BAA">
        <w:t xml:space="preserve"> (2003) market relations in the society show strong links with three dimensions of </w:t>
      </w:r>
      <w:proofErr w:type="spellStart"/>
      <w:r w:rsidRPr="006C3BAA">
        <w:t>TiPSE’s</w:t>
      </w:r>
      <w:proofErr w:type="spellEnd"/>
      <w:r w:rsidRPr="006C3BAA">
        <w:t xml:space="preserve"> social exclusion: inclusion into labour markets, income earned by individuals/households and housing are mostly defined by market processes and private systems. In addition to that, transport and communication infrastructure is partly governed by private </w:t>
      </w:r>
      <w:r w:rsidR="00E6231A">
        <w:t xml:space="preserve">actors. The state system or </w:t>
      </w:r>
      <w:r w:rsidRPr="006C3BAA">
        <w:t xml:space="preserve">bureaucratic relations are represented in </w:t>
      </w:r>
      <w:proofErr w:type="spellStart"/>
      <w:r w:rsidRPr="006C3BAA">
        <w:t>TiPSE</w:t>
      </w:r>
      <w:proofErr w:type="spellEnd"/>
      <w:r w:rsidRPr="006C3BAA">
        <w:t xml:space="preserve"> by several variables: health, education, </w:t>
      </w:r>
      <w:proofErr w:type="gramStart"/>
      <w:r w:rsidRPr="006C3BAA">
        <w:t>transport</w:t>
      </w:r>
      <w:proofErr w:type="gramEnd"/>
      <w:r w:rsidRPr="006C3BAA">
        <w:t xml:space="preserve"> and communication infrastructure. The former two are mostly influenced by public policies, whereas transport and communication only partly (see the more detailed description of indicators in the next section). Housing may include some elements of social housing (as part of the municipal or state policy), political participation includes some associations with the role of the state, therefore both of </w:t>
      </w:r>
      <w:r w:rsidR="00E6231A">
        <w:t>them</w:t>
      </w:r>
      <w:r w:rsidRPr="006C3BAA">
        <w:t xml:space="preserve"> are considered as secondary constitutive within the dimensions. Associative relations, collective action processes cover realms of social life where relationships based upon shared interests within a group are taken into account. Primarily</w:t>
      </w:r>
      <w:r w:rsidR="00E6231A">
        <w:t>,</w:t>
      </w:r>
      <w:r w:rsidRPr="006C3BAA">
        <w:t xml:space="preserve"> these may be linked to various aspects of political participation (citizenship, voting intentions and civic engagement)</w:t>
      </w:r>
      <w:r w:rsidR="00E6231A">
        <w:t>;</w:t>
      </w:r>
      <w:r w:rsidRPr="006C3BAA">
        <w:t xml:space="preserve"> secondary</w:t>
      </w:r>
      <w:r w:rsidR="00E6231A">
        <w:t>,</w:t>
      </w:r>
      <w:r w:rsidRPr="006C3BAA">
        <w:t xml:space="preserve"> these are related to different dimensions of identification and identity-building factors (age, ethnicity, migrant background, </w:t>
      </w:r>
      <w:proofErr w:type="gramStart"/>
      <w:r w:rsidRPr="006C3BAA">
        <w:t>criminality</w:t>
      </w:r>
      <w:proofErr w:type="gramEnd"/>
      <w:r w:rsidRPr="006C3BAA">
        <w:t xml:space="preserve">). </w:t>
      </w:r>
      <w:proofErr w:type="gramStart"/>
      <w:r w:rsidRPr="006C3BAA">
        <w:t>Communal relations (or relations with friends and families leading to social exclusion) is</w:t>
      </w:r>
      <w:proofErr w:type="gramEnd"/>
      <w:r w:rsidRPr="006C3BAA">
        <w:t xml:space="preserve"> probably the least covered aspect of ESPON </w:t>
      </w:r>
      <w:proofErr w:type="spellStart"/>
      <w:r w:rsidRPr="006C3BAA">
        <w:t>TiPSE</w:t>
      </w:r>
      <w:proofErr w:type="spellEnd"/>
      <w:r w:rsidRPr="006C3BAA">
        <w:t>. This so</w:t>
      </w:r>
      <w:r w:rsidR="00E6231A">
        <w:t xml:space="preserve">cial system may be </w:t>
      </w:r>
      <w:proofErr w:type="spellStart"/>
      <w:r w:rsidR="00E6231A">
        <w:t>operationaliz</w:t>
      </w:r>
      <w:r w:rsidRPr="006C3BAA">
        <w:t>ed</w:t>
      </w:r>
      <w:proofErr w:type="spellEnd"/>
      <w:r w:rsidRPr="006C3BAA">
        <w:t xml:space="preserve">, measured and quantified in a cross-European comparative study in an uneasy way. </w:t>
      </w:r>
      <w:r w:rsidR="00886DE5">
        <w:t xml:space="preserve">Household structure is a proxy dimension for this aspect and </w:t>
      </w:r>
      <w:r w:rsidRPr="006C3BAA">
        <w:t xml:space="preserve">there are only two </w:t>
      </w:r>
      <w:r w:rsidR="00886DE5">
        <w:t xml:space="preserve">other </w:t>
      </w:r>
      <w:r w:rsidRPr="006C3BAA">
        <w:t>dimensions somewhat implying characteristics of family and friends relationships.</w:t>
      </w:r>
    </w:p>
    <w:p w:rsidR="00D434A2" w:rsidRPr="006C3BAA" w:rsidRDefault="00D434A2" w:rsidP="00A007DC"/>
    <w:p w:rsidR="00A007DC" w:rsidRPr="006C3BAA" w:rsidRDefault="00A007DC" w:rsidP="00A007DC">
      <w:pPr>
        <w:pStyle w:val="Cmsor2"/>
      </w:pPr>
      <w:bookmarkStart w:id="10" w:name="_Toc401264626"/>
      <w:r w:rsidRPr="006C3BAA">
        <w:t>Indicators of social exclusion</w:t>
      </w:r>
      <w:bookmarkEnd w:id="10"/>
    </w:p>
    <w:p w:rsidR="00A007DC" w:rsidRPr="006C3BAA" w:rsidRDefault="00A007DC" w:rsidP="00A007DC">
      <w:r w:rsidRPr="006C3BAA">
        <w:t xml:space="preserve">Following the identification of domains and dimensions of social exclusion for ESPON </w:t>
      </w:r>
      <w:proofErr w:type="spellStart"/>
      <w:r w:rsidRPr="006C3BAA">
        <w:t>TiPSE</w:t>
      </w:r>
      <w:proofErr w:type="spellEnd"/>
      <w:r w:rsidRPr="006C3BAA">
        <w:t xml:space="preserve">, key indicators or variables of the different dimensions </w:t>
      </w:r>
      <w:r w:rsidR="00E6231A">
        <w:t>were chosen</w:t>
      </w:r>
      <w:r w:rsidRPr="006C3BAA">
        <w:t>.</w:t>
      </w:r>
      <w:r w:rsidR="00861C41">
        <w:t xml:space="preserve"> We are aware that there are certain limitations in the selection</w:t>
      </w:r>
      <w:r w:rsidR="00E6231A">
        <w:t xml:space="preserve"> of the indicators (many of these concerns</w:t>
      </w:r>
      <w:r w:rsidR="00861C41">
        <w:t xml:space="preserve"> are discussed in </w:t>
      </w:r>
      <w:proofErr w:type="spellStart"/>
      <w:r w:rsidR="00861C41">
        <w:t>Levitas</w:t>
      </w:r>
      <w:proofErr w:type="spellEnd"/>
      <w:r w:rsidR="00861C41">
        <w:t xml:space="preserve"> 1999), and </w:t>
      </w:r>
      <w:r w:rsidR="00E6231A">
        <w:t xml:space="preserve">we </w:t>
      </w:r>
      <w:r w:rsidR="00861C41">
        <w:t xml:space="preserve">conceive research results of </w:t>
      </w:r>
      <w:proofErr w:type="spellStart"/>
      <w:r w:rsidR="00861C41">
        <w:t>TiPSE</w:t>
      </w:r>
      <w:proofErr w:type="spellEnd"/>
      <w:r w:rsidR="00861C41">
        <w:t xml:space="preserve"> as a starting point for a wider discussion on the relevance of these indicators in understanding and tackling social exclusion.</w:t>
      </w:r>
      <w:r w:rsidRPr="006C3BAA">
        <w:t xml:space="preserve"> In this phase, theoretical cons</w:t>
      </w:r>
      <w:r w:rsidR="00907A79">
        <w:t xml:space="preserve">iderations of Task 2.1 and Task </w:t>
      </w:r>
      <w:r w:rsidRPr="006C3BAA">
        <w:t xml:space="preserve">2.6 outlined earlier in this </w:t>
      </w:r>
      <w:r w:rsidR="00E6231A">
        <w:t xml:space="preserve">paper </w:t>
      </w:r>
      <w:r w:rsidRPr="006C3BAA">
        <w:t>are t</w:t>
      </w:r>
      <w:r w:rsidR="00907A79">
        <w:t xml:space="preserve">o be matched with findings of Task </w:t>
      </w:r>
      <w:r w:rsidRPr="006C3BAA">
        <w:t xml:space="preserve">2.3. Major criteria </w:t>
      </w:r>
      <w:r w:rsidR="00886DE5">
        <w:t>of finding suitable indicators we</w:t>
      </w:r>
      <w:r w:rsidRPr="006C3BAA">
        <w:t>re the following:</w:t>
      </w:r>
    </w:p>
    <w:p w:rsidR="00A007DC" w:rsidRPr="006C3BAA" w:rsidRDefault="00A007DC" w:rsidP="00E6231A">
      <w:pPr>
        <w:pStyle w:val="ESPONnumberedlist"/>
        <w:numPr>
          <w:ilvl w:val="0"/>
          <w:numId w:val="18"/>
        </w:numPr>
        <w:spacing w:before="120"/>
        <w:ind w:left="714" w:hanging="357"/>
      </w:pPr>
      <w:r w:rsidRPr="006C3BAA">
        <w:t>the indicator represents the dimension (and the domain) of social exclusion in a meaningful way;</w:t>
      </w:r>
    </w:p>
    <w:p w:rsidR="00A007DC" w:rsidRPr="006C3BAA" w:rsidRDefault="00A007DC" w:rsidP="00E6231A">
      <w:pPr>
        <w:pStyle w:val="ESPONnumberedlist"/>
        <w:numPr>
          <w:ilvl w:val="0"/>
          <w:numId w:val="18"/>
        </w:numPr>
      </w:pPr>
      <w:r w:rsidRPr="006C3BAA">
        <w:lastRenderedPageBreak/>
        <w:t>the chosen indicator is most possibly an established or potential key variable in social policies throughout Europe (this aspect is important for the policy-implications of the ESPON project);</w:t>
      </w:r>
    </w:p>
    <w:p w:rsidR="00A007DC" w:rsidRPr="006C3BAA" w:rsidRDefault="00A007DC" w:rsidP="00E6231A">
      <w:pPr>
        <w:pStyle w:val="ESPONnumberedlist"/>
        <w:numPr>
          <w:ilvl w:val="0"/>
          <w:numId w:val="18"/>
        </w:numPr>
      </w:pPr>
      <w:r w:rsidRPr="006C3BAA">
        <w:t xml:space="preserve">data is available at least at NUTS 3 level (LAU 1 data availability </w:t>
      </w:r>
      <w:r w:rsidR="00E6231A">
        <w:t>is important for the case studies, and for national policy making, less for the spatial scale of the EU</w:t>
      </w:r>
      <w:r w:rsidRPr="006C3BAA">
        <w:t>).</w:t>
      </w:r>
    </w:p>
    <w:p w:rsidR="00E6231A" w:rsidRDefault="00E6231A" w:rsidP="00A007DC">
      <w:r>
        <w:t xml:space="preserve">The indicators presented in this methodological paper represent a result of longer discussions </w:t>
      </w:r>
      <w:r w:rsidR="008746CD">
        <w:t xml:space="preserve">among </w:t>
      </w:r>
      <w:r>
        <w:t xml:space="preserve">ESPON </w:t>
      </w:r>
      <w:proofErr w:type="spellStart"/>
      <w:r>
        <w:t>TiPSE</w:t>
      </w:r>
      <w:proofErr w:type="spellEnd"/>
      <w:r>
        <w:t xml:space="preserve"> partners</w:t>
      </w:r>
      <w:r w:rsidR="008746CD">
        <w:t xml:space="preserve"> and between ESPON </w:t>
      </w:r>
      <w:proofErr w:type="spellStart"/>
      <w:r w:rsidR="008746CD">
        <w:t>TiPSE</w:t>
      </w:r>
      <w:proofErr w:type="spellEnd"/>
      <w:r w:rsidR="008746CD">
        <w:t xml:space="preserve"> and the ESPON Coordination Unit</w:t>
      </w:r>
      <w:r>
        <w:t xml:space="preserve">. Some dimensions had to be dropped during the implementation phase, because criterion a) or c) was not fulfilled. These shortcomings have already been reported in the Interim Report </w:t>
      </w:r>
      <w:r w:rsidR="008746CD">
        <w:t xml:space="preserve">of the project </w:t>
      </w:r>
      <w:r>
        <w:t xml:space="preserve">(such as the virtual absence of data in the domain </w:t>
      </w:r>
      <w:r w:rsidR="00CA2358">
        <w:t>‘</w:t>
      </w:r>
      <w:r>
        <w:t>Political participation</w:t>
      </w:r>
      <w:r w:rsidR="00CA2358">
        <w:t>’</w:t>
      </w:r>
      <w:r>
        <w:t xml:space="preserve">). </w:t>
      </w:r>
    </w:p>
    <w:p w:rsidR="00A007DC" w:rsidRPr="006C3BAA" w:rsidRDefault="00A007DC" w:rsidP="00A007DC">
      <w:r w:rsidRPr="006C3BAA">
        <w:t>The review of EU and member states’ po</w:t>
      </w:r>
      <w:r w:rsidR="00DF7CF1">
        <w:t xml:space="preserve">licies on social exclusion in Annex </w:t>
      </w:r>
      <w:r w:rsidRPr="006C3BAA">
        <w:t xml:space="preserve">1 clearly showed that measurement and monitoring of social exclusion is based on indicators which in </w:t>
      </w:r>
      <w:r w:rsidR="00886DE5">
        <w:t xml:space="preserve">the </w:t>
      </w:r>
      <w:r w:rsidRPr="006C3BAA">
        <w:t xml:space="preserve">majority of the cases are not grouped in dimensions and domains. Hence, there is a marked difference between the approach of ESPON </w:t>
      </w:r>
      <w:proofErr w:type="spellStart"/>
      <w:r w:rsidRPr="006C3BAA">
        <w:t>TiPSE</w:t>
      </w:r>
      <w:proofErr w:type="spellEnd"/>
      <w:r w:rsidRPr="006C3BAA">
        <w:t xml:space="preserve"> – which follows a deductive way of making sense of the world by starting wi</w:t>
      </w:r>
      <w:r w:rsidR="00E6231A">
        <w:t>th theories and distilling them</w:t>
      </w:r>
      <w:r w:rsidRPr="006C3BAA">
        <w:t xml:space="preserve"> to indicators – versus that of social policy which approaches inductively, i.e. it starts with collecting and interpreting indicators in order to draw conclusions on processes of social exclusion on the more abstract and more general level. </w:t>
      </w:r>
    </w:p>
    <w:p w:rsidR="00A007DC" w:rsidRPr="006C3BAA" w:rsidRDefault="00E6231A" w:rsidP="00A007DC">
      <w:proofErr w:type="gramStart"/>
      <w:r>
        <w:t>Having said that</w:t>
      </w:r>
      <w:r w:rsidR="00A007DC" w:rsidRPr="006C3BAA">
        <w:t xml:space="preserve">, it is </w:t>
      </w:r>
      <w:r>
        <w:t xml:space="preserve">still </w:t>
      </w:r>
      <w:r w:rsidR="00A007DC" w:rsidRPr="006C3BAA">
        <w:t xml:space="preserve">possible to establish conceptual links between the four domains of ESPON </w:t>
      </w:r>
      <w:proofErr w:type="spellStart"/>
      <w:r w:rsidR="00A007DC" w:rsidRPr="006C3BAA">
        <w:t>TiPSE</w:t>
      </w:r>
      <w:proofErr w:type="spellEnd"/>
      <w:r w:rsidR="00A007DC" w:rsidRPr="006C3BAA">
        <w:t xml:space="preserve"> and the indicators of different social policy practices.</w:t>
      </w:r>
      <w:proofErr w:type="gramEnd"/>
    </w:p>
    <w:p w:rsidR="00A007DC" w:rsidRPr="006C3BAA" w:rsidRDefault="00DF7CF1" w:rsidP="00A007DC">
      <w:r>
        <w:t xml:space="preserve">Annex </w:t>
      </w:r>
      <w:r w:rsidR="00A007DC" w:rsidRPr="006C3BAA">
        <w:t xml:space="preserve">1 emphasised that EU level policy (such as the </w:t>
      </w:r>
      <w:proofErr w:type="spellStart"/>
      <w:r w:rsidR="00A007DC" w:rsidRPr="006C3BAA">
        <w:t>Laeken</w:t>
      </w:r>
      <w:proofErr w:type="spellEnd"/>
      <w:r w:rsidR="00A007DC" w:rsidRPr="006C3BAA">
        <w:t xml:space="preserve"> indicators) are more focused on the domains ‘Earning a living’ and ‘Access to basic services’. Consequently, they fail to </w:t>
      </w:r>
      <w:proofErr w:type="gramStart"/>
      <w:r w:rsidR="00A007DC" w:rsidRPr="006C3BAA">
        <w:t>correspond</w:t>
      </w:r>
      <w:proofErr w:type="gramEnd"/>
      <w:r w:rsidR="00A007DC" w:rsidRPr="006C3BAA">
        <w:t xml:space="preserve"> the three criteria of </w:t>
      </w:r>
      <w:proofErr w:type="spellStart"/>
      <w:r w:rsidR="00A007DC" w:rsidRPr="006C3BAA">
        <w:t>relationality</w:t>
      </w:r>
      <w:proofErr w:type="spellEnd"/>
      <w:r w:rsidR="00A007DC" w:rsidRPr="006C3BAA">
        <w:t xml:space="preserve">, process-orientation and multi-dimensionality referred to earlier in this paper. </w:t>
      </w:r>
    </w:p>
    <w:p w:rsidR="00A007DC" w:rsidRPr="006C3BAA" w:rsidRDefault="00DF7CF1" w:rsidP="00A007DC">
      <w:r>
        <w:t xml:space="preserve">Other studies cited in Annex </w:t>
      </w:r>
      <w:r w:rsidR="00A007DC" w:rsidRPr="006C3BAA">
        <w:t xml:space="preserve">1 focus more on the lack of social integration. This approach covers predominantly the </w:t>
      </w:r>
      <w:r w:rsidR="00CA2358">
        <w:t>‘</w:t>
      </w:r>
      <w:r w:rsidR="00A007DC" w:rsidRPr="006C3BAA">
        <w:t>Social environment</w:t>
      </w:r>
      <w:r w:rsidR="00CA2358">
        <w:t>’</w:t>
      </w:r>
      <w:r w:rsidR="00A007DC" w:rsidRPr="006C3BAA">
        <w:t xml:space="preserve"> and the </w:t>
      </w:r>
      <w:r w:rsidR="00CA2358">
        <w:t>‘</w:t>
      </w:r>
      <w:r w:rsidR="00A007DC" w:rsidRPr="006C3BAA">
        <w:t>Political participation</w:t>
      </w:r>
      <w:r w:rsidR="00CA2358">
        <w:t>’</w:t>
      </w:r>
      <w:r w:rsidR="00A007DC" w:rsidRPr="006C3BAA">
        <w:t xml:space="preserve"> domains of ESPON </w:t>
      </w:r>
      <w:proofErr w:type="spellStart"/>
      <w:r w:rsidR="00A007DC" w:rsidRPr="006C3BAA">
        <w:t>TiPSE</w:t>
      </w:r>
      <w:proofErr w:type="spellEnd"/>
      <w:r w:rsidR="00A007DC" w:rsidRPr="006C3BAA">
        <w:t>. As for the m</w:t>
      </w:r>
      <w:r>
        <w:t xml:space="preserve">apping exercise undertaken in Task </w:t>
      </w:r>
      <w:r w:rsidR="00A007DC" w:rsidRPr="006C3BAA">
        <w:t>2.6 these indicator</w:t>
      </w:r>
      <w:r w:rsidR="00886DE5">
        <w:t>s are hardly useful, as data is</w:t>
      </w:r>
      <w:r w:rsidR="00A007DC" w:rsidRPr="006C3BAA">
        <w:t xml:space="preserve"> collected during extended fieldwork via sampling and survey-methodology, and </w:t>
      </w:r>
      <w:r w:rsidR="00886DE5">
        <w:t>is</w:t>
      </w:r>
      <w:r w:rsidR="00A007DC" w:rsidRPr="006C3BAA">
        <w:t xml:space="preserve"> not available in a harmonised way for a reliable cross-European comparison. (For example, </w:t>
      </w:r>
      <w:proofErr w:type="spellStart"/>
      <w:r w:rsidR="00A007DC" w:rsidRPr="006C3BAA">
        <w:t>Eurobarometer’s</w:t>
      </w:r>
      <w:proofErr w:type="spellEnd"/>
      <w:r w:rsidR="00A007DC" w:rsidRPr="006C3BAA">
        <w:t xml:space="preserve"> studies offer representative regional level data ei</w:t>
      </w:r>
      <w:r w:rsidR="00E6231A">
        <w:t>ther on NUTS 1 level – mostly for</w:t>
      </w:r>
      <w:r w:rsidR="00A007DC" w:rsidRPr="006C3BAA">
        <w:t xml:space="preserve"> countries with smaller population – or on NUTS 2 level.)</w:t>
      </w:r>
    </w:p>
    <w:p w:rsidR="00A007DC" w:rsidRPr="006C3BAA" w:rsidRDefault="00A007DC" w:rsidP="00A007DC">
      <w:r w:rsidRPr="006C3BAA">
        <w:t>Yet another gr</w:t>
      </w:r>
      <w:r w:rsidR="00DF7CF1">
        <w:t xml:space="preserve">oup of studies referred to in Annex </w:t>
      </w:r>
      <w:r w:rsidRPr="006C3BAA">
        <w:t>1 uses indicators which identify vulnerable social groups (drug addicts, homeless people etc.) by using context-variables in a more direct, one-di</w:t>
      </w:r>
      <w:r w:rsidR="00E6231A">
        <w:t>mensional way than our approach</w:t>
      </w:r>
      <w:r w:rsidRPr="006C3BAA">
        <w:t>. As those studies stigmatise ‘</w:t>
      </w:r>
      <w:r w:rsidR="00E6231A">
        <w:t>a priori</w:t>
      </w:r>
      <w:r w:rsidRPr="006C3BAA">
        <w:t xml:space="preserve">’ by referring to one dimension (a surface appearance) as a sole cause of social exclusion – e.g. homeless people are socially excluded and they are </w:t>
      </w:r>
      <w:r w:rsidRPr="006C3BAA">
        <w:lastRenderedPageBreak/>
        <w:t xml:space="preserve">excluded because they are homeless (cf. Mitchell, 2011) –, this approach will not be followed in ESPON </w:t>
      </w:r>
      <w:proofErr w:type="spellStart"/>
      <w:r w:rsidRPr="006C3BAA">
        <w:t>TiPSE</w:t>
      </w:r>
      <w:proofErr w:type="spellEnd"/>
      <w:r w:rsidR="00E6231A">
        <w:t xml:space="preserve"> because of ethical and moral concerns</w:t>
      </w:r>
      <w:r w:rsidRPr="006C3BAA">
        <w:t>.</w:t>
      </w:r>
    </w:p>
    <w:p w:rsidR="00A007DC" w:rsidRPr="006C3BAA" w:rsidRDefault="00A007DC" w:rsidP="00A007DC">
      <w:r w:rsidRPr="006C3BAA">
        <w:t>As the further step, indicators of social exclusion were gathered to all domains and dimensions.</w:t>
      </w:r>
      <w:r w:rsidR="00886DE5">
        <w:t xml:space="preserve"> Both </w:t>
      </w:r>
      <w:proofErr w:type="spellStart"/>
      <w:r w:rsidR="00886DE5">
        <w:t>Eurostat</w:t>
      </w:r>
      <w:proofErr w:type="spellEnd"/>
      <w:r w:rsidR="00886DE5">
        <w:t xml:space="preserve"> and national data sources (for census 2001 </w:t>
      </w:r>
      <w:r w:rsidR="001F0989">
        <w:t xml:space="preserve">and census 2011 </w:t>
      </w:r>
      <w:r w:rsidR="00886DE5">
        <w:t>variables) were consulted in the course of the project by partners.</w:t>
      </w:r>
      <w:r w:rsidRPr="006C3BAA">
        <w:t xml:space="preserve"> Table 3 contains the list of variables.</w:t>
      </w:r>
      <w:r w:rsidR="00053A30">
        <w:t xml:space="preserve"> For derived variables, further discussion is to be found in Chapter 4.</w:t>
      </w:r>
    </w:p>
    <w:p w:rsidR="000478B6" w:rsidRPr="006C3BAA" w:rsidRDefault="000478B6" w:rsidP="000478B6">
      <w:r w:rsidRPr="006C3BAA">
        <w:t xml:space="preserve">The </w:t>
      </w:r>
      <w:r>
        <w:t xml:space="preserve">two most important </w:t>
      </w:r>
      <w:r w:rsidRPr="006C3BAA">
        <w:t xml:space="preserve">datasets used in ESPON </w:t>
      </w:r>
      <w:proofErr w:type="spellStart"/>
      <w:r w:rsidRPr="006C3BAA">
        <w:t>TiPSE</w:t>
      </w:r>
      <w:proofErr w:type="spellEnd"/>
      <w:r w:rsidRPr="006C3BAA">
        <w:t xml:space="preserve"> project are </w:t>
      </w:r>
      <w:proofErr w:type="spellStart"/>
      <w:r w:rsidRPr="006C3BAA">
        <w:t>Eurostat</w:t>
      </w:r>
      <w:proofErr w:type="spellEnd"/>
      <w:r>
        <w:t xml:space="preserve"> and national statistical sources (census variables)</w:t>
      </w:r>
      <w:r w:rsidRPr="006C3BAA">
        <w:t xml:space="preserve">. Pros and cons using </w:t>
      </w:r>
      <w:proofErr w:type="spellStart"/>
      <w:r w:rsidRPr="006C3BAA">
        <w:t>Eurostat</w:t>
      </w:r>
      <w:proofErr w:type="spellEnd"/>
      <w:r w:rsidRPr="006C3BAA">
        <w:t xml:space="preserve"> data are the following:</w:t>
      </w:r>
    </w:p>
    <w:p w:rsidR="000478B6" w:rsidRPr="006C3BAA" w:rsidRDefault="000478B6" w:rsidP="000478B6">
      <w:pPr>
        <w:pStyle w:val="Listaszerbekezds"/>
        <w:numPr>
          <w:ilvl w:val="0"/>
          <w:numId w:val="9"/>
        </w:numPr>
        <w:spacing w:after="120"/>
        <w:ind w:left="714" w:hanging="357"/>
        <w:contextualSpacing w:val="0"/>
      </w:pPr>
      <w:r w:rsidRPr="006C3BAA">
        <w:t>harmonised data for all member states, therefore data is ‘fully’ comparable (metadata offers some hints on the geographical</w:t>
      </w:r>
      <w:r>
        <w:t>, context-dependent</w:t>
      </w:r>
      <w:r w:rsidRPr="006C3BAA">
        <w:t xml:space="preserve"> cross-comparability);</w:t>
      </w:r>
    </w:p>
    <w:p w:rsidR="000478B6" w:rsidRPr="006C3BAA" w:rsidRDefault="000478B6" w:rsidP="000478B6">
      <w:pPr>
        <w:pStyle w:val="Listaszerbekezds"/>
        <w:numPr>
          <w:ilvl w:val="0"/>
          <w:numId w:val="9"/>
        </w:numPr>
        <w:spacing w:before="0" w:after="120"/>
        <w:contextualSpacing w:val="0"/>
      </w:pPr>
      <w:r w:rsidRPr="006C3BAA">
        <w:t>longitudinal comparisons are possible (e.g. between census data of 2001 and 2011);</w:t>
      </w:r>
    </w:p>
    <w:p w:rsidR="000478B6" w:rsidRPr="006C3BAA" w:rsidRDefault="000478B6" w:rsidP="000478B6">
      <w:pPr>
        <w:pStyle w:val="Listaszerbekezds"/>
        <w:numPr>
          <w:ilvl w:val="0"/>
          <w:numId w:val="9"/>
        </w:numPr>
        <w:spacing w:before="0" w:after="120"/>
        <w:contextualSpacing w:val="0"/>
      </w:pPr>
      <w:r w:rsidRPr="006C3BAA">
        <w:t>easy-for-use datasets, available free of charge;</w:t>
      </w:r>
    </w:p>
    <w:p w:rsidR="000478B6" w:rsidRPr="006C3BAA" w:rsidRDefault="000478B6" w:rsidP="000478B6">
      <w:pPr>
        <w:pStyle w:val="Listaszerbekezds"/>
        <w:numPr>
          <w:ilvl w:val="0"/>
          <w:numId w:val="10"/>
        </w:numPr>
        <w:spacing w:before="0" w:after="120"/>
        <w:contextualSpacing w:val="0"/>
      </w:pPr>
      <w:r w:rsidRPr="006C3BAA">
        <w:t>not all data is available on NUTS 3 level;</w:t>
      </w:r>
    </w:p>
    <w:p w:rsidR="000478B6" w:rsidRPr="006C3BAA" w:rsidRDefault="000478B6" w:rsidP="000478B6">
      <w:pPr>
        <w:pStyle w:val="Listaszerbekezds"/>
        <w:numPr>
          <w:ilvl w:val="0"/>
          <w:numId w:val="10"/>
        </w:numPr>
        <w:spacing w:before="0" w:after="120"/>
        <w:contextualSpacing w:val="0"/>
      </w:pPr>
      <w:proofErr w:type="gramStart"/>
      <w:r w:rsidRPr="006C3BAA">
        <w:t>few</w:t>
      </w:r>
      <w:proofErr w:type="gramEnd"/>
      <w:r w:rsidRPr="006C3BAA">
        <w:t xml:space="preserve"> of the dimensions of social exclusion are covered in </w:t>
      </w:r>
      <w:proofErr w:type="spellStart"/>
      <w:r w:rsidRPr="006C3BAA">
        <w:t>Eurostat</w:t>
      </w:r>
      <w:proofErr w:type="spellEnd"/>
      <w:r w:rsidRPr="006C3BAA">
        <w:t xml:space="preserve"> datasets.</w:t>
      </w:r>
    </w:p>
    <w:p w:rsidR="000478B6" w:rsidRDefault="000478B6" w:rsidP="000478B6">
      <w:r w:rsidRPr="006C3BAA">
        <w:t xml:space="preserve">Several data is only available from censuses in either some or most or all of the countries. </w:t>
      </w:r>
      <w:r>
        <w:t xml:space="preserve">Although </w:t>
      </w:r>
      <w:proofErr w:type="spellStart"/>
      <w:r>
        <w:t>Eurostat</w:t>
      </w:r>
      <w:proofErr w:type="spellEnd"/>
      <w:r>
        <w:t xml:space="preserve"> gathered census data for the 2001 and 2011 rounds (for the latter see the </w:t>
      </w:r>
      <w:proofErr w:type="spellStart"/>
      <w:r>
        <w:t>Eurostat</w:t>
      </w:r>
      <w:proofErr w:type="spellEnd"/>
      <w:r>
        <w:t xml:space="preserve"> Census Hub under </w:t>
      </w:r>
      <w:r w:rsidRPr="000B0D74">
        <w:t>https://ec.europa.eu/CensusHub2</w:t>
      </w:r>
      <w:r>
        <w:t>), there are gaps because of various reasons (no census was carried out, such as in Germany; new and non-member states’ data is missing, etc.). As for r</w:t>
      </w:r>
      <w:r w:rsidRPr="006C3BAA">
        <w:t>egional breakdowns of the 2011 census period EC Regulation 763/</w:t>
      </w:r>
      <w:r>
        <w:t>2008 Article 5 (2) states that ‘</w:t>
      </w:r>
      <w:r w:rsidRPr="006C3BAA">
        <w:t>Member States shall provide the Commission (</w:t>
      </w:r>
      <w:proofErr w:type="spellStart"/>
      <w:r w:rsidRPr="006C3BAA">
        <w:t>Eurostat</w:t>
      </w:r>
      <w:proofErr w:type="spellEnd"/>
      <w:r w:rsidRPr="006C3BAA">
        <w:t xml:space="preserve">) with final, validated and aggregated data and with metadata, as required by this Regulation, within 27 months of the end </w:t>
      </w:r>
      <w:r>
        <w:t>of the reference year [2011].’</w:t>
      </w:r>
      <w:r w:rsidRPr="006C3BAA">
        <w:t xml:space="preserve"> </w:t>
      </w:r>
    </w:p>
    <w:p w:rsidR="000478B6" w:rsidRPr="006C3BAA" w:rsidRDefault="000478B6" w:rsidP="000478B6">
      <w:r>
        <w:t>In this methodological paper, detailed descriptions are offered for each indicator,</w:t>
      </w:r>
      <w:r w:rsidR="00DF7CF1">
        <w:t xml:space="preserve"> and all changes between Task 2.1 and Task </w:t>
      </w:r>
      <w:r>
        <w:t xml:space="preserve">2.6 are explained (some of them have already been touched upon in the Interim Report of </w:t>
      </w:r>
      <w:proofErr w:type="spellStart"/>
      <w:r>
        <w:t>T</w:t>
      </w:r>
      <w:r w:rsidR="00DF7CF1">
        <w:t>iPSE</w:t>
      </w:r>
      <w:proofErr w:type="spellEnd"/>
      <w:r w:rsidR="00DF7CF1">
        <w:t xml:space="preserve">). Another deliverable of Task </w:t>
      </w:r>
      <w:r>
        <w:t>2.6 is a set of maps for all indicators.</w:t>
      </w:r>
    </w:p>
    <w:p w:rsidR="00A007DC" w:rsidRPr="006C3BAA" w:rsidRDefault="00A007DC" w:rsidP="00A007DC"/>
    <w:p w:rsidR="00E6231A" w:rsidRDefault="00E6231A" w:rsidP="00A007DC">
      <w:pPr>
        <w:rPr>
          <w:i/>
          <w:iCs/>
        </w:rPr>
        <w:sectPr w:rsidR="00E6231A" w:rsidSect="00FE4123">
          <w:pgSz w:w="11900" w:h="16840"/>
          <w:pgMar w:top="1440" w:right="1800" w:bottom="1440" w:left="1800" w:header="708" w:footer="708" w:gutter="0"/>
          <w:pgNumType w:start="1"/>
          <w:cols w:space="708"/>
        </w:sectPr>
      </w:pPr>
    </w:p>
    <w:p w:rsidR="00A007DC" w:rsidRPr="006C3BAA" w:rsidRDefault="0093492C" w:rsidP="0093492C">
      <w:pPr>
        <w:pStyle w:val="Kpalrs"/>
      </w:pPr>
      <w:bookmarkStart w:id="11" w:name="_Toc401264642"/>
      <w:r>
        <w:lastRenderedPageBreak/>
        <w:t xml:space="preserve">Table </w:t>
      </w:r>
      <w:r w:rsidR="00CD0272">
        <w:fldChar w:fldCharType="begin"/>
      </w:r>
      <w:r w:rsidR="00B6257D">
        <w:instrText xml:space="preserve"> SEQ Table \* ARABIC </w:instrText>
      </w:r>
      <w:r w:rsidR="00CD0272">
        <w:fldChar w:fldCharType="separate"/>
      </w:r>
      <w:r w:rsidR="00FA7411">
        <w:rPr>
          <w:noProof/>
        </w:rPr>
        <w:t>3</w:t>
      </w:r>
      <w:r w:rsidR="00CD0272">
        <w:rPr>
          <w:noProof/>
        </w:rPr>
        <w:fldChar w:fldCharType="end"/>
      </w:r>
      <w:r>
        <w:t>:</w:t>
      </w:r>
      <w:r w:rsidR="00A007DC" w:rsidRPr="006C3BAA">
        <w:t xml:space="preserve"> ESPON </w:t>
      </w:r>
      <w:proofErr w:type="spellStart"/>
      <w:r w:rsidR="00A007DC" w:rsidRPr="006C3BAA">
        <w:t>TiPSE</w:t>
      </w:r>
      <w:proofErr w:type="spellEnd"/>
      <w:r w:rsidR="00A007DC" w:rsidRPr="006C3BAA">
        <w:t xml:space="preserve"> </w:t>
      </w:r>
      <w:r w:rsidR="00A007DC" w:rsidRPr="0093492C">
        <w:t>indicators</w:t>
      </w:r>
      <w:r w:rsidR="00A007DC" w:rsidRPr="006C3BAA">
        <w:t xml:space="preserve"> of social exclusion by dimensions and domains</w:t>
      </w:r>
      <w:bookmarkEnd w:id="11"/>
    </w:p>
    <w:tbl>
      <w:tblPr>
        <w:tblW w:w="5037"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92"/>
        <w:gridCol w:w="1791"/>
        <w:gridCol w:w="1785"/>
        <w:gridCol w:w="1785"/>
        <w:gridCol w:w="1785"/>
        <w:gridCol w:w="1782"/>
        <w:gridCol w:w="1782"/>
        <w:gridCol w:w="1779"/>
      </w:tblGrid>
      <w:tr w:rsidR="004B48E3" w:rsidRPr="006C3BAA" w:rsidTr="00B93968">
        <w:trPr>
          <w:cantSplit/>
          <w:trHeight w:val="444"/>
          <w:tblHeader/>
        </w:trPr>
        <w:tc>
          <w:tcPr>
            <w:tcW w:w="627" w:type="pct"/>
            <w:shd w:val="clear" w:color="auto" w:fill="auto"/>
          </w:tcPr>
          <w:p w:rsidR="004B48E3" w:rsidRPr="006C3BAA" w:rsidRDefault="00DF7CF1" w:rsidP="000F0EAF">
            <w:pPr>
              <w:spacing w:line="240" w:lineRule="auto"/>
              <w:jc w:val="left"/>
              <w:rPr>
                <w:i/>
                <w:iCs/>
              </w:rPr>
            </w:pPr>
            <w:r>
              <w:rPr>
                <w:i/>
                <w:iCs/>
              </w:rPr>
              <w:t xml:space="preserve">Domain identified by Task </w:t>
            </w:r>
            <w:r w:rsidR="004B48E3" w:rsidRPr="006C3BAA">
              <w:rPr>
                <w:i/>
                <w:iCs/>
              </w:rPr>
              <w:t>2.1</w:t>
            </w:r>
            <w:r>
              <w:rPr>
                <w:i/>
                <w:iCs/>
              </w:rPr>
              <w:t xml:space="preserve"> and Task </w:t>
            </w:r>
            <w:r w:rsidR="00AB354F">
              <w:rPr>
                <w:i/>
                <w:iCs/>
              </w:rPr>
              <w:t>2.6</w:t>
            </w:r>
          </w:p>
        </w:tc>
        <w:tc>
          <w:tcPr>
            <w:tcW w:w="627" w:type="pct"/>
            <w:shd w:val="clear" w:color="auto" w:fill="auto"/>
          </w:tcPr>
          <w:p w:rsidR="004B48E3" w:rsidRPr="006C3BAA" w:rsidRDefault="00DF7CF1" w:rsidP="000F0EAF">
            <w:pPr>
              <w:spacing w:line="240" w:lineRule="auto"/>
              <w:jc w:val="left"/>
              <w:rPr>
                <w:i/>
                <w:iCs/>
              </w:rPr>
            </w:pPr>
            <w:r>
              <w:rPr>
                <w:i/>
                <w:iCs/>
              </w:rPr>
              <w:t xml:space="preserve">Dimension identified by Task 2.1 and recommended by Task </w:t>
            </w:r>
            <w:r w:rsidR="004B48E3" w:rsidRPr="006C3BAA">
              <w:rPr>
                <w:i/>
                <w:iCs/>
              </w:rPr>
              <w:t>2.6</w:t>
            </w:r>
          </w:p>
        </w:tc>
        <w:tc>
          <w:tcPr>
            <w:tcW w:w="625" w:type="pct"/>
            <w:shd w:val="clear" w:color="auto" w:fill="auto"/>
          </w:tcPr>
          <w:p w:rsidR="004B48E3" w:rsidRPr="006C3BAA" w:rsidRDefault="00DF7CF1" w:rsidP="000F0EAF">
            <w:pPr>
              <w:spacing w:line="240" w:lineRule="auto"/>
              <w:jc w:val="left"/>
              <w:rPr>
                <w:i/>
                <w:iCs/>
              </w:rPr>
            </w:pPr>
            <w:r>
              <w:rPr>
                <w:i/>
                <w:iCs/>
              </w:rPr>
              <w:t xml:space="preserve">Indicator recommended by Task </w:t>
            </w:r>
            <w:r w:rsidR="004B48E3" w:rsidRPr="006C3BAA">
              <w:rPr>
                <w:i/>
                <w:iCs/>
              </w:rPr>
              <w:t>2.1</w:t>
            </w:r>
            <w:r>
              <w:rPr>
                <w:i/>
                <w:iCs/>
              </w:rPr>
              <w:t xml:space="preserve"> and Task </w:t>
            </w:r>
            <w:r w:rsidR="00AB354F">
              <w:rPr>
                <w:i/>
                <w:iCs/>
              </w:rPr>
              <w:t>2.6</w:t>
            </w:r>
          </w:p>
        </w:tc>
        <w:tc>
          <w:tcPr>
            <w:tcW w:w="625" w:type="pct"/>
            <w:shd w:val="clear" w:color="auto" w:fill="auto"/>
          </w:tcPr>
          <w:p w:rsidR="004B48E3" w:rsidRPr="006C3BAA" w:rsidRDefault="004B48E3" w:rsidP="000F0EAF">
            <w:pPr>
              <w:spacing w:line="240" w:lineRule="auto"/>
              <w:jc w:val="left"/>
              <w:rPr>
                <w:i/>
                <w:iCs/>
              </w:rPr>
            </w:pPr>
            <w:r w:rsidRPr="006C3BAA">
              <w:rPr>
                <w:i/>
                <w:iCs/>
              </w:rPr>
              <w:t>I</w:t>
            </w:r>
            <w:r w:rsidR="00DF7CF1">
              <w:rPr>
                <w:i/>
                <w:iCs/>
              </w:rPr>
              <w:t xml:space="preserve">ndicator further specified by Task </w:t>
            </w:r>
            <w:r w:rsidRPr="006C3BAA">
              <w:rPr>
                <w:i/>
                <w:iCs/>
              </w:rPr>
              <w:t>2.6</w:t>
            </w:r>
          </w:p>
        </w:tc>
        <w:tc>
          <w:tcPr>
            <w:tcW w:w="625" w:type="pct"/>
          </w:tcPr>
          <w:p w:rsidR="004B48E3" w:rsidRDefault="004B48E3" w:rsidP="000F0EAF">
            <w:pPr>
              <w:spacing w:line="240" w:lineRule="auto"/>
              <w:jc w:val="left"/>
              <w:rPr>
                <w:i/>
                <w:iCs/>
              </w:rPr>
            </w:pPr>
            <w:r>
              <w:rPr>
                <w:i/>
                <w:iCs/>
              </w:rPr>
              <w:t>Years covered</w:t>
            </w:r>
            <w:r w:rsidR="00AB354F">
              <w:rPr>
                <w:i/>
                <w:iCs/>
              </w:rPr>
              <w:t xml:space="preserve"> in </w:t>
            </w:r>
            <w:proofErr w:type="spellStart"/>
            <w:r w:rsidR="00AB354F">
              <w:rPr>
                <w:i/>
                <w:iCs/>
              </w:rPr>
              <w:t>TiPSE</w:t>
            </w:r>
            <w:proofErr w:type="spellEnd"/>
            <w:r w:rsidR="00AB354F">
              <w:rPr>
                <w:i/>
                <w:iCs/>
              </w:rPr>
              <w:t xml:space="preserve"> collection</w:t>
            </w:r>
          </w:p>
        </w:tc>
        <w:tc>
          <w:tcPr>
            <w:tcW w:w="624" w:type="pct"/>
            <w:shd w:val="clear" w:color="auto" w:fill="auto"/>
          </w:tcPr>
          <w:p w:rsidR="004B48E3" w:rsidRPr="006C3BAA" w:rsidRDefault="004B48E3" w:rsidP="000F0EAF">
            <w:pPr>
              <w:spacing w:line="240" w:lineRule="auto"/>
              <w:jc w:val="left"/>
              <w:rPr>
                <w:i/>
                <w:iCs/>
              </w:rPr>
            </w:pPr>
            <w:r>
              <w:rPr>
                <w:i/>
                <w:iCs/>
              </w:rPr>
              <w:t>Source</w:t>
            </w:r>
          </w:p>
        </w:tc>
        <w:tc>
          <w:tcPr>
            <w:tcW w:w="624" w:type="pct"/>
            <w:tcBorders>
              <w:bottom w:val="single" w:sz="4" w:space="0" w:color="auto"/>
            </w:tcBorders>
          </w:tcPr>
          <w:p w:rsidR="004B48E3" w:rsidRDefault="004B48E3" w:rsidP="004B48E3">
            <w:pPr>
              <w:spacing w:line="240" w:lineRule="auto"/>
              <w:jc w:val="left"/>
              <w:rPr>
                <w:i/>
                <w:iCs/>
              </w:rPr>
            </w:pPr>
            <w:r>
              <w:rPr>
                <w:i/>
                <w:iCs/>
              </w:rPr>
              <w:t>Further qualification</w:t>
            </w:r>
            <w:r w:rsidRPr="004B48E3">
              <w:rPr>
                <w:i/>
                <w:iCs/>
              </w:rPr>
              <w:t>*</w:t>
            </w:r>
            <w:r>
              <w:rPr>
                <w:i/>
                <w:iCs/>
              </w:rPr>
              <w:t xml:space="preserve"> </w:t>
            </w:r>
            <w:r w:rsidRPr="004B48E3">
              <w:rPr>
                <w:i/>
                <w:iCs/>
              </w:rPr>
              <w:t>summarised by traffic lights</w:t>
            </w:r>
          </w:p>
        </w:tc>
        <w:tc>
          <w:tcPr>
            <w:tcW w:w="623" w:type="pct"/>
          </w:tcPr>
          <w:p w:rsidR="004B48E3" w:rsidRDefault="004B48E3" w:rsidP="00521C0B">
            <w:pPr>
              <w:spacing w:line="240" w:lineRule="auto"/>
              <w:jc w:val="left"/>
              <w:rPr>
                <w:i/>
                <w:iCs/>
              </w:rPr>
            </w:pPr>
            <w:r>
              <w:rPr>
                <w:i/>
                <w:iCs/>
              </w:rPr>
              <w:t>Composite index indicator (2011)</w:t>
            </w:r>
          </w:p>
        </w:tc>
      </w:tr>
      <w:tr w:rsidR="004B48E3" w:rsidRPr="006C3BAA" w:rsidTr="000917E0">
        <w:tc>
          <w:tcPr>
            <w:tcW w:w="627" w:type="pct"/>
            <w:vMerge w:val="restart"/>
            <w:shd w:val="clear" w:color="auto" w:fill="auto"/>
          </w:tcPr>
          <w:p w:rsidR="004B48E3" w:rsidRPr="006C3BAA" w:rsidRDefault="004B48E3" w:rsidP="0084535B">
            <w:pPr>
              <w:spacing w:before="0" w:line="240" w:lineRule="auto"/>
              <w:jc w:val="left"/>
            </w:pPr>
            <w:r w:rsidRPr="006C3BAA">
              <w:t>Earning a living</w:t>
            </w:r>
          </w:p>
        </w:tc>
        <w:tc>
          <w:tcPr>
            <w:tcW w:w="627" w:type="pct"/>
            <w:vMerge w:val="restart"/>
            <w:shd w:val="clear" w:color="auto" w:fill="auto"/>
          </w:tcPr>
          <w:p w:rsidR="004B48E3" w:rsidRPr="006C3BAA" w:rsidRDefault="004B48E3" w:rsidP="0084535B">
            <w:pPr>
              <w:spacing w:before="0" w:line="240" w:lineRule="auto"/>
              <w:jc w:val="left"/>
            </w:pPr>
            <w:r w:rsidRPr="006C3BAA">
              <w:t>Income earned by tax payers</w:t>
            </w:r>
          </w:p>
        </w:tc>
        <w:tc>
          <w:tcPr>
            <w:tcW w:w="625" w:type="pct"/>
            <w:vMerge w:val="restart"/>
            <w:shd w:val="clear" w:color="auto" w:fill="auto"/>
          </w:tcPr>
          <w:p w:rsidR="004B48E3" w:rsidRPr="006C3BAA" w:rsidRDefault="004B48E3" w:rsidP="0084535B">
            <w:pPr>
              <w:spacing w:before="0" w:line="240" w:lineRule="auto"/>
              <w:jc w:val="left"/>
            </w:pPr>
            <w:r w:rsidRPr="006C3BAA">
              <w:t>Income earned by tax payers</w:t>
            </w:r>
          </w:p>
        </w:tc>
        <w:tc>
          <w:tcPr>
            <w:tcW w:w="625" w:type="pct"/>
            <w:shd w:val="clear" w:color="auto" w:fill="auto"/>
          </w:tcPr>
          <w:p w:rsidR="004B48E3" w:rsidRPr="006C3BAA" w:rsidRDefault="004B48E3" w:rsidP="0084535B">
            <w:pPr>
              <w:spacing w:before="0" w:line="240" w:lineRule="auto"/>
              <w:jc w:val="left"/>
            </w:pPr>
            <w:r w:rsidRPr="00E6231A">
              <w:t>Net disposable household income</w:t>
            </w:r>
          </w:p>
        </w:tc>
        <w:tc>
          <w:tcPr>
            <w:tcW w:w="625" w:type="pct"/>
          </w:tcPr>
          <w:p w:rsidR="004B48E3" w:rsidRDefault="004B48E3" w:rsidP="0084535B">
            <w:pPr>
              <w:spacing w:before="0" w:line="240" w:lineRule="auto"/>
              <w:jc w:val="left"/>
            </w:pPr>
            <w:r>
              <w:t>2001, 2011</w:t>
            </w:r>
          </w:p>
        </w:tc>
        <w:tc>
          <w:tcPr>
            <w:tcW w:w="624" w:type="pct"/>
            <w:shd w:val="clear" w:color="auto" w:fill="auto"/>
          </w:tcPr>
          <w:p w:rsidR="004B48E3" w:rsidRPr="00E6231A" w:rsidRDefault="004B48E3" w:rsidP="0084535B">
            <w:pPr>
              <w:spacing w:before="0" w:line="240" w:lineRule="auto"/>
              <w:jc w:val="left"/>
            </w:pPr>
            <w:proofErr w:type="spellStart"/>
            <w:r>
              <w:t>Eurostat</w:t>
            </w:r>
            <w:proofErr w:type="spellEnd"/>
          </w:p>
        </w:tc>
        <w:tc>
          <w:tcPr>
            <w:tcW w:w="624" w:type="pct"/>
            <w:tcBorders>
              <w:bottom w:val="single" w:sz="4" w:space="0" w:color="auto"/>
            </w:tcBorders>
            <w:shd w:val="clear" w:color="auto" w:fill="FFC000"/>
          </w:tcPr>
          <w:p w:rsidR="004B48E3" w:rsidRDefault="002C6F43" w:rsidP="0084535B">
            <w:pPr>
              <w:spacing w:before="0" w:line="240" w:lineRule="auto"/>
              <w:jc w:val="left"/>
            </w:pPr>
            <w:r w:rsidRPr="002C6F43">
              <w:t>++++(-)(+)</w:t>
            </w:r>
          </w:p>
        </w:tc>
        <w:tc>
          <w:tcPr>
            <w:tcW w:w="623" w:type="pct"/>
          </w:tcPr>
          <w:p w:rsidR="004B48E3" w:rsidRDefault="004B48E3" w:rsidP="0084535B">
            <w:pPr>
              <w:spacing w:before="0" w:line="240" w:lineRule="auto"/>
              <w:jc w:val="left"/>
            </w:pPr>
          </w:p>
        </w:tc>
      </w:tr>
      <w:tr w:rsidR="004B48E3" w:rsidRPr="006C3BAA" w:rsidTr="000917E0">
        <w:tc>
          <w:tcPr>
            <w:tcW w:w="627" w:type="pct"/>
            <w:vMerge/>
            <w:shd w:val="clear" w:color="auto" w:fill="auto"/>
          </w:tcPr>
          <w:p w:rsidR="004B48E3" w:rsidRPr="006C3BAA" w:rsidRDefault="004B48E3" w:rsidP="0084535B">
            <w:pPr>
              <w:spacing w:before="0" w:line="240" w:lineRule="auto"/>
              <w:jc w:val="left"/>
            </w:pPr>
          </w:p>
        </w:tc>
        <w:tc>
          <w:tcPr>
            <w:tcW w:w="627" w:type="pct"/>
            <w:vMerge/>
            <w:shd w:val="clear" w:color="auto" w:fill="auto"/>
          </w:tcPr>
          <w:p w:rsidR="004B48E3" w:rsidRPr="006C3BAA" w:rsidRDefault="004B48E3" w:rsidP="0084535B">
            <w:pPr>
              <w:spacing w:before="0" w:line="240" w:lineRule="auto"/>
              <w:jc w:val="left"/>
            </w:pPr>
          </w:p>
        </w:tc>
        <w:tc>
          <w:tcPr>
            <w:tcW w:w="625" w:type="pct"/>
            <w:vMerge/>
            <w:shd w:val="clear" w:color="auto" w:fill="auto"/>
          </w:tcPr>
          <w:p w:rsidR="004B48E3" w:rsidRPr="006C3BAA" w:rsidRDefault="004B48E3" w:rsidP="0084535B">
            <w:pPr>
              <w:spacing w:before="0" w:line="240" w:lineRule="auto"/>
              <w:jc w:val="left"/>
            </w:pPr>
          </w:p>
        </w:tc>
        <w:tc>
          <w:tcPr>
            <w:tcW w:w="625" w:type="pct"/>
            <w:shd w:val="clear" w:color="auto" w:fill="auto"/>
          </w:tcPr>
          <w:p w:rsidR="004B48E3" w:rsidRPr="00E6231A" w:rsidRDefault="004B48E3" w:rsidP="0084535B">
            <w:pPr>
              <w:spacing w:before="0" w:line="240" w:lineRule="auto"/>
              <w:jc w:val="left"/>
            </w:pPr>
            <w:r w:rsidRPr="000F0EAF">
              <w:t>Ratio of employed persons in elementary occupations</w:t>
            </w:r>
          </w:p>
        </w:tc>
        <w:tc>
          <w:tcPr>
            <w:tcW w:w="625" w:type="pct"/>
          </w:tcPr>
          <w:p w:rsidR="004B48E3" w:rsidRDefault="004B48E3" w:rsidP="0084535B">
            <w:pPr>
              <w:spacing w:before="0" w:line="240" w:lineRule="auto"/>
              <w:jc w:val="left"/>
            </w:pPr>
            <w:r>
              <w:t>2001, 2011</w:t>
            </w:r>
          </w:p>
        </w:tc>
        <w:tc>
          <w:tcPr>
            <w:tcW w:w="624" w:type="pct"/>
            <w:shd w:val="clear" w:color="auto" w:fill="auto"/>
          </w:tcPr>
          <w:p w:rsidR="004B48E3" w:rsidRDefault="004B48E3" w:rsidP="0084535B">
            <w:pPr>
              <w:spacing w:before="0" w:line="240" w:lineRule="auto"/>
              <w:jc w:val="left"/>
            </w:pPr>
            <w:r>
              <w:t>Census</w:t>
            </w:r>
          </w:p>
        </w:tc>
        <w:tc>
          <w:tcPr>
            <w:tcW w:w="624" w:type="pct"/>
            <w:shd w:val="clear" w:color="auto" w:fill="FFC000"/>
          </w:tcPr>
          <w:p w:rsidR="004B48E3" w:rsidRDefault="002C6F43" w:rsidP="0084535B">
            <w:pPr>
              <w:spacing w:before="0" w:line="240" w:lineRule="auto"/>
              <w:jc w:val="left"/>
            </w:pPr>
            <w:r w:rsidRPr="002C6F43">
              <w:t>++--(+)(+/-)</w:t>
            </w:r>
          </w:p>
        </w:tc>
        <w:tc>
          <w:tcPr>
            <w:tcW w:w="623" w:type="pct"/>
          </w:tcPr>
          <w:p w:rsidR="004B48E3" w:rsidRDefault="004B48E3" w:rsidP="0084535B">
            <w:pPr>
              <w:spacing w:before="0" w:line="240" w:lineRule="auto"/>
              <w:jc w:val="left"/>
            </w:pPr>
            <w:r>
              <w:t>Yes</w:t>
            </w:r>
          </w:p>
        </w:tc>
      </w:tr>
      <w:tr w:rsidR="004B48E3" w:rsidRPr="006C3BAA" w:rsidTr="004B48E3">
        <w:tc>
          <w:tcPr>
            <w:tcW w:w="627" w:type="pct"/>
            <w:vMerge/>
            <w:shd w:val="clear" w:color="auto" w:fill="auto"/>
          </w:tcPr>
          <w:p w:rsidR="004B48E3" w:rsidRPr="006C3BAA" w:rsidRDefault="004B48E3" w:rsidP="0084535B">
            <w:pPr>
              <w:spacing w:before="0" w:line="240" w:lineRule="auto"/>
              <w:jc w:val="left"/>
            </w:pPr>
          </w:p>
        </w:tc>
        <w:tc>
          <w:tcPr>
            <w:tcW w:w="627" w:type="pct"/>
            <w:vMerge w:val="restart"/>
            <w:shd w:val="clear" w:color="auto" w:fill="auto"/>
          </w:tcPr>
          <w:p w:rsidR="004B48E3" w:rsidRPr="006C3BAA" w:rsidRDefault="004B48E3" w:rsidP="0084535B">
            <w:pPr>
              <w:spacing w:before="0" w:line="240" w:lineRule="auto"/>
              <w:jc w:val="left"/>
            </w:pPr>
            <w:r w:rsidRPr="006C3BAA">
              <w:t>Employment</w:t>
            </w:r>
          </w:p>
        </w:tc>
        <w:tc>
          <w:tcPr>
            <w:tcW w:w="625" w:type="pct"/>
            <w:vMerge w:val="restart"/>
            <w:shd w:val="clear" w:color="auto" w:fill="auto"/>
          </w:tcPr>
          <w:p w:rsidR="004B48E3" w:rsidRPr="006C3BAA" w:rsidRDefault="004B48E3" w:rsidP="0084535B">
            <w:pPr>
              <w:spacing w:before="0" w:line="240" w:lineRule="auto"/>
              <w:jc w:val="left"/>
            </w:pPr>
            <w:r w:rsidRPr="006C3BAA">
              <w:t>Employed</w:t>
            </w:r>
          </w:p>
        </w:tc>
        <w:tc>
          <w:tcPr>
            <w:tcW w:w="625" w:type="pct"/>
            <w:shd w:val="clear" w:color="auto" w:fill="auto"/>
          </w:tcPr>
          <w:p w:rsidR="004B48E3" w:rsidRPr="006C3BAA" w:rsidRDefault="004B48E3" w:rsidP="0084535B">
            <w:pPr>
              <w:spacing w:before="0" w:line="240" w:lineRule="auto"/>
              <w:jc w:val="left"/>
            </w:pPr>
            <w:r>
              <w:t>Economic activity rate</w:t>
            </w:r>
          </w:p>
        </w:tc>
        <w:tc>
          <w:tcPr>
            <w:tcW w:w="625" w:type="pct"/>
          </w:tcPr>
          <w:p w:rsidR="004B48E3" w:rsidRDefault="004B48E3" w:rsidP="0084535B">
            <w:pPr>
              <w:spacing w:before="0" w:line="240" w:lineRule="auto"/>
              <w:jc w:val="left"/>
            </w:pPr>
            <w:r>
              <w:t>2001</w:t>
            </w:r>
          </w:p>
        </w:tc>
        <w:tc>
          <w:tcPr>
            <w:tcW w:w="624" w:type="pct"/>
            <w:shd w:val="clear" w:color="auto" w:fill="auto"/>
          </w:tcPr>
          <w:p w:rsidR="004B48E3" w:rsidRPr="006C3BAA" w:rsidRDefault="004B48E3" w:rsidP="0084535B">
            <w:pPr>
              <w:spacing w:before="0" w:line="240" w:lineRule="auto"/>
              <w:jc w:val="left"/>
            </w:pPr>
            <w:r>
              <w:t>LFS (</w:t>
            </w:r>
            <w:proofErr w:type="spellStart"/>
            <w:r>
              <w:t>Eurostat</w:t>
            </w:r>
            <w:proofErr w:type="spellEnd"/>
            <w:r>
              <w:t>)</w:t>
            </w:r>
          </w:p>
        </w:tc>
        <w:tc>
          <w:tcPr>
            <w:tcW w:w="624" w:type="pct"/>
          </w:tcPr>
          <w:p w:rsidR="004B48E3" w:rsidRDefault="004B48E3" w:rsidP="0084535B">
            <w:pPr>
              <w:spacing w:before="0" w:line="240" w:lineRule="auto"/>
              <w:jc w:val="left"/>
            </w:pPr>
          </w:p>
        </w:tc>
        <w:tc>
          <w:tcPr>
            <w:tcW w:w="623" w:type="pct"/>
          </w:tcPr>
          <w:p w:rsidR="004B48E3" w:rsidRDefault="004B48E3" w:rsidP="0084535B">
            <w:pPr>
              <w:spacing w:before="0" w:line="240" w:lineRule="auto"/>
              <w:jc w:val="left"/>
            </w:pPr>
          </w:p>
        </w:tc>
      </w:tr>
      <w:tr w:rsidR="004B48E3" w:rsidRPr="006C3BAA" w:rsidTr="004B48E3">
        <w:tc>
          <w:tcPr>
            <w:tcW w:w="627" w:type="pct"/>
            <w:vMerge/>
            <w:shd w:val="clear" w:color="auto" w:fill="auto"/>
          </w:tcPr>
          <w:p w:rsidR="004B48E3" w:rsidRPr="006C3BAA" w:rsidRDefault="004B48E3" w:rsidP="0084535B">
            <w:pPr>
              <w:spacing w:before="0" w:line="240" w:lineRule="auto"/>
              <w:jc w:val="left"/>
            </w:pPr>
          </w:p>
        </w:tc>
        <w:tc>
          <w:tcPr>
            <w:tcW w:w="627" w:type="pct"/>
            <w:vMerge/>
            <w:shd w:val="clear" w:color="auto" w:fill="auto"/>
          </w:tcPr>
          <w:p w:rsidR="004B48E3" w:rsidRPr="006C3BAA" w:rsidRDefault="004B48E3" w:rsidP="0084535B">
            <w:pPr>
              <w:spacing w:before="0" w:line="240" w:lineRule="auto"/>
              <w:jc w:val="left"/>
            </w:pPr>
          </w:p>
        </w:tc>
        <w:tc>
          <w:tcPr>
            <w:tcW w:w="625" w:type="pct"/>
            <w:vMerge/>
            <w:shd w:val="clear" w:color="auto" w:fill="auto"/>
          </w:tcPr>
          <w:p w:rsidR="004B48E3" w:rsidRPr="006C3BAA" w:rsidRDefault="004B48E3" w:rsidP="0084535B">
            <w:pPr>
              <w:spacing w:before="0" w:line="240" w:lineRule="auto"/>
              <w:jc w:val="left"/>
            </w:pPr>
          </w:p>
        </w:tc>
        <w:tc>
          <w:tcPr>
            <w:tcW w:w="625" w:type="pct"/>
            <w:shd w:val="clear" w:color="auto" w:fill="auto"/>
          </w:tcPr>
          <w:p w:rsidR="004B48E3" w:rsidRPr="006C3BAA" w:rsidRDefault="004B48E3" w:rsidP="0084535B">
            <w:pPr>
              <w:spacing w:before="0" w:line="240" w:lineRule="auto"/>
              <w:jc w:val="left"/>
            </w:pPr>
            <w:r>
              <w:t>Economic activity rate</w:t>
            </w:r>
          </w:p>
        </w:tc>
        <w:tc>
          <w:tcPr>
            <w:tcW w:w="625" w:type="pct"/>
          </w:tcPr>
          <w:p w:rsidR="004B48E3" w:rsidRDefault="004B48E3" w:rsidP="0084535B">
            <w:pPr>
              <w:spacing w:before="0" w:line="240" w:lineRule="auto"/>
              <w:jc w:val="left"/>
            </w:pPr>
            <w:r>
              <w:t>2001</w:t>
            </w:r>
          </w:p>
        </w:tc>
        <w:tc>
          <w:tcPr>
            <w:tcW w:w="624" w:type="pct"/>
            <w:shd w:val="clear" w:color="auto" w:fill="auto"/>
          </w:tcPr>
          <w:p w:rsidR="004B48E3" w:rsidRPr="006C3BAA" w:rsidRDefault="004B48E3" w:rsidP="0084535B">
            <w:pPr>
              <w:spacing w:before="0" w:line="240" w:lineRule="auto"/>
              <w:jc w:val="left"/>
            </w:pPr>
            <w:r>
              <w:t>Census</w:t>
            </w:r>
          </w:p>
        </w:tc>
        <w:tc>
          <w:tcPr>
            <w:tcW w:w="624" w:type="pct"/>
          </w:tcPr>
          <w:p w:rsidR="004B48E3" w:rsidRDefault="004B48E3" w:rsidP="0084535B">
            <w:pPr>
              <w:spacing w:before="0" w:line="240" w:lineRule="auto"/>
              <w:jc w:val="left"/>
            </w:pPr>
          </w:p>
        </w:tc>
        <w:tc>
          <w:tcPr>
            <w:tcW w:w="623" w:type="pct"/>
          </w:tcPr>
          <w:p w:rsidR="004B48E3" w:rsidRDefault="004B48E3" w:rsidP="0084535B">
            <w:pPr>
              <w:spacing w:before="0" w:line="240" w:lineRule="auto"/>
              <w:jc w:val="left"/>
            </w:pPr>
          </w:p>
        </w:tc>
      </w:tr>
      <w:tr w:rsidR="004B48E3" w:rsidRPr="006C3BAA" w:rsidTr="004B48E3">
        <w:tc>
          <w:tcPr>
            <w:tcW w:w="627" w:type="pct"/>
            <w:vMerge/>
            <w:shd w:val="clear" w:color="auto" w:fill="auto"/>
          </w:tcPr>
          <w:p w:rsidR="004B48E3" w:rsidRPr="006C3BAA" w:rsidRDefault="004B48E3" w:rsidP="0084535B">
            <w:pPr>
              <w:spacing w:before="0" w:line="240" w:lineRule="auto"/>
              <w:jc w:val="left"/>
            </w:pPr>
          </w:p>
        </w:tc>
        <w:tc>
          <w:tcPr>
            <w:tcW w:w="627" w:type="pct"/>
            <w:vMerge/>
            <w:shd w:val="clear" w:color="auto" w:fill="auto"/>
          </w:tcPr>
          <w:p w:rsidR="004B48E3" w:rsidRPr="006C3BAA" w:rsidRDefault="004B48E3" w:rsidP="0084535B">
            <w:pPr>
              <w:spacing w:before="0" w:line="240" w:lineRule="auto"/>
              <w:jc w:val="left"/>
            </w:pPr>
          </w:p>
        </w:tc>
        <w:tc>
          <w:tcPr>
            <w:tcW w:w="625" w:type="pct"/>
            <w:vMerge/>
            <w:shd w:val="clear" w:color="auto" w:fill="auto"/>
          </w:tcPr>
          <w:p w:rsidR="004B48E3" w:rsidRPr="006C3BAA" w:rsidRDefault="004B48E3" w:rsidP="0084535B">
            <w:pPr>
              <w:spacing w:before="0" w:line="240" w:lineRule="auto"/>
              <w:jc w:val="left"/>
            </w:pPr>
          </w:p>
        </w:tc>
        <w:tc>
          <w:tcPr>
            <w:tcW w:w="625" w:type="pct"/>
            <w:shd w:val="clear" w:color="auto" w:fill="auto"/>
          </w:tcPr>
          <w:p w:rsidR="004B48E3" w:rsidRPr="006C3BAA" w:rsidRDefault="004B48E3" w:rsidP="0084535B">
            <w:pPr>
              <w:spacing w:before="0" w:line="240" w:lineRule="auto"/>
              <w:jc w:val="left"/>
            </w:pPr>
            <w:r>
              <w:t>Male economic activity rate</w:t>
            </w:r>
          </w:p>
        </w:tc>
        <w:tc>
          <w:tcPr>
            <w:tcW w:w="625" w:type="pct"/>
          </w:tcPr>
          <w:p w:rsidR="004B48E3" w:rsidRDefault="004B48E3" w:rsidP="0084535B">
            <w:pPr>
              <w:spacing w:before="0" w:line="240" w:lineRule="auto"/>
              <w:jc w:val="left"/>
            </w:pPr>
            <w:r>
              <w:t>2001</w:t>
            </w:r>
          </w:p>
        </w:tc>
        <w:tc>
          <w:tcPr>
            <w:tcW w:w="624" w:type="pct"/>
            <w:shd w:val="clear" w:color="auto" w:fill="auto"/>
          </w:tcPr>
          <w:p w:rsidR="004B48E3" w:rsidRPr="006C3BAA" w:rsidRDefault="004B48E3" w:rsidP="0084535B">
            <w:pPr>
              <w:spacing w:before="0" w:line="240" w:lineRule="auto"/>
              <w:jc w:val="left"/>
            </w:pPr>
            <w:r>
              <w:t>LFS (</w:t>
            </w:r>
            <w:proofErr w:type="spellStart"/>
            <w:r>
              <w:t>Eurostat</w:t>
            </w:r>
            <w:proofErr w:type="spellEnd"/>
            <w:r>
              <w:t>)</w:t>
            </w:r>
          </w:p>
        </w:tc>
        <w:tc>
          <w:tcPr>
            <w:tcW w:w="624" w:type="pct"/>
          </w:tcPr>
          <w:p w:rsidR="004B48E3" w:rsidRDefault="004B48E3" w:rsidP="0084535B">
            <w:pPr>
              <w:spacing w:before="0" w:line="240" w:lineRule="auto"/>
              <w:jc w:val="left"/>
            </w:pPr>
          </w:p>
        </w:tc>
        <w:tc>
          <w:tcPr>
            <w:tcW w:w="623" w:type="pct"/>
          </w:tcPr>
          <w:p w:rsidR="004B48E3" w:rsidRDefault="004B48E3" w:rsidP="0084535B">
            <w:pPr>
              <w:spacing w:before="0" w:line="240" w:lineRule="auto"/>
              <w:jc w:val="left"/>
            </w:pPr>
          </w:p>
        </w:tc>
      </w:tr>
      <w:tr w:rsidR="004B48E3" w:rsidRPr="006C3BAA" w:rsidTr="004B48E3">
        <w:tc>
          <w:tcPr>
            <w:tcW w:w="627" w:type="pct"/>
            <w:vMerge/>
            <w:shd w:val="clear" w:color="auto" w:fill="auto"/>
          </w:tcPr>
          <w:p w:rsidR="004B48E3" w:rsidRPr="006C3BAA" w:rsidRDefault="004B48E3" w:rsidP="0084535B">
            <w:pPr>
              <w:spacing w:before="0" w:line="240" w:lineRule="auto"/>
              <w:jc w:val="left"/>
            </w:pPr>
          </w:p>
        </w:tc>
        <w:tc>
          <w:tcPr>
            <w:tcW w:w="627" w:type="pct"/>
            <w:vMerge/>
            <w:shd w:val="clear" w:color="auto" w:fill="auto"/>
          </w:tcPr>
          <w:p w:rsidR="004B48E3" w:rsidRPr="006C3BAA" w:rsidRDefault="004B48E3" w:rsidP="0084535B">
            <w:pPr>
              <w:spacing w:before="0" w:line="240" w:lineRule="auto"/>
              <w:jc w:val="left"/>
            </w:pPr>
          </w:p>
        </w:tc>
        <w:tc>
          <w:tcPr>
            <w:tcW w:w="625" w:type="pct"/>
            <w:vMerge/>
            <w:shd w:val="clear" w:color="auto" w:fill="auto"/>
          </w:tcPr>
          <w:p w:rsidR="004B48E3" w:rsidRPr="006C3BAA" w:rsidRDefault="004B48E3" w:rsidP="0084535B">
            <w:pPr>
              <w:spacing w:before="0" w:line="240" w:lineRule="auto"/>
              <w:jc w:val="left"/>
            </w:pPr>
          </w:p>
        </w:tc>
        <w:tc>
          <w:tcPr>
            <w:tcW w:w="625" w:type="pct"/>
            <w:shd w:val="clear" w:color="auto" w:fill="auto"/>
          </w:tcPr>
          <w:p w:rsidR="004B48E3" w:rsidRPr="006C3BAA" w:rsidRDefault="004B48E3" w:rsidP="0084535B">
            <w:pPr>
              <w:spacing w:before="0" w:line="240" w:lineRule="auto"/>
              <w:jc w:val="left"/>
            </w:pPr>
            <w:r>
              <w:t>Male economic activity rate</w:t>
            </w:r>
          </w:p>
        </w:tc>
        <w:tc>
          <w:tcPr>
            <w:tcW w:w="625" w:type="pct"/>
          </w:tcPr>
          <w:p w:rsidR="004B48E3" w:rsidRDefault="004B48E3" w:rsidP="0084535B">
            <w:pPr>
              <w:spacing w:before="0" w:line="240" w:lineRule="auto"/>
              <w:jc w:val="left"/>
            </w:pPr>
            <w:r>
              <w:t>2001</w:t>
            </w:r>
          </w:p>
        </w:tc>
        <w:tc>
          <w:tcPr>
            <w:tcW w:w="624" w:type="pct"/>
            <w:shd w:val="clear" w:color="auto" w:fill="auto"/>
          </w:tcPr>
          <w:p w:rsidR="004B48E3" w:rsidRPr="006C3BAA" w:rsidRDefault="004B48E3" w:rsidP="0084535B">
            <w:pPr>
              <w:spacing w:before="0" w:line="240" w:lineRule="auto"/>
              <w:jc w:val="left"/>
            </w:pPr>
            <w:r>
              <w:t>Census</w:t>
            </w:r>
          </w:p>
        </w:tc>
        <w:tc>
          <w:tcPr>
            <w:tcW w:w="624" w:type="pct"/>
          </w:tcPr>
          <w:p w:rsidR="004B48E3" w:rsidRDefault="004B48E3" w:rsidP="0084535B">
            <w:pPr>
              <w:spacing w:before="0" w:line="240" w:lineRule="auto"/>
              <w:jc w:val="left"/>
            </w:pPr>
          </w:p>
        </w:tc>
        <w:tc>
          <w:tcPr>
            <w:tcW w:w="623" w:type="pct"/>
          </w:tcPr>
          <w:p w:rsidR="004B48E3" w:rsidRDefault="004B48E3" w:rsidP="0084535B">
            <w:pPr>
              <w:spacing w:before="0" w:line="240" w:lineRule="auto"/>
              <w:jc w:val="left"/>
            </w:pPr>
          </w:p>
        </w:tc>
      </w:tr>
      <w:tr w:rsidR="004B48E3" w:rsidRPr="006C3BAA" w:rsidTr="004B48E3">
        <w:tc>
          <w:tcPr>
            <w:tcW w:w="627" w:type="pct"/>
            <w:vMerge/>
            <w:shd w:val="clear" w:color="auto" w:fill="auto"/>
          </w:tcPr>
          <w:p w:rsidR="004B48E3" w:rsidRPr="006C3BAA" w:rsidRDefault="004B48E3" w:rsidP="0084535B">
            <w:pPr>
              <w:spacing w:before="0" w:line="240" w:lineRule="auto"/>
              <w:jc w:val="left"/>
            </w:pPr>
          </w:p>
        </w:tc>
        <w:tc>
          <w:tcPr>
            <w:tcW w:w="627" w:type="pct"/>
            <w:vMerge/>
            <w:shd w:val="clear" w:color="auto" w:fill="auto"/>
          </w:tcPr>
          <w:p w:rsidR="004B48E3" w:rsidRPr="006C3BAA" w:rsidRDefault="004B48E3" w:rsidP="0084535B">
            <w:pPr>
              <w:spacing w:before="0" w:line="240" w:lineRule="auto"/>
              <w:jc w:val="left"/>
            </w:pPr>
          </w:p>
        </w:tc>
        <w:tc>
          <w:tcPr>
            <w:tcW w:w="625" w:type="pct"/>
            <w:vMerge/>
            <w:shd w:val="clear" w:color="auto" w:fill="auto"/>
          </w:tcPr>
          <w:p w:rsidR="004B48E3" w:rsidRPr="006C3BAA" w:rsidRDefault="004B48E3" w:rsidP="0084535B">
            <w:pPr>
              <w:spacing w:before="0" w:line="240" w:lineRule="auto"/>
              <w:jc w:val="left"/>
            </w:pPr>
          </w:p>
        </w:tc>
        <w:tc>
          <w:tcPr>
            <w:tcW w:w="625" w:type="pct"/>
            <w:shd w:val="clear" w:color="auto" w:fill="auto"/>
          </w:tcPr>
          <w:p w:rsidR="004B48E3" w:rsidRPr="006C3BAA" w:rsidRDefault="004B48E3" w:rsidP="0084535B">
            <w:pPr>
              <w:spacing w:before="0" w:line="240" w:lineRule="auto"/>
              <w:jc w:val="left"/>
            </w:pPr>
            <w:r>
              <w:t>Female economic activity rate</w:t>
            </w:r>
          </w:p>
        </w:tc>
        <w:tc>
          <w:tcPr>
            <w:tcW w:w="625" w:type="pct"/>
          </w:tcPr>
          <w:p w:rsidR="004B48E3" w:rsidRDefault="004B48E3" w:rsidP="0084535B">
            <w:pPr>
              <w:spacing w:before="0" w:line="240" w:lineRule="auto"/>
              <w:jc w:val="left"/>
            </w:pPr>
            <w:r>
              <w:t>2001</w:t>
            </w:r>
          </w:p>
        </w:tc>
        <w:tc>
          <w:tcPr>
            <w:tcW w:w="624" w:type="pct"/>
            <w:shd w:val="clear" w:color="auto" w:fill="auto"/>
          </w:tcPr>
          <w:p w:rsidR="004B48E3" w:rsidRPr="006C3BAA" w:rsidRDefault="004B48E3" w:rsidP="0084535B">
            <w:pPr>
              <w:spacing w:before="0" w:line="240" w:lineRule="auto"/>
              <w:jc w:val="left"/>
            </w:pPr>
            <w:r>
              <w:t>LFS (</w:t>
            </w:r>
            <w:proofErr w:type="spellStart"/>
            <w:r>
              <w:t>Eurostat</w:t>
            </w:r>
            <w:proofErr w:type="spellEnd"/>
            <w:r>
              <w:t>)</w:t>
            </w:r>
          </w:p>
        </w:tc>
        <w:tc>
          <w:tcPr>
            <w:tcW w:w="624" w:type="pct"/>
          </w:tcPr>
          <w:p w:rsidR="004B48E3" w:rsidRDefault="004B48E3" w:rsidP="0084535B">
            <w:pPr>
              <w:spacing w:before="0" w:line="240" w:lineRule="auto"/>
              <w:jc w:val="left"/>
            </w:pPr>
          </w:p>
        </w:tc>
        <w:tc>
          <w:tcPr>
            <w:tcW w:w="623" w:type="pct"/>
          </w:tcPr>
          <w:p w:rsidR="004B48E3" w:rsidRDefault="004B48E3" w:rsidP="0084535B">
            <w:pPr>
              <w:spacing w:before="0" w:line="240" w:lineRule="auto"/>
              <w:jc w:val="left"/>
            </w:pPr>
          </w:p>
        </w:tc>
      </w:tr>
      <w:tr w:rsidR="004B48E3" w:rsidRPr="006C3BAA" w:rsidTr="004B48E3">
        <w:tc>
          <w:tcPr>
            <w:tcW w:w="627" w:type="pct"/>
            <w:vMerge/>
            <w:shd w:val="clear" w:color="auto" w:fill="auto"/>
          </w:tcPr>
          <w:p w:rsidR="004B48E3" w:rsidRPr="006C3BAA" w:rsidRDefault="004B48E3" w:rsidP="0084535B">
            <w:pPr>
              <w:spacing w:before="0" w:line="240" w:lineRule="auto"/>
              <w:jc w:val="left"/>
            </w:pPr>
          </w:p>
        </w:tc>
        <w:tc>
          <w:tcPr>
            <w:tcW w:w="627" w:type="pct"/>
            <w:vMerge/>
            <w:shd w:val="clear" w:color="auto" w:fill="auto"/>
          </w:tcPr>
          <w:p w:rsidR="004B48E3" w:rsidRPr="006C3BAA" w:rsidRDefault="004B48E3" w:rsidP="0084535B">
            <w:pPr>
              <w:spacing w:before="0" w:line="240" w:lineRule="auto"/>
              <w:jc w:val="left"/>
            </w:pPr>
          </w:p>
        </w:tc>
        <w:tc>
          <w:tcPr>
            <w:tcW w:w="625" w:type="pct"/>
            <w:vMerge/>
            <w:shd w:val="clear" w:color="auto" w:fill="auto"/>
          </w:tcPr>
          <w:p w:rsidR="004B48E3" w:rsidRPr="006C3BAA" w:rsidRDefault="004B48E3" w:rsidP="0084535B">
            <w:pPr>
              <w:spacing w:before="0" w:line="240" w:lineRule="auto"/>
              <w:jc w:val="left"/>
            </w:pPr>
          </w:p>
        </w:tc>
        <w:tc>
          <w:tcPr>
            <w:tcW w:w="625" w:type="pct"/>
            <w:shd w:val="clear" w:color="auto" w:fill="auto"/>
          </w:tcPr>
          <w:p w:rsidR="004B48E3" w:rsidRPr="006C3BAA" w:rsidRDefault="004B48E3" w:rsidP="0084535B">
            <w:pPr>
              <w:spacing w:before="0" w:line="240" w:lineRule="auto"/>
              <w:jc w:val="left"/>
            </w:pPr>
            <w:r>
              <w:t>Female economic activity rate</w:t>
            </w:r>
          </w:p>
        </w:tc>
        <w:tc>
          <w:tcPr>
            <w:tcW w:w="625" w:type="pct"/>
          </w:tcPr>
          <w:p w:rsidR="004B48E3" w:rsidRDefault="004B48E3" w:rsidP="0084535B">
            <w:pPr>
              <w:spacing w:before="0" w:line="240" w:lineRule="auto"/>
              <w:jc w:val="left"/>
            </w:pPr>
            <w:r>
              <w:t>2001</w:t>
            </w:r>
          </w:p>
        </w:tc>
        <w:tc>
          <w:tcPr>
            <w:tcW w:w="624" w:type="pct"/>
            <w:shd w:val="clear" w:color="auto" w:fill="auto"/>
          </w:tcPr>
          <w:p w:rsidR="004B48E3" w:rsidRPr="006C3BAA" w:rsidRDefault="004B48E3" w:rsidP="0084535B">
            <w:pPr>
              <w:spacing w:before="0" w:line="240" w:lineRule="auto"/>
              <w:jc w:val="left"/>
            </w:pPr>
            <w:r>
              <w:t>Census</w:t>
            </w:r>
          </w:p>
        </w:tc>
        <w:tc>
          <w:tcPr>
            <w:tcW w:w="624" w:type="pct"/>
          </w:tcPr>
          <w:p w:rsidR="004B48E3" w:rsidRDefault="004B48E3" w:rsidP="0084535B">
            <w:pPr>
              <w:spacing w:before="0" w:line="240" w:lineRule="auto"/>
              <w:jc w:val="left"/>
            </w:pPr>
          </w:p>
        </w:tc>
        <w:tc>
          <w:tcPr>
            <w:tcW w:w="623" w:type="pct"/>
          </w:tcPr>
          <w:p w:rsidR="004B48E3" w:rsidRDefault="004B48E3" w:rsidP="0084535B">
            <w:pPr>
              <w:spacing w:before="0" w:line="240" w:lineRule="auto"/>
              <w:jc w:val="left"/>
            </w:pPr>
          </w:p>
        </w:tc>
      </w:tr>
      <w:tr w:rsidR="004B48E3" w:rsidRPr="006C3BAA" w:rsidTr="000917E0">
        <w:tc>
          <w:tcPr>
            <w:tcW w:w="627" w:type="pct"/>
            <w:vMerge/>
            <w:shd w:val="clear" w:color="auto" w:fill="auto"/>
          </w:tcPr>
          <w:p w:rsidR="004B48E3" w:rsidRPr="006C3BAA" w:rsidRDefault="004B48E3" w:rsidP="0084535B">
            <w:pPr>
              <w:spacing w:before="0" w:line="240" w:lineRule="auto"/>
              <w:jc w:val="left"/>
            </w:pPr>
          </w:p>
        </w:tc>
        <w:tc>
          <w:tcPr>
            <w:tcW w:w="627" w:type="pct"/>
            <w:vMerge/>
            <w:shd w:val="clear" w:color="auto" w:fill="auto"/>
          </w:tcPr>
          <w:p w:rsidR="004B48E3" w:rsidRPr="006C3BAA" w:rsidRDefault="004B48E3" w:rsidP="0084535B">
            <w:pPr>
              <w:spacing w:before="0" w:line="240" w:lineRule="auto"/>
              <w:jc w:val="left"/>
            </w:pPr>
          </w:p>
        </w:tc>
        <w:tc>
          <w:tcPr>
            <w:tcW w:w="625" w:type="pct"/>
            <w:vMerge/>
            <w:shd w:val="clear" w:color="auto" w:fill="auto"/>
          </w:tcPr>
          <w:p w:rsidR="004B48E3" w:rsidRPr="006C3BAA" w:rsidRDefault="004B48E3" w:rsidP="0084535B">
            <w:pPr>
              <w:spacing w:before="0" w:line="240" w:lineRule="auto"/>
              <w:jc w:val="left"/>
            </w:pPr>
          </w:p>
        </w:tc>
        <w:tc>
          <w:tcPr>
            <w:tcW w:w="625" w:type="pct"/>
            <w:shd w:val="clear" w:color="auto" w:fill="auto"/>
          </w:tcPr>
          <w:p w:rsidR="004B48E3" w:rsidRDefault="004B48E3" w:rsidP="0084535B">
            <w:pPr>
              <w:spacing w:before="0" w:line="240" w:lineRule="auto"/>
              <w:jc w:val="left"/>
            </w:pPr>
            <w:r>
              <w:t>Activity gender gap</w:t>
            </w:r>
          </w:p>
        </w:tc>
        <w:tc>
          <w:tcPr>
            <w:tcW w:w="625" w:type="pct"/>
          </w:tcPr>
          <w:p w:rsidR="004B48E3" w:rsidRDefault="004B48E3" w:rsidP="0084535B">
            <w:pPr>
              <w:spacing w:before="0" w:line="240" w:lineRule="auto"/>
              <w:jc w:val="left"/>
            </w:pPr>
            <w:r>
              <w:t>2001</w:t>
            </w:r>
          </w:p>
        </w:tc>
        <w:tc>
          <w:tcPr>
            <w:tcW w:w="624" w:type="pct"/>
            <w:shd w:val="clear" w:color="auto" w:fill="auto"/>
          </w:tcPr>
          <w:p w:rsidR="004B48E3" w:rsidRDefault="004B48E3" w:rsidP="0084535B">
            <w:pPr>
              <w:spacing w:before="0" w:line="240" w:lineRule="auto"/>
              <w:jc w:val="left"/>
            </w:pPr>
            <w:r>
              <w:t>LFS (</w:t>
            </w:r>
            <w:proofErr w:type="spellStart"/>
            <w:r>
              <w:t>Eurostat</w:t>
            </w:r>
            <w:proofErr w:type="spellEnd"/>
            <w:r>
              <w:t>)</w:t>
            </w:r>
          </w:p>
        </w:tc>
        <w:tc>
          <w:tcPr>
            <w:tcW w:w="624" w:type="pct"/>
            <w:tcBorders>
              <w:bottom w:val="single" w:sz="4" w:space="0" w:color="auto"/>
            </w:tcBorders>
          </w:tcPr>
          <w:p w:rsidR="004B48E3" w:rsidRDefault="004B48E3" w:rsidP="0084535B">
            <w:pPr>
              <w:spacing w:before="0" w:line="240" w:lineRule="auto"/>
              <w:jc w:val="left"/>
            </w:pPr>
          </w:p>
        </w:tc>
        <w:tc>
          <w:tcPr>
            <w:tcW w:w="623" w:type="pct"/>
          </w:tcPr>
          <w:p w:rsidR="004B48E3" w:rsidRDefault="004B48E3" w:rsidP="0084535B">
            <w:pPr>
              <w:spacing w:before="0" w:line="240" w:lineRule="auto"/>
              <w:jc w:val="left"/>
            </w:pPr>
          </w:p>
        </w:tc>
      </w:tr>
      <w:tr w:rsidR="004B48E3" w:rsidRPr="006C3BAA" w:rsidTr="000917E0">
        <w:tc>
          <w:tcPr>
            <w:tcW w:w="627" w:type="pct"/>
            <w:vMerge/>
            <w:shd w:val="clear" w:color="auto" w:fill="auto"/>
          </w:tcPr>
          <w:p w:rsidR="004B48E3" w:rsidRPr="006C3BAA" w:rsidRDefault="004B48E3" w:rsidP="0084535B">
            <w:pPr>
              <w:spacing w:before="0" w:line="240" w:lineRule="auto"/>
              <w:jc w:val="left"/>
            </w:pPr>
          </w:p>
        </w:tc>
        <w:tc>
          <w:tcPr>
            <w:tcW w:w="627" w:type="pct"/>
            <w:vMerge/>
            <w:shd w:val="clear" w:color="auto" w:fill="auto"/>
          </w:tcPr>
          <w:p w:rsidR="004B48E3" w:rsidRPr="006C3BAA" w:rsidRDefault="004B48E3" w:rsidP="0084535B">
            <w:pPr>
              <w:spacing w:before="0" w:line="240" w:lineRule="auto"/>
              <w:jc w:val="left"/>
            </w:pPr>
          </w:p>
        </w:tc>
        <w:tc>
          <w:tcPr>
            <w:tcW w:w="625" w:type="pct"/>
            <w:vMerge/>
            <w:shd w:val="clear" w:color="auto" w:fill="auto"/>
          </w:tcPr>
          <w:p w:rsidR="004B48E3" w:rsidRPr="006C3BAA" w:rsidRDefault="004B48E3" w:rsidP="0084535B">
            <w:pPr>
              <w:spacing w:before="0" w:line="240" w:lineRule="auto"/>
              <w:jc w:val="left"/>
            </w:pPr>
          </w:p>
        </w:tc>
        <w:tc>
          <w:tcPr>
            <w:tcW w:w="625" w:type="pct"/>
            <w:shd w:val="clear" w:color="auto" w:fill="auto"/>
          </w:tcPr>
          <w:p w:rsidR="004B48E3" w:rsidRDefault="004B48E3" w:rsidP="0084535B">
            <w:pPr>
              <w:spacing w:before="0" w:line="240" w:lineRule="auto"/>
              <w:jc w:val="left"/>
            </w:pPr>
            <w:r>
              <w:t xml:space="preserve">Activity gender </w:t>
            </w:r>
            <w:r>
              <w:lastRenderedPageBreak/>
              <w:t>gap</w:t>
            </w:r>
          </w:p>
        </w:tc>
        <w:tc>
          <w:tcPr>
            <w:tcW w:w="625" w:type="pct"/>
          </w:tcPr>
          <w:p w:rsidR="004B48E3" w:rsidRDefault="004B48E3" w:rsidP="0084535B">
            <w:pPr>
              <w:spacing w:before="0" w:line="240" w:lineRule="auto"/>
              <w:jc w:val="left"/>
            </w:pPr>
            <w:r>
              <w:lastRenderedPageBreak/>
              <w:t>2001, 2011</w:t>
            </w:r>
          </w:p>
        </w:tc>
        <w:tc>
          <w:tcPr>
            <w:tcW w:w="624" w:type="pct"/>
            <w:shd w:val="clear" w:color="auto" w:fill="auto"/>
          </w:tcPr>
          <w:p w:rsidR="004B48E3" w:rsidRDefault="004B48E3" w:rsidP="0084535B">
            <w:pPr>
              <w:spacing w:before="0" w:line="240" w:lineRule="auto"/>
              <w:jc w:val="left"/>
            </w:pPr>
            <w:r>
              <w:t>Census</w:t>
            </w:r>
          </w:p>
        </w:tc>
        <w:tc>
          <w:tcPr>
            <w:tcW w:w="624" w:type="pct"/>
            <w:shd w:val="clear" w:color="auto" w:fill="FFC000"/>
          </w:tcPr>
          <w:p w:rsidR="004B48E3" w:rsidRDefault="002C6F43" w:rsidP="0084535B">
            <w:pPr>
              <w:spacing w:before="0" w:line="240" w:lineRule="auto"/>
              <w:jc w:val="left"/>
            </w:pPr>
            <w:r w:rsidRPr="002C6F43">
              <w:t>+-+-(+)(+/-)</w:t>
            </w:r>
          </w:p>
        </w:tc>
        <w:tc>
          <w:tcPr>
            <w:tcW w:w="623" w:type="pct"/>
          </w:tcPr>
          <w:p w:rsidR="004B48E3" w:rsidRDefault="004B48E3" w:rsidP="0084535B">
            <w:pPr>
              <w:spacing w:before="0" w:line="240" w:lineRule="auto"/>
              <w:jc w:val="left"/>
            </w:pPr>
          </w:p>
        </w:tc>
      </w:tr>
      <w:tr w:rsidR="004B48E3" w:rsidRPr="006C3BAA" w:rsidTr="004B48E3">
        <w:tc>
          <w:tcPr>
            <w:tcW w:w="627" w:type="pct"/>
            <w:vMerge/>
            <w:shd w:val="clear" w:color="auto" w:fill="auto"/>
          </w:tcPr>
          <w:p w:rsidR="004B48E3" w:rsidRPr="006C3BAA" w:rsidRDefault="004B48E3" w:rsidP="0084535B">
            <w:pPr>
              <w:spacing w:before="0" w:line="240" w:lineRule="auto"/>
              <w:jc w:val="left"/>
            </w:pPr>
          </w:p>
        </w:tc>
        <w:tc>
          <w:tcPr>
            <w:tcW w:w="627" w:type="pct"/>
            <w:vMerge/>
            <w:shd w:val="clear" w:color="auto" w:fill="auto"/>
          </w:tcPr>
          <w:p w:rsidR="004B48E3" w:rsidRPr="006C3BAA" w:rsidRDefault="004B48E3" w:rsidP="0084535B">
            <w:pPr>
              <w:spacing w:before="0" w:line="240" w:lineRule="auto"/>
              <w:jc w:val="left"/>
            </w:pPr>
          </w:p>
        </w:tc>
        <w:tc>
          <w:tcPr>
            <w:tcW w:w="625" w:type="pct"/>
            <w:vMerge/>
            <w:shd w:val="clear" w:color="auto" w:fill="auto"/>
          </w:tcPr>
          <w:p w:rsidR="004B48E3" w:rsidRPr="006C3BAA" w:rsidRDefault="004B48E3" w:rsidP="0084535B">
            <w:pPr>
              <w:spacing w:before="0" w:line="240" w:lineRule="auto"/>
              <w:jc w:val="left"/>
            </w:pPr>
          </w:p>
        </w:tc>
        <w:tc>
          <w:tcPr>
            <w:tcW w:w="625" w:type="pct"/>
            <w:shd w:val="clear" w:color="auto" w:fill="auto"/>
          </w:tcPr>
          <w:p w:rsidR="004B48E3" w:rsidRPr="006C3BAA" w:rsidRDefault="004B48E3" w:rsidP="0084535B">
            <w:pPr>
              <w:spacing w:before="0" w:line="240" w:lineRule="auto"/>
              <w:jc w:val="left"/>
            </w:pPr>
            <w:r>
              <w:t>Employment rate</w:t>
            </w:r>
          </w:p>
        </w:tc>
        <w:tc>
          <w:tcPr>
            <w:tcW w:w="625" w:type="pct"/>
          </w:tcPr>
          <w:p w:rsidR="004B48E3" w:rsidRDefault="004B48E3" w:rsidP="0084535B">
            <w:pPr>
              <w:spacing w:before="0" w:line="240" w:lineRule="auto"/>
              <w:jc w:val="left"/>
            </w:pPr>
            <w:r>
              <w:t>2001</w:t>
            </w:r>
          </w:p>
        </w:tc>
        <w:tc>
          <w:tcPr>
            <w:tcW w:w="624" w:type="pct"/>
            <w:shd w:val="clear" w:color="auto" w:fill="auto"/>
          </w:tcPr>
          <w:p w:rsidR="004B48E3" w:rsidRPr="006C3BAA" w:rsidRDefault="004B48E3" w:rsidP="0084535B">
            <w:pPr>
              <w:spacing w:before="0" w:line="240" w:lineRule="auto"/>
              <w:jc w:val="left"/>
            </w:pPr>
            <w:r>
              <w:t>LFS (</w:t>
            </w:r>
            <w:proofErr w:type="spellStart"/>
            <w:r>
              <w:t>Eurostat</w:t>
            </w:r>
            <w:proofErr w:type="spellEnd"/>
            <w:r>
              <w:t>)</w:t>
            </w:r>
          </w:p>
        </w:tc>
        <w:tc>
          <w:tcPr>
            <w:tcW w:w="624" w:type="pct"/>
          </w:tcPr>
          <w:p w:rsidR="004B48E3" w:rsidRDefault="004B48E3" w:rsidP="0084535B">
            <w:pPr>
              <w:spacing w:before="0" w:line="240" w:lineRule="auto"/>
              <w:jc w:val="left"/>
            </w:pPr>
          </w:p>
        </w:tc>
        <w:tc>
          <w:tcPr>
            <w:tcW w:w="623" w:type="pct"/>
          </w:tcPr>
          <w:p w:rsidR="004B48E3" w:rsidRDefault="004B48E3" w:rsidP="0084535B">
            <w:pPr>
              <w:spacing w:before="0" w:line="240" w:lineRule="auto"/>
              <w:jc w:val="left"/>
            </w:pPr>
          </w:p>
        </w:tc>
      </w:tr>
      <w:tr w:rsidR="004B48E3" w:rsidRPr="006C3BAA" w:rsidTr="004B48E3">
        <w:tc>
          <w:tcPr>
            <w:tcW w:w="627" w:type="pct"/>
            <w:vMerge/>
            <w:shd w:val="clear" w:color="auto" w:fill="auto"/>
          </w:tcPr>
          <w:p w:rsidR="004B48E3" w:rsidRPr="006C3BAA" w:rsidRDefault="004B48E3" w:rsidP="0084535B">
            <w:pPr>
              <w:spacing w:before="0" w:line="240" w:lineRule="auto"/>
              <w:jc w:val="left"/>
            </w:pPr>
          </w:p>
        </w:tc>
        <w:tc>
          <w:tcPr>
            <w:tcW w:w="627" w:type="pct"/>
            <w:vMerge/>
            <w:shd w:val="clear" w:color="auto" w:fill="auto"/>
          </w:tcPr>
          <w:p w:rsidR="004B48E3" w:rsidRPr="006C3BAA" w:rsidRDefault="004B48E3" w:rsidP="0084535B">
            <w:pPr>
              <w:spacing w:before="0" w:line="240" w:lineRule="auto"/>
              <w:jc w:val="left"/>
            </w:pPr>
          </w:p>
        </w:tc>
        <w:tc>
          <w:tcPr>
            <w:tcW w:w="625" w:type="pct"/>
            <w:vMerge/>
            <w:shd w:val="clear" w:color="auto" w:fill="auto"/>
          </w:tcPr>
          <w:p w:rsidR="004B48E3" w:rsidRPr="006C3BAA" w:rsidRDefault="004B48E3" w:rsidP="0084535B">
            <w:pPr>
              <w:spacing w:before="0" w:line="240" w:lineRule="auto"/>
              <w:jc w:val="left"/>
            </w:pPr>
          </w:p>
        </w:tc>
        <w:tc>
          <w:tcPr>
            <w:tcW w:w="625" w:type="pct"/>
            <w:shd w:val="clear" w:color="auto" w:fill="auto"/>
          </w:tcPr>
          <w:p w:rsidR="004B48E3" w:rsidRDefault="004B48E3" w:rsidP="0084535B">
            <w:pPr>
              <w:spacing w:before="0" w:line="240" w:lineRule="auto"/>
              <w:jc w:val="left"/>
            </w:pPr>
            <w:r>
              <w:t>Employment rate</w:t>
            </w:r>
          </w:p>
        </w:tc>
        <w:tc>
          <w:tcPr>
            <w:tcW w:w="625" w:type="pct"/>
          </w:tcPr>
          <w:p w:rsidR="004B48E3" w:rsidRDefault="004B48E3" w:rsidP="0084535B">
            <w:pPr>
              <w:spacing w:before="0" w:line="240" w:lineRule="auto"/>
              <w:jc w:val="left"/>
            </w:pPr>
            <w:r>
              <w:t>2001</w:t>
            </w:r>
          </w:p>
        </w:tc>
        <w:tc>
          <w:tcPr>
            <w:tcW w:w="624" w:type="pct"/>
            <w:shd w:val="clear" w:color="auto" w:fill="auto"/>
          </w:tcPr>
          <w:p w:rsidR="004B48E3" w:rsidRDefault="004B48E3" w:rsidP="0084535B">
            <w:pPr>
              <w:spacing w:before="0" w:line="240" w:lineRule="auto"/>
              <w:jc w:val="left"/>
            </w:pPr>
            <w:r>
              <w:t>Census</w:t>
            </w:r>
          </w:p>
        </w:tc>
        <w:tc>
          <w:tcPr>
            <w:tcW w:w="624" w:type="pct"/>
          </w:tcPr>
          <w:p w:rsidR="004B48E3" w:rsidRDefault="004B48E3" w:rsidP="0084535B">
            <w:pPr>
              <w:spacing w:before="0" w:line="240" w:lineRule="auto"/>
              <w:jc w:val="left"/>
            </w:pPr>
          </w:p>
        </w:tc>
        <w:tc>
          <w:tcPr>
            <w:tcW w:w="623" w:type="pct"/>
          </w:tcPr>
          <w:p w:rsidR="004B48E3" w:rsidRDefault="004B48E3" w:rsidP="0084535B">
            <w:pPr>
              <w:spacing w:before="0" w:line="240" w:lineRule="auto"/>
              <w:jc w:val="left"/>
            </w:pPr>
          </w:p>
        </w:tc>
      </w:tr>
      <w:tr w:rsidR="004B48E3" w:rsidRPr="006C3BAA" w:rsidTr="004B48E3">
        <w:tc>
          <w:tcPr>
            <w:tcW w:w="627" w:type="pct"/>
            <w:vMerge/>
            <w:shd w:val="clear" w:color="auto" w:fill="auto"/>
          </w:tcPr>
          <w:p w:rsidR="004B48E3" w:rsidRPr="006C3BAA" w:rsidRDefault="004B48E3" w:rsidP="0084535B">
            <w:pPr>
              <w:spacing w:before="0" w:line="240" w:lineRule="auto"/>
              <w:jc w:val="left"/>
            </w:pPr>
          </w:p>
        </w:tc>
        <w:tc>
          <w:tcPr>
            <w:tcW w:w="627" w:type="pct"/>
            <w:vMerge/>
            <w:shd w:val="clear" w:color="auto" w:fill="auto"/>
          </w:tcPr>
          <w:p w:rsidR="004B48E3" w:rsidRPr="006C3BAA" w:rsidRDefault="004B48E3" w:rsidP="0084535B">
            <w:pPr>
              <w:spacing w:before="0" w:line="240" w:lineRule="auto"/>
              <w:jc w:val="left"/>
            </w:pPr>
          </w:p>
        </w:tc>
        <w:tc>
          <w:tcPr>
            <w:tcW w:w="625" w:type="pct"/>
            <w:vMerge/>
            <w:shd w:val="clear" w:color="auto" w:fill="auto"/>
          </w:tcPr>
          <w:p w:rsidR="004B48E3" w:rsidRPr="006C3BAA" w:rsidRDefault="004B48E3" w:rsidP="0084535B">
            <w:pPr>
              <w:spacing w:before="0" w:line="240" w:lineRule="auto"/>
              <w:jc w:val="left"/>
            </w:pPr>
          </w:p>
        </w:tc>
        <w:tc>
          <w:tcPr>
            <w:tcW w:w="625" w:type="pct"/>
            <w:shd w:val="clear" w:color="auto" w:fill="auto"/>
          </w:tcPr>
          <w:p w:rsidR="004B48E3" w:rsidRDefault="004B48E3" w:rsidP="0084535B">
            <w:pPr>
              <w:spacing w:before="0" w:line="240" w:lineRule="auto"/>
              <w:jc w:val="left"/>
            </w:pPr>
            <w:r>
              <w:t>Male employment rate</w:t>
            </w:r>
          </w:p>
        </w:tc>
        <w:tc>
          <w:tcPr>
            <w:tcW w:w="625" w:type="pct"/>
          </w:tcPr>
          <w:p w:rsidR="004B48E3" w:rsidRDefault="004B48E3" w:rsidP="0084535B">
            <w:pPr>
              <w:spacing w:before="0" w:line="240" w:lineRule="auto"/>
              <w:jc w:val="left"/>
            </w:pPr>
            <w:r>
              <w:t>2001</w:t>
            </w:r>
          </w:p>
        </w:tc>
        <w:tc>
          <w:tcPr>
            <w:tcW w:w="624" w:type="pct"/>
            <w:shd w:val="clear" w:color="auto" w:fill="auto"/>
          </w:tcPr>
          <w:p w:rsidR="004B48E3" w:rsidRDefault="004B48E3" w:rsidP="0084535B">
            <w:pPr>
              <w:spacing w:before="0" w:line="240" w:lineRule="auto"/>
              <w:jc w:val="left"/>
            </w:pPr>
            <w:r>
              <w:t>Census</w:t>
            </w:r>
          </w:p>
        </w:tc>
        <w:tc>
          <w:tcPr>
            <w:tcW w:w="624" w:type="pct"/>
          </w:tcPr>
          <w:p w:rsidR="004B48E3" w:rsidRDefault="004B48E3" w:rsidP="0084535B">
            <w:pPr>
              <w:spacing w:before="0" w:line="240" w:lineRule="auto"/>
              <w:jc w:val="left"/>
            </w:pPr>
          </w:p>
        </w:tc>
        <w:tc>
          <w:tcPr>
            <w:tcW w:w="623" w:type="pct"/>
          </w:tcPr>
          <w:p w:rsidR="004B48E3" w:rsidRDefault="004B48E3" w:rsidP="0084535B">
            <w:pPr>
              <w:spacing w:before="0" w:line="240" w:lineRule="auto"/>
              <w:jc w:val="left"/>
            </w:pPr>
          </w:p>
        </w:tc>
      </w:tr>
      <w:tr w:rsidR="004B48E3" w:rsidRPr="006C3BAA" w:rsidTr="004B48E3">
        <w:tc>
          <w:tcPr>
            <w:tcW w:w="627" w:type="pct"/>
            <w:vMerge/>
            <w:shd w:val="clear" w:color="auto" w:fill="auto"/>
          </w:tcPr>
          <w:p w:rsidR="004B48E3" w:rsidRPr="006C3BAA" w:rsidRDefault="004B48E3" w:rsidP="0084535B">
            <w:pPr>
              <w:spacing w:before="0" w:line="240" w:lineRule="auto"/>
              <w:jc w:val="left"/>
            </w:pPr>
          </w:p>
        </w:tc>
        <w:tc>
          <w:tcPr>
            <w:tcW w:w="627" w:type="pct"/>
            <w:vMerge/>
            <w:shd w:val="clear" w:color="auto" w:fill="auto"/>
          </w:tcPr>
          <w:p w:rsidR="004B48E3" w:rsidRPr="006C3BAA" w:rsidRDefault="004B48E3" w:rsidP="0084535B">
            <w:pPr>
              <w:spacing w:before="0" w:line="240" w:lineRule="auto"/>
              <w:jc w:val="left"/>
            </w:pPr>
          </w:p>
        </w:tc>
        <w:tc>
          <w:tcPr>
            <w:tcW w:w="625" w:type="pct"/>
            <w:vMerge/>
            <w:shd w:val="clear" w:color="auto" w:fill="auto"/>
          </w:tcPr>
          <w:p w:rsidR="004B48E3" w:rsidRPr="006C3BAA" w:rsidRDefault="004B48E3" w:rsidP="0084535B">
            <w:pPr>
              <w:spacing w:before="0" w:line="240" w:lineRule="auto"/>
              <w:jc w:val="left"/>
            </w:pPr>
          </w:p>
        </w:tc>
        <w:tc>
          <w:tcPr>
            <w:tcW w:w="625" w:type="pct"/>
            <w:shd w:val="clear" w:color="auto" w:fill="auto"/>
          </w:tcPr>
          <w:p w:rsidR="004B48E3" w:rsidRDefault="004B48E3" w:rsidP="0084535B">
            <w:pPr>
              <w:spacing w:before="0" w:line="240" w:lineRule="auto"/>
              <w:jc w:val="left"/>
            </w:pPr>
            <w:r>
              <w:t>Female employment rate</w:t>
            </w:r>
          </w:p>
        </w:tc>
        <w:tc>
          <w:tcPr>
            <w:tcW w:w="625" w:type="pct"/>
          </w:tcPr>
          <w:p w:rsidR="004B48E3" w:rsidRDefault="004B48E3" w:rsidP="0084535B">
            <w:pPr>
              <w:spacing w:before="0" w:line="240" w:lineRule="auto"/>
              <w:jc w:val="left"/>
            </w:pPr>
            <w:r>
              <w:t>2001</w:t>
            </w:r>
          </w:p>
        </w:tc>
        <w:tc>
          <w:tcPr>
            <w:tcW w:w="624" w:type="pct"/>
            <w:shd w:val="clear" w:color="auto" w:fill="auto"/>
          </w:tcPr>
          <w:p w:rsidR="004B48E3" w:rsidRDefault="004B48E3" w:rsidP="0084535B">
            <w:pPr>
              <w:spacing w:before="0" w:line="240" w:lineRule="auto"/>
              <w:jc w:val="left"/>
            </w:pPr>
            <w:r>
              <w:t>Census</w:t>
            </w:r>
          </w:p>
        </w:tc>
        <w:tc>
          <w:tcPr>
            <w:tcW w:w="624" w:type="pct"/>
          </w:tcPr>
          <w:p w:rsidR="004B48E3" w:rsidRDefault="004B48E3" w:rsidP="0084535B">
            <w:pPr>
              <w:spacing w:before="0" w:line="240" w:lineRule="auto"/>
              <w:jc w:val="left"/>
            </w:pPr>
          </w:p>
        </w:tc>
        <w:tc>
          <w:tcPr>
            <w:tcW w:w="623" w:type="pct"/>
          </w:tcPr>
          <w:p w:rsidR="004B48E3" w:rsidRDefault="004B48E3" w:rsidP="0084535B">
            <w:pPr>
              <w:spacing w:before="0" w:line="240" w:lineRule="auto"/>
              <w:jc w:val="left"/>
            </w:pPr>
          </w:p>
        </w:tc>
      </w:tr>
      <w:tr w:rsidR="004B48E3" w:rsidRPr="006C3BAA" w:rsidTr="002C6F43">
        <w:tc>
          <w:tcPr>
            <w:tcW w:w="627" w:type="pct"/>
            <w:vMerge/>
            <w:shd w:val="clear" w:color="auto" w:fill="auto"/>
          </w:tcPr>
          <w:p w:rsidR="004B48E3" w:rsidRPr="006C3BAA" w:rsidRDefault="004B48E3" w:rsidP="0084535B">
            <w:pPr>
              <w:spacing w:before="0" w:line="240" w:lineRule="auto"/>
              <w:jc w:val="left"/>
            </w:pPr>
          </w:p>
        </w:tc>
        <w:tc>
          <w:tcPr>
            <w:tcW w:w="627" w:type="pct"/>
            <w:vMerge/>
            <w:shd w:val="clear" w:color="auto" w:fill="auto"/>
          </w:tcPr>
          <w:p w:rsidR="004B48E3" w:rsidRPr="006C3BAA" w:rsidRDefault="004B48E3" w:rsidP="0084535B">
            <w:pPr>
              <w:spacing w:before="0" w:line="240" w:lineRule="auto"/>
              <w:jc w:val="left"/>
            </w:pPr>
          </w:p>
        </w:tc>
        <w:tc>
          <w:tcPr>
            <w:tcW w:w="625" w:type="pct"/>
            <w:vMerge/>
            <w:shd w:val="clear" w:color="auto" w:fill="auto"/>
          </w:tcPr>
          <w:p w:rsidR="004B48E3" w:rsidRPr="006C3BAA" w:rsidRDefault="004B48E3" w:rsidP="0084535B">
            <w:pPr>
              <w:spacing w:before="0" w:line="240" w:lineRule="auto"/>
              <w:jc w:val="left"/>
            </w:pPr>
          </w:p>
        </w:tc>
        <w:tc>
          <w:tcPr>
            <w:tcW w:w="625" w:type="pct"/>
            <w:shd w:val="clear" w:color="auto" w:fill="auto"/>
          </w:tcPr>
          <w:p w:rsidR="004B48E3" w:rsidRDefault="004B48E3" w:rsidP="0084535B">
            <w:pPr>
              <w:spacing w:before="0" w:line="240" w:lineRule="auto"/>
              <w:jc w:val="left"/>
            </w:pPr>
            <w:r>
              <w:t>Employment gender gap</w:t>
            </w:r>
          </w:p>
        </w:tc>
        <w:tc>
          <w:tcPr>
            <w:tcW w:w="625" w:type="pct"/>
          </w:tcPr>
          <w:p w:rsidR="004B48E3" w:rsidRDefault="004B48E3" w:rsidP="0084535B">
            <w:pPr>
              <w:spacing w:before="0" w:line="240" w:lineRule="auto"/>
              <w:jc w:val="left"/>
            </w:pPr>
            <w:r>
              <w:t>2001</w:t>
            </w:r>
          </w:p>
        </w:tc>
        <w:tc>
          <w:tcPr>
            <w:tcW w:w="624" w:type="pct"/>
            <w:shd w:val="clear" w:color="auto" w:fill="auto"/>
          </w:tcPr>
          <w:p w:rsidR="004B48E3" w:rsidRDefault="004B48E3" w:rsidP="0084535B">
            <w:pPr>
              <w:spacing w:before="0" w:line="240" w:lineRule="auto"/>
              <w:jc w:val="left"/>
            </w:pPr>
            <w:r>
              <w:t>Census</w:t>
            </w:r>
          </w:p>
        </w:tc>
        <w:tc>
          <w:tcPr>
            <w:tcW w:w="624" w:type="pct"/>
            <w:tcBorders>
              <w:bottom w:val="single" w:sz="4" w:space="0" w:color="auto"/>
            </w:tcBorders>
          </w:tcPr>
          <w:p w:rsidR="004B48E3" w:rsidRDefault="004B48E3" w:rsidP="0084535B">
            <w:pPr>
              <w:spacing w:before="0" w:line="240" w:lineRule="auto"/>
              <w:jc w:val="left"/>
            </w:pPr>
          </w:p>
        </w:tc>
        <w:tc>
          <w:tcPr>
            <w:tcW w:w="623" w:type="pct"/>
          </w:tcPr>
          <w:p w:rsidR="004B48E3" w:rsidRDefault="004B48E3" w:rsidP="0084535B">
            <w:pPr>
              <w:spacing w:before="0" w:line="240" w:lineRule="auto"/>
              <w:jc w:val="left"/>
            </w:pPr>
          </w:p>
        </w:tc>
      </w:tr>
      <w:tr w:rsidR="004B48E3" w:rsidRPr="006C3BAA" w:rsidTr="002C6F43">
        <w:tc>
          <w:tcPr>
            <w:tcW w:w="627" w:type="pct"/>
            <w:vMerge/>
            <w:shd w:val="clear" w:color="auto" w:fill="auto"/>
          </w:tcPr>
          <w:p w:rsidR="004B48E3" w:rsidRPr="006C3BAA" w:rsidRDefault="004B48E3" w:rsidP="0084535B">
            <w:pPr>
              <w:spacing w:before="0" w:line="240" w:lineRule="auto"/>
              <w:jc w:val="left"/>
            </w:pPr>
          </w:p>
        </w:tc>
        <w:tc>
          <w:tcPr>
            <w:tcW w:w="627" w:type="pct"/>
            <w:vMerge/>
            <w:shd w:val="clear" w:color="auto" w:fill="auto"/>
          </w:tcPr>
          <w:p w:rsidR="004B48E3" w:rsidRPr="006C3BAA" w:rsidRDefault="004B48E3" w:rsidP="0084535B">
            <w:pPr>
              <w:spacing w:before="0" w:line="240" w:lineRule="auto"/>
              <w:jc w:val="left"/>
            </w:pPr>
          </w:p>
        </w:tc>
        <w:tc>
          <w:tcPr>
            <w:tcW w:w="625" w:type="pct"/>
            <w:vMerge w:val="restart"/>
            <w:shd w:val="clear" w:color="auto" w:fill="auto"/>
          </w:tcPr>
          <w:p w:rsidR="004B48E3" w:rsidRPr="006C3BAA" w:rsidRDefault="004B48E3" w:rsidP="0084535B">
            <w:pPr>
              <w:spacing w:before="0" w:line="240" w:lineRule="auto"/>
              <w:jc w:val="left"/>
            </w:pPr>
            <w:r>
              <w:t>Unemployed</w:t>
            </w:r>
          </w:p>
        </w:tc>
        <w:tc>
          <w:tcPr>
            <w:tcW w:w="625" w:type="pct"/>
            <w:shd w:val="clear" w:color="auto" w:fill="auto"/>
          </w:tcPr>
          <w:p w:rsidR="004B48E3" w:rsidRPr="006C3BAA" w:rsidRDefault="004B48E3" w:rsidP="0084535B">
            <w:pPr>
              <w:spacing w:before="0" w:line="240" w:lineRule="auto"/>
              <w:jc w:val="left"/>
            </w:pPr>
            <w:r>
              <w:t>Unemployment rate</w:t>
            </w:r>
          </w:p>
        </w:tc>
        <w:tc>
          <w:tcPr>
            <w:tcW w:w="625" w:type="pct"/>
          </w:tcPr>
          <w:p w:rsidR="004B48E3" w:rsidRDefault="004B48E3" w:rsidP="0084535B">
            <w:pPr>
              <w:spacing w:before="0" w:line="240" w:lineRule="auto"/>
              <w:jc w:val="left"/>
            </w:pPr>
            <w:r>
              <w:t>2001</w:t>
            </w:r>
          </w:p>
        </w:tc>
        <w:tc>
          <w:tcPr>
            <w:tcW w:w="624" w:type="pct"/>
            <w:shd w:val="clear" w:color="auto" w:fill="auto"/>
          </w:tcPr>
          <w:p w:rsidR="004B48E3" w:rsidRPr="006C3BAA" w:rsidRDefault="004B48E3" w:rsidP="0084535B">
            <w:pPr>
              <w:spacing w:before="0" w:line="240" w:lineRule="auto"/>
              <w:jc w:val="left"/>
            </w:pPr>
            <w:r>
              <w:t>LFS (</w:t>
            </w:r>
            <w:proofErr w:type="spellStart"/>
            <w:r>
              <w:t>Eurostat</w:t>
            </w:r>
            <w:proofErr w:type="spellEnd"/>
            <w:r>
              <w:t>)</w:t>
            </w:r>
          </w:p>
        </w:tc>
        <w:tc>
          <w:tcPr>
            <w:tcW w:w="624" w:type="pct"/>
            <w:shd w:val="clear" w:color="auto" w:fill="00B050"/>
          </w:tcPr>
          <w:p w:rsidR="004B48E3" w:rsidRDefault="002C6F43" w:rsidP="0084535B">
            <w:pPr>
              <w:spacing w:before="0" w:line="240" w:lineRule="auto"/>
              <w:jc w:val="left"/>
            </w:pPr>
            <w:r w:rsidRPr="002C6F43">
              <w:t>+-+-(+)(+)</w:t>
            </w:r>
          </w:p>
        </w:tc>
        <w:tc>
          <w:tcPr>
            <w:tcW w:w="623" w:type="pct"/>
          </w:tcPr>
          <w:p w:rsidR="004B48E3" w:rsidRDefault="004B48E3" w:rsidP="0084535B">
            <w:pPr>
              <w:spacing w:before="0" w:line="240" w:lineRule="auto"/>
              <w:jc w:val="left"/>
            </w:pPr>
          </w:p>
        </w:tc>
      </w:tr>
      <w:tr w:rsidR="004B48E3" w:rsidRPr="006C3BAA" w:rsidTr="004B48E3">
        <w:tc>
          <w:tcPr>
            <w:tcW w:w="627" w:type="pct"/>
            <w:vMerge/>
            <w:shd w:val="clear" w:color="auto" w:fill="auto"/>
          </w:tcPr>
          <w:p w:rsidR="004B48E3" w:rsidRPr="006C3BAA" w:rsidRDefault="004B48E3" w:rsidP="0084535B">
            <w:pPr>
              <w:spacing w:before="0" w:line="240" w:lineRule="auto"/>
              <w:jc w:val="left"/>
            </w:pPr>
          </w:p>
        </w:tc>
        <w:tc>
          <w:tcPr>
            <w:tcW w:w="627" w:type="pct"/>
            <w:vMerge/>
            <w:shd w:val="clear" w:color="auto" w:fill="auto"/>
          </w:tcPr>
          <w:p w:rsidR="004B48E3" w:rsidRPr="006C3BAA" w:rsidRDefault="004B48E3" w:rsidP="0084535B">
            <w:pPr>
              <w:spacing w:before="0" w:line="240" w:lineRule="auto"/>
              <w:jc w:val="left"/>
            </w:pPr>
          </w:p>
        </w:tc>
        <w:tc>
          <w:tcPr>
            <w:tcW w:w="625" w:type="pct"/>
            <w:vMerge/>
            <w:shd w:val="clear" w:color="auto" w:fill="auto"/>
          </w:tcPr>
          <w:p w:rsidR="004B48E3" w:rsidRPr="006C3BAA" w:rsidRDefault="004B48E3" w:rsidP="0084535B">
            <w:pPr>
              <w:spacing w:before="0" w:line="240" w:lineRule="auto"/>
              <w:jc w:val="left"/>
            </w:pPr>
          </w:p>
        </w:tc>
        <w:tc>
          <w:tcPr>
            <w:tcW w:w="625" w:type="pct"/>
            <w:shd w:val="clear" w:color="auto" w:fill="auto"/>
          </w:tcPr>
          <w:p w:rsidR="004B48E3" w:rsidRDefault="004B48E3" w:rsidP="0084535B">
            <w:pPr>
              <w:spacing w:before="0" w:line="240" w:lineRule="auto"/>
              <w:jc w:val="left"/>
            </w:pPr>
            <w:r>
              <w:t>Unemployment rate</w:t>
            </w:r>
          </w:p>
        </w:tc>
        <w:tc>
          <w:tcPr>
            <w:tcW w:w="625" w:type="pct"/>
          </w:tcPr>
          <w:p w:rsidR="004B48E3" w:rsidRDefault="004B48E3" w:rsidP="0084535B">
            <w:pPr>
              <w:spacing w:before="0" w:line="240" w:lineRule="auto"/>
              <w:jc w:val="left"/>
            </w:pPr>
            <w:r>
              <w:t>2001, 2011</w:t>
            </w:r>
          </w:p>
        </w:tc>
        <w:tc>
          <w:tcPr>
            <w:tcW w:w="624" w:type="pct"/>
            <w:shd w:val="clear" w:color="auto" w:fill="auto"/>
          </w:tcPr>
          <w:p w:rsidR="004B48E3" w:rsidRDefault="004B48E3" w:rsidP="0084535B">
            <w:pPr>
              <w:spacing w:before="0" w:line="240" w:lineRule="auto"/>
              <w:jc w:val="left"/>
            </w:pPr>
            <w:r>
              <w:t>Census</w:t>
            </w:r>
          </w:p>
        </w:tc>
        <w:tc>
          <w:tcPr>
            <w:tcW w:w="624" w:type="pct"/>
          </w:tcPr>
          <w:p w:rsidR="004B48E3" w:rsidRDefault="004B48E3" w:rsidP="0084535B">
            <w:pPr>
              <w:spacing w:before="0" w:line="240" w:lineRule="auto"/>
              <w:jc w:val="left"/>
            </w:pPr>
          </w:p>
        </w:tc>
        <w:tc>
          <w:tcPr>
            <w:tcW w:w="623" w:type="pct"/>
          </w:tcPr>
          <w:p w:rsidR="004B48E3" w:rsidRDefault="004B48E3" w:rsidP="0084535B">
            <w:pPr>
              <w:spacing w:before="0" w:line="240" w:lineRule="auto"/>
              <w:jc w:val="left"/>
            </w:pPr>
          </w:p>
        </w:tc>
      </w:tr>
      <w:tr w:rsidR="004B48E3" w:rsidRPr="006C3BAA" w:rsidTr="004B48E3">
        <w:tc>
          <w:tcPr>
            <w:tcW w:w="627" w:type="pct"/>
            <w:vMerge/>
            <w:shd w:val="clear" w:color="auto" w:fill="auto"/>
          </w:tcPr>
          <w:p w:rsidR="004B48E3" w:rsidRPr="006C3BAA" w:rsidRDefault="004B48E3" w:rsidP="0084535B">
            <w:pPr>
              <w:spacing w:before="0" w:line="240" w:lineRule="auto"/>
              <w:jc w:val="left"/>
            </w:pPr>
          </w:p>
        </w:tc>
        <w:tc>
          <w:tcPr>
            <w:tcW w:w="627" w:type="pct"/>
            <w:vMerge/>
            <w:shd w:val="clear" w:color="auto" w:fill="auto"/>
          </w:tcPr>
          <w:p w:rsidR="004B48E3" w:rsidRPr="006C3BAA" w:rsidRDefault="004B48E3" w:rsidP="0084535B">
            <w:pPr>
              <w:spacing w:before="0" w:line="240" w:lineRule="auto"/>
              <w:jc w:val="left"/>
            </w:pPr>
          </w:p>
        </w:tc>
        <w:tc>
          <w:tcPr>
            <w:tcW w:w="625" w:type="pct"/>
            <w:vMerge/>
            <w:shd w:val="clear" w:color="auto" w:fill="auto"/>
          </w:tcPr>
          <w:p w:rsidR="004B48E3" w:rsidRPr="006C3BAA" w:rsidRDefault="004B48E3" w:rsidP="0084535B">
            <w:pPr>
              <w:spacing w:before="0" w:line="240" w:lineRule="auto"/>
              <w:jc w:val="left"/>
            </w:pPr>
          </w:p>
        </w:tc>
        <w:tc>
          <w:tcPr>
            <w:tcW w:w="625" w:type="pct"/>
            <w:shd w:val="clear" w:color="auto" w:fill="auto"/>
          </w:tcPr>
          <w:p w:rsidR="004B48E3" w:rsidRPr="006C3BAA" w:rsidRDefault="004B48E3" w:rsidP="0084535B">
            <w:pPr>
              <w:spacing w:before="0" w:line="240" w:lineRule="auto"/>
              <w:jc w:val="left"/>
            </w:pPr>
            <w:r>
              <w:t>Male unemployment rate</w:t>
            </w:r>
          </w:p>
        </w:tc>
        <w:tc>
          <w:tcPr>
            <w:tcW w:w="625" w:type="pct"/>
          </w:tcPr>
          <w:p w:rsidR="004B48E3" w:rsidRDefault="004B48E3" w:rsidP="0084535B">
            <w:pPr>
              <w:spacing w:before="0" w:line="240" w:lineRule="auto"/>
              <w:jc w:val="left"/>
            </w:pPr>
            <w:r>
              <w:t>2001</w:t>
            </w:r>
          </w:p>
        </w:tc>
        <w:tc>
          <w:tcPr>
            <w:tcW w:w="624" w:type="pct"/>
            <w:shd w:val="clear" w:color="auto" w:fill="auto"/>
          </w:tcPr>
          <w:p w:rsidR="004B48E3" w:rsidRPr="006C3BAA" w:rsidRDefault="004B48E3" w:rsidP="0084535B">
            <w:pPr>
              <w:spacing w:before="0" w:line="240" w:lineRule="auto"/>
              <w:jc w:val="left"/>
            </w:pPr>
            <w:r>
              <w:t>LFS (</w:t>
            </w:r>
            <w:proofErr w:type="spellStart"/>
            <w:r>
              <w:t>Eurostat</w:t>
            </w:r>
            <w:proofErr w:type="spellEnd"/>
            <w:r>
              <w:t>)</w:t>
            </w:r>
          </w:p>
        </w:tc>
        <w:tc>
          <w:tcPr>
            <w:tcW w:w="624" w:type="pct"/>
          </w:tcPr>
          <w:p w:rsidR="004B48E3" w:rsidRDefault="004B48E3" w:rsidP="0084535B">
            <w:pPr>
              <w:spacing w:before="0" w:line="240" w:lineRule="auto"/>
              <w:jc w:val="left"/>
            </w:pPr>
          </w:p>
        </w:tc>
        <w:tc>
          <w:tcPr>
            <w:tcW w:w="623" w:type="pct"/>
          </w:tcPr>
          <w:p w:rsidR="004B48E3" w:rsidRDefault="004B48E3" w:rsidP="0084535B">
            <w:pPr>
              <w:spacing w:before="0" w:line="240" w:lineRule="auto"/>
              <w:jc w:val="left"/>
            </w:pPr>
          </w:p>
        </w:tc>
      </w:tr>
      <w:tr w:rsidR="004B48E3" w:rsidRPr="006C3BAA" w:rsidTr="004B48E3">
        <w:tc>
          <w:tcPr>
            <w:tcW w:w="627" w:type="pct"/>
            <w:vMerge/>
            <w:shd w:val="clear" w:color="auto" w:fill="auto"/>
          </w:tcPr>
          <w:p w:rsidR="004B48E3" w:rsidRPr="006C3BAA" w:rsidRDefault="004B48E3" w:rsidP="0084535B">
            <w:pPr>
              <w:spacing w:before="0" w:line="240" w:lineRule="auto"/>
              <w:jc w:val="left"/>
            </w:pPr>
          </w:p>
        </w:tc>
        <w:tc>
          <w:tcPr>
            <w:tcW w:w="627" w:type="pct"/>
            <w:vMerge/>
            <w:shd w:val="clear" w:color="auto" w:fill="auto"/>
          </w:tcPr>
          <w:p w:rsidR="004B48E3" w:rsidRPr="006C3BAA" w:rsidRDefault="004B48E3" w:rsidP="0084535B">
            <w:pPr>
              <w:spacing w:before="0" w:line="240" w:lineRule="auto"/>
              <w:jc w:val="left"/>
            </w:pPr>
          </w:p>
        </w:tc>
        <w:tc>
          <w:tcPr>
            <w:tcW w:w="625" w:type="pct"/>
            <w:vMerge/>
            <w:shd w:val="clear" w:color="auto" w:fill="auto"/>
          </w:tcPr>
          <w:p w:rsidR="004B48E3" w:rsidRPr="006C3BAA" w:rsidRDefault="004B48E3" w:rsidP="0084535B">
            <w:pPr>
              <w:spacing w:before="0" w:line="240" w:lineRule="auto"/>
              <w:jc w:val="left"/>
            </w:pPr>
          </w:p>
        </w:tc>
        <w:tc>
          <w:tcPr>
            <w:tcW w:w="625" w:type="pct"/>
            <w:shd w:val="clear" w:color="auto" w:fill="auto"/>
          </w:tcPr>
          <w:p w:rsidR="004B48E3" w:rsidRDefault="004B48E3" w:rsidP="0084535B">
            <w:pPr>
              <w:spacing w:before="0" w:line="240" w:lineRule="auto"/>
              <w:jc w:val="left"/>
            </w:pPr>
            <w:r>
              <w:t>Male unemployment rate</w:t>
            </w:r>
          </w:p>
        </w:tc>
        <w:tc>
          <w:tcPr>
            <w:tcW w:w="625" w:type="pct"/>
          </w:tcPr>
          <w:p w:rsidR="004B48E3" w:rsidRDefault="004B48E3" w:rsidP="0084535B">
            <w:pPr>
              <w:spacing w:before="0" w:line="240" w:lineRule="auto"/>
              <w:jc w:val="left"/>
            </w:pPr>
            <w:r>
              <w:t>2001</w:t>
            </w:r>
          </w:p>
        </w:tc>
        <w:tc>
          <w:tcPr>
            <w:tcW w:w="624" w:type="pct"/>
            <w:shd w:val="clear" w:color="auto" w:fill="auto"/>
          </w:tcPr>
          <w:p w:rsidR="004B48E3" w:rsidRDefault="004B48E3" w:rsidP="0084535B">
            <w:pPr>
              <w:spacing w:before="0" w:line="240" w:lineRule="auto"/>
              <w:jc w:val="left"/>
            </w:pPr>
            <w:r>
              <w:t>Census</w:t>
            </w:r>
          </w:p>
        </w:tc>
        <w:tc>
          <w:tcPr>
            <w:tcW w:w="624" w:type="pct"/>
          </w:tcPr>
          <w:p w:rsidR="004B48E3" w:rsidRDefault="004B48E3" w:rsidP="0084535B">
            <w:pPr>
              <w:spacing w:before="0" w:line="240" w:lineRule="auto"/>
              <w:jc w:val="left"/>
            </w:pPr>
          </w:p>
        </w:tc>
        <w:tc>
          <w:tcPr>
            <w:tcW w:w="623" w:type="pct"/>
          </w:tcPr>
          <w:p w:rsidR="004B48E3" w:rsidRDefault="004B48E3" w:rsidP="0084535B">
            <w:pPr>
              <w:spacing w:before="0" w:line="240" w:lineRule="auto"/>
              <w:jc w:val="left"/>
            </w:pPr>
          </w:p>
        </w:tc>
      </w:tr>
      <w:tr w:rsidR="004B48E3" w:rsidRPr="006C3BAA" w:rsidTr="004B48E3">
        <w:tc>
          <w:tcPr>
            <w:tcW w:w="627" w:type="pct"/>
            <w:vMerge/>
            <w:shd w:val="clear" w:color="auto" w:fill="auto"/>
          </w:tcPr>
          <w:p w:rsidR="004B48E3" w:rsidRPr="006C3BAA" w:rsidRDefault="004B48E3" w:rsidP="0084535B">
            <w:pPr>
              <w:spacing w:before="0" w:line="240" w:lineRule="auto"/>
              <w:jc w:val="left"/>
            </w:pPr>
          </w:p>
        </w:tc>
        <w:tc>
          <w:tcPr>
            <w:tcW w:w="627" w:type="pct"/>
            <w:vMerge/>
            <w:shd w:val="clear" w:color="auto" w:fill="auto"/>
          </w:tcPr>
          <w:p w:rsidR="004B48E3" w:rsidRPr="006C3BAA" w:rsidRDefault="004B48E3" w:rsidP="0084535B">
            <w:pPr>
              <w:spacing w:before="0" w:line="240" w:lineRule="auto"/>
              <w:jc w:val="left"/>
            </w:pPr>
          </w:p>
        </w:tc>
        <w:tc>
          <w:tcPr>
            <w:tcW w:w="625" w:type="pct"/>
            <w:vMerge/>
            <w:shd w:val="clear" w:color="auto" w:fill="auto"/>
          </w:tcPr>
          <w:p w:rsidR="004B48E3" w:rsidRPr="006C3BAA" w:rsidRDefault="004B48E3" w:rsidP="0084535B">
            <w:pPr>
              <w:spacing w:before="0" w:line="240" w:lineRule="auto"/>
              <w:jc w:val="left"/>
            </w:pPr>
          </w:p>
        </w:tc>
        <w:tc>
          <w:tcPr>
            <w:tcW w:w="625" w:type="pct"/>
            <w:shd w:val="clear" w:color="auto" w:fill="auto"/>
          </w:tcPr>
          <w:p w:rsidR="004B48E3" w:rsidRPr="006C3BAA" w:rsidRDefault="004B48E3" w:rsidP="0084535B">
            <w:pPr>
              <w:spacing w:before="0" w:line="240" w:lineRule="auto"/>
              <w:jc w:val="left"/>
            </w:pPr>
            <w:r>
              <w:t>Female unemployment rate</w:t>
            </w:r>
          </w:p>
        </w:tc>
        <w:tc>
          <w:tcPr>
            <w:tcW w:w="625" w:type="pct"/>
          </w:tcPr>
          <w:p w:rsidR="004B48E3" w:rsidRDefault="004B48E3" w:rsidP="0084535B">
            <w:pPr>
              <w:spacing w:before="0" w:line="240" w:lineRule="auto"/>
              <w:jc w:val="left"/>
            </w:pPr>
            <w:r>
              <w:t>2001</w:t>
            </w:r>
          </w:p>
        </w:tc>
        <w:tc>
          <w:tcPr>
            <w:tcW w:w="624" w:type="pct"/>
            <w:shd w:val="clear" w:color="auto" w:fill="auto"/>
          </w:tcPr>
          <w:p w:rsidR="004B48E3" w:rsidRPr="006C3BAA" w:rsidRDefault="004B48E3" w:rsidP="0084535B">
            <w:pPr>
              <w:spacing w:before="0" w:line="240" w:lineRule="auto"/>
              <w:jc w:val="left"/>
            </w:pPr>
            <w:r>
              <w:t>LFS (</w:t>
            </w:r>
            <w:proofErr w:type="spellStart"/>
            <w:r>
              <w:t>Eurostat</w:t>
            </w:r>
            <w:proofErr w:type="spellEnd"/>
            <w:r>
              <w:t>)</w:t>
            </w:r>
          </w:p>
        </w:tc>
        <w:tc>
          <w:tcPr>
            <w:tcW w:w="624" w:type="pct"/>
          </w:tcPr>
          <w:p w:rsidR="004B48E3" w:rsidRDefault="004B48E3" w:rsidP="0084535B">
            <w:pPr>
              <w:spacing w:before="0" w:line="240" w:lineRule="auto"/>
              <w:jc w:val="left"/>
            </w:pPr>
          </w:p>
        </w:tc>
        <w:tc>
          <w:tcPr>
            <w:tcW w:w="623" w:type="pct"/>
          </w:tcPr>
          <w:p w:rsidR="004B48E3" w:rsidRDefault="004B48E3" w:rsidP="0084535B">
            <w:pPr>
              <w:spacing w:before="0" w:line="240" w:lineRule="auto"/>
              <w:jc w:val="left"/>
            </w:pPr>
          </w:p>
        </w:tc>
      </w:tr>
      <w:tr w:rsidR="004B48E3" w:rsidRPr="006C3BAA" w:rsidTr="004B48E3">
        <w:tc>
          <w:tcPr>
            <w:tcW w:w="627" w:type="pct"/>
            <w:vMerge/>
            <w:shd w:val="clear" w:color="auto" w:fill="auto"/>
          </w:tcPr>
          <w:p w:rsidR="004B48E3" w:rsidRPr="006C3BAA" w:rsidRDefault="004B48E3" w:rsidP="0084535B">
            <w:pPr>
              <w:spacing w:before="0" w:line="240" w:lineRule="auto"/>
              <w:jc w:val="left"/>
            </w:pPr>
          </w:p>
        </w:tc>
        <w:tc>
          <w:tcPr>
            <w:tcW w:w="627" w:type="pct"/>
            <w:vMerge/>
            <w:shd w:val="clear" w:color="auto" w:fill="auto"/>
          </w:tcPr>
          <w:p w:rsidR="004B48E3" w:rsidRPr="006C3BAA" w:rsidRDefault="004B48E3" w:rsidP="0084535B">
            <w:pPr>
              <w:spacing w:before="0" w:line="240" w:lineRule="auto"/>
              <w:jc w:val="left"/>
            </w:pPr>
          </w:p>
        </w:tc>
        <w:tc>
          <w:tcPr>
            <w:tcW w:w="625" w:type="pct"/>
            <w:vMerge/>
            <w:shd w:val="clear" w:color="auto" w:fill="auto"/>
          </w:tcPr>
          <w:p w:rsidR="004B48E3" w:rsidRPr="006C3BAA" w:rsidRDefault="004B48E3" w:rsidP="0084535B">
            <w:pPr>
              <w:spacing w:before="0" w:line="240" w:lineRule="auto"/>
              <w:jc w:val="left"/>
            </w:pPr>
          </w:p>
        </w:tc>
        <w:tc>
          <w:tcPr>
            <w:tcW w:w="625" w:type="pct"/>
            <w:shd w:val="clear" w:color="auto" w:fill="auto"/>
          </w:tcPr>
          <w:p w:rsidR="004B48E3" w:rsidRDefault="004B48E3" w:rsidP="0084535B">
            <w:pPr>
              <w:spacing w:before="0" w:line="240" w:lineRule="auto"/>
              <w:jc w:val="left"/>
            </w:pPr>
            <w:r>
              <w:t>Female unemployment rate</w:t>
            </w:r>
          </w:p>
        </w:tc>
        <w:tc>
          <w:tcPr>
            <w:tcW w:w="625" w:type="pct"/>
          </w:tcPr>
          <w:p w:rsidR="004B48E3" w:rsidRDefault="004B48E3" w:rsidP="0084535B">
            <w:pPr>
              <w:spacing w:before="0" w:line="240" w:lineRule="auto"/>
              <w:jc w:val="left"/>
            </w:pPr>
            <w:r>
              <w:t>2001</w:t>
            </w:r>
          </w:p>
        </w:tc>
        <w:tc>
          <w:tcPr>
            <w:tcW w:w="624" w:type="pct"/>
            <w:shd w:val="clear" w:color="auto" w:fill="auto"/>
          </w:tcPr>
          <w:p w:rsidR="004B48E3" w:rsidRDefault="004B48E3" w:rsidP="0084535B">
            <w:pPr>
              <w:spacing w:before="0" w:line="240" w:lineRule="auto"/>
              <w:jc w:val="left"/>
            </w:pPr>
            <w:r>
              <w:t>Census</w:t>
            </w:r>
          </w:p>
        </w:tc>
        <w:tc>
          <w:tcPr>
            <w:tcW w:w="624" w:type="pct"/>
          </w:tcPr>
          <w:p w:rsidR="004B48E3" w:rsidRDefault="004B48E3" w:rsidP="0084535B">
            <w:pPr>
              <w:spacing w:before="0" w:line="240" w:lineRule="auto"/>
              <w:jc w:val="left"/>
            </w:pPr>
          </w:p>
        </w:tc>
        <w:tc>
          <w:tcPr>
            <w:tcW w:w="623" w:type="pct"/>
          </w:tcPr>
          <w:p w:rsidR="004B48E3" w:rsidRDefault="004B48E3" w:rsidP="0084535B">
            <w:pPr>
              <w:spacing w:before="0" w:line="240" w:lineRule="auto"/>
              <w:jc w:val="left"/>
            </w:pPr>
          </w:p>
        </w:tc>
      </w:tr>
      <w:tr w:rsidR="004B48E3" w:rsidRPr="006C3BAA" w:rsidTr="000917E0">
        <w:tc>
          <w:tcPr>
            <w:tcW w:w="627" w:type="pct"/>
            <w:vMerge/>
            <w:shd w:val="clear" w:color="auto" w:fill="auto"/>
          </w:tcPr>
          <w:p w:rsidR="004B48E3" w:rsidRPr="006C3BAA" w:rsidRDefault="004B48E3" w:rsidP="0084535B">
            <w:pPr>
              <w:spacing w:before="0" w:line="240" w:lineRule="auto"/>
              <w:jc w:val="left"/>
            </w:pPr>
          </w:p>
        </w:tc>
        <w:tc>
          <w:tcPr>
            <w:tcW w:w="627" w:type="pct"/>
            <w:vMerge/>
            <w:shd w:val="clear" w:color="auto" w:fill="auto"/>
          </w:tcPr>
          <w:p w:rsidR="004B48E3" w:rsidRPr="006C3BAA" w:rsidRDefault="004B48E3" w:rsidP="0084535B">
            <w:pPr>
              <w:spacing w:before="0" w:line="240" w:lineRule="auto"/>
              <w:jc w:val="left"/>
            </w:pPr>
          </w:p>
        </w:tc>
        <w:tc>
          <w:tcPr>
            <w:tcW w:w="625" w:type="pct"/>
            <w:vMerge/>
            <w:shd w:val="clear" w:color="auto" w:fill="auto"/>
          </w:tcPr>
          <w:p w:rsidR="004B48E3" w:rsidRPr="006C3BAA" w:rsidRDefault="004B48E3" w:rsidP="0084535B">
            <w:pPr>
              <w:spacing w:before="0" w:line="240" w:lineRule="auto"/>
              <w:jc w:val="left"/>
            </w:pPr>
          </w:p>
        </w:tc>
        <w:tc>
          <w:tcPr>
            <w:tcW w:w="625" w:type="pct"/>
            <w:shd w:val="clear" w:color="auto" w:fill="auto"/>
          </w:tcPr>
          <w:p w:rsidR="004B48E3" w:rsidRPr="006C3BAA" w:rsidRDefault="004B48E3" w:rsidP="0084535B">
            <w:pPr>
              <w:spacing w:before="0" w:line="240" w:lineRule="auto"/>
              <w:jc w:val="left"/>
            </w:pPr>
            <w:r>
              <w:t>Youth (15–24) unemployment rate</w:t>
            </w:r>
          </w:p>
        </w:tc>
        <w:tc>
          <w:tcPr>
            <w:tcW w:w="625" w:type="pct"/>
          </w:tcPr>
          <w:p w:rsidR="004B48E3" w:rsidRDefault="004B48E3" w:rsidP="0084535B">
            <w:pPr>
              <w:spacing w:before="0" w:line="240" w:lineRule="auto"/>
              <w:jc w:val="left"/>
            </w:pPr>
            <w:r>
              <w:t>2001</w:t>
            </w:r>
          </w:p>
        </w:tc>
        <w:tc>
          <w:tcPr>
            <w:tcW w:w="624" w:type="pct"/>
            <w:shd w:val="clear" w:color="auto" w:fill="auto"/>
          </w:tcPr>
          <w:p w:rsidR="004B48E3" w:rsidRPr="006C3BAA" w:rsidRDefault="004B48E3" w:rsidP="0084535B">
            <w:pPr>
              <w:spacing w:before="0" w:line="240" w:lineRule="auto"/>
              <w:jc w:val="left"/>
            </w:pPr>
            <w:r>
              <w:t>LFS (</w:t>
            </w:r>
            <w:proofErr w:type="spellStart"/>
            <w:r>
              <w:t>Eurostat</w:t>
            </w:r>
            <w:proofErr w:type="spellEnd"/>
            <w:r>
              <w:t>)</w:t>
            </w:r>
          </w:p>
        </w:tc>
        <w:tc>
          <w:tcPr>
            <w:tcW w:w="624" w:type="pct"/>
            <w:tcBorders>
              <w:bottom w:val="single" w:sz="4" w:space="0" w:color="auto"/>
            </w:tcBorders>
          </w:tcPr>
          <w:p w:rsidR="004B48E3" w:rsidRDefault="004B48E3" w:rsidP="0084535B">
            <w:pPr>
              <w:spacing w:before="0" w:line="240" w:lineRule="auto"/>
              <w:jc w:val="left"/>
            </w:pPr>
          </w:p>
        </w:tc>
        <w:tc>
          <w:tcPr>
            <w:tcW w:w="623" w:type="pct"/>
          </w:tcPr>
          <w:p w:rsidR="004B48E3" w:rsidRDefault="004B48E3" w:rsidP="0084535B">
            <w:pPr>
              <w:spacing w:before="0" w:line="240" w:lineRule="auto"/>
              <w:jc w:val="left"/>
            </w:pPr>
          </w:p>
        </w:tc>
      </w:tr>
      <w:tr w:rsidR="004B48E3" w:rsidRPr="006C3BAA" w:rsidTr="000917E0">
        <w:tc>
          <w:tcPr>
            <w:tcW w:w="627" w:type="pct"/>
            <w:vMerge/>
            <w:shd w:val="clear" w:color="auto" w:fill="auto"/>
          </w:tcPr>
          <w:p w:rsidR="004B48E3" w:rsidRPr="006C3BAA" w:rsidRDefault="004B48E3" w:rsidP="0084535B">
            <w:pPr>
              <w:spacing w:before="0" w:line="240" w:lineRule="auto"/>
              <w:jc w:val="left"/>
            </w:pPr>
          </w:p>
        </w:tc>
        <w:tc>
          <w:tcPr>
            <w:tcW w:w="627" w:type="pct"/>
            <w:vMerge/>
            <w:shd w:val="clear" w:color="auto" w:fill="auto"/>
          </w:tcPr>
          <w:p w:rsidR="004B48E3" w:rsidRPr="006C3BAA" w:rsidRDefault="004B48E3" w:rsidP="0084535B">
            <w:pPr>
              <w:spacing w:before="0" w:line="240" w:lineRule="auto"/>
              <w:jc w:val="left"/>
            </w:pPr>
          </w:p>
        </w:tc>
        <w:tc>
          <w:tcPr>
            <w:tcW w:w="625" w:type="pct"/>
            <w:vMerge/>
            <w:shd w:val="clear" w:color="auto" w:fill="auto"/>
          </w:tcPr>
          <w:p w:rsidR="004B48E3" w:rsidRPr="006C3BAA" w:rsidRDefault="004B48E3" w:rsidP="0084535B">
            <w:pPr>
              <w:spacing w:before="0" w:line="240" w:lineRule="auto"/>
              <w:jc w:val="left"/>
            </w:pPr>
          </w:p>
        </w:tc>
        <w:tc>
          <w:tcPr>
            <w:tcW w:w="625" w:type="pct"/>
            <w:shd w:val="clear" w:color="auto" w:fill="auto"/>
          </w:tcPr>
          <w:p w:rsidR="004B48E3" w:rsidRDefault="004B48E3" w:rsidP="0084535B">
            <w:pPr>
              <w:spacing w:before="0" w:line="240" w:lineRule="auto"/>
              <w:jc w:val="left"/>
            </w:pPr>
            <w:r>
              <w:t>Youth (15–24) unemployment rate</w:t>
            </w:r>
          </w:p>
        </w:tc>
        <w:tc>
          <w:tcPr>
            <w:tcW w:w="625" w:type="pct"/>
          </w:tcPr>
          <w:p w:rsidR="004B48E3" w:rsidRDefault="004B48E3" w:rsidP="0084535B">
            <w:pPr>
              <w:spacing w:before="0" w:line="240" w:lineRule="auto"/>
              <w:jc w:val="left"/>
            </w:pPr>
            <w:r>
              <w:t>2001, 2011</w:t>
            </w:r>
          </w:p>
        </w:tc>
        <w:tc>
          <w:tcPr>
            <w:tcW w:w="624" w:type="pct"/>
            <w:shd w:val="clear" w:color="auto" w:fill="auto"/>
          </w:tcPr>
          <w:p w:rsidR="004B48E3" w:rsidRDefault="004B48E3" w:rsidP="0084535B">
            <w:pPr>
              <w:spacing w:before="0" w:line="240" w:lineRule="auto"/>
              <w:jc w:val="left"/>
            </w:pPr>
            <w:r>
              <w:t>Census</w:t>
            </w:r>
          </w:p>
        </w:tc>
        <w:tc>
          <w:tcPr>
            <w:tcW w:w="624" w:type="pct"/>
            <w:shd w:val="clear" w:color="auto" w:fill="FFC000"/>
          </w:tcPr>
          <w:p w:rsidR="004B48E3" w:rsidRDefault="002C6F43" w:rsidP="0084535B">
            <w:pPr>
              <w:spacing w:before="0" w:line="240" w:lineRule="auto"/>
              <w:jc w:val="left"/>
            </w:pPr>
            <w:r w:rsidRPr="002C6F43">
              <w:t>+-+-(+)(+/-)</w:t>
            </w:r>
          </w:p>
        </w:tc>
        <w:tc>
          <w:tcPr>
            <w:tcW w:w="623" w:type="pct"/>
          </w:tcPr>
          <w:p w:rsidR="004B48E3" w:rsidRDefault="004B48E3" w:rsidP="0084535B">
            <w:pPr>
              <w:spacing w:before="0" w:line="240" w:lineRule="auto"/>
              <w:jc w:val="left"/>
            </w:pPr>
          </w:p>
        </w:tc>
      </w:tr>
      <w:tr w:rsidR="004B48E3" w:rsidRPr="006C3BAA" w:rsidTr="004B48E3">
        <w:tc>
          <w:tcPr>
            <w:tcW w:w="627" w:type="pct"/>
            <w:vMerge/>
            <w:shd w:val="clear" w:color="auto" w:fill="auto"/>
          </w:tcPr>
          <w:p w:rsidR="004B48E3" w:rsidRPr="006C3BAA" w:rsidRDefault="004B48E3" w:rsidP="0084535B">
            <w:pPr>
              <w:spacing w:before="0" w:line="240" w:lineRule="auto"/>
              <w:jc w:val="left"/>
            </w:pPr>
          </w:p>
        </w:tc>
        <w:tc>
          <w:tcPr>
            <w:tcW w:w="627" w:type="pct"/>
            <w:vMerge/>
            <w:shd w:val="clear" w:color="auto" w:fill="auto"/>
          </w:tcPr>
          <w:p w:rsidR="004B48E3" w:rsidRPr="006C3BAA" w:rsidRDefault="004B48E3" w:rsidP="0084535B">
            <w:pPr>
              <w:spacing w:before="0" w:line="240" w:lineRule="auto"/>
              <w:jc w:val="left"/>
            </w:pPr>
          </w:p>
        </w:tc>
        <w:tc>
          <w:tcPr>
            <w:tcW w:w="625" w:type="pct"/>
            <w:vMerge/>
            <w:shd w:val="clear" w:color="auto" w:fill="auto"/>
          </w:tcPr>
          <w:p w:rsidR="004B48E3" w:rsidRPr="006C3BAA" w:rsidRDefault="004B48E3" w:rsidP="0084535B">
            <w:pPr>
              <w:spacing w:before="0" w:line="240" w:lineRule="auto"/>
              <w:jc w:val="left"/>
            </w:pPr>
          </w:p>
        </w:tc>
        <w:tc>
          <w:tcPr>
            <w:tcW w:w="625" w:type="pct"/>
            <w:shd w:val="clear" w:color="auto" w:fill="auto"/>
          </w:tcPr>
          <w:p w:rsidR="004B48E3" w:rsidRPr="006C3BAA" w:rsidRDefault="004B48E3" w:rsidP="0084535B">
            <w:pPr>
              <w:spacing w:before="0" w:line="240" w:lineRule="auto"/>
              <w:jc w:val="left"/>
            </w:pPr>
            <w:r>
              <w:t>Unemployment gender gap</w:t>
            </w:r>
          </w:p>
        </w:tc>
        <w:tc>
          <w:tcPr>
            <w:tcW w:w="625" w:type="pct"/>
          </w:tcPr>
          <w:p w:rsidR="004B48E3" w:rsidRDefault="004B48E3" w:rsidP="0084535B">
            <w:pPr>
              <w:spacing w:before="0" w:line="240" w:lineRule="auto"/>
              <w:jc w:val="left"/>
            </w:pPr>
            <w:r>
              <w:t>2001</w:t>
            </w:r>
          </w:p>
        </w:tc>
        <w:tc>
          <w:tcPr>
            <w:tcW w:w="624" w:type="pct"/>
            <w:shd w:val="clear" w:color="auto" w:fill="auto"/>
          </w:tcPr>
          <w:p w:rsidR="004B48E3" w:rsidRPr="006C3BAA" w:rsidRDefault="004B48E3" w:rsidP="0084535B">
            <w:pPr>
              <w:spacing w:before="0" w:line="240" w:lineRule="auto"/>
              <w:jc w:val="left"/>
            </w:pPr>
            <w:r>
              <w:t>LFS (</w:t>
            </w:r>
            <w:proofErr w:type="spellStart"/>
            <w:r>
              <w:t>Eurostat</w:t>
            </w:r>
            <w:proofErr w:type="spellEnd"/>
            <w:r>
              <w:t>)</w:t>
            </w:r>
          </w:p>
        </w:tc>
        <w:tc>
          <w:tcPr>
            <w:tcW w:w="624" w:type="pct"/>
          </w:tcPr>
          <w:p w:rsidR="004B48E3" w:rsidRDefault="004B48E3" w:rsidP="0084535B">
            <w:pPr>
              <w:spacing w:before="0" w:line="240" w:lineRule="auto"/>
              <w:jc w:val="left"/>
            </w:pPr>
          </w:p>
        </w:tc>
        <w:tc>
          <w:tcPr>
            <w:tcW w:w="623" w:type="pct"/>
          </w:tcPr>
          <w:p w:rsidR="004B48E3" w:rsidRDefault="004B48E3" w:rsidP="0084535B">
            <w:pPr>
              <w:spacing w:before="0" w:line="240" w:lineRule="auto"/>
              <w:jc w:val="left"/>
            </w:pPr>
          </w:p>
        </w:tc>
      </w:tr>
      <w:tr w:rsidR="004B48E3" w:rsidRPr="006C3BAA" w:rsidTr="004B48E3">
        <w:tc>
          <w:tcPr>
            <w:tcW w:w="627" w:type="pct"/>
            <w:vMerge/>
            <w:shd w:val="clear" w:color="auto" w:fill="auto"/>
          </w:tcPr>
          <w:p w:rsidR="004B48E3" w:rsidRPr="006C3BAA" w:rsidRDefault="004B48E3" w:rsidP="0084535B">
            <w:pPr>
              <w:spacing w:before="0" w:line="240" w:lineRule="auto"/>
              <w:jc w:val="left"/>
            </w:pPr>
          </w:p>
        </w:tc>
        <w:tc>
          <w:tcPr>
            <w:tcW w:w="627" w:type="pct"/>
            <w:vMerge/>
            <w:shd w:val="clear" w:color="auto" w:fill="auto"/>
          </w:tcPr>
          <w:p w:rsidR="004B48E3" w:rsidRPr="006C3BAA" w:rsidRDefault="004B48E3" w:rsidP="0084535B">
            <w:pPr>
              <w:spacing w:before="0" w:line="240" w:lineRule="auto"/>
              <w:jc w:val="left"/>
            </w:pPr>
          </w:p>
        </w:tc>
        <w:tc>
          <w:tcPr>
            <w:tcW w:w="625" w:type="pct"/>
            <w:vMerge/>
            <w:shd w:val="clear" w:color="auto" w:fill="auto"/>
          </w:tcPr>
          <w:p w:rsidR="004B48E3" w:rsidRPr="006C3BAA" w:rsidRDefault="004B48E3" w:rsidP="0084535B">
            <w:pPr>
              <w:spacing w:before="0" w:line="240" w:lineRule="auto"/>
              <w:jc w:val="left"/>
            </w:pPr>
          </w:p>
        </w:tc>
        <w:tc>
          <w:tcPr>
            <w:tcW w:w="625" w:type="pct"/>
            <w:shd w:val="clear" w:color="auto" w:fill="auto"/>
          </w:tcPr>
          <w:p w:rsidR="004B48E3" w:rsidRPr="006C3BAA" w:rsidRDefault="004B48E3" w:rsidP="0084535B">
            <w:pPr>
              <w:spacing w:before="0" w:line="240" w:lineRule="auto"/>
              <w:jc w:val="left"/>
            </w:pPr>
            <w:r>
              <w:t>Unemployment gender gap</w:t>
            </w:r>
          </w:p>
        </w:tc>
        <w:tc>
          <w:tcPr>
            <w:tcW w:w="625" w:type="pct"/>
          </w:tcPr>
          <w:p w:rsidR="004B48E3" w:rsidRDefault="004B48E3" w:rsidP="0084535B">
            <w:pPr>
              <w:spacing w:before="0" w:line="240" w:lineRule="auto"/>
              <w:jc w:val="left"/>
            </w:pPr>
            <w:r>
              <w:t>2001</w:t>
            </w:r>
          </w:p>
        </w:tc>
        <w:tc>
          <w:tcPr>
            <w:tcW w:w="624" w:type="pct"/>
            <w:shd w:val="clear" w:color="auto" w:fill="auto"/>
          </w:tcPr>
          <w:p w:rsidR="004B48E3" w:rsidRPr="006C3BAA" w:rsidRDefault="004B48E3" w:rsidP="0084535B">
            <w:pPr>
              <w:spacing w:before="0" w:line="240" w:lineRule="auto"/>
              <w:jc w:val="left"/>
            </w:pPr>
            <w:r>
              <w:t>Census</w:t>
            </w:r>
          </w:p>
        </w:tc>
        <w:tc>
          <w:tcPr>
            <w:tcW w:w="624" w:type="pct"/>
          </w:tcPr>
          <w:p w:rsidR="004B48E3" w:rsidRDefault="004B48E3" w:rsidP="0084535B">
            <w:pPr>
              <w:spacing w:before="0" w:line="240" w:lineRule="auto"/>
              <w:jc w:val="left"/>
            </w:pPr>
          </w:p>
        </w:tc>
        <w:tc>
          <w:tcPr>
            <w:tcW w:w="623" w:type="pct"/>
          </w:tcPr>
          <w:p w:rsidR="004B48E3" w:rsidRDefault="004B48E3" w:rsidP="0084535B">
            <w:pPr>
              <w:spacing w:before="0" w:line="240" w:lineRule="auto"/>
              <w:jc w:val="left"/>
            </w:pPr>
          </w:p>
        </w:tc>
      </w:tr>
      <w:tr w:rsidR="004B48E3" w:rsidRPr="006C3BAA" w:rsidTr="000917E0">
        <w:tc>
          <w:tcPr>
            <w:tcW w:w="627" w:type="pct"/>
            <w:vMerge/>
            <w:shd w:val="clear" w:color="auto" w:fill="auto"/>
          </w:tcPr>
          <w:p w:rsidR="004B48E3" w:rsidRPr="006C3BAA" w:rsidRDefault="004B48E3" w:rsidP="0084535B">
            <w:pPr>
              <w:spacing w:before="0" w:line="240" w:lineRule="auto"/>
              <w:jc w:val="left"/>
            </w:pPr>
          </w:p>
        </w:tc>
        <w:tc>
          <w:tcPr>
            <w:tcW w:w="627" w:type="pct"/>
            <w:vMerge/>
            <w:shd w:val="clear" w:color="auto" w:fill="auto"/>
          </w:tcPr>
          <w:p w:rsidR="004B48E3" w:rsidRPr="006C3BAA" w:rsidRDefault="004B48E3" w:rsidP="0084535B">
            <w:pPr>
              <w:spacing w:before="0" w:line="240" w:lineRule="auto"/>
              <w:jc w:val="left"/>
            </w:pPr>
          </w:p>
        </w:tc>
        <w:tc>
          <w:tcPr>
            <w:tcW w:w="625" w:type="pct"/>
            <w:vMerge w:val="restart"/>
            <w:shd w:val="clear" w:color="auto" w:fill="auto"/>
          </w:tcPr>
          <w:p w:rsidR="004B48E3" w:rsidRPr="006C3BAA" w:rsidRDefault="004B48E3" w:rsidP="0084535B">
            <w:pPr>
              <w:spacing w:before="0" w:line="240" w:lineRule="auto"/>
              <w:jc w:val="left"/>
            </w:pPr>
            <w:r w:rsidRPr="006C3BAA">
              <w:t>Inactive</w:t>
            </w:r>
          </w:p>
        </w:tc>
        <w:tc>
          <w:tcPr>
            <w:tcW w:w="625" w:type="pct"/>
            <w:shd w:val="clear" w:color="auto" w:fill="auto"/>
          </w:tcPr>
          <w:p w:rsidR="004B48E3" w:rsidRPr="006C3BAA" w:rsidRDefault="004B48E3" w:rsidP="0084535B">
            <w:pPr>
              <w:spacing w:before="0" w:line="240" w:lineRule="auto"/>
              <w:jc w:val="left"/>
            </w:pPr>
            <w:r>
              <w:t>Inactivity rate</w:t>
            </w:r>
          </w:p>
        </w:tc>
        <w:tc>
          <w:tcPr>
            <w:tcW w:w="625" w:type="pct"/>
          </w:tcPr>
          <w:p w:rsidR="004B48E3" w:rsidRDefault="004B48E3" w:rsidP="0084535B">
            <w:pPr>
              <w:spacing w:before="0" w:line="240" w:lineRule="auto"/>
              <w:jc w:val="left"/>
            </w:pPr>
            <w:r>
              <w:t>2001, 2011</w:t>
            </w:r>
          </w:p>
        </w:tc>
        <w:tc>
          <w:tcPr>
            <w:tcW w:w="624" w:type="pct"/>
            <w:shd w:val="clear" w:color="auto" w:fill="auto"/>
          </w:tcPr>
          <w:p w:rsidR="004B48E3" w:rsidRPr="006C3BAA" w:rsidRDefault="004B48E3" w:rsidP="0084535B">
            <w:pPr>
              <w:spacing w:before="0" w:line="240" w:lineRule="auto"/>
              <w:jc w:val="left"/>
            </w:pPr>
            <w:r>
              <w:t>Census</w:t>
            </w:r>
          </w:p>
        </w:tc>
        <w:tc>
          <w:tcPr>
            <w:tcW w:w="624" w:type="pct"/>
            <w:shd w:val="clear" w:color="auto" w:fill="00B050"/>
          </w:tcPr>
          <w:p w:rsidR="004B48E3" w:rsidRDefault="002C6F43" w:rsidP="0084535B">
            <w:pPr>
              <w:spacing w:before="0" w:line="240" w:lineRule="auto"/>
              <w:jc w:val="left"/>
            </w:pPr>
            <w:r w:rsidRPr="002C6F43">
              <w:t>+-++(+)(+)</w:t>
            </w:r>
          </w:p>
        </w:tc>
        <w:tc>
          <w:tcPr>
            <w:tcW w:w="623" w:type="pct"/>
          </w:tcPr>
          <w:p w:rsidR="004B48E3" w:rsidRDefault="004B48E3" w:rsidP="0084535B">
            <w:pPr>
              <w:spacing w:before="0" w:line="240" w:lineRule="auto"/>
              <w:jc w:val="left"/>
            </w:pPr>
            <w:r>
              <w:t>Yes</w:t>
            </w:r>
          </w:p>
        </w:tc>
      </w:tr>
      <w:tr w:rsidR="004B48E3" w:rsidRPr="006C3BAA" w:rsidTr="004B48E3">
        <w:tc>
          <w:tcPr>
            <w:tcW w:w="627" w:type="pct"/>
            <w:vMerge/>
            <w:shd w:val="clear" w:color="auto" w:fill="auto"/>
          </w:tcPr>
          <w:p w:rsidR="004B48E3" w:rsidRPr="006C3BAA" w:rsidRDefault="004B48E3" w:rsidP="0084535B">
            <w:pPr>
              <w:spacing w:before="0" w:line="240" w:lineRule="auto"/>
              <w:jc w:val="left"/>
            </w:pPr>
          </w:p>
        </w:tc>
        <w:tc>
          <w:tcPr>
            <w:tcW w:w="627" w:type="pct"/>
            <w:vMerge/>
            <w:shd w:val="clear" w:color="auto" w:fill="auto"/>
          </w:tcPr>
          <w:p w:rsidR="004B48E3" w:rsidRPr="006C3BAA" w:rsidRDefault="004B48E3" w:rsidP="0084535B">
            <w:pPr>
              <w:spacing w:before="0" w:line="240" w:lineRule="auto"/>
              <w:jc w:val="left"/>
            </w:pPr>
          </w:p>
        </w:tc>
        <w:tc>
          <w:tcPr>
            <w:tcW w:w="625" w:type="pct"/>
            <w:vMerge/>
            <w:shd w:val="clear" w:color="auto" w:fill="auto"/>
          </w:tcPr>
          <w:p w:rsidR="004B48E3" w:rsidRPr="006C3BAA" w:rsidRDefault="004B48E3" w:rsidP="0084535B">
            <w:pPr>
              <w:spacing w:before="0" w:line="240" w:lineRule="auto"/>
              <w:jc w:val="left"/>
            </w:pPr>
          </w:p>
        </w:tc>
        <w:tc>
          <w:tcPr>
            <w:tcW w:w="625" w:type="pct"/>
            <w:shd w:val="clear" w:color="auto" w:fill="auto"/>
          </w:tcPr>
          <w:p w:rsidR="004B48E3" w:rsidRPr="006C3BAA" w:rsidRDefault="004B48E3" w:rsidP="0084535B">
            <w:pPr>
              <w:spacing w:before="0" w:line="240" w:lineRule="auto"/>
              <w:jc w:val="left"/>
            </w:pPr>
            <w:r>
              <w:t>Male inactivity rate</w:t>
            </w:r>
          </w:p>
        </w:tc>
        <w:tc>
          <w:tcPr>
            <w:tcW w:w="625" w:type="pct"/>
          </w:tcPr>
          <w:p w:rsidR="004B48E3" w:rsidRDefault="004B48E3" w:rsidP="0084535B">
            <w:pPr>
              <w:spacing w:before="0" w:line="240" w:lineRule="auto"/>
              <w:jc w:val="left"/>
            </w:pPr>
            <w:r>
              <w:t>2001</w:t>
            </w:r>
          </w:p>
        </w:tc>
        <w:tc>
          <w:tcPr>
            <w:tcW w:w="624" w:type="pct"/>
            <w:shd w:val="clear" w:color="auto" w:fill="auto"/>
          </w:tcPr>
          <w:p w:rsidR="004B48E3" w:rsidRPr="006C3BAA" w:rsidRDefault="004B48E3" w:rsidP="0084535B">
            <w:pPr>
              <w:spacing w:before="0" w:line="240" w:lineRule="auto"/>
              <w:jc w:val="left"/>
            </w:pPr>
            <w:r>
              <w:t>Census</w:t>
            </w:r>
          </w:p>
        </w:tc>
        <w:tc>
          <w:tcPr>
            <w:tcW w:w="624" w:type="pct"/>
          </w:tcPr>
          <w:p w:rsidR="004B48E3" w:rsidRDefault="004B48E3" w:rsidP="0084535B">
            <w:pPr>
              <w:spacing w:before="0" w:line="240" w:lineRule="auto"/>
              <w:jc w:val="left"/>
            </w:pPr>
          </w:p>
        </w:tc>
        <w:tc>
          <w:tcPr>
            <w:tcW w:w="623" w:type="pct"/>
          </w:tcPr>
          <w:p w:rsidR="004B48E3" w:rsidRDefault="004B48E3" w:rsidP="0084535B">
            <w:pPr>
              <w:spacing w:before="0" w:line="240" w:lineRule="auto"/>
              <w:jc w:val="left"/>
            </w:pPr>
          </w:p>
        </w:tc>
      </w:tr>
      <w:tr w:rsidR="004B48E3" w:rsidRPr="006C3BAA" w:rsidTr="004B48E3">
        <w:tc>
          <w:tcPr>
            <w:tcW w:w="627" w:type="pct"/>
            <w:vMerge/>
            <w:shd w:val="clear" w:color="auto" w:fill="auto"/>
          </w:tcPr>
          <w:p w:rsidR="004B48E3" w:rsidRPr="006C3BAA" w:rsidRDefault="004B48E3" w:rsidP="0084535B">
            <w:pPr>
              <w:spacing w:before="0" w:line="240" w:lineRule="auto"/>
              <w:jc w:val="left"/>
            </w:pPr>
          </w:p>
        </w:tc>
        <w:tc>
          <w:tcPr>
            <w:tcW w:w="627" w:type="pct"/>
            <w:vMerge/>
            <w:shd w:val="clear" w:color="auto" w:fill="auto"/>
          </w:tcPr>
          <w:p w:rsidR="004B48E3" w:rsidRPr="006C3BAA" w:rsidRDefault="004B48E3" w:rsidP="0084535B">
            <w:pPr>
              <w:spacing w:before="0" w:line="240" w:lineRule="auto"/>
              <w:jc w:val="left"/>
            </w:pPr>
          </w:p>
        </w:tc>
        <w:tc>
          <w:tcPr>
            <w:tcW w:w="625" w:type="pct"/>
            <w:vMerge/>
            <w:shd w:val="clear" w:color="auto" w:fill="auto"/>
          </w:tcPr>
          <w:p w:rsidR="004B48E3" w:rsidRPr="006C3BAA" w:rsidRDefault="004B48E3" w:rsidP="0084535B">
            <w:pPr>
              <w:spacing w:before="0" w:line="240" w:lineRule="auto"/>
              <w:jc w:val="left"/>
            </w:pPr>
          </w:p>
        </w:tc>
        <w:tc>
          <w:tcPr>
            <w:tcW w:w="625" w:type="pct"/>
            <w:shd w:val="clear" w:color="auto" w:fill="auto"/>
          </w:tcPr>
          <w:p w:rsidR="004B48E3" w:rsidRDefault="004B48E3" w:rsidP="0084535B">
            <w:pPr>
              <w:spacing w:before="0" w:line="240" w:lineRule="auto"/>
              <w:jc w:val="left"/>
            </w:pPr>
            <w:r>
              <w:t>Female inactivity rate</w:t>
            </w:r>
          </w:p>
        </w:tc>
        <w:tc>
          <w:tcPr>
            <w:tcW w:w="625" w:type="pct"/>
          </w:tcPr>
          <w:p w:rsidR="004B48E3" w:rsidRDefault="004B48E3" w:rsidP="0084535B">
            <w:pPr>
              <w:spacing w:before="0" w:line="240" w:lineRule="auto"/>
              <w:jc w:val="left"/>
            </w:pPr>
            <w:r>
              <w:t>2001</w:t>
            </w:r>
          </w:p>
        </w:tc>
        <w:tc>
          <w:tcPr>
            <w:tcW w:w="624" w:type="pct"/>
            <w:shd w:val="clear" w:color="auto" w:fill="auto"/>
          </w:tcPr>
          <w:p w:rsidR="004B48E3" w:rsidRDefault="004B48E3" w:rsidP="0084535B">
            <w:pPr>
              <w:spacing w:before="0" w:line="240" w:lineRule="auto"/>
              <w:jc w:val="left"/>
            </w:pPr>
            <w:r>
              <w:t>Census</w:t>
            </w:r>
          </w:p>
        </w:tc>
        <w:tc>
          <w:tcPr>
            <w:tcW w:w="624" w:type="pct"/>
          </w:tcPr>
          <w:p w:rsidR="004B48E3" w:rsidRDefault="004B48E3" w:rsidP="0084535B">
            <w:pPr>
              <w:spacing w:before="0" w:line="240" w:lineRule="auto"/>
              <w:jc w:val="left"/>
            </w:pPr>
          </w:p>
        </w:tc>
        <w:tc>
          <w:tcPr>
            <w:tcW w:w="623" w:type="pct"/>
          </w:tcPr>
          <w:p w:rsidR="004B48E3" w:rsidRDefault="004B48E3" w:rsidP="0084535B">
            <w:pPr>
              <w:spacing w:before="0" w:line="240" w:lineRule="auto"/>
              <w:jc w:val="left"/>
            </w:pPr>
          </w:p>
        </w:tc>
      </w:tr>
      <w:tr w:rsidR="004B48E3" w:rsidRPr="006C3BAA" w:rsidTr="004B48E3">
        <w:tc>
          <w:tcPr>
            <w:tcW w:w="627" w:type="pct"/>
            <w:vMerge/>
            <w:shd w:val="clear" w:color="auto" w:fill="auto"/>
          </w:tcPr>
          <w:p w:rsidR="004B48E3" w:rsidRPr="006C3BAA" w:rsidRDefault="004B48E3" w:rsidP="0084535B">
            <w:pPr>
              <w:spacing w:before="0" w:line="240" w:lineRule="auto"/>
              <w:jc w:val="left"/>
            </w:pPr>
          </w:p>
        </w:tc>
        <w:tc>
          <w:tcPr>
            <w:tcW w:w="627" w:type="pct"/>
            <w:vMerge/>
            <w:shd w:val="clear" w:color="auto" w:fill="auto"/>
          </w:tcPr>
          <w:p w:rsidR="004B48E3" w:rsidRPr="006C3BAA" w:rsidRDefault="004B48E3" w:rsidP="0084535B">
            <w:pPr>
              <w:spacing w:before="0" w:line="240" w:lineRule="auto"/>
              <w:jc w:val="left"/>
            </w:pPr>
          </w:p>
        </w:tc>
        <w:tc>
          <w:tcPr>
            <w:tcW w:w="625" w:type="pct"/>
            <w:vMerge/>
            <w:shd w:val="clear" w:color="auto" w:fill="auto"/>
          </w:tcPr>
          <w:p w:rsidR="004B48E3" w:rsidRPr="006C3BAA" w:rsidRDefault="004B48E3" w:rsidP="0084535B">
            <w:pPr>
              <w:spacing w:before="0" w:line="240" w:lineRule="auto"/>
              <w:jc w:val="left"/>
            </w:pPr>
          </w:p>
        </w:tc>
        <w:tc>
          <w:tcPr>
            <w:tcW w:w="625" w:type="pct"/>
            <w:shd w:val="clear" w:color="auto" w:fill="auto"/>
          </w:tcPr>
          <w:p w:rsidR="004B48E3" w:rsidRDefault="004B48E3" w:rsidP="0084535B">
            <w:pPr>
              <w:spacing w:before="0" w:line="240" w:lineRule="auto"/>
              <w:jc w:val="left"/>
            </w:pPr>
            <w:r>
              <w:t>Inactivity gender gap</w:t>
            </w:r>
          </w:p>
        </w:tc>
        <w:tc>
          <w:tcPr>
            <w:tcW w:w="625" w:type="pct"/>
          </w:tcPr>
          <w:p w:rsidR="004B48E3" w:rsidRDefault="004B48E3" w:rsidP="0084535B">
            <w:pPr>
              <w:spacing w:before="0" w:line="240" w:lineRule="auto"/>
              <w:jc w:val="left"/>
            </w:pPr>
            <w:r>
              <w:t>2001</w:t>
            </w:r>
          </w:p>
        </w:tc>
        <w:tc>
          <w:tcPr>
            <w:tcW w:w="624" w:type="pct"/>
            <w:shd w:val="clear" w:color="auto" w:fill="auto"/>
          </w:tcPr>
          <w:p w:rsidR="004B48E3" w:rsidRDefault="004B48E3" w:rsidP="0084535B">
            <w:pPr>
              <w:spacing w:before="0" w:line="240" w:lineRule="auto"/>
              <w:jc w:val="left"/>
            </w:pPr>
            <w:r>
              <w:t>Census</w:t>
            </w:r>
          </w:p>
        </w:tc>
        <w:tc>
          <w:tcPr>
            <w:tcW w:w="624" w:type="pct"/>
          </w:tcPr>
          <w:p w:rsidR="004B48E3" w:rsidRDefault="004B48E3" w:rsidP="0084535B">
            <w:pPr>
              <w:spacing w:before="0" w:line="240" w:lineRule="auto"/>
              <w:jc w:val="left"/>
            </w:pPr>
          </w:p>
        </w:tc>
        <w:tc>
          <w:tcPr>
            <w:tcW w:w="623" w:type="pct"/>
          </w:tcPr>
          <w:p w:rsidR="004B48E3" w:rsidRDefault="004B48E3" w:rsidP="0084535B">
            <w:pPr>
              <w:spacing w:before="0" w:line="240" w:lineRule="auto"/>
              <w:jc w:val="left"/>
            </w:pPr>
          </w:p>
        </w:tc>
      </w:tr>
      <w:tr w:rsidR="004B48E3" w:rsidRPr="006C3BAA" w:rsidTr="004B48E3">
        <w:tc>
          <w:tcPr>
            <w:tcW w:w="627" w:type="pct"/>
            <w:vMerge/>
            <w:shd w:val="clear" w:color="auto" w:fill="auto"/>
          </w:tcPr>
          <w:p w:rsidR="004B48E3" w:rsidRPr="006C3BAA" w:rsidRDefault="004B48E3" w:rsidP="0084535B">
            <w:pPr>
              <w:spacing w:before="0" w:line="240" w:lineRule="auto"/>
              <w:jc w:val="left"/>
            </w:pPr>
          </w:p>
        </w:tc>
        <w:tc>
          <w:tcPr>
            <w:tcW w:w="627" w:type="pct"/>
            <w:vMerge/>
            <w:shd w:val="clear" w:color="auto" w:fill="auto"/>
          </w:tcPr>
          <w:p w:rsidR="004B48E3" w:rsidRPr="006C3BAA" w:rsidRDefault="004B48E3" w:rsidP="0084535B">
            <w:pPr>
              <w:spacing w:before="0" w:line="240" w:lineRule="auto"/>
              <w:jc w:val="left"/>
            </w:pPr>
          </w:p>
        </w:tc>
        <w:tc>
          <w:tcPr>
            <w:tcW w:w="625" w:type="pct"/>
            <w:shd w:val="clear" w:color="auto" w:fill="auto"/>
          </w:tcPr>
          <w:p w:rsidR="004B48E3" w:rsidRPr="006C3BAA" w:rsidRDefault="004B48E3" w:rsidP="0084535B">
            <w:pPr>
              <w:spacing w:before="0" w:line="240" w:lineRule="auto"/>
              <w:jc w:val="left"/>
            </w:pPr>
            <w:r w:rsidRPr="006C3BAA">
              <w:t>Long-term unemployed</w:t>
            </w:r>
          </w:p>
        </w:tc>
        <w:tc>
          <w:tcPr>
            <w:tcW w:w="625" w:type="pct"/>
            <w:shd w:val="clear" w:color="auto" w:fill="auto"/>
          </w:tcPr>
          <w:p w:rsidR="004B48E3" w:rsidRPr="006C3BAA" w:rsidRDefault="004B48E3" w:rsidP="0084535B">
            <w:pPr>
              <w:spacing w:before="0" w:line="240" w:lineRule="auto"/>
              <w:jc w:val="left"/>
            </w:pPr>
            <w:r>
              <w:t>–</w:t>
            </w:r>
          </w:p>
        </w:tc>
        <w:tc>
          <w:tcPr>
            <w:tcW w:w="625" w:type="pct"/>
          </w:tcPr>
          <w:p w:rsidR="004B48E3" w:rsidRDefault="004B48E3" w:rsidP="0084535B">
            <w:pPr>
              <w:spacing w:before="0" w:line="240" w:lineRule="auto"/>
              <w:jc w:val="left"/>
            </w:pPr>
            <w:r>
              <w:t>–</w:t>
            </w:r>
          </w:p>
        </w:tc>
        <w:tc>
          <w:tcPr>
            <w:tcW w:w="624" w:type="pct"/>
            <w:shd w:val="clear" w:color="auto" w:fill="auto"/>
          </w:tcPr>
          <w:p w:rsidR="004B48E3" w:rsidRPr="006C3BAA" w:rsidRDefault="004B48E3" w:rsidP="0084535B">
            <w:pPr>
              <w:spacing w:before="0" w:line="240" w:lineRule="auto"/>
              <w:jc w:val="left"/>
            </w:pPr>
            <w:r>
              <w:t>–</w:t>
            </w:r>
          </w:p>
        </w:tc>
        <w:tc>
          <w:tcPr>
            <w:tcW w:w="624" w:type="pct"/>
          </w:tcPr>
          <w:p w:rsidR="004B48E3" w:rsidRDefault="004B48E3" w:rsidP="0084535B">
            <w:pPr>
              <w:spacing w:before="0" w:line="240" w:lineRule="auto"/>
              <w:jc w:val="left"/>
            </w:pPr>
          </w:p>
        </w:tc>
        <w:tc>
          <w:tcPr>
            <w:tcW w:w="623" w:type="pct"/>
          </w:tcPr>
          <w:p w:rsidR="004B48E3" w:rsidRDefault="004B48E3" w:rsidP="0084535B">
            <w:pPr>
              <w:spacing w:before="0" w:line="240" w:lineRule="auto"/>
              <w:jc w:val="left"/>
            </w:pPr>
          </w:p>
        </w:tc>
      </w:tr>
      <w:tr w:rsidR="004B48E3" w:rsidRPr="006C3BAA" w:rsidTr="004B48E3">
        <w:tc>
          <w:tcPr>
            <w:tcW w:w="627" w:type="pct"/>
            <w:vMerge/>
            <w:shd w:val="clear" w:color="auto" w:fill="auto"/>
          </w:tcPr>
          <w:p w:rsidR="004B48E3" w:rsidRPr="006C3BAA" w:rsidRDefault="004B48E3" w:rsidP="0084535B">
            <w:pPr>
              <w:spacing w:before="0" w:line="240" w:lineRule="auto"/>
              <w:jc w:val="left"/>
            </w:pPr>
          </w:p>
        </w:tc>
        <w:tc>
          <w:tcPr>
            <w:tcW w:w="627" w:type="pct"/>
            <w:vMerge/>
            <w:shd w:val="clear" w:color="auto" w:fill="auto"/>
          </w:tcPr>
          <w:p w:rsidR="004B48E3" w:rsidRPr="006C3BAA" w:rsidRDefault="004B48E3" w:rsidP="0084535B">
            <w:pPr>
              <w:spacing w:before="0" w:line="240" w:lineRule="auto"/>
              <w:jc w:val="left"/>
            </w:pPr>
          </w:p>
        </w:tc>
        <w:tc>
          <w:tcPr>
            <w:tcW w:w="625" w:type="pct"/>
            <w:shd w:val="clear" w:color="auto" w:fill="auto"/>
          </w:tcPr>
          <w:p w:rsidR="004B48E3" w:rsidRPr="006C3BAA" w:rsidRDefault="004B48E3" w:rsidP="0084535B">
            <w:pPr>
              <w:spacing w:before="0" w:line="240" w:lineRule="auto"/>
              <w:jc w:val="left"/>
            </w:pPr>
            <w:r w:rsidRPr="006C3BAA">
              <w:t>Jobless households</w:t>
            </w:r>
          </w:p>
        </w:tc>
        <w:tc>
          <w:tcPr>
            <w:tcW w:w="625" w:type="pct"/>
            <w:shd w:val="clear" w:color="auto" w:fill="auto"/>
          </w:tcPr>
          <w:p w:rsidR="004B48E3" w:rsidRPr="006C3BAA" w:rsidRDefault="004B48E3" w:rsidP="0084535B">
            <w:pPr>
              <w:spacing w:before="0" w:line="240" w:lineRule="auto"/>
              <w:jc w:val="left"/>
            </w:pPr>
            <w:r>
              <w:t>–</w:t>
            </w:r>
          </w:p>
        </w:tc>
        <w:tc>
          <w:tcPr>
            <w:tcW w:w="625" w:type="pct"/>
          </w:tcPr>
          <w:p w:rsidR="004B48E3" w:rsidRDefault="004B48E3" w:rsidP="0084535B">
            <w:pPr>
              <w:spacing w:before="0" w:line="240" w:lineRule="auto"/>
              <w:jc w:val="left"/>
            </w:pPr>
            <w:r>
              <w:t>–</w:t>
            </w:r>
          </w:p>
        </w:tc>
        <w:tc>
          <w:tcPr>
            <w:tcW w:w="624" w:type="pct"/>
            <w:shd w:val="clear" w:color="auto" w:fill="auto"/>
          </w:tcPr>
          <w:p w:rsidR="004B48E3" w:rsidRPr="006C3BAA" w:rsidRDefault="004B48E3" w:rsidP="0084535B">
            <w:pPr>
              <w:spacing w:before="0" w:line="240" w:lineRule="auto"/>
              <w:jc w:val="left"/>
            </w:pPr>
            <w:r>
              <w:t>–</w:t>
            </w:r>
          </w:p>
        </w:tc>
        <w:tc>
          <w:tcPr>
            <w:tcW w:w="624" w:type="pct"/>
          </w:tcPr>
          <w:p w:rsidR="004B48E3" w:rsidRDefault="004B48E3" w:rsidP="0084535B">
            <w:pPr>
              <w:spacing w:before="0" w:line="240" w:lineRule="auto"/>
              <w:jc w:val="left"/>
            </w:pPr>
          </w:p>
        </w:tc>
        <w:tc>
          <w:tcPr>
            <w:tcW w:w="623" w:type="pct"/>
          </w:tcPr>
          <w:p w:rsidR="004B48E3" w:rsidRDefault="004B48E3" w:rsidP="0084535B">
            <w:pPr>
              <w:spacing w:before="0" w:line="240" w:lineRule="auto"/>
              <w:jc w:val="left"/>
            </w:pPr>
          </w:p>
        </w:tc>
      </w:tr>
      <w:tr w:rsidR="002C6F43" w:rsidRPr="006C3BAA" w:rsidTr="000917E0">
        <w:tc>
          <w:tcPr>
            <w:tcW w:w="627" w:type="pct"/>
            <w:vMerge w:val="restart"/>
            <w:shd w:val="clear" w:color="auto" w:fill="auto"/>
          </w:tcPr>
          <w:p w:rsidR="002C6F43" w:rsidRPr="006C3BAA" w:rsidRDefault="002C6F43" w:rsidP="0084535B">
            <w:pPr>
              <w:spacing w:before="0" w:line="240" w:lineRule="auto"/>
              <w:jc w:val="left"/>
            </w:pPr>
            <w:r w:rsidRPr="006C3BAA">
              <w:t>Access to basic services</w:t>
            </w:r>
          </w:p>
        </w:tc>
        <w:tc>
          <w:tcPr>
            <w:tcW w:w="627" w:type="pct"/>
            <w:vMerge w:val="restart"/>
            <w:shd w:val="clear" w:color="auto" w:fill="auto"/>
          </w:tcPr>
          <w:p w:rsidR="002C6F43" w:rsidRPr="006C3BAA" w:rsidRDefault="002C6F43" w:rsidP="0084535B">
            <w:pPr>
              <w:spacing w:before="0" w:line="240" w:lineRule="auto"/>
              <w:jc w:val="left"/>
            </w:pPr>
            <w:r w:rsidRPr="006C3BAA">
              <w:t>Health</w:t>
            </w:r>
          </w:p>
        </w:tc>
        <w:tc>
          <w:tcPr>
            <w:tcW w:w="625" w:type="pct"/>
            <w:vMerge w:val="restart"/>
            <w:shd w:val="clear" w:color="auto" w:fill="auto"/>
          </w:tcPr>
          <w:p w:rsidR="002C6F43" w:rsidRPr="006C3BAA" w:rsidRDefault="002C6F43" w:rsidP="0084535B">
            <w:pPr>
              <w:spacing w:before="0" w:line="240" w:lineRule="auto"/>
              <w:jc w:val="left"/>
            </w:pPr>
            <w:r w:rsidRPr="006C3BAA">
              <w:t>Access to primary health</w:t>
            </w:r>
          </w:p>
        </w:tc>
        <w:tc>
          <w:tcPr>
            <w:tcW w:w="625" w:type="pct"/>
            <w:shd w:val="clear" w:color="auto" w:fill="auto"/>
          </w:tcPr>
          <w:p w:rsidR="002C6F43" w:rsidRPr="006C3BAA" w:rsidRDefault="002C6F43" w:rsidP="0084535B">
            <w:pPr>
              <w:spacing w:before="0" w:line="240" w:lineRule="auto"/>
              <w:jc w:val="left"/>
            </w:pPr>
            <w:r w:rsidRPr="00053A30">
              <w:t xml:space="preserve">Health personnel per </w:t>
            </w:r>
            <w:r w:rsidRPr="00053A30">
              <w:lastRenderedPageBreak/>
              <w:t>100</w:t>
            </w:r>
            <w:r>
              <w:t>,</w:t>
            </w:r>
            <w:r w:rsidRPr="00053A30">
              <w:t>000 inhabitants</w:t>
            </w:r>
          </w:p>
        </w:tc>
        <w:tc>
          <w:tcPr>
            <w:tcW w:w="625" w:type="pct"/>
          </w:tcPr>
          <w:p w:rsidR="002C6F43" w:rsidRDefault="002C6F43" w:rsidP="0084535B">
            <w:pPr>
              <w:spacing w:before="0" w:line="240" w:lineRule="auto"/>
              <w:jc w:val="left"/>
            </w:pPr>
            <w:r>
              <w:lastRenderedPageBreak/>
              <w:t>2001, 2011</w:t>
            </w:r>
          </w:p>
        </w:tc>
        <w:tc>
          <w:tcPr>
            <w:tcW w:w="624" w:type="pct"/>
            <w:shd w:val="clear" w:color="auto" w:fill="auto"/>
          </w:tcPr>
          <w:p w:rsidR="002C6F43" w:rsidRPr="006C3BAA" w:rsidRDefault="002C6F43" w:rsidP="0084535B">
            <w:pPr>
              <w:spacing w:before="0" w:line="240" w:lineRule="auto"/>
              <w:jc w:val="left"/>
            </w:pPr>
            <w:proofErr w:type="spellStart"/>
            <w:r>
              <w:t>Eurostat</w:t>
            </w:r>
            <w:proofErr w:type="spellEnd"/>
            <w:r>
              <w:t xml:space="preserve"> (NUTS</w:t>
            </w:r>
            <w:r w:rsidR="00E8420C">
              <w:t xml:space="preserve"> </w:t>
            </w:r>
            <w:r>
              <w:t>1–2)</w:t>
            </w:r>
          </w:p>
        </w:tc>
        <w:tc>
          <w:tcPr>
            <w:tcW w:w="624" w:type="pct"/>
            <w:shd w:val="clear" w:color="auto" w:fill="FF0000"/>
          </w:tcPr>
          <w:p w:rsidR="002C6F43" w:rsidRPr="00B91128" w:rsidRDefault="002C6F43" w:rsidP="0084535B">
            <w:pPr>
              <w:spacing w:before="0"/>
            </w:pPr>
            <w:r>
              <w:t>-+--(-)(+/-)</w:t>
            </w:r>
          </w:p>
        </w:tc>
        <w:tc>
          <w:tcPr>
            <w:tcW w:w="623" w:type="pct"/>
          </w:tcPr>
          <w:p w:rsidR="002C6F43" w:rsidRDefault="002C6F43" w:rsidP="0084535B">
            <w:pPr>
              <w:spacing w:before="0" w:line="240" w:lineRule="auto"/>
              <w:jc w:val="left"/>
            </w:pPr>
          </w:p>
        </w:tc>
      </w:tr>
      <w:tr w:rsidR="002C6F43" w:rsidRPr="006C3BAA" w:rsidTr="000917E0">
        <w:tc>
          <w:tcPr>
            <w:tcW w:w="627" w:type="pct"/>
            <w:vMerge/>
            <w:shd w:val="clear" w:color="auto" w:fill="auto"/>
          </w:tcPr>
          <w:p w:rsidR="002C6F43" w:rsidRPr="006C3BAA" w:rsidRDefault="002C6F43" w:rsidP="0084535B">
            <w:pPr>
              <w:spacing w:before="0" w:line="240" w:lineRule="auto"/>
              <w:jc w:val="left"/>
            </w:pPr>
          </w:p>
        </w:tc>
        <w:tc>
          <w:tcPr>
            <w:tcW w:w="627" w:type="pct"/>
            <w:vMerge/>
            <w:shd w:val="clear" w:color="auto" w:fill="auto"/>
          </w:tcPr>
          <w:p w:rsidR="002C6F43" w:rsidRPr="006C3BAA" w:rsidRDefault="002C6F43" w:rsidP="0084535B">
            <w:pPr>
              <w:spacing w:before="0" w:line="240" w:lineRule="auto"/>
              <w:jc w:val="left"/>
            </w:pPr>
          </w:p>
        </w:tc>
        <w:tc>
          <w:tcPr>
            <w:tcW w:w="625" w:type="pct"/>
            <w:vMerge/>
            <w:shd w:val="clear" w:color="auto" w:fill="auto"/>
          </w:tcPr>
          <w:p w:rsidR="002C6F43" w:rsidRPr="006C3BAA" w:rsidRDefault="002C6F43" w:rsidP="0084535B">
            <w:pPr>
              <w:spacing w:before="0" w:line="240" w:lineRule="auto"/>
              <w:jc w:val="left"/>
            </w:pPr>
          </w:p>
        </w:tc>
        <w:tc>
          <w:tcPr>
            <w:tcW w:w="625" w:type="pct"/>
            <w:shd w:val="clear" w:color="auto" w:fill="auto"/>
          </w:tcPr>
          <w:p w:rsidR="002C6F43" w:rsidRPr="00053A30" w:rsidRDefault="002C6F43" w:rsidP="0084535B">
            <w:pPr>
              <w:spacing w:before="0" w:line="240" w:lineRule="auto"/>
              <w:jc w:val="left"/>
            </w:pPr>
            <w:r w:rsidRPr="00053A30">
              <w:t>Hospital beds per 100</w:t>
            </w:r>
            <w:r>
              <w:t>,</w:t>
            </w:r>
            <w:r w:rsidRPr="00053A30">
              <w:t>000 inhabitants</w:t>
            </w:r>
          </w:p>
        </w:tc>
        <w:tc>
          <w:tcPr>
            <w:tcW w:w="625" w:type="pct"/>
          </w:tcPr>
          <w:p w:rsidR="002C6F43" w:rsidRDefault="002C6F43" w:rsidP="0084535B">
            <w:pPr>
              <w:spacing w:before="0" w:line="240" w:lineRule="auto"/>
              <w:jc w:val="left"/>
            </w:pPr>
            <w:r>
              <w:t>2001, 2011</w:t>
            </w:r>
          </w:p>
        </w:tc>
        <w:tc>
          <w:tcPr>
            <w:tcW w:w="624" w:type="pct"/>
            <w:shd w:val="clear" w:color="auto" w:fill="auto"/>
          </w:tcPr>
          <w:p w:rsidR="002C6F43" w:rsidRDefault="002C6F43" w:rsidP="0084535B">
            <w:pPr>
              <w:spacing w:before="0" w:line="240" w:lineRule="auto"/>
              <w:jc w:val="left"/>
            </w:pPr>
            <w:proofErr w:type="spellStart"/>
            <w:r>
              <w:t>Eurostat</w:t>
            </w:r>
            <w:proofErr w:type="spellEnd"/>
            <w:r>
              <w:t xml:space="preserve"> (NUTS</w:t>
            </w:r>
            <w:r w:rsidR="00E8420C">
              <w:t xml:space="preserve"> </w:t>
            </w:r>
            <w:r>
              <w:t>1–2)</w:t>
            </w:r>
          </w:p>
        </w:tc>
        <w:tc>
          <w:tcPr>
            <w:tcW w:w="624" w:type="pct"/>
            <w:shd w:val="clear" w:color="auto" w:fill="FF0000"/>
          </w:tcPr>
          <w:p w:rsidR="002C6F43" w:rsidRPr="00B91128" w:rsidRDefault="002C6F43" w:rsidP="0084535B">
            <w:pPr>
              <w:spacing w:before="0"/>
            </w:pPr>
            <w:r>
              <w:t>-+--(-)(+/-)</w:t>
            </w:r>
          </w:p>
        </w:tc>
        <w:tc>
          <w:tcPr>
            <w:tcW w:w="623" w:type="pct"/>
          </w:tcPr>
          <w:p w:rsidR="002C6F43" w:rsidRDefault="002C6F43" w:rsidP="0084535B">
            <w:pPr>
              <w:spacing w:before="0" w:line="240" w:lineRule="auto"/>
              <w:jc w:val="left"/>
            </w:pPr>
          </w:p>
        </w:tc>
      </w:tr>
      <w:tr w:rsidR="004B48E3" w:rsidRPr="006C3BAA" w:rsidTr="000917E0">
        <w:tc>
          <w:tcPr>
            <w:tcW w:w="627" w:type="pct"/>
            <w:vMerge/>
            <w:shd w:val="clear" w:color="auto" w:fill="auto"/>
          </w:tcPr>
          <w:p w:rsidR="004B48E3" w:rsidRPr="006C3BAA" w:rsidRDefault="004B48E3" w:rsidP="0084535B">
            <w:pPr>
              <w:spacing w:before="0" w:line="240" w:lineRule="auto"/>
              <w:jc w:val="left"/>
            </w:pPr>
          </w:p>
        </w:tc>
        <w:tc>
          <w:tcPr>
            <w:tcW w:w="627" w:type="pct"/>
            <w:vMerge/>
            <w:shd w:val="clear" w:color="auto" w:fill="auto"/>
          </w:tcPr>
          <w:p w:rsidR="004B48E3" w:rsidRPr="006C3BAA" w:rsidRDefault="004B48E3" w:rsidP="0084535B">
            <w:pPr>
              <w:spacing w:before="0" w:line="240" w:lineRule="auto"/>
              <w:jc w:val="left"/>
            </w:pPr>
          </w:p>
        </w:tc>
        <w:tc>
          <w:tcPr>
            <w:tcW w:w="625" w:type="pct"/>
            <w:shd w:val="clear" w:color="auto" w:fill="auto"/>
          </w:tcPr>
          <w:p w:rsidR="004B48E3" w:rsidRPr="006C3BAA" w:rsidRDefault="00CE34CC" w:rsidP="0084535B">
            <w:pPr>
              <w:spacing w:before="0" w:line="240" w:lineRule="auto"/>
              <w:jc w:val="left"/>
            </w:pPr>
            <w:r>
              <w:t>L</w:t>
            </w:r>
            <w:r w:rsidR="004B48E3" w:rsidRPr="006C3BAA">
              <w:t>ife expectancy</w:t>
            </w:r>
          </w:p>
        </w:tc>
        <w:tc>
          <w:tcPr>
            <w:tcW w:w="625" w:type="pct"/>
            <w:shd w:val="clear" w:color="auto" w:fill="auto"/>
          </w:tcPr>
          <w:p w:rsidR="004B48E3" w:rsidRPr="006C3BAA" w:rsidRDefault="00CE34CC" w:rsidP="0084535B">
            <w:pPr>
              <w:spacing w:before="0" w:line="240" w:lineRule="auto"/>
              <w:jc w:val="left"/>
            </w:pPr>
            <w:r>
              <w:t>L</w:t>
            </w:r>
            <w:r w:rsidR="004B48E3" w:rsidRPr="006C3BAA">
              <w:t xml:space="preserve">ife expectancy </w:t>
            </w:r>
            <w:r w:rsidR="004B48E3">
              <w:t>at birth</w:t>
            </w:r>
          </w:p>
        </w:tc>
        <w:tc>
          <w:tcPr>
            <w:tcW w:w="625" w:type="pct"/>
          </w:tcPr>
          <w:p w:rsidR="004B48E3" w:rsidRDefault="004B48E3" w:rsidP="0084535B">
            <w:pPr>
              <w:spacing w:before="0" w:line="240" w:lineRule="auto"/>
              <w:jc w:val="left"/>
            </w:pPr>
            <w:r>
              <w:t>2001, 2011</w:t>
            </w:r>
          </w:p>
        </w:tc>
        <w:tc>
          <w:tcPr>
            <w:tcW w:w="624" w:type="pct"/>
            <w:shd w:val="clear" w:color="auto" w:fill="auto"/>
          </w:tcPr>
          <w:p w:rsidR="004B48E3" w:rsidRPr="006C3BAA" w:rsidRDefault="004B48E3" w:rsidP="0084535B">
            <w:pPr>
              <w:spacing w:before="0" w:line="240" w:lineRule="auto"/>
              <w:jc w:val="left"/>
            </w:pPr>
            <w:proofErr w:type="spellStart"/>
            <w:r>
              <w:t>Eurostat</w:t>
            </w:r>
            <w:proofErr w:type="spellEnd"/>
            <w:r>
              <w:t xml:space="preserve"> (NUTS</w:t>
            </w:r>
            <w:r w:rsidR="00E8420C">
              <w:t xml:space="preserve"> </w:t>
            </w:r>
            <w:r>
              <w:t>1–2)</w:t>
            </w:r>
          </w:p>
        </w:tc>
        <w:tc>
          <w:tcPr>
            <w:tcW w:w="624" w:type="pct"/>
            <w:shd w:val="clear" w:color="auto" w:fill="FFC000"/>
          </w:tcPr>
          <w:p w:rsidR="004B48E3" w:rsidRDefault="002C6F43" w:rsidP="0084535B">
            <w:pPr>
              <w:spacing w:before="0" w:line="240" w:lineRule="auto"/>
              <w:jc w:val="left"/>
            </w:pPr>
            <w:r w:rsidRPr="002C6F43">
              <w:t>++++(-)(+)</w:t>
            </w:r>
          </w:p>
        </w:tc>
        <w:tc>
          <w:tcPr>
            <w:tcW w:w="623" w:type="pct"/>
          </w:tcPr>
          <w:p w:rsidR="004B48E3" w:rsidRDefault="004B48E3" w:rsidP="0084535B">
            <w:pPr>
              <w:spacing w:before="0" w:line="240" w:lineRule="auto"/>
              <w:jc w:val="left"/>
            </w:pPr>
          </w:p>
        </w:tc>
      </w:tr>
      <w:tr w:rsidR="004B48E3" w:rsidRPr="006C3BAA" w:rsidTr="004B48E3">
        <w:tc>
          <w:tcPr>
            <w:tcW w:w="627" w:type="pct"/>
            <w:vMerge/>
            <w:shd w:val="clear" w:color="auto" w:fill="auto"/>
          </w:tcPr>
          <w:p w:rsidR="004B48E3" w:rsidRPr="006C3BAA" w:rsidRDefault="004B48E3" w:rsidP="0084535B">
            <w:pPr>
              <w:spacing w:before="0" w:line="240" w:lineRule="auto"/>
              <w:jc w:val="left"/>
            </w:pPr>
          </w:p>
        </w:tc>
        <w:tc>
          <w:tcPr>
            <w:tcW w:w="627" w:type="pct"/>
            <w:vMerge w:val="restart"/>
            <w:shd w:val="clear" w:color="auto" w:fill="auto"/>
          </w:tcPr>
          <w:p w:rsidR="004B48E3" w:rsidRPr="006C3BAA" w:rsidRDefault="004B48E3" w:rsidP="0084535B">
            <w:pPr>
              <w:spacing w:before="0" w:line="240" w:lineRule="auto"/>
              <w:jc w:val="left"/>
            </w:pPr>
            <w:r w:rsidRPr="006C3BAA">
              <w:t>Education</w:t>
            </w:r>
          </w:p>
        </w:tc>
        <w:tc>
          <w:tcPr>
            <w:tcW w:w="625" w:type="pct"/>
            <w:shd w:val="clear" w:color="auto" w:fill="auto"/>
          </w:tcPr>
          <w:p w:rsidR="004B48E3" w:rsidRPr="006C3BAA" w:rsidRDefault="004B48E3" w:rsidP="0084535B">
            <w:pPr>
              <w:spacing w:before="0" w:line="240" w:lineRule="auto"/>
              <w:jc w:val="left"/>
            </w:pPr>
            <w:r w:rsidRPr="006C3BAA">
              <w:t>Pre-school access</w:t>
            </w:r>
          </w:p>
        </w:tc>
        <w:tc>
          <w:tcPr>
            <w:tcW w:w="625" w:type="pct"/>
            <w:shd w:val="clear" w:color="auto" w:fill="auto"/>
          </w:tcPr>
          <w:p w:rsidR="004B48E3" w:rsidRPr="006C3BAA" w:rsidRDefault="004B48E3" w:rsidP="0084535B">
            <w:pPr>
              <w:spacing w:before="0" w:line="240" w:lineRule="auto"/>
              <w:jc w:val="left"/>
            </w:pPr>
            <w:r>
              <w:t>–</w:t>
            </w:r>
          </w:p>
        </w:tc>
        <w:tc>
          <w:tcPr>
            <w:tcW w:w="625" w:type="pct"/>
          </w:tcPr>
          <w:p w:rsidR="004B48E3" w:rsidRDefault="004B48E3" w:rsidP="0084535B">
            <w:pPr>
              <w:spacing w:before="0" w:line="240" w:lineRule="auto"/>
              <w:jc w:val="left"/>
            </w:pPr>
            <w:r>
              <w:t>–</w:t>
            </w:r>
          </w:p>
        </w:tc>
        <w:tc>
          <w:tcPr>
            <w:tcW w:w="624" w:type="pct"/>
            <w:shd w:val="clear" w:color="auto" w:fill="auto"/>
          </w:tcPr>
          <w:p w:rsidR="004B48E3" w:rsidRPr="006C3BAA" w:rsidRDefault="004B48E3" w:rsidP="0084535B">
            <w:pPr>
              <w:spacing w:before="0" w:line="240" w:lineRule="auto"/>
              <w:jc w:val="left"/>
            </w:pPr>
            <w:r>
              <w:t>–</w:t>
            </w:r>
          </w:p>
        </w:tc>
        <w:tc>
          <w:tcPr>
            <w:tcW w:w="624" w:type="pct"/>
          </w:tcPr>
          <w:p w:rsidR="004B48E3" w:rsidRDefault="004B48E3" w:rsidP="0084535B">
            <w:pPr>
              <w:spacing w:before="0" w:line="240" w:lineRule="auto"/>
              <w:jc w:val="left"/>
            </w:pPr>
          </w:p>
        </w:tc>
        <w:tc>
          <w:tcPr>
            <w:tcW w:w="623" w:type="pct"/>
          </w:tcPr>
          <w:p w:rsidR="004B48E3" w:rsidRDefault="004B48E3" w:rsidP="0084535B">
            <w:pPr>
              <w:spacing w:before="0" w:line="240" w:lineRule="auto"/>
              <w:jc w:val="left"/>
            </w:pPr>
          </w:p>
        </w:tc>
      </w:tr>
      <w:tr w:rsidR="004B48E3" w:rsidRPr="006C3BAA" w:rsidTr="004B48E3">
        <w:tc>
          <w:tcPr>
            <w:tcW w:w="627" w:type="pct"/>
            <w:vMerge/>
            <w:shd w:val="clear" w:color="auto" w:fill="auto"/>
          </w:tcPr>
          <w:p w:rsidR="004B48E3" w:rsidRPr="006C3BAA" w:rsidRDefault="004B48E3" w:rsidP="0084535B">
            <w:pPr>
              <w:spacing w:before="0" w:line="240" w:lineRule="auto"/>
              <w:jc w:val="left"/>
            </w:pPr>
          </w:p>
        </w:tc>
        <w:tc>
          <w:tcPr>
            <w:tcW w:w="627" w:type="pct"/>
            <w:vMerge/>
            <w:shd w:val="clear" w:color="auto" w:fill="auto"/>
          </w:tcPr>
          <w:p w:rsidR="004B48E3" w:rsidRPr="006C3BAA" w:rsidRDefault="004B48E3" w:rsidP="0084535B">
            <w:pPr>
              <w:spacing w:before="0" w:line="240" w:lineRule="auto"/>
              <w:jc w:val="left"/>
            </w:pPr>
          </w:p>
        </w:tc>
        <w:tc>
          <w:tcPr>
            <w:tcW w:w="625" w:type="pct"/>
            <w:shd w:val="clear" w:color="auto" w:fill="auto"/>
          </w:tcPr>
          <w:p w:rsidR="004B48E3" w:rsidRPr="006C3BAA" w:rsidRDefault="004B48E3" w:rsidP="0084535B">
            <w:pPr>
              <w:spacing w:before="0" w:line="240" w:lineRule="auto"/>
              <w:jc w:val="left"/>
            </w:pPr>
            <w:r w:rsidRPr="006C3BAA">
              <w:t>Primary school access</w:t>
            </w:r>
          </w:p>
        </w:tc>
        <w:tc>
          <w:tcPr>
            <w:tcW w:w="625" w:type="pct"/>
            <w:shd w:val="clear" w:color="auto" w:fill="auto"/>
          </w:tcPr>
          <w:p w:rsidR="004B48E3" w:rsidRPr="006C3BAA" w:rsidRDefault="004B48E3" w:rsidP="0084535B">
            <w:pPr>
              <w:spacing w:before="0" w:line="240" w:lineRule="auto"/>
              <w:jc w:val="left"/>
            </w:pPr>
            <w:r>
              <w:t>–</w:t>
            </w:r>
          </w:p>
        </w:tc>
        <w:tc>
          <w:tcPr>
            <w:tcW w:w="625" w:type="pct"/>
          </w:tcPr>
          <w:p w:rsidR="004B48E3" w:rsidRDefault="004B48E3" w:rsidP="0084535B">
            <w:pPr>
              <w:spacing w:before="0" w:line="240" w:lineRule="auto"/>
              <w:jc w:val="left"/>
            </w:pPr>
            <w:r>
              <w:t>–</w:t>
            </w:r>
          </w:p>
        </w:tc>
        <w:tc>
          <w:tcPr>
            <w:tcW w:w="624" w:type="pct"/>
            <w:shd w:val="clear" w:color="auto" w:fill="auto"/>
          </w:tcPr>
          <w:p w:rsidR="004B48E3" w:rsidRPr="006C3BAA" w:rsidRDefault="004B48E3" w:rsidP="0084535B">
            <w:pPr>
              <w:spacing w:before="0" w:line="240" w:lineRule="auto"/>
              <w:jc w:val="left"/>
            </w:pPr>
            <w:r>
              <w:t>–</w:t>
            </w:r>
          </w:p>
        </w:tc>
        <w:tc>
          <w:tcPr>
            <w:tcW w:w="624" w:type="pct"/>
          </w:tcPr>
          <w:p w:rsidR="004B48E3" w:rsidRDefault="004B48E3" w:rsidP="0084535B">
            <w:pPr>
              <w:spacing w:before="0" w:line="240" w:lineRule="auto"/>
              <w:jc w:val="left"/>
            </w:pPr>
          </w:p>
        </w:tc>
        <w:tc>
          <w:tcPr>
            <w:tcW w:w="623" w:type="pct"/>
          </w:tcPr>
          <w:p w:rsidR="004B48E3" w:rsidRDefault="004B48E3" w:rsidP="0084535B">
            <w:pPr>
              <w:spacing w:before="0" w:line="240" w:lineRule="auto"/>
              <w:jc w:val="left"/>
            </w:pPr>
          </w:p>
        </w:tc>
      </w:tr>
      <w:tr w:rsidR="004B48E3" w:rsidRPr="006C3BAA" w:rsidTr="004B48E3">
        <w:tc>
          <w:tcPr>
            <w:tcW w:w="627" w:type="pct"/>
            <w:vMerge/>
            <w:shd w:val="clear" w:color="auto" w:fill="auto"/>
          </w:tcPr>
          <w:p w:rsidR="004B48E3" w:rsidRPr="006C3BAA" w:rsidRDefault="004B48E3" w:rsidP="0084535B">
            <w:pPr>
              <w:spacing w:before="0" w:line="240" w:lineRule="auto"/>
              <w:jc w:val="left"/>
            </w:pPr>
          </w:p>
        </w:tc>
        <w:tc>
          <w:tcPr>
            <w:tcW w:w="627" w:type="pct"/>
            <w:vMerge/>
            <w:shd w:val="clear" w:color="auto" w:fill="auto"/>
          </w:tcPr>
          <w:p w:rsidR="004B48E3" w:rsidRPr="006C3BAA" w:rsidRDefault="004B48E3" w:rsidP="0084535B">
            <w:pPr>
              <w:spacing w:before="0" w:line="240" w:lineRule="auto"/>
              <w:jc w:val="left"/>
            </w:pPr>
          </w:p>
        </w:tc>
        <w:tc>
          <w:tcPr>
            <w:tcW w:w="625" w:type="pct"/>
            <w:shd w:val="clear" w:color="auto" w:fill="auto"/>
          </w:tcPr>
          <w:p w:rsidR="004B48E3" w:rsidRPr="006C3BAA" w:rsidRDefault="004B48E3" w:rsidP="0084535B">
            <w:pPr>
              <w:spacing w:before="0" w:line="240" w:lineRule="auto"/>
              <w:jc w:val="left"/>
            </w:pPr>
            <w:r w:rsidRPr="006C3BAA">
              <w:t>Cultural house / library access</w:t>
            </w:r>
          </w:p>
        </w:tc>
        <w:tc>
          <w:tcPr>
            <w:tcW w:w="625" w:type="pct"/>
            <w:shd w:val="clear" w:color="auto" w:fill="auto"/>
          </w:tcPr>
          <w:p w:rsidR="004B48E3" w:rsidRPr="006C3BAA" w:rsidRDefault="004B48E3" w:rsidP="0084535B">
            <w:pPr>
              <w:spacing w:before="0" w:line="240" w:lineRule="auto"/>
              <w:jc w:val="left"/>
            </w:pPr>
            <w:r>
              <w:t>–</w:t>
            </w:r>
          </w:p>
        </w:tc>
        <w:tc>
          <w:tcPr>
            <w:tcW w:w="625" w:type="pct"/>
          </w:tcPr>
          <w:p w:rsidR="004B48E3" w:rsidRDefault="004B48E3" w:rsidP="0084535B">
            <w:pPr>
              <w:spacing w:before="0" w:line="240" w:lineRule="auto"/>
              <w:jc w:val="left"/>
            </w:pPr>
            <w:r>
              <w:t>–</w:t>
            </w:r>
          </w:p>
        </w:tc>
        <w:tc>
          <w:tcPr>
            <w:tcW w:w="624" w:type="pct"/>
            <w:shd w:val="clear" w:color="auto" w:fill="auto"/>
          </w:tcPr>
          <w:p w:rsidR="004B48E3" w:rsidRPr="006C3BAA" w:rsidRDefault="004B48E3" w:rsidP="0084535B">
            <w:pPr>
              <w:spacing w:before="0" w:line="240" w:lineRule="auto"/>
              <w:jc w:val="left"/>
            </w:pPr>
            <w:r>
              <w:t>–</w:t>
            </w:r>
          </w:p>
        </w:tc>
        <w:tc>
          <w:tcPr>
            <w:tcW w:w="624" w:type="pct"/>
          </w:tcPr>
          <w:p w:rsidR="004B48E3" w:rsidRDefault="004B48E3" w:rsidP="0084535B">
            <w:pPr>
              <w:spacing w:before="0" w:line="240" w:lineRule="auto"/>
              <w:jc w:val="left"/>
            </w:pPr>
          </w:p>
        </w:tc>
        <w:tc>
          <w:tcPr>
            <w:tcW w:w="623" w:type="pct"/>
          </w:tcPr>
          <w:p w:rsidR="004B48E3" w:rsidRDefault="004B48E3" w:rsidP="0084535B">
            <w:pPr>
              <w:spacing w:before="0" w:line="240" w:lineRule="auto"/>
              <w:jc w:val="left"/>
            </w:pPr>
          </w:p>
        </w:tc>
      </w:tr>
      <w:tr w:rsidR="004B48E3" w:rsidRPr="006C3BAA" w:rsidTr="000917E0">
        <w:tc>
          <w:tcPr>
            <w:tcW w:w="627" w:type="pct"/>
            <w:vMerge/>
            <w:shd w:val="clear" w:color="auto" w:fill="auto"/>
          </w:tcPr>
          <w:p w:rsidR="004B48E3" w:rsidRPr="006C3BAA" w:rsidRDefault="004B48E3" w:rsidP="0084535B">
            <w:pPr>
              <w:spacing w:before="0" w:line="240" w:lineRule="auto"/>
              <w:jc w:val="left"/>
            </w:pPr>
          </w:p>
        </w:tc>
        <w:tc>
          <w:tcPr>
            <w:tcW w:w="627" w:type="pct"/>
            <w:vMerge/>
            <w:shd w:val="clear" w:color="auto" w:fill="auto"/>
          </w:tcPr>
          <w:p w:rsidR="004B48E3" w:rsidRPr="006C3BAA" w:rsidRDefault="004B48E3" w:rsidP="0084535B">
            <w:pPr>
              <w:spacing w:before="0" w:line="240" w:lineRule="auto"/>
              <w:jc w:val="left"/>
            </w:pPr>
          </w:p>
        </w:tc>
        <w:tc>
          <w:tcPr>
            <w:tcW w:w="625" w:type="pct"/>
            <w:shd w:val="clear" w:color="auto" w:fill="auto"/>
          </w:tcPr>
          <w:p w:rsidR="004B48E3" w:rsidRPr="006C3BAA" w:rsidRDefault="004B48E3" w:rsidP="0084535B">
            <w:pPr>
              <w:spacing w:before="0" w:line="240" w:lineRule="auto"/>
              <w:jc w:val="left"/>
            </w:pPr>
            <w:r w:rsidRPr="006C3BAA">
              <w:t>Educational attainment: primary or less than primary education (ISCED levels 0–1)</w:t>
            </w:r>
          </w:p>
        </w:tc>
        <w:tc>
          <w:tcPr>
            <w:tcW w:w="625" w:type="pct"/>
            <w:shd w:val="clear" w:color="auto" w:fill="auto"/>
          </w:tcPr>
          <w:p w:rsidR="004B48E3" w:rsidRPr="006C3BAA" w:rsidRDefault="004B48E3" w:rsidP="0084535B">
            <w:pPr>
              <w:spacing w:before="0" w:line="240" w:lineRule="auto"/>
              <w:jc w:val="left"/>
            </w:pPr>
            <w:r>
              <w:t>Ratio of population with low qualification</w:t>
            </w:r>
          </w:p>
        </w:tc>
        <w:tc>
          <w:tcPr>
            <w:tcW w:w="625" w:type="pct"/>
          </w:tcPr>
          <w:p w:rsidR="004B48E3" w:rsidRDefault="004B48E3" w:rsidP="0084535B">
            <w:pPr>
              <w:spacing w:before="0" w:line="240" w:lineRule="auto"/>
              <w:jc w:val="left"/>
            </w:pPr>
            <w:r>
              <w:t>2001, 2011</w:t>
            </w:r>
          </w:p>
        </w:tc>
        <w:tc>
          <w:tcPr>
            <w:tcW w:w="624" w:type="pct"/>
            <w:shd w:val="clear" w:color="auto" w:fill="auto"/>
          </w:tcPr>
          <w:p w:rsidR="004B48E3" w:rsidRPr="006C3BAA" w:rsidRDefault="004B48E3" w:rsidP="0084535B">
            <w:pPr>
              <w:spacing w:before="0" w:line="240" w:lineRule="auto"/>
              <w:jc w:val="left"/>
            </w:pPr>
            <w:r>
              <w:t>Census</w:t>
            </w:r>
          </w:p>
        </w:tc>
        <w:tc>
          <w:tcPr>
            <w:tcW w:w="624" w:type="pct"/>
            <w:shd w:val="clear" w:color="auto" w:fill="00B050"/>
          </w:tcPr>
          <w:p w:rsidR="004B48E3" w:rsidRDefault="002C6F43" w:rsidP="0084535B">
            <w:pPr>
              <w:spacing w:before="0" w:line="240" w:lineRule="auto"/>
              <w:jc w:val="left"/>
            </w:pPr>
            <w:r w:rsidRPr="002C6F43">
              <w:t>+-++(+)(+)</w:t>
            </w:r>
          </w:p>
        </w:tc>
        <w:tc>
          <w:tcPr>
            <w:tcW w:w="623" w:type="pct"/>
          </w:tcPr>
          <w:p w:rsidR="004B48E3" w:rsidRDefault="004B48E3" w:rsidP="0084535B">
            <w:pPr>
              <w:spacing w:before="0" w:line="240" w:lineRule="auto"/>
              <w:jc w:val="left"/>
            </w:pPr>
            <w:r>
              <w:t>Yes</w:t>
            </w:r>
          </w:p>
        </w:tc>
      </w:tr>
      <w:tr w:rsidR="004B48E3" w:rsidRPr="006C3BAA" w:rsidTr="000917E0">
        <w:tc>
          <w:tcPr>
            <w:tcW w:w="627" w:type="pct"/>
            <w:vMerge/>
            <w:shd w:val="clear" w:color="auto" w:fill="auto"/>
          </w:tcPr>
          <w:p w:rsidR="004B48E3" w:rsidRPr="006C3BAA" w:rsidRDefault="004B48E3" w:rsidP="0084535B">
            <w:pPr>
              <w:spacing w:before="0" w:line="240" w:lineRule="auto"/>
              <w:jc w:val="left"/>
            </w:pPr>
          </w:p>
        </w:tc>
        <w:tc>
          <w:tcPr>
            <w:tcW w:w="627" w:type="pct"/>
            <w:vMerge/>
            <w:shd w:val="clear" w:color="auto" w:fill="auto"/>
          </w:tcPr>
          <w:p w:rsidR="004B48E3" w:rsidRPr="006C3BAA" w:rsidRDefault="004B48E3" w:rsidP="0084535B">
            <w:pPr>
              <w:spacing w:before="0" w:line="240" w:lineRule="auto"/>
              <w:jc w:val="left"/>
            </w:pPr>
          </w:p>
        </w:tc>
        <w:tc>
          <w:tcPr>
            <w:tcW w:w="625" w:type="pct"/>
            <w:shd w:val="clear" w:color="auto" w:fill="auto"/>
          </w:tcPr>
          <w:p w:rsidR="004B48E3" w:rsidRPr="006C3BAA" w:rsidRDefault="004B48E3" w:rsidP="0084535B">
            <w:pPr>
              <w:spacing w:before="0" w:line="240" w:lineRule="auto"/>
              <w:jc w:val="left"/>
            </w:pPr>
            <w:r w:rsidRPr="006C3BAA">
              <w:t>Educational attainment: tertiary education (ISCED 5–6)</w:t>
            </w:r>
          </w:p>
        </w:tc>
        <w:tc>
          <w:tcPr>
            <w:tcW w:w="625" w:type="pct"/>
            <w:shd w:val="clear" w:color="auto" w:fill="auto"/>
          </w:tcPr>
          <w:p w:rsidR="004B48E3" w:rsidRPr="006C3BAA" w:rsidRDefault="004B48E3" w:rsidP="0084535B">
            <w:pPr>
              <w:spacing w:before="0" w:line="240" w:lineRule="auto"/>
              <w:jc w:val="left"/>
            </w:pPr>
            <w:r>
              <w:t>Ratio of population with high qualification</w:t>
            </w:r>
          </w:p>
        </w:tc>
        <w:tc>
          <w:tcPr>
            <w:tcW w:w="625" w:type="pct"/>
          </w:tcPr>
          <w:p w:rsidR="004B48E3" w:rsidRDefault="004B48E3" w:rsidP="0084535B">
            <w:pPr>
              <w:spacing w:before="0" w:line="240" w:lineRule="auto"/>
              <w:jc w:val="left"/>
            </w:pPr>
            <w:r>
              <w:t>2001, 2011</w:t>
            </w:r>
          </w:p>
        </w:tc>
        <w:tc>
          <w:tcPr>
            <w:tcW w:w="624" w:type="pct"/>
            <w:shd w:val="clear" w:color="auto" w:fill="auto"/>
          </w:tcPr>
          <w:p w:rsidR="004B48E3" w:rsidRPr="006C3BAA" w:rsidRDefault="004B48E3" w:rsidP="0084535B">
            <w:pPr>
              <w:spacing w:before="0" w:line="240" w:lineRule="auto"/>
              <w:jc w:val="left"/>
            </w:pPr>
            <w:r>
              <w:t>Census</w:t>
            </w:r>
          </w:p>
        </w:tc>
        <w:tc>
          <w:tcPr>
            <w:tcW w:w="624" w:type="pct"/>
            <w:shd w:val="clear" w:color="auto" w:fill="00B050"/>
          </w:tcPr>
          <w:p w:rsidR="004B48E3" w:rsidRDefault="002C6F43" w:rsidP="0084535B">
            <w:pPr>
              <w:spacing w:before="0" w:line="240" w:lineRule="auto"/>
              <w:jc w:val="left"/>
            </w:pPr>
            <w:r w:rsidRPr="002C6F43">
              <w:t>+-++(+)(+)</w:t>
            </w:r>
          </w:p>
        </w:tc>
        <w:tc>
          <w:tcPr>
            <w:tcW w:w="623" w:type="pct"/>
          </w:tcPr>
          <w:p w:rsidR="004B48E3" w:rsidRDefault="004B48E3" w:rsidP="0084535B">
            <w:pPr>
              <w:spacing w:before="0" w:line="240" w:lineRule="auto"/>
              <w:jc w:val="left"/>
            </w:pPr>
          </w:p>
        </w:tc>
      </w:tr>
      <w:tr w:rsidR="004B48E3" w:rsidRPr="006C3BAA" w:rsidTr="002C6F43">
        <w:tc>
          <w:tcPr>
            <w:tcW w:w="627" w:type="pct"/>
            <w:vMerge/>
            <w:shd w:val="clear" w:color="auto" w:fill="auto"/>
          </w:tcPr>
          <w:p w:rsidR="004B48E3" w:rsidRPr="006C3BAA" w:rsidRDefault="004B48E3" w:rsidP="0084535B">
            <w:pPr>
              <w:spacing w:before="0" w:line="240" w:lineRule="auto"/>
              <w:jc w:val="left"/>
            </w:pPr>
          </w:p>
        </w:tc>
        <w:tc>
          <w:tcPr>
            <w:tcW w:w="627" w:type="pct"/>
            <w:vMerge w:val="restart"/>
            <w:shd w:val="clear" w:color="auto" w:fill="auto"/>
          </w:tcPr>
          <w:p w:rsidR="004B48E3" w:rsidRPr="006C3BAA" w:rsidRDefault="004B48E3" w:rsidP="0084535B">
            <w:pPr>
              <w:spacing w:before="0" w:line="240" w:lineRule="auto"/>
              <w:jc w:val="left"/>
            </w:pPr>
            <w:r w:rsidRPr="006C3BAA">
              <w:t>Housing</w:t>
            </w:r>
          </w:p>
        </w:tc>
        <w:tc>
          <w:tcPr>
            <w:tcW w:w="625" w:type="pct"/>
            <w:shd w:val="clear" w:color="auto" w:fill="auto"/>
          </w:tcPr>
          <w:p w:rsidR="004B48E3" w:rsidRPr="006C3BAA" w:rsidRDefault="004B48E3" w:rsidP="0084535B">
            <w:pPr>
              <w:spacing w:before="0" w:line="240" w:lineRule="auto"/>
              <w:jc w:val="left"/>
            </w:pPr>
            <w:r w:rsidRPr="006C3BAA">
              <w:t xml:space="preserve">Tenure status </w:t>
            </w:r>
            <w:r w:rsidRPr="006C3BAA">
              <w:lastRenderedPageBreak/>
              <w:t>of households</w:t>
            </w:r>
          </w:p>
        </w:tc>
        <w:tc>
          <w:tcPr>
            <w:tcW w:w="625" w:type="pct"/>
            <w:shd w:val="clear" w:color="auto" w:fill="auto"/>
          </w:tcPr>
          <w:p w:rsidR="004B48E3" w:rsidRPr="006C3BAA" w:rsidRDefault="004B48E3" w:rsidP="0084535B">
            <w:pPr>
              <w:spacing w:before="0" w:line="240" w:lineRule="auto"/>
              <w:jc w:val="left"/>
            </w:pPr>
            <w:r w:rsidRPr="006C3BAA">
              <w:lastRenderedPageBreak/>
              <w:t>–</w:t>
            </w:r>
          </w:p>
        </w:tc>
        <w:tc>
          <w:tcPr>
            <w:tcW w:w="625" w:type="pct"/>
          </w:tcPr>
          <w:p w:rsidR="004B48E3" w:rsidRDefault="004B48E3" w:rsidP="0084535B">
            <w:pPr>
              <w:spacing w:before="0" w:line="240" w:lineRule="auto"/>
              <w:jc w:val="left"/>
            </w:pPr>
            <w:r>
              <w:t>–</w:t>
            </w:r>
          </w:p>
        </w:tc>
        <w:tc>
          <w:tcPr>
            <w:tcW w:w="624" w:type="pct"/>
            <w:shd w:val="clear" w:color="auto" w:fill="auto"/>
          </w:tcPr>
          <w:p w:rsidR="004B48E3" w:rsidRPr="006C3BAA" w:rsidRDefault="004B48E3" w:rsidP="0084535B">
            <w:pPr>
              <w:spacing w:before="0" w:line="240" w:lineRule="auto"/>
              <w:jc w:val="left"/>
            </w:pPr>
            <w:r>
              <w:t>–</w:t>
            </w:r>
          </w:p>
        </w:tc>
        <w:tc>
          <w:tcPr>
            <w:tcW w:w="624" w:type="pct"/>
            <w:tcBorders>
              <w:bottom w:val="single" w:sz="4" w:space="0" w:color="auto"/>
            </w:tcBorders>
          </w:tcPr>
          <w:p w:rsidR="004B48E3" w:rsidRDefault="004B48E3" w:rsidP="0084535B">
            <w:pPr>
              <w:spacing w:before="0" w:line="240" w:lineRule="auto"/>
              <w:jc w:val="left"/>
            </w:pPr>
          </w:p>
        </w:tc>
        <w:tc>
          <w:tcPr>
            <w:tcW w:w="623" w:type="pct"/>
          </w:tcPr>
          <w:p w:rsidR="004B48E3" w:rsidRDefault="004B48E3" w:rsidP="0084535B">
            <w:pPr>
              <w:spacing w:before="0" w:line="240" w:lineRule="auto"/>
              <w:jc w:val="left"/>
            </w:pPr>
          </w:p>
        </w:tc>
      </w:tr>
      <w:tr w:rsidR="004B48E3" w:rsidRPr="006C3BAA" w:rsidTr="002C6F43">
        <w:tc>
          <w:tcPr>
            <w:tcW w:w="627" w:type="pct"/>
            <w:vMerge/>
            <w:shd w:val="clear" w:color="auto" w:fill="auto"/>
          </w:tcPr>
          <w:p w:rsidR="004B48E3" w:rsidRPr="006C3BAA" w:rsidRDefault="004B48E3" w:rsidP="0084535B">
            <w:pPr>
              <w:spacing w:before="0" w:line="240" w:lineRule="auto"/>
              <w:jc w:val="left"/>
            </w:pPr>
          </w:p>
        </w:tc>
        <w:tc>
          <w:tcPr>
            <w:tcW w:w="627" w:type="pct"/>
            <w:vMerge/>
            <w:shd w:val="clear" w:color="auto" w:fill="auto"/>
          </w:tcPr>
          <w:p w:rsidR="004B48E3" w:rsidRPr="006C3BAA" w:rsidRDefault="004B48E3" w:rsidP="0084535B">
            <w:pPr>
              <w:spacing w:before="0" w:line="240" w:lineRule="auto"/>
              <w:jc w:val="left"/>
            </w:pPr>
          </w:p>
        </w:tc>
        <w:tc>
          <w:tcPr>
            <w:tcW w:w="625" w:type="pct"/>
            <w:vMerge w:val="restart"/>
            <w:shd w:val="clear" w:color="auto" w:fill="auto"/>
          </w:tcPr>
          <w:p w:rsidR="004B48E3" w:rsidRPr="006C3BAA" w:rsidRDefault="004B48E3" w:rsidP="0084535B">
            <w:pPr>
              <w:spacing w:before="0" w:line="240" w:lineRule="auto"/>
              <w:jc w:val="left"/>
            </w:pPr>
            <w:r w:rsidRPr="006C3BAA">
              <w:t>–</w:t>
            </w:r>
          </w:p>
        </w:tc>
        <w:tc>
          <w:tcPr>
            <w:tcW w:w="625" w:type="pct"/>
            <w:shd w:val="clear" w:color="auto" w:fill="auto"/>
          </w:tcPr>
          <w:p w:rsidR="004B48E3" w:rsidRPr="006C3BAA" w:rsidRDefault="004B48E3" w:rsidP="0084535B">
            <w:pPr>
              <w:spacing w:before="0" w:line="240" w:lineRule="auto"/>
              <w:jc w:val="left"/>
            </w:pPr>
            <w:r>
              <w:t>Ratio of housing units without water supply system</w:t>
            </w:r>
          </w:p>
        </w:tc>
        <w:tc>
          <w:tcPr>
            <w:tcW w:w="625" w:type="pct"/>
          </w:tcPr>
          <w:p w:rsidR="004B48E3" w:rsidRDefault="004B48E3" w:rsidP="0084535B">
            <w:pPr>
              <w:spacing w:before="0" w:line="240" w:lineRule="auto"/>
              <w:jc w:val="left"/>
            </w:pPr>
            <w:r>
              <w:t>2001, 2011</w:t>
            </w:r>
          </w:p>
        </w:tc>
        <w:tc>
          <w:tcPr>
            <w:tcW w:w="624" w:type="pct"/>
            <w:shd w:val="clear" w:color="auto" w:fill="auto"/>
          </w:tcPr>
          <w:p w:rsidR="004B48E3" w:rsidRPr="006C3BAA" w:rsidRDefault="004B48E3" w:rsidP="0084535B">
            <w:pPr>
              <w:spacing w:before="0" w:line="240" w:lineRule="auto"/>
              <w:jc w:val="left"/>
            </w:pPr>
            <w:r>
              <w:t>Census</w:t>
            </w:r>
          </w:p>
        </w:tc>
        <w:tc>
          <w:tcPr>
            <w:tcW w:w="624" w:type="pct"/>
            <w:shd w:val="clear" w:color="auto" w:fill="FF0000"/>
          </w:tcPr>
          <w:p w:rsidR="004B48E3" w:rsidRDefault="002C6F43" w:rsidP="0084535B">
            <w:pPr>
              <w:spacing w:before="0" w:line="240" w:lineRule="auto"/>
              <w:jc w:val="left"/>
            </w:pPr>
            <w:r>
              <w:t>--+-</w:t>
            </w:r>
            <w:r w:rsidRPr="002C6F43">
              <w:t>(+)(+)</w:t>
            </w:r>
          </w:p>
        </w:tc>
        <w:tc>
          <w:tcPr>
            <w:tcW w:w="623" w:type="pct"/>
          </w:tcPr>
          <w:p w:rsidR="004B48E3" w:rsidRDefault="004B48E3" w:rsidP="0084535B">
            <w:pPr>
              <w:spacing w:before="0" w:line="240" w:lineRule="auto"/>
              <w:jc w:val="left"/>
            </w:pPr>
            <w:r>
              <w:t>Yes</w:t>
            </w:r>
          </w:p>
        </w:tc>
      </w:tr>
      <w:tr w:rsidR="004B48E3" w:rsidRPr="006C3BAA" w:rsidTr="002C6F43">
        <w:tc>
          <w:tcPr>
            <w:tcW w:w="627" w:type="pct"/>
            <w:vMerge/>
            <w:shd w:val="clear" w:color="auto" w:fill="auto"/>
          </w:tcPr>
          <w:p w:rsidR="004B48E3" w:rsidRPr="006C3BAA" w:rsidRDefault="004B48E3" w:rsidP="0084535B">
            <w:pPr>
              <w:spacing w:before="0" w:line="240" w:lineRule="auto"/>
              <w:jc w:val="left"/>
            </w:pPr>
          </w:p>
        </w:tc>
        <w:tc>
          <w:tcPr>
            <w:tcW w:w="627" w:type="pct"/>
            <w:vMerge/>
            <w:shd w:val="clear" w:color="auto" w:fill="auto"/>
          </w:tcPr>
          <w:p w:rsidR="004B48E3" w:rsidRPr="006C3BAA" w:rsidRDefault="004B48E3" w:rsidP="0084535B">
            <w:pPr>
              <w:spacing w:before="0" w:line="240" w:lineRule="auto"/>
              <w:jc w:val="left"/>
            </w:pPr>
          </w:p>
        </w:tc>
        <w:tc>
          <w:tcPr>
            <w:tcW w:w="625" w:type="pct"/>
            <w:vMerge/>
            <w:shd w:val="clear" w:color="auto" w:fill="auto"/>
          </w:tcPr>
          <w:p w:rsidR="004B48E3" w:rsidRPr="006C3BAA" w:rsidRDefault="004B48E3" w:rsidP="0084535B">
            <w:pPr>
              <w:spacing w:before="0" w:line="240" w:lineRule="auto"/>
              <w:jc w:val="left"/>
            </w:pPr>
          </w:p>
        </w:tc>
        <w:tc>
          <w:tcPr>
            <w:tcW w:w="625" w:type="pct"/>
            <w:shd w:val="clear" w:color="auto" w:fill="auto"/>
          </w:tcPr>
          <w:p w:rsidR="004B48E3" w:rsidRPr="006C3BAA" w:rsidRDefault="004B48E3" w:rsidP="0084535B">
            <w:pPr>
              <w:spacing w:before="0" w:line="240" w:lineRule="auto"/>
              <w:jc w:val="left"/>
            </w:pPr>
            <w:r>
              <w:t>Ratio of housing units without inside toilet</w:t>
            </w:r>
          </w:p>
        </w:tc>
        <w:tc>
          <w:tcPr>
            <w:tcW w:w="625" w:type="pct"/>
          </w:tcPr>
          <w:p w:rsidR="004B48E3" w:rsidRDefault="004B48E3" w:rsidP="0084535B">
            <w:pPr>
              <w:spacing w:before="0" w:line="240" w:lineRule="auto"/>
              <w:jc w:val="left"/>
            </w:pPr>
            <w:r>
              <w:t>2001</w:t>
            </w:r>
          </w:p>
        </w:tc>
        <w:tc>
          <w:tcPr>
            <w:tcW w:w="624" w:type="pct"/>
            <w:shd w:val="clear" w:color="auto" w:fill="auto"/>
          </w:tcPr>
          <w:p w:rsidR="004B48E3" w:rsidRPr="006C3BAA" w:rsidRDefault="004B48E3" w:rsidP="0084535B">
            <w:pPr>
              <w:spacing w:before="0" w:line="240" w:lineRule="auto"/>
              <w:jc w:val="left"/>
            </w:pPr>
            <w:r>
              <w:t>Census</w:t>
            </w:r>
          </w:p>
        </w:tc>
        <w:tc>
          <w:tcPr>
            <w:tcW w:w="624" w:type="pct"/>
            <w:tcBorders>
              <w:bottom w:val="single" w:sz="4" w:space="0" w:color="auto"/>
            </w:tcBorders>
          </w:tcPr>
          <w:p w:rsidR="004B48E3" w:rsidRDefault="004B48E3" w:rsidP="0084535B">
            <w:pPr>
              <w:spacing w:before="0" w:line="240" w:lineRule="auto"/>
              <w:jc w:val="left"/>
            </w:pPr>
          </w:p>
        </w:tc>
        <w:tc>
          <w:tcPr>
            <w:tcW w:w="623" w:type="pct"/>
          </w:tcPr>
          <w:p w:rsidR="004B48E3" w:rsidRDefault="004B48E3" w:rsidP="0084535B">
            <w:pPr>
              <w:spacing w:before="0" w:line="240" w:lineRule="auto"/>
              <w:jc w:val="left"/>
            </w:pPr>
          </w:p>
        </w:tc>
      </w:tr>
      <w:tr w:rsidR="004B48E3" w:rsidRPr="006C3BAA" w:rsidTr="002C6F43">
        <w:tc>
          <w:tcPr>
            <w:tcW w:w="627" w:type="pct"/>
            <w:vMerge/>
            <w:shd w:val="clear" w:color="auto" w:fill="auto"/>
          </w:tcPr>
          <w:p w:rsidR="004B48E3" w:rsidRPr="006C3BAA" w:rsidRDefault="004B48E3" w:rsidP="0084535B">
            <w:pPr>
              <w:spacing w:before="0" w:line="240" w:lineRule="auto"/>
              <w:jc w:val="left"/>
            </w:pPr>
          </w:p>
        </w:tc>
        <w:tc>
          <w:tcPr>
            <w:tcW w:w="627" w:type="pct"/>
            <w:vMerge/>
            <w:shd w:val="clear" w:color="auto" w:fill="auto"/>
          </w:tcPr>
          <w:p w:rsidR="004B48E3" w:rsidRPr="006C3BAA" w:rsidRDefault="004B48E3" w:rsidP="0084535B">
            <w:pPr>
              <w:spacing w:before="0" w:line="240" w:lineRule="auto"/>
              <w:jc w:val="left"/>
            </w:pPr>
          </w:p>
        </w:tc>
        <w:tc>
          <w:tcPr>
            <w:tcW w:w="625" w:type="pct"/>
            <w:vMerge/>
            <w:shd w:val="clear" w:color="auto" w:fill="auto"/>
          </w:tcPr>
          <w:p w:rsidR="004B48E3" w:rsidRPr="006C3BAA" w:rsidRDefault="004B48E3" w:rsidP="0084535B">
            <w:pPr>
              <w:spacing w:before="0" w:line="240" w:lineRule="auto"/>
              <w:jc w:val="left"/>
            </w:pPr>
          </w:p>
        </w:tc>
        <w:tc>
          <w:tcPr>
            <w:tcW w:w="625" w:type="pct"/>
            <w:shd w:val="clear" w:color="auto" w:fill="auto"/>
          </w:tcPr>
          <w:p w:rsidR="004B48E3" w:rsidRPr="006C3BAA" w:rsidRDefault="004B48E3" w:rsidP="0084535B">
            <w:pPr>
              <w:spacing w:before="0" w:line="240" w:lineRule="auto"/>
              <w:jc w:val="left"/>
            </w:pPr>
            <w:r>
              <w:t>Ratio of housing units without bath or shower</w:t>
            </w:r>
          </w:p>
        </w:tc>
        <w:tc>
          <w:tcPr>
            <w:tcW w:w="625" w:type="pct"/>
          </w:tcPr>
          <w:p w:rsidR="004B48E3" w:rsidRDefault="004B48E3" w:rsidP="0084535B">
            <w:pPr>
              <w:spacing w:before="0" w:line="240" w:lineRule="auto"/>
              <w:jc w:val="left"/>
            </w:pPr>
            <w:r>
              <w:t>2001, 2011</w:t>
            </w:r>
          </w:p>
        </w:tc>
        <w:tc>
          <w:tcPr>
            <w:tcW w:w="624" w:type="pct"/>
            <w:shd w:val="clear" w:color="auto" w:fill="auto"/>
          </w:tcPr>
          <w:p w:rsidR="004B48E3" w:rsidRPr="006C3BAA" w:rsidRDefault="004B48E3" w:rsidP="0084535B">
            <w:pPr>
              <w:spacing w:before="0" w:line="240" w:lineRule="auto"/>
              <w:jc w:val="left"/>
            </w:pPr>
            <w:r>
              <w:t>Census</w:t>
            </w:r>
          </w:p>
        </w:tc>
        <w:tc>
          <w:tcPr>
            <w:tcW w:w="624" w:type="pct"/>
            <w:shd w:val="clear" w:color="auto" w:fill="FF0000"/>
          </w:tcPr>
          <w:p w:rsidR="004B48E3" w:rsidRDefault="002C6F43" w:rsidP="0084535B">
            <w:pPr>
              <w:spacing w:before="0" w:line="240" w:lineRule="auto"/>
              <w:jc w:val="left"/>
            </w:pPr>
            <w:r>
              <w:t>--+-</w:t>
            </w:r>
            <w:r w:rsidRPr="002C6F43">
              <w:t>(+)(+)</w:t>
            </w:r>
          </w:p>
        </w:tc>
        <w:tc>
          <w:tcPr>
            <w:tcW w:w="623" w:type="pct"/>
          </w:tcPr>
          <w:p w:rsidR="004B48E3" w:rsidRDefault="004B48E3" w:rsidP="0084535B">
            <w:pPr>
              <w:spacing w:before="0" w:line="240" w:lineRule="auto"/>
              <w:jc w:val="left"/>
            </w:pPr>
          </w:p>
        </w:tc>
      </w:tr>
      <w:tr w:rsidR="004B48E3" w:rsidRPr="006C3BAA" w:rsidTr="002C6F43">
        <w:tc>
          <w:tcPr>
            <w:tcW w:w="627" w:type="pct"/>
            <w:vMerge/>
            <w:shd w:val="clear" w:color="auto" w:fill="auto"/>
          </w:tcPr>
          <w:p w:rsidR="004B48E3" w:rsidRPr="006C3BAA" w:rsidRDefault="004B48E3" w:rsidP="0084535B">
            <w:pPr>
              <w:spacing w:before="0" w:line="240" w:lineRule="auto"/>
              <w:jc w:val="left"/>
            </w:pPr>
          </w:p>
        </w:tc>
        <w:tc>
          <w:tcPr>
            <w:tcW w:w="627" w:type="pct"/>
            <w:vMerge/>
            <w:shd w:val="clear" w:color="auto" w:fill="auto"/>
          </w:tcPr>
          <w:p w:rsidR="004B48E3" w:rsidRPr="006C3BAA" w:rsidRDefault="004B48E3" w:rsidP="0084535B">
            <w:pPr>
              <w:spacing w:before="0" w:line="240" w:lineRule="auto"/>
              <w:jc w:val="left"/>
            </w:pPr>
          </w:p>
        </w:tc>
        <w:tc>
          <w:tcPr>
            <w:tcW w:w="625" w:type="pct"/>
            <w:vMerge/>
            <w:shd w:val="clear" w:color="auto" w:fill="auto"/>
          </w:tcPr>
          <w:p w:rsidR="004B48E3" w:rsidRPr="006C3BAA" w:rsidRDefault="004B48E3" w:rsidP="0084535B">
            <w:pPr>
              <w:spacing w:before="0" w:line="240" w:lineRule="auto"/>
              <w:jc w:val="left"/>
            </w:pPr>
          </w:p>
        </w:tc>
        <w:tc>
          <w:tcPr>
            <w:tcW w:w="625" w:type="pct"/>
            <w:shd w:val="clear" w:color="auto" w:fill="auto"/>
          </w:tcPr>
          <w:p w:rsidR="004B48E3" w:rsidRDefault="004B48E3" w:rsidP="0084535B">
            <w:pPr>
              <w:spacing w:before="0" w:line="240" w:lineRule="auto"/>
              <w:jc w:val="left"/>
            </w:pPr>
            <w:r>
              <w:t>Ratio of housing units without central heating</w:t>
            </w:r>
          </w:p>
        </w:tc>
        <w:tc>
          <w:tcPr>
            <w:tcW w:w="625" w:type="pct"/>
          </w:tcPr>
          <w:p w:rsidR="004B48E3" w:rsidRDefault="004B48E3" w:rsidP="0084535B">
            <w:pPr>
              <w:spacing w:before="0" w:line="240" w:lineRule="auto"/>
              <w:jc w:val="left"/>
            </w:pPr>
            <w:r>
              <w:t>2001</w:t>
            </w:r>
          </w:p>
        </w:tc>
        <w:tc>
          <w:tcPr>
            <w:tcW w:w="624" w:type="pct"/>
            <w:shd w:val="clear" w:color="auto" w:fill="auto"/>
          </w:tcPr>
          <w:p w:rsidR="004B48E3" w:rsidRPr="006C3BAA" w:rsidRDefault="004B48E3" w:rsidP="0084535B">
            <w:pPr>
              <w:spacing w:before="0" w:line="240" w:lineRule="auto"/>
              <w:jc w:val="left"/>
            </w:pPr>
            <w:r>
              <w:t>Census</w:t>
            </w:r>
          </w:p>
        </w:tc>
        <w:tc>
          <w:tcPr>
            <w:tcW w:w="624" w:type="pct"/>
            <w:tcBorders>
              <w:bottom w:val="single" w:sz="4" w:space="0" w:color="auto"/>
            </w:tcBorders>
          </w:tcPr>
          <w:p w:rsidR="004B48E3" w:rsidRDefault="004B48E3" w:rsidP="0084535B">
            <w:pPr>
              <w:spacing w:before="0" w:line="240" w:lineRule="auto"/>
              <w:jc w:val="left"/>
            </w:pPr>
          </w:p>
        </w:tc>
        <w:tc>
          <w:tcPr>
            <w:tcW w:w="623" w:type="pct"/>
          </w:tcPr>
          <w:p w:rsidR="004B48E3" w:rsidRDefault="004B48E3" w:rsidP="0084535B">
            <w:pPr>
              <w:spacing w:before="0" w:line="240" w:lineRule="auto"/>
              <w:jc w:val="left"/>
            </w:pPr>
          </w:p>
        </w:tc>
      </w:tr>
      <w:tr w:rsidR="004B48E3" w:rsidRPr="006C3BAA" w:rsidTr="002C6F43">
        <w:tc>
          <w:tcPr>
            <w:tcW w:w="627" w:type="pct"/>
            <w:vMerge/>
            <w:shd w:val="clear" w:color="auto" w:fill="auto"/>
          </w:tcPr>
          <w:p w:rsidR="004B48E3" w:rsidRPr="006C3BAA" w:rsidRDefault="004B48E3" w:rsidP="0084535B">
            <w:pPr>
              <w:spacing w:before="0" w:line="240" w:lineRule="auto"/>
              <w:jc w:val="left"/>
            </w:pPr>
          </w:p>
        </w:tc>
        <w:tc>
          <w:tcPr>
            <w:tcW w:w="627" w:type="pct"/>
            <w:vMerge/>
            <w:shd w:val="clear" w:color="auto" w:fill="auto"/>
          </w:tcPr>
          <w:p w:rsidR="004B48E3" w:rsidRPr="006C3BAA" w:rsidRDefault="004B48E3" w:rsidP="0084535B">
            <w:pPr>
              <w:spacing w:before="0" w:line="240" w:lineRule="auto"/>
              <w:jc w:val="left"/>
            </w:pPr>
          </w:p>
        </w:tc>
        <w:tc>
          <w:tcPr>
            <w:tcW w:w="625" w:type="pct"/>
            <w:vMerge/>
            <w:shd w:val="clear" w:color="auto" w:fill="auto"/>
          </w:tcPr>
          <w:p w:rsidR="004B48E3" w:rsidRPr="006C3BAA" w:rsidRDefault="004B48E3" w:rsidP="0084535B">
            <w:pPr>
              <w:spacing w:before="0" w:line="240" w:lineRule="auto"/>
              <w:jc w:val="left"/>
            </w:pPr>
          </w:p>
        </w:tc>
        <w:tc>
          <w:tcPr>
            <w:tcW w:w="625" w:type="pct"/>
            <w:shd w:val="clear" w:color="auto" w:fill="auto"/>
          </w:tcPr>
          <w:p w:rsidR="004B48E3" w:rsidRDefault="004B48E3" w:rsidP="0084535B">
            <w:pPr>
              <w:spacing w:before="0" w:line="240" w:lineRule="auto"/>
              <w:jc w:val="left"/>
            </w:pPr>
            <w:r>
              <w:t>Number of occupants per room</w:t>
            </w:r>
          </w:p>
        </w:tc>
        <w:tc>
          <w:tcPr>
            <w:tcW w:w="625" w:type="pct"/>
          </w:tcPr>
          <w:p w:rsidR="004B48E3" w:rsidRDefault="004B48E3" w:rsidP="0084535B">
            <w:pPr>
              <w:spacing w:before="0" w:line="240" w:lineRule="auto"/>
              <w:jc w:val="left"/>
            </w:pPr>
            <w:r>
              <w:t>2001, 2011</w:t>
            </w:r>
          </w:p>
        </w:tc>
        <w:tc>
          <w:tcPr>
            <w:tcW w:w="624" w:type="pct"/>
            <w:shd w:val="clear" w:color="auto" w:fill="auto"/>
          </w:tcPr>
          <w:p w:rsidR="004B48E3" w:rsidRPr="006C3BAA" w:rsidRDefault="004B48E3" w:rsidP="0084535B">
            <w:pPr>
              <w:spacing w:before="0" w:line="240" w:lineRule="auto"/>
              <w:jc w:val="left"/>
            </w:pPr>
            <w:r>
              <w:t>Census</w:t>
            </w:r>
          </w:p>
        </w:tc>
        <w:tc>
          <w:tcPr>
            <w:tcW w:w="624" w:type="pct"/>
            <w:shd w:val="clear" w:color="auto" w:fill="FF0000"/>
          </w:tcPr>
          <w:p w:rsidR="004B48E3" w:rsidRDefault="002C6F43" w:rsidP="0084535B">
            <w:pPr>
              <w:spacing w:before="0" w:line="240" w:lineRule="auto"/>
              <w:jc w:val="left"/>
            </w:pPr>
            <w:r>
              <w:t>--+-</w:t>
            </w:r>
            <w:r w:rsidRPr="002C6F43">
              <w:t>(+)(+)</w:t>
            </w:r>
          </w:p>
        </w:tc>
        <w:tc>
          <w:tcPr>
            <w:tcW w:w="623" w:type="pct"/>
          </w:tcPr>
          <w:p w:rsidR="004B48E3" w:rsidRDefault="004B48E3" w:rsidP="0084535B">
            <w:pPr>
              <w:spacing w:before="0" w:line="240" w:lineRule="auto"/>
              <w:jc w:val="left"/>
            </w:pPr>
          </w:p>
        </w:tc>
      </w:tr>
      <w:tr w:rsidR="004B48E3" w:rsidRPr="006C3BAA" w:rsidTr="004B48E3">
        <w:tc>
          <w:tcPr>
            <w:tcW w:w="627" w:type="pct"/>
            <w:vMerge/>
            <w:shd w:val="clear" w:color="auto" w:fill="auto"/>
          </w:tcPr>
          <w:p w:rsidR="004B48E3" w:rsidRPr="006C3BAA" w:rsidRDefault="004B48E3" w:rsidP="0084535B">
            <w:pPr>
              <w:spacing w:before="0" w:line="240" w:lineRule="auto"/>
              <w:jc w:val="left"/>
            </w:pPr>
          </w:p>
        </w:tc>
        <w:tc>
          <w:tcPr>
            <w:tcW w:w="627" w:type="pct"/>
            <w:vMerge/>
            <w:shd w:val="clear" w:color="auto" w:fill="auto"/>
          </w:tcPr>
          <w:p w:rsidR="004B48E3" w:rsidRPr="006C3BAA" w:rsidRDefault="004B48E3" w:rsidP="0084535B">
            <w:pPr>
              <w:spacing w:before="0" w:line="240" w:lineRule="auto"/>
              <w:jc w:val="left"/>
            </w:pPr>
          </w:p>
        </w:tc>
        <w:tc>
          <w:tcPr>
            <w:tcW w:w="625" w:type="pct"/>
            <w:vMerge/>
            <w:shd w:val="clear" w:color="auto" w:fill="auto"/>
          </w:tcPr>
          <w:p w:rsidR="004B48E3" w:rsidRPr="006C3BAA" w:rsidRDefault="004B48E3" w:rsidP="0084535B">
            <w:pPr>
              <w:spacing w:before="0" w:line="240" w:lineRule="auto"/>
              <w:jc w:val="left"/>
            </w:pPr>
          </w:p>
        </w:tc>
        <w:tc>
          <w:tcPr>
            <w:tcW w:w="625" w:type="pct"/>
            <w:shd w:val="clear" w:color="auto" w:fill="auto"/>
          </w:tcPr>
          <w:p w:rsidR="004B48E3" w:rsidRDefault="004B48E3" w:rsidP="0084535B">
            <w:pPr>
              <w:spacing w:before="0" w:line="240" w:lineRule="auto"/>
              <w:jc w:val="left"/>
            </w:pPr>
            <w:r>
              <w:t>Useful floor space per occupants</w:t>
            </w:r>
          </w:p>
        </w:tc>
        <w:tc>
          <w:tcPr>
            <w:tcW w:w="625" w:type="pct"/>
          </w:tcPr>
          <w:p w:rsidR="004B48E3" w:rsidRDefault="004B48E3" w:rsidP="0084535B">
            <w:pPr>
              <w:spacing w:before="0" w:line="240" w:lineRule="auto"/>
              <w:jc w:val="left"/>
            </w:pPr>
            <w:r>
              <w:t>2001</w:t>
            </w:r>
          </w:p>
        </w:tc>
        <w:tc>
          <w:tcPr>
            <w:tcW w:w="624" w:type="pct"/>
            <w:shd w:val="clear" w:color="auto" w:fill="auto"/>
          </w:tcPr>
          <w:p w:rsidR="004B48E3" w:rsidRPr="006C3BAA" w:rsidRDefault="004B48E3" w:rsidP="0084535B">
            <w:pPr>
              <w:spacing w:before="0" w:line="240" w:lineRule="auto"/>
              <w:jc w:val="left"/>
            </w:pPr>
            <w:r>
              <w:t>Census</w:t>
            </w:r>
          </w:p>
        </w:tc>
        <w:tc>
          <w:tcPr>
            <w:tcW w:w="624" w:type="pct"/>
          </w:tcPr>
          <w:p w:rsidR="004B48E3" w:rsidRDefault="004B48E3" w:rsidP="0084535B">
            <w:pPr>
              <w:spacing w:before="0" w:line="240" w:lineRule="auto"/>
              <w:jc w:val="left"/>
            </w:pPr>
          </w:p>
        </w:tc>
        <w:tc>
          <w:tcPr>
            <w:tcW w:w="623" w:type="pct"/>
          </w:tcPr>
          <w:p w:rsidR="004B48E3" w:rsidRDefault="004B48E3" w:rsidP="0084535B">
            <w:pPr>
              <w:spacing w:before="0" w:line="240" w:lineRule="auto"/>
              <w:jc w:val="left"/>
            </w:pPr>
          </w:p>
        </w:tc>
      </w:tr>
      <w:tr w:rsidR="004B48E3" w:rsidRPr="006C3BAA" w:rsidTr="004B48E3">
        <w:tc>
          <w:tcPr>
            <w:tcW w:w="627" w:type="pct"/>
            <w:vMerge/>
            <w:shd w:val="clear" w:color="auto" w:fill="auto"/>
          </w:tcPr>
          <w:p w:rsidR="004B48E3" w:rsidRPr="006C3BAA" w:rsidRDefault="004B48E3" w:rsidP="0084535B">
            <w:pPr>
              <w:spacing w:before="0" w:line="240" w:lineRule="auto"/>
              <w:jc w:val="left"/>
            </w:pPr>
          </w:p>
        </w:tc>
        <w:tc>
          <w:tcPr>
            <w:tcW w:w="627" w:type="pct"/>
            <w:vMerge w:val="restart"/>
            <w:shd w:val="clear" w:color="auto" w:fill="auto"/>
          </w:tcPr>
          <w:p w:rsidR="004B48E3" w:rsidRPr="006C3BAA" w:rsidRDefault="004B48E3" w:rsidP="0084535B">
            <w:pPr>
              <w:spacing w:before="0" w:line="240" w:lineRule="auto"/>
              <w:jc w:val="left"/>
            </w:pPr>
            <w:r w:rsidRPr="006C3BAA">
              <w:t>Transport and communication</w:t>
            </w:r>
          </w:p>
        </w:tc>
        <w:tc>
          <w:tcPr>
            <w:tcW w:w="625" w:type="pct"/>
            <w:shd w:val="clear" w:color="auto" w:fill="auto"/>
          </w:tcPr>
          <w:p w:rsidR="004B48E3" w:rsidRPr="006C3BAA" w:rsidRDefault="004B48E3" w:rsidP="0084535B">
            <w:pPr>
              <w:spacing w:before="0" w:line="240" w:lineRule="auto"/>
              <w:jc w:val="left"/>
            </w:pPr>
            <w:r w:rsidRPr="006C3BAA">
              <w:t>Post office</w:t>
            </w:r>
          </w:p>
        </w:tc>
        <w:tc>
          <w:tcPr>
            <w:tcW w:w="625" w:type="pct"/>
            <w:shd w:val="clear" w:color="auto" w:fill="auto"/>
          </w:tcPr>
          <w:p w:rsidR="004B48E3" w:rsidRPr="006C3BAA" w:rsidRDefault="004B48E3" w:rsidP="0084535B">
            <w:pPr>
              <w:spacing w:before="0" w:line="240" w:lineRule="auto"/>
              <w:jc w:val="left"/>
            </w:pPr>
            <w:r>
              <w:t>–</w:t>
            </w:r>
          </w:p>
        </w:tc>
        <w:tc>
          <w:tcPr>
            <w:tcW w:w="625" w:type="pct"/>
          </w:tcPr>
          <w:p w:rsidR="004B48E3" w:rsidRDefault="004B48E3" w:rsidP="0084535B">
            <w:pPr>
              <w:spacing w:before="0" w:line="240" w:lineRule="auto"/>
              <w:jc w:val="left"/>
            </w:pPr>
            <w:r>
              <w:t>–</w:t>
            </w:r>
          </w:p>
        </w:tc>
        <w:tc>
          <w:tcPr>
            <w:tcW w:w="624" w:type="pct"/>
            <w:shd w:val="clear" w:color="auto" w:fill="auto"/>
          </w:tcPr>
          <w:p w:rsidR="004B48E3" w:rsidRPr="006C3BAA" w:rsidRDefault="004B48E3" w:rsidP="0084535B">
            <w:pPr>
              <w:spacing w:before="0" w:line="240" w:lineRule="auto"/>
              <w:jc w:val="left"/>
            </w:pPr>
            <w:r>
              <w:t>–</w:t>
            </w:r>
          </w:p>
        </w:tc>
        <w:tc>
          <w:tcPr>
            <w:tcW w:w="624" w:type="pct"/>
          </w:tcPr>
          <w:p w:rsidR="004B48E3" w:rsidRDefault="004B48E3" w:rsidP="0084535B">
            <w:pPr>
              <w:spacing w:before="0" w:line="240" w:lineRule="auto"/>
              <w:jc w:val="left"/>
            </w:pPr>
          </w:p>
        </w:tc>
        <w:tc>
          <w:tcPr>
            <w:tcW w:w="623" w:type="pct"/>
          </w:tcPr>
          <w:p w:rsidR="004B48E3" w:rsidRDefault="004B48E3" w:rsidP="0084535B">
            <w:pPr>
              <w:spacing w:before="0" w:line="240" w:lineRule="auto"/>
              <w:jc w:val="left"/>
            </w:pPr>
          </w:p>
        </w:tc>
      </w:tr>
      <w:tr w:rsidR="004B48E3" w:rsidRPr="006C3BAA" w:rsidTr="004B48E3">
        <w:tc>
          <w:tcPr>
            <w:tcW w:w="627" w:type="pct"/>
            <w:vMerge/>
            <w:shd w:val="clear" w:color="auto" w:fill="auto"/>
          </w:tcPr>
          <w:p w:rsidR="004B48E3" w:rsidRPr="006C3BAA" w:rsidRDefault="004B48E3" w:rsidP="0084535B">
            <w:pPr>
              <w:spacing w:before="0" w:line="240" w:lineRule="auto"/>
              <w:jc w:val="left"/>
            </w:pPr>
          </w:p>
        </w:tc>
        <w:tc>
          <w:tcPr>
            <w:tcW w:w="627" w:type="pct"/>
            <w:vMerge/>
            <w:shd w:val="clear" w:color="auto" w:fill="auto"/>
          </w:tcPr>
          <w:p w:rsidR="004B48E3" w:rsidRPr="006C3BAA" w:rsidRDefault="004B48E3" w:rsidP="0084535B">
            <w:pPr>
              <w:spacing w:before="0" w:line="240" w:lineRule="auto"/>
              <w:jc w:val="left"/>
            </w:pPr>
          </w:p>
        </w:tc>
        <w:tc>
          <w:tcPr>
            <w:tcW w:w="625" w:type="pct"/>
            <w:shd w:val="clear" w:color="auto" w:fill="auto"/>
          </w:tcPr>
          <w:p w:rsidR="004B48E3" w:rsidRPr="006C3BAA" w:rsidRDefault="004B48E3" w:rsidP="0084535B">
            <w:pPr>
              <w:spacing w:before="0" w:line="240" w:lineRule="auto"/>
              <w:jc w:val="left"/>
            </w:pPr>
            <w:r w:rsidRPr="006C3BAA">
              <w:t>Broadband internet</w:t>
            </w:r>
          </w:p>
        </w:tc>
        <w:tc>
          <w:tcPr>
            <w:tcW w:w="625" w:type="pct"/>
            <w:shd w:val="clear" w:color="auto" w:fill="auto"/>
          </w:tcPr>
          <w:p w:rsidR="004B48E3" w:rsidRPr="006C3BAA" w:rsidRDefault="004B48E3" w:rsidP="0084535B">
            <w:pPr>
              <w:spacing w:before="0" w:line="240" w:lineRule="auto"/>
              <w:jc w:val="left"/>
            </w:pPr>
            <w:r>
              <w:t>–</w:t>
            </w:r>
          </w:p>
        </w:tc>
        <w:tc>
          <w:tcPr>
            <w:tcW w:w="625" w:type="pct"/>
          </w:tcPr>
          <w:p w:rsidR="004B48E3" w:rsidRDefault="004B48E3" w:rsidP="0084535B">
            <w:pPr>
              <w:spacing w:before="0" w:line="240" w:lineRule="auto"/>
              <w:jc w:val="left"/>
            </w:pPr>
            <w:r>
              <w:t>–</w:t>
            </w:r>
          </w:p>
        </w:tc>
        <w:tc>
          <w:tcPr>
            <w:tcW w:w="624" w:type="pct"/>
            <w:shd w:val="clear" w:color="auto" w:fill="auto"/>
          </w:tcPr>
          <w:p w:rsidR="004B48E3" w:rsidRPr="006C3BAA" w:rsidRDefault="004B48E3" w:rsidP="0084535B">
            <w:pPr>
              <w:spacing w:before="0" w:line="240" w:lineRule="auto"/>
              <w:jc w:val="left"/>
            </w:pPr>
            <w:r>
              <w:t>–</w:t>
            </w:r>
          </w:p>
        </w:tc>
        <w:tc>
          <w:tcPr>
            <w:tcW w:w="624" w:type="pct"/>
          </w:tcPr>
          <w:p w:rsidR="004B48E3" w:rsidRDefault="004B48E3" w:rsidP="0084535B">
            <w:pPr>
              <w:spacing w:before="0" w:line="240" w:lineRule="auto"/>
              <w:jc w:val="left"/>
            </w:pPr>
          </w:p>
        </w:tc>
        <w:tc>
          <w:tcPr>
            <w:tcW w:w="623" w:type="pct"/>
          </w:tcPr>
          <w:p w:rsidR="004B48E3" w:rsidRDefault="004B48E3" w:rsidP="0084535B">
            <w:pPr>
              <w:spacing w:before="0" w:line="240" w:lineRule="auto"/>
              <w:jc w:val="left"/>
            </w:pPr>
          </w:p>
        </w:tc>
      </w:tr>
      <w:tr w:rsidR="004B48E3" w:rsidRPr="006C3BAA" w:rsidTr="004B48E3">
        <w:tc>
          <w:tcPr>
            <w:tcW w:w="627" w:type="pct"/>
            <w:vMerge/>
            <w:shd w:val="clear" w:color="auto" w:fill="auto"/>
          </w:tcPr>
          <w:p w:rsidR="004B48E3" w:rsidRPr="006C3BAA" w:rsidRDefault="004B48E3" w:rsidP="0084535B">
            <w:pPr>
              <w:spacing w:before="0" w:line="240" w:lineRule="auto"/>
              <w:jc w:val="left"/>
            </w:pPr>
          </w:p>
        </w:tc>
        <w:tc>
          <w:tcPr>
            <w:tcW w:w="627" w:type="pct"/>
            <w:vMerge/>
            <w:shd w:val="clear" w:color="auto" w:fill="auto"/>
          </w:tcPr>
          <w:p w:rsidR="004B48E3" w:rsidRPr="006C3BAA" w:rsidRDefault="004B48E3" w:rsidP="0084535B">
            <w:pPr>
              <w:spacing w:before="0" w:line="240" w:lineRule="auto"/>
              <w:jc w:val="left"/>
            </w:pPr>
          </w:p>
        </w:tc>
        <w:tc>
          <w:tcPr>
            <w:tcW w:w="625" w:type="pct"/>
            <w:shd w:val="clear" w:color="auto" w:fill="auto"/>
          </w:tcPr>
          <w:p w:rsidR="004B48E3" w:rsidRPr="006C3BAA" w:rsidRDefault="004B48E3" w:rsidP="0084535B">
            <w:pPr>
              <w:spacing w:before="0" w:line="240" w:lineRule="auto"/>
              <w:jc w:val="left"/>
            </w:pPr>
            <w:r w:rsidRPr="006C3BAA">
              <w:t>Transport</w:t>
            </w:r>
          </w:p>
        </w:tc>
        <w:tc>
          <w:tcPr>
            <w:tcW w:w="625" w:type="pct"/>
            <w:shd w:val="clear" w:color="auto" w:fill="auto"/>
          </w:tcPr>
          <w:p w:rsidR="004B48E3" w:rsidRPr="006C3BAA" w:rsidRDefault="004B48E3" w:rsidP="0084535B">
            <w:pPr>
              <w:spacing w:before="0" w:line="240" w:lineRule="auto"/>
              <w:jc w:val="left"/>
            </w:pPr>
            <w:r w:rsidRPr="006C3BAA">
              <w:t>–</w:t>
            </w:r>
          </w:p>
        </w:tc>
        <w:tc>
          <w:tcPr>
            <w:tcW w:w="625" w:type="pct"/>
          </w:tcPr>
          <w:p w:rsidR="004B48E3" w:rsidRDefault="004B48E3" w:rsidP="0084535B">
            <w:pPr>
              <w:spacing w:before="0" w:line="240" w:lineRule="auto"/>
              <w:jc w:val="left"/>
            </w:pPr>
            <w:r>
              <w:t>–</w:t>
            </w:r>
          </w:p>
        </w:tc>
        <w:tc>
          <w:tcPr>
            <w:tcW w:w="624" w:type="pct"/>
            <w:shd w:val="clear" w:color="auto" w:fill="auto"/>
          </w:tcPr>
          <w:p w:rsidR="004B48E3" w:rsidRPr="006C3BAA" w:rsidRDefault="004B48E3" w:rsidP="0084535B">
            <w:pPr>
              <w:spacing w:before="0" w:line="240" w:lineRule="auto"/>
              <w:jc w:val="left"/>
            </w:pPr>
            <w:r>
              <w:t>–</w:t>
            </w:r>
          </w:p>
        </w:tc>
        <w:tc>
          <w:tcPr>
            <w:tcW w:w="624" w:type="pct"/>
          </w:tcPr>
          <w:p w:rsidR="004B48E3" w:rsidRDefault="004B48E3" w:rsidP="0084535B">
            <w:pPr>
              <w:spacing w:before="0" w:line="240" w:lineRule="auto"/>
              <w:jc w:val="left"/>
            </w:pPr>
          </w:p>
        </w:tc>
        <w:tc>
          <w:tcPr>
            <w:tcW w:w="623" w:type="pct"/>
          </w:tcPr>
          <w:p w:rsidR="004B48E3" w:rsidRDefault="004B48E3" w:rsidP="0084535B">
            <w:pPr>
              <w:spacing w:before="0" w:line="240" w:lineRule="auto"/>
              <w:jc w:val="left"/>
            </w:pPr>
          </w:p>
        </w:tc>
      </w:tr>
      <w:tr w:rsidR="004B48E3" w:rsidRPr="006C3BAA" w:rsidTr="004B48E3">
        <w:tc>
          <w:tcPr>
            <w:tcW w:w="627" w:type="pct"/>
            <w:vMerge/>
            <w:shd w:val="clear" w:color="auto" w:fill="auto"/>
          </w:tcPr>
          <w:p w:rsidR="004B48E3" w:rsidRPr="006C3BAA" w:rsidRDefault="004B48E3" w:rsidP="0084535B">
            <w:pPr>
              <w:spacing w:before="0" w:line="240" w:lineRule="auto"/>
              <w:jc w:val="left"/>
            </w:pPr>
          </w:p>
        </w:tc>
        <w:tc>
          <w:tcPr>
            <w:tcW w:w="627" w:type="pct"/>
            <w:vMerge/>
            <w:shd w:val="clear" w:color="auto" w:fill="auto"/>
          </w:tcPr>
          <w:p w:rsidR="004B48E3" w:rsidRPr="006C3BAA" w:rsidRDefault="004B48E3" w:rsidP="0084535B">
            <w:pPr>
              <w:spacing w:before="0" w:line="240" w:lineRule="auto"/>
              <w:jc w:val="left"/>
            </w:pPr>
          </w:p>
        </w:tc>
        <w:tc>
          <w:tcPr>
            <w:tcW w:w="625" w:type="pct"/>
            <w:shd w:val="clear" w:color="auto" w:fill="auto"/>
          </w:tcPr>
          <w:p w:rsidR="004B48E3" w:rsidRPr="006C3BAA" w:rsidRDefault="004B48E3" w:rsidP="0084535B">
            <w:pPr>
              <w:spacing w:before="0" w:line="240" w:lineRule="auto"/>
              <w:jc w:val="left"/>
            </w:pPr>
            <w:r w:rsidRPr="006C3BAA">
              <w:t>Number of passenger cars</w:t>
            </w:r>
          </w:p>
        </w:tc>
        <w:tc>
          <w:tcPr>
            <w:tcW w:w="625" w:type="pct"/>
            <w:shd w:val="clear" w:color="auto" w:fill="auto"/>
          </w:tcPr>
          <w:p w:rsidR="004B48E3" w:rsidRPr="006C3BAA" w:rsidRDefault="004B48E3" w:rsidP="0084535B">
            <w:pPr>
              <w:spacing w:before="0" w:line="240" w:lineRule="auto"/>
              <w:jc w:val="left"/>
            </w:pPr>
            <w:r>
              <w:t>–</w:t>
            </w:r>
          </w:p>
        </w:tc>
        <w:tc>
          <w:tcPr>
            <w:tcW w:w="625" w:type="pct"/>
          </w:tcPr>
          <w:p w:rsidR="004B48E3" w:rsidRDefault="004B48E3" w:rsidP="0084535B">
            <w:pPr>
              <w:spacing w:before="0" w:line="240" w:lineRule="auto"/>
              <w:jc w:val="left"/>
            </w:pPr>
            <w:r>
              <w:t>–</w:t>
            </w:r>
          </w:p>
        </w:tc>
        <w:tc>
          <w:tcPr>
            <w:tcW w:w="624" w:type="pct"/>
            <w:shd w:val="clear" w:color="auto" w:fill="auto"/>
          </w:tcPr>
          <w:p w:rsidR="004B48E3" w:rsidRPr="006C3BAA" w:rsidRDefault="004B48E3" w:rsidP="0084535B">
            <w:pPr>
              <w:spacing w:before="0" w:line="240" w:lineRule="auto"/>
              <w:jc w:val="left"/>
            </w:pPr>
            <w:r>
              <w:t>–</w:t>
            </w:r>
          </w:p>
        </w:tc>
        <w:tc>
          <w:tcPr>
            <w:tcW w:w="624" w:type="pct"/>
          </w:tcPr>
          <w:p w:rsidR="004B48E3" w:rsidRDefault="004B48E3" w:rsidP="0084535B">
            <w:pPr>
              <w:spacing w:before="0" w:line="240" w:lineRule="auto"/>
              <w:jc w:val="left"/>
            </w:pPr>
          </w:p>
        </w:tc>
        <w:tc>
          <w:tcPr>
            <w:tcW w:w="623" w:type="pct"/>
          </w:tcPr>
          <w:p w:rsidR="004B48E3" w:rsidRDefault="004B48E3" w:rsidP="0084535B">
            <w:pPr>
              <w:spacing w:before="0" w:line="240" w:lineRule="auto"/>
              <w:jc w:val="left"/>
            </w:pPr>
          </w:p>
        </w:tc>
      </w:tr>
      <w:tr w:rsidR="004B48E3" w:rsidRPr="006C3BAA" w:rsidTr="000917E0">
        <w:tc>
          <w:tcPr>
            <w:tcW w:w="627" w:type="pct"/>
            <w:vMerge w:val="restart"/>
            <w:shd w:val="clear" w:color="auto" w:fill="auto"/>
          </w:tcPr>
          <w:p w:rsidR="004B48E3" w:rsidRPr="006C3BAA" w:rsidRDefault="004B48E3" w:rsidP="0084535B">
            <w:pPr>
              <w:spacing w:before="0" w:line="240" w:lineRule="auto"/>
              <w:jc w:val="left"/>
            </w:pPr>
            <w:r w:rsidRPr="006C3BAA">
              <w:t>Social environment</w:t>
            </w:r>
          </w:p>
        </w:tc>
        <w:tc>
          <w:tcPr>
            <w:tcW w:w="627" w:type="pct"/>
            <w:vMerge w:val="restart"/>
            <w:shd w:val="clear" w:color="auto" w:fill="auto"/>
          </w:tcPr>
          <w:p w:rsidR="004B48E3" w:rsidRPr="006C3BAA" w:rsidRDefault="004B48E3" w:rsidP="0084535B">
            <w:pPr>
              <w:spacing w:before="0" w:line="240" w:lineRule="auto"/>
              <w:jc w:val="left"/>
            </w:pPr>
            <w:r w:rsidRPr="006C3BAA">
              <w:t>Age</w:t>
            </w:r>
          </w:p>
        </w:tc>
        <w:tc>
          <w:tcPr>
            <w:tcW w:w="625" w:type="pct"/>
            <w:vMerge w:val="restart"/>
            <w:shd w:val="clear" w:color="auto" w:fill="auto"/>
          </w:tcPr>
          <w:p w:rsidR="004B48E3" w:rsidRPr="006C3BAA" w:rsidRDefault="004B48E3" w:rsidP="0084535B">
            <w:pPr>
              <w:spacing w:before="0" w:line="240" w:lineRule="auto"/>
              <w:jc w:val="left"/>
            </w:pPr>
            <w:r w:rsidRPr="006C3BAA">
              <w:t>–</w:t>
            </w:r>
          </w:p>
        </w:tc>
        <w:tc>
          <w:tcPr>
            <w:tcW w:w="625" w:type="pct"/>
            <w:shd w:val="clear" w:color="auto" w:fill="auto"/>
          </w:tcPr>
          <w:p w:rsidR="004B48E3" w:rsidRPr="006C3BAA" w:rsidRDefault="004B48E3" w:rsidP="0084535B">
            <w:pPr>
              <w:spacing w:before="0" w:line="240" w:lineRule="auto"/>
              <w:jc w:val="left"/>
            </w:pPr>
            <w:r>
              <w:t>Total dependency rate</w:t>
            </w:r>
          </w:p>
        </w:tc>
        <w:tc>
          <w:tcPr>
            <w:tcW w:w="625" w:type="pct"/>
          </w:tcPr>
          <w:p w:rsidR="004B48E3" w:rsidRDefault="004B48E3" w:rsidP="0084535B">
            <w:pPr>
              <w:spacing w:before="0" w:line="240" w:lineRule="auto"/>
              <w:jc w:val="left"/>
            </w:pPr>
            <w:r>
              <w:t>2001, 2011</w:t>
            </w:r>
          </w:p>
        </w:tc>
        <w:tc>
          <w:tcPr>
            <w:tcW w:w="624" w:type="pct"/>
            <w:shd w:val="clear" w:color="auto" w:fill="auto"/>
          </w:tcPr>
          <w:p w:rsidR="004B48E3" w:rsidRPr="006C3BAA" w:rsidRDefault="004B48E3" w:rsidP="0084535B">
            <w:pPr>
              <w:spacing w:before="0" w:line="240" w:lineRule="auto"/>
              <w:jc w:val="left"/>
            </w:pPr>
            <w:r>
              <w:t>Census</w:t>
            </w:r>
          </w:p>
        </w:tc>
        <w:tc>
          <w:tcPr>
            <w:tcW w:w="624" w:type="pct"/>
            <w:shd w:val="clear" w:color="auto" w:fill="FFC000"/>
          </w:tcPr>
          <w:p w:rsidR="004B48E3" w:rsidRDefault="002C6F43" w:rsidP="0084535B">
            <w:pPr>
              <w:spacing w:before="0" w:line="240" w:lineRule="auto"/>
              <w:jc w:val="left"/>
            </w:pPr>
            <w:r w:rsidRPr="002C6F43">
              <w:t>+++-(+)(+/-)</w:t>
            </w:r>
          </w:p>
        </w:tc>
        <w:tc>
          <w:tcPr>
            <w:tcW w:w="623" w:type="pct"/>
          </w:tcPr>
          <w:p w:rsidR="004B48E3" w:rsidRDefault="004B48E3" w:rsidP="0084535B">
            <w:pPr>
              <w:spacing w:before="0" w:line="240" w:lineRule="auto"/>
              <w:jc w:val="left"/>
            </w:pPr>
          </w:p>
        </w:tc>
      </w:tr>
      <w:tr w:rsidR="004B48E3" w:rsidRPr="006C3BAA" w:rsidTr="000917E0">
        <w:tc>
          <w:tcPr>
            <w:tcW w:w="627" w:type="pct"/>
            <w:vMerge/>
            <w:shd w:val="clear" w:color="auto" w:fill="auto"/>
          </w:tcPr>
          <w:p w:rsidR="004B48E3" w:rsidRPr="006C3BAA" w:rsidRDefault="004B48E3" w:rsidP="0084535B">
            <w:pPr>
              <w:spacing w:before="0" w:line="240" w:lineRule="auto"/>
              <w:jc w:val="left"/>
            </w:pPr>
          </w:p>
        </w:tc>
        <w:tc>
          <w:tcPr>
            <w:tcW w:w="627" w:type="pct"/>
            <w:vMerge/>
            <w:shd w:val="clear" w:color="auto" w:fill="auto"/>
          </w:tcPr>
          <w:p w:rsidR="004B48E3" w:rsidRPr="006C3BAA" w:rsidRDefault="004B48E3" w:rsidP="0084535B">
            <w:pPr>
              <w:spacing w:before="0" w:line="240" w:lineRule="auto"/>
              <w:jc w:val="left"/>
            </w:pPr>
          </w:p>
        </w:tc>
        <w:tc>
          <w:tcPr>
            <w:tcW w:w="625" w:type="pct"/>
            <w:vMerge/>
            <w:shd w:val="clear" w:color="auto" w:fill="auto"/>
          </w:tcPr>
          <w:p w:rsidR="004B48E3" w:rsidRPr="006C3BAA" w:rsidRDefault="004B48E3" w:rsidP="0084535B">
            <w:pPr>
              <w:spacing w:before="0" w:line="240" w:lineRule="auto"/>
              <w:jc w:val="left"/>
            </w:pPr>
          </w:p>
        </w:tc>
        <w:tc>
          <w:tcPr>
            <w:tcW w:w="625" w:type="pct"/>
            <w:shd w:val="clear" w:color="auto" w:fill="auto"/>
          </w:tcPr>
          <w:p w:rsidR="004B48E3" w:rsidRPr="006C3BAA" w:rsidRDefault="004B48E3" w:rsidP="0084535B">
            <w:pPr>
              <w:spacing w:before="0" w:line="240" w:lineRule="auto"/>
              <w:jc w:val="left"/>
            </w:pPr>
            <w:r>
              <w:t>Child dependency rate</w:t>
            </w:r>
          </w:p>
        </w:tc>
        <w:tc>
          <w:tcPr>
            <w:tcW w:w="625" w:type="pct"/>
          </w:tcPr>
          <w:p w:rsidR="004B48E3" w:rsidRDefault="004B48E3" w:rsidP="0084535B">
            <w:pPr>
              <w:spacing w:before="0" w:line="240" w:lineRule="auto"/>
              <w:jc w:val="left"/>
            </w:pPr>
            <w:r>
              <w:t>2001, 2011</w:t>
            </w:r>
          </w:p>
        </w:tc>
        <w:tc>
          <w:tcPr>
            <w:tcW w:w="624" w:type="pct"/>
            <w:shd w:val="clear" w:color="auto" w:fill="auto"/>
          </w:tcPr>
          <w:p w:rsidR="004B48E3" w:rsidRPr="006C3BAA" w:rsidRDefault="004B48E3" w:rsidP="0084535B">
            <w:pPr>
              <w:spacing w:before="0" w:line="240" w:lineRule="auto"/>
              <w:jc w:val="left"/>
            </w:pPr>
            <w:r>
              <w:t>Census</w:t>
            </w:r>
          </w:p>
        </w:tc>
        <w:tc>
          <w:tcPr>
            <w:tcW w:w="624" w:type="pct"/>
            <w:shd w:val="clear" w:color="auto" w:fill="FFC000"/>
          </w:tcPr>
          <w:p w:rsidR="000917E0" w:rsidRDefault="002C6F43" w:rsidP="0084535B">
            <w:pPr>
              <w:spacing w:before="0" w:line="240" w:lineRule="auto"/>
              <w:jc w:val="left"/>
            </w:pPr>
            <w:r w:rsidRPr="002C6F43">
              <w:t>+++-(+)(+/-)</w:t>
            </w:r>
          </w:p>
        </w:tc>
        <w:tc>
          <w:tcPr>
            <w:tcW w:w="623" w:type="pct"/>
          </w:tcPr>
          <w:p w:rsidR="004B48E3" w:rsidRDefault="004B48E3" w:rsidP="0084535B">
            <w:pPr>
              <w:spacing w:before="0" w:line="240" w:lineRule="auto"/>
              <w:jc w:val="left"/>
            </w:pPr>
          </w:p>
        </w:tc>
      </w:tr>
      <w:tr w:rsidR="004B48E3" w:rsidRPr="006C3BAA" w:rsidTr="00031F5B">
        <w:tc>
          <w:tcPr>
            <w:tcW w:w="627" w:type="pct"/>
            <w:vMerge/>
            <w:shd w:val="clear" w:color="auto" w:fill="auto"/>
          </w:tcPr>
          <w:p w:rsidR="004B48E3" w:rsidRPr="006C3BAA" w:rsidRDefault="004B48E3" w:rsidP="0084535B">
            <w:pPr>
              <w:spacing w:before="0" w:line="240" w:lineRule="auto"/>
              <w:jc w:val="left"/>
            </w:pPr>
          </w:p>
        </w:tc>
        <w:tc>
          <w:tcPr>
            <w:tcW w:w="627" w:type="pct"/>
            <w:vMerge/>
            <w:shd w:val="clear" w:color="auto" w:fill="auto"/>
          </w:tcPr>
          <w:p w:rsidR="004B48E3" w:rsidRPr="006C3BAA" w:rsidRDefault="004B48E3" w:rsidP="0084535B">
            <w:pPr>
              <w:spacing w:before="0" w:line="240" w:lineRule="auto"/>
              <w:jc w:val="left"/>
            </w:pPr>
          </w:p>
        </w:tc>
        <w:tc>
          <w:tcPr>
            <w:tcW w:w="625" w:type="pct"/>
            <w:vMerge/>
            <w:shd w:val="clear" w:color="auto" w:fill="auto"/>
          </w:tcPr>
          <w:p w:rsidR="004B48E3" w:rsidRPr="006C3BAA" w:rsidRDefault="004B48E3" w:rsidP="0084535B">
            <w:pPr>
              <w:spacing w:before="0" w:line="240" w:lineRule="auto"/>
              <w:jc w:val="left"/>
            </w:pPr>
          </w:p>
        </w:tc>
        <w:tc>
          <w:tcPr>
            <w:tcW w:w="625" w:type="pct"/>
            <w:shd w:val="clear" w:color="auto" w:fill="auto"/>
          </w:tcPr>
          <w:p w:rsidR="004B48E3" w:rsidRDefault="004B48E3" w:rsidP="0084535B">
            <w:pPr>
              <w:spacing w:before="0" w:line="240" w:lineRule="auto"/>
              <w:jc w:val="left"/>
            </w:pPr>
            <w:r>
              <w:t>Old age dependency rate</w:t>
            </w:r>
          </w:p>
        </w:tc>
        <w:tc>
          <w:tcPr>
            <w:tcW w:w="625" w:type="pct"/>
          </w:tcPr>
          <w:p w:rsidR="004B48E3" w:rsidRDefault="004B48E3" w:rsidP="0084535B">
            <w:pPr>
              <w:spacing w:before="0" w:line="240" w:lineRule="auto"/>
              <w:jc w:val="left"/>
            </w:pPr>
            <w:r>
              <w:t>2001, 2011</w:t>
            </w:r>
          </w:p>
        </w:tc>
        <w:tc>
          <w:tcPr>
            <w:tcW w:w="624" w:type="pct"/>
            <w:shd w:val="clear" w:color="auto" w:fill="auto"/>
          </w:tcPr>
          <w:p w:rsidR="004B48E3" w:rsidRPr="006C3BAA" w:rsidRDefault="004B48E3" w:rsidP="0084535B">
            <w:pPr>
              <w:spacing w:before="0" w:line="240" w:lineRule="auto"/>
              <w:jc w:val="left"/>
            </w:pPr>
            <w:r>
              <w:t>Census</w:t>
            </w:r>
          </w:p>
        </w:tc>
        <w:tc>
          <w:tcPr>
            <w:tcW w:w="624" w:type="pct"/>
            <w:tcBorders>
              <w:bottom w:val="single" w:sz="4" w:space="0" w:color="auto"/>
            </w:tcBorders>
            <w:shd w:val="clear" w:color="auto" w:fill="FFC000"/>
          </w:tcPr>
          <w:p w:rsidR="004B48E3" w:rsidRDefault="002C6F43" w:rsidP="0084535B">
            <w:pPr>
              <w:spacing w:before="0" w:line="240" w:lineRule="auto"/>
              <w:jc w:val="left"/>
            </w:pPr>
            <w:r w:rsidRPr="002C6F43">
              <w:t>+++-(+)(+/-)</w:t>
            </w:r>
          </w:p>
        </w:tc>
        <w:tc>
          <w:tcPr>
            <w:tcW w:w="623" w:type="pct"/>
          </w:tcPr>
          <w:p w:rsidR="004B48E3" w:rsidRDefault="004B48E3" w:rsidP="0084535B">
            <w:pPr>
              <w:spacing w:before="0" w:line="240" w:lineRule="auto"/>
              <w:jc w:val="left"/>
            </w:pPr>
            <w:r>
              <w:t>Yes</w:t>
            </w:r>
          </w:p>
        </w:tc>
      </w:tr>
      <w:tr w:rsidR="004B48E3" w:rsidRPr="006C3BAA" w:rsidTr="00031F5B">
        <w:tc>
          <w:tcPr>
            <w:tcW w:w="627" w:type="pct"/>
            <w:vMerge/>
            <w:shd w:val="clear" w:color="auto" w:fill="auto"/>
          </w:tcPr>
          <w:p w:rsidR="004B48E3" w:rsidRPr="006C3BAA" w:rsidRDefault="004B48E3" w:rsidP="0084535B">
            <w:pPr>
              <w:spacing w:before="0" w:line="240" w:lineRule="auto"/>
              <w:jc w:val="left"/>
            </w:pPr>
          </w:p>
        </w:tc>
        <w:tc>
          <w:tcPr>
            <w:tcW w:w="627" w:type="pct"/>
            <w:shd w:val="clear" w:color="auto" w:fill="auto"/>
          </w:tcPr>
          <w:p w:rsidR="004B48E3" w:rsidRPr="006C3BAA" w:rsidRDefault="004B48E3" w:rsidP="0084535B">
            <w:pPr>
              <w:spacing w:before="0" w:line="240" w:lineRule="auto"/>
              <w:jc w:val="left"/>
            </w:pPr>
            <w:r w:rsidRPr="006C3BAA">
              <w:t>Ethnic composition</w:t>
            </w:r>
          </w:p>
        </w:tc>
        <w:tc>
          <w:tcPr>
            <w:tcW w:w="625" w:type="pct"/>
            <w:shd w:val="clear" w:color="auto" w:fill="auto"/>
          </w:tcPr>
          <w:p w:rsidR="004B48E3" w:rsidRPr="006C3BAA" w:rsidRDefault="004B48E3" w:rsidP="0084535B">
            <w:pPr>
              <w:spacing w:before="0" w:line="240" w:lineRule="auto"/>
              <w:jc w:val="left"/>
            </w:pPr>
            <w:r w:rsidRPr="006C3BAA">
              <w:t>–</w:t>
            </w:r>
          </w:p>
        </w:tc>
        <w:tc>
          <w:tcPr>
            <w:tcW w:w="625" w:type="pct"/>
            <w:shd w:val="clear" w:color="auto" w:fill="auto"/>
          </w:tcPr>
          <w:p w:rsidR="004B48E3" w:rsidRPr="006C3BAA" w:rsidRDefault="004B48E3" w:rsidP="0084535B">
            <w:pPr>
              <w:spacing w:before="0" w:line="240" w:lineRule="auto"/>
              <w:jc w:val="left"/>
            </w:pPr>
            <w:r>
              <w:t>Ratio of Roma population</w:t>
            </w:r>
          </w:p>
        </w:tc>
        <w:tc>
          <w:tcPr>
            <w:tcW w:w="625" w:type="pct"/>
          </w:tcPr>
          <w:p w:rsidR="004B48E3" w:rsidRDefault="004B48E3" w:rsidP="0084535B">
            <w:pPr>
              <w:spacing w:before="0" w:line="240" w:lineRule="auto"/>
              <w:jc w:val="left"/>
            </w:pPr>
            <w:r>
              <w:t>2001, 2011</w:t>
            </w:r>
          </w:p>
        </w:tc>
        <w:tc>
          <w:tcPr>
            <w:tcW w:w="624" w:type="pct"/>
            <w:shd w:val="clear" w:color="auto" w:fill="auto"/>
          </w:tcPr>
          <w:p w:rsidR="004B48E3" w:rsidRPr="006C3BAA" w:rsidRDefault="004B48E3" w:rsidP="0084535B">
            <w:pPr>
              <w:spacing w:before="0" w:line="240" w:lineRule="auto"/>
              <w:jc w:val="left"/>
            </w:pPr>
            <w:r>
              <w:t>Census</w:t>
            </w:r>
          </w:p>
        </w:tc>
        <w:tc>
          <w:tcPr>
            <w:tcW w:w="624" w:type="pct"/>
            <w:shd w:val="clear" w:color="auto" w:fill="FFC000"/>
          </w:tcPr>
          <w:p w:rsidR="004B48E3" w:rsidRDefault="002C6F43" w:rsidP="0084535B">
            <w:pPr>
              <w:spacing w:before="0" w:line="240" w:lineRule="auto"/>
              <w:jc w:val="left"/>
            </w:pPr>
            <w:r w:rsidRPr="002C6F43">
              <w:t>-++-(+)(+)</w:t>
            </w:r>
          </w:p>
        </w:tc>
        <w:tc>
          <w:tcPr>
            <w:tcW w:w="623" w:type="pct"/>
          </w:tcPr>
          <w:p w:rsidR="004B48E3" w:rsidRDefault="00031F5B" w:rsidP="0084535B">
            <w:pPr>
              <w:spacing w:before="0" w:line="240" w:lineRule="auto"/>
              <w:jc w:val="left"/>
            </w:pPr>
            <w:r>
              <w:t>(Yes)</w:t>
            </w:r>
          </w:p>
        </w:tc>
      </w:tr>
      <w:tr w:rsidR="004B48E3" w:rsidRPr="006C3BAA" w:rsidTr="000917E0">
        <w:tc>
          <w:tcPr>
            <w:tcW w:w="627" w:type="pct"/>
            <w:vMerge/>
            <w:shd w:val="clear" w:color="auto" w:fill="auto"/>
          </w:tcPr>
          <w:p w:rsidR="004B48E3" w:rsidRPr="006C3BAA" w:rsidRDefault="004B48E3" w:rsidP="0084535B">
            <w:pPr>
              <w:spacing w:before="0" w:line="240" w:lineRule="auto"/>
              <w:jc w:val="left"/>
            </w:pPr>
          </w:p>
        </w:tc>
        <w:tc>
          <w:tcPr>
            <w:tcW w:w="627" w:type="pct"/>
            <w:shd w:val="clear" w:color="auto" w:fill="auto"/>
          </w:tcPr>
          <w:p w:rsidR="004B48E3" w:rsidRPr="006C3BAA" w:rsidRDefault="004B48E3" w:rsidP="0084535B">
            <w:pPr>
              <w:spacing w:before="0" w:line="240" w:lineRule="auto"/>
              <w:jc w:val="left"/>
            </w:pPr>
            <w:r w:rsidRPr="006C3BAA">
              <w:t>Immigrants</w:t>
            </w:r>
          </w:p>
        </w:tc>
        <w:tc>
          <w:tcPr>
            <w:tcW w:w="625" w:type="pct"/>
            <w:shd w:val="clear" w:color="auto" w:fill="auto"/>
          </w:tcPr>
          <w:p w:rsidR="004B48E3" w:rsidRPr="006C3BAA" w:rsidRDefault="004B48E3" w:rsidP="0084535B">
            <w:pPr>
              <w:spacing w:before="0" w:line="240" w:lineRule="auto"/>
              <w:jc w:val="left"/>
            </w:pPr>
            <w:r w:rsidRPr="006C3BAA">
              <w:t>–</w:t>
            </w:r>
          </w:p>
        </w:tc>
        <w:tc>
          <w:tcPr>
            <w:tcW w:w="625" w:type="pct"/>
            <w:shd w:val="clear" w:color="auto" w:fill="auto"/>
          </w:tcPr>
          <w:p w:rsidR="004B48E3" w:rsidRPr="006C3BAA" w:rsidRDefault="004B48E3" w:rsidP="0084535B">
            <w:pPr>
              <w:spacing w:before="0" w:line="240" w:lineRule="auto"/>
              <w:jc w:val="left"/>
            </w:pPr>
            <w:r>
              <w:t>Ratio of foreign-born population</w:t>
            </w:r>
          </w:p>
        </w:tc>
        <w:tc>
          <w:tcPr>
            <w:tcW w:w="625" w:type="pct"/>
          </w:tcPr>
          <w:p w:rsidR="004B48E3" w:rsidRDefault="004B48E3" w:rsidP="0084535B">
            <w:pPr>
              <w:spacing w:before="0" w:line="240" w:lineRule="auto"/>
              <w:jc w:val="left"/>
            </w:pPr>
            <w:r>
              <w:t>2001, 2011</w:t>
            </w:r>
          </w:p>
        </w:tc>
        <w:tc>
          <w:tcPr>
            <w:tcW w:w="624" w:type="pct"/>
            <w:shd w:val="clear" w:color="auto" w:fill="auto"/>
          </w:tcPr>
          <w:p w:rsidR="004B48E3" w:rsidRPr="006C3BAA" w:rsidRDefault="004B48E3" w:rsidP="0084535B">
            <w:pPr>
              <w:spacing w:before="0" w:line="240" w:lineRule="auto"/>
              <w:jc w:val="left"/>
            </w:pPr>
            <w:r>
              <w:t>Census</w:t>
            </w:r>
          </w:p>
        </w:tc>
        <w:tc>
          <w:tcPr>
            <w:tcW w:w="624" w:type="pct"/>
            <w:shd w:val="clear" w:color="auto" w:fill="FFC000"/>
          </w:tcPr>
          <w:p w:rsidR="004B48E3" w:rsidRDefault="002C6F43" w:rsidP="0084535B">
            <w:pPr>
              <w:spacing w:before="0" w:line="240" w:lineRule="auto"/>
              <w:jc w:val="left"/>
            </w:pPr>
            <w:r w:rsidRPr="002C6F43">
              <w:t>+++-(+)(+/-)</w:t>
            </w:r>
          </w:p>
        </w:tc>
        <w:tc>
          <w:tcPr>
            <w:tcW w:w="623" w:type="pct"/>
          </w:tcPr>
          <w:p w:rsidR="004B48E3" w:rsidRDefault="00031F5B" w:rsidP="0084535B">
            <w:pPr>
              <w:spacing w:before="0" w:line="240" w:lineRule="auto"/>
              <w:jc w:val="left"/>
            </w:pPr>
            <w:r>
              <w:t>(Yes)</w:t>
            </w:r>
          </w:p>
        </w:tc>
      </w:tr>
      <w:tr w:rsidR="004B48E3" w:rsidRPr="006C3BAA" w:rsidTr="004B48E3">
        <w:tc>
          <w:tcPr>
            <w:tcW w:w="627" w:type="pct"/>
            <w:vMerge/>
            <w:shd w:val="clear" w:color="auto" w:fill="auto"/>
          </w:tcPr>
          <w:p w:rsidR="004B48E3" w:rsidRPr="006C3BAA" w:rsidRDefault="004B48E3" w:rsidP="0084535B">
            <w:pPr>
              <w:spacing w:before="0" w:line="240" w:lineRule="auto"/>
              <w:jc w:val="left"/>
            </w:pPr>
          </w:p>
        </w:tc>
        <w:tc>
          <w:tcPr>
            <w:tcW w:w="627" w:type="pct"/>
            <w:shd w:val="clear" w:color="auto" w:fill="auto"/>
          </w:tcPr>
          <w:p w:rsidR="004B48E3" w:rsidRPr="006C3BAA" w:rsidRDefault="004B48E3" w:rsidP="0084535B">
            <w:pPr>
              <w:spacing w:before="0" w:line="240" w:lineRule="auto"/>
              <w:jc w:val="left"/>
            </w:pPr>
            <w:r w:rsidRPr="006C3BAA">
              <w:t>Crime and safety</w:t>
            </w:r>
          </w:p>
        </w:tc>
        <w:tc>
          <w:tcPr>
            <w:tcW w:w="625" w:type="pct"/>
            <w:shd w:val="clear" w:color="auto" w:fill="auto"/>
          </w:tcPr>
          <w:p w:rsidR="004B48E3" w:rsidRPr="006C3BAA" w:rsidRDefault="004B48E3" w:rsidP="0084535B">
            <w:pPr>
              <w:spacing w:before="0" w:line="240" w:lineRule="auto"/>
              <w:jc w:val="left"/>
            </w:pPr>
            <w:r w:rsidRPr="006C3BAA">
              <w:t>–</w:t>
            </w:r>
          </w:p>
        </w:tc>
        <w:tc>
          <w:tcPr>
            <w:tcW w:w="625" w:type="pct"/>
            <w:shd w:val="clear" w:color="auto" w:fill="auto"/>
          </w:tcPr>
          <w:p w:rsidR="004B48E3" w:rsidRPr="006C3BAA" w:rsidRDefault="004B48E3" w:rsidP="0084535B">
            <w:pPr>
              <w:spacing w:before="0" w:line="240" w:lineRule="auto"/>
              <w:jc w:val="left"/>
            </w:pPr>
            <w:r w:rsidRPr="006C3BAA">
              <w:t>–</w:t>
            </w:r>
          </w:p>
        </w:tc>
        <w:tc>
          <w:tcPr>
            <w:tcW w:w="625" w:type="pct"/>
          </w:tcPr>
          <w:p w:rsidR="004B48E3" w:rsidRPr="006C3BAA" w:rsidRDefault="004B48E3" w:rsidP="0084535B">
            <w:pPr>
              <w:spacing w:before="0" w:line="240" w:lineRule="auto"/>
              <w:jc w:val="left"/>
            </w:pPr>
            <w:r>
              <w:t>–</w:t>
            </w:r>
          </w:p>
        </w:tc>
        <w:tc>
          <w:tcPr>
            <w:tcW w:w="624" w:type="pct"/>
            <w:shd w:val="clear" w:color="auto" w:fill="auto"/>
          </w:tcPr>
          <w:p w:rsidR="004B48E3" w:rsidRPr="006C3BAA" w:rsidRDefault="004B48E3" w:rsidP="0084535B">
            <w:pPr>
              <w:spacing w:before="0" w:line="240" w:lineRule="auto"/>
              <w:jc w:val="left"/>
            </w:pPr>
          </w:p>
        </w:tc>
        <w:tc>
          <w:tcPr>
            <w:tcW w:w="624" w:type="pct"/>
          </w:tcPr>
          <w:p w:rsidR="004B48E3" w:rsidRPr="006C3BAA" w:rsidRDefault="004B48E3" w:rsidP="0084535B">
            <w:pPr>
              <w:spacing w:before="0" w:line="240" w:lineRule="auto"/>
              <w:jc w:val="left"/>
            </w:pPr>
          </w:p>
        </w:tc>
        <w:tc>
          <w:tcPr>
            <w:tcW w:w="623" w:type="pct"/>
          </w:tcPr>
          <w:p w:rsidR="004B48E3" w:rsidRPr="006C3BAA" w:rsidRDefault="004B48E3" w:rsidP="0084535B">
            <w:pPr>
              <w:spacing w:before="0" w:line="240" w:lineRule="auto"/>
              <w:jc w:val="left"/>
            </w:pPr>
          </w:p>
        </w:tc>
      </w:tr>
      <w:tr w:rsidR="004B48E3" w:rsidRPr="006C3BAA" w:rsidTr="004B48E3">
        <w:tc>
          <w:tcPr>
            <w:tcW w:w="627" w:type="pct"/>
            <w:vMerge/>
            <w:shd w:val="clear" w:color="auto" w:fill="auto"/>
          </w:tcPr>
          <w:p w:rsidR="004B48E3" w:rsidRPr="006C3BAA" w:rsidRDefault="004B48E3" w:rsidP="0084535B">
            <w:pPr>
              <w:spacing w:before="0" w:line="240" w:lineRule="auto"/>
              <w:jc w:val="left"/>
            </w:pPr>
          </w:p>
        </w:tc>
        <w:tc>
          <w:tcPr>
            <w:tcW w:w="627" w:type="pct"/>
            <w:shd w:val="clear" w:color="auto" w:fill="auto"/>
          </w:tcPr>
          <w:p w:rsidR="004B48E3" w:rsidRPr="006C3BAA" w:rsidRDefault="004B48E3" w:rsidP="0084535B">
            <w:pPr>
              <w:spacing w:before="0" w:line="240" w:lineRule="auto"/>
              <w:jc w:val="left"/>
            </w:pPr>
            <w:r w:rsidRPr="006C3BAA">
              <w:t>Municipal revenue from property taxes</w:t>
            </w:r>
          </w:p>
        </w:tc>
        <w:tc>
          <w:tcPr>
            <w:tcW w:w="625" w:type="pct"/>
            <w:shd w:val="clear" w:color="auto" w:fill="auto"/>
          </w:tcPr>
          <w:p w:rsidR="004B48E3" w:rsidRPr="006C3BAA" w:rsidRDefault="004B48E3" w:rsidP="0084535B">
            <w:pPr>
              <w:spacing w:before="0" w:line="240" w:lineRule="auto"/>
              <w:jc w:val="left"/>
            </w:pPr>
            <w:r w:rsidRPr="006C3BAA">
              <w:t>–</w:t>
            </w:r>
          </w:p>
        </w:tc>
        <w:tc>
          <w:tcPr>
            <w:tcW w:w="625" w:type="pct"/>
            <w:shd w:val="clear" w:color="auto" w:fill="auto"/>
          </w:tcPr>
          <w:p w:rsidR="004B48E3" w:rsidRPr="006C3BAA" w:rsidRDefault="004B48E3" w:rsidP="0084535B">
            <w:pPr>
              <w:spacing w:before="0" w:line="240" w:lineRule="auto"/>
              <w:jc w:val="left"/>
            </w:pPr>
            <w:r w:rsidRPr="006C3BAA">
              <w:t>–</w:t>
            </w:r>
          </w:p>
        </w:tc>
        <w:tc>
          <w:tcPr>
            <w:tcW w:w="625" w:type="pct"/>
          </w:tcPr>
          <w:p w:rsidR="004B48E3" w:rsidRPr="006C3BAA" w:rsidRDefault="004B48E3" w:rsidP="0084535B">
            <w:pPr>
              <w:spacing w:before="0" w:line="240" w:lineRule="auto"/>
              <w:jc w:val="left"/>
            </w:pPr>
            <w:r>
              <w:t>–</w:t>
            </w:r>
          </w:p>
        </w:tc>
        <w:tc>
          <w:tcPr>
            <w:tcW w:w="624" w:type="pct"/>
            <w:shd w:val="clear" w:color="auto" w:fill="auto"/>
          </w:tcPr>
          <w:p w:rsidR="004B48E3" w:rsidRPr="006C3BAA" w:rsidRDefault="004B48E3" w:rsidP="0084535B">
            <w:pPr>
              <w:spacing w:before="0" w:line="240" w:lineRule="auto"/>
              <w:jc w:val="left"/>
            </w:pPr>
          </w:p>
        </w:tc>
        <w:tc>
          <w:tcPr>
            <w:tcW w:w="624" w:type="pct"/>
          </w:tcPr>
          <w:p w:rsidR="004B48E3" w:rsidRPr="006C3BAA" w:rsidRDefault="004B48E3" w:rsidP="0084535B">
            <w:pPr>
              <w:spacing w:before="0" w:line="240" w:lineRule="auto"/>
              <w:jc w:val="left"/>
            </w:pPr>
          </w:p>
        </w:tc>
        <w:tc>
          <w:tcPr>
            <w:tcW w:w="623" w:type="pct"/>
          </w:tcPr>
          <w:p w:rsidR="004B48E3" w:rsidRPr="006C3BAA" w:rsidRDefault="004B48E3" w:rsidP="0084535B">
            <w:pPr>
              <w:spacing w:before="0" w:line="240" w:lineRule="auto"/>
              <w:jc w:val="left"/>
            </w:pPr>
          </w:p>
        </w:tc>
      </w:tr>
      <w:tr w:rsidR="004B48E3" w:rsidRPr="006C3BAA" w:rsidTr="004B48E3">
        <w:tc>
          <w:tcPr>
            <w:tcW w:w="627" w:type="pct"/>
            <w:vMerge/>
            <w:shd w:val="clear" w:color="auto" w:fill="auto"/>
          </w:tcPr>
          <w:p w:rsidR="004B48E3" w:rsidRPr="006C3BAA" w:rsidRDefault="004B48E3" w:rsidP="0084535B">
            <w:pPr>
              <w:spacing w:before="0" w:line="240" w:lineRule="auto"/>
              <w:jc w:val="left"/>
            </w:pPr>
          </w:p>
        </w:tc>
        <w:tc>
          <w:tcPr>
            <w:tcW w:w="627" w:type="pct"/>
            <w:shd w:val="clear" w:color="auto" w:fill="auto"/>
          </w:tcPr>
          <w:p w:rsidR="004B48E3" w:rsidRPr="0056199A" w:rsidRDefault="004B48E3" w:rsidP="0084535B">
            <w:pPr>
              <w:spacing w:before="0" w:line="240" w:lineRule="auto"/>
              <w:jc w:val="left"/>
            </w:pPr>
            <w:r w:rsidRPr="0056199A">
              <w:t>Municipal spending on social assistance</w:t>
            </w:r>
          </w:p>
        </w:tc>
        <w:tc>
          <w:tcPr>
            <w:tcW w:w="625" w:type="pct"/>
            <w:shd w:val="clear" w:color="auto" w:fill="auto"/>
          </w:tcPr>
          <w:p w:rsidR="004B48E3" w:rsidRPr="006C3BAA" w:rsidRDefault="004B48E3" w:rsidP="0084535B">
            <w:pPr>
              <w:spacing w:before="0" w:line="240" w:lineRule="auto"/>
              <w:jc w:val="left"/>
            </w:pPr>
            <w:r w:rsidRPr="006C3BAA">
              <w:t>–</w:t>
            </w:r>
          </w:p>
        </w:tc>
        <w:tc>
          <w:tcPr>
            <w:tcW w:w="625" w:type="pct"/>
            <w:shd w:val="clear" w:color="auto" w:fill="auto"/>
          </w:tcPr>
          <w:p w:rsidR="004B48E3" w:rsidRPr="006C3BAA" w:rsidRDefault="004B48E3" w:rsidP="0084535B">
            <w:pPr>
              <w:spacing w:before="0" w:line="240" w:lineRule="auto"/>
              <w:jc w:val="left"/>
            </w:pPr>
            <w:r>
              <w:t>–</w:t>
            </w:r>
          </w:p>
        </w:tc>
        <w:tc>
          <w:tcPr>
            <w:tcW w:w="625" w:type="pct"/>
          </w:tcPr>
          <w:p w:rsidR="004B48E3" w:rsidRDefault="004B48E3" w:rsidP="0084535B">
            <w:pPr>
              <w:spacing w:before="0" w:line="240" w:lineRule="auto"/>
              <w:jc w:val="left"/>
            </w:pPr>
            <w:r>
              <w:t>–</w:t>
            </w:r>
          </w:p>
        </w:tc>
        <w:tc>
          <w:tcPr>
            <w:tcW w:w="624" w:type="pct"/>
            <w:shd w:val="clear" w:color="auto" w:fill="auto"/>
          </w:tcPr>
          <w:p w:rsidR="004B48E3" w:rsidRPr="006C3BAA" w:rsidRDefault="004B48E3" w:rsidP="0084535B">
            <w:pPr>
              <w:spacing w:before="0" w:line="240" w:lineRule="auto"/>
              <w:jc w:val="left"/>
            </w:pPr>
            <w:r>
              <w:t>–</w:t>
            </w:r>
          </w:p>
        </w:tc>
        <w:tc>
          <w:tcPr>
            <w:tcW w:w="624" w:type="pct"/>
          </w:tcPr>
          <w:p w:rsidR="004B48E3" w:rsidRDefault="004B48E3" w:rsidP="0084535B">
            <w:pPr>
              <w:spacing w:before="0" w:line="240" w:lineRule="auto"/>
              <w:jc w:val="left"/>
            </w:pPr>
          </w:p>
        </w:tc>
        <w:tc>
          <w:tcPr>
            <w:tcW w:w="623" w:type="pct"/>
          </w:tcPr>
          <w:p w:rsidR="004B48E3" w:rsidRDefault="004B48E3" w:rsidP="0084535B">
            <w:pPr>
              <w:spacing w:before="0" w:line="240" w:lineRule="auto"/>
              <w:jc w:val="left"/>
            </w:pPr>
          </w:p>
        </w:tc>
      </w:tr>
      <w:tr w:rsidR="004B48E3" w:rsidRPr="006C3BAA" w:rsidTr="000917E0">
        <w:tc>
          <w:tcPr>
            <w:tcW w:w="627" w:type="pct"/>
            <w:vMerge/>
            <w:shd w:val="clear" w:color="auto" w:fill="auto"/>
          </w:tcPr>
          <w:p w:rsidR="004B48E3" w:rsidRPr="006C3BAA" w:rsidRDefault="004B48E3" w:rsidP="0084535B">
            <w:pPr>
              <w:spacing w:before="0" w:line="240" w:lineRule="auto"/>
              <w:jc w:val="left"/>
            </w:pPr>
          </w:p>
        </w:tc>
        <w:tc>
          <w:tcPr>
            <w:tcW w:w="627" w:type="pct"/>
            <w:vMerge w:val="restart"/>
            <w:shd w:val="clear" w:color="auto" w:fill="auto"/>
          </w:tcPr>
          <w:p w:rsidR="004B48E3" w:rsidRPr="0056199A" w:rsidRDefault="004B48E3" w:rsidP="0084535B">
            <w:pPr>
              <w:spacing w:before="0" w:line="240" w:lineRule="auto"/>
              <w:jc w:val="left"/>
            </w:pPr>
            <w:r>
              <w:t>Househol</w:t>
            </w:r>
            <w:r w:rsidR="003A20F8">
              <w:t xml:space="preserve">d </w:t>
            </w:r>
            <w:r w:rsidR="003A20F8">
              <w:lastRenderedPageBreak/>
              <w:t xml:space="preserve">structure (new dimension of Task </w:t>
            </w:r>
            <w:r>
              <w:t>2.6)</w:t>
            </w:r>
          </w:p>
        </w:tc>
        <w:tc>
          <w:tcPr>
            <w:tcW w:w="625" w:type="pct"/>
            <w:vMerge w:val="restart"/>
            <w:shd w:val="clear" w:color="auto" w:fill="auto"/>
          </w:tcPr>
          <w:p w:rsidR="004B48E3" w:rsidRPr="006C3BAA" w:rsidRDefault="004B48E3" w:rsidP="0084535B">
            <w:pPr>
              <w:spacing w:before="0" w:line="240" w:lineRule="auto"/>
              <w:jc w:val="left"/>
            </w:pPr>
            <w:r>
              <w:lastRenderedPageBreak/>
              <w:t>–</w:t>
            </w:r>
          </w:p>
        </w:tc>
        <w:tc>
          <w:tcPr>
            <w:tcW w:w="625" w:type="pct"/>
            <w:shd w:val="clear" w:color="auto" w:fill="auto"/>
          </w:tcPr>
          <w:p w:rsidR="004B48E3" w:rsidRPr="006C3BAA" w:rsidRDefault="004B48E3" w:rsidP="0084535B">
            <w:pPr>
              <w:spacing w:before="0" w:line="240" w:lineRule="auto"/>
              <w:jc w:val="left"/>
            </w:pPr>
            <w:r>
              <w:t xml:space="preserve">Ratio of lone </w:t>
            </w:r>
            <w:r>
              <w:lastRenderedPageBreak/>
              <w:t>parent households</w:t>
            </w:r>
          </w:p>
        </w:tc>
        <w:tc>
          <w:tcPr>
            <w:tcW w:w="625" w:type="pct"/>
          </w:tcPr>
          <w:p w:rsidR="004B48E3" w:rsidRDefault="004B48E3" w:rsidP="0084535B">
            <w:pPr>
              <w:spacing w:before="0" w:line="240" w:lineRule="auto"/>
              <w:jc w:val="left"/>
            </w:pPr>
            <w:r>
              <w:lastRenderedPageBreak/>
              <w:t>2001, 2011</w:t>
            </w:r>
          </w:p>
        </w:tc>
        <w:tc>
          <w:tcPr>
            <w:tcW w:w="624" w:type="pct"/>
            <w:shd w:val="clear" w:color="auto" w:fill="auto"/>
          </w:tcPr>
          <w:p w:rsidR="004B48E3" w:rsidRPr="006C3BAA" w:rsidRDefault="004B48E3" w:rsidP="0084535B">
            <w:pPr>
              <w:spacing w:before="0" w:line="240" w:lineRule="auto"/>
              <w:jc w:val="left"/>
            </w:pPr>
            <w:r>
              <w:t>Census</w:t>
            </w:r>
          </w:p>
        </w:tc>
        <w:tc>
          <w:tcPr>
            <w:tcW w:w="624" w:type="pct"/>
            <w:shd w:val="clear" w:color="auto" w:fill="FFC000"/>
          </w:tcPr>
          <w:p w:rsidR="004B48E3" w:rsidRDefault="002C6F43" w:rsidP="0084535B">
            <w:pPr>
              <w:spacing w:before="0" w:line="240" w:lineRule="auto"/>
              <w:jc w:val="left"/>
            </w:pPr>
            <w:r w:rsidRPr="002C6F43">
              <w:t>+-+-(+)(+/-)</w:t>
            </w:r>
          </w:p>
        </w:tc>
        <w:tc>
          <w:tcPr>
            <w:tcW w:w="623" w:type="pct"/>
          </w:tcPr>
          <w:p w:rsidR="004B48E3" w:rsidRDefault="004B48E3" w:rsidP="0084535B">
            <w:pPr>
              <w:spacing w:before="0" w:line="240" w:lineRule="auto"/>
              <w:jc w:val="left"/>
            </w:pPr>
          </w:p>
        </w:tc>
      </w:tr>
      <w:tr w:rsidR="004B48E3" w:rsidRPr="006C3BAA" w:rsidTr="004B48E3">
        <w:tc>
          <w:tcPr>
            <w:tcW w:w="627" w:type="pct"/>
            <w:vMerge/>
            <w:shd w:val="clear" w:color="auto" w:fill="auto"/>
          </w:tcPr>
          <w:p w:rsidR="004B48E3" w:rsidRPr="006C3BAA" w:rsidRDefault="004B48E3" w:rsidP="0084535B">
            <w:pPr>
              <w:spacing w:before="0" w:line="240" w:lineRule="auto"/>
              <w:jc w:val="left"/>
            </w:pPr>
          </w:p>
        </w:tc>
        <w:tc>
          <w:tcPr>
            <w:tcW w:w="627" w:type="pct"/>
            <w:vMerge/>
            <w:shd w:val="clear" w:color="auto" w:fill="auto"/>
          </w:tcPr>
          <w:p w:rsidR="004B48E3" w:rsidRDefault="004B48E3" w:rsidP="0084535B">
            <w:pPr>
              <w:spacing w:before="0" w:line="240" w:lineRule="auto"/>
              <w:jc w:val="left"/>
            </w:pPr>
          </w:p>
        </w:tc>
        <w:tc>
          <w:tcPr>
            <w:tcW w:w="625" w:type="pct"/>
            <w:vMerge/>
            <w:shd w:val="clear" w:color="auto" w:fill="auto"/>
          </w:tcPr>
          <w:p w:rsidR="004B48E3" w:rsidRDefault="004B48E3" w:rsidP="0084535B">
            <w:pPr>
              <w:spacing w:before="0" w:line="240" w:lineRule="auto"/>
              <w:jc w:val="left"/>
            </w:pPr>
          </w:p>
        </w:tc>
        <w:tc>
          <w:tcPr>
            <w:tcW w:w="625" w:type="pct"/>
            <w:shd w:val="clear" w:color="auto" w:fill="auto"/>
          </w:tcPr>
          <w:p w:rsidR="004B48E3" w:rsidRPr="006C3BAA" w:rsidRDefault="004B48E3" w:rsidP="0084535B">
            <w:pPr>
              <w:spacing w:before="0" w:line="240" w:lineRule="auto"/>
              <w:jc w:val="left"/>
            </w:pPr>
            <w:r>
              <w:t>Ratio of lone parents</w:t>
            </w:r>
          </w:p>
        </w:tc>
        <w:tc>
          <w:tcPr>
            <w:tcW w:w="625" w:type="pct"/>
          </w:tcPr>
          <w:p w:rsidR="004B48E3" w:rsidRDefault="004B48E3" w:rsidP="0084535B">
            <w:pPr>
              <w:spacing w:before="0" w:line="240" w:lineRule="auto"/>
              <w:jc w:val="left"/>
            </w:pPr>
            <w:r>
              <w:t>2001</w:t>
            </w:r>
          </w:p>
        </w:tc>
        <w:tc>
          <w:tcPr>
            <w:tcW w:w="624" w:type="pct"/>
            <w:shd w:val="clear" w:color="auto" w:fill="auto"/>
          </w:tcPr>
          <w:p w:rsidR="004B48E3" w:rsidRPr="006C3BAA" w:rsidRDefault="004B48E3" w:rsidP="0084535B">
            <w:pPr>
              <w:spacing w:before="0" w:line="240" w:lineRule="auto"/>
              <w:jc w:val="left"/>
            </w:pPr>
            <w:r>
              <w:t>Census</w:t>
            </w:r>
          </w:p>
        </w:tc>
        <w:tc>
          <w:tcPr>
            <w:tcW w:w="624" w:type="pct"/>
          </w:tcPr>
          <w:p w:rsidR="004B48E3" w:rsidRDefault="004B48E3" w:rsidP="0084535B">
            <w:pPr>
              <w:spacing w:before="0" w:line="240" w:lineRule="auto"/>
              <w:jc w:val="left"/>
            </w:pPr>
          </w:p>
        </w:tc>
        <w:tc>
          <w:tcPr>
            <w:tcW w:w="623" w:type="pct"/>
          </w:tcPr>
          <w:p w:rsidR="004B48E3" w:rsidRDefault="004B48E3" w:rsidP="0084535B">
            <w:pPr>
              <w:spacing w:before="0" w:line="240" w:lineRule="auto"/>
              <w:jc w:val="left"/>
            </w:pPr>
          </w:p>
        </w:tc>
      </w:tr>
      <w:tr w:rsidR="004B48E3" w:rsidRPr="006C3BAA" w:rsidTr="004B48E3">
        <w:tc>
          <w:tcPr>
            <w:tcW w:w="627" w:type="pct"/>
            <w:vMerge/>
            <w:shd w:val="clear" w:color="auto" w:fill="auto"/>
          </w:tcPr>
          <w:p w:rsidR="004B48E3" w:rsidRPr="006C3BAA" w:rsidRDefault="004B48E3" w:rsidP="0084535B">
            <w:pPr>
              <w:spacing w:before="0" w:line="240" w:lineRule="auto"/>
              <w:jc w:val="left"/>
            </w:pPr>
          </w:p>
        </w:tc>
        <w:tc>
          <w:tcPr>
            <w:tcW w:w="627" w:type="pct"/>
            <w:vMerge/>
            <w:shd w:val="clear" w:color="auto" w:fill="auto"/>
          </w:tcPr>
          <w:p w:rsidR="004B48E3" w:rsidRDefault="004B48E3" w:rsidP="0084535B">
            <w:pPr>
              <w:spacing w:before="0" w:line="240" w:lineRule="auto"/>
              <w:jc w:val="left"/>
            </w:pPr>
          </w:p>
        </w:tc>
        <w:tc>
          <w:tcPr>
            <w:tcW w:w="625" w:type="pct"/>
            <w:vMerge/>
            <w:shd w:val="clear" w:color="auto" w:fill="auto"/>
          </w:tcPr>
          <w:p w:rsidR="004B48E3" w:rsidRDefault="004B48E3" w:rsidP="0084535B">
            <w:pPr>
              <w:spacing w:before="0" w:line="240" w:lineRule="auto"/>
              <w:jc w:val="left"/>
            </w:pPr>
          </w:p>
        </w:tc>
        <w:tc>
          <w:tcPr>
            <w:tcW w:w="625" w:type="pct"/>
            <w:shd w:val="clear" w:color="auto" w:fill="auto"/>
          </w:tcPr>
          <w:p w:rsidR="004B48E3" w:rsidRPr="006C3BAA" w:rsidRDefault="004B48E3" w:rsidP="0084535B">
            <w:pPr>
              <w:spacing w:before="0" w:line="240" w:lineRule="auto"/>
              <w:jc w:val="left"/>
            </w:pPr>
            <w:r>
              <w:t>Average household size</w:t>
            </w:r>
          </w:p>
        </w:tc>
        <w:tc>
          <w:tcPr>
            <w:tcW w:w="625" w:type="pct"/>
          </w:tcPr>
          <w:p w:rsidR="004B48E3" w:rsidRDefault="004B48E3" w:rsidP="0084535B">
            <w:pPr>
              <w:spacing w:before="0" w:line="240" w:lineRule="auto"/>
              <w:jc w:val="left"/>
            </w:pPr>
            <w:r>
              <w:t>2001</w:t>
            </w:r>
          </w:p>
        </w:tc>
        <w:tc>
          <w:tcPr>
            <w:tcW w:w="624" w:type="pct"/>
            <w:shd w:val="clear" w:color="auto" w:fill="auto"/>
          </w:tcPr>
          <w:p w:rsidR="004B48E3" w:rsidRPr="006C3BAA" w:rsidRDefault="004B48E3" w:rsidP="0084535B">
            <w:pPr>
              <w:spacing w:before="0" w:line="240" w:lineRule="auto"/>
              <w:jc w:val="left"/>
            </w:pPr>
            <w:r>
              <w:t>Census</w:t>
            </w:r>
          </w:p>
        </w:tc>
        <w:tc>
          <w:tcPr>
            <w:tcW w:w="624" w:type="pct"/>
          </w:tcPr>
          <w:p w:rsidR="004B48E3" w:rsidRDefault="004B48E3" w:rsidP="0084535B">
            <w:pPr>
              <w:spacing w:before="0" w:line="240" w:lineRule="auto"/>
              <w:jc w:val="left"/>
            </w:pPr>
          </w:p>
        </w:tc>
        <w:tc>
          <w:tcPr>
            <w:tcW w:w="623" w:type="pct"/>
          </w:tcPr>
          <w:p w:rsidR="004B48E3" w:rsidRDefault="004B48E3" w:rsidP="0084535B">
            <w:pPr>
              <w:spacing w:before="0" w:line="240" w:lineRule="auto"/>
              <w:jc w:val="left"/>
            </w:pPr>
          </w:p>
        </w:tc>
      </w:tr>
      <w:tr w:rsidR="004B48E3" w:rsidRPr="006C3BAA" w:rsidTr="000917E0">
        <w:tc>
          <w:tcPr>
            <w:tcW w:w="627" w:type="pct"/>
            <w:vMerge/>
            <w:shd w:val="clear" w:color="auto" w:fill="auto"/>
          </w:tcPr>
          <w:p w:rsidR="004B48E3" w:rsidRPr="006C3BAA" w:rsidRDefault="004B48E3" w:rsidP="0084535B">
            <w:pPr>
              <w:spacing w:before="0" w:line="240" w:lineRule="auto"/>
              <w:jc w:val="left"/>
            </w:pPr>
          </w:p>
        </w:tc>
        <w:tc>
          <w:tcPr>
            <w:tcW w:w="627" w:type="pct"/>
            <w:vMerge/>
            <w:shd w:val="clear" w:color="auto" w:fill="auto"/>
          </w:tcPr>
          <w:p w:rsidR="004B48E3" w:rsidRDefault="004B48E3" w:rsidP="0084535B">
            <w:pPr>
              <w:spacing w:before="0" w:line="240" w:lineRule="auto"/>
              <w:jc w:val="left"/>
            </w:pPr>
          </w:p>
        </w:tc>
        <w:tc>
          <w:tcPr>
            <w:tcW w:w="625" w:type="pct"/>
            <w:vMerge/>
            <w:shd w:val="clear" w:color="auto" w:fill="auto"/>
          </w:tcPr>
          <w:p w:rsidR="004B48E3" w:rsidRDefault="004B48E3" w:rsidP="0084535B">
            <w:pPr>
              <w:spacing w:before="0" w:line="240" w:lineRule="auto"/>
              <w:jc w:val="left"/>
            </w:pPr>
          </w:p>
        </w:tc>
        <w:tc>
          <w:tcPr>
            <w:tcW w:w="625" w:type="pct"/>
            <w:shd w:val="clear" w:color="auto" w:fill="auto"/>
          </w:tcPr>
          <w:p w:rsidR="004B48E3" w:rsidRPr="006C3BAA" w:rsidRDefault="004B48E3" w:rsidP="0084535B">
            <w:pPr>
              <w:spacing w:before="0" w:line="240" w:lineRule="auto"/>
              <w:jc w:val="left"/>
            </w:pPr>
            <w:r>
              <w:t>Ratio of households with 6 or more persons</w:t>
            </w:r>
          </w:p>
        </w:tc>
        <w:tc>
          <w:tcPr>
            <w:tcW w:w="625" w:type="pct"/>
          </w:tcPr>
          <w:p w:rsidR="004B48E3" w:rsidRDefault="004B48E3" w:rsidP="0084535B">
            <w:pPr>
              <w:spacing w:before="0" w:line="240" w:lineRule="auto"/>
              <w:jc w:val="left"/>
            </w:pPr>
            <w:r>
              <w:t>2001, 2011</w:t>
            </w:r>
          </w:p>
        </w:tc>
        <w:tc>
          <w:tcPr>
            <w:tcW w:w="624" w:type="pct"/>
            <w:shd w:val="clear" w:color="auto" w:fill="auto"/>
          </w:tcPr>
          <w:p w:rsidR="004B48E3" w:rsidRPr="006C3BAA" w:rsidRDefault="004B48E3" w:rsidP="0084535B">
            <w:pPr>
              <w:spacing w:before="0" w:line="240" w:lineRule="auto"/>
              <w:jc w:val="left"/>
            </w:pPr>
            <w:r>
              <w:t>Census</w:t>
            </w:r>
          </w:p>
        </w:tc>
        <w:tc>
          <w:tcPr>
            <w:tcW w:w="624" w:type="pct"/>
            <w:shd w:val="clear" w:color="auto" w:fill="FFC000"/>
          </w:tcPr>
          <w:p w:rsidR="004B48E3" w:rsidRDefault="002C6F43" w:rsidP="0084535B">
            <w:pPr>
              <w:spacing w:before="0" w:line="240" w:lineRule="auto"/>
              <w:jc w:val="left"/>
            </w:pPr>
            <w:r w:rsidRPr="002C6F43">
              <w:t>+++-(+)(+/-)</w:t>
            </w:r>
          </w:p>
        </w:tc>
        <w:tc>
          <w:tcPr>
            <w:tcW w:w="623" w:type="pct"/>
          </w:tcPr>
          <w:p w:rsidR="004B48E3" w:rsidRDefault="004B48E3" w:rsidP="0084535B">
            <w:pPr>
              <w:spacing w:before="0" w:line="240" w:lineRule="auto"/>
              <w:jc w:val="left"/>
            </w:pPr>
            <w:r>
              <w:t>Yes</w:t>
            </w:r>
          </w:p>
        </w:tc>
      </w:tr>
      <w:tr w:rsidR="004B48E3" w:rsidRPr="006C3BAA" w:rsidTr="000917E0">
        <w:tc>
          <w:tcPr>
            <w:tcW w:w="627" w:type="pct"/>
            <w:vMerge w:val="restart"/>
            <w:shd w:val="clear" w:color="auto" w:fill="auto"/>
          </w:tcPr>
          <w:p w:rsidR="004B48E3" w:rsidRPr="006C3BAA" w:rsidRDefault="004B48E3" w:rsidP="0084535B">
            <w:pPr>
              <w:spacing w:before="0" w:line="240" w:lineRule="auto"/>
              <w:jc w:val="left"/>
            </w:pPr>
            <w:r w:rsidRPr="006C3BAA">
              <w:t>Political participation</w:t>
            </w:r>
          </w:p>
        </w:tc>
        <w:tc>
          <w:tcPr>
            <w:tcW w:w="627" w:type="pct"/>
            <w:shd w:val="clear" w:color="auto" w:fill="auto"/>
          </w:tcPr>
          <w:p w:rsidR="004B48E3" w:rsidRPr="006C3BAA" w:rsidRDefault="004B48E3" w:rsidP="0084535B">
            <w:pPr>
              <w:spacing w:before="0" w:line="240" w:lineRule="auto"/>
              <w:jc w:val="left"/>
            </w:pPr>
            <w:r w:rsidRPr="006C3BAA">
              <w:t>Citizenship</w:t>
            </w:r>
          </w:p>
        </w:tc>
        <w:tc>
          <w:tcPr>
            <w:tcW w:w="625" w:type="pct"/>
            <w:shd w:val="clear" w:color="auto" w:fill="auto"/>
          </w:tcPr>
          <w:p w:rsidR="004B48E3" w:rsidRPr="006C3BAA" w:rsidRDefault="004B48E3" w:rsidP="0084535B">
            <w:pPr>
              <w:spacing w:before="0" w:line="240" w:lineRule="auto"/>
              <w:jc w:val="left"/>
            </w:pPr>
            <w:r w:rsidRPr="006C3BAA">
              <w:t>–</w:t>
            </w:r>
          </w:p>
        </w:tc>
        <w:tc>
          <w:tcPr>
            <w:tcW w:w="625" w:type="pct"/>
            <w:shd w:val="clear" w:color="auto" w:fill="auto"/>
          </w:tcPr>
          <w:p w:rsidR="004B48E3" w:rsidRPr="006C3BAA" w:rsidRDefault="004B48E3" w:rsidP="0084535B">
            <w:pPr>
              <w:spacing w:before="0" w:line="240" w:lineRule="auto"/>
              <w:jc w:val="left"/>
            </w:pPr>
            <w:r>
              <w:t>Ratio of population not citizens of the country</w:t>
            </w:r>
          </w:p>
        </w:tc>
        <w:tc>
          <w:tcPr>
            <w:tcW w:w="625" w:type="pct"/>
          </w:tcPr>
          <w:p w:rsidR="004B48E3" w:rsidRDefault="004B48E3" w:rsidP="0084535B">
            <w:pPr>
              <w:spacing w:before="0" w:line="240" w:lineRule="auto"/>
              <w:jc w:val="left"/>
            </w:pPr>
            <w:r>
              <w:t>2001, 2011</w:t>
            </w:r>
          </w:p>
        </w:tc>
        <w:tc>
          <w:tcPr>
            <w:tcW w:w="624" w:type="pct"/>
            <w:shd w:val="clear" w:color="auto" w:fill="auto"/>
          </w:tcPr>
          <w:p w:rsidR="004B48E3" w:rsidRPr="006C3BAA" w:rsidRDefault="004B48E3" w:rsidP="0084535B">
            <w:pPr>
              <w:spacing w:before="0" w:line="240" w:lineRule="auto"/>
              <w:jc w:val="left"/>
            </w:pPr>
            <w:r>
              <w:t>Census</w:t>
            </w:r>
          </w:p>
        </w:tc>
        <w:tc>
          <w:tcPr>
            <w:tcW w:w="624" w:type="pct"/>
            <w:shd w:val="clear" w:color="auto" w:fill="FFC000"/>
          </w:tcPr>
          <w:p w:rsidR="004B48E3" w:rsidRDefault="002C6F43" w:rsidP="0084535B">
            <w:pPr>
              <w:spacing w:before="0" w:line="240" w:lineRule="auto"/>
              <w:jc w:val="left"/>
            </w:pPr>
            <w:r w:rsidRPr="002C6F43">
              <w:t>+++-(+)(+/-)</w:t>
            </w:r>
          </w:p>
        </w:tc>
        <w:tc>
          <w:tcPr>
            <w:tcW w:w="623" w:type="pct"/>
          </w:tcPr>
          <w:p w:rsidR="004B48E3" w:rsidRDefault="00031F5B" w:rsidP="0084535B">
            <w:pPr>
              <w:spacing w:before="0" w:line="240" w:lineRule="auto"/>
              <w:jc w:val="left"/>
            </w:pPr>
            <w:r>
              <w:t>(</w:t>
            </w:r>
            <w:r w:rsidR="004B48E3">
              <w:t>Yes</w:t>
            </w:r>
            <w:r>
              <w:t>)</w:t>
            </w:r>
          </w:p>
        </w:tc>
      </w:tr>
      <w:tr w:rsidR="004B48E3" w:rsidRPr="006C3BAA" w:rsidTr="004B48E3">
        <w:tc>
          <w:tcPr>
            <w:tcW w:w="627" w:type="pct"/>
            <w:vMerge/>
            <w:shd w:val="clear" w:color="auto" w:fill="auto"/>
          </w:tcPr>
          <w:p w:rsidR="004B48E3" w:rsidRPr="006C3BAA" w:rsidRDefault="004B48E3" w:rsidP="0084535B">
            <w:pPr>
              <w:spacing w:before="0" w:line="240" w:lineRule="auto"/>
              <w:jc w:val="left"/>
            </w:pPr>
          </w:p>
        </w:tc>
        <w:tc>
          <w:tcPr>
            <w:tcW w:w="627" w:type="pct"/>
            <w:shd w:val="clear" w:color="auto" w:fill="auto"/>
          </w:tcPr>
          <w:p w:rsidR="004B48E3" w:rsidRPr="006C3BAA" w:rsidRDefault="004B48E3" w:rsidP="0084535B">
            <w:pPr>
              <w:spacing w:before="0" w:line="240" w:lineRule="auto"/>
              <w:jc w:val="left"/>
            </w:pPr>
            <w:r w:rsidRPr="006C3BAA">
              <w:t>Voters</w:t>
            </w:r>
          </w:p>
        </w:tc>
        <w:tc>
          <w:tcPr>
            <w:tcW w:w="625" w:type="pct"/>
            <w:shd w:val="clear" w:color="auto" w:fill="auto"/>
          </w:tcPr>
          <w:p w:rsidR="004B48E3" w:rsidRPr="006C3BAA" w:rsidRDefault="004B48E3" w:rsidP="0084535B">
            <w:pPr>
              <w:spacing w:before="0" w:line="240" w:lineRule="auto"/>
              <w:jc w:val="left"/>
            </w:pPr>
            <w:r w:rsidRPr="006C3BAA">
              <w:t>–</w:t>
            </w:r>
          </w:p>
        </w:tc>
        <w:tc>
          <w:tcPr>
            <w:tcW w:w="625" w:type="pct"/>
            <w:shd w:val="clear" w:color="auto" w:fill="auto"/>
          </w:tcPr>
          <w:p w:rsidR="004B48E3" w:rsidRPr="006C3BAA" w:rsidRDefault="004B48E3" w:rsidP="0084535B">
            <w:pPr>
              <w:spacing w:before="0" w:line="240" w:lineRule="auto"/>
              <w:jc w:val="left"/>
            </w:pPr>
            <w:r>
              <w:t>–</w:t>
            </w:r>
          </w:p>
        </w:tc>
        <w:tc>
          <w:tcPr>
            <w:tcW w:w="625" w:type="pct"/>
          </w:tcPr>
          <w:p w:rsidR="004B48E3" w:rsidRDefault="004B48E3" w:rsidP="0084535B">
            <w:pPr>
              <w:spacing w:before="0" w:line="240" w:lineRule="auto"/>
              <w:jc w:val="left"/>
            </w:pPr>
            <w:r>
              <w:t>–</w:t>
            </w:r>
          </w:p>
        </w:tc>
        <w:tc>
          <w:tcPr>
            <w:tcW w:w="624" w:type="pct"/>
            <w:shd w:val="clear" w:color="auto" w:fill="auto"/>
          </w:tcPr>
          <w:p w:rsidR="004B48E3" w:rsidRPr="006C3BAA" w:rsidRDefault="004B48E3" w:rsidP="0084535B">
            <w:pPr>
              <w:spacing w:before="0" w:line="240" w:lineRule="auto"/>
              <w:jc w:val="left"/>
            </w:pPr>
            <w:r>
              <w:t>–</w:t>
            </w:r>
          </w:p>
        </w:tc>
        <w:tc>
          <w:tcPr>
            <w:tcW w:w="624" w:type="pct"/>
          </w:tcPr>
          <w:p w:rsidR="004B48E3" w:rsidRDefault="004B48E3" w:rsidP="0084535B">
            <w:pPr>
              <w:spacing w:before="0" w:line="240" w:lineRule="auto"/>
              <w:jc w:val="left"/>
            </w:pPr>
          </w:p>
        </w:tc>
        <w:tc>
          <w:tcPr>
            <w:tcW w:w="623" w:type="pct"/>
          </w:tcPr>
          <w:p w:rsidR="004B48E3" w:rsidRDefault="004B48E3" w:rsidP="0084535B">
            <w:pPr>
              <w:spacing w:before="0" w:line="240" w:lineRule="auto"/>
              <w:jc w:val="left"/>
            </w:pPr>
          </w:p>
        </w:tc>
      </w:tr>
      <w:tr w:rsidR="004B48E3" w:rsidRPr="006C3BAA" w:rsidTr="004B48E3">
        <w:tc>
          <w:tcPr>
            <w:tcW w:w="627" w:type="pct"/>
            <w:vMerge/>
            <w:shd w:val="clear" w:color="auto" w:fill="auto"/>
          </w:tcPr>
          <w:p w:rsidR="004B48E3" w:rsidRPr="006C3BAA" w:rsidRDefault="004B48E3" w:rsidP="0084535B">
            <w:pPr>
              <w:spacing w:before="0" w:line="240" w:lineRule="auto"/>
              <w:jc w:val="left"/>
            </w:pPr>
          </w:p>
        </w:tc>
        <w:tc>
          <w:tcPr>
            <w:tcW w:w="627" w:type="pct"/>
            <w:vMerge w:val="restart"/>
            <w:shd w:val="clear" w:color="auto" w:fill="auto"/>
          </w:tcPr>
          <w:p w:rsidR="004B48E3" w:rsidRPr="006C3BAA" w:rsidRDefault="004B48E3" w:rsidP="0084535B">
            <w:pPr>
              <w:spacing w:before="0" w:line="240" w:lineRule="auto"/>
              <w:jc w:val="left"/>
            </w:pPr>
            <w:r w:rsidRPr="006C3BAA">
              <w:t>Civic engagement</w:t>
            </w:r>
          </w:p>
        </w:tc>
        <w:tc>
          <w:tcPr>
            <w:tcW w:w="625" w:type="pct"/>
            <w:shd w:val="clear" w:color="auto" w:fill="auto"/>
          </w:tcPr>
          <w:p w:rsidR="004B48E3" w:rsidRPr="006C3BAA" w:rsidRDefault="004B48E3" w:rsidP="0084535B">
            <w:pPr>
              <w:spacing w:before="0" w:line="240" w:lineRule="auto"/>
              <w:jc w:val="left"/>
            </w:pPr>
            <w:r w:rsidRPr="006C3BAA">
              <w:t>NGOs</w:t>
            </w:r>
          </w:p>
        </w:tc>
        <w:tc>
          <w:tcPr>
            <w:tcW w:w="625" w:type="pct"/>
            <w:shd w:val="clear" w:color="auto" w:fill="auto"/>
          </w:tcPr>
          <w:p w:rsidR="004B48E3" w:rsidRPr="006C3BAA" w:rsidRDefault="004B48E3" w:rsidP="0084535B">
            <w:pPr>
              <w:spacing w:before="0" w:line="240" w:lineRule="auto"/>
              <w:jc w:val="left"/>
            </w:pPr>
            <w:r>
              <w:t>–</w:t>
            </w:r>
          </w:p>
        </w:tc>
        <w:tc>
          <w:tcPr>
            <w:tcW w:w="625" w:type="pct"/>
          </w:tcPr>
          <w:p w:rsidR="004B48E3" w:rsidRDefault="004B48E3" w:rsidP="0084535B">
            <w:pPr>
              <w:spacing w:before="0" w:line="240" w:lineRule="auto"/>
              <w:jc w:val="left"/>
            </w:pPr>
            <w:r>
              <w:t>–</w:t>
            </w:r>
          </w:p>
        </w:tc>
        <w:tc>
          <w:tcPr>
            <w:tcW w:w="624" w:type="pct"/>
            <w:shd w:val="clear" w:color="auto" w:fill="auto"/>
          </w:tcPr>
          <w:p w:rsidR="004B48E3" w:rsidRPr="006C3BAA" w:rsidRDefault="004B48E3" w:rsidP="0084535B">
            <w:pPr>
              <w:spacing w:before="0" w:line="240" w:lineRule="auto"/>
              <w:jc w:val="left"/>
            </w:pPr>
            <w:r>
              <w:t>–</w:t>
            </w:r>
          </w:p>
        </w:tc>
        <w:tc>
          <w:tcPr>
            <w:tcW w:w="624" w:type="pct"/>
          </w:tcPr>
          <w:p w:rsidR="004B48E3" w:rsidRDefault="004B48E3" w:rsidP="0084535B">
            <w:pPr>
              <w:spacing w:before="0" w:line="240" w:lineRule="auto"/>
              <w:jc w:val="left"/>
            </w:pPr>
          </w:p>
        </w:tc>
        <w:tc>
          <w:tcPr>
            <w:tcW w:w="623" w:type="pct"/>
          </w:tcPr>
          <w:p w:rsidR="004B48E3" w:rsidRDefault="004B48E3" w:rsidP="0084535B">
            <w:pPr>
              <w:spacing w:before="0" w:line="240" w:lineRule="auto"/>
              <w:jc w:val="left"/>
            </w:pPr>
          </w:p>
        </w:tc>
      </w:tr>
      <w:tr w:rsidR="004B48E3" w:rsidRPr="006C3BAA" w:rsidTr="004B48E3">
        <w:tc>
          <w:tcPr>
            <w:tcW w:w="627" w:type="pct"/>
            <w:vMerge/>
            <w:shd w:val="clear" w:color="auto" w:fill="auto"/>
          </w:tcPr>
          <w:p w:rsidR="004B48E3" w:rsidRPr="006C3BAA" w:rsidRDefault="004B48E3" w:rsidP="0084535B">
            <w:pPr>
              <w:spacing w:before="0" w:line="240" w:lineRule="auto"/>
              <w:jc w:val="left"/>
            </w:pPr>
          </w:p>
        </w:tc>
        <w:tc>
          <w:tcPr>
            <w:tcW w:w="627" w:type="pct"/>
            <w:vMerge/>
            <w:shd w:val="clear" w:color="auto" w:fill="auto"/>
          </w:tcPr>
          <w:p w:rsidR="004B48E3" w:rsidRPr="006C3BAA" w:rsidRDefault="004B48E3" w:rsidP="0084535B">
            <w:pPr>
              <w:spacing w:before="0" w:line="240" w:lineRule="auto"/>
              <w:jc w:val="left"/>
            </w:pPr>
          </w:p>
        </w:tc>
        <w:tc>
          <w:tcPr>
            <w:tcW w:w="625" w:type="pct"/>
            <w:shd w:val="clear" w:color="auto" w:fill="auto"/>
          </w:tcPr>
          <w:p w:rsidR="004B48E3" w:rsidRPr="006C3BAA" w:rsidRDefault="004B48E3" w:rsidP="0084535B">
            <w:pPr>
              <w:spacing w:before="0" w:line="240" w:lineRule="auto"/>
              <w:jc w:val="left"/>
            </w:pPr>
            <w:r w:rsidRPr="006C3BAA">
              <w:t>Members of NGOs</w:t>
            </w:r>
          </w:p>
        </w:tc>
        <w:tc>
          <w:tcPr>
            <w:tcW w:w="625" w:type="pct"/>
            <w:shd w:val="clear" w:color="auto" w:fill="auto"/>
          </w:tcPr>
          <w:p w:rsidR="004B48E3" w:rsidRPr="006C3BAA" w:rsidRDefault="004B48E3" w:rsidP="0084535B">
            <w:pPr>
              <w:spacing w:before="0" w:line="240" w:lineRule="auto"/>
              <w:jc w:val="left"/>
            </w:pPr>
            <w:r>
              <w:t>–</w:t>
            </w:r>
          </w:p>
        </w:tc>
        <w:tc>
          <w:tcPr>
            <w:tcW w:w="625" w:type="pct"/>
          </w:tcPr>
          <w:p w:rsidR="004B48E3" w:rsidRDefault="004B48E3" w:rsidP="0084535B">
            <w:pPr>
              <w:spacing w:before="0" w:line="240" w:lineRule="auto"/>
              <w:jc w:val="left"/>
            </w:pPr>
            <w:r>
              <w:t>–</w:t>
            </w:r>
          </w:p>
        </w:tc>
        <w:tc>
          <w:tcPr>
            <w:tcW w:w="624" w:type="pct"/>
            <w:shd w:val="clear" w:color="auto" w:fill="auto"/>
          </w:tcPr>
          <w:p w:rsidR="004B48E3" w:rsidRPr="006C3BAA" w:rsidRDefault="004B48E3" w:rsidP="0084535B">
            <w:pPr>
              <w:spacing w:before="0" w:line="240" w:lineRule="auto"/>
              <w:jc w:val="left"/>
            </w:pPr>
            <w:r>
              <w:t>–</w:t>
            </w:r>
          </w:p>
        </w:tc>
        <w:tc>
          <w:tcPr>
            <w:tcW w:w="624" w:type="pct"/>
          </w:tcPr>
          <w:p w:rsidR="004B48E3" w:rsidRDefault="004B48E3" w:rsidP="0084535B">
            <w:pPr>
              <w:spacing w:before="0" w:line="240" w:lineRule="auto"/>
              <w:jc w:val="left"/>
            </w:pPr>
          </w:p>
        </w:tc>
        <w:tc>
          <w:tcPr>
            <w:tcW w:w="623" w:type="pct"/>
          </w:tcPr>
          <w:p w:rsidR="004B48E3" w:rsidRDefault="004B48E3" w:rsidP="0084535B">
            <w:pPr>
              <w:spacing w:before="0" w:line="240" w:lineRule="auto"/>
              <w:jc w:val="left"/>
            </w:pPr>
          </w:p>
        </w:tc>
      </w:tr>
    </w:tbl>
    <w:p w:rsidR="002C6F43" w:rsidRPr="002C6F43" w:rsidRDefault="000917E0" w:rsidP="002C6F43">
      <w:pPr>
        <w:rPr>
          <w:i/>
        </w:rPr>
      </w:pPr>
      <w:r>
        <w:rPr>
          <w:i/>
        </w:rPr>
        <w:t>*</w:t>
      </w:r>
      <w:r w:rsidR="002C6F43" w:rsidRPr="002C6F43">
        <w:t xml:space="preserve"> </w:t>
      </w:r>
      <w:r w:rsidR="002C6F43" w:rsidRPr="002C6F43">
        <w:rPr>
          <w:i/>
        </w:rPr>
        <w:t>Order of signals: Coverage, Harmonization, Discrimination, Interpretation (NUTS level</w:t>
      </w:r>
      <w:proofErr w:type="gramStart"/>
      <w:r w:rsidR="002C6F43" w:rsidRPr="002C6F43">
        <w:rPr>
          <w:i/>
        </w:rPr>
        <w:t>)(</w:t>
      </w:r>
      <w:proofErr w:type="gramEnd"/>
      <w:r w:rsidR="002C6F43" w:rsidRPr="002C6F43">
        <w:rPr>
          <w:i/>
        </w:rPr>
        <w:t xml:space="preserve">relevance) </w:t>
      </w:r>
    </w:p>
    <w:p w:rsidR="002C6F43" w:rsidRPr="002C6F43" w:rsidRDefault="002C6F43" w:rsidP="002C6F43">
      <w:pPr>
        <w:rPr>
          <w:i/>
        </w:rPr>
      </w:pPr>
      <w:r w:rsidRPr="002C6F43">
        <w:rPr>
          <w:i/>
        </w:rPr>
        <w:t>Meaning of signals: +=basically positive, -=basically negative, NUTS+, lover NUTS=-, (in case of SE relevance: +/- the relevance is not straightforward)</w:t>
      </w:r>
    </w:p>
    <w:p w:rsidR="002C6F43" w:rsidRDefault="002C6F43" w:rsidP="002C6F43">
      <w:r w:rsidRPr="002C6F43">
        <w:rPr>
          <w:i/>
        </w:rPr>
        <w:t>Scoring: two + criteria were conditional to amber, (+) NUTS 3 availability of data and (+) relevance to PSE were conditional to green</w:t>
      </w:r>
    </w:p>
    <w:p w:rsidR="000917E0" w:rsidRDefault="000917E0" w:rsidP="00A007DC">
      <w:pPr>
        <w:sectPr w:rsidR="000917E0" w:rsidSect="00E6231A">
          <w:footerReference w:type="default" r:id="rId15"/>
          <w:pgSz w:w="16840" w:h="11900" w:orient="landscape"/>
          <w:pgMar w:top="1800" w:right="1440" w:bottom="1800" w:left="1440" w:header="708" w:footer="708" w:gutter="0"/>
          <w:cols w:space="708"/>
          <w:docGrid w:linePitch="299"/>
        </w:sectPr>
      </w:pPr>
    </w:p>
    <w:p w:rsidR="00A007DC" w:rsidRPr="006C3BAA" w:rsidRDefault="00A007DC" w:rsidP="00A007DC">
      <w:r w:rsidRPr="006C3BAA">
        <w:lastRenderedPageBreak/>
        <w:t xml:space="preserve">Further considerations </w:t>
      </w:r>
      <w:r w:rsidR="00464B49">
        <w:t xml:space="preserve">were </w:t>
      </w:r>
      <w:r w:rsidRPr="006C3BAA">
        <w:t xml:space="preserve">made </w:t>
      </w:r>
      <w:r w:rsidR="00464B49">
        <w:t xml:space="preserve">during the implementation phase </w:t>
      </w:r>
      <w:r w:rsidRPr="006C3BAA">
        <w:t xml:space="preserve">whether to use other data sources from all of ESPON countries’ national statistical offices and other official or non-official data producers. This exercise is however not easy, as the </w:t>
      </w:r>
      <w:proofErr w:type="spellStart"/>
      <w:r w:rsidRPr="006C3BAA">
        <w:t>TiPSE</w:t>
      </w:r>
      <w:proofErr w:type="spellEnd"/>
      <w:r w:rsidRPr="006C3BAA">
        <w:t xml:space="preserve"> project and </w:t>
      </w:r>
      <w:proofErr w:type="spellStart"/>
      <w:r w:rsidRPr="006C3BAA">
        <w:t>TiPSE’s</w:t>
      </w:r>
      <w:proofErr w:type="spellEnd"/>
      <w:r w:rsidRPr="006C3BAA">
        <w:t xml:space="preserve"> project partners </w:t>
      </w:r>
      <w:proofErr w:type="gramStart"/>
      <w:r w:rsidRPr="006C3BAA">
        <w:t>do</w:t>
      </w:r>
      <w:proofErr w:type="gramEnd"/>
      <w:r w:rsidRPr="006C3BAA">
        <w:t xml:space="preserve"> not possess capabilities of a statistical institution in harmonising different datasets which u</w:t>
      </w:r>
      <w:r w:rsidR="00464B49">
        <w:t>se different methodologies. A value-added of this project is that project partners have collected some 2001 and 2011 census data for many dimensions of social exclusion from official national sources; these datasets have be</w:t>
      </w:r>
      <w:r w:rsidR="00D57979">
        <w:t xml:space="preserve">en integrated and are part of Task </w:t>
      </w:r>
      <w:r w:rsidR="00464B49">
        <w:t>2.3 (</w:t>
      </w:r>
      <w:proofErr w:type="spellStart"/>
      <w:r w:rsidR="00464B49">
        <w:t>TiPSE</w:t>
      </w:r>
      <w:proofErr w:type="spellEnd"/>
      <w:r w:rsidR="00464B49">
        <w:t xml:space="preserve"> database).</w:t>
      </w:r>
    </w:p>
    <w:p w:rsidR="00A007DC" w:rsidRDefault="00A007DC" w:rsidP="00A007DC">
      <w:r w:rsidRPr="006C3BAA">
        <w:t xml:space="preserve">Several studies use survey-based data indicators in identifying causes and consequences of social exclusion. Thereby, they try to tackle shortcomings of above-mentioned understandings, for example </w:t>
      </w:r>
      <w:r w:rsidR="00464B49">
        <w:t xml:space="preserve">that </w:t>
      </w:r>
      <w:r w:rsidRPr="006C3BAA">
        <w:t xml:space="preserve">the </w:t>
      </w:r>
      <w:proofErr w:type="spellStart"/>
      <w:r w:rsidRPr="006C3BAA">
        <w:t>Laeken</w:t>
      </w:r>
      <w:proofErr w:type="spellEnd"/>
      <w:r w:rsidRPr="006C3BAA">
        <w:t xml:space="preserve"> indicators do not include any measurement of social isolation or subject</w:t>
      </w:r>
      <w:r w:rsidR="006E7486">
        <w:t xml:space="preserve">ive well-being (cf. </w:t>
      </w:r>
      <w:proofErr w:type="spellStart"/>
      <w:r w:rsidR="006E7486">
        <w:t>Lelkes</w:t>
      </w:r>
      <w:proofErr w:type="spellEnd"/>
      <w:r w:rsidR="006E7486">
        <w:t xml:space="preserve"> 2006</w:t>
      </w:r>
      <w:r w:rsidRPr="006C3BAA">
        <w:t xml:space="preserve">). As these kinds of statistics are not available for a cross-European comparison in the above-mentioned databases, ESPON </w:t>
      </w:r>
      <w:proofErr w:type="spellStart"/>
      <w:r w:rsidRPr="006C3BAA">
        <w:t>TiPSE</w:t>
      </w:r>
      <w:proofErr w:type="spellEnd"/>
      <w:r w:rsidRPr="006C3BAA">
        <w:t xml:space="preserve"> does not aim to cover these aspects explicitly. However, some conclusions will </w:t>
      </w:r>
      <w:r w:rsidR="00464B49">
        <w:t xml:space="preserve">still </w:t>
      </w:r>
      <w:r w:rsidRPr="006C3BAA">
        <w:t>be</w:t>
      </w:r>
      <w:r w:rsidR="00D57979">
        <w:t xml:space="preserve"> drawn from the case studies (Task </w:t>
      </w:r>
      <w:r w:rsidRPr="006C3BAA">
        <w:t>2.4) regarding ‘subjective’ dimensions of social exclusion.</w:t>
      </w:r>
    </w:p>
    <w:p w:rsidR="00D434A2" w:rsidRPr="006C3BAA" w:rsidRDefault="00D434A2" w:rsidP="00A007DC"/>
    <w:p w:rsidR="00A007DC" w:rsidRDefault="00A007DC" w:rsidP="00A007DC">
      <w:pPr>
        <w:pStyle w:val="Cmsor1"/>
      </w:pPr>
      <w:bookmarkStart w:id="12" w:name="_Toc401264627"/>
      <w:r w:rsidRPr="006C3BAA">
        <w:t>Methodology</w:t>
      </w:r>
      <w:r w:rsidR="00C75367">
        <w:t xml:space="preserve"> of development and mapping of social exclusion indicators</w:t>
      </w:r>
      <w:bookmarkEnd w:id="12"/>
    </w:p>
    <w:p w:rsidR="00C75367" w:rsidRPr="00C75367" w:rsidRDefault="00C75367" w:rsidP="00C75367">
      <w:pPr>
        <w:pStyle w:val="Cmsor2"/>
      </w:pPr>
      <w:bookmarkStart w:id="13" w:name="_Toc401264628"/>
      <w:r>
        <w:t xml:space="preserve">A review of potential methodologies and the introduction of </w:t>
      </w:r>
      <w:proofErr w:type="spellStart"/>
      <w:r>
        <w:t>TiPSE</w:t>
      </w:r>
      <w:proofErr w:type="spellEnd"/>
      <w:r>
        <w:t xml:space="preserve"> approach</w:t>
      </w:r>
      <w:bookmarkEnd w:id="13"/>
    </w:p>
    <w:p w:rsidR="00A007DC" w:rsidRPr="006C3BAA" w:rsidRDefault="00A007DC" w:rsidP="00A007DC">
      <w:r w:rsidRPr="006C3BAA">
        <w:t>Within the social sciences</w:t>
      </w:r>
      <w:r w:rsidR="003158DA">
        <w:t>’</w:t>
      </w:r>
      <w:r w:rsidRPr="006C3BAA">
        <w:t xml:space="preserve"> research practice several methods exist how to measure multifaceted social phenomena and how to make sense of the world ‘outside’. In this section several options for tackling this issue are discussed</w:t>
      </w:r>
      <w:r w:rsidR="00886DE5">
        <w:t>.</w:t>
      </w:r>
      <w:r w:rsidRPr="006C3BAA">
        <w:t xml:space="preserve"> </w:t>
      </w:r>
      <w:r w:rsidR="00886DE5">
        <w:t>C</w:t>
      </w:r>
      <w:r w:rsidRPr="006C3BAA">
        <w:t>onclu</w:t>
      </w:r>
      <w:r w:rsidR="003158DA">
        <w:t>sions will be drawn for firstly how to measure</w:t>
      </w:r>
      <w:r w:rsidRPr="006C3BAA">
        <w:t xml:space="preserve"> social exclusion in the </w:t>
      </w:r>
      <w:proofErr w:type="spellStart"/>
      <w:r w:rsidRPr="006C3BAA">
        <w:t>TiPSE</w:t>
      </w:r>
      <w:proofErr w:type="spellEnd"/>
      <w:r w:rsidRPr="006C3BAA">
        <w:t xml:space="preserve"> </w:t>
      </w:r>
      <w:proofErr w:type="gramStart"/>
      <w:r w:rsidRPr="006C3BAA">
        <w:t>project</w:t>
      </w:r>
      <w:r w:rsidR="00886DE5">
        <w:t>,</w:t>
      </w:r>
      <w:proofErr w:type="gramEnd"/>
      <w:r w:rsidR="00886DE5">
        <w:t xml:space="preserve"> and</w:t>
      </w:r>
      <w:r w:rsidRPr="006C3BAA">
        <w:t xml:space="preserve"> </w:t>
      </w:r>
      <w:r w:rsidR="00886DE5">
        <w:t>s</w:t>
      </w:r>
      <w:r w:rsidRPr="006C3BAA">
        <w:t xml:space="preserve">econdly certain implications for geographical or territorial analyses will be examined. </w:t>
      </w:r>
    </w:p>
    <w:p w:rsidR="00A007DC" w:rsidRPr="006C3BAA" w:rsidRDefault="00D57979" w:rsidP="00A007DC">
      <w:r>
        <w:t xml:space="preserve">As already outlined in Annex </w:t>
      </w:r>
      <w:r w:rsidR="00A007DC" w:rsidRPr="006C3BAA">
        <w:t xml:space="preserve">1, social exclusion is mostly understood in a </w:t>
      </w:r>
      <w:proofErr w:type="spellStart"/>
      <w:r w:rsidR="00A007DC" w:rsidRPr="006C3BAA">
        <w:t>logocentric</w:t>
      </w:r>
      <w:proofErr w:type="spellEnd"/>
      <w:r w:rsidR="00A007DC" w:rsidRPr="006C3BAA">
        <w:t xml:space="preserve"> way in the literature. This means that social exclusion ‘as such’ is thought of to be </w:t>
      </w:r>
      <w:proofErr w:type="gramStart"/>
      <w:r w:rsidR="00A007DC" w:rsidRPr="006C3BAA">
        <w:t>existing</w:t>
      </w:r>
      <w:proofErr w:type="gramEnd"/>
      <w:r w:rsidR="00A007DC" w:rsidRPr="006C3BAA">
        <w:t xml:space="preserve"> in an ordered world which can be fully accessed by scientific </w:t>
      </w:r>
      <w:r w:rsidR="003158DA">
        <w:t>method</w:t>
      </w:r>
      <w:r w:rsidR="00A007DC" w:rsidRPr="006C3BAA">
        <w:t xml:space="preserve">. This </w:t>
      </w:r>
      <w:r w:rsidR="003158DA">
        <w:t>is practised</w:t>
      </w:r>
      <w:r w:rsidR="00A007DC" w:rsidRPr="006C3BAA">
        <w:t xml:space="preserve"> in </w:t>
      </w:r>
      <w:proofErr w:type="spellStart"/>
      <w:r w:rsidR="00A007DC" w:rsidRPr="006C3BAA">
        <w:t>TiPSE</w:t>
      </w:r>
      <w:proofErr w:type="spellEnd"/>
      <w:r w:rsidR="00A007DC" w:rsidRPr="006C3BAA">
        <w:t xml:space="preserve"> by extensive</w:t>
      </w:r>
      <w:r>
        <w:t xml:space="preserve"> research and quantification (Task 2.3 and Task </w:t>
      </w:r>
      <w:r w:rsidR="00A007DC" w:rsidRPr="006C3BAA">
        <w:t>2.6)</w:t>
      </w:r>
      <w:r w:rsidR="003158DA">
        <w:t xml:space="preserve">, a more qualitative interpretation of </w:t>
      </w:r>
      <w:r>
        <w:t xml:space="preserve">the extensive research phase (Task </w:t>
      </w:r>
      <w:r w:rsidR="003158DA">
        <w:t>2.8)</w:t>
      </w:r>
      <w:r w:rsidR="00A007DC" w:rsidRPr="006C3BAA">
        <w:t xml:space="preserve"> and by intensive </w:t>
      </w:r>
      <w:r>
        <w:t xml:space="preserve">research (Task </w:t>
      </w:r>
      <w:r w:rsidR="00A007DC" w:rsidRPr="006C3BAA">
        <w:t xml:space="preserve">2.4’s case studies) (cf. </w:t>
      </w:r>
      <w:proofErr w:type="spellStart"/>
      <w:r w:rsidR="00A007DC" w:rsidRPr="006C3BAA">
        <w:t>Sayer</w:t>
      </w:r>
      <w:proofErr w:type="spellEnd"/>
      <w:r w:rsidR="00A007DC" w:rsidRPr="006C3BAA">
        <w:t xml:space="preserve">, 1992). In ESPON </w:t>
      </w:r>
      <w:proofErr w:type="spellStart"/>
      <w:r w:rsidR="00A007DC" w:rsidRPr="006C3BAA">
        <w:t>TiPSE</w:t>
      </w:r>
      <w:proofErr w:type="spellEnd"/>
      <w:r w:rsidR="00A007DC" w:rsidRPr="006C3BAA">
        <w:t xml:space="preserve">, data analysis is having less an exploratory character in the sense that understanding of social exclusion as a concept </w:t>
      </w:r>
      <w:r w:rsidR="003158DA">
        <w:t xml:space="preserve">is </w:t>
      </w:r>
      <w:r w:rsidR="00A007DC" w:rsidRPr="006C3BAA">
        <w:t xml:space="preserve">constructed by interpreting datasets. Rather, </w:t>
      </w:r>
      <w:proofErr w:type="spellStart"/>
      <w:r w:rsidR="00A007DC" w:rsidRPr="006C3BAA">
        <w:t>TiPSE</w:t>
      </w:r>
      <w:proofErr w:type="spellEnd"/>
      <w:r w:rsidR="00A007DC" w:rsidRPr="006C3BAA">
        <w:t xml:space="preserve"> uses a deductive way of thinking by constructing domains and dimensions of social exclusion</w:t>
      </w:r>
      <w:r w:rsidR="003158DA">
        <w:t>,</w:t>
      </w:r>
      <w:r w:rsidR="00A007DC" w:rsidRPr="006C3BAA">
        <w:t xml:space="preserve"> before the data collection and mapping exercise starts</w:t>
      </w:r>
      <w:r w:rsidR="003158DA">
        <w:t xml:space="preserve"> (with some fine-tuning during the data collection process)</w:t>
      </w:r>
      <w:r>
        <w:t xml:space="preserve">. Annex </w:t>
      </w:r>
      <w:r w:rsidR="00A007DC" w:rsidRPr="006C3BAA">
        <w:t>1 also referred to social exclusion as a multidimensional phenomenon (or process)</w:t>
      </w:r>
      <w:r w:rsidR="0075151B">
        <w:t>,</w:t>
      </w:r>
      <w:r w:rsidR="00A007DC" w:rsidRPr="006C3BAA">
        <w:t xml:space="preserve"> </w:t>
      </w:r>
      <w:r w:rsidR="003158DA">
        <w:t xml:space="preserve">the </w:t>
      </w:r>
      <w:r w:rsidR="00A007DC" w:rsidRPr="006C3BAA">
        <w:t xml:space="preserve">dimensions </w:t>
      </w:r>
      <w:r w:rsidR="003158DA">
        <w:t xml:space="preserve">of which </w:t>
      </w:r>
      <w:r w:rsidR="00A007DC" w:rsidRPr="006C3BAA">
        <w:lastRenderedPageBreak/>
        <w:t>are intersecting, i.e. there are certain overlaps and/or causal relations between them. The dimensions should be measured by several indicators in the course of any project dealing with multifaceted phenomena.</w:t>
      </w:r>
    </w:p>
    <w:p w:rsidR="00A007DC" w:rsidRPr="006C3BAA" w:rsidRDefault="00A007DC" w:rsidP="00A007DC">
      <w:r w:rsidRPr="006C3BAA">
        <w:t xml:space="preserve">In the quantitative social sciences literature there exist several methods for measuring complex phenomena. The most prevailing methodologies are summarised in Figure 1. </w:t>
      </w:r>
    </w:p>
    <w:p w:rsidR="00A007DC" w:rsidRPr="006C3BAA" w:rsidRDefault="00A007DC" w:rsidP="00A007DC"/>
    <w:p w:rsidR="00A007DC" w:rsidRPr="006C3BAA" w:rsidRDefault="00464B49" w:rsidP="00464B49">
      <w:pPr>
        <w:pStyle w:val="Kpalrs"/>
      </w:pPr>
      <w:bookmarkStart w:id="14" w:name="_Toc401264645"/>
      <w:r>
        <w:t xml:space="preserve">Figure </w:t>
      </w:r>
      <w:r w:rsidR="00CD0272">
        <w:fldChar w:fldCharType="begin"/>
      </w:r>
      <w:r w:rsidR="00B6257D">
        <w:instrText xml:space="preserve"> SEQ Figure \* ARABIC </w:instrText>
      </w:r>
      <w:r w:rsidR="00CD0272">
        <w:fldChar w:fldCharType="separate"/>
      </w:r>
      <w:r w:rsidR="001C6A8D">
        <w:rPr>
          <w:noProof/>
        </w:rPr>
        <w:t>1</w:t>
      </w:r>
      <w:r w:rsidR="00CD0272">
        <w:rPr>
          <w:noProof/>
        </w:rPr>
        <w:fldChar w:fldCharType="end"/>
      </w:r>
      <w:r>
        <w:t>:</w:t>
      </w:r>
      <w:r w:rsidR="00A007DC" w:rsidRPr="006C3BAA">
        <w:t xml:space="preserve"> Measuring compl</w:t>
      </w:r>
      <w:r>
        <w:t xml:space="preserve">ex phenomena: an outline of </w:t>
      </w:r>
      <w:r w:rsidR="00A007DC" w:rsidRPr="006C3BAA">
        <w:t>possible methodologies</w:t>
      </w:r>
      <w:bookmarkEnd w:id="14"/>
    </w:p>
    <w:p w:rsidR="00A007DC" w:rsidRPr="006C3BAA" w:rsidRDefault="00A007DC" w:rsidP="00A007DC">
      <w:r w:rsidRPr="006C3BAA">
        <w:rPr>
          <w:noProof/>
          <w:lang w:val="hu-HU" w:eastAsia="hu-HU"/>
        </w:rPr>
        <w:drawing>
          <wp:inline distT="0" distB="0" distL="0" distR="0">
            <wp:extent cx="5543550" cy="3886200"/>
            <wp:effectExtent l="0" t="0" r="0" b="0"/>
            <wp:docPr id="3" name="Kép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zervezeti diagram 2"/>
                    <pic:cNvPicPr>
                      <a:picLocks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11855" b="-12138"/>
                    <a:stretch>
                      <a:fillRect/>
                    </a:stretch>
                  </pic:blipFill>
                  <pic:spPr bwMode="auto">
                    <a:xfrm>
                      <a:off x="0" y="0"/>
                      <a:ext cx="5543550" cy="3886200"/>
                    </a:xfrm>
                    <a:prstGeom prst="rect">
                      <a:avLst/>
                    </a:prstGeom>
                    <a:noFill/>
                    <a:ln>
                      <a:noFill/>
                    </a:ln>
                  </pic:spPr>
                </pic:pic>
              </a:graphicData>
            </a:graphic>
          </wp:inline>
        </w:drawing>
      </w:r>
    </w:p>
    <w:p w:rsidR="00A007DC" w:rsidRPr="006C3BAA" w:rsidRDefault="00A007DC" w:rsidP="00464B49">
      <w:pPr>
        <w:pStyle w:val="ESPONnumberedlist"/>
        <w:numPr>
          <w:ilvl w:val="0"/>
          <w:numId w:val="19"/>
        </w:numPr>
      </w:pPr>
      <w:r w:rsidRPr="006C3BAA">
        <w:t xml:space="preserve">The easiest solution </w:t>
      </w:r>
      <w:r w:rsidR="0093492C">
        <w:t>to capture</w:t>
      </w:r>
      <w:r w:rsidRPr="006C3BAA">
        <w:t xml:space="preserve"> a multidimensional phenomenon is to use one proxy variable. The theoretical underpinning is that this sole indicator represents the whole complexity exactly because the dimensions are interlinked in a c</w:t>
      </w:r>
      <w:r w:rsidR="00D57979">
        <w:t xml:space="preserve">ausative way. Annex </w:t>
      </w:r>
      <w:r w:rsidRPr="006C3BAA">
        <w:t xml:space="preserve">1 </w:t>
      </w:r>
      <w:r w:rsidR="003B70BF">
        <w:t>notes</w:t>
      </w:r>
      <w:r w:rsidRPr="006C3BAA">
        <w:t xml:space="preserve"> some examples</w:t>
      </w:r>
      <w:r w:rsidR="0093492C">
        <w:t xml:space="preserve"> from the literature which belongs to</w:t>
      </w:r>
      <w:r w:rsidRPr="006C3BAA">
        <w:t xml:space="preserve"> this group. For </w:t>
      </w:r>
      <w:r w:rsidR="0093492C">
        <w:t>instance</w:t>
      </w:r>
      <w:r w:rsidRPr="006C3BAA">
        <w:t xml:space="preserve">, if social exclusion and poverty is used interchangeably in research practice, and poverty is conceptualised and </w:t>
      </w:r>
      <w:proofErr w:type="spellStart"/>
      <w:r w:rsidRPr="006C3BAA">
        <w:t>operationalised</w:t>
      </w:r>
      <w:proofErr w:type="spellEnd"/>
      <w:r w:rsidRPr="006C3BAA">
        <w:t xml:space="preserve"> as people with an income below 60% of the </w:t>
      </w:r>
      <w:proofErr w:type="spellStart"/>
      <w:r w:rsidRPr="006C3BAA">
        <w:t>equivalised</w:t>
      </w:r>
      <w:proofErr w:type="spellEnd"/>
      <w:r w:rsidRPr="006C3BAA">
        <w:t xml:space="preserve"> disposable national median (after social transfers), then per capita income is regarded as a simple proxy variable of social exclusion. Another example is from EU’s regional policy where regional per capita GDP and GNI are </w:t>
      </w:r>
      <w:r w:rsidR="0093492C">
        <w:t xml:space="preserve">the </w:t>
      </w:r>
      <w:r w:rsidRPr="006C3BAA">
        <w:t xml:space="preserve">sole variables for measuring </w:t>
      </w:r>
      <w:r w:rsidR="0093492C">
        <w:t>the concept ‘</w:t>
      </w:r>
      <w:r w:rsidRPr="006C3BAA">
        <w:t>development</w:t>
      </w:r>
      <w:r w:rsidR="0093492C">
        <w:t>’</w:t>
      </w:r>
      <w:r w:rsidRPr="006C3BAA">
        <w:t xml:space="preserve">. It is unquestionable that this approach is easy to understand, easy to implement in policy discourse, there are no high-excess data collecting and data </w:t>
      </w:r>
      <w:r w:rsidRPr="006C3BAA">
        <w:lastRenderedPageBreak/>
        <w:t xml:space="preserve">processing costs in governing the society. On the other hand, this approach oversimplifies social realities in a vast majority of </w:t>
      </w:r>
      <w:proofErr w:type="gramStart"/>
      <w:r w:rsidRPr="006C3BAA">
        <w:t>cases</w:t>
      </w:r>
      <w:r w:rsidR="0093492C">
        <w:t>,</w:t>
      </w:r>
      <w:proofErr w:type="gramEnd"/>
      <w:r w:rsidR="0093492C">
        <w:t xml:space="preserve"> thereby </w:t>
      </w:r>
      <w:proofErr w:type="spellStart"/>
      <w:r w:rsidR="0093492C">
        <w:t>TiPSE</w:t>
      </w:r>
      <w:proofErr w:type="spellEnd"/>
      <w:r w:rsidR="0093492C">
        <w:t xml:space="preserve"> needs a more fine-grained way of interpretation</w:t>
      </w:r>
      <w:r w:rsidRPr="006C3BAA">
        <w:t xml:space="preserve">. </w:t>
      </w:r>
    </w:p>
    <w:p w:rsidR="00A007DC" w:rsidRPr="006C3BAA" w:rsidRDefault="00A007DC" w:rsidP="00464B49">
      <w:pPr>
        <w:pStyle w:val="ESPONnumberedlist"/>
        <w:numPr>
          <w:ilvl w:val="0"/>
          <w:numId w:val="19"/>
        </w:numPr>
      </w:pPr>
      <w:r w:rsidRPr="006C3BAA">
        <w:t xml:space="preserve">A more complex way of </w:t>
      </w:r>
      <w:proofErr w:type="spellStart"/>
      <w:r w:rsidRPr="006C3BAA">
        <w:t>operationali</w:t>
      </w:r>
      <w:r w:rsidR="001839C0">
        <w:t>z</w:t>
      </w:r>
      <w:r w:rsidRPr="006C3BAA">
        <w:t>ing</w:t>
      </w:r>
      <w:proofErr w:type="spellEnd"/>
      <w:r w:rsidRPr="006C3BAA">
        <w:t xml:space="preserve"> research on multifaceted issues is to use more than one proxy variable. Here, the deductive way of thinking starts with conceptualising a phenomenon by constructing several dimensions. These may be hypothesised as being interlinked, or being separate and showing separable aspects. </w:t>
      </w:r>
      <w:r w:rsidR="0093492C">
        <w:t>D</w:t>
      </w:r>
      <w:r w:rsidRPr="006C3BAA">
        <w:t xml:space="preserve">imensions </w:t>
      </w:r>
      <w:r w:rsidR="0093492C">
        <w:t xml:space="preserve">might </w:t>
      </w:r>
      <w:r w:rsidRPr="006C3BAA">
        <w:t xml:space="preserve">be measured by one single indicator per dimension, or several indicators </w:t>
      </w:r>
      <w:r w:rsidR="0093492C">
        <w:t>might be</w:t>
      </w:r>
      <w:r w:rsidRPr="006C3BAA">
        <w:t xml:space="preserve"> considered for each of the dimensions. For example, UNDP (2011) </w:t>
      </w:r>
      <w:proofErr w:type="spellStart"/>
      <w:r w:rsidRPr="006C3BAA">
        <w:t>operationalised</w:t>
      </w:r>
      <w:proofErr w:type="spellEnd"/>
      <w:r w:rsidRPr="006C3BAA">
        <w:t xml:space="preserve"> 3 dimensions of social exclusion with 8 indicators each (24 altogether), then for all cases (here: individuals and not regions) it was assessed in how many indicators one is socially excluded (certain thresholds were used</w:t>
      </w:r>
      <w:r w:rsidR="0093492C">
        <w:t xml:space="preserve"> for all the indicators</w:t>
      </w:r>
      <w:r w:rsidRPr="006C3BAA">
        <w:t xml:space="preserve">). The approach of identifying different dimensions and several indicators for each of them is followed by ESPON </w:t>
      </w:r>
      <w:proofErr w:type="spellStart"/>
      <w:r w:rsidRPr="006C3BAA">
        <w:t>TiPSE</w:t>
      </w:r>
      <w:proofErr w:type="spellEnd"/>
      <w:r w:rsidRPr="006C3BAA">
        <w:t xml:space="preserve">, as it was described in the preceding parts of this </w:t>
      </w:r>
      <w:r w:rsidR="0093492C">
        <w:t xml:space="preserve">paper </w:t>
      </w:r>
      <w:r w:rsidRPr="006C3BAA">
        <w:t xml:space="preserve">in detail. The considerations for this choice are that it is more complex than a simple variable method (thereby offering a more nuanced understanding of social exclusion), and that it is still simple enough to implement in social policies at the EU, national and regional scales. This approach leaves a considerable room for manoeuvre in the further course of the project regarding capturing </w:t>
      </w:r>
      <w:proofErr w:type="spellStart"/>
      <w:r w:rsidRPr="006C3BAA">
        <w:t>interlinkages</w:t>
      </w:r>
      <w:proofErr w:type="spellEnd"/>
      <w:r w:rsidRPr="006C3BAA">
        <w:t xml:space="preserve"> across dimensions and indicators: </w:t>
      </w:r>
      <w:r w:rsidR="0093492C">
        <w:t xml:space="preserve">other </w:t>
      </w:r>
      <w:r w:rsidR="003A20F8">
        <w:t>task</w:t>
      </w:r>
      <w:r w:rsidRPr="006C3BAA">
        <w:t xml:space="preserve">s of ESPON </w:t>
      </w:r>
      <w:proofErr w:type="spellStart"/>
      <w:r w:rsidRPr="006C3BAA">
        <w:t>TiPSE</w:t>
      </w:r>
      <w:proofErr w:type="spellEnd"/>
      <w:r w:rsidRPr="006C3BAA">
        <w:t xml:space="preserve"> will elaborate on this aspect as well.</w:t>
      </w:r>
    </w:p>
    <w:p w:rsidR="00A007DC" w:rsidRPr="006C3BAA" w:rsidRDefault="00A007DC" w:rsidP="00464B49">
      <w:pPr>
        <w:pStyle w:val="ESPONnumberedlist"/>
        <w:numPr>
          <w:ilvl w:val="0"/>
          <w:numId w:val="19"/>
        </w:numPr>
      </w:pPr>
      <w:r w:rsidRPr="006C3BAA">
        <w:t>The third option is to use a standardised complex variable for measuring complex social phenomena. For example, in the English Indices of Deprivation 38 separate indicators grouped into seven domains are used; income, employment, health, education, crime, access to services and living environment, inter alia. Each domain has a distinct weight in the complex index calculated using the 38 variables (</w:t>
      </w:r>
      <w:hyperlink r:id="rId17" w:history="1">
        <w:r w:rsidRPr="006C3BAA">
          <w:rPr>
            <w:rStyle w:val="Hiperhivatkozs"/>
          </w:rPr>
          <w:t>http://www.communities.gov.uk/documents/statistics/pdf/1871208.pdf</w:t>
        </w:r>
      </w:hyperlink>
      <w:r w:rsidRPr="006C3BAA">
        <w:t>). This understanding is also followed by the UN and other national an</w:t>
      </w:r>
      <w:r w:rsidR="00B708E0">
        <w:t>d supra-national policy actors whe</w:t>
      </w:r>
      <w:r w:rsidRPr="006C3BAA">
        <w:t xml:space="preserve">n using the Human Development Index (HDI) or the Human Poverty Index (HPI) in conceptualising and </w:t>
      </w:r>
      <w:proofErr w:type="spellStart"/>
      <w:r w:rsidRPr="006C3BAA">
        <w:t>operationalising</w:t>
      </w:r>
      <w:proofErr w:type="spellEnd"/>
      <w:r w:rsidRPr="006C3BAA">
        <w:t xml:space="preserve"> development or po</w:t>
      </w:r>
      <w:r w:rsidR="0093492C">
        <w:t>verty (for a European example on</w:t>
      </w:r>
      <w:r w:rsidRPr="006C3BAA">
        <w:t xml:space="preserve"> NUTS 2 level see </w:t>
      </w:r>
      <w:proofErr w:type="spellStart"/>
      <w:r w:rsidRPr="006C3BAA">
        <w:t>Bubbico</w:t>
      </w:r>
      <w:proofErr w:type="spellEnd"/>
      <w:r w:rsidRPr="006C3BAA">
        <w:t xml:space="preserve"> and </w:t>
      </w:r>
      <w:proofErr w:type="spellStart"/>
      <w:r w:rsidRPr="006C3BAA">
        <w:t>Dijkstra</w:t>
      </w:r>
      <w:proofErr w:type="spellEnd"/>
      <w:r w:rsidRPr="006C3BAA">
        <w:t xml:space="preserve">, 2011). This method may be understood as </w:t>
      </w:r>
      <w:r w:rsidR="0093492C">
        <w:t>a follow-up to</w:t>
      </w:r>
      <w:r w:rsidRPr="006C3BAA">
        <w:t xml:space="preserve"> b) – identifying dimensions, each of which measured by one or two variables, then these variables forming a simple composite variable after various mathematical transformations. The normalization of variables is done by using descriptive statistics (maximum and minimum) in the case of HDI and HPI, and the weighting of the disparate aspects is possible in combining the dimensions into the index. Regarding the (in</w:t>
      </w:r>
      <w:proofErr w:type="gramStart"/>
      <w:r w:rsidRPr="006C3BAA">
        <w:t>)</w:t>
      </w:r>
      <w:proofErr w:type="spellStart"/>
      <w:r w:rsidRPr="006C3BAA">
        <w:t>separability</w:t>
      </w:r>
      <w:proofErr w:type="spellEnd"/>
      <w:proofErr w:type="gramEnd"/>
      <w:r w:rsidRPr="006C3BAA">
        <w:t xml:space="preserve"> of the dimensions, this method is quite Janus-faced. On the one hand it tells apart </w:t>
      </w:r>
      <w:r w:rsidRPr="006C3BAA">
        <w:lastRenderedPageBreak/>
        <w:t xml:space="preserve">different dimensions (and represents them as having no </w:t>
      </w:r>
      <w:proofErr w:type="spellStart"/>
      <w:r w:rsidRPr="006C3BAA">
        <w:t>interlinkages</w:t>
      </w:r>
      <w:proofErr w:type="spellEnd"/>
      <w:r w:rsidRPr="006C3BAA">
        <w:t xml:space="preserve"> between them; if there were any, then it would be possible to look only at one of the correlating dimensions), on the other hand with the practice of calculating the average of the dimensions for the index it underlines that the dimensions are interchangeable (i.e. human development may be increased by a better educational attainment in the same way as with </w:t>
      </w:r>
      <w:r w:rsidR="00E72893">
        <w:t>extending life expectancy).</w:t>
      </w:r>
      <w:r w:rsidR="003B70BF">
        <w:t xml:space="preserve"> ESPON </w:t>
      </w:r>
      <w:proofErr w:type="spellStart"/>
      <w:r w:rsidR="003B70BF">
        <w:t>TiPSE</w:t>
      </w:r>
      <w:proofErr w:type="spellEnd"/>
      <w:r w:rsidR="003B70BF">
        <w:t xml:space="preserve"> also aimed at constructing a composite index for measuring vulnerability to social exclusion using the project’s database. This </w:t>
      </w:r>
      <w:r w:rsidR="00B93968">
        <w:t xml:space="preserve">pilot </w:t>
      </w:r>
      <w:r w:rsidR="003B70BF">
        <w:t>index was calculated for 2011.</w:t>
      </w:r>
    </w:p>
    <w:p w:rsidR="00A007DC" w:rsidRPr="006C3BAA" w:rsidRDefault="00A007DC" w:rsidP="00464B49">
      <w:pPr>
        <w:pStyle w:val="ESPONnumberedlist"/>
        <w:numPr>
          <w:ilvl w:val="0"/>
          <w:numId w:val="19"/>
        </w:numPr>
      </w:pPr>
      <w:r w:rsidRPr="006C3BAA">
        <w:t xml:space="preserve">The most complicated possibility is to use complex mathematical-statistical methodology, such as multi-dimensional regression, factor or principal component analysis. When using multi-dimensional regression (such as in </w:t>
      </w:r>
      <w:proofErr w:type="spellStart"/>
      <w:r w:rsidRPr="006C3BAA">
        <w:t>PovMap</w:t>
      </w:r>
      <w:proofErr w:type="spellEnd"/>
      <w:r w:rsidRPr="006C3BAA">
        <w:t xml:space="preserve">) one aims to capture an unknown phenomenon by a combination of different variables for which there is a data coverage. The aim of the factor and principal component analysis is to reduce the number of variables by combining them into dimensions (factors) which are statistically independent from each other. Whereas in some cases factor analysis offers a meaningful way to capture multifaceted social phenomena (such as social exclusion), it is still a complicated method which is not really capable of channelling into social policy. Another problem is the comparability of the method: in different </w:t>
      </w:r>
      <w:proofErr w:type="spellStart"/>
      <w:r w:rsidRPr="006C3BAA">
        <w:t>spatio</w:t>
      </w:r>
      <w:proofErr w:type="spellEnd"/>
      <w:r w:rsidRPr="006C3BAA">
        <w:t xml:space="preserve">-temporal contexts the results (factors) are different, thereby hardly comparable. Moreover, the method is based on a certain black-boxing: it uses a huge dataset as an input and results in factors as an output, but what happens during the calculation process is blinded out by the method itself. As one of the consequences, it is quite problematic when we try to understand mechanisms among different aspects of social exclusion. Another limitation for territorial analyses is that the method itself is not capable of saying anything about the spatiality and spatial structure of the phenomenon in question (as during the method correlations are calculated between variables and not between regions), and the results of the factor analysis is only valid at the geographical scale of the data (for a further discussion see </w:t>
      </w:r>
      <w:proofErr w:type="spellStart"/>
      <w:r w:rsidRPr="006C3BAA">
        <w:t>Czirfusz</w:t>
      </w:r>
      <w:proofErr w:type="spellEnd"/>
      <w:r w:rsidRPr="006C3BAA">
        <w:t>, 2010). Another possibility of using sophisticated mathematical transformations for getting social exclusion indices is presented in a Polish case study (Ministry of Labour and Social Policy and UNDP 2006, Annex 2).</w:t>
      </w:r>
    </w:p>
    <w:p w:rsidR="0093492C" w:rsidRDefault="00D57979" w:rsidP="00A007DC">
      <w:r>
        <w:t xml:space="preserve">In ESPON </w:t>
      </w:r>
      <w:proofErr w:type="spellStart"/>
      <w:r>
        <w:t>TiPSE</w:t>
      </w:r>
      <w:proofErr w:type="spellEnd"/>
      <w:r>
        <w:t xml:space="preserve">, Task </w:t>
      </w:r>
      <w:r w:rsidR="00A007DC" w:rsidRPr="006C3BAA">
        <w:t>2.6 puts forward a methodology of b) – to use different proxy variables for different dimensions of social exclusion throughout Europe</w:t>
      </w:r>
      <w:r w:rsidR="003B70BF">
        <w:t xml:space="preserve">, and c) a development of a </w:t>
      </w:r>
      <w:r w:rsidR="00B93968">
        <w:t xml:space="preserve">pilot model of a </w:t>
      </w:r>
      <w:r w:rsidR="003B70BF">
        <w:t xml:space="preserve">composite </w:t>
      </w:r>
      <w:r w:rsidR="00B93968">
        <w:t>representation of social exclusion</w:t>
      </w:r>
      <w:r w:rsidR="003B70BF">
        <w:t>.</w:t>
      </w:r>
    </w:p>
    <w:p w:rsidR="003B70BF" w:rsidRDefault="003B70BF" w:rsidP="00A007DC">
      <w:r>
        <w:t xml:space="preserve">As for the composite variable, </w:t>
      </w:r>
      <w:r w:rsidR="00581D66">
        <w:t xml:space="preserve">next chapter </w:t>
      </w:r>
      <w:r>
        <w:t xml:space="preserve">discusses in detail which considerations were taken into account, thus only the main points are summarised here. The composite variable – calculated using census 2011 data </w:t>
      </w:r>
      <w:r w:rsidRPr="00DE46A1">
        <w:t xml:space="preserve">– </w:t>
      </w:r>
      <w:r w:rsidR="00DE46A1" w:rsidRPr="00DE46A1">
        <w:t xml:space="preserve">attempts to </w:t>
      </w:r>
      <w:r w:rsidRPr="00DE46A1">
        <w:t>cover all domains and dimensions of social exclusion defined in the project</w:t>
      </w:r>
      <w:r w:rsidR="00DE46A1" w:rsidRPr="00DE46A1">
        <w:t xml:space="preserve"> (</w:t>
      </w:r>
      <w:r w:rsidR="009E5C4B">
        <w:t xml:space="preserve">health, </w:t>
      </w:r>
      <w:r w:rsidR="00DE46A1" w:rsidRPr="00DE46A1">
        <w:t>immigrants, ethnic composition and citizenship are finally omitted)</w:t>
      </w:r>
      <w:r w:rsidRPr="00DE46A1">
        <w:t>.</w:t>
      </w:r>
      <w:r>
        <w:t xml:space="preserve"> Chosen indicators </w:t>
      </w:r>
      <w:r>
        <w:lastRenderedPageBreak/>
        <w:t xml:space="preserve">are assumed to be comparable across the ESPON space and not correlate strongly with each other. The </w:t>
      </w:r>
      <w:r w:rsidR="00517E6A">
        <w:t>list of selected indicators is</w:t>
      </w:r>
      <w:r>
        <w:t xml:space="preserve"> to be found in Table 3. </w:t>
      </w:r>
      <w:r w:rsidR="004A5A14">
        <w:t xml:space="preserve">Calculation of the composite variable is based on first, a z-score standardization procedure, and second, dummy variables were introduced (representing whether a certain region is above or below z-score 1). </w:t>
      </w:r>
      <w:r w:rsidR="004A5A14" w:rsidRPr="00DE46A1">
        <w:t xml:space="preserve">Classification of regions </w:t>
      </w:r>
      <w:r w:rsidR="00DE46A1">
        <w:t>was</w:t>
      </w:r>
      <w:r w:rsidR="004A5A14" w:rsidRPr="00DE46A1">
        <w:t xml:space="preserve"> done </w:t>
      </w:r>
      <w:r w:rsidR="00DE46A1" w:rsidRPr="00DE46A1">
        <w:t xml:space="preserve">by </w:t>
      </w:r>
      <w:r w:rsidR="004A5A14" w:rsidRPr="00DE46A1">
        <w:t xml:space="preserve">using these dummy variables (not vulnerable to social exclusion, vulnerable to social exclusion </w:t>
      </w:r>
      <w:r w:rsidR="00DE46A1" w:rsidRPr="00DE46A1">
        <w:t>from one aspect</w:t>
      </w:r>
      <w:r w:rsidR="004A5A14" w:rsidRPr="00DE46A1">
        <w:t xml:space="preserve">, vulnerable to social exclusion </w:t>
      </w:r>
      <w:r w:rsidR="00DE46A1" w:rsidRPr="00DE46A1">
        <w:t>from more aspects</w:t>
      </w:r>
      <w:r w:rsidR="002C1DC7">
        <w:t>)</w:t>
      </w:r>
      <w:r w:rsidR="004A5A14" w:rsidRPr="00DE46A1">
        <w:t>.</w:t>
      </w:r>
      <w:r w:rsidR="00DE46A1">
        <w:t xml:space="preserve"> This approach of classification was used at both dimension and domain level, as first and second steps of modelling.</w:t>
      </w:r>
    </w:p>
    <w:p w:rsidR="00A007DC" w:rsidRDefault="0093492C" w:rsidP="00362865">
      <w:r>
        <w:t>Th</w:t>
      </w:r>
      <w:r w:rsidR="00D57979">
        <w:t xml:space="preserve">e mapping process (as part of Task </w:t>
      </w:r>
      <w:r>
        <w:t>2.6) also needs some methodological explanation. One of the is</w:t>
      </w:r>
      <w:r w:rsidR="0003548C">
        <w:t>sues the mapping process faced wa</w:t>
      </w:r>
      <w:r>
        <w:t xml:space="preserve">s which categorisation of the data is meaningful to use. </w:t>
      </w:r>
      <w:r w:rsidR="00362865">
        <w:t xml:space="preserve">One option might have been to use </w:t>
      </w:r>
      <w:r w:rsidR="00832634">
        <w:t>qui</w:t>
      </w:r>
      <w:r w:rsidR="00832634" w:rsidRPr="006C3BAA">
        <w:t>ntiles</w:t>
      </w:r>
      <w:r w:rsidR="00A007DC" w:rsidRPr="006C3BAA">
        <w:t xml:space="preserve"> in the leg</w:t>
      </w:r>
      <w:r w:rsidR="00E72893">
        <w:t>end (</w:t>
      </w:r>
      <w:r w:rsidR="00832634">
        <w:t>qui</w:t>
      </w:r>
      <w:r w:rsidR="00832634" w:rsidRPr="006C3BAA">
        <w:t>ntiles</w:t>
      </w:r>
      <w:r w:rsidR="00A007DC" w:rsidRPr="006C3BAA">
        <w:t xml:space="preserve"> are defined using the whole dataset, not </w:t>
      </w:r>
      <w:r w:rsidR="00362865">
        <w:t>the countries’ data separately;</w:t>
      </w:r>
      <w:r w:rsidR="00A007DC" w:rsidRPr="006C3BAA">
        <w:t xml:space="preserve"> </w:t>
      </w:r>
      <w:r w:rsidR="00FB0A5F">
        <w:t>t</w:t>
      </w:r>
      <w:r w:rsidR="00A007DC" w:rsidRPr="006C3BAA">
        <w:t xml:space="preserve">his </w:t>
      </w:r>
      <w:r w:rsidR="00362865">
        <w:t>would have meant</w:t>
      </w:r>
      <w:r w:rsidR="00A007DC" w:rsidRPr="006C3BAA">
        <w:t xml:space="preserve"> that the maps are </w:t>
      </w:r>
      <w:r w:rsidR="00FB0A5F">
        <w:t xml:space="preserve">more </w:t>
      </w:r>
      <w:r w:rsidR="00A007DC" w:rsidRPr="006C3BAA">
        <w:t>comparable</w:t>
      </w:r>
      <w:r w:rsidR="00E72893">
        <w:t>)</w:t>
      </w:r>
      <w:r w:rsidR="00A007DC" w:rsidRPr="006C3BAA">
        <w:t xml:space="preserve">. However, </w:t>
      </w:r>
      <w:r w:rsidR="00362865">
        <w:t xml:space="preserve">because </w:t>
      </w:r>
      <w:r w:rsidR="00A007DC" w:rsidRPr="006C3BAA">
        <w:t xml:space="preserve">of the limitations of this approach, namely that this understanding implies that there are X percent of each society which </w:t>
      </w:r>
      <w:r w:rsidR="00E72893">
        <w:t>are</w:t>
      </w:r>
      <w:r w:rsidR="00A007DC" w:rsidRPr="006C3BAA">
        <w:t xml:space="preserve"> socially excluded or </w:t>
      </w:r>
      <w:r w:rsidR="00E72893">
        <w:t>are</w:t>
      </w:r>
      <w:r w:rsidR="00A007DC" w:rsidRPr="006C3BAA">
        <w:t xml:space="preserve"> vulnerable to social exclusion</w:t>
      </w:r>
      <w:r w:rsidR="00362865">
        <w:t>, we used different categorisations for each indicator</w:t>
      </w:r>
      <w:r w:rsidR="00A007DC" w:rsidRPr="006C3BAA">
        <w:t>.</w:t>
      </w:r>
      <w:r w:rsidR="00362865">
        <w:t xml:space="preserve"> </w:t>
      </w:r>
      <w:r w:rsidR="00E72893">
        <w:t xml:space="preserve">In the </w:t>
      </w:r>
      <w:proofErr w:type="spellStart"/>
      <w:r w:rsidR="00E72893">
        <w:t>TiPSE</w:t>
      </w:r>
      <w:proofErr w:type="spellEnd"/>
      <w:r w:rsidR="00E72893">
        <w:t xml:space="preserve"> mapping exercise </w:t>
      </w:r>
      <w:r w:rsidR="00362865">
        <w:t xml:space="preserve">the distribution curve of the indicator was considered, and Team HAS’s background knowledge on the dataset was </w:t>
      </w:r>
      <w:r w:rsidR="00E72893">
        <w:t xml:space="preserve">mobilised </w:t>
      </w:r>
      <w:r w:rsidR="00362865">
        <w:t xml:space="preserve">to produce the best possible visualisation. If it was </w:t>
      </w:r>
      <w:r w:rsidR="00FB0A5F">
        <w:t>meaningful</w:t>
      </w:r>
      <w:r w:rsidR="00362865">
        <w:t xml:space="preserve">, the equal interval method was used. If </w:t>
      </w:r>
      <w:r w:rsidR="00FB0A5F">
        <w:t xml:space="preserve">it </w:t>
      </w:r>
      <w:r w:rsidR="00362865">
        <w:t xml:space="preserve">resulted in uneven number of cases in each category, </w:t>
      </w:r>
      <w:r w:rsidR="00FA7411">
        <w:t xml:space="preserve">or the dataset seemed to be clustered in larger groups, the categories were modified accordingly. For each map 6 </w:t>
      </w:r>
      <w:r w:rsidR="00581D66">
        <w:t xml:space="preserve">(or 5) </w:t>
      </w:r>
      <w:r w:rsidR="00FA7411">
        <w:t xml:space="preserve">categories (plus ‘no data’) were used. </w:t>
      </w:r>
    </w:p>
    <w:p w:rsidR="00FA7411" w:rsidRDefault="00FA7411" w:rsidP="00362865">
      <w:r>
        <w:t xml:space="preserve">To ensure integration of the </w:t>
      </w:r>
      <w:proofErr w:type="spellStart"/>
      <w:r>
        <w:t>mapkit</w:t>
      </w:r>
      <w:proofErr w:type="spellEnd"/>
      <w:r>
        <w:t xml:space="preserve"> into macro-regional descriptions of </w:t>
      </w:r>
      <w:r w:rsidR="003A20F8">
        <w:t xml:space="preserve">Task </w:t>
      </w:r>
      <w:r>
        <w:t xml:space="preserve">2.8, 4 macro-zooms with the same categorisation were prepared for each </w:t>
      </w:r>
      <w:r w:rsidR="004A5A14">
        <w:t xml:space="preserve">of the </w:t>
      </w:r>
      <w:r w:rsidR="00521C0B">
        <w:t xml:space="preserve">ESPON space </w:t>
      </w:r>
      <w:r>
        <w:t>map</w:t>
      </w:r>
      <w:r w:rsidR="00E72893">
        <w:t xml:space="preserve">s </w:t>
      </w:r>
      <w:r>
        <w:t xml:space="preserve">(Table 4, Figure 2). These </w:t>
      </w:r>
      <w:r w:rsidR="00E72893">
        <w:t xml:space="preserve">macro-zooms </w:t>
      </w:r>
      <w:r>
        <w:t>were used in the e</w:t>
      </w:r>
      <w:r w:rsidR="00D57979">
        <w:t xml:space="preserve">xploratory phase in Task </w:t>
      </w:r>
      <w:r>
        <w:t xml:space="preserve">2.8, i.e. to study the inner territorial differentiation of social exclusion in each macro-region; and also as illustrations for </w:t>
      </w:r>
      <w:r w:rsidR="00D57979">
        <w:t xml:space="preserve">Annex </w:t>
      </w:r>
      <w:r>
        <w:t>8</w:t>
      </w:r>
      <w:r w:rsidR="00D57979">
        <w:t xml:space="preserve"> of </w:t>
      </w:r>
      <w:proofErr w:type="spellStart"/>
      <w:r w:rsidR="00D57979">
        <w:t>TiPSE</w:t>
      </w:r>
      <w:proofErr w:type="spellEnd"/>
      <w:r w:rsidR="00D57979">
        <w:t xml:space="preserve"> Final Report</w:t>
      </w:r>
      <w:r>
        <w:t>.</w:t>
      </w:r>
    </w:p>
    <w:p w:rsidR="00F3295B" w:rsidRDefault="00F3295B" w:rsidP="00362865"/>
    <w:p w:rsidR="00FA7411" w:rsidRDefault="00FA7411" w:rsidP="00FA7411">
      <w:pPr>
        <w:pStyle w:val="Kpalrs"/>
      </w:pPr>
      <w:bookmarkStart w:id="15" w:name="_Toc401264643"/>
      <w:r>
        <w:t xml:space="preserve">Table </w:t>
      </w:r>
      <w:r w:rsidR="00CD0272">
        <w:fldChar w:fldCharType="begin"/>
      </w:r>
      <w:r w:rsidR="00B6257D">
        <w:instrText xml:space="preserve"> SEQ Table \* ARABIC </w:instrText>
      </w:r>
      <w:r w:rsidR="00CD0272">
        <w:fldChar w:fldCharType="separate"/>
      </w:r>
      <w:r>
        <w:rPr>
          <w:noProof/>
        </w:rPr>
        <w:t>4</w:t>
      </w:r>
      <w:r w:rsidR="00CD0272">
        <w:rPr>
          <w:noProof/>
        </w:rPr>
        <w:fldChar w:fldCharType="end"/>
      </w:r>
      <w:r>
        <w:t xml:space="preserve">: Macro-regions of the </w:t>
      </w:r>
      <w:proofErr w:type="spellStart"/>
      <w:r>
        <w:t>TiPSE</w:t>
      </w:r>
      <w:proofErr w:type="spellEnd"/>
      <w:r>
        <w:t xml:space="preserve"> project</w:t>
      </w:r>
      <w:bookmarkEnd w:id="15"/>
    </w:p>
    <w:tbl>
      <w:tblPr>
        <w:tblStyle w:val="Rcsostblzat"/>
        <w:tblW w:w="0" w:type="auto"/>
        <w:tblLook w:val="04A0"/>
      </w:tblPr>
      <w:tblGrid>
        <w:gridCol w:w="4258"/>
        <w:gridCol w:w="4258"/>
      </w:tblGrid>
      <w:tr w:rsidR="001C6A8D" w:rsidTr="00D57979">
        <w:trPr>
          <w:tblHeader/>
        </w:trPr>
        <w:tc>
          <w:tcPr>
            <w:tcW w:w="4258" w:type="dxa"/>
          </w:tcPr>
          <w:p w:rsidR="001C6A8D" w:rsidRDefault="001C6A8D" w:rsidP="00FA7411">
            <w:r>
              <w:t>Macro-region</w:t>
            </w:r>
          </w:p>
        </w:tc>
        <w:tc>
          <w:tcPr>
            <w:tcW w:w="4258" w:type="dxa"/>
          </w:tcPr>
          <w:p w:rsidR="001C6A8D" w:rsidRDefault="001C6A8D" w:rsidP="00FA7411">
            <w:r>
              <w:t>Countries</w:t>
            </w:r>
          </w:p>
        </w:tc>
      </w:tr>
      <w:tr w:rsidR="001C6A8D" w:rsidRPr="001C6A8D" w:rsidTr="001C6A8D">
        <w:tc>
          <w:tcPr>
            <w:tcW w:w="4258" w:type="dxa"/>
          </w:tcPr>
          <w:p w:rsidR="001C6A8D" w:rsidRDefault="001C6A8D" w:rsidP="00FA7411">
            <w:r>
              <w:t>Atlantic and Central European region</w:t>
            </w:r>
          </w:p>
        </w:tc>
        <w:tc>
          <w:tcPr>
            <w:tcW w:w="4258" w:type="dxa"/>
          </w:tcPr>
          <w:p w:rsidR="001C6A8D" w:rsidRPr="001C6A8D" w:rsidRDefault="001C6A8D" w:rsidP="001C6A8D">
            <w:pPr>
              <w:jc w:val="left"/>
            </w:pPr>
            <w:r w:rsidRPr="001C6A8D">
              <w:t xml:space="preserve">Austria, Belgium, France, Germany, Ireland, </w:t>
            </w:r>
            <w:r>
              <w:t xml:space="preserve">Liechtenstein, </w:t>
            </w:r>
            <w:r w:rsidRPr="001C6A8D">
              <w:t>Luxemburg,</w:t>
            </w:r>
            <w:r>
              <w:t xml:space="preserve"> Switzerland</w:t>
            </w:r>
            <w:r w:rsidRPr="001C6A8D">
              <w:t xml:space="preserve"> The Netherlands, United Kingdom</w:t>
            </w:r>
          </w:p>
        </w:tc>
      </w:tr>
      <w:tr w:rsidR="001C6A8D" w:rsidRPr="001C6A8D" w:rsidTr="001C6A8D">
        <w:tc>
          <w:tcPr>
            <w:tcW w:w="4258" w:type="dxa"/>
          </w:tcPr>
          <w:p w:rsidR="001C6A8D" w:rsidRPr="001C6A8D" w:rsidRDefault="001C6A8D" w:rsidP="00FA7411">
            <w:r>
              <w:t>Nordic and Baltic region</w:t>
            </w:r>
          </w:p>
        </w:tc>
        <w:tc>
          <w:tcPr>
            <w:tcW w:w="4258" w:type="dxa"/>
          </w:tcPr>
          <w:p w:rsidR="001C6A8D" w:rsidRPr="001C6A8D" w:rsidRDefault="001C6A8D" w:rsidP="001C6A8D">
            <w:pPr>
              <w:jc w:val="left"/>
            </w:pPr>
            <w:r>
              <w:t>Denmark, Estonia, Finland, Iceland, Latvia, Lithuania, Norway, Sweden</w:t>
            </w:r>
          </w:p>
        </w:tc>
      </w:tr>
      <w:tr w:rsidR="001C6A8D" w:rsidRPr="001C6A8D" w:rsidTr="001C6A8D">
        <w:tc>
          <w:tcPr>
            <w:tcW w:w="4258" w:type="dxa"/>
          </w:tcPr>
          <w:p w:rsidR="001C6A8D" w:rsidRPr="001C6A8D" w:rsidRDefault="001C6A8D" w:rsidP="00FA7411">
            <w:r>
              <w:t>Mediterranean region</w:t>
            </w:r>
          </w:p>
        </w:tc>
        <w:tc>
          <w:tcPr>
            <w:tcW w:w="4258" w:type="dxa"/>
          </w:tcPr>
          <w:p w:rsidR="001C6A8D" w:rsidRPr="001C6A8D" w:rsidRDefault="001C6A8D" w:rsidP="001C6A8D">
            <w:pPr>
              <w:jc w:val="left"/>
            </w:pPr>
            <w:r>
              <w:t>Cyprus, Greece, Italy, Malta, Portugal, Spain, Turkey</w:t>
            </w:r>
          </w:p>
        </w:tc>
      </w:tr>
      <w:tr w:rsidR="001C6A8D" w:rsidRPr="001C6A8D" w:rsidTr="001C6A8D">
        <w:tc>
          <w:tcPr>
            <w:tcW w:w="4258" w:type="dxa"/>
          </w:tcPr>
          <w:p w:rsidR="001C6A8D" w:rsidRPr="001C6A8D" w:rsidRDefault="001C6A8D" w:rsidP="001C6A8D">
            <w:pPr>
              <w:jc w:val="left"/>
            </w:pPr>
            <w:r>
              <w:lastRenderedPageBreak/>
              <w:t>East Central Europe and the Balkans region</w:t>
            </w:r>
          </w:p>
        </w:tc>
        <w:tc>
          <w:tcPr>
            <w:tcW w:w="4258" w:type="dxa"/>
          </w:tcPr>
          <w:p w:rsidR="001C6A8D" w:rsidRPr="001C6A8D" w:rsidRDefault="001C6A8D" w:rsidP="001C6A8D">
            <w:pPr>
              <w:jc w:val="left"/>
            </w:pPr>
            <w:r>
              <w:t>Albania, Bosnia and Herzegovina, Bulgaria, Croatia, Czech Republic, Former Yugoslav Republic of Macedonia, Hungary, Kosovo, Montenegro, Poland, Romania, Serbia, Slovakia, Slovenia</w:t>
            </w:r>
          </w:p>
        </w:tc>
      </w:tr>
    </w:tbl>
    <w:p w:rsidR="00F07908" w:rsidRDefault="00F07908" w:rsidP="00FA7411"/>
    <w:p w:rsidR="001C6A8D" w:rsidRDefault="001C6A8D" w:rsidP="001C6A8D">
      <w:pPr>
        <w:pStyle w:val="Kpalrs"/>
      </w:pPr>
      <w:bookmarkStart w:id="16" w:name="_Toc401264646"/>
      <w:r>
        <w:t xml:space="preserve">Figure </w:t>
      </w:r>
      <w:r w:rsidR="00CD0272">
        <w:fldChar w:fldCharType="begin"/>
      </w:r>
      <w:r w:rsidR="00B6257D">
        <w:instrText xml:space="preserve"> SEQ Figure \* ARABIC </w:instrText>
      </w:r>
      <w:r w:rsidR="00CD0272">
        <w:fldChar w:fldCharType="separate"/>
      </w:r>
      <w:r>
        <w:rPr>
          <w:noProof/>
        </w:rPr>
        <w:t>2</w:t>
      </w:r>
      <w:r w:rsidR="00CD0272">
        <w:rPr>
          <w:noProof/>
        </w:rPr>
        <w:fldChar w:fldCharType="end"/>
      </w:r>
      <w:r>
        <w:t>: ESPON space map and macro-</w:t>
      </w:r>
      <w:r w:rsidR="00F3295B">
        <w:t xml:space="preserve">regional </w:t>
      </w:r>
      <w:r>
        <w:t>zooms: an example</w:t>
      </w:r>
      <w:bookmarkEnd w:id="16"/>
    </w:p>
    <w:p w:rsidR="001C6A8D" w:rsidRDefault="00DB6684" w:rsidP="00DB6684">
      <w:pPr>
        <w:jc w:val="center"/>
      </w:pPr>
      <w:r>
        <w:rPr>
          <w:noProof/>
          <w:lang w:val="hu-HU" w:eastAsia="hu-HU"/>
        </w:rPr>
        <w:drawing>
          <wp:inline distT="0" distB="0" distL="0" distR="0">
            <wp:extent cx="5040000" cy="2853333"/>
            <wp:effectExtent l="19050" t="0" r="8250" b="0"/>
            <wp:docPr id="2"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srcRect/>
                    <a:stretch>
                      <a:fillRect/>
                    </a:stretch>
                  </pic:blipFill>
                  <pic:spPr bwMode="auto">
                    <a:xfrm>
                      <a:off x="0" y="0"/>
                      <a:ext cx="5040000" cy="2853333"/>
                    </a:xfrm>
                    <a:prstGeom prst="rect">
                      <a:avLst/>
                    </a:prstGeom>
                    <a:noFill/>
                    <a:ln w="9525">
                      <a:noFill/>
                      <a:miter lim="800000"/>
                      <a:headEnd/>
                      <a:tailEnd/>
                    </a:ln>
                  </pic:spPr>
                </pic:pic>
              </a:graphicData>
            </a:graphic>
          </wp:inline>
        </w:drawing>
      </w:r>
    </w:p>
    <w:p w:rsidR="00842979" w:rsidRDefault="00842979" w:rsidP="00FA7411"/>
    <w:p w:rsidR="00D57979" w:rsidRDefault="00D57979" w:rsidP="00FA7411"/>
    <w:p w:rsidR="00C75367" w:rsidRDefault="00C75367" w:rsidP="00C75367">
      <w:pPr>
        <w:pStyle w:val="Cmsor2"/>
      </w:pPr>
      <w:r>
        <w:t xml:space="preserve"> </w:t>
      </w:r>
      <w:bookmarkStart w:id="17" w:name="_Toc401264629"/>
      <w:r>
        <w:t>Introduction of a</w:t>
      </w:r>
      <w:r w:rsidRPr="00C75367">
        <w:t xml:space="preserve"> pilot model of a composite representation of social exclusion</w:t>
      </w:r>
      <w:bookmarkEnd w:id="17"/>
    </w:p>
    <w:p w:rsidR="00FF29C6" w:rsidRDefault="00FF29C6" w:rsidP="00FF29C6">
      <w:r>
        <w:t xml:space="preserve">Social exclusion is regarded as a multidimensional phenomenon according to ESPON </w:t>
      </w:r>
      <w:proofErr w:type="spellStart"/>
      <w:r>
        <w:t>TiPSE</w:t>
      </w:r>
      <w:proofErr w:type="spellEnd"/>
      <w:r>
        <w:t xml:space="preserve"> project. The research framed a domain and dimension structure for analysing the exclusion patterns by </w:t>
      </w:r>
      <w:r w:rsidR="003F5282">
        <w:t xml:space="preserve">several </w:t>
      </w:r>
      <w:r>
        <w:t>illustrative indicators of vulnerability to exclusion. In this framework the analysis of spatiality of single dimensions leads to the understanding of complex patterns of social exclusion in Europe in an indirect way, while it also gives a representation of the most (and multiply) affected areas.</w:t>
      </w:r>
    </w:p>
    <w:p w:rsidR="00FF29C6" w:rsidRDefault="00FF29C6" w:rsidP="00FF29C6">
      <w:r>
        <w:t>A</w:t>
      </w:r>
      <w:r w:rsidR="003F5282">
        <w:t xml:space="preserve">s it was mentioned above a </w:t>
      </w:r>
      <w:r>
        <w:t>direct synthetic representation of multidimensionality of social exclusion can be based on composite indices. In this case the analysed domains or dimension</w:t>
      </w:r>
      <w:r w:rsidR="006C7360">
        <w:t>s</w:t>
      </w:r>
      <w:r>
        <w:t xml:space="preserve"> are built in</w:t>
      </w:r>
      <w:r w:rsidR="006C7360">
        <w:t>to</w:t>
      </w:r>
      <w:r>
        <w:t xml:space="preserve"> </w:t>
      </w:r>
      <w:r w:rsidR="006C7360">
        <w:t>a common model which represents</w:t>
      </w:r>
      <w:r>
        <w:t xml:space="preserve"> the complex effect of exclusion factors. The influence of single components on outlined patterns is hard to define by following that way, because different domains or dimensions of exclusion can cancel the effect of each other. If the regional distribution of indicators representing factors of exclusion shows a very different picture, values of the </w:t>
      </w:r>
      <w:r>
        <w:lastRenderedPageBreak/>
        <w:t xml:space="preserve">composite indicator do not illustrate well the actual vulnerability to exclusion. </w:t>
      </w:r>
      <w:r w:rsidR="006C7360">
        <w:t xml:space="preserve">A </w:t>
      </w:r>
      <w:r>
        <w:t>reasoned selection of variables and the application of different weights can moderate the effect of this problem.</w:t>
      </w:r>
    </w:p>
    <w:p w:rsidR="00FF29C6" w:rsidRDefault="00FF29C6" w:rsidP="00FF29C6">
      <w:r>
        <w:t xml:space="preserve">As the domain and dimension structure in the </w:t>
      </w:r>
      <w:proofErr w:type="spellStart"/>
      <w:r>
        <w:t>operationalized</w:t>
      </w:r>
      <w:proofErr w:type="spellEnd"/>
      <w:r>
        <w:t xml:space="preserve"> social exclusion analysis of </w:t>
      </w:r>
      <w:proofErr w:type="spellStart"/>
      <w:r>
        <w:t>TiPSE</w:t>
      </w:r>
      <w:proofErr w:type="spellEnd"/>
      <w:r>
        <w:t xml:space="preserve"> is quite unbalanced, and the NUTS 3 coverage offers a </w:t>
      </w:r>
      <w:r w:rsidR="006C7360">
        <w:t xml:space="preserve">limited set of indicators, </w:t>
      </w:r>
      <w:r>
        <w:t xml:space="preserve">a simpler classification of regions according to their vulnerability to different exclusion factors </w:t>
      </w:r>
      <w:r w:rsidR="006C7360">
        <w:t xml:space="preserve">is proposed in this pilot model </w:t>
      </w:r>
      <w:r>
        <w:t>in order to illustrate the patterns of social exclusion in a complex way. In this model classification is carried out by single domains. Each indicator (representing different dimensions within the domain) is counted up which exceeds a given threshold in each region. The threshold divides regions into the most vulnerable ones and those of not endangered by that factor of exclusion. This classification provides a maximum score according to the number of dimensions (and indicators) per domains and by following this approach regions can be labelled as ‘not affected by exclusion’, ‘vulnerable to one or another factor of exclusion’ or ‘multiply affected’.</w:t>
      </w:r>
    </w:p>
    <w:p w:rsidR="00FF29C6" w:rsidRDefault="00FF29C6" w:rsidP="00FF29C6">
      <w:r>
        <w:t xml:space="preserve">This method also offers the possibility to identify </w:t>
      </w:r>
      <w:r w:rsidR="006C7360">
        <w:t xml:space="preserve">different </w:t>
      </w:r>
      <w:r>
        <w:t>types of risk factors affecting a region and as it also holds</w:t>
      </w:r>
      <w:r w:rsidR="006C7360">
        <w:t xml:space="preserve"> the possibility of combination of results. N</w:t>
      </w:r>
      <w:r>
        <w:t>ot just domain level classifications can be carried out, but more complex classifications as well, by combining the patterns of the analysed domains.</w:t>
      </w:r>
    </w:p>
    <w:p w:rsidR="00FF29C6" w:rsidRDefault="00FF29C6" w:rsidP="00FF29C6">
      <w:r>
        <w:t xml:space="preserve">Beside the selection of variables representing dimensions of each domain, the reasonable identification of the applied threshold is essential. In this pilot experiment </w:t>
      </w:r>
      <w:proofErr w:type="spellStart"/>
      <w:r w:rsidR="006C7360">
        <w:t>TiPSE</w:t>
      </w:r>
      <w:proofErr w:type="spellEnd"/>
      <w:r w:rsidR="006C7360">
        <w:t xml:space="preserve"> TPG</w:t>
      </w:r>
      <w:r>
        <w:t xml:space="preserve"> propose a dynamic determination of thresholds based on z-score normalization, however other approaches can also be reasonable (using the mean values of indicators, picking the top quintiles of regions etc.). </w:t>
      </w:r>
    </w:p>
    <w:p w:rsidR="00FF29C6" w:rsidRDefault="00FF29C6" w:rsidP="00FF29C6">
      <w:r>
        <w:t xml:space="preserve">Standardization transforms the applied variables into comparable form. By presuming that low values of variables represent more favourable position and high values of variables represent more disadvantaged situation, greater z-scores also imply higher risk of exclusion. Standardized variables have a mean=0 and standard deviation=1, so one can presume that those regions </w:t>
      </w:r>
      <w:r w:rsidR="00977E29">
        <w:t>where transformed z-scores</w:t>
      </w:r>
      <w:r>
        <w:t xml:space="preserve"> exceed 1 in this sense, they have the most disadvantaged situation within the given set. Thus</w:t>
      </w:r>
      <w:r w:rsidR="00977E29">
        <w:t>,</w:t>
      </w:r>
      <w:r>
        <w:t xml:space="preserve"> it can be applied as meaningful and reasonable (though still arbitrary) point of reference/threshold during calculation and classification.</w:t>
      </w:r>
    </w:p>
    <w:p w:rsidR="00FF29C6" w:rsidRDefault="00FF29C6" w:rsidP="00FF29C6">
      <w:r>
        <w:t xml:space="preserve">The identification of thresholds in this classification raises the question of that how the dataset of calculation is determined. If the method is applied for an analysis of e.g. a group of countries, between </w:t>
      </w:r>
      <w:proofErr w:type="gramStart"/>
      <w:r>
        <w:t>country</w:t>
      </w:r>
      <w:proofErr w:type="gramEnd"/>
      <w:r>
        <w:t xml:space="preserve"> differences can be ideally interpreted only </w:t>
      </w:r>
      <w:r w:rsidR="00977E29">
        <w:t xml:space="preserve">in case </w:t>
      </w:r>
      <w:r>
        <w:t xml:space="preserve">if the dataset is complete (every chosen variable in every country is available). In this case different countries can be put in a common model which makes them comparable (standardization is carried out by using not separated variable means and standard deviation by country but </w:t>
      </w:r>
      <w:r w:rsidR="00977E29">
        <w:t xml:space="preserve">by applying </w:t>
      </w:r>
      <w:r w:rsidR="001D4FAA">
        <w:t>‘</w:t>
      </w:r>
      <w:r>
        <w:t>regional</w:t>
      </w:r>
      <w:r w:rsidR="001D4FAA">
        <w:t>’</w:t>
      </w:r>
      <w:r>
        <w:t xml:space="preserve"> values). Otherwise only relative positions within different countries can be represented simultaneously by separate country-models as another model version. This latter </w:t>
      </w:r>
      <w:r>
        <w:lastRenderedPageBreak/>
        <w:t>mode of representation gives less chance to make a wider regional comparison as it (falsely) increases the effect of regional (within country) differences. For example the standardized scores can indicate a more disadvantaged situation in a country with a high standard deviation of unemployment rate (e.g. 3%,4%,5%,6%,7%), while the positions of another country with evenly high values of the variable (e.g. 20%, 20%, 20%,20%,20%) seem to be more favourable in this sense.</w:t>
      </w:r>
    </w:p>
    <w:p w:rsidR="00FF29C6" w:rsidRDefault="00FF29C6" w:rsidP="00FF29C6">
      <w:r>
        <w:t>Considerations of selection of variables</w:t>
      </w:r>
      <w:r w:rsidR="00B676EC">
        <w:t xml:space="preserve"> should </w:t>
      </w:r>
      <w:r w:rsidR="00A41B7D">
        <w:t>take several conditions into respect in order to achieve a reliable model.</w:t>
      </w:r>
      <w:r w:rsidR="00B676EC">
        <w:t xml:space="preserve"> Main </w:t>
      </w:r>
      <w:r w:rsidR="00A41B7D">
        <w:t xml:space="preserve">principles </w:t>
      </w:r>
      <w:r w:rsidR="00B676EC">
        <w:t>are</w:t>
      </w:r>
      <w:r>
        <w:t>:</w:t>
      </w:r>
    </w:p>
    <w:p w:rsidR="00FF29C6" w:rsidRDefault="00FF29C6" w:rsidP="008655B4">
      <w:pPr>
        <w:pStyle w:val="Listaszerbekezds"/>
        <w:numPr>
          <w:ilvl w:val="0"/>
          <w:numId w:val="22"/>
        </w:numPr>
      </w:pPr>
      <w:r>
        <w:t>The selected variables should make a good representation of the risk factors related to the given domain or dimension. Every domains and dimensions should be represented.</w:t>
      </w:r>
    </w:p>
    <w:p w:rsidR="00FF29C6" w:rsidRDefault="00FF29C6" w:rsidP="008655B4">
      <w:pPr>
        <w:pStyle w:val="Listaszerbekezds"/>
        <w:numPr>
          <w:ilvl w:val="0"/>
          <w:numId w:val="22"/>
        </w:numPr>
      </w:pPr>
      <w:r>
        <w:t>Variable measures should be comparable (if transformations are needed, they also should be done). If the study covers a group of countries, the comparability of the meaning of variables and the vulnerability of being an effective measurement of risk of exclusion are also important issues.</w:t>
      </w:r>
    </w:p>
    <w:p w:rsidR="00FF29C6" w:rsidRDefault="00FF29C6" w:rsidP="008655B4">
      <w:pPr>
        <w:pStyle w:val="Listaszerbekezds"/>
        <w:numPr>
          <w:ilvl w:val="0"/>
          <w:numId w:val="22"/>
        </w:numPr>
      </w:pPr>
      <w:r>
        <w:t>The selected variables should not correlate strongly with one another.</w:t>
      </w:r>
    </w:p>
    <w:p w:rsidR="00FF29C6" w:rsidRDefault="006C3390" w:rsidP="00FF29C6">
      <w:r>
        <w:t xml:space="preserve">If a dimension was able to be covered with several suitable indicators, those were picked which did not strongly correlate with other </w:t>
      </w:r>
      <w:r w:rsidR="00474958">
        <w:t>indicators</w:t>
      </w:r>
      <w:r>
        <w:t xml:space="preserve"> from other domains and had better spatial coverage at NUTS 3 level. </w:t>
      </w:r>
      <w:r w:rsidR="0058726B">
        <w:t xml:space="preserve">Health dimension was not represented in the model, because no indicator at NUTS 3 level could represent this aspect of exclusion. </w:t>
      </w:r>
      <w:r w:rsidR="00474958">
        <w:t xml:space="preserve">Some indicators (measures of Roma population, foreign-born population, non-citizen population) were considered to use, but due to content-related and coverage issues they were finally omitted from the experiment. Thus, the domain and dimension coverage of the pilot model is not complete. Other indicators (ratio of employed persons in elementary occupations and ratio of housing units without water supply system) also have imperfect coverage, in spite of that they </w:t>
      </w:r>
      <w:r w:rsidR="0074510D">
        <w:t>were kept in the model.</w:t>
      </w:r>
    </w:p>
    <w:p w:rsidR="0074510D" w:rsidRDefault="0074510D" w:rsidP="00FF29C6">
      <w:r>
        <w:t>The selected indicators are (by domains and dimensions):</w:t>
      </w:r>
    </w:p>
    <w:p w:rsidR="00FF29C6" w:rsidRDefault="00FF29C6" w:rsidP="0058726B">
      <w:pPr>
        <w:pStyle w:val="Listaszerbekezds"/>
        <w:numPr>
          <w:ilvl w:val="0"/>
          <w:numId w:val="23"/>
        </w:numPr>
      </w:pPr>
      <w:r>
        <w:t>Ratio of employed persons in elementary occu</w:t>
      </w:r>
      <w:r w:rsidR="00D16074">
        <w:t>pations (Elementary_occupations1</w:t>
      </w:r>
      <w:r>
        <w:t>1)</w:t>
      </w:r>
      <w:r w:rsidR="0058726B">
        <w:t xml:space="preserve"> – Earning a living / Income</w:t>
      </w:r>
    </w:p>
    <w:p w:rsidR="00FF29C6" w:rsidRDefault="00FF29C6" w:rsidP="0058726B">
      <w:pPr>
        <w:ind w:left="709"/>
      </w:pPr>
      <w:r>
        <w:t>Reasoning: Employment in elementary occupation can be associated with gaining only a lower income, and it potentially increases the risk of exclusion.</w:t>
      </w:r>
    </w:p>
    <w:p w:rsidR="00FF29C6" w:rsidRDefault="00FF29C6" w:rsidP="0058726B">
      <w:pPr>
        <w:ind w:left="709"/>
      </w:pPr>
      <w:r>
        <w:t xml:space="preserve">Comment: It has no coverage for </w:t>
      </w:r>
      <w:r w:rsidR="00D16074">
        <w:t xml:space="preserve">Belgium, Denmark, Greece, France, Croatia, Italy, the Netherlands, Austria, Poland, Romania, FYROM, Turkey, </w:t>
      </w:r>
      <w:r>
        <w:t>Albania</w:t>
      </w:r>
      <w:r w:rsidR="00D16074">
        <w:t xml:space="preserve"> and Bosnia and Herzegovina</w:t>
      </w:r>
    </w:p>
    <w:p w:rsidR="00FF29C6" w:rsidRDefault="00FF29C6" w:rsidP="0058726B">
      <w:pPr>
        <w:pStyle w:val="Listaszerbekezds"/>
        <w:numPr>
          <w:ilvl w:val="0"/>
          <w:numId w:val="23"/>
        </w:numPr>
      </w:pPr>
      <w:r>
        <w:t>Inac</w:t>
      </w:r>
      <w:r w:rsidR="00D16074">
        <w:t>tivity rate, Census (Inactivity1</w:t>
      </w:r>
      <w:r>
        <w:t>1_Census)</w:t>
      </w:r>
      <w:r w:rsidR="0058726B">
        <w:t xml:space="preserve"> – Earning a living / Employment</w:t>
      </w:r>
    </w:p>
    <w:p w:rsidR="00FF29C6" w:rsidRDefault="00FF29C6" w:rsidP="0058726B">
      <w:pPr>
        <w:ind w:left="709"/>
      </w:pPr>
      <w:r>
        <w:t>Reasoning: Absence from the labour market leads to a higher risk of earning only a precarious living.</w:t>
      </w:r>
    </w:p>
    <w:p w:rsidR="00FF29C6" w:rsidRDefault="00D16074" w:rsidP="0058726B">
      <w:pPr>
        <w:ind w:left="709"/>
      </w:pPr>
      <w:r>
        <w:lastRenderedPageBreak/>
        <w:t>Comment: It has no coverage for Belgium, Greece, the Netherlands, FYROM, Turkey, Albania and Bosnia and Herzegovina</w:t>
      </w:r>
    </w:p>
    <w:p w:rsidR="00FF29C6" w:rsidRDefault="00FF29C6" w:rsidP="00FF29C6">
      <w:pPr>
        <w:pStyle w:val="Listaszerbekezds"/>
        <w:numPr>
          <w:ilvl w:val="0"/>
          <w:numId w:val="23"/>
        </w:numPr>
      </w:pPr>
      <w:r>
        <w:t>Ratio of population with low q</w:t>
      </w:r>
      <w:r w:rsidR="00D16074">
        <w:t>ualification (Low_qualification1</w:t>
      </w:r>
      <w:r>
        <w:t>1)</w:t>
      </w:r>
      <w:r w:rsidR="0058726B">
        <w:t xml:space="preserve"> – Access to basic services / </w:t>
      </w:r>
      <w:r>
        <w:t>Education</w:t>
      </w:r>
    </w:p>
    <w:p w:rsidR="00FF29C6" w:rsidRDefault="00FF29C6" w:rsidP="0058726B">
      <w:pPr>
        <w:ind w:left="709"/>
      </w:pPr>
      <w:r>
        <w:t>Reasoning: Lower qualification decrease the success of participation in the labour market, potentially leading to exclusion.</w:t>
      </w:r>
    </w:p>
    <w:p w:rsidR="00FF29C6" w:rsidRDefault="00D16074" w:rsidP="0058726B">
      <w:pPr>
        <w:ind w:left="709"/>
      </w:pPr>
      <w:r>
        <w:t>Comment: It has no coverage for Belgium, Greece, the Netherlands, FYROM, Turkey and Bosnia and Herzegovina</w:t>
      </w:r>
    </w:p>
    <w:p w:rsidR="0058726B" w:rsidRDefault="00FF29C6" w:rsidP="00FF29C6">
      <w:pPr>
        <w:pStyle w:val="Listaszerbekezds"/>
        <w:numPr>
          <w:ilvl w:val="0"/>
          <w:numId w:val="23"/>
        </w:numPr>
      </w:pPr>
      <w:r>
        <w:t>Ratio of housing units without water supply system (No_wate</w:t>
      </w:r>
      <w:r w:rsidR="00D16074">
        <w:t>r1</w:t>
      </w:r>
      <w:r>
        <w:t>1)</w:t>
      </w:r>
      <w:r w:rsidR="0058726B">
        <w:t xml:space="preserve"> – Access to Basic services / Housing</w:t>
      </w:r>
    </w:p>
    <w:p w:rsidR="00FF29C6" w:rsidRDefault="00FF29C6" w:rsidP="0058726B">
      <w:pPr>
        <w:pStyle w:val="Listaszerbekezds"/>
      </w:pPr>
      <w:r>
        <w:t xml:space="preserve">Reasoning: Bad housing can also be a symptom of exclusion. The accessibility of different housing facilities and installations is not only a social issue, but it is affected by several other factors (e.g. technology, climate, environment etc.). The access to a water supply system is probably one of the most universal </w:t>
      </w:r>
      <w:proofErr w:type="gramStart"/>
      <w:r>
        <w:t>indicator</w:t>
      </w:r>
      <w:proofErr w:type="gramEnd"/>
      <w:r>
        <w:t xml:space="preserve"> of housing conditions.</w:t>
      </w:r>
    </w:p>
    <w:p w:rsidR="00FF29C6" w:rsidRDefault="00FF29C6" w:rsidP="0058726B">
      <w:pPr>
        <w:ind w:left="709"/>
      </w:pPr>
      <w:r>
        <w:t xml:space="preserve">Comment: It has no coverage for </w:t>
      </w:r>
      <w:r w:rsidR="00D16074">
        <w:t>Belgium, Denmark, Germany, France, Malta, Netherlands, United Kingdom, Switzerland, Iceland, Liechtenstein, FYROM and Bosnia and Herzegovina</w:t>
      </w:r>
    </w:p>
    <w:p w:rsidR="00FF29C6" w:rsidRDefault="00FF29C6" w:rsidP="009D669A">
      <w:pPr>
        <w:pStyle w:val="Listaszerbekezds"/>
        <w:numPr>
          <w:ilvl w:val="0"/>
          <w:numId w:val="23"/>
        </w:numPr>
      </w:pPr>
      <w:r>
        <w:t>Old age de</w:t>
      </w:r>
      <w:r w:rsidR="00D16074">
        <w:t>pendency rate (ODependency_rate1</w:t>
      </w:r>
      <w:r>
        <w:t>1)</w:t>
      </w:r>
      <w:r w:rsidR="009D669A">
        <w:t xml:space="preserve"> – Social environment / Age</w:t>
      </w:r>
    </w:p>
    <w:p w:rsidR="00FF29C6" w:rsidRDefault="00FF29C6" w:rsidP="009D669A">
      <w:pPr>
        <w:ind w:left="709"/>
      </w:pPr>
      <w:r>
        <w:t>Reasoning: Old age dependency rate can represent this vulnerable population group potentially endangered by different forms of exclusion (mostly in disadvantaged areas).</w:t>
      </w:r>
    </w:p>
    <w:p w:rsidR="00FF29C6" w:rsidRDefault="002318ED" w:rsidP="009D669A">
      <w:pPr>
        <w:ind w:left="709"/>
      </w:pPr>
      <w:r>
        <w:t>Comment: It has no coverage for FYROM and Bosnia and Herzegovina</w:t>
      </w:r>
    </w:p>
    <w:p w:rsidR="00FF29C6" w:rsidRDefault="00FF29C6" w:rsidP="009D669A">
      <w:pPr>
        <w:pStyle w:val="Listaszerbekezds"/>
        <w:numPr>
          <w:ilvl w:val="0"/>
          <w:numId w:val="23"/>
        </w:numPr>
      </w:pPr>
      <w:r>
        <w:t>Ratio of p</w:t>
      </w:r>
      <w:r w:rsidR="00D16074">
        <w:t>opulation Roma (Roma_population1</w:t>
      </w:r>
      <w:r>
        <w:t>1)</w:t>
      </w:r>
      <w:r w:rsidR="009D669A">
        <w:t xml:space="preserve"> – Social environment / Ethnic composition</w:t>
      </w:r>
    </w:p>
    <w:p w:rsidR="00FF29C6" w:rsidRDefault="00FF29C6" w:rsidP="009D669A">
      <w:pPr>
        <w:ind w:left="709"/>
      </w:pPr>
      <w:r>
        <w:t>Reasoning: Roma population in East Central Europe and in the Balkan countries is one of the population groups affected to a high degree by many dimensions of social exclusion.</w:t>
      </w:r>
    </w:p>
    <w:p w:rsidR="00FF29C6" w:rsidRDefault="00FF29C6" w:rsidP="009D669A">
      <w:pPr>
        <w:ind w:left="709"/>
      </w:pPr>
      <w:r>
        <w:t>Comment: Potential overlap with other risk factors of exclusion as it identifies a vulnerable population group endangered by the negative effects of non-participation in the labour market, low qualification, bad housing conditions etc. It has no usable coverage for most of the countries of Europe; should be considered to drop in an extended model</w:t>
      </w:r>
      <w:r w:rsidR="002318ED">
        <w:t>.</w:t>
      </w:r>
    </w:p>
    <w:p w:rsidR="00FE5852" w:rsidRDefault="00FE5852" w:rsidP="00FF29C6">
      <w:pPr>
        <w:pStyle w:val="Listaszerbekezds"/>
        <w:numPr>
          <w:ilvl w:val="0"/>
          <w:numId w:val="23"/>
        </w:numPr>
      </w:pPr>
      <w:r>
        <w:t>Ratio of foreign-born population (Immigrants11)</w:t>
      </w:r>
      <w:r w:rsidR="009D669A">
        <w:t xml:space="preserve"> – Social environment / Immigration</w:t>
      </w:r>
    </w:p>
    <w:p w:rsidR="00FE5852" w:rsidRDefault="00FE5852" w:rsidP="009D669A">
      <w:pPr>
        <w:ind w:left="709"/>
      </w:pPr>
      <w:r>
        <w:t>Reasoning: Immigration status can increase the risk of social exclusion (e.g. limited access to different forms of social security, different form of disadvantages in the labour market etc.).</w:t>
      </w:r>
    </w:p>
    <w:p w:rsidR="00FF29C6" w:rsidRDefault="00FE5852" w:rsidP="009D669A">
      <w:pPr>
        <w:ind w:left="709"/>
      </w:pPr>
      <w:r>
        <w:lastRenderedPageBreak/>
        <w:t xml:space="preserve">Comment: It has no coverage for FYROM, Turkey and Bosnia and Herzegovina. </w:t>
      </w:r>
      <w:r w:rsidR="00474958">
        <w:t>The r</w:t>
      </w:r>
      <w:r>
        <w:t>easoning of the variable as an indicator of exclusion can</w:t>
      </w:r>
      <w:r w:rsidR="00474958">
        <w:t xml:space="preserve"> be </w:t>
      </w:r>
      <w:proofErr w:type="gramStart"/>
      <w:r w:rsidR="00474958">
        <w:t>questioned,</w:t>
      </w:r>
      <w:proofErr w:type="gramEnd"/>
      <w:r>
        <w:t xml:space="preserve"> therefore the indicator was dropped from the pilot model</w:t>
      </w:r>
    </w:p>
    <w:p w:rsidR="00FF29C6" w:rsidRDefault="00FF29C6" w:rsidP="00FF29C6">
      <w:pPr>
        <w:pStyle w:val="Listaszerbekezds"/>
        <w:numPr>
          <w:ilvl w:val="0"/>
          <w:numId w:val="23"/>
        </w:numPr>
      </w:pPr>
      <w:r>
        <w:t xml:space="preserve">Ratio of households with 6 or more </w:t>
      </w:r>
      <w:r w:rsidR="00D16074">
        <w:t>persons (Overcrowded_households1</w:t>
      </w:r>
      <w:r>
        <w:t>1)</w:t>
      </w:r>
      <w:r w:rsidR="00B10133">
        <w:t xml:space="preserve"> – Social environment / Household structure</w:t>
      </w:r>
    </w:p>
    <w:p w:rsidR="00FF29C6" w:rsidRDefault="00FF29C6" w:rsidP="00B10133">
      <w:pPr>
        <w:ind w:left="709"/>
      </w:pPr>
      <w:r>
        <w:t>Reasoning: Overcrowded households can face a higher risk of exclusion related for example to earning a living or access to basic services.</w:t>
      </w:r>
    </w:p>
    <w:p w:rsidR="00FF29C6" w:rsidRDefault="00FF29C6" w:rsidP="00B10133">
      <w:pPr>
        <w:ind w:left="709"/>
      </w:pPr>
      <w:r>
        <w:t xml:space="preserve">Comment: It has no coverage for </w:t>
      </w:r>
      <w:r w:rsidR="002318ED">
        <w:t>FYROM, Turkey and Bosnia and Herzegovina</w:t>
      </w:r>
    </w:p>
    <w:p w:rsidR="00FF29C6" w:rsidRDefault="00FF29C6" w:rsidP="00B10133">
      <w:pPr>
        <w:pStyle w:val="Listaszerbekezds"/>
        <w:numPr>
          <w:ilvl w:val="0"/>
          <w:numId w:val="23"/>
        </w:numPr>
      </w:pPr>
      <w:r>
        <w:t>Ratio of population not citize</w:t>
      </w:r>
      <w:r w:rsidR="00D16074">
        <w:t>ns of the country (Non_citizens1</w:t>
      </w:r>
      <w:r>
        <w:t>1)</w:t>
      </w:r>
      <w:r w:rsidR="00B10133">
        <w:t xml:space="preserve"> – Political participation / Citizenship</w:t>
      </w:r>
    </w:p>
    <w:p w:rsidR="00FF29C6" w:rsidRDefault="00FF29C6" w:rsidP="00B10133">
      <w:pPr>
        <w:ind w:left="709"/>
      </w:pPr>
      <w:r>
        <w:t>Reasoning: Having no rights ensured by citizenship (e.g. access to different forms of social security etc.) can increase the risk of social exclusion.</w:t>
      </w:r>
    </w:p>
    <w:p w:rsidR="00FF29C6" w:rsidRDefault="00FF29C6" w:rsidP="00B10133">
      <w:pPr>
        <w:ind w:left="709"/>
      </w:pPr>
      <w:r>
        <w:t xml:space="preserve">Comment: Represents the only dimension of a domain, its weight is too big for not deforming the model results. It has no coverage for </w:t>
      </w:r>
      <w:r w:rsidR="002318ED">
        <w:t>FYROM, Turkey and Bosnia and Herzegovina</w:t>
      </w:r>
      <w:r>
        <w:t xml:space="preserve">. </w:t>
      </w:r>
      <w:r w:rsidR="00474958">
        <w:t>The r</w:t>
      </w:r>
      <w:r>
        <w:t>easoning of the variable as an indicator of e</w:t>
      </w:r>
      <w:r w:rsidR="00474958">
        <w:t xml:space="preserve">xclusion can be </w:t>
      </w:r>
      <w:proofErr w:type="gramStart"/>
      <w:r w:rsidR="00474958">
        <w:t>questioned,</w:t>
      </w:r>
      <w:proofErr w:type="gramEnd"/>
      <w:r>
        <w:t xml:space="preserve"> therefore the indicator was dropped from the pilot model.</w:t>
      </w:r>
    </w:p>
    <w:p w:rsidR="00FF29C6" w:rsidRDefault="00FF29C6" w:rsidP="00FF29C6">
      <w:r>
        <w:t xml:space="preserve">If we presume that the selected indicators represent different symptoms of exclusion then higher values of a variable indicate potentially higher risk of exclusion. If a variable does not follow this order then it should be inverted (100-x, 1-x) for calculation. Standardized scores </w:t>
      </w:r>
      <w:r w:rsidR="003D69A2">
        <w:t>were</w:t>
      </w:r>
      <w:r>
        <w:t xml:space="preserve"> calculated for every variable – firstly separate models for a wider group of countries </w:t>
      </w:r>
      <w:r w:rsidR="003D69A2">
        <w:t xml:space="preserve">in order </w:t>
      </w:r>
      <w:r>
        <w:t xml:space="preserve">to illustrate within country differences, then in a second model for a common group of countries with available conditions </w:t>
      </w:r>
      <w:r w:rsidR="003D69A2">
        <w:t xml:space="preserve">in order to </w:t>
      </w:r>
      <w:r w:rsidR="001D4FAA">
        <w:t>have a common ‘regional’</w:t>
      </w:r>
      <w:r>
        <w:t xml:space="preserve"> (between country) view.</w:t>
      </w:r>
    </w:p>
    <w:p w:rsidR="00FF29C6" w:rsidRDefault="00FF29C6" w:rsidP="00FF29C6">
      <w:proofErr w:type="gramStart"/>
      <w:r>
        <w:t>Step</w:t>
      </w:r>
      <w:proofErr w:type="gramEnd"/>
      <w:r>
        <w:t xml:space="preserve"> 1 –</w:t>
      </w:r>
      <w:r w:rsidR="00B85F90">
        <w:t xml:space="preserve"> Standardizing the variables (both as</w:t>
      </w:r>
      <w:r>
        <w:t xml:space="preserve"> separate countries</w:t>
      </w:r>
      <w:r w:rsidR="00B85F90">
        <w:t xml:space="preserve"> and </w:t>
      </w:r>
      <w:r>
        <w:t>common group of countries):</w:t>
      </w:r>
    </w:p>
    <w:p w:rsidR="00FF29C6" w:rsidRPr="002205AC" w:rsidRDefault="00CD0272" w:rsidP="00FF29C6">
      <m:oMathPara>
        <m:oMathParaPr>
          <m:jc m:val="left"/>
        </m:oMathParaPr>
        <m:oMath>
          <m:sSub>
            <m:sSubPr>
              <m:ctrlPr>
                <w:rPr>
                  <w:rFonts w:ascii="Cambria Math" w:hAnsi="Cambria Math"/>
                  <w:i/>
                </w:rPr>
              </m:ctrlPr>
            </m:sSubPr>
            <m:e>
              <m:r>
                <w:rPr>
                  <w:rFonts w:ascii="Cambria Math" w:hAnsi="Cambria Math"/>
                </w:rPr>
                <m:t>zElementary_occupations11</m:t>
              </m:r>
            </m:e>
            <m:sub>
              <m:r>
                <w:rPr>
                  <w:rFonts w:ascii="Cambria Math" w:hAnsi="Cambria Math"/>
                </w:rPr>
                <m:t>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Elementary_occupations11</m:t>
                  </m:r>
                </m:e>
                <m:sub>
                  <m:r>
                    <w:rPr>
                      <w:rFonts w:ascii="Cambria Math" w:hAnsi="Cambria Math"/>
                    </w:rPr>
                    <m:t>i</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Elementary_occupations11</m:t>
                  </m:r>
                </m:sub>
              </m:sSub>
            </m:num>
            <m:den>
              <m:sSub>
                <m:sSubPr>
                  <m:ctrlPr>
                    <w:rPr>
                      <w:rFonts w:ascii="Cambria Math" w:hAnsi="Cambria Math"/>
                      <w:i/>
                    </w:rPr>
                  </m:ctrlPr>
                </m:sSubPr>
                <m:e>
                  <m:r>
                    <w:rPr>
                      <w:rFonts w:ascii="Cambria Math" w:hAnsi="Cambria Math"/>
                    </w:rPr>
                    <m:t>σ</m:t>
                  </m:r>
                </m:e>
                <m:sub>
                  <m:r>
                    <w:rPr>
                      <w:rFonts w:ascii="Cambria Math" w:hAnsi="Cambria Math"/>
                    </w:rPr>
                    <m:t>Elementary_occupations11</m:t>
                  </m:r>
                </m:sub>
              </m:sSub>
            </m:den>
          </m:f>
        </m:oMath>
      </m:oMathPara>
    </w:p>
    <w:p w:rsidR="00FF29C6" w:rsidRPr="002205AC" w:rsidRDefault="00CD0272" w:rsidP="00FF29C6">
      <w:pPr>
        <w:rPr>
          <w:szCs w:val="22"/>
        </w:rPr>
      </w:pPr>
      <m:oMathPara>
        <m:oMathParaPr>
          <m:jc m:val="left"/>
        </m:oMathParaPr>
        <m:oMath>
          <m:sSub>
            <m:sSubPr>
              <m:ctrlPr>
                <w:rPr>
                  <w:rFonts w:ascii="Cambria Math" w:hAnsi="Cambria Math"/>
                  <w:i/>
                  <w:szCs w:val="22"/>
                </w:rPr>
              </m:ctrlPr>
            </m:sSubPr>
            <m:e>
              <m:r>
                <w:rPr>
                  <w:rFonts w:ascii="Cambria Math" w:hAnsi="Cambria Math"/>
                  <w:szCs w:val="22"/>
                </w:rPr>
                <m:t>zInactivity11_Census</m:t>
              </m:r>
            </m:e>
            <m:sub>
              <m:r>
                <w:rPr>
                  <w:rFonts w:ascii="Cambria Math" w:hAnsi="Cambria Math"/>
                  <w:szCs w:val="22"/>
                </w:rPr>
                <m:t>i</m:t>
              </m:r>
            </m:sub>
          </m:sSub>
          <m:r>
            <w:rPr>
              <w:rFonts w:ascii="Cambria Math" w:hAnsi="Cambria Math"/>
              <w:szCs w:val="22"/>
            </w:rPr>
            <m:t>=</m:t>
          </m:r>
          <m:f>
            <m:fPr>
              <m:ctrlPr>
                <w:rPr>
                  <w:rFonts w:ascii="Cambria Math" w:hAnsi="Cambria Math"/>
                  <w:i/>
                  <w:szCs w:val="22"/>
                </w:rPr>
              </m:ctrlPr>
            </m:fPr>
            <m:num>
              <m:sSub>
                <m:sSubPr>
                  <m:ctrlPr>
                    <w:rPr>
                      <w:rFonts w:ascii="Cambria Math" w:hAnsi="Cambria Math"/>
                      <w:i/>
                      <w:szCs w:val="22"/>
                    </w:rPr>
                  </m:ctrlPr>
                </m:sSubPr>
                <m:e>
                  <m:r>
                    <w:rPr>
                      <w:rFonts w:ascii="Cambria Math" w:hAnsi="Cambria Math"/>
                      <w:szCs w:val="22"/>
                    </w:rPr>
                    <m:t>Inactivity11_Census</m:t>
                  </m:r>
                </m:e>
                <m:sub>
                  <m:r>
                    <w:rPr>
                      <w:rFonts w:ascii="Cambria Math" w:hAnsi="Cambria Math"/>
                      <w:szCs w:val="22"/>
                    </w:rPr>
                    <m:t>i</m:t>
                  </m:r>
                </m:sub>
              </m:sSub>
              <m:r>
                <w:rPr>
                  <w:rFonts w:ascii="Cambria Math" w:hAnsi="Cambria Math"/>
                  <w:szCs w:val="22"/>
                </w:rPr>
                <m:t>-</m:t>
              </m:r>
              <m:sSub>
                <m:sSubPr>
                  <m:ctrlPr>
                    <w:rPr>
                      <w:rFonts w:ascii="Cambria Math" w:hAnsi="Cambria Math"/>
                      <w:i/>
                      <w:szCs w:val="22"/>
                    </w:rPr>
                  </m:ctrlPr>
                </m:sSubPr>
                <m:e>
                  <m:acc>
                    <m:accPr>
                      <m:chr m:val="̅"/>
                      <m:ctrlPr>
                        <w:rPr>
                          <w:rFonts w:ascii="Cambria Math" w:hAnsi="Cambria Math"/>
                          <w:i/>
                          <w:szCs w:val="22"/>
                        </w:rPr>
                      </m:ctrlPr>
                    </m:accPr>
                    <m:e>
                      <m:r>
                        <w:rPr>
                          <w:rFonts w:ascii="Cambria Math" w:hAnsi="Cambria Math"/>
                          <w:szCs w:val="22"/>
                        </w:rPr>
                        <m:t>x</m:t>
                      </m:r>
                    </m:e>
                  </m:acc>
                </m:e>
                <m:sub>
                  <m:r>
                    <w:rPr>
                      <w:rFonts w:ascii="Cambria Math" w:hAnsi="Cambria Math"/>
                      <w:szCs w:val="22"/>
                    </w:rPr>
                    <m:t>Inactivity11_Census</m:t>
                  </m:r>
                </m:sub>
              </m:sSub>
            </m:num>
            <m:den>
              <m:sSub>
                <m:sSubPr>
                  <m:ctrlPr>
                    <w:rPr>
                      <w:rFonts w:ascii="Cambria Math" w:hAnsi="Cambria Math"/>
                      <w:i/>
                      <w:szCs w:val="22"/>
                    </w:rPr>
                  </m:ctrlPr>
                </m:sSubPr>
                <m:e>
                  <m:r>
                    <w:rPr>
                      <w:rFonts w:ascii="Cambria Math" w:hAnsi="Cambria Math"/>
                      <w:szCs w:val="22"/>
                    </w:rPr>
                    <m:t>σ</m:t>
                  </m:r>
                </m:e>
                <m:sub>
                  <m:r>
                    <w:rPr>
                      <w:rFonts w:ascii="Cambria Math" w:hAnsi="Cambria Math"/>
                      <w:szCs w:val="22"/>
                    </w:rPr>
                    <m:t>Inactivity11_Census</m:t>
                  </m:r>
                </m:sub>
              </m:sSub>
            </m:den>
          </m:f>
        </m:oMath>
      </m:oMathPara>
    </w:p>
    <w:p w:rsidR="00FF29C6" w:rsidRPr="002205AC" w:rsidRDefault="00CD0272" w:rsidP="00FF29C6">
      <w:pPr>
        <w:rPr>
          <w:szCs w:val="22"/>
        </w:rPr>
      </w:pPr>
      <m:oMathPara>
        <m:oMathParaPr>
          <m:jc m:val="left"/>
        </m:oMathParaPr>
        <m:oMath>
          <m:sSub>
            <m:sSubPr>
              <m:ctrlPr>
                <w:rPr>
                  <w:rFonts w:ascii="Cambria Math" w:hAnsi="Cambria Math"/>
                  <w:i/>
                  <w:szCs w:val="22"/>
                </w:rPr>
              </m:ctrlPr>
            </m:sSubPr>
            <m:e>
              <m:r>
                <w:rPr>
                  <w:rFonts w:ascii="Cambria Math" w:hAnsi="Cambria Math"/>
                  <w:szCs w:val="22"/>
                </w:rPr>
                <m:t>zLow_qualification11</m:t>
              </m:r>
            </m:e>
            <m:sub>
              <m:r>
                <w:rPr>
                  <w:rFonts w:ascii="Cambria Math" w:hAnsi="Cambria Math"/>
                  <w:szCs w:val="22"/>
                </w:rPr>
                <m:t>i</m:t>
              </m:r>
            </m:sub>
          </m:sSub>
          <m:r>
            <w:rPr>
              <w:rFonts w:ascii="Cambria Math" w:hAnsi="Cambria Math"/>
              <w:szCs w:val="22"/>
            </w:rPr>
            <m:t>=</m:t>
          </m:r>
          <m:f>
            <m:fPr>
              <m:ctrlPr>
                <w:rPr>
                  <w:rFonts w:ascii="Cambria Math" w:hAnsi="Cambria Math"/>
                  <w:i/>
                  <w:szCs w:val="22"/>
                </w:rPr>
              </m:ctrlPr>
            </m:fPr>
            <m:num>
              <m:sSub>
                <m:sSubPr>
                  <m:ctrlPr>
                    <w:rPr>
                      <w:rFonts w:ascii="Cambria Math" w:hAnsi="Cambria Math"/>
                      <w:i/>
                      <w:szCs w:val="22"/>
                    </w:rPr>
                  </m:ctrlPr>
                </m:sSubPr>
                <m:e>
                  <m:r>
                    <w:rPr>
                      <w:rFonts w:ascii="Cambria Math" w:hAnsi="Cambria Math"/>
                      <w:szCs w:val="22"/>
                    </w:rPr>
                    <m:t>Low_qualification11</m:t>
                  </m:r>
                </m:e>
                <m:sub>
                  <m:r>
                    <w:rPr>
                      <w:rFonts w:ascii="Cambria Math" w:hAnsi="Cambria Math"/>
                      <w:szCs w:val="22"/>
                    </w:rPr>
                    <m:t>i</m:t>
                  </m:r>
                </m:sub>
              </m:sSub>
              <m:r>
                <w:rPr>
                  <w:rFonts w:ascii="Cambria Math" w:hAnsi="Cambria Math"/>
                  <w:szCs w:val="22"/>
                </w:rPr>
                <m:t>-</m:t>
              </m:r>
              <m:sSub>
                <m:sSubPr>
                  <m:ctrlPr>
                    <w:rPr>
                      <w:rFonts w:ascii="Cambria Math" w:hAnsi="Cambria Math"/>
                      <w:i/>
                      <w:szCs w:val="22"/>
                    </w:rPr>
                  </m:ctrlPr>
                </m:sSubPr>
                <m:e>
                  <m:acc>
                    <m:accPr>
                      <m:chr m:val="̅"/>
                      <m:ctrlPr>
                        <w:rPr>
                          <w:rFonts w:ascii="Cambria Math" w:hAnsi="Cambria Math"/>
                          <w:i/>
                          <w:szCs w:val="22"/>
                        </w:rPr>
                      </m:ctrlPr>
                    </m:accPr>
                    <m:e>
                      <m:r>
                        <w:rPr>
                          <w:rFonts w:ascii="Cambria Math" w:hAnsi="Cambria Math"/>
                          <w:szCs w:val="22"/>
                        </w:rPr>
                        <m:t>x</m:t>
                      </m:r>
                    </m:e>
                  </m:acc>
                </m:e>
                <m:sub>
                  <m:r>
                    <w:rPr>
                      <w:rFonts w:ascii="Cambria Math" w:hAnsi="Cambria Math"/>
                      <w:szCs w:val="22"/>
                    </w:rPr>
                    <m:t>Low_qualification11</m:t>
                  </m:r>
                </m:sub>
              </m:sSub>
            </m:num>
            <m:den>
              <m:sSub>
                <m:sSubPr>
                  <m:ctrlPr>
                    <w:rPr>
                      <w:rFonts w:ascii="Cambria Math" w:hAnsi="Cambria Math"/>
                      <w:i/>
                      <w:szCs w:val="22"/>
                    </w:rPr>
                  </m:ctrlPr>
                </m:sSubPr>
                <m:e>
                  <m:r>
                    <w:rPr>
                      <w:rFonts w:ascii="Cambria Math" w:hAnsi="Cambria Math"/>
                      <w:szCs w:val="22"/>
                    </w:rPr>
                    <m:t>σ</m:t>
                  </m:r>
                </m:e>
                <m:sub>
                  <m:r>
                    <w:rPr>
                      <w:rFonts w:ascii="Cambria Math" w:hAnsi="Cambria Math"/>
                      <w:szCs w:val="22"/>
                    </w:rPr>
                    <m:t>Low_qualification11</m:t>
                  </m:r>
                </m:sub>
              </m:sSub>
            </m:den>
          </m:f>
        </m:oMath>
      </m:oMathPara>
    </w:p>
    <w:p w:rsidR="00FF29C6" w:rsidRPr="002205AC" w:rsidRDefault="00CD0272" w:rsidP="00FF29C6">
      <w:pPr>
        <w:rPr>
          <w:szCs w:val="22"/>
        </w:rPr>
      </w:pPr>
      <m:oMathPara>
        <m:oMathParaPr>
          <m:jc m:val="left"/>
        </m:oMathParaPr>
        <m:oMath>
          <m:sSub>
            <m:sSubPr>
              <m:ctrlPr>
                <w:rPr>
                  <w:rFonts w:ascii="Cambria Math" w:hAnsi="Cambria Math"/>
                  <w:i/>
                  <w:szCs w:val="22"/>
                </w:rPr>
              </m:ctrlPr>
            </m:sSubPr>
            <m:e>
              <m:r>
                <w:rPr>
                  <w:rFonts w:ascii="Cambria Math" w:hAnsi="Cambria Math"/>
                  <w:szCs w:val="22"/>
                </w:rPr>
                <m:t>zNo_water11</m:t>
              </m:r>
            </m:e>
            <m:sub>
              <m:r>
                <w:rPr>
                  <w:rFonts w:ascii="Cambria Math" w:hAnsi="Cambria Math"/>
                  <w:szCs w:val="22"/>
                </w:rPr>
                <m:t>i</m:t>
              </m:r>
            </m:sub>
          </m:sSub>
          <m:r>
            <w:rPr>
              <w:rFonts w:ascii="Cambria Math" w:hAnsi="Cambria Math"/>
              <w:szCs w:val="22"/>
            </w:rPr>
            <m:t>=</m:t>
          </m:r>
          <m:f>
            <m:fPr>
              <m:ctrlPr>
                <w:rPr>
                  <w:rFonts w:ascii="Cambria Math" w:hAnsi="Cambria Math"/>
                  <w:i/>
                  <w:szCs w:val="22"/>
                </w:rPr>
              </m:ctrlPr>
            </m:fPr>
            <m:num>
              <m:sSub>
                <m:sSubPr>
                  <m:ctrlPr>
                    <w:rPr>
                      <w:rFonts w:ascii="Cambria Math" w:hAnsi="Cambria Math"/>
                      <w:i/>
                      <w:szCs w:val="22"/>
                    </w:rPr>
                  </m:ctrlPr>
                </m:sSubPr>
                <m:e>
                  <m:r>
                    <w:rPr>
                      <w:rFonts w:ascii="Cambria Math" w:hAnsi="Cambria Math"/>
                      <w:szCs w:val="22"/>
                    </w:rPr>
                    <m:t>No_water11</m:t>
                  </m:r>
                </m:e>
                <m:sub>
                  <m:r>
                    <w:rPr>
                      <w:rFonts w:ascii="Cambria Math" w:hAnsi="Cambria Math"/>
                      <w:szCs w:val="22"/>
                    </w:rPr>
                    <m:t>i</m:t>
                  </m:r>
                </m:sub>
              </m:sSub>
              <m:r>
                <w:rPr>
                  <w:rFonts w:ascii="Cambria Math" w:hAnsi="Cambria Math"/>
                  <w:szCs w:val="22"/>
                </w:rPr>
                <m:t>-</m:t>
              </m:r>
              <m:sSub>
                <m:sSubPr>
                  <m:ctrlPr>
                    <w:rPr>
                      <w:rFonts w:ascii="Cambria Math" w:hAnsi="Cambria Math"/>
                      <w:i/>
                      <w:szCs w:val="22"/>
                    </w:rPr>
                  </m:ctrlPr>
                </m:sSubPr>
                <m:e>
                  <m:acc>
                    <m:accPr>
                      <m:chr m:val="̅"/>
                      <m:ctrlPr>
                        <w:rPr>
                          <w:rFonts w:ascii="Cambria Math" w:hAnsi="Cambria Math"/>
                          <w:i/>
                          <w:szCs w:val="22"/>
                        </w:rPr>
                      </m:ctrlPr>
                    </m:accPr>
                    <m:e>
                      <m:r>
                        <w:rPr>
                          <w:rFonts w:ascii="Cambria Math" w:hAnsi="Cambria Math"/>
                          <w:szCs w:val="22"/>
                        </w:rPr>
                        <m:t>x</m:t>
                      </m:r>
                    </m:e>
                  </m:acc>
                </m:e>
                <m:sub>
                  <m:r>
                    <w:rPr>
                      <w:rFonts w:ascii="Cambria Math" w:hAnsi="Cambria Math"/>
                      <w:szCs w:val="22"/>
                    </w:rPr>
                    <m:t>No_water11</m:t>
                  </m:r>
                </m:sub>
              </m:sSub>
            </m:num>
            <m:den>
              <m:sSub>
                <m:sSubPr>
                  <m:ctrlPr>
                    <w:rPr>
                      <w:rFonts w:ascii="Cambria Math" w:hAnsi="Cambria Math"/>
                      <w:i/>
                      <w:szCs w:val="22"/>
                    </w:rPr>
                  </m:ctrlPr>
                </m:sSubPr>
                <m:e>
                  <m:r>
                    <w:rPr>
                      <w:rFonts w:ascii="Cambria Math" w:hAnsi="Cambria Math"/>
                      <w:szCs w:val="22"/>
                    </w:rPr>
                    <m:t>σ</m:t>
                  </m:r>
                </m:e>
                <m:sub>
                  <m:r>
                    <w:rPr>
                      <w:rFonts w:ascii="Cambria Math" w:hAnsi="Cambria Math"/>
                      <w:szCs w:val="22"/>
                    </w:rPr>
                    <m:t>No_water11</m:t>
                  </m:r>
                </m:sub>
              </m:sSub>
            </m:den>
          </m:f>
        </m:oMath>
      </m:oMathPara>
    </w:p>
    <w:p w:rsidR="00FF29C6" w:rsidRPr="002205AC" w:rsidRDefault="00CD0272" w:rsidP="00FF29C6">
      <w:pPr>
        <w:rPr>
          <w:szCs w:val="22"/>
        </w:rPr>
      </w:pPr>
      <m:oMathPara>
        <m:oMathParaPr>
          <m:jc m:val="left"/>
        </m:oMathParaPr>
        <m:oMath>
          <m:sSub>
            <m:sSubPr>
              <m:ctrlPr>
                <w:rPr>
                  <w:rFonts w:ascii="Cambria Math" w:hAnsi="Cambria Math"/>
                  <w:i/>
                  <w:szCs w:val="22"/>
                </w:rPr>
              </m:ctrlPr>
            </m:sSubPr>
            <m:e>
              <m:r>
                <w:rPr>
                  <w:rFonts w:ascii="Cambria Math" w:hAnsi="Cambria Math"/>
                  <w:szCs w:val="22"/>
                </w:rPr>
                <m:t>zODependency_rate11</m:t>
              </m:r>
            </m:e>
            <m:sub>
              <m:r>
                <w:rPr>
                  <w:rFonts w:ascii="Cambria Math" w:hAnsi="Cambria Math"/>
                  <w:szCs w:val="22"/>
                </w:rPr>
                <m:t>i</m:t>
              </m:r>
            </m:sub>
          </m:sSub>
          <m:r>
            <w:rPr>
              <w:rFonts w:ascii="Cambria Math" w:hAnsi="Cambria Math"/>
              <w:szCs w:val="22"/>
            </w:rPr>
            <m:t>=</m:t>
          </m:r>
          <m:f>
            <m:fPr>
              <m:ctrlPr>
                <w:rPr>
                  <w:rFonts w:ascii="Cambria Math" w:hAnsi="Cambria Math"/>
                  <w:i/>
                  <w:szCs w:val="22"/>
                </w:rPr>
              </m:ctrlPr>
            </m:fPr>
            <m:num>
              <m:sSub>
                <m:sSubPr>
                  <m:ctrlPr>
                    <w:rPr>
                      <w:rFonts w:ascii="Cambria Math" w:hAnsi="Cambria Math"/>
                      <w:i/>
                      <w:szCs w:val="22"/>
                    </w:rPr>
                  </m:ctrlPr>
                </m:sSubPr>
                <m:e>
                  <m:r>
                    <w:rPr>
                      <w:rFonts w:ascii="Cambria Math" w:hAnsi="Cambria Math"/>
                      <w:szCs w:val="22"/>
                    </w:rPr>
                    <m:t>ODependency_rate11</m:t>
                  </m:r>
                </m:e>
                <m:sub>
                  <m:r>
                    <w:rPr>
                      <w:rFonts w:ascii="Cambria Math" w:hAnsi="Cambria Math"/>
                      <w:szCs w:val="22"/>
                    </w:rPr>
                    <m:t>i</m:t>
                  </m:r>
                </m:sub>
              </m:sSub>
              <m:r>
                <w:rPr>
                  <w:rFonts w:ascii="Cambria Math" w:hAnsi="Cambria Math"/>
                  <w:szCs w:val="22"/>
                </w:rPr>
                <m:t>-</m:t>
              </m:r>
              <m:sSub>
                <m:sSubPr>
                  <m:ctrlPr>
                    <w:rPr>
                      <w:rFonts w:ascii="Cambria Math" w:hAnsi="Cambria Math"/>
                      <w:i/>
                      <w:szCs w:val="22"/>
                    </w:rPr>
                  </m:ctrlPr>
                </m:sSubPr>
                <m:e>
                  <m:acc>
                    <m:accPr>
                      <m:chr m:val="̅"/>
                      <m:ctrlPr>
                        <w:rPr>
                          <w:rFonts w:ascii="Cambria Math" w:hAnsi="Cambria Math"/>
                          <w:i/>
                          <w:szCs w:val="22"/>
                        </w:rPr>
                      </m:ctrlPr>
                    </m:accPr>
                    <m:e>
                      <m:r>
                        <w:rPr>
                          <w:rFonts w:ascii="Cambria Math" w:hAnsi="Cambria Math"/>
                          <w:szCs w:val="22"/>
                        </w:rPr>
                        <m:t>x</m:t>
                      </m:r>
                    </m:e>
                  </m:acc>
                </m:e>
                <m:sub>
                  <m:r>
                    <w:rPr>
                      <w:rFonts w:ascii="Cambria Math" w:hAnsi="Cambria Math"/>
                      <w:szCs w:val="22"/>
                    </w:rPr>
                    <m:t>ODependency_rate11</m:t>
                  </m:r>
                </m:sub>
              </m:sSub>
            </m:num>
            <m:den>
              <m:sSub>
                <m:sSubPr>
                  <m:ctrlPr>
                    <w:rPr>
                      <w:rFonts w:ascii="Cambria Math" w:hAnsi="Cambria Math"/>
                      <w:i/>
                      <w:szCs w:val="22"/>
                    </w:rPr>
                  </m:ctrlPr>
                </m:sSubPr>
                <m:e>
                  <m:r>
                    <w:rPr>
                      <w:rFonts w:ascii="Cambria Math" w:hAnsi="Cambria Math"/>
                      <w:szCs w:val="22"/>
                    </w:rPr>
                    <m:t>σ</m:t>
                  </m:r>
                </m:e>
                <m:sub>
                  <m:r>
                    <w:rPr>
                      <w:rFonts w:ascii="Cambria Math" w:hAnsi="Cambria Math"/>
                      <w:szCs w:val="22"/>
                    </w:rPr>
                    <m:t>ODependency_rate11</m:t>
                  </m:r>
                </m:sub>
              </m:sSub>
            </m:den>
          </m:f>
        </m:oMath>
      </m:oMathPara>
    </w:p>
    <w:p w:rsidR="00FF29C6" w:rsidRPr="002205AC" w:rsidRDefault="00CD0272" w:rsidP="00FF29C6">
      <w:pPr>
        <w:rPr>
          <w:szCs w:val="22"/>
        </w:rPr>
      </w:pPr>
      <m:oMathPara>
        <m:oMathParaPr>
          <m:jc m:val="left"/>
        </m:oMathParaPr>
        <m:oMath>
          <m:sSub>
            <m:sSubPr>
              <m:ctrlPr>
                <w:rPr>
                  <w:rFonts w:ascii="Cambria Math" w:hAnsi="Cambria Math"/>
                  <w:i/>
                  <w:szCs w:val="22"/>
                </w:rPr>
              </m:ctrlPr>
            </m:sSubPr>
            <m:e>
              <m:r>
                <w:rPr>
                  <w:rFonts w:ascii="Cambria Math" w:hAnsi="Cambria Math"/>
                  <w:szCs w:val="22"/>
                </w:rPr>
                <m:t>zOvercrowded_households11</m:t>
              </m:r>
            </m:e>
            <m:sub>
              <m:r>
                <w:rPr>
                  <w:rFonts w:ascii="Cambria Math" w:hAnsi="Cambria Math"/>
                  <w:szCs w:val="22"/>
                </w:rPr>
                <m:t>i</m:t>
              </m:r>
            </m:sub>
          </m:sSub>
          <m:r>
            <w:rPr>
              <w:rFonts w:ascii="Cambria Math" w:hAnsi="Cambria Math"/>
              <w:szCs w:val="22"/>
            </w:rPr>
            <m:t>=</m:t>
          </m:r>
          <m:f>
            <m:fPr>
              <m:ctrlPr>
                <w:rPr>
                  <w:rFonts w:ascii="Cambria Math" w:hAnsi="Cambria Math"/>
                  <w:i/>
                  <w:szCs w:val="22"/>
                </w:rPr>
              </m:ctrlPr>
            </m:fPr>
            <m:num>
              <m:sSub>
                <m:sSubPr>
                  <m:ctrlPr>
                    <w:rPr>
                      <w:rFonts w:ascii="Cambria Math" w:hAnsi="Cambria Math"/>
                      <w:i/>
                      <w:szCs w:val="22"/>
                    </w:rPr>
                  </m:ctrlPr>
                </m:sSubPr>
                <m:e>
                  <m:r>
                    <w:rPr>
                      <w:rFonts w:ascii="Cambria Math" w:hAnsi="Cambria Math"/>
                      <w:szCs w:val="22"/>
                    </w:rPr>
                    <m:t>Overcrowded_households11</m:t>
                  </m:r>
                </m:e>
                <m:sub>
                  <m:r>
                    <w:rPr>
                      <w:rFonts w:ascii="Cambria Math" w:hAnsi="Cambria Math"/>
                      <w:szCs w:val="22"/>
                    </w:rPr>
                    <m:t>i</m:t>
                  </m:r>
                </m:sub>
              </m:sSub>
              <m:r>
                <w:rPr>
                  <w:rFonts w:ascii="Cambria Math" w:hAnsi="Cambria Math"/>
                  <w:szCs w:val="22"/>
                </w:rPr>
                <m:t>-</m:t>
              </m:r>
              <m:sSub>
                <m:sSubPr>
                  <m:ctrlPr>
                    <w:rPr>
                      <w:rFonts w:ascii="Cambria Math" w:hAnsi="Cambria Math"/>
                      <w:i/>
                      <w:szCs w:val="22"/>
                    </w:rPr>
                  </m:ctrlPr>
                </m:sSubPr>
                <m:e>
                  <m:acc>
                    <m:accPr>
                      <m:chr m:val="̅"/>
                      <m:ctrlPr>
                        <w:rPr>
                          <w:rFonts w:ascii="Cambria Math" w:hAnsi="Cambria Math"/>
                          <w:i/>
                          <w:szCs w:val="22"/>
                        </w:rPr>
                      </m:ctrlPr>
                    </m:accPr>
                    <m:e>
                      <m:r>
                        <w:rPr>
                          <w:rFonts w:ascii="Cambria Math" w:hAnsi="Cambria Math"/>
                          <w:szCs w:val="22"/>
                        </w:rPr>
                        <m:t>x</m:t>
                      </m:r>
                    </m:e>
                  </m:acc>
                </m:e>
                <m:sub>
                  <m:r>
                    <w:rPr>
                      <w:rFonts w:ascii="Cambria Math" w:hAnsi="Cambria Math"/>
                      <w:szCs w:val="22"/>
                    </w:rPr>
                    <m:t>Overcrowded_households11</m:t>
                  </m:r>
                </m:sub>
              </m:sSub>
            </m:num>
            <m:den>
              <m:sSub>
                <m:sSubPr>
                  <m:ctrlPr>
                    <w:rPr>
                      <w:rFonts w:ascii="Cambria Math" w:hAnsi="Cambria Math"/>
                      <w:i/>
                      <w:szCs w:val="22"/>
                    </w:rPr>
                  </m:ctrlPr>
                </m:sSubPr>
                <m:e>
                  <m:r>
                    <w:rPr>
                      <w:rFonts w:ascii="Cambria Math" w:hAnsi="Cambria Math"/>
                      <w:szCs w:val="22"/>
                    </w:rPr>
                    <m:t>σ</m:t>
                  </m:r>
                </m:e>
                <m:sub>
                  <m:r>
                    <w:rPr>
                      <w:rFonts w:ascii="Cambria Math" w:hAnsi="Cambria Math"/>
                      <w:szCs w:val="22"/>
                    </w:rPr>
                    <m:t>Overcrowded_households11</m:t>
                  </m:r>
                </m:sub>
              </m:sSub>
            </m:den>
          </m:f>
        </m:oMath>
      </m:oMathPara>
    </w:p>
    <w:p w:rsidR="00FF29C6" w:rsidRDefault="00FF29C6" w:rsidP="00FF29C6"/>
    <w:p w:rsidR="003E016D" w:rsidRDefault="00FF29C6" w:rsidP="00FF29C6">
      <w:r>
        <w:t xml:space="preserve">In the second step these z-scores </w:t>
      </w:r>
      <w:r w:rsidR="003E016D">
        <w:t>were</w:t>
      </w:r>
      <w:r>
        <w:t xml:space="preserve"> transformed by following a binary classification. If the standardized value of the indicators exceed</w:t>
      </w:r>
      <w:r w:rsidR="003E016D">
        <w:t>ed 1 it was labelled as ‘1’, if it was</w:t>
      </w:r>
      <w:r>
        <w:t xml:space="preserve"> below 1 it is labelled as ‘0’. As a next step, these 0 and 1 values </w:t>
      </w:r>
      <w:r w:rsidR="003E016D">
        <w:t>were</w:t>
      </w:r>
      <w:r>
        <w:t xml:space="preserve"> summed up per domains in each region and they provide</w:t>
      </w:r>
      <w:r w:rsidR="003E016D">
        <w:t>d</w:t>
      </w:r>
      <w:r>
        <w:t xml:space="preserve"> the following classification. If the sum is 0, the region is labelled as ‘not affected by exclusion’. If it is 1, the region is ‘vulnerable to one or another factor of exclusion’, and if the sum is </w:t>
      </w:r>
      <w:r w:rsidR="00B85F90">
        <w:t>2</w:t>
      </w:r>
      <w:r>
        <w:t xml:space="preserve"> the area is classified as ‘multiply affected’ region. A combinat</w:t>
      </w:r>
      <w:r w:rsidR="003E016D">
        <w:t>ion of domain representations was</w:t>
      </w:r>
      <w:r>
        <w:t xml:space="preserve"> also carried out in the proposal by following the same logic, by counting up those cases where the region </w:t>
      </w:r>
      <w:r w:rsidR="003E016D">
        <w:t>was</w:t>
      </w:r>
      <w:r>
        <w:t xml:space="preserve"> labelled as excluded in one or more domains.</w:t>
      </w:r>
    </w:p>
    <w:p w:rsidR="00FF29C6" w:rsidRDefault="00FF29C6" w:rsidP="00FF29C6">
      <w:r>
        <w:t xml:space="preserve">The extension of the calculations to the whole ESPON space raises many questions to discuss as it interfere several points of </w:t>
      </w:r>
      <w:r w:rsidR="00BC08C5">
        <w:t>limitations</w:t>
      </w:r>
      <w:r>
        <w:t xml:space="preserve">, while the methodology followed in the pilot model seems to be </w:t>
      </w:r>
      <w:r w:rsidR="00BC08C5">
        <w:t>basically applicable</w:t>
      </w:r>
      <w:r>
        <w:t>.</w:t>
      </w:r>
      <w:r w:rsidR="00F14DCE">
        <w:t xml:space="preserve"> Main conclusions on limitations </w:t>
      </w:r>
      <w:r w:rsidR="00BC08C5">
        <w:t xml:space="preserve">of indicator selection, calculation and representation </w:t>
      </w:r>
      <w:r w:rsidR="00F14DCE">
        <w:t>are as follows:</w:t>
      </w:r>
    </w:p>
    <w:p w:rsidR="00FF29C6" w:rsidRDefault="00FF29C6" w:rsidP="00F14DCE">
      <w:pPr>
        <w:pStyle w:val="Listaszerbekezds"/>
        <w:numPr>
          <w:ilvl w:val="0"/>
          <w:numId w:val="23"/>
        </w:numPr>
      </w:pPr>
      <w:r>
        <w:t>In some cases the selected variables do not universally give a good representation on the risk factor related to the given domain or dimension. It depends on which country is affected, the type of welfare regime, conditions of social security etc. Thus the same relative situation according to an indicator does not imply the same risk of exclusion.</w:t>
      </w:r>
    </w:p>
    <w:p w:rsidR="00FF29C6" w:rsidRDefault="00FF29C6" w:rsidP="00F14DCE">
      <w:pPr>
        <w:pStyle w:val="Listaszerbekezds"/>
        <w:numPr>
          <w:ilvl w:val="0"/>
          <w:numId w:val="23"/>
        </w:numPr>
      </w:pPr>
      <w:r>
        <w:t>In some other cases</w:t>
      </w:r>
      <w:r w:rsidR="00BC08C5">
        <w:t>,</w:t>
      </w:r>
      <w:r>
        <w:t xml:space="preserve"> variable measures (of different countries) are not fully comparable even they all refer to the risk of exclusion. In this way between country differences are harder to interpret, within country situation are more reliable to present.</w:t>
      </w:r>
    </w:p>
    <w:p w:rsidR="00FF29C6" w:rsidRDefault="00F14DCE" w:rsidP="00F14DCE">
      <w:pPr>
        <w:pStyle w:val="Listaszerbekezds"/>
        <w:numPr>
          <w:ilvl w:val="0"/>
          <w:numId w:val="23"/>
        </w:numPr>
      </w:pPr>
      <w:r>
        <w:t>Data coverage for 201</w:t>
      </w:r>
      <w:r w:rsidR="00FF29C6">
        <w:t xml:space="preserve">1 is far from complete. At the point of selection of variables for the pilot model achieving the best coverage of data (also for a potential extension) was a very important aspect. All domains can be represented by at least one variable with acceptable coverage, however the detailed representation of every domain and dimension is not guaranteed. Beside the general gaps related to smaller (or non-ESPON) countries the bad data coverage </w:t>
      </w:r>
      <w:r w:rsidR="00BC08C5">
        <w:t xml:space="preserve">of </w:t>
      </w:r>
      <w:r>
        <w:t>some EU countries (e.g. Belgium, Greece or Netherlands)</w:t>
      </w:r>
      <w:r w:rsidR="00FF29C6">
        <w:t xml:space="preserve"> is also a problematic issue in this sense.</w:t>
      </w:r>
    </w:p>
    <w:p w:rsidR="00BC08C5" w:rsidRDefault="00BC08C5" w:rsidP="00BC08C5">
      <w:pPr>
        <w:pStyle w:val="Listaszerbekezds"/>
        <w:numPr>
          <w:ilvl w:val="0"/>
          <w:numId w:val="23"/>
        </w:numPr>
      </w:pPr>
      <w:r>
        <w:t>In those cases, where indicator values were missing in one or more countries, these regions were generally labelled as not vulnerable or</w:t>
      </w:r>
      <w:r w:rsidR="00922278">
        <w:t xml:space="preserve"> not </w:t>
      </w:r>
      <w:r>
        <w:t>affected by exclusion</w:t>
      </w:r>
      <w:r w:rsidR="00922278">
        <w:t xml:space="preserve"> – what is not certainly valid</w:t>
      </w:r>
      <w:r>
        <w:t>. If a total domain remained uncovered, that country (and its regions) was omitted from subsequent classification and analysis.</w:t>
      </w:r>
      <w:r w:rsidR="00985088">
        <w:t xml:space="preserve"> This solution raises further limitations of such a model and questions about how missing data cases should be managed.</w:t>
      </w:r>
      <w:r w:rsidR="002D18C8">
        <w:t xml:space="preserve"> For example, if </w:t>
      </w:r>
      <w:r w:rsidR="002D18C8">
        <w:lastRenderedPageBreak/>
        <w:t>the model is limited to the countries which are fully covered by data, it might tell less from the viewp</w:t>
      </w:r>
      <w:r w:rsidR="00D57979">
        <w:t>oint of a</w:t>
      </w:r>
      <w:r w:rsidR="002D18C8">
        <w:t xml:space="preserve"> European model.</w:t>
      </w:r>
    </w:p>
    <w:p w:rsidR="00BC08C5" w:rsidRDefault="00BC08C5" w:rsidP="00BC08C5">
      <w:pPr>
        <w:pStyle w:val="Listaszerbekezds"/>
        <w:numPr>
          <w:ilvl w:val="0"/>
          <w:numId w:val="23"/>
        </w:numPr>
      </w:pPr>
      <w:r>
        <w:t>A model representing the risk of exclusion with a focus on within country differences probably provides a wider coverage, but it has a less chance to present differences between countries by following this approach. A calculation which feeds the analysed group of countries into a common model (i.e. standardization is carried out by using not separated variable means and sta</w:t>
      </w:r>
      <w:r w:rsidR="001D4FAA">
        <w:t>ndard deviation by country but ‘</w:t>
      </w:r>
      <w:r>
        <w:t>regio</w:t>
      </w:r>
      <w:r w:rsidR="001D4FAA">
        <w:t>nal’</w:t>
      </w:r>
      <w:r>
        <w:t xml:space="preserve"> values) makes the comparison of risk of exclusion between different countries plausible. However it can cover the differences within a country at the same time. Thus a parallel representation of the two models can be necessary.</w:t>
      </w:r>
    </w:p>
    <w:p w:rsidR="00F14DCE" w:rsidRDefault="00051E10" w:rsidP="00FF29C6">
      <w:r>
        <w:t>Despite these limitations the proposed methodology might have its value added in analysing spatial patterns of social exclusion, as it can represent different geographies of exclusion in a common model by illustrating separate and overlapping characteristics. The main findings of the experiment are</w:t>
      </w:r>
      <w:r w:rsidR="00985088">
        <w:t xml:space="preserve"> discussed in Annex 8 </w:t>
      </w:r>
      <w:r>
        <w:t>of Final Report</w:t>
      </w:r>
      <w:r w:rsidR="00D57979">
        <w:t>,</w:t>
      </w:r>
      <w:r>
        <w:t xml:space="preserve"> </w:t>
      </w:r>
      <w:r w:rsidR="00985088">
        <w:t>on the a</w:t>
      </w:r>
      <w:r w:rsidR="00985088" w:rsidRPr="00985088">
        <w:t xml:space="preserve">nalysis of </w:t>
      </w:r>
      <w:r w:rsidR="00985088">
        <w:t>conceptual i</w:t>
      </w:r>
      <w:r w:rsidR="00985088" w:rsidRPr="00985088">
        <w:t xml:space="preserve">mplications of </w:t>
      </w:r>
      <w:r w:rsidR="00985088">
        <w:t>social e</w:t>
      </w:r>
      <w:r w:rsidR="00985088" w:rsidRPr="00985088">
        <w:t xml:space="preserve">xclusion </w:t>
      </w:r>
      <w:r w:rsidR="00985088">
        <w:t>m</w:t>
      </w:r>
      <w:r w:rsidR="00985088" w:rsidRPr="00985088">
        <w:t>aps</w:t>
      </w:r>
      <w:r w:rsidR="00985088">
        <w:t xml:space="preserve"> (</w:t>
      </w:r>
      <w:r>
        <w:t xml:space="preserve">in </w:t>
      </w:r>
      <w:r w:rsidR="00985088">
        <w:t>Chapter 5).</w:t>
      </w:r>
    </w:p>
    <w:p w:rsidR="005C0AC5" w:rsidRDefault="005C0AC5" w:rsidP="00FF29C6"/>
    <w:p w:rsidR="00A007DC" w:rsidRPr="006C3BAA" w:rsidRDefault="00A007DC" w:rsidP="00A007DC">
      <w:pPr>
        <w:pStyle w:val="Cmsor1"/>
      </w:pPr>
      <w:bookmarkStart w:id="18" w:name="_Toc401264630"/>
      <w:r w:rsidRPr="006C3BAA">
        <w:t xml:space="preserve">Measuring social exclusion – </w:t>
      </w:r>
      <w:r w:rsidR="00FB0A5F">
        <w:t>description of the indicators</w:t>
      </w:r>
      <w:bookmarkEnd w:id="18"/>
    </w:p>
    <w:p w:rsidR="00A007DC" w:rsidRDefault="00A007DC" w:rsidP="00A007DC">
      <w:r w:rsidRPr="006C3BAA">
        <w:t xml:space="preserve">The following part introduces all of the domains, dimensions and indicators used by ESPON </w:t>
      </w:r>
      <w:proofErr w:type="spellStart"/>
      <w:r w:rsidRPr="006C3BAA">
        <w:t>TiPSE</w:t>
      </w:r>
      <w:proofErr w:type="spellEnd"/>
      <w:r w:rsidRPr="006C3BAA">
        <w:t xml:space="preserve"> (see also Table 3). This </w:t>
      </w:r>
      <w:r w:rsidR="00BF07BA">
        <w:t>paper also discuss</w:t>
      </w:r>
      <w:r w:rsidR="005C0AC5">
        <w:t>es</w:t>
      </w:r>
      <w:r w:rsidR="00BF07BA">
        <w:t xml:space="preserve"> limitations the project faced during the implication, and </w:t>
      </w:r>
      <w:r w:rsidRPr="006C3BAA">
        <w:t xml:space="preserve">solutions for overcoming methodology and data availability issues. </w:t>
      </w:r>
    </w:p>
    <w:p w:rsidR="00D434A2" w:rsidRPr="006C3BAA" w:rsidRDefault="00D434A2" w:rsidP="00A007DC"/>
    <w:p w:rsidR="00A007DC" w:rsidRPr="006C3BAA" w:rsidRDefault="00A007DC" w:rsidP="00A007DC">
      <w:pPr>
        <w:pStyle w:val="Cmsor2"/>
      </w:pPr>
      <w:bookmarkStart w:id="19" w:name="_Toc401264631"/>
      <w:r w:rsidRPr="006C3BAA">
        <w:t>Earning a living</w:t>
      </w:r>
      <w:bookmarkEnd w:id="19"/>
    </w:p>
    <w:p w:rsidR="00A007DC" w:rsidRPr="006C3BAA" w:rsidRDefault="00A007DC" w:rsidP="00B878F5">
      <w:pPr>
        <w:pStyle w:val="Cmsor3"/>
      </w:pPr>
      <w:r w:rsidRPr="006C3BAA">
        <w:t>Income earned by tax payers</w:t>
      </w:r>
    </w:p>
    <w:p w:rsidR="00A007DC" w:rsidRPr="006C3BAA" w:rsidRDefault="00A007DC" w:rsidP="00A007DC">
      <w:r w:rsidRPr="006C3BAA">
        <w:rPr>
          <w:b/>
          <w:bCs/>
        </w:rPr>
        <w:t xml:space="preserve">Short description: </w:t>
      </w:r>
      <w:r w:rsidRPr="006C3BAA">
        <w:t xml:space="preserve">Statistical data on income of persons and households is one of the key dimensions and indicators of poverty and social exclusion. Thereby, including it into social exclusion dimensions </w:t>
      </w:r>
      <w:r w:rsidR="00932C7A">
        <w:t>wa</w:t>
      </w:r>
      <w:r w:rsidRPr="006C3BAA">
        <w:t xml:space="preserve">s unquestionable. </w:t>
      </w:r>
      <w:r w:rsidR="00223B09">
        <w:t>Two indicators were used to cover this dimension.</w:t>
      </w:r>
    </w:p>
    <w:p w:rsidR="00A007DC" w:rsidRPr="006C3BAA" w:rsidRDefault="00A007DC" w:rsidP="00A007DC">
      <w:r w:rsidRPr="006C3BAA">
        <w:rPr>
          <w:b/>
          <w:bCs/>
        </w:rPr>
        <w:t xml:space="preserve">Data availability: </w:t>
      </w:r>
      <w:proofErr w:type="spellStart"/>
      <w:r w:rsidRPr="006C3BAA">
        <w:t>Eurostat</w:t>
      </w:r>
      <w:proofErr w:type="spellEnd"/>
      <w:r w:rsidRPr="006C3BAA">
        <w:t xml:space="preserve"> data on disposable and primary income of households is available, but only for NUTS 2 </w:t>
      </w:r>
      <w:r w:rsidR="00223B09">
        <w:t xml:space="preserve">and NUTS 1 </w:t>
      </w:r>
      <w:r w:rsidRPr="006C3BAA">
        <w:t xml:space="preserve">regions. </w:t>
      </w:r>
      <w:r w:rsidR="00223B09">
        <w:t>Net disposable household income from this source was collected and mapped as the first variable. The other indicator has been the Ratio of employed persons in elementary occupations, available in census datasets.</w:t>
      </w:r>
    </w:p>
    <w:p w:rsidR="00A007DC" w:rsidRPr="006C3BAA" w:rsidRDefault="00A007DC" w:rsidP="00A007DC">
      <w:r w:rsidRPr="006C3BAA">
        <w:rPr>
          <w:b/>
          <w:bCs/>
        </w:rPr>
        <w:t xml:space="preserve">Census 2001 coverage: </w:t>
      </w:r>
      <w:r w:rsidR="00932C7A">
        <w:t>R</w:t>
      </w:r>
      <w:r w:rsidR="00223B09">
        <w:t xml:space="preserve">atio of employed persons in elementary occupations (ISCO major group 9) was largely available for the ESPON space, only 213 missing </w:t>
      </w:r>
      <w:r w:rsidR="00223B09">
        <w:lastRenderedPageBreak/>
        <w:t>cases are among the 1517 regional entities (major gaps: Belgium, Norway, Turkey, Albania, Bosnia and Herzegovina)</w:t>
      </w:r>
      <w:r w:rsidRPr="006C3BAA">
        <w:t>.</w:t>
      </w:r>
    </w:p>
    <w:p w:rsidR="00A007DC" w:rsidRPr="006C3BAA" w:rsidRDefault="00A007DC" w:rsidP="00A007DC">
      <w:r w:rsidRPr="006C3BAA">
        <w:rPr>
          <w:b/>
          <w:bCs/>
        </w:rPr>
        <w:t xml:space="preserve">Census 2011 coverage: </w:t>
      </w:r>
      <w:r w:rsidR="000B0D74">
        <w:rPr>
          <w:bCs/>
        </w:rPr>
        <w:t xml:space="preserve">Ratio of employed persons in elementary occupations was largely available for the ESPON space. 8 countries (Denmark, Greece, France, Italy, The Netherlands, Austria, Portugal and Romania) were only represented at NUTS </w:t>
      </w:r>
      <w:r w:rsidR="00FD590C">
        <w:rPr>
          <w:bCs/>
        </w:rPr>
        <w:t>2</w:t>
      </w:r>
      <w:r w:rsidR="000B0D74">
        <w:rPr>
          <w:bCs/>
        </w:rPr>
        <w:t xml:space="preserve"> level, and </w:t>
      </w:r>
      <w:r w:rsidR="001E178B">
        <w:rPr>
          <w:bCs/>
        </w:rPr>
        <w:t xml:space="preserve">slightly </w:t>
      </w:r>
      <w:r w:rsidR="000B0D74">
        <w:rPr>
          <w:bCs/>
        </w:rPr>
        <w:t xml:space="preserve">different reference populations had to be used in different countries. </w:t>
      </w:r>
    </w:p>
    <w:p w:rsidR="00A007DC" w:rsidRDefault="00A007DC" w:rsidP="00A007DC">
      <w:r w:rsidRPr="006C3BAA">
        <w:rPr>
          <w:b/>
          <w:bCs/>
          <w:color w:val="000000"/>
        </w:rPr>
        <w:t xml:space="preserve">Comments: </w:t>
      </w:r>
      <w:r w:rsidR="00876C76">
        <w:t>Task 2.3</w:t>
      </w:r>
      <w:r w:rsidRPr="006C3BAA">
        <w:t xml:space="preserve"> </w:t>
      </w:r>
      <w:r w:rsidR="00876C76">
        <w:t>(</w:t>
      </w:r>
      <w:proofErr w:type="spellStart"/>
      <w:r w:rsidR="00876C76">
        <w:t>TiPSE</w:t>
      </w:r>
      <w:proofErr w:type="spellEnd"/>
      <w:r w:rsidR="00876C76">
        <w:t xml:space="preserve"> database) </w:t>
      </w:r>
      <w:r w:rsidRPr="006C3BAA">
        <w:t xml:space="preserve">also </w:t>
      </w:r>
      <w:r w:rsidR="00876C76">
        <w:t>reveal</w:t>
      </w:r>
      <w:r w:rsidRPr="006C3BAA">
        <w:t xml:space="preserve">ed that data on disposable income is only available in </w:t>
      </w:r>
      <w:proofErr w:type="spellStart"/>
      <w:r w:rsidRPr="006C3BAA">
        <w:t>Eurostat</w:t>
      </w:r>
      <w:proofErr w:type="spellEnd"/>
      <w:r w:rsidRPr="006C3BAA">
        <w:t xml:space="preserve"> datasets on the NUTS 2 level. The ESPON 2013 project which covers this aspect, </w:t>
      </w:r>
      <w:proofErr w:type="spellStart"/>
      <w:r w:rsidRPr="006C3BAA">
        <w:t>ReRisk</w:t>
      </w:r>
      <w:proofErr w:type="spellEnd"/>
      <w:r w:rsidRPr="006C3BAA">
        <w:t xml:space="preserve">, includes disposable income per capita for NUTS 2 regions (year 2004–2005). Therefore, </w:t>
      </w:r>
      <w:r w:rsidR="000B0D74">
        <w:t xml:space="preserve">NUTS 2 level was used for both 2001 and 2011, </w:t>
      </w:r>
      <w:r w:rsidR="00223B09">
        <w:t>and a second proxy variable</w:t>
      </w:r>
      <w:r w:rsidR="000B0D74">
        <w:t xml:space="preserve"> </w:t>
      </w:r>
      <w:r w:rsidR="00932C7A">
        <w:t xml:space="preserve">(ratio of employed persons in elementary occupations) </w:t>
      </w:r>
      <w:proofErr w:type="gramStart"/>
      <w:r w:rsidR="00223B09">
        <w:t>was</w:t>
      </w:r>
      <w:proofErr w:type="gramEnd"/>
      <w:r w:rsidR="00223B09">
        <w:t xml:space="preserve"> chosen</w:t>
      </w:r>
      <w:r w:rsidR="000B0D74">
        <w:t xml:space="preserve"> for this dimension</w:t>
      </w:r>
      <w:r w:rsidRPr="006C3BAA">
        <w:t xml:space="preserve">. </w:t>
      </w:r>
    </w:p>
    <w:p w:rsidR="006B733E" w:rsidRPr="006C3BAA" w:rsidRDefault="006B733E" w:rsidP="00A007DC">
      <w:r>
        <w:t>Ratio of employed persons in elementary occupations represents this dimension in the composite indicator.</w:t>
      </w:r>
    </w:p>
    <w:p w:rsidR="00A007DC" w:rsidRPr="006C3BAA" w:rsidRDefault="00A007DC" w:rsidP="00A007DC"/>
    <w:p w:rsidR="00B878F5" w:rsidRPr="006C3BAA" w:rsidRDefault="00B878F5" w:rsidP="00B878F5">
      <w:pPr>
        <w:pStyle w:val="Cmsor3"/>
      </w:pPr>
      <w:r w:rsidRPr="006C3BAA">
        <w:t>Employment</w:t>
      </w:r>
    </w:p>
    <w:p w:rsidR="00B878F5" w:rsidRPr="006C3BAA" w:rsidRDefault="00B878F5" w:rsidP="00B878F5">
      <w:r w:rsidRPr="006C3BAA">
        <w:rPr>
          <w:b/>
          <w:bCs/>
        </w:rPr>
        <w:t xml:space="preserve">Short description: </w:t>
      </w:r>
      <w:r w:rsidRPr="006C3BAA">
        <w:t xml:space="preserve">Employment is one of the two dimensions in the </w:t>
      </w:r>
      <w:r w:rsidR="00EF0FB2">
        <w:t>‘</w:t>
      </w:r>
      <w:r w:rsidRPr="006C3BAA">
        <w:t>Earning a living</w:t>
      </w:r>
      <w:r w:rsidR="00EF0FB2">
        <w:t>’</w:t>
      </w:r>
      <w:r w:rsidRPr="006C3BAA">
        <w:t xml:space="preserve"> domain. Its several aspects imply vulnerability to social exclusion in a very clear way. </w:t>
      </w:r>
    </w:p>
    <w:p w:rsidR="00876E6E" w:rsidRDefault="00B878F5" w:rsidP="00B878F5">
      <w:pPr>
        <w:rPr>
          <w:color w:val="000000"/>
        </w:rPr>
      </w:pPr>
      <w:r w:rsidRPr="006C3BAA">
        <w:rPr>
          <w:b/>
          <w:bCs/>
        </w:rPr>
        <w:t xml:space="preserve">Data availability: </w:t>
      </w:r>
      <w:r w:rsidRPr="006C3BAA">
        <w:t xml:space="preserve">Cross-comparable data with LFS </w:t>
      </w:r>
      <w:r w:rsidR="00223B09">
        <w:t xml:space="preserve">and Census </w:t>
      </w:r>
      <w:r w:rsidRPr="006C3BAA">
        <w:t xml:space="preserve">methodology is available from the </w:t>
      </w:r>
      <w:proofErr w:type="spellStart"/>
      <w:r w:rsidRPr="006C3BAA">
        <w:t>Eurostat</w:t>
      </w:r>
      <w:proofErr w:type="spellEnd"/>
      <w:r w:rsidRPr="006C3BAA">
        <w:t xml:space="preserve"> website</w:t>
      </w:r>
      <w:r w:rsidR="00223B09">
        <w:t xml:space="preserve"> and from official national sources</w:t>
      </w:r>
      <w:r w:rsidRPr="006C3BAA">
        <w:t xml:space="preserve">. </w:t>
      </w:r>
      <w:r w:rsidR="00876C76">
        <w:rPr>
          <w:color w:val="000000"/>
        </w:rPr>
        <w:t>Task 2.3</w:t>
      </w:r>
      <w:r w:rsidRPr="006C3BAA">
        <w:rPr>
          <w:color w:val="000000"/>
        </w:rPr>
        <w:t xml:space="preserve"> has already reviewed the availability of employment and unemployment data in detail. </w:t>
      </w:r>
    </w:p>
    <w:p w:rsidR="00876E6E" w:rsidRDefault="00876E6E" w:rsidP="00B878F5">
      <w:pPr>
        <w:rPr>
          <w:color w:val="000000"/>
        </w:rPr>
      </w:pPr>
      <w:r>
        <w:rPr>
          <w:color w:val="000000"/>
        </w:rPr>
        <w:t>The sub-topic Employment was measured by</w:t>
      </w:r>
      <w:r w:rsidR="003F1BC5">
        <w:rPr>
          <w:color w:val="000000"/>
        </w:rPr>
        <w:t xml:space="preserve"> 13 variables</w:t>
      </w:r>
      <w:r w:rsidR="006B733E">
        <w:rPr>
          <w:color w:val="000000"/>
        </w:rPr>
        <w:t xml:space="preserve"> for the 2001 census round</w:t>
      </w:r>
      <w:r w:rsidR="003F1BC5">
        <w:rPr>
          <w:color w:val="000000"/>
        </w:rPr>
        <w:t>:</w:t>
      </w:r>
      <w:r>
        <w:rPr>
          <w:color w:val="000000"/>
        </w:rPr>
        <w:t xml:space="preserve"> the Economic activity rate (whole population, male, female; both LFS and census datasets), the calculated Activity gender gap, Employment rate (whole population – both LFS and census datasets, male and female statistics from censuses), and the calculated Employment gender gap. As e</w:t>
      </w:r>
      <w:r w:rsidRPr="006C3BAA">
        <w:rPr>
          <w:color w:val="000000"/>
        </w:rPr>
        <w:t>mployment data is provided only on NUTS 2 level</w:t>
      </w:r>
      <w:r w:rsidR="003F1BC5">
        <w:rPr>
          <w:color w:val="000000"/>
        </w:rPr>
        <w:t xml:space="preserve"> by</w:t>
      </w:r>
      <w:r>
        <w:rPr>
          <w:color w:val="000000"/>
        </w:rPr>
        <w:t xml:space="preserve"> </w:t>
      </w:r>
      <w:proofErr w:type="spellStart"/>
      <w:r>
        <w:rPr>
          <w:color w:val="000000"/>
        </w:rPr>
        <w:t>Eurostat</w:t>
      </w:r>
      <w:proofErr w:type="spellEnd"/>
      <w:r>
        <w:rPr>
          <w:color w:val="000000"/>
        </w:rPr>
        <w:t>, census data was also used</w:t>
      </w:r>
      <w:r w:rsidR="00932C7A">
        <w:rPr>
          <w:color w:val="000000"/>
        </w:rPr>
        <w:t xml:space="preserve"> to ensure NUTS 3 coverage</w:t>
      </w:r>
      <w:r w:rsidRPr="006C3BAA">
        <w:rPr>
          <w:color w:val="000000"/>
        </w:rPr>
        <w:t>.</w:t>
      </w:r>
      <w:r w:rsidR="006B733E">
        <w:rPr>
          <w:color w:val="000000"/>
        </w:rPr>
        <w:t xml:space="preserve"> For the 2011 census round only the Activity gender gap was calculated.</w:t>
      </w:r>
    </w:p>
    <w:p w:rsidR="00876E6E" w:rsidRDefault="00876E6E" w:rsidP="00B878F5">
      <w:pPr>
        <w:rPr>
          <w:color w:val="000000"/>
        </w:rPr>
      </w:pPr>
      <w:r>
        <w:rPr>
          <w:color w:val="000000"/>
        </w:rPr>
        <w:t>The second sub</w:t>
      </w:r>
      <w:r w:rsidR="003F1BC5">
        <w:rPr>
          <w:color w:val="000000"/>
        </w:rPr>
        <w:t>-</w:t>
      </w:r>
      <w:r>
        <w:rPr>
          <w:color w:val="000000"/>
        </w:rPr>
        <w:t>topic has been Unemployment with 10 indicators</w:t>
      </w:r>
      <w:r w:rsidR="006B733E">
        <w:rPr>
          <w:color w:val="000000"/>
        </w:rPr>
        <w:t xml:space="preserve"> in the 2001 census round</w:t>
      </w:r>
      <w:r>
        <w:rPr>
          <w:color w:val="000000"/>
        </w:rPr>
        <w:t xml:space="preserve">. </w:t>
      </w:r>
      <w:r w:rsidR="003F1BC5">
        <w:rPr>
          <w:color w:val="000000"/>
        </w:rPr>
        <w:t>U</w:t>
      </w:r>
      <w:r w:rsidR="00B878F5" w:rsidRPr="006C3BAA">
        <w:rPr>
          <w:color w:val="000000"/>
        </w:rPr>
        <w:t xml:space="preserve">nemployment rate datasets are more modest than </w:t>
      </w:r>
      <w:r w:rsidR="00932C7A">
        <w:rPr>
          <w:color w:val="000000"/>
        </w:rPr>
        <w:t xml:space="preserve">that of </w:t>
      </w:r>
      <w:r w:rsidR="00D57979">
        <w:rPr>
          <w:color w:val="000000"/>
        </w:rPr>
        <w:t xml:space="preserve">activity rate, </w:t>
      </w:r>
      <w:r w:rsidR="00876C76">
        <w:rPr>
          <w:color w:val="000000"/>
        </w:rPr>
        <w:t>Task 2.3</w:t>
      </w:r>
      <w:r w:rsidR="00B878F5" w:rsidRPr="006C3BAA">
        <w:rPr>
          <w:color w:val="000000"/>
        </w:rPr>
        <w:t xml:space="preserve"> </w:t>
      </w:r>
      <w:r w:rsidR="00876C76">
        <w:rPr>
          <w:color w:val="000000"/>
        </w:rPr>
        <w:t>revealed</w:t>
      </w:r>
      <w:r w:rsidR="00B878F5" w:rsidRPr="006C3BAA">
        <w:rPr>
          <w:color w:val="000000"/>
        </w:rPr>
        <w:t xml:space="preserve"> that </w:t>
      </w:r>
      <w:r w:rsidR="00B26E8E">
        <w:rPr>
          <w:color w:val="000000"/>
        </w:rPr>
        <w:t xml:space="preserve">by using data from LFS </w:t>
      </w:r>
      <w:r w:rsidR="00B878F5" w:rsidRPr="006C3BAA">
        <w:rPr>
          <w:color w:val="000000"/>
        </w:rPr>
        <w:t xml:space="preserve">year 2005 is </w:t>
      </w:r>
      <w:r w:rsidR="00B26E8E">
        <w:rPr>
          <w:color w:val="000000"/>
        </w:rPr>
        <w:t>more</w:t>
      </w:r>
      <w:r w:rsidR="00B878F5" w:rsidRPr="006C3BAA">
        <w:rPr>
          <w:color w:val="000000"/>
        </w:rPr>
        <w:t xml:space="preserve"> suitable for mapping. Statistics on long-term unemployment rate </w:t>
      </w:r>
      <w:r>
        <w:rPr>
          <w:color w:val="000000"/>
        </w:rPr>
        <w:t xml:space="preserve">were </w:t>
      </w:r>
      <w:r w:rsidR="00B878F5" w:rsidRPr="006C3BAA">
        <w:rPr>
          <w:color w:val="000000"/>
        </w:rPr>
        <w:t xml:space="preserve">available for NUTS 2 regions only, </w:t>
      </w:r>
      <w:r>
        <w:rPr>
          <w:color w:val="000000"/>
        </w:rPr>
        <w:t xml:space="preserve">and </w:t>
      </w:r>
      <w:r w:rsidR="00B878F5" w:rsidRPr="006C3BAA">
        <w:rPr>
          <w:color w:val="000000"/>
        </w:rPr>
        <w:t xml:space="preserve">official </w:t>
      </w:r>
      <w:r>
        <w:rPr>
          <w:color w:val="000000"/>
        </w:rPr>
        <w:t xml:space="preserve">census </w:t>
      </w:r>
      <w:r w:rsidR="00B878F5" w:rsidRPr="006C3BAA">
        <w:rPr>
          <w:color w:val="000000"/>
        </w:rPr>
        <w:t xml:space="preserve">data </w:t>
      </w:r>
      <w:r>
        <w:rPr>
          <w:color w:val="000000"/>
        </w:rPr>
        <w:t>was not available either</w:t>
      </w:r>
      <w:r w:rsidR="00B878F5" w:rsidRPr="006C3BAA">
        <w:rPr>
          <w:color w:val="000000"/>
        </w:rPr>
        <w:t xml:space="preserve">. </w:t>
      </w:r>
      <w:r>
        <w:rPr>
          <w:color w:val="000000"/>
        </w:rPr>
        <w:t xml:space="preserve">Thereby, a mixture of </w:t>
      </w:r>
      <w:r w:rsidR="003F1BC5">
        <w:rPr>
          <w:color w:val="000000"/>
        </w:rPr>
        <w:t>LFS and census data in the indicator list was used to overcome limitations. Unemployment rate for the whole population, for male and female population separately, and the youth (15–24 years) unemployment rate was collected from both census and LFS (</w:t>
      </w:r>
      <w:proofErr w:type="spellStart"/>
      <w:r w:rsidR="003F1BC5">
        <w:rPr>
          <w:color w:val="000000"/>
        </w:rPr>
        <w:t>Eurostat</w:t>
      </w:r>
      <w:proofErr w:type="spellEnd"/>
      <w:r w:rsidR="003F1BC5">
        <w:rPr>
          <w:color w:val="000000"/>
        </w:rPr>
        <w:t>) sources. Unemployment gender gap was calculated.</w:t>
      </w:r>
      <w:r w:rsidR="006B733E">
        <w:rPr>
          <w:color w:val="000000"/>
        </w:rPr>
        <w:t xml:space="preserve"> This sub-topic was </w:t>
      </w:r>
      <w:r w:rsidR="006B733E">
        <w:rPr>
          <w:color w:val="000000"/>
        </w:rPr>
        <w:lastRenderedPageBreak/>
        <w:t>covered in the 2011 dataset by two variables: unemployment rate and youth (15–24) unemployment rate (both collected from census sources).</w:t>
      </w:r>
    </w:p>
    <w:p w:rsidR="00876E6E" w:rsidRDefault="003F1BC5" w:rsidP="00B878F5">
      <w:pPr>
        <w:rPr>
          <w:color w:val="000000"/>
        </w:rPr>
      </w:pPr>
      <w:r>
        <w:rPr>
          <w:color w:val="000000"/>
        </w:rPr>
        <w:t xml:space="preserve">The third sub-topic, Inactivity, was </w:t>
      </w:r>
      <w:proofErr w:type="spellStart"/>
      <w:r>
        <w:rPr>
          <w:color w:val="000000"/>
        </w:rPr>
        <w:t>operationalized</w:t>
      </w:r>
      <w:proofErr w:type="spellEnd"/>
      <w:r>
        <w:rPr>
          <w:color w:val="000000"/>
        </w:rPr>
        <w:t xml:space="preserve"> by 4 variables</w:t>
      </w:r>
      <w:r w:rsidR="006B733E">
        <w:rPr>
          <w:color w:val="000000"/>
        </w:rPr>
        <w:t xml:space="preserve"> for 2001</w:t>
      </w:r>
      <w:r>
        <w:rPr>
          <w:color w:val="000000"/>
        </w:rPr>
        <w:t xml:space="preserve">: inactivity rate, male and female inactivity rate, and the calculated inactivity gender gap; all from national census data. </w:t>
      </w:r>
      <w:r w:rsidR="006B733E">
        <w:rPr>
          <w:color w:val="000000"/>
        </w:rPr>
        <w:t>For 2011, only the inactivity rate was used.</w:t>
      </w:r>
    </w:p>
    <w:p w:rsidR="00B878F5" w:rsidRPr="006C3BAA" w:rsidRDefault="00B878F5" w:rsidP="00B878F5">
      <w:r w:rsidRPr="006C3BAA">
        <w:rPr>
          <w:b/>
          <w:bCs/>
        </w:rPr>
        <w:t xml:space="preserve">Census 2001 coverage: </w:t>
      </w:r>
      <w:proofErr w:type="spellStart"/>
      <w:r w:rsidRPr="006C3BAA">
        <w:t>Eurostat</w:t>
      </w:r>
      <w:proofErr w:type="spellEnd"/>
      <w:r w:rsidRPr="006C3BAA">
        <w:t xml:space="preserve"> published data on its website on some employment-related data. </w:t>
      </w:r>
      <w:r w:rsidR="003F1BC5">
        <w:t xml:space="preserve">National statistical sources were consulted by all partners </w:t>
      </w:r>
      <w:proofErr w:type="gramStart"/>
      <w:r w:rsidR="003F1BC5">
        <w:t>which</w:t>
      </w:r>
      <w:proofErr w:type="gramEnd"/>
      <w:r w:rsidR="003F1BC5">
        <w:t xml:space="preserve"> ensured a better coverage. Still, for about one-third of the regions no data was available for most of the indicators – </w:t>
      </w:r>
      <w:r w:rsidR="009B5EB0">
        <w:t>the major limitation being that</w:t>
      </w:r>
      <w:r w:rsidR="003F1BC5">
        <w:t xml:space="preserve"> datasets from Germany are missing. Exceptions are the Economic activity rate, Inactivity rate, Employment rate, Unemployment rate (only for the whole population, statistics according to gender are missing)</w:t>
      </w:r>
      <w:r w:rsidR="00932C7A">
        <w:t xml:space="preserve"> where data from Germany was accessible</w:t>
      </w:r>
      <w:r w:rsidR="003F1BC5">
        <w:t>.</w:t>
      </w:r>
    </w:p>
    <w:p w:rsidR="00B878F5" w:rsidRPr="006C3BAA" w:rsidRDefault="00B878F5" w:rsidP="00B878F5">
      <w:r w:rsidRPr="006C3BAA">
        <w:rPr>
          <w:b/>
          <w:bCs/>
        </w:rPr>
        <w:t xml:space="preserve">Census 2011 coverage: </w:t>
      </w:r>
      <w:r w:rsidR="006B733E">
        <w:t xml:space="preserve">These datasets were compiled using </w:t>
      </w:r>
      <w:proofErr w:type="spellStart"/>
      <w:r w:rsidR="006B733E">
        <w:t>Eurostat</w:t>
      </w:r>
      <w:proofErr w:type="spellEnd"/>
      <w:r w:rsidR="006B733E">
        <w:t xml:space="preserve"> data, the </w:t>
      </w:r>
      <w:proofErr w:type="spellStart"/>
      <w:r w:rsidR="006B733E">
        <w:t>Eurostat</w:t>
      </w:r>
      <w:proofErr w:type="spellEnd"/>
      <w:r w:rsidR="006B733E">
        <w:t xml:space="preserve"> Census Hub and n</w:t>
      </w:r>
      <w:r w:rsidR="00876E6E">
        <w:t>ational sources</w:t>
      </w:r>
      <w:r w:rsidR="006B733E">
        <w:t>. For each of the indicators NUTS 2 data was used if NUTS 3 level data was unavailable (gender activity gap: 4 countries; inactivity rate and unemployment rate: 3 countries, youth unemployment rate: 6 countries). As for the inactivity rate different reference populations limit the comparability of the variable. For Turkey no</w:t>
      </w:r>
      <w:r w:rsidR="002C1FBA">
        <w:t xml:space="preserve"> information could be gathered.</w:t>
      </w:r>
    </w:p>
    <w:p w:rsidR="003F1BC5" w:rsidRDefault="00B878F5" w:rsidP="003F1BC5">
      <w:pPr>
        <w:rPr>
          <w:color w:val="000000"/>
        </w:rPr>
      </w:pPr>
      <w:r w:rsidRPr="006C3BAA">
        <w:rPr>
          <w:b/>
          <w:bCs/>
          <w:color w:val="000000"/>
        </w:rPr>
        <w:t xml:space="preserve">Comments: </w:t>
      </w:r>
      <w:r w:rsidRPr="006C3BAA">
        <w:rPr>
          <w:color w:val="000000"/>
        </w:rPr>
        <w:t xml:space="preserve">Year-by-year data is available from the </w:t>
      </w:r>
      <w:proofErr w:type="spellStart"/>
      <w:r w:rsidRPr="006C3BAA">
        <w:rPr>
          <w:color w:val="000000"/>
        </w:rPr>
        <w:t>Eurostat</w:t>
      </w:r>
      <w:proofErr w:type="spellEnd"/>
      <w:r w:rsidRPr="006C3BAA">
        <w:rPr>
          <w:color w:val="000000"/>
        </w:rPr>
        <w:t xml:space="preserve"> website, although some aspects are not covered on NUTS 3 level. LFS methodology </w:t>
      </w:r>
      <w:r w:rsidR="00932C7A">
        <w:rPr>
          <w:color w:val="000000"/>
        </w:rPr>
        <w:t>ensures</w:t>
      </w:r>
      <w:r w:rsidRPr="006C3BAA">
        <w:rPr>
          <w:color w:val="000000"/>
        </w:rPr>
        <w:t xml:space="preserve"> an easy comparability of data throughout Europe. Lack of data </w:t>
      </w:r>
      <w:r w:rsidR="00876E6E">
        <w:rPr>
          <w:color w:val="000000"/>
        </w:rPr>
        <w:t xml:space="preserve">was </w:t>
      </w:r>
      <w:r w:rsidRPr="006C3BAA">
        <w:rPr>
          <w:color w:val="000000"/>
        </w:rPr>
        <w:t>mitigated by using diff</w:t>
      </w:r>
      <w:r w:rsidR="003F1BC5">
        <w:rPr>
          <w:color w:val="000000"/>
        </w:rPr>
        <w:t>erent national official sources</w:t>
      </w:r>
      <w:r w:rsidRPr="006C3BAA">
        <w:rPr>
          <w:color w:val="000000"/>
        </w:rPr>
        <w:t xml:space="preserve"> if </w:t>
      </w:r>
      <w:r w:rsidR="00876E6E">
        <w:rPr>
          <w:color w:val="000000"/>
        </w:rPr>
        <w:t>it was possible</w:t>
      </w:r>
      <w:r w:rsidRPr="006C3BAA">
        <w:rPr>
          <w:color w:val="000000"/>
        </w:rPr>
        <w:t>. An emerging topic and indicator in Europe in the post-2008 period is the high youth unemployment rate</w:t>
      </w:r>
      <w:r w:rsidR="00876E6E">
        <w:rPr>
          <w:color w:val="000000"/>
        </w:rPr>
        <w:t xml:space="preserve"> which was also included into</w:t>
      </w:r>
      <w:r w:rsidR="00932C7A">
        <w:rPr>
          <w:color w:val="000000"/>
        </w:rPr>
        <w:t xml:space="preserve"> the</w:t>
      </w:r>
      <w:r w:rsidR="00876E6E">
        <w:rPr>
          <w:color w:val="000000"/>
        </w:rPr>
        <w:t xml:space="preserve"> </w:t>
      </w:r>
      <w:proofErr w:type="spellStart"/>
      <w:r w:rsidRPr="006C3BAA">
        <w:rPr>
          <w:color w:val="000000"/>
        </w:rPr>
        <w:t>TiPSE</w:t>
      </w:r>
      <w:proofErr w:type="spellEnd"/>
      <w:r w:rsidRPr="006C3BAA">
        <w:rPr>
          <w:color w:val="000000"/>
        </w:rPr>
        <w:t xml:space="preserve"> dataset. </w:t>
      </w:r>
      <w:r w:rsidR="003F1BC5">
        <w:rPr>
          <w:color w:val="000000"/>
        </w:rPr>
        <w:t>Two indicators, long-term unemployed and jobless</w:t>
      </w:r>
      <w:r w:rsidR="00D57979">
        <w:rPr>
          <w:color w:val="000000"/>
        </w:rPr>
        <w:t xml:space="preserve"> households (both proposed by Annex </w:t>
      </w:r>
      <w:r w:rsidR="003F1BC5">
        <w:rPr>
          <w:color w:val="000000"/>
        </w:rPr>
        <w:t>1) were omitte</w:t>
      </w:r>
      <w:r w:rsidR="00932C7A">
        <w:rPr>
          <w:color w:val="000000"/>
        </w:rPr>
        <w:t xml:space="preserve">d from the database because </w:t>
      </w:r>
      <w:r w:rsidR="003F1BC5">
        <w:rPr>
          <w:color w:val="000000"/>
        </w:rPr>
        <w:t>data coverage was scarce.</w:t>
      </w:r>
    </w:p>
    <w:p w:rsidR="008C7D28" w:rsidRDefault="00B26E8E" w:rsidP="003F1BC5">
      <w:pPr>
        <w:rPr>
          <w:color w:val="000000"/>
        </w:rPr>
      </w:pPr>
      <w:r>
        <w:rPr>
          <w:color w:val="000000"/>
        </w:rPr>
        <w:t xml:space="preserve">As indicators of employment dimension covered more than </w:t>
      </w:r>
      <w:r w:rsidR="0061706D">
        <w:rPr>
          <w:color w:val="000000"/>
        </w:rPr>
        <w:t xml:space="preserve">the </w:t>
      </w:r>
      <w:r>
        <w:rPr>
          <w:color w:val="000000"/>
        </w:rPr>
        <w:t>half of the set of indicators collected for 2001</w:t>
      </w:r>
      <w:r w:rsidR="0061706D">
        <w:rPr>
          <w:color w:val="000000"/>
        </w:rPr>
        <w:t xml:space="preserve"> (e.g. duplication of indicators by gathered both from LFS and censuses),</w:t>
      </w:r>
      <w:r>
        <w:rPr>
          <w:color w:val="000000"/>
        </w:rPr>
        <w:t xml:space="preserve"> the picture was quite unbalanced</w:t>
      </w:r>
      <w:r w:rsidR="0061706D">
        <w:rPr>
          <w:color w:val="000000"/>
        </w:rPr>
        <w:t xml:space="preserve"> considering social exclusion as a whole and in view of the applied domain structure. For 2011 NUTS 3 </w:t>
      </w:r>
      <w:r w:rsidR="008C7D28">
        <w:rPr>
          <w:color w:val="000000"/>
        </w:rPr>
        <w:t xml:space="preserve">level </w:t>
      </w:r>
      <w:r w:rsidR="0061706D">
        <w:rPr>
          <w:color w:val="000000"/>
        </w:rPr>
        <w:t>LFS data became unavailable and other considerations also led to the reduction of number of employment indicators (balancing the weights among domains, frequency in partners’ analyses, considerations of data coverage etc.)</w:t>
      </w:r>
      <w:r w:rsidR="008C7D28">
        <w:rPr>
          <w:color w:val="000000"/>
        </w:rPr>
        <w:t>.</w:t>
      </w:r>
    </w:p>
    <w:p w:rsidR="002C1FBA" w:rsidRPr="006C3BAA" w:rsidRDefault="002C1FBA" w:rsidP="003F1BC5">
      <w:r>
        <w:rPr>
          <w:color w:val="000000"/>
        </w:rPr>
        <w:t>The variable Inactivity rate was used in calculating the composite index of vulnerability to social exclusion.</w:t>
      </w:r>
    </w:p>
    <w:p w:rsidR="00B878F5" w:rsidRPr="006C3BAA" w:rsidRDefault="00B878F5" w:rsidP="00B878F5"/>
    <w:p w:rsidR="00B878F5" w:rsidRPr="006C3BAA" w:rsidRDefault="00B878F5" w:rsidP="00B878F5">
      <w:pPr>
        <w:pStyle w:val="Cmsor2"/>
      </w:pPr>
      <w:bookmarkStart w:id="20" w:name="_Toc401264632"/>
      <w:r w:rsidRPr="006C3BAA">
        <w:lastRenderedPageBreak/>
        <w:t>Access to basic services</w:t>
      </w:r>
      <w:bookmarkEnd w:id="20"/>
    </w:p>
    <w:p w:rsidR="00B878F5" w:rsidRPr="006C3BAA" w:rsidRDefault="00B878F5" w:rsidP="00B878F5">
      <w:pPr>
        <w:pStyle w:val="Cmsor3"/>
      </w:pPr>
      <w:r w:rsidRPr="006C3BAA">
        <w:t>Health</w:t>
      </w:r>
    </w:p>
    <w:p w:rsidR="00B878F5" w:rsidRPr="006C3BAA" w:rsidRDefault="00B878F5" w:rsidP="00B878F5">
      <w:r w:rsidRPr="006C3BAA">
        <w:rPr>
          <w:b/>
          <w:bCs/>
        </w:rPr>
        <w:t xml:space="preserve">Short description: </w:t>
      </w:r>
      <w:r w:rsidRPr="006C3BAA">
        <w:t xml:space="preserve">Health related issues represent a major aspect why certain groups of people become vulnerable to social exclusion. They will therefore also being covered in ESPON </w:t>
      </w:r>
      <w:proofErr w:type="spellStart"/>
      <w:r w:rsidRPr="006C3BAA">
        <w:t>TiPSE</w:t>
      </w:r>
      <w:proofErr w:type="spellEnd"/>
      <w:r w:rsidRPr="006C3BAA">
        <w:t xml:space="preserve">. </w:t>
      </w:r>
    </w:p>
    <w:p w:rsidR="00B878F5" w:rsidRPr="006C3BAA" w:rsidRDefault="00B878F5" w:rsidP="00B878F5">
      <w:pPr>
        <w:rPr>
          <w:b/>
          <w:bCs/>
        </w:rPr>
      </w:pPr>
      <w:r w:rsidRPr="006C3BAA">
        <w:rPr>
          <w:b/>
          <w:bCs/>
        </w:rPr>
        <w:t xml:space="preserve">Data availability: </w:t>
      </w:r>
      <w:r w:rsidRPr="006C3BAA">
        <w:t xml:space="preserve">The indicator list identified two aspects of health: access to primary health services, and life expectancy. The former is covered in </w:t>
      </w:r>
      <w:proofErr w:type="spellStart"/>
      <w:r w:rsidRPr="006C3BAA">
        <w:t>Eurostat</w:t>
      </w:r>
      <w:proofErr w:type="spellEnd"/>
      <w:r w:rsidRPr="006C3BAA">
        <w:t xml:space="preserve"> databases, but only at NUTS 2 level (</w:t>
      </w:r>
      <w:proofErr w:type="spellStart"/>
      <w:r w:rsidRPr="006C3BAA">
        <w:t>hlth_rs_prsrg</w:t>
      </w:r>
      <w:proofErr w:type="spellEnd"/>
      <w:r w:rsidRPr="006C3BAA">
        <w:t xml:space="preserve">). Here, </w:t>
      </w:r>
      <w:r w:rsidR="002862EC">
        <w:t xml:space="preserve">health personnel and hospital beds </w:t>
      </w:r>
      <w:r w:rsidRPr="006C3BAA">
        <w:t>per 100,000 inhabitants is a common indicator used by social exclusion and quality of life studies</w:t>
      </w:r>
      <w:r w:rsidR="002862EC">
        <w:t xml:space="preserve"> – these two are also covered in the </w:t>
      </w:r>
      <w:proofErr w:type="spellStart"/>
      <w:r w:rsidR="002862EC">
        <w:t>TiPSE</w:t>
      </w:r>
      <w:proofErr w:type="spellEnd"/>
      <w:r w:rsidR="002862EC">
        <w:t xml:space="preserve"> project</w:t>
      </w:r>
      <w:r w:rsidRPr="006C3BAA">
        <w:t xml:space="preserve">. The other aspect, healthy life expectancy is a variable of the Human Development Index. This index is calculated on the regional level in the EU by </w:t>
      </w:r>
      <w:proofErr w:type="spellStart"/>
      <w:r w:rsidRPr="006C3BAA">
        <w:t>Bubbico</w:t>
      </w:r>
      <w:proofErr w:type="spellEnd"/>
      <w:r w:rsidRPr="006C3BAA">
        <w:t xml:space="preserve"> and </w:t>
      </w:r>
      <w:proofErr w:type="spellStart"/>
      <w:r w:rsidRPr="006C3BAA">
        <w:t>Dijkstra</w:t>
      </w:r>
      <w:proofErr w:type="spellEnd"/>
      <w:r w:rsidRPr="006C3BAA">
        <w:t xml:space="preserve"> (2011), however, only at NUTS 2 level (</w:t>
      </w:r>
      <w:proofErr w:type="spellStart"/>
      <w:r w:rsidRPr="006C3BAA">
        <w:t>demo_r</w:t>
      </w:r>
      <w:r w:rsidR="002862EC">
        <w:t>_mlifexp</w:t>
      </w:r>
      <w:proofErr w:type="spellEnd"/>
      <w:r w:rsidR="002862EC">
        <w:t xml:space="preserve"> and tgs00101 datasets)</w:t>
      </w:r>
      <w:r w:rsidRPr="006C3BAA">
        <w:t xml:space="preserve">. </w:t>
      </w:r>
      <w:r w:rsidR="002862EC">
        <w:t>Nevertheless, in this project we used this variable to capture the complex phenomenon of health.</w:t>
      </w:r>
    </w:p>
    <w:p w:rsidR="00B878F5" w:rsidRPr="006C3BAA" w:rsidRDefault="00B878F5" w:rsidP="00B878F5">
      <w:r w:rsidRPr="006C3BAA">
        <w:rPr>
          <w:b/>
          <w:bCs/>
        </w:rPr>
        <w:t xml:space="preserve">Census 2001 coverage: </w:t>
      </w:r>
      <w:r w:rsidR="00050038">
        <w:t>N</w:t>
      </w:r>
      <w:r w:rsidRPr="006C3BAA">
        <w:t>ot applicable.</w:t>
      </w:r>
    </w:p>
    <w:p w:rsidR="00B878F5" w:rsidRPr="006C3BAA" w:rsidRDefault="00B878F5" w:rsidP="00B878F5">
      <w:r w:rsidRPr="006C3BAA">
        <w:rPr>
          <w:b/>
          <w:bCs/>
        </w:rPr>
        <w:t xml:space="preserve">Census 2011 coverage: </w:t>
      </w:r>
      <w:r w:rsidR="00050038">
        <w:t>N</w:t>
      </w:r>
      <w:r w:rsidRPr="006C3BAA">
        <w:t>ot applicable.</w:t>
      </w:r>
    </w:p>
    <w:p w:rsidR="00B878F5" w:rsidRPr="002C1FBA" w:rsidRDefault="00B878F5" w:rsidP="00B878F5">
      <w:pPr>
        <w:rPr>
          <w:color w:val="000000"/>
        </w:rPr>
      </w:pPr>
      <w:r w:rsidRPr="006C3BAA">
        <w:rPr>
          <w:b/>
          <w:bCs/>
          <w:color w:val="000000"/>
        </w:rPr>
        <w:t xml:space="preserve">Comments: </w:t>
      </w:r>
      <w:r w:rsidRPr="006C3BAA">
        <w:rPr>
          <w:color w:val="000000"/>
        </w:rPr>
        <w:t>As statistics are not available on NUTS 3 level,</w:t>
      </w:r>
      <w:r w:rsidR="002862EC">
        <w:rPr>
          <w:color w:val="000000"/>
        </w:rPr>
        <w:t xml:space="preserve"> only NUTS 2 level </w:t>
      </w:r>
      <w:r w:rsidR="00050038">
        <w:rPr>
          <w:color w:val="000000"/>
        </w:rPr>
        <w:t>data was</w:t>
      </w:r>
      <w:r w:rsidR="002862EC">
        <w:rPr>
          <w:color w:val="000000"/>
        </w:rPr>
        <w:t xml:space="preserve"> used</w:t>
      </w:r>
      <w:r w:rsidR="002C1FBA">
        <w:rPr>
          <w:color w:val="000000"/>
        </w:rPr>
        <w:t>, both for years 2001 and 2011 (in some countries only NUTS 1 or NUTS 0 data was available)</w:t>
      </w:r>
      <w:r w:rsidRPr="006C3BAA">
        <w:rPr>
          <w:color w:val="000000"/>
        </w:rPr>
        <w:t>.</w:t>
      </w:r>
      <w:r w:rsidR="002862EC">
        <w:rPr>
          <w:color w:val="000000"/>
        </w:rPr>
        <w:t xml:space="preserve"> National official sources might cover this aspect more broadly, but </w:t>
      </w:r>
      <w:r w:rsidR="002C1FBA">
        <w:rPr>
          <w:color w:val="000000"/>
        </w:rPr>
        <w:t xml:space="preserve">data was not compiled in ESPON </w:t>
      </w:r>
      <w:proofErr w:type="spellStart"/>
      <w:r w:rsidR="002C1FBA">
        <w:rPr>
          <w:color w:val="000000"/>
        </w:rPr>
        <w:t>TiPSE</w:t>
      </w:r>
      <w:proofErr w:type="spellEnd"/>
      <w:r w:rsidR="002C1FBA">
        <w:rPr>
          <w:color w:val="000000"/>
        </w:rPr>
        <w:t xml:space="preserve"> due to </w:t>
      </w:r>
      <w:r w:rsidR="002862EC">
        <w:rPr>
          <w:color w:val="000000"/>
        </w:rPr>
        <w:t xml:space="preserve">comparability </w:t>
      </w:r>
      <w:r w:rsidR="002C1FBA">
        <w:rPr>
          <w:color w:val="000000"/>
        </w:rPr>
        <w:t>issues</w:t>
      </w:r>
      <w:r w:rsidR="002862EC">
        <w:rPr>
          <w:color w:val="000000"/>
        </w:rPr>
        <w:t>.</w:t>
      </w:r>
      <w:r w:rsidR="002C1FBA">
        <w:rPr>
          <w:color w:val="000000"/>
        </w:rPr>
        <w:t xml:space="preserve"> This dimension was not considered in the composite index.</w:t>
      </w:r>
    </w:p>
    <w:p w:rsidR="00B878F5" w:rsidRPr="006C3BAA" w:rsidRDefault="00B878F5" w:rsidP="00B878F5">
      <w:pPr>
        <w:spacing w:line="240" w:lineRule="auto"/>
        <w:rPr>
          <w:i/>
          <w:iCs/>
        </w:rPr>
      </w:pPr>
    </w:p>
    <w:p w:rsidR="00B878F5" w:rsidRPr="006C3BAA" w:rsidRDefault="00B878F5" w:rsidP="00B878F5">
      <w:pPr>
        <w:pStyle w:val="Cmsor3"/>
      </w:pPr>
      <w:r w:rsidRPr="006C3BAA">
        <w:t>Education</w:t>
      </w:r>
    </w:p>
    <w:p w:rsidR="00B878F5" w:rsidRPr="006C3BAA" w:rsidRDefault="00B878F5" w:rsidP="00B878F5">
      <w:pPr>
        <w:rPr>
          <w:b/>
          <w:bCs/>
          <w:color w:val="000000"/>
        </w:rPr>
      </w:pPr>
      <w:r w:rsidRPr="006C3BAA">
        <w:rPr>
          <w:b/>
          <w:bCs/>
          <w:color w:val="000000"/>
        </w:rPr>
        <w:t xml:space="preserve">Short description: </w:t>
      </w:r>
      <w:r w:rsidRPr="006C3BAA">
        <w:rPr>
          <w:color w:val="000000"/>
        </w:rPr>
        <w:t>Educational attainment is one of the key dimensions of social exclusion. People with lower educational attainment are more vulnerable to social exclusion than people with tertiary education. Additionally, a spatially variegated gender gap of this dimension throughout ESPON space is expected.</w:t>
      </w:r>
    </w:p>
    <w:p w:rsidR="00B878F5" w:rsidRDefault="00B878F5" w:rsidP="00B878F5">
      <w:r w:rsidRPr="006C3BAA">
        <w:rPr>
          <w:b/>
          <w:bCs/>
        </w:rPr>
        <w:t xml:space="preserve">Data availability: </w:t>
      </w:r>
      <w:r w:rsidRPr="006C3BAA">
        <w:t xml:space="preserve">Data on educational attainment is available from the decennial censuses with almost full coverage of people at NUTS 3 level. Other statistics on education are only published in the </w:t>
      </w:r>
      <w:proofErr w:type="spellStart"/>
      <w:r w:rsidRPr="006C3BAA">
        <w:t>Eurostat</w:t>
      </w:r>
      <w:proofErr w:type="spellEnd"/>
      <w:r w:rsidRPr="006C3BAA">
        <w:t xml:space="preserve"> website on NUTS 2 level. ESPON 2013 project EDORA lists educational statistics in its indicator list; this data source covers not all countries on NUTS 3 level, and only for the years 2005–2006. As education is mostly a public service, several official data is collected year-by-year. </w:t>
      </w:r>
    </w:p>
    <w:p w:rsidR="002862EC" w:rsidRPr="006C3BAA" w:rsidRDefault="000B30E7" w:rsidP="00B878F5">
      <w:r>
        <w:t xml:space="preserve">As a consequence, Annex </w:t>
      </w:r>
      <w:r w:rsidR="002862EC">
        <w:t>1 listed different indicators to cover this dimension. After further discussion with project partners three variables (pre-school access, primary school access, cultural house / library access) must have been omitted because non-standard statistical sources were not available</w:t>
      </w:r>
      <w:r w:rsidR="0037747D">
        <w:t xml:space="preserve"> or not comparable</w:t>
      </w:r>
      <w:r w:rsidR="002862EC">
        <w:t xml:space="preserve"> for a majority of </w:t>
      </w:r>
      <w:r w:rsidR="002862EC">
        <w:lastRenderedPageBreak/>
        <w:t xml:space="preserve">ESPON space. Others were collected from </w:t>
      </w:r>
      <w:proofErr w:type="spellStart"/>
      <w:r w:rsidR="002862EC">
        <w:t>Eurostat</w:t>
      </w:r>
      <w:proofErr w:type="spellEnd"/>
      <w:r w:rsidR="002862EC">
        <w:t xml:space="preserve"> census datasets and other national official statistical resources</w:t>
      </w:r>
      <w:r w:rsidR="003217B6">
        <w:t>, for both 2001 and 2011</w:t>
      </w:r>
      <w:r w:rsidR="002862EC">
        <w:t>.</w:t>
      </w:r>
    </w:p>
    <w:p w:rsidR="00B878F5" w:rsidRPr="006C3BAA" w:rsidRDefault="00B878F5" w:rsidP="00B878F5">
      <w:pPr>
        <w:rPr>
          <w:b/>
          <w:bCs/>
        </w:rPr>
      </w:pPr>
      <w:r w:rsidRPr="006C3BAA">
        <w:rPr>
          <w:b/>
          <w:bCs/>
        </w:rPr>
        <w:t xml:space="preserve">Census 2001 coverage: </w:t>
      </w:r>
      <w:r w:rsidRPr="006C3BAA">
        <w:t xml:space="preserve">Census data for 2001 is available on the </w:t>
      </w:r>
      <w:proofErr w:type="spellStart"/>
      <w:r w:rsidRPr="006C3BAA">
        <w:t>Eurostat</w:t>
      </w:r>
      <w:proofErr w:type="spellEnd"/>
      <w:r w:rsidRPr="006C3BAA">
        <w:t xml:space="preserve"> website. However, there are limitations of this dataset regarding its coverage. For most of the countries data on population by educational attainment is provided for ISCED levels 0 and 1 (combined), so there </w:t>
      </w:r>
      <w:r w:rsidR="002862EC">
        <w:t>was</w:t>
      </w:r>
      <w:r w:rsidRPr="006C3BAA">
        <w:t xml:space="preserve"> no opportunity to discern primary and pre-primary education (apart from Austria, where there is data only for ISCED 1). ISCED 5 and 6 (tertiary education) is also covered in combination. A serious limitation of the dataset is that for several countries demographic data on age groups is not available for calculating proportions of the population with each educational attainment</w:t>
      </w:r>
      <w:r w:rsidR="002862EC">
        <w:t>; thus census data collection also had to tackle this lack of data</w:t>
      </w:r>
      <w:r w:rsidRPr="006C3BAA">
        <w:t xml:space="preserve">. Changes in the NUTS system also affect the coverage in several countries (such as Poland). </w:t>
      </w:r>
      <w:r w:rsidR="002862EC">
        <w:t>As a result, valid statistical information covers about two-third of the regions (</w:t>
      </w:r>
      <w:r w:rsidR="00050038">
        <w:t xml:space="preserve">apart from smaller gaps </w:t>
      </w:r>
      <w:r w:rsidR="002862EC">
        <w:t>Bosnia-Herzegovina and Germany is fully missing, such as one variable for Finland and one for Turkey).</w:t>
      </w:r>
    </w:p>
    <w:p w:rsidR="00BD26DE" w:rsidRPr="006C3BAA" w:rsidRDefault="00B878F5" w:rsidP="00B878F5">
      <w:r w:rsidRPr="006C3BAA">
        <w:rPr>
          <w:b/>
          <w:bCs/>
        </w:rPr>
        <w:t xml:space="preserve">Census 2011 coverage: </w:t>
      </w:r>
      <w:r w:rsidRPr="006C3BAA">
        <w:t xml:space="preserve">Regulation 763/2008 lists data on educational attainment as </w:t>
      </w:r>
      <w:r w:rsidR="002862EC">
        <w:t>not</w:t>
      </w:r>
      <w:r w:rsidRPr="006C3BAA">
        <w:t xml:space="preserve"> available on NUTS 3 and LAU 2 levels for the 2011 census round (Regulation Annex, 1.1.1.). They will not be provided in the </w:t>
      </w:r>
      <w:proofErr w:type="spellStart"/>
      <w:r w:rsidRPr="006C3BAA">
        <w:t>Hypercubes</w:t>
      </w:r>
      <w:proofErr w:type="spellEnd"/>
      <w:r w:rsidRPr="006C3BAA">
        <w:t xml:space="preserve"> of Census 2011 (Commission Regulations 1201/2009, 519/2010).</w:t>
      </w:r>
      <w:r w:rsidR="002862EC">
        <w:t xml:space="preserve"> National statistical sources </w:t>
      </w:r>
      <w:r w:rsidR="003217B6">
        <w:t xml:space="preserve">had to </w:t>
      </w:r>
      <w:r w:rsidR="002862EC">
        <w:t xml:space="preserve">be consulted in the </w:t>
      </w:r>
      <w:r w:rsidR="003217B6">
        <w:t xml:space="preserve">course </w:t>
      </w:r>
      <w:r w:rsidR="002862EC">
        <w:t>of the project.</w:t>
      </w:r>
      <w:r w:rsidR="003217B6">
        <w:t xml:space="preserve"> </w:t>
      </w:r>
      <w:r w:rsidR="00BD26DE">
        <w:t xml:space="preserve">Two indicators were used: one is the ratio of population with low (ISCED 0-2) qualification, the other being the ratio of population not having high qualification (ISCED 5-6). Only NUTS 2 level data was available for 3 countries, and no data could be gathered from Turkey. </w:t>
      </w:r>
    </w:p>
    <w:p w:rsidR="00B878F5" w:rsidRDefault="00B878F5" w:rsidP="00B878F5">
      <w:pPr>
        <w:rPr>
          <w:color w:val="000000"/>
        </w:rPr>
      </w:pPr>
      <w:r w:rsidRPr="006C3BAA">
        <w:rPr>
          <w:b/>
          <w:bCs/>
          <w:color w:val="000000"/>
        </w:rPr>
        <w:t xml:space="preserve">Comments: </w:t>
      </w:r>
      <w:r w:rsidRPr="006C3BAA">
        <w:rPr>
          <w:color w:val="000000"/>
        </w:rPr>
        <w:t>Maps reveal</w:t>
      </w:r>
      <w:r w:rsidR="0037747D">
        <w:rPr>
          <w:color w:val="000000"/>
        </w:rPr>
        <w:t>ed</w:t>
      </w:r>
      <w:r w:rsidRPr="006C3BAA">
        <w:rPr>
          <w:color w:val="000000"/>
        </w:rPr>
        <w:t xml:space="preserve"> significant differences in the spatiality of social exclusion. There are inequalities within countries (such as in</w:t>
      </w:r>
      <w:r w:rsidR="0007501F">
        <w:rPr>
          <w:color w:val="000000"/>
        </w:rPr>
        <w:t xml:space="preserve"> Italy, Germany or in the UK in ISCED 0–2</w:t>
      </w:r>
      <w:r w:rsidRPr="006C3BAA">
        <w:rPr>
          <w:color w:val="000000"/>
        </w:rPr>
        <w:t xml:space="preserve"> attainment), but in some aspects countries may seem more homogeneous (</w:t>
      </w:r>
      <w:r w:rsidR="0007501F">
        <w:rPr>
          <w:color w:val="000000"/>
        </w:rPr>
        <w:t>e.g.</w:t>
      </w:r>
      <w:r w:rsidRPr="006C3BAA">
        <w:rPr>
          <w:color w:val="000000"/>
        </w:rPr>
        <w:t xml:space="preserve"> Finland in ISCED 5–6 attainment). There are considerable intra-national inequalities in Central and Eastern European countries as well. Following that, this indicator </w:t>
      </w:r>
      <w:r w:rsidR="0037747D">
        <w:rPr>
          <w:color w:val="000000"/>
        </w:rPr>
        <w:t xml:space="preserve">was </w:t>
      </w:r>
      <w:r w:rsidRPr="006C3BAA">
        <w:rPr>
          <w:color w:val="000000"/>
        </w:rPr>
        <w:t xml:space="preserve">very useful in </w:t>
      </w:r>
      <w:proofErr w:type="spellStart"/>
      <w:r w:rsidRPr="006C3BAA">
        <w:rPr>
          <w:color w:val="000000"/>
        </w:rPr>
        <w:t>operationali</w:t>
      </w:r>
      <w:r w:rsidR="00050038">
        <w:rPr>
          <w:color w:val="000000"/>
        </w:rPr>
        <w:t>z</w:t>
      </w:r>
      <w:r w:rsidRPr="006C3BAA">
        <w:rPr>
          <w:color w:val="000000"/>
        </w:rPr>
        <w:t>ing</w:t>
      </w:r>
      <w:proofErr w:type="spellEnd"/>
      <w:r w:rsidRPr="006C3BAA">
        <w:rPr>
          <w:color w:val="000000"/>
        </w:rPr>
        <w:t xml:space="preserve"> social exclusion on the regional level in ESPON </w:t>
      </w:r>
      <w:proofErr w:type="spellStart"/>
      <w:r w:rsidRPr="006C3BAA">
        <w:rPr>
          <w:color w:val="000000"/>
        </w:rPr>
        <w:t>TiPSE</w:t>
      </w:r>
      <w:proofErr w:type="spellEnd"/>
      <w:r w:rsidR="00BD26DE">
        <w:rPr>
          <w:color w:val="000000"/>
        </w:rPr>
        <w:t xml:space="preserve"> (and was frequently used in the macro-regional chapters of </w:t>
      </w:r>
      <w:r w:rsidR="000B30E7">
        <w:rPr>
          <w:color w:val="000000"/>
        </w:rPr>
        <w:t xml:space="preserve">Annex </w:t>
      </w:r>
      <w:r w:rsidR="00BD26DE">
        <w:rPr>
          <w:color w:val="000000"/>
        </w:rPr>
        <w:t>8)</w:t>
      </w:r>
      <w:r w:rsidRPr="006C3BAA">
        <w:rPr>
          <w:color w:val="000000"/>
        </w:rPr>
        <w:t xml:space="preserve">. </w:t>
      </w:r>
      <w:r w:rsidR="000943D4">
        <w:rPr>
          <w:color w:val="000000"/>
        </w:rPr>
        <w:t xml:space="preserve">Labelling </w:t>
      </w:r>
      <w:r w:rsidR="0007501F">
        <w:rPr>
          <w:color w:val="000000"/>
        </w:rPr>
        <w:t xml:space="preserve">ISCED 0–2 </w:t>
      </w:r>
      <w:r w:rsidR="000943D4">
        <w:rPr>
          <w:color w:val="000000"/>
        </w:rPr>
        <w:t xml:space="preserve">categories as ‘low qualification’ was reasonable from several aspects. On the one hand, the ratio of </w:t>
      </w:r>
      <w:r w:rsidR="000943D4" w:rsidRPr="000943D4">
        <w:rPr>
          <w:color w:val="000000"/>
        </w:rPr>
        <w:t xml:space="preserve">people without a basic primary education </w:t>
      </w:r>
      <w:r w:rsidR="000943D4">
        <w:rPr>
          <w:color w:val="000000"/>
        </w:rPr>
        <w:t xml:space="preserve">(ISCED 0–1) </w:t>
      </w:r>
      <w:r w:rsidR="000943D4" w:rsidRPr="000943D4">
        <w:rPr>
          <w:color w:val="000000"/>
        </w:rPr>
        <w:t xml:space="preserve">is </w:t>
      </w:r>
      <w:r w:rsidR="000943D4">
        <w:rPr>
          <w:color w:val="000000"/>
        </w:rPr>
        <w:t xml:space="preserve">quite </w:t>
      </w:r>
      <w:r w:rsidR="000943D4" w:rsidRPr="000943D4">
        <w:rPr>
          <w:color w:val="000000"/>
        </w:rPr>
        <w:t>small in m</w:t>
      </w:r>
      <w:r w:rsidR="000943D4">
        <w:rPr>
          <w:color w:val="000000"/>
        </w:rPr>
        <w:t>any</w:t>
      </w:r>
      <w:r w:rsidR="000943D4" w:rsidRPr="000943D4">
        <w:rPr>
          <w:color w:val="000000"/>
        </w:rPr>
        <w:t xml:space="preserve"> EU countries</w:t>
      </w:r>
      <w:r w:rsidR="000943D4">
        <w:rPr>
          <w:color w:val="000000"/>
        </w:rPr>
        <w:t xml:space="preserve">, thus </w:t>
      </w:r>
      <w:r w:rsidR="000943D4" w:rsidRPr="000943D4">
        <w:rPr>
          <w:color w:val="000000"/>
        </w:rPr>
        <w:t xml:space="preserve">the indicator </w:t>
      </w:r>
      <w:r w:rsidR="000943D4">
        <w:rPr>
          <w:color w:val="000000"/>
        </w:rPr>
        <w:t>does not discriminate well. Moreover,</w:t>
      </w:r>
      <w:r w:rsidR="00C51EA6">
        <w:rPr>
          <w:color w:val="000000"/>
        </w:rPr>
        <w:t xml:space="preserve"> this narrower grouping does not count on people with only basic primary or lower secondary education </w:t>
      </w:r>
      <w:r w:rsidR="000943D4">
        <w:rPr>
          <w:color w:val="000000"/>
        </w:rPr>
        <w:t xml:space="preserve">who are </w:t>
      </w:r>
      <w:r w:rsidR="00C51EA6">
        <w:rPr>
          <w:color w:val="000000"/>
        </w:rPr>
        <w:t xml:space="preserve">actually </w:t>
      </w:r>
      <w:r w:rsidR="000943D4">
        <w:rPr>
          <w:color w:val="000000"/>
        </w:rPr>
        <w:t xml:space="preserve">also greatly vulnerable to exclusion, for example in the labour market, since they have no </w:t>
      </w:r>
      <w:r w:rsidR="0052793E">
        <w:rPr>
          <w:color w:val="000000"/>
        </w:rPr>
        <w:t xml:space="preserve">formal </w:t>
      </w:r>
      <w:r w:rsidR="000943D4">
        <w:rPr>
          <w:color w:val="000000"/>
        </w:rPr>
        <w:t>occupation and they might engage themselves only to low</w:t>
      </w:r>
      <w:r w:rsidR="00C51EA6">
        <w:rPr>
          <w:color w:val="000000"/>
        </w:rPr>
        <w:t>er-status</w:t>
      </w:r>
      <w:r w:rsidR="000943D4">
        <w:rPr>
          <w:color w:val="000000"/>
        </w:rPr>
        <w:t xml:space="preserve"> jobs</w:t>
      </w:r>
      <w:r w:rsidR="00C51EA6">
        <w:rPr>
          <w:color w:val="000000"/>
        </w:rPr>
        <w:t xml:space="preserve"> (e.g. elementary occupations)</w:t>
      </w:r>
      <w:r w:rsidR="000943D4">
        <w:rPr>
          <w:color w:val="000000"/>
        </w:rPr>
        <w:t xml:space="preserve">. On the other hand, </w:t>
      </w:r>
      <w:r w:rsidR="00C51EA6">
        <w:rPr>
          <w:color w:val="000000"/>
        </w:rPr>
        <w:t xml:space="preserve">in several countries, like Denmark, Finland, Iceland or Serbia published educational attainment </w:t>
      </w:r>
      <w:r w:rsidR="00E72E4B">
        <w:rPr>
          <w:color w:val="000000"/>
        </w:rPr>
        <w:t>data was</w:t>
      </w:r>
      <w:r w:rsidR="00C51EA6">
        <w:rPr>
          <w:color w:val="000000"/>
        </w:rPr>
        <w:t xml:space="preserve"> drawn together </w:t>
      </w:r>
      <w:r w:rsidR="00E72E4B">
        <w:rPr>
          <w:color w:val="000000"/>
        </w:rPr>
        <w:t xml:space="preserve">into bigger groups </w:t>
      </w:r>
      <w:r w:rsidR="00C51EA6">
        <w:rPr>
          <w:color w:val="000000"/>
        </w:rPr>
        <w:t>(ISCED 2 or below)</w:t>
      </w:r>
      <w:r w:rsidR="00E72E4B">
        <w:rPr>
          <w:color w:val="000000"/>
        </w:rPr>
        <w:t>, which had to be taken into consideration in order to have a common c</w:t>
      </w:r>
      <w:r w:rsidR="0052793E">
        <w:rPr>
          <w:color w:val="000000"/>
        </w:rPr>
        <w:t>lassification in the cross-European analysis</w:t>
      </w:r>
      <w:r w:rsidR="00C51EA6">
        <w:rPr>
          <w:color w:val="000000"/>
        </w:rPr>
        <w:t>.</w:t>
      </w:r>
    </w:p>
    <w:p w:rsidR="00BD26DE" w:rsidRPr="006C3BAA" w:rsidRDefault="00BD26DE" w:rsidP="00B878F5">
      <w:pPr>
        <w:rPr>
          <w:color w:val="000000"/>
        </w:rPr>
      </w:pPr>
      <w:r>
        <w:rPr>
          <w:color w:val="000000"/>
        </w:rPr>
        <w:lastRenderedPageBreak/>
        <w:t>Ratio of population with low qualification was part of the composite index.</w:t>
      </w:r>
    </w:p>
    <w:p w:rsidR="00B878F5" w:rsidRPr="006C3BAA" w:rsidRDefault="00B878F5" w:rsidP="00B878F5">
      <w:pPr>
        <w:spacing w:line="240" w:lineRule="auto"/>
        <w:rPr>
          <w:i/>
          <w:iCs/>
        </w:rPr>
      </w:pPr>
    </w:p>
    <w:p w:rsidR="00B878F5" w:rsidRPr="006C3BAA" w:rsidRDefault="00B878F5" w:rsidP="00B878F5">
      <w:pPr>
        <w:pStyle w:val="Cmsor3"/>
      </w:pPr>
      <w:r w:rsidRPr="006C3BAA">
        <w:t>Housing</w:t>
      </w:r>
    </w:p>
    <w:p w:rsidR="00B878F5" w:rsidRPr="006C3BAA" w:rsidRDefault="00B878F5" w:rsidP="00B878F5">
      <w:r w:rsidRPr="006C3BAA">
        <w:rPr>
          <w:b/>
          <w:bCs/>
        </w:rPr>
        <w:t xml:space="preserve">Short description: </w:t>
      </w:r>
      <w:r w:rsidRPr="006C3BAA">
        <w:t xml:space="preserve">Lack of accessible and affordable housing is one of the key aspects why people and households are vulnerable to social exclusion. Certain aspects of housing are </w:t>
      </w:r>
      <w:r w:rsidR="00050038" w:rsidRPr="006C3BAA">
        <w:t xml:space="preserve">therefore </w:t>
      </w:r>
      <w:r w:rsidRPr="006C3BAA">
        <w:t xml:space="preserve">essential to </w:t>
      </w:r>
      <w:r w:rsidR="00050038">
        <w:t xml:space="preserve">be </w:t>
      </w:r>
      <w:r w:rsidRPr="006C3BAA">
        <w:t>include</w:t>
      </w:r>
      <w:r w:rsidR="00050038">
        <w:t>d</w:t>
      </w:r>
      <w:r w:rsidRPr="006C3BAA">
        <w:t xml:space="preserve"> in ESPON </w:t>
      </w:r>
      <w:proofErr w:type="spellStart"/>
      <w:r w:rsidRPr="006C3BAA">
        <w:t>TiPSE</w:t>
      </w:r>
      <w:proofErr w:type="spellEnd"/>
      <w:r w:rsidRPr="006C3BAA">
        <w:t xml:space="preserve">. There are </w:t>
      </w:r>
      <w:r w:rsidR="00050038">
        <w:t>certain limitations, however, of</w:t>
      </w:r>
      <w:r w:rsidRPr="006C3BAA">
        <w:t xml:space="preserve"> the comparability of data on the ‘more qualitative’ aspects of housing, as ESPON states have different housing markets (more or less private forms, prevalence of renting apartments etc.) and differ</w:t>
      </w:r>
      <w:r w:rsidR="00050038">
        <w:t>ent social policies on housing.</w:t>
      </w:r>
    </w:p>
    <w:p w:rsidR="00B878F5" w:rsidRPr="006C3BAA" w:rsidRDefault="00B878F5" w:rsidP="00B878F5">
      <w:r w:rsidRPr="006C3BAA">
        <w:rPr>
          <w:b/>
          <w:bCs/>
        </w:rPr>
        <w:t xml:space="preserve">Data availability: </w:t>
      </w:r>
      <w:r w:rsidRPr="006C3BAA">
        <w:t xml:space="preserve">In most of the ESPON countries, extensive and comparable housing statistics are provided primarily by the decennial censuses. These will be discussed in the next paragraphs. </w:t>
      </w:r>
    </w:p>
    <w:p w:rsidR="00B878F5" w:rsidRDefault="00B878F5" w:rsidP="00B878F5">
      <w:r w:rsidRPr="006C3BAA">
        <w:t xml:space="preserve">Other data sources come from infrastructure datasets, such as population connected to public water supply and to wastewater treatment. This data, however, is only published for NUTS 2 regions by </w:t>
      </w:r>
      <w:proofErr w:type="spellStart"/>
      <w:r w:rsidRPr="006C3BAA">
        <w:t>Eurostat</w:t>
      </w:r>
      <w:proofErr w:type="spellEnd"/>
      <w:r w:rsidRPr="006C3BAA">
        <w:t xml:space="preserve"> (env_n2_pws and env_n2_pww datasets), so that national statistical sources </w:t>
      </w:r>
      <w:r w:rsidR="0037747D">
        <w:t xml:space="preserve">from censuses </w:t>
      </w:r>
      <w:r w:rsidR="003D069C">
        <w:t xml:space="preserve">(both 2001 and 2011) </w:t>
      </w:r>
      <w:r w:rsidR="0037747D">
        <w:t>were consulted for these variables</w:t>
      </w:r>
      <w:r w:rsidRPr="006C3BAA">
        <w:t>.</w:t>
      </w:r>
    </w:p>
    <w:p w:rsidR="0037747D" w:rsidRPr="006C3BAA" w:rsidRDefault="0037747D" w:rsidP="00B878F5">
      <w:r>
        <w:t>Tenure sta</w:t>
      </w:r>
      <w:r w:rsidR="000B30E7">
        <w:t xml:space="preserve">tus of households proposed by Annex </w:t>
      </w:r>
      <w:r>
        <w:t>1 was omitted because of less meaningful cross-European comparison.</w:t>
      </w:r>
    </w:p>
    <w:p w:rsidR="00B878F5" w:rsidRPr="006C3BAA" w:rsidRDefault="00B878F5" w:rsidP="00B878F5">
      <w:r w:rsidRPr="006C3BAA">
        <w:rPr>
          <w:b/>
          <w:bCs/>
        </w:rPr>
        <w:t xml:space="preserve">Census 2001 coverage: </w:t>
      </w:r>
      <w:r w:rsidR="0037747D">
        <w:t>C</w:t>
      </w:r>
      <w:r w:rsidRPr="006C3BAA">
        <w:t>ensus 2011 coverage will offer very detailed statistics on housing. Census 2001 data availability</w:t>
      </w:r>
      <w:r w:rsidR="0037747D">
        <w:t xml:space="preserve"> is more limited than census 201</w:t>
      </w:r>
      <w:r w:rsidRPr="006C3BAA">
        <w:t>1 will be</w:t>
      </w:r>
      <w:r w:rsidR="0037747D">
        <w:t>, but because of the process-oriented understanding of social exclusion some indicators were collected</w:t>
      </w:r>
      <w:r w:rsidRPr="006C3BAA">
        <w:t xml:space="preserve">. </w:t>
      </w:r>
      <w:r w:rsidR="0037747D">
        <w:t>These include: Ratio of housing units without water supply system, Ratio of housing units without inside toilet, Ratio of housing units without bath or shower, Ratio of housing units without central heating, Number of occupants per room, Useful floor space per occupants. As a result of the data collection about two-third</w:t>
      </w:r>
      <w:r w:rsidR="00050038">
        <w:t>s</w:t>
      </w:r>
      <w:r w:rsidR="0037747D">
        <w:t xml:space="preserve"> of the regions represent missing cases. </w:t>
      </w:r>
      <w:r w:rsidR="000240E5">
        <w:t xml:space="preserve">Most of the data is missing from the Atlantic and Central European region, from the Nordic and Baltic region the </w:t>
      </w:r>
      <w:proofErr w:type="spellStart"/>
      <w:r w:rsidR="000240E5">
        <w:t>Baltics</w:t>
      </w:r>
      <w:proofErr w:type="spellEnd"/>
      <w:r w:rsidR="000240E5">
        <w:t xml:space="preserve"> are better endowed in terms of coverage, for East Central Europe and the Balkans data collection was quite successful, and some data also exist for the Mediterranean regio</w:t>
      </w:r>
      <w:r w:rsidR="000B30E7">
        <w:t xml:space="preserve">n. Macro-zooms are useful for Task </w:t>
      </w:r>
      <w:r w:rsidR="000240E5">
        <w:t>2.8 despite the lack of data.</w:t>
      </w:r>
    </w:p>
    <w:p w:rsidR="00B878F5" w:rsidRPr="006C3BAA" w:rsidRDefault="00B878F5" w:rsidP="00B878F5">
      <w:r w:rsidRPr="006C3BAA">
        <w:rPr>
          <w:b/>
          <w:bCs/>
        </w:rPr>
        <w:t xml:space="preserve">Census 2011 coverage: </w:t>
      </w:r>
      <w:r w:rsidRPr="006C3BAA">
        <w:t xml:space="preserve">Regulation 763/2008 lists household status as available on NUTS 3 level for the 2011 census round (Regulation Annex, 1.1.1.). The following categories will be provided by </w:t>
      </w:r>
      <w:proofErr w:type="spellStart"/>
      <w:r w:rsidRPr="006C3BAA">
        <w:t>Eurostat</w:t>
      </w:r>
      <w:proofErr w:type="spellEnd"/>
      <w:r w:rsidRPr="006C3BAA">
        <w:t xml:space="preserve"> (</w:t>
      </w:r>
      <w:proofErr w:type="spellStart"/>
      <w:r w:rsidRPr="006C3BAA">
        <w:t>Hypercubes</w:t>
      </w:r>
      <w:proofErr w:type="spellEnd"/>
      <w:r w:rsidRPr="006C3BAA">
        <w:t xml:space="preserve"> 48, 49, 52), out of which </w:t>
      </w:r>
      <w:r w:rsidR="00BD26DE">
        <w:t xml:space="preserve">the following variables were </w:t>
      </w:r>
      <w:r w:rsidRPr="006C3BAA">
        <w:t xml:space="preserve">identified in </w:t>
      </w:r>
      <w:proofErr w:type="spellStart"/>
      <w:r w:rsidRPr="006C3BAA">
        <w:t>TiPSE</w:t>
      </w:r>
      <w:proofErr w:type="spellEnd"/>
      <w:r w:rsidRPr="006C3BAA">
        <w:t xml:space="preserve"> as </w:t>
      </w:r>
      <w:r w:rsidR="00BD26DE">
        <w:t xml:space="preserve">an important aspect of vulnerability to social exclusion: ratio of housing units without water supply system, ratio of housing units without bath or shower, number of occupants per room. These variables were compiled using the </w:t>
      </w:r>
      <w:proofErr w:type="spellStart"/>
      <w:r w:rsidR="00BD26DE">
        <w:t>Eurostat</w:t>
      </w:r>
      <w:proofErr w:type="spellEnd"/>
      <w:r w:rsidR="00BD26DE">
        <w:t xml:space="preserve"> Census Hub and national sources (both census and other national registers). </w:t>
      </w:r>
      <w:r w:rsidR="00106AFD">
        <w:t xml:space="preserve">In </w:t>
      </w:r>
      <w:r w:rsidR="00BD26DE">
        <w:t xml:space="preserve">the </w:t>
      </w:r>
      <w:r w:rsidR="00106AFD">
        <w:t xml:space="preserve">housing amenities 7 countries could only be </w:t>
      </w:r>
      <w:r w:rsidR="00106AFD">
        <w:lastRenderedPageBreak/>
        <w:t xml:space="preserve">represented at NUTS 2 level, and there is a considerable number of missing cases (such as the United Kingdom, Ireland, Germany, The Netherlands, Belgium). For the density standard variable the coverage is bad and mostly incorporates </w:t>
      </w:r>
      <w:proofErr w:type="spellStart"/>
      <w:r w:rsidR="00106AFD">
        <w:t>peripheric</w:t>
      </w:r>
      <w:proofErr w:type="spellEnd"/>
      <w:r w:rsidR="00106AFD">
        <w:t xml:space="preserve"> countries (Portugal, Ireland, two Nordic countries, plus 8 new member states).</w:t>
      </w:r>
    </w:p>
    <w:p w:rsidR="00B878F5" w:rsidRDefault="00B878F5" w:rsidP="00B878F5">
      <w:r w:rsidRPr="006C3BAA">
        <w:rPr>
          <w:b/>
          <w:bCs/>
        </w:rPr>
        <w:t>Comments:</w:t>
      </w:r>
      <w:r w:rsidRPr="006C3BAA">
        <w:t xml:space="preserve"> Census 2011 data </w:t>
      </w:r>
      <w:r w:rsidR="00106AFD">
        <w:t xml:space="preserve">was </w:t>
      </w:r>
      <w:r w:rsidRPr="006C3BAA">
        <w:t xml:space="preserve">indispensable for </w:t>
      </w:r>
      <w:proofErr w:type="spellStart"/>
      <w:r w:rsidRPr="006C3BAA">
        <w:t>TiPSE</w:t>
      </w:r>
      <w:proofErr w:type="spellEnd"/>
      <w:r w:rsidRPr="006C3BAA">
        <w:t xml:space="preserve"> in covering this aspect of social exclusion. Alternative data sources are not available, or are not as detailed as census data. </w:t>
      </w:r>
      <w:r w:rsidR="000240E5">
        <w:t>Census 2001 data collection was only partially successful.</w:t>
      </w:r>
    </w:p>
    <w:p w:rsidR="00FC713A" w:rsidRDefault="00FC713A" w:rsidP="00B878F5">
      <w:r>
        <w:t xml:space="preserve">The number of gathered housing </w:t>
      </w:r>
      <w:r w:rsidR="00535AAC">
        <w:t>indicators</w:t>
      </w:r>
      <w:r>
        <w:t xml:space="preserve"> was reduced for 2011</w:t>
      </w:r>
      <w:r w:rsidR="00535AAC">
        <w:t xml:space="preserve"> due to partial overlap of content with better covered co-</w:t>
      </w:r>
      <w:proofErr w:type="spellStart"/>
      <w:r w:rsidR="00535AAC">
        <w:t>variates</w:t>
      </w:r>
      <w:proofErr w:type="spellEnd"/>
      <w:r w:rsidR="00535AAC">
        <w:t xml:space="preserve"> (the case of omitting indicators on the availability of flush toilet or density standard </w:t>
      </w:r>
      <w:r w:rsidR="00535AAC">
        <w:rPr>
          <w:rFonts w:cs="Arial"/>
        </w:rPr>
        <w:t>[room]) or to supposed limitations of interpretation (unavailability of central heating).</w:t>
      </w:r>
    </w:p>
    <w:p w:rsidR="00106AFD" w:rsidRPr="006C3BAA" w:rsidRDefault="00106AFD" w:rsidP="00B878F5">
      <w:r>
        <w:t>Ratio of housing units without water supply system was used in calculating the composite index of vulnerability to social exclusion.</w:t>
      </w:r>
    </w:p>
    <w:p w:rsidR="00B878F5" w:rsidRPr="006C3BAA" w:rsidRDefault="00B878F5" w:rsidP="00B878F5"/>
    <w:p w:rsidR="00B878F5" w:rsidRPr="006C3BAA" w:rsidRDefault="00B878F5" w:rsidP="00B878F5">
      <w:pPr>
        <w:pStyle w:val="Cmsor3"/>
      </w:pPr>
      <w:r w:rsidRPr="006C3BAA">
        <w:t>Transport and communication</w:t>
      </w:r>
    </w:p>
    <w:p w:rsidR="00B878F5" w:rsidRPr="006C3BAA" w:rsidRDefault="00B878F5" w:rsidP="00B878F5">
      <w:r w:rsidRPr="006C3BAA">
        <w:rPr>
          <w:b/>
          <w:bCs/>
        </w:rPr>
        <w:t xml:space="preserve">Short description: </w:t>
      </w:r>
      <w:r w:rsidRPr="006C3BAA">
        <w:t xml:space="preserve">Social groups and households are facing social exclusion also because they are inaccessible by means of transportation and communication. </w:t>
      </w:r>
      <w:proofErr w:type="spellStart"/>
      <w:r w:rsidRPr="006C3BAA">
        <w:t>TiPSE</w:t>
      </w:r>
      <w:proofErr w:type="spellEnd"/>
      <w:r w:rsidRPr="006C3BAA">
        <w:t xml:space="preserve"> is going to take into consideration this aspect of social exclusion as well. The four provisional indicators cover</w:t>
      </w:r>
      <w:r w:rsidR="00050038">
        <w:t>ed</w:t>
      </w:r>
      <w:r w:rsidRPr="006C3BAA">
        <w:t xml:space="preserve"> various ‘material’ aspects: whether people have access to a post office, to broadband internet, are accessible by means of transportation, and are able to access other places by a passenger car.</w:t>
      </w:r>
    </w:p>
    <w:p w:rsidR="00B878F5" w:rsidRPr="006C3BAA" w:rsidRDefault="00B878F5" w:rsidP="00B878F5">
      <w:r w:rsidRPr="006C3BAA">
        <w:rPr>
          <w:b/>
          <w:bCs/>
        </w:rPr>
        <w:t xml:space="preserve">Data availability: </w:t>
      </w:r>
      <w:proofErr w:type="spellStart"/>
      <w:r w:rsidRPr="006C3BAA">
        <w:t>Eurostat</w:t>
      </w:r>
      <w:proofErr w:type="spellEnd"/>
      <w:r w:rsidRPr="006C3BAA">
        <w:t xml:space="preserve"> data is hardly available for covering this dimension. The only aspects for which </w:t>
      </w:r>
      <w:proofErr w:type="spellStart"/>
      <w:r w:rsidRPr="006C3BAA">
        <w:t>Eurostat</w:t>
      </w:r>
      <w:proofErr w:type="spellEnd"/>
      <w:r w:rsidRPr="006C3BAA">
        <w:t xml:space="preserve"> provides statistics on NUTS 2 level is the number of passenger cars (</w:t>
      </w:r>
      <w:proofErr w:type="spellStart"/>
      <w:r w:rsidRPr="006C3BAA">
        <w:t>tran_r_vehst</w:t>
      </w:r>
      <w:proofErr w:type="spellEnd"/>
      <w:r w:rsidRPr="006C3BAA">
        <w:t>) and households with broadband internet access (</w:t>
      </w:r>
      <w:proofErr w:type="spellStart"/>
      <w:r w:rsidRPr="006C3BAA">
        <w:t>isoc_r_broad_h</w:t>
      </w:r>
      <w:proofErr w:type="spellEnd"/>
      <w:r w:rsidRPr="006C3BAA">
        <w:t xml:space="preserve">). NUTS 3 level data is available on freight transport which is not relevant for measuring social exclusion. </w:t>
      </w:r>
    </w:p>
    <w:p w:rsidR="00B878F5" w:rsidRDefault="00B878F5" w:rsidP="00B878F5">
      <w:r w:rsidRPr="006C3BAA">
        <w:t xml:space="preserve">Some former ESPON studies addressed accessibility topics in the past. ESPON 2006 database offers the variable ‘time to nearest motorway access, by car’ at NUTS 3 level. This measurement is on the one hand outdated (year 2001, since which significant infrastructural investments have been undertaken throughout Europe), and </w:t>
      </w:r>
      <w:r w:rsidR="00653E27">
        <w:t>is</w:t>
      </w:r>
      <w:r w:rsidRPr="006C3BAA">
        <w:t xml:space="preserve"> not useful because of different geographical endowments (a motorway is not needed in every part of Europe to access places in order to conduct a ‘socially included’ life). Europe-wide accessibility data is irrelevant for </w:t>
      </w:r>
      <w:proofErr w:type="spellStart"/>
      <w:r w:rsidRPr="006C3BAA">
        <w:t>TiPSE</w:t>
      </w:r>
      <w:proofErr w:type="spellEnd"/>
      <w:r w:rsidRPr="006C3BAA">
        <w:t xml:space="preserve"> (as we imply that it does not count for socially excluded people that their region is easily accessible from all over Europe; or this accessibility has already been mirrored in other indicators and dimensions – such as employment opportunities). </w:t>
      </w:r>
    </w:p>
    <w:p w:rsidR="00653E27" w:rsidRPr="006C3BAA" w:rsidRDefault="00653E27" w:rsidP="00B878F5">
      <w:r>
        <w:t xml:space="preserve">Following this, </w:t>
      </w:r>
      <w:proofErr w:type="spellStart"/>
      <w:r>
        <w:t>TiPSE</w:t>
      </w:r>
      <w:proofErr w:type="spellEnd"/>
      <w:r>
        <w:t xml:space="preserve"> partners decided to leave out all transport-relat</w:t>
      </w:r>
      <w:r w:rsidR="000B30E7">
        <w:t xml:space="preserve">ed indicators proposed by Task </w:t>
      </w:r>
      <w:r>
        <w:t xml:space="preserve">2.1 from this part of the research. </w:t>
      </w:r>
    </w:p>
    <w:p w:rsidR="00B878F5" w:rsidRPr="006C3BAA" w:rsidRDefault="00B878F5" w:rsidP="00B878F5">
      <w:pPr>
        <w:rPr>
          <w:b/>
          <w:bCs/>
        </w:rPr>
      </w:pPr>
      <w:r w:rsidRPr="006C3BAA">
        <w:rPr>
          <w:b/>
          <w:bCs/>
        </w:rPr>
        <w:t xml:space="preserve">Census 2001 coverage: </w:t>
      </w:r>
      <w:r w:rsidR="00050038" w:rsidRPr="00050038">
        <w:rPr>
          <w:bCs/>
        </w:rPr>
        <w:t>N</w:t>
      </w:r>
      <w:r w:rsidRPr="006C3BAA">
        <w:t>ot applicable.</w:t>
      </w:r>
    </w:p>
    <w:p w:rsidR="00B878F5" w:rsidRPr="006C3BAA" w:rsidRDefault="00B878F5" w:rsidP="00B878F5">
      <w:pPr>
        <w:rPr>
          <w:b/>
          <w:bCs/>
        </w:rPr>
      </w:pPr>
      <w:r w:rsidRPr="006C3BAA">
        <w:rPr>
          <w:b/>
          <w:bCs/>
        </w:rPr>
        <w:lastRenderedPageBreak/>
        <w:t xml:space="preserve">Census 2011 coverage: </w:t>
      </w:r>
      <w:r w:rsidR="00050038">
        <w:t>N</w:t>
      </w:r>
      <w:r w:rsidRPr="006C3BAA">
        <w:t>ot applicable.</w:t>
      </w:r>
    </w:p>
    <w:p w:rsidR="00B878F5" w:rsidRPr="006C3BAA" w:rsidRDefault="00B878F5" w:rsidP="00B878F5">
      <w:r w:rsidRPr="006C3BAA">
        <w:rPr>
          <w:b/>
          <w:bCs/>
        </w:rPr>
        <w:t xml:space="preserve">Comments: </w:t>
      </w:r>
      <w:r w:rsidR="00050038">
        <w:t>N</w:t>
      </w:r>
      <w:r w:rsidR="00653E27">
        <w:t>one</w:t>
      </w:r>
      <w:r w:rsidR="00050038">
        <w:t>.</w:t>
      </w:r>
    </w:p>
    <w:p w:rsidR="00B878F5" w:rsidRPr="006C3BAA" w:rsidRDefault="00B878F5" w:rsidP="00B878F5"/>
    <w:p w:rsidR="00B878F5" w:rsidRPr="006C3BAA" w:rsidRDefault="00B878F5" w:rsidP="00B878F5">
      <w:pPr>
        <w:pStyle w:val="Cmsor2"/>
      </w:pPr>
      <w:bookmarkStart w:id="21" w:name="_Toc401264633"/>
      <w:r w:rsidRPr="006C3BAA">
        <w:t>Social environment</w:t>
      </w:r>
      <w:bookmarkEnd w:id="21"/>
    </w:p>
    <w:p w:rsidR="00B878F5" w:rsidRPr="006C3BAA" w:rsidRDefault="00B878F5" w:rsidP="00B878F5">
      <w:pPr>
        <w:pStyle w:val="Cmsor3"/>
      </w:pPr>
      <w:r w:rsidRPr="006C3BAA">
        <w:t>Age</w:t>
      </w:r>
    </w:p>
    <w:p w:rsidR="00B878F5" w:rsidRPr="006C3BAA" w:rsidRDefault="00B878F5" w:rsidP="00B878F5">
      <w:r w:rsidRPr="006C3BAA">
        <w:rPr>
          <w:b/>
          <w:bCs/>
        </w:rPr>
        <w:t>Short description:</w:t>
      </w:r>
      <w:r w:rsidRPr="006C3BAA">
        <w:t xml:space="preserve"> For capturing the different age-compos</w:t>
      </w:r>
      <w:r w:rsidR="00050038">
        <w:t>ition of NUTS 3 regions with three</w:t>
      </w:r>
      <w:r w:rsidRPr="006C3BAA">
        <w:t xml:space="preserve"> proxy variables, the total dependency ratio (</w:t>
      </w:r>
      <w:r w:rsidR="00653E27">
        <w:t xml:space="preserve">number </w:t>
      </w:r>
      <w:r w:rsidRPr="006C3BAA">
        <w:t xml:space="preserve">of people </w:t>
      </w:r>
      <w:r w:rsidR="00653E27">
        <w:t xml:space="preserve">aged </w:t>
      </w:r>
      <w:r w:rsidRPr="006C3BAA">
        <w:t>0–14 a</w:t>
      </w:r>
      <w:r w:rsidR="00653E27">
        <w:t>nd 65+ combined, divided by the number of people between 15 and 64 years),</w:t>
      </w:r>
      <w:r w:rsidRPr="006C3BAA">
        <w:t xml:space="preserve"> child </w:t>
      </w:r>
      <w:r w:rsidR="00653E27">
        <w:t xml:space="preserve">dependency </w:t>
      </w:r>
      <w:r w:rsidRPr="006C3BAA">
        <w:t>ratio</w:t>
      </w:r>
      <w:r w:rsidR="00653E27">
        <w:t xml:space="preserve"> </w:t>
      </w:r>
      <w:r w:rsidRPr="006C3BAA">
        <w:t xml:space="preserve">(number of people aged </w:t>
      </w:r>
      <w:r w:rsidR="00653E27">
        <w:t>less than 15 divided by people aged 15</w:t>
      </w:r>
      <w:r w:rsidRPr="006C3BAA">
        <w:t>–</w:t>
      </w:r>
      <w:r w:rsidR="00653E27">
        <w:t>6</w:t>
      </w:r>
      <w:r w:rsidRPr="006C3BAA">
        <w:t>4)</w:t>
      </w:r>
      <w:r w:rsidR="00653E27">
        <w:t xml:space="preserve"> and old age dependency ratio </w:t>
      </w:r>
      <w:r w:rsidR="00653E27" w:rsidRPr="006C3BAA">
        <w:t xml:space="preserve">(number of people aged </w:t>
      </w:r>
      <w:r w:rsidR="00653E27">
        <w:t>65 or more divided by people aged 15</w:t>
      </w:r>
      <w:r w:rsidR="00653E27" w:rsidRPr="006C3BAA">
        <w:t>–</w:t>
      </w:r>
      <w:r w:rsidR="00653E27">
        <w:t>6</w:t>
      </w:r>
      <w:r w:rsidR="00653E27" w:rsidRPr="006C3BAA">
        <w:t>4)</w:t>
      </w:r>
      <w:r w:rsidR="00653E27">
        <w:t xml:space="preserve"> were calculated</w:t>
      </w:r>
      <w:r w:rsidR="003D069C">
        <w:t xml:space="preserve"> for 2001</w:t>
      </w:r>
      <w:r w:rsidRPr="006C3BAA">
        <w:t xml:space="preserve">. </w:t>
      </w:r>
      <w:r w:rsidR="003D069C">
        <w:t>For 2011 the same dependency rates were included in the dataset.</w:t>
      </w:r>
    </w:p>
    <w:p w:rsidR="00B878F5" w:rsidRDefault="00B878F5" w:rsidP="00B878F5">
      <w:r w:rsidRPr="006C3BAA">
        <w:rPr>
          <w:b/>
          <w:bCs/>
        </w:rPr>
        <w:t xml:space="preserve">Data availability: </w:t>
      </w:r>
      <w:r w:rsidRPr="006C3BAA">
        <w:t xml:space="preserve">NUTS 3 </w:t>
      </w:r>
      <w:proofErr w:type="gramStart"/>
      <w:r w:rsidRPr="006C3BAA">
        <w:t>level</w:t>
      </w:r>
      <w:proofErr w:type="gramEnd"/>
      <w:r w:rsidRPr="006C3BAA">
        <w:t xml:space="preserve"> </w:t>
      </w:r>
      <w:proofErr w:type="spellStart"/>
      <w:r w:rsidRPr="006C3BAA">
        <w:t>Eurostat</w:t>
      </w:r>
      <w:proofErr w:type="spellEnd"/>
      <w:r w:rsidRPr="006C3BAA">
        <w:t xml:space="preserve"> data is available throughout Europe for 2011 (for UK and France: 2010). </w:t>
      </w:r>
      <w:r w:rsidR="00876C76">
        <w:t xml:space="preserve">Task 2.3 </w:t>
      </w:r>
      <w:r w:rsidR="00EA0271">
        <w:t>also</w:t>
      </w:r>
      <w:r w:rsidR="00876C76">
        <w:t xml:space="preserve"> observed</w:t>
      </w:r>
      <w:r w:rsidRPr="006C3BAA">
        <w:t xml:space="preserve"> the excellent coverage of this dataset. Mapping and discussing changes over time (in line with the process-based understanding of social exclusion) on a longer-term (10 years) </w:t>
      </w:r>
      <w:r w:rsidR="00653E27">
        <w:t>was made possible by collecting 2001 census data</w:t>
      </w:r>
      <w:r w:rsidRPr="006C3BAA">
        <w:t>.</w:t>
      </w:r>
    </w:p>
    <w:p w:rsidR="00653E27" w:rsidRPr="00653E27" w:rsidRDefault="00653E27" w:rsidP="00B878F5">
      <w:r w:rsidRPr="00653E27">
        <w:rPr>
          <w:b/>
        </w:rPr>
        <w:t xml:space="preserve">Census 2001 coverage: </w:t>
      </w:r>
      <w:r>
        <w:t xml:space="preserve">There are only few gaps in the dataset collected by </w:t>
      </w:r>
      <w:proofErr w:type="spellStart"/>
      <w:r>
        <w:t>TiPSE</w:t>
      </w:r>
      <w:proofErr w:type="spellEnd"/>
      <w:r>
        <w:t xml:space="preserve"> partners. For the child dependency rate, data on French and Bosnian regions is missing; for the other two variables only 20 regions lack the valid data (of which 10 regions are from Bosnia and Herzegovina)</w:t>
      </w:r>
    </w:p>
    <w:p w:rsidR="00B878F5" w:rsidRPr="006C3BAA" w:rsidRDefault="00B878F5" w:rsidP="00B878F5">
      <w:pPr>
        <w:rPr>
          <w:b/>
          <w:bCs/>
        </w:rPr>
      </w:pPr>
      <w:r w:rsidRPr="006C3BAA">
        <w:rPr>
          <w:b/>
          <w:bCs/>
        </w:rPr>
        <w:t xml:space="preserve">Census 2011 coverage: </w:t>
      </w:r>
      <w:r w:rsidRPr="006C3BAA">
        <w:t>Regulation 763/2008 lists age as available on NUTS 3 and LAU 2 levels for the 2011 census round (Regulation Annex, 1.1.1.). For NUTS 3, data in one-year cohorts will be available, LAU 2 level data will be provided by 5-years cohorts (Regulation 1201/2009) (Hypercube 55 for NUTS 3 data, Hypercube 56 for LAU 2 data).</w:t>
      </w:r>
      <w:r w:rsidR="00653E27">
        <w:t xml:space="preserve"> </w:t>
      </w:r>
      <w:r w:rsidR="00EA0271">
        <w:t xml:space="preserve">Despite this, coverage was not full, and </w:t>
      </w:r>
      <w:proofErr w:type="spellStart"/>
      <w:r w:rsidR="00EA0271">
        <w:t>Eurostat</w:t>
      </w:r>
      <w:proofErr w:type="spellEnd"/>
      <w:r w:rsidR="00EA0271">
        <w:t xml:space="preserve"> Census Hub data was supplemented with data from national censuses. </w:t>
      </w:r>
    </w:p>
    <w:p w:rsidR="00B878F5" w:rsidRDefault="00B878F5" w:rsidP="00B878F5">
      <w:r w:rsidRPr="006C3BAA">
        <w:rPr>
          <w:b/>
          <w:bCs/>
        </w:rPr>
        <w:t>Comments:</w:t>
      </w:r>
      <w:r w:rsidR="00653E27">
        <w:t xml:space="preserve"> T</w:t>
      </w:r>
      <w:r w:rsidRPr="006C3BAA">
        <w:t xml:space="preserve">here is high variance within the dataset throughout the ESPON space. The </w:t>
      </w:r>
      <w:r w:rsidR="00653E27">
        <w:t xml:space="preserve">three </w:t>
      </w:r>
      <w:r w:rsidRPr="006C3BAA">
        <w:t xml:space="preserve">variables are quite different, and reveal different aspects of age-related social exclusion. The proxy variables are easily understandable and might be good departure points for social policies. Limitations of cross-country comparison are minimal or non-existent. </w:t>
      </w:r>
    </w:p>
    <w:p w:rsidR="00EA0271" w:rsidRPr="006C3BAA" w:rsidRDefault="00EA0271" w:rsidP="00B878F5">
      <w:r>
        <w:t>Old age dependency rate was used in compiling the composite index.</w:t>
      </w:r>
    </w:p>
    <w:p w:rsidR="00B878F5" w:rsidRPr="006C3BAA" w:rsidRDefault="00B878F5" w:rsidP="00B878F5"/>
    <w:p w:rsidR="00B878F5" w:rsidRPr="006C3BAA" w:rsidRDefault="00B878F5" w:rsidP="00B878F5">
      <w:pPr>
        <w:pStyle w:val="Cmsor3"/>
      </w:pPr>
      <w:r w:rsidRPr="006C3BAA">
        <w:t>Ethnic composition</w:t>
      </w:r>
    </w:p>
    <w:p w:rsidR="00B878F5" w:rsidRPr="006C3BAA" w:rsidRDefault="00B878F5" w:rsidP="00B878F5">
      <w:r w:rsidRPr="006C3BAA">
        <w:rPr>
          <w:b/>
          <w:bCs/>
        </w:rPr>
        <w:t xml:space="preserve">Short description and comments: </w:t>
      </w:r>
      <w:r w:rsidRPr="006C3BAA">
        <w:t xml:space="preserve">as this data is almost exclusively found in census statistics, and it was not an obligatory question in the 2011 census round, this aspect </w:t>
      </w:r>
      <w:r w:rsidR="00653E27">
        <w:t>is measured by only one variable: ratio of Roma population</w:t>
      </w:r>
      <w:r w:rsidRPr="006C3BAA">
        <w:t xml:space="preserve">. </w:t>
      </w:r>
      <w:r w:rsidR="00653E27">
        <w:t xml:space="preserve">The cause of this </w:t>
      </w:r>
      <w:r w:rsidR="00653E27">
        <w:lastRenderedPageBreak/>
        <w:t>limited coverage is that b</w:t>
      </w:r>
      <w:r w:rsidRPr="006C3BAA">
        <w:t>elonging to the ethnic minority is not a cause of social exclusion in each and every country (see for example the multi-ethnic character of Switzerland). In addition, ethnicity is a socially constructed category, and is very context-dependent. Individuals have more diverse identities than to reduce the</w:t>
      </w:r>
      <w:r w:rsidR="005100F1">
        <w:t>i</w:t>
      </w:r>
      <w:r w:rsidRPr="006C3BAA">
        <w:t>r</w:t>
      </w:r>
      <w:r w:rsidR="005100F1">
        <w:t xml:space="preserve"> social exclusion</w:t>
      </w:r>
      <w:r w:rsidRPr="006C3BAA">
        <w:t xml:space="preserve"> to the sole fact that they belong to ethnic minorities. Following that, official census data (if available) is not very reliab</w:t>
      </w:r>
      <w:r w:rsidR="005100F1">
        <w:t>le and does not tell too much about</w:t>
      </w:r>
      <w:r w:rsidRPr="006C3BAA">
        <w:t xml:space="preserve"> social realities within different places, because it is not able to capture complex identities of people. Moreover, several articles stress that Western European (or UN) definitions and understandings of ethnicity do not work throughout Europe (for an Eastern European historical perspective on nationalisms, ethnicity and identity see </w:t>
      </w:r>
      <w:proofErr w:type="spellStart"/>
      <w:r w:rsidRPr="006C3BAA">
        <w:t>Todorova</w:t>
      </w:r>
      <w:proofErr w:type="spellEnd"/>
      <w:r w:rsidRPr="006C3BAA">
        <w:t xml:space="preserve">, 2005). </w:t>
      </w:r>
      <w:r w:rsidR="00653E27">
        <w:t>Ratio of the Roma population, however, is a serious social issue – mostly in East Central Europe and the Balkans – so that census data were collected.</w:t>
      </w:r>
    </w:p>
    <w:p w:rsidR="00B878F5" w:rsidRDefault="00D42C5A" w:rsidP="00B878F5">
      <w:pPr>
        <w:rPr>
          <w:bCs/>
        </w:rPr>
      </w:pPr>
      <w:r>
        <w:rPr>
          <w:b/>
          <w:bCs/>
        </w:rPr>
        <w:t xml:space="preserve">Census 2001 coverage: </w:t>
      </w:r>
      <w:r w:rsidRPr="00D42C5A">
        <w:rPr>
          <w:bCs/>
        </w:rPr>
        <w:t>Fo</w:t>
      </w:r>
      <w:r>
        <w:rPr>
          <w:bCs/>
        </w:rPr>
        <w:t xml:space="preserve">r most of the East Central European and Balkan countries relevant data could be collected and interpreted in </w:t>
      </w:r>
      <w:r w:rsidR="000B30E7">
        <w:rPr>
          <w:bCs/>
        </w:rPr>
        <w:t xml:space="preserve">Task </w:t>
      </w:r>
      <w:r>
        <w:rPr>
          <w:bCs/>
        </w:rPr>
        <w:t>2.8. There is scarce coverage in other macro-regions.</w:t>
      </w:r>
    </w:p>
    <w:p w:rsidR="00D42C5A" w:rsidRDefault="00D42C5A" w:rsidP="00B878F5">
      <w:pPr>
        <w:rPr>
          <w:bCs/>
        </w:rPr>
      </w:pPr>
      <w:r w:rsidRPr="00D42C5A">
        <w:rPr>
          <w:b/>
          <w:bCs/>
        </w:rPr>
        <w:t>Census 2011 coverage:</w:t>
      </w:r>
      <w:r>
        <w:rPr>
          <w:bCs/>
        </w:rPr>
        <w:t xml:space="preserve"> </w:t>
      </w:r>
      <w:r w:rsidR="00EA0271">
        <w:rPr>
          <w:bCs/>
        </w:rPr>
        <w:t>This dataset was only collected for East Central European countries and the Balkans, and some other countries.</w:t>
      </w:r>
    </w:p>
    <w:p w:rsidR="00D42C5A" w:rsidRPr="006C3BAA" w:rsidRDefault="00D42C5A" w:rsidP="00B878F5">
      <w:pPr>
        <w:rPr>
          <w:b/>
          <w:bCs/>
        </w:rPr>
      </w:pPr>
    </w:p>
    <w:p w:rsidR="00B878F5" w:rsidRPr="006C3BAA" w:rsidRDefault="00B878F5" w:rsidP="00B878F5">
      <w:pPr>
        <w:pStyle w:val="Cmsor3"/>
      </w:pPr>
      <w:r w:rsidRPr="006C3BAA">
        <w:t>Immigrants</w:t>
      </w:r>
    </w:p>
    <w:p w:rsidR="00B878F5" w:rsidRPr="006C3BAA" w:rsidRDefault="00B878F5" w:rsidP="00B878F5">
      <w:r w:rsidRPr="006C3BAA">
        <w:rPr>
          <w:b/>
          <w:bCs/>
        </w:rPr>
        <w:t xml:space="preserve">Short description: </w:t>
      </w:r>
      <w:r w:rsidRPr="006C3BAA">
        <w:t xml:space="preserve">Immigrants are representing one social group which is vulnerable to social exclusion in European countries. Although the issue is not affecting each ESPON country and region evenly, measuring immigrants’ share in the regions may inform </w:t>
      </w:r>
      <w:proofErr w:type="spellStart"/>
      <w:r w:rsidRPr="006C3BAA">
        <w:t>TiPSE</w:t>
      </w:r>
      <w:proofErr w:type="spellEnd"/>
      <w:r w:rsidRPr="006C3BAA">
        <w:t xml:space="preserve"> on one aspect of social exclusion.</w:t>
      </w:r>
    </w:p>
    <w:p w:rsidR="00B878F5" w:rsidRPr="006C3BAA" w:rsidRDefault="00B878F5" w:rsidP="00B878F5">
      <w:r w:rsidRPr="006C3BAA">
        <w:rPr>
          <w:b/>
          <w:bCs/>
        </w:rPr>
        <w:t xml:space="preserve">Data availability: </w:t>
      </w:r>
      <w:r w:rsidRPr="006C3BAA">
        <w:t>Census data is the most extensive source to be used for capturing this indicator.</w:t>
      </w:r>
      <w:r w:rsidR="00D42C5A">
        <w:t xml:space="preserve"> The chosen indicator is the ratio of foreign-born population.</w:t>
      </w:r>
    </w:p>
    <w:p w:rsidR="00B878F5" w:rsidRPr="006C3BAA" w:rsidRDefault="00B878F5" w:rsidP="00B878F5">
      <w:r w:rsidRPr="006C3BAA">
        <w:rPr>
          <w:b/>
          <w:bCs/>
        </w:rPr>
        <w:t xml:space="preserve">Census 2001 coverage: </w:t>
      </w:r>
      <w:proofErr w:type="spellStart"/>
      <w:r w:rsidRPr="006C3BAA">
        <w:t>Eurostat</w:t>
      </w:r>
      <w:proofErr w:type="spellEnd"/>
      <w:r w:rsidRPr="006C3BAA">
        <w:t xml:space="preserve"> data on immigrants </w:t>
      </w:r>
      <w:r w:rsidR="00D42C5A">
        <w:t>wa</w:t>
      </w:r>
      <w:r w:rsidRPr="006C3BAA">
        <w:t>s not available on its website for the 2001 census round</w:t>
      </w:r>
      <w:r w:rsidR="00D42C5A">
        <w:t>, national sources were consulted</w:t>
      </w:r>
      <w:r w:rsidRPr="006C3BAA">
        <w:t>.</w:t>
      </w:r>
      <w:r w:rsidR="00D42C5A">
        <w:t xml:space="preserve"> There are about 1150 missing cases from the 1500 NUTS 3 regions, </w:t>
      </w:r>
      <w:r w:rsidR="005100F1">
        <w:t>thus the coverage is rather scarce</w:t>
      </w:r>
      <w:r w:rsidR="00D42C5A">
        <w:t>.</w:t>
      </w:r>
    </w:p>
    <w:p w:rsidR="00B878F5" w:rsidRPr="006C3BAA" w:rsidRDefault="00B878F5" w:rsidP="00B878F5">
      <w:pPr>
        <w:rPr>
          <w:b/>
          <w:bCs/>
        </w:rPr>
      </w:pPr>
      <w:r w:rsidRPr="006C3BAA">
        <w:rPr>
          <w:b/>
          <w:bCs/>
        </w:rPr>
        <w:t xml:space="preserve">Census 2011 coverage: </w:t>
      </w:r>
      <w:r w:rsidRPr="006C3BAA">
        <w:t xml:space="preserve">Regulation 763/2008 lists country/place of birth, as available on NUTS 3 and LAU 2 levels for the 2011 census round (Regulation Annex, 1.1.1.). </w:t>
      </w:r>
      <w:r w:rsidR="00EA0271">
        <w:t xml:space="preserve">Despite this, at the time of the data compilation this dataset was not full in the </w:t>
      </w:r>
      <w:proofErr w:type="spellStart"/>
      <w:r w:rsidR="00EA0271">
        <w:t>Eurostat</w:t>
      </w:r>
      <w:proofErr w:type="spellEnd"/>
      <w:r w:rsidR="00EA0271">
        <w:t xml:space="preserve"> Census </w:t>
      </w:r>
      <w:proofErr w:type="gramStart"/>
      <w:r w:rsidR="00EA0271">
        <w:t>Hub,</w:t>
      </w:r>
      <w:proofErr w:type="gramEnd"/>
      <w:r w:rsidR="00EA0271">
        <w:t xml:space="preserve"> and national sources (both census and register) were consulted to overcome this limitation. For Turkey no data could be collected.</w:t>
      </w:r>
    </w:p>
    <w:p w:rsidR="00B878F5" w:rsidRPr="006C3BAA" w:rsidRDefault="00B878F5" w:rsidP="00B878F5">
      <w:r w:rsidRPr="006C3BAA">
        <w:rPr>
          <w:b/>
          <w:bCs/>
        </w:rPr>
        <w:t xml:space="preserve">Comments: </w:t>
      </w:r>
      <w:r w:rsidR="00EA0271">
        <w:t>This dimension was not included in the composite index.</w:t>
      </w:r>
    </w:p>
    <w:p w:rsidR="00B878F5" w:rsidRPr="006C3BAA" w:rsidRDefault="00B878F5" w:rsidP="00B878F5">
      <w:pPr>
        <w:rPr>
          <w:b/>
          <w:bCs/>
        </w:rPr>
      </w:pPr>
    </w:p>
    <w:p w:rsidR="00B878F5" w:rsidRPr="006C3BAA" w:rsidRDefault="00B878F5" w:rsidP="00B878F5">
      <w:pPr>
        <w:pStyle w:val="Cmsor3"/>
      </w:pPr>
      <w:r w:rsidRPr="006C3BAA">
        <w:lastRenderedPageBreak/>
        <w:t>Crime and safety</w:t>
      </w:r>
    </w:p>
    <w:p w:rsidR="00B878F5" w:rsidRPr="006C3BAA" w:rsidRDefault="00B878F5" w:rsidP="00B878F5">
      <w:r w:rsidRPr="006C3BAA">
        <w:rPr>
          <w:b/>
          <w:bCs/>
        </w:rPr>
        <w:t xml:space="preserve">Short description: </w:t>
      </w:r>
      <w:r w:rsidRPr="005100F1">
        <w:rPr>
          <w:bCs/>
        </w:rPr>
        <w:t>‘</w:t>
      </w:r>
      <w:proofErr w:type="gramStart"/>
      <w:r w:rsidRPr="006C3BAA">
        <w:t>Revealed criminal cases per 1000 persons’ was</w:t>
      </w:r>
      <w:proofErr w:type="gramEnd"/>
      <w:r w:rsidRPr="006C3BAA">
        <w:t xml:space="preserve"> anticipated </w:t>
      </w:r>
      <w:r w:rsidR="005100F1">
        <w:t>f</w:t>
      </w:r>
      <w:r w:rsidRPr="006C3BAA">
        <w:t>o</w:t>
      </w:r>
      <w:r w:rsidR="005100F1">
        <w:t>r</w:t>
      </w:r>
      <w:r w:rsidRPr="006C3BAA">
        <w:t xml:space="preserve"> use as the most important indicator of crime and safety. The implication was that in poorer or more excluded societies/places criminal cases (at least in some crime categories) may be more </w:t>
      </w:r>
      <w:proofErr w:type="gramStart"/>
      <w:r w:rsidRPr="006C3BAA">
        <w:t>prevailing</w:t>
      </w:r>
      <w:proofErr w:type="gramEnd"/>
      <w:r w:rsidRPr="006C3BAA">
        <w:t xml:space="preserve"> than in ‘wealthy’ places. </w:t>
      </w:r>
    </w:p>
    <w:p w:rsidR="00B878F5" w:rsidRPr="006C3BAA" w:rsidRDefault="00B878F5" w:rsidP="00B878F5">
      <w:r w:rsidRPr="006C3BAA">
        <w:t xml:space="preserve">Further research on the usability of this indicator in ESPON </w:t>
      </w:r>
      <w:proofErr w:type="spellStart"/>
      <w:r w:rsidRPr="006C3BAA">
        <w:t>TiPSE</w:t>
      </w:r>
      <w:proofErr w:type="spellEnd"/>
      <w:r w:rsidRPr="006C3BAA">
        <w:t xml:space="preserve"> raised serious concerns both theoretically and methodologically. Critical social studies underlined in the past years how crime statistics are culturally produced, how through crime statistics ‘socially excluded’ Others are produced for the police practice (cf. </w:t>
      </w:r>
      <w:proofErr w:type="spellStart"/>
      <w:r w:rsidRPr="006C3BAA">
        <w:t>Belina</w:t>
      </w:r>
      <w:proofErr w:type="spellEnd"/>
      <w:r w:rsidRPr="006C3BAA">
        <w:t>, 2009), and how popular criminological theories (such as broken windows and situational crime prevention) use simplistic understandings of social and spatial exclusion (cf. Herbert and Brown, 2006). Other scholars still argue for a consideration of interrelations between crime and poverty, as the ‘debate on crime needs to widen to remember all victims who are unjustly robbed of their possessions, and even of their lives, both here and abroad through the violation of political or moral law’ (Dorling 2006, p. 1993).</w:t>
      </w:r>
    </w:p>
    <w:p w:rsidR="00B878F5" w:rsidRPr="006C3BAA" w:rsidRDefault="00B878F5" w:rsidP="00B878F5">
      <w:r w:rsidRPr="006C3BAA">
        <w:t xml:space="preserve">As a further methodological problem for ESPON </w:t>
      </w:r>
      <w:proofErr w:type="spellStart"/>
      <w:r w:rsidRPr="006C3BAA">
        <w:t>TiPSE</w:t>
      </w:r>
      <w:proofErr w:type="spellEnd"/>
      <w:r w:rsidRPr="006C3BAA">
        <w:t xml:space="preserve">, </w:t>
      </w:r>
      <w:proofErr w:type="spellStart"/>
      <w:r w:rsidRPr="006C3BAA">
        <w:t>Eurostat</w:t>
      </w:r>
      <w:proofErr w:type="spellEnd"/>
      <w:r w:rsidRPr="006C3BAA">
        <w:t xml:space="preserve"> metadata reminds us that crime statistics are not comparable across different countries because of five reasons: ‘different legal and criminal justice systems, rates at which crimes are reported to the police and recorded by them, differences in the point at which crime is measured (for example, report to the police, identification of suspect, etc.), differences in the rules by which multiple offences are counted, differences in the list of offences that are included in the overall crime figures’ (</w:t>
      </w:r>
      <w:hyperlink r:id="rId19" w:history="1">
        <w:r w:rsidRPr="006C3BAA">
          <w:rPr>
            <w:rStyle w:val="Hiperhivatkozs"/>
          </w:rPr>
          <w:t>http://epp.eurostat.ec.europa.eu/cache/ITY_SDDS/en/crim_esms.htm</w:t>
        </w:r>
      </w:hyperlink>
      <w:r w:rsidRPr="006C3BAA">
        <w:t xml:space="preserve">). </w:t>
      </w:r>
      <w:proofErr w:type="spellStart"/>
      <w:r w:rsidRPr="006C3BAA">
        <w:t>Eurostat</w:t>
      </w:r>
      <w:proofErr w:type="spellEnd"/>
      <w:r w:rsidRPr="006C3BAA">
        <w:t xml:space="preserve"> metadata lists two variables which may be used comparatively: homicide rates and prison population rates. Homicide data probably does not capture meaningfully any dimension of social exclusion in ESPON </w:t>
      </w:r>
      <w:proofErr w:type="spellStart"/>
      <w:r w:rsidRPr="006C3BAA">
        <w:t>TiPSE</w:t>
      </w:r>
      <w:proofErr w:type="spellEnd"/>
      <w:r w:rsidRPr="006C3BAA">
        <w:t>. Incarceration, however, may be an important entry point for understanding complex processes of social exclusion (by state policies): a case study by Peck and Theodore (2008) in Chicago vividly shows how the penal state is connected to the new economic and ethno</w:t>
      </w:r>
      <w:r w:rsidR="00D42C5A">
        <w:t>-</w:t>
      </w:r>
      <w:r w:rsidRPr="006C3BAA">
        <w:t xml:space="preserve">racial order which causes social exclusion of significant groups of people. </w:t>
      </w:r>
    </w:p>
    <w:p w:rsidR="00B878F5" w:rsidRPr="006C3BAA" w:rsidRDefault="00B878F5" w:rsidP="00B878F5">
      <w:r w:rsidRPr="006C3BAA">
        <w:t xml:space="preserve">Following that, crime statistics may only be used very carefully by all research projects on social exclusion and by applied research resulting in social policy interventions as ESPON </w:t>
      </w:r>
      <w:proofErr w:type="spellStart"/>
      <w:r w:rsidRPr="006C3BAA">
        <w:t>TiPSE</w:t>
      </w:r>
      <w:proofErr w:type="spellEnd"/>
      <w:r w:rsidRPr="006C3BAA">
        <w:t>.</w:t>
      </w:r>
    </w:p>
    <w:p w:rsidR="00B878F5" w:rsidRPr="006C3BAA" w:rsidRDefault="00B878F5" w:rsidP="00B878F5">
      <w:r w:rsidRPr="006C3BAA">
        <w:rPr>
          <w:b/>
          <w:bCs/>
        </w:rPr>
        <w:t xml:space="preserve">Data availability: </w:t>
      </w:r>
      <w:r w:rsidR="005100F1">
        <w:t>D</w:t>
      </w:r>
      <w:r w:rsidRPr="006C3BAA">
        <w:t xml:space="preserve">ata may be available from non-standard official sources on the regional level. </w:t>
      </w:r>
    </w:p>
    <w:p w:rsidR="00B878F5" w:rsidRPr="006C3BAA" w:rsidRDefault="00B878F5" w:rsidP="00B878F5">
      <w:pPr>
        <w:rPr>
          <w:b/>
          <w:bCs/>
        </w:rPr>
      </w:pPr>
      <w:r w:rsidRPr="006C3BAA">
        <w:rPr>
          <w:b/>
          <w:bCs/>
        </w:rPr>
        <w:t xml:space="preserve">Census 2001 coverage: </w:t>
      </w:r>
      <w:r w:rsidR="005100F1" w:rsidRPr="005100F1">
        <w:rPr>
          <w:bCs/>
        </w:rPr>
        <w:t>N</w:t>
      </w:r>
      <w:r w:rsidRPr="006C3BAA">
        <w:t>ot applicable.</w:t>
      </w:r>
    </w:p>
    <w:p w:rsidR="00B878F5" w:rsidRPr="006C3BAA" w:rsidRDefault="00B878F5" w:rsidP="00B878F5">
      <w:r w:rsidRPr="006C3BAA">
        <w:rPr>
          <w:b/>
          <w:bCs/>
        </w:rPr>
        <w:t xml:space="preserve">Census 2011 coverage: </w:t>
      </w:r>
      <w:r w:rsidR="005100F1" w:rsidRPr="005100F1">
        <w:rPr>
          <w:bCs/>
        </w:rPr>
        <w:t>N</w:t>
      </w:r>
      <w:r w:rsidRPr="006C3BAA">
        <w:t>ot applicable.</w:t>
      </w:r>
    </w:p>
    <w:p w:rsidR="00B878F5" w:rsidRPr="006C3BAA" w:rsidRDefault="00B878F5" w:rsidP="00B878F5">
      <w:r w:rsidRPr="006C3BAA">
        <w:rPr>
          <w:b/>
          <w:bCs/>
        </w:rPr>
        <w:lastRenderedPageBreak/>
        <w:t xml:space="preserve">Comments: </w:t>
      </w:r>
      <w:r w:rsidR="005100F1">
        <w:t>A</w:t>
      </w:r>
      <w:r w:rsidRPr="006C3BAA">
        <w:t xml:space="preserve">lthough this indicator </w:t>
      </w:r>
      <w:r w:rsidR="000B30E7">
        <w:t xml:space="preserve">was foreseen for use by </w:t>
      </w:r>
      <w:proofErr w:type="spellStart"/>
      <w:r w:rsidR="000B30E7">
        <w:t>TiPSE</w:t>
      </w:r>
      <w:proofErr w:type="spellEnd"/>
      <w:r w:rsidR="000B30E7">
        <w:t xml:space="preserve"> Task </w:t>
      </w:r>
      <w:r w:rsidRPr="006C3BAA">
        <w:t>2.1, this aspect of vulnerability for social exclusion</w:t>
      </w:r>
      <w:r w:rsidR="00D42C5A">
        <w:t xml:space="preserve"> was left out after discussion with </w:t>
      </w:r>
      <w:proofErr w:type="spellStart"/>
      <w:r w:rsidR="00D42C5A">
        <w:t>TiPSE</w:t>
      </w:r>
      <w:proofErr w:type="spellEnd"/>
      <w:r w:rsidR="00D42C5A">
        <w:t xml:space="preserve"> partners</w:t>
      </w:r>
      <w:r w:rsidRPr="006C3BAA">
        <w:t>. Cross-European comparisons are not meaningful.</w:t>
      </w:r>
    </w:p>
    <w:p w:rsidR="00B878F5" w:rsidRPr="006C3BAA" w:rsidRDefault="00B878F5" w:rsidP="00B878F5">
      <w:pPr>
        <w:rPr>
          <w:b/>
          <w:bCs/>
        </w:rPr>
      </w:pPr>
    </w:p>
    <w:p w:rsidR="00B878F5" w:rsidRPr="006C3BAA" w:rsidRDefault="00B878F5" w:rsidP="00B878F5">
      <w:pPr>
        <w:pStyle w:val="Cmsor3"/>
      </w:pPr>
      <w:r w:rsidRPr="006C3BAA">
        <w:t>Municipal revenue from property taxes</w:t>
      </w:r>
    </w:p>
    <w:p w:rsidR="00B878F5" w:rsidRPr="006C3BAA" w:rsidRDefault="00B878F5" w:rsidP="00B878F5">
      <w:r w:rsidRPr="006C3BAA">
        <w:rPr>
          <w:b/>
          <w:bCs/>
        </w:rPr>
        <w:t xml:space="preserve">Short description: </w:t>
      </w:r>
      <w:r w:rsidRPr="006C3BAA">
        <w:t>property taxes at the municipal/regional level might be one aspect how local governments are socially and spatially excluded from the national economy and gover</w:t>
      </w:r>
      <w:r w:rsidR="00D42C5A">
        <w:t>nance. In each of the countries</w:t>
      </w:r>
      <w:r w:rsidRPr="006C3BAA">
        <w:t xml:space="preserve"> where tax systems or revenues of the government sector are somewhat decentralised it is a good measurement of the territorial dimension of social exclusion on the national scale. </w:t>
      </w:r>
    </w:p>
    <w:p w:rsidR="00B878F5" w:rsidRPr="006C3BAA" w:rsidRDefault="00B878F5" w:rsidP="00B878F5">
      <w:r w:rsidRPr="006C3BAA">
        <w:rPr>
          <w:b/>
          <w:bCs/>
        </w:rPr>
        <w:t xml:space="preserve">Data availability: </w:t>
      </w:r>
      <w:proofErr w:type="spellStart"/>
      <w:r w:rsidRPr="006C3BAA">
        <w:t>Eurostat</w:t>
      </w:r>
      <w:proofErr w:type="spellEnd"/>
      <w:r w:rsidRPr="006C3BAA">
        <w:t xml:space="preserve"> does not cover this aspect on regional level.</w:t>
      </w:r>
    </w:p>
    <w:p w:rsidR="00B878F5" w:rsidRPr="006C3BAA" w:rsidRDefault="00B878F5" w:rsidP="00B878F5">
      <w:pPr>
        <w:rPr>
          <w:b/>
          <w:bCs/>
        </w:rPr>
      </w:pPr>
      <w:r w:rsidRPr="006C3BAA">
        <w:rPr>
          <w:b/>
          <w:bCs/>
        </w:rPr>
        <w:t xml:space="preserve">Census 2001 coverage: </w:t>
      </w:r>
      <w:r w:rsidR="005100F1">
        <w:t>N</w:t>
      </w:r>
      <w:r w:rsidRPr="006C3BAA">
        <w:t>ot applicable.</w:t>
      </w:r>
    </w:p>
    <w:p w:rsidR="00B878F5" w:rsidRPr="006C3BAA" w:rsidRDefault="00B878F5" w:rsidP="00B878F5">
      <w:r w:rsidRPr="006C3BAA">
        <w:rPr>
          <w:b/>
          <w:bCs/>
        </w:rPr>
        <w:t xml:space="preserve">Census 2011 coverage: </w:t>
      </w:r>
      <w:r w:rsidR="005100F1">
        <w:t>N</w:t>
      </w:r>
      <w:r w:rsidRPr="006C3BAA">
        <w:t>ot applicable.</w:t>
      </w:r>
    </w:p>
    <w:p w:rsidR="00B878F5" w:rsidRPr="006C3BAA" w:rsidRDefault="00B878F5" w:rsidP="00B878F5">
      <w:r w:rsidRPr="006C3BAA">
        <w:rPr>
          <w:b/>
          <w:bCs/>
        </w:rPr>
        <w:t xml:space="preserve">Comments: </w:t>
      </w:r>
      <w:r w:rsidRPr="006C3BAA">
        <w:t>Although statistics on government revenues and expenditures are comparable throughout Europe because of the standardised ESA95 system of national accounts (</w:t>
      </w:r>
      <w:hyperlink r:id="rId20" w:history="1">
        <w:r w:rsidRPr="006C3BAA">
          <w:rPr>
            <w:rStyle w:val="Hiperhivatkozs"/>
          </w:rPr>
          <w:t>http://epp.eurostat.ec.europa.eu/cache/ITY_SDDS/en/gov_a_tax_ag_esms.htm</w:t>
        </w:r>
      </w:hyperlink>
      <w:r w:rsidRPr="006C3BAA">
        <w:t xml:space="preserve">), the tax systems in European countries are so different that a meaningful comparison along this aspect is not possible. Different economic advantages and endowments of local governments to capture this </w:t>
      </w:r>
      <w:r w:rsidR="005100F1">
        <w:t xml:space="preserve">dimension </w:t>
      </w:r>
      <w:r w:rsidRPr="006C3BAA">
        <w:t xml:space="preserve">of social exclusion are more or less reflected in the ‘Earning a living’ domain of social exclusion in ESPON </w:t>
      </w:r>
      <w:proofErr w:type="spellStart"/>
      <w:r w:rsidRPr="006C3BAA">
        <w:t>TiPSE</w:t>
      </w:r>
      <w:proofErr w:type="spellEnd"/>
      <w:r w:rsidRPr="006C3BAA">
        <w:t xml:space="preserve"> (by combining income- and employment-related statistics). Therefore, </w:t>
      </w:r>
      <w:r w:rsidR="00D42C5A">
        <w:t xml:space="preserve">project partners opted for </w:t>
      </w:r>
      <w:r w:rsidRPr="006C3BAA">
        <w:t xml:space="preserve">dropping this variable </w:t>
      </w:r>
      <w:r w:rsidR="00D42C5A">
        <w:t>from the list</w:t>
      </w:r>
      <w:r w:rsidRPr="006C3BAA">
        <w:t>.</w:t>
      </w:r>
    </w:p>
    <w:p w:rsidR="00B878F5" w:rsidRPr="006C3BAA" w:rsidRDefault="00B878F5" w:rsidP="00B878F5">
      <w:pPr>
        <w:rPr>
          <w:b/>
          <w:bCs/>
        </w:rPr>
      </w:pPr>
    </w:p>
    <w:p w:rsidR="00B878F5" w:rsidRPr="006C3BAA" w:rsidRDefault="00B878F5" w:rsidP="00B878F5">
      <w:pPr>
        <w:pStyle w:val="Cmsor3"/>
      </w:pPr>
      <w:r w:rsidRPr="006C3BAA">
        <w:t>Social transfers</w:t>
      </w:r>
    </w:p>
    <w:p w:rsidR="00B878F5" w:rsidRPr="006C3BAA" w:rsidRDefault="00B878F5" w:rsidP="00B878F5">
      <w:r w:rsidRPr="006C3BAA">
        <w:rPr>
          <w:b/>
          <w:bCs/>
        </w:rPr>
        <w:t xml:space="preserve">Short description: </w:t>
      </w:r>
      <w:r w:rsidRPr="006C3BAA">
        <w:t>Statistical data on social assistance is one of the key dimensions and indicators of poverty and social exclusion. Following that, including it in</w:t>
      </w:r>
      <w:r w:rsidR="005100F1">
        <w:t>to social exclusion dimensions wa</w:t>
      </w:r>
      <w:r w:rsidRPr="006C3BAA">
        <w:t xml:space="preserve">s </w:t>
      </w:r>
      <w:r w:rsidR="005100F1">
        <w:t>thought to be important</w:t>
      </w:r>
      <w:r w:rsidRPr="006C3BAA">
        <w:t xml:space="preserve">. </w:t>
      </w:r>
    </w:p>
    <w:p w:rsidR="00B878F5" w:rsidRPr="006C3BAA" w:rsidRDefault="00B878F5" w:rsidP="00B878F5">
      <w:r w:rsidRPr="006C3BAA">
        <w:rPr>
          <w:b/>
          <w:bCs/>
        </w:rPr>
        <w:t xml:space="preserve">Data availability: </w:t>
      </w:r>
      <w:proofErr w:type="spellStart"/>
      <w:r w:rsidRPr="006C3BAA">
        <w:t>Eurostat</w:t>
      </w:r>
      <w:proofErr w:type="spellEnd"/>
      <w:r w:rsidRPr="006C3BAA">
        <w:t xml:space="preserve"> data on social assistance is available within the nama_r_ehh2s dataset, but</w:t>
      </w:r>
      <w:r w:rsidR="000B30E7">
        <w:t xml:space="preserve"> only for NUTS 2 regions (cf. </w:t>
      </w:r>
      <w:r w:rsidR="00876C76">
        <w:t>Task 2.3</w:t>
      </w:r>
      <w:r w:rsidRPr="006C3BAA">
        <w:t xml:space="preserve"> on </w:t>
      </w:r>
      <w:proofErr w:type="spellStart"/>
      <w:r w:rsidRPr="006C3BAA">
        <w:t>TiPSE</w:t>
      </w:r>
      <w:proofErr w:type="spellEnd"/>
      <w:r w:rsidRPr="006C3BAA">
        <w:t xml:space="preserve"> </w:t>
      </w:r>
      <w:r w:rsidR="000B30E7">
        <w:t>database</w:t>
      </w:r>
      <w:r w:rsidRPr="006C3BAA">
        <w:t>). Regional economic accounts (</w:t>
      </w:r>
      <w:proofErr w:type="spellStart"/>
      <w:r w:rsidRPr="006C3BAA">
        <w:t>reg_ecobrch</w:t>
      </w:r>
      <w:proofErr w:type="spellEnd"/>
      <w:r w:rsidRPr="006C3BAA">
        <w:t>) cover some data on NUTS 3 level, but not social transfer-related statistics. Most recent statistics are from year 2009. The same applies for measuring households’ income (see above).</w:t>
      </w:r>
    </w:p>
    <w:p w:rsidR="00B878F5" w:rsidRPr="006C3BAA" w:rsidRDefault="00B878F5" w:rsidP="00B878F5">
      <w:r w:rsidRPr="006C3BAA">
        <w:rPr>
          <w:b/>
          <w:bCs/>
        </w:rPr>
        <w:t xml:space="preserve">Census 2001 coverage: </w:t>
      </w:r>
      <w:r w:rsidR="005100F1">
        <w:t>N</w:t>
      </w:r>
      <w:r w:rsidRPr="006C3BAA">
        <w:t>ot applicable.</w:t>
      </w:r>
    </w:p>
    <w:p w:rsidR="00B878F5" w:rsidRPr="006C3BAA" w:rsidRDefault="00B878F5" w:rsidP="00B878F5">
      <w:r w:rsidRPr="006C3BAA">
        <w:rPr>
          <w:b/>
          <w:bCs/>
        </w:rPr>
        <w:t xml:space="preserve">Census 2011 coverage: </w:t>
      </w:r>
      <w:r w:rsidR="005100F1">
        <w:t>N</w:t>
      </w:r>
      <w:r w:rsidRPr="006C3BAA">
        <w:t>ot applicable.</w:t>
      </w:r>
    </w:p>
    <w:p w:rsidR="00B878F5" w:rsidRPr="006C3BAA" w:rsidRDefault="00B878F5" w:rsidP="00B878F5">
      <w:r w:rsidRPr="006C3BAA">
        <w:rPr>
          <w:b/>
          <w:bCs/>
          <w:color w:val="000000"/>
        </w:rPr>
        <w:t xml:space="preserve">Comments: </w:t>
      </w:r>
      <w:r w:rsidRPr="006C3BAA">
        <w:t>The or</w:t>
      </w:r>
      <w:r w:rsidR="000B30E7">
        <w:t xml:space="preserve">iginal indicator (proposed by Task </w:t>
      </w:r>
      <w:r w:rsidRPr="006C3BAA">
        <w:t xml:space="preserve">2.1 of </w:t>
      </w:r>
      <w:proofErr w:type="spellStart"/>
      <w:r w:rsidRPr="006C3BAA">
        <w:t>TiPSE</w:t>
      </w:r>
      <w:proofErr w:type="spellEnd"/>
      <w:r w:rsidRPr="006C3BAA">
        <w:t xml:space="preserve">) for covering this aspect of social exclusion was ‘municipal spending on social assistance’. This </w:t>
      </w:r>
      <w:r w:rsidRPr="006C3BAA">
        <w:lastRenderedPageBreak/>
        <w:t xml:space="preserve">measurement is most possibly not comparable throughout Europe, as there are different divisions of labour between municipalities and the nation state in different countries in the sense how they provide social assistance to persons and households. </w:t>
      </w:r>
      <w:r w:rsidR="00D42C5A">
        <w:t>A</w:t>
      </w:r>
      <w:r w:rsidRPr="006C3BAA">
        <w:t xml:space="preserve">s </w:t>
      </w:r>
      <w:r w:rsidR="00876C76">
        <w:t>Task 2.3</w:t>
      </w:r>
      <w:r w:rsidR="00D42C5A">
        <w:t xml:space="preserve"> observed,</w:t>
      </w:r>
      <w:r w:rsidRPr="006C3BAA">
        <w:t xml:space="preserve"> disposable income and social transfers may be substitutes for each other</w:t>
      </w:r>
      <w:r w:rsidR="00D42C5A">
        <w:t>, so we left out this variable from our catalogue of indicators</w:t>
      </w:r>
      <w:r w:rsidRPr="006C3BAA">
        <w:t>.</w:t>
      </w:r>
    </w:p>
    <w:p w:rsidR="00B878F5" w:rsidRDefault="00B878F5" w:rsidP="00B878F5"/>
    <w:p w:rsidR="00D42C5A" w:rsidRDefault="00D42C5A" w:rsidP="00D42C5A">
      <w:pPr>
        <w:pStyle w:val="Cmsor3"/>
      </w:pPr>
      <w:r>
        <w:t>Household structure</w:t>
      </w:r>
    </w:p>
    <w:p w:rsidR="00D42C5A" w:rsidRDefault="00D42C5A" w:rsidP="00B878F5">
      <w:r w:rsidRPr="00D42C5A">
        <w:rPr>
          <w:b/>
        </w:rPr>
        <w:t>Short description:</w:t>
      </w:r>
      <w:r w:rsidR="000B30E7">
        <w:t xml:space="preserve"> Task 2.</w:t>
      </w:r>
      <w:r>
        <w:t xml:space="preserve">1 envisaged many indicators for capturing the domain </w:t>
      </w:r>
      <w:r w:rsidR="00CA2358">
        <w:t>‘S</w:t>
      </w:r>
      <w:r>
        <w:t>ocial environment</w:t>
      </w:r>
      <w:r w:rsidR="00CA2358">
        <w:t>’</w:t>
      </w:r>
      <w:r w:rsidR="007619FA">
        <w:t xml:space="preserve">, most of which could not be </w:t>
      </w:r>
      <w:proofErr w:type="spellStart"/>
      <w:r w:rsidR="007619FA">
        <w:t>operationalized</w:t>
      </w:r>
      <w:proofErr w:type="spellEnd"/>
      <w:r w:rsidR="007619FA">
        <w:t xml:space="preserve"> during the data collection phase. As a substitute dimension for this domain the household structure was proposed. </w:t>
      </w:r>
    </w:p>
    <w:p w:rsidR="007619FA" w:rsidRDefault="007619FA" w:rsidP="00B878F5">
      <w:r w:rsidRPr="007619FA">
        <w:rPr>
          <w:b/>
        </w:rPr>
        <w:t>Data availability:</w:t>
      </w:r>
      <w:r>
        <w:t xml:space="preserve"> Household structure is also an indicator which could indicate vulnerability to social exclusion. Data is ava</w:t>
      </w:r>
      <w:r w:rsidR="005100F1">
        <w:t>ilable from the censuses and is</w:t>
      </w:r>
      <w:r>
        <w:t xml:space="preserve"> reliable throughout Europe. The four indicators</w:t>
      </w:r>
      <w:r w:rsidR="00521C0B">
        <w:t xml:space="preserve"> chosen for 2001</w:t>
      </w:r>
      <w:r>
        <w:t xml:space="preserve"> represent four sub-groups more vulnerable to social exclusion: Ratio of lone parent households, Ratio of lone parents, Average household size and Ratio of households with 6 or more persons are useful as proxy variables.</w:t>
      </w:r>
      <w:r w:rsidR="00521C0B">
        <w:t xml:space="preserve"> From the 2011 census round </w:t>
      </w:r>
      <w:r w:rsidR="0060728E">
        <w:t xml:space="preserve">only </w:t>
      </w:r>
      <w:r w:rsidR="00521C0B">
        <w:t xml:space="preserve">two indicators were included in the </w:t>
      </w:r>
      <w:proofErr w:type="spellStart"/>
      <w:r w:rsidR="00521C0B">
        <w:t>TiPSE</w:t>
      </w:r>
      <w:proofErr w:type="spellEnd"/>
      <w:r w:rsidR="00521C0B">
        <w:t xml:space="preserve"> project</w:t>
      </w:r>
      <w:r w:rsidR="0060728E">
        <w:t xml:space="preserve"> due to the overlapping content</w:t>
      </w:r>
      <w:r w:rsidR="00521C0B">
        <w:t>: ratio of lone parent households and ratio of overcrowded households (households with 6 or more persons).</w:t>
      </w:r>
    </w:p>
    <w:p w:rsidR="007619FA" w:rsidRDefault="007619FA" w:rsidP="00B878F5">
      <w:r w:rsidRPr="007619FA">
        <w:rPr>
          <w:b/>
        </w:rPr>
        <w:t>Census 2001 coverage:</w:t>
      </w:r>
      <w:r>
        <w:t xml:space="preserve"> Missing cases for the variables are between 470 and 630 regions, most of which are the 429 German regions at NUTS 3 level, and Turkey with 81 (data from Turkey is solely available for the average household size).</w:t>
      </w:r>
    </w:p>
    <w:p w:rsidR="007619FA" w:rsidRDefault="007619FA" w:rsidP="00B878F5">
      <w:r w:rsidRPr="007619FA">
        <w:rPr>
          <w:b/>
        </w:rPr>
        <w:t xml:space="preserve">Census 2011 coverage: </w:t>
      </w:r>
      <w:r w:rsidR="00521C0B" w:rsidRPr="00521C0B">
        <w:t>For</w:t>
      </w:r>
      <w:r w:rsidR="00521C0B">
        <w:t xml:space="preserve"> both indicators the coverage is very good across the ESPON space (Turkey being the major country for which data could not be accessed). </w:t>
      </w:r>
    </w:p>
    <w:p w:rsidR="00521C0B" w:rsidRPr="00521C0B" w:rsidRDefault="00521C0B" w:rsidP="00B878F5">
      <w:r w:rsidRPr="00521C0B">
        <w:rPr>
          <w:b/>
        </w:rPr>
        <w:t xml:space="preserve">Comments: </w:t>
      </w:r>
      <w:r>
        <w:t>Ratio of overcrowded households was used in the composite index of vulnerability to social exclusion.</w:t>
      </w:r>
    </w:p>
    <w:p w:rsidR="00D42C5A" w:rsidRPr="006C3BAA" w:rsidRDefault="00D42C5A" w:rsidP="00B878F5"/>
    <w:p w:rsidR="00B878F5" w:rsidRPr="006C3BAA" w:rsidRDefault="00B878F5" w:rsidP="00B878F5">
      <w:pPr>
        <w:pStyle w:val="Cmsor2"/>
      </w:pPr>
      <w:bookmarkStart w:id="22" w:name="_Toc401264634"/>
      <w:r w:rsidRPr="006C3BAA">
        <w:t>Political participation</w:t>
      </w:r>
      <w:bookmarkEnd w:id="22"/>
    </w:p>
    <w:p w:rsidR="00B878F5" w:rsidRPr="006C3BAA" w:rsidRDefault="00B878F5" w:rsidP="00B878F5">
      <w:pPr>
        <w:pStyle w:val="Cmsor3"/>
      </w:pPr>
      <w:r w:rsidRPr="006C3BAA">
        <w:t>Citizenship</w:t>
      </w:r>
    </w:p>
    <w:p w:rsidR="00B878F5" w:rsidRPr="006C3BAA" w:rsidRDefault="00B878F5" w:rsidP="00B878F5">
      <w:r w:rsidRPr="006C3BAA">
        <w:rPr>
          <w:b/>
          <w:bCs/>
        </w:rPr>
        <w:t xml:space="preserve">Short description: </w:t>
      </w:r>
      <w:r w:rsidRPr="006C3BAA">
        <w:t xml:space="preserve">Foreign citizens are representing one social group which may be vulnerable to social exclusion in some European countries. </w:t>
      </w:r>
      <w:r w:rsidR="005100F1">
        <w:t>As</w:t>
      </w:r>
      <w:r w:rsidRPr="006C3BAA">
        <w:t xml:space="preserve"> the issue is not affecting each ESPON countries and regions evenly, measuring foreign citizens’ share in the regions may inform </w:t>
      </w:r>
      <w:proofErr w:type="spellStart"/>
      <w:r w:rsidRPr="006C3BAA">
        <w:t>TiPSE</w:t>
      </w:r>
      <w:proofErr w:type="spellEnd"/>
      <w:r w:rsidRPr="006C3BAA">
        <w:t xml:space="preserve"> on one</w:t>
      </w:r>
      <w:r w:rsidR="005100F1">
        <w:t xml:space="preserve"> important</w:t>
      </w:r>
      <w:r w:rsidRPr="006C3BAA">
        <w:t xml:space="preserve"> aspect of social exclusion.</w:t>
      </w:r>
    </w:p>
    <w:p w:rsidR="00B878F5" w:rsidRPr="006C3BAA" w:rsidRDefault="00B878F5" w:rsidP="00B878F5">
      <w:r w:rsidRPr="006C3BAA">
        <w:rPr>
          <w:b/>
          <w:bCs/>
        </w:rPr>
        <w:t xml:space="preserve">Data availability: </w:t>
      </w:r>
      <w:r w:rsidRPr="006C3BAA">
        <w:t>Census data is the most extensive source to be used for capturing this indicator.</w:t>
      </w:r>
    </w:p>
    <w:p w:rsidR="00B878F5" w:rsidRPr="006C3BAA" w:rsidRDefault="00B878F5" w:rsidP="00B878F5">
      <w:r w:rsidRPr="006C3BAA">
        <w:rPr>
          <w:b/>
          <w:bCs/>
        </w:rPr>
        <w:lastRenderedPageBreak/>
        <w:t xml:space="preserve">Census 2001 coverage: </w:t>
      </w:r>
      <w:proofErr w:type="spellStart"/>
      <w:r w:rsidRPr="006C3BAA">
        <w:t>Eurostat</w:t>
      </w:r>
      <w:proofErr w:type="spellEnd"/>
      <w:r w:rsidRPr="006C3BAA">
        <w:t xml:space="preserve"> data on citizenship is available for the 2001 census round, </w:t>
      </w:r>
      <w:r w:rsidR="007619FA">
        <w:t>for other countries national data sources were consulted</w:t>
      </w:r>
      <w:r w:rsidRPr="006C3BAA">
        <w:t>.</w:t>
      </w:r>
      <w:r w:rsidR="007619FA">
        <w:t xml:space="preserve"> There are only 151 missing cases from the ESPON space which means a good coverage.</w:t>
      </w:r>
    </w:p>
    <w:p w:rsidR="00B878F5" w:rsidRPr="006C3BAA" w:rsidRDefault="00B878F5" w:rsidP="00B878F5">
      <w:r w:rsidRPr="006C3BAA">
        <w:rPr>
          <w:b/>
          <w:bCs/>
        </w:rPr>
        <w:t xml:space="preserve">Census 2011 coverage: </w:t>
      </w:r>
      <w:r w:rsidRPr="006C3BAA">
        <w:t>Regulation 763/2008 lists country of citizenship as made available on NUTS 3 and LAU 2 levels for the 2011 census round (Regulation Annex, 1.1.1.). NUTS 3 level data on country of citizenship outside the reporting country can be extracted from Hypercube 46 (Commission Regulation 1201/2009).</w:t>
      </w:r>
      <w:r w:rsidR="00521C0B">
        <w:t xml:space="preserve"> Despite this, there were missing data in the </w:t>
      </w:r>
      <w:proofErr w:type="spellStart"/>
      <w:r w:rsidR="00521C0B">
        <w:t>Eurostat</w:t>
      </w:r>
      <w:proofErr w:type="spellEnd"/>
      <w:r w:rsidR="00521C0B">
        <w:t xml:space="preserve"> Census Hub. National sources (both census and register data) were used to ensure a better coverage across the ESPON space.</w:t>
      </w:r>
    </w:p>
    <w:p w:rsidR="00E72E4B" w:rsidRPr="00DC3955" w:rsidRDefault="00B878F5" w:rsidP="00B878F5">
      <w:pPr>
        <w:rPr>
          <w:bCs/>
        </w:rPr>
      </w:pPr>
      <w:r w:rsidRPr="006C3BAA">
        <w:rPr>
          <w:b/>
          <w:bCs/>
        </w:rPr>
        <w:t>Comments:</w:t>
      </w:r>
      <w:r w:rsidR="00DC3955">
        <w:rPr>
          <w:bCs/>
        </w:rPr>
        <w:t xml:space="preserve"> Spatial patterns of foreign citizens in other countries and foreign-born population often overlap. The two indicators may have a quite strong relationship, but they reflect to different aspects of social exclusion. Foreign-born inhabitants can be citizens of a given country</w:t>
      </w:r>
      <w:r w:rsidR="00CC1A02">
        <w:rPr>
          <w:bCs/>
        </w:rPr>
        <w:t>. In this context, this measure is a proxy</w:t>
      </w:r>
      <w:r w:rsidR="00DC3955">
        <w:rPr>
          <w:bCs/>
        </w:rPr>
        <w:t xml:space="preserve"> </w:t>
      </w:r>
      <w:r w:rsidR="00CC1A02">
        <w:rPr>
          <w:bCs/>
        </w:rPr>
        <w:t xml:space="preserve">of </w:t>
      </w:r>
      <w:r w:rsidR="00DC3955">
        <w:rPr>
          <w:bCs/>
        </w:rPr>
        <w:t xml:space="preserve">immigrant minorities, who often have </w:t>
      </w:r>
      <w:r w:rsidR="00CC1A02">
        <w:rPr>
          <w:bCs/>
        </w:rPr>
        <w:t xml:space="preserve">to face different risks of exclusion due to their disadvantages coming from for example their labour market status or educational attainment, </w:t>
      </w:r>
      <w:r w:rsidR="00DC3955">
        <w:rPr>
          <w:bCs/>
        </w:rPr>
        <w:t>particularly if they come from different social environment</w:t>
      </w:r>
      <w:r w:rsidR="00CC1A02">
        <w:rPr>
          <w:bCs/>
        </w:rPr>
        <w:t xml:space="preserve"> than the rest of the population</w:t>
      </w:r>
      <w:r w:rsidR="00DC3955">
        <w:rPr>
          <w:bCs/>
        </w:rPr>
        <w:t xml:space="preserve">. </w:t>
      </w:r>
      <w:r w:rsidR="00D47080">
        <w:rPr>
          <w:bCs/>
        </w:rPr>
        <w:t>Nevertheless</w:t>
      </w:r>
      <w:r w:rsidR="00CC1A02">
        <w:rPr>
          <w:bCs/>
        </w:rPr>
        <w:t>, not being a citizen of a given country implies other types of disadvantages</w:t>
      </w:r>
      <w:r w:rsidR="00D47080">
        <w:rPr>
          <w:bCs/>
        </w:rPr>
        <w:t xml:space="preserve"> too. These people can directly be excluded from political participation, for example they do not have the right to vote. Non-citizens also have restricted access to different institutions and services: for instance in several countries </w:t>
      </w:r>
      <w:r w:rsidR="00D47080" w:rsidRPr="00D47080">
        <w:rPr>
          <w:bCs/>
        </w:rPr>
        <w:t>they may be in danger of losing their residence permits or cannot make use of services if they become unemployed</w:t>
      </w:r>
      <w:r w:rsidR="00D47080">
        <w:rPr>
          <w:bCs/>
        </w:rPr>
        <w:t>.</w:t>
      </w:r>
    </w:p>
    <w:p w:rsidR="00B878F5" w:rsidRPr="006C3BAA" w:rsidRDefault="00521C0B" w:rsidP="00B878F5">
      <w:r>
        <w:t xml:space="preserve">Ratio of population not citizens of the country was </w:t>
      </w:r>
      <w:r w:rsidR="00DC3955">
        <w:t>considered to use</w:t>
      </w:r>
      <w:r>
        <w:t xml:space="preserve"> in the composite index.</w:t>
      </w:r>
    </w:p>
    <w:p w:rsidR="00B878F5" w:rsidRPr="006C3BAA" w:rsidRDefault="00B878F5" w:rsidP="00B878F5">
      <w:pPr>
        <w:rPr>
          <w:b/>
          <w:bCs/>
        </w:rPr>
      </w:pPr>
    </w:p>
    <w:p w:rsidR="00B878F5" w:rsidRPr="006C3BAA" w:rsidRDefault="00B878F5" w:rsidP="00B878F5">
      <w:pPr>
        <w:pStyle w:val="Cmsor3"/>
      </w:pPr>
      <w:r w:rsidRPr="006C3BAA">
        <w:t>Voters</w:t>
      </w:r>
    </w:p>
    <w:p w:rsidR="00B878F5" w:rsidRPr="006C3BAA" w:rsidRDefault="00B878F5" w:rsidP="00B878F5">
      <w:pPr>
        <w:rPr>
          <w:b/>
          <w:bCs/>
        </w:rPr>
      </w:pPr>
      <w:r w:rsidRPr="006C3BAA">
        <w:rPr>
          <w:b/>
          <w:bCs/>
        </w:rPr>
        <w:t xml:space="preserve">Short description: </w:t>
      </w:r>
      <w:r w:rsidRPr="006C3BAA">
        <w:t xml:space="preserve">Voting is one of the most important political rights in today’s European democracies. In ESPON </w:t>
      </w:r>
      <w:proofErr w:type="spellStart"/>
      <w:r w:rsidRPr="006C3BAA">
        <w:t>TiPSE</w:t>
      </w:r>
      <w:proofErr w:type="spellEnd"/>
      <w:r w:rsidRPr="006C3BAA">
        <w:t xml:space="preserve"> it is implied that lack of political participation makes people more vulnerable to social exclusion. To measure political participation several indicators may be used, one of which is the voter turnout in national or EU-wide elections.</w:t>
      </w:r>
    </w:p>
    <w:p w:rsidR="00B878F5" w:rsidRPr="006C3BAA" w:rsidRDefault="00B878F5" w:rsidP="00B878F5">
      <w:r w:rsidRPr="006C3BAA">
        <w:rPr>
          <w:b/>
          <w:bCs/>
        </w:rPr>
        <w:t xml:space="preserve">Data availability: </w:t>
      </w:r>
      <w:r w:rsidRPr="006C3BAA">
        <w:t xml:space="preserve">Voter turnout in EU and parliamentary elections is listed among </w:t>
      </w:r>
      <w:proofErr w:type="spellStart"/>
      <w:r w:rsidRPr="006C3BAA">
        <w:t>Eurostat’s</w:t>
      </w:r>
      <w:proofErr w:type="spellEnd"/>
      <w:r w:rsidRPr="006C3BAA">
        <w:t xml:space="preserve"> indicators on the national level (tsdgo310). Metadata, however, reminds users that in Belgium, Luxembourg and Greece, voting is compulsory, and it is a civic obligation (with no penalty) in Italy. As a result, statistics are on the one hand not comparable across European countries (another limitation of the comparability is that the population with the right to vote may be slightly different in each of the countries). On the ot</w:t>
      </w:r>
      <w:r w:rsidR="005100F1">
        <w:t xml:space="preserve">her hand, one may interpret </w:t>
      </w:r>
      <w:r w:rsidRPr="006C3BAA">
        <w:t xml:space="preserve">compulsory voting as the nation state’s effort to minimise this dimension of social exclusion through obligatory political participation. </w:t>
      </w:r>
    </w:p>
    <w:p w:rsidR="00B878F5" w:rsidRPr="006C3BAA" w:rsidRDefault="00B878F5" w:rsidP="00B878F5">
      <w:pPr>
        <w:rPr>
          <w:b/>
          <w:bCs/>
        </w:rPr>
      </w:pPr>
      <w:r w:rsidRPr="006C3BAA">
        <w:rPr>
          <w:b/>
          <w:bCs/>
        </w:rPr>
        <w:t xml:space="preserve">Census 2001 coverage: </w:t>
      </w:r>
      <w:r w:rsidR="005100F1">
        <w:t>N</w:t>
      </w:r>
      <w:r w:rsidRPr="006C3BAA">
        <w:t>ot applicable.</w:t>
      </w:r>
    </w:p>
    <w:p w:rsidR="00B878F5" w:rsidRPr="006C3BAA" w:rsidRDefault="00B878F5" w:rsidP="00B878F5">
      <w:r w:rsidRPr="006C3BAA">
        <w:rPr>
          <w:b/>
          <w:bCs/>
        </w:rPr>
        <w:lastRenderedPageBreak/>
        <w:t xml:space="preserve">Census 2011 coverage: </w:t>
      </w:r>
      <w:r w:rsidR="005100F1">
        <w:t>N</w:t>
      </w:r>
      <w:r w:rsidRPr="006C3BAA">
        <w:t>ot applicable.</w:t>
      </w:r>
    </w:p>
    <w:p w:rsidR="00B878F5" w:rsidRPr="006C3BAA" w:rsidRDefault="00B878F5" w:rsidP="00B878F5">
      <w:r w:rsidRPr="006C3BAA">
        <w:rPr>
          <w:b/>
          <w:bCs/>
        </w:rPr>
        <w:t xml:space="preserve">Comments: </w:t>
      </w:r>
      <w:r w:rsidRPr="006C3BAA">
        <w:t xml:space="preserve">As data is not comparable across Europe, the </w:t>
      </w:r>
      <w:r w:rsidR="007619FA">
        <w:t xml:space="preserve">dimension </w:t>
      </w:r>
      <w:r w:rsidRPr="006C3BAA">
        <w:t xml:space="preserve">of </w:t>
      </w:r>
      <w:r w:rsidR="007619FA">
        <w:t>Voters was dropped</w:t>
      </w:r>
      <w:r w:rsidRPr="006C3BAA">
        <w:t>.</w:t>
      </w:r>
    </w:p>
    <w:p w:rsidR="00B878F5" w:rsidRPr="006C3BAA" w:rsidRDefault="00B878F5" w:rsidP="00B878F5">
      <w:pPr>
        <w:rPr>
          <w:b/>
          <w:bCs/>
        </w:rPr>
      </w:pPr>
    </w:p>
    <w:p w:rsidR="00B878F5" w:rsidRPr="006C3BAA" w:rsidRDefault="00B878F5" w:rsidP="00B878F5">
      <w:pPr>
        <w:pStyle w:val="Cmsor3"/>
      </w:pPr>
      <w:r w:rsidRPr="006C3BAA">
        <w:t>Civic engagement</w:t>
      </w:r>
    </w:p>
    <w:p w:rsidR="00B878F5" w:rsidRPr="006C3BAA" w:rsidRDefault="00B878F5" w:rsidP="00B878F5">
      <w:r w:rsidRPr="006C3BAA">
        <w:rPr>
          <w:b/>
          <w:bCs/>
        </w:rPr>
        <w:t xml:space="preserve">Short description: </w:t>
      </w:r>
      <w:r w:rsidRPr="006C3BAA">
        <w:t>Civic engagement is one of the means by which people and groups of people become more included in th</w:t>
      </w:r>
      <w:r w:rsidR="007619FA">
        <w:t>e society. Following that, it would have been</w:t>
      </w:r>
      <w:r w:rsidRPr="006C3BAA">
        <w:t xml:space="preserve"> a</w:t>
      </w:r>
      <w:r w:rsidR="007619FA">
        <w:t>n</w:t>
      </w:r>
      <w:r w:rsidRPr="006C3BAA">
        <w:t xml:space="preserve"> important aspect in conceptualising social exclusion for our project. </w:t>
      </w:r>
    </w:p>
    <w:p w:rsidR="00B878F5" w:rsidRPr="006C3BAA" w:rsidRDefault="00B878F5" w:rsidP="00B878F5">
      <w:r w:rsidRPr="006C3BAA">
        <w:rPr>
          <w:b/>
          <w:bCs/>
        </w:rPr>
        <w:t xml:space="preserve">Data availability: </w:t>
      </w:r>
      <w:r w:rsidR="007619FA" w:rsidRPr="007619FA">
        <w:rPr>
          <w:bCs/>
        </w:rPr>
        <w:t>C</w:t>
      </w:r>
      <w:r w:rsidRPr="006C3BAA">
        <w:t xml:space="preserve">ross-comparable </w:t>
      </w:r>
      <w:proofErr w:type="spellStart"/>
      <w:r w:rsidRPr="006C3BAA">
        <w:t>Eurostat</w:t>
      </w:r>
      <w:proofErr w:type="spellEnd"/>
      <w:r w:rsidRPr="006C3BAA">
        <w:t xml:space="preserve"> data is not available on this aspect of political participation. Official non-standard sources (e.g. on number of NGOs per 1000 inhabitants) </w:t>
      </w:r>
      <w:r w:rsidR="007619FA">
        <w:t>could not be collated meaningfully for the ESPON space</w:t>
      </w:r>
      <w:r w:rsidRPr="006C3BAA">
        <w:t>.</w:t>
      </w:r>
    </w:p>
    <w:p w:rsidR="00B878F5" w:rsidRPr="006C3BAA" w:rsidRDefault="00B878F5" w:rsidP="00B878F5">
      <w:pPr>
        <w:rPr>
          <w:b/>
          <w:bCs/>
        </w:rPr>
      </w:pPr>
      <w:r w:rsidRPr="006C3BAA">
        <w:rPr>
          <w:b/>
          <w:bCs/>
        </w:rPr>
        <w:t xml:space="preserve">Census 2001 coverage: </w:t>
      </w:r>
      <w:r w:rsidR="005100F1">
        <w:t>N</w:t>
      </w:r>
      <w:r w:rsidRPr="006C3BAA">
        <w:t>ot applicable.</w:t>
      </w:r>
    </w:p>
    <w:p w:rsidR="00B878F5" w:rsidRPr="006C3BAA" w:rsidRDefault="00B878F5" w:rsidP="00B878F5">
      <w:pPr>
        <w:rPr>
          <w:b/>
          <w:bCs/>
        </w:rPr>
      </w:pPr>
      <w:r w:rsidRPr="006C3BAA">
        <w:rPr>
          <w:b/>
          <w:bCs/>
        </w:rPr>
        <w:t xml:space="preserve">Census 2011 coverage: </w:t>
      </w:r>
      <w:r w:rsidR="005100F1">
        <w:t>N</w:t>
      </w:r>
      <w:r w:rsidRPr="006C3BAA">
        <w:t>ot applicable.</w:t>
      </w:r>
    </w:p>
    <w:p w:rsidR="00B878F5" w:rsidRPr="006C3BAA" w:rsidRDefault="00B878F5" w:rsidP="00B878F5">
      <w:r w:rsidRPr="006C3BAA">
        <w:rPr>
          <w:b/>
          <w:bCs/>
        </w:rPr>
        <w:t>Comments:</w:t>
      </w:r>
      <w:r w:rsidRPr="006C3BAA">
        <w:t xml:space="preserve"> The implied indicators </w:t>
      </w:r>
      <w:r w:rsidR="00D434A2">
        <w:t xml:space="preserve">by </w:t>
      </w:r>
      <w:r w:rsidR="000B30E7">
        <w:t xml:space="preserve">Annex </w:t>
      </w:r>
      <w:r w:rsidR="00D434A2">
        <w:t xml:space="preserve">1 </w:t>
      </w:r>
      <w:r w:rsidRPr="006C3BAA">
        <w:t xml:space="preserve">have been the number of NGOs per 1000 inhabitants, as well as members of NGOs per 1000 inhabitants. Cross-European comparability of data </w:t>
      </w:r>
      <w:r w:rsidR="00D434A2">
        <w:t xml:space="preserve">(including issues like </w:t>
      </w:r>
      <w:r w:rsidR="00D434A2" w:rsidRPr="006C3BAA">
        <w:t>definitions of NGOs, relevance of NGOs in the legal structure of the countries, available statistical sources on the issue etc.</w:t>
      </w:r>
      <w:r w:rsidR="00D434A2">
        <w:t>) could not have been ensured</w:t>
      </w:r>
      <w:r w:rsidRPr="006C3BAA">
        <w:t xml:space="preserve">. </w:t>
      </w:r>
    </w:p>
    <w:p w:rsidR="00A007DC" w:rsidRPr="006C3BAA" w:rsidRDefault="00A007DC" w:rsidP="00A007DC"/>
    <w:p w:rsidR="00B878F5" w:rsidRPr="006C3BAA" w:rsidRDefault="00B878F5" w:rsidP="00B878F5">
      <w:pPr>
        <w:pStyle w:val="Cmsor1"/>
      </w:pPr>
      <w:bookmarkStart w:id="23" w:name="_Toc401264635"/>
      <w:r w:rsidRPr="006C3BAA">
        <w:t>Discussion and preliminary policy implications</w:t>
      </w:r>
      <w:bookmarkEnd w:id="23"/>
    </w:p>
    <w:p w:rsidR="00B878F5" w:rsidRPr="006C3BAA" w:rsidRDefault="00B878F5" w:rsidP="00B878F5">
      <w:pPr>
        <w:pStyle w:val="Cmsor2"/>
      </w:pPr>
      <w:bookmarkStart w:id="24" w:name="_Toc401264636"/>
      <w:r w:rsidRPr="006C3BAA">
        <w:t>Indicators list – possibilities, limitations and comparability issues</w:t>
      </w:r>
      <w:bookmarkEnd w:id="24"/>
    </w:p>
    <w:p w:rsidR="00B878F5" w:rsidRPr="006C3BAA" w:rsidRDefault="00B878F5" w:rsidP="00B878F5">
      <w:r w:rsidRPr="006C3BAA">
        <w:t xml:space="preserve">Mapping different dimensions of social exclusion is one of the main outputs of the ESPON </w:t>
      </w:r>
      <w:proofErr w:type="spellStart"/>
      <w:r w:rsidRPr="006C3BAA">
        <w:t>TiPSE</w:t>
      </w:r>
      <w:proofErr w:type="spellEnd"/>
      <w:r w:rsidRPr="006C3BAA">
        <w:t xml:space="preserve"> project. This </w:t>
      </w:r>
      <w:r w:rsidR="00D434A2">
        <w:t>methodological paper showed</w:t>
      </w:r>
      <w:r w:rsidRPr="006C3BAA">
        <w:t xml:space="preserve"> how the project used a deductive framework to delimit different domains, dimensions and indicators for the project</w:t>
      </w:r>
      <w:r w:rsidR="005100F1">
        <w:t>, and how the mapping exercise was undert</w:t>
      </w:r>
      <w:r w:rsidR="00107891">
        <w:t>aken</w:t>
      </w:r>
      <w:r w:rsidRPr="006C3BAA">
        <w:t>.</w:t>
      </w:r>
    </w:p>
    <w:p w:rsidR="00B878F5" w:rsidRPr="006C3BAA" w:rsidRDefault="00B878F5" w:rsidP="00464B49">
      <w:r w:rsidRPr="006C3BAA">
        <w:t xml:space="preserve">Multi-dimensionality of social exclusion will be elaborated on in other </w:t>
      </w:r>
      <w:r w:rsidR="003A20F8">
        <w:t>task</w:t>
      </w:r>
      <w:r w:rsidRPr="006C3BAA">
        <w:t>s using the deliverables from this work package</w:t>
      </w:r>
      <w:r w:rsidR="00D434A2">
        <w:t xml:space="preserve"> (such as the set of maps)</w:t>
      </w:r>
      <w:r w:rsidRPr="006C3BAA">
        <w:t xml:space="preserve">. At this stage of </w:t>
      </w:r>
      <w:proofErr w:type="spellStart"/>
      <w:r w:rsidRPr="006C3BAA">
        <w:t>TiPSE</w:t>
      </w:r>
      <w:proofErr w:type="spellEnd"/>
      <w:r w:rsidRPr="006C3BAA">
        <w:t>, the main conclusions on possibilities, limitations and comparability issues of the indicators are as follows.</w:t>
      </w:r>
    </w:p>
    <w:p w:rsidR="00B878F5" w:rsidRPr="006C3BAA" w:rsidRDefault="00B878F5" w:rsidP="00464B49">
      <w:pPr>
        <w:pStyle w:val="ESPONbulletlist"/>
        <w:spacing w:before="120"/>
        <w:ind w:left="714" w:hanging="357"/>
      </w:pPr>
      <w:proofErr w:type="spellStart"/>
      <w:r w:rsidRPr="006C3BAA">
        <w:t>Eurostat</w:t>
      </w:r>
      <w:proofErr w:type="spellEnd"/>
      <w:r w:rsidRPr="006C3BAA">
        <w:t xml:space="preserve"> covers some dimensions of social exclusion with comparable data. For some variables, there are certain limitations regarding which countries are covered and which not. Overcoming t</w:t>
      </w:r>
      <w:r w:rsidR="00521C0B">
        <w:t>hese data availability problems wa</w:t>
      </w:r>
      <w:r w:rsidRPr="006C3BAA">
        <w:t>s possible in the majority of the cases</w:t>
      </w:r>
      <w:r w:rsidR="00876C76">
        <w:t>.</w:t>
      </w:r>
    </w:p>
    <w:p w:rsidR="00B878F5" w:rsidRPr="006C3BAA" w:rsidRDefault="00B878F5" w:rsidP="00464B49">
      <w:pPr>
        <w:pStyle w:val="ESPONbulletlist"/>
      </w:pPr>
      <w:r w:rsidRPr="006C3BAA">
        <w:t xml:space="preserve">Census data is indispensable for some of the social exclusion dimensions, as they are collected only in the decennial censuses (or other data sources are not as reliable as censuses). Standard realms in this group are demographic </w:t>
      </w:r>
      <w:r w:rsidRPr="006C3BAA">
        <w:lastRenderedPageBreak/>
        <w:t xml:space="preserve">data (age, employment, country of birth), educational attainment, employment, housing and country of citizenship. </w:t>
      </w:r>
    </w:p>
    <w:p w:rsidR="00B878F5" w:rsidRDefault="00B878F5" w:rsidP="00464B49">
      <w:pPr>
        <w:pStyle w:val="ESPONbulletlist"/>
        <w:numPr>
          <w:ilvl w:val="1"/>
          <w:numId w:val="15"/>
        </w:numPr>
      </w:pPr>
      <w:r w:rsidRPr="006C3BAA">
        <w:t xml:space="preserve">Several variables </w:t>
      </w:r>
      <w:r w:rsidR="00521C0B">
        <w:t xml:space="preserve">are </w:t>
      </w:r>
      <w:r w:rsidRPr="006C3BAA">
        <w:t xml:space="preserve">available from the 2011 census round on NUTS 3 level (such as immigration, housing, country of citizenship). </w:t>
      </w:r>
      <w:r w:rsidR="00521C0B">
        <w:t xml:space="preserve">However, comparable </w:t>
      </w:r>
      <w:proofErr w:type="spellStart"/>
      <w:r w:rsidR="00521C0B">
        <w:t>Eurostat</w:t>
      </w:r>
      <w:proofErr w:type="spellEnd"/>
      <w:r w:rsidR="00521C0B">
        <w:t xml:space="preserve"> data was still not available as data collection for the </w:t>
      </w:r>
      <w:proofErr w:type="spellStart"/>
      <w:r w:rsidR="00521C0B">
        <w:t>TiPSE</w:t>
      </w:r>
      <w:proofErr w:type="spellEnd"/>
      <w:r w:rsidR="00521C0B">
        <w:t xml:space="preserve"> project ended</w:t>
      </w:r>
      <w:r w:rsidR="00924CED">
        <w:t xml:space="preserve"> (Census Hub was only accessible on an experimental basis with limited data content)</w:t>
      </w:r>
      <w:r w:rsidR="00521C0B">
        <w:t xml:space="preserve">. In the majority of the cases, national statistical offices already published NUTS 3 level data which were collected by </w:t>
      </w:r>
      <w:proofErr w:type="spellStart"/>
      <w:r w:rsidR="00521C0B">
        <w:t>TiPSE</w:t>
      </w:r>
      <w:proofErr w:type="spellEnd"/>
      <w:r w:rsidR="00521C0B">
        <w:t xml:space="preserve"> partners.</w:t>
      </w:r>
    </w:p>
    <w:p w:rsidR="00B878F5" w:rsidRDefault="00B878F5" w:rsidP="00464B49">
      <w:pPr>
        <w:pStyle w:val="ESPONbulletlist"/>
        <w:numPr>
          <w:ilvl w:val="1"/>
          <w:numId w:val="15"/>
        </w:numPr>
      </w:pPr>
      <w:r w:rsidRPr="006C3BAA">
        <w:t xml:space="preserve">Several variables </w:t>
      </w:r>
      <w:r w:rsidR="00521C0B">
        <w:t xml:space="preserve">are </w:t>
      </w:r>
      <w:r w:rsidRPr="006C3BAA">
        <w:t xml:space="preserve">not available from the 2011 census round on NUTS 3 level from </w:t>
      </w:r>
      <w:proofErr w:type="spellStart"/>
      <w:r w:rsidRPr="006C3BAA">
        <w:t>Eurostat</w:t>
      </w:r>
      <w:proofErr w:type="spellEnd"/>
      <w:r w:rsidRPr="006C3BAA">
        <w:t xml:space="preserve"> (such as the education and empl</w:t>
      </w:r>
      <w:r w:rsidR="00521C0B">
        <w:t>oyment dimensions). This resulted</w:t>
      </w:r>
      <w:r w:rsidRPr="006C3BAA">
        <w:t xml:space="preserve"> in a pro</w:t>
      </w:r>
      <w:r w:rsidR="007C2933">
        <w:t xml:space="preserve">blem for ESPON </w:t>
      </w:r>
      <w:proofErr w:type="spellStart"/>
      <w:r w:rsidR="007C2933">
        <w:t>TiPSE</w:t>
      </w:r>
      <w:proofErr w:type="spellEnd"/>
      <w:r w:rsidR="007C2933">
        <w:t>, as data might</w:t>
      </w:r>
      <w:r w:rsidRPr="006C3BAA">
        <w:t xml:space="preserve"> </w:t>
      </w:r>
      <w:r w:rsidR="00521C0B">
        <w:t xml:space="preserve">have </w:t>
      </w:r>
      <w:r w:rsidRPr="006C3BAA">
        <w:t>only be</w:t>
      </w:r>
      <w:r w:rsidR="00521C0B">
        <w:t>en</w:t>
      </w:r>
      <w:r w:rsidRPr="006C3BAA">
        <w:t xml:space="preserve"> collected from national statistical sources which have different policies of publishing te</w:t>
      </w:r>
      <w:r w:rsidR="00521C0B">
        <w:t>rritorial data on NUTS 3 level.</w:t>
      </w:r>
    </w:p>
    <w:p w:rsidR="00D434A2" w:rsidRPr="006C3BAA" w:rsidRDefault="00D434A2" w:rsidP="00464B49">
      <w:pPr>
        <w:pStyle w:val="ESPONbulletlist"/>
        <w:numPr>
          <w:ilvl w:val="1"/>
          <w:numId w:val="15"/>
        </w:numPr>
      </w:pPr>
      <w:r>
        <w:t xml:space="preserve">After the submission of the Interim Report, </w:t>
      </w:r>
      <w:proofErr w:type="spellStart"/>
      <w:r>
        <w:t>TiPSE</w:t>
      </w:r>
      <w:proofErr w:type="spellEnd"/>
      <w:r>
        <w:t xml:space="preserve"> partners decided to collect census data from 2001. This exercise was useful, because </w:t>
      </w:r>
      <w:r w:rsidR="00483A41" w:rsidRPr="00483A41">
        <w:t xml:space="preserve">– together with data from 2011 – </w:t>
      </w:r>
      <w:r>
        <w:t>for many aspects cross-European (or at least cross-macro-regional) comparisons were made possible. Collecting 2001 data is also indispensable for interpreting changes over time (between the two censuses)</w:t>
      </w:r>
      <w:r w:rsidR="007C2933">
        <w:t>, underlining the process-based understanding of social exclusion</w:t>
      </w:r>
      <w:r>
        <w:t>.</w:t>
      </w:r>
    </w:p>
    <w:p w:rsidR="00B878F5" w:rsidRPr="006C3BAA" w:rsidRDefault="00B878F5" w:rsidP="00464B49">
      <w:pPr>
        <w:pStyle w:val="ESPONbulletlist"/>
      </w:pPr>
      <w:r w:rsidRPr="006C3BAA">
        <w:t xml:space="preserve">For some ‘census’ dimensions, non-census </w:t>
      </w:r>
      <w:proofErr w:type="spellStart"/>
      <w:r w:rsidRPr="006C3BAA">
        <w:t>Eurostat</w:t>
      </w:r>
      <w:proofErr w:type="spellEnd"/>
      <w:r w:rsidRPr="006C3BAA">
        <w:t xml:space="preserve"> data is available, as in the employment dimension. For employment, standardised data using LFS methodology is available for a longitudinal comparison as well</w:t>
      </w:r>
      <w:r w:rsidR="0077286F">
        <w:t>, but only at NUTS 2 level</w:t>
      </w:r>
      <w:r w:rsidRPr="006C3BAA">
        <w:t>.</w:t>
      </w:r>
    </w:p>
    <w:p w:rsidR="00B878F5" w:rsidRPr="006C3BAA" w:rsidRDefault="00B878F5" w:rsidP="00464B49">
      <w:pPr>
        <w:pStyle w:val="ESPONbulletlist"/>
      </w:pPr>
      <w:r w:rsidRPr="006C3BAA">
        <w:t xml:space="preserve">‘Non-standard’ official or non-official statistical sources on the national level </w:t>
      </w:r>
      <w:r w:rsidR="00D434A2">
        <w:t xml:space="preserve">were not </w:t>
      </w:r>
      <w:r w:rsidRPr="006C3BAA">
        <w:t xml:space="preserve">considered for use by ESPON </w:t>
      </w:r>
      <w:proofErr w:type="spellStart"/>
      <w:r w:rsidRPr="006C3BAA">
        <w:t>TiPSE</w:t>
      </w:r>
      <w:proofErr w:type="spellEnd"/>
      <w:r w:rsidRPr="006C3BAA">
        <w:t>. Th</w:t>
      </w:r>
      <w:r w:rsidR="00D434A2">
        <w:t>e most important concerns here we</w:t>
      </w:r>
      <w:r w:rsidRPr="006C3BAA">
        <w:t xml:space="preserve">re the availability of data and the geographical cross-comparability (not only methodologically, but also whether these variables capture social exclusion in a same way throughout Europe – cf. the Voting dimension discussed before). </w:t>
      </w:r>
      <w:r w:rsidR="00D434A2">
        <w:t xml:space="preserve">Case studies of the </w:t>
      </w:r>
      <w:proofErr w:type="spellStart"/>
      <w:r w:rsidR="00D434A2">
        <w:t>TiPSE</w:t>
      </w:r>
      <w:proofErr w:type="spellEnd"/>
      <w:r w:rsidR="00D434A2">
        <w:t xml:space="preserve"> project reflect on these omitted dimensions in some aspects.</w:t>
      </w:r>
    </w:p>
    <w:p w:rsidR="00B878F5" w:rsidRDefault="00B878F5" w:rsidP="00464B49">
      <w:pPr>
        <w:pStyle w:val="ESPONbulletlist"/>
      </w:pPr>
      <w:r w:rsidRPr="006C3BAA">
        <w:t xml:space="preserve">Some indicators were listed in </w:t>
      </w:r>
      <w:r w:rsidR="00C24A00">
        <w:t xml:space="preserve">Annex </w:t>
      </w:r>
      <w:r w:rsidRPr="006C3BAA">
        <w:t xml:space="preserve">1, but further considerations in </w:t>
      </w:r>
      <w:r w:rsidR="00C24A00">
        <w:t xml:space="preserve">Task </w:t>
      </w:r>
      <w:r w:rsidRPr="006C3BAA">
        <w:t>2.6 opt</w:t>
      </w:r>
      <w:r w:rsidR="00D434A2">
        <w:t>ed</w:t>
      </w:r>
      <w:r w:rsidRPr="006C3BAA">
        <w:t xml:space="preserve"> for leaving them out, mostly because theoretical-ethical issues (dimension of crime and safety) or because of limited geographical cross-comparability of data (such as municipal revenue from property taxes). Some indicators have been reformulated or refined in </w:t>
      </w:r>
      <w:r w:rsidR="00C24A00">
        <w:t>Task 2</w:t>
      </w:r>
      <w:r w:rsidRPr="006C3BAA">
        <w:t>.6 (</w:t>
      </w:r>
      <w:r w:rsidR="00D434A2">
        <w:t>such as household structure</w:t>
      </w:r>
      <w:r w:rsidRPr="006C3BAA">
        <w:t>).</w:t>
      </w:r>
    </w:p>
    <w:p w:rsidR="00D434A2" w:rsidRDefault="00D434A2" w:rsidP="00D434A2">
      <w:pPr>
        <w:pStyle w:val="ESPONbulletlist"/>
        <w:numPr>
          <w:ilvl w:val="0"/>
          <w:numId w:val="0"/>
        </w:numPr>
      </w:pPr>
    </w:p>
    <w:p w:rsidR="00980B41" w:rsidRPr="007E3A84" w:rsidRDefault="00980B41" w:rsidP="00980B41">
      <w:pPr>
        <w:pStyle w:val="Cmsor2"/>
      </w:pPr>
      <w:bookmarkStart w:id="25" w:name="_Toc401264637"/>
      <w:r w:rsidRPr="007E3A84">
        <w:lastRenderedPageBreak/>
        <w:t>Learning from other ESPON projects</w:t>
      </w:r>
      <w:bookmarkEnd w:id="25"/>
    </w:p>
    <w:p w:rsidR="00980B41" w:rsidRDefault="00980B41" w:rsidP="00980B41">
      <w:pPr>
        <w:pStyle w:val="ESPONbulletlist"/>
        <w:numPr>
          <w:ilvl w:val="0"/>
          <w:numId w:val="0"/>
        </w:numPr>
        <w:ind w:left="360"/>
      </w:pPr>
      <w:r>
        <w:t xml:space="preserve">The </w:t>
      </w:r>
      <w:proofErr w:type="spellStart"/>
      <w:r>
        <w:t>TiPSE</w:t>
      </w:r>
      <w:proofErr w:type="spellEnd"/>
      <w:r>
        <w:t xml:space="preserve"> research team </w:t>
      </w:r>
      <w:r w:rsidR="0047668D">
        <w:t>studied</w:t>
      </w:r>
      <w:r>
        <w:t xml:space="preserve"> various ESPON projects in order to have an insight into their applied indicator structure and find linkages to their potential coverage on poverty and social exclusion. Key projects include</w:t>
      </w:r>
      <w:r w:rsidR="002906F9">
        <w:t>d</w:t>
      </w:r>
      <w:r>
        <w:t>:</w:t>
      </w:r>
    </w:p>
    <w:p w:rsidR="00980B41" w:rsidRDefault="00980B41" w:rsidP="00980B41">
      <w:pPr>
        <w:pStyle w:val="ESPONbulletlist"/>
      </w:pPr>
      <w:r>
        <w:t xml:space="preserve">DEMIFER, dealing with demographic and migratory flows in Europe, </w:t>
      </w:r>
    </w:p>
    <w:p w:rsidR="00980B41" w:rsidRDefault="00980B41" w:rsidP="00980B41">
      <w:pPr>
        <w:pStyle w:val="ESPONbulletlist"/>
      </w:pPr>
      <w:r>
        <w:t>ECR2, analysing the resilience of European regions against the economic crisis,</w:t>
      </w:r>
    </w:p>
    <w:p w:rsidR="00980B41" w:rsidRDefault="00980B41" w:rsidP="00980B41">
      <w:pPr>
        <w:pStyle w:val="ESPONbulletlist"/>
      </w:pPr>
      <w:r>
        <w:t>SIESTA, setting up a structure of indicators related to the Europe 2020 goals,</w:t>
      </w:r>
    </w:p>
    <w:p w:rsidR="00980B41" w:rsidRDefault="00980B41" w:rsidP="00980B41">
      <w:pPr>
        <w:pStyle w:val="ESPONbulletlist"/>
      </w:pPr>
      <w:r>
        <w:t xml:space="preserve">EDORA, on the development opportunities in European rural regions, </w:t>
      </w:r>
    </w:p>
    <w:p w:rsidR="00980B41" w:rsidRDefault="00980B41" w:rsidP="00980B41">
      <w:pPr>
        <w:pStyle w:val="ESPONbulletlist"/>
      </w:pPr>
      <w:proofErr w:type="spellStart"/>
      <w:r>
        <w:t>SeGI</w:t>
      </w:r>
      <w:proofErr w:type="spellEnd"/>
      <w:r>
        <w:t xml:space="preserve"> dealing with perspectives for services of general interest in territorial cohesion,</w:t>
      </w:r>
    </w:p>
    <w:p w:rsidR="00980B41" w:rsidRDefault="00980B41" w:rsidP="00980B41">
      <w:pPr>
        <w:pStyle w:val="ESPONbulletlist"/>
      </w:pPr>
      <w:proofErr w:type="gramStart"/>
      <w:r>
        <w:t>and</w:t>
      </w:r>
      <w:proofErr w:type="gramEnd"/>
      <w:r>
        <w:t xml:space="preserve"> SEMIGRA which is about the (gender) selective migration in rural regions.</w:t>
      </w:r>
    </w:p>
    <w:p w:rsidR="002C2000" w:rsidRDefault="00980B41" w:rsidP="00980B41">
      <w:r>
        <w:t>It is hoped to incorporate selected indicators provided by</w:t>
      </w:r>
      <w:r w:rsidR="009E55ED">
        <w:t xml:space="preserve"> these projects into the </w:t>
      </w:r>
      <w:proofErr w:type="spellStart"/>
      <w:r w:rsidR="009E55ED">
        <w:t>TiPSE</w:t>
      </w:r>
      <w:proofErr w:type="spellEnd"/>
      <w:r w:rsidR="009E55ED">
        <w:t xml:space="preserve"> social e</w:t>
      </w:r>
      <w:r>
        <w:t>xclusion mapping exercise, although opportunities may be restricted by several factors</w:t>
      </w:r>
      <w:r w:rsidR="009E55ED">
        <w:t>.</w:t>
      </w:r>
      <w:r>
        <w:t xml:space="preserve"> Many of the indicators applied in other ESPON projects are already covered by </w:t>
      </w:r>
      <w:proofErr w:type="spellStart"/>
      <w:r>
        <w:t>TiPSE</w:t>
      </w:r>
      <w:proofErr w:type="spellEnd"/>
      <w:r>
        <w:t>, while others were only considered rather than fully implemented.</w:t>
      </w:r>
      <w:r w:rsidR="007B39BC">
        <w:t xml:space="preserve"> In the conceptual framework of </w:t>
      </w:r>
      <w:proofErr w:type="spellStart"/>
      <w:r w:rsidR="007B39BC">
        <w:t>TiPSE</w:t>
      </w:r>
      <w:proofErr w:type="spellEnd"/>
      <w:r w:rsidR="007B39BC">
        <w:t xml:space="preserve"> understanding of social exclusion the derived domains and dimensions</w:t>
      </w:r>
      <w:r>
        <w:t xml:space="preserve"> </w:t>
      </w:r>
      <w:r w:rsidR="007B39BC">
        <w:t xml:space="preserve">and the set of indicators </w:t>
      </w:r>
      <w:r w:rsidR="0008040F">
        <w:t xml:space="preserve">compose a coherent system. Definition of indicators, methodology of data gathering both served to make the cross-European comparability of social exclusion factors </w:t>
      </w:r>
      <w:r w:rsidR="005440C4">
        <w:t>to be reliable.</w:t>
      </w:r>
      <w:r w:rsidR="0008040F">
        <w:t xml:space="preserve"> </w:t>
      </w:r>
      <w:r w:rsidR="005440C4">
        <w:t xml:space="preserve">One solution supporting </w:t>
      </w:r>
      <w:r w:rsidR="002C2000">
        <w:t>this criterion</w:t>
      </w:r>
      <w:r w:rsidR="005440C4">
        <w:t xml:space="preserve"> was using data</w:t>
      </w:r>
      <w:r w:rsidR="002C2000">
        <w:t xml:space="preserve"> mainly from harmonised sources, in this case from European censuses which are regulated by several directives and recommendations. This consideration led to </w:t>
      </w:r>
      <w:r w:rsidR="00383C0E">
        <w:t xml:space="preserve">an own </w:t>
      </w:r>
      <w:proofErr w:type="spellStart"/>
      <w:r w:rsidR="00383C0E">
        <w:t>TiPSE</w:t>
      </w:r>
      <w:proofErr w:type="spellEnd"/>
      <w:r w:rsidR="00383C0E">
        <w:t xml:space="preserve"> </w:t>
      </w:r>
      <w:r w:rsidR="002C2000">
        <w:t>data collection and database building rather than rely</w:t>
      </w:r>
      <w:r w:rsidR="00383C0E">
        <w:t>ing</w:t>
      </w:r>
      <w:r w:rsidR="002C2000">
        <w:t xml:space="preserve"> on secondary sources</w:t>
      </w:r>
      <w:r w:rsidR="003167D6">
        <w:t xml:space="preserve"> (e.g. from other projects)</w:t>
      </w:r>
      <w:r w:rsidR="002C2000">
        <w:t>.</w:t>
      </w:r>
    </w:p>
    <w:p w:rsidR="00980B41" w:rsidRDefault="003167D6" w:rsidP="00980B41">
      <w:r>
        <w:t>Moreover, f</w:t>
      </w:r>
      <w:r w:rsidR="00383C0E">
        <w:t xml:space="preserve">avouring census data </w:t>
      </w:r>
      <w:r w:rsidR="00CF4509">
        <w:t xml:space="preserve">was reasonable, because </w:t>
      </w:r>
      <w:r>
        <w:t xml:space="preserve">it provided NUTS 3 coverage of data on vulnerabilities to exclusion in most of the cases which was in the focus of aims of </w:t>
      </w:r>
      <w:proofErr w:type="spellStart"/>
      <w:r>
        <w:t>TiPSE</w:t>
      </w:r>
      <w:proofErr w:type="spellEnd"/>
      <w:r>
        <w:t xml:space="preserve"> project.</w:t>
      </w:r>
      <w:r w:rsidR="002C2000">
        <w:t xml:space="preserve"> </w:t>
      </w:r>
      <w:proofErr w:type="gramStart"/>
      <w:r w:rsidR="00975ED5">
        <w:t>NUTS 2 data was</w:t>
      </w:r>
      <w:proofErr w:type="gramEnd"/>
      <w:r w:rsidR="00975ED5">
        <w:t xml:space="preserve"> also used by </w:t>
      </w:r>
      <w:proofErr w:type="spellStart"/>
      <w:r w:rsidR="00975ED5">
        <w:t>TiPSE</w:t>
      </w:r>
      <w:proofErr w:type="spellEnd"/>
      <w:r w:rsidR="00975ED5">
        <w:t>, but o</w:t>
      </w:r>
      <w:r w:rsidR="0014166C">
        <w:t xml:space="preserve">nly if a dimension was </w:t>
      </w:r>
      <w:r w:rsidR="007E3A84">
        <w:t>difficult</w:t>
      </w:r>
      <w:r w:rsidR="0014166C">
        <w:t xml:space="preserve"> or unable to cover by NUTS 3 data </w:t>
      </w:r>
      <w:r w:rsidR="0014166C" w:rsidRPr="0014166C">
        <w:t>(</w:t>
      </w:r>
      <w:r w:rsidR="00975ED5">
        <w:t xml:space="preserve">for example </w:t>
      </w:r>
      <w:r w:rsidR="0014166C" w:rsidRPr="0014166C">
        <w:t>income, health)</w:t>
      </w:r>
      <w:r w:rsidR="00975ED5">
        <w:t>.</w:t>
      </w:r>
      <w:r w:rsidR="0014166C">
        <w:t xml:space="preserve"> </w:t>
      </w:r>
      <w:r w:rsidR="00F94F80">
        <w:t>In generally speaking, b</w:t>
      </w:r>
      <w:r w:rsidR="00975ED5">
        <w:t>y f</w:t>
      </w:r>
      <w:r w:rsidR="0014166C">
        <w:t xml:space="preserve">ollowing this principle </w:t>
      </w:r>
      <w:r w:rsidR="00975ED5">
        <w:t>it would have been able to extend data collection to ESPON databases too. Nevertheless, s</w:t>
      </w:r>
      <w:r w:rsidR="00980B41">
        <w:t xml:space="preserve">everal interesting indicators </w:t>
      </w:r>
      <w:r>
        <w:t xml:space="preserve">from other ESPON projects </w:t>
      </w:r>
      <w:r w:rsidR="00980B41">
        <w:t>have no coverage at a lower territorial level than NUTS 0-2 or it is hard to gather them for other reasons.</w:t>
      </w:r>
      <w:r w:rsidR="00975ED5">
        <w:t xml:space="preserve"> Furthermore, those indicators which are available at NUTS 3 level and are related to social exclusion</w:t>
      </w:r>
      <w:r w:rsidR="00F94F80">
        <w:t xml:space="preserve"> in other ESPON projects</w:t>
      </w:r>
      <w:r w:rsidR="00975ED5">
        <w:t xml:space="preserve">, they were already </w:t>
      </w:r>
      <w:r w:rsidR="00F94F80">
        <w:t xml:space="preserve">(and almost fully) </w:t>
      </w:r>
      <w:r w:rsidR="00975ED5">
        <w:t xml:space="preserve">incorporated by </w:t>
      </w:r>
      <w:proofErr w:type="spellStart"/>
      <w:r w:rsidR="00975ED5">
        <w:t>TiPSE</w:t>
      </w:r>
      <w:proofErr w:type="spellEnd"/>
      <w:r w:rsidR="00975ED5">
        <w:t>.</w:t>
      </w:r>
    </w:p>
    <w:p w:rsidR="00975ED5" w:rsidRDefault="00975ED5" w:rsidP="00980B41">
      <w:r>
        <w:t xml:space="preserve">Some interesting and potentially useful </w:t>
      </w:r>
      <w:r w:rsidR="00BE6B32">
        <w:t>indicators</w:t>
      </w:r>
      <w:r>
        <w:t xml:space="preserve"> like accessibility measures from EDORA or </w:t>
      </w:r>
      <w:proofErr w:type="spellStart"/>
      <w:r>
        <w:t>SeGI</w:t>
      </w:r>
      <w:proofErr w:type="spellEnd"/>
      <w:r w:rsidR="00BE6B32">
        <w:t xml:space="preserve"> are available at NUTS 3 level, but they are not used by </w:t>
      </w:r>
      <w:proofErr w:type="spellStart"/>
      <w:r w:rsidR="00BE6B32">
        <w:t>TiPSE</w:t>
      </w:r>
      <w:proofErr w:type="spellEnd"/>
      <w:r w:rsidR="00BE6B32">
        <w:t xml:space="preserve">, because they </w:t>
      </w:r>
      <w:r w:rsidR="00F94F80">
        <w:t xml:space="preserve">are </w:t>
      </w:r>
      <w:r w:rsidR="00BE6B32">
        <w:t xml:space="preserve">not up-to-date. </w:t>
      </w:r>
      <w:proofErr w:type="spellStart"/>
      <w:r w:rsidR="00BE6B32">
        <w:t>TiPSE</w:t>
      </w:r>
      <w:proofErr w:type="spellEnd"/>
      <w:r w:rsidR="00BE6B32">
        <w:t xml:space="preserve"> data compilation refers to 2001 and 2011. </w:t>
      </w:r>
      <w:r w:rsidR="00BE6B32">
        <w:lastRenderedPageBreak/>
        <w:t xml:space="preserve">Data collection from the latest censuses was carried out just right after the </w:t>
      </w:r>
      <w:r w:rsidR="00F57F25">
        <w:t>(</w:t>
      </w:r>
      <w:r w:rsidR="00BE6B32">
        <w:t>quite recent) publication dates of these datasets, so the mapped and analysed indicators can show an actual image on social exclusion patterns in Europe. Since indicators refer</w:t>
      </w:r>
      <w:r w:rsidR="00F94F80">
        <w:t>ring</w:t>
      </w:r>
      <w:r w:rsidR="00BE6B32">
        <w:t xml:space="preserve"> to 2001 were also used in analysing changes over time, it was important to ensure the comparability of the two compiled datasets</w:t>
      </w:r>
      <w:r w:rsidR="00F57F25">
        <w:t xml:space="preserve"> (2001 and 2011), which was only feasible by gathering data from the same sources</w:t>
      </w:r>
      <w:r w:rsidR="00F94F80">
        <w:t xml:space="preserve"> and</w:t>
      </w:r>
      <w:r w:rsidR="00F57F25">
        <w:t xml:space="preserve"> by following the same principles. In this case it also led </w:t>
      </w:r>
      <w:proofErr w:type="spellStart"/>
      <w:r w:rsidR="00F57F25">
        <w:t>TiPSE</w:t>
      </w:r>
      <w:proofErr w:type="spellEnd"/>
      <w:r w:rsidR="00F57F25">
        <w:t xml:space="preserve"> to favour census databases from national statistical sources or community collections (like </w:t>
      </w:r>
      <w:proofErr w:type="spellStart"/>
      <w:r w:rsidR="00F57F25">
        <w:t>Eurostat</w:t>
      </w:r>
      <w:proofErr w:type="spellEnd"/>
      <w:r w:rsidR="00F57F25">
        <w:t xml:space="preserve"> </w:t>
      </w:r>
      <w:proofErr w:type="spellStart"/>
      <w:r w:rsidR="00F57F25">
        <w:t>CensusHub</w:t>
      </w:r>
      <w:proofErr w:type="spellEnd"/>
      <w:r w:rsidR="00F57F25">
        <w:t>), and renounce the benefits of using the results of other ESPON projects.</w:t>
      </w:r>
    </w:p>
    <w:p w:rsidR="00980B41" w:rsidRDefault="00980B41" w:rsidP="00980B41">
      <w:r>
        <w:t xml:space="preserve">A selection of indicators (not used in </w:t>
      </w:r>
      <w:proofErr w:type="spellStart"/>
      <w:r>
        <w:t>TiPSE</w:t>
      </w:r>
      <w:proofErr w:type="spellEnd"/>
      <w:r>
        <w:t xml:space="preserve"> </w:t>
      </w:r>
      <w:r w:rsidR="0047668D">
        <w:t>analysis of social exclusion</w:t>
      </w:r>
      <w:r>
        <w:t xml:space="preserve"> but </w:t>
      </w:r>
      <w:r w:rsidR="0047668D">
        <w:t>related to the phenomena) is presented in the Table 5</w:t>
      </w:r>
      <w:r>
        <w:t>. Most of the indicators relate to the ‘Earning a living’ and ‘Access to basic services’ exclusion domains.</w:t>
      </w:r>
    </w:p>
    <w:p w:rsidR="00980B41" w:rsidRDefault="00980B41" w:rsidP="00980B41"/>
    <w:p w:rsidR="00F57F25" w:rsidRDefault="00F57F25" w:rsidP="00980B41"/>
    <w:p w:rsidR="00980B41" w:rsidRDefault="00980B41" w:rsidP="00980B41">
      <w:pPr>
        <w:pStyle w:val="Kpalrs"/>
      </w:pPr>
      <w:bookmarkStart w:id="26" w:name="_Toc401264644"/>
      <w:r>
        <w:t xml:space="preserve">Table </w:t>
      </w:r>
      <w:r w:rsidR="00CD0272">
        <w:fldChar w:fldCharType="begin"/>
      </w:r>
      <w:r>
        <w:instrText xml:space="preserve"> SEQ Table \* ARABIC </w:instrText>
      </w:r>
      <w:r w:rsidR="00CD0272">
        <w:fldChar w:fldCharType="separate"/>
      </w:r>
      <w:r>
        <w:rPr>
          <w:noProof/>
        </w:rPr>
        <w:t>5</w:t>
      </w:r>
      <w:r w:rsidR="00CD0272">
        <w:rPr>
          <w:noProof/>
        </w:rPr>
        <w:fldChar w:fldCharType="end"/>
      </w:r>
      <w:r>
        <w:t xml:space="preserve"> </w:t>
      </w:r>
      <w:r w:rsidRPr="00980B41">
        <w:t>Selected poverty and social exclusion indicators from other ESPON projects</w:t>
      </w:r>
      <w:bookmarkEnd w:id="26"/>
    </w:p>
    <w:tbl>
      <w:tblPr>
        <w:tblStyle w:val="Rcsostblzat"/>
        <w:tblW w:w="9180" w:type="dxa"/>
        <w:jc w:val="center"/>
        <w:tblLayout w:type="fixed"/>
        <w:tblLook w:val="04A0"/>
      </w:tblPr>
      <w:tblGrid>
        <w:gridCol w:w="1406"/>
        <w:gridCol w:w="1406"/>
        <w:gridCol w:w="1974"/>
        <w:gridCol w:w="1418"/>
        <w:gridCol w:w="1701"/>
        <w:gridCol w:w="1275"/>
      </w:tblGrid>
      <w:tr w:rsidR="00980B41" w:rsidRPr="00804479" w:rsidTr="00980B41">
        <w:trPr>
          <w:jc w:val="center"/>
        </w:trPr>
        <w:tc>
          <w:tcPr>
            <w:tcW w:w="1406" w:type="dxa"/>
            <w:hideMark/>
          </w:tcPr>
          <w:p w:rsidR="00980B41" w:rsidRPr="00804479" w:rsidRDefault="00980B41" w:rsidP="00804479">
            <w:pPr>
              <w:spacing w:before="0" w:after="80"/>
              <w:jc w:val="left"/>
              <w:rPr>
                <w:b/>
                <w:sz w:val="18"/>
              </w:rPr>
            </w:pPr>
            <w:r w:rsidRPr="00804479">
              <w:rPr>
                <w:b/>
                <w:sz w:val="18"/>
              </w:rPr>
              <w:t>DEMIFER</w:t>
            </w:r>
          </w:p>
        </w:tc>
        <w:tc>
          <w:tcPr>
            <w:tcW w:w="1406" w:type="dxa"/>
            <w:hideMark/>
          </w:tcPr>
          <w:p w:rsidR="00980B41" w:rsidRPr="00804479" w:rsidRDefault="00980B41" w:rsidP="00804479">
            <w:pPr>
              <w:spacing w:before="0" w:after="80"/>
              <w:jc w:val="left"/>
              <w:rPr>
                <w:b/>
                <w:sz w:val="18"/>
              </w:rPr>
            </w:pPr>
            <w:r w:rsidRPr="00804479">
              <w:rPr>
                <w:b/>
                <w:sz w:val="18"/>
              </w:rPr>
              <w:t>ECR2</w:t>
            </w:r>
          </w:p>
        </w:tc>
        <w:tc>
          <w:tcPr>
            <w:tcW w:w="1974" w:type="dxa"/>
            <w:hideMark/>
          </w:tcPr>
          <w:p w:rsidR="00980B41" w:rsidRPr="00804479" w:rsidRDefault="00980B41" w:rsidP="00804479">
            <w:pPr>
              <w:spacing w:before="0" w:after="80"/>
              <w:jc w:val="left"/>
              <w:rPr>
                <w:b/>
                <w:sz w:val="18"/>
              </w:rPr>
            </w:pPr>
            <w:r w:rsidRPr="00804479">
              <w:rPr>
                <w:b/>
                <w:sz w:val="18"/>
              </w:rPr>
              <w:t>SIESTA</w:t>
            </w:r>
          </w:p>
        </w:tc>
        <w:tc>
          <w:tcPr>
            <w:tcW w:w="1418" w:type="dxa"/>
            <w:hideMark/>
          </w:tcPr>
          <w:p w:rsidR="00980B41" w:rsidRPr="00804479" w:rsidRDefault="00980B41" w:rsidP="00804479">
            <w:pPr>
              <w:spacing w:before="0" w:after="80"/>
              <w:jc w:val="left"/>
              <w:rPr>
                <w:b/>
                <w:sz w:val="18"/>
              </w:rPr>
            </w:pPr>
            <w:r w:rsidRPr="00804479">
              <w:rPr>
                <w:b/>
                <w:sz w:val="18"/>
              </w:rPr>
              <w:t>EDORA</w:t>
            </w:r>
          </w:p>
        </w:tc>
        <w:tc>
          <w:tcPr>
            <w:tcW w:w="1701" w:type="dxa"/>
            <w:hideMark/>
          </w:tcPr>
          <w:p w:rsidR="00980B41" w:rsidRPr="00804479" w:rsidRDefault="00980B41" w:rsidP="00804479">
            <w:pPr>
              <w:spacing w:before="0" w:after="80"/>
              <w:jc w:val="left"/>
              <w:rPr>
                <w:b/>
                <w:sz w:val="18"/>
              </w:rPr>
            </w:pPr>
            <w:proofErr w:type="spellStart"/>
            <w:r w:rsidRPr="00804479">
              <w:rPr>
                <w:b/>
                <w:sz w:val="18"/>
              </w:rPr>
              <w:t>SeGI</w:t>
            </w:r>
            <w:proofErr w:type="spellEnd"/>
          </w:p>
        </w:tc>
        <w:tc>
          <w:tcPr>
            <w:tcW w:w="1275" w:type="dxa"/>
            <w:hideMark/>
          </w:tcPr>
          <w:p w:rsidR="00980B41" w:rsidRPr="00804479" w:rsidRDefault="00980B41" w:rsidP="00804479">
            <w:pPr>
              <w:spacing w:before="0" w:after="80"/>
              <w:jc w:val="left"/>
              <w:rPr>
                <w:b/>
                <w:sz w:val="18"/>
              </w:rPr>
            </w:pPr>
            <w:r w:rsidRPr="00804479">
              <w:rPr>
                <w:b/>
                <w:sz w:val="18"/>
              </w:rPr>
              <w:t>SEMIGRA</w:t>
            </w:r>
          </w:p>
        </w:tc>
      </w:tr>
      <w:tr w:rsidR="00980B41" w:rsidTr="00980B41">
        <w:trPr>
          <w:jc w:val="center"/>
        </w:trPr>
        <w:tc>
          <w:tcPr>
            <w:tcW w:w="1406" w:type="dxa"/>
            <w:hideMark/>
          </w:tcPr>
          <w:p w:rsidR="00980B41" w:rsidRPr="00B56812" w:rsidRDefault="00980B41" w:rsidP="0047668D">
            <w:pPr>
              <w:spacing w:before="0" w:after="80" w:line="240" w:lineRule="auto"/>
              <w:rPr>
                <w:sz w:val="18"/>
              </w:rPr>
            </w:pPr>
            <w:r w:rsidRPr="00B56812">
              <w:rPr>
                <w:sz w:val="18"/>
              </w:rPr>
              <w:t>Long-term unemployment rate</w:t>
            </w:r>
          </w:p>
          <w:p w:rsidR="00980B41" w:rsidRPr="00B56812" w:rsidRDefault="00980B41" w:rsidP="0047668D">
            <w:pPr>
              <w:spacing w:before="0" w:after="80" w:line="240" w:lineRule="auto"/>
              <w:rPr>
                <w:sz w:val="18"/>
              </w:rPr>
            </w:pPr>
            <w:r w:rsidRPr="00B56812">
              <w:rPr>
                <w:sz w:val="18"/>
              </w:rPr>
              <w:t>Labour force participation (55-64) rate</w:t>
            </w:r>
          </w:p>
          <w:p w:rsidR="00980B41" w:rsidRPr="00B56812" w:rsidRDefault="00980B41" w:rsidP="0047668D">
            <w:pPr>
              <w:spacing w:before="0" w:after="80" w:line="240" w:lineRule="auto"/>
              <w:rPr>
                <w:sz w:val="18"/>
              </w:rPr>
            </w:pPr>
            <w:r w:rsidRPr="00B56812">
              <w:rPr>
                <w:sz w:val="18"/>
              </w:rPr>
              <w:t>Economic old</w:t>
            </w:r>
            <w:r w:rsidR="007E62FF">
              <w:rPr>
                <w:sz w:val="18"/>
              </w:rPr>
              <w:t xml:space="preserve"> </w:t>
            </w:r>
            <w:r w:rsidRPr="00B56812">
              <w:rPr>
                <w:sz w:val="18"/>
              </w:rPr>
              <w:t>age dependency ratio</w:t>
            </w:r>
          </w:p>
          <w:p w:rsidR="00980B41" w:rsidRPr="00B56812" w:rsidRDefault="00980B41" w:rsidP="0047668D">
            <w:pPr>
              <w:spacing w:before="0" w:after="80" w:line="240" w:lineRule="auto"/>
              <w:rPr>
                <w:sz w:val="18"/>
              </w:rPr>
            </w:pPr>
            <w:r w:rsidRPr="00B56812">
              <w:rPr>
                <w:sz w:val="18"/>
              </w:rPr>
              <w:t>Labour market dependency ratio</w:t>
            </w:r>
          </w:p>
        </w:tc>
        <w:tc>
          <w:tcPr>
            <w:tcW w:w="1406" w:type="dxa"/>
          </w:tcPr>
          <w:p w:rsidR="00980B41" w:rsidRDefault="00980B41" w:rsidP="0047668D">
            <w:pPr>
              <w:spacing w:before="0" w:after="80" w:line="240" w:lineRule="auto"/>
              <w:rPr>
                <w:sz w:val="18"/>
              </w:rPr>
            </w:pPr>
            <w:r>
              <w:rPr>
                <w:sz w:val="18"/>
              </w:rPr>
              <w:t>Low work households.</w:t>
            </w:r>
          </w:p>
          <w:p w:rsidR="00980B41" w:rsidRDefault="00980B41" w:rsidP="0047668D">
            <w:pPr>
              <w:spacing w:before="0" w:after="80" w:line="240" w:lineRule="auto"/>
              <w:rPr>
                <w:sz w:val="18"/>
              </w:rPr>
            </w:pPr>
            <w:r>
              <w:rPr>
                <w:sz w:val="18"/>
              </w:rPr>
              <w:t>Household disposable income</w:t>
            </w:r>
            <w:r w:rsidR="00F77770">
              <w:rPr>
                <w:sz w:val="18"/>
              </w:rPr>
              <w:t xml:space="preserve"> (other than the </w:t>
            </w:r>
            <w:proofErr w:type="spellStart"/>
            <w:r w:rsidR="00F77770">
              <w:rPr>
                <w:sz w:val="18"/>
              </w:rPr>
              <w:t>TiPSE</w:t>
            </w:r>
            <w:proofErr w:type="spellEnd"/>
            <w:r w:rsidR="00F77770">
              <w:rPr>
                <w:sz w:val="18"/>
              </w:rPr>
              <w:t xml:space="preserve"> indicator)</w:t>
            </w:r>
          </w:p>
          <w:p w:rsidR="00980B41" w:rsidRPr="00B56812" w:rsidRDefault="00980B41" w:rsidP="0047668D">
            <w:pPr>
              <w:spacing w:before="0" w:after="80" w:line="240" w:lineRule="auto"/>
              <w:rPr>
                <w:sz w:val="18"/>
              </w:rPr>
            </w:pPr>
            <w:r>
              <w:rPr>
                <w:sz w:val="18"/>
              </w:rPr>
              <w:t>Level of self employment.</w:t>
            </w:r>
          </w:p>
        </w:tc>
        <w:tc>
          <w:tcPr>
            <w:tcW w:w="1974" w:type="dxa"/>
            <w:hideMark/>
          </w:tcPr>
          <w:p w:rsidR="00980B41" w:rsidRPr="00B56812" w:rsidRDefault="00980B41" w:rsidP="0047668D">
            <w:pPr>
              <w:spacing w:before="0" w:after="80" w:line="240" w:lineRule="auto"/>
              <w:rPr>
                <w:sz w:val="18"/>
              </w:rPr>
            </w:pPr>
            <w:r w:rsidRPr="00B56812">
              <w:rPr>
                <w:sz w:val="18"/>
              </w:rPr>
              <w:t>Long-term unemployment rate</w:t>
            </w:r>
          </w:p>
          <w:p w:rsidR="00980B41" w:rsidRPr="00B56812" w:rsidRDefault="00980B41" w:rsidP="0047668D">
            <w:pPr>
              <w:spacing w:before="0" w:after="80" w:line="240" w:lineRule="auto"/>
              <w:rPr>
                <w:sz w:val="18"/>
              </w:rPr>
            </w:pPr>
            <w:r w:rsidRPr="00B56812">
              <w:rPr>
                <w:sz w:val="18"/>
              </w:rPr>
              <w:t>Ratio of young people not in work, education or training NEET (15-24)</w:t>
            </w:r>
          </w:p>
          <w:p w:rsidR="00980B41" w:rsidRPr="00B56812" w:rsidRDefault="00980B41" w:rsidP="0047668D">
            <w:pPr>
              <w:spacing w:before="0" w:after="80" w:line="240" w:lineRule="auto"/>
              <w:rPr>
                <w:sz w:val="18"/>
              </w:rPr>
            </w:pPr>
            <w:r w:rsidRPr="00B56812">
              <w:rPr>
                <w:sz w:val="18"/>
              </w:rPr>
              <w:t>Participation rate of adults in education and training</w:t>
            </w:r>
          </w:p>
          <w:p w:rsidR="00980B41" w:rsidRPr="00B56812" w:rsidRDefault="00980B41" w:rsidP="0047668D">
            <w:pPr>
              <w:spacing w:before="0" w:after="80" w:line="240" w:lineRule="auto"/>
              <w:rPr>
                <w:sz w:val="18"/>
              </w:rPr>
            </w:pPr>
            <w:r w:rsidRPr="00B56812">
              <w:rPr>
                <w:sz w:val="18"/>
              </w:rPr>
              <w:t>Ratio of early school leavers (18-24)</w:t>
            </w:r>
          </w:p>
          <w:p w:rsidR="00980B41" w:rsidRPr="00B56812" w:rsidRDefault="00980B41" w:rsidP="0047668D">
            <w:pPr>
              <w:spacing w:before="0" w:after="80" w:line="240" w:lineRule="auto"/>
              <w:rPr>
                <w:sz w:val="18"/>
              </w:rPr>
            </w:pPr>
            <w:r w:rsidRPr="00B56812">
              <w:rPr>
                <w:sz w:val="18"/>
              </w:rPr>
              <w:t>Broadband internet access ratio</w:t>
            </w:r>
          </w:p>
          <w:p w:rsidR="00980B41" w:rsidRPr="00B56812" w:rsidRDefault="00980B41" w:rsidP="0047668D">
            <w:pPr>
              <w:spacing w:before="0" w:after="80" w:line="240" w:lineRule="auto"/>
              <w:rPr>
                <w:sz w:val="18"/>
              </w:rPr>
            </w:pPr>
            <w:r w:rsidRPr="00B56812">
              <w:rPr>
                <w:sz w:val="18"/>
              </w:rPr>
              <w:t>Ratio of individuals who have never used a computer</w:t>
            </w:r>
          </w:p>
          <w:p w:rsidR="00980B41" w:rsidRPr="00B56812" w:rsidRDefault="00980B41" w:rsidP="0047668D">
            <w:pPr>
              <w:spacing w:before="0" w:after="80" w:line="240" w:lineRule="auto"/>
              <w:rPr>
                <w:sz w:val="18"/>
              </w:rPr>
            </w:pPr>
            <w:r w:rsidRPr="00B56812">
              <w:rPr>
                <w:sz w:val="18"/>
              </w:rPr>
              <w:t>Ageing index</w:t>
            </w:r>
          </w:p>
        </w:tc>
        <w:tc>
          <w:tcPr>
            <w:tcW w:w="1418" w:type="dxa"/>
            <w:hideMark/>
          </w:tcPr>
          <w:p w:rsidR="00980B41" w:rsidRPr="00B56812" w:rsidRDefault="00980B41" w:rsidP="0047668D">
            <w:pPr>
              <w:spacing w:before="0" w:after="80" w:line="240" w:lineRule="auto"/>
              <w:rPr>
                <w:sz w:val="18"/>
              </w:rPr>
            </w:pPr>
            <w:r w:rsidRPr="00B56812">
              <w:rPr>
                <w:sz w:val="18"/>
              </w:rPr>
              <w:t>Long-term unemployment rate</w:t>
            </w:r>
          </w:p>
          <w:p w:rsidR="00980B41" w:rsidRPr="00B56812" w:rsidRDefault="00980B41" w:rsidP="0047668D">
            <w:pPr>
              <w:spacing w:before="0" w:after="80" w:line="240" w:lineRule="auto"/>
              <w:rPr>
                <w:sz w:val="18"/>
              </w:rPr>
            </w:pPr>
            <w:r w:rsidRPr="00B56812">
              <w:rPr>
                <w:sz w:val="18"/>
              </w:rPr>
              <w:t>Participation rate in life-long learning</w:t>
            </w:r>
          </w:p>
          <w:p w:rsidR="00980B41" w:rsidRPr="00B56812" w:rsidRDefault="00980B41" w:rsidP="0047668D">
            <w:pPr>
              <w:spacing w:before="0" w:after="80" w:line="240" w:lineRule="auto"/>
              <w:rPr>
                <w:sz w:val="18"/>
              </w:rPr>
            </w:pPr>
            <w:r w:rsidRPr="00B56812">
              <w:rPr>
                <w:sz w:val="18"/>
              </w:rPr>
              <w:t>Broadband internet access ratio</w:t>
            </w:r>
          </w:p>
          <w:p w:rsidR="00980B41" w:rsidRPr="00B56812" w:rsidRDefault="00980B41" w:rsidP="0047668D">
            <w:pPr>
              <w:spacing w:before="0" w:after="80" w:line="240" w:lineRule="auto"/>
              <w:rPr>
                <w:sz w:val="18"/>
              </w:rPr>
            </w:pPr>
            <w:r w:rsidRPr="00B56812">
              <w:rPr>
                <w:sz w:val="18"/>
              </w:rPr>
              <w:t>Accessibility to hospitals, schools</w:t>
            </w:r>
          </w:p>
          <w:p w:rsidR="00980B41" w:rsidRPr="00B56812" w:rsidRDefault="00980B41" w:rsidP="0047668D">
            <w:pPr>
              <w:spacing w:before="0" w:after="80" w:line="240" w:lineRule="auto"/>
              <w:rPr>
                <w:sz w:val="18"/>
              </w:rPr>
            </w:pPr>
            <w:r w:rsidRPr="00B56812">
              <w:rPr>
                <w:sz w:val="18"/>
              </w:rPr>
              <w:t>Transport accessibility (airport, railway station, motorway)</w:t>
            </w:r>
          </w:p>
        </w:tc>
        <w:tc>
          <w:tcPr>
            <w:tcW w:w="1701" w:type="dxa"/>
            <w:hideMark/>
          </w:tcPr>
          <w:p w:rsidR="00980B41" w:rsidRPr="00B56812" w:rsidRDefault="00980B41" w:rsidP="0047668D">
            <w:pPr>
              <w:spacing w:before="0" w:after="80" w:line="240" w:lineRule="auto"/>
              <w:rPr>
                <w:sz w:val="18"/>
              </w:rPr>
            </w:pPr>
            <w:r w:rsidRPr="00B56812">
              <w:rPr>
                <w:sz w:val="18"/>
              </w:rPr>
              <w:t>School enrolment ratio (primary, secondary, tertiary)</w:t>
            </w:r>
          </w:p>
          <w:p w:rsidR="00980B41" w:rsidRPr="00B56812" w:rsidRDefault="00980B41" w:rsidP="0047668D">
            <w:pPr>
              <w:spacing w:before="0" w:after="80" w:line="240" w:lineRule="auto"/>
              <w:rPr>
                <w:sz w:val="18"/>
              </w:rPr>
            </w:pPr>
            <w:r w:rsidRPr="00B56812">
              <w:rPr>
                <w:sz w:val="18"/>
              </w:rPr>
              <w:t>Broadband internet access ratio</w:t>
            </w:r>
          </w:p>
          <w:p w:rsidR="00980B41" w:rsidRPr="00B56812" w:rsidRDefault="00980B41" w:rsidP="0047668D">
            <w:pPr>
              <w:spacing w:before="0" w:after="80" w:line="240" w:lineRule="auto"/>
              <w:rPr>
                <w:sz w:val="18"/>
              </w:rPr>
            </w:pPr>
            <w:r w:rsidRPr="00B56812">
              <w:rPr>
                <w:sz w:val="18"/>
              </w:rPr>
              <w:t>Ratio of individuals who have never used a computer</w:t>
            </w:r>
          </w:p>
          <w:p w:rsidR="00980B41" w:rsidRPr="00B56812" w:rsidRDefault="00980B41" w:rsidP="0047668D">
            <w:pPr>
              <w:spacing w:before="0" w:after="80" w:line="240" w:lineRule="auto"/>
              <w:rPr>
                <w:sz w:val="18"/>
              </w:rPr>
            </w:pPr>
            <w:r w:rsidRPr="00B56812">
              <w:rPr>
                <w:sz w:val="18"/>
              </w:rPr>
              <w:t>Accessibility to hospitals, schools</w:t>
            </w:r>
          </w:p>
          <w:p w:rsidR="00980B41" w:rsidRPr="00B56812" w:rsidRDefault="00980B41" w:rsidP="0047668D">
            <w:pPr>
              <w:spacing w:before="0" w:after="80" w:line="240" w:lineRule="auto"/>
              <w:rPr>
                <w:sz w:val="18"/>
              </w:rPr>
            </w:pPr>
            <w:r w:rsidRPr="00B56812">
              <w:rPr>
                <w:sz w:val="18"/>
              </w:rPr>
              <w:t>Transport accessibility (airport, railway station, motorway)</w:t>
            </w:r>
          </w:p>
        </w:tc>
        <w:tc>
          <w:tcPr>
            <w:tcW w:w="1275" w:type="dxa"/>
            <w:hideMark/>
          </w:tcPr>
          <w:p w:rsidR="00980B41" w:rsidRPr="00B56812" w:rsidRDefault="00980B41" w:rsidP="0047668D">
            <w:pPr>
              <w:spacing w:before="0" w:after="80" w:line="240" w:lineRule="auto"/>
              <w:rPr>
                <w:sz w:val="18"/>
              </w:rPr>
            </w:pPr>
            <w:r w:rsidRPr="00B56812">
              <w:rPr>
                <w:sz w:val="18"/>
              </w:rPr>
              <w:t>Average household income</w:t>
            </w:r>
          </w:p>
          <w:p w:rsidR="00980B41" w:rsidRPr="00B56812" w:rsidRDefault="00980B41" w:rsidP="0047668D">
            <w:pPr>
              <w:spacing w:before="0" w:after="80" w:line="240" w:lineRule="auto"/>
              <w:rPr>
                <w:sz w:val="18"/>
              </w:rPr>
            </w:pPr>
            <w:r w:rsidRPr="00B56812">
              <w:rPr>
                <w:sz w:val="18"/>
              </w:rPr>
              <w:t>Long-term unemployment rate</w:t>
            </w:r>
          </w:p>
          <w:p w:rsidR="00980B41" w:rsidRPr="00B56812" w:rsidRDefault="00980B41" w:rsidP="0047668D">
            <w:pPr>
              <w:spacing w:before="0" w:after="80" w:line="240" w:lineRule="auto"/>
              <w:rPr>
                <w:sz w:val="18"/>
              </w:rPr>
            </w:pPr>
            <w:r w:rsidRPr="00B56812">
              <w:rPr>
                <w:sz w:val="18"/>
              </w:rPr>
              <w:t>Ratio of young people not in work, education or training NEET (15-24)</w:t>
            </w:r>
          </w:p>
        </w:tc>
      </w:tr>
    </w:tbl>
    <w:p w:rsidR="00980B41" w:rsidRDefault="00980B41" w:rsidP="00980B41"/>
    <w:p w:rsidR="009E55ED" w:rsidRDefault="00F77770" w:rsidP="00980B41">
      <w:r>
        <w:t xml:space="preserve">Some of the indicators presented in the table </w:t>
      </w:r>
      <w:r w:rsidR="007E62FF">
        <w:t>can be derived</w:t>
      </w:r>
      <w:r>
        <w:t xml:space="preserve"> from census databases (far not fully possessing by </w:t>
      </w:r>
      <w:proofErr w:type="spellStart"/>
      <w:r>
        <w:t>TiPSE</w:t>
      </w:r>
      <w:proofErr w:type="spellEnd"/>
      <w:r>
        <w:t xml:space="preserve"> ) by extra calculations</w:t>
      </w:r>
      <w:r w:rsidR="007E62FF">
        <w:t>, for example</w:t>
      </w:r>
      <w:r>
        <w:t xml:space="preserve"> </w:t>
      </w:r>
      <w:r w:rsidR="007E62FF">
        <w:t xml:space="preserve">labour force participation rate, economic old age dependency ratio, level of self-employment or ratio of NEETs, if classification is detailed enough. National statistical databases and </w:t>
      </w:r>
      <w:proofErr w:type="spellStart"/>
      <w:r w:rsidR="007E62FF">
        <w:t>Eurostat</w:t>
      </w:r>
      <w:proofErr w:type="spellEnd"/>
      <w:r w:rsidR="007E62FF">
        <w:t xml:space="preserve"> compilations of census data </w:t>
      </w:r>
      <w:r w:rsidR="00F94F80">
        <w:t xml:space="preserve">often </w:t>
      </w:r>
      <w:r w:rsidR="007E62FF">
        <w:t xml:space="preserve">unfortunately do not support that. Other interesting indicators like long-term unemployment rate or school enrolment ratios </w:t>
      </w:r>
      <w:r w:rsidR="005D7EDD">
        <w:t xml:space="preserve">(or drop-out rates) </w:t>
      </w:r>
      <w:r w:rsidR="007E62FF">
        <w:t xml:space="preserve">also suitably reflect to social exclusion. At the same time, more indirect measures of exclusion used by </w:t>
      </w:r>
      <w:proofErr w:type="spellStart"/>
      <w:r w:rsidR="007E62FF">
        <w:t>TiPSE</w:t>
      </w:r>
      <w:proofErr w:type="spellEnd"/>
      <w:r w:rsidR="007E62FF">
        <w:t xml:space="preserve"> which cover similar aspects of the phenomenon</w:t>
      </w:r>
      <w:r w:rsidR="005D7EDD">
        <w:t xml:space="preserve"> are also adequate to identify, classify and analyse basic patterns of </w:t>
      </w:r>
      <w:r w:rsidR="005D7EDD">
        <w:lastRenderedPageBreak/>
        <w:t>social exclusion in Europe. Other, alternate measures would only shade off th</w:t>
      </w:r>
      <w:r w:rsidR="00F94F80">
        <w:t xml:space="preserve">e presented </w:t>
      </w:r>
      <w:r w:rsidR="005D7EDD">
        <w:t>image.</w:t>
      </w:r>
    </w:p>
    <w:p w:rsidR="009E55ED" w:rsidRDefault="009E55ED" w:rsidP="00980B41"/>
    <w:p w:rsidR="00B878F5" w:rsidRPr="006C3BAA" w:rsidRDefault="00B878F5" w:rsidP="00B878F5">
      <w:pPr>
        <w:pStyle w:val="Cmsor2"/>
      </w:pPr>
      <w:bookmarkStart w:id="27" w:name="_Toc401264638"/>
      <w:r w:rsidRPr="006C3BAA">
        <w:t>Mapping the socially excluded – possibilities and limitations</w:t>
      </w:r>
      <w:bookmarkEnd w:id="27"/>
    </w:p>
    <w:p w:rsidR="00B878F5" w:rsidRPr="006C3BAA" w:rsidRDefault="00B878F5" w:rsidP="00464B49">
      <w:r w:rsidRPr="006C3BAA">
        <w:t xml:space="preserve">Mapping </w:t>
      </w:r>
      <w:proofErr w:type="gramStart"/>
      <w:r w:rsidRPr="006C3BAA">
        <w:t>practices,</w:t>
      </w:r>
      <w:proofErr w:type="gramEnd"/>
      <w:r w:rsidRPr="006C3BAA">
        <w:t xml:space="preserve"> and particularly mapping social phenomena has been in the focus of social scientific practice for several decades, in order to understand, explain, monitor and change social realities. In this last section of the report, some theoretical and methodological concerns will be raised about mapping social exclusion. </w:t>
      </w:r>
    </w:p>
    <w:p w:rsidR="00B878F5" w:rsidRPr="006C3BAA" w:rsidRDefault="00B878F5" w:rsidP="00464B49">
      <w:r w:rsidRPr="006C3BAA">
        <w:t xml:space="preserve">In the past 2-3 decades, a research strand has been developed in critical social theory which tries to understand research practices of mapping, and explores issues under the label ‘critical cartography’. This group of research mixes post-positivist theories (such as social constructivism or post-structuralism), uses new practices (such as reflexivity – cf. </w:t>
      </w:r>
      <w:proofErr w:type="spellStart"/>
      <w:r w:rsidRPr="006C3BAA">
        <w:t>Bourdieu</w:t>
      </w:r>
      <w:proofErr w:type="spellEnd"/>
      <w:r w:rsidRPr="006C3BAA">
        <w:t xml:space="preserve"> 2004) and new methodologies stemming from them. </w:t>
      </w:r>
    </w:p>
    <w:p w:rsidR="00B878F5" w:rsidRPr="006C3BAA" w:rsidRDefault="00B878F5" w:rsidP="00464B49">
      <w:r w:rsidRPr="006C3BAA">
        <w:t xml:space="preserve">These new approaches understand maps as both a social product (also reflecting the world-views of its producer), as well as an active agent in the processes of communication and </w:t>
      </w:r>
      <w:proofErr w:type="spellStart"/>
      <w:r w:rsidRPr="006C3BAA">
        <w:t>governmentality</w:t>
      </w:r>
      <w:proofErr w:type="spellEnd"/>
      <w:r w:rsidRPr="006C3BAA">
        <w:t xml:space="preserve"> (Ball and </w:t>
      </w:r>
      <w:proofErr w:type="spellStart"/>
      <w:r w:rsidRPr="006C3BAA">
        <w:t>Petsimeris</w:t>
      </w:r>
      <w:proofErr w:type="spellEnd"/>
      <w:r w:rsidRPr="006C3BAA">
        <w:t xml:space="preserve">, 2010; Michel, 2010). Mapping poverty and social exclusion has had the intellectual baggage of constructing poverty and interpreting poverty in a certain, univocal and powerful way for the past more than a century (cf. Ball and </w:t>
      </w:r>
      <w:proofErr w:type="spellStart"/>
      <w:r w:rsidRPr="006C3BAA">
        <w:t>Petsimeris</w:t>
      </w:r>
      <w:proofErr w:type="spellEnd"/>
      <w:r w:rsidRPr="006C3BAA">
        <w:t xml:space="preserve">, 2010). The Chicago School’s heritage, for example, established ‘spaces of exclusion’ through its research methods and practices culminating in mapping social classes. Delimiting, researching and living in spaces and places have therefore become an integral step in the chain of events that results in scientific facts (cf. </w:t>
      </w:r>
      <w:proofErr w:type="spellStart"/>
      <w:r w:rsidRPr="006C3BAA">
        <w:t>Gieryn</w:t>
      </w:r>
      <w:proofErr w:type="spellEnd"/>
      <w:r w:rsidRPr="006C3BAA">
        <w:t>, 2006). In addition, early works at intersections of poverty, wealth distribution and its spatiality have suggested that poverty is somehow inherited (Dorling and Pritchard, 2010), thereby conceptualising space as an important actor of social processes.</w:t>
      </w:r>
    </w:p>
    <w:p w:rsidR="00B878F5" w:rsidRPr="006C3BAA" w:rsidRDefault="00B878F5" w:rsidP="00464B49">
      <w:r w:rsidRPr="006C3BAA">
        <w:t xml:space="preserve">Critical studies on mapping social phenomena have referred to the power of maps in producing and distributing uncontested meanings, thereby excluding, marginalising and stigmatising different groups of people (cf. </w:t>
      </w:r>
      <w:proofErr w:type="spellStart"/>
      <w:r w:rsidRPr="006C3BAA">
        <w:t>Belina</w:t>
      </w:r>
      <w:proofErr w:type="spellEnd"/>
      <w:r w:rsidRPr="006C3BAA">
        <w:t>, 2009). These researches have referred to false abstractions (</w:t>
      </w:r>
      <w:proofErr w:type="spellStart"/>
      <w:r w:rsidRPr="006C3BAA">
        <w:t>Belina</w:t>
      </w:r>
      <w:proofErr w:type="spellEnd"/>
      <w:r w:rsidRPr="006C3BAA">
        <w:t>, 2009) in the mapping practice, and have denied the objective and neutral practices of visualisa</w:t>
      </w:r>
      <w:r w:rsidR="00464B49">
        <w:t>tion using maps (Michel, 2010).</w:t>
      </w:r>
    </w:p>
    <w:p w:rsidR="00B878F5" w:rsidRPr="006C3BAA" w:rsidRDefault="00B878F5" w:rsidP="00464B49">
      <w:r w:rsidRPr="006C3BAA">
        <w:t xml:space="preserve">In the critical cartography literature, a distinction can be made between two strands. One of them is an approach which tries to understand (using mostly a framework of discourse analysis) how maps are produced, which power relations and geographical imaginations are coded in the map, how the interrelations of signifier and signified are constantly reproduced by researchers and in the everyday practice (see for example </w:t>
      </w:r>
      <w:proofErr w:type="spellStart"/>
      <w:r w:rsidRPr="006C3BAA">
        <w:t>Mose</w:t>
      </w:r>
      <w:proofErr w:type="spellEnd"/>
      <w:r w:rsidRPr="006C3BAA">
        <w:t xml:space="preserve"> and </w:t>
      </w:r>
      <w:proofErr w:type="spellStart"/>
      <w:r w:rsidRPr="006C3BAA">
        <w:t>Strüver</w:t>
      </w:r>
      <w:proofErr w:type="spellEnd"/>
      <w:r w:rsidRPr="006C3BAA">
        <w:t xml:space="preserve">, 2009). The other not only tries to understand mapping practices, but also aims at offering alternatives to them in order to change the world for better. These latter approaches have been more or less informed by the Marxist </w:t>
      </w:r>
      <w:r w:rsidRPr="006C3BAA">
        <w:lastRenderedPageBreak/>
        <w:t>critique (</w:t>
      </w:r>
      <w:proofErr w:type="spellStart"/>
      <w:r w:rsidRPr="006C3BAA">
        <w:t>Belina</w:t>
      </w:r>
      <w:proofErr w:type="spellEnd"/>
      <w:r w:rsidRPr="006C3BAA">
        <w:t>, 2009), or have applied a diverse theoretical entry point, such as Gibson-Graham’s action research (cf. Gibson-Graham, 2008) which merges feminist, post-</w:t>
      </w:r>
      <w:proofErr w:type="spellStart"/>
      <w:r w:rsidRPr="006C3BAA">
        <w:t>structuralist</w:t>
      </w:r>
      <w:proofErr w:type="spellEnd"/>
      <w:r w:rsidRPr="006C3BAA">
        <w:t xml:space="preserve"> and Marxian understandings.</w:t>
      </w:r>
    </w:p>
    <w:p w:rsidR="00B878F5" w:rsidRPr="006C3BAA" w:rsidRDefault="00B878F5" w:rsidP="00464B49">
      <w:r w:rsidRPr="006C3BAA">
        <w:t xml:space="preserve">This latter, ‘more active’ approach has also some implications for ESPON </w:t>
      </w:r>
      <w:proofErr w:type="spellStart"/>
      <w:r w:rsidRPr="006C3BAA">
        <w:t>TiPSE</w:t>
      </w:r>
      <w:proofErr w:type="spellEnd"/>
      <w:r w:rsidRPr="006C3BAA">
        <w:t xml:space="preserve">, as some articles in the past decades also called for alternative representations of the spatiality of poverty, social exclusion, vulnerability of exclusion, or related social phenomena. </w:t>
      </w:r>
      <w:proofErr w:type="spellStart"/>
      <w:r w:rsidRPr="006C3BAA">
        <w:t>Fahmy</w:t>
      </w:r>
      <w:proofErr w:type="spellEnd"/>
      <w:r w:rsidRPr="006C3BAA">
        <w:t xml:space="preserve"> et al. (2008) on the one hand opted for a visualisation of poverty which uses tracts with the same number of population, which is a more ‘democratic’ representation of people offering everyone the same space on the map (see also the Online Census Atlas: Durham et al., 2006). St. Martin (2009) on the other hand, argues for </w:t>
      </w:r>
      <w:proofErr w:type="spellStart"/>
      <w:r w:rsidRPr="006C3BAA">
        <w:t>countermapping</w:t>
      </w:r>
      <w:proofErr w:type="spellEnd"/>
      <w:r w:rsidRPr="006C3BAA">
        <w:t xml:space="preserve"> strategies in order to reclaim resources for the dispossessed people, to constitute new imaginaries of places and to remap spaces and resources as common(s). </w:t>
      </w:r>
      <w:proofErr w:type="gramStart"/>
      <w:r w:rsidRPr="006C3BAA">
        <w:t>St. Martin calls for mixed-method researches with combining ‘traditional’ mapping practices (of mostly official statistical data) with qualitative – primarily ethnographic – studies, so that alternative realities may be constructed together with marginalised groups of people.</w:t>
      </w:r>
      <w:proofErr w:type="gramEnd"/>
      <w:r w:rsidRPr="006C3BAA">
        <w:t xml:space="preserve"> Within this research practices, mapping is not only a way of understanding spatial patterns of the reality, but also offering the entry point for proposing new or alternative realities. This approach is in line with other action researches which aim at dislocating different </w:t>
      </w:r>
      <w:proofErr w:type="spellStart"/>
      <w:r w:rsidRPr="006C3BAA">
        <w:t>ontologies</w:t>
      </w:r>
      <w:proofErr w:type="spellEnd"/>
      <w:r w:rsidRPr="006C3BAA">
        <w:t xml:space="preserve">, such as ‘the poverty’, ‘the social exclusion’ or ‘the economy’. </w:t>
      </w:r>
      <w:proofErr w:type="gramStart"/>
      <w:r w:rsidRPr="006C3BAA">
        <w:t>J-K.</w:t>
      </w:r>
      <w:proofErr w:type="gramEnd"/>
      <w:r w:rsidRPr="006C3BAA">
        <w:t xml:space="preserve"> Gibson-Graham (2008), for example, used action research in order to offer new and more inclusive understandings of ‘the economy’, and thereby </w:t>
      </w:r>
      <w:proofErr w:type="gramStart"/>
      <w:r w:rsidRPr="006C3BAA">
        <w:t>change</w:t>
      </w:r>
      <w:proofErr w:type="gramEnd"/>
      <w:r w:rsidRPr="006C3BAA">
        <w:t xml:space="preserve"> the lives of people who were partaking in these action researches for the better. </w:t>
      </w:r>
    </w:p>
    <w:p w:rsidR="00B878F5" w:rsidRPr="006C3BAA" w:rsidRDefault="00B878F5" w:rsidP="00464B49">
      <w:r w:rsidRPr="006C3BAA">
        <w:t xml:space="preserve">The practice of St. Martin and Gibson-Graham also </w:t>
      </w:r>
      <w:r w:rsidR="00521C0B">
        <w:t xml:space="preserve">had </w:t>
      </w:r>
      <w:r w:rsidRPr="006C3BAA">
        <w:t xml:space="preserve">some conclusions to be drawn for research practices in ESPON </w:t>
      </w:r>
      <w:proofErr w:type="spellStart"/>
      <w:r w:rsidRPr="006C3BAA">
        <w:t>TiPSE</w:t>
      </w:r>
      <w:proofErr w:type="spellEnd"/>
      <w:r w:rsidRPr="006C3BAA">
        <w:t xml:space="preserve">. For example, it </w:t>
      </w:r>
      <w:r w:rsidR="00521C0B">
        <w:t xml:space="preserve">was </w:t>
      </w:r>
      <w:r w:rsidRPr="006C3BAA">
        <w:t xml:space="preserve">elaborated on, how research outputs of </w:t>
      </w:r>
      <w:r w:rsidR="00C24A00">
        <w:t>Tasks</w:t>
      </w:r>
      <w:r w:rsidRPr="006C3BAA">
        <w:t xml:space="preserve"> 2.3 and 2.6 on the social exclusion database and the mapping exercise are to be used as an entry point for discussions </w:t>
      </w:r>
      <w:r w:rsidR="007C2933">
        <w:t>on policy relevance</w:t>
      </w:r>
      <w:r w:rsidRPr="006C3BAA">
        <w:t xml:space="preserve">. Using this approach, differences of the macro-level mapping and people’s place-based perceptions on social exclusion </w:t>
      </w:r>
      <w:r w:rsidR="00521C0B">
        <w:t xml:space="preserve">could </w:t>
      </w:r>
      <w:r w:rsidRPr="006C3BAA">
        <w:t xml:space="preserve">be compared. This research practice </w:t>
      </w:r>
      <w:r w:rsidR="00521C0B">
        <w:t xml:space="preserve">could </w:t>
      </w:r>
      <w:r w:rsidRPr="006C3BAA">
        <w:t xml:space="preserve">result in a more nuanced understanding of social exclusion and more inclusive social policies put forward by the </w:t>
      </w:r>
      <w:proofErr w:type="spellStart"/>
      <w:r w:rsidRPr="006C3BAA">
        <w:t>TiPSE</w:t>
      </w:r>
      <w:proofErr w:type="spellEnd"/>
      <w:r w:rsidRPr="006C3BAA">
        <w:t xml:space="preserve"> research project. </w:t>
      </w:r>
    </w:p>
    <w:p w:rsidR="004918AD" w:rsidRPr="006C3BAA" w:rsidRDefault="004918AD" w:rsidP="004918AD"/>
    <w:p w:rsidR="00B878F5" w:rsidRPr="006C3BAA" w:rsidRDefault="00B878F5" w:rsidP="00B878F5">
      <w:pPr>
        <w:pStyle w:val="Cmsor1"/>
      </w:pPr>
      <w:bookmarkStart w:id="28" w:name="_Toc401264639"/>
      <w:r w:rsidRPr="006C3BAA">
        <w:t>References</w:t>
      </w:r>
      <w:bookmarkEnd w:id="28"/>
    </w:p>
    <w:p w:rsidR="00B878F5" w:rsidRPr="0093492C" w:rsidRDefault="00B878F5" w:rsidP="00B878F5">
      <w:pPr>
        <w:rPr>
          <w:lang w:val="de-DE"/>
        </w:rPr>
      </w:pPr>
      <w:r w:rsidRPr="006C3BAA">
        <w:t xml:space="preserve">Ball, S. and </w:t>
      </w:r>
      <w:proofErr w:type="spellStart"/>
      <w:r w:rsidRPr="006C3BAA">
        <w:t>Petsimeris</w:t>
      </w:r>
      <w:proofErr w:type="spellEnd"/>
      <w:r w:rsidRPr="006C3BAA">
        <w:t xml:space="preserve">, P. (2010) Mapping Urban Social Divisions. </w:t>
      </w:r>
      <w:r w:rsidRPr="0093492C">
        <w:rPr>
          <w:i/>
          <w:iCs/>
          <w:lang w:val="de-DE"/>
        </w:rPr>
        <w:t xml:space="preserve">Forum Qualitative Sozialforschung / Forum: Qualitative </w:t>
      </w:r>
      <w:proofErr w:type="spellStart"/>
      <w:r w:rsidRPr="0093492C">
        <w:rPr>
          <w:i/>
          <w:iCs/>
          <w:lang w:val="de-DE"/>
        </w:rPr>
        <w:t>Social</w:t>
      </w:r>
      <w:proofErr w:type="spellEnd"/>
      <w:r w:rsidRPr="0093492C">
        <w:rPr>
          <w:i/>
          <w:iCs/>
          <w:lang w:val="de-DE"/>
        </w:rPr>
        <w:t xml:space="preserve"> Research,</w:t>
      </w:r>
      <w:r w:rsidRPr="0093492C">
        <w:rPr>
          <w:lang w:val="de-DE"/>
        </w:rPr>
        <w:t xml:space="preserve"> 11 (2) </w:t>
      </w:r>
      <w:proofErr w:type="spellStart"/>
      <w:r w:rsidRPr="0093492C">
        <w:rPr>
          <w:lang w:val="de-DE"/>
        </w:rPr>
        <w:t>Article</w:t>
      </w:r>
      <w:proofErr w:type="spellEnd"/>
      <w:r w:rsidRPr="0093492C">
        <w:rPr>
          <w:lang w:val="de-DE"/>
        </w:rPr>
        <w:t xml:space="preserve"> 37.</w:t>
      </w:r>
    </w:p>
    <w:p w:rsidR="00B878F5" w:rsidRPr="006C3BAA" w:rsidRDefault="00B878F5" w:rsidP="00B878F5">
      <w:proofErr w:type="spellStart"/>
      <w:r w:rsidRPr="003158DA">
        <w:rPr>
          <w:lang w:val="de-DE"/>
        </w:rPr>
        <w:t>Belina</w:t>
      </w:r>
      <w:proofErr w:type="spellEnd"/>
      <w:r w:rsidRPr="003158DA">
        <w:rPr>
          <w:lang w:val="de-DE"/>
        </w:rPr>
        <w:t xml:space="preserve">, B. (2009) Kriminalitätskartierung – Produkt und Mittel neoliberalen Regierens, oder: Wenn falsche Abstraktionen durch die Macht der Karte praktisch wahr gemacht werden. </w:t>
      </w:r>
      <w:proofErr w:type="spellStart"/>
      <w:r w:rsidRPr="006C3BAA">
        <w:rPr>
          <w:i/>
          <w:iCs/>
        </w:rPr>
        <w:t>Geographische</w:t>
      </w:r>
      <w:proofErr w:type="spellEnd"/>
      <w:r w:rsidRPr="006C3BAA">
        <w:rPr>
          <w:i/>
          <w:iCs/>
        </w:rPr>
        <w:t xml:space="preserve"> </w:t>
      </w:r>
      <w:proofErr w:type="spellStart"/>
      <w:r w:rsidRPr="006C3BAA">
        <w:rPr>
          <w:i/>
          <w:iCs/>
        </w:rPr>
        <w:t>Zeitschrift</w:t>
      </w:r>
      <w:proofErr w:type="spellEnd"/>
      <w:r w:rsidRPr="006C3BAA">
        <w:rPr>
          <w:i/>
          <w:iCs/>
        </w:rPr>
        <w:t>,</w:t>
      </w:r>
      <w:r w:rsidRPr="006C3BAA">
        <w:t xml:space="preserve"> 97(2) 192–212. </w:t>
      </w:r>
    </w:p>
    <w:p w:rsidR="00B878F5" w:rsidRPr="006C3BAA" w:rsidRDefault="00B878F5" w:rsidP="00B878F5">
      <w:proofErr w:type="spellStart"/>
      <w:r w:rsidRPr="006C3BAA">
        <w:lastRenderedPageBreak/>
        <w:t>Bourdieu</w:t>
      </w:r>
      <w:proofErr w:type="spellEnd"/>
      <w:r w:rsidRPr="006C3BAA">
        <w:t xml:space="preserve">, P. (2004) </w:t>
      </w:r>
      <w:r w:rsidRPr="006C3BAA">
        <w:rPr>
          <w:i/>
          <w:iCs/>
        </w:rPr>
        <w:t>Science of science and reflexivity.</w:t>
      </w:r>
      <w:r w:rsidRPr="006C3BAA">
        <w:t xml:space="preserve"> Chicago: University of Chicago Press.</w:t>
      </w:r>
    </w:p>
    <w:p w:rsidR="00B878F5" w:rsidRPr="006C3BAA" w:rsidRDefault="00B878F5" w:rsidP="00B878F5">
      <w:r w:rsidRPr="006C3BAA">
        <w:t xml:space="preserve">Bradshaw, J. and Mayhew, E. (2010) </w:t>
      </w:r>
      <w:proofErr w:type="gramStart"/>
      <w:r w:rsidRPr="006C3BAA">
        <w:rPr>
          <w:i/>
          <w:iCs/>
        </w:rPr>
        <w:t>The</w:t>
      </w:r>
      <w:proofErr w:type="gramEnd"/>
      <w:r w:rsidRPr="006C3BAA">
        <w:rPr>
          <w:i/>
          <w:iCs/>
        </w:rPr>
        <w:t xml:space="preserve"> measurement of extreme poverty in the European Union, </w:t>
      </w:r>
      <w:r w:rsidRPr="006C3BAA">
        <w:t>Report for the Directorate-General for Employment, Social Affairs and Inclusion, Brussels: European Commission</w:t>
      </w:r>
    </w:p>
    <w:p w:rsidR="00B878F5" w:rsidRPr="006C3BAA" w:rsidRDefault="00B878F5" w:rsidP="00B878F5">
      <w:proofErr w:type="spellStart"/>
      <w:proofErr w:type="gramStart"/>
      <w:r w:rsidRPr="006C3BAA">
        <w:t>Bubbico</w:t>
      </w:r>
      <w:proofErr w:type="spellEnd"/>
      <w:r w:rsidRPr="006C3BAA">
        <w:t xml:space="preserve">, R.L. and </w:t>
      </w:r>
      <w:proofErr w:type="spellStart"/>
      <w:r w:rsidRPr="006C3BAA">
        <w:t>Dijkstra</w:t>
      </w:r>
      <w:proofErr w:type="spellEnd"/>
      <w:r w:rsidRPr="006C3BAA">
        <w:t>, L. (2011) The European regional Human Development and Human Poverty Indices.</w:t>
      </w:r>
      <w:proofErr w:type="gramEnd"/>
      <w:r w:rsidRPr="006C3BAA">
        <w:t xml:space="preserve"> </w:t>
      </w:r>
      <w:r w:rsidRPr="006C3BAA">
        <w:rPr>
          <w:i/>
          <w:iCs/>
        </w:rPr>
        <w:t>Regional Focus,</w:t>
      </w:r>
      <w:r w:rsidRPr="006C3BAA">
        <w:t xml:space="preserve"> 02/2011. http://ec.europa.eu/regional_policy/sources/docgener/focus/2011_02_hdev_hpov_indices.pdf</w:t>
      </w:r>
    </w:p>
    <w:p w:rsidR="00B878F5" w:rsidRPr="006C3BAA" w:rsidRDefault="00B878F5" w:rsidP="00B878F5">
      <w:proofErr w:type="spellStart"/>
      <w:proofErr w:type="gramStart"/>
      <w:r w:rsidRPr="006C3BAA">
        <w:t>Czirfusz</w:t>
      </w:r>
      <w:proofErr w:type="spellEnd"/>
      <w:r w:rsidRPr="006C3BAA">
        <w:t xml:space="preserve">, M. (2010) </w:t>
      </w:r>
      <w:proofErr w:type="spellStart"/>
      <w:r w:rsidRPr="006C3BAA">
        <w:t>Faktoranalízis</w:t>
      </w:r>
      <w:proofErr w:type="spellEnd"/>
      <w:r w:rsidRPr="006C3BAA">
        <w:t xml:space="preserve">, a </w:t>
      </w:r>
      <w:proofErr w:type="spellStart"/>
      <w:r w:rsidRPr="006C3BAA">
        <w:t>látszatmegoldás</w:t>
      </w:r>
      <w:proofErr w:type="spellEnd"/>
      <w:r w:rsidRPr="006C3BAA">
        <w:t xml:space="preserve"> [Factor analysis, a pseudo-solution.]</w:t>
      </w:r>
      <w:proofErr w:type="gramEnd"/>
      <w:r w:rsidRPr="006C3BAA">
        <w:t xml:space="preserve"> </w:t>
      </w:r>
      <w:proofErr w:type="spellStart"/>
      <w:proofErr w:type="gramStart"/>
      <w:r w:rsidRPr="006C3BAA">
        <w:rPr>
          <w:i/>
          <w:iCs/>
        </w:rPr>
        <w:t>Tér</w:t>
      </w:r>
      <w:proofErr w:type="spellEnd"/>
      <w:r w:rsidRPr="006C3BAA">
        <w:rPr>
          <w:i/>
          <w:iCs/>
        </w:rPr>
        <w:t xml:space="preserve"> </w:t>
      </w:r>
      <w:proofErr w:type="spellStart"/>
      <w:r w:rsidRPr="006C3BAA">
        <w:rPr>
          <w:i/>
          <w:iCs/>
        </w:rPr>
        <w:t>és</w:t>
      </w:r>
      <w:proofErr w:type="spellEnd"/>
      <w:r w:rsidRPr="006C3BAA">
        <w:rPr>
          <w:i/>
          <w:iCs/>
        </w:rPr>
        <w:t xml:space="preserve"> </w:t>
      </w:r>
      <w:proofErr w:type="spellStart"/>
      <w:r w:rsidRPr="006C3BAA">
        <w:rPr>
          <w:i/>
          <w:iCs/>
        </w:rPr>
        <w:t>Társadalom</w:t>
      </w:r>
      <w:proofErr w:type="spellEnd"/>
      <w:r w:rsidRPr="006C3BAA">
        <w:rPr>
          <w:i/>
          <w:iCs/>
        </w:rPr>
        <w:t>,</w:t>
      </w:r>
      <w:r w:rsidRPr="006C3BAA">
        <w:t xml:space="preserve"> 24 (1) 37 – 49.</w:t>
      </w:r>
      <w:proofErr w:type="gramEnd"/>
    </w:p>
    <w:p w:rsidR="00B878F5" w:rsidRPr="006C3BAA" w:rsidRDefault="00B878F5" w:rsidP="00B878F5">
      <w:r w:rsidRPr="006C3BAA">
        <w:t xml:space="preserve">Dorling D. (2006) A place where everyone matters: crime and poverty. </w:t>
      </w:r>
      <w:proofErr w:type="gramStart"/>
      <w:r w:rsidRPr="006C3BAA">
        <w:rPr>
          <w:i/>
          <w:iCs/>
        </w:rPr>
        <w:t>Environment and Planning A,</w:t>
      </w:r>
      <w:r w:rsidRPr="006C3BAA">
        <w:t xml:space="preserve"> 38 (11) 1993–1998.</w:t>
      </w:r>
      <w:proofErr w:type="gramEnd"/>
    </w:p>
    <w:p w:rsidR="00B878F5" w:rsidRPr="006C3BAA" w:rsidRDefault="00B878F5" w:rsidP="00B878F5">
      <w:r w:rsidRPr="006C3BAA">
        <w:t xml:space="preserve">Dorling, D. and Pritchard, J. (2010) </w:t>
      </w:r>
      <w:proofErr w:type="gramStart"/>
      <w:r w:rsidRPr="006C3BAA">
        <w:t>The</w:t>
      </w:r>
      <w:proofErr w:type="gramEnd"/>
      <w:r w:rsidRPr="006C3BAA">
        <w:t xml:space="preserve"> geography of poverty, inequality and wealth in the UK and abroad: because enough is never enough. </w:t>
      </w:r>
      <w:r w:rsidRPr="006C3BAA">
        <w:rPr>
          <w:i/>
          <w:iCs/>
        </w:rPr>
        <w:t xml:space="preserve">Applied Spatial Analysis and Policy, </w:t>
      </w:r>
      <w:r w:rsidRPr="006C3BAA">
        <w:t>3 (2–3) 81–106.</w:t>
      </w:r>
    </w:p>
    <w:p w:rsidR="00B878F5" w:rsidRPr="006C3BAA" w:rsidRDefault="00B878F5" w:rsidP="00B878F5">
      <w:proofErr w:type="gramStart"/>
      <w:r w:rsidRPr="006C3BAA">
        <w:t>Durham, H., Rees, P., and Dorling, D. (2006) An Online Census Atlas for everyone.</w:t>
      </w:r>
      <w:proofErr w:type="gramEnd"/>
      <w:r w:rsidRPr="006C3BAA">
        <w:t xml:space="preserve"> </w:t>
      </w:r>
      <w:r w:rsidRPr="006C3BAA">
        <w:rPr>
          <w:i/>
          <w:iCs/>
        </w:rPr>
        <w:t>Area,</w:t>
      </w:r>
      <w:r w:rsidRPr="006C3BAA">
        <w:t xml:space="preserve"> 38 (3) 336–341.</w:t>
      </w:r>
    </w:p>
    <w:p w:rsidR="00B878F5" w:rsidRPr="006C3BAA" w:rsidRDefault="00B878F5" w:rsidP="00B878F5">
      <w:r w:rsidRPr="006C3BAA">
        <w:t xml:space="preserve">European Commission (1998) </w:t>
      </w:r>
      <w:r w:rsidRPr="006C3BAA">
        <w:rPr>
          <w:i/>
          <w:iCs/>
        </w:rPr>
        <w:t>Non-monetary indicators of poverty and social exclusion – final report</w:t>
      </w:r>
      <w:r w:rsidRPr="006C3BAA">
        <w:t>, Luxembourg: OOPEC</w:t>
      </w:r>
    </w:p>
    <w:p w:rsidR="00B878F5" w:rsidRDefault="00B878F5" w:rsidP="00B878F5">
      <w:proofErr w:type="gramStart"/>
      <w:r w:rsidRPr="006C3BAA">
        <w:t>European Commission (2010) Investing in Europe’s future.</w:t>
      </w:r>
      <w:proofErr w:type="gramEnd"/>
      <w:r w:rsidRPr="006C3BAA">
        <w:t xml:space="preserve"> </w:t>
      </w:r>
      <w:proofErr w:type="gramStart"/>
      <w:r w:rsidRPr="006C3BAA">
        <w:t>Fifth report on economic, social and territorial cohesion.</w:t>
      </w:r>
      <w:proofErr w:type="gramEnd"/>
      <w:r w:rsidRPr="006C3BAA">
        <w:t xml:space="preserve"> Luxembourg: Publications Office of the European Union</w:t>
      </w:r>
    </w:p>
    <w:p w:rsidR="002B3046" w:rsidRPr="006C3BAA" w:rsidRDefault="002B3046" w:rsidP="00B878F5">
      <w:proofErr w:type="gramStart"/>
      <w:r>
        <w:t>European Commission (2014) Investment for jobs and growth.</w:t>
      </w:r>
      <w:proofErr w:type="gramEnd"/>
      <w:r>
        <w:t xml:space="preserve"> </w:t>
      </w:r>
      <w:proofErr w:type="gramStart"/>
      <w:r>
        <w:t>Sixth report on economic, social and territorial cohesion.</w:t>
      </w:r>
      <w:proofErr w:type="gramEnd"/>
      <w:r>
        <w:t xml:space="preserve"> </w:t>
      </w:r>
      <w:r w:rsidRPr="006C3BAA">
        <w:t>Luxembourg: Publications Office of the European Union</w:t>
      </w:r>
    </w:p>
    <w:p w:rsidR="00B878F5" w:rsidRPr="006C3BAA" w:rsidRDefault="00B878F5" w:rsidP="00B878F5">
      <w:r w:rsidRPr="006C3BAA">
        <w:t xml:space="preserve">EC Regulation 763/2008 of the European Parliament and of the Council of 9 July 2008 on population and housing censuses. </w:t>
      </w:r>
      <w:hyperlink r:id="rId21" w:history="1">
        <w:r w:rsidRPr="006C3BAA">
          <w:rPr>
            <w:rStyle w:val="Hiperhivatkozs"/>
          </w:rPr>
          <w:t>http://eur-lex.europa.eu/LexUriServ/LexUriServ.do?uri=OJ:L:2008:218:0014:01:EN:HTML</w:t>
        </w:r>
      </w:hyperlink>
    </w:p>
    <w:p w:rsidR="00B878F5" w:rsidRPr="006C3BAA" w:rsidRDefault="00B878F5" w:rsidP="00B878F5">
      <w:r w:rsidRPr="006C3BAA">
        <w:t xml:space="preserve">EC Regulation 1201/2009 of 30 November implementing Regulation (EC) No 763/2008 of the European Parliament and of the Council on population and housing censuses as regards the technical specifications of the topics and of their breakdowns. </w:t>
      </w:r>
      <w:hyperlink r:id="rId22" w:history="1">
        <w:r w:rsidRPr="006C3BAA">
          <w:rPr>
            <w:rStyle w:val="Hiperhivatkozs"/>
          </w:rPr>
          <w:t>http://eur-lex.europa.eu/LexUriServ/LexUriServ.do?uri=OJ:L:2009:329:0029:01:EN:HTML</w:t>
        </w:r>
      </w:hyperlink>
    </w:p>
    <w:p w:rsidR="00B878F5" w:rsidRPr="006C3BAA" w:rsidRDefault="00B878F5" w:rsidP="00B878F5">
      <w:r w:rsidRPr="006C3BAA">
        <w:t xml:space="preserve">EC Regulation 519/2010 of 16 June 2010 adopting the programme of the statistical data and of the metadata for population and housing censuses provided for by Regulation (EC) No 763/2008 of the European Parliament and of the Council. </w:t>
      </w:r>
      <w:hyperlink r:id="rId23" w:history="1">
        <w:r w:rsidRPr="006C3BAA">
          <w:rPr>
            <w:rStyle w:val="Hiperhivatkozs"/>
          </w:rPr>
          <w:t>http://eur-lex.europa.eu/LexUriServ/LexUriServ.do?uri=OJ:L:2010:151:0001:0013:EN:PDF</w:t>
        </w:r>
      </w:hyperlink>
    </w:p>
    <w:p w:rsidR="00B878F5" w:rsidRPr="006C3BAA" w:rsidRDefault="00B878F5" w:rsidP="00B878F5">
      <w:proofErr w:type="spellStart"/>
      <w:r w:rsidRPr="006C3BAA">
        <w:t>Fahmy</w:t>
      </w:r>
      <w:proofErr w:type="spellEnd"/>
      <w:r w:rsidRPr="006C3BAA">
        <w:t xml:space="preserve">, E., Dorling, D., Rigby, J., Wheeler, B., </w:t>
      </w:r>
      <w:proofErr w:type="spellStart"/>
      <w:r w:rsidRPr="006C3BAA">
        <w:t>Ballas</w:t>
      </w:r>
      <w:proofErr w:type="spellEnd"/>
      <w:r w:rsidRPr="006C3BAA">
        <w:t xml:space="preserve">, D., Gordon, D., Lupton, R. (2008) Poverty, Wealth and Place in Britain, 1968–2005. </w:t>
      </w:r>
      <w:r w:rsidRPr="006C3BAA">
        <w:rPr>
          <w:i/>
          <w:iCs/>
        </w:rPr>
        <w:t>Radical Statistics,</w:t>
      </w:r>
      <w:r w:rsidRPr="006C3BAA">
        <w:t xml:space="preserve"> Issue 97, 11–30.</w:t>
      </w:r>
    </w:p>
    <w:p w:rsidR="00B878F5" w:rsidRPr="006C3BAA" w:rsidRDefault="00B878F5" w:rsidP="00B878F5">
      <w:r w:rsidRPr="006C3BAA">
        <w:t xml:space="preserve">Gibson-Graham, J.K. (2008) </w:t>
      </w:r>
      <w:proofErr w:type="gramStart"/>
      <w:r w:rsidRPr="006C3BAA">
        <w:t>Diverse</w:t>
      </w:r>
      <w:proofErr w:type="gramEnd"/>
      <w:r w:rsidRPr="006C3BAA">
        <w:t xml:space="preserve"> economies: </w:t>
      </w:r>
      <w:proofErr w:type="spellStart"/>
      <w:r w:rsidRPr="006C3BAA">
        <w:t>performative</w:t>
      </w:r>
      <w:proofErr w:type="spellEnd"/>
      <w:r w:rsidRPr="006C3BAA">
        <w:t xml:space="preserve"> practices for ‘other worlds’. </w:t>
      </w:r>
      <w:proofErr w:type="gramStart"/>
      <w:r w:rsidRPr="006C3BAA">
        <w:rPr>
          <w:i/>
          <w:iCs/>
        </w:rPr>
        <w:t>Progress in Human Geography,</w:t>
      </w:r>
      <w:r w:rsidRPr="006C3BAA">
        <w:t xml:space="preserve"> 32 (5) 613 –632.</w:t>
      </w:r>
      <w:proofErr w:type="gramEnd"/>
      <w:r w:rsidRPr="006C3BAA">
        <w:t xml:space="preserve"> </w:t>
      </w:r>
    </w:p>
    <w:p w:rsidR="00B878F5" w:rsidRPr="006C3BAA" w:rsidRDefault="00B878F5" w:rsidP="00B878F5">
      <w:proofErr w:type="spellStart"/>
      <w:r w:rsidRPr="006C3BAA">
        <w:t>Gieryn</w:t>
      </w:r>
      <w:proofErr w:type="spellEnd"/>
      <w:r w:rsidRPr="006C3BAA">
        <w:t xml:space="preserve">, T. F. (2006) City as truth-spot: laboratories and field sites in urban studies. </w:t>
      </w:r>
      <w:r w:rsidRPr="006C3BAA">
        <w:rPr>
          <w:i/>
          <w:iCs/>
        </w:rPr>
        <w:t>Social Studies of Science,</w:t>
      </w:r>
      <w:r w:rsidRPr="006C3BAA">
        <w:t xml:space="preserve"> 36 (1) 5–38.</w:t>
      </w:r>
    </w:p>
    <w:p w:rsidR="00B878F5" w:rsidRPr="006C3BAA" w:rsidRDefault="00B878F5" w:rsidP="00B878F5">
      <w:proofErr w:type="gramStart"/>
      <w:r w:rsidRPr="006C3BAA">
        <w:t xml:space="preserve">Gregory, D. and </w:t>
      </w:r>
      <w:proofErr w:type="spellStart"/>
      <w:r w:rsidRPr="006C3BAA">
        <w:t>Urry</w:t>
      </w:r>
      <w:proofErr w:type="spellEnd"/>
      <w:r w:rsidRPr="006C3BAA">
        <w:t xml:space="preserve">, J. (eds.) (1985) </w:t>
      </w:r>
      <w:r w:rsidRPr="006C3BAA">
        <w:rPr>
          <w:i/>
          <w:iCs/>
        </w:rPr>
        <w:t>Social relations and spatial structures.</w:t>
      </w:r>
      <w:proofErr w:type="gramEnd"/>
      <w:r w:rsidRPr="006C3BAA">
        <w:t xml:space="preserve"> Basingstoke: Macmillan</w:t>
      </w:r>
    </w:p>
    <w:p w:rsidR="00B878F5" w:rsidRPr="006C3BAA" w:rsidRDefault="00B878F5" w:rsidP="00B878F5">
      <w:proofErr w:type="spellStart"/>
      <w:r w:rsidRPr="006C3BAA">
        <w:t>Haraway</w:t>
      </w:r>
      <w:proofErr w:type="spellEnd"/>
      <w:r w:rsidRPr="006C3BAA">
        <w:t xml:space="preserve">, D. (1988) Situated </w:t>
      </w:r>
      <w:proofErr w:type="spellStart"/>
      <w:r w:rsidRPr="006C3BAA">
        <w:t>knowledges</w:t>
      </w:r>
      <w:proofErr w:type="spellEnd"/>
      <w:r w:rsidRPr="006C3BAA">
        <w:t xml:space="preserve">: The science question in feminism and the privilege of partial perspective, </w:t>
      </w:r>
      <w:r w:rsidRPr="006C3BAA">
        <w:rPr>
          <w:i/>
          <w:iCs/>
        </w:rPr>
        <w:t>Feminist Studies,</w:t>
      </w:r>
      <w:r w:rsidRPr="006C3BAA">
        <w:t xml:space="preserve"> 14 (3) 575 – 599.</w:t>
      </w:r>
    </w:p>
    <w:p w:rsidR="00B878F5" w:rsidRPr="006C3BAA" w:rsidRDefault="00B878F5" w:rsidP="00B878F5">
      <w:proofErr w:type="gramStart"/>
      <w:r w:rsidRPr="006C3BAA">
        <w:t>Herbert, S. and Brown, E. (2006) Conceptions of Space and Crime in the Punitive Neoliberal City.</w:t>
      </w:r>
      <w:proofErr w:type="gramEnd"/>
      <w:r w:rsidRPr="006C3BAA">
        <w:t xml:space="preserve"> </w:t>
      </w:r>
      <w:r w:rsidRPr="006C3BAA">
        <w:rPr>
          <w:i/>
          <w:iCs/>
        </w:rPr>
        <w:t xml:space="preserve">Antipode, </w:t>
      </w:r>
      <w:r w:rsidRPr="006C3BAA">
        <w:t>38 (4) 755–777</w:t>
      </w:r>
    </w:p>
    <w:p w:rsidR="00B878F5" w:rsidRPr="006C3BAA" w:rsidRDefault="00B878F5" w:rsidP="00B878F5">
      <w:r w:rsidRPr="006C3BAA">
        <w:t xml:space="preserve">Herod, A. (2011) </w:t>
      </w:r>
      <w:r w:rsidRPr="006C3BAA">
        <w:rPr>
          <w:i/>
          <w:iCs/>
        </w:rPr>
        <w:t>Scale,</w:t>
      </w:r>
      <w:r w:rsidRPr="006C3BAA">
        <w:t xml:space="preserve"> London: </w:t>
      </w:r>
      <w:proofErr w:type="spellStart"/>
      <w:r w:rsidRPr="006C3BAA">
        <w:t>Routledge</w:t>
      </w:r>
      <w:proofErr w:type="spellEnd"/>
    </w:p>
    <w:p w:rsidR="00B878F5" w:rsidRPr="006C3BAA" w:rsidRDefault="00CD0272" w:rsidP="00B878F5">
      <w:hyperlink r:id="rId24" w:history="1">
        <w:r w:rsidR="00B878F5" w:rsidRPr="006C3BAA">
          <w:rPr>
            <w:rStyle w:val="Hiperhivatkozs"/>
          </w:rPr>
          <w:t>http://epp.eurostat.ec.europa.eu/cache/ITY_SDDS/en/crim_esms.htm</w:t>
        </w:r>
      </w:hyperlink>
    </w:p>
    <w:p w:rsidR="00B878F5" w:rsidRPr="006C3BAA" w:rsidRDefault="00CD0272" w:rsidP="00B878F5">
      <w:hyperlink r:id="rId25" w:history="1">
        <w:r w:rsidR="00B878F5" w:rsidRPr="006C3BAA">
          <w:rPr>
            <w:rStyle w:val="Hiperhivatkozs"/>
          </w:rPr>
          <w:t>http://epp.eurostat.ec.europa.eu/cache/ITY_SDDS/en/gov_a_tax_ag_esms.htm</w:t>
        </w:r>
      </w:hyperlink>
    </w:p>
    <w:p w:rsidR="00B878F5" w:rsidRPr="006C3BAA" w:rsidRDefault="00CD0272" w:rsidP="00B878F5">
      <w:hyperlink r:id="rId26" w:history="1">
        <w:r w:rsidR="00B878F5" w:rsidRPr="006C3BAA">
          <w:rPr>
            <w:rStyle w:val="Hiperhivatkozs"/>
          </w:rPr>
          <w:t>http://epp.eurostat.ec.europa.eu/cache/ITY_SDDS/EN/nama_esms.htm</w:t>
        </w:r>
      </w:hyperlink>
    </w:p>
    <w:p w:rsidR="00B878F5" w:rsidRPr="006C3BAA" w:rsidRDefault="00CD0272" w:rsidP="00B878F5">
      <w:hyperlink r:id="rId27" w:history="1">
        <w:r w:rsidR="00B878F5" w:rsidRPr="006C3BAA">
          <w:rPr>
            <w:rStyle w:val="Hiperhivatkozs"/>
          </w:rPr>
          <w:t>http://www.communities.gov.uk/documents/statistics/pdf/1871208.pdf</w:t>
        </w:r>
      </w:hyperlink>
    </w:p>
    <w:p w:rsidR="00B878F5" w:rsidRPr="006C3BAA" w:rsidRDefault="00B878F5" w:rsidP="00B878F5">
      <w:proofErr w:type="spellStart"/>
      <w:r w:rsidRPr="006C3BAA">
        <w:t>Lelkes</w:t>
      </w:r>
      <w:proofErr w:type="spellEnd"/>
      <w:r w:rsidRPr="006C3BAA">
        <w:t xml:space="preserve">, O. (2006): </w:t>
      </w:r>
      <w:r w:rsidRPr="006C3BAA">
        <w:rPr>
          <w:i/>
          <w:iCs/>
        </w:rPr>
        <w:t xml:space="preserve">Social Exclusion in Eastern-Central Europe. </w:t>
      </w:r>
      <w:proofErr w:type="gramStart"/>
      <w:r w:rsidRPr="006C3BAA">
        <w:rPr>
          <w:i/>
          <w:iCs/>
        </w:rPr>
        <w:t>Concept, Measurement and Policy Interventions.</w:t>
      </w:r>
      <w:proofErr w:type="gramEnd"/>
      <w:r w:rsidRPr="006C3BAA">
        <w:t xml:space="preserve"> Working Paper STEPS. </w:t>
      </w:r>
    </w:p>
    <w:p w:rsidR="00861C41" w:rsidRPr="00861C41" w:rsidRDefault="00861C41" w:rsidP="00B878F5">
      <w:proofErr w:type="spellStart"/>
      <w:r>
        <w:t>Levitas</w:t>
      </w:r>
      <w:proofErr w:type="spellEnd"/>
      <w:r>
        <w:t xml:space="preserve">, R. (1999) Defining and measuring social exclusion: a critical overview of current proposals. </w:t>
      </w:r>
      <w:r>
        <w:rPr>
          <w:i/>
        </w:rPr>
        <w:t xml:space="preserve">Radical Statistics, </w:t>
      </w:r>
      <w:r>
        <w:t xml:space="preserve">(71) </w:t>
      </w:r>
      <w:r w:rsidRPr="00861C41">
        <w:t>http://www.radstats.org.uk/no071/article2.htm</w:t>
      </w:r>
    </w:p>
    <w:p w:rsidR="00B878F5" w:rsidRPr="006C3BAA" w:rsidRDefault="00B878F5" w:rsidP="00B878F5">
      <w:proofErr w:type="spellStart"/>
      <w:proofErr w:type="gramStart"/>
      <w:r w:rsidRPr="006C3BAA">
        <w:t>Levitas</w:t>
      </w:r>
      <w:proofErr w:type="spellEnd"/>
      <w:r w:rsidRPr="006C3BAA">
        <w:t xml:space="preserve">, R. et al (2007) </w:t>
      </w:r>
      <w:r w:rsidRPr="006C3BAA">
        <w:rPr>
          <w:i/>
          <w:iCs/>
        </w:rPr>
        <w:t>The Multidimensional Analysis of Social Exclusion.</w:t>
      </w:r>
      <w:proofErr w:type="gramEnd"/>
      <w:r w:rsidRPr="006C3BAA">
        <w:t xml:space="preserve"> </w:t>
      </w:r>
      <w:proofErr w:type="gramStart"/>
      <w:r w:rsidRPr="006C3BAA">
        <w:t>Department of Sociology and the School of Social Policy, Bristol Institute of Social Affairs, University of Bristol.</w:t>
      </w:r>
      <w:proofErr w:type="gramEnd"/>
    </w:p>
    <w:p w:rsidR="00B878F5" w:rsidRPr="006C3BAA" w:rsidRDefault="00B878F5" w:rsidP="00B878F5">
      <w:proofErr w:type="spellStart"/>
      <w:r w:rsidRPr="006C3BAA">
        <w:t>Madanipour</w:t>
      </w:r>
      <w:proofErr w:type="spellEnd"/>
      <w:r w:rsidRPr="006C3BAA">
        <w:t xml:space="preserve">, A., (2003) </w:t>
      </w:r>
      <w:r w:rsidRPr="006C3BAA">
        <w:rPr>
          <w:i/>
          <w:iCs/>
        </w:rPr>
        <w:t>Cities actions against social exclusion,</w:t>
      </w:r>
      <w:r w:rsidRPr="006C3BAA">
        <w:t xml:space="preserve"> Brussels: </w:t>
      </w:r>
      <w:proofErr w:type="spellStart"/>
      <w:r w:rsidRPr="006C3BAA">
        <w:t>Eurocities</w:t>
      </w:r>
      <w:proofErr w:type="spellEnd"/>
    </w:p>
    <w:p w:rsidR="00B878F5" w:rsidRPr="006C3BAA" w:rsidRDefault="00B878F5" w:rsidP="00B878F5">
      <w:r w:rsidRPr="006C3BAA">
        <w:t xml:space="preserve">Massey, D. (1985) </w:t>
      </w:r>
      <w:proofErr w:type="gramStart"/>
      <w:r w:rsidRPr="006C3BAA">
        <w:t>New</w:t>
      </w:r>
      <w:proofErr w:type="gramEnd"/>
      <w:r w:rsidRPr="006C3BAA">
        <w:t xml:space="preserve"> directions in space, in Gregory, D. and </w:t>
      </w:r>
      <w:proofErr w:type="spellStart"/>
      <w:r w:rsidRPr="006C3BAA">
        <w:t>Urry</w:t>
      </w:r>
      <w:proofErr w:type="spellEnd"/>
      <w:r w:rsidRPr="006C3BAA">
        <w:t xml:space="preserve">, J. (eds.) </w:t>
      </w:r>
      <w:r w:rsidRPr="006C3BAA">
        <w:rPr>
          <w:i/>
          <w:iCs/>
        </w:rPr>
        <w:t>Social relations and spatial structures.</w:t>
      </w:r>
      <w:r w:rsidRPr="006C3BAA">
        <w:t xml:space="preserve"> Basingstoke: Macmi</w:t>
      </w:r>
      <w:r w:rsidR="00861C41">
        <w:t xml:space="preserve">llan. 9 – </w:t>
      </w:r>
      <w:r w:rsidRPr="006C3BAA">
        <w:t>19.</w:t>
      </w:r>
    </w:p>
    <w:p w:rsidR="00B878F5" w:rsidRPr="006C3BAA" w:rsidRDefault="00B878F5" w:rsidP="00B878F5">
      <w:r w:rsidRPr="003158DA">
        <w:rPr>
          <w:lang w:val="de-DE"/>
        </w:rPr>
        <w:t xml:space="preserve">Michel, B. (2010) Für eine poststrukturalistische Perspektive auf das Machen und die Macht von Karten. </w:t>
      </w:r>
      <w:proofErr w:type="spellStart"/>
      <w:proofErr w:type="gramStart"/>
      <w:r w:rsidRPr="006C3BAA">
        <w:t>Replik</w:t>
      </w:r>
      <w:proofErr w:type="spellEnd"/>
      <w:r w:rsidRPr="006C3BAA">
        <w:t xml:space="preserve"> auf Ball und </w:t>
      </w:r>
      <w:proofErr w:type="spellStart"/>
      <w:r w:rsidRPr="006C3BAA">
        <w:t>Petsimeris</w:t>
      </w:r>
      <w:proofErr w:type="spellEnd"/>
      <w:r w:rsidRPr="006C3BAA">
        <w:t>.</w:t>
      </w:r>
      <w:proofErr w:type="gramEnd"/>
      <w:r w:rsidRPr="006C3BAA">
        <w:t xml:space="preserve"> </w:t>
      </w:r>
      <w:r w:rsidRPr="006C3BAA">
        <w:rPr>
          <w:i/>
          <w:iCs/>
        </w:rPr>
        <w:t xml:space="preserve">Forum Qualitative </w:t>
      </w:r>
      <w:proofErr w:type="spellStart"/>
      <w:r w:rsidRPr="006C3BAA">
        <w:rPr>
          <w:i/>
          <w:iCs/>
        </w:rPr>
        <w:t>Sozialforschung</w:t>
      </w:r>
      <w:proofErr w:type="spellEnd"/>
      <w:r w:rsidRPr="006C3BAA">
        <w:rPr>
          <w:i/>
          <w:iCs/>
        </w:rPr>
        <w:t xml:space="preserve"> / Forum: Qualitative Social Research, </w:t>
      </w:r>
      <w:r w:rsidRPr="006C3BAA">
        <w:t>11(3), Article 28</w:t>
      </w:r>
    </w:p>
    <w:p w:rsidR="00B878F5" w:rsidRPr="006C3BAA" w:rsidRDefault="00B878F5" w:rsidP="00B878F5">
      <w:proofErr w:type="gramStart"/>
      <w:r w:rsidRPr="006C3BAA">
        <w:t xml:space="preserve">Ministry of Labour and Social Policy and UNDP (2006) </w:t>
      </w:r>
      <w:r w:rsidRPr="006C3BAA">
        <w:rPr>
          <w:i/>
          <w:iCs/>
        </w:rPr>
        <w:t>Social exclusion and integration in Poland.</w:t>
      </w:r>
      <w:proofErr w:type="gramEnd"/>
      <w:r w:rsidRPr="006C3BAA">
        <w:rPr>
          <w:i/>
          <w:iCs/>
        </w:rPr>
        <w:t xml:space="preserve"> </w:t>
      </w:r>
      <w:proofErr w:type="gramStart"/>
      <w:r w:rsidRPr="006C3BAA">
        <w:rPr>
          <w:i/>
          <w:iCs/>
        </w:rPr>
        <w:t>An indicators-based approach.</w:t>
      </w:r>
      <w:proofErr w:type="gramEnd"/>
      <w:r w:rsidRPr="006C3BAA">
        <w:t xml:space="preserve"> Warsaw.</w:t>
      </w:r>
    </w:p>
    <w:p w:rsidR="00B878F5" w:rsidRPr="006C3BAA" w:rsidRDefault="00B878F5" w:rsidP="00B878F5">
      <w:proofErr w:type="gramStart"/>
      <w:r w:rsidRPr="006C3BAA">
        <w:lastRenderedPageBreak/>
        <w:t xml:space="preserve">Mitchell, D. (2011) Homelessness, American style, </w:t>
      </w:r>
      <w:r w:rsidRPr="006C3BAA">
        <w:rPr>
          <w:i/>
          <w:iCs/>
        </w:rPr>
        <w:t xml:space="preserve">Urban Geography, </w:t>
      </w:r>
      <w:r w:rsidRPr="006C3BAA">
        <w:t>32 (7) 933 – 956.</w:t>
      </w:r>
      <w:proofErr w:type="gramEnd"/>
    </w:p>
    <w:p w:rsidR="00B878F5" w:rsidRPr="006C3BAA" w:rsidRDefault="00B878F5" w:rsidP="00B878F5">
      <w:r w:rsidRPr="003158DA">
        <w:rPr>
          <w:lang w:val="de-DE"/>
        </w:rPr>
        <w:t xml:space="preserve">Mose, J. </w:t>
      </w:r>
      <w:proofErr w:type="spellStart"/>
      <w:r w:rsidRPr="003158DA">
        <w:rPr>
          <w:lang w:val="de-DE"/>
        </w:rPr>
        <w:t>and</w:t>
      </w:r>
      <w:proofErr w:type="spellEnd"/>
      <w:r w:rsidRPr="003158DA">
        <w:rPr>
          <w:lang w:val="de-DE"/>
        </w:rPr>
        <w:t xml:space="preserve"> Strüver, A. (2009) </w:t>
      </w:r>
      <w:proofErr w:type="spellStart"/>
      <w:r w:rsidRPr="003158DA">
        <w:rPr>
          <w:lang w:val="de-DE"/>
        </w:rPr>
        <w:t>Diskursivität</w:t>
      </w:r>
      <w:proofErr w:type="spellEnd"/>
      <w:r w:rsidRPr="003158DA">
        <w:rPr>
          <w:lang w:val="de-DE"/>
        </w:rPr>
        <w:t xml:space="preserve"> von Karten – Karten im Diskurs. In: </w:t>
      </w:r>
      <w:proofErr w:type="spellStart"/>
      <w:r w:rsidRPr="003158DA">
        <w:rPr>
          <w:lang w:val="de-DE"/>
        </w:rPr>
        <w:t>Glasze</w:t>
      </w:r>
      <w:proofErr w:type="spellEnd"/>
      <w:r w:rsidRPr="003158DA">
        <w:rPr>
          <w:lang w:val="de-DE"/>
        </w:rPr>
        <w:t xml:space="preserve">, G. </w:t>
      </w:r>
      <w:proofErr w:type="spellStart"/>
      <w:r w:rsidRPr="003158DA">
        <w:rPr>
          <w:lang w:val="de-DE"/>
        </w:rPr>
        <w:t>and</w:t>
      </w:r>
      <w:proofErr w:type="spellEnd"/>
      <w:r w:rsidRPr="003158DA">
        <w:rPr>
          <w:lang w:val="de-DE"/>
        </w:rPr>
        <w:t xml:space="preserve"> </w:t>
      </w:r>
      <w:proofErr w:type="spellStart"/>
      <w:r w:rsidRPr="003158DA">
        <w:rPr>
          <w:lang w:val="de-DE"/>
        </w:rPr>
        <w:t>Mattissek</w:t>
      </w:r>
      <w:proofErr w:type="spellEnd"/>
      <w:r w:rsidRPr="003158DA">
        <w:rPr>
          <w:lang w:val="de-DE"/>
        </w:rPr>
        <w:t>, A. (</w:t>
      </w:r>
      <w:proofErr w:type="spellStart"/>
      <w:r w:rsidRPr="003158DA">
        <w:rPr>
          <w:lang w:val="de-DE"/>
        </w:rPr>
        <w:t>eds</w:t>
      </w:r>
      <w:proofErr w:type="spellEnd"/>
      <w:r w:rsidRPr="003158DA">
        <w:rPr>
          <w:lang w:val="de-DE"/>
        </w:rPr>
        <w:t xml:space="preserve">.) </w:t>
      </w:r>
      <w:r w:rsidRPr="003158DA">
        <w:rPr>
          <w:i/>
          <w:iCs/>
          <w:lang w:val="de-DE"/>
        </w:rPr>
        <w:t>Handbuch Diskurs und Raum. Theorien und Methoden für die Humangeographie sowie die sozial- und kulturwissenschaftliche Raumforschung.</w:t>
      </w:r>
      <w:r w:rsidRPr="003158DA">
        <w:rPr>
          <w:lang w:val="de-DE"/>
        </w:rPr>
        <w:t xml:space="preserve"> </w:t>
      </w:r>
      <w:r w:rsidRPr="006C3BAA">
        <w:t xml:space="preserve">Bielefeld: Transcript. </w:t>
      </w:r>
      <w:proofErr w:type="gramStart"/>
      <w:r w:rsidRPr="006C3BAA">
        <w:t>315–325.</w:t>
      </w:r>
      <w:proofErr w:type="gramEnd"/>
    </w:p>
    <w:p w:rsidR="00B878F5" w:rsidRPr="006C3BAA" w:rsidRDefault="00B878F5" w:rsidP="00B878F5">
      <w:r w:rsidRPr="006C3BAA">
        <w:t xml:space="preserve">Peck, J. and Theodore, N. (2008), </w:t>
      </w:r>
      <w:proofErr w:type="spellStart"/>
      <w:r w:rsidRPr="006C3BAA">
        <w:t>Carceral</w:t>
      </w:r>
      <w:proofErr w:type="spellEnd"/>
      <w:r w:rsidRPr="006C3BAA">
        <w:t xml:space="preserve"> Chicago: Making the Ex-offender Employability Crisis. </w:t>
      </w:r>
      <w:r w:rsidRPr="006C3BAA">
        <w:rPr>
          <w:i/>
          <w:iCs/>
        </w:rPr>
        <w:t>International Journal of Urban and Regional Research,</w:t>
      </w:r>
      <w:r w:rsidRPr="006C3BAA">
        <w:t xml:space="preserve"> 32 (2) 251–281.</w:t>
      </w:r>
    </w:p>
    <w:p w:rsidR="00B878F5" w:rsidRPr="006C3BAA" w:rsidRDefault="00B878F5" w:rsidP="00B878F5">
      <w:r w:rsidRPr="006C3BAA">
        <w:t xml:space="preserve">Philip, L. and </w:t>
      </w:r>
      <w:proofErr w:type="spellStart"/>
      <w:r w:rsidRPr="006C3BAA">
        <w:t>Shucksmith</w:t>
      </w:r>
      <w:proofErr w:type="spellEnd"/>
      <w:r w:rsidRPr="006C3BAA">
        <w:t xml:space="preserve">, M. (2003) Conceptualising social exclusion in rural Britain, </w:t>
      </w:r>
      <w:r w:rsidRPr="006C3BAA">
        <w:rPr>
          <w:i/>
          <w:iCs/>
        </w:rPr>
        <w:t>European Planning Studies,</w:t>
      </w:r>
      <w:r w:rsidRPr="006C3BAA">
        <w:t xml:space="preserve"> 11 (4) 461 – 480</w:t>
      </w:r>
    </w:p>
    <w:p w:rsidR="00B878F5" w:rsidRPr="006C3BAA" w:rsidRDefault="00B878F5" w:rsidP="00B878F5">
      <w:r w:rsidRPr="006C3BAA">
        <w:t xml:space="preserve">Reimer, W. (2004) Social exclusion in a comparative context, </w:t>
      </w:r>
      <w:proofErr w:type="spellStart"/>
      <w:r w:rsidRPr="006C3BAA">
        <w:rPr>
          <w:i/>
          <w:iCs/>
        </w:rPr>
        <w:t>Sociologia</w:t>
      </w:r>
      <w:proofErr w:type="spellEnd"/>
      <w:r w:rsidRPr="006C3BAA">
        <w:rPr>
          <w:i/>
          <w:iCs/>
        </w:rPr>
        <w:t xml:space="preserve"> </w:t>
      </w:r>
      <w:proofErr w:type="spellStart"/>
      <w:r w:rsidRPr="006C3BAA">
        <w:rPr>
          <w:i/>
          <w:iCs/>
        </w:rPr>
        <w:t>Ruralis</w:t>
      </w:r>
      <w:proofErr w:type="spellEnd"/>
      <w:r w:rsidRPr="006C3BAA">
        <w:rPr>
          <w:i/>
          <w:iCs/>
        </w:rPr>
        <w:t>,</w:t>
      </w:r>
      <w:r w:rsidRPr="006C3BAA">
        <w:t xml:space="preserve"> 44 (1) 76 – 94</w:t>
      </w:r>
    </w:p>
    <w:p w:rsidR="00B878F5" w:rsidRPr="006C3BAA" w:rsidRDefault="00B878F5" w:rsidP="00B878F5">
      <w:proofErr w:type="spellStart"/>
      <w:r w:rsidRPr="006C3BAA">
        <w:t>Sayer</w:t>
      </w:r>
      <w:proofErr w:type="spellEnd"/>
      <w:r w:rsidRPr="006C3BAA">
        <w:t xml:space="preserve">, A. (1985) </w:t>
      </w:r>
      <w:proofErr w:type="gramStart"/>
      <w:r w:rsidRPr="006C3BAA">
        <w:t>The</w:t>
      </w:r>
      <w:proofErr w:type="gramEnd"/>
      <w:r w:rsidRPr="006C3BAA">
        <w:t xml:space="preserve"> difference that space makes, in Gregory, D. and </w:t>
      </w:r>
      <w:proofErr w:type="spellStart"/>
      <w:r w:rsidRPr="006C3BAA">
        <w:t>Urry</w:t>
      </w:r>
      <w:proofErr w:type="spellEnd"/>
      <w:r w:rsidRPr="006C3BAA">
        <w:t xml:space="preserve">, J. (eds.) </w:t>
      </w:r>
      <w:r w:rsidRPr="006C3BAA">
        <w:rPr>
          <w:i/>
          <w:iCs/>
        </w:rPr>
        <w:t>Social relations and spatial structures.</w:t>
      </w:r>
      <w:r w:rsidRPr="006C3BAA">
        <w:t xml:space="preserve"> Basingstoke: Macmillan. </w:t>
      </w:r>
      <w:proofErr w:type="gramStart"/>
      <w:r w:rsidRPr="006C3BAA">
        <w:t>49–66.</w:t>
      </w:r>
      <w:proofErr w:type="gramEnd"/>
      <w:r w:rsidRPr="006C3BAA">
        <w:t xml:space="preserve"> </w:t>
      </w:r>
    </w:p>
    <w:p w:rsidR="00B878F5" w:rsidRPr="006C3BAA" w:rsidRDefault="00B878F5" w:rsidP="00B878F5">
      <w:proofErr w:type="spellStart"/>
      <w:proofErr w:type="gramStart"/>
      <w:r w:rsidRPr="006C3BAA">
        <w:t>Sayer</w:t>
      </w:r>
      <w:proofErr w:type="spellEnd"/>
      <w:r w:rsidRPr="006C3BAA">
        <w:t xml:space="preserve">, A. (1992) </w:t>
      </w:r>
      <w:r w:rsidRPr="006C3BAA">
        <w:rPr>
          <w:i/>
          <w:iCs/>
        </w:rPr>
        <w:t>Method in social science.</w:t>
      </w:r>
      <w:proofErr w:type="gramEnd"/>
      <w:r w:rsidRPr="006C3BAA">
        <w:rPr>
          <w:i/>
          <w:iCs/>
        </w:rPr>
        <w:t xml:space="preserve"> </w:t>
      </w:r>
      <w:proofErr w:type="gramStart"/>
      <w:r w:rsidRPr="006C3BAA">
        <w:rPr>
          <w:i/>
          <w:iCs/>
        </w:rPr>
        <w:t>A realist approach.</w:t>
      </w:r>
      <w:proofErr w:type="gramEnd"/>
      <w:r w:rsidRPr="006C3BAA">
        <w:t xml:space="preserve"> </w:t>
      </w:r>
      <w:proofErr w:type="gramStart"/>
      <w:r w:rsidRPr="006C3BAA">
        <w:t>2</w:t>
      </w:r>
      <w:r w:rsidRPr="006C3BAA">
        <w:rPr>
          <w:vertAlign w:val="superscript"/>
        </w:rPr>
        <w:t>nd</w:t>
      </w:r>
      <w:r w:rsidRPr="006C3BAA">
        <w:t xml:space="preserve"> edition.</w:t>
      </w:r>
      <w:proofErr w:type="gramEnd"/>
      <w:r w:rsidRPr="006C3BAA">
        <w:t xml:space="preserve"> London: </w:t>
      </w:r>
      <w:proofErr w:type="spellStart"/>
      <w:r w:rsidRPr="006C3BAA">
        <w:t>Routledge</w:t>
      </w:r>
      <w:proofErr w:type="spellEnd"/>
    </w:p>
    <w:p w:rsidR="00B878F5" w:rsidRPr="006C3BAA" w:rsidRDefault="00B878F5" w:rsidP="00B878F5">
      <w:r w:rsidRPr="006C3BAA">
        <w:t xml:space="preserve">Silver, H. (1994) Social exclusion and social solidarity: three paradigms, </w:t>
      </w:r>
      <w:r w:rsidRPr="006C3BAA">
        <w:rPr>
          <w:i/>
          <w:iCs/>
        </w:rPr>
        <w:t xml:space="preserve">International Labour Review, </w:t>
      </w:r>
      <w:r w:rsidRPr="006C3BAA">
        <w:t>133 (5-6) 531–578</w:t>
      </w:r>
    </w:p>
    <w:p w:rsidR="00B878F5" w:rsidRPr="006C3BAA" w:rsidRDefault="00B878F5" w:rsidP="00B878F5">
      <w:r w:rsidRPr="006C3BAA">
        <w:t xml:space="preserve">Smith, A., </w:t>
      </w:r>
      <w:proofErr w:type="spellStart"/>
      <w:r w:rsidRPr="006C3BAA">
        <w:t>Stenning</w:t>
      </w:r>
      <w:proofErr w:type="spellEnd"/>
      <w:r w:rsidRPr="006C3BAA">
        <w:t xml:space="preserve">, A., </w:t>
      </w:r>
      <w:proofErr w:type="spellStart"/>
      <w:r w:rsidRPr="006C3BAA">
        <w:t>Rochovská</w:t>
      </w:r>
      <w:proofErr w:type="spellEnd"/>
      <w:r w:rsidRPr="006C3BAA">
        <w:t xml:space="preserve">, A. and </w:t>
      </w:r>
      <w:proofErr w:type="spellStart"/>
      <w:r w:rsidRPr="006C3BAA">
        <w:t>Świątek</w:t>
      </w:r>
      <w:proofErr w:type="spellEnd"/>
      <w:r w:rsidRPr="006C3BAA">
        <w:t xml:space="preserve">, D. (2008) </w:t>
      </w:r>
      <w:proofErr w:type="gramStart"/>
      <w:r w:rsidRPr="006C3BAA">
        <w:t>The</w:t>
      </w:r>
      <w:proofErr w:type="gramEnd"/>
      <w:r w:rsidRPr="006C3BAA">
        <w:t xml:space="preserve"> emergence of a working poor: Labour markets, </w:t>
      </w:r>
      <w:proofErr w:type="spellStart"/>
      <w:r w:rsidRPr="006C3BAA">
        <w:t>neoliberalisation</w:t>
      </w:r>
      <w:proofErr w:type="spellEnd"/>
      <w:r w:rsidRPr="006C3BAA">
        <w:t xml:space="preserve"> and diverse economies in post-socialist cities. </w:t>
      </w:r>
      <w:r w:rsidRPr="006C3BAA">
        <w:rPr>
          <w:i/>
          <w:iCs/>
        </w:rPr>
        <w:t>Antipode,</w:t>
      </w:r>
      <w:r w:rsidRPr="006C3BAA">
        <w:t xml:space="preserve"> 40 (2) 283–311.</w:t>
      </w:r>
    </w:p>
    <w:p w:rsidR="00B878F5" w:rsidRPr="006C3BAA" w:rsidRDefault="00B878F5" w:rsidP="00B878F5">
      <w:r w:rsidRPr="006C3BAA">
        <w:t xml:space="preserve">St. Martin, K. (2009) Toward </w:t>
      </w:r>
      <w:proofErr w:type="gramStart"/>
      <w:r w:rsidRPr="006C3BAA">
        <w:t>a Cartography</w:t>
      </w:r>
      <w:proofErr w:type="gramEnd"/>
      <w:r w:rsidRPr="006C3BAA">
        <w:t xml:space="preserve"> of the Commons: Constituting the Political and Economic Possibilities of Place. </w:t>
      </w:r>
      <w:r w:rsidRPr="006C3BAA">
        <w:rPr>
          <w:i/>
          <w:iCs/>
        </w:rPr>
        <w:t xml:space="preserve">The Professional Geographer, </w:t>
      </w:r>
      <w:r w:rsidRPr="006C3BAA">
        <w:t>61 (4) 493–507.</w:t>
      </w:r>
    </w:p>
    <w:p w:rsidR="00B878F5" w:rsidRPr="006C3BAA" w:rsidRDefault="00B878F5" w:rsidP="00B878F5">
      <w:proofErr w:type="spellStart"/>
      <w:r w:rsidRPr="006C3BAA">
        <w:t>Todorova</w:t>
      </w:r>
      <w:proofErr w:type="spellEnd"/>
      <w:r w:rsidRPr="006C3BAA">
        <w:t xml:space="preserve">, M. (2005) </w:t>
      </w:r>
      <w:proofErr w:type="gramStart"/>
      <w:r w:rsidRPr="006C3BAA">
        <w:t>The</w:t>
      </w:r>
      <w:proofErr w:type="gramEnd"/>
      <w:r w:rsidRPr="006C3BAA">
        <w:t xml:space="preserve"> Trap of Backwardness: Modernity, Temporality, and the Study of Eastern European Nationalism. </w:t>
      </w:r>
      <w:r w:rsidRPr="006C3BAA">
        <w:rPr>
          <w:i/>
          <w:iCs/>
        </w:rPr>
        <w:t>Slavic Review,</w:t>
      </w:r>
      <w:r w:rsidRPr="006C3BAA">
        <w:t xml:space="preserve"> 64 (1) 140–164.</w:t>
      </w:r>
    </w:p>
    <w:p w:rsidR="00B878F5" w:rsidRPr="006C3BAA" w:rsidRDefault="00B878F5" w:rsidP="00B878F5">
      <w:pPr>
        <w:autoSpaceDE w:val="0"/>
        <w:autoSpaceDN w:val="0"/>
        <w:adjustRightInd w:val="0"/>
      </w:pPr>
      <w:proofErr w:type="gramStart"/>
      <w:r w:rsidRPr="006C3BAA">
        <w:t xml:space="preserve">UNDP (2011) </w:t>
      </w:r>
      <w:r w:rsidRPr="006C3BAA">
        <w:rPr>
          <w:i/>
          <w:iCs/>
        </w:rPr>
        <w:t>Beyond Transition.</w:t>
      </w:r>
      <w:proofErr w:type="gramEnd"/>
      <w:r w:rsidRPr="006C3BAA">
        <w:rPr>
          <w:i/>
          <w:iCs/>
        </w:rPr>
        <w:t xml:space="preserve"> </w:t>
      </w:r>
      <w:proofErr w:type="gramStart"/>
      <w:r w:rsidRPr="006C3BAA">
        <w:rPr>
          <w:i/>
          <w:iCs/>
        </w:rPr>
        <w:t>Towards Inclusive Societies.</w:t>
      </w:r>
      <w:proofErr w:type="gramEnd"/>
      <w:r w:rsidRPr="006C3BAA">
        <w:t xml:space="preserve"> </w:t>
      </w:r>
      <w:proofErr w:type="gramStart"/>
      <w:r w:rsidRPr="006C3BAA">
        <w:t>Regional Bureau for Europe and CIS.</w:t>
      </w:r>
      <w:proofErr w:type="gramEnd"/>
      <w:r w:rsidRPr="006C3BAA">
        <w:t xml:space="preserve"> </w:t>
      </w:r>
    </w:p>
    <w:p w:rsidR="00B878F5" w:rsidRPr="00DF17C0" w:rsidRDefault="00DF17C0" w:rsidP="004918AD">
      <w:r>
        <w:t xml:space="preserve">Wills, J. and </w:t>
      </w:r>
      <w:proofErr w:type="spellStart"/>
      <w:r>
        <w:t>Linneker</w:t>
      </w:r>
      <w:proofErr w:type="spellEnd"/>
      <w:r>
        <w:t>, B. (2014</w:t>
      </w:r>
      <w:r w:rsidR="00E7101E">
        <w:t xml:space="preserve">): </w:t>
      </w:r>
      <w:r w:rsidR="00E7101E" w:rsidRPr="00E7101E">
        <w:t xml:space="preserve">In-work poverty and the living wage in the United Kingdom: a geographical perspective. </w:t>
      </w:r>
      <w:r w:rsidR="00E7101E" w:rsidRPr="00E7101E">
        <w:rPr>
          <w:i/>
        </w:rPr>
        <w:t>Transactions of the Institute of British Geographers</w:t>
      </w:r>
      <w:r>
        <w:rPr>
          <w:i/>
        </w:rPr>
        <w:t xml:space="preserve">, </w:t>
      </w:r>
      <w:r>
        <w:t>39 (2) 182–194.</w:t>
      </w:r>
    </w:p>
    <w:sectPr w:rsidR="00B878F5" w:rsidRPr="00DF17C0" w:rsidSect="00F03A09">
      <w:footerReference w:type="even" r:id="rId28"/>
      <w:pgSz w:w="11900" w:h="16840"/>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2A47" w:rsidRDefault="00BE2A47">
      <w:r>
        <w:separator/>
      </w:r>
    </w:p>
    <w:p w:rsidR="00BE2A47" w:rsidRDefault="00BE2A47"/>
  </w:endnote>
  <w:endnote w:type="continuationSeparator" w:id="0">
    <w:p w:rsidR="00BE2A47" w:rsidRDefault="00BE2A47">
      <w:r>
        <w:continuationSeparator/>
      </w:r>
    </w:p>
    <w:p w:rsidR="00BE2A47" w:rsidRDefault="00BE2A47"/>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771846"/>
      <w:docPartObj>
        <w:docPartGallery w:val="Page Numbers (Bottom of Page)"/>
        <w:docPartUnique/>
      </w:docPartObj>
    </w:sdtPr>
    <w:sdtContent>
      <w:p w:rsidR="00CC1A02" w:rsidRDefault="00CD0272">
        <w:pPr>
          <w:pStyle w:val="llb"/>
          <w:jc w:val="right"/>
        </w:pPr>
        <w:r w:rsidRPr="00CD0272">
          <w:fldChar w:fldCharType="begin"/>
        </w:r>
        <w:r w:rsidR="00CC1A02">
          <w:instrText>PAGE   \* MERGEFORMAT</w:instrText>
        </w:r>
        <w:r w:rsidRPr="00CD0272">
          <w:fldChar w:fldCharType="separate"/>
        </w:r>
        <w:r w:rsidR="00177D1B" w:rsidRPr="00177D1B">
          <w:rPr>
            <w:noProof/>
            <w:lang w:val="hu-HU"/>
          </w:rPr>
          <w:t>18</w:t>
        </w:r>
        <w:r>
          <w:rPr>
            <w:noProof/>
            <w:lang w:val="hu-HU"/>
          </w:rPr>
          <w:fldChar w:fldCharType="end"/>
        </w:r>
      </w:p>
    </w:sdtContent>
  </w:sdt>
  <w:p w:rsidR="00CC1A02" w:rsidRDefault="00CC1A02" w:rsidP="00676302">
    <w:pPr>
      <w:pStyle w:val="llb"/>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A02" w:rsidRDefault="00CD0272">
    <w:pPr>
      <w:pStyle w:val="llb"/>
      <w:jc w:val="right"/>
    </w:pPr>
    <w:r>
      <w:fldChar w:fldCharType="begin"/>
    </w:r>
    <w:r w:rsidR="00BE2A47">
      <w:instrText xml:space="preserve"> PAGE   \* MERGEFORMAT </w:instrText>
    </w:r>
    <w:r>
      <w:fldChar w:fldCharType="separate"/>
    </w:r>
    <w:r w:rsidR="00177D1B">
      <w:rPr>
        <w:noProof/>
      </w:rPr>
      <w:t>9</w:t>
    </w:r>
    <w:r>
      <w:rPr>
        <w:noProof/>
      </w:rPr>
      <w:fldChar w:fldCharType="end"/>
    </w:r>
  </w:p>
  <w:p w:rsidR="00CC1A02" w:rsidRDefault="00CC1A02">
    <w:pPr>
      <w:pStyle w:val="llb"/>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30422446"/>
      <w:docPartObj>
        <w:docPartGallery w:val="Page Numbers (Bottom of Page)"/>
        <w:docPartUnique/>
      </w:docPartObj>
    </w:sdtPr>
    <w:sdtContent>
      <w:p w:rsidR="00CC1A02" w:rsidRDefault="00CD0272">
        <w:pPr>
          <w:pStyle w:val="llb"/>
          <w:jc w:val="right"/>
        </w:pPr>
        <w:r w:rsidRPr="00CD0272">
          <w:fldChar w:fldCharType="begin"/>
        </w:r>
        <w:r w:rsidR="00CC1A02">
          <w:instrText>PAGE   \* MERGEFORMAT</w:instrText>
        </w:r>
        <w:r w:rsidRPr="00CD0272">
          <w:fldChar w:fldCharType="separate"/>
        </w:r>
        <w:r w:rsidR="00177D1B" w:rsidRPr="00177D1B">
          <w:rPr>
            <w:noProof/>
            <w:lang w:val="hu-HU"/>
          </w:rPr>
          <w:t>47</w:t>
        </w:r>
        <w:r>
          <w:rPr>
            <w:noProof/>
            <w:lang w:val="hu-HU"/>
          </w:rPr>
          <w:fldChar w:fldCharType="end"/>
        </w:r>
      </w:p>
    </w:sdtContent>
  </w:sdt>
  <w:p w:rsidR="00CC1A02" w:rsidRDefault="00CC1A02">
    <w:pPr>
      <w:pStyle w:val="ll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51459812"/>
      <w:docPartObj>
        <w:docPartGallery w:val="Page Numbers (Bottom of Page)"/>
        <w:docPartUnique/>
      </w:docPartObj>
    </w:sdtPr>
    <w:sdtContent>
      <w:p w:rsidR="00CC1A02" w:rsidRDefault="00CD0272">
        <w:pPr>
          <w:pStyle w:val="llb"/>
          <w:jc w:val="right"/>
        </w:pPr>
        <w:r w:rsidRPr="00CD0272">
          <w:fldChar w:fldCharType="begin"/>
        </w:r>
        <w:r w:rsidR="00CC1A02">
          <w:instrText>PAGE   \* MERGEFORMAT</w:instrText>
        </w:r>
        <w:r w:rsidRPr="00CD0272">
          <w:fldChar w:fldCharType="separate"/>
        </w:r>
        <w:r w:rsidR="00177D1B" w:rsidRPr="00177D1B">
          <w:rPr>
            <w:noProof/>
            <w:lang w:val="hu-HU"/>
          </w:rPr>
          <w:t>24</w:t>
        </w:r>
        <w:r>
          <w:rPr>
            <w:noProof/>
            <w:lang w:val="hu-HU"/>
          </w:rPr>
          <w:fldChar w:fldCharType="end"/>
        </w:r>
      </w:p>
    </w:sdtContent>
  </w:sdt>
  <w:p w:rsidR="00CC1A02" w:rsidRDefault="00CC1A02" w:rsidP="000F0EAF">
    <w:pPr>
      <w:pStyle w:val="ll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2A47" w:rsidRDefault="00BE2A47">
      <w:r>
        <w:separator/>
      </w:r>
    </w:p>
    <w:p w:rsidR="00BE2A47" w:rsidRDefault="00BE2A47"/>
  </w:footnote>
  <w:footnote w:type="continuationSeparator" w:id="0">
    <w:p w:rsidR="00BE2A47" w:rsidRDefault="00BE2A47">
      <w:r>
        <w:continuationSeparator/>
      </w:r>
    </w:p>
    <w:p w:rsidR="00BE2A47" w:rsidRDefault="00BE2A47"/>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A292A"/>
    <w:multiLevelType w:val="hybridMultilevel"/>
    <w:tmpl w:val="E50A7636"/>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4D21E04"/>
    <w:multiLevelType w:val="hybridMultilevel"/>
    <w:tmpl w:val="B9882514"/>
    <w:lvl w:ilvl="0" w:tplc="4E8CB2EC">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09472598"/>
    <w:multiLevelType w:val="hybridMultilevel"/>
    <w:tmpl w:val="A04ADB78"/>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3">
    <w:nsid w:val="0C36262C"/>
    <w:multiLevelType w:val="hybridMultilevel"/>
    <w:tmpl w:val="2D42AC6A"/>
    <w:lvl w:ilvl="0" w:tplc="040E0019">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0DC039BA"/>
    <w:multiLevelType w:val="hybridMultilevel"/>
    <w:tmpl w:val="968C2264"/>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
    <w:nsid w:val="10F1102F"/>
    <w:multiLevelType w:val="hybridMultilevel"/>
    <w:tmpl w:val="D06A2610"/>
    <w:lvl w:ilvl="0" w:tplc="D84446EA">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1432072F"/>
    <w:multiLevelType w:val="hybridMultilevel"/>
    <w:tmpl w:val="38B27312"/>
    <w:lvl w:ilvl="0" w:tplc="1180D7A6">
      <w:start w:val="1"/>
      <w:numFmt w:val="bullet"/>
      <w:pStyle w:val="ESPONbulletlis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14443199"/>
    <w:multiLevelType w:val="hybridMultilevel"/>
    <w:tmpl w:val="DC10D3F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15B75017"/>
    <w:multiLevelType w:val="multilevel"/>
    <w:tmpl w:val="45729414"/>
    <w:lvl w:ilvl="0">
      <w:start w:val="1"/>
      <w:numFmt w:val="decimal"/>
      <w:pStyle w:val="Cmsor1"/>
      <w:lvlText w:val="%1"/>
      <w:lvlJc w:val="left"/>
      <w:pPr>
        <w:tabs>
          <w:tab w:val="num" w:pos="510"/>
        </w:tabs>
        <w:ind w:left="510" w:hanging="510"/>
      </w:pPr>
    </w:lvl>
    <w:lvl w:ilvl="1">
      <w:start w:val="1"/>
      <w:numFmt w:val="decimal"/>
      <w:pStyle w:val="Cmsor2"/>
      <w:lvlText w:val="%1.%2"/>
      <w:lvlJc w:val="left"/>
      <w:pPr>
        <w:tabs>
          <w:tab w:val="num" w:pos="5274"/>
        </w:tabs>
        <w:ind w:left="5274" w:hanging="737"/>
      </w:pPr>
    </w:lvl>
    <w:lvl w:ilvl="2">
      <w:start w:val="1"/>
      <w:numFmt w:val="decimal"/>
      <w:pStyle w:val="Cmsor3"/>
      <w:lvlText w:val="%1.%2.%3"/>
      <w:lvlJc w:val="left"/>
      <w:pPr>
        <w:tabs>
          <w:tab w:val="num" w:pos="1021"/>
        </w:tabs>
        <w:ind w:left="1021" w:hanging="1021"/>
      </w:pPr>
    </w:lvl>
    <w:lvl w:ilvl="3">
      <w:start w:val="1"/>
      <w:numFmt w:val="decimal"/>
      <w:pStyle w:val="Cmsor4"/>
      <w:lvlText w:val="%1.%2.%3.%4"/>
      <w:lvlJc w:val="left"/>
      <w:pPr>
        <w:tabs>
          <w:tab w:val="num" w:pos="1304"/>
        </w:tabs>
        <w:ind w:left="1304" w:hanging="1304"/>
      </w:pPr>
    </w:lvl>
    <w:lvl w:ilvl="4">
      <w:start w:val="1"/>
      <w:numFmt w:val="decimal"/>
      <w:pStyle w:val="Cmsor5"/>
      <w:lvlText w:val="%1.%2.%3.%4.%5"/>
      <w:lvlJc w:val="left"/>
      <w:pPr>
        <w:tabs>
          <w:tab w:val="num" w:pos="1644"/>
        </w:tabs>
        <w:ind w:left="1644" w:hanging="1644"/>
      </w:pPr>
    </w:lvl>
    <w:lvl w:ilvl="5">
      <w:start w:val="1"/>
      <w:numFmt w:val="decimal"/>
      <w:pStyle w:val="Cmsor6"/>
      <w:lvlText w:val="%1.%2.%3.%4.%5.%6"/>
      <w:lvlJc w:val="left"/>
      <w:pPr>
        <w:tabs>
          <w:tab w:val="num" w:pos="1152"/>
        </w:tabs>
        <w:ind w:left="1152" w:hanging="1152"/>
      </w:pPr>
    </w:lvl>
    <w:lvl w:ilvl="6">
      <w:start w:val="1"/>
      <w:numFmt w:val="decimal"/>
      <w:pStyle w:val="Cmsor7"/>
      <w:lvlText w:val="%1.%2.%3.%4.%5.%6.%7"/>
      <w:lvlJc w:val="left"/>
      <w:pPr>
        <w:tabs>
          <w:tab w:val="num" w:pos="1296"/>
        </w:tabs>
        <w:ind w:left="1296" w:hanging="1296"/>
      </w:pPr>
    </w:lvl>
    <w:lvl w:ilvl="7">
      <w:start w:val="1"/>
      <w:numFmt w:val="decimal"/>
      <w:pStyle w:val="Cmsor8"/>
      <w:lvlText w:val="%1.%2.%3.%4.%5.%6.%7.%8"/>
      <w:lvlJc w:val="left"/>
      <w:pPr>
        <w:tabs>
          <w:tab w:val="num" w:pos="1440"/>
        </w:tabs>
        <w:ind w:left="1440" w:hanging="1440"/>
      </w:pPr>
    </w:lvl>
    <w:lvl w:ilvl="8">
      <w:start w:val="1"/>
      <w:numFmt w:val="decimal"/>
      <w:pStyle w:val="Cmsor9"/>
      <w:lvlText w:val="%1.%2.%3.%4.%5.%6.%7.%8.%9"/>
      <w:lvlJc w:val="left"/>
      <w:pPr>
        <w:tabs>
          <w:tab w:val="num" w:pos="1584"/>
        </w:tabs>
        <w:ind w:left="1584" w:hanging="1584"/>
      </w:pPr>
    </w:lvl>
  </w:abstractNum>
  <w:abstractNum w:abstractNumId="9">
    <w:nsid w:val="371A257F"/>
    <w:multiLevelType w:val="hybridMultilevel"/>
    <w:tmpl w:val="8B3E2E96"/>
    <w:lvl w:ilvl="0" w:tplc="040E000F">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38270231"/>
    <w:multiLevelType w:val="hybridMultilevel"/>
    <w:tmpl w:val="FFD8C6BA"/>
    <w:lvl w:ilvl="0" w:tplc="59626E44">
      <w:start w:val="1"/>
      <w:numFmt w:val="decimal"/>
      <w:pStyle w:val="ESPONnumberedlist"/>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3B4F0122"/>
    <w:multiLevelType w:val="hybridMultilevel"/>
    <w:tmpl w:val="2C342B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C5844A4"/>
    <w:multiLevelType w:val="hybridMultilevel"/>
    <w:tmpl w:val="F852F32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3EA803FE"/>
    <w:multiLevelType w:val="hybridMultilevel"/>
    <w:tmpl w:val="CC2080F6"/>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4">
    <w:nsid w:val="47513AAC"/>
    <w:multiLevelType w:val="hybridMultilevel"/>
    <w:tmpl w:val="19A29D9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52D926B4"/>
    <w:multiLevelType w:val="hybridMultilevel"/>
    <w:tmpl w:val="DE2CD4A8"/>
    <w:lvl w:ilvl="0" w:tplc="1D2A5D68">
      <w:start w:val="1"/>
      <w:numFmt w:val="bullet"/>
      <w:lvlText w:val=""/>
      <w:lvlJc w:val="left"/>
      <w:pPr>
        <w:ind w:left="720" w:hanging="360"/>
      </w:pPr>
      <w:rPr>
        <w:rFonts w:ascii="Wingdings" w:eastAsia="Times New Roman"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6">
    <w:nsid w:val="577563AB"/>
    <w:multiLevelType w:val="hybridMultilevel"/>
    <w:tmpl w:val="94309B4C"/>
    <w:lvl w:ilvl="0" w:tplc="040E0017">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7">
    <w:nsid w:val="58D36FE2"/>
    <w:multiLevelType w:val="hybridMultilevel"/>
    <w:tmpl w:val="6E74E190"/>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8">
    <w:nsid w:val="5B686D75"/>
    <w:multiLevelType w:val="hybridMultilevel"/>
    <w:tmpl w:val="BCF48C70"/>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71A91F5F"/>
    <w:multiLevelType w:val="hybridMultilevel"/>
    <w:tmpl w:val="ACC6A30A"/>
    <w:lvl w:ilvl="0" w:tplc="FC107818">
      <w:start w:val="1"/>
      <w:numFmt w:val="bullet"/>
      <w:lvlText w:val=""/>
      <w:lvlJc w:val="left"/>
      <w:pPr>
        <w:ind w:left="720" w:hanging="360"/>
      </w:pPr>
      <w:rPr>
        <w:rFonts w:ascii="Wingdings" w:eastAsia="Times New Roman"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20">
    <w:nsid w:val="71C5554B"/>
    <w:multiLevelType w:val="hybridMultilevel"/>
    <w:tmpl w:val="72D281A6"/>
    <w:lvl w:ilvl="0" w:tplc="040E0017">
      <w:start w:val="1"/>
      <w:numFmt w:val="lowerLetter"/>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1">
    <w:nsid w:val="773C0FD3"/>
    <w:multiLevelType w:val="hybridMultilevel"/>
    <w:tmpl w:val="A83EE16C"/>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781A5942"/>
    <w:multiLevelType w:val="hybridMultilevel"/>
    <w:tmpl w:val="F0AA587A"/>
    <w:lvl w:ilvl="0" w:tplc="08946408">
      <w:numFmt w:val="bullet"/>
      <w:lvlText w:val="-"/>
      <w:lvlJc w:val="left"/>
      <w:pPr>
        <w:ind w:left="1069" w:hanging="360"/>
      </w:pPr>
      <w:rPr>
        <w:rFonts w:ascii="Calibri" w:eastAsia="Times New Roman" w:hAnsi="Calibri" w:hint="default"/>
      </w:rPr>
    </w:lvl>
    <w:lvl w:ilvl="1" w:tplc="040E0003">
      <w:start w:val="1"/>
      <w:numFmt w:val="bullet"/>
      <w:lvlText w:val="o"/>
      <w:lvlJc w:val="left"/>
      <w:pPr>
        <w:ind w:left="1789" w:hanging="360"/>
      </w:pPr>
      <w:rPr>
        <w:rFonts w:ascii="Courier New" w:hAnsi="Courier New" w:cs="Courier New" w:hint="default"/>
      </w:rPr>
    </w:lvl>
    <w:lvl w:ilvl="2" w:tplc="040E0005">
      <w:start w:val="1"/>
      <w:numFmt w:val="bullet"/>
      <w:lvlText w:val=""/>
      <w:lvlJc w:val="left"/>
      <w:pPr>
        <w:ind w:left="2509" w:hanging="360"/>
      </w:pPr>
      <w:rPr>
        <w:rFonts w:ascii="Wingdings" w:hAnsi="Wingdings" w:cs="Wingdings" w:hint="default"/>
      </w:rPr>
    </w:lvl>
    <w:lvl w:ilvl="3" w:tplc="040E0001">
      <w:start w:val="1"/>
      <w:numFmt w:val="bullet"/>
      <w:lvlText w:val=""/>
      <w:lvlJc w:val="left"/>
      <w:pPr>
        <w:ind w:left="3229" w:hanging="360"/>
      </w:pPr>
      <w:rPr>
        <w:rFonts w:ascii="Symbol" w:hAnsi="Symbol" w:cs="Symbol" w:hint="default"/>
      </w:rPr>
    </w:lvl>
    <w:lvl w:ilvl="4" w:tplc="040E0003">
      <w:start w:val="1"/>
      <w:numFmt w:val="bullet"/>
      <w:lvlText w:val="o"/>
      <w:lvlJc w:val="left"/>
      <w:pPr>
        <w:ind w:left="3949" w:hanging="360"/>
      </w:pPr>
      <w:rPr>
        <w:rFonts w:ascii="Courier New" w:hAnsi="Courier New" w:cs="Courier New" w:hint="default"/>
      </w:rPr>
    </w:lvl>
    <w:lvl w:ilvl="5" w:tplc="040E0005">
      <w:start w:val="1"/>
      <w:numFmt w:val="bullet"/>
      <w:lvlText w:val=""/>
      <w:lvlJc w:val="left"/>
      <w:pPr>
        <w:ind w:left="4669" w:hanging="360"/>
      </w:pPr>
      <w:rPr>
        <w:rFonts w:ascii="Wingdings" w:hAnsi="Wingdings" w:cs="Wingdings" w:hint="default"/>
      </w:rPr>
    </w:lvl>
    <w:lvl w:ilvl="6" w:tplc="040E0001">
      <w:start w:val="1"/>
      <w:numFmt w:val="bullet"/>
      <w:lvlText w:val=""/>
      <w:lvlJc w:val="left"/>
      <w:pPr>
        <w:ind w:left="5389" w:hanging="360"/>
      </w:pPr>
      <w:rPr>
        <w:rFonts w:ascii="Symbol" w:hAnsi="Symbol" w:cs="Symbol" w:hint="default"/>
      </w:rPr>
    </w:lvl>
    <w:lvl w:ilvl="7" w:tplc="040E0003">
      <w:start w:val="1"/>
      <w:numFmt w:val="bullet"/>
      <w:lvlText w:val="o"/>
      <w:lvlJc w:val="left"/>
      <w:pPr>
        <w:ind w:left="6109" w:hanging="360"/>
      </w:pPr>
      <w:rPr>
        <w:rFonts w:ascii="Courier New" w:hAnsi="Courier New" w:cs="Courier New" w:hint="default"/>
      </w:rPr>
    </w:lvl>
    <w:lvl w:ilvl="8" w:tplc="040E0005">
      <w:start w:val="1"/>
      <w:numFmt w:val="bullet"/>
      <w:lvlText w:val=""/>
      <w:lvlJc w:val="left"/>
      <w:pPr>
        <w:ind w:left="6829" w:hanging="360"/>
      </w:pPr>
      <w:rPr>
        <w:rFonts w:ascii="Wingdings" w:hAnsi="Wingdings" w:cs="Wingdings" w:hint="default"/>
      </w:rPr>
    </w:lvl>
  </w:abstractNum>
  <w:num w:numId="1">
    <w:abstractNumId w:val="8"/>
  </w:num>
  <w:num w:numId="2">
    <w:abstractNumId w:val="11"/>
  </w:num>
  <w:num w:numId="3">
    <w:abstractNumId w:val="12"/>
  </w:num>
  <w:num w:numId="4">
    <w:abstractNumId w:val="1"/>
  </w:num>
  <w:num w:numId="5">
    <w:abstractNumId w:val="5"/>
  </w:num>
  <w:num w:numId="6">
    <w:abstractNumId w:val="17"/>
  </w:num>
  <w:num w:numId="7">
    <w:abstractNumId w:val="4"/>
  </w:num>
  <w:num w:numId="8">
    <w:abstractNumId w:val="16"/>
  </w:num>
  <w:num w:numId="9">
    <w:abstractNumId w:val="15"/>
  </w:num>
  <w:num w:numId="10">
    <w:abstractNumId w:val="19"/>
  </w:num>
  <w:num w:numId="11">
    <w:abstractNumId w:val="20"/>
  </w:num>
  <w:num w:numId="12">
    <w:abstractNumId w:val="2"/>
  </w:num>
  <w:num w:numId="13">
    <w:abstractNumId w:val="13"/>
  </w:num>
  <w:num w:numId="14">
    <w:abstractNumId w:val="22"/>
  </w:num>
  <w:num w:numId="15">
    <w:abstractNumId w:val="6"/>
  </w:num>
  <w:num w:numId="16">
    <w:abstractNumId w:val="9"/>
  </w:num>
  <w:num w:numId="17">
    <w:abstractNumId w:val="10"/>
  </w:num>
  <w:num w:numId="18">
    <w:abstractNumId w:val="0"/>
  </w:num>
  <w:num w:numId="19">
    <w:abstractNumId w:val="18"/>
  </w:num>
  <w:num w:numId="20">
    <w:abstractNumId w:val="3"/>
  </w:num>
  <w:num w:numId="21">
    <w:abstractNumId w:val="21"/>
  </w:num>
  <w:num w:numId="22">
    <w:abstractNumId w:val="7"/>
  </w:num>
  <w:num w:numId="23">
    <w:abstractNumId w:val="14"/>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de-DE" w:vendorID="64" w:dllVersion="131078" w:nlCheck="1" w:checkStyle="1"/>
  <w:activeWritingStyle w:appName="MSWord" w:lang="de-DE" w:vendorID="9" w:dllVersion="512" w:checkStyle="1"/>
  <w:activeWritingStyle w:appName="MSWord" w:lang="sv-SE" w:vendorID="666" w:dllVersion="513" w:checkStyle="1"/>
  <w:activeWritingStyle w:appName="MSWord" w:lang="sv-SE" w:vendorID="22" w:dllVersion="513" w:checkStyle="1"/>
  <w:activeWritingStyle w:appName="MSWord" w:lang="hu-HU" w:vendorID="7" w:dllVersion="513" w:checkStyle="1"/>
  <w:proofState w:spelling="clean" w:grammar="clean"/>
  <w:stylePaneFormatFilter w:val="3001"/>
  <w:defaultTabStop w:val="709"/>
  <w:hyphenationZone w:val="425"/>
  <w:evenAndOddHeaders/>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rsids>
    <w:rsidRoot w:val="00EE5EB2"/>
    <w:rsid w:val="0000028F"/>
    <w:rsid w:val="000006F2"/>
    <w:rsid w:val="00000B0C"/>
    <w:rsid w:val="00001202"/>
    <w:rsid w:val="00001391"/>
    <w:rsid w:val="000017E6"/>
    <w:rsid w:val="00002167"/>
    <w:rsid w:val="000067E6"/>
    <w:rsid w:val="00006BE0"/>
    <w:rsid w:val="00007B80"/>
    <w:rsid w:val="000113CF"/>
    <w:rsid w:val="0001183B"/>
    <w:rsid w:val="00012ECC"/>
    <w:rsid w:val="000140DE"/>
    <w:rsid w:val="00016B2C"/>
    <w:rsid w:val="000176A4"/>
    <w:rsid w:val="00017991"/>
    <w:rsid w:val="00017F32"/>
    <w:rsid w:val="000202B2"/>
    <w:rsid w:val="000210A4"/>
    <w:rsid w:val="000213DB"/>
    <w:rsid w:val="000216BC"/>
    <w:rsid w:val="000230A7"/>
    <w:rsid w:val="000231EB"/>
    <w:rsid w:val="000240E5"/>
    <w:rsid w:val="00025AF4"/>
    <w:rsid w:val="0002608A"/>
    <w:rsid w:val="00026736"/>
    <w:rsid w:val="0002775E"/>
    <w:rsid w:val="00031896"/>
    <w:rsid w:val="00031F5B"/>
    <w:rsid w:val="000321CA"/>
    <w:rsid w:val="00033EFC"/>
    <w:rsid w:val="000346BE"/>
    <w:rsid w:val="00034A1E"/>
    <w:rsid w:val="00034AD8"/>
    <w:rsid w:val="00034E16"/>
    <w:rsid w:val="00034ECB"/>
    <w:rsid w:val="0003548C"/>
    <w:rsid w:val="00036B09"/>
    <w:rsid w:val="000375E7"/>
    <w:rsid w:val="00037ACA"/>
    <w:rsid w:val="00040905"/>
    <w:rsid w:val="000412CF"/>
    <w:rsid w:val="00041655"/>
    <w:rsid w:val="0004374E"/>
    <w:rsid w:val="00044289"/>
    <w:rsid w:val="00044645"/>
    <w:rsid w:val="00045B9A"/>
    <w:rsid w:val="000478B6"/>
    <w:rsid w:val="00050038"/>
    <w:rsid w:val="0005053A"/>
    <w:rsid w:val="00051E10"/>
    <w:rsid w:val="0005364B"/>
    <w:rsid w:val="00053A30"/>
    <w:rsid w:val="00053C9F"/>
    <w:rsid w:val="00054EE7"/>
    <w:rsid w:val="00055AEC"/>
    <w:rsid w:val="000561E7"/>
    <w:rsid w:val="00056948"/>
    <w:rsid w:val="0006284F"/>
    <w:rsid w:val="000630F9"/>
    <w:rsid w:val="00064076"/>
    <w:rsid w:val="00064A7E"/>
    <w:rsid w:val="00065BDB"/>
    <w:rsid w:val="00067257"/>
    <w:rsid w:val="0006781E"/>
    <w:rsid w:val="000679AE"/>
    <w:rsid w:val="00067CB5"/>
    <w:rsid w:val="00070603"/>
    <w:rsid w:val="000720FE"/>
    <w:rsid w:val="00072289"/>
    <w:rsid w:val="00074A6D"/>
    <w:rsid w:val="0007501F"/>
    <w:rsid w:val="000750A5"/>
    <w:rsid w:val="000757B4"/>
    <w:rsid w:val="0007691F"/>
    <w:rsid w:val="00076CE3"/>
    <w:rsid w:val="00077EC7"/>
    <w:rsid w:val="0008040F"/>
    <w:rsid w:val="00080C5E"/>
    <w:rsid w:val="00082D5C"/>
    <w:rsid w:val="00083584"/>
    <w:rsid w:val="00083B2D"/>
    <w:rsid w:val="000848D0"/>
    <w:rsid w:val="00084E99"/>
    <w:rsid w:val="000858C8"/>
    <w:rsid w:val="00086448"/>
    <w:rsid w:val="00086B1F"/>
    <w:rsid w:val="000876F1"/>
    <w:rsid w:val="000917E0"/>
    <w:rsid w:val="00091C70"/>
    <w:rsid w:val="000932C8"/>
    <w:rsid w:val="000943D4"/>
    <w:rsid w:val="000955C3"/>
    <w:rsid w:val="000A2DED"/>
    <w:rsid w:val="000A4357"/>
    <w:rsid w:val="000A5445"/>
    <w:rsid w:val="000A55A7"/>
    <w:rsid w:val="000A5C93"/>
    <w:rsid w:val="000A6B6E"/>
    <w:rsid w:val="000B0A14"/>
    <w:rsid w:val="000B0D74"/>
    <w:rsid w:val="000B141D"/>
    <w:rsid w:val="000B1C1D"/>
    <w:rsid w:val="000B30E7"/>
    <w:rsid w:val="000B321B"/>
    <w:rsid w:val="000B3347"/>
    <w:rsid w:val="000B4AD8"/>
    <w:rsid w:val="000B4BBC"/>
    <w:rsid w:val="000B4CE0"/>
    <w:rsid w:val="000B591D"/>
    <w:rsid w:val="000C02FC"/>
    <w:rsid w:val="000C0B1C"/>
    <w:rsid w:val="000C232A"/>
    <w:rsid w:val="000C2375"/>
    <w:rsid w:val="000C3116"/>
    <w:rsid w:val="000C35F5"/>
    <w:rsid w:val="000C41E1"/>
    <w:rsid w:val="000C4473"/>
    <w:rsid w:val="000C47EA"/>
    <w:rsid w:val="000C4907"/>
    <w:rsid w:val="000C57FB"/>
    <w:rsid w:val="000C5BDC"/>
    <w:rsid w:val="000C694E"/>
    <w:rsid w:val="000C7211"/>
    <w:rsid w:val="000D0B9C"/>
    <w:rsid w:val="000D265F"/>
    <w:rsid w:val="000D3760"/>
    <w:rsid w:val="000D3E21"/>
    <w:rsid w:val="000D4C87"/>
    <w:rsid w:val="000D559F"/>
    <w:rsid w:val="000D58D3"/>
    <w:rsid w:val="000D5AE1"/>
    <w:rsid w:val="000D621B"/>
    <w:rsid w:val="000D6230"/>
    <w:rsid w:val="000D6D23"/>
    <w:rsid w:val="000D7612"/>
    <w:rsid w:val="000E035E"/>
    <w:rsid w:val="000E2716"/>
    <w:rsid w:val="000E27F4"/>
    <w:rsid w:val="000E292D"/>
    <w:rsid w:val="000E42A3"/>
    <w:rsid w:val="000E4847"/>
    <w:rsid w:val="000E4A6B"/>
    <w:rsid w:val="000E54B7"/>
    <w:rsid w:val="000E6776"/>
    <w:rsid w:val="000E7061"/>
    <w:rsid w:val="000E73F1"/>
    <w:rsid w:val="000E75A3"/>
    <w:rsid w:val="000F0EAF"/>
    <w:rsid w:val="000F4604"/>
    <w:rsid w:val="000F4747"/>
    <w:rsid w:val="000F5B25"/>
    <w:rsid w:val="000F5BFE"/>
    <w:rsid w:val="000F7F2F"/>
    <w:rsid w:val="00100501"/>
    <w:rsid w:val="001020E0"/>
    <w:rsid w:val="0010210C"/>
    <w:rsid w:val="001029D9"/>
    <w:rsid w:val="00102CEF"/>
    <w:rsid w:val="0010333F"/>
    <w:rsid w:val="00103677"/>
    <w:rsid w:val="00103CF5"/>
    <w:rsid w:val="00103D07"/>
    <w:rsid w:val="00103E0C"/>
    <w:rsid w:val="0010441A"/>
    <w:rsid w:val="00105086"/>
    <w:rsid w:val="00106186"/>
    <w:rsid w:val="001069FE"/>
    <w:rsid w:val="00106AFD"/>
    <w:rsid w:val="00107891"/>
    <w:rsid w:val="001078B6"/>
    <w:rsid w:val="00110672"/>
    <w:rsid w:val="00111BDF"/>
    <w:rsid w:val="00112EA9"/>
    <w:rsid w:val="00112EEB"/>
    <w:rsid w:val="0011367E"/>
    <w:rsid w:val="001158E3"/>
    <w:rsid w:val="00115E6E"/>
    <w:rsid w:val="00117328"/>
    <w:rsid w:val="0011739D"/>
    <w:rsid w:val="0012005B"/>
    <w:rsid w:val="00120F20"/>
    <w:rsid w:val="001232C7"/>
    <w:rsid w:val="001238A1"/>
    <w:rsid w:val="00123957"/>
    <w:rsid w:val="00124AE2"/>
    <w:rsid w:val="00124E1D"/>
    <w:rsid w:val="0012683A"/>
    <w:rsid w:val="00126944"/>
    <w:rsid w:val="0012724A"/>
    <w:rsid w:val="00127468"/>
    <w:rsid w:val="001337C3"/>
    <w:rsid w:val="00133938"/>
    <w:rsid w:val="00134A21"/>
    <w:rsid w:val="001355B8"/>
    <w:rsid w:val="00135A3D"/>
    <w:rsid w:val="0013603B"/>
    <w:rsid w:val="00141052"/>
    <w:rsid w:val="0014164F"/>
    <w:rsid w:val="0014166C"/>
    <w:rsid w:val="00142531"/>
    <w:rsid w:val="001425DB"/>
    <w:rsid w:val="001443BC"/>
    <w:rsid w:val="0014516B"/>
    <w:rsid w:val="00145352"/>
    <w:rsid w:val="001455CB"/>
    <w:rsid w:val="001456F6"/>
    <w:rsid w:val="001477B5"/>
    <w:rsid w:val="00151960"/>
    <w:rsid w:val="00154B22"/>
    <w:rsid w:val="001552EA"/>
    <w:rsid w:val="001566B2"/>
    <w:rsid w:val="00156D41"/>
    <w:rsid w:val="00160CBA"/>
    <w:rsid w:val="00161317"/>
    <w:rsid w:val="0016281D"/>
    <w:rsid w:val="0016365D"/>
    <w:rsid w:val="001644F5"/>
    <w:rsid w:val="00164958"/>
    <w:rsid w:val="00164B49"/>
    <w:rsid w:val="00165D18"/>
    <w:rsid w:val="00167721"/>
    <w:rsid w:val="00171736"/>
    <w:rsid w:val="0017265C"/>
    <w:rsid w:val="00172B10"/>
    <w:rsid w:val="001737DD"/>
    <w:rsid w:val="00174472"/>
    <w:rsid w:val="001758F2"/>
    <w:rsid w:val="00176E13"/>
    <w:rsid w:val="00177D1B"/>
    <w:rsid w:val="001803F8"/>
    <w:rsid w:val="0018124A"/>
    <w:rsid w:val="001813C9"/>
    <w:rsid w:val="0018352F"/>
    <w:rsid w:val="001839C0"/>
    <w:rsid w:val="00184360"/>
    <w:rsid w:val="0018444A"/>
    <w:rsid w:val="0018445E"/>
    <w:rsid w:val="00184AC0"/>
    <w:rsid w:val="00184DC6"/>
    <w:rsid w:val="00186983"/>
    <w:rsid w:val="00186BC7"/>
    <w:rsid w:val="001903D6"/>
    <w:rsid w:val="001905CA"/>
    <w:rsid w:val="0019070F"/>
    <w:rsid w:val="00192971"/>
    <w:rsid w:val="00193DC7"/>
    <w:rsid w:val="0019503C"/>
    <w:rsid w:val="001A264C"/>
    <w:rsid w:val="001A281D"/>
    <w:rsid w:val="001A357B"/>
    <w:rsid w:val="001A3A68"/>
    <w:rsid w:val="001A43C8"/>
    <w:rsid w:val="001A4A11"/>
    <w:rsid w:val="001A4A16"/>
    <w:rsid w:val="001A4FDA"/>
    <w:rsid w:val="001A72FA"/>
    <w:rsid w:val="001B06C0"/>
    <w:rsid w:val="001B06D3"/>
    <w:rsid w:val="001B2097"/>
    <w:rsid w:val="001B312D"/>
    <w:rsid w:val="001B332E"/>
    <w:rsid w:val="001B35A9"/>
    <w:rsid w:val="001B4FB4"/>
    <w:rsid w:val="001C068B"/>
    <w:rsid w:val="001C0EBB"/>
    <w:rsid w:val="001C1BDD"/>
    <w:rsid w:val="001C1F50"/>
    <w:rsid w:val="001C35B1"/>
    <w:rsid w:val="001C3A8C"/>
    <w:rsid w:val="001C4CCC"/>
    <w:rsid w:val="001C4CD5"/>
    <w:rsid w:val="001C5ABE"/>
    <w:rsid w:val="001C6A8D"/>
    <w:rsid w:val="001C7C0E"/>
    <w:rsid w:val="001D342C"/>
    <w:rsid w:val="001D39C1"/>
    <w:rsid w:val="001D491F"/>
    <w:rsid w:val="001D49E2"/>
    <w:rsid w:val="001D4FAA"/>
    <w:rsid w:val="001D7873"/>
    <w:rsid w:val="001E117C"/>
    <w:rsid w:val="001E1583"/>
    <w:rsid w:val="001E178B"/>
    <w:rsid w:val="001E1A1C"/>
    <w:rsid w:val="001E24BA"/>
    <w:rsid w:val="001E3840"/>
    <w:rsid w:val="001E3ED5"/>
    <w:rsid w:val="001E4469"/>
    <w:rsid w:val="001E5F9A"/>
    <w:rsid w:val="001E6504"/>
    <w:rsid w:val="001E6797"/>
    <w:rsid w:val="001E6CE5"/>
    <w:rsid w:val="001F0989"/>
    <w:rsid w:val="001F2182"/>
    <w:rsid w:val="001F288D"/>
    <w:rsid w:val="001F2983"/>
    <w:rsid w:val="001F3B17"/>
    <w:rsid w:val="001F3B68"/>
    <w:rsid w:val="001F43E7"/>
    <w:rsid w:val="001F707F"/>
    <w:rsid w:val="001F7271"/>
    <w:rsid w:val="001F7573"/>
    <w:rsid w:val="0020078E"/>
    <w:rsid w:val="002008F4"/>
    <w:rsid w:val="00201098"/>
    <w:rsid w:val="002010FF"/>
    <w:rsid w:val="002011F9"/>
    <w:rsid w:val="0020231D"/>
    <w:rsid w:val="00204D37"/>
    <w:rsid w:val="00205306"/>
    <w:rsid w:val="00205BE3"/>
    <w:rsid w:val="00205E2A"/>
    <w:rsid w:val="00210090"/>
    <w:rsid w:val="00211179"/>
    <w:rsid w:val="00211287"/>
    <w:rsid w:val="00213880"/>
    <w:rsid w:val="002147C8"/>
    <w:rsid w:val="002154C2"/>
    <w:rsid w:val="00215B72"/>
    <w:rsid w:val="00216E93"/>
    <w:rsid w:val="002200D9"/>
    <w:rsid w:val="002205A7"/>
    <w:rsid w:val="00220791"/>
    <w:rsid w:val="0022390E"/>
    <w:rsid w:val="00223B09"/>
    <w:rsid w:val="00224958"/>
    <w:rsid w:val="00224A28"/>
    <w:rsid w:val="00225964"/>
    <w:rsid w:val="00226092"/>
    <w:rsid w:val="0022682D"/>
    <w:rsid w:val="00226871"/>
    <w:rsid w:val="002318ED"/>
    <w:rsid w:val="00232225"/>
    <w:rsid w:val="00233E96"/>
    <w:rsid w:val="002342F3"/>
    <w:rsid w:val="002343B4"/>
    <w:rsid w:val="0023544B"/>
    <w:rsid w:val="00235C20"/>
    <w:rsid w:val="00236C3D"/>
    <w:rsid w:val="00240A0D"/>
    <w:rsid w:val="002418BE"/>
    <w:rsid w:val="002419F4"/>
    <w:rsid w:val="00242599"/>
    <w:rsid w:val="00242F8B"/>
    <w:rsid w:val="002433C3"/>
    <w:rsid w:val="00245BCF"/>
    <w:rsid w:val="00245D9F"/>
    <w:rsid w:val="002467DD"/>
    <w:rsid w:val="00246B4C"/>
    <w:rsid w:val="0024704A"/>
    <w:rsid w:val="00247C2C"/>
    <w:rsid w:val="00251F9E"/>
    <w:rsid w:val="00253C5D"/>
    <w:rsid w:val="00254997"/>
    <w:rsid w:val="00255476"/>
    <w:rsid w:val="00256C08"/>
    <w:rsid w:val="00256CCE"/>
    <w:rsid w:val="00257897"/>
    <w:rsid w:val="00260458"/>
    <w:rsid w:val="00261332"/>
    <w:rsid w:val="00261846"/>
    <w:rsid w:val="00266F82"/>
    <w:rsid w:val="00267206"/>
    <w:rsid w:val="00267928"/>
    <w:rsid w:val="00267B2C"/>
    <w:rsid w:val="0027046F"/>
    <w:rsid w:val="0027063C"/>
    <w:rsid w:val="00271198"/>
    <w:rsid w:val="00273722"/>
    <w:rsid w:val="00273A3A"/>
    <w:rsid w:val="002742E8"/>
    <w:rsid w:val="00276709"/>
    <w:rsid w:val="00276F23"/>
    <w:rsid w:val="00277045"/>
    <w:rsid w:val="00280DAD"/>
    <w:rsid w:val="00282F2F"/>
    <w:rsid w:val="0028616F"/>
    <w:rsid w:val="002862EC"/>
    <w:rsid w:val="00290383"/>
    <w:rsid w:val="002906F9"/>
    <w:rsid w:val="00291573"/>
    <w:rsid w:val="00292927"/>
    <w:rsid w:val="00295871"/>
    <w:rsid w:val="002967A9"/>
    <w:rsid w:val="00297F5A"/>
    <w:rsid w:val="002A0D2E"/>
    <w:rsid w:val="002A1040"/>
    <w:rsid w:val="002A19E9"/>
    <w:rsid w:val="002A23B1"/>
    <w:rsid w:val="002A2CB0"/>
    <w:rsid w:val="002A38AF"/>
    <w:rsid w:val="002A41F9"/>
    <w:rsid w:val="002A6A8C"/>
    <w:rsid w:val="002A6DE0"/>
    <w:rsid w:val="002A74E1"/>
    <w:rsid w:val="002A7DF8"/>
    <w:rsid w:val="002B0854"/>
    <w:rsid w:val="002B09F4"/>
    <w:rsid w:val="002B3046"/>
    <w:rsid w:val="002B4ED5"/>
    <w:rsid w:val="002B6353"/>
    <w:rsid w:val="002B6359"/>
    <w:rsid w:val="002B6894"/>
    <w:rsid w:val="002B7D59"/>
    <w:rsid w:val="002C00C7"/>
    <w:rsid w:val="002C0CB3"/>
    <w:rsid w:val="002C130D"/>
    <w:rsid w:val="002C1832"/>
    <w:rsid w:val="002C1B81"/>
    <w:rsid w:val="002C1DC7"/>
    <w:rsid w:val="002C1FBA"/>
    <w:rsid w:val="002C2000"/>
    <w:rsid w:val="002C6129"/>
    <w:rsid w:val="002C648C"/>
    <w:rsid w:val="002C6F43"/>
    <w:rsid w:val="002C70AA"/>
    <w:rsid w:val="002C7AA5"/>
    <w:rsid w:val="002D18C8"/>
    <w:rsid w:val="002D311D"/>
    <w:rsid w:val="002D542B"/>
    <w:rsid w:val="002D5AA7"/>
    <w:rsid w:val="002D6531"/>
    <w:rsid w:val="002D7500"/>
    <w:rsid w:val="002D7F22"/>
    <w:rsid w:val="002E0451"/>
    <w:rsid w:val="002E0E85"/>
    <w:rsid w:val="002E2567"/>
    <w:rsid w:val="002E257B"/>
    <w:rsid w:val="002E26A0"/>
    <w:rsid w:val="002E2D82"/>
    <w:rsid w:val="002E38CA"/>
    <w:rsid w:val="002E3AB0"/>
    <w:rsid w:val="002E4263"/>
    <w:rsid w:val="002E50FF"/>
    <w:rsid w:val="002E5386"/>
    <w:rsid w:val="002E5551"/>
    <w:rsid w:val="002E5783"/>
    <w:rsid w:val="002E5F59"/>
    <w:rsid w:val="002E6532"/>
    <w:rsid w:val="002E6C4C"/>
    <w:rsid w:val="002F0188"/>
    <w:rsid w:val="002F0FD4"/>
    <w:rsid w:val="002F107C"/>
    <w:rsid w:val="002F121E"/>
    <w:rsid w:val="002F4897"/>
    <w:rsid w:val="002F59AA"/>
    <w:rsid w:val="002F661A"/>
    <w:rsid w:val="002F7AE3"/>
    <w:rsid w:val="002F7B7E"/>
    <w:rsid w:val="003004C2"/>
    <w:rsid w:val="003005EF"/>
    <w:rsid w:val="00300B9E"/>
    <w:rsid w:val="003016AB"/>
    <w:rsid w:val="003028B8"/>
    <w:rsid w:val="0030322D"/>
    <w:rsid w:val="00303F10"/>
    <w:rsid w:val="0030445F"/>
    <w:rsid w:val="00306116"/>
    <w:rsid w:val="0030618A"/>
    <w:rsid w:val="0030641F"/>
    <w:rsid w:val="00307F3C"/>
    <w:rsid w:val="00310A28"/>
    <w:rsid w:val="0031283D"/>
    <w:rsid w:val="00312B44"/>
    <w:rsid w:val="003132F9"/>
    <w:rsid w:val="00313B4A"/>
    <w:rsid w:val="003158DA"/>
    <w:rsid w:val="003167D6"/>
    <w:rsid w:val="00320501"/>
    <w:rsid w:val="003217B6"/>
    <w:rsid w:val="003234F3"/>
    <w:rsid w:val="00324460"/>
    <w:rsid w:val="00325C01"/>
    <w:rsid w:val="00326086"/>
    <w:rsid w:val="0032621C"/>
    <w:rsid w:val="003308CD"/>
    <w:rsid w:val="00330B77"/>
    <w:rsid w:val="0033368A"/>
    <w:rsid w:val="003346E4"/>
    <w:rsid w:val="00335EBC"/>
    <w:rsid w:val="00336B6A"/>
    <w:rsid w:val="00337C7F"/>
    <w:rsid w:val="003429F0"/>
    <w:rsid w:val="0034456D"/>
    <w:rsid w:val="00346E28"/>
    <w:rsid w:val="00350416"/>
    <w:rsid w:val="003511EB"/>
    <w:rsid w:val="003524C9"/>
    <w:rsid w:val="0035392E"/>
    <w:rsid w:val="00355255"/>
    <w:rsid w:val="00356071"/>
    <w:rsid w:val="003573F3"/>
    <w:rsid w:val="00361448"/>
    <w:rsid w:val="00362778"/>
    <w:rsid w:val="00362865"/>
    <w:rsid w:val="00362DEE"/>
    <w:rsid w:val="003630B0"/>
    <w:rsid w:val="003637EB"/>
    <w:rsid w:val="00363E65"/>
    <w:rsid w:val="0036430A"/>
    <w:rsid w:val="003649CA"/>
    <w:rsid w:val="00366226"/>
    <w:rsid w:val="00367477"/>
    <w:rsid w:val="00367E4F"/>
    <w:rsid w:val="00367EB0"/>
    <w:rsid w:val="003705CD"/>
    <w:rsid w:val="003711B3"/>
    <w:rsid w:val="003719EB"/>
    <w:rsid w:val="00371A39"/>
    <w:rsid w:val="00372936"/>
    <w:rsid w:val="00372DE1"/>
    <w:rsid w:val="00373929"/>
    <w:rsid w:val="003747B6"/>
    <w:rsid w:val="00374AB1"/>
    <w:rsid w:val="00375DB4"/>
    <w:rsid w:val="00376527"/>
    <w:rsid w:val="0037747D"/>
    <w:rsid w:val="00377F72"/>
    <w:rsid w:val="0038166F"/>
    <w:rsid w:val="003822DC"/>
    <w:rsid w:val="0038256D"/>
    <w:rsid w:val="00382A20"/>
    <w:rsid w:val="00382E94"/>
    <w:rsid w:val="00383C0E"/>
    <w:rsid w:val="00384379"/>
    <w:rsid w:val="003848CA"/>
    <w:rsid w:val="00384DF1"/>
    <w:rsid w:val="003860D6"/>
    <w:rsid w:val="00386725"/>
    <w:rsid w:val="00387A47"/>
    <w:rsid w:val="00390969"/>
    <w:rsid w:val="00391521"/>
    <w:rsid w:val="00392031"/>
    <w:rsid w:val="0039222F"/>
    <w:rsid w:val="003937A3"/>
    <w:rsid w:val="003938EF"/>
    <w:rsid w:val="00393E13"/>
    <w:rsid w:val="00394353"/>
    <w:rsid w:val="003945E2"/>
    <w:rsid w:val="00394A00"/>
    <w:rsid w:val="00395ADD"/>
    <w:rsid w:val="00397647"/>
    <w:rsid w:val="003A0177"/>
    <w:rsid w:val="003A1889"/>
    <w:rsid w:val="003A20F8"/>
    <w:rsid w:val="003A7A02"/>
    <w:rsid w:val="003B12D7"/>
    <w:rsid w:val="003B17E4"/>
    <w:rsid w:val="003B217A"/>
    <w:rsid w:val="003B70BF"/>
    <w:rsid w:val="003B75DA"/>
    <w:rsid w:val="003B7BFC"/>
    <w:rsid w:val="003C05E9"/>
    <w:rsid w:val="003C18A5"/>
    <w:rsid w:val="003C1C4A"/>
    <w:rsid w:val="003C1E88"/>
    <w:rsid w:val="003C31B4"/>
    <w:rsid w:val="003C3E1B"/>
    <w:rsid w:val="003C54C6"/>
    <w:rsid w:val="003C6AD6"/>
    <w:rsid w:val="003C6B4A"/>
    <w:rsid w:val="003C76C9"/>
    <w:rsid w:val="003C7830"/>
    <w:rsid w:val="003D026B"/>
    <w:rsid w:val="003D069C"/>
    <w:rsid w:val="003D1330"/>
    <w:rsid w:val="003D1894"/>
    <w:rsid w:val="003D1CA1"/>
    <w:rsid w:val="003D36A7"/>
    <w:rsid w:val="003D4AAC"/>
    <w:rsid w:val="003D4AC0"/>
    <w:rsid w:val="003D4D91"/>
    <w:rsid w:val="003D5518"/>
    <w:rsid w:val="003D6738"/>
    <w:rsid w:val="003D69A2"/>
    <w:rsid w:val="003D73C8"/>
    <w:rsid w:val="003D7B3B"/>
    <w:rsid w:val="003E016D"/>
    <w:rsid w:val="003E2C86"/>
    <w:rsid w:val="003E2CE8"/>
    <w:rsid w:val="003E3A50"/>
    <w:rsid w:val="003E40B4"/>
    <w:rsid w:val="003E51E2"/>
    <w:rsid w:val="003E6A8B"/>
    <w:rsid w:val="003E700A"/>
    <w:rsid w:val="003E715A"/>
    <w:rsid w:val="003F00CA"/>
    <w:rsid w:val="003F0E17"/>
    <w:rsid w:val="003F1BC5"/>
    <w:rsid w:val="003F2198"/>
    <w:rsid w:val="003F2F32"/>
    <w:rsid w:val="003F41AB"/>
    <w:rsid w:val="003F5282"/>
    <w:rsid w:val="003F6AEC"/>
    <w:rsid w:val="003F6C51"/>
    <w:rsid w:val="003F77E7"/>
    <w:rsid w:val="003F7C2B"/>
    <w:rsid w:val="003F7DF3"/>
    <w:rsid w:val="00401204"/>
    <w:rsid w:val="00402C1C"/>
    <w:rsid w:val="00403D2F"/>
    <w:rsid w:val="0040404A"/>
    <w:rsid w:val="00404B5C"/>
    <w:rsid w:val="00404F97"/>
    <w:rsid w:val="004053AC"/>
    <w:rsid w:val="004066DC"/>
    <w:rsid w:val="004069CA"/>
    <w:rsid w:val="00412310"/>
    <w:rsid w:val="004129AF"/>
    <w:rsid w:val="004144EA"/>
    <w:rsid w:val="00415862"/>
    <w:rsid w:val="004209D7"/>
    <w:rsid w:val="00420F4C"/>
    <w:rsid w:val="00421DA0"/>
    <w:rsid w:val="00422996"/>
    <w:rsid w:val="00423E2C"/>
    <w:rsid w:val="00423E76"/>
    <w:rsid w:val="00426146"/>
    <w:rsid w:val="0042721F"/>
    <w:rsid w:val="00427D00"/>
    <w:rsid w:val="004303C4"/>
    <w:rsid w:val="00430686"/>
    <w:rsid w:val="00430F39"/>
    <w:rsid w:val="0043149C"/>
    <w:rsid w:val="00431886"/>
    <w:rsid w:val="00433723"/>
    <w:rsid w:val="004338BA"/>
    <w:rsid w:val="004344FA"/>
    <w:rsid w:val="00434634"/>
    <w:rsid w:val="00435BBC"/>
    <w:rsid w:val="0043696D"/>
    <w:rsid w:val="00437D67"/>
    <w:rsid w:val="00442D41"/>
    <w:rsid w:val="0044301B"/>
    <w:rsid w:val="004431D0"/>
    <w:rsid w:val="004437E7"/>
    <w:rsid w:val="004444D1"/>
    <w:rsid w:val="00445CA6"/>
    <w:rsid w:val="00446A29"/>
    <w:rsid w:val="00447854"/>
    <w:rsid w:val="00452917"/>
    <w:rsid w:val="00453265"/>
    <w:rsid w:val="004539E7"/>
    <w:rsid w:val="00453A34"/>
    <w:rsid w:val="00455209"/>
    <w:rsid w:val="00455D6B"/>
    <w:rsid w:val="00460005"/>
    <w:rsid w:val="00461CF3"/>
    <w:rsid w:val="00461D0D"/>
    <w:rsid w:val="00463174"/>
    <w:rsid w:val="00464B49"/>
    <w:rsid w:val="00465EC5"/>
    <w:rsid w:val="00465F14"/>
    <w:rsid w:val="00467115"/>
    <w:rsid w:val="0047003F"/>
    <w:rsid w:val="00470AAD"/>
    <w:rsid w:val="00473821"/>
    <w:rsid w:val="00474958"/>
    <w:rsid w:val="0047662B"/>
    <w:rsid w:val="0047668D"/>
    <w:rsid w:val="004806D6"/>
    <w:rsid w:val="0048298D"/>
    <w:rsid w:val="00483A41"/>
    <w:rsid w:val="00483AD5"/>
    <w:rsid w:val="0048433B"/>
    <w:rsid w:val="00486CF9"/>
    <w:rsid w:val="00487818"/>
    <w:rsid w:val="00487BD9"/>
    <w:rsid w:val="00490E1F"/>
    <w:rsid w:val="00491611"/>
    <w:rsid w:val="004918AD"/>
    <w:rsid w:val="004929E9"/>
    <w:rsid w:val="00492A81"/>
    <w:rsid w:val="00493C92"/>
    <w:rsid w:val="00493D8D"/>
    <w:rsid w:val="00494212"/>
    <w:rsid w:val="00494788"/>
    <w:rsid w:val="004967E1"/>
    <w:rsid w:val="004A057E"/>
    <w:rsid w:val="004A2F61"/>
    <w:rsid w:val="004A4905"/>
    <w:rsid w:val="004A4FF6"/>
    <w:rsid w:val="004A5A14"/>
    <w:rsid w:val="004A5D38"/>
    <w:rsid w:val="004A6152"/>
    <w:rsid w:val="004A678B"/>
    <w:rsid w:val="004A6CA1"/>
    <w:rsid w:val="004A7337"/>
    <w:rsid w:val="004A7E57"/>
    <w:rsid w:val="004B0CD7"/>
    <w:rsid w:val="004B0D5C"/>
    <w:rsid w:val="004B1109"/>
    <w:rsid w:val="004B211F"/>
    <w:rsid w:val="004B32A5"/>
    <w:rsid w:val="004B3372"/>
    <w:rsid w:val="004B4838"/>
    <w:rsid w:val="004B485B"/>
    <w:rsid w:val="004B48E3"/>
    <w:rsid w:val="004B5647"/>
    <w:rsid w:val="004B5D42"/>
    <w:rsid w:val="004B5DBA"/>
    <w:rsid w:val="004B60A7"/>
    <w:rsid w:val="004B60E6"/>
    <w:rsid w:val="004B6400"/>
    <w:rsid w:val="004B641B"/>
    <w:rsid w:val="004B701E"/>
    <w:rsid w:val="004B7235"/>
    <w:rsid w:val="004C1755"/>
    <w:rsid w:val="004C2A5F"/>
    <w:rsid w:val="004C2B82"/>
    <w:rsid w:val="004C6434"/>
    <w:rsid w:val="004C652F"/>
    <w:rsid w:val="004C7D49"/>
    <w:rsid w:val="004D233E"/>
    <w:rsid w:val="004D2DFC"/>
    <w:rsid w:val="004D32E8"/>
    <w:rsid w:val="004D4A49"/>
    <w:rsid w:val="004D51CD"/>
    <w:rsid w:val="004D64B7"/>
    <w:rsid w:val="004E09A6"/>
    <w:rsid w:val="004E266B"/>
    <w:rsid w:val="004E2B35"/>
    <w:rsid w:val="004E2C41"/>
    <w:rsid w:val="004E330F"/>
    <w:rsid w:val="004E6737"/>
    <w:rsid w:val="004E6CB4"/>
    <w:rsid w:val="004E6D6D"/>
    <w:rsid w:val="004E6EDF"/>
    <w:rsid w:val="004E7FEE"/>
    <w:rsid w:val="004F179E"/>
    <w:rsid w:val="004F3C45"/>
    <w:rsid w:val="004F4190"/>
    <w:rsid w:val="005007A3"/>
    <w:rsid w:val="00501048"/>
    <w:rsid w:val="00501D13"/>
    <w:rsid w:val="00502913"/>
    <w:rsid w:val="00504D9D"/>
    <w:rsid w:val="00505452"/>
    <w:rsid w:val="005100F1"/>
    <w:rsid w:val="005112FB"/>
    <w:rsid w:val="005143D0"/>
    <w:rsid w:val="0051479A"/>
    <w:rsid w:val="005156AF"/>
    <w:rsid w:val="005165A3"/>
    <w:rsid w:val="005169AD"/>
    <w:rsid w:val="00517649"/>
    <w:rsid w:val="00517E6A"/>
    <w:rsid w:val="0052046A"/>
    <w:rsid w:val="005217A3"/>
    <w:rsid w:val="00521BA2"/>
    <w:rsid w:val="00521C0B"/>
    <w:rsid w:val="00522698"/>
    <w:rsid w:val="00524BC5"/>
    <w:rsid w:val="005262FE"/>
    <w:rsid w:val="0052793E"/>
    <w:rsid w:val="0053026B"/>
    <w:rsid w:val="00532759"/>
    <w:rsid w:val="005330B9"/>
    <w:rsid w:val="00533E0F"/>
    <w:rsid w:val="005355FE"/>
    <w:rsid w:val="005356B5"/>
    <w:rsid w:val="00535AAC"/>
    <w:rsid w:val="00535F58"/>
    <w:rsid w:val="00536563"/>
    <w:rsid w:val="00536C3C"/>
    <w:rsid w:val="005371CC"/>
    <w:rsid w:val="005376D5"/>
    <w:rsid w:val="005409B5"/>
    <w:rsid w:val="0054367E"/>
    <w:rsid w:val="005440C4"/>
    <w:rsid w:val="00544768"/>
    <w:rsid w:val="00544FCA"/>
    <w:rsid w:val="00546D91"/>
    <w:rsid w:val="0054799C"/>
    <w:rsid w:val="00547E40"/>
    <w:rsid w:val="005505B9"/>
    <w:rsid w:val="00550DD5"/>
    <w:rsid w:val="00551C08"/>
    <w:rsid w:val="005535F1"/>
    <w:rsid w:val="00553651"/>
    <w:rsid w:val="00554197"/>
    <w:rsid w:val="00554B91"/>
    <w:rsid w:val="005561DB"/>
    <w:rsid w:val="00556AF5"/>
    <w:rsid w:val="00560341"/>
    <w:rsid w:val="00560F65"/>
    <w:rsid w:val="0056199A"/>
    <w:rsid w:val="0056216C"/>
    <w:rsid w:val="0056240A"/>
    <w:rsid w:val="00564205"/>
    <w:rsid w:val="005649A4"/>
    <w:rsid w:val="005659CC"/>
    <w:rsid w:val="00566F14"/>
    <w:rsid w:val="005671C8"/>
    <w:rsid w:val="005674F3"/>
    <w:rsid w:val="005703AA"/>
    <w:rsid w:val="005715AF"/>
    <w:rsid w:val="00571677"/>
    <w:rsid w:val="00572B35"/>
    <w:rsid w:val="00573A7D"/>
    <w:rsid w:val="00574D4A"/>
    <w:rsid w:val="00580616"/>
    <w:rsid w:val="00580BC9"/>
    <w:rsid w:val="005812F3"/>
    <w:rsid w:val="0058169D"/>
    <w:rsid w:val="00581D66"/>
    <w:rsid w:val="005852DD"/>
    <w:rsid w:val="0058726B"/>
    <w:rsid w:val="0059040F"/>
    <w:rsid w:val="005907B4"/>
    <w:rsid w:val="00590F92"/>
    <w:rsid w:val="005913A9"/>
    <w:rsid w:val="0059201D"/>
    <w:rsid w:val="00592095"/>
    <w:rsid w:val="0059313B"/>
    <w:rsid w:val="00593A40"/>
    <w:rsid w:val="00593BEB"/>
    <w:rsid w:val="00593EFA"/>
    <w:rsid w:val="005960D2"/>
    <w:rsid w:val="00596D61"/>
    <w:rsid w:val="005A2AF1"/>
    <w:rsid w:val="005A5D6F"/>
    <w:rsid w:val="005A6AE3"/>
    <w:rsid w:val="005A6AEA"/>
    <w:rsid w:val="005A7BAD"/>
    <w:rsid w:val="005B0A2D"/>
    <w:rsid w:val="005B137C"/>
    <w:rsid w:val="005B1D02"/>
    <w:rsid w:val="005B2879"/>
    <w:rsid w:val="005B2CD3"/>
    <w:rsid w:val="005B2F2B"/>
    <w:rsid w:val="005B346C"/>
    <w:rsid w:val="005B3D76"/>
    <w:rsid w:val="005B447E"/>
    <w:rsid w:val="005B4758"/>
    <w:rsid w:val="005B5790"/>
    <w:rsid w:val="005B65C6"/>
    <w:rsid w:val="005B779A"/>
    <w:rsid w:val="005C0029"/>
    <w:rsid w:val="005C0147"/>
    <w:rsid w:val="005C0AC5"/>
    <w:rsid w:val="005C0BE9"/>
    <w:rsid w:val="005C13F8"/>
    <w:rsid w:val="005C1A28"/>
    <w:rsid w:val="005C2119"/>
    <w:rsid w:val="005C32D8"/>
    <w:rsid w:val="005C36A4"/>
    <w:rsid w:val="005C6675"/>
    <w:rsid w:val="005C7CBA"/>
    <w:rsid w:val="005D0882"/>
    <w:rsid w:val="005D1C9E"/>
    <w:rsid w:val="005D5616"/>
    <w:rsid w:val="005D5755"/>
    <w:rsid w:val="005D7C57"/>
    <w:rsid w:val="005D7EDD"/>
    <w:rsid w:val="005E3104"/>
    <w:rsid w:val="005E3B04"/>
    <w:rsid w:val="005E3C22"/>
    <w:rsid w:val="005E4446"/>
    <w:rsid w:val="005E4676"/>
    <w:rsid w:val="005E55E2"/>
    <w:rsid w:val="005E5F2D"/>
    <w:rsid w:val="005E778B"/>
    <w:rsid w:val="005E7DEB"/>
    <w:rsid w:val="005F0457"/>
    <w:rsid w:val="005F3194"/>
    <w:rsid w:val="005F323E"/>
    <w:rsid w:val="005F3919"/>
    <w:rsid w:val="005F4B5C"/>
    <w:rsid w:val="005F4E29"/>
    <w:rsid w:val="005F4F6F"/>
    <w:rsid w:val="005F6F0E"/>
    <w:rsid w:val="005F7759"/>
    <w:rsid w:val="005F7D5B"/>
    <w:rsid w:val="00600549"/>
    <w:rsid w:val="006005EE"/>
    <w:rsid w:val="00600AF7"/>
    <w:rsid w:val="006014AE"/>
    <w:rsid w:val="00601BAD"/>
    <w:rsid w:val="00603C42"/>
    <w:rsid w:val="00603DC0"/>
    <w:rsid w:val="00603FCB"/>
    <w:rsid w:val="00604CC4"/>
    <w:rsid w:val="0060506C"/>
    <w:rsid w:val="006052C4"/>
    <w:rsid w:val="00605433"/>
    <w:rsid w:val="0060728E"/>
    <w:rsid w:val="006100B6"/>
    <w:rsid w:val="00610405"/>
    <w:rsid w:val="006109BA"/>
    <w:rsid w:val="00610AC8"/>
    <w:rsid w:val="006131A0"/>
    <w:rsid w:val="0061330E"/>
    <w:rsid w:val="0061373E"/>
    <w:rsid w:val="00615784"/>
    <w:rsid w:val="00616205"/>
    <w:rsid w:val="00616CDA"/>
    <w:rsid w:val="0061706D"/>
    <w:rsid w:val="00617362"/>
    <w:rsid w:val="00617478"/>
    <w:rsid w:val="00617CE1"/>
    <w:rsid w:val="006214D8"/>
    <w:rsid w:val="00622043"/>
    <w:rsid w:val="006232E5"/>
    <w:rsid w:val="00623AEF"/>
    <w:rsid w:val="00625AFF"/>
    <w:rsid w:val="0062696A"/>
    <w:rsid w:val="00630513"/>
    <w:rsid w:val="0063052D"/>
    <w:rsid w:val="00631A6D"/>
    <w:rsid w:val="006322E1"/>
    <w:rsid w:val="006351F2"/>
    <w:rsid w:val="0063584F"/>
    <w:rsid w:val="006358A4"/>
    <w:rsid w:val="00636012"/>
    <w:rsid w:val="0063732F"/>
    <w:rsid w:val="00637487"/>
    <w:rsid w:val="00637E1B"/>
    <w:rsid w:val="0064005D"/>
    <w:rsid w:val="00640777"/>
    <w:rsid w:val="006424AB"/>
    <w:rsid w:val="006425A1"/>
    <w:rsid w:val="006425E0"/>
    <w:rsid w:val="00645F03"/>
    <w:rsid w:val="00645FF6"/>
    <w:rsid w:val="0064654B"/>
    <w:rsid w:val="00647AAB"/>
    <w:rsid w:val="006518E9"/>
    <w:rsid w:val="00652DD6"/>
    <w:rsid w:val="00653967"/>
    <w:rsid w:val="00653E27"/>
    <w:rsid w:val="00655359"/>
    <w:rsid w:val="00657A34"/>
    <w:rsid w:val="0066197F"/>
    <w:rsid w:val="0066247D"/>
    <w:rsid w:val="00662CE3"/>
    <w:rsid w:val="0066377D"/>
    <w:rsid w:val="0066429B"/>
    <w:rsid w:val="006646D9"/>
    <w:rsid w:val="006648FB"/>
    <w:rsid w:val="00664DFB"/>
    <w:rsid w:val="00664F4E"/>
    <w:rsid w:val="00667158"/>
    <w:rsid w:val="00670DF1"/>
    <w:rsid w:val="00670F1D"/>
    <w:rsid w:val="006719C1"/>
    <w:rsid w:val="00671FA8"/>
    <w:rsid w:val="00672297"/>
    <w:rsid w:val="006758F0"/>
    <w:rsid w:val="0067593C"/>
    <w:rsid w:val="00675EA7"/>
    <w:rsid w:val="00676302"/>
    <w:rsid w:val="00680762"/>
    <w:rsid w:val="00681937"/>
    <w:rsid w:val="00683AB8"/>
    <w:rsid w:val="006844CD"/>
    <w:rsid w:val="00685036"/>
    <w:rsid w:val="00685ED7"/>
    <w:rsid w:val="00686BF7"/>
    <w:rsid w:val="006907E0"/>
    <w:rsid w:val="00690C57"/>
    <w:rsid w:val="006913B0"/>
    <w:rsid w:val="006915E2"/>
    <w:rsid w:val="006915EA"/>
    <w:rsid w:val="006922C2"/>
    <w:rsid w:val="006942B2"/>
    <w:rsid w:val="00694E36"/>
    <w:rsid w:val="00695659"/>
    <w:rsid w:val="006977F9"/>
    <w:rsid w:val="006A0171"/>
    <w:rsid w:val="006A0AF0"/>
    <w:rsid w:val="006A0CBB"/>
    <w:rsid w:val="006A1DF6"/>
    <w:rsid w:val="006A20E6"/>
    <w:rsid w:val="006A3846"/>
    <w:rsid w:val="006A4239"/>
    <w:rsid w:val="006A4E94"/>
    <w:rsid w:val="006A5F53"/>
    <w:rsid w:val="006A631F"/>
    <w:rsid w:val="006A7148"/>
    <w:rsid w:val="006B0102"/>
    <w:rsid w:val="006B17BF"/>
    <w:rsid w:val="006B1A27"/>
    <w:rsid w:val="006B3D50"/>
    <w:rsid w:val="006B3FEB"/>
    <w:rsid w:val="006B54F3"/>
    <w:rsid w:val="006B57A5"/>
    <w:rsid w:val="006B5896"/>
    <w:rsid w:val="006B5E7A"/>
    <w:rsid w:val="006B733E"/>
    <w:rsid w:val="006B7E09"/>
    <w:rsid w:val="006C1415"/>
    <w:rsid w:val="006C1EDD"/>
    <w:rsid w:val="006C20A5"/>
    <w:rsid w:val="006C2123"/>
    <w:rsid w:val="006C2EA9"/>
    <w:rsid w:val="006C3390"/>
    <w:rsid w:val="006C33A1"/>
    <w:rsid w:val="006C3BAA"/>
    <w:rsid w:val="006C3CC8"/>
    <w:rsid w:val="006C40BF"/>
    <w:rsid w:val="006C42D0"/>
    <w:rsid w:val="006C4AC4"/>
    <w:rsid w:val="006C56D9"/>
    <w:rsid w:val="006C5F95"/>
    <w:rsid w:val="006C6D13"/>
    <w:rsid w:val="006C7360"/>
    <w:rsid w:val="006D13E0"/>
    <w:rsid w:val="006D22F7"/>
    <w:rsid w:val="006D29CE"/>
    <w:rsid w:val="006D2C4A"/>
    <w:rsid w:val="006D30D2"/>
    <w:rsid w:val="006D6890"/>
    <w:rsid w:val="006D72E1"/>
    <w:rsid w:val="006D7F0D"/>
    <w:rsid w:val="006E17AD"/>
    <w:rsid w:val="006E7486"/>
    <w:rsid w:val="006F3218"/>
    <w:rsid w:val="006F336D"/>
    <w:rsid w:val="006F4045"/>
    <w:rsid w:val="006F48B9"/>
    <w:rsid w:val="006F54A0"/>
    <w:rsid w:val="006F5A5C"/>
    <w:rsid w:val="006F7F00"/>
    <w:rsid w:val="0070177E"/>
    <w:rsid w:val="00701D78"/>
    <w:rsid w:val="00702603"/>
    <w:rsid w:val="00702617"/>
    <w:rsid w:val="007027B2"/>
    <w:rsid w:val="00702CFB"/>
    <w:rsid w:val="007045E9"/>
    <w:rsid w:val="0070738A"/>
    <w:rsid w:val="007104E5"/>
    <w:rsid w:val="007114C7"/>
    <w:rsid w:val="00711895"/>
    <w:rsid w:val="0071238F"/>
    <w:rsid w:val="00712764"/>
    <w:rsid w:val="00712CC9"/>
    <w:rsid w:val="00712E31"/>
    <w:rsid w:val="00715F9E"/>
    <w:rsid w:val="0072085E"/>
    <w:rsid w:val="00721715"/>
    <w:rsid w:val="007223B5"/>
    <w:rsid w:val="00723487"/>
    <w:rsid w:val="00723871"/>
    <w:rsid w:val="00723EA4"/>
    <w:rsid w:val="00724424"/>
    <w:rsid w:val="007250D9"/>
    <w:rsid w:val="007254E4"/>
    <w:rsid w:val="00725E62"/>
    <w:rsid w:val="00726CC0"/>
    <w:rsid w:val="00727BDE"/>
    <w:rsid w:val="00731BD3"/>
    <w:rsid w:val="00731C1D"/>
    <w:rsid w:val="00731CC9"/>
    <w:rsid w:val="00731DCD"/>
    <w:rsid w:val="00732F51"/>
    <w:rsid w:val="00743764"/>
    <w:rsid w:val="00744346"/>
    <w:rsid w:val="0074510D"/>
    <w:rsid w:val="00745C96"/>
    <w:rsid w:val="00745E55"/>
    <w:rsid w:val="00745F63"/>
    <w:rsid w:val="00747297"/>
    <w:rsid w:val="00747DAC"/>
    <w:rsid w:val="0075151B"/>
    <w:rsid w:val="0075160D"/>
    <w:rsid w:val="00752E2A"/>
    <w:rsid w:val="00755765"/>
    <w:rsid w:val="007566B2"/>
    <w:rsid w:val="00757356"/>
    <w:rsid w:val="007607C5"/>
    <w:rsid w:val="007610CD"/>
    <w:rsid w:val="007619FA"/>
    <w:rsid w:val="007631FF"/>
    <w:rsid w:val="00766D75"/>
    <w:rsid w:val="00767035"/>
    <w:rsid w:val="00770688"/>
    <w:rsid w:val="007726A2"/>
    <w:rsid w:val="0077286F"/>
    <w:rsid w:val="00772EE5"/>
    <w:rsid w:val="00774F4B"/>
    <w:rsid w:val="00775612"/>
    <w:rsid w:val="007763EC"/>
    <w:rsid w:val="00776502"/>
    <w:rsid w:val="00776A31"/>
    <w:rsid w:val="00776FE1"/>
    <w:rsid w:val="007803AB"/>
    <w:rsid w:val="007828ED"/>
    <w:rsid w:val="00783B19"/>
    <w:rsid w:val="007845D4"/>
    <w:rsid w:val="00784B03"/>
    <w:rsid w:val="007854D3"/>
    <w:rsid w:val="007857D9"/>
    <w:rsid w:val="00786E19"/>
    <w:rsid w:val="00787C73"/>
    <w:rsid w:val="00790C74"/>
    <w:rsid w:val="00790F8B"/>
    <w:rsid w:val="00791139"/>
    <w:rsid w:val="00791712"/>
    <w:rsid w:val="00791B17"/>
    <w:rsid w:val="00792830"/>
    <w:rsid w:val="00794083"/>
    <w:rsid w:val="0079481E"/>
    <w:rsid w:val="0079546B"/>
    <w:rsid w:val="00795A75"/>
    <w:rsid w:val="00796772"/>
    <w:rsid w:val="00796BE5"/>
    <w:rsid w:val="00796D91"/>
    <w:rsid w:val="007975AF"/>
    <w:rsid w:val="0079778D"/>
    <w:rsid w:val="007A0AA6"/>
    <w:rsid w:val="007A32B4"/>
    <w:rsid w:val="007A420A"/>
    <w:rsid w:val="007A5481"/>
    <w:rsid w:val="007A57CA"/>
    <w:rsid w:val="007A60D0"/>
    <w:rsid w:val="007B0404"/>
    <w:rsid w:val="007B1110"/>
    <w:rsid w:val="007B39BC"/>
    <w:rsid w:val="007B4DC3"/>
    <w:rsid w:val="007B4DD5"/>
    <w:rsid w:val="007B598F"/>
    <w:rsid w:val="007B61F3"/>
    <w:rsid w:val="007B78B4"/>
    <w:rsid w:val="007C00D5"/>
    <w:rsid w:val="007C1DB4"/>
    <w:rsid w:val="007C2933"/>
    <w:rsid w:val="007C2E15"/>
    <w:rsid w:val="007C30CC"/>
    <w:rsid w:val="007C37B0"/>
    <w:rsid w:val="007C3FFD"/>
    <w:rsid w:val="007C6819"/>
    <w:rsid w:val="007C6B31"/>
    <w:rsid w:val="007C7748"/>
    <w:rsid w:val="007C7CF2"/>
    <w:rsid w:val="007D02E9"/>
    <w:rsid w:val="007D1558"/>
    <w:rsid w:val="007D1642"/>
    <w:rsid w:val="007D1DAC"/>
    <w:rsid w:val="007D2C33"/>
    <w:rsid w:val="007D30CA"/>
    <w:rsid w:val="007D3F0D"/>
    <w:rsid w:val="007D4160"/>
    <w:rsid w:val="007D41A1"/>
    <w:rsid w:val="007D6303"/>
    <w:rsid w:val="007D70F2"/>
    <w:rsid w:val="007D7466"/>
    <w:rsid w:val="007E03CC"/>
    <w:rsid w:val="007E3A84"/>
    <w:rsid w:val="007E4955"/>
    <w:rsid w:val="007E4CC6"/>
    <w:rsid w:val="007E59B3"/>
    <w:rsid w:val="007E62FF"/>
    <w:rsid w:val="007F0498"/>
    <w:rsid w:val="007F19B7"/>
    <w:rsid w:val="007F3409"/>
    <w:rsid w:val="007F487A"/>
    <w:rsid w:val="007F4ABE"/>
    <w:rsid w:val="007F68EC"/>
    <w:rsid w:val="007F7488"/>
    <w:rsid w:val="007F7C12"/>
    <w:rsid w:val="00800440"/>
    <w:rsid w:val="00802831"/>
    <w:rsid w:val="00803A67"/>
    <w:rsid w:val="00803AD4"/>
    <w:rsid w:val="00804479"/>
    <w:rsid w:val="008048F8"/>
    <w:rsid w:val="0080548D"/>
    <w:rsid w:val="0080622A"/>
    <w:rsid w:val="00806670"/>
    <w:rsid w:val="00810650"/>
    <w:rsid w:val="00811551"/>
    <w:rsid w:val="008118E4"/>
    <w:rsid w:val="00812482"/>
    <w:rsid w:val="00814546"/>
    <w:rsid w:val="0081694E"/>
    <w:rsid w:val="008179C2"/>
    <w:rsid w:val="00817F63"/>
    <w:rsid w:val="00822864"/>
    <w:rsid w:val="008230B1"/>
    <w:rsid w:val="00823B25"/>
    <w:rsid w:val="00824FAA"/>
    <w:rsid w:val="00826748"/>
    <w:rsid w:val="0082723B"/>
    <w:rsid w:val="00827380"/>
    <w:rsid w:val="0082742A"/>
    <w:rsid w:val="0083059A"/>
    <w:rsid w:val="008306B8"/>
    <w:rsid w:val="00831F1E"/>
    <w:rsid w:val="00832634"/>
    <w:rsid w:val="0083294C"/>
    <w:rsid w:val="00832B7E"/>
    <w:rsid w:val="0083371B"/>
    <w:rsid w:val="008349C0"/>
    <w:rsid w:val="00834A55"/>
    <w:rsid w:val="0083524C"/>
    <w:rsid w:val="00835D2F"/>
    <w:rsid w:val="00836A32"/>
    <w:rsid w:val="00837CE7"/>
    <w:rsid w:val="008414C5"/>
    <w:rsid w:val="00842979"/>
    <w:rsid w:val="0084378D"/>
    <w:rsid w:val="008446C7"/>
    <w:rsid w:val="00844768"/>
    <w:rsid w:val="00844D45"/>
    <w:rsid w:val="00844D4C"/>
    <w:rsid w:val="0084535B"/>
    <w:rsid w:val="0084589F"/>
    <w:rsid w:val="00846160"/>
    <w:rsid w:val="00847FCD"/>
    <w:rsid w:val="008507E2"/>
    <w:rsid w:val="00850FA9"/>
    <w:rsid w:val="00853B7C"/>
    <w:rsid w:val="008550C3"/>
    <w:rsid w:val="00855A27"/>
    <w:rsid w:val="00855E03"/>
    <w:rsid w:val="008567E3"/>
    <w:rsid w:val="00856EA6"/>
    <w:rsid w:val="00861C41"/>
    <w:rsid w:val="0086232B"/>
    <w:rsid w:val="0086314C"/>
    <w:rsid w:val="0086364C"/>
    <w:rsid w:val="008655B4"/>
    <w:rsid w:val="0086607C"/>
    <w:rsid w:val="008662B3"/>
    <w:rsid w:val="00866F0B"/>
    <w:rsid w:val="00867014"/>
    <w:rsid w:val="00867BE1"/>
    <w:rsid w:val="00872457"/>
    <w:rsid w:val="00872D70"/>
    <w:rsid w:val="00872DD4"/>
    <w:rsid w:val="00872E6B"/>
    <w:rsid w:val="00873A9D"/>
    <w:rsid w:val="00874491"/>
    <w:rsid w:val="008746CD"/>
    <w:rsid w:val="008750DE"/>
    <w:rsid w:val="00875738"/>
    <w:rsid w:val="0087685F"/>
    <w:rsid w:val="00876C76"/>
    <w:rsid w:val="00876E6E"/>
    <w:rsid w:val="008773E8"/>
    <w:rsid w:val="008801C7"/>
    <w:rsid w:val="008802AA"/>
    <w:rsid w:val="00880E45"/>
    <w:rsid w:val="00881200"/>
    <w:rsid w:val="00881372"/>
    <w:rsid w:val="0088317F"/>
    <w:rsid w:val="008831A1"/>
    <w:rsid w:val="008836CB"/>
    <w:rsid w:val="008837B4"/>
    <w:rsid w:val="008842D1"/>
    <w:rsid w:val="00886DE3"/>
    <w:rsid w:val="00886DE5"/>
    <w:rsid w:val="00887473"/>
    <w:rsid w:val="00887F5C"/>
    <w:rsid w:val="0089020B"/>
    <w:rsid w:val="00890264"/>
    <w:rsid w:val="0089147A"/>
    <w:rsid w:val="008924D7"/>
    <w:rsid w:val="00892CA5"/>
    <w:rsid w:val="008931CB"/>
    <w:rsid w:val="00893585"/>
    <w:rsid w:val="00893D93"/>
    <w:rsid w:val="00895002"/>
    <w:rsid w:val="008952B1"/>
    <w:rsid w:val="008957AC"/>
    <w:rsid w:val="00895C3B"/>
    <w:rsid w:val="00895DF5"/>
    <w:rsid w:val="008971E8"/>
    <w:rsid w:val="008A027A"/>
    <w:rsid w:val="008A0864"/>
    <w:rsid w:val="008A1AB6"/>
    <w:rsid w:val="008A1AD3"/>
    <w:rsid w:val="008A32A9"/>
    <w:rsid w:val="008A48A6"/>
    <w:rsid w:val="008A5AF4"/>
    <w:rsid w:val="008A651D"/>
    <w:rsid w:val="008A6AFA"/>
    <w:rsid w:val="008B2334"/>
    <w:rsid w:val="008B2D8B"/>
    <w:rsid w:val="008B2DCC"/>
    <w:rsid w:val="008B412B"/>
    <w:rsid w:val="008B42DE"/>
    <w:rsid w:val="008B58CD"/>
    <w:rsid w:val="008B5A4D"/>
    <w:rsid w:val="008B5DAC"/>
    <w:rsid w:val="008B69D5"/>
    <w:rsid w:val="008B7B6E"/>
    <w:rsid w:val="008B7B84"/>
    <w:rsid w:val="008C20BA"/>
    <w:rsid w:val="008C2D1E"/>
    <w:rsid w:val="008C2E6B"/>
    <w:rsid w:val="008C3D90"/>
    <w:rsid w:val="008C4AA9"/>
    <w:rsid w:val="008C5E12"/>
    <w:rsid w:val="008C7D28"/>
    <w:rsid w:val="008D0421"/>
    <w:rsid w:val="008D1874"/>
    <w:rsid w:val="008D2BED"/>
    <w:rsid w:val="008D5889"/>
    <w:rsid w:val="008D6005"/>
    <w:rsid w:val="008E13A2"/>
    <w:rsid w:val="008E2633"/>
    <w:rsid w:val="008E2FD9"/>
    <w:rsid w:val="008E40BA"/>
    <w:rsid w:val="008E4357"/>
    <w:rsid w:val="008E4E43"/>
    <w:rsid w:val="008E5889"/>
    <w:rsid w:val="008E58F5"/>
    <w:rsid w:val="008E5FA1"/>
    <w:rsid w:val="008E697F"/>
    <w:rsid w:val="008F0495"/>
    <w:rsid w:val="008F0522"/>
    <w:rsid w:val="008F14A5"/>
    <w:rsid w:val="008F172F"/>
    <w:rsid w:val="008F1BAC"/>
    <w:rsid w:val="008F1DAE"/>
    <w:rsid w:val="008F2301"/>
    <w:rsid w:val="008F2607"/>
    <w:rsid w:val="008F28F1"/>
    <w:rsid w:val="008F3543"/>
    <w:rsid w:val="008F5C2F"/>
    <w:rsid w:val="008F6657"/>
    <w:rsid w:val="008F7D45"/>
    <w:rsid w:val="00900872"/>
    <w:rsid w:val="00900A3C"/>
    <w:rsid w:val="00901D94"/>
    <w:rsid w:val="009027B9"/>
    <w:rsid w:val="009049F1"/>
    <w:rsid w:val="00905673"/>
    <w:rsid w:val="00905BE1"/>
    <w:rsid w:val="0090771F"/>
    <w:rsid w:val="00907A79"/>
    <w:rsid w:val="00907C2C"/>
    <w:rsid w:val="00911975"/>
    <w:rsid w:val="00913528"/>
    <w:rsid w:val="00915918"/>
    <w:rsid w:val="00915972"/>
    <w:rsid w:val="0091603D"/>
    <w:rsid w:val="00916850"/>
    <w:rsid w:val="00917015"/>
    <w:rsid w:val="00922278"/>
    <w:rsid w:val="00922549"/>
    <w:rsid w:val="00922F7A"/>
    <w:rsid w:val="0092457F"/>
    <w:rsid w:val="00924CED"/>
    <w:rsid w:val="009250D9"/>
    <w:rsid w:val="00927A69"/>
    <w:rsid w:val="009309AB"/>
    <w:rsid w:val="00930B97"/>
    <w:rsid w:val="00930CC4"/>
    <w:rsid w:val="009328CD"/>
    <w:rsid w:val="00932C7A"/>
    <w:rsid w:val="0093340F"/>
    <w:rsid w:val="0093414F"/>
    <w:rsid w:val="0093418C"/>
    <w:rsid w:val="0093492C"/>
    <w:rsid w:val="00934DAA"/>
    <w:rsid w:val="0093559E"/>
    <w:rsid w:val="0093632B"/>
    <w:rsid w:val="00936501"/>
    <w:rsid w:val="009373B3"/>
    <w:rsid w:val="0093747B"/>
    <w:rsid w:val="00940602"/>
    <w:rsid w:val="00940982"/>
    <w:rsid w:val="009429FC"/>
    <w:rsid w:val="00942BB8"/>
    <w:rsid w:val="00943896"/>
    <w:rsid w:val="00943BCE"/>
    <w:rsid w:val="00945FCB"/>
    <w:rsid w:val="00946B3E"/>
    <w:rsid w:val="009472D4"/>
    <w:rsid w:val="00950896"/>
    <w:rsid w:val="00950EE3"/>
    <w:rsid w:val="00951054"/>
    <w:rsid w:val="0095163E"/>
    <w:rsid w:val="009537C4"/>
    <w:rsid w:val="00953B36"/>
    <w:rsid w:val="0095411C"/>
    <w:rsid w:val="009541E4"/>
    <w:rsid w:val="009556EC"/>
    <w:rsid w:val="00956017"/>
    <w:rsid w:val="00956CB4"/>
    <w:rsid w:val="00956CEA"/>
    <w:rsid w:val="00956E3A"/>
    <w:rsid w:val="009611FF"/>
    <w:rsid w:val="00962126"/>
    <w:rsid w:val="00963AE1"/>
    <w:rsid w:val="00963BFD"/>
    <w:rsid w:val="00965790"/>
    <w:rsid w:val="00966B91"/>
    <w:rsid w:val="00970D52"/>
    <w:rsid w:val="00970D5D"/>
    <w:rsid w:val="00972AFD"/>
    <w:rsid w:val="00973540"/>
    <w:rsid w:val="00973669"/>
    <w:rsid w:val="0097407B"/>
    <w:rsid w:val="0097516F"/>
    <w:rsid w:val="009754AB"/>
    <w:rsid w:val="00975B57"/>
    <w:rsid w:val="00975ED5"/>
    <w:rsid w:val="00977E29"/>
    <w:rsid w:val="00980B41"/>
    <w:rsid w:val="00984588"/>
    <w:rsid w:val="00985088"/>
    <w:rsid w:val="0098516D"/>
    <w:rsid w:val="009853D0"/>
    <w:rsid w:val="009871A0"/>
    <w:rsid w:val="00987AB3"/>
    <w:rsid w:val="00987B29"/>
    <w:rsid w:val="00990F74"/>
    <w:rsid w:val="009916C1"/>
    <w:rsid w:val="00991788"/>
    <w:rsid w:val="00992A1F"/>
    <w:rsid w:val="00994A96"/>
    <w:rsid w:val="00995EE5"/>
    <w:rsid w:val="00997032"/>
    <w:rsid w:val="009971EB"/>
    <w:rsid w:val="009972C5"/>
    <w:rsid w:val="00997D31"/>
    <w:rsid w:val="00997FCE"/>
    <w:rsid w:val="009A06A3"/>
    <w:rsid w:val="009A0E71"/>
    <w:rsid w:val="009A1010"/>
    <w:rsid w:val="009A10AD"/>
    <w:rsid w:val="009A2176"/>
    <w:rsid w:val="009A27DB"/>
    <w:rsid w:val="009A27DF"/>
    <w:rsid w:val="009A2A4F"/>
    <w:rsid w:val="009A349F"/>
    <w:rsid w:val="009A3AE9"/>
    <w:rsid w:val="009A4D3E"/>
    <w:rsid w:val="009A4EAD"/>
    <w:rsid w:val="009A69D7"/>
    <w:rsid w:val="009A7FB3"/>
    <w:rsid w:val="009B0927"/>
    <w:rsid w:val="009B0C9B"/>
    <w:rsid w:val="009B1B84"/>
    <w:rsid w:val="009B4113"/>
    <w:rsid w:val="009B52BC"/>
    <w:rsid w:val="009B5EB0"/>
    <w:rsid w:val="009B669F"/>
    <w:rsid w:val="009B6701"/>
    <w:rsid w:val="009B7E64"/>
    <w:rsid w:val="009B7F1E"/>
    <w:rsid w:val="009B7F39"/>
    <w:rsid w:val="009C08E5"/>
    <w:rsid w:val="009C0A44"/>
    <w:rsid w:val="009C1A63"/>
    <w:rsid w:val="009C2535"/>
    <w:rsid w:val="009C2FA9"/>
    <w:rsid w:val="009C2FC0"/>
    <w:rsid w:val="009C3139"/>
    <w:rsid w:val="009C6996"/>
    <w:rsid w:val="009D002A"/>
    <w:rsid w:val="009D28B3"/>
    <w:rsid w:val="009D3803"/>
    <w:rsid w:val="009D4725"/>
    <w:rsid w:val="009D4EC0"/>
    <w:rsid w:val="009D6084"/>
    <w:rsid w:val="009D669A"/>
    <w:rsid w:val="009D67B9"/>
    <w:rsid w:val="009D6D77"/>
    <w:rsid w:val="009D7AD5"/>
    <w:rsid w:val="009E0AF5"/>
    <w:rsid w:val="009E177E"/>
    <w:rsid w:val="009E218D"/>
    <w:rsid w:val="009E2912"/>
    <w:rsid w:val="009E4ED3"/>
    <w:rsid w:val="009E527B"/>
    <w:rsid w:val="009E5432"/>
    <w:rsid w:val="009E55ED"/>
    <w:rsid w:val="009E5AB5"/>
    <w:rsid w:val="009E5C4B"/>
    <w:rsid w:val="009E763E"/>
    <w:rsid w:val="009F0982"/>
    <w:rsid w:val="009F0D2B"/>
    <w:rsid w:val="009F3094"/>
    <w:rsid w:val="009F3E56"/>
    <w:rsid w:val="009F458E"/>
    <w:rsid w:val="009F46F0"/>
    <w:rsid w:val="009F5490"/>
    <w:rsid w:val="009F5912"/>
    <w:rsid w:val="009F5DE5"/>
    <w:rsid w:val="009F75EB"/>
    <w:rsid w:val="009F7F7F"/>
    <w:rsid w:val="00A0036C"/>
    <w:rsid w:val="00A007DC"/>
    <w:rsid w:val="00A0297C"/>
    <w:rsid w:val="00A0449B"/>
    <w:rsid w:val="00A04C05"/>
    <w:rsid w:val="00A053FF"/>
    <w:rsid w:val="00A05E8E"/>
    <w:rsid w:val="00A06918"/>
    <w:rsid w:val="00A06E55"/>
    <w:rsid w:val="00A076E3"/>
    <w:rsid w:val="00A1003B"/>
    <w:rsid w:val="00A10316"/>
    <w:rsid w:val="00A12DD8"/>
    <w:rsid w:val="00A1333C"/>
    <w:rsid w:val="00A13988"/>
    <w:rsid w:val="00A1421F"/>
    <w:rsid w:val="00A1464D"/>
    <w:rsid w:val="00A1746D"/>
    <w:rsid w:val="00A1752B"/>
    <w:rsid w:val="00A17C27"/>
    <w:rsid w:val="00A20060"/>
    <w:rsid w:val="00A20102"/>
    <w:rsid w:val="00A20428"/>
    <w:rsid w:val="00A20540"/>
    <w:rsid w:val="00A208E9"/>
    <w:rsid w:val="00A229A7"/>
    <w:rsid w:val="00A230BA"/>
    <w:rsid w:val="00A24CE2"/>
    <w:rsid w:val="00A25015"/>
    <w:rsid w:val="00A25C86"/>
    <w:rsid w:val="00A30468"/>
    <w:rsid w:val="00A32C77"/>
    <w:rsid w:val="00A33EC5"/>
    <w:rsid w:val="00A36829"/>
    <w:rsid w:val="00A37D69"/>
    <w:rsid w:val="00A41725"/>
    <w:rsid w:val="00A418EB"/>
    <w:rsid w:val="00A41B7D"/>
    <w:rsid w:val="00A43302"/>
    <w:rsid w:val="00A447F8"/>
    <w:rsid w:val="00A455AF"/>
    <w:rsid w:val="00A458E9"/>
    <w:rsid w:val="00A472AA"/>
    <w:rsid w:val="00A5056B"/>
    <w:rsid w:val="00A52D41"/>
    <w:rsid w:val="00A53484"/>
    <w:rsid w:val="00A53945"/>
    <w:rsid w:val="00A540E3"/>
    <w:rsid w:val="00A5479D"/>
    <w:rsid w:val="00A56E7C"/>
    <w:rsid w:val="00A57EF4"/>
    <w:rsid w:val="00A613E0"/>
    <w:rsid w:val="00A621B8"/>
    <w:rsid w:val="00A66F73"/>
    <w:rsid w:val="00A6766E"/>
    <w:rsid w:val="00A67B37"/>
    <w:rsid w:val="00A67B9E"/>
    <w:rsid w:val="00A67BAC"/>
    <w:rsid w:val="00A67E83"/>
    <w:rsid w:val="00A701BF"/>
    <w:rsid w:val="00A705E6"/>
    <w:rsid w:val="00A722BC"/>
    <w:rsid w:val="00A73D24"/>
    <w:rsid w:val="00A75531"/>
    <w:rsid w:val="00A766DB"/>
    <w:rsid w:val="00A774E3"/>
    <w:rsid w:val="00A77650"/>
    <w:rsid w:val="00A81A4C"/>
    <w:rsid w:val="00A81D4F"/>
    <w:rsid w:val="00A83160"/>
    <w:rsid w:val="00A8342E"/>
    <w:rsid w:val="00A85123"/>
    <w:rsid w:val="00A853B1"/>
    <w:rsid w:val="00A85A4E"/>
    <w:rsid w:val="00A86CDF"/>
    <w:rsid w:val="00A879D3"/>
    <w:rsid w:val="00A912BA"/>
    <w:rsid w:val="00A9269D"/>
    <w:rsid w:val="00A9303F"/>
    <w:rsid w:val="00A94126"/>
    <w:rsid w:val="00A94B9B"/>
    <w:rsid w:val="00A94E70"/>
    <w:rsid w:val="00A95787"/>
    <w:rsid w:val="00A96C4F"/>
    <w:rsid w:val="00A97056"/>
    <w:rsid w:val="00A97A2A"/>
    <w:rsid w:val="00A97F05"/>
    <w:rsid w:val="00AA016D"/>
    <w:rsid w:val="00AA0C5C"/>
    <w:rsid w:val="00AA1232"/>
    <w:rsid w:val="00AA1278"/>
    <w:rsid w:val="00AA149B"/>
    <w:rsid w:val="00AA3FBB"/>
    <w:rsid w:val="00AA4576"/>
    <w:rsid w:val="00AA620F"/>
    <w:rsid w:val="00AA78EC"/>
    <w:rsid w:val="00AB1713"/>
    <w:rsid w:val="00AB1AC6"/>
    <w:rsid w:val="00AB1E22"/>
    <w:rsid w:val="00AB1F19"/>
    <w:rsid w:val="00AB1F33"/>
    <w:rsid w:val="00AB24A2"/>
    <w:rsid w:val="00AB354F"/>
    <w:rsid w:val="00AB6CD2"/>
    <w:rsid w:val="00AB7130"/>
    <w:rsid w:val="00AC05F0"/>
    <w:rsid w:val="00AC07B4"/>
    <w:rsid w:val="00AC098F"/>
    <w:rsid w:val="00AC0D28"/>
    <w:rsid w:val="00AC1E5B"/>
    <w:rsid w:val="00AC29B5"/>
    <w:rsid w:val="00AC3DC1"/>
    <w:rsid w:val="00AC541E"/>
    <w:rsid w:val="00AC6AFD"/>
    <w:rsid w:val="00AC6C96"/>
    <w:rsid w:val="00AD295F"/>
    <w:rsid w:val="00AD32B9"/>
    <w:rsid w:val="00AD3A1B"/>
    <w:rsid w:val="00AD3D9D"/>
    <w:rsid w:val="00AD45B0"/>
    <w:rsid w:val="00AD4735"/>
    <w:rsid w:val="00AD52B1"/>
    <w:rsid w:val="00AD5AEB"/>
    <w:rsid w:val="00AD5CBA"/>
    <w:rsid w:val="00AD6689"/>
    <w:rsid w:val="00AE0357"/>
    <w:rsid w:val="00AE0924"/>
    <w:rsid w:val="00AE3F79"/>
    <w:rsid w:val="00AE470F"/>
    <w:rsid w:val="00AE5E68"/>
    <w:rsid w:val="00AE6DD1"/>
    <w:rsid w:val="00AE7D4D"/>
    <w:rsid w:val="00AF0423"/>
    <w:rsid w:val="00AF0FFF"/>
    <w:rsid w:val="00AF2A9E"/>
    <w:rsid w:val="00AF3EAB"/>
    <w:rsid w:val="00AF577F"/>
    <w:rsid w:val="00AF6C49"/>
    <w:rsid w:val="00AF738B"/>
    <w:rsid w:val="00AF7930"/>
    <w:rsid w:val="00B00118"/>
    <w:rsid w:val="00B00D24"/>
    <w:rsid w:val="00B010E1"/>
    <w:rsid w:val="00B022BE"/>
    <w:rsid w:val="00B023B6"/>
    <w:rsid w:val="00B02B94"/>
    <w:rsid w:val="00B05AF4"/>
    <w:rsid w:val="00B065F6"/>
    <w:rsid w:val="00B10133"/>
    <w:rsid w:val="00B10AE5"/>
    <w:rsid w:val="00B13774"/>
    <w:rsid w:val="00B13BFC"/>
    <w:rsid w:val="00B13D05"/>
    <w:rsid w:val="00B13F17"/>
    <w:rsid w:val="00B15EFF"/>
    <w:rsid w:val="00B16F1F"/>
    <w:rsid w:val="00B205AB"/>
    <w:rsid w:val="00B226E7"/>
    <w:rsid w:val="00B2296A"/>
    <w:rsid w:val="00B24FCB"/>
    <w:rsid w:val="00B2540B"/>
    <w:rsid w:val="00B26E8E"/>
    <w:rsid w:val="00B271A5"/>
    <w:rsid w:val="00B30CDE"/>
    <w:rsid w:val="00B31613"/>
    <w:rsid w:val="00B32855"/>
    <w:rsid w:val="00B32C93"/>
    <w:rsid w:val="00B34188"/>
    <w:rsid w:val="00B35680"/>
    <w:rsid w:val="00B35E7E"/>
    <w:rsid w:val="00B36030"/>
    <w:rsid w:val="00B3647B"/>
    <w:rsid w:val="00B369F0"/>
    <w:rsid w:val="00B40004"/>
    <w:rsid w:val="00B415A9"/>
    <w:rsid w:val="00B41B18"/>
    <w:rsid w:val="00B43949"/>
    <w:rsid w:val="00B43C0F"/>
    <w:rsid w:val="00B45A99"/>
    <w:rsid w:val="00B46084"/>
    <w:rsid w:val="00B465BD"/>
    <w:rsid w:val="00B51379"/>
    <w:rsid w:val="00B5352F"/>
    <w:rsid w:val="00B537AA"/>
    <w:rsid w:val="00B564BD"/>
    <w:rsid w:val="00B60963"/>
    <w:rsid w:val="00B60BE9"/>
    <w:rsid w:val="00B61DC7"/>
    <w:rsid w:val="00B61F2F"/>
    <w:rsid w:val="00B6257D"/>
    <w:rsid w:val="00B6321E"/>
    <w:rsid w:val="00B644D0"/>
    <w:rsid w:val="00B65567"/>
    <w:rsid w:val="00B6567D"/>
    <w:rsid w:val="00B65F25"/>
    <w:rsid w:val="00B663B1"/>
    <w:rsid w:val="00B664CE"/>
    <w:rsid w:val="00B670F4"/>
    <w:rsid w:val="00B676EC"/>
    <w:rsid w:val="00B67C63"/>
    <w:rsid w:val="00B708E0"/>
    <w:rsid w:val="00B70C9E"/>
    <w:rsid w:val="00B71502"/>
    <w:rsid w:val="00B73790"/>
    <w:rsid w:val="00B73DE7"/>
    <w:rsid w:val="00B74515"/>
    <w:rsid w:val="00B74EEB"/>
    <w:rsid w:val="00B75E47"/>
    <w:rsid w:val="00B75FBA"/>
    <w:rsid w:val="00B80002"/>
    <w:rsid w:val="00B805D5"/>
    <w:rsid w:val="00B809D8"/>
    <w:rsid w:val="00B80C0B"/>
    <w:rsid w:val="00B80CBD"/>
    <w:rsid w:val="00B83EB5"/>
    <w:rsid w:val="00B84DF9"/>
    <w:rsid w:val="00B85F2B"/>
    <w:rsid w:val="00B85F90"/>
    <w:rsid w:val="00B86DF5"/>
    <w:rsid w:val="00B878F5"/>
    <w:rsid w:val="00B91CD6"/>
    <w:rsid w:val="00B925BF"/>
    <w:rsid w:val="00B93310"/>
    <w:rsid w:val="00B93968"/>
    <w:rsid w:val="00B93C95"/>
    <w:rsid w:val="00B96333"/>
    <w:rsid w:val="00B963BC"/>
    <w:rsid w:val="00BA1E78"/>
    <w:rsid w:val="00BA2C67"/>
    <w:rsid w:val="00BA3542"/>
    <w:rsid w:val="00BA3E6F"/>
    <w:rsid w:val="00BA4B8E"/>
    <w:rsid w:val="00BA5B38"/>
    <w:rsid w:val="00BA5D81"/>
    <w:rsid w:val="00BA6DD5"/>
    <w:rsid w:val="00BB0AF3"/>
    <w:rsid w:val="00BB16E9"/>
    <w:rsid w:val="00BB1EE3"/>
    <w:rsid w:val="00BB5A9A"/>
    <w:rsid w:val="00BB72E8"/>
    <w:rsid w:val="00BC08C5"/>
    <w:rsid w:val="00BC1832"/>
    <w:rsid w:val="00BC19FF"/>
    <w:rsid w:val="00BC35FC"/>
    <w:rsid w:val="00BC379F"/>
    <w:rsid w:val="00BC3B09"/>
    <w:rsid w:val="00BC438F"/>
    <w:rsid w:val="00BC45F5"/>
    <w:rsid w:val="00BC5794"/>
    <w:rsid w:val="00BC5FFE"/>
    <w:rsid w:val="00BC76DD"/>
    <w:rsid w:val="00BD01AA"/>
    <w:rsid w:val="00BD0263"/>
    <w:rsid w:val="00BD26DE"/>
    <w:rsid w:val="00BD27EA"/>
    <w:rsid w:val="00BD28CA"/>
    <w:rsid w:val="00BD42D4"/>
    <w:rsid w:val="00BD60A0"/>
    <w:rsid w:val="00BD6A24"/>
    <w:rsid w:val="00BE021D"/>
    <w:rsid w:val="00BE0C92"/>
    <w:rsid w:val="00BE15DB"/>
    <w:rsid w:val="00BE2A47"/>
    <w:rsid w:val="00BE3176"/>
    <w:rsid w:val="00BE3EEA"/>
    <w:rsid w:val="00BE3F8B"/>
    <w:rsid w:val="00BE5D6C"/>
    <w:rsid w:val="00BE6B32"/>
    <w:rsid w:val="00BE6CB5"/>
    <w:rsid w:val="00BE6D46"/>
    <w:rsid w:val="00BE7D1B"/>
    <w:rsid w:val="00BF07BA"/>
    <w:rsid w:val="00BF09EE"/>
    <w:rsid w:val="00BF0DFA"/>
    <w:rsid w:val="00BF0EA4"/>
    <w:rsid w:val="00BF20BF"/>
    <w:rsid w:val="00BF2178"/>
    <w:rsid w:val="00BF21C8"/>
    <w:rsid w:val="00BF2787"/>
    <w:rsid w:val="00BF3A89"/>
    <w:rsid w:val="00BF5663"/>
    <w:rsid w:val="00BF58E8"/>
    <w:rsid w:val="00BF5B2A"/>
    <w:rsid w:val="00BF6E4C"/>
    <w:rsid w:val="00C0013E"/>
    <w:rsid w:val="00C0124D"/>
    <w:rsid w:val="00C01363"/>
    <w:rsid w:val="00C018F4"/>
    <w:rsid w:val="00C01D41"/>
    <w:rsid w:val="00C03473"/>
    <w:rsid w:val="00C035DF"/>
    <w:rsid w:val="00C05C2C"/>
    <w:rsid w:val="00C06036"/>
    <w:rsid w:val="00C06FF7"/>
    <w:rsid w:val="00C10104"/>
    <w:rsid w:val="00C10CA7"/>
    <w:rsid w:val="00C10EC0"/>
    <w:rsid w:val="00C1293E"/>
    <w:rsid w:val="00C12DE7"/>
    <w:rsid w:val="00C12ECE"/>
    <w:rsid w:val="00C12FAC"/>
    <w:rsid w:val="00C13247"/>
    <w:rsid w:val="00C152B5"/>
    <w:rsid w:val="00C15BB3"/>
    <w:rsid w:val="00C15BD8"/>
    <w:rsid w:val="00C15F53"/>
    <w:rsid w:val="00C164E3"/>
    <w:rsid w:val="00C16540"/>
    <w:rsid w:val="00C1683E"/>
    <w:rsid w:val="00C175E5"/>
    <w:rsid w:val="00C17A46"/>
    <w:rsid w:val="00C17AEF"/>
    <w:rsid w:val="00C20E68"/>
    <w:rsid w:val="00C21F6C"/>
    <w:rsid w:val="00C233EF"/>
    <w:rsid w:val="00C23408"/>
    <w:rsid w:val="00C237D5"/>
    <w:rsid w:val="00C237FB"/>
    <w:rsid w:val="00C2389C"/>
    <w:rsid w:val="00C24A00"/>
    <w:rsid w:val="00C25D2B"/>
    <w:rsid w:val="00C27242"/>
    <w:rsid w:val="00C300AA"/>
    <w:rsid w:val="00C3011F"/>
    <w:rsid w:val="00C3023D"/>
    <w:rsid w:val="00C3239B"/>
    <w:rsid w:val="00C3241B"/>
    <w:rsid w:val="00C328EB"/>
    <w:rsid w:val="00C32CEE"/>
    <w:rsid w:val="00C3302D"/>
    <w:rsid w:val="00C3591C"/>
    <w:rsid w:val="00C359A0"/>
    <w:rsid w:val="00C364F9"/>
    <w:rsid w:val="00C37296"/>
    <w:rsid w:val="00C378CB"/>
    <w:rsid w:val="00C409E5"/>
    <w:rsid w:val="00C40B54"/>
    <w:rsid w:val="00C41148"/>
    <w:rsid w:val="00C41DFE"/>
    <w:rsid w:val="00C41F7A"/>
    <w:rsid w:val="00C43045"/>
    <w:rsid w:val="00C44F68"/>
    <w:rsid w:val="00C462FA"/>
    <w:rsid w:val="00C51EA6"/>
    <w:rsid w:val="00C5226A"/>
    <w:rsid w:val="00C55E68"/>
    <w:rsid w:val="00C56138"/>
    <w:rsid w:val="00C564F3"/>
    <w:rsid w:val="00C56B65"/>
    <w:rsid w:val="00C57D50"/>
    <w:rsid w:val="00C61157"/>
    <w:rsid w:val="00C6122E"/>
    <w:rsid w:val="00C618BB"/>
    <w:rsid w:val="00C62DB9"/>
    <w:rsid w:val="00C6579A"/>
    <w:rsid w:val="00C65983"/>
    <w:rsid w:val="00C66BC1"/>
    <w:rsid w:val="00C7004C"/>
    <w:rsid w:val="00C70916"/>
    <w:rsid w:val="00C7101D"/>
    <w:rsid w:val="00C71E5F"/>
    <w:rsid w:val="00C75367"/>
    <w:rsid w:val="00C809EC"/>
    <w:rsid w:val="00C8131F"/>
    <w:rsid w:val="00C81476"/>
    <w:rsid w:val="00C81736"/>
    <w:rsid w:val="00C82741"/>
    <w:rsid w:val="00C8307E"/>
    <w:rsid w:val="00C840B2"/>
    <w:rsid w:val="00C8589F"/>
    <w:rsid w:val="00C86E2F"/>
    <w:rsid w:val="00C86F04"/>
    <w:rsid w:val="00C87414"/>
    <w:rsid w:val="00C901E1"/>
    <w:rsid w:val="00C9035F"/>
    <w:rsid w:val="00C90456"/>
    <w:rsid w:val="00C907E1"/>
    <w:rsid w:val="00C91978"/>
    <w:rsid w:val="00C91DAE"/>
    <w:rsid w:val="00C93170"/>
    <w:rsid w:val="00C933C8"/>
    <w:rsid w:val="00C93943"/>
    <w:rsid w:val="00C94391"/>
    <w:rsid w:val="00C947E3"/>
    <w:rsid w:val="00C94D7E"/>
    <w:rsid w:val="00C95EAB"/>
    <w:rsid w:val="00C962EB"/>
    <w:rsid w:val="00C96D89"/>
    <w:rsid w:val="00C96D95"/>
    <w:rsid w:val="00C96EB0"/>
    <w:rsid w:val="00CA0A66"/>
    <w:rsid w:val="00CA0D5A"/>
    <w:rsid w:val="00CA1124"/>
    <w:rsid w:val="00CA1372"/>
    <w:rsid w:val="00CA190F"/>
    <w:rsid w:val="00CA2358"/>
    <w:rsid w:val="00CA27EF"/>
    <w:rsid w:val="00CA2F9F"/>
    <w:rsid w:val="00CA53E3"/>
    <w:rsid w:val="00CA6477"/>
    <w:rsid w:val="00CA6BED"/>
    <w:rsid w:val="00CA6E28"/>
    <w:rsid w:val="00CA7299"/>
    <w:rsid w:val="00CA72BB"/>
    <w:rsid w:val="00CA74F1"/>
    <w:rsid w:val="00CA7598"/>
    <w:rsid w:val="00CB1BF4"/>
    <w:rsid w:val="00CB204E"/>
    <w:rsid w:val="00CB2CF4"/>
    <w:rsid w:val="00CB2FAA"/>
    <w:rsid w:val="00CB30A4"/>
    <w:rsid w:val="00CB4348"/>
    <w:rsid w:val="00CB58B7"/>
    <w:rsid w:val="00CB5B3E"/>
    <w:rsid w:val="00CB5EEC"/>
    <w:rsid w:val="00CC1667"/>
    <w:rsid w:val="00CC1A02"/>
    <w:rsid w:val="00CC1E10"/>
    <w:rsid w:val="00CC1E8F"/>
    <w:rsid w:val="00CC26AD"/>
    <w:rsid w:val="00CC3160"/>
    <w:rsid w:val="00CC3D0C"/>
    <w:rsid w:val="00CC6141"/>
    <w:rsid w:val="00CC62B6"/>
    <w:rsid w:val="00CC6619"/>
    <w:rsid w:val="00CC7C03"/>
    <w:rsid w:val="00CD0272"/>
    <w:rsid w:val="00CD12AF"/>
    <w:rsid w:val="00CD1712"/>
    <w:rsid w:val="00CD180E"/>
    <w:rsid w:val="00CD1A39"/>
    <w:rsid w:val="00CD2284"/>
    <w:rsid w:val="00CD259D"/>
    <w:rsid w:val="00CD300F"/>
    <w:rsid w:val="00CD3548"/>
    <w:rsid w:val="00CD3559"/>
    <w:rsid w:val="00CD49B6"/>
    <w:rsid w:val="00CD5D60"/>
    <w:rsid w:val="00CD728A"/>
    <w:rsid w:val="00CE065E"/>
    <w:rsid w:val="00CE0E9B"/>
    <w:rsid w:val="00CE112A"/>
    <w:rsid w:val="00CE1323"/>
    <w:rsid w:val="00CE34CC"/>
    <w:rsid w:val="00CE4B35"/>
    <w:rsid w:val="00CE4BA5"/>
    <w:rsid w:val="00CE52B1"/>
    <w:rsid w:val="00CE6204"/>
    <w:rsid w:val="00CE7BF9"/>
    <w:rsid w:val="00CF018B"/>
    <w:rsid w:val="00CF38F0"/>
    <w:rsid w:val="00CF4509"/>
    <w:rsid w:val="00CF4FE6"/>
    <w:rsid w:val="00CF534C"/>
    <w:rsid w:val="00CF729B"/>
    <w:rsid w:val="00D00516"/>
    <w:rsid w:val="00D00748"/>
    <w:rsid w:val="00D007A0"/>
    <w:rsid w:val="00D02743"/>
    <w:rsid w:val="00D06E7F"/>
    <w:rsid w:val="00D07041"/>
    <w:rsid w:val="00D077F3"/>
    <w:rsid w:val="00D10038"/>
    <w:rsid w:val="00D11E8E"/>
    <w:rsid w:val="00D12793"/>
    <w:rsid w:val="00D139B7"/>
    <w:rsid w:val="00D13C79"/>
    <w:rsid w:val="00D14D7B"/>
    <w:rsid w:val="00D16074"/>
    <w:rsid w:val="00D21FAC"/>
    <w:rsid w:val="00D26D97"/>
    <w:rsid w:val="00D2717A"/>
    <w:rsid w:val="00D272BF"/>
    <w:rsid w:val="00D27938"/>
    <w:rsid w:val="00D27D69"/>
    <w:rsid w:val="00D3047B"/>
    <w:rsid w:val="00D31BAA"/>
    <w:rsid w:val="00D31C5F"/>
    <w:rsid w:val="00D3303D"/>
    <w:rsid w:val="00D33B04"/>
    <w:rsid w:val="00D34263"/>
    <w:rsid w:val="00D35AC8"/>
    <w:rsid w:val="00D35D00"/>
    <w:rsid w:val="00D37537"/>
    <w:rsid w:val="00D37FE5"/>
    <w:rsid w:val="00D42C5A"/>
    <w:rsid w:val="00D42D86"/>
    <w:rsid w:val="00D434A2"/>
    <w:rsid w:val="00D44341"/>
    <w:rsid w:val="00D4526F"/>
    <w:rsid w:val="00D461DA"/>
    <w:rsid w:val="00D46E1E"/>
    <w:rsid w:val="00D47035"/>
    <w:rsid w:val="00D47080"/>
    <w:rsid w:val="00D473F7"/>
    <w:rsid w:val="00D50839"/>
    <w:rsid w:val="00D50C1A"/>
    <w:rsid w:val="00D51D8B"/>
    <w:rsid w:val="00D52459"/>
    <w:rsid w:val="00D540C8"/>
    <w:rsid w:val="00D54140"/>
    <w:rsid w:val="00D54ED0"/>
    <w:rsid w:val="00D57979"/>
    <w:rsid w:val="00D6046F"/>
    <w:rsid w:val="00D60597"/>
    <w:rsid w:val="00D60B58"/>
    <w:rsid w:val="00D617BD"/>
    <w:rsid w:val="00D63A30"/>
    <w:rsid w:val="00D6464A"/>
    <w:rsid w:val="00D64729"/>
    <w:rsid w:val="00D652D8"/>
    <w:rsid w:val="00D658AA"/>
    <w:rsid w:val="00D71267"/>
    <w:rsid w:val="00D714E0"/>
    <w:rsid w:val="00D71F3F"/>
    <w:rsid w:val="00D75C59"/>
    <w:rsid w:val="00D82636"/>
    <w:rsid w:val="00D8283D"/>
    <w:rsid w:val="00D85F1D"/>
    <w:rsid w:val="00D873C5"/>
    <w:rsid w:val="00D876C1"/>
    <w:rsid w:val="00D91BAB"/>
    <w:rsid w:val="00D91E7E"/>
    <w:rsid w:val="00D92624"/>
    <w:rsid w:val="00D94F42"/>
    <w:rsid w:val="00D95665"/>
    <w:rsid w:val="00D95FA4"/>
    <w:rsid w:val="00D979F5"/>
    <w:rsid w:val="00D97C8F"/>
    <w:rsid w:val="00DA329A"/>
    <w:rsid w:val="00DA561B"/>
    <w:rsid w:val="00DA5761"/>
    <w:rsid w:val="00DA5BF1"/>
    <w:rsid w:val="00DA756F"/>
    <w:rsid w:val="00DA7666"/>
    <w:rsid w:val="00DA7E17"/>
    <w:rsid w:val="00DB0F27"/>
    <w:rsid w:val="00DB161C"/>
    <w:rsid w:val="00DB2B08"/>
    <w:rsid w:val="00DB3C46"/>
    <w:rsid w:val="00DB3EA8"/>
    <w:rsid w:val="00DB4A78"/>
    <w:rsid w:val="00DB5C15"/>
    <w:rsid w:val="00DB6684"/>
    <w:rsid w:val="00DB6F45"/>
    <w:rsid w:val="00DC1A9E"/>
    <w:rsid w:val="00DC2035"/>
    <w:rsid w:val="00DC2492"/>
    <w:rsid w:val="00DC3931"/>
    <w:rsid w:val="00DC3955"/>
    <w:rsid w:val="00DC3FF8"/>
    <w:rsid w:val="00DC4DEA"/>
    <w:rsid w:val="00DC6991"/>
    <w:rsid w:val="00DD0566"/>
    <w:rsid w:val="00DD09D0"/>
    <w:rsid w:val="00DD0CF4"/>
    <w:rsid w:val="00DD0FB7"/>
    <w:rsid w:val="00DD1DB9"/>
    <w:rsid w:val="00DD44D4"/>
    <w:rsid w:val="00DE08AD"/>
    <w:rsid w:val="00DE16BB"/>
    <w:rsid w:val="00DE261B"/>
    <w:rsid w:val="00DE2F7E"/>
    <w:rsid w:val="00DE3E0E"/>
    <w:rsid w:val="00DE46A1"/>
    <w:rsid w:val="00DE539F"/>
    <w:rsid w:val="00DE5991"/>
    <w:rsid w:val="00DE68BB"/>
    <w:rsid w:val="00DE758E"/>
    <w:rsid w:val="00DF17C0"/>
    <w:rsid w:val="00DF2648"/>
    <w:rsid w:val="00DF3767"/>
    <w:rsid w:val="00DF61A5"/>
    <w:rsid w:val="00DF646C"/>
    <w:rsid w:val="00DF6C1B"/>
    <w:rsid w:val="00DF7215"/>
    <w:rsid w:val="00DF7CF1"/>
    <w:rsid w:val="00E00700"/>
    <w:rsid w:val="00E013CA"/>
    <w:rsid w:val="00E0202C"/>
    <w:rsid w:val="00E03405"/>
    <w:rsid w:val="00E04393"/>
    <w:rsid w:val="00E04FAD"/>
    <w:rsid w:val="00E07759"/>
    <w:rsid w:val="00E11A48"/>
    <w:rsid w:val="00E131FA"/>
    <w:rsid w:val="00E161C2"/>
    <w:rsid w:val="00E178D3"/>
    <w:rsid w:val="00E2073B"/>
    <w:rsid w:val="00E21E2F"/>
    <w:rsid w:val="00E23FDE"/>
    <w:rsid w:val="00E240F8"/>
    <w:rsid w:val="00E2510F"/>
    <w:rsid w:val="00E2674B"/>
    <w:rsid w:val="00E26799"/>
    <w:rsid w:val="00E267C6"/>
    <w:rsid w:val="00E27192"/>
    <w:rsid w:val="00E31B04"/>
    <w:rsid w:val="00E32D77"/>
    <w:rsid w:val="00E336B5"/>
    <w:rsid w:val="00E33AA5"/>
    <w:rsid w:val="00E33F73"/>
    <w:rsid w:val="00E36546"/>
    <w:rsid w:val="00E36FE5"/>
    <w:rsid w:val="00E3709B"/>
    <w:rsid w:val="00E42A94"/>
    <w:rsid w:val="00E42D11"/>
    <w:rsid w:val="00E42F73"/>
    <w:rsid w:val="00E433BF"/>
    <w:rsid w:val="00E4427D"/>
    <w:rsid w:val="00E4530F"/>
    <w:rsid w:val="00E45451"/>
    <w:rsid w:val="00E462AB"/>
    <w:rsid w:val="00E46736"/>
    <w:rsid w:val="00E47FA2"/>
    <w:rsid w:val="00E504B5"/>
    <w:rsid w:val="00E50F1D"/>
    <w:rsid w:val="00E51210"/>
    <w:rsid w:val="00E512AA"/>
    <w:rsid w:val="00E51A0B"/>
    <w:rsid w:val="00E54223"/>
    <w:rsid w:val="00E55455"/>
    <w:rsid w:val="00E55E49"/>
    <w:rsid w:val="00E56B55"/>
    <w:rsid w:val="00E572F5"/>
    <w:rsid w:val="00E6231A"/>
    <w:rsid w:val="00E65413"/>
    <w:rsid w:val="00E66FFF"/>
    <w:rsid w:val="00E67B37"/>
    <w:rsid w:val="00E70E19"/>
    <w:rsid w:val="00E7101E"/>
    <w:rsid w:val="00E7233B"/>
    <w:rsid w:val="00E72893"/>
    <w:rsid w:val="00E72E4B"/>
    <w:rsid w:val="00E74AD2"/>
    <w:rsid w:val="00E75887"/>
    <w:rsid w:val="00E761B4"/>
    <w:rsid w:val="00E763D0"/>
    <w:rsid w:val="00E77D57"/>
    <w:rsid w:val="00E80328"/>
    <w:rsid w:val="00E808CF"/>
    <w:rsid w:val="00E8420C"/>
    <w:rsid w:val="00E85D9C"/>
    <w:rsid w:val="00E87585"/>
    <w:rsid w:val="00E87A56"/>
    <w:rsid w:val="00E90A73"/>
    <w:rsid w:val="00E90F0F"/>
    <w:rsid w:val="00E90F8D"/>
    <w:rsid w:val="00E92550"/>
    <w:rsid w:val="00E97FD3"/>
    <w:rsid w:val="00EA0271"/>
    <w:rsid w:val="00EA028D"/>
    <w:rsid w:val="00EA0549"/>
    <w:rsid w:val="00EA1FF2"/>
    <w:rsid w:val="00EA2368"/>
    <w:rsid w:val="00EA27B7"/>
    <w:rsid w:val="00EA3D91"/>
    <w:rsid w:val="00EA59E4"/>
    <w:rsid w:val="00EA6868"/>
    <w:rsid w:val="00EA68A1"/>
    <w:rsid w:val="00EA6B25"/>
    <w:rsid w:val="00EA6B3E"/>
    <w:rsid w:val="00EB1AE4"/>
    <w:rsid w:val="00EB3AC1"/>
    <w:rsid w:val="00EB57B8"/>
    <w:rsid w:val="00EB57D7"/>
    <w:rsid w:val="00EB78AE"/>
    <w:rsid w:val="00EC0A76"/>
    <w:rsid w:val="00EC219A"/>
    <w:rsid w:val="00EC5106"/>
    <w:rsid w:val="00EC5B0E"/>
    <w:rsid w:val="00EC609E"/>
    <w:rsid w:val="00EC622F"/>
    <w:rsid w:val="00EC66B9"/>
    <w:rsid w:val="00EC6772"/>
    <w:rsid w:val="00EC6BBD"/>
    <w:rsid w:val="00EC6E84"/>
    <w:rsid w:val="00EC714C"/>
    <w:rsid w:val="00EC7BEF"/>
    <w:rsid w:val="00ED043E"/>
    <w:rsid w:val="00ED04D0"/>
    <w:rsid w:val="00ED055B"/>
    <w:rsid w:val="00ED1A09"/>
    <w:rsid w:val="00ED2DF9"/>
    <w:rsid w:val="00ED6037"/>
    <w:rsid w:val="00ED62B1"/>
    <w:rsid w:val="00EE2736"/>
    <w:rsid w:val="00EE2CF2"/>
    <w:rsid w:val="00EE3C04"/>
    <w:rsid w:val="00EE4070"/>
    <w:rsid w:val="00EE40D3"/>
    <w:rsid w:val="00EE4797"/>
    <w:rsid w:val="00EE51F2"/>
    <w:rsid w:val="00EE5EB2"/>
    <w:rsid w:val="00EE65A3"/>
    <w:rsid w:val="00EE6BDF"/>
    <w:rsid w:val="00EE735E"/>
    <w:rsid w:val="00EE7619"/>
    <w:rsid w:val="00EF0FB2"/>
    <w:rsid w:val="00EF122C"/>
    <w:rsid w:val="00EF2062"/>
    <w:rsid w:val="00EF4A8B"/>
    <w:rsid w:val="00EF4C9E"/>
    <w:rsid w:val="00EF5ABB"/>
    <w:rsid w:val="00F00B28"/>
    <w:rsid w:val="00F00E45"/>
    <w:rsid w:val="00F01107"/>
    <w:rsid w:val="00F018BA"/>
    <w:rsid w:val="00F01A90"/>
    <w:rsid w:val="00F0235F"/>
    <w:rsid w:val="00F024CE"/>
    <w:rsid w:val="00F02EC2"/>
    <w:rsid w:val="00F03A09"/>
    <w:rsid w:val="00F05020"/>
    <w:rsid w:val="00F0660E"/>
    <w:rsid w:val="00F072D6"/>
    <w:rsid w:val="00F07615"/>
    <w:rsid w:val="00F07908"/>
    <w:rsid w:val="00F10015"/>
    <w:rsid w:val="00F10D35"/>
    <w:rsid w:val="00F1473C"/>
    <w:rsid w:val="00F14786"/>
    <w:rsid w:val="00F148D9"/>
    <w:rsid w:val="00F14DCE"/>
    <w:rsid w:val="00F15206"/>
    <w:rsid w:val="00F154EB"/>
    <w:rsid w:val="00F1655A"/>
    <w:rsid w:val="00F17A65"/>
    <w:rsid w:val="00F17DE6"/>
    <w:rsid w:val="00F2254B"/>
    <w:rsid w:val="00F24187"/>
    <w:rsid w:val="00F2446E"/>
    <w:rsid w:val="00F24BE0"/>
    <w:rsid w:val="00F26442"/>
    <w:rsid w:val="00F27717"/>
    <w:rsid w:val="00F31048"/>
    <w:rsid w:val="00F3108B"/>
    <w:rsid w:val="00F312BF"/>
    <w:rsid w:val="00F31E2F"/>
    <w:rsid w:val="00F3295B"/>
    <w:rsid w:val="00F33031"/>
    <w:rsid w:val="00F348DA"/>
    <w:rsid w:val="00F35730"/>
    <w:rsid w:val="00F35768"/>
    <w:rsid w:val="00F35A67"/>
    <w:rsid w:val="00F40264"/>
    <w:rsid w:val="00F40E96"/>
    <w:rsid w:val="00F417E5"/>
    <w:rsid w:val="00F41B2F"/>
    <w:rsid w:val="00F41F67"/>
    <w:rsid w:val="00F42789"/>
    <w:rsid w:val="00F42FB7"/>
    <w:rsid w:val="00F445F3"/>
    <w:rsid w:val="00F449D1"/>
    <w:rsid w:val="00F44EA2"/>
    <w:rsid w:val="00F452BD"/>
    <w:rsid w:val="00F471F1"/>
    <w:rsid w:val="00F47AA4"/>
    <w:rsid w:val="00F51FB7"/>
    <w:rsid w:val="00F520B0"/>
    <w:rsid w:val="00F5252C"/>
    <w:rsid w:val="00F5472C"/>
    <w:rsid w:val="00F57F25"/>
    <w:rsid w:val="00F627E1"/>
    <w:rsid w:val="00F63597"/>
    <w:rsid w:val="00F64274"/>
    <w:rsid w:val="00F65E0F"/>
    <w:rsid w:val="00F65E94"/>
    <w:rsid w:val="00F66408"/>
    <w:rsid w:val="00F666CC"/>
    <w:rsid w:val="00F66798"/>
    <w:rsid w:val="00F71174"/>
    <w:rsid w:val="00F71EF5"/>
    <w:rsid w:val="00F73191"/>
    <w:rsid w:val="00F738F3"/>
    <w:rsid w:val="00F73BFB"/>
    <w:rsid w:val="00F744AD"/>
    <w:rsid w:val="00F75F62"/>
    <w:rsid w:val="00F76176"/>
    <w:rsid w:val="00F763B1"/>
    <w:rsid w:val="00F767D3"/>
    <w:rsid w:val="00F77770"/>
    <w:rsid w:val="00F77EB8"/>
    <w:rsid w:val="00F804E6"/>
    <w:rsid w:val="00F807E0"/>
    <w:rsid w:val="00F8096D"/>
    <w:rsid w:val="00F80D87"/>
    <w:rsid w:val="00F81158"/>
    <w:rsid w:val="00F815D0"/>
    <w:rsid w:val="00F81992"/>
    <w:rsid w:val="00F823AA"/>
    <w:rsid w:val="00F836F4"/>
    <w:rsid w:val="00F83AB5"/>
    <w:rsid w:val="00F83D32"/>
    <w:rsid w:val="00F85163"/>
    <w:rsid w:val="00F85D7C"/>
    <w:rsid w:val="00F87521"/>
    <w:rsid w:val="00F8798F"/>
    <w:rsid w:val="00F9054A"/>
    <w:rsid w:val="00F91F57"/>
    <w:rsid w:val="00F922FB"/>
    <w:rsid w:val="00F933E1"/>
    <w:rsid w:val="00F948D3"/>
    <w:rsid w:val="00F94F3B"/>
    <w:rsid w:val="00F94F80"/>
    <w:rsid w:val="00F9549F"/>
    <w:rsid w:val="00F9591C"/>
    <w:rsid w:val="00F96297"/>
    <w:rsid w:val="00FA011B"/>
    <w:rsid w:val="00FA1D83"/>
    <w:rsid w:val="00FA3BBE"/>
    <w:rsid w:val="00FA4DD6"/>
    <w:rsid w:val="00FA5813"/>
    <w:rsid w:val="00FA5E6E"/>
    <w:rsid w:val="00FA6271"/>
    <w:rsid w:val="00FA69CA"/>
    <w:rsid w:val="00FA6CFC"/>
    <w:rsid w:val="00FA701F"/>
    <w:rsid w:val="00FA7411"/>
    <w:rsid w:val="00FB0A5F"/>
    <w:rsid w:val="00FB2102"/>
    <w:rsid w:val="00FB2BE1"/>
    <w:rsid w:val="00FB2DC9"/>
    <w:rsid w:val="00FB4DDA"/>
    <w:rsid w:val="00FB64E0"/>
    <w:rsid w:val="00FB68AB"/>
    <w:rsid w:val="00FB693B"/>
    <w:rsid w:val="00FB73E9"/>
    <w:rsid w:val="00FB7ECD"/>
    <w:rsid w:val="00FC0629"/>
    <w:rsid w:val="00FC0B66"/>
    <w:rsid w:val="00FC14C9"/>
    <w:rsid w:val="00FC2290"/>
    <w:rsid w:val="00FC2F4B"/>
    <w:rsid w:val="00FC3FA2"/>
    <w:rsid w:val="00FC43CD"/>
    <w:rsid w:val="00FC6107"/>
    <w:rsid w:val="00FC713A"/>
    <w:rsid w:val="00FC7555"/>
    <w:rsid w:val="00FC7850"/>
    <w:rsid w:val="00FC7861"/>
    <w:rsid w:val="00FC78FE"/>
    <w:rsid w:val="00FC7A96"/>
    <w:rsid w:val="00FD0284"/>
    <w:rsid w:val="00FD055F"/>
    <w:rsid w:val="00FD0DDA"/>
    <w:rsid w:val="00FD14B3"/>
    <w:rsid w:val="00FD1861"/>
    <w:rsid w:val="00FD2251"/>
    <w:rsid w:val="00FD2877"/>
    <w:rsid w:val="00FD3959"/>
    <w:rsid w:val="00FD4D19"/>
    <w:rsid w:val="00FD4E25"/>
    <w:rsid w:val="00FD589D"/>
    <w:rsid w:val="00FD590C"/>
    <w:rsid w:val="00FD5CF8"/>
    <w:rsid w:val="00FD6BDD"/>
    <w:rsid w:val="00FD77A6"/>
    <w:rsid w:val="00FD7C58"/>
    <w:rsid w:val="00FE1BCB"/>
    <w:rsid w:val="00FE2E0A"/>
    <w:rsid w:val="00FE2E86"/>
    <w:rsid w:val="00FE2FD3"/>
    <w:rsid w:val="00FE4123"/>
    <w:rsid w:val="00FE516E"/>
    <w:rsid w:val="00FE5852"/>
    <w:rsid w:val="00FE627A"/>
    <w:rsid w:val="00FF141A"/>
    <w:rsid w:val="00FF29C6"/>
    <w:rsid w:val="00FF2F7B"/>
    <w:rsid w:val="00FF3E15"/>
    <w:rsid w:val="00FF6439"/>
    <w:rsid w:val="00FF678D"/>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pPr>
        <w:spacing w:line="320" w:lineRule="atLeast"/>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header" w:uiPriority="99"/>
    <w:lsdException w:name="footer" w:uiPriority="9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750A5"/>
    <w:pPr>
      <w:spacing w:before="120"/>
    </w:pPr>
    <w:rPr>
      <w:rFonts w:ascii="Arial" w:hAnsi="Arial"/>
      <w:sz w:val="22"/>
      <w:lang w:eastAsia="en-US"/>
    </w:rPr>
  </w:style>
  <w:style w:type="paragraph" w:styleId="Cmsor1">
    <w:name w:val="heading 1"/>
    <w:aliases w:val="ESPON Heading 1"/>
    <w:basedOn w:val="Norml"/>
    <w:next w:val="Norml"/>
    <w:link w:val="Cmsor1Char"/>
    <w:qFormat/>
    <w:rsid w:val="00A007DC"/>
    <w:pPr>
      <w:keepNext/>
      <w:keepLines/>
      <w:numPr>
        <w:numId w:val="1"/>
      </w:numPr>
      <w:tabs>
        <w:tab w:val="clear" w:pos="510"/>
      </w:tabs>
      <w:spacing w:before="480" w:after="120"/>
      <w:ind w:left="720" w:hanging="360"/>
      <w:outlineLvl w:val="0"/>
    </w:pPr>
    <w:rPr>
      <w:b/>
      <w:kern w:val="28"/>
      <w:sz w:val="28"/>
    </w:rPr>
  </w:style>
  <w:style w:type="paragraph" w:styleId="Cmsor2">
    <w:name w:val="heading 2"/>
    <w:aliases w:val="ESPON Heading 2"/>
    <w:basedOn w:val="Norml"/>
    <w:next w:val="Norml"/>
    <w:qFormat/>
    <w:rsid w:val="00A007DC"/>
    <w:pPr>
      <w:keepNext/>
      <w:numPr>
        <w:ilvl w:val="1"/>
        <w:numId w:val="1"/>
      </w:numPr>
      <w:spacing w:after="120"/>
      <w:ind w:left="714" w:hanging="357"/>
      <w:outlineLvl w:val="1"/>
    </w:pPr>
    <w:rPr>
      <w:b/>
      <w:sz w:val="24"/>
    </w:rPr>
  </w:style>
  <w:style w:type="paragraph" w:styleId="Cmsor3">
    <w:name w:val="heading 3"/>
    <w:aliases w:val="ESPON Heading 3"/>
    <w:basedOn w:val="Norml"/>
    <w:next w:val="Norml"/>
    <w:qFormat/>
    <w:rsid w:val="00B878F5"/>
    <w:pPr>
      <w:keepNext/>
      <w:numPr>
        <w:ilvl w:val="2"/>
        <w:numId w:val="1"/>
      </w:numPr>
      <w:spacing w:after="120"/>
      <w:ind w:left="1071" w:hanging="714"/>
      <w:outlineLvl w:val="2"/>
    </w:pPr>
    <w:rPr>
      <w:b/>
    </w:rPr>
  </w:style>
  <w:style w:type="paragraph" w:styleId="Cmsor4">
    <w:name w:val="heading 4"/>
    <w:aliases w:val="ESPON Heading 4"/>
    <w:basedOn w:val="Norml"/>
    <w:next w:val="Norml"/>
    <w:qFormat/>
    <w:rsid w:val="00AF6C49"/>
    <w:pPr>
      <w:keepNext/>
      <w:numPr>
        <w:ilvl w:val="3"/>
        <w:numId w:val="1"/>
      </w:numPr>
      <w:spacing w:after="120"/>
      <w:outlineLvl w:val="3"/>
    </w:pPr>
    <w:rPr>
      <w:b/>
      <w:sz w:val="24"/>
    </w:rPr>
  </w:style>
  <w:style w:type="paragraph" w:styleId="Cmsor5">
    <w:name w:val="heading 5"/>
    <w:aliases w:val="ESPON Heading 5"/>
    <w:basedOn w:val="Norml"/>
    <w:next w:val="Norml"/>
    <w:qFormat/>
    <w:rsid w:val="00AF6C49"/>
    <w:pPr>
      <w:numPr>
        <w:ilvl w:val="4"/>
        <w:numId w:val="1"/>
      </w:numPr>
      <w:spacing w:after="120"/>
      <w:outlineLvl w:val="4"/>
    </w:pPr>
    <w:rPr>
      <w:b/>
      <w:sz w:val="24"/>
    </w:rPr>
  </w:style>
  <w:style w:type="paragraph" w:styleId="Cmsor6">
    <w:name w:val="heading 6"/>
    <w:basedOn w:val="Norml"/>
    <w:next w:val="Norml"/>
    <w:qFormat/>
    <w:rsid w:val="00AF6C49"/>
    <w:pPr>
      <w:numPr>
        <w:ilvl w:val="5"/>
        <w:numId w:val="1"/>
      </w:numPr>
      <w:spacing w:before="240" w:after="60"/>
      <w:outlineLvl w:val="5"/>
    </w:pPr>
    <w:rPr>
      <w:i/>
    </w:rPr>
  </w:style>
  <w:style w:type="paragraph" w:styleId="Cmsor7">
    <w:name w:val="heading 7"/>
    <w:basedOn w:val="Norml"/>
    <w:next w:val="Norml"/>
    <w:qFormat/>
    <w:rsid w:val="00CF018B"/>
    <w:pPr>
      <w:numPr>
        <w:ilvl w:val="6"/>
        <w:numId w:val="1"/>
      </w:numPr>
      <w:spacing w:before="240" w:after="60"/>
      <w:outlineLvl w:val="6"/>
    </w:pPr>
  </w:style>
  <w:style w:type="paragraph" w:styleId="Cmsor8">
    <w:name w:val="heading 8"/>
    <w:basedOn w:val="Norml"/>
    <w:next w:val="Norml"/>
    <w:qFormat/>
    <w:rsid w:val="00CF018B"/>
    <w:pPr>
      <w:numPr>
        <w:ilvl w:val="7"/>
        <w:numId w:val="1"/>
      </w:numPr>
      <w:spacing w:before="240" w:after="60"/>
      <w:outlineLvl w:val="7"/>
    </w:pPr>
    <w:rPr>
      <w:i/>
    </w:rPr>
  </w:style>
  <w:style w:type="paragraph" w:styleId="Cmsor9">
    <w:name w:val="heading 9"/>
    <w:basedOn w:val="Norml"/>
    <w:next w:val="Norml"/>
    <w:qFormat/>
    <w:rsid w:val="00CF018B"/>
    <w:pPr>
      <w:numPr>
        <w:ilvl w:val="8"/>
        <w:numId w:val="1"/>
      </w:numPr>
      <w:spacing w:before="240" w:after="60"/>
      <w:outlineLvl w:val="8"/>
    </w:pPr>
    <w:rPr>
      <w:b/>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TJ1">
    <w:name w:val="toc 1"/>
    <w:aliases w:val="ESPON Index 1"/>
    <w:basedOn w:val="Norml"/>
    <w:next w:val="Norml"/>
    <w:autoRedefine/>
    <w:uiPriority w:val="39"/>
    <w:rsid w:val="00EC7BEF"/>
    <w:pPr>
      <w:tabs>
        <w:tab w:val="right" w:leader="dot" w:pos="9356"/>
      </w:tabs>
      <w:spacing w:before="0" w:line="360" w:lineRule="auto"/>
      <w:ind w:left="907" w:right="1134" w:hanging="907"/>
    </w:pPr>
    <w:rPr>
      <w:noProof/>
    </w:rPr>
  </w:style>
  <w:style w:type="paragraph" w:styleId="TJ5">
    <w:name w:val="toc 5"/>
    <w:aliases w:val="ESPON Index 5"/>
    <w:basedOn w:val="Norml"/>
    <w:next w:val="Norml"/>
    <w:autoRedefine/>
    <w:semiHidden/>
    <w:rsid w:val="00CF018B"/>
    <w:pPr>
      <w:tabs>
        <w:tab w:val="right" w:leader="dot" w:pos="9356"/>
      </w:tabs>
      <w:spacing w:line="240" w:lineRule="auto"/>
      <w:ind w:left="1134" w:right="1134" w:hanging="1134"/>
    </w:pPr>
    <w:rPr>
      <w:rFonts w:ascii="Verdana" w:hAnsi="Verdana"/>
      <w:noProof/>
    </w:rPr>
  </w:style>
  <w:style w:type="paragraph" w:styleId="lfej">
    <w:name w:val="header"/>
    <w:basedOn w:val="Norml"/>
    <w:link w:val="lfejChar"/>
    <w:uiPriority w:val="99"/>
    <w:rsid w:val="00CF018B"/>
    <w:pPr>
      <w:tabs>
        <w:tab w:val="center" w:pos="4536"/>
        <w:tab w:val="right" w:pos="9072"/>
      </w:tabs>
    </w:pPr>
  </w:style>
  <w:style w:type="paragraph" w:styleId="TJ2">
    <w:name w:val="toc 2"/>
    <w:aliases w:val="ESPON Index 2"/>
    <w:basedOn w:val="Norml"/>
    <w:next w:val="Norml"/>
    <w:autoRedefine/>
    <w:uiPriority w:val="39"/>
    <w:rsid w:val="00BB5A9A"/>
    <w:pPr>
      <w:tabs>
        <w:tab w:val="right" w:leader="dot" w:pos="9356"/>
      </w:tabs>
      <w:spacing w:line="360" w:lineRule="auto"/>
      <w:ind w:left="1191" w:right="1134" w:hanging="907"/>
    </w:pPr>
  </w:style>
  <w:style w:type="paragraph" w:styleId="TJ3">
    <w:name w:val="toc 3"/>
    <w:aliases w:val="ESPON Index 3"/>
    <w:basedOn w:val="Norml"/>
    <w:next w:val="Norml"/>
    <w:autoRedefine/>
    <w:semiHidden/>
    <w:rsid w:val="00CF018B"/>
    <w:pPr>
      <w:tabs>
        <w:tab w:val="right" w:leader="dot" w:pos="9356"/>
      </w:tabs>
      <w:spacing w:line="240" w:lineRule="auto"/>
      <w:ind w:left="907" w:right="1134" w:hanging="907"/>
    </w:pPr>
  </w:style>
  <w:style w:type="paragraph" w:styleId="TJ4">
    <w:name w:val="toc 4"/>
    <w:aliases w:val="ESPON Index 4"/>
    <w:basedOn w:val="Norml"/>
    <w:next w:val="Norml"/>
    <w:autoRedefine/>
    <w:semiHidden/>
    <w:rsid w:val="00CF018B"/>
    <w:pPr>
      <w:tabs>
        <w:tab w:val="right" w:leader="dot" w:pos="9356"/>
      </w:tabs>
      <w:spacing w:line="240" w:lineRule="auto"/>
      <w:ind w:left="1021" w:right="1134" w:hanging="1021"/>
    </w:pPr>
    <w:rPr>
      <w:rFonts w:ascii="Verdana" w:hAnsi="Verdana"/>
      <w:noProof/>
    </w:rPr>
  </w:style>
  <w:style w:type="paragraph" w:styleId="TJ6">
    <w:name w:val="toc 6"/>
    <w:aliases w:val="ESPON Index 6"/>
    <w:basedOn w:val="Norml"/>
    <w:next w:val="Norml"/>
    <w:autoRedefine/>
    <w:semiHidden/>
    <w:rsid w:val="00CF018B"/>
    <w:pPr>
      <w:tabs>
        <w:tab w:val="right" w:leader="dot" w:pos="9356"/>
      </w:tabs>
      <w:spacing w:line="240" w:lineRule="auto"/>
      <w:ind w:left="907" w:right="1134" w:hanging="907"/>
    </w:pPr>
    <w:rPr>
      <w:rFonts w:ascii="Verdana" w:hAnsi="Verdana"/>
      <w:b/>
      <w:noProof/>
    </w:rPr>
  </w:style>
  <w:style w:type="paragraph" w:styleId="TJ7">
    <w:name w:val="toc 7"/>
    <w:aliases w:val="ESPON Index 7"/>
    <w:basedOn w:val="Norml"/>
    <w:next w:val="Norml"/>
    <w:autoRedefine/>
    <w:semiHidden/>
    <w:rsid w:val="00CF018B"/>
    <w:pPr>
      <w:tabs>
        <w:tab w:val="right" w:leader="dot" w:pos="9356"/>
      </w:tabs>
      <w:spacing w:line="240" w:lineRule="auto"/>
      <w:ind w:left="907" w:right="1134" w:hanging="907"/>
    </w:pPr>
    <w:rPr>
      <w:rFonts w:ascii="Verdana" w:hAnsi="Verdana"/>
    </w:rPr>
  </w:style>
  <w:style w:type="paragraph" w:styleId="TJ8">
    <w:name w:val="toc 8"/>
    <w:basedOn w:val="Norml"/>
    <w:next w:val="Norml"/>
    <w:autoRedefine/>
    <w:semiHidden/>
    <w:rsid w:val="00CF018B"/>
    <w:pPr>
      <w:ind w:left="1400"/>
    </w:pPr>
  </w:style>
  <w:style w:type="paragraph" w:styleId="TJ9">
    <w:name w:val="toc 9"/>
    <w:basedOn w:val="Norml"/>
    <w:next w:val="Norml"/>
    <w:autoRedefine/>
    <w:semiHidden/>
    <w:rsid w:val="00CF018B"/>
    <w:pPr>
      <w:ind w:left="1600"/>
    </w:pPr>
  </w:style>
  <w:style w:type="paragraph" w:styleId="llb">
    <w:name w:val="footer"/>
    <w:basedOn w:val="Norml"/>
    <w:link w:val="llbChar"/>
    <w:uiPriority w:val="99"/>
    <w:rsid w:val="00CF018B"/>
    <w:pPr>
      <w:tabs>
        <w:tab w:val="center" w:pos="4536"/>
        <w:tab w:val="right" w:pos="9072"/>
      </w:tabs>
    </w:pPr>
  </w:style>
  <w:style w:type="character" w:customStyle="1" w:styleId="Cmsor1Char">
    <w:name w:val="Címsor 1 Char"/>
    <w:aliases w:val="ESPON Heading 1 Char"/>
    <w:basedOn w:val="Bekezdsalapbettpusa"/>
    <w:link w:val="Cmsor1"/>
    <w:rsid w:val="00A007DC"/>
    <w:rPr>
      <w:rFonts w:ascii="Arial" w:hAnsi="Arial"/>
      <w:b/>
      <w:kern w:val="28"/>
      <w:sz w:val="28"/>
      <w:lang w:eastAsia="en-US"/>
    </w:rPr>
  </w:style>
  <w:style w:type="paragraph" w:styleId="Kpalrs">
    <w:name w:val="caption"/>
    <w:basedOn w:val="Norml"/>
    <w:next w:val="Norml"/>
    <w:qFormat/>
    <w:rsid w:val="00D95FA4"/>
    <w:rPr>
      <w:b/>
      <w:bCs/>
    </w:rPr>
  </w:style>
  <w:style w:type="table" w:styleId="Rcsostblzat">
    <w:name w:val="Table Grid"/>
    <w:basedOn w:val="Normltblzat"/>
    <w:rsid w:val="00AF6C49"/>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rsid w:val="00C82741"/>
    <w:rPr>
      <w:color w:val="0000FF"/>
      <w:u w:val="single"/>
    </w:rPr>
  </w:style>
  <w:style w:type="paragraph" w:styleId="Dokumentumtrkp">
    <w:name w:val="Document Map"/>
    <w:basedOn w:val="Norml"/>
    <w:semiHidden/>
    <w:rsid w:val="003630B0"/>
    <w:rPr>
      <w:rFonts w:cs="Tahoma"/>
    </w:rPr>
  </w:style>
  <w:style w:type="paragraph" w:styleId="NormlWeb">
    <w:name w:val="Normal (Web)"/>
    <w:basedOn w:val="Norml"/>
    <w:rsid w:val="00AF6C49"/>
    <w:pPr>
      <w:spacing w:before="100" w:beforeAutospacing="1" w:after="100" w:afterAutospacing="1" w:line="240" w:lineRule="auto"/>
      <w:jc w:val="left"/>
    </w:pPr>
    <w:rPr>
      <w:sz w:val="24"/>
      <w:szCs w:val="24"/>
      <w:lang w:val="de-DE" w:eastAsia="de-DE"/>
    </w:rPr>
  </w:style>
  <w:style w:type="character" w:styleId="Mrltotthiperhivatkozs">
    <w:name w:val="FollowedHyperlink"/>
    <w:basedOn w:val="Bekezdsalapbettpusa"/>
    <w:rsid w:val="00AF6C49"/>
    <w:rPr>
      <w:rFonts w:ascii="Arial" w:hAnsi="Arial"/>
      <w:color w:val="800080"/>
      <w:u w:val="single"/>
    </w:rPr>
  </w:style>
  <w:style w:type="paragraph" w:styleId="brajegyzk">
    <w:name w:val="table of figures"/>
    <w:basedOn w:val="Norml"/>
    <w:next w:val="Norml"/>
    <w:uiPriority w:val="99"/>
    <w:rsid w:val="005B346C"/>
  </w:style>
  <w:style w:type="character" w:styleId="Jegyzethivatkozs">
    <w:name w:val="annotation reference"/>
    <w:basedOn w:val="Bekezdsalapbettpusa"/>
    <w:semiHidden/>
    <w:rsid w:val="004E266B"/>
    <w:rPr>
      <w:sz w:val="16"/>
      <w:szCs w:val="16"/>
    </w:rPr>
  </w:style>
  <w:style w:type="paragraph" w:styleId="Jegyzetszveg">
    <w:name w:val="annotation text"/>
    <w:basedOn w:val="Norml"/>
    <w:semiHidden/>
    <w:rsid w:val="004E266B"/>
  </w:style>
  <w:style w:type="paragraph" w:styleId="Megjegyzstrgya">
    <w:name w:val="annotation subject"/>
    <w:basedOn w:val="Jegyzetszveg"/>
    <w:next w:val="Jegyzetszveg"/>
    <w:semiHidden/>
    <w:rsid w:val="004E266B"/>
    <w:rPr>
      <w:b/>
      <w:bCs/>
    </w:rPr>
  </w:style>
  <w:style w:type="paragraph" w:styleId="Buborkszveg">
    <w:name w:val="Balloon Text"/>
    <w:basedOn w:val="Norml"/>
    <w:semiHidden/>
    <w:rsid w:val="001B06C0"/>
    <w:rPr>
      <w:rFonts w:ascii="Tahoma" w:hAnsi="Tahoma" w:cs="Tahoma"/>
      <w:sz w:val="16"/>
      <w:szCs w:val="16"/>
    </w:rPr>
  </w:style>
  <w:style w:type="character" w:styleId="Lbjegyzet-hivatkozs">
    <w:name w:val="footnote reference"/>
    <w:aliases w:val="Footnote symbol,Times 10 Point,Exposant 3 Point"/>
    <w:basedOn w:val="Bekezdsalapbettpusa"/>
    <w:unhideWhenUsed/>
    <w:rsid w:val="00AF6C49"/>
    <w:rPr>
      <w:rFonts w:ascii="Arial" w:hAnsi="Arial"/>
      <w:vertAlign w:val="superscript"/>
    </w:rPr>
  </w:style>
  <w:style w:type="character" w:customStyle="1" w:styleId="llbChar">
    <w:name w:val="Élőláb Char"/>
    <w:basedOn w:val="Bekezdsalapbettpusa"/>
    <w:link w:val="llb"/>
    <w:uiPriority w:val="99"/>
    <w:rsid w:val="004929E9"/>
    <w:rPr>
      <w:rFonts w:ascii="Arial" w:hAnsi="Arial"/>
      <w:sz w:val="22"/>
      <w:lang w:eastAsia="en-US"/>
    </w:rPr>
  </w:style>
  <w:style w:type="paragraph" w:customStyle="1" w:styleId="ESPONColophon">
    <w:name w:val="ESPON Colophon"/>
    <w:basedOn w:val="Norml"/>
    <w:rsid w:val="00AF6C49"/>
    <w:pPr>
      <w:spacing w:before="0"/>
      <w:ind w:right="5103"/>
      <w:jc w:val="left"/>
    </w:pPr>
    <w:rPr>
      <w:sz w:val="16"/>
    </w:rPr>
  </w:style>
  <w:style w:type="character" w:styleId="Oldalszm">
    <w:name w:val="page number"/>
    <w:basedOn w:val="Bekezdsalapbettpusa"/>
    <w:rsid w:val="00AF6C49"/>
    <w:rPr>
      <w:rFonts w:ascii="Arial" w:hAnsi="Arial"/>
    </w:rPr>
  </w:style>
  <w:style w:type="paragraph" w:customStyle="1" w:styleId="ESPONText">
    <w:name w:val="ESPON Text"/>
    <w:basedOn w:val="Norml"/>
    <w:rsid w:val="00AF6C49"/>
    <w:pPr>
      <w:spacing w:before="0" w:after="120"/>
    </w:pPr>
    <w:rPr>
      <w:lang w:eastAsia="de-DE"/>
    </w:rPr>
  </w:style>
  <w:style w:type="paragraph" w:customStyle="1" w:styleId="ESPONSubtitle">
    <w:name w:val="ESPON Subtitle"/>
    <w:basedOn w:val="Norml"/>
    <w:next w:val="ESPONText"/>
    <w:rsid w:val="00AF6C49"/>
    <w:pPr>
      <w:autoSpaceDE w:val="0"/>
      <w:autoSpaceDN w:val="0"/>
      <w:adjustRightInd w:val="0"/>
      <w:spacing w:after="240"/>
      <w:jc w:val="left"/>
    </w:pPr>
    <w:rPr>
      <w:b/>
      <w:color w:val="000000"/>
      <w:sz w:val="32"/>
    </w:rPr>
  </w:style>
  <w:style w:type="paragraph" w:styleId="Lbjegyzetszveg">
    <w:name w:val="footnote text"/>
    <w:aliases w:val="Schriftart: 9 pt,Schriftart: 10 pt,Schriftart: 8 pt,WB-Fußnotentext,fn,Footnotes,Footnote ak"/>
    <w:basedOn w:val="Norml"/>
    <w:link w:val="LbjegyzetszvegChar"/>
    <w:semiHidden/>
    <w:rsid w:val="00F75F62"/>
    <w:rPr>
      <w:sz w:val="20"/>
    </w:rPr>
  </w:style>
  <w:style w:type="paragraph" w:customStyle="1" w:styleId="Style10ptBoldRightBefore0pt">
    <w:name w:val="Style 10 pt Bold Right Before:  0 pt"/>
    <w:basedOn w:val="ESPONText"/>
    <w:rsid w:val="00074A6D"/>
    <w:pPr>
      <w:shd w:val="clear" w:color="auto" w:fill="000080"/>
      <w:jc w:val="right"/>
    </w:pPr>
    <w:rPr>
      <w:b/>
      <w:bCs/>
      <w:sz w:val="20"/>
    </w:rPr>
  </w:style>
  <w:style w:type="paragraph" w:styleId="Listaszerbekezds">
    <w:name w:val="List Paragraph"/>
    <w:basedOn w:val="Norml"/>
    <w:uiPriority w:val="99"/>
    <w:qFormat/>
    <w:rsid w:val="007631FF"/>
    <w:pPr>
      <w:ind w:left="720"/>
      <w:contextualSpacing/>
    </w:pPr>
  </w:style>
  <w:style w:type="character" w:customStyle="1" w:styleId="LbjegyzetszvegChar">
    <w:name w:val="Lábjegyzetszöveg Char"/>
    <w:aliases w:val="Schriftart: 9 pt Char,Schriftart: 10 pt Char,Schriftart: 8 pt Char,WB-Fußnotentext Char,fn Char,Footnotes Char,Footnote ak Char"/>
    <w:link w:val="Lbjegyzetszveg"/>
    <w:semiHidden/>
    <w:locked/>
    <w:rsid w:val="0012683A"/>
    <w:rPr>
      <w:rFonts w:ascii="Arial" w:hAnsi="Arial"/>
      <w:lang w:eastAsia="en-US"/>
    </w:rPr>
  </w:style>
  <w:style w:type="table" w:customStyle="1" w:styleId="LightGrid1">
    <w:name w:val="Light Grid1"/>
    <w:basedOn w:val="Normltblzat"/>
    <w:uiPriority w:val="62"/>
    <w:rsid w:val="009D67B9"/>
    <w:rPr>
      <w:rFonts w:asciiTheme="minorHAnsi" w:eastAsiaTheme="minorEastAsia" w:hAnsiTheme="minorHAnsi" w:cstheme="minorBidi"/>
      <w:sz w:val="22"/>
      <w:szCs w:val="22"/>
      <w:lang w:val="de-DE" w:eastAsia="de-DE"/>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customStyle="1" w:styleId="leaf">
    <w:name w:val="leaf"/>
    <w:basedOn w:val="Bekezdsalapbettpusa"/>
    <w:rsid w:val="006B1A27"/>
  </w:style>
  <w:style w:type="character" w:customStyle="1" w:styleId="rightside">
    <w:name w:val="right_side"/>
    <w:basedOn w:val="Bekezdsalapbettpusa"/>
    <w:rsid w:val="00160CBA"/>
  </w:style>
  <w:style w:type="character" w:customStyle="1" w:styleId="lfejChar">
    <w:name w:val="Élőfej Char"/>
    <w:basedOn w:val="Bekezdsalapbettpusa"/>
    <w:link w:val="lfej"/>
    <w:uiPriority w:val="99"/>
    <w:rsid w:val="009D3803"/>
    <w:rPr>
      <w:rFonts w:ascii="Arial" w:hAnsi="Arial"/>
      <w:sz w:val="22"/>
      <w:lang w:eastAsia="en-US"/>
    </w:rPr>
  </w:style>
  <w:style w:type="paragraph" w:styleId="Vgjegyzetszvege">
    <w:name w:val="endnote text"/>
    <w:basedOn w:val="Norml"/>
    <w:link w:val="VgjegyzetszvegeChar"/>
    <w:rsid w:val="004A4905"/>
    <w:pPr>
      <w:spacing w:before="0" w:line="240" w:lineRule="auto"/>
    </w:pPr>
    <w:rPr>
      <w:sz w:val="20"/>
    </w:rPr>
  </w:style>
  <w:style w:type="character" w:customStyle="1" w:styleId="VgjegyzetszvegeChar">
    <w:name w:val="Végjegyzet szövege Char"/>
    <w:basedOn w:val="Bekezdsalapbettpusa"/>
    <w:link w:val="Vgjegyzetszvege"/>
    <w:rsid w:val="004A4905"/>
    <w:rPr>
      <w:rFonts w:ascii="Arial" w:hAnsi="Arial"/>
      <w:lang w:eastAsia="en-US"/>
    </w:rPr>
  </w:style>
  <w:style w:type="character" w:styleId="Vgjegyzet-hivatkozs">
    <w:name w:val="endnote reference"/>
    <w:basedOn w:val="Bekezdsalapbettpusa"/>
    <w:rsid w:val="004A4905"/>
    <w:rPr>
      <w:vertAlign w:val="superscript"/>
    </w:rPr>
  </w:style>
  <w:style w:type="paragraph" w:customStyle="1" w:styleId="ESPONbulletlist">
    <w:name w:val="ESPON bullet list"/>
    <w:basedOn w:val="ESPONText"/>
    <w:qFormat/>
    <w:rsid w:val="007B4DD5"/>
    <w:pPr>
      <w:numPr>
        <w:numId w:val="15"/>
      </w:numPr>
    </w:pPr>
  </w:style>
  <w:style w:type="paragraph" w:customStyle="1" w:styleId="ESPONnumberedlist">
    <w:name w:val="ESPON numbered list"/>
    <w:basedOn w:val="ESPONbulletlist"/>
    <w:qFormat/>
    <w:rsid w:val="00CA7299"/>
    <w:pPr>
      <w:numPr>
        <w:numId w:val="17"/>
      </w:numPr>
    </w:pPr>
  </w:style>
</w:styles>
</file>

<file path=word/webSettings.xml><?xml version="1.0" encoding="utf-8"?>
<w:webSettings xmlns:r="http://schemas.openxmlformats.org/officeDocument/2006/relationships" xmlns:w="http://schemas.openxmlformats.org/wordprocessingml/2006/main">
  <w:divs>
    <w:div w:id="17514260">
      <w:bodyDiv w:val="1"/>
      <w:marLeft w:val="0"/>
      <w:marRight w:val="0"/>
      <w:marTop w:val="0"/>
      <w:marBottom w:val="0"/>
      <w:divBdr>
        <w:top w:val="none" w:sz="0" w:space="0" w:color="auto"/>
        <w:left w:val="none" w:sz="0" w:space="0" w:color="auto"/>
        <w:bottom w:val="none" w:sz="0" w:space="0" w:color="auto"/>
        <w:right w:val="none" w:sz="0" w:space="0" w:color="auto"/>
      </w:divBdr>
    </w:div>
    <w:div w:id="56783989">
      <w:bodyDiv w:val="1"/>
      <w:marLeft w:val="0"/>
      <w:marRight w:val="0"/>
      <w:marTop w:val="0"/>
      <w:marBottom w:val="0"/>
      <w:divBdr>
        <w:top w:val="none" w:sz="0" w:space="0" w:color="auto"/>
        <w:left w:val="none" w:sz="0" w:space="0" w:color="auto"/>
        <w:bottom w:val="none" w:sz="0" w:space="0" w:color="auto"/>
        <w:right w:val="none" w:sz="0" w:space="0" w:color="auto"/>
      </w:divBdr>
    </w:div>
    <w:div w:id="165293436">
      <w:bodyDiv w:val="1"/>
      <w:marLeft w:val="0"/>
      <w:marRight w:val="0"/>
      <w:marTop w:val="0"/>
      <w:marBottom w:val="0"/>
      <w:divBdr>
        <w:top w:val="none" w:sz="0" w:space="0" w:color="auto"/>
        <w:left w:val="none" w:sz="0" w:space="0" w:color="auto"/>
        <w:bottom w:val="none" w:sz="0" w:space="0" w:color="auto"/>
        <w:right w:val="none" w:sz="0" w:space="0" w:color="auto"/>
      </w:divBdr>
    </w:div>
    <w:div w:id="369384257">
      <w:bodyDiv w:val="1"/>
      <w:marLeft w:val="0"/>
      <w:marRight w:val="0"/>
      <w:marTop w:val="0"/>
      <w:marBottom w:val="0"/>
      <w:divBdr>
        <w:top w:val="none" w:sz="0" w:space="0" w:color="auto"/>
        <w:left w:val="none" w:sz="0" w:space="0" w:color="auto"/>
        <w:bottom w:val="none" w:sz="0" w:space="0" w:color="auto"/>
        <w:right w:val="none" w:sz="0" w:space="0" w:color="auto"/>
      </w:divBdr>
    </w:div>
    <w:div w:id="412357200">
      <w:bodyDiv w:val="1"/>
      <w:marLeft w:val="0"/>
      <w:marRight w:val="0"/>
      <w:marTop w:val="0"/>
      <w:marBottom w:val="0"/>
      <w:divBdr>
        <w:top w:val="none" w:sz="0" w:space="0" w:color="auto"/>
        <w:left w:val="none" w:sz="0" w:space="0" w:color="auto"/>
        <w:bottom w:val="none" w:sz="0" w:space="0" w:color="auto"/>
        <w:right w:val="none" w:sz="0" w:space="0" w:color="auto"/>
      </w:divBdr>
    </w:div>
    <w:div w:id="505171505">
      <w:bodyDiv w:val="1"/>
      <w:marLeft w:val="0"/>
      <w:marRight w:val="0"/>
      <w:marTop w:val="0"/>
      <w:marBottom w:val="0"/>
      <w:divBdr>
        <w:top w:val="none" w:sz="0" w:space="0" w:color="auto"/>
        <w:left w:val="none" w:sz="0" w:space="0" w:color="auto"/>
        <w:bottom w:val="none" w:sz="0" w:space="0" w:color="auto"/>
        <w:right w:val="none" w:sz="0" w:space="0" w:color="auto"/>
      </w:divBdr>
    </w:div>
    <w:div w:id="549926176">
      <w:bodyDiv w:val="1"/>
      <w:marLeft w:val="0"/>
      <w:marRight w:val="0"/>
      <w:marTop w:val="0"/>
      <w:marBottom w:val="0"/>
      <w:divBdr>
        <w:top w:val="none" w:sz="0" w:space="0" w:color="auto"/>
        <w:left w:val="none" w:sz="0" w:space="0" w:color="auto"/>
        <w:bottom w:val="none" w:sz="0" w:space="0" w:color="auto"/>
        <w:right w:val="none" w:sz="0" w:space="0" w:color="auto"/>
      </w:divBdr>
    </w:div>
    <w:div w:id="729157120">
      <w:bodyDiv w:val="1"/>
      <w:marLeft w:val="0"/>
      <w:marRight w:val="0"/>
      <w:marTop w:val="0"/>
      <w:marBottom w:val="0"/>
      <w:divBdr>
        <w:top w:val="none" w:sz="0" w:space="0" w:color="auto"/>
        <w:left w:val="none" w:sz="0" w:space="0" w:color="auto"/>
        <w:bottom w:val="none" w:sz="0" w:space="0" w:color="auto"/>
        <w:right w:val="none" w:sz="0" w:space="0" w:color="auto"/>
      </w:divBdr>
    </w:div>
    <w:div w:id="736364338">
      <w:bodyDiv w:val="1"/>
      <w:marLeft w:val="0"/>
      <w:marRight w:val="0"/>
      <w:marTop w:val="0"/>
      <w:marBottom w:val="0"/>
      <w:divBdr>
        <w:top w:val="none" w:sz="0" w:space="0" w:color="auto"/>
        <w:left w:val="none" w:sz="0" w:space="0" w:color="auto"/>
        <w:bottom w:val="none" w:sz="0" w:space="0" w:color="auto"/>
        <w:right w:val="none" w:sz="0" w:space="0" w:color="auto"/>
      </w:divBdr>
    </w:div>
    <w:div w:id="830221308">
      <w:bodyDiv w:val="1"/>
      <w:marLeft w:val="0"/>
      <w:marRight w:val="0"/>
      <w:marTop w:val="0"/>
      <w:marBottom w:val="0"/>
      <w:divBdr>
        <w:top w:val="none" w:sz="0" w:space="0" w:color="auto"/>
        <w:left w:val="none" w:sz="0" w:space="0" w:color="auto"/>
        <w:bottom w:val="none" w:sz="0" w:space="0" w:color="auto"/>
        <w:right w:val="none" w:sz="0" w:space="0" w:color="auto"/>
      </w:divBdr>
      <w:divsChild>
        <w:div w:id="1942494461">
          <w:marLeft w:val="0"/>
          <w:marRight w:val="0"/>
          <w:marTop w:val="0"/>
          <w:marBottom w:val="0"/>
          <w:divBdr>
            <w:top w:val="none" w:sz="0" w:space="0" w:color="auto"/>
            <w:left w:val="none" w:sz="0" w:space="0" w:color="auto"/>
            <w:bottom w:val="none" w:sz="0" w:space="0" w:color="auto"/>
            <w:right w:val="none" w:sz="0" w:space="0" w:color="auto"/>
          </w:divBdr>
        </w:div>
        <w:div w:id="629437244">
          <w:marLeft w:val="0"/>
          <w:marRight w:val="0"/>
          <w:marTop w:val="0"/>
          <w:marBottom w:val="0"/>
          <w:divBdr>
            <w:top w:val="none" w:sz="0" w:space="0" w:color="auto"/>
            <w:left w:val="none" w:sz="0" w:space="0" w:color="auto"/>
            <w:bottom w:val="none" w:sz="0" w:space="0" w:color="auto"/>
            <w:right w:val="none" w:sz="0" w:space="0" w:color="auto"/>
          </w:divBdr>
        </w:div>
        <w:div w:id="23025401">
          <w:marLeft w:val="0"/>
          <w:marRight w:val="0"/>
          <w:marTop w:val="0"/>
          <w:marBottom w:val="0"/>
          <w:divBdr>
            <w:top w:val="none" w:sz="0" w:space="0" w:color="auto"/>
            <w:left w:val="none" w:sz="0" w:space="0" w:color="auto"/>
            <w:bottom w:val="none" w:sz="0" w:space="0" w:color="auto"/>
            <w:right w:val="none" w:sz="0" w:space="0" w:color="auto"/>
          </w:divBdr>
        </w:div>
        <w:div w:id="582640387">
          <w:marLeft w:val="0"/>
          <w:marRight w:val="0"/>
          <w:marTop w:val="0"/>
          <w:marBottom w:val="0"/>
          <w:divBdr>
            <w:top w:val="none" w:sz="0" w:space="0" w:color="auto"/>
            <w:left w:val="none" w:sz="0" w:space="0" w:color="auto"/>
            <w:bottom w:val="none" w:sz="0" w:space="0" w:color="auto"/>
            <w:right w:val="none" w:sz="0" w:space="0" w:color="auto"/>
          </w:divBdr>
        </w:div>
        <w:div w:id="545072163">
          <w:marLeft w:val="0"/>
          <w:marRight w:val="0"/>
          <w:marTop w:val="0"/>
          <w:marBottom w:val="0"/>
          <w:divBdr>
            <w:top w:val="none" w:sz="0" w:space="0" w:color="auto"/>
            <w:left w:val="none" w:sz="0" w:space="0" w:color="auto"/>
            <w:bottom w:val="none" w:sz="0" w:space="0" w:color="auto"/>
            <w:right w:val="none" w:sz="0" w:space="0" w:color="auto"/>
          </w:divBdr>
        </w:div>
        <w:div w:id="1432697938">
          <w:marLeft w:val="0"/>
          <w:marRight w:val="0"/>
          <w:marTop w:val="0"/>
          <w:marBottom w:val="0"/>
          <w:divBdr>
            <w:top w:val="none" w:sz="0" w:space="0" w:color="auto"/>
            <w:left w:val="none" w:sz="0" w:space="0" w:color="auto"/>
            <w:bottom w:val="none" w:sz="0" w:space="0" w:color="auto"/>
            <w:right w:val="none" w:sz="0" w:space="0" w:color="auto"/>
          </w:divBdr>
        </w:div>
      </w:divsChild>
    </w:div>
    <w:div w:id="856699746">
      <w:bodyDiv w:val="1"/>
      <w:marLeft w:val="0"/>
      <w:marRight w:val="0"/>
      <w:marTop w:val="0"/>
      <w:marBottom w:val="0"/>
      <w:divBdr>
        <w:top w:val="none" w:sz="0" w:space="0" w:color="auto"/>
        <w:left w:val="none" w:sz="0" w:space="0" w:color="auto"/>
        <w:bottom w:val="none" w:sz="0" w:space="0" w:color="auto"/>
        <w:right w:val="none" w:sz="0" w:space="0" w:color="auto"/>
      </w:divBdr>
    </w:div>
    <w:div w:id="1012757394">
      <w:bodyDiv w:val="1"/>
      <w:marLeft w:val="0"/>
      <w:marRight w:val="0"/>
      <w:marTop w:val="0"/>
      <w:marBottom w:val="0"/>
      <w:divBdr>
        <w:top w:val="none" w:sz="0" w:space="0" w:color="auto"/>
        <w:left w:val="none" w:sz="0" w:space="0" w:color="auto"/>
        <w:bottom w:val="none" w:sz="0" w:space="0" w:color="auto"/>
        <w:right w:val="none" w:sz="0" w:space="0" w:color="auto"/>
      </w:divBdr>
    </w:div>
    <w:div w:id="1082219700">
      <w:bodyDiv w:val="1"/>
      <w:marLeft w:val="0"/>
      <w:marRight w:val="0"/>
      <w:marTop w:val="0"/>
      <w:marBottom w:val="0"/>
      <w:divBdr>
        <w:top w:val="none" w:sz="0" w:space="0" w:color="auto"/>
        <w:left w:val="none" w:sz="0" w:space="0" w:color="auto"/>
        <w:bottom w:val="none" w:sz="0" w:space="0" w:color="auto"/>
        <w:right w:val="none" w:sz="0" w:space="0" w:color="auto"/>
      </w:divBdr>
    </w:div>
    <w:div w:id="1087270805">
      <w:bodyDiv w:val="1"/>
      <w:marLeft w:val="0"/>
      <w:marRight w:val="0"/>
      <w:marTop w:val="0"/>
      <w:marBottom w:val="0"/>
      <w:divBdr>
        <w:top w:val="none" w:sz="0" w:space="0" w:color="auto"/>
        <w:left w:val="none" w:sz="0" w:space="0" w:color="auto"/>
        <w:bottom w:val="none" w:sz="0" w:space="0" w:color="auto"/>
        <w:right w:val="none" w:sz="0" w:space="0" w:color="auto"/>
      </w:divBdr>
    </w:div>
    <w:div w:id="1113792802">
      <w:bodyDiv w:val="1"/>
      <w:marLeft w:val="0"/>
      <w:marRight w:val="0"/>
      <w:marTop w:val="0"/>
      <w:marBottom w:val="0"/>
      <w:divBdr>
        <w:top w:val="none" w:sz="0" w:space="0" w:color="auto"/>
        <w:left w:val="none" w:sz="0" w:space="0" w:color="auto"/>
        <w:bottom w:val="none" w:sz="0" w:space="0" w:color="auto"/>
        <w:right w:val="none" w:sz="0" w:space="0" w:color="auto"/>
      </w:divBdr>
    </w:div>
    <w:div w:id="1257787801">
      <w:bodyDiv w:val="1"/>
      <w:marLeft w:val="0"/>
      <w:marRight w:val="0"/>
      <w:marTop w:val="0"/>
      <w:marBottom w:val="0"/>
      <w:divBdr>
        <w:top w:val="none" w:sz="0" w:space="0" w:color="auto"/>
        <w:left w:val="none" w:sz="0" w:space="0" w:color="auto"/>
        <w:bottom w:val="none" w:sz="0" w:space="0" w:color="auto"/>
        <w:right w:val="none" w:sz="0" w:space="0" w:color="auto"/>
      </w:divBdr>
    </w:div>
    <w:div w:id="1451822145">
      <w:bodyDiv w:val="1"/>
      <w:marLeft w:val="0"/>
      <w:marRight w:val="0"/>
      <w:marTop w:val="0"/>
      <w:marBottom w:val="0"/>
      <w:divBdr>
        <w:top w:val="none" w:sz="0" w:space="0" w:color="auto"/>
        <w:left w:val="none" w:sz="0" w:space="0" w:color="auto"/>
        <w:bottom w:val="none" w:sz="0" w:space="0" w:color="auto"/>
        <w:right w:val="none" w:sz="0" w:space="0" w:color="auto"/>
      </w:divBdr>
    </w:div>
    <w:div w:id="1462651393">
      <w:bodyDiv w:val="1"/>
      <w:marLeft w:val="0"/>
      <w:marRight w:val="0"/>
      <w:marTop w:val="0"/>
      <w:marBottom w:val="0"/>
      <w:divBdr>
        <w:top w:val="none" w:sz="0" w:space="0" w:color="auto"/>
        <w:left w:val="none" w:sz="0" w:space="0" w:color="auto"/>
        <w:bottom w:val="none" w:sz="0" w:space="0" w:color="auto"/>
        <w:right w:val="none" w:sz="0" w:space="0" w:color="auto"/>
      </w:divBdr>
    </w:div>
    <w:div w:id="1591311163">
      <w:bodyDiv w:val="1"/>
      <w:marLeft w:val="0"/>
      <w:marRight w:val="0"/>
      <w:marTop w:val="0"/>
      <w:marBottom w:val="0"/>
      <w:divBdr>
        <w:top w:val="none" w:sz="0" w:space="0" w:color="auto"/>
        <w:left w:val="none" w:sz="0" w:space="0" w:color="auto"/>
        <w:bottom w:val="none" w:sz="0" w:space="0" w:color="auto"/>
        <w:right w:val="none" w:sz="0" w:space="0" w:color="auto"/>
      </w:divBdr>
    </w:div>
    <w:div w:id="1603107735">
      <w:bodyDiv w:val="1"/>
      <w:marLeft w:val="0"/>
      <w:marRight w:val="0"/>
      <w:marTop w:val="0"/>
      <w:marBottom w:val="0"/>
      <w:divBdr>
        <w:top w:val="none" w:sz="0" w:space="0" w:color="auto"/>
        <w:left w:val="none" w:sz="0" w:space="0" w:color="auto"/>
        <w:bottom w:val="none" w:sz="0" w:space="0" w:color="auto"/>
        <w:right w:val="none" w:sz="0" w:space="0" w:color="auto"/>
      </w:divBdr>
    </w:div>
    <w:div w:id="1762797666">
      <w:bodyDiv w:val="1"/>
      <w:marLeft w:val="0"/>
      <w:marRight w:val="0"/>
      <w:marTop w:val="0"/>
      <w:marBottom w:val="0"/>
      <w:divBdr>
        <w:top w:val="none" w:sz="0" w:space="0" w:color="auto"/>
        <w:left w:val="none" w:sz="0" w:space="0" w:color="auto"/>
        <w:bottom w:val="none" w:sz="0" w:space="0" w:color="auto"/>
        <w:right w:val="none" w:sz="0" w:space="0" w:color="auto"/>
      </w:divBdr>
    </w:div>
    <w:div w:id="1827043502">
      <w:bodyDiv w:val="1"/>
      <w:marLeft w:val="0"/>
      <w:marRight w:val="0"/>
      <w:marTop w:val="0"/>
      <w:marBottom w:val="0"/>
      <w:divBdr>
        <w:top w:val="none" w:sz="0" w:space="0" w:color="auto"/>
        <w:left w:val="none" w:sz="0" w:space="0" w:color="auto"/>
        <w:bottom w:val="none" w:sz="0" w:space="0" w:color="auto"/>
        <w:right w:val="none" w:sz="0" w:space="0" w:color="auto"/>
      </w:divBdr>
    </w:div>
    <w:div w:id="1862543561">
      <w:bodyDiv w:val="1"/>
      <w:marLeft w:val="0"/>
      <w:marRight w:val="0"/>
      <w:marTop w:val="0"/>
      <w:marBottom w:val="0"/>
      <w:divBdr>
        <w:top w:val="none" w:sz="0" w:space="0" w:color="auto"/>
        <w:left w:val="none" w:sz="0" w:space="0" w:color="auto"/>
        <w:bottom w:val="none" w:sz="0" w:space="0" w:color="auto"/>
        <w:right w:val="none" w:sz="0" w:space="0" w:color="auto"/>
      </w:divBdr>
    </w:div>
    <w:div w:id="2030986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3.png"/><Relationship Id="rId26" Type="http://schemas.openxmlformats.org/officeDocument/2006/relationships/hyperlink" Target="http://epp.eurostat.ec.europa.eu/cache/ITY_SDDS/EN/nama_esms.htm" TargetMode="External"/><Relationship Id="rId3" Type="http://schemas.openxmlformats.org/officeDocument/2006/relationships/customXml" Target="../customXml/item3.xml"/><Relationship Id="rId21" Type="http://schemas.openxmlformats.org/officeDocument/2006/relationships/hyperlink" Target="http://eur-lex.europa.eu/LexUriServ/LexUriServ.do?uri=OJ:L:2008:218:0014:01:EN:HTML"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communities.gov.uk/documents/statistics/pdf/1871208.pdf" TargetMode="External"/><Relationship Id="rId25" Type="http://schemas.openxmlformats.org/officeDocument/2006/relationships/hyperlink" Target="http://epp.eurostat.ec.europa.eu/cache/ITY_SDDS/en/gov_a_tax_ag_esms.htm"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epp.eurostat.ec.europa.eu/cache/ITY_SDDS/en/gov_a_tax_ag_esms.ht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epp.eurostat.ec.europa.eu/cache/ITY_SDDS/en/crim_esms.htm" TargetMode="Externa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yperlink" Target="http://eur-lex.europa.eu/LexUriServ/LexUriServ.do?uri=OJ:L:2010:151:0001:0013:EN:PDF" TargetMode="External"/><Relationship Id="rId28"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yperlink" Target="http://epp.eurostat.ec.europa.eu/cache/ITY_SDDS/en/crim_esms.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spon.eu" TargetMode="External"/><Relationship Id="rId22" Type="http://schemas.openxmlformats.org/officeDocument/2006/relationships/hyperlink" Target="http://eur-lex.europa.eu/LexUriServ/LexUriServ.do?uri=OJ:L:2009:329:0029:01:EN:HTML" TargetMode="External"/><Relationship Id="rId27" Type="http://schemas.openxmlformats.org/officeDocument/2006/relationships/hyperlink" Target="http://www.communities.gov.uk/documents/statistics/pdf/1871208.pdf"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5545BE707EE41963776E429A300E2" ma:contentTypeVersion="0" ma:contentTypeDescription="Create a new document." ma:contentTypeScope="" ma:versionID="1960ad8117ed82e40aadc2475d47e6b4">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C167AD-315B-4986-A268-9E7843D1F5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1E19F08-A149-4317-A72B-58654F6E9DC2}">
  <ds:schemaRefs>
    <ds:schemaRef ds:uri="http://schemas.microsoft.com/office/2006/metadata/properties"/>
  </ds:schemaRefs>
</ds:datastoreItem>
</file>

<file path=customXml/itemProps3.xml><?xml version="1.0" encoding="utf-8"?>
<ds:datastoreItem xmlns:ds="http://schemas.openxmlformats.org/officeDocument/2006/customXml" ds:itemID="{772D7329-50B7-446A-B1EC-EB1A878BC345}">
  <ds:schemaRefs>
    <ds:schemaRef ds:uri="http://schemas.microsoft.com/sharepoint/v3/contenttype/forms"/>
  </ds:schemaRefs>
</ds:datastoreItem>
</file>

<file path=customXml/itemProps4.xml><?xml version="1.0" encoding="utf-8"?>
<ds:datastoreItem xmlns:ds="http://schemas.openxmlformats.org/officeDocument/2006/customXml" ds:itemID="{BAA18FF1-CB66-4BEC-ABC1-E999490F4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60</Pages>
  <Words>19507</Words>
  <Characters>114453</Characters>
  <Application>Microsoft Office Word</Application>
  <DocSecurity>0</DocSecurity>
  <Lines>953</Lines>
  <Paragraphs>267</Paragraphs>
  <ScaleCrop>false</ScaleCrop>
  <HeadingPairs>
    <vt:vector size="6" baseType="variant">
      <vt:variant>
        <vt:lpstr>Otsikko</vt:lpstr>
      </vt:variant>
      <vt:variant>
        <vt:i4>1</vt:i4>
      </vt:variant>
      <vt:variant>
        <vt:lpstr>Cím</vt:lpstr>
      </vt:variant>
      <vt:variant>
        <vt:i4>1</vt:i4>
      </vt:variant>
      <vt:variant>
        <vt:lpstr>Title</vt:lpstr>
      </vt:variant>
      <vt:variant>
        <vt:i4>1</vt:i4>
      </vt:variant>
    </vt:vector>
  </HeadingPairs>
  <TitlesOfParts>
    <vt:vector size="3" baseType="lpstr">
      <vt:lpstr>Version 1 22/09/2008</vt:lpstr>
      <vt:lpstr>Version 1 22/09/2008</vt:lpstr>
      <vt:lpstr>Version 1 22/09/2008</vt:lpstr>
    </vt:vector>
  </TitlesOfParts>
  <Company>BBR</Company>
  <LinksUpToDate>false</LinksUpToDate>
  <CharactersWithSpaces>133693</CharactersWithSpaces>
  <SharedDoc>false</SharedDoc>
  <HLinks>
    <vt:vector size="408" baseType="variant">
      <vt:variant>
        <vt:i4>1835105</vt:i4>
      </vt:variant>
      <vt:variant>
        <vt:i4>531</vt:i4>
      </vt:variant>
      <vt:variant>
        <vt:i4>0</vt:i4>
      </vt:variant>
      <vt:variant>
        <vt:i4>5</vt:i4>
      </vt:variant>
      <vt:variant>
        <vt:lpwstr>http://www.espon.eu/main/Menu_Projects/Menu_ESPON2006Projects/Menu_StudiesScientificSupportProjects/smallandmediumcities.html</vt:lpwstr>
      </vt:variant>
      <vt:variant>
        <vt:lpwstr/>
      </vt:variant>
      <vt:variant>
        <vt:i4>6029340</vt:i4>
      </vt:variant>
      <vt:variant>
        <vt:i4>528</vt:i4>
      </vt:variant>
      <vt:variant>
        <vt:i4>0</vt:i4>
      </vt:variant>
      <vt:variant>
        <vt:i4>5</vt:i4>
      </vt:variant>
      <vt:variant>
        <vt:lpwstr>http://www.abdn.ac.uk/irr/arkleton/conf2000/papers.shtml</vt:lpwstr>
      </vt:variant>
      <vt:variant>
        <vt:lpwstr/>
      </vt:variant>
      <vt:variant>
        <vt:i4>4063279</vt:i4>
      </vt:variant>
      <vt:variant>
        <vt:i4>525</vt:i4>
      </vt:variant>
      <vt:variant>
        <vt:i4>0</vt:i4>
      </vt:variant>
      <vt:variant>
        <vt:i4>5</vt:i4>
      </vt:variant>
      <vt:variant>
        <vt:lpwstr>http://ec.europa.eu/regional_policy/sources/docoffic/official/reports/cohesion5/index_en.cfm</vt:lpwstr>
      </vt:variant>
      <vt:variant>
        <vt:lpwstr/>
      </vt:variant>
      <vt:variant>
        <vt:i4>8126554</vt:i4>
      </vt:variant>
      <vt:variant>
        <vt:i4>522</vt:i4>
      </vt:variant>
      <vt:variant>
        <vt:i4>0</vt:i4>
      </vt:variant>
      <vt:variant>
        <vt:i4>5</vt:i4>
      </vt:variant>
      <vt:variant>
        <vt:lpwstr>http://ec.europa.eu/agriculture/cap-post-2013/communication/index_en.htm</vt:lpwstr>
      </vt:variant>
      <vt:variant>
        <vt:lpwstr/>
      </vt:variant>
      <vt:variant>
        <vt:i4>2883679</vt:i4>
      </vt:variant>
      <vt:variant>
        <vt:i4>519</vt:i4>
      </vt:variant>
      <vt:variant>
        <vt:i4>0</vt:i4>
      </vt:variant>
      <vt:variant>
        <vt:i4>5</vt:i4>
      </vt:variant>
      <vt:variant>
        <vt:lpwstr>http://ec.europa.eu/regional_policy/sources/docgener/focus/2008_01_rural.pdf</vt:lpwstr>
      </vt:variant>
      <vt:variant>
        <vt:lpwstr/>
      </vt:variant>
      <vt:variant>
        <vt:i4>1507331</vt:i4>
      </vt:variant>
      <vt:variant>
        <vt:i4>516</vt:i4>
      </vt:variant>
      <vt:variant>
        <vt:i4>0</vt:i4>
      </vt:variant>
      <vt:variant>
        <vt:i4>5</vt:i4>
      </vt:variant>
      <vt:variant>
        <vt:lpwstr>http://www.espon.eu/main/Menu_Projects/Menu_AppliedResearch/demifer.html</vt:lpwstr>
      </vt:variant>
      <vt:variant>
        <vt:lpwstr/>
      </vt:variant>
      <vt:variant>
        <vt:i4>7995501</vt:i4>
      </vt:variant>
      <vt:variant>
        <vt:i4>513</vt:i4>
      </vt:variant>
      <vt:variant>
        <vt:i4>0</vt:i4>
      </vt:variant>
      <vt:variant>
        <vt:i4>5</vt:i4>
      </vt:variant>
      <vt:variant>
        <vt:lpwstr>http://www.eu-territorial-agenda.eu/Pages/Default.aspx</vt:lpwstr>
      </vt:variant>
      <vt:variant>
        <vt:lpwstr/>
      </vt:variant>
      <vt:variant>
        <vt:i4>2097188</vt:i4>
      </vt:variant>
      <vt:variant>
        <vt:i4>510</vt:i4>
      </vt:variant>
      <vt:variant>
        <vt:i4>0</vt:i4>
      </vt:variant>
      <vt:variant>
        <vt:i4>5</vt:i4>
      </vt:variant>
      <vt:variant>
        <vt:lpwstr>http://www.espon.eu/main/Menu_Projects/Menu_AppliedResearch/tiptap.html</vt:lpwstr>
      </vt:variant>
      <vt:variant>
        <vt:lpwstr/>
      </vt:variant>
      <vt:variant>
        <vt:i4>8061041</vt:i4>
      </vt:variant>
      <vt:variant>
        <vt:i4>507</vt:i4>
      </vt:variant>
      <vt:variant>
        <vt:i4>0</vt:i4>
      </vt:variant>
      <vt:variant>
        <vt:i4>5</vt:i4>
      </vt:variant>
      <vt:variant>
        <vt:lpwstr>http://www.espon.eu/main/Menu_Projects/Menu_ScientificPlatform/typologycompilation.html</vt:lpwstr>
      </vt:variant>
      <vt:variant>
        <vt:lpwstr/>
      </vt:variant>
      <vt:variant>
        <vt:i4>7340057</vt:i4>
      </vt:variant>
      <vt:variant>
        <vt:i4>504</vt:i4>
      </vt:variant>
      <vt:variant>
        <vt:i4>0</vt:i4>
      </vt:variant>
      <vt:variant>
        <vt:i4>5</vt:i4>
      </vt:variant>
      <vt:variant>
        <vt:lpwstr>http://www.espon.eu/main/Menu_Projects/Menu_ESPON2006Projects/Menu_ThematicProjects/urbanrural.html</vt:lpwstr>
      </vt:variant>
      <vt:variant>
        <vt:lpwstr/>
      </vt:variant>
      <vt:variant>
        <vt:i4>1441845</vt:i4>
      </vt:variant>
      <vt:variant>
        <vt:i4>350</vt:i4>
      </vt:variant>
      <vt:variant>
        <vt:i4>0</vt:i4>
      </vt:variant>
      <vt:variant>
        <vt:i4>5</vt:i4>
      </vt:variant>
      <vt:variant>
        <vt:lpwstr/>
      </vt:variant>
      <vt:variant>
        <vt:lpwstr>_Toc287882830</vt:lpwstr>
      </vt:variant>
      <vt:variant>
        <vt:i4>1507381</vt:i4>
      </vt:variant>
      <vt:variant>
        <vt:i4>344</vt:i4>
      </vt:variant>
      <vt:variant>
        <vt:i4>0</vt:i4>
      </vt:variant>
      <vt:variant>
        <vt:i4>5</vt:i4>
      </vt:variant>
      <vt:variant>
        <vt:lpwstr/>
      </vt:variant>
      <vt:variant>
        <vt:lpwstr>_Toc287882829</vt:lpwstr>
      </vt:variant>
      <vt:variant>
        <vt:i4>1507381</vt:i4>
      </vt:variant>
      <vt:variant>
        <vt:i4>338</vt:i4>
      </vt:variant>
      <vt:variant>
        <vt:i4>0</vt:i4>
      </vt:variant>
      <vt:variant>
        <vt:i4>5</vt:i4>
      </vt:variant>
      <vt:variant>
        <vt:lpwstr/>
      </vt:variant>
      <vt:variant>
        <vt:lpwstr>_Toc287882828</vt:lpwstr>
      </vt:variant>
      <vt:variant>
        <vt:i4>1507381</vt:i4>
      </vt:variant>
      <vt:variant>
        <vt:i4>332</vt:i4>
      </vt:variant>
      <vt:variant>
        <vt:i4>0</vt:i4>
      </vt:variant>
      <vt:variant>
        <vt:i4>5</vt:i4>
      </vt:variant>
      <vt:variant>
        <vt:lpwstr/>
      </vt:variant>
      <vt:variant>
        <vt:lpwstr>_Toc287882827</vt:lpwstr>
      </vt:variant>
      <vt:variant>
        <vt:i4>1507381</vt:i4>
      </vt:variant>
      <vt:variant>
        <vt:i4>323</vt:i4>
      </vt:variant>
      <vt:variant>
        <vt:i4>0</vt:i4>
      </vt:variant>
      <vt:variant>
        <vt:i4>5</vt:i4>
      </vt:variant>
      <vt:variant>
        <vt:lpwstr/>
      </vt:variant>
      <vt:variant>
        <vt:lpwstr>_Toc287882826</vt:lpwstr>
      </vt:variant>
      <vt:variant>
        <vt:i4>1507381</vt:i4>
      </vt:variant>
      <vt:variant>
        <vt:i4>317</vt:i4>
      </vt:variant>
      <vt:variant>
        <vt:i4>0</vt:i4>
      </vt:variant>
      <vt:variant>
        <vt:i4>5</vt:i4>
      </vt:variant>
      <vt:variant>
        <vt:lpwstr/>
      </vt:variant>
      <vt:variant>
        <vt:lpwstr>_Toc287882825</vt:lpwstr>
      </vt:variant>
      <vt:variant>
        <vt:i4>1507381</vt:i4>
      </vt:variant>
      <vt:variant>
        <vt:i4>311</vt:i4>
      </vt:variant>
      <vt:variant>
        <vt:i4>0</vt:i4>
      </vt:variant>
      <vt:variant>
        <vt:i4>5</vt:i4>
      </vt:variant>
      <vt:variant>
        <vt:lpwstr/>
      </vt:variant>
      <vt:variant>
        <vt:lpwstr>_Toc287882824</vt:lpwstr>
      </vt:variant>
      <vt:variant>
        <vt:i4>1507381</vt:i4>
      </vt:variant>
      <vt:variant>
        <vt:i4>305</vt:i4>
      </vt:variant>
      <vt:variant>
        <vt:i4>0</vt:i4>
      </vt:variant>
      <vt:variant>
        <vt:i4>5</vt:i4>
      </vt:variant>
      <vt:variant>
        <vt:lpwstr/>
      </vt:variant>
      <vt:variant>
        <vt:lpwstr>_Toc287882823</vt:lpwstr>
      </vt:variant>
      <vt:variant>
        <vt:i4>1507381</vt:i4>
      </vt:variant>
      <vt:variant>
        <vt:i4>299</vt:i4>
      </vt:variant>
      <vt:variant>
        <vt:i4>0</vt:i4>
      </vt:variant>
      <vt:variant>
        <vt:i4>5</vt:i4>
      </vt:variant>
      <vt:variant>
        <vt:lpwstr/>
      </vt:variant>
      <vt:variant>
        <vt:lpwstr>_Toc287882822</vt:lpwstr>
      </vt:variant>
      <vt:variant>
        <vt:i4>1507381</vt:i4>
      </vt:variant>
      <vt:variant>
        <vt:i4>293</vt:i4>
      </vt:variant>
      <vt:variant>
        <vt:i4>0</vt:i4>
      </vt:variant>
      <vt:variant>
        <vt:i4>5</vt:i4>
      </vt:variant>
      <vt:variant>
        <vt:lpwstr/>
      </vt:variant>
      <vt:variant>
        <vt:lpwstr>_Toc287882821</vt:lpwstr>
      </vt:variant>
      <vt:variant>
        <vt:i4>1507381</vt:i4>
      </vt:variant>
      <vt:variant>
        <vt:i4>287</vt:i4>
      </vt:variant>
      <vt:variant>
        <vt:i4>0</vt:i4>
      </vt:variant>
      <vt:variant>
        <vt:i4>5</vt:i4>
      </vt:variant>
      <vt:variant>
        <vt:lpwstr/>
      </vt:variant>
      <vt:variant>
        <vt:lpwstr>_Toc287882820</vt:lpwstr>
      </vt:variant>
      <vt:variant>
        <vt:i4>1310773</vt:i4>
      </vt:variant>
      <vt:variant>
        <vt:i4>281</vt:i4>
      </vt:variant>
      <vt:variant>
        <vt:i4>0</vt:i4>
      </vt:variant>
      <vt:variant>
        <vt:i4>5</vt:i4>
      </vt:variant>
      <vt:variant>
        <vt:lpwstr/>
      </vt:variant>
      <vt:variant>
        <vt:lpwstr>_Toc287882819</vt:lpwstr>
      </vt:variant>
      <vt:variant>
        <vt:i4>1310773</vt:i4>
      </vt:variant>
      <vt:variant>
        <vt:i4>275</vt:i4>
      </vt:variant>
      <vt:variant>
        <vt:i4>0</vt:i4>
      </vt:variant>
      <vt:variant>
        <vt:i4>5</vt:i4>
      </vt:variant>
      <vt:variant>
        <vt:lpwstr/>
      </vt:variant>
      <vt:variant>
        <vt:lpwstr>_Toc287882818</vt:lpwstr>
      </vt:variant>
      <vt:variant>
        <vt:i4>1310773</vt:i4>
      </vt:variant>
      <vt:variant>
        <vt:i4>269</vt:i4>
      </vt:variant>
      <vt:variant>
        <vt:i4>0</vt:i4>
      </vt:variant>
      <vt:variant>
        <vt:i4>5</vt:i4>
      </vt:variant>
      <vt:variant>
        <vt:lpwstr/>
      </vt:variant>
      <vt:variant>
        <vt:lpwstr>_Toc287882817</vt:lpwstr>
      </vt:variant>
      <vt:variant>
        <vt:i4>1310773</vt:i4>
      </vt:variant>
      <vt:variant>
        <vt:i4>263</vt:i4>
      </vt:variant>
      <vt:variant>
        <vt:i4>0</vt:i4>
      </vt:variant>
      <vt:variant>
        <vt:i4>5</vt:i4>
      </vt:variant>
      <vt:variant>
        <vt:lpwstr/>
      </vt:variant>
      <vt:variant>
        <vt:lpwstr>_Toc287882816</vt:lpwstr>
      </vt:variant>
      <vt:variant>
        <vt:i4>1310773</vt:i4>
      </vt:variant>
      <vt:variant>
        <vt:i4>254</vt:i4>
      </vt:variant>
      <vt:variant>
        <vt:i4>0</vt:i4>
      </vt:variant>
      <vt:variant>
        <vt:i4>5</vt:i4>
      </vt:variant>
      <vt:variant>
        <vt:lpwstr/>
      </vt:variant>
      <vt:variant>
        <vt:lpwstr>_Toc287882810</vt:lpwstr>
      </vt:variant>
      <vt:variant>
        <vt:i4>1114169</vt:i4>
      </vt:variant>
      <vt:variant>
        <vt:i4>245</vt:i4>
      </vt:variant>
      <vt:variant>
        <vt:i4>0</vt:i4>
      </vt:variant>
      <vt:variant>
        <vt:i4>5</vt:i4>
      </vt:variant>
      <vt:variant>
        <vt:lpwstr/>
      </vt:variant>
      <vt:variant>
        <vt:lpwstr>_Toc287882440</vt:lpwstr>
      </vt:variant>
      <vt:variant>
        <vt:i4>1441849</vt:i4>
      </vt:variant>
      <vt:variant>
        <vt:i4>239</vt:i4>
      </vt:variant>
      <vt:variant>
        <vt:i4>0</vt:i4>
      </vt:variant>
      <vt:variant>
        <vt:i4>5</vt:i4>
      </vt:variant>
      <vt:variant>
        <vt:lpwstr/>
      </vt:variant>
      <vt:variant>
        <vt:lpwstr>_Toc287882439</vt:lpwstr>
      </vt:variant>
      <vt:variant>
        <vt:i4>1441849</vt:i4>
      </vt:variant>
      <vt:variant>
        <vt:i4>233</vt:i4>
      </vt:variant>
      <vt:variant>
        <vt:i4>0</vt:i4>
      </vt:variant>
      <vt:variant>
        <vt:i4>5</vt:i4>
      </vt:variant>
      <vt:variant>
        <vt:lpwstr/>
      </vt:variant>
      <vt:variant>
        <vt:lpwstr>_Toc287882438</vt:lpwstr>
      </vt:variant>
      <vt:variant>
        <vt:i4>1441849</vt:i4>
      </vt:variant>
      <vt:variant>
        <vt:i4>227</vt:i4>
      </vt:variant>
      <vt:variant>
        <vt:i4>0</vt:i4>
      </vt:variant>
      <vt:variant>
        <vt:i4>5</vt:i4>
      </vt:variant>
      <vt:variant>
        <vt:lpwstr/>
      </vt:variant>
      <vt:variant>
        <vt:lpwstr>_Toc287882437</vt:lpwstr>
      </vt:variant>
      <vt:variant>
        <vt:i4>1441849</vt:i4>
      </vt:variant>
      <vt:variant>
        <vt:i4>221</vt:i4>
      </vt:variant>
      <vt:variant>
        <vt:i4>0</vt:i4>
      </vt:variant>
      <vt:variant>
        <vt:i4>5</vt:i4>
      </vt:variant>
      <vt:variant>
        <vt:lpwstr/>
      </vt:variant>
      <vt:variant>
        <vt:lpwstr>_Toc287882436</vt:lpwstr>
      </vt:variant>
      <vt:variant>
        <vt:i4>1441849</vt:i4>
      </vt:variant>
      <vt:variant>
        <vt:i4>215</vt:i4>
      </vt:variant>
      <vt:variant>
        <vt:i4>0</vt:i4>
      </vt:variant>
      <vt:variant>
        <vt:i4>5</vt:i4>
      </vt:variant>
      <vt:variant>
        <vt:lpwstr/>
      </vt:variant>
      <vt:variant>
        <vt:lpwstr>_Toc287882435</vt:lpwstr>
      </vt:variant>
      <vt:variant>
        <vt:i4>1441849</vt:i4>
      </vt:variant>
      <vt:variant>
        <vt:i4>209</vt:i4>
      </vt:variant>
      <vt:variant>
        <vt:i4>0</vt:i4>
      </vt:variant>
      <vt:variant>
        <vt:i4>5</vt:i4>
      </vt:variant>
      <vt:variant>
        <vt:lpwstr/>
      </vt:variant>
      <vt:variant>
        <vt:lpwstr>_Toc287882434</vt:lpwstr>
      </vt:variant>
      <vt:variant>
        <vt:i4>1441849</vt:i4>
      </vt:variant>
      <vt:variant>
        <vt:i4>203</vt:i4>
      </vt:variant>
      <vt:variant>
        <vt:i4>0</vt:i4>
      </vt:variant>
      <vt:variant>
        <vt:i4>5</vt:i4>
      </vt:variant>
      <vt:variant>
        <vt:lpwstr/>
      </vt:variant>
      <vt:variant>
        <vt:lpwstr>_Toc287882433</vt:lpwstr>
      </vt:variant>
      <vt:variant>
        <vt:i4>1441849</vt:i4>
      </vt:variant>
      <vt:variant>
        <vt:i4>197</vt:i4>
      </vt:variant>
      <vt:variant>
        <vt:i4>0</vt:i4>
      </vt:variant>
      <vt:variant>
        <vt:i4>5</vt:i4>
      </vt:variant>
      <vt:variant>
        <vt:lpwstr/>
      </vt:variant>
      <vt:variant>
        <vt:lpwstr>_Toc287882432</vt:lpwstr>
      </vt:variant>
      <vt:variant>
        <vt:i4>1441849</vt:i4>
      </vt:variant>
      <vt:variant>
        <vt:i4>191</vt:i4>
      </vt:variant>
      <vt:variant>
        <vt:i4>0</vt:i4>
      </vt:variant>
      <vt:variant>
        <vt:i4>5</vt:i4>
      </vt:variant>
      <vt:variant>
        <vt:lpwstr/>
      </vt:variant>
      <vt:variant>
        <vt:lpwstr>_Toc287882431</vt:lpwstr>
      </vt:variant>
      <vt:variant>
        <vt:i4>1441849</vt:i4>
      </vt:variant>
      <vt:variant>
        <vt:i4>185</vt:i4>
      </vt:variant>
      <vt:variant>
        <vt:i4>0</vt:i4>
      </vt:variant>
      <vt:variant>
        <vt:i4>5</vt:i4>
      </vt:variant>
      <vt:variant>
        <vt:lpwstr/>
      </vt:variant>
      <vt:variant>
        <vt:lpwstr>_Toc287882430</vt:lpwstr>
      </vt:variant>
      <vt:variant>
        <vt:i4>1507385</vt:i4>
      </vt:variant>
      <vt:variant>
        <vt:i4>179</vt:i4>
      </vt:variant>
      <vt:variant>
        <vt:i4>0</vt:i4>
      </vt:variant>
      <vt:variant>
        <vt:i4>5</vt:i4>
      </vt:variant>
      <vt:variant>
        <vt:lpwstr/>
      </vt:variant>
      <vt:variant>
        <vt:lpwstr>_Toc287882429</vt:lpwstr>
      </vt:variant>
      <vt:variant>
        <vt:i4>1507385</vt:i4>
      </vt:variant>
      <vt:variant>
        <vt:i4>173</vt:i4>
      </vt:variant>
      <vt:variant>
        <vt:i4>0</vt:i4>
      </vt:variant>
      <vt:variant>
        <vt:i4>5</vt:i4>
      </vt:variant>
      <vt:variant>
        <vt:lpwstr/>
      </vt:variant>
      <vt:variant>
        <vt:lpwstr>_Toc287882428</vt:lpwstr>
      </vt:variant>
      <vt:variant>
        <vt:i4>1507385</vt:i4>
      </vt:variant>
      <vt:variant>
        <vt:i4>167</vt:i4>
      </vt:variant>
      <vt:variant>
        <vt:i4>0</vt:i4>
      </vt:variant>
      <vt:variant>
        <vt:i4>5</vt:i4>
      </vt:variant>
      <vt:variant>
        <vt:lpwstr/>
      </vt:variant>
      <vt:variant>
        <vt:lpwstr>_Toc287882427</vt:lpwstr>
      </vt:variant>
      <vt:variant>
        <vt:i4>1507385</vt:i4>
      </vt:variant>
      <vt:variant>
        <vt:i4>161</vt:i4>
      </vt:variant>
      <vt:variant>
        <vt:i4>0</vt:i4>
      </vt:variant>
      <vt:variant>
        <vt:i4>5</vt:i4>
      </vt:variant>
      <vt:variant>
        <vt:lpwstr/>
      </vt:variant>
      <vt:variant>
        <vt:lpwstr>_Toc287882426</vt:lpwstr>
      </vt:variant>
      <vt:variant>
        <vt:i4>1507385</vt:i4>
      </vt:variant>
      <vt:variant>
        <vt:i4>155</vt:i4>
      </vt:variant>
      <vt:variant>
        <vt:i4>0</vt:i4>
      </vt:variant>
      <vt:variant>
        <vt:i4>5</vt:i4>
      </vt:variant>
      <vt:variant>
        <vt:lpwstr/>
      </vt:variant>
      <vt:variant>
        <vt:lpwstr>_Toc287882425</vt:lpwstr>
      </vt:variant>
      <vt:variant>
        <vt:i4>1507385</vt:i4>
      </vt:variant>
      <vt:variant>
        <vt:i4>149</vt:i4>
      </vt:variant>
      <vt:variant>
        <vt:i4>0</vt:i4>
      </vt:variant>
      <vt:variant>
        <vt:i4>5</vt:i4>
      </vt:variant>
      <vt:variant>
        <vt:lpwstr/>
      </vt:variant>
      <vt:variant>
        <vt:lpwstr>_Toc287882424</vt:lpwstr>
      </vt:variant>
      <vt:variant>
        <vt:i4>1507385</vt:i4>
      </vt:variant>
      <vt:variant>
        <vt:i4>143</vt:i4>
      </vt:variant>
      <vt:variant>
        <vt:i4>0</vt:i4>
      </vt:variant>
      <vt:variant>
        <vt:i4>5</vt:i4>
      </vt:variant>
      <vt:variant>
        <vt:lpwstr/>
      </vt:variant>
      <vt:variant>
        <vt:lpwstr>_Toc287882423</vt:lpwstr>
      </vt:variant>
      <vt:variant>
        <vt:i4>1507385</vt:i4>
      </vt:variant>
      <vt:variant>
        <vt:i4>137</vt:i4>
      </vt:variant>
      <vt:variant>
        <vt:i4>0</vt:i4>
      </vt:variant>
      <vt:variant>
        <vt:i4>5</vt:i4>
      </vt:variant>
      <vt:variant>
        <vt:lpwstr/>
      </vt:variant>
      <vt:variant>
        <vt:lpwstr>_Toc287882422</vt:lpwstr>
      </vt:variant>
      <vt:variant>
        <vt:i4>1507385</vt:i4>
      </vt:variant>
      <vt:variant>
        <vt:i4>131</vt:i4>
      </vt:variant>
      <vt:variant>
        <vt:i4>0</vt:i4>
      </vt:variant>
      <vt:variant>
        <vt:i4>5</vt:i4>
      </vt:variant>
      <vt:variant>
        <vt:lpwstr/>
      </vt:variant>
      <vt:variant>
        <vt:lpwstr>_Toc287882421</vt:lpwstr>
      </vt:variant>
      <vt:variant>
        <vt:i4>1507385</vt:i4>
      </vt:variant>
      <vt:variant>
        <vt:i4>125</vt:i4>
      </vt:variant>
      <vt:variant>
        <vt:i4>0</vt:i4>
      </vt:variant>
      <vt:variant>
        <vt:i4>5</vt:i4>
      </vt:variant>
      <vt:variant>
        <vt:lpwstr/>
      </vt:variant>
      <vt:variant>
        <vt:lpwstr>_Toc287882420</vt:lpwstr>
      </vt:variant>
      <vt:variant>
        <vt:i4>1310777</vt:i4>
      </vt:variant>
      <vt:variant>
        <vt:i4>119</vt:i4>
      </vt:variant>
      <vt:variant>
        <vt:i4>0</vt:i4>
      </vt:variant>
      <vt:variant>
        <vt:i4>5</vt:i4>
      </vt:variant>
      <vt:variant>
        <vt:lpwstr/>
      </vt:variant>
      <vt:variant>
        <vt:lpwstr>_Toc287882419</vt:lpwstr>
      </vt:variant>
      <vt:variant>
        <vt:i4>1310777</vt:i4>
      </vt:variant>
      <vt:variant>
        <vt:i4>113</vt:i4>
      </vt:variant>
      <vt:variant>
        <vt:i4>0</vt:i4>
      </vt:variant>
      <vt:variant>
        <vt:i4>5</vt:i4>
      </vt:variant>
      <vt:variant>
        <vt:lpwstr/>
      </vt:variant>
      <vt:variant>
        <vt:lpwstr>_Toc287882418</vt:lpwstr>
      </vt:variant>
      <vt:variant>
        <vt:i4>1310777</vt:i4>
      </vt:variant>
      <vt:variant>
        <vt:i4>107</vt:i4>
      </vt:variant>
      <vt:variant>
        <vt:i4>0</vt:i4>
      </vt:variant>
      <vt:variant>
        <vt:i4>5</vt:i4>
      </vt:variant>
      <vt:variant>
        <vt:lpwstr/>
      </vt:variant>
      <vt:variant>
        <vt:lpwstr>_Toc287882417</vt:lpwstr>
      </vt:variant>
      <vt:variant>
        <vt:i4>1310777</vt:i4>
      </vt:variant>
      <vt:variant>
        <vt:i4>101</vt:i4>
      </vt:variant>
      <vt:variant>
        <vt:i4>0</vt:i4>
      </vt:variant>
      <vt:variant>
        <vt:i4>5</vt:i4>
      </vt:variant>
      <vt:variant>
        <vt:lpwstr/>
      </vt:variant>
      <vt:variant>
        <vt:lpwstr>_Toc287882416</vt:lpwstr>
      </vt:variant>
      <vt:variant>
        <vt:i4>1310777</vt:i4>
      </vt:variant>
      <vt:variant>
        <vt:i4>95</vt:i4>
      </vt:variant>
      <vt:variant>
        <vt:i4>0</vt:i4>
      </vt:variant>
      <vt:variant>
        <vt:i4>5</vt:i4>
      </vt:variant>
      <vt:variant>
        <vt:lpwstr/>
      </vt:variant>
      <vt:variant>
        <vt:lpwstr>_Toc287882415</vt:lpwstr>
      </vt:variant>
      <vt:variant>
        <vt:i4>1310777</vt:i4>
      </vt:variant>
      <vt:variant>
        <vt:i4>89</vt:i4>
      </vt:variant>
      <vt:variant>
        <vt:i4>0</vt:i4>
      </vt:variant>
      <vt:variant>
        <vt:i4>5</vt:i4>
      </vt:variant>
      <vt:variant>
        <vt:lpwstr/>
      </vt:variant>
      <vt:variant>
        <vt:lpwstr>_Toc287882414</vt:lpwstr>
      </vt:variant>
      <vt:variant>
        <vt:i4>1310777</vt:i4>
      </vt:variant>
      <vt:variant>
        <vt:i4>83</vt:i4>
      </vt:variant>
      <vt:variant>
        <vt:i4>0</vt:i4>
      </vt:variant>
      <vt:variant>
        <vt:i4>5</vt:i4>
      </vt:variant>
      <vt:variant>
        <vt:lpwstr/>
      </vt:variant>
      <vt:variant>
        <vt:lpwstr>_Toc287882413</vt:lpwstr>
      </vt:variant>
      <vt:variant>
        <vt:i4>1310777</vt:i4>
      </vt:variant>
      <vt:variant>
        <vt:i4>77</vt:i4>
      </vt:variant>
      <vt:variant>
        <vt:i4>0</vt:i4>
      </vt:variant>
      <vt:variant>
        <vt:i4>5</vt:i4>
      </vt:variant>
      <vt:variant>
        <vt:lpwstr/>
      </vt:variant>
      <vt:variant>
        <vt:lpwstr>_Toc287882412</vt:lpwstr>
      </vt:variant>
      <vt:variant>
        <vt:i4>1310777</vt:i4>
      </vt:variant>
      <vt:variant>
        <vt:i4>71</vt:i4>
      </vt:variant>
      <vt:variant>
        <vt:i4>0</vt:i4>
      </vt:variant>
      <vt:variant>
        <vt:i4>5</vt:i4>
      </vt:variant>
      <vt:variant>
        <vt:lpwstr/>
      </vt:variant>
      <vt:variant>
        <vt:lpwstr>_Toc287882411</vt:lpwstr>
      </vt:variant>
      <vt:variant>
        <vt:i4>1310777</vt:i4>
      </vt:variant>
      <vt:variant>
        <vt:i4>65</vt:i4>
      </vt:variant>
      <vt:variant>
        <vt:i4>0</vt:i4>
      </vt:variant>
      <vt:variant>
        <vt:i4>5</vt:i4>
      </vt:variant>
      <vt:variant>
        <vt:lpwstr/>
      </vt:variant>
      <vt:variant>
        <vt:lpwstr>_Toc287882410</vt:lpwstr>
      </vt:variant>
      <vt:variant>
        <vt:i4>1376313</vt:i4>
      </vt:variant>
      <vt:variant>
        <vt:i4>59</vt:i4>
      </vt:variant>
      <vt:variant>
        <vt:i4>0</vt:i4>
      </vt:variant>
      <vt:variant>
        <vt:i4>5</vt:i4>
      </vt:variant>
      <vt:variant>
        <vt:lpwstr/>
      </vt:variant>
      <vt:variant>
        <vt:lpwstr>_Toc287882409</vt:lpwstr>
      </vt:variant>
      <vt:variant>
        <vt:i4>1376313</vt:i4>
      </vt:variant>
      <vt:variant>
        <vt:i4>53</vt:i4>
      </vt:variant>
      <vt:variant>
        <vt:i4>0</vt:i4>
      </vt:variant>
      <vt:variant>
        <vt:i4>5</vt:i4>
      </vt:variant>
      <vt:variant>
        <vt:lpwstr/>
      </vt:variant>
      <vt:variant>
        <vt:lpwstr>_Toc287882408</vt:lpwstr>
      </vt:variant>
      <vt:variant>
        <vt:i4>1376313</vt:i4>
      </vt:variant>
      <vt:variant>
        <vt:i4>47</vt:i4>
      </vt:variant>
      <vt:variant>
        <vt:i4>0</vt:i4>
      </vt:variant>
      <vt:variant>
        <vt:i4>5</vt:i4>
      </vt:variant>
      <vt:variant>
        <vt:lpwstr/>
      </vt:variant>
      <vt:variant>
        <vt:lpwstr>_Toc287882407</vt:lpwstr>
      </vt:variant>
      <vt:variant>
        <vt:i4>1376313</vt:i4>
      </vt:variant>
      <vt:variant>
        <vt:i4>41</vt:i4>
      </vt:variant>
      <vt:variant>
        <vt:i4>0</vt:i4>
      </vt:variant>
      <vt:variant>
        <vt:i4>5</vt:i4>
      </vt:variant>
      <vt:variant>
        <vt:lpwstr/>
      </vt:variant>
      <vt:variant>
        <vt:lpwstr>_Toc287882406</vt:lpwstr>
      </vt:variant>
      <vt:variant>
        <vt:i4>1376313</vt:i4>
      </vt:variant>
      <vt:variant>
        <vt:i4>35</vt:i4>
      </vt:variant>
      <vt:variant>
        <vt:i4>0</vt:i4>
      </vt:variant>
      <vt:variant>
        <vt:i4>5</vt:i4>
      </vt:variant>
      <vt:variant>
        <vt:lpwstr/>
      </vt:variant>
      <vt:variant>
        <vt:lpwstr>_Toc287882405</vt:lpwstr>
      </vt:variant>
      <vt:variant>
        <vt:i4>1376313</vt:i4>
      </vt:variant>
      <vt:variant>
        <vt:i4>29</vt:i4>
      </vt:variant>
      <vt:variant>
        <vt:i4>0</vt:i4>
      </vt:variant>
      <vt:variant>
        <vt:i4>5</vt:i4>
      </vt:variant>
      <vt:variant>
        <vt:lpwstr/>
      </vt:variant>
      <vt:variant>
        <vt:lpwstr>_Toc287882404</vt:lpwstr>
      </vt:variant>
      <vt:variant>
        <vt:i4>1376313</vt:i4>
      </vt:variant>
      <vt:variant>
        <vt:i4>23</vt:i4>
      </vt:variant>
      <vt:variant>
        <vt:i4>0</vt:i4>
      </vt:variant>
      <vt:variant>
        <vt:i4>5</vt:i4>
      </vt:variant>
      <vt:variant>
        <vt:lpwstr/>
      </vt:variant>
      <vt:variant>
        <vt:lpwstr>_Toc287882403</vt:lpwstr>
      </vt:variant>
      <vt:variant>
        <vt:i4>1376313</vt:i4>
      </vt:variant>
      <vt:variant>
        <vt:i4>17</vt:i4>
      </vt:variant>
      <vt:variant>
        <vt:i4>0</vt:i4>
      </vt:variant>
      <vt:variant>
        <vt:i4>5</vt:i4>
      </vt:variant>
      <vt:variant>
        <vt:lpwstr/>
      </vt:variant>
      <vt:variant>
        <vt:lpwstr>_Toc287882402</vt:lpwstr>
      </vt:variant>
      <vt:variant>
        <vt:i4>1376313</vt:i4>
      </vt:variant>
      <vt:variant>
        <vt:i4>11</vt:i4>
      </vt:variant>
      <vt:variant>
        <vt:i4>0</vt:i4>
      </vt:variant>
      <vt:variant>
        <vt:i4>5</vt:i4>
      </vt:variant>
      <vt:variant>
        <vt:lpwstr/>
      </vt:variant>
      <vt:variant>
        <vt:lpwstr>_Toc287882401</vt:lpwstr>
      </vt:variant>
      <vt:variant>
        <vt:i4>1376313</vt:i4>
      </vt:variant>
      <vt:variant>
        <vt:i4>5</vt:i4>
      </vt:variant>
      <vt:variant>
        <vt:i4>0</vt:i4>
      </vt:variant>
      <vt:variant>
        <vt:i4>5</vt:i4>
      </vt:variant>
      <vt:variant>
        <vt:lpwstr/>
      </vt:variant>
      <vt:variant>
        <vt:lpwstr>_Toc287882400</vt:lpwstr>
      </vt:variant>
      <vt:variant>
        <vt:i4>1703959</vt:i4>
      </vt:variant>
      <vt:variant>
        <vt:i4>0</vt:i4>
      </vt:variant>
      <vt:variant>
        <vt:i4>0</vt:i4>
      </vt:variant>
      <vt:variant>
        <vt:i4>5</vt:i4>
      </vt:variant>
      <vt:variant>
        <vt:lpwstr>http://www.espon.eu/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 1 22/09/2008</dc:title>
  <dc:creator>mehlbye</dc:creator>
  <cp:lastModifiedBy>Gergo</cp:lastModifiedBy>
  <cp:revision>2</cp:revision>
  <cp:lastPrinted>2013-08-23T11:29:00Z</cp:lastPrinted>
  <dcterms:created xsi:type="dcterms:W3CDTF">2014-11-04T17:39:00Z</dcterms:created>
  <dcterms:modified xsi:type="dcterms:W3CDTF">2014-11-04T17:39:00Z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0x0101000B55545BE707EE41963776E429A300E2</vt:lpwstr>
  </property>
</Properties>
</file>