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21439757"/>
    <w:p w:rsidR="00430686" w:rsidRPr="00200724" w:rsidRDefault="00645CDF" w:rsidP="00430686">
      <w:pPr>
        <w:spacing w:before="0"/>
        <w:ind w:left="-1701"/>
        <w:rPr>
          <w:rFonts w:cs="Arial"/>
          <w:iCs/>
        </w:rPr>
      </w:pPr>
      <w:r>
        <w:rPr>
          <w:rFonts w:cs="Arial"/>
          <w:noProof/>
          <w:lang w:val="fi-FI" w:eastAsia="fi-FI"/>
        </w:rPr>
        <mc:AlternateContent>
          <mc:Choice Requires="wps">
            <w:drawing>
              <wp:anchor distT="0" distB="0" distL="114300" distR="114300" simplePos="0" relativeHeight="251658240" behindDoc="0" locked="0" layoutInCell="1" allowOverlap="1">
                <wp:simplePos x="0" y="0"/>
                <wp:positionH relativeFrom="column">
                  <wp:posOffset>-813435</wp:posOffset>
                </wp:positionH>
                <wp:positionV relativeFrom="paragraph">
                  <wp:posOffset>3930650</wp:posOffset>
                </wp:positionV>
                <wp:extent cx="7035800" cy="1835150"/>
                <wp:effectExtent l="0" t="0" r="0" b="0"/>
                <wp:wrapNone/>
                <wp:docPr id="20"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73B37" w:rsidRDefault="00773B37" w:rsidP="00430686">
                            <w:pPr>
                              <w:ind w:left="426" w:right="530"/>
                              <w:jc w:val="center"/>
                              <w:rPr>
                                <w:rFonts w:cs="Arial"/>
                                <w:sz w:val="60"/>
                                <w:szCs w:val="60"/>
                              </w:rPr>
                            </w:pPr>
                            <w:r>
                              <w:rPr>
                                <w:rFonts w:cs="Arial"/>
                                <w:sz w:val="60"/>
                                <w:szCs w:val="60"/>
                              </w:rPr>
                              <w:t>TiPSE</w:t>
                            </w:r>
                          </w:p>
                          <w:p w:rsidR="00773B37" w:rsidRPr="00721B03" w:rsidRDefault="00773B37"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301" o:spid="_x0000_s1026" type="#_x0000_t202" style="position:absolute;left:0;text-align:left;margin-left:-64.05pt;margin-top:309.5pt;width:554pt;height:1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" filled="f" stroked="f">
                <v:textbox>
                  <w:txbxContent>
                    <w:p w:rsidR="00773B37" w:rsidRDefault="00773B37" w:rsidP="00430686">
                      <w:pPr>
                        <w:ind w:left="426" w:right="530"/>
                        <w:jc w:val="center"/>
                        <w:rPr>
                          <w:rFonts w:cs="Arial"/>
                          <w:sz w:val="60"/>
                          <w:szCs w:val="60"/>
                        </w:rPr>
                      </w:pPr>
                      <w:r>
                        <w:rPr>
                          <w:rFonts w:cs="Arial"/>
                          <w:sz w:val="60"/>
                          <w:szCs w:val="60"/>
                        </w:rPr>
                        <w:t>TiPSE</w:t>
                      </w:r>
                    </w:p>
                    <w:p w:rsidR="00773B37" w:rsidRPr="00721B03" w:rsidRDefault="00773B37"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Pr>
          <w:rFonts w:cs="Arial"/>
          <w:noProof/>
          <w:lang w:val="fi-FI" w:eastAsia="fi-FI"/>
        </w:rPr>
        <mc:AlternateContent>
          <mc:Choice Requires="wps">
            <w:drawing>
              <wp:anchor distT="0" distB="0" distL="114300" distR="114300" simplePos="0" relativeHeight="251660288" behindDoc="0" locked="0" layoutInCell="1" allowOverlap="1">
                <wp:simplePos x="0" y="0"/>
                <wp:positionH relativeFrom="column">
                  <wp:posOffset>-813435</wp:posOffset>
                </wp:positionH>
                <wp:positionV relativeFrom="paragraph">
                  <wp:posOffset>6451600</wp:posOffset>
                </wp:positionV>
                <wp:extent cx="7035800" cy="1699260"/>
                <wp:effectExtent l="0" t="0" r="0" b="0"/>
                <wp:wrapNone/>
                <wp:docPr id="18"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699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5AB4" w:rsidRDefault="00BD5AB4" w:rsidP="00A6146F">
                            <w:pPr>
                              <w:jc w:val="center"/>
                              <w:rPr>
                                <w:rFonts w:cs="Arial"/>
                                <w:sz w:val="32"/>
                                <w:szCs w:val="32"/>
                                <w:lang w:val="en-US"/>
                              </w:rPr>
                            </w:pPr>
                            <w:r w:rsidRPr="00BD5AB4">
                              <w:rPr>
                                <w:rFonts w:cs="Arial"/>
                                <w:sz w:val="32"/>
                                <w:szCs w:val="32"/>
                                <w:lang w:val="en-US"/>
                              </w:rPr>
                              <w:t>Final Report</w:t>
                            </w:r>
                          </w:p>
                          <w:p w:rsidR="00BD5AB4" w:rsidRPr="00BD5AB4" w:rsidRDefault="00BD5AB4" w:rsidP="00A6146F">
                            <w:pPr>
                              <w:jc w:val="center"/>
                              <w:rPr>
                                <w:rFonts w:cs="Arial"/>
                                <w:sz w:val="32"/>
                                <w:szCs w:val="32"/>
                                <w:lang w:val="en-US"/>
                              </w:rPr>
                            </w:pPr>
                          </w:p>
                          <w:p w:rsidR="00A6146F" w:rsidRPr="00BD5AB4" w:rsidRDefault="00A6146F" w:rsidP="00A6146F">
                            <w:pPr>
                              <w:jc w:val="center"/>
                              <w:rPr>
                                <w:rFonts w:cs="Arial"/>
                                <w:color w:val="17365D" w:themeColor="text2" w:themeShade="BF"/>
                                <w:sz w:val="32"/>
                                <w:szCs w:val="32"/>
                                <w:lang w:val="en-US"/>
                              </w:rPr>
                            </w:pPr>
                            <w:bookmarkStart w:id="1" w:name="_GoBack"/>
                            <w:r w:rsidRPr="00BD5AB4">
                              <w:rPr>
                                <w:rFonts w:cs="Arial"/>
                                <w:color w:val="17365D" w:themeColor="text2" w:themeShade="BF"/>
                                <w:sz w:val="32"/>
                                <w:szCs w:val="32"/>
                                <w:lang w:val="en-US"/>
                              </w:rPr>
                              <w:t xml:space="preserve">Annex </w:t>
                            </w:r>
                            <w:r w:rsidR="00DD4C30" w:rsidRPr="00BD5AB4">
                              <w:rPr>
                                <w:rFonts w:cs="Arial"/>
                                <w:color w:val="17365D" w:themeColor="text2" w:themeShade="BF"/>
                                <w:sz w:val="32"/>
                                <w:szCs w:val="32"/>
                                <w:lang w:val="en-US"/>
                              </w:rPr>
                              <w:t>4</w:t>
                            </w:r>
                            <w:r w:rsidRPr="00BD5AB4">
                              <w:rPr>
                                <w:rFonts w:cs="Arial"/>
                                <w:color w:val="17365D" w:themeColor="text2" w:themeShade="BF"/>
                                <w:sz w:val="32"/>
                                <w:szCs w:val="32"/>
                                <w:lang w:val="en-US"/>
                              </w:rPr>
                              <w:t xml:space="preserve"> | Appendix </w:t>
                            </w:r>
                            <w:r w:rsidR="00DA7C17" w:rsidRPr="00BD5AB4">
                              <w:rPr>
                                <w:rFonts w:cs="Arial"/>
                                <w:color w:val="17365D" w:themeColor="text2" w:themeShade="BF"/>
                                <w:sz w:val="32"/>
                                <w:szCs w:val="32"/>
                                <w:lang w:val="en-US"/>
                              </w:rPr>
                              <w:t>9</w:t>
                            </w:r>
                            <w:bookmarkEnd w:id="1"/>
                          </w:p>
                          <w:p w:rsidR="00773B37" w:rsidRPr="00BD5AB4" w:rsidRDefault="00773B37" w:rsidP="00430686">
                            <w:pPr>
                              <w:jc w:val="center"/>
                              <w:rPr>
                                <w:rFonts w:cs="Arial"/>
                                <w:color w:val="17365D" w:themeColor="text2" w:themeShade="BF"/>
                                <w:sz w:val="32"/>
                                <w:szCs w:val="32"/>
                                <w:lang w:val="en-US"/>
                              </w:rPr>
                            </w:pPr>
                            <w:r w:rsidRPr="00BD5AB4">
                              <w:rPr>
                                <w:rFonts w:cs="Arial"/>
                                <w:color w:val="17365D" w:themeColor="text2" w:themeShade="BF"/>
                                <w:sz w:val="32"/>
                                <w:szCs w:val="32"/>
                                <w:lang w:val="en-US"/>
                              </w:rPr>
                              <w:t>Case Study Report</w:t>
                            </w:r>
                          </w:p>
                          <w:p w:rsidR="00773B37" w:rsidRPr="00BD5AB4" w:rsidRDefault="00FA6C17" w:rsidP="00430686">
                            <w:pPr>
                              <w:jc w:val="center"/>
                              <w:rPr>
                                <w:rFonts w:cs="Arial"/>
                                <w:b/>
                                <w:color w:val="17365D" w:themeColor="text2" w:themeShade="BF"/>
                                <w:sz w:val="56"/>
                                <w:szCs w:val="56"/>
                                <w:lang w:val="en-US"/>
                              </w:rPr>
                            </w:pPr>
                            <w:r w:rsidRPr="00BD5AB4">
                              <w:rPr>
                                <w:rFonts w:cs="Arial"/>
                                <w:b/>
                                <w:color w:val="17365D" w:themeColor="text2" w:themeShade="BF"/>
                                <w:sz w:val="56"/>
                                <w:szCs w:val="56"/>
                                <w:lang w:val="en-US"/>
                              </w:rPr>
                              <w:t>Metropolitan Region of Izmir, Turkey</w:t>
                            </w:r>
                          </w:p>
                          <w:p w:rsidR="00773B37" w:rsidRPr="00BD5AB4" w:rsidRDefault="00773B37" w:rsidP="00430686">
                            <w:pPr>
                              <w:jc w:val="center"/>
                              <w:rPr>
                                <w:rFonts w:cs="Arial"/>
                                <w:color w:val="17365D" w:themeColor="text2" w:themeShade="BF"/>
                                <w:sz w:val="32"/>
                                <w:szCs w:val="32"/>
                                <w:lang w:val="en-US"/>
                              </w:rPr>
                            </w:pPr>
                            <w:r w:rsidRPr="00BD5AB4">
                              <w:rPr>
                                <w:rFonts w:cs="Arial"/>
                                <w:color w:val="17365D" w:themeColor="text2" w:themeShade="BF"/>
                                <w:sz w:val="32"/>
                                <w:szCs w:val="32"/>
                                <w:lang w:val="en-US"/>
                              </w:rPr>
                              <w:t>George Kandylis</w:t>
                            </w:r>
                          </w:p>
                          <w:p w:rsidR="00BD5AB4" w:rsidRPr="00BD5AB4" w:rsidRDefault="00BD5AB4" w:rsidP="00430686">
                            <w:pPr>
                              <w:jc w:val="center"/>
                              <w:rPr>
                                <w:rFonts w:cs="Arial"/>
                                <w:color w:val="17365D" w:themeColor="text2" w:themeShade="BF"/>
                                <w:sz w:val="32"/>
                                <w:szCs w:val="32"/>
                                <w:lang w:val="en-US"/>
                              </w:rPr>
                            </w:pPr>
                            <w:r w:rsidRPr="00BD5AB4">
                              <w:rPr>
                                <w:rFonts w:cs="Arial"/>
                                <w:color w:val="17365D" w:themeColor="text2" w:themeShade="BF"/>
                                <w:sz w:val="32"/>
                                <w:szCs w:val="32"/>
                                <w:lang w:val="en-US"/>
                              </w:rPr>
                              <w:t>EKKE - National Centre for Social Research</w:t>
                            </w:r>
                            <w:r>
                              <w:rPr>
                                <w:rFonts w:cs="Arial"/>
                                <w:color w:val="17365D" w:themeColor="text2" w:themeShade="BF"/>
                                <w:sz w:val="32"/>
                                <w:szCs w:val="32"/>
                                <w:lang w:val="en-US"/>
                              </w:rPr>
                              <w:t>, Athens</w:t>
                            </w:r>
                          </w:p>
                          <w:p w:rsidR="00BD5AB4" w:rsidRDefault="00BD5AB4" w:rsidP="00430686">
                            <w:pPr>
                              <w:jc w:val="center"/>
                              <w:rPr>
                                <w:rFonts w:cs="Arial"/>
                                <w:sz w:val="32"/>
                                <w:szCs w:val="32"/>
                                <w:lang w:val="en-US"/>
                              </w:rPr>
                            </w:pPr>
                          </w:p>
                          <w:p w:rsidR="00BD5AB4" w:rsidRDefault="00BD5AB4" w:rsidP="00430686">
                            <w:pPr>
                              <w:jc w:val="center"/>
                              <w:rPr>
                                <w:rFonts w:cs="Arial"/>
                                <w:sz w:val="32"/>
                                <w:szCs w:val="32"/>
                                <w:lang w:val="en-US"/>
                              </w:rPr>
                            </w:pPr>
                          </w:p>
                          <w:p w:rsidR="00BD5AB4" w:rsidRDefault="00BD5AB4" w:rsidP="00430686">
                            <w:pPr>
                              <w:jc w:val="center"/>
                              <w:rPr>
                                <w:rFonts w:cs="Arial"/>
                                <w:sz w:val="32"/>
                                <w:szCs w:val="32"/>
                                <w:lang w:val="en-US"/>
                              </w:rPr>
                            </w:pPr>
                          </w:p>
                          <w:p w:rsidR="00BD5AB4" w:rsidRDefault="00BD5AB4" w:rsidP="00430686">
                            <w:pPr>
                              <w:jc w:val="center"/>
                              <w:rPr>
                                <w:rFonts w:cs="Arial"/>
                                <w:sz w:val="32"/>
                                <w:szCs w:val="32"/>
                                <w:lang w:val="en-US"/>
                              </w:rPr>
                            </w:pPr>
                          </w:p>
                          <w:p w:rsidR="00773B37" w:rsidRPr="00FE01AC" w:rsidRDefault="00773B37" w:rsidP="00430686">
                            <w:pPr>
                              <w:jc w:val="center"/>
                              <w:rPr>
                                <w:rFonts w:cs="Arial"/>
                                <w:sz w:val="32"/>
                                <w:szCs w:val="32"/>
                                <w:lang w:val="en-US"/>
                              </w:rPr>
                            </w:pPr>
                            <w:r>
                              <w:rPr>
                                <w:rFonts w:cs="Arial"/>
                                <w:sz w:val="32"/>
                                <w:szCs w:val="32"/>
                                <w:lang w:val="en-US"/>
                              </w:rPr>
                              <w:t>March 2014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Text Box 303" o:spid="_x0000_s1027" type="#_x0000_t202" style="position:absolute;left:0;text-align:left;margin-left:-64.05pt;margin-top:508pt;width:554pt;height:133.8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" filled="f" stroked="f">
                <v:textbox style="mso-fit-shape-to-text:t">
                  <w:txbxContent>
                    <w:p w:rsidR="00BD5AB4" w:rsidRDefault="00BD5AB4" w:rsidP="00A6146F">
                      <w:pPr>
                        <w:jc w:val="center"/>
                        <w:rPr>
                          <w:rFonts w:cs="Arial"/>
                          <w:sz w:val="32"/>
                          <w:szCs w:val="32"/>
                          <w:lang w:val="en-US"/>
                        </w:rPr>
                      </w:pPr>
                      <w:r w:rsidRPr="00BD5AB4">
                        <w:rPr>
                          <w:rFonts w:cs="Arial"/>
                          <w:sz w:val="32"/>
                          <w:szCs w:val="32"/>
                          <w:lang w:val="en-US"/>
                        </w:rPr>
                        <w:t>Final Report</w:t>
                      </w:r>
                    </w:p>
                    <w:p w:rsidR="00BD5AB4" w:rsidRPr="00BD5AB4" w:rsidRDefault="00BD5AB4" w:rsidP="00A6146F">
                      <w:pPr>
                        <w:jc w:val="center"/>
                        <w:rPr>
                          <w:rFonts w:cs="Arial"/>
                          <w:sz w:val="32"/>
                          <w:szCs w:val="32"/>
                          <w:lang w:val="en-US"/>
                        </w:rPr>
                      </w:pPr>
                    </w:p>
                    <w:p w:rsidR="00A6146F" w:rsidRPr="00BD5AB4" w:rsidRDefault="00A6146F" w:rsidP="00A6146F">
                      <w:pPr>
                        <w:jc w:val="center"/>
                        <w:rPr>
                          <w:rFonts w:cs="Arial"/>
                          <w:color w:val="17365D" w:themeColor="text2" w:themeShade="BF"/>
                          <w:sz w:val="32"/>
                          <w:szCs w:val="32"/>
                          <w:lang w:val="en-US"/>
                        </w:rPr>
                      </w:pPr>
                      <w:r w:rsidRPr="00BD5AB4">
                        <w:rPr>
                          <w:rFonts w:cs="Arial"/>
                          <w:color w:val="17365D" w:themeColor="text2" w:themeShade="BF"/>
                          <w:sz w:val="32"/>
                          <w:szCs w:val="32"/>
                          <w:lang w:val="en-US"/>
                        </w:rPr>
                        <w:t xml:space="preserve">Annex </w:t>
                      </w:r>
                      <w:r w:rsidR="00DD4C30" w:rsidRPr="00BD5AB4">
                        <w:rPr>
                          <w:rFonts w:cs="Arial"/>
                          <w:color w:val="17365D" w:themeColor="text2" w:themeShade="BF"/>
                          <w:sz w:val="32"/>
                          <w:szCs w:val="32"/>
                          <w:lang w:val="en-US"/>
                        </w:rPr>
                        <w:t>4</w:t>
                      </w:r>
                      <w:r w:rsidRPr="00BD5AB4">
                        <w:rPr>
                          <w:rFonts w:cs="Arial"/>
                          <w:color w:val="17365D" w:themeColor="text2" w:themeShade="BF"/>
                          <w:sz w:val="32"/>
                          <w:szCs w:val="32"/>
                          <w:lang w:val="en-US"/>
                        </w:rPr>
                        <w:t xml:space="preserve"> | Appendix </w:t>
                      </w:r>
                      <w:r w:rsidR="00DA7C17" w:rsidRPr="00BD5AB4">
                        <w:rPr>
                          <w:rFonts w:cs="Arial"/>
                          <w:color w:val="17365D" w:themeColor="text2" w:themeShade="BF"/>
                          <w:sz w:val="32"/>
                          <w:szCs w:val="32"/>
                          <w:lang w:val="en-US"/>
                        </w:rPr>
                        <w:t>9</w:t>
                      </w:r>
                    </w:p>
                    <w:p w:rsidR="00773B37" w:rsidRPr="00BD5AB4" w:rsidRDefault="00773B37" w:rsidP="00430686">
                      <w:pPr>
                        <w:jc w:val="center"/>
                        <w:rPr>
                          <w:rFonts w:cs="Arial"/>
                          <w:color w:val="17365D" w:themeColor="text2" w:themeShade="BF"/>
                          <w:sz w:val="32"/>
                          <w:szCs w:val="32"/>
                          <w:lang w:val="en-US"/>
                        </w:rPr>
                      </w:pPr>
                      <w:r w:rsidRPr="00BD5AB4">
                        <w:rPr>
                          <w:rFonts w:cs="Arial"/>
                          <w:color w:val="17365D" w:themeColor="text2" w:themeShade="BF"/>
                          <w:sz w:val="32"/>
                          <w:szCs w:val="32"/>
                          <w:lang w:val="en-US"/>
                        </w:rPr>
                        <w:t>Case Study Report</w:t>
                      </w:r>
                    </w:p>
                    <w:p w:rsidR="00773B37" w:rsidRPr="00BD5AB4" w:rsidRDefault="00FA6C17" w:rsidP="00430686">
                      <w:pPr>
                        <w:jc w:val="center"/>
                        <w:rPr>
                          <w:rFonts w:cs="Arial"/>
                          <w:b/>
                          <w:color w:val="17365D" w:themeColor="text2" w:themeShade="BF"/>
                          <w:sz w:val="56"/>
                          <w:szCs w:val="56"/>
                          <w:lang w:val="en-US"/>
                        </w:rPr>
                      </w:pPr>
                      <w:r w:rsidRPr="00BD5AB4">
                        <w:rPr>
                          <w:rFonts w:cs="Arial"/>
                          <w:b/>
                          <w:color w:val="17365D" w:themeColor="text2" w:themeShade="BF"/>
                          <w:sz w:val="56"/>
                          <w:szCs w:val="56"/>
                          <w:lang w:val="en-US"/>
                        </w:rPr>
                        <w:t>Metropolitan Region of Izmir, Turkey</w:t>
                      </w:r>
                    </w:p>
                    <w:p w:rsidR="00773B37" w:rsidRPr="00BD5AB4" w:rsidRDefault="00773B37" w:rsidP="00430686">
                      <w:pPr>
                        <w:jc w:val="center"/>
                        <w:rPr>
                          <w:rFonts w:cs="Arial"/>
                          <w:color w:val="17365D" w:themeColor="text2" w:themeShade="BF"/>
                          <w:sz w:val="32"/>
                          <w:szCs w:val="32"/>
                          <w:lang w:val="en-US"/>
                        </w:rPr>
                      </w:pPr>
                      <w:r w:rsidRPr="00BD5AB4">
                        <w:rPr>
                          <w:rFonts w:cs="Arial"/>
                          <w:color w:val="17365D" w:themeColor="text2" w:themeShade="BF"/>
                          <w:sz w:val="32"/>
                          <w:szCs w:val="32"/>
                          <w:lang w:val="en-US"/>
                        </w:rPr>
                        <w:t>George Kandylis</w:t>
                      </w:r>
                    </w:p>
                    <w:p w:rsidR="00BD5AB4" w:rsidRPr="00BD5AB4" w:rsidRDefault="00BD5AB4" w:rsidP="00430686">
                      <w:pPr>
                        <w:jc w:val="center"/>
                        <w:rPr>
                          <w:rFonts w:cs="Arial"/>
                          <w:color w:val="17365D" w:themeColor="text2" w:themeShade="BF"/>
                          <w:sz w:val="32"/>
                          <w:szCs w:val="32"/>
                          <w:lang w:val="en-US"/>
                        </w:rPr>
                      </w:pPr>
                      <w:r w:rsidRPr="00BD5AB4">
                        <w:rPr>
                          <w:rFonts w:cs="Arial"/>
                          <w:color w:val="17365D" w:themeColor="text2" w:themeShade="BF"/>
                          <w:sz w:val="32"/>
                          <w:szCs w:val="32"/>
                          <w:lang w:val="en-US"/>
                        </w:rPr>
                        <w:t>EKKE - National Centre for Social Research</w:t>
                      </w:r>
                      <w:r>
                        <w:rPr>
                          <w:rFonts w:cs="Arial"/>
                          <w:color w:val="17365D" w:themeColor="text2" w:themeShade="BF"/>
                          <w:sz w:val="32"/>
                          <w:szCs w:val="32"/>
                          <w:lang w:val="en-US"/>
                        </w:rPr>
                        <w:t>, Athens</w:t>
                      </w:r>
                    </w:p>
                    <w:p w:rsidR="00BD5AB4" w:rsidRDefault="00BD5AB4" w:rsidP="00430686">
                      <w:pPr>
                        <w:jc w:val="center"/>
                        <w:rPr>
                          <w:rFonts w:cs="Arial"/>
                          <w:sz w:val="32"/>
                          <w:szCs w:val="32"/>
                          <w:lang w:val="en-US"/>
                        </w:rPr>
                      </w:pPr>
                    </w:p>
                    <w:p w:rsidR="00BD5AB4" w:rsidRDefault="00BD5AB4" w:rsidP="00430686">
                      <w:pPr>
                        <w:jc w:val="center"/>
                        <w:rPr>
                          <w:rFonts w:cs="Arial"/>
                          <w:sz w:val="32"/>
                          <w:szCs w:val="32"/>
                          <w:lang w:val="en-US"/>
                        </w:rPr>
                      </w:pPr>
                    </w:p>
                    <w:p w:rsidR="00BD5AB4" w:rsidRDefault="00BD5AB4" w:rsidP="00430686">
                      <w:pPr>
                        <w:jc w:val="center"/>
                        <w:rPr>
                          <w:rFonts w:cs="Arial"/>
                          <w:sz w:val="32"/>
                          <w:szCs w:val="32"/>
                          <w:lang w:val="en-US"/>
                        </w:rPr>
                      </w:pPr>
                    </w:p>
                    <w:p w:rsidR="00BD5AB4" w:rsidRDefault="00BD5AB4" w:rsidP="00430686">
                      <w:pPr>
                        <w:jc w:val="center"/>
                        <w:rPr>
                          <w:rFonts w:cs="Arial"/>
                          <w:sz w:val="32"/>
                          <w:szCs w:val="32"/>
                          <w:lang w:val="en-US"/>
                        </w:rPr>
                      </w:pPr>
                    </w:p>
                    <w:p w:rsidR="00773B37" w:rsidRPr="00FE01AC" w:rsidRDefault="00773B37" w:rsidP="00430686">
                      <w:pPr>
                        <w:jc w:val="center"/>
                        <w:rPr>
                          <w:rFonts w:cs="Arial"/>
                          <w:sz w:val="32"/>
                          <w:szCs w:val="32"/>
                          <w:lang w:val="en-US"/>
                        </w:rPr>
                      </w:pPr>
                      <w:r>
                        <w:rPr>
                          <w:rFonts w:cs="Arial"/>
                          <w:sz w:val="32"/>
                          <w:szCs w:val="32"/>
                          <w:lang w:val="en-US"/>
                        </w:rPr>
                        <w:t>March 2014</w:t>
                      </w:r>
                    </w:p>
                  </w:txbxContent>
                </v:textbox>
              </v:shape>
            </w:pict>
          </mc:Fallback>
        </mc:AlternateContent>
      </w:r>
      <w:r>
        <w:rPr>
          <w:rFonts w:cs="Arial"/>
          <w:noProof/>
          <w:lang w:val="fi-FI" w:eastAsia="fi-FI"/>
        </w:rPr>
        <mc:AlternateContent>
          <mc:Choice Requires="wps">
            <w:drawing>
              <wp:anchor distT="0" distB="0" distL="114300" distR="114300" simplePos="0" relativeHeight="251659264" behindDoc="0" locked="0" layoutInCell="1" allowOverlap="1">
                <wp:simplePos x="0" y="0"/>
                <wp:positionH relativeFrom="column">
                  <wp:posOffset>-813435</wp:posOffset>
                </wp:positionH>
                <wp:positionV relativeFrom="paragraph">
                  <wp:posOffset>5969000</wp:posOffset>
                </wp:positionV>
                <wp:extent cx="7035800" cy="401320"/>
                <wp:effectExtent l="0" t="0" r="0" b="0"/>
                <wp:wrapNone/>
                <wp:docPr id="15"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73B37" w:rsidRPr="00DC3CE6" w:rsidRDefault="00773B37"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Text Box 302" o:spid="_x0000_s1028" type="#_x0000_t202" style="position:absolute;left:0;text-align:left;margin-left:-64.05pt;margin-top:470pt;width:554pt;height:31.6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" filled="f" stroked="f">
                <v:textbox style="mso-fit-shape-to-text:t">
                  <w:txbxContent>
                    <w:p w:rsidR="00773B37" w:rsidRPr="00DC3CE6" w:rsidRDefault="00773B37"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r w:rsidR="004929E9" w:rsidRPr="00200724">
        <w:rPr>
          <w:rFonts w:cs="Arial"/>
          <w:noProof/>
          <w:lang w:val="fi-FI" w:eastAsia="fi-FI"/>
        </w:rPr>
        <w:drawing>
          <wp:inline distT="0" distB="0" distL="0" distR="0">
            <wp:extent cx="7572375" cy="13944600"/>
            <wp:effectExtent l="19050" t="0" r="9525" b="0"/>
            <wp:docPr id="1"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preferRelativeResize="0">
                      <a:picLocks noChangeArrowheads="1"/>
                    </pic:cNvPicPr>
                  </pic:nvPicPr>
                  <pic:blipFill>
                    <a:blip r:embed="rId12" cstate="print"/>
                    <a:srcRect l="51128"/>
                    <a:stretch>
                      <a:fillRect/>
                    </a:stretch>
                  </pic:blipFill>
                  <pic:spPr bwMode="auto">
                    <a:xfrm>
                      <a:off x="0" y="0"/>
                      <a:ext cx="7572375" cy="13944600"/>
                    </a:xfrm>
                    <a:prstGeom prst="rect">
                      <a:avLst/>
                    </a:prstGeom>
                    <a:noFill/>
                    <a:ln w="9525">
                      <a:noFill/>
                      <a:miter lim="800000"/>
                      <a:headEnd/>
                      <a:tailEnd/>
                    </a:ln>
                  </pic:spPr>
                </pic:pic>
              </a:graphicData>
            </a:graphic>
          </wp:inline>
        </w:drawing>
      </w:r>
    </w:p>
    <w:bookmarkEnd w:id="0"/>
    <w:p w:rsidR="00956CB4" w:rsidRPr="00200724" w:rsidRDefault="00956CB4" w:rsidP="00006BE0">
      <w:pPr>
        <w:pStyle w:val="ESPONText"/>
        <w:rPr>
          <w:rFonts w:cs="Arial"/>
        </w:rPr>
      </w:pPr>
    </w:p>
    <w:p w:rsidR="00390969" w:rsidRPr="00200724" w:rsidRDefault="00390969" w:rsidP="00ED043E">
      <w:pPr>
        <w:pStyle w:val="ESPONColophon"/>
        <w:ind w:left="810"/>
        <w:rPr>
          <w:rFonts w:cs="Arial"/>
        </w:rPr>
        <w:sectPr w:rsidR="00390969" w:rsidRPr="00200724" w:rsidSect="000858C8">
          <w:footerReference w:type="even" r:id="rId13"/>
          <w:footerReference w:type="default" r:id="rId14"/>
          <w:pgSz w:w="11906" w:h="16838" w:code="9"/>
          <w:pgMar w:top="0" w:right="851" w:bottom="0" w:left="1701" w:header="720" w:footer="720" w:gutter="0"/>
          <w:pgNumType w:fmt="lowerRoman" w:start="1"/>
          <w:cols w:space="720"/>
          <w:titlePg/>
        </w:sectPr>
      </w:pPr>
    </w:p>
    <w:p w:rsidR="00ED043E" w:rsidRPr="00200724" w:rsidRDefault="00ED043E" w:rsidP="00AF6C49">
      <w:pPr>
        <w:pStyle w:val="ESPONColophon"/>
        <w:rPr>
          <w:rFonts w:cs="Arial"/>
        </w:rPr>
      </w:pPr>
    </w:p>
    <w:p w:rsidR="00ED043E" w:rsidRPr="00200724" w:rsidRDefault="00560F65" w:rsidP="00560F65">
      <w:pPr>
        <w:pStyle w:val="ESPONColophon"/>
        <w:ind w:left="810"/>
        <w:rPr>
          <w:rFonts w:cs="Arial"/>
        </w:rPr>
      </w:pPr>
      <w:r w:rsidRPr="00200724">
        <w:rPr>
          <w:rFonts w:cs="Arial"/>
        </w:rPr>
        <w:t xml:space="preserve">This report </w:t>
      </w:r>
      <w:r w:rsidR="00A83C6B" w:rsidRPr="00200724">
        <w:rPr>
          <w:rFonts w:cs="Arial"/>
        </w:rPr>
        <w:t>is one of the deliver</w:t>
      </w:r>
      <w:r w:rsidR="00A83C6B" w:rsidRPr="00200724">
        <w:rPr>
          <w:rFonts w:cs="Arial"/>
        </w:rPr>
        <w:t>a</w:t>
      </w:r>
      <w:r w:rsidR="00A83C6B" w:rsidRPr="00200724">
        <w:rPr>
          <w:rFonts w:cs="Arial"/>
        </w:rPr>
        <w:t>bles of the TiPSE project</w:t>
      </w:r>
      <w:r w:rsidRPr="00200724">
        <w:rPr>
          <w:rFonts w:cs="Arial"/>
        </w:rPr>
        <w:t>. This Applied Research Project is co</w:t>
      </w:r>
      <w:r w:rsidRPr="00200724">
        <w:rPr>
          <w:rFonts w:cs="Arial"/>
        </w:rPr>
        <w:t>n</w:t>
      </w:r>
      <w:r w:rsidRPr="00200724">
        <w:rPr>
          <w:rFonts w:cs="Arial"/>
        </w:rPr>
        <w:t>ducted within the framework of the ESPON 2013 Programme, partly financed by the European Regional Development Fund.</w:t>
      </w:r>
    </w:p>
    <w:p w:rsidR="00560F65" w:rsidRPr="00200724" w:rsidRDefault="00560F65" w:rsidP="00560F65">
      <w:pPr>
        <w:pStyle w:val="ESPONColophon"/>
        <w:ind w:left="810"/>
        <w:rPr>
          <w:rFonts w:cs="Arial"/>
        </w:rPr>
      </w:pPr>
    </w:p>
    <w:p w:rsidR="00ED043E" w:rsidRPr="00200724" w:rsidRDefault="00ED043E" w:rsidP="00ED043E">
      <w:pPr>
        <w:pStyle w:val="ESPONColophon"/>
        <w:ind w:left="810"/>
        <w:rPr>
          <w:rFonts w:cs="Arial"/>
        </w:rPr>
      </w:pPr>
      <w:r w:rsidRPr="00200724">
        <w:rPr>
          <w:rFonts w:cs="Arial"/>
        </w:rPr>
        <w:t>The partnership behind the E</w:t>
      </w:r>
      <w:r w:rsidRPr="00200724">
        <w:rPr>
          <w:rFonts w:cs="Arial"/>
        </w:rPr>
        <w:t>S</w:t>
      </w:r>
      <w:r w:rsidRPr="00200724">
        <w:rPr>
          <w:rFonts w:cs="Arial"/>
        </w:rPr>
        <w:t>PON Programme consists of the EU Commission and the Member States of the EU27, plus Iceland, Liechtenstein, Norway and Swi</w:t>
      </w:r>
      <w:r w:rsidRPr="00200724">
        <w:rPr>
          <w:rFonts w:cs="Arial"/>
        </w:rPr>
        <w:t>t</w:t>
      </w:r>
      <w:r w:rsidRPr="00200724">
        <w:rPr>
          <w:rFonts w:cs="Arial"/>
        </w:rPr>
        <w:t>zerland. Each partner is repr</w:t>
      </w:r>
      <w:r w:rsidRPr="00200724">
        <w:rPr>
          <w:rFonts w:cs="Arial"/>
        </w:rPr>
        <w:t>e</w:t>
      </w:r>
      <w:r w:rsidRPr="00200724">
        <w:rPr>
          <w:rFonts w:cs="Arial"/>
        </w:rPr>
        <w:t>sented in the ESPON Monitoring Committee.</w:t>
      </w:r>
    </w:p>
    <w:p w:rsidR="00ED043E" w:rsidRPr="00200724" w:rsidRDefault="00ED043E" w:rsidP="00ED043E">
      <w:pPr>
        <w:pStyle w:val="ESPONColophon"/>
        <w:ind w:left="810"/>
        <w:rPr>
          <w:rFonts w:cs="Arial"/>
        </w:rPr>
      </w:pPr>
    </w:p>
    <w:p w:rsidR="00ED043E" w:rsidRPr="00200724" w:rsidRDefault="00ED043E" w:rsidP="00ED043E">
      <w:pPr>
        <w:pStyle w:val="ESPONColophon"/>
        <w:ind w:left="810"/>
        <w:rPr>
          <w:rFonts w:cs="Arial"/>
        </w:rPr>
      </w:pPr>
      <w:r w:rsidRPr="00200724">
        <w:rPr>
          <w:rFonts w:cs="Arial"/>
        </w:rPr>
        <w:t>This report does not necessarily reflect the opinion of the me</w:t>
      </w:r>
      <w:r w:rsidRPr="00200724">
        <w:rPr>
          <w:rFonts w:cs="Arial"/>
        </w:rPr>
        <w:t>m</w:t>
      </w:r>
      <w:r w:rsidRPr="00200724">
        <w:rPr>
          <w:rFonts w:cs="Arial"/>
        </w:rPr>
        <w:t>bers of the Monitoring Commi</w:t>
      </w:r>
      <w:r w:rsidRPr="00200724">
        <w:rPr>
          <w:rFonts w:cs="Arial"/>
        </w:rPr>
        <w:t>t</w:t>
      </w:r>
      <w:r w:rsidRPr="00200724">
        <w:rPr>
          <w:rFonts w:cs="Arial"/>
        </w:rPr>
        <w:t>tee.</w:t>
      </w:r>
    </w:p>
    <w:p w:rsidR="00ED043E" w:rsidRPr="00200724" w:rsidRDefault="00ED043E" w:rsidP="00ED043E">
      <w:pPr>
        <w:pStyle w:val="ESPONColophon"/>
        <w:ind w:left="810"/>
        <w:rPr>
          <w:rFonts w:cs="Arial"/>
        </w:rPr>
      </w:pPr>
    </w:p>
    <w:p w:rsidR="00ED043E" w:rsidRPr="00200724" w:rsidRDefault="00ED043E" w:rsidP="00ED043E">
      <w:pPr>
        <w:pStyle w:val="ESPONColophon"/>
        <w:ind w:left="810"/>
        <w:rPr>
          <w:rFonts w:cs="Arial"/>
        </w:rPr>
      </w:pPr>
      <w:r w:rsidRPr="00200724">
        <w:rPr>
          <w:rFonts w:cs="Arial"/>
        </w:rPr>
        <w:t>Information on the ESPON Pr</w:t>
      </w:r>
      <w:r w:rsidRPr="00200724">
        <w:rPr>
          <w:rFonts w:cs="Arial"/>
        </w:rPr>
        <w:t>o</w:t>
      </w:r>
      <w:r w:rsidRPr="00200724">
        <w:rPr>
          <w:rFonts w:cs="Arial"/>
        </w:rPr>
        <w:t xml:space="preserve">gramme and projects can be found on </w:t>
      </w:r>
      <w:hyperlink r:id="rId15" w:history="1">
        <w:r w:rsidRPr="00200724">
          <w:rPr>
            <w:rStyle w:val="Hyperlink"/>
            <w:rFonts w:cs="Arial"/>
          </w:rPr>
          <w:t>www.espon.eu</w:t>
        </w:r>
      </w:hyperlink>
    </w:p>
    <w:p w:rsidR="00ED043E" w:rsidRPr="00200724" w:rsidRDefault="00ED043E" w:rsidP="00ED043E">
      <w:pPr>
        <w:pStyle w:val="ESPONColophon"/>
        <w:ind w:left="810"/>
        <w:rPr>
          <w:rFonts w:cs="Arial"/>
        </w:rPr>
      </w:pPr>
    </w:p>
    <w:p w:rsidR="00ED043E" w:rsidRPr="00200724" w:rsidRDefault="00ED043E" w:rsidP="00ED043E">
      <w:pPr>
        <w:pStyle w:val="ESPONColophon"/>
        <w:ind w:left="810"/>
        <w:rPr>
          <w:rFonts w:cs="Arial"/>
        </w:rPr>
      </w:pPr>
      <w:r w:rsidRPr="00200724">
        <w:rPr>
          <w:rFonts w:cs="Arial"/>
        </w:rPr>
        <w:t>The web site provides the poss</w:t>
      </w:r>
      <w:r w:rsidRPr="00200724">
        <w:rPr>
          <w:rFonts w:cs="Arial"/>
        </w:rPr>
        <w:t>i</w:t>
      </w:r>
      <w:r w:rsidRPr="00200724">
        <w:rPr>
          <w:rFonts w:cs="Arial"/>
        </w:rPr>
        <w:t>bility to download and examine the most recent documents pr</w:t>
      </w:r>
      <w:r w:rsidRPr="00200724">
        <w:rPr>
          <w:rFonts w:cs="Arial"/>
        </w:rPr>
        <w:t>o</w:t>
      </w:r>
      <w:r w:rsidRPr="00200724">
        <w:rPr>
          <w:rFonts w:cs="Arial"/>
        </w:rPr>
        <w:t>duced by finalised and ongoing ESPON projects.</w:t>
      </w:r>
    </w:p>
    <w:p w:rsidR="00ED043E" w:rsidRDefault="00ED043E" w:rsidP="00ED043E">
      <w:pPr>
        <w:pStyle w:val="ESPONColophon"/>
        <w:ind w:left="810"/>
        <w:rPr>
          <w:rFonts w:cs="Arial"/>
        </w:rPr>
      </w:pPr>
    </w:p>
    <w:p w:rsidR="009A080B" w:rsidRPr="00C36DAF" w:rsidRDefault="009A080B" w:rsidP="009A080B">
      <w:pPr>
        <w:pStyle w:val="ESPONColophon"/>
        <w:ind w:left="810" w:right="4484"/>
      </w:pPr>
      <w:r w:rsidRPr="00C36DAF">
        <w:t xml:space="preserve">ISBN number </w:t>
      </w:r>
      <w:r>
        <w:t>–</w:t>
      </w:r>
      <w:r w:rsidRPr="00C36DAF">
        <w:t xml:space="preserve"> </w:t>
      </w:r>
      <w:r>
        <w:t>987-2-919777-42-6</w:t>
      </w:r>
    </w:p>
    <w:p w:rsidR="009A080B" w:rsidRPr="00200724" w:rsidRDefault="009A080B" w:rsidP="00ED043E">
      <w:pPr>
        <w:pStyle w:val="ESPONColophon"/>
        <w:ind w:left="810"/>
        <w:rPr>
          <w:rFonts w:cs="Arial"/>
        </w:rPr>
      </w:pPr>
    </w:p>
    <w:p w:rsidR="00ED043E" w:rsidRPr="00200724" w:rsidRDefault="00ED043E" w:rsidP="00ED043E">
      <w:pPr>
        <w:pStyle w:val="ESPONColophon"/>
        <w:ind w:left="810"/>
        <w:rPr>
          <w:rFonts w:cs="Arial"/>
        </w:rPr>
      </w:pPr>
      <w:proofErr w:type="gramStart"/>
      <w:r w:rsidRPr="00200724">
        <w:rPr>
          <w:rFonts w:cs="Arial"/>
        </w:rPr>
        <w:t>© ESPON &amp;</w:t>
      </w:r>
      <w:r w:rsidR="00261332" w:rsidRPr="00200724">
        <w:rPr>
          <w:rFonts w:cs="Arial"/>
        </w:rPr>
        <w:t xml:space="preserve"> </w:t>
      </w:r>
      <w:r w:rsidR="00C818EC" w:rsidRPr="00200724">
        <w:rPr>
          <w:rFonts w:cs="Arial"/>
        </w:rPr>
        <w:t>EKKE</w:t>
      </w:r>
      <w:r w:rsidRPr="00200724">
        <w:rPr>
          <w:rFonts w:cs="Arial"/>
        </w:rPr>
        <w:t>, 201</w:t>
      </w:r>
      <w:r w:rsidR="00560F65" w:rsidRPr="00200724">
        <w:rPr>
          <w:rFonts w:cs="Arial"/>
        </w:rPr>
        <w:t>2</w:t>
      </w:r>
      <w:r w:rsidRPr="00200724">
        <w:rPr>
          <w:rFonts w:cs="Arial"/>
        </w:rPr>
        <w:t>.</w:t>
      </w:r>
      <w:proofErr w:type="gramEnd"/>
    </w:p>
    <w:p w:rsidR="00ED043E" w:rsidRPr="00200724" w:rsidRDefault="00ED043E" w:rsidP="00ED043E">
      <w:pPr>
        <w:pStyle w:val="ESPONColophon"/>
        <w:ind w:left="810"/>
        <w:rPr>
          <w:rFonts w:cs="Arial"/>
        </w:rPr>
      </w:pPr>
    </w:p>
    <w:p w:rsidR="00ED043E" w:rsidRPr="00200724" w:rsidRDefault="00ED043E" w:rsidP="00ED043E">
      <w:pPr>
        <w:pStyle w:val="ESPONColophon"/>
        <w:ind w:left="810"/>
        <w:rPr>
          <w:rFonts w:cs="Arial"/>
        </w:rPr>
      </w:pPr>
      <w:r w:rsidRPr="00200724">
        <w:rPr>
          <w:rFonts w:cs="Arial"/>
        </w:rPr>
        <w:t>Printing, reproduction or quot</w:t>
      </w:r>
      <w:r w:rsidRPr="00200724">
        <w:rPr>
          <w:rFonts w:cs="Arial"/>
        </w:rPr>
        <w:t>a</w:t>
      </w:r>
      <w:r w:rsidRPr="00200724">
        <w:rPr>
          <w:rFonts w:cs="Arial"/>
        </w:rPr>
        <w:t>tion is authorised provided the source is acknowledged and a copy is forwarded to the ESPON Coordination Unit in Luxembourg.</w:t>
      </w:r>
    </w:p>
    <w:p w:rsidR="00ED043E" w:rsidRPr="00200724" w:rsidRDefault="00ED043E" w:rsidP="00ED043E">
      <w:pPr>
        <w:pStyle w:val="ESPONColophon"/>
        <w:ind w:left="810"/>
        <w:rPr>
          <w:rFonts w:cs="Arial"/>
        </w:rPr>
      </w:pPr>
    </w:p>
    <w:p w:rsidR="005703AA" w:rsidRDefault="005703AA" w:rsidP="00A9269D">
      <w:pPr>
        <w:pStyle w:val="ESPONText"/>
        <w:rPr>
          <w:rFonts w:cs="Arial"/>
        </w:rPr>
      </w:pPr>
    </w:p>
    <w:p w:rsidR="00B22FBB" w:rsidRDefault="00B22FBB" w:rsidP="00A9269D">
      <w:pPr>
        <w:pStyle w:val="ESPONText"/>
        <w:rPr>
          <w:rFonts w:cs="Arial"/>
        </w:rPr>
      </w:pPr>
    </w:p>
    <w:p w:rsidR="00EF5566" w:rsidRDefault="00EF5566" w:rsidP="00B22FBB">
      <w:pPr>
        <w:pStyle w:val="ESPONText"/>
        <w:tabs>
          <w:tab w:val="left" w:pos="1418"/>
        </w:tabs>
        <w:spacing w:line="240" w:lineRule="auto"/>
        <w:rPr>
          <w:rFonts w:cs="Arial"/>
          <w:b/>
          <w:sz w:val="32"/>
          <w:szCs w:val="32"/>
        </w:rPr>
        <w:sectPr w:rsidR="00EF5566" w:rsidSect="00B616DC">
          <w:type w:val="continuous"/>
          <w:pgSz w:w="11906" w:h="16838"/>
          <w:pgMar w:top="1440" w:right="1797" w:bottom="1440" w:left="1797" w:header="720" w:footer="720" w:gutter="0"/>
          <w:pgNumType w:fmt="lowerRoman" w:start="1"/>
          <w:cols w:space="720"/>
          <w:docGrid w:linePitch="299"/>
        </w:sectPr>
      </w:pPr>
    </w:p>
    <w:p w:rsidR="00261332" w:rsidRPr="00200724" w:rsidRDefault="00A83C6B" w:rsidP="00B22FBB">
      <w:pPr>
        <w:pStyle w:val="ESPONText"/>
        <w:tabs>
          <w:tab w:val="left" w:pos="1418"/>
        </w:tabs>
        <w:spacing w:line="240" w:lineRule="auto"/>
        <w:rPr>
          <w:rFonts w:cs="Arial"/>
          <w:b/>
          <w:sz w:val="32"/>
          <w:szCs w:val="32"/>
        </w:rPr>
      </w:pPr>
      <w:r w:rsidRPr="00200724">
        <w:rPr>
          <w:rFonts w:cs="Arial"/>
          <w:b/>
          <w:sz w:val="32"/>
          <w:szCs w:val="32"/>
        </w:rPr>
        <w:lastRenderedPageBreak/>
        <w:t xml:space="preserve">The ESPON </w:t>
      </w:r>
      <w:r w:rsidR="00261332" w:rsidRPr="00200724">
        <w:rPr>
          <w:rFonts w:cs="Arial"/>
          <w:b/>
          <w:sz w:val="32"/>
          <w:szCs w:val="32"/>
        </w:rPr>
        <w:t>TiPSE</w:t>
      </w:r>
      <w:r w:rsidRPr="00200724">
        <w:rPr>
          <w:rFonts w:cs="Arial"/>
          <w:b/>
          <w:sz w:val="32"/>
          <w:szCs w:val="32"/>
        </w:rPr>
        <w:t xml:space="preserve"> Project</w:t>
      </w:r>
      <w:r w:rsidR="00261332" w:rsidRPr="00200724">
        <w:rPr>
          <w:rFonts w:cs="Arial"/>
          <w:b/>
          <w:sz w:val="32"/>
          <w:szCs w:val="32"/>
        </w:rPr>
        <w:t>:</w:t>
      </w:r>
    </w:p>
    <w:p w:rsidR="00A83C6B" w:rsidRPr="00200724" w:rsidRDefault="00A83C6B" w:rsidP="0051144B">
      <w:pPr>
        <w:pStyle w:val="ESPONText"/>
        <w:tabs>
          <w:tab w:val="left" w:pos="1418"/>
        </w:tabs>
        <w:spacing w:line="240" w:lineRule="auto"/>
        <w:rPr>
          <w:rFonts w:cs="Arial"/>
        </w:rPr>
      </w:pPr>
      <w:r w:rsidRPr="00200724">
        <w:rPr>
          <w:rFonts w:cs="Arial"/>
        </w:rPr>
        <w:t xml:space="preserve">The TiPSE project </w:t>
      </w:r>
      <w:r w:rsidR="00380A7F" w:rsidRPr="00200724">
        <w:rPr>
          <w:rFonts w:cs="Arial"/>
        </w:rPr>
        <w:t>has been</w:t>
      </w:r>
      <w:r w:rsidRPr="00200724">
        <w:rPr>
          <w:rFonts w:cs="Arial"/>
        </w:rPr>
        <w:t xml:space="preserve"> commissioned by the European Observation Network for Territorial Development and Cohesion (ESPON) programme. It is concerned with the issue of poverty</w:t>
      </w:r>
      <w:r w:rsidR="00A14590" w:rsidRPr="00200724">
        <w:rPr>
          <w:rFonts w:cs="Arial"/>
        </w:rPr>
        <w:t>,</w:t>
      </w:r>
      <w:r w:rsidRPr="00200724">
        <w:rPr>
          <w:rFonts w:cs="Arial"/>
        </w:rPr>
        <w:t xml:space="preserve"> and processes of social exclusion in Europe.</w:t>
      </w:r>
    </w:p>
    <w:p w:rsidR="00A14590" w:rsidRPr="00200724" w:rsidRDefault="00A14590" w:rsidP="0051144B">
      <w:pPr>
        <w:pStyle w:val="ESPONText"/>
        <w:tabs>
          <w:tab w:val="left" w:pos="1418"/>
        </w:tabs>
        <w:spacing w:line="240" w:lineRule="auto"/>
        <w:rPr>
          <w:rFonts w:cs="Arial"/>
        </w:rPr>
      </w:pPr>
      <w:r w:rsidRPr="00200724">
        <w:rPr>
          <w:rFonts w:cs="Arial"/>
        </w:rPr>
        <w:t>One of the key challenges for the EU, in its pursuit of social, economic and territorial cohesion, is to address regional or local concentrations of poverty and social excl</w:t>
      </w:r>
      <w:r w:rsidRPr="00200724">
        <w:rPr>
          <w:rFonts w:cs="Arial"/>
        </w:rPr>
        <w:t>u</w:t>
      </w:r>
      <w:r w:rsidRPr="00200724">
        <w:rPr>
          <w:rFonts w:cs="Arial"/>
        </w:rPr>
        <w:t>sion. In terms of practical governance, this remains a national responsibility within the context of EU strategic guidance. In practice, regional or local administrations are o</w:t>
      </w:r>
      <w:r w:rsidRPr="00200724">
        <w:rPr>
          <w:rFonts w:cs="Arial"/>
        </w:rPr>
        <w:t>f</w:t>
      </w:r>
      <w:r w:rsidRPr="00200724">
        <w:rPr>
          <w:rFonts w:cs="Arial"/>
        </w:rPr>
        <w:t>ten in ‘the front line’</w:t>
      </w:r>
      <w:r w:rsidR="002977F2" w:rsidRPr="00200724">
        <w:rPr>
          <w:rFonts w:cs="Arial"/>
        </w:rPr>
        <w:t>;</w:t>
      </w:r>
      <w:r w:rsidRPr="00200724">
        <w:rPr>
          <w:rFonts w:cs="Arial"/>
        </w:rPr>
        <w:t xml:space="preserve"> implementing national policies to ameliorate deprivation and e</w:t>
      </w:r>
      <w:r w:rsidRPr="00200724">
        <w:rPr>
          <w:rFonts w:cs="Arial"/>
        </w:rPr>
        <w:t>x</w:t>
      </w:r>
      <w:r w:rsidRPr="00200724">
        <w:rPr>
          <w:rFonts w:cs="Arial"/>
        </w:rPr>
        <w:t>clusion. At a higher level, the EU defines its role as identifying best practices and promoting mutual learning.</w:t>
      </w:r>
    </w:p>
    <w:p w:rsidR="00A14590" w:rsidRPr="00200724" w:rsidRDefault="00A14590" w:rsidP="0051144B">
      <w:pPr>
        <w:pStyle w:val="ESPONText"/>
        <w:tabs>
          <w:tab w:val="left" w:pos="1418"/>
        </w:tabs>
        <w:spacing w:line="240" w:lineRule="auto"/>
        <w:rPr>
          <w:rFonts w:cs="Arial"/>
        </w:rPr>
      </w:pPr>
      <w:r w:rsidRPr="00200724">
        <w:rPr>
          <w:rFonts w:cs="Arial"/>
        </w:rPr>
        <w:t>Poverty and social exclusion are essentially relative concepts, arguably only mea</w:t>
      </w:r>
      <w:r w:rsidRPr="00200724">
        <w:rPr>
          <w:rFonts w:cs="Arial"/>
        </w:rPr>
        <w:t>n</w:t>
      </w:r>
      <w:r w:rsidRPr="00200724">
        <w:rPr>
          <w:rFonts w:cs="Arial"/>
        </w:rPr>
        <w:t xml:space="preserve">ingful within a specified geographical context. This </w:t>
      </w:r>
      <w:r w:rsidR="00873B3E" w:rsidRPr="00200724">
        <w:rPr>
          <w:rFonts w:cs="Arial"/>
        </w:rPr>
        <w:t>underlines</w:t>
      </w:r>
      <w:r w:rsidRPr="00200724">
        <w:rPr>
          <w:rFonts w:cs="Arial"/>
        </w:rPr>
        <w:t xml:space="preserve"> the </w:t>
      </w:r>
      <w:r w:rsidR="002977F2" w:rsidRPr="00200724">
        <w:rPr>
          <w:rFonts w:cs="Arial"/>
        </w:rPr>
        <w:t>essential roles to be played by</w:t>
      </w:r>
      <w:r w:rsidRPr="00200724">
        <w:rPr>
          <w:rFonts w:cs="Arial"/>
        </w:rPr>
        <w:t xml:space="preserve"> observation, measurement</w:t>
      </w:r>
      <w:r w:rsidR="002977F2" w:rsidRPr="00200724">
        <w:rPr>
          <w:rFonts w:cs="Arial"/>
        </w:rPr>
        <w:t xml:space="preserve">, and careful data analysis, as </w:t>
      </w:r>
      <w:r w:rsidRPr="00200724">
        <w:rPr>
          <w:rFonts w:cs="Arial"/>
        </w:rPr>
        <w:t>preparation</w:t>
      </w:r>
      <w:r w:rsidR="002977F2" w:rsidRPr="00200724">
        <w:rPr>
          <w:rFonts w:cs="Arial"/>
        </w:rPr>
        <w:t>s</w:t>
      </w:r>
      <w:r w:rsidRPr="00200724">
        <w:rPr>
          <w:rFonts w:cs="Arial"/>
        </w:rPr>
        <w:t xml:space="preserve"> for intervention. The TIPSE project aims to support policy, both by enhancing the e</w:t>
      </w:r>
      <w:r w:rsidRPr="00200724">
        <w:rPr>
          <w:rFonts w:cs="Arial"/>
        </w:rPr>
        <w:t>v</w:t>
      </w:r>
      <w:r w:rsidRPr="00200724">
        <w:rPr>
          <w:rFonts w:cs="Arial"/>
        </w:rPr>
        <w:t>idence base and by identifying existing good practice.</w:t>
      </w:r>
    </w:p>
    <w:p w:rsidR="00380A7F" w:rsidRPr="00200724" w:rsidRDefault="006D145A" w:rsidP="0051144B">
      <w:pPr>
        <w:pStyle w:val="ESPONText"/>
        <w:tabs>
          <w:tab w:val="left" w:pos="1418"/>
        </w:tabs>
        <w:spacing w:line="240" w:lineRule="auto"/>
        <w:rPr>
          <w:rFonts w:cs="Arial"/>
        </w:rPr>
      </w:pPr>
      <w:r w:rsidRPr="00200724">
        <w:rPr>
          <w:rFonts w:cs="Arial"/>
        </w:rPr>
        <w:t>A central</w:t>
      </w:r>
      <w:r w:rsidR="00A83C6B" w:rsidRPr="00200724">
        <w:rPr>
          <w:rFonts w:cs="Arial"/>
        </w:rPr>
        <w:t xml:space="preserve"> </w:t>
      </w:r>
      <w:r w:rsidR="002977F2" w:rsidRPr="00200724">
        <w:rPr>
          <w:rFonts w:cs="Arial"/>
        </w:rPr>
        <w:t>objective</w:t>
      </w:r>
      <w:r w:rsidR="00A83C6B" w:rsidRPr="00200724">
        <w:rPr>
          <w:rFonts w:cs="Arial"/>
        </w:rPr>
        <w:t xml:space="preserve"> of the </w:t>
      </w:r>
      <w:r w:rsidR="00A14590" w:rsidRPr="00200724">
        <w:rPr>
          <w:rFonts w:cs="Arial"/>
        </w:rPr>
        <w:t xml:space="preserve">TiPSE </w:t>
      </w:r>
      <w:r w:rsidR="00A83C6B" w:rsidRPr="00200724">
        <w:rPr>
          <w:rFonts w:cs="Arial"/>
        </w:rPr>
        <w:t xml:space="preserve">project is to </w:t>
      </w:r>
      <w:r w:rsidR="002977F2" w:rsidRPr="00200724">
        <w:rPr>
          <w:rFonts w:cs="Arial"/>
        </w:rPr>
        <w:t>establish macro and micro-scale pa</w:t>
      </w:r>
      <w:r w:rsidR="002977F2" w:rsidRPr="00200724">
        <w:rPr>
          <w:rFonts w:cs="Arial"/>
        </w:rPr>
        <w:t>t</w:t>
      </w:r>
      <w:r w:rsidR="002977F2" w:rsidRPr="00200724">
        <w:rPr>
          <w:rFonts w:cs="Arial"/>
        </w:rPr>
        <w:t>terns of poverty and social exclusion across the ESPON space. This will be achieved by compiling</w:t>
      </w:r>
      <w:r w:rsidR="00A83C6B" w:rsidRPr="00200724">
        <w:rPr>
          <w:rFonts w:cs="Arial"/>
        </w:rPr>
        <w:t xml:space="preserve"> a regional database</w:t>
      </w:r>
      <w:r w:rsidRPr="00200724">
        <w:rPr>
          <w:rFonts w:cs="Arial"/>
        </w:rPr>
        <w:t>,</w:t>
      </w:r>
      <w:r w:rsidR="00A83C6B" w:rsidRPr="00200724">
        <w:rPr>
          <w:rFonts w:cs="Arial"/>
        </w:rPr>
        <w:t xml:space="preserve"> and associated maps, of poverty and social excl</w:t>
      </w:r>
      <w:r w:rsidR="00A83C6B" w:rsidRPr="00200724">
        <w:rPr>
          <w:rFonts w:cs="Arial"/>
        </w:rPr>
        <w:t>u</w:t>
      </w:r>
      <w:r w:rsidR="00A83C6B" w:rsidRPr="00200724">
        <w:rPr>
          <w:rFonts w:cs="Arial"/>
        </w:rPr>
        <w:t xml:space="preserve">sion indicators. </w:t>
      </w:r>
      <w:r w:rsidR="00380A7F" w:rsidRPr="00200724">
        <w:rPr>
          <w:rFonts w:cs="Arial"/>
        </w:rPr>
        <w:t xml:space="preserve">Such quantitative analysis of geographical patterns is considered a </w:t>
      </w:r>
      <w:r w:rsidR="002977F2" w:rsidRPr="00200724">
        <w:rPr>
          <w:rFonts w:cs="Arial"/>
        </w:rPr>
        <w:t>fundamental</w:t>
      </w:r>
      <w:r w:rsidR="00380A7F" w:rsidRPr="00200724">
        <w:rPr>
          <w:rFonts w:cs="Arial"/>
        </w:rPr>
        <w:t xml:space="preserve"> part of the evidence base for policy.</w:t>
      </w:r>
    </w:p>
    <w:p w:rsidR="00925C23" w:rsidRPr="00200724" w:rsidRDefault="00380A7F" w:rsidP="0051144B">
      <w:pPr>
        <w:pStyle w:val="ESPONText"/>
        <w:tabs>
          <w:tab w:val="left" w:pos="1418"/>
        </w:tabs>
        <w:spacing w:line="240" w:lineRule="auto"/>
        <w:rPr>
          <w:rFonts w:cs="Arial"/>
        </w:rPr>
      </w:pPr>
      <w:r w:rsidRPr="00200724">
        <w:rPr>
          <w:rFonts w:cs="Arial"/>
        </w:rPr>
        <w:t>In addition, i</w:t>
      </w:r>
      <w:r w:rsidR="006D145A" w:rsidRPr="00200724">
        <w:rPr>
          <w:rFonts w:cs="Arial"/>
        </w:rPr>
        <w:t>n order to better understand the various social and institutional proces</w:t>
      </w:r>
      <w:r w:rsidR="006D145A" w:rsidRPr="00200724">
        <w:rPr>
          <w:rFonts w:cs="Arial"/>
        </w:rPr>
        <w:t>s</w:t>
      </w:r>
      <w:r w:rsidR="006D145A" w:rsidRPr="00200724">
        <w:rPr>
          <w:rFonts w:cs="Arial"/>
        </w:rPr>
        <w:t>es which are the context of these patterns</w:t>
      </w:r>
      <w:r w:rsidRPr="00200724">
        <w:rPr>
          <w:rFonts w:cs="Arial"/>
        </w:rPr>
        <w:t>,</w:t>
      </w:r>
      <w:r w:rsidR="006D145A" w:rsidRPr="00200724">
        <w:rPr>
          <w:rFonts w:cs="Arial"/>
        </w:rPr>
        <w:t xml:space="preserve"> a set of ten case studies </w:t>
      </w:r>
      <w:r w:rsidR="00873B3E" w:rsidRPr="00200724">
        <w:rPr>
          <w:rFonts w:cs="Arial"/>
        </w:rPr>
        <w:t>are to be</w:t>
      </w:r>
      <w:r w:rsidR="006D145A" w:rsidRPr="00200724">
        <w:rPr>
          <w:rFonts w:cs="Arial"/>
        </w:rPr>
        <w:t xml:space="preserve"> carried out. </w:t>
      </w:r>
      <w:r w:rsidR="00FF2B12" w:rsidRPr="00200724">
        <w:rPr>
          <w:rFonts w:cs="Arial"/>
        </w:rPr>
        <w:t xml:space="preserve">These </w:t>
      </w:r>
      <w:r w:rsidR="00873B3E" w:rsidRPr="00200724">
        <w:rPr>
          <w:rFonts w:cs="Arial"/>
        </w:rPr>
        <w:t>will be</w:t>
      </w:r>
      <w:r w:rsidR="00FF2B12" w:rsidRPr="00200724">
        <w:rPr>
          <w:rFonts w:cs="Arial"/>
        </w:rPr>
        <w:t xml:space="preserve"> more qualitative in approach, in order to convey holistic portraits of different kinds of poverty and social exclusion as experienced in a wide variety of E</w:t>
      </w:r>
      <w:r w:rsidR="00FF2B12" w:rsidRPr="00200724">
        <w:rPr>
          <w:rFonts w:cs="Arial"/>
        </w:rPr>
        <w:t>u</w:t>
      </w:r>
      <w:r w:rsidR="00FF2B12" w:rsidRPr="00200724">
        <w:rPr>
          <w:rFonts w:cs="Arial"/>
        </w:rPr>
        <w:t>ropean territorial contexts.</w:t>
      </w:r>
      <w:r w:rsidR="00957D1D" w:rsidRPr="00200724">
        <w:rPr>
          <w:rFonts w:cs="Arial"/>
        </w:rPr>
        <w:t xml:space="preserve"> The principal goal for these investigations will be to bring forward clear illustrations of the social, economic</w:t>
      </w:r>
      <w:r w:rsidR="00925C23" w:rsidRPr="00200724">
        <w:rPr>
          <w:rFonts w:cs="Arial"/>
        </w:rPr>
        <w:t>, institutional</w:t>
      </w:r>
      <w:r w:rsidR="00957D1D" w:rsidRPr="00200724">
        <w:rPr>
          <w:rFonts w:cs="Arial"/>
        </w:rPr>
        <w:t xml:space="preserve"> and spatial processes which lead to poverty and social exclusion in </w:t>
      </w:r>
      <w:r w:rsidR="00925C23" w:rsidRPr="00200724">
        <w:rPr>
          <w:rFonts w:cs="Arial"/>
        </w:rPr>
        <w:t>particular geographic contexts.</w:t>
      </w:r>
    </w:p>
    <w:p w:rsidR="00261332" w:rsidRPr="00200724" w:rsidRDefault="00957D1D" w:rsidP="0051144B">
      <w:pPr>
        <w:pStyle w:val="ESPONText"/>
        <w:tabs>
          <w:tab w:val="left" w:pos="1418"/>
        </w:tabs>
        <w:spacing w:line="240" w:lineRule="auto"/>
        <w:rPr>
          <w:rFonts w:cs="Arial"/>
        </w:rPr>
      </w:pPr>
      <w:r w:rsidRPr="00200724">
        <w:rPr>
          <w:rFonts w:cs="Arial"/>
        </w:rPr>
        <w:t xml:space="preserve">The selection of case study areas has been carried out with careful regard to the wide variety of geographic, cultural and policy contexts which characterise Europe. The ten case studies </w:t>
      </w:r>
      <w:r w:rsidR="00873B3E" w:rsidRPr="00200724">
        <w:rPr>
          <w:rFonts w:cs="Arial"/>
        </w:rPr>
        <w:t xml:space="preserve">are </w:t>
      </w:r>
      <w:r w:rsidRPr="00200724">
        <w:rPr>
          <w:rFonts w:cs="Arial"/>
        </w:rPr>
        <w:t xml:space="preserve">also </w:t>
      </w:r>
      <w:r w:rsidR="00925C23" w:rsidRPr="00200724">
        <w:rPr>
          <w:rFonts w:cs="Arial"/>
        </w:rPr>
        <w:t>intended to highlight a range of different ‘drivers’ of poverty and social exclusion, including labour market conditions, educational disa</w:t>
      </w:r>
      <w:r w:rsidR="00925C23" w:rsidRPr="00200724">
        <w:rPr>
          <w:rFonts w:cs="Arial"/>
        </w:rPr>
        <w:t>d</w:t>
      </w:r>
      <w:r w:rsidR="00925C23" w:rsidRPr="00200724">
        <w:rPr>
          <w:rFonts w:cs="Arial"/>
        </w:rPr>
        <w:t>vantage, ethnicity, poor access to services and urban segregation processes.</w:t>
      </w:r>
      <w:r w:rsidR="00380A7F" w:rsidRPr="00200724">
        <w:rPr>
          <w:rFonts w:cs="Arial"/>
        </w:rPr>
        <w:t xml:space="preserve"> </w:t>
      </w:r>
      <w:r w:rsidRPr="00200724">
        <w:rPr>
          <w:rFonts w:cs="Arial"/>
        </w:rPr>
        <w:t>A se</w:t>
      </w:r>
      <w:r w:rsidRPr="00200724">
        <w:rPr>
          <w:rFonts w:cs="Arial"/>
        </w:rPr>
        <w:t>c</w:t>
      </w:r>
      <w:r w:rsidRPr="00200724">
        <w:rPr>
          <w:rFonts w:cs="Arial"/>
        </w:rPr>
        <w:t>ond objective of the case studies</w:t>
      </w:r>
      <w:r w:rsidR="006D145A" w:rsidRPr="00200724">
        <w:rPr>
          <w:rFonts w:cs="Arial"/>
        </w:rPr>
        <w:t xml:space="preserve"> will be to</w:t>
      </w:r>
      <w:r w:rsidR="00C33CC9" w:rsidRPr="00200724">
        <w:rPr>
          <w:rFonts w:cs="Arial"/>
        </w:rPr>
        <w:t xml:space="preserve"> identify</w:t>
      </w:r>
      <w:r w:rsidR="006D145A" w:rsidRPr="00200724">
        <w:rPr>
          <w:rFonts w:cs="Arial"/>
        </w:rPr>
        <w:t xml:space="preserve"> policy approaches </w:t>
      </w:r>
      <w:r w:rsidR="00C33CC9" w:rsidRPr="00200724">
        <w:rPr>
          <w:rFonts w:cs="Arial"/>
        </w:rPr>
        <w:t>which can e</w:t>
      </w:r>
      <w:r w:rsidR="00C33CC9" w:rsidRPr="00200724">
        <w:rPr>
          <w:rFonts w:cs="Arial"/>
        </w:rPr>
        <w:t>f</w:t>
      </w:r>
      <w:r w:rsidR="00C33CC9" w:rsidRPr="00200724">
        <w:rPr>
          <w:rFonts w:cs="Arial"/>
        </w:rPr>
        <w:t>fectively</w:t>
      </w:r>
      <w:r w:rsidR="00FF2B12" w:rsidRPr="00200724">
        <w:rPr>
          <w:rFonts w:cs="Arial"/>
        </w:rPr>
        <w:t xml:space="preserve"> </w:t>
      </w:r>
      <w:r w:rsidR="00C33CC9" w:rsidRPr="00200724">
        <w:rPr>
          <w:rFonts w:cs="Arial"/>
        </w:rPr>
        <w:t xml:space="preserve">tackle exclusion, and thus </w:t>
      </w:r>
      <w:r w:rsidR="00FF2B12" w:rsidRPr="00200724">
        <w:rPr>
          <w:rFonts w:cs="Arial"/>
        </w:rPr>
        <w:t>strengthen territorial cohesion</w:t>
      </w:r>
      <w:r w:rsidR="00A83C6B" w:rsidRPr="00200724">
        <w:rPr>
          <w:rFonts w:cs="Arial"/>
        </w:rPr>
        <w:t>.</w:t>
      </w:r>
    </w:p>
    <w:p w:rsidR="00261332" w:rsidRPr="00200724" w:rsidRDefault="00261332" w:rsidP="0051144B">
      <w:pPr>
        <w:pStyle w:val="ESPONText"/>
        <w:tabs>
          <w:tab w:val="left" w:pos="1418"/>
        </w:tabs>
        <w:spacing w:line="240" w:lineRule="auto"/>
        <w:rPr>
          <w:rFonts w:cs="Arial"/>
        </w:rPr>
      </w:pPr>
      <w:r w:rsidRPr="00200724">
        <w:rPr>
          <w:rFonts w:cs="Arial"/>
        </w:rPr>
        <w:t>The TiPSE research team comprises 6 partners from 5 EU Member States:</w:t>
      </w:r>
    </w:p>
    <w:tbl>
      <w:tblPr>
        <w:tblW w:w="9009"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261332" w:rsidRPr="00200724" w:rsidTr="00A24D34">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200724" w:rsidRDefault="00261332" w:rsidP="00A24D34">
            <w:pPr>
              <w:tabs>
                <w:tab w:val="left" w:pos="1418"/>
              </w:tabs>
              <w:spacing w:before="0" w:line="240" w:lineRule="auto"/>
              <w:ind w:right="-250"/>
              <w:rPr>
                <w:rFonts w:cs="Arial"/>
                <w:b/>
                <w:bCs/>
                <w:sz w:val="20"/>
                <w:lang w:eastAsia="en-GB"/>
              </w:rPr>
            </w:pPr>
            <w:r w:rsidRPr="00200724">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b/>
                <w:bCs/>
                <w:sz w:val="20"/>
                <w:lang w:eastAsia="en-GB"/>
              </w:rPr>
            </w:pPr>
            <w:r w:rsidRPr="00200724">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b/>
                <w:bCs/>
                <w:sz w:val="20"/>
                <w:lang w:eastAsia="en-GB"/>
              </w:rPr>
            </w:pPr>
            <w:r w:rsidRPr="00200724">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b/>
                <w:bCs/>
                <w:sz w:val="20"/>
                <w:lang w:eastAsia="en-GB"/>
              </w:rPr>
            </w:pPr>
            <w:r w:rsidRPr="00200724">
              <w:rPr>
                <w:rFonts w:cs="Arial"/>
                <w:b/>
                <w:bCs/>
                <w:sz w:val="20"/>
                <w:lang w:eastAsia="en-GB"/>
              </w:rPr>
              <w:t>Principal Researchers</w:t>
            </w:r>
          </w:p>
        </w:tc>
      </w:tr>
      <w:tr w:rsidR="00261332" w:rsidRPr="00200724" w:rsidTr="00A24D34">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Petri Kahila</w:t>
            </w:r>
          </w:p>
        </w:tc>
      </w:tr>
      <w:tr w:rsidR="00261332" w:rsidRPr="00200724" w:rsidTr="00A24D34">
        <w:trPr>
          <w:trHeight w:val="255"/>
        </w:trPr>
        <w:tc>
          <w:tcPr>
            <w:tcW w:w="539"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bCs/>
                <w:color w:val="000000"/>
                <w:sz w:val="20"/>
                <w:lang w:eastAsia="en-GB"/>
              </w:rPr>
            </w:pPr>
            <w:r w:rsidRPr="00200724">
              <w:rPr>
                <w:rFonts w:cs="Arial"/>
                <w:bCs/>
                <w:color w:val="000000"/>
                <w:sz w:val="20"/>
                <w:lang w:eastAsia="en-GB"/>
              </w:rPr>
              <w:t>2</w:t>
            </w:r>
          </w:p>
        </w:tc>
        <w:tc>
          <w:tcPr>
            <w:tcW w:w="5635"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bCs/>
                <w:color w:val="000000"/>
                <w:sz w:val="20"/>
                <w:lang w:eastAsia="en-GB"/>
              </w:rPr>
            </w:pPr>
            <w:r w:rsidRPr="00200724">
              <w:rPr>
                <w:rFonts w:cs="Arial"/>
                <w:bCs/>
                <w:color w:val="000000"/>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bCs/>
                <w:sz w:val="20"/>
                <w:lang w:eastAsia="en-GB"/>
              </w:rPr>
            </w:pPr>
            <w:r w:rsidRPr="00200724">
              <w:rPr>
                <w:rFonts w:cs="Arial"/>
                <w:bCs/>
                <w:sz w:val="20"/>
                <w:lang w:eastAsia="en-GB"/>
              </w:rPr>
              <w:t>UK</w:t>
            </w:r>
          </w:p>
        </w:tc>
        <w:tc>
          <w:tcPr>
            <w:tcW w:w="2268" w:type="dxa"/>
            <w:tcMar>
              <w:top w:w="0" w:type="dxa"/>
              <w:left w:w="40" w:type="dxa"/>
              <w:bottom w:w="0" w:type="dxa"/>
              <w:right w:w="40" w:type="dxa"/>
            </w:tcMar>
            <w:vAlign w:val="center"/>
          </w:tcPr>
          <w:p w:rsidR="00261332" w:rsidRPr="00200724" w:rsidRDefault="00B95941" w:rsidP="0051144B">
            <w:pPr>
              <w:tabs>
                <w:tab w:val="left" w:pos="1418"/>
              </w:tabs>
              <w:spacing w:before="0" w:line="240" w:lineRule="auto"/>
              <w:rPr>
                <w:rFonts w:cs="Arial"/>
                <w:bCs/>
                <w:sz w:val="20"/>
                <w:lang w:eastAsia="en-GB"/>
              </w:rPr>
            </w:pPr>
            <w:r>
              <w:rPr>
                <w:rFonts w:cs="Arial"/>
                <w:bCs/>
                <w:sz w:val="20"/>
                <w:lang w:eastAsia="en-GB"/>
              </w:rPr>
              <w:t>Philomena de Lima</w:t>
            </w:r>
          </w:p>
        </w:tc>
      </w:tr>
      <w:tr w:rsidR="00261332" w:rsidRPr="00200724" w:rsidTr="00A24D34">
        <w:trPr>
          <w:trHeight w:val="285"/>
        </w:trPr>
        <w:tc>
          <w:tcPr>
            <w:tcW w:w="539"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3</w:t>
            </w:r>
          </w:p>
        </w:tc>
        <w:tc>
          <w:tcPr>
            <w:tcW w:w="5635"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Newcastle University</w:t>
            </w:r>
          </w:p>
        </w:tc>
        <w:tc>
          <w:tcPr>
            <w:tcW w:w="567" w:type="dxa"/>
            <w:shd w:val="clear" w:color="auto" w:fill="auto"/>
            <w:noWrap/>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UK</w:t>
            </w:r>
          </w:p>
        </w:tc>
        <w:tc>
          <w:tcPr>
            <w:tcW w:w="2268" w:type="dxa"/>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Mark Shucksmith</w:t>
            </w:r>
          </w:p>
        </w:tc>
      </w:tr>
      <w:tr w:rsidR="00261332" w:rsidRPr="00200724" w:rsidTr="00A24D34">
        <w:trPr>
          <w:trHeight w:val="255"/>
        </w:trPr>
        <w:tc>
          <w:tcPr>
            <w:tcW w:w="539"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4</w:t>
            </w:r>
          </w:p>
        </w:tc>
        <w:tc>
          <w:tcPr>
            <w:tcW w:w="5635" w:type="dxa"/>
            <w:shd w:val="clear" w:color="auto" w:fill="auto"/>
            <w:tcMar>
              <w:top w:w="0" w:type="dxa"/>
              <w:left w:w="40" w:type="dxa"/>
              <w:bottom w:w="0" w:type="dxa"/>
              <w:right w:w="40" w:type="dxa"/>
            </w:tcMar>
            <w:vAlign w:val="center"/>
          </w:tcPr>
          <w:p w:rsidR="00261332" w:rsidRPr="00200724" w:rsidRDefault="00E66911" w:rsidP="0051144B">
            <w:pPr>
              <w:tabs>
                <w:tab w:val="left" w:pos="1418"/>
              </w:tabs>
              <w:spacing w:before="0" w:line="240" w:lineRule="auto"/>
              <w:rPr>
                <w:rFonts w:cs="Arial"/>
                <w:color w:val="000000"/>
                <w:sz w:val="20"/>
                <w:lang w:eastAsia="en-GB"/>
              </w:rPr>
            </w:pPr>
            <w:r w:rsidRPr="00200724">
              <w:rPr>
                <w:rFonts w:cs="Arial"/>
                <w:color w:val="000000"/>
                <w:sz w:val="20"/>
                <w:lang w:eastAsia="en-GB"/>
              </w:rPr>
              <w:t>Research Centre for Economic and Regional Studies, HAS</w:t>
            </w:r>
          </w:p>
        </w:tc>
        <w:tc>
          <w:tcPr>
            <w:tcW w:w="567" w:type="dxa"/>
            <w:shd w:val="clear" w:color="auto" w:fill="auto"/>
            <w:noWrap/>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HU</w:t>
            </w:r>
          </w:p>
        </w:tc>
        <w:tc>
          <w:tcPr>
            <w:tcW w:w="2268" w:type="dxa"/>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Katalin Kovács</w:t>
            </w:r>
          </w:p>
        </w:tc>
      </w:tr>
      <w:tr w:rsidR="00261332" w:rsidRPr="00200724" w:rsidTr="00A24D34">
        <w:trPr>
          <w:trHeight w:val="255"/>
        </w:trPr>
        <w:tc>
          <w:tcPr>
            <w:tcW w:w="539"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5</w:t>
            </w:r>
          </w:p>
        </w:tc>
        <w:tc>
          <w:tcPr>
            <w:tcW w:w="5635"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DE</w:t>
            </w:r>
          </w:p>
        </w:tc>
        <w:tc>
          <w:tcPr>
            <w:tcW w:w="2268" w:type="dxa"/>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Sabine Weck</w:t>
            </w:r>
          </w:p>
        </w:tc>
      </w:tr>
      <w:tr w:rsidR="00261332" w:rsidRPr="00200724" w:rsidTr="00A24D34">
        <w:trPr>
          <w:trHeight w:val="285"/>
        </w:trPr>
        <w:tc>
          <w:tcPr>
            <w:tcW w:w="539"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6</w:t>
            </w:r>
          </w:p>
        </w:tc>
        <w:tc>
          <w:tcPr>
            <w:tcW w:w="5635" w:type="dxa"/>
            <w:shd w:val="clear" w:color="auto" w:fill="auto"/>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color w:val="000000"/>
                <w:sz w:val="20"/>
                <w:lang w:eastAsia="en-GB"/>
              </w:rPr>
            </w:pPr>
            <w:r w:rsidRPr="00200724">
              <w:rPr>
                <w:rFonts w:cs="Arial"/>
                <w:color w:val="000000"/>
                <w:sz w:val="20"/>
                <w:lang w:eastAsia="en-GB"/>
              </w:rPr>
              <w:t xml:space="preserve">EKKE - </w:t>
            </w:r>
            <w:r w:rsidRPr="00200724">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EL</w:t>
            </w:r>
          </w:p>
        </w:tc>
        <w:tc>
          <w:tcPr>
            <w:tcW w:w="2268" w:type="dxa"/>
            <w:tcMar>
              <w:top w:w="0" w:type="dxa"/>
              <w:left w:w="40" w:type="dxa"/>
              <w:bottom w:w="0" w:type="dxa"/>
              <w:right w:w="40" w:type="dxa"/>
            </w:tcMar>
            <w:vAlign w:val="center"/>
          </w:tcPr>
          <w:p w:rsidR="00261332" w:rsidRPr="00200724" w:rsidRDefault="00261332" w:rsidP="0051144B">
            <w:pPr>
              <w:tabs>
                <w:tab w:val="left" w:pos="1418"/>
              </w:tabs>
              <w:spacing w:before="0" w:line="240" w:lineRule="auto"/>
              <w:rPr>
                <w:rFonts w:cs="Arial"/>
                <w:sz w:val="20"/>
                <w:lang w:eastAsia="en-GB"/>
              </w:rPr>
            </w:pPr>
            <w:r w:rsidRPr="00200724">
              <w:rPr>
                <w:rFonts w:cs="Arial"/>
                <w:sz w:val="20"/>
                <w:lang w:eastAsia="en-GB"/>
              </w:rPr>
              <w:t>Thomas Maloutas</w:t>
            </w:r>
          </w:p>
        </w:tc>
      </w:tr>
      <w:tr w:rsidR="00B95941" w:rsidRPr="00200724" w:rsidTr="00A24D34">
        <w:trPr>
          <w:trHeight w:val="285"/>
        </w:trPr>
        <w:tc>
          <w:tcPr>
            <w:tcW w:w="539" w:type="dxa"/>
            <w:shd w:val="clear" w:color="auto" w:fill="auto"/>
            <w:tcMar>
              <w:top w:w="0" w:type="dxa"/>
              <w:left w:w="40" w:type="dxa"/>
              <w:bottom w:w="0" w:type="dxa"/>
              <w:right w:w="40" w:type="dxa"/>
            </w:tcMar>
            <w:vAlign w:val="center"/>
          </w:tcPr>
          <w:p w:rsidR="00B95941" w:rsidRPr="00D00C93" w:rsidRDefault="00B95941" w:rsidP="00C41557">
            <w:pPr>
              <w:spacing w:before="0" w:line="240" w:lineRule="auto"/>
              <w:jc w:val="center"/>
              <w:rPr>
                <w:rFonts w:cs="Arial"/>
                <w:sz w:val="20"/>
                <w:lang w:eastAsia="en-GB"/>
              </w:rPr>
            </w:pPr>
            <w:r>
              <w:rPr>
                <w:rFonts w:cs="Arial"/>
                <w:sz w:val="20"/>
                <w:lang w:eastAsia="en-GB"/>
              </w:rPr>
              <w:t>7</w:t>
            </w:r>
          </w:p>
        </w:tc>
        <w:tc>
          <w:tcPr>
            <w:tcW w:w="5635" w:type="dxa"/>
            <w:shd w:val="clear" w:color="auto" w:fill="auto"/>
            <w:tcMar>
              <w:top w:w="0" w:type="dxa"/>
              <w:left w:w="40" w:type="dxa"/>
              <w:bottom w:w="0" w:type="dxa"/>
              <w:right w:w="40" w:type="dxa"/>
            </w:tcMar>
            <w:vAlign w:val="center"/>
          </w:tcPr>
          <w:p w:rsidR="00B95941" w:rsidRPr="00201079" w:rsidRDefault="00B95941" w:rsidP="00C41557">
            <w:pPr>
              <w:spacing w:before="0" w:line="240" w:lineRule="auto"/>
              <w:jc w:val="left"/>
              <w:rPr>
                <w:rFonts w:cs="Arial"/>
                <w:color w:val="000000"/>
                <w:sz w:val="20"/>
                <w:lang w:eastAsia="en-GB"/>
              </w:rPr>
            </w:pPr>
            <w:r>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B95941" w:rsidRPr="00201079" w:rsidRDefault="00B95941" w:rsidP="00C41557">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B95941" w:rsidRPr="00201079" w:rsidRDefault="00B95941" w:rsidP="00C41557">
            <w:pPr>
              <w:spacing w:before="0" w:line="240" w:lineRule="auto"/>
              <w:jc w:val="left"/>
              <w:rPr>
                <w:rFonts w:cs="Arial"/>
                <w:sz w:val="20"/>
                <w:lang w:eastAsia="en-GB"/>
              </w:rPr>
            </w:pPr>
            <w:r>
              <w:rPr>
                <w:rFonts w:cs="Arial"/>
                <w:sz w:val="20"/>
                <w:lang w:eastAsia="en-GB"/>
              </w:rPr>
              <w:t>Andrew Copus</w:t>
            </w:r>
          </w:p>
        </w:tc>
      </w:tr>
    </w:tbl>
    <w:p w:rsidR="005703AA" w:rsidRPr="00200724" w:rsidRDefault="00380A7F" w:rsidP="0051144B">
      <w:pPr>
        <w:pStyle w:val="ESPONText"/>
        <w:rPr>
          <w:rFonts w:cs="Arial"/>
          <w:sz w:val="32"/>
          <w:szCs w:val="32"/>
        </w:rPr>
      </w:pPr>
      <w:r w:rsidRPr="00200724">
        <w:rPr>
          <w:rFonts w:cs="Arial"/>
          <w:sz w:val="32"/>
          <w:szCs w:val="32"/>
        </w:rPr>
        <w:br w:type="column"/>
      </w:r>
      <w:r w:rsidR="005703AA" w:rsidRPr="00200724">
        <w:rPr>
          <w:rFonts w:cs="Arial"/>
          <w:sz w:val="32"/>
          <w:szCs w:val="32"/>
        </w:rPr>
        <w:lastRenderedPageBreak/>
        <w:t>LIST OF ABBREVIATIONS</w:t>
      </w:r>
    </w:p>
    <w:p w:rsidR="006B3F04" w:rsidRDefault="006B3F04" w:rsidP="006B3F04">
      <w:pPr>
        <w:pStyle w:val="ESPONText"/>
        <w:spacing w:after="0" w:line="360" w:lineRule="auto"/>
        <w:rPr>
          <w:rFonts w:cs="Arial"/>
        </w:rPr>
      </w:pPr>
    </w:p>
    <w:p w:rsidR="00DD789B" w:rsidRDefault="00DD789B" w:rsidP="00123B30">
      <w:pPr>
        <w:pStyle w:val="ESPONText"/>
        <w:spacing w:before="120" w:line="276" w:lineRule="auto"/>
        <w:rPr>
          <w:rFonts w:cs="Arial"/>
        </w:rPr>
      </w:pPr>
      <w:r w:rsidRPr="00200724">
        <w:rPr>
          <w:rFonts w:cs="Arial"/>
        </w:rPr>
        <w:t>ABPRS</w:t>
      </w:r>
      <w:r w:rsidR="00DC3EAE">
        <w:rPr>
          <w:rFonts w:cs="Arial"/>
        </w:rPr>
        <w:t xml:space="preserve"> </w:t>
      </w:r>
      <w:r w:rsidR="00DC3EAE">
        <w:rPr>
          <w:rFonts w:cs="Arial"/>
        </w:rPr>
        <w:tab/>
        <w:t>–</w:t>
      </w:r>
      <w:r w:rsidR="00DC3EAE">
        <w:rPr>
          <w:rFonts w:cs="Arial"/>
        </w:rPr>
        <w:tab/>
      </w:r>
      <w:r w:rsidRPr="00200724">
        <w:rPr>
          <w:rFonts w:cs="Arial"/>
        </w:rPr>
        <w:t>Address Based Population Registration System</w:t>
      </w:r>
    </w:p>
    <w:p w:rsidR="00DD789B" w:rsidRDefault="0051144B" w:rsidP="00123B30">
      <w:pPr>
        <w:pStyle w:val="ESPONText"/>
        <w:spacing w:before="120" w:line="276" w:lineRule="auto"/>
        <w:rPr>
          <w:rFonts w:cs="Arial"/>
        </w:rPr>
      </w:pPr>
      <w:r>
        <w:rPr>
          <w:rFonts w:cs="Arial"/>
        </w:rPr>
        <w:t>GDP</w:t>
      </w:r>
      <w:r>
        <w:rPr>
          <w:rFonts w:cs="Arial"/>
        </w:rPr>
        <w:tab/>
      </w:r>
      <w:r>
        <w:rPr>
          <w:rFonts w:cs="Arial"/>
        </w:rPr>
        <w:tab/>
      </w:r>
      <w:r w:rsidR="00DC3EAE">
        <w:rPr>
          <w:rFonts w:cs="Arial"/>
        </w:rPr>
        <w:t>–</w:t>
      </w:r>
      <w:r>
        <w:rPr>
          <w:rFonts w:cs="Arial"/>
        </w:rPr>
        <w:tab/>
      </w:r>
      <w:r w:rsidR="00DD789B">
        <w:rPr>
          <w:rFonts w:cs="Arial"/>
        </w:rPr>
        <w:t>Gross Domestic Product</w:t>
      </w:r>
    </w:p>
    <w:p w:rsidR="00DD789B" w:rsidRDefault="0051144B" w:rsidP="00123B30">
      <w:pPr>
        <w:pStyle w:val="ESPONText"/>
        <w:spacing w:before="120" w:line="276" w:lineRule="auto"/>
        <w:rPr>
          <w:rFonts w:cs="Arial"/>
        </w:rPr>
      </w:pPr>
      <w:r>
        <w:rPr>
          <w:rFonts w:cs="Arial"/>
        </w:rPr>
        <w:t>GVA</w:t>
      </w:r>
      <w:r>
        <w:rPr>
          <w:rFonts w:cs="Arial"/>
        </w:rPr>
        <w:tab/>
      </w:r>
      <w:r>
        <w:rPr>
          <w:rFonts w:cs="Arial"/>
        </w:rPr>
        <w:tab/>
      </w:r>
      <w:r w:rsidR="00DC3EAE">
        <w:rPr>
          <w:rFonts w:cs="Arial"/>
        </w:rPr>
        <w:t>–</w:t>
      </w:r>
      <w:r w:rsidR="00DC3EAE">
        <w:rPr>
          <w:rFonts w:cs="Arial"/>
        </w:rPr>
        <w:tab/>
      </w:r>
      <w:r w:rsidR="00DD789B">
        <w:rPr>
          <w:rFonts w:cs="Arial"/>
        </w:rPr>
        <w:t>Gross Value Added</w:t>
      </w:r>
    </w:p>
    <w:p w:rsidR="00DD789B" w:rsidRDefault="0051144B" w:rsidP="00123B30">
      <w:pPr>
        <w:pStyle w:val="ESPONText"/>
        <w:spacing w:before="120" w:line="276" w:lineRule="auto"/>
        <w:rPr>
          <w:rFonts w:cs="Arial"/>
        </w:rPr>
      </w:pPr>
      <w:r>
        <w:rPr>
          <w:rFonts w:cs="Arial"/>
        </w:rPr>
        <w:t>MRI</w:t>
      </w:r>
      <w:r>
        <w:rPr>
          <w:rFonts w:cs="Arial"/>
        </w:rPr>
        <w:tab/>
      </w:r>
      <w:r>
        <w:rPr>
          <w:rFonts w:cs="Arial"/>
        </w:rPr>
        <w:tab/>
      </w:r>
      <w:r w:rsidR="00DC3EAE">
        <w:rPr>
          <w:rFonts w:cs="Arial"/>
        </w:rPr>
        <w:t>–</w:t>
      </w:r>
      <w:r w:rsidR="00DC3EAE">
        <w:rPr>
          <w:rFonts w:cs="Arial"/>
        </w:rPr>
        <w:tab/>
      </w:r>
      <w:r w:rsidR="00DD789B">
        <w:rPr>
          <w:rFonts w:cs="Arial"/>
        </w:rPr>
        <w:t>Metropolitan Region of Izmir</w:t>
      </w:r>
    </w:p>
    <w:p w:rsidR="00DD789B" w:rsidRDefault="00DD789B" w:rsidP="00123B30">
      <w:pPr>
        <w:pStyle w:val="ESPONText"/>
        <w:spacing w:before="120" w:line="276" w:lineRule="auto"/>
        <w:rPr>
          <w:rFonts w:cs="Arial"/>
        </w:rPr>
      </w:pPr>
      <w:r w:rsidRPr="006B3F04">
        <w:rPr>
          <w:rFonts w:cs="Arial"/>
        </w:rPr>
        <w:t>NARKENT</w:t>
      </w:r>
      <w:r w:rsidR="0051144B">
        <w:rPr>
          <w:rFonts w:cs="Arial"/>
        </w:rPr>
        <w:tab/>
      </w:r>
      <w:r w:rsidR="00DC3EAE">
        <w:rPr>
          <w:rFonts w:cs="Arial"/>
        </w:rPr>
        <w:t>–</w:t>
      </w:r>
      <w:r w:rsidR="0051144B">
        <w:rPr>
          <w:rFonts w:cs="Arial"/>
        </w:rPr>
        <w:tab/>
      </w:r>
      <w:r>
        <w:rPr>
          <w:rFonts w:cs="Arial"/>
        </w:rPr>
        <w:t>Narli</w:t>
      </w:r>
      <w:r w:rsidRPr="006B3F04">
        <w:rPr>
          <w:rFonts w:cs="Arial"/>
        </w:rPr>
        <w:t>dere Urba</w:t>
      </w:r>
      <w:r>
        <w:rPr>
          <w:rFonts w:cs="Arial"/>
        </w:rPr>
        <w:t>n Regeneration Project</w:t>
      </w:r>
    </w:p>
    <w:p w:rsidR="00DD789B" w:rsidRDefault="0051144B" w:rsidP="00123B30">
      <w:pPr>
        <w:pStyle w:val="ESPONText"/>
        <w:spacing w:before="120" w:line="276" w:lineRule="auto"/>
        <w:rPr>
          <w:rFonts w:cs="Arial"/>
        </w:rPr>
      </w:pPr>
      <w:r>
        <w:rPr>
          <w:rFonts w:cs="Arial"/>
        </w:rPr>
        <w:t>OECD</w:t>
      </w:r>
      <w:r>
        <w:rPr>
          <w:rFonts w:cs="Arial"/>
        </w:rPr>
        <w:tab/>
      </w:r>
      <w:r>
        <w:rPr>
          <w:rFonts w:cs="Arial"/>
        </w:rPr>
        <w:tab/>
      </w:r>
      <w:r w:rsidR="00DC3EAE">
        <w:rPr>
          <w:rFonts w:cs="Arial"/>
        </w:rPr>
        <w:t>–</w:t>
      </w:r>
      <w:r>
        <w:rPr>
          <w:rFonts w:cs="Arial"/>
        </w:rPr>
        <w:tab/>
      </w:r>
      <w:r w:rsidR="00DD789B" w:rsidRPr="001A50A4">
        <w:rPr>
          <w:rFonts w:cs="Arial"/>
        </w:rPr>
        <w:t>Organization for Economic Cooperation and Development</w:t>
      </w:r>
    </w:p>
    <w:p w:rsidR="00DD789B" w:rsidRDefault="0051144B" w:rsidP="00123B30">
      <w:pPr>
        <w:pStyle w:val="ESPONText"/>
        <w:spacing w:before="120" w:line="276" w:lineRule="auto"/>
        <w:rPr>
          <w:rFonts w:cs="Arial"/>
        </w:rPr>
      </w:pPr>
      <w:r>
        <w:rPr>
          <w:rFonts w:cs="Arial"/>
        </w:rPr>
        <w:t>SBS</w:t>
      </w:r>
      <w:r>
        <w:rPr>
          <w:rFonts w:cs="Arial"/>
        </w:rPr>
        <w:tab/>
      </w:r>
      <w:r>
        <w:rPr>
          <w:rFonts w:cs="Arial"/>
        </w:rPr>
        <w:tab/>
      </w:r>
      <w:r w:rsidR="00DC3EAE">
        <w:rPr>
          <w:rFonts w:cs="Arial"/>
        </w:rPr>
        <w:t>–</w:t>
      </w:r>
      <w:r w:rsidR="00DC3EAE">
        <w:rPr>
          <w:rFonts w:cs="Arial"/>
        </w:rPr>
        <w:tab/>
      </w:r>
      <w:r w:rsidR="00DD789B">
        <w:rPr>
          <w:rFonts w:cs="Arial"/>
        </w:rPr>
        <w:t>Level Measurment Exams</w:t>
      </w:r>
    </w:p>
    <w:p w:rsidR="00DD789B" w:rsidRDefault="0051144B" w:rsidP="00123B30">
      <w:pPr>
        <w:pStyle w:val="ESPONText"/>
        <w:spacing w:before="120" w:line="276" w:lineRule="auto"/>
        <w:rPr>
          <w:rFonts w:cs="Arial"/>
        </w:rPr>
      </w:pPr>
      <w:r>
        <w:rPr>
          <w:rFonts w:cs="Arial"/>
        </w:rPr>
        <w:t>TOKI</w:t>
      </w:r>
      <w:r>
        <w:rPr>
          <w:rFonts w:cs="Arial"/>
        </w:rPr>
        <w:tab/>
      </w:r>
      <w:r>
        <w:rPr>
          <w:rFonts w:cs="Arial"/>
        </w:rPr>
        <w:tab/>
      </w:r>
      <w:r w:rsidR="00DC3EAE">
        <w:rPr>
          <w:rFonts w:cs="Arial"/>
        </w:rPr>
        <w:t>–</w:t>
      </w:r>
      <w:r w:rsidR="00DC3EAE">
        <w:rPr>
          <w:rFonts w:cs="Arial"/>
        </w:rPr>
        <w:tab/>
      </w:r>
      <w:r w:rsidR="00DD789B" w:rsidRPr="002F197F">
        <w:rPr>
          <w:rFonts w:cs="Arial"/>
          <w:noProof/>
        </w:rPr>
        <w:t>Turkish Housing Development Administration</w:t>
      </w:r>
    </w:p>
    <w:p w:rsidR="00DD789B" w:rsidRDefault="0051144B" w:rsidP="00123B30">
      <w:pPr>
        <w:pStyle w:val="ESPONText"/>
        <w:spacing w:before="120" w:line="276" w:lineRule="auto"/>
        <w:rPr>
          <w:rFonts w:cs="Arial"/>
        </w:rPr>
      </w:pPr>
      <w:r>
        <w:rPr>
          <w:rFonts w:cs="Arial"/>
        </w:rPr>
        <w:t>TUIK</w:t>
      </w:r>
      <w:r>
        <w:rPr>
          <w:rFonts w:cs="Arial"/>
        </w:rPr>
        <w:tab/>
      </w:r>
      <w:r>
        <w:rPr>
          <w:rFonts w:cs="Arial"/>
        </w:rPr>
        <w:tab/>
      </w:r>
      <w:r w:rsidR="00DC3EAE">
        <w:rPr>
          <w:rFonts w:cs="Arial"/>
        </w:rPr>
        <w:t>–</w:t>
      </w:r>
      <w:r w:rsidR="00DC3EAE">
        <w:rPr>
          <w:rFonts w:cs="Arial"/>
        </w:rPr>
        <w:tab/>
      </w:r>
      <w:r w:rsidR="00DD789B">
        <w:rPr>
          <w:rFonts w:cs="Arial"/>
        </w:rPr>
        <w:t>Turkish Statistical Institute</w:t>
      </w:r>
    </w:p>
    <w:p w:rsidR="00DD789B" w:rsidRDefault="00DD789B" w:rsidP="00123B30">
      <w:pPr>
        <w:pStyle w:val="ESPONText"/>
        <w:spacing w:before="120" w:line="276" w:lineRule="auto"/>
        <w:rPr>
          <w:rFonts w:cs="Arial"/>
        </w:rPr>
      </w:pPr>
      <w:r>
        <w:rPr>
          <w:rFonts w:cs="Arial"/>
        </w:rPr>
        <w:t>YOK</w:t>
      </w:r>
      <w:r w:rsidR="0051144B">
        <w:rPr>
          <w:rFonts w:cs="Arial"/>
        </w:rPr>
        <w:tab/>
      </w:r>
      <w:r w:rsidR="0051144B">
        <w:rPr>
          <w:rFonts w:cs="Arial"/>
        </w:rPr>
        <w:tab/>
      </w:r>
      <w:r w:rsidR="00DC3EAE">
        <w:rPr>
          <w:rFonts w:cs="Arial"/>
        </w:rPr>
        <w:t>–</w:t>
      </w:r>
      <w:r w:rsidR="00DC3EAE">
        <w:rPr>
          <w:rFonts w:cs="Arial"/>
        </w:rPr>
        <w:tab/>
      </w:r>
      <w:r>
        <w:rPr>
          <w:rFonts w:cs="Arial"/>
        </w:rPr>
        <w:t>Council of Higher Education</w:t>
      </w:r>
    </w:p>
    <w:p w:rsidR="0051144B" w:rsidRPr="00200724" w:rsidRDefault="0051144B" w:rsidP="00083D01">
      <w:pPr>
        <w:pStyle w:val="ESPONText"/>
        <w:spacing w:after="0" w:line="240" w:lineRule="auto"/>
        <w:rPr>
          <w:rFonts w:cs="Arial"/>
        </w:rPr>
      </w:pPr>
    </w:p>
    <w:p w:rsidR="00D95FA4" w:rsidRPr="00200724" w:rsidRDefault="005703AA" w:rsidP="0051144B">
      <w:pPr>
        <w:pStyle w:val="ESPONSubtitle"/>
        <w:spacing w:before="0" w:line="276" w:lineRule="auto"/>
        <w:ind w:left="1191" w:right="1134" w:hanging="907"/>
        <w:jc w:val="center"/>
        <w:rPr>
          <w:rFonts w:cs="Arial"/>
        </w:rPr>
      </w:pPr>
      <w:r w:rsidRPr="00200724">
        <w:rPr>
          <w:rFonts w:cs="Arial"/>
        </w:rPr>
        <w:br w:type="column"/>
      </w:r>
      <w:r w:rsidR="00C82741" w:rsidRPr="00200724">
        <w:rPr>
          <w:rFonts w:cs="Arial"/>
        </w:rPr>
        <w:lastRenderedPageBreak/>
        <w:t>CONTENTS</w:t>
      </w:r>
    </w:p>
    <w:p w:rsidR="00E36FE5" w:rsidRPr="00200724" w:rsidRDefault="00E36FE5" w:rsidP="00B22FBB">
      <w:pPr>
        <w:pStyle w:val="TOC1"/>
      </w:pPr>
    </w:p>
    <w:p w:rsidR="004F5E15" w:rsidRDefault="00E472CB">
      <w:pPr>
        <w:pStyle w:val="TOC1"/>
        <w:rPr>
          <w:rFonts w:asciiTheme="minorHAnsi" w:eastAsiaTheme="minorEastAsia" w:hAnsiTheme="minorHAnsi" w:cstheme="minorBidi"/>
          <w:szCs w:val="22"/>
          <w:lang w:val="de-DE" w:eastAsia="de-DE"/>
        </w:rPr>
      </w:pPr>
      <w:r w:rsidRPr="00200724">
        <w:rPr>
          <w:rFonts w:cs="Arial"/>
          <w:szCs w:val="22"/>
        </w:rPr>
        <w:fldChar w:fldCharType="begin"/>
      </w:r>
      <w:r w:rsidR="00BB5A9A" w:rsidRPr="00200724">
        <w:rPr>
          <w:rFonts w:cs="Arial"/>
          <w:szCs w:val="22"/>
        </w:rPr>
        <w:instrText xml:space="preserve"> TOC \o "1-2" \h \z \u </w:instrText>
      </w:r>
      <w:r w:rsidRPr="00200724">
        <w:rPr>
          <w:rFonts w:cs="Arial"/>
          <w:szCs w:val="22"/>
        </w:rPr>
        <w:fldChar w:fldCharType="separate"/>
      </w:r>
      <w:hyperlink w:anchor="_Toc384993693" w:history="1">
        <w:r w:rsidR="004F5E15" w:rsidRPr="00455E0A">
          <w:rPr>
            <w:rStyle w:val="Hyperlink"/>
          </w:rPr>
          <w:t>Executive Summary</w:t>
        </w:r>
        <w:r w:rsidR="004F5E15">
          <w:rPr>
            <w:webHidden/>
          </w:rPr>
          <w:tab/>
        </w:r>
        <w:r w:rsidR="004F5E15">
          <w:rPr>
            <w:webHidden/>
          </w:rPr>
          <w:fldChar w:fldCharType="begin"/>
        </w:r>
        <w:r w:rsidR="004F5E15">
          <w:rPr>
            <w:webHidden/>
          </w:rPr>
          <w:instrText xml:space="preserve"> PAGEREF _Toc384993693 \h </w:instrText>
        </w:r>
        <w:r w:rsidR="004F5E15">
          <w:rPr>
            <w:webHidden/>
          </w:rPr>
        </w:r>
        <w:r w:rsidR="004F5E15">
          <w:rPr>
            <w:webHidden/>
          </w:rPr>
          <w:fldChar w:fldCharType="separate"/>
        </w:r>
        <w:r w:rsidR="00D95984">
          <w:rPr>
            <w:webHidden/>
          </w:rPr>
          <w:t>vii</w:t>
        </w:r>
        <w:r w:rsidR="004F5E15">
          <w:rPr>
            <w:webHidden/>
          </w:rPr>
          <w:fldChar w:fldCharType="end"/>
        </w:r>
      </w:hyperlink>
    </w:p>
    <w:p w:rsidR="004F5E15" w:rsidRDefault="00C46323">
      <w:pPr>
        <w:pStyle w:val="TOC1"/>
        <w:rPr>
          <w:rFonts w:asciiTheme="minorHAnsi" w:eastAsiaTheme="minorEastAsia" w:hAnsiTheme="minorHAnsi" w:cstheme="minorBidi"/>
          <w:szCs w:val="22"/>
          <w:lang w:val="de-DE" w:eastAsia="de-DE"/>
        </w:rPr>
      </w:pPr>
      <w:hyperlink w:anchor="_Toc384993694" w:history="1">
        <w:r w:rsidR="004F5E15" w:rsidRPr="00455E0A">
          <w:rPr>
            <w:rStyle w:val="Hyperlink"/>
            <w:rFonts w:cs="Arial"/>
          </w:rPr>
          <w:t>1</w:t>
        </w:r>
        <w:r w:rsidR="004F5E15">
          <w:rPr>
            <w:rFonts w:asciiTheme="minorHAnsi" w:eastAsiaTheme="minorEastAsia" w:hAnsiTheme="minorHAnsi" w:cstheme="minorBidi"/>
            <w:szCs w:val="22"/>
            <w:lang w:val="de-DE" w:eastAsia="de-DE"/>
          </w:rPr>
          <w:tab/>
        </w:r>
        <w:r w:rsidR="004F5E15" w:rsidRPr="00455E0A">
          <w:rPr>
            <w:rStyle w:val="Hyperlink"/>
            <w:rFonts w:cs="Arial"/>
          </w:rPr>
          <w:t>The regional context</w:t>
        </w:r>
        <w:r w:rsidR="004F5E15">
          <w:rPr>
            <w:webHidden/>
          </w:rPr>
          <w:tab/>
        </w:r>
        <w:r w:rsidR="004F5E15">
          <w:rPr>
            <w:webHidden/>
          </w:rPr>
          <w:fldChar w:fldCharType="begin"/>
        </w:r>
        <w:r w:rsidR="004F5E15">
          <w:rPr>
            <w:webHidden/>
          </w:rPr>
          <w:instrText xml:space="preserve"> PAGEREF _Toc384993694 \h </w:instrText>
        </w:r>
        <w:r w:rsidR="004F5E15">
          <w:rPr>
            <w:webHidden/>
          </w:rPr>
        </w:r>
        <w:r w:rsidR="004F5E15">
          <w:rPr>
            <w:webHidden/>
          </w:rPr>
          <w:fldChar w:fldCharType="separate"/>
        </w:r>
        <w:r w:rsidR="00D95984">
          <w:rPr>
            <w:webHidden/>
          </w:rPr>
          <w:t>1</w:t>
        </w:r>
        <w:r w:rsidR="004F5E15">
          <w:rPr>
            <w:webHidden/>
          </w:rPr>
          <w:fldChar w:fldCharType="end"/>
        </w:r>
      </w:hyperlink>
    </w:p>
    <w:p w:rsidR="004F5E15" w:rsidRDefault="00C46323">
      <w:pPr>
        <w:pStyle w:val="TOC1"/>
        <w:rPr>
          <w:rFonts w:asciiTheme="minorHAnsi" w:eastAsiaTheme="minorEastAsia" w:hAnsiTheme="minorHAnsi" w:cstheme="minorBidi"/>
          <w:szCs w:val="22"/>
          <w:lang w:val="de-DE" w:eastAsia="de-DE"/>
        </w:rPr>
      </w:pPr>
      <w:hyperlink w:anchor="_Toc384993695" w:history="1">
        <w:r w:rsidR="004F5E15" w:rsidRPr="00455E0A">
          <w:rPr>
            <w:rStyle w:val="Hyperlink"/>
          </w:rPr>
          <w:t>2</w:t>
        </w:r>
        <w:r w:rsidR="004F5E15">
          <w:rPr>
            <w:rFonts w:asciiTheme="minorHAnsi" w:eastAsiaTheme="minorEastAsia" w:hAnsiTheme="minorHAnsi" w:cstheme="minorBidi"/>
            <w:szCs w:val="22"/>
            <w:lang w:val="de-DE" w:eastAsia="de-DE"/>
          </w:rPr>
          <w:tab/>
        </w:r>
        <w:r w:rsidR="004F5E15" w:rsidRPr="00455E0A">
          <w:rPr>
            <w:rStyle w:val="Hyperlink"/>
          </w:rPr>
          <w:t>Characteristics of social exclusion and poverty: patterns and processes</w:t>
        </w:r>
        <w:r w:rsidR="004F5E15">
          <w:rPr>
            <w:webHidden/>
          </w:rPr>
          <w:tab/>
        </w:r>
        <w:r w:rsidR="004F5E15">
          <w:rPr>
            <w:webHidden/>
          </w:rPr>
          <w:fldChar w:fldCharType="begin"/>
        </w:r>
        <w:r w:rsidR="004F5E15">
          <w:rPr>
            <w:webHidden/>
          </w:rPr>
          <w:instrText xml:space="preserve"> PAGEREF _Toc384993695 \h </w:instrText>
        </w:r>
        <w:r w:rsidR="004F5E15">
          <w:rPr>
            <w:webHidden/>
          </w:rPr>
        </w:r>
        <w:r w:rsidR="004F5E15">
          <w:rPr>
            <w:webHidden/>
          </w:rPr>
          <w:fldChar w:fldCharType="separate"/>
        </w:r>
        <w:r w:rsidR="00D95984">
          <w:rPr>
            <w:webHidden/>
          </w:rPr>
          <w:t>9</w:t>
        </w:r>
        <w:r w:rsidR="004F5E15">
          <w:rPr>
            <w:webHidden/>
          </w:rPr>
          <w:fldChar w:fldCharType="end"/>
        </w:r>
      </w:hyperlink>
    </w:p>
    <w:p w:rsidR="004F5E15" w:rsidRDefault="00C46323">
      <w:pPr>
        <w:pStyle w:val="TOC1"/>
        <w:rPr>
          <w:rFonts w:asciiTheme="minorHAnsi" w:eastAsiaTheme="minorEastAsia" w:hAnsiTheme="minorHAnsi" w:cstheme="minorBidi"/>
          <w:szCs w:val="22"/>
          <w:lang w:val="de-DE" w:eastAsia="de-DE"/>
        </w:rPr>
      </w:pPr>
      <w:hyperlink w:anchor="_Toc384993696" w:history="1">
        <w:r w:rsidR="004F5E15" w:rsidRPr="00455E0A">
          <w:rPr>
            <w:rStyle w:val="Hyperlink"/>
          </w:rPr>
          <w:t>3</w:t>
        </w:r>
        <w:r w:rsidR="004F5E15">
          <w:rPr>
            <w:rFonts w:asciiTheme="minorHAnsi" w:eastAsiaTheme="minorEastAsia" w:hAnsiTheme="minorHAnsi" w:cstheme="minorBidi"/>
            <w:szCs w:val="22"/>
            <w:lang w:val="de-DE" w:eastAsia="de-DE"/>
          </w:rPr>
          <w:tab/>
        </w:r>
        <w:r w:rsidR="004F5E15" w:rsidRPr="00455E0A">
          <w:rPr>
            <w:rStyle w:val="Hyperlink"/>
          </w:rPr>
          <w:t>Analysis of underlying processes and trends</w:t>
        </w:r>
        <w:r w:rsidR="004F5E15">
          <w:rPr>
            <w:webHidden/>
          </w:rPr>
          <w:tab/>
        </w:r>
        <w:r w:rsidR="004F5E15">
          <w:rPr>
            <w:webHidden/>
          </w:rPr>
          <w:fldChar w:fldCharType="begin"/>
        </w:r>
        <w:r w:rsidR="004F5E15">
          <w:rPr>
            <w:webHidden/>
          </w:rPr>
          <w:instrText xml:space="preserve"> PAGEREF _Toc384993696 \h </w:instrText>
        </w:r>
        <w:r w:rsidR="004F5E15">
          <w:rPr>
            <w:webHidden/>
          </w:rPr>
        </w:r>
        <w:r w:rsidR="004F5E15">
          <w:rPr>
            <w:webHidden/>
          </w:rPr>
          <w:fldChar w:fldCharType="separate"/>
        </w:r>
        <w:r w:rsidR="00D95984">
          <w:rPr>
            <w:webHidden/>
          </w:rPr>
          <w:t>14</w:t>
        </w:r>
        <w:r w:rsidR="004F5E15">
          <w:rPr>
            <w:webHidden/>
          </w:rPr>
          <w:fldChar w:fldCharType="end"/>
        </w:r>
      </w:hyperlink>
    </w:p>
    <w:p w:rsidR="004F5E15" w:rsidRDefault="00C46323">
      <w:pPr>
        <w:pStyle w:val="TOC1"/>
        <w:rPr>
          <w:rFonts w:asciiTheme="minorHAnsi" w:eastAsiaTheme="minorEastAsia" w:hAnsiTheme="minorHAnsi" w:cstheme="minorBidi"/>
          <w:szCs w:val="22"/>
          <w:lang w:val="de-DE" w:eastAsia="de-DE"/>
        </w:rPr>
      </w:pPr>
      <w:hyperlink w:anchor="_Toc384993697" w:history="1">
        <w:r w:rsidR="004F5E15" w:rsidRPr="00455E0A">
          <w:rPr>
            <w:rStyle w:val="Hyperlink"/>
          </w:rPr>
          <w:t>4</w:t>
        </w:r>
        <w:r w:rsidR="004F5E15">
          <w:rPr>
            <w:rFonts w:asciiTheme="minorHAnsi" w:eastAsiaTheme="minorEastAsia" w:hAnsiTheme="minorHAnsi" w:cstheme="minorBidi"/>
            <w:szCs w:val="22"/>
            <w:lang w:val="de-DE" w:eastAsia="de-DE"/>
          </w:rPr>
          <w:tab/>
        </w:r>
        <w:r w:rsidR="004F5E15" w:rsidRPr="00455E0A">
          <w:rPr>
            <w:rStyle w:val="Hyperlink"/>
          </w:rPr>
          <w:t>Validity of European wide data from local perspective</w:t>
        </w:r>
        <w:r w:rsidR="004F5E15">
          <w:rPr>
            <w:webHidden/>
          </w:rPr>
          <w:tab/>
        </w:r>
        <w:r w:rsidR="004F5E15">
          <w:rPr>
            <w:webHidden/>
          </w:rPr>
          <w:fldChar w:fldCharType="begin"/>
        </w:r>
        <w:r w:rsidR="004F5E15">
          <w:rPr>
            <w:webHidden/>
          </w:rPr>
          <w:instrText xml:space="preserve"> PAGEREF _Toc384993697 \h </w:instrText>
        </w:r>
        <w:r w:rsidR="004F5E15">
          <w:rPr>
            <w:webHidden/>
          </w:rPr>
        </w:r>
        <w:r w:rsidR="004F5E15">
          <w:rPr>
            <w:webHidden/>
          </w:rPr>
          <w:fldChar w:fldCharType="separate"/>
        </w:r>
        <w:r w:rsidR="00D95984">
          <w:rPr>
            <w:webHidden/>
          </w:rPr>
          <w:t>22</w:t>
        </w:r>
        <w:r w:rsidR="004F5E15">
          <w:rPr>
            <w:webHidden/>
          </w:rPr>
          <w:fldChar w:fldCharType="end"/>
        </w:r>
      </w:hyperlink>
    </w:p>
    <w:p w:rsidR="004F5E15" w:rsidRDefault="00C46323">
      <w:pPr>
        <w:pStyle w:val="TOC1"/>
        <w:rPr>
          <w:rFonts w:asciiTheme="minorHAnsi" w:eastAsiaTheme="minorEastAsia" w:hAnsiTheme="minorHAnsi" w:cstheme="minorBidi"/>
          <w:szCs w:val="22"/>
          <w:lang w:val="de-DE" w:eastAsia="de-DE"/>
        </w:rPr>
      </w:pPr>
      <w:hyperlink w:anchor="_Toc384993698" w:history="1">
        <w:r w:rsidR="004F5E15" w:rsidRPr="00455E0A">
          <w:rPr>
            <w:rStyle w:val="Hyperlink"/>
          </w:rPr>
          <w:t>5</w:t>
        </w:r>
        <w:r w:rsidR="004F5E15">
          <w:rPr>
            <w:rFonts w:asciiTheme="minorHAnsi" w:eastAsiaTheme="minorEastAsia" w:hAnsiTheme="minorHAnsi" w:cstheme="minorBidi"/>
            <w:szCs w:val="22"/>
            <w:lang w:val="de-DE" w:eastAsia="de-DE"/>
          </w:rPr>
          <w:tab/>
        </w:r>
        <w:r w:rsidR="004F5E15" w:rsidRPr="00455E0A">
          <w:rPr>
            <w:rStyle w:val="Hyperlink"/>
          </w:rPr>
          <w:t>Transferability of results</w:t>
        </w:r>
        <w:r w:rsidR="004F5E15">
          <w:rPr>
            <w:webHidden/>
          </w:rPr>
          <w:tab/>
        </w:r>
        <w:r w:rsidR="004F5E15">
          <w:rPr>
            <w:webHidden/>
          </w:rPr>
          <w:fldChar w:fldCharType="begin"/>
        </w:r>
        <w:r w:rsidR="004F5E15">
          <w:rPr>
            <w:webHidden/>
          </w:rPr>
          <w:instrText xml:space="preserve"> PAGEREF _Toc384993698 \h </w:instrText>
        </w:r>
        <w:r w:rsidR="004F5E15">
          <w:rPr>
            <w:webHidden/>
          </w:rPr>
        </w:r>
        <w:r w:rsidR="004F5E15">
          <w:rPr>
            <w:webHidden/>
          </w:rPr>
          <w:fldChar w:fldCharType="separate"/>
        </w:r>
        <w:r w:rsidR="00D95984">
          <w:rPr>
            <w:webHidden/>
          </w:rPr>
          <w:t>24</w:t>
        </w:r>
        <w:r w:rsidR="004F5E15">
          <w:rPr>
            <w:webHidden/>
          </w:rPr>
          <w:fldChar w:fldCharType="end"/>
        </w:r>
      </w:hyperlink>
    </w:p>
    <w:p w:rsidR="004F5E15" w:rsidRDefault="00C46323">
      <w:pPr>
        <w:pStyle w:val="TOC1"/>
        <w:rPr>
          <w:rFonts w:asciiTheme="minorHAnsi" w:eastAsiaTheme="minorEastAsia" w:hAnsiTheme="minorHAnsi" w:cstheme="minorBidi"/>
          <w:szCs w:val="22"/>
          <w:lang w:val="de-DE" w:eastAsia="de-DE"/>
        </w:rPr>
      </w:pPr>
      <w:hyperlink w:anchor="_Toc384993699" w:history="1">
        <w:r w:rsidR="004F5E15" w:rsidRPr="00455E0A">
          <w:rPr>
            <w:rStyle w:val="Hyperlink"/>
          </w:rPr>
          <w:t>6</w:t>
        </w:r>
        <w:r w:rsidR="004F5E15">
          <w:rPr>
            <w:rFonts w:asciiTheme="minorHAnsi" w:eastAsiaTheme="minorEastAsia" w:hAnsiTheme="minorHAnsi" w:cstheme="minorBidi"/>
            <w:szCs w:val="22"/>
            <w:lang w:val="de-DE" w:eastAsia="de-DE"/>
          </w:rPr>
          <w:tab/>
        </w:r>
        <w:r w:rsidR="004F5E15" w:rsidRPr="00455E0A">
          <w:rPr>
            <w:rStyle w:val="Hyperlink"/>
          </w:rPr>
          <w:t>Conclusions for policy development and monitoring</w:t>
        </w:r>
        <w:r w:rsidR="004F5E15">
          <w:rPr>
            <w:webHidden/>
          </w:rPr>
          <w:tab/>
        </w:r>
        <w:r w:rsidR="004F5E15">
          <w:rPr>
            <w:webHidden/>
          </w:rPr>
          <w:fldChar w:fldCharType="begin"/>
        </w:r>
        <w:r w:rsidR="004F5E15">
          <w:rPr>
            <w:webHidden/>
          </w:rPr>
          <w:instrText xml:space="preserve"> PAGEREF _Toc384993699 \h </w:instrText>
        </w:r>
        <w:r w:rsidR="004F5E15">
          <w:rPr>
            <w:webHidden/>
          </w:rPr>
        </w:r>
        <w:r w:rsidR="004F5E15">
          <w:rPr>
            <w:webHidden/>
          </w:rPr>
          <w:fldChar w:fldCharType="separate"/>
        </w:r>
        <w:r w:rsidR="00D95984">
          <w:rPr>
            <w:webHidden/>
          </w:rPr>
          <w:t>26</w:t>
        </w:r>
        <w:r w:rsidR="004F5E15">
          <w:rPr>
            <w:webHidden/>
          </w:rPr>
          <w:fldChar w:fldCharType="end"/>
        </w:r>
      </w:hyperlink>
    </w:p>
    <w:p w:rsidR="004F5E15" w:rsidRDefault="00C46323">
      <w:pPr>
        <w:pStyle w:val="TOC1"/>
        <w:rPr>
          <w:rFonts w:asciiTheme="minorHAnsi" w:eastAsiaTheme="minorEastAsia" w:hAnsiTheme="minorHAnsi" w:cstheme="minorBidi"/>
          <w:szCs w:val="22"/>
          <w:lang w:val="de-DE" w:eastAsia="de-DE"/>
        </w:rPr>
      </w:pPr>
      <w:hyperlink w:anchor="_Toc384993700" w:history="1">
        <w:r w:rsidR="004F5E15" w:rsidRPr="00455E0A">
          <w:rPr>
            <w:rStyle w:val="Hyperlink"/>
          </w:rPr>
          <w:t>7</w:t>
        </w:r>
        <w:r w:rsidR="004F5E15">
          <w:rPr>
            <w:rFonts w:asciiTheme="minorHAnsi" w:eastAsiaTheme="minorEastAsia" w:hAnsiTheme="minorHAnsi" w:cstheme="minorBidi"/>
            <w:szCs w:val="22"/>
            <w:lang w:val="de-DE" w:eastAsia="de-DE"/>
          </w:rPr>
          <w:tab/>
        </w:r>
        <w:r w:rsidR="004F5E15" w:rsidRPr="00455E0A">
          <w:rPr>
            <w:rStyle w:val="Hyperlink"/>
          </w:rPr>
          <w:t>Literature</w:t>
        </w:r>
        <w:r w:rsidR="004F5E15">
          <w:rPr>
            <w:webHidden/>
          </w:rPr>
          <w:tab/>
        </w:r>
        <w:r w:rsidR="004F5E15">
          <w:rPr>
            <w:webHidden/>
          </w:rPr>
          <w:fldChar w:fldCharType="begin"/>
        </w:r>
        <w:r w:rsidR="004F5E15">
          <w:rPr>
            <w:webHidden/>
          </w:rPr>
          <w:instrText xml:space="preserve"> PAGEREF _Toc384993700 \h </w:instrText>
        </w:r>
        <w:r w:rsidR="004F5E15">
          <w:rPr>
            <w:webHidden/>
          </w:rPr>
        </w:r>
        <w:r w:rsidR="004F5E15">
          <w:rPr>
            <w:webHidden/>
          </w:rPr>
          <w:fldChar w:fldCharType="separate"/>
        </w:r>
        <w:r w:rsidR="00D95984">
          <w:rPr>
            <w:webHidden/>
          </w:rPr>
          <w:t>28</w:t>
        </w:r>
        <w:r w:rsidR="004F5E15">
          <w:rPr>
            <w:webHidden/>
          </w:rPr>
          <w:fldChar w:fldCharType="end"/>
        </w:r>
      </w:hyperlink>
    </w:p>
    <w:p w:rsidR="004F5E15" w:rsidRDefault="00C46323">
      <w:pPr>
        <w:pStyle w:val="TOC1"/>
        <w:rPr>
          <w:rFonts w:asciiTheme="minorHAnsi" w:eastAsiaTheme="minorEastAsia" w:hAnsiTheme="minorHAnsi" w:cstheme="minorBidi"/>
          <w:szCs w:val="22"/>
          <w:lang w:val="de-DE" w:eastAsia="de-DE"/>
        </w:rPr>
      </w:pPr>
      <w:hyperlink w:anchor="_Toc384993701" w:history="1">
        <w:r w:rsidR="004F5E15" w:rsidRPr="00455E0A">
          <w:rPr>
            <w:rStyle w:val="Hyperlink"/>
          </w:rPr>
          <w:t>Annex 1: List of interviewed experts</w:t>
        </w:r>
        <w:r w:rsidR="004F5E15">
          <w:rPr>
            <w:webHidden/>
          </w:rPr>
          <w:tab/>
        </w:r>
        <w:r w:rsidR="004F5E15">
          <w:rPr>
            <w:webHidden/>
          </w:rPr>
          <w:fldChar w:fldCharType="begin"/>
        </w:r>
        <w:r w:rsidR="004F5E15">
          <w:rPr>
            <w:webHidden/>
          </w:rPr>
          <w:instrText xml:space="preserve"> PAGEREF _Toc384993701 \h </w:instrText>
        </w:r>
        <w:r w:rsidR="004F5E15">
          <w:rPr>
            <w:webHidden/>
          </w:rPr>
        </w:r>
        <w:r w:rsidR="004F5E15">
          <w:rPr>
            <w:webHidden/>
          </w:rPr>
          <w:fldChar w:fldCharType="separate"/>
        </w:r>
        <w:r w:rsidR="00D95984">
          <w:rPr>
            <w:webHidden/>
          </w:rPr>
          <w:t>30</w:t>
        </w:r>
        <w:r w:rsidR="004F5E15">
          <w:rPr>
            <w:webHidden/>
          </w:rPr>
          <w:fldChar w:fldCharType="end"/>
        </w:r>
      </w:hyperlink>
    </w:p>
    <w:p w:rsidR="00BF09EE" w:rsidRDefault="00E472CB" w:rsidP="00E21732">
      <w:pPr>
        <w:pStyle w:val="ESPONSubtitle"/>
        <w:tabs>
          <w:tab w:val="right" w:leader="dot" w:pos="8080"/>
        </w:tabs>
        <w:spacing w:after="0"/>
        <w:ind w:right="565"/>
        <w:jc w:val="center"/>
        <w:rPr>
          <w:rFonts w:cs="Arial"/>
        </w:rPr>
      </w:pPr>
      <w:r w:rsidRPr="00200724">
        <w:rPr>
          <w:rFonts w:cs="Arial"/>
          <w:szCs w:val="22"/>
        </w:rPr>
        <w:fldChar w:fldCharType="end"/>
      </w:r>
      <w:r w:rsidR="007D30CA" w:rsidRPr="00200724">
        <w:rPr>
          <w:rFonts w:cs="Arial"/>
          <w:szCs w:val="22"/>
        </w:rPr>
        <w:br w:type="column"/>
      </w:r>
      <w:r w:rsidR="005B346C" w:rsidRPr="00200724">
        <w:rPr>
          <w:rFonts w:cs="Arial"/>
        </w:rPr>
        <w:lastRenderedPageBreak/>
        <w:t>TABLES</w:t>
      </w:r>
    </w:p>
    <w:p w:rsidR="00E21732" w:rsidRPr="00E21732" w:rsidRDefault="00E21732" w:rsidP="00E21732">
      <w:pPr>
        <w:pStyle w:val="ESPONText"/>
        <w:rPr>
          <w:lang w:eastAsia="en-US"/>
        </w:rPr>
      </w:pPr>
    </w:p>
    <w:p w:rsidR="00E21732" w:rsidRDefault="00E21732" w:rsidP="00E21732">
      <w:pPr>
        <w:pStyle w:val="TableofFigures"/>
        <w:tabs>
          <w:tab w:val="right" w:pos="8302"/>
        </w:tabs>
        <w:spacing w:after="120" w:line="276" w:lineRule="auto"/>
        <w:rPr>
          <w:rFonts w:asciiTheme="minorHAnsi" w:eastAsiaTheme="minorEastAsia" w:hAnsiTheme="minorHAnsi" w:cstheme="minorBidi"/>
          <w:noProof/>
          <w:szCs w:val="22"/>
          <w:lang w:val="de-DE" w:eastAsia="de-DE"/>
        </w:rPr>
      </w:pPr>
      <w:r>
        <w:rPr>
          <w:rFonts w:cs="Arial"/>
          <w:szCs w:val="22"/>
        </w:rPr>
        <w:fldChar w:fldCharType="begin"/>
      </w:r>
      <w:r>
        <w:rPr>
          <w:rFonts w:cs="Arial"/>
          <w:szCs w:val="22"/>
        </w:rPr>
        <w:instrText xml:space="preserve"> TOC \h \z \c "Table" </w:instrText>
      </w:r>
      <w:r>
        <w:rPr>
          <w:rFonts w:cs="Arial"/>
          <w:szCs w:val="22"/>
        </w:rPr>
        <w:fldChar w:fldCharType="separate"/>
      </w:r>
      <w:hyperlink w:anchor="_Toc385001367" w:history="1">
        <w:r w:rsidRPr="00D87893">
          <w:rPr>
            <w:rStyle w:val="Hyperlink"/>
            <w:noProof/>
          </w:rPr>
          <w:t xml:space="preserve">Table 1: </w:t>
        </w:r>
        <w:r w:rsidRPr="00D87893">
          <w:rPr>
            <w:rStyle w:val="Hyperlink"/>
            <w:rFonts w:cs="Arial"/>
            <w:noProof/>
            <w:lang w:val="en-US"/>
          </w:rPr>
          <w:t>ESPON CU typology and classification of the region of Izmir</w:t>
        </w:r>
        <w:r>
          <w:rPr>
            <w:noProof/>
            <w:webHidden/>
          </w:rPr>
          <w:tab/>
        </w:r>
        <w:r>
          <w:rPr>
            <w:noProof/>
            <w:webHidden/>
          </w:rPr>
          <w:fldChar w:fldCharType="begin"/>
        </w:r>
        <w:r>
          <w:rPr>
            <w:noProof/>
            <w:webHidden/>
          </w:rPr>
          <w:instrText xml:space="preserve"> PAGEREF _Toc385001367 \h </w:instrText>
        </w:r>
        <w:r>
          <w:rPr>
            <w:noProof/>
            <w:webHidden/>
          </w:rPr>
        </w:r>
        <w:r>
          <w:rPr>
            <w:noProof/>
            <w:webHidden/>
          </w:rPr>
          <w:fldChar w:fldCharType="separate"/>
        </w:r>
        <w:r w:rsidR="00D95984">
          <w:rPr>
            <w:noProof/>
            <w:webHidden/>
          </w:rPr>
          <w:t>2</w:t>
        </w:r>
        <w:r>
          <w:rPr>
            <w:noProof/>
            <w:webHidden/>
          </w:rPr>
          <w:fldChar w:fldCharType="end"/>
        </w:r>
      </w:hyperlink>
    </w:p>
    <w:p w:rsidR="00E21732" w:rsidRDefault="00C46323" w:rsidP="00E21732">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5001368" w:history="1">
        <w:r w:rsidR="00E21732" w:rsidRPr="00D87893">
          <w:rPr>
            <w:rStyle w:val="Hyperlink"/>
            <w:noProof/>
          </w:rPr>
          <w:t xml:space="preserve">Table 2: </w:t>
        </w:r>
        <w:r w:rsidR="00E21732" w:rsidRPr="00D87893">
          <w:rPr>
            <w:rStyle w:val="Hyperlink"/>
            <w:rFonts w:cs="Arial"/>
            <w:noProof/>
          </w:rPr>
          <w:t>Housing development in the three bigger metropolitan regions of Turkey, 2013</w:t>
        </w:r>
        <w:r w:rsidR="00E21732">
          <w:rPr>
            <w:noProof/>
            <w:webHidden/>
          </w:rPr>
          <w:tab/>
        </w:r>
        <w:r w:rsidR="00E21732">
          <w:rPr>
            <w:noProof/>
            <w:webHidden/>
          </w:rPr>
          <w:fldChar w:fldCharType="begin"/>
        </w:r>
        <w:r w:rsidR="00E21732">
          <w:rPr>
            <w:noProof/>
            <w:webHidden/>
          </w:rPr>
          <w:instrText xml:space="preserve"> PAGEREF _Toc385001368 \h </w:instrText>
        </w:r>
        <w:r w:rsidR="00E21732">
          <w:rPr>
            <w:noProof/>
            <w:webHidden/>
          </w:rPr>
        </w:r>
        <w:r w:rsidR="00E21732">
          <w:rPr>
            <w:noProof/>
            <w:webHidden/>
          </w:rPr>
          <w:fldChar w:fldCharType="separate"/>
        </w:r>
        <w:r w:rsidR="00D95984">
          <w:rPr>
            <w:noProof/>
            <w:webHidden/>
          </w:rPr>
          <w:t>6</w:t>
        </w:r>
        <w:r w:rsidR="00E21732">
          <w:rPr>
            <w:noProof/>
            <w:webHidden/>
          </w:rPr>
          <w:fldChar w:fldCharType="end"/>
        </w:r>
      </w:hyperlink>
    </w:p>
    <w:p w:rsidR="00E21732" w:rsidRDefault="00C46323" w:rsidP="00E21732">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5001369" w:history="1">
        <w:r w:rsidR="00E21732" w:rsidRPr="00D87893">
          <w:rPr>
            <w:rStyle w:val="Hyperlink"/>
            <w:noProof/>
          </w:rPr>
          <w:t>Table 3: At-risk-of poverty rate, 2011</w:t>
        </w:r>
        <w:r w:rsidR="00E21732">
          <w:rPr>
            <w:noProof/>
            <w:webHidden/>
          </w:rPr>
          <w:tab/>
        </w:r>
        <w:r w:rsidR="00E21732">
          <w:rPr>
            <w:noProof/>
            <w:webHidden/>
          </w:rPr>
          <w:fldChar w:fldCharType="begin"/>
        </w:r>
        <w:r w:rsidR="00E21732">
          <w:rPr>
            <w:noProof/>
            <w:webHidden/>
          </w:rPr>
          <w:instrText xml:space="preserve"> PAGEREF _Toc385001369 \h </w:instrText>
        </w:r>
        <w:r w:rsidR="00E21732">
          <w:rPr>
            <w:noProof/>
            <w:webHidden/>
          </w:rPr>
        </w:r>
        <w:r w:rsidR="00E21732">
          <w:rPr>
            <w:noProof/>
            <w:webHidden/>
          </w:rPr>
          <w:fldChar w:fldCharType="separate"/>
        </w:r>
        <w:r w:rsidR="00D95984">
          <w:rPr>
            <w:noProof/>
            <w:webHidden/>
          </w:rPr>
          <w:t>9</w:t>
        </w:r>
        <w:r w:rsidR="00E21732">
          <w:rPr>
            <w:noProof/>
            <w:webHidden/>
          </w:rPr>
          <w:fldChar w:fldCharType="end"/>
        </w:r>
      </w:hyperlink>
    </w:p>
    <w:p w:rsidR="00E21732" w:rsidRDefault="00C46323" w:rsidP="00E21732">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5001370" w:history="1">
        <w:r w:rsidR="00E21732" w:rsidRPr="00D87893">
          <w:rPr>
            <w:rStyle w:val="Hyperlink"/>
            <w:noProof/>
          </w:rPr>
          <w:t xml:space="preserve">Table 4:  </w:t>
        </w:r>
        <w:r w:rsidR="00E21732" w:rsidRPr="00D87893">
          <w:rPr>
            <w:rStyle w:val="Hyperlink"/>
            <w:rFonts w:cs="Arial"/>
            <w:noProof/>
          </w:rPr>
          <w:t>U</w:t>
        </w:r>
        <w:r w:rsidR="00E21732">
          <w:rPr>
            <w:rStyle w:val="Hyperlink"/>
            <w:rFonts w:cs="Arial"/>
            <w:noProof/>
          </w:rPr>
          <w:t xml:space="preserve">NHCR 2014 planning figures for </w:t>
        </w:r>
        <w:r w:rsidR="00E21732" w:rsidRPr="00D87893">
          <w:rPr>
            <w:rStyle w:val="Hyperlink"/>
            <w:rFonts w:cs="Arial"/>
            <w:noProof/>
          </w:rPr>
          <w:t>refugeses and asylum seekers in Turkey</w:t>
        </w:r>
        <w:r w:rsidR="00E21732">
          <w:rPr>
            <w:noProof/>
            <w:webHidden/>
          </w:rPr>
          <w:tab/>
        </w:r>
        <w:r w:rsidR="00E21732">
          <w:rPr>
            <w:noProof/>
            <w:webHidden/>
          </w:rPr>
          <w:fldChar w:fldCharType="begin"/>
        </w:r>
        <w:r w:rsidR="00E21732">
          <w:rPr>
            <w:noProof/>
            <w:webHidden/>
          </w:rPr>
          <w:instrText xml:space="preserve"> PAGEREF _Toc385001370 \h </w:instrText>
        </w:r>
        <w:r w:rsidR="00E21732">
          <w:rPr>
            <w:noProof/>
            <w:webHidden/>
          </w:rPr>
        </w:r>
        <w:r w:rsidR="00E21732">
          <w:rPr>
            <w:noProof/>
            <w:webHidden/>
          </w:rPr>
          <w:fldChar w:fldCharType="separate"/>
        </w:r>
        <w:r w:rsidR="00D95984">
          <w:rPr>
            <w:noProof/>
            <w:webHidden/>
          </w:rPr>
          <w:t>12</w:t>
        </w:r>
        <w:r w:rsidR="00E21732">
          <w:rPr>
            <w:noProof/>
            <w:webHidden/>
          </w:rPr>
          <w:fldChar w:fldCharType="end"/>
        </w:r>
      </w:hyperlink>
    </w:p>
    <w:p w:rsidR="00E21732" w:rsidRDefault="00C46323" w:rsidP="00E21732">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5001371" w:history="1">
        <w:r w:rsidR="00E21732" w:rsidRPr="00D87893">
          <w:rPr>
            <w:rStyle w:val="Hyperlink"/>
            <w:noProof/>
          </w:rPr>
          <w:t xml:space="preserve">Table 5: </w:t>
        </w:r>
        <w:r w:rsidR="00E21732" w:rsidRPr="00D87893">
          <w:rPr>
            <w:rStyle w:val="Hyperlink"/>
            <w:rFonts w:cs="Arial"/>
            <w:noProof/>
          </w:rPr>
          <w:t>Educational attainment of the richest and the poorest quintile in Turkey (%)</w:t>
        </w:r>
        <w:r w:rsidR="00E21732">
          <w:rPr>
            <w:noProof/>
            <w:webHidden/>
          </w:rPr>
          <w:tab/>
        </w:r>
        <w:r w:rsidR="00E21732">
          <w:rPr>
            <w:noProof/>
            <w:webHidden/>
          </w:rPr>
          <w:fldChar w:fldCharType="begin"/>
        </w:r>
        <w:r w:rsidR="00E21732">
          <w:rPr>
            <w:noProof/>
            <w:webHidden/>
          </w:rPr>
          <w:instrText xml:space="preserve"> PAGEREF _Toc385001371 \h </w:instrText>
        </w:r>
        <w:r w:rsidR="00E21732">
          <w:rPr>
            <w:noProof/>
            <w:webHidden/>
          </w:rPr>
        </w:r>
        <w:r w:rsidR="00E21732">
          <w:rPr>
            <w:noProof/>
            <w:webHidden/>
          </w:rPr>
          <w:fldChar w:fldCharType="separate"/>
        </w:r>
        <w:r w:rsidR="00D95984">
          <w:rPr>
            <w:noProof/>
            <w:webHidden/>
          </w:rPr>
          <w:t>21</w:t>
        </w:r>
        <w:r w:rsidR="00E21732">
          <w:rPr>
            <w:noProof/>
            <w:webHidden/>
          </w:rPr>
          <w:fldChar w:fldCharType="end"/>
        </w:r>
      </w:hyperlink>
    </w:p>
    <w:p w:rsidR="009C12C9" w:rsidRPr="009C12C9" w:rsidRDefault="00E21732" w:rsidP="00186C9A">
      <w:pPr>
        <w:pStyle w:val="ESPONSubtitle"/>
        <w:tabs>
          <w:tab w:val="right" w:leader="dot" w:pos="8080"/>
        </w:tabs>
        <w:spacing w:after="0" w:line="360" w:lineRule="auto"/>
        <w:ind w:right="565"/>
        <w:rPr>
          <w:rFonts w:cs="Arial"/>
          <w:b w:val="0"/>
          <w:sz w:val="22"/>
          <w:szCs w:val="22"/>
        </w:rPr>
      </w:pPr>
      <w:r>
        <w:rPr>
          <w:rFonts w:cs="Arial"/>
          <w:color w:val="auto"/>
          <w:sz w:val="22"/>
          <w:szCs w:val="22"/>
        </w:rPr>
        <w:fldChar w:fldCharType="end"/>
      </w:r>
    </w:p>
    <w:p w:rsidR="00BF09EE" w:rsidRDefault="005B346C" w:rsidP="00186C9A">
      <w:pPr>
        <w:pStyle w:val="ESPONSubtitle"/>
        <w:tabs>
          <w:tab w:val="right" w:leader="dot" w:pos="8080"/>
        </w:tabs>
        <w:spacing w:after="0"/>
        <w:ind w:right="565"/>
        <w:jc w:val="center"/>
        <w:rPr>
          <w:rFonts w:cs="Arial"/>
        </w:rPr>
      </w:pPr>
      <w:r w:rsidRPr="00200724">
        <w:rPr>
          <w:rFonts w:cs="Arial"/>
        </w:rPr>
        <w:t>FIGURES</w:t>
      </w:r>
    </w:p>
    <w:p w:rsidR="00E21732" w:rsidRPr="00E21732" w:rsidRDefault="00E21732" w:rsidP="00E21732">
      <w:pPr>
        <w:pStyle w:val="ESPONText"/>
        <w:rPr>
          <w:lang w:eastAsia="en-US"/>
        </w:rPr>
      </w:pPr>
    </w:p>
    <w:p w:rsidR="004C4986" w:rsidRPr="004C4986" w:rsidRDefault="00E21732">
      <w:pPr>
        <w:pStyle w:val="TableofFigures"/>
        <w:tabs>
          <w:tab w:val="right" w:pos="8302"/>
        </w:tabs>
        <w:rPr>
          <w:rFonts w:asciiTheme="minorHAnsi" w:eastAsiaTheme="minorEastAsia" w:hAnsiTheme="minorHAnsi" w:cstheme="minorBidi"/>
          <w:noProof/>
          <w:szCs w:val="22"/>
          <w:lang w:val="de-DE" w:eastAsia="de-DE"/>
        </w:rPr>
      </w:pPr>
      <w:r w:rsidRPr="004C4986">
        <w:rPr>
          <w:rFonts w:cs="Arial"/>
          <w:lang w:val="el-GR"/>
        </w:rPr>
        <w:fldChar w:fldCharType="begin"/>
      </w:r>
      <w:r w:rsidRPr="004C4986">
        <w:rPr>
          <w:rFonts w:cs="Arial"/>
          <w:lang w:val="el-GR"/>
        </w:rPr>
        <w:instrText xml:space="preserve"> TOC \h \z \c "Figure" </w:instrText>
      </w:r>
      <w:r w:rsidRPr="004C4986">
        <w:rPr>
          <w:rFonts w:cs="Arial"/>
          <w:lang w:val="el-GR"/>
        </w:rPr>
        <w:fldChar w:fldCharType="separate"/>
      </w:r>
      <w:hyperlink r:id="rId16" w:anchor="_Toc392507148" w:history="1">
        <w:r w:rsidR="004C4986" w:rsidRPr="004C4986">
          <w:rPr>
            <w:rStyle w:val="Hyperlink"/>
            <w:noProof/>
          </w:rPr>
          <w:t xml:space="preserve">Figure 1: </w:t>
        </w:r>
        <w:r w:rsidR="004C4986" w:rsidRPr="004C4986">
          <w:rPr>
            <w:rStyle w:val="Hyperlink"/>
            <w:rFonts w:cs="Arial"/>
            <w:noProof/>
          </w:rPr>
          <w:t>Evolution of regional per capita GDP, 1987-2001. Turkey = 100</w:t>
        </w:r>
        <w:r w:rsidR="004C4986" w:rsidRPr="004C4986">
          <w:rPr>
            <w:noProof/>
            <w:webHidden/>
          </w:rPr>
          <w:tab/>
        </w:r>
        <w:r w:rsidR="004C4986" w:rsidRPr="004C4986">
          <w:rPr>
            <w:noProof/>
            <w:webHidden/>
          </w:rPr>
          <w:fldChar w:fldCharType="begin"/>
        </w:r>
        <w:r w:rsidR="004C4986" w:rsidRPr="004C4986">
          <w:rPr>
            <w:noProof/>
            <w:webHidden/>
          </w:rPr>
          <w:instrText xml:space="preserve"> PAGEREF _Toc392507148 \h </w:instrText>
        </w:r>
        <w:r w:rsidR="004C4986" w:rsidRPr="004C4986">
          <w:rPr>
            <w:noProof/>
            <w:webHidden/>
          </w:rPr>
        </w:r>
        <w:r w:rsidR="004C4986" w:rsidRPr="004C4986">
          <w:rPr>
            <w:noProof/>
            <w:webHidden/>
          </w:rPr>
          <w:fldChar w:fldCharType="separate"/>
        </w:r>
        <w:r w:rsidR="00D95984">
          <w:rPr>
            <w:noProof/>
            <w:webHidden/>
          </w:rPr>
          <w:t>3</w:t>
        </w:r>
        <w:r w:rsidR="004C4986" w:rsidRPr="004C4986">
          <w:rPr>
            <w:noProof/>
            <w:webHidden/>
          </w:rPr>
          <w:fldChar w:fldCharType="end"/>
        </w:r>
      </w:hyperlink>
    </w:p>
    <w:p w:rsidR="004C4986" w:rsidRPr="004C4986" w:rsidRDefault="00C46323">
      <w:pPr>
        <w:pStyle w:val="TableofFigures"/>
        <w:tabs>
          <w:tab w:val="right" w:pos="8302"/>
        </w:tabs>
        <w:rPr>
          <w:rFonts w:asciiTheme="minorHAnsi" w:eastAsiaTheme="minorEastAsia" w:hAnsiTheme="minorHAnsi" w:cstheme="minorBidi"/>
          <w:noProof/>
          <w:szCs w:val="22"/>
          <w:lang w:val="de-DE" w:eastAsia="de-DE"/>
        </w:rPr>
      </w:pPr>
      <w:hyperlink r:id="rId17" w:anchor="_Toc392507149" w:history="1">
        <w:r w:rsidR="004C4986" w:rsidRPr="004C4986">
          <w:rPr>
            <w:rStyle w:val="Hyperlink"/>
            <w:noProof/>
          </w:rPr>
          <w:t xml:space="preserve">Figure 2: </w:t>
        </w:r>
        <w:r w:rsidR="004C4986" w:rsidRPr="004C4986">
          <w:rPr>
            <w:rStyle w:val="Hyperlink"/>
            <w:rFonts w:cs="Arial"/>
            <w:noProof/>
          </w:rPr>
          <w:t>Regional GVA at current prices by economic activity, 2004-2011</w:t>
        </w:r>
        <w:r w:rsidR="004C4986" w:rsidRPr="004C4986">
          <w:rPr>
            <w:noProof/>
            <w:webHidden/>
          </w:rPr>
          <w:tab/>
        </w:r>
        <w:r w:rsidR="004C4986" w:rsidRPr="004C4986">
          <w:rPr>
            <w:noProof/>
            <w:webHidden/>
          </w:rPr>
          <w:fldChar w:fldCharType="begin"/>
        </w:r>
        <w:r w:rsidR="004C4986" w:rsidRPr="004C4986">
          <w:rPr>
            <w:noProof/>
            <w:webHidden/>
          </w:rPr>
          <w:instrText xml:space="preserve"> PAGEREF _Toc392507149 \h </w:instrText>
        </w:r>
        <w:r w:rsidR="004C4986" w:rsidRPr="004C4986">
          <w:rPr>
            <w:noProof/>
            <w:webHidden/>
          </w:rPr>
        </w:r>
        <w:r w:rsidR="004C4986" w:rsidRPr="004C4986">
          <w:rPr>
            <w:noProof/>
            <w:webHidden/>
          </w:rPr>
          <w:fldChar w:fldCharType="separate"/>
        </w:r>
        <w:r w:rsidR="00D95984">
          <w:rPr>
            <w:noProof/>
            <w:webHidden/>
          </w:rPr>
          <w:t>4</w:t>
        </w:r>
        <w:r w:rsidR="004C4986" w:rsidRPr="004C4986">
          <w:rPr>
            <w:noProof/>
            <w:webHidden/>
          </w:rPr>
          <w:fldChar w:fldCharType="end"/>
        </w:r>
      </w:hyperlink>
    </w:p>
    <w:p w:rsidR="004C4986" w:rsidRPr="004C4986" w:rsidRDefault="00C46323">
      <w:pPr>
        <w:pStyle w:val="TableofFigures"/>
        <w:tabs>
          <w:tab w:val="right" w:pos="8302"/>
        </w:tabs>
        <w:rPr>
          <w:rFonts w:asciiTheme="minorHAnsi" w:eastAsiaTheme="minorEastAsia" w:hAnsiTheme="minorHAnsi" w:cstheme="minorBidi"/>
          <w:noProof/>
          <w:szCs w:val="22"/>
          <w:lang w:val="de-DE" w:eastAsia="de-DE"/>
        </w:rPr>
      </w:pPr>
      <w:hyperlink r:id="rId18" w:anchor="_Toc392507150" w:history="1">
        <w:r w:rsidR="004C4986" w:rsidRPr="004C4986">
          <w:rPr>
            <w:rStyle w:val="Hyperlink"/>
            <w:noProof/>
          </w:rPr>
          <w:t>Figure 3:</w:t>
        </w:r>
        <w:r w:rsidR="004C4986" w:rsidRPr="004C4986">
          <w:rPr>
            <w:rStyle w:val="Hyperlink"/>
            <w:rFonts w:cs="Arial"/>
            <w:noProof/>
          </w:rPr>
          <w:t xml:space="preserve"> Working age population by educational level, 2013</w:t>
        </w:r>
        <w:r w:rsidR="004C4986" w:rsidRPr="004C4986">
          <w:rPr>
            <w:noProof/>
            <w:webHidden/>
          </w:rPr>
          <w:tab/>
        </w:r>
        <w:r w:rsidR="004C4986" w:rsidRPr="004C4986">
          <w:rPr>
            <w:noProof/>
            <w:webHidden/>
          </w:rPr>
          <w:fldChar w:fldCharType="begin"/>
        </w:r>
        <w:r w:rsidR="004C4986" w:rsidRPr="004C4986">
          <w:rPr>
            <w:noProof/>
            <w:webHidden/>
          </w:rPr>
          <w:instrText xml:space="preserve"> PAGEREF _Toc392507150 \h </w:instrText>
        </w:r>
        <w:r w:rsidR="004C4986" w:rsidRPr="004C4986">
          <w:rPr>
            <w:noProof/>
            <w:webHidden/>
          </w:rPr>
        </w:r>
        <w:r w:rsidR="004C4986" w:rsidRPr="004C4986">
          <w:rPr>
            <w:noProof/>
            <w:webHidden/>
          </w:rPr>
          <w:fldChar w:fldCharType="separate"/>
        </w:r>
        <w:r w:rsidR="00D95984">
          <w:rPr>
            <w:noProof/>
            <w:webHidden/>
          </w:rPr>
          <w:t>5</w:t>
        </w:r>
        <w:r w:rsidR="004C4986" w:rsidRPr="004C4986">
          <w:rPr>
            <w:noProof/>
            <w:webHidden/>
          </w:rPr>
          <w:fldChar w:fldCharType="end"/>
        </w:r>
      </w:hyperlink>
    </w:p>
    <w:p w:rsidR="004C4986" w:rsidRPr="004C4986" w:rsidRDefault="00C46323">
      <w:pPr>
        <w:pStyle w:val="TableofFigures"/>
        <w:tabs>
          <w:tab w:val="right" w:pos="8302"/>
        </w:tabs>
        <w:rPr>
          <w:rFonts w:asciiTheme="minorHAnsi" w:eastAsiaTheme="minorEastAsia" w:hAnsiTheme="minorHAnsi" w:cstheme="minorBidi"/>
          <w:noProof/>
          <w:szCs w:val="22"/>
          <w:lang w:val="de-DE" w:eastAsia="de-DE"/>
        </w:rPr>
      </w:pPr>
      <w:hyperlink r:id="rId19" w:anchor="_Toc392507151" w:history="1">
        <w:r w:rsidR="004C4986" w:rsidRPr="004C4986">
          <w:rPr>
            <w:rStyle w:val="Hyperlink"/>
            <w:noProof/>
          </w:rPr>
          <w:t xml:space="preserve">Figure 4: </w:t>
        </w:r>
        <w:r w:rsidR="004C4986" w:rsidRPr="004C4986">
          <w:rPr>
            <w:rStyle w:val="Hyperlink"/>
            <w:rFonts w:cs="Arial"/>
            <w:noProof/>
          </w:rPr>
          <w:t>Household size distribution, 2011</w:t>
        </w:r>
        <w:r w:rsidR="004C4986" w:rsidRPr="004C4986">
          <w:rPr>
            <w:noProof/>
            <w:webHidden/>
          </w:rPr>
          <w:tab/>
        </w:r>
        <w:r w:rsidR="004C4986" w:rsidRPr="004C4986">
          <w:rPr>
            <w:noProof/>
            <w:webHidden/>
          </w:rPr>
          <w:fldChar w:fldCharType="begin"/>
        </w:r>
        <w:r w:rsidR="004C4986" w:rsidRPr="004C4986">
          <w:rPr>
            <w:noProof/>
            <w:webHidden/>
          </w:rPr>
          <w:instrText xml:space="preserve"> PAGEREF _Toc392507151 \h </w:instrText>
        </w:r>
        <w:r w:rsidR="004C4986" w:rsidRPr="004C4986">
          <w:rPr>
            <w:noProof/>
            <w:webHidden/>
          </w:rPr>
        </w:r>
        <w:r w:rsidR="004C4986" w:rsidRPr="004C4986">
          <w:rPr>
            <w:noProof/>
            <w:webHidden/>
          </w:rPr>
          <w:fldChar w:fldCharType="separate"/>
        </w:r>
        <w:r w:rsidR="00D95984">
          <w:rPr>
            <w:noProof/>
            <w:webHidden/>
          </w:rPr>
          <w:t>6</w:t>
        </w:r>
        <w:r w:rsidR="004C4986" w:rsidRPr="004C4986">
          <w:rPr>
            <w:noProof/>
            <w:webHidden/>
          </w:rPr>
          <w:fldChar w:fldCharType="end"/>
        </w:r>
      </w:hyperlink>
    </w:p>
    <w:p w:rsidR="004C4986" w:rsidRPr="004C4986" w:rsidRDefault="00C46323">
      <w:pPr>
        <w:pStyle w:val="TableofFigures"/>
        <w:tabs>
          <w:tab w:val="right" w:pos="8302"/>
        </w:tabs>
        <w:rPr>
          <w:rFonts w:asciiTheme="minorHAnsi" w:eastAsiaTheme="minorEastAsia" w:hAnsiTheme="minorHAnsi" w:cstheme="minorBidi"/>
          <w:noProof/>
          <w:szCs w:val="22"/>
          <w:lang w:val="de-DE" w:eastAsia="de-DE"/>
        </w:rPr>
      </w:pPr>
      <w:hyperlink w:anchor="_Toc392507152" w:history="1">
        <w:r w:rsidR="004C4986" w:rsidRPr="004C4986">
          <w:rPr>
            <w:rStyle w:val="Hyperlink"/>
            <w:noProof/>
          </w:rPr>
          <w:t xml:space="preserve">Figure 5: </w:t>
        </w:r>
        <w:r w:rsidR="004C4986" w:rsidRPr="004C4986">
          <w:rPr>
            <w:rStyle w:val="Hyperlink"/>
            <w:rFonts w:cs="Arial"/>
            <w:noProof/>
          </w:rPr>
          <w:t>Structure of the Turkish educational system</w:t>
        </w:r>
        <w:r w:rsidR="004C4986" w:rsidRPr="004C4986">
          <w:rPr>
            <w:noProof/>
            <w:webHidden/>
          </w:rPr>
          <w:tab/>
        </w:r>
        <w:r w:rsidR="004C4986" w:rsidRPr="004C4986">
          <w:rPr>
            <w:noProof/>
            <w:webHidden/>
          </w:rPr>
          <w:fldChar w:fldCharType="begin"/>
        </w:r>
        <w:r w:rsidR="004C4986" w:rsidRPr="004C4986">
          <w:rPr>
            <w:noProof/>
            <w:webHidden/>
          </w:rPr>
          <w:instrText xml:space="preserve"> PAGEREF _Toc392507152 \h </w:instrText>
        </w:r>
        <w:r w:rsidR="004C4986" w:rsidRPr="004C4986">
          <w:rPr>
            <w:noProof/>
            <w:webHidden/>
          </w:rPr>
        </w:r>
        <w:r w:rsidR="004C4986" w:rsidRPr="004C4986">
          <w:rPr>
            <w:noProof/>
            <w:webHidden/>
          </w:rPr>
          <w:fldChar w:fldCharType="separate"/>
        </w:r>
        <w:r w:rsidR="00D95984">
          <w:rPr>
            <w:noProof/>
            <w:webHidden/>
          </w:rPr>
          <w:t>16</w:t>
        </w:r>
        <w:r w:rsidR="004C4986" w:rsidRPr="004C4986">
          <w:rPr>
            <w:noProof/>
            <w:webHidden/>
          </w:rPr>
          <w:fldChar w:fldCharType="end"/>
        </w:r>
      </w:hyperlink>
    </w:p>
    <w:p w:rsidR="004C4986" w:rsidRPr="004C4986" w:rsidRDefault="00C46323">
      <w:pPr>
        <w:pStyle w:val="TableofFigures"/>
        <w:tabs>
          <w:tab w:val="right" w:pos="8302"/>
        </w:tabs>
        <w:rPr>
          <w:rFonts w:asciiTheme="minorHAnsi" w:eastAsiaTheme="minorEastAsia" w:hAnsiTheme="minorHAnsi" w:cstheme="minorBidi"/>
          <w:noProof/>
          <w:szCs w:val="22"/>
          <w:lang w:val="de-DE" w:eastAsia="de-DE"/>
        </w:rPr>
      </w:pPr>
      <w:hyperlink r:id="rId20" w:anchor="_Toc392507153" w:history="1">
        <w:r w:rsidR="004C4986" w:rsidRPr="004C4986">
          <w:rPr>
            <w:rStyle w:val="Hyperlink"/>
            <w:noProof/>
          </w:rPr>
          <w:t xml:space="preserve">Figure 6: </w:t>
        </w:r>
        <w:r w:rsidR="004C4986" w:rsidRPr="004C4986">
          <w:rPr>
            <w:rStyle w:val="Hyperlink"/>
            <w:rFonts w:cs="Arial"/>
            <w:noProof/>
          </w:rPr>
          <w:t>Problems of children attending school in slum areas of Turkish metropolitan areas</w:t>
        </w:r>
        <w:r w:rsidR="004C4986" w:rsidRPr="004C4986">
          <w:rPr>
            <w:noProof/>
            <w:webHidden/>
          </w:rPr>
          <w:tab/>
        </w:r>
        <w:r w:rsidR="004C4986" w:rsidRPr="004C4986">
          <w:rPr>
            <w:noProof/>
            <w:webHidden/>
          </w:rPr>
          <w:fldChar w:fldCharType="begin"/>
        </w:r>
        <w:r w:rsidR="004C4986" w:rsidRPr="004C4986">
          <w:rPr>
            <w:noProof/>
            <w:webHidden/>
          </w:rPr>
          <w:instrText xml:space="preserve"> PAGEREF _Toc392507153 \h </w:instrText>
        </w:r>
        <w:r w:rsidR="004C4986" w:rsidRPr="004C4986">
          <w:rPr>
            <w:noProof/>
            <w:webHidden/>
          </w:rPr>
        </w:r>
        <w:r w:rsidR="004C4986" w:rsidRPr="004C4986">
          <w:rPr>
            <w:noProof/>
            <w:webHidden/>
          </w:rPr>
          <w:fldChar w:fldCharType="separate"/>
        </w:r>
        <w:r w:rsidR="00D95984">
          <w:rPr>
            <w:noProof/>
            <w:webHidden/>
          </w:rPr>
          <w:t>18</w:t>
        </w:r>
        <w:r w:rsidR="004C4986" w:rsidRPr="004C4986">
          <w:rPr>
            <w:noProof/>
            <w:webHidden/>
          </w:rPr>
          <w:fldChar w:fldCharType="end"/>
        </w:r>
      </w:hyperlink>
    </w:p>
    <w:p w:rsidR="004C4986" w:rsidRDefault="00E21732" w:rsidP="004C4986">
      <w:pPr>
        <w:pStyle w:val="ESPONSubtitle"/>
        <w:tabs>
          <w:tab w:val="right" w:leader="dot" w:pos="8080"/>
        </w:tabs>
        <w:spacing w:after="0"/>
        <w:ind w:right="565"/>
        <w:jc w:val="center"/>
        <w:rPr>
          <w:rFonts w:cs="Arial"/>
          <w:b w:val="0"/>
          <w:sz w:val="22"/>
          <w:lang w:val="de-DE"/>
        </w:rPr>
      </w:pPr>
      <w:r w:rsidRPr="004C4986">
        <w:rPr>
          <w:rFonts w:cs="Arial"/>
          <w:b w:val="0"/>
          <w:sz w:val="22"/>
          <w:lang w:val="el-GR"/>
        </w:rPr>
        <w:fldChar w:fldCharType="end"/>
      </w:r>
    </w:p>
    <w:p w:rsidR="004C4986" w:rsidRDefault="004C4986" w:rsidP="004C4986">
      <w:pPr>
        <w:pStyle w:val="ESPONSubtitle"/>
        <w:tabs>
          <w:tab w:val="right" w:leader="dot" w:pos="8080"/>
        </w:tabs>
        <w:spacing w:after="0"/>
        <w:ind w:right="565"/>
        <w:jc w:val="center"/>
        <w:rPr>
          <w:rFonts w:cs="Arial"/>
        </w:rPr>
      </w:pPr>
      <w:r w:rsidRPr="004C4986">
        <w:rPr>
          <w:rFonts w:cs="Arial"/>
        </w:rPr>
        <w:t>MAPS</w:t>
      </w:r>
    </w:p>
    <w:p w:rsidR="004C4986" w:rsidRDefault="004C4986" w:rsidP="004C4986">
      <w:pPr>
        <w:pStyle w:val="ESPONSubtitle"/>
        <w:tabs>
          <w:tab w:val="right" w:leader="dot" w:pos="8080"/>
        </w:tabs>
        <w:spacing w:after="0"/>
        <w:ind w:right="565"/>
        <w:jc w:val="center"/>
        <w:rPr>
          <w:rFonts w:cs="Arial"/>
        </w:rPr>
      </w:pPr>
    </w:p>
    <w:p w:rsidR="004C4986" w:rsidRDefault="004C4986">
      <w:pPr>
        <w:pStyle w:val="TableofFigures"/>
        <w:tabs>
          <w:tab w:val="right" w:pos="8302"/>
        </w:tabs>
        <w:rPr>
          <w:rFonts w:asciiTheme="minorHAnsi" w:eastAsiaTheme="minorEastAsia" w:hAnsiTheme="minorHAnsi" w:cstheme="minorBidi"/>
          <w:noProof/>
          <w:szCs w:val="22"/>
          <w:lang w:val="de-DE" w:eastAsia="de-DE"/>
        </w:rPr>
      </w:pPr>
      <w:r>
        <w:rPr>
          <w:lang w:val="en-US"/>
        </w:rPr>
        <w:fldChar w:fldCharType="begin"/>
      </w:r>
      <w:r>
        <w:rPr>
          <w:lang w:val="en-US"/>
        </w:rPr>
        <w:instrText xml:space="preserve"> TOC \h \z \c "Map" </w:instrText>
      </w:r>
      <w:r>
        <w:rPr>
          <w:lang w:val="en-US"/>
        </w:rPr>
        <w:fldChar w:fldCharType="separate"/>
      </w:r>
      <w:hyperlink r:id="rId21" w:anchor="_Toc392507181" w:history="1">
        <w:r w:rsidRPr="00961A0C">
          <w:rPr>
            <w:rStyle w:val="Hyperlink"/>
            <w:noProof/>
          </w:rPr>
          <w:t xml:space="preserve">Map 1: </w:t>
        </w:r>
        <w:r w:rsidRPr="00961A0C">
          <w:rPr>
            <w:rStyle w:val="Hyperlink"/>
            <w:rFonts w:cs="Arial"/>
            <w:noProof/>
            <w:lang w:val="en-US"/>
          </w:rPr>
          <w:t>Izmir in the context of the ESPON space</w:t>
        </w:r>
        <w:r>
          <w:rPr>
            <w:noProof/>
            <w:webHidden/>
          </w:rPr>
          <w:tab/>
        </w:r>
        <w:r>
          <w:rPr>
            <w:noProof/>
            <w:webHidden/>
          </w:rPr>
          <w:fldChar w:fldCharType="begin"/>
        </w:r>
        <w:r>
          <w:rPr>
            <w:noProof/>
            <w:webHidden/>
          </w:rPr>
          <w:instrText xml:space="preserve"> PAGEREF _Toc392507181 \h </w:instrText>
        </w:r>
        <w:r>
          <w:rPr>
            <w:noProof/>
            <w:webHidden/>
          </w:rPr>
        </w:r>
        <w:r>
          <w:rPr>
            <w:noProof/>
            <w:webHidden/>
          </w:rPr>
          <w:fldChar w:fldCharType="separate"/>
        </w:r>
        <w:r w:rsidR="00D95984">
          <w:rPr>
            <w:noProof/>
            <w:webHidden/>
          </w:rPr>
          <w:t>1</w:t>
        </w:r>
        <w:r>
          <w:rPr>
            <w:noProof/>
            <w:webHidden/>
          </w:rPr>
          <w:fldChar w:fldCharType="end"/>
        </w:r>
      </w:hyperlink>
    </w:p>
    <w:p w:rsidR="004C4986" w:rsidRDefault="00C46323">
      <w:pPr>
        <w:pStyle w:val="TableofFigures"/>
        <w:tabs>
          <w:tab w:val="right" w:pos="8302"/>
        </w:tabs>
        <w:rPr>
          <w:rFonts w:asciiTheme="minorHAnsi" w:eastAsiaTheme="minorEastAsia" w:hAnsiTheme="minorHAnsi" w:cstheme="minorBidi"/>
          <w:noProof/>
          <w:szCs w:val="22"/>
          <w:lang w:val="de-DE" w:eastAsia="de-DE"/>
        </w:rPr>
      </w:pPr>
      <w:hyperlink r:id="rId22" w:anchor="_Toc392507182" w:history="1">
        <w:r w:rsidR="004C4986" w:rsidRPr="00961A0C">
          <w:rPr>
            <w:rStyle w:val="Hyperlink"/>
            <w:noProof/>
          </w:rPr>
          <w:t xml:space="preserve">Map 2: </w:t>
        </w:r>
        <w:r w:rsidR="004C4986" w:rsidRPr="00961A0C">
          <w:rPr>
            <w:rStyle w:val="Hyperlink"/>
            <w:rFonts w:cs="Arial"/>
            <w:noProof/>
          </w:rPr>
          <w:t>The municipalities of the region of Izmir</w:t>
        </w:r>
        <w:r w:rsidR="004C4986">
          <w:rPr>
            <w:noProof/>
            <w:webHidden/>
          </w:rPr>
          <w:tab/>
        </w:r>
        <w:r w:rsidR="004C4986">
          <w:rPr>
            <w:noProof/>
            <w:webHidden/>
          </w:rPr>
          <w:fldChar w:fldCharType="begin"/>
        </w:r>
        <w:r w:rsidR="004C4986">
          <w:rPr>
            <w:noProof/>
            <w:webHidden/>
          </w:rPr>
          <w:instrText xml:space="preserve"> PAGEREF _Toc392507182 \h </w:instrText>
        </w:r>
        <w:r w:rsidR="004C4986">
          <w:rPr>
            <w:noProof/>
            <w:webHidden/>
          </w:rPr>
        </w:r>
        <w:r w:rsidR="004C4986">
          <w:rPr>
            <w:noProof/>
            <w:webHidden/>
          </w:rPr>
          <w:fldChar w:fldCharType="separate"/>
        </w:r>
        <w:r w:rsidR="00D95984">
          <w:rPr>
            <w:noProof/>
            <w:webHidden/>
          </w:rPr>
          <w:t>1</w:t>
        </w:r>
        <w:r w:rsidR="004C4986">
          <w:rPr>
            <w:noProof/>
            <w:webHidden/>
          </w:rPr>
          <w:fldChar w:fldCharType="end"/>
        </w:r>
      </w:hyperlink>
    </w:p>
    <w:p w:rsidR="004C4986" w:rsidRDefault="00C46323">
      <w:pPr>
        <w:pStyle w:val="TableofFigures"/>
        <w:tabs>
          <w:tab w:val="right" w:pos="8302"/>
        </w:tabs>
        <w:rPr>
          <w:rFonts w:asciiTheme="minorHAnsi" w:eastAsiaTheme="minorEastAsia" w:hAnsiTheme="minorHAnsi" w:cstheme="minorBidi"/>
          <w:noProof/>
          <w:szCs w:val="22"/>
          <w:lang w:val="de-DE" w:eastAsia="de-DE"/>
        </w:rPr>
      </w:pPr>
      <w:hyperlink w:anchor="_Toc392507183" w:history="1">
        <w:r w:rsidR="004C4986" w:rsidRPr="00961A0C">
          <w:rPr>
            <w:rStyle w:val="Hyperlink"/>
            <w:noProof/>
          </w:rPr>
          <w:t xml:space="preserve">Map 3: </w:t>
        </w:r>
        <w:r w:rsidR="004C4986" w:rsidRPr="00961A0C">
          <w:rPr>
            <w:rStyle w:val="Hyperlink"/>
            <w:rFonts w:cs="Arial"/>
            <w:noProof/>
          </w:rPr>
          <w:t>Illiterate persons (%) by municipality. Region of Izmir, 2011</w:t>
        </w:r>
        <w:r w:rsidR="004C4986">
          <w:rPr>
            <w:noProof/>
            <w:webHidden/>
          </w:rPr>
          <w:tab/>
        </w:r>
        <w:r w:rsidR="004C4986">
          <w:rPr>
            <w:noProof/>
            <w:webHidden/>
          </w:rPr>
          <w:fldChar w:fldCharType="begin"/>
        </w:r>
        <w:r w:rsidR="004C4986">
          <w:rPr>
            <w:noProof/>
            <w:webHidden/>
          </w:rPr>
          <w:instrText xml:space="preserve"> PAGEREF _Toc392507183 \h </w:instrText>
        </w:r>
        <w:r w:rsidR="004C4986">
          <w:rPr>
            <w:noProof/>
            <w:webHidden/>
          </w:rPr>
        </w:r>
        <w:r w:rsidR="004C4986">
          <w:rPr>
            <w:noProof/>
            <w:webHidden/>
          </w:rPr>
          <w:fldChar w:fldCharType="separate"/>
        </w:r>
        <w:r w:rsidR="00D95984">
          <w:rPr>
            <w:noProof/>
            <w:webHidden/>
          </w:rPr>
          <w:t>20</w:t>
        </w:r>
        <w:r w:rsidR="004C4986">
          <w:rPr>
            <w:noProof/>
            <w:webHidden/>
          </w:rPr>
          <w:fldChar w:fldCharType="end"/>
        </w:r>
      </w:hyperlink>
    </w:p>
    <w:p w:rsidR="004C4986" w:rsidRDefault="00C46323">
      <w:pPr>
        <w:pStyle w:val="TableofFigures"/>
        <w:tabs>
          <w:tab w:val="right" w:pos="8302"/>
        </w:tabs>
        <w:rPr>
          <w:rFonts w:asciiTheme="minorHAnsi" w:eastAsiaTheme="minorEastAsia" w:hAnsiTheme="minorHAnsi" w:cstheme="minorBidi"/>
          <w:noProof/>
          <w:szCs w:val="22"/>
          <w:lang w:val="de-DE" w:eastAsia="de-DE"/>
        </w:rPr>
      </w:pPr>
      <w:hyperlink w:anchor="_Toc392507184" w:history="1">
        <w:r w:rsidR="004C4986" w:rsidRPr="00961A0C">
          <w:rPr>
            <w:rStyle w:val="Hyperlink"/>
            <w:noProof/>
          </w:rPr>
          <w:t xml:space="preserve">Map 4: </w:t>
        </w:r>
        <w:r w:rsidR="004C4986" w:rsidRPr="00961A0C">
          <w:rPr>
            <w:rStyle w:val="Hyperlink"/>
            <w:rFonts w:cs="Arial"/>
            <w:noProof/>
          </w:rPr>
          <w:t>Persons with higher education (%) by municipality. Region of Izmir, 2011</w:t>
        </w:r>
        <w:r w:rsidR="004C4986">
          <w:rPr>
            <w:noProof/>
            <w:webHidden/>
          </w:rPr>
          <w:tab/>
        </w:r>
        <w:r w:rsidR="004C4986">
          <w:rPr>
            <w:noProof/>
            <w:webHidden/>
          </w:rPr>
          <w:fldChar w:fldCharType="begin"/>
        </w:r>
        <w:r w:rsidR="004C4986">
          <w:rPr>
            <w:noProof/>
            <w:webHidden/>
          </w:rPr>
          <w:instrText xml:space="preserve"> PAGEREF _Toc392507184 \h </w:instrText>
        </w:r>
        <w:r w:rsidR="004C4986">
          <w:rPr>
            <w:noProof/>
            <w:webHidden/>
          </w:rPr>
        </w:r>
        <w:r w:rsidR="004C4986">
          <w:rPr>
            <w:noProof/>
            <w:webHidden/>
          </w:rPr>
          <w:fldChar w:fldCharType="separate"/>
        </w:r>
        <w:r w:rsidR="00D95984">
          <w:rPr>
            <w:noProof/>
            <w:webHidden/>
          </w:rPr>
          <w:t>20</w:t>
        </w:r>
        <w:r w:rsidR="004C4986">
          <w:rPr>
            <w:noProof/>
            <w:webHidden/>
          </w:rPr>
          <w:fldChar w:fldCharType="end"/>
        </w:r>
      </w:hyperlink>
    </w:p>
    <w:p w:rsidR="004C4986" w:rsidRDefault="00C46323">
      <w:pPr>
        <w:pStyle w:val="TableofFigures"/>
        <w:tabs>
          <w:tab w:val="right" w:pos="8302"/>
        </w:tabs>
        <w:rPr>
          <w:rFonts w:asciiTheme="minorHAnsi" w:eastAsiaTheme="minorEastAsia" w:hAnsiTheme="minorHAnsi" w:cstheme="minorBidi"/>
          <w:noProof/>
          <w:szCs w:val="22"/>
          <w:lang w:val="de-DE" w:eastAsia="de-DE"/>
        </w:rPr>
      </w:pPr>
      <w:hyperlink w:anchor="_Toc392507185" w:history="1">
        <w:r w:rsidR="004C4986" w:rsidRPr="00961A0C">
          <w:rPr>
            <w:rStyle w:val="Hyperlink"/>
            <w:noProof/>
          </w:rPr>
          <w:t>Map 5: At-risk-of-poverty-rate in Turkish NUTS II regions, 2011</w:t>
        </w:r>
        <w:r w:rsidR="004C4986">
          <w:rPr>
            <w:noProof/>
            <w:webHidden/>
          </w:rPr>
          <w:tab/>
        </w:r>
        <w:r w:rsidR="004C4986">
          <w:rPr>
            <w:noProof/>
            <w:webHidden/>
          </w:rPr>
          <w:fldChar w:fldCharType="begin"/>
        </w:r>
        <w:r w:rsidR="004C4986">
          <w:rPr>
            <w:noProof/>
            <w:webHidden/>
          </w:rPr>
          <w:instrText xml:space="preserve"> PAGEREF _Toc392507185 \h </w:instrText>
        </w:r>
        <w:r w:rsidR="004C4986">
          <w:rPr>
            <w:noProof/>
            <w:webHidden/>
          </w:rPr>
        </w:r>
        <w:r w:rsidR="004C4986">
          <w:rPr>
            <w:noProof/>
            <w:webHidden/>
          </w:rPr>
          <w:fldChar w:fldCharType="separate"/>
        </w:r>
        <w:r w:rsidR="00D95984">
          <w:rPr>
            <w:noProof/>
            <w:webHidden/>
          </w:rPr>
          <w:t>22</w:t>
        </w:r>
        <w:r w:rsidR="004C4986">
          <w:rPr>
            <w:noProof/>
            <w:webHidden/>
          </w:rPr>
          <w:fldChar w:fldCharType="end"/>
        </w:r>
      </w:hyperlink>
    </w:p>
    <w:p w:rsidR="00B616DC" w:rsidRDefault="004C4986" w:rsidP="004C4986">
      <w:pPr>
        <w:pStyle w:val="ESPONSubtitle"/>
        <w:tabs>
          <w:tab w:val="right" w:leader="dot" w:pos="8080"/>
        </w:tabs>
        <w:spacing w:after="0"/>
        <w:ind w:right="565"/>
        <w:jc w:val="center"/>
        <w:rPr>
          <w:lang w:val="en-US"/>
        </w:rPr>
      </w:pPr>
      <w:r>
        <w:rPr>
          <w:lang w:val="en-US"/>
        </w:rPr>
        <w:fldChar w:fldCharType="end"/>
      </w:r>
      <w:r w:rsidR="00261332" w:rsidRPr="00AA3665">
        <w:rPr>
          <w:lang w:val="en-US"/>
        </w:rPr>
        <w:br w:type="column"/>
      </w:r>
    </w:p>
    <w:p w:rsidR="00B616DC" w:rsidRDefault="00261332" w:rsidP="008D1F98">
      <w:pPr>
        <w:pStyle w:val="Heading1"/>
        <w:numPr>
          <w:ilvl w:val="0"/>
          <w:numId w:val="0"/>
        </w:numPr>
        <w:ind w:left="510"/>
        <w:jc w:val="center"/>
        <w:rPr>
          <w:szCs w:val="28"/>
        </w:rPr>
      </w:pPr>
      <w:bookmarkStart w:id="2" w:name="_Toc384993693"/>
      <w:r w:rsidRPr="00186C9A">
        <w:rPr>
          <w:szCs w:val="28"/>
        </w:rPr>
        <w:t>Executive Summary</w:t>
      </w:r>
      <w:bookmarkEnd w:id="2"/>
    </w:p>
    <w:p w:rsidR="008D1F98" w:rsidRPr="008D1F98" w:rsidRDefault="008D1F98" w:rsidP="00B616DC">
      <w:pPr>
        <w:pStyle w:val="ESPONText"/>
        <w:tabs>
          <w:tab w:val="right" w:leader="dot" w:pos="8080"/>
          <w:tab w:val="left" w:pos="9072"/>
        </w:tabs>
        <w:spacing w:line="360" w:lineRule="auto"/>
        <w:ind w:left="567" w:right="565"/>
        <w:jc w:val="center"/>
        <w:rPr>
          <w:rFonts w:cs="Arial"/>
          <w:b/>
          <w:szCs w:val="22"/>
        </w:rPr>
      </w:pPr>
    </w:p>
    <w:p w:rsidR="00261332" w:rsidRDefault="00432D73" w:rsidP="00DC3EAE">
      <w:pPr>
        <w:spacing w:line="276" w:lineRule="auto"/>
        <w:rPr>
          <w:rFonts w:cs="Arial"/>
        </w:rPr>
      </w:pPr>
      <w:r w:rsidRPr="00200724">
        <w:rPr>
          <w:rFonts w:cs="Arial"/>
        </w:rPr>
        <w:t>Despite the improvements in income distribution, Turkey is still a relatively unequal country compared to OECD countries and most of the deve</w:t>
      </w:r>
      <w:r w:rsidR="00CD293C">
        <w:rPr>
          <w:rFonts w:cs="Arial"/>
        </w:rPr>
        <w:t>loping economies (D</w:t>
      </w:r>
      <w:r w:rsidR="00CD293C">
        <w:rPr>
          <w:rFonts w:cs="Arial"/>
        </w:rPr>
        <w:t>u</w:t>
      </w:r>
      <w:r w:rsidR="00CD293C">
        <w:rPr>
          <w:rFonts w:cs="Arial"/>
        </w:rPr>
        <w:t>man</w:t>
      </w:r>
      <w:r w:rsidR="00DC3EAE">
        <w:rPr>
          <w:rFonts w:cs="Arial"/>
        </w:rPr>
        <w:t>,</w:t>
      </w:r>
      <w:r w:rsidR="00CD293C">
        <w:rPr>
          <w:rFonts w:cs="Arial"/>
        </w:rPr>
        <w:t xml:space="preserve"> 2008). </w:t>
      </w:r>
      <w:r w:rsidRPr="00200724">
        <w:rPr>
          <w:rFonts w:cs="Arial"/>
        </w:rPr>
        <w:t xml:space="preserve">At the same time, income and education are highly correlated in the country: a wide gap divides the educational levels of the poorest and richest socio-economic groups. In the Izmir case study we </w:t>
      </w:r>
      <w:r w:rsidR="007B150A">
        <w:rPr>
          <w:rFonts w:cs="Arial"/>
        </w:rPr>
        <w:t>investigate</w:t>
      </w:r>
      <w:r w:rsidRPr="00200724">
        <w:rPr>
          <w:rFonts w:cs="Arial"/>
        </w:rPr>
        <w:t xml:space="preserve"> the relationship between poverty/social exclusion and education in two interconnected directions. First, by e</w:t>
      </w:r>
      <w:r w:rsidRPr="00200724">
        <w:rPr>
          <w:rFonts w:cs="Arial"/>
        </w:rPr>
        <w:t>x</w:t>
      </w:r>
      <w:r w:rsidRPr="00200724">
        <w:rPr>
          <w:rFonts w:cs="Arial"/>
        </w:rPr>
        <w:t>amining education inequalities between people and social groups at different levels of exposure to poverty and social exclusion, i.e. assessing the consequences of po</w:t>
      </w:r>
      <w:r w:rsidRPr="00200724">
        <w:rPr>
          <w:rFonts w:cs="Arial"/>
        </w:rPr>
        <w:t>v</w:t>
      </w:r>
      <w:r w:rsidRPr="00200724">
        <w:rPr>
          <w:rFonts w:cs="Arial"/>
        </w:rPr>
        <w:t xml:space="preserve">erty and social exclusion on education attainment and performance. </w:t>
      </w:r>
      <w:proofErr w:type="gramStart"/>
      <w:r w:rsidRPr="00200724">
        <w:rPr>
          <w:rFonts w:cs="Arial"/>
        </w:rPr>
        <w:t>Second, by e</w:t>
      </w:r>
      <w:r w:rsidRPr="00200724">
        <w:rPr>
          <w:rFonts w:cs="Arial"/>
        </w:rPr>
        <w:t>x</w:t>
      </w:r>
      <w:r w:rsidRPr="00200724">
        <w:rPr>
          <w:rFonts w:cs="Arial"/>
        </w:rPr>
        <w:t xml:space="preserve">amining the degree to which the education system helps to reproduce (or instead, to decrease) social inequalities, i.e. </w:t>
      </w:r>
      <w:r w:rsidR="001D483A">
        <w:rPr>
          <w:rFonts w:cs="Arial"/>
        </w:rPr>
        <w:t xml:space="preserve">by </w:t>
      </w:r>
      <w:r w:rsidRPr="00200724">
        <w:rPr>
          <w:rFonts w:cs="Arial"/>
        </w:rPr>
        <w:t>assessing the consequences of education di</w:t>
      </w:r>
      <w:r w:rsidRPr="00200724">
        <w:rPr>
          <w:rFonts w:cs="Arial"/>
        </w:rPr>
        <w:t>s</w:t>
      </w:r>
      <w:r w:rsidRPr="00200724">
        <w:rPr>
          <w:rFonts w:cs="Arial"/>
        </w:rPr>
        <w:t>parities on social inclusion prospects.</w:t>
      </w:r>
      <w:proofErr w:type="gramEnd"/>
      <w:r w:rsidRPr="00200724">
        <w:rPr>
          <w:rFonts w:cs="Arial"/>
        </w:rPr>
        <w:t xml:space="preserve"> Both tasks </w:t>
      </w:r>
      <w:r w:rsidR="00FD5351">
        <w:rPr>
          <w:rFonts w:cs="Arial"/>
        </w:rPr>
        <w:t>are</w:t>
      </w:r>
      <w:r w:rsidRPr="00200724">
        <w:rPr>
          <w:rFonts w:cs="Arial"/>
        </w:rPr>
        <w:t xml:space="preserve"> carried out under the lens of the specificities of the metropolitan region of Izmir, especially the economic performance and the conditions in the labour market, the spatial structure of inequalities and the coexistence of population groups with different origin.</w:t>
      </w:r>
    </w:p>
    <w:p w:rsidR="00486DF4" w:rsidRPr="00FE2184" w:rsidRDefault="00486DF4" w:rsidP="00DC3EAE">
      <w:pPr>
        <w:spacing w:line="276" w:lineRule="auto"/>
        <w:rPr>
          <w:rFonts w:cs="Arial"/>
        </w:rPr>
      </w:pPr>
      <w:r w:rsidRPr="00FE2184">
        <w:rPr>
          <w:rFonts w:cs="Arial"/>
        </w:rPr>
        <w:t>Yilmaz (2005) argues that in Turkey, the environment of integrated poverty, which, for many decades made it possible for the urban poor to integrate into urban society with the help of informal activities as well as informal housing, is getting transformed under the destructive effects of the neo-liberal oriented structural adjustment pr</w:t>
      </w:r>
      <w:r w:rsidRPr="00FE2184">
        <w:rPr>
          <w:rFonts w:cs="Arial"/>
        </w:rPr>
        <w:t>o</w:t>
      </w:r>
      <w:r w:rsidRPr="00FE2184">
        <w:rPr>
          <w:rFonts w:cs="Arial"/>
        </w:rPr>
        <w:t>grams and weakening social solidarity bonds. Henceforth, it is possible to observe a certain decline in the integrating capacity of the informal activities as well as in the protective capacity of family supports.</w:t>
      </w:r>
    </w:p>
    <w:p w:rsidR="00486DF4" w:rsidRPr="00FE2184" w:rsidRDefault="00486DF4" w:rsidP="00DC3EAE">
      <w:pPr>
        <w:spacing w:line="276" w:lineRule="auto"/>
        <w:rPr>
          <w:rFonts w:cs="Arial"/>
        </w:rPr>
      </w:pPr>
      <w:r w:rsidRPr="00FE2184">
        <w:rPr>
          <w:rFonts w:cs="Arial"/>
        </w:rPr>
        <w:t>Rising unemployment in Turkey has been an issue since decades (Filiztekin</w:t>
      </w:r>
      <w:r w:rsidR="00DC3EAE">
        <w:rPr>
          <w:rFonts w:cs="Arial"/>
        </w:rPr>
        <w:t>,</w:t>
      </w:r>
      <w:r w:rsidRPr="00FE2184">
        <w:rPr>
          <w:rFonts w:cs="Arial"/>
        </w:rPr>
        <w:t xml:space="preserve"> 2009). The unemployment rate was not higher than 3% in the 1960s but increased to about 8% in the 1980s and to slightly above 9% in the 200s. Moreover, different Regions and Provinces experience different unemployment rates </w:t>
      </w:r>
      <w:r w:rsidR="00436950">
        <w:rPr>
          <w:rFonts w:cs="Arial"/>
        </w:rPr>
        <w:t>On the other hand</w:t>
      </w:r>
      <w:r w:rsidRPr="00FE2184">
        <w:rPr>
          <w:rFonts w:cs="Arial"/>
        </w:rPr>
        <w:t>, the large presence of informal activities in the economy mean that long term unemployment is not the most significant causal factor of poverty and social exclusion. Poverty of e</w:t>
      </w:r>
      <w:r w:rsidRPr="00FE2184">
        <w:rPr>
          <w:rFonts w:cs="Arial"/>
        </w:rPr>
        <w:t>m</w:t>
      </w:r>
      <w:r w:rsidRPr="00FE2184">
        <w:rPr>
          <w:rFonts w:cs="Arial"/>
        </w:rPr>
        <w:t xml:space="preserve">ployed people is a major concern. </w:t>
      </w:r>
    </w:p>
    <w:p w:rsidR="00486DF4" w:rsidRPr="00FE2184" w:rsidRDefault="00486DF4" w:rsidP="00DC3EAE">
      <w:pPr>
        <w:spacing w:line="276" w:lineRule="auto"/>
        <w:rPr>
          <w:rFonts w:cs="Arial"/>
        </w:rPr>
      </w:pPr>
      <w:r w:rsidRPr="00FE2184">
        <w:rPr>
          <w:rFonts w:cs="Arial"/>
        </w:rPr>
        <w:t xml:space="preserve">Adaman and Keyder (2005) stress that </w:t>
      </w:r>
      <w:r w:rsidR="00A6307B">
        <w:rPr>
          <w:rFonts w:cs="Arial"/>
        </w:rPr>
        <w:t xml:space="preserve">while </w:t>
      </w:r>
      <w:r w:rsidRPr="00FE2184">
        <w:rPr>
          <w:rFonts w:cs="Arial"/>
        </w:rPr>
        <w:t xml:space="preserve">the single most important reason for social exclusion in Turkey is </w:t>
      </w:r>
      <w:proofErr w:type="gramStart"/>
      <w:r w:rsidRPr="00FE2184">
        <w:rPr>
          <w:rFonts w:cs="Arial"/>
        </w:rPr>
        <w:t>poverty,</w:t>
      </w:r>
      <w:proofErr w:type="gramEnd"/>
      <w:r w:rsidRPr="00FE2184">
        <w:rPr>
          <w:rFonts w:cs="Arial"/>
        </w:rPr>
        <w:t xml:space="preserve"> there </w:t>
      </w:r>
      <w:r w:rsidR="00A6307B">
        <w:rPr>
          <w:rFonts w:cs="Arial"/>
        </w:rPr>
        <w:t xml:space="preserve">are </w:t>
      </w:r>
      <w:r w:rsidRPr="00FE2184">
        <w:rPr>
          <w:rFonts w:cs="Arial"/>
        </w:rPr>
        <w:t>also cultural and political dimensions of exclusion. Based on a review of the Turkish literature, they propose the following typology of vulnerable groups:</w:t>
      </w:r>
    </w:p>
    <w:p w:rsidR="00DC3EAE" w:rsidRDefault="00486DF4" w:rsidP="00B66A59">
      <w:pPr>
        <w:pStyle w:val="ListParagraph"/>
        <w:numPr>
          <w:ilvl w:val="0"/>
          <w:numId w:val="4"/>
        </w:numPr>
        <w:spacing w:line="276" w:lineRule="auto"/>
        <w:rPr>
          <w:rFonts w:cs="Arial"/>
        </w:rPr>
      </w:pPr>
      <w:r w:rsidRPr="007B150A">
        <w:rPr>
          <w:rFonts w:cs="Arial"/>
        </w:rPr>
        <w:t>Children and young people, to whom the effects of poverty are transferred from the spatial and econom</w:t>
      </w:r>
      <w:r w:rsidR="00DC3EAE">
        <w:rPr>
          <w:rFonts w:cs="Arial"/>
        </w:rPr>
        <w:t>ic exclusions of their families</w:t>
      </w:r>
    </w:p>
    <w:p w:rsidR="00DC3EAE" w:rsidRDefault="00486DF4" w:rsidP="00B66A59">
      <w:pPr>
        <w:pStyle w:val="ListParagraph"/>
        <w:numPr>
          <w:ilvl w:val="0"/>
          <w:numId w:val="4"/>
        </w:numPr>
        <w:spacing w:line="276" w:lineRule="auto"/>
        <w:rPr>
          <w:rFonts w:cs="Arial"/>
        </w:rPr>
      </w:pPr>
      <w:r w:rsidRPr="00DC3EAE">
        <w:rPr>
          <w:rFonts w:cs="Arial"/>
        </w:rPr>
        <w:t>The elderly and especially those who are not insured by any</w:t>
      </w:r>
      <w:r w:rsidR="00DC3EAE">
        <w:rPr>
          <w:rFonts w:cs="Arial"/>
        </w:rPr>
        <w:t xml:space="preserve"> of the social s</w:t>
      </w:r>
      <w:r w:rsidR="00DC3EAE">
        <w:rPr>
          <w:rFonts w:cs="Arial"/>
        </w:rPr>
        <w:t>e</w:t>
      </w:r>
      <w:r w:rsidR="00DC3EAE">
        <w:rPr>
          <w:rFonts w:cs="Arial"/>
        </w:rPr>
        <w:t>curity schemes</w:t>
      </w:r>
    </w:p>
    <w:p w:rsidR="00DC3EAE" w:rsidRDefault="00DC3EAE" w:rsidP="00B66A59">
      <w:pPr>
        <w:pStyle w:val="ListParagraph"/>
        <w:numPr>
          <w:ilvl w:val="0"/>
          <w:numId w:val="4"/>
        </w:numPr>
        <w:spacing w:line="276" w:lineRule="auto"/>
        <w:rPr>
          <w:rFonts w:cs="Arial"/>
        </w:rPr>
      </w:pPr>
      <w:r>
        <w:rPr>
          <w:rFonts w:cs="Arial"/>
        </w:rPr>
        <w:t>The disabled</w:t>
      </w:r>
    </w:p>
    <w:p w:rsidR="00DC3EAE" w:rsidRDefault="00DC3EAE" w:rsidP="00B66A59">
      <w:pPr>
        <w:pStyle w:val="ListParagraph"/>
        <w:numPr>
          <w:ilvl w:val="0"/>
          <w:numId w:val="4"/>
        </w:numPr>
        <w:spacing w:line="276" w:lineRule="auto"/>
        <w:rPr>
          <w:rFonts w:cs="Arial"/>
        </w:rPr>
      </w:pPr>
      <w:r>
        <w:rPr>
          <w:rFonts w:cs="Arial"/>
        </w:rPr>
        <w:t>Migrants</w:t>
      </w:r>
    </w:p>
    <w:p w:rsidR="00DC3EAE" w:rsidRDefault="00486DF4" w:rsidP="00B66A59">
      <w:pPr>
        <w:pStyle w:val="ListParagraph"/>
        <w:numPr>
          <w:ilvl w:val="0"/>
          <w:numId w:val="4"/>
        </w:numPr>
        <w:spacing w:line="276" w:lineRule="auto"/>
        <w:rPr>
          <w:rFonts w:cs="Arial"/>
        </w:rPr>
      </w:pPr>
      <w:r w:rsidRPr="00DC3EAE">
        <w:rPr>
          <w:rFonts w:cs="Arial"/>
        </w:rPr>
        <w:lastRenderedPageBreak/>
        <w:t xml:space="preserve">Exclusion due </w:t>
      </w:r>
      <w:r w:rsidR="00DC3EAE">
        <w:rPr>
          <w:rFonts w:cs="Arial"/>
        </w:rPr>
        <w:t>to gender or sexual orientation</w:t>
      </w:r>
    </w:p>
    <w:p w:rsidR="00DC3EAE" w:rsidRDefault="00486DF4" w:rsidP="00B66A59">
      <w:pPr>
        <w:pStyle w:val="ListParagraph"/>
        <w:numPr>
          <w:ilvl w:val="0"/>
          <w:numId w:val="4"/>
        </w:numPr>
        <w:spacing w:line="276" w:lineRule="auto"/>
        <w:rPr>
          <w:rFonts w:cs="Arial"/>
        </w:rPr>
      </w:pPr>
      <w:r w:rsidRPr="00DC3EAE">
        <w:rPr>
          <w:rFonts w:cs="Arial"/>
        </w:rPr>
        <w:t>Exclusion due to religious affiliation (especially concerning</w:t>
      </w:r>
      <w:r w:rsidR="00DC3EAE">
        <w:rPr>
          <w:rFonts w:cs="Arial"/>
        </w:rPr>
        <w:t xml:space="preserve"> discrimination against Alevis)</w:t>
      </w:r>
    </w:p>
    <w:p w:rsidR="00DC3EAE" w:rsidRDefault="00486DF4" w:rsidP="00B66A59">
      <w:pPr>
        <w:pStyle w:val="ListParagraph"/>
        <w:numPr>
          <w:ilvl w:val="0"/>
          <w:numId w:val="4"/>
        </w:numPr>
        <w:spacing w:line="276" w:lineRule="auto"/>
        <w:rPr>
          <w:rFonts w:cs="Arial"/>
        </w:rPr>
      </w:pPr>
      <w:r w:rsidRPr="00DC3EAE">
        <w:rPr>
          <w:rFonts w:cs="Arial"/>
        </w:rPr>
        <w:t xml:space="preserve">Exclusion due to ethnic origin (especially concerning discrimination against Kurds, Romani and non-Muslim </w:t>
      </w:r>
      <w:r w:rsidR="00DC3EAE">
        <w:rPr>
          <w:rFonts w:cs="Arial"/>
        </w:rPr>
        <w:t>groups such as Jews and Greeks)</w:t>
      </w:r>
    </w:p>
    <w:p w:rsidR="00486DF4" w:rsidRPr="00DC3EAE" w:rsidRDefault="00486DF4" w:rsidP="00B66A59">
      <w:pPr>
        <w:pStyle w:val="ListParagraph"/>
        <w:numPr>
          <w:ilvl w:val="0"/>
          <w:numId w:val="4"/>
        </w:numPr>
        <w:spacing w:line="276" w:lineRule="auto"/>
        <w:rPr>
          <w:rFonts w:cs="Arial"/>
        </w:rPr>
      </w:pPr>
      <w:r w:rsidRPr="00DC3EAE">
        <w:rPr>
          <w:rFonts w:cs="Arial"/>
        </w:rPr>
        <w:t>Exclusion due to other reasons, such as nomadic life, drug addiction, impri</w:t>
      </w:r>
      <w:r w:rsidRPr="00DC3EAE">
        <w:rPr>
          <w:rFonts w:cs="Arial"/>
        </w:rPr>
        <w:t>s</w:t>
      </w:r>
      <w:r w:rsidRPr="00DC3EAE">
        <w:rPr>
          <w:rFonts w:cs="Arial"/>
        </w:rPr>
        <w:t>onment and irregular employment.</w:t>
      </w:r>
    </w:p>
    <w:p w:rsidR="00486DF4" w:rsidRDefault="00A6307B" w:rsidP="00DC3EAE">
      <w:pPr>
        <w:spacing w:line="276" w:lineRule="auto"/>
        <w:rPr>
          <w:rFonts w:cs="Arial"/>
        </w:rPr>
      </w:pPr>
      <w:r>
        <w:rPr>
          <w:rFonts w:cs="Arial"/>
        </w:rPr>
        <w:t>The Metropolitan Region of Izmir is not among the poorest regions of the country</w:t>
      </w:r>
      <w:r w:rsidR="00436950">
        <w:rPr>
          <w:rFonts w:cs="Arial"/>
        </w:rPr>
        <w:t xml:space="preserve">, but </w:t>
      </w:r>
      <w:r w:rsidR="009C14B1">
        <w:rPr>
          <w:rFonts w:cs="Arial"/>
        </w:rPr>
        <w:t>some of the patterns and trends evident in other parts of Turkey are also manifested there</w:t>
      </w:r>
      <w:r>
        <w:rPr>
          <w:rFonts w:cs="Arial"/>
        </w:rPr>
        <w:t>.</w:t>
      </w:r>
      <w:r w:rsidR="00767D3C">
        <w:rPr>
          <w:rFonts w:cs="Arial"/>
        </w:rPr>
        <w:t xml:space="preserve"> Ongoing transformations in the labour and housing market, especially those a</w:t>
      </w:r>
      <w:r w:rsidR="00767D3C">
        <w:rPr>
          <w:rFonts w:cs="Arial"/>
        </w:rPr>
        <w:t>l</w:t>
      </w:r>
      <w:r w:rsidR="00767D3C">
        <w:rPr>
          <w:rFonts w:cs="Arial"/>
        </w:rPr>
        <w:t>tering traditional informa</w:t>
      </w:r>
      <w:r w:rsidR="00FD5351">
        <w:rPr>
          <w:rFonts w:cs="Arial"/>
        </w:rPr>
        <w:t>l</w:t>
      </w:r>
      <w:r w:rsidR="00767D3C">
        <w:rPr>
          <w:rFonts w:cs="Arial"/>
        </w:rPr>
        <w:t xml:space="preserve"> arrangements</w:t>
      </w:r>
      <w:r w:rsidR="00FD5351">
        <w:rPr>
          <w:rFonts w:cs="Arial"/>
        </w:rPr>
        <w:t>, are of significant relevance concerning po</w:t>
      </w:r>
      <w:r w:rsidR="00FD5351">
        <w:rPr>
          <w:rFonts w:cs="Arial"/>
        </w:rPr>
        <w:t>v</w:t>
      </w:r>
      <w:r w:rsidR="00FD5351">
        <w:rPr>
          <w:rFonts w:cs="Arial"/>
        </w:rPr>
        <w:t>erty and social exclusion. Despite the general reduction of income and education i</w:t>
      </w:r>
      <w:r w:rsidR="00FD5351">
        <w:rPr>
          <w:rFonts w:cs="Arial"/>
        </w:rPr>
        <w:t>n</w:t>
      </w:r>
      <w:r w:rsidR="00FD5351">
        <w:rPr>
          <w:rFonts w:cs="Arial"/>
        </w:rPr>
        <w:t>equalities over time, clear signs of intergenerational persistence of inequalities exist, together with indications of polarization between social groups concerning educ</w:t>
      </w:r>
      <w:r w:rsidR="00FD5351">
        <w:rPr>
          <w:rFonts w:cs="Arial"/>
        </w:rPr>
        <w:t>a</w:t>
      </w:r>
      <w:r w:rsidR="00FD5351">
        <w:rPr>
          <w:rFonts w:cs="Arial"/>
        </w:rPr>
        <w:t>tional level and opportunities.</w:t>
      </w:r>
    </w:p>
    <w:p w:rsidR="00767D3C" w:rsidRPr="00200724" w:rsidRDefault="00767D3C" w:rsidP="00DC3EAE">
      <w:pPr>
        <w:spacing w:line="276" w:lineRule="auto"/>
        <w:rPr>
          <w:rFonts w:cs="Arial"/>
        </w:rPr>
      </w:pPr>
      <w:r w:rsidRPr="00D77768">
        <w:rPr>
          <w:rFonts w:cs="Arial"/>
          <w:bCs/>
        </w:rPr>
        <w:t>The case of Izmir raises questions about poverty and social exclusion in conditions of rapid and continuous urbanization. In this perspective, Izmir experiences conditions that are dissimilar from the rest of European cities.</w:t>
      </w:r>
      <w:r w:rsidR="00FD5351">
        <w:rPr>
          <w:rFonts w:cs="Arial"/>
          <w:bCs/>
        </w:rPr>
        <w:t xml:space="preserve"> However, some recorded trends are also relevant in other parts of Europe, </w:t>
      </w:r>
      <w:r w:rsidR="0027649F">
        <w:rPr>
          <w:rFonts w:cs="Arial"/>
          <w:bCs/>
        </w:rPr>
        <w:t>especially in what concerns massive imm</w:t>
      </w:r>
      <w:r w:rsidR="0027649F">
        <w:rPr>
          <w:rFonts w:cs="Arial"/>
          <w:bCs/>
        </w:rPr>
        <w:t>i</w:t>
      </w:r>
      <w:r w:rsidR="0027649F">
        <w:rPr>
          <w:rFonts w:cs="Arial"/>
          <w:bCs/>
        </w:rPr>
        <w:t>gration flows, transit and shadow populations and the negative relationship between poverty and education.</w:t>
      </w:r>
    </w:p>
    <w:p w:rsidR="00432D73" w:rsidRDefault="00432D73" w:rsidP="00B616DC">
      <w:pPr>
        <w:spacing w:before="0" w:after="120" w:line="23" w:lineRule="atLeast"/>
        <w:rPr>
          <w:rFonts w:cs="Arial"/>
        </w:rPr>
      </w:pPr>
    </w:p>
    <w:p w:rsidR="00A6307B" w:rsidRPr="00200724" w:rsidRDefault="00A6307B" w:rsidP="0051144B">
      <w:pPr>
        <w:rPr>
          <w:rFonts w:cs="Arial"/>
        </w:rPr>
        <w:sectPr w:rsidR="00A6307B" w:rsidRPr="00200724" w:rsidSect="00EF5566">
          <w:pgSz w:w="11906" w:h="16838"/>
          <w:pgMar w:top="1440" w:right="1797" w:bottom="1440" w:left="1797" w:header="720" w:footer="720" w:gutter="0"/>
          <w:pgNumType w:fmt="lowerRoman" w:start="3"/>
          <w:cols w:space="720"/>
          <w:docGrid w:linePitch="299"/>
        </w:sectPr>
      </w:pPr>
    </w:p>
    <w:p w:rsidR="00007B80" w:rsidRDefault="00812CE3" w:rsidP="00007B80">
      <w:pPr>
        <w:pStyle w:val="Heading1"/>
        <w:rPr>
          <w:rFonts w:cs="Arial"/>
          <w:noProof/>
        </w:rPr>
      </w:pPr>
      <w:bookmarkStart w:id="3" w:name="_Toc384993694"/>
      <w:r>
        <w:rPr>
          <w:rFonts w:cs="Arial"/>
          <w:noProof/>
        </w:rPr>
        <w:lastRenderedPageBreak/>
        <w:t>The regional c</w:t>
      </w:r>
      <w:r w:rsidR="00261332" w:rsidRPr="00200724">
        <w:rPr>
          <w:rFonts w:cs="Arial"/>
          <w:noProof/>
        </w:rPr>
        <w:t>ontext</w:t>
      </w:r>
      <w:bookmarkEnd w:id="3"/>
    </w:p>
    <w:p w:rsidR="00B616DC" w:rsidRPr="00B616DC" w:rsidRDefault="00B616DC" w:rsidP="00B616DC"/>
    <w:p w:rsidR="00206030" w:rsidRDefault="00E03D23" w:rsidP="00FF1EFA">
      <w:pPr>
        <w:spacing w:line="276" w:lineRule="auto"/>
        <w:rPr>
          <w:rFonts w:cs="Arial"/>
        </w:rPr>
      </w:pPr>
      <w:r w:rsidRPr="00200724">
        <w:rPr>
          <w:rFonts w:cs="Arial"/>
        </w:rPr>
        <w:t xml:space="preserve">With </w:t>
      </w:r>
      <w:r w:rsidR="00F101BE" w:rsidRPr="00F101BE">
        <w:rPr>
          <w:rFonts w:cs="Arial"/>
        </w:rPr>
        <w:t>4.061.074</w:t>
      </w:r>
      <w:r w:rsidR="00F101BE">
        <w:rPr>
          <w:rFonts w:cs="Arial"/>
        </w:rPr>
        <w:t xml:space="preserve"> </w:t>
      </w:r>
      <w:r w:rsidRPr="00200724">
        <w:rPr>
          <w:rFonts w:cs="Arial"/>
        </w:rPr>
        <w:t>inhabitants in 201</w:t>
      </w:r>
      <w:r w:rsidR="00F101BE">
        <w:rPr>
          <w:rFonts w:cs="Arial"/>
        </w:rPr>
        <w:t>3</w:t>
      </w:r>
      <w:r w:rsidR="002C5E36">
        <w:rPr>
          <w:rFonts w:cs="Arial"/>
        </w:rPr>
        <w:t xml:space="preserve">, population density of 311 per square </w:t>
      </w:r>
      <w:r w:rsidR="001D483A">
        <w:rPr>
          <w:rFonts w:cs="Arial"/>
        </w:rPr>
        <w:t>kilometres</w:t>
      </w:r>
      <w:r w:rsidRPr="00200724">
        <w:rPr>
          <w:rFonts w:cs="Arial"/>
        </w:rPr>
        <w:t xml:space="preserve"> and comprising 30 Districts</w:t>
      </w:r>
      <w:r w:rsidR="00BD58E2" w:rsidRPr="00200724">
        <w:rPr>
          <w:rFonts w:cs="Arial"/>
        </w:rPr>
        <w:t>,</w:t>
      </w:r>
      <w:r w:rsidR="00C02E33">
        <w:rPr>
          <w:rFonts w:cs="Arial"/>
        </w:rPr>
        <w:t xml:space="preserve"> the Region of Izmir (</w:t>
      </w:r>
      <w:r w:rsidR="00B66A59">
        <w:rPr>
          <w:rFonts w:cs="Arial"/>
        </w:rPr>
        <w:t>see</w:t>
      </w:r>
      <w:r w:rsidR="00C41557">
        <w:rPr>
          <w:rFonts w:cs="Arial"/>
        </w:rPr>
        <w:t xml:space="preserve"> </w:t>
      </w:r>
      <w:r w:rsidR="00C41557">
        <w:rPr>
          <w:rFonts w:cs="Arial"/>
        </w:rPr>
        <w:fldChar w:fldCharType="begin"/>
      </w:r>
      <w:r w:rsidR="00C41557">
        <w:rPr>
          <w:rFonts w:cs="Arial"/>
        </w:rPr>
        <w:instrText xml:space="preserve"> REF _Ref392101698 \h </w:instrText>
      </w:r>
      <w:r w:rsidR="00C41557">
        <w:rPr>
          <w:rFonts w:cs="Arial"/>
        </w:rPr>
      </w:r>
      <w:r w:rsidR="00C41557">
        <w:rPr>
          <w:rFonts w:cs="Arial"/>
        </w:rPr>
        <w:fldChar w:fldCharType="separate"/>
      </w:r>
      <w:r w:rsidR="00D95984">
        <w:t xml:space="preserve">Map </w:t>
      </w:r>
      <w:r w:rsidR="00D95984">
        <w:rPr>
          <w:noProof/>
        </w:rPr>
        <w:t>1</w:t>
      </w:r>
      <w:r w:rsidR="00C41557">
        <w:rPr>
          <w:rFonts w:cs="Arial"/>
        </w:rPr>
        <w:fldChar w:fldCharType="end"/>
      </w:r>
      <w:r w:rsidR="00C02E33">
        <w:rPr>
          <w:rFonts w:cs="Arial"/>
        </w:rPr>
        <w:t>)</w:t>
      </w:r>
      <w:r w:rsidRPr="00200724">
        <w:rPr>
          <w:rFonts w:cs="Arial"/>
        </w:rPr>
        <w:t xml:space="preserve"> is one of the most densely populated areas in Turkey. The metropolitan area of Izmir is in fact the third biggest metropolitan city in Turkey, after Istanbul and Ankara and the most significant </w:t>
      </w:r>
      <w:r w:rsidR="00C02E33">
        <w:rPr>
          <w:rFonts w:cs="Arial"/>
        </w:rPr>
        <w:t>metropolitan area</w:t>
      </w:r>
      <w:r w:rsidRPr="00200724">
        <w:rPr>
          <w:rFonts w:cs="Arial"/>
        </w:rPr>
        <w:t xml:space="preserve"> on the shoreline of the Aegean Sea. Eleven Districts (Balçova, Bayraklı, Bornova, Buca, Çiğli, Gaziemir, Güzelbahçe, Karabağlar, Karşıyaka, Konak and Narlıdere), with a total population of 2.8 millions, constitute the administrative </w:t>
      </w:r>
      <w:r w:rsidR="0070000A">
        <w:rPr>
          <w:rFonts w:cs="Arial"/>
        </w:rPr>
        <w:t xml:space="preserve">unit of the </w:t>
      </w:r>
      <w:r w:rsidRPr="00200724">
        <w:rPr>
          <w:rFonts w:cs="Arial"/>
        </w:rPr>
        <w:t>Metropolitan Municipality</w:t>
      </w:r>
      <w:r w:rsidR="00856286">
        <w:rPr>
          <w:rFonts w:cs="Arial"/>
        </w:rPr>
        <w:t>, i.e. the urban core of the metropolitan area</w:t>
      </w:r>
      <w:r w:rsidRPr="00200724">
        <w:rPr>
          <w:rFonts w:cs="Arial"/>
        </w:rPr>
        <w:t xml:space="preserve">. </w:t>
      </w:r>
    </w:p>
    <w:p w:rsidR="00DC3EAE" w:rsidRPr="00DC3EAE" w:rsidRDefault="00DC3EAE" w:rsidP="00FF1EFA">
      <w:pPr>
        <w:spacing w:line="276" w:lineRule="auto"/>
        <w:rPr>
          <w:rFonts w:cs="Arial"/>
          <w:sz w:val="10"/>
          <w:szCs w:val="10"/>
        </w:rPr>
      </w:pPr>
    </w:p>
    <w:p w:rsidR="00FC1236" w:rsidRPr="00B85277" w:rsidRDefault="00C41557" w:rsidP="00E03D23">
      <w:pPr>
        <w:spacing w:line="360" w:lineRule="exact"/>
        <w:rPr>
          <w:rFonts w:cs="Arial"/>
          <w:lang w:val="en-US"/>
        </w:rPr>
      </w:pPr>
      <w:r>
        <w:rPr>
          <w:noProof/>
          <w:lang w:val="fi-FI" w:eastAsia="fi-FI"/>
        </w:rPr>
        <mc:AlternateContent>
          <mc:Choice Requires="wps">
            <w:drawing>
              <wp:anchor distT="0" distB="0" distL="114300" distR="114300" simplePos="0" relativeHeight="251689984" behindDoc="0" locked="0" layoutInCell="1" allowOverlap="1" wp14:anchorId="69A37F3E" wp14:editId="40554FAE">
                <wp:simplePos x="0" y="0"/>
                <wp:positionH relativeFrom="column">
                  <wp:posOffset>1905</wp:posOffset>
                </wp:positionH>
                <wp:positionV relativeFrom="paragraph">
                  <wp:posOffset>2934335</wp:posOffset>
                </wp:positionV>
                <wp:extent cx="3343275" cy="635"/>
                <wp:effectExtent l="0" t="0" r="0" b="0"/>
                <wp:wrapSquare wrapText="bothSides"/>
                <wp:docPr id="21" name="Textfeld 21"/>
                <wp:cNvGraphicFramePr/>
                <a:graphic xmlns:a="http://schemas.openxmlformats.org/drawingml/2006/main">
                  <a:graphicData uri="http://schemas.microsoft.com/office/word/2010/wordprocessingShape">
                    <wps:wsp>
                      <wps:cNvSpPr txBox="1"/>
                      <wps:spPr>
                        <a:xfrm>
                          <a:off x="0" y="0"/>
                          <a:ext cx="3343275" cy="635"/>
                        </a:xfrm>
                        <a:prstGeom prst="rect">
                          <a:avLst/>
                        </a:prstGeom>
                        <a:solidFill>
                          <a:prstClr val="white"/>
                        </a:solidFill>
                        <a:ln>
                          <a:noFill/>
                        </a:ln>
                        <a:effectLst/>
                      </wps:spPr>
                      <wps:txbx>
                        <w:txbxContent>
                          <w:p w:rsidR="00C41557" w:rsidRPr="004A1EB6" w:rsidRDefault="00C41557" w:rsidP="00C41557">
                            <w:pPr>
                              <w:pStyle w:val="Caption"/>
                              <w:rPr>
                                <w:rFonts w:cs="Arial"/>
                                <w:noProof/>
                              </w:rPr>
                            </w:pPr>
                            <w:bookmarkStart w:id="4" w:name="_Ref392101698"/>
                            <w:bookmarkStart w:id="5" w:name="_Toc392507181"/>
                            <w:r>
                              <w:t xml:space="preserve">Map </w:t>
                            </w:r>
                            <w:r w:rsidR="00C46323">
                              <w:fldChar w:fldCharType="begin"/>
                            </w:r>
                            <w:r w:rsidR="00C46323">
                              <w:instrText xml:space="preserve"> SEQ Map \* ARABIC </w:instrText>
                            </w:r>
                            <w:r w:rsidR="00C46323">
                              <w:fldChar w:fldCharType="separate"/>
                            </w:r>
                            <w:r w:rsidR="00D95984">
                              <w:rPr>
                                <w:noProof/>
                              </w:rPr>
                              <w:t>1</w:t>
                            </w:r>
                            <w:r w:rsidR="00C46323">
                              <w:rPr>
                                <w:noProof/>
                              </w:rPr>
                              <w:fldChar w:fldCharType="end"/>
                            </w:r>
                            <w:bookmarkEnd w:id="4"/>
                            <w:r>
                              <w:t xml:space="preserve">: </w:t>
                            </w:r>
                            <w:r w:rsidRPr="00FB02A6">
                              <w:rPr>
                                <w:rFonts w:cs="Arial"/>
                                <w:lang w:val="en-US"/>
                              </w:rPr>
                              <w:t xml:space="preserve">Izmir in the context of </w:t>
                            </w:r>
                            <w:r>
                              <w:rPr>
                                <w:rFonts w:cs="Arial"/>
                                <w:lang w:val="en-US"/>
                              </w:rPr>
                              <w:t xml:space="preserve">the </w:t>
                            </w:r>
                            <w:r w:rsidRPr="00FB02A6">
                              <w:rPr>
                                <w:rFonts w:cs="Arial"/>
                                <w:lang w:val="en-US"/>
                              </w:rPr>
                              <w:t>ESPON space</w:t>
                            </w:r>
                            <w:bookmarkEnd w:id="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69A37F3E" id="Textfeld 21" o:spid="_x0000_s1029" type="#_x0000_t202" style="position:absolute;left:0;text-align:left;margin-left:.15pt;margin-top:231.05pt;width:263.25pt;height:.0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" stroked="f">
                <v:textbox style="mso-fit-shape-to-text:t" inset="0,0,0,0">
                  <w:txbxContent>
                    <w:p w:rsidR="00C41557" w:rsidRPr="004A1EB6" w:rsidRDefault="00C41557" w:rsidP="00C41557">
                      <w:pPr>
                        <w:pStyle w:val="Kuvaotsikko"/>
                        <w:rPr>
                          <w:rFonts w:cs="Arial"/>
                          <w:noProof/>
                        </w:rPr>
                      </w:pPr>
                      <w:bookmarkStart w:id="6" w:name="_Ref392101698"/>
                      <w:bookmarkStart w:id="7" w:name="_Toc392507181"/>
                      <w:r>
                        <w:t xml:space="preserve">Map </w:t>
                      </w:r>
                      <w:fldSimple w:instr=" SEQ Map \* ARABIC ">
                        <w:r w:rsidR="00D95984">
                          <w:rPr>
                            <w:noProof/>
                          </w:rPr>
                          <w:t>1</w:t>
                        </w:r>
                      </w:fldSimple>
                      <w:bookmarkEnd w:id="6"/>
                      <w:r>
                        <w:t xml:space="preserve">: </w:t>
                      </w:r>
                      <w:r w:rsidRPr="00FB02A6">
                        <w:rPr>
                          <w:rFonts w:cs="Arial"/>
                          <w:lang w:val="en-US"/>
                        </w:rPr>
                        <w:t xml:space="preserve">Izmir in the context of </w:t>
                      </w:r>
                      <w:r>
                        <w:rPr>
                          <w:rFonts w:cs="Arial"/>
                          <w:lang w:val="en-US"/>
                        </w:rPr>
                        <w:t xml:space="preserve">the </w:t>
                      </w:r>
                      <w:r w:rsidRPr="00FB02A6">
                        <w:rPr>
                          <w:rFonts w:cs="Arial"/>
                          <w:lang w:val="en-US"/>
                        </w:rPr>
                        <w:t>ESPON space</w:t>
                      </w:r>
                      <w:bookmarkEnd w:id="7"/>
                    </w:p>
                  </w:txbxContent>
                </v:textbox>
                <w10:wrap type="square"/>
              </v:shape>
            </w:pict>
          </mc:Fallback>
        </mc:AlternateContent>
      </w:r>
      <w:r w:rsidR="00DC3EAE">
        <w:rPr>
          <w:rFonts w:cs="Arial"/>
          <w:noProof/>
          <w:lang w:val="fi-FI" w:eastAsia="fi-FI"/>
        </w:rPr>
        <w:drawing>
          <wp:anchor distT="0" distB="0" distL="114300" distR="114300" simplePos="0" relativeHeight="251673600" behindDoc="0" locked="0" layoutInCell="1" allowOverlap="1" wp14:anchorId="76A74938" wp14:editId="0AB0EF9E">
            <wp:simplePos x="0" y="0"/>
            <wp:positionH relativeFrom="column">
              <wp:posOffset>1905</wp:posOffset>
            </wp:positionH>
            <wp:positionV relativeFrom="paragraph">
              <wp:posOffset>200660</wp:posOffset>
            </wp:positionV>
            <wp:extent cx="3343275" cy="2676525"/>
            <wp:effectExtent l="0" t="0" r="9525" b="9525"/>
            <wp:wrapSquare wrapText="bothSides"/>
            <wp:docPr id="5" name="4 - Εικόνα" descr="ESPON_TIPSE Case study areas_Izmi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ON_TIPSE Case study areas_Izmir.tif"/>
                    <pic:cNvPicPr/>
                  </pic:nvPicPr>
                  <pic:blipFill rotWithShape="1">
                    <a:blip r:embed="rId23" cstate="print"/>
                    <a:srcRect l="2903" t="1703" r="4469" b="2555"/>
                    <a:stretch/>
                  </pic:blipFill>
                  <pic:spPr bwMode="auto">
                    <a:xfrm>
                      <a:off x="0" y="0"/>
                      <a:ext cx="3343275" cy="26765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17000B" w:rsidRDefault="0017000B" w:rsidP="00BE1E82">
      <w:pPr>
        <w:rPr>
          <w:rFonts w:cs="Arial"/>
          <w:b/>
          <w:lang w:val="en-US"/>
        </w:rPr>
      </w:pPr>
    </w:p>
    <w:p w:rsidR="00B85277" w:rsidRDefault="00B85277" w:rsidP="00B85277">
      <w:pPr>
        <w:spacing w:before="0"/>
        <w:rPr>
          <w:rFonts w:cs="Arial"/>
          <w:b/>
          <w:lang w:val="en-US"/>
        </w:rPr>
      </w:pPr>
      <w:r>
        <w:rPr>
          <w:rFonts w:cs="Arial"/>
          <w:b/>
          <w:lang w:val="en-US"/>
        </w:rPr>
        <w:t xml:space="preserve"> </w:t>
      </w:r>
    </w:p>
    <w:p w:rsidR="00DC3EAE" w:rsidRPr="00DC3EAE" w:rsidRDefault="00DC3EAE" w:rsidP="00B85277">
      <w:pPr>
        <w:spacing w:before="0"/>
        <w:rPr>
          <w:rFonts w:cs="Arial"/>
          <w:b/>
          <w:sz w:val="10"/>
          <w:szCs w:val="10"/>
          <w:lang w:val="en-US"/>
        </w:rPr>
      </w:pPr>
    </w:p>
    <w:p w:rsidR="00B85277" w:rsidRPr="00B85277" w:rsidRDefault="00C41557" w:rsidP="00BE1E82">
      <w:pPr>
        <w:rPr>
          <w:rFonts w:cs="Arial"/>
          <w:b/>
          <w:lang w:val="en-US"/>
        </w:rPr>
      </w:pPr>
      <w:r>
        <w:rPr>
          <w:noProof/>
          <w:lang w:val="fi-FI" w:eastAsia="fi-FI"/>
        </w:rPr>
        <mc:AlternateContent>
          <mc:Choice Requires="wps">
            <w:drawing>
              <wp:anchor distT="0" distB="0" distL="114300" distR="114300" simplePos="0" relativeHeight="251692032" behindDoc="0" locked="0" layoutInCell="1" allowOverlap="1" wp14:anchorId="570E8E20" wp14:editId="646F5576">
                <wp:simplePos x="0" y="0"/>
                <wp:positionH relativeFrom="column">
                  <wp:posOffset>46990</wp:posOffset>
                </wp:positionH>
                <wp:positionV relativeFrom="paragraph">
                  <wp:posOffset>2527300</wp:posOffset>
                </wp:positionV>
                <wp:extent cx="3223260" cy="635"/>
                <wp:effectExtent l="0" t="0" r="0" b="0"/>
                <wp:wrapSquare wrapText="bothSides"/>
                <wp:docPr id="22" name="Textfeld 22"/>
                <wp:cNvGraphicFramePr/>
                <a:graphic xmlns:a="http://schemas.openxmlformats.org/drawingml/2006/main">
                  <a:graphicData uri="http://schemas.microsoft.com/office/word/2010/wordprocessingShape">
                    <wps:wsp>
                      <wps:cNvSpPr txBox="1"/>
                      <wps:spPr>
                        <a:xfrm>
                          <a:off x="0" y="0"/>
                          <a:ext cx="3223260" cy="635"/>
                        </a:xfrm>
                        <a:prstGeom prst="rect">
                          <a:avLst/>
                        </a:prstGeom>
                        <a:solidFill>
                          <a:prstClr val="white"/>
                        </a:solidFill>
                        <a:ln>
                          <a:noFill/>
                        </a:ln>
                        <a:effectLst/>
                      </wps:spPr>
                      <wps:txbx>
                        <w:txbxContent>
                          <w:p w:rsidR="00C41557" w:rsidRPr="00827AF4" w:rsidRDefault="00C41557" w:rsidP="00C41557">
                            <w:pPr>
                              <w:pStyle w:val="Caption"/>
                              <w:rPr>
                                <w:rFonts w:cs="Arial"/>
                                <w:noProof/>
                              </w:rPr>
                            </w:pPr>
                            <w:bookmarkStart w:id="6" w:name="_Ref392101752"/>
                            <w:bookmarkStart w:id="7" w:name="_Toc392507182"/>
                            <w:r>
                              <w:t xml:space="preserve">Map </w:t>
                            </w:r>
                            <w:r w:rsidR="00C46323">
                              <w:fldChar w:fldCharType="begin"/>
                            </w:r>
                            <w:r w:rsidR="00C46323">
                              <w:instrText xml:space="preserve"> SEQ Map \* ARABIC </w:instrText>
                            </w:r>
                            <w:r w:rsidR="00C46323">
                              <w:fldChar w:fldCharType="separate"/>
                            </w:r>
                            <w:r w:rsidR="00D95984">
                              <w:rPr>
                                <w:noProof/>
                              </w:rPr>
                              <w:t>2</w:t>
                            </w:r>
                            <w:r w:rsidR="00C46323">
                              <w:rPr>
                                <w:noProof/>
                              </w:rPr>
                              <w:fldChar w:fldCharType="end"/>
                            </w:r>
                            <w:bookmarkEnd w:id="6"/>
                            <w:r>
                              <w:t xml:space="preserve">: </w:t>
                            </w:r>
                            <w:r>
                              <w:rPr>
                                <w:rFonts w:cs="Arial"/>
                              </w:rPr>
                              <w:t>The m</w:t>
                            </w:r>
                            <w:r w:rsidRPr="007929A9">
                              <w:rPr>
                                <w:rFonts w:cs="Arial"/>
                              </w:rPr>
                              <w:t>unicipali</w:t>
                            </w:r>
                            <w:r>
                              <w:rPr>
                                <w:rFonts w:cs="Arial"/>
                              </w:rPr>
                              <w:t>ties of the r</w:t>
                            </w:r>
                            <w:r w:rsidRPr="007929A9">
                              <w:rPr>
                                <w:rFonts w:cs="Arial"/>
                              </w:rPr>
                              <w:t>egion of Izmir</w:t>
                            </w:r>
                            <w:bookmarkEnd w:id="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570E8E20" id="Textfeld 22" o:spid="_x0000_s1030" type="#_x0000_t202" style="position:absolute;left:0;text-align:left;margin-left:3.7pt;margin-top:199pt;width:253.8pt;height:.05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" stroked="f">
                <v:textbox style="mso-fit-shape-to-text:t" inset="0,0,0,0">
                  <w:txbxContent>
                    <w:p w:rsidR="00C41557" w:rsidRPr="00827AF4" w:rsidRDefault="00C41557" w:rsidP="00C41557">
                      <w:pPr>
                        <w:pStyle w:val="Kuvaotsikko"/>
                        <w:rPr>
                          <w:rFonts w:cs="Arial"/>
                          <w:noProof/>
                        </w:rPr>
                      </w:pPr>
                      <w:bookmarkStart w:id="10" w:name="_Ref392101752"/>
                      <w:bookmarkStart w:id="11" w:name="_Toc392507182"/>
                      <w:r>
                        <w:t xml:space="preserve">Map </w:t>
                      </w:r>
                      <w:fldSimple w:instr=" SEQ Map \* ARABIC ">
                        <w:r w:rsidR="00D95984">
                          <w:rPr>
                            <w:noProof/>
                          </w:rPr>
                          <w:t>2</w:t>
                        </w:r>
                      </w:fldSimple>
                      <w:bookmarkEnd w:id="10"/>
                      <w:r>
                        <w:t xml:space="preserve">: </w:t>
                      </w:r>
                      <w:r>
                        <w:rPr>
                          <w:rFonts w:cs="Arial"/>
                        </w:rPr>
                        <w:t>The m</w:t>
                      </w:r>
                      <w:r w:rsidRPr="007929A9">
                        <w:rPr>
                          <w:rFonts w:cs="Arial"/>
                        </w:rPr>
                        <w:t>unicipali</w:t>
                      </w:r>
                      <w:r>
                        <w:rPr>
                          <w:rFonts w:cs="Arial"/>
                        </w:rPr>
                        <w:t>ties of the r</w:t>
                      </w:r>
                      <w:r w:rsidRPr="007929A9">
                        <w:rPr>
                          <w:rFonts w:cs="Arial"/>
                        </w:rPr>
                        <w:t>egion of Izmir</w:t>
                      </w:r>
                      <w:bookmarkEnd w:id="11"/>
                    </w:p>
                  </w:txbxContent>
                </v:textbox>
                <w10:wrap type="square"/>
              </v:shape>
            </w:pict>
          </mc:Fallback>
        </mc:AlternateContent>
      </w:r>
      <w:r w:rsidR="00B616DC">
        <w:rPr>
          <w:rFonts w:cs="Arial"/>
          <w:b/>
          <w:noProof/>
          <w:lang w:val="fi-FI" w:eastAsia="fi-FI"/>
        </w:rPr>
        <w:drawing>
          <wp:anchor distT="0" distB="0" distL="114300" distR="114300" simplePos="0" relativeHeight="251663360" behindDoc="0" locked="0" layoutInCell="1" allowOverlap="1" wp14:anchorId="3540A0F8" wp14:editId="0B6C194C">
            <wp:simplePos x="0" y="0"/>
            <wp:positionH relativeFrom="margin">
              <wp:posOffset>46990</wp:posOffset>
            </wp:positionH>
            <wp:positionV relativeFrom="paragraph">
              <wp:posOffset>163195</wp:posOffset>
            </wp:positionV>
            <wp:extent cx="3223260" cy="2306955"/>
            <wp:effectExtent l="19050" t="0" r="0" b="0"/>
            <wp:wrapSquare wrapText="bothSides"/>
            <wp:docPr id="2" name="Εικόνα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cstate="print"/>
                    <a:srcRect/>
                    <a:stretch>
                      <a:fillRect/>
                    </a:stretch>
                  </pic:blipFill>
                  <pic:spPr bwMode="auto">
                    <a:xfrm>
                      <a:off x="0" y="0"/>
                      <a:ext cx="3223260" cy="2306955"/>
                    </a:xfrm>
                    <a:prstGeom prst="rect">
                      <a:avLst/>
                    </a:prstGeom>
                    <a:solidFill>
                      <a:srgbClr val="FFFFFF"/>
                    </a:solidFill>
                    <a:ln w="9525">
                      <a:noFill/>
                      <a:miter lim="800000"/>
                      <a:headEnd/>
                      <a:tailEnd/>
                    </a:ln>
                  </pic:spPr>
                </pic:pic>
              </a:graphicData>
            </a:graphic>
          </wp:anchor>
        </w:drawing>
      </w: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85277" w:rsidRPr="00B85277" w:rsidRDefault="00B85277" w:rsidP="00BE1E82">
      <w:pPr>
        <w:rPr>
          <w:rFonts w:cs="Arial"/>
          <w:b/>
          <w:lang w:val="en-US"/>
        </w:rPr>
      </w:pPr>
    </w:p>
    <w:p w:rsidR="00B616DC" w:rsidRDefault="00B616DC" w:rsidP="007929A9">
      <w:pPr>
        <w:pStyle w:val="Caption"/>
      </w:pPr>
    </w:p>
    <w:p w:rsidR="00C41557" w:rsidRDefault="00C41557" w:rsidP="00B616DC">
      <w:pPr>
        <w:spacing w:line="0" w:lineRule="atLeast"/>
        <w:rPr>
          <w:b/>
          <w:sz w:val="16"/>
          <w:szCs w:val="16"/>
        </w:rPr>
      </w:pPr>
    </w:p>
    <w:p w:rsidR="00C41557" w:rsidRPr="00C41557" w:rsidRDefault="00C41557" w:rsidP="00B616DC">
      <w:pPr>
        <w:spacing w:line="0" w:lineRule="atLeast"/>
        <w:rPr>
          <w:sz w:val="16"/>
          <w:szCs w:val="16"/>
        </w:rPr>
      </w:pPr>
    </w:p>
    <w:p w:rsidR="00B616DC" w:rsidRPr="00B616DC" w:rsidRDefault="00B616DC" w:rsidP="00B616DC">
      <w:pPr>
        <w:spacing w:line="0" w:lineRule="atLeast"/>
        <w:rPr>
          <w:sz w:val="16"/>
          <w:szCs w:val="16"/>
        </w:rPr>
      </w:pPr>
      <w:r w:rsidRPr="00DC3EAE">
        <w:rPr>
          <w:b/>
          <w:sz w:val="16"/>
          <w:szCs w:val="16"/>
        </w:rPr>
        <w:lastRenderedPageBreak/>
        <w:t>Source:</w:t>
      </w:r>
      <w:r w:rsidRPr="00B616DC">
        <w:rPr>
          <w:sz w:val="16"/>
          <w:szCs w:val="16"/>
        </w:rPr>
        <w:t xml:space="preserve"> Wikipedia</w:t>
      </w:r>
    </w:p>
    <w:p w:rsidR="00BE1E82" w:rsidRPr="00DC3EAE" w:rsidRDefault="008D4611" w:rsidP="00DC3EAE">
      <w:pPr>
        <w:spacing w:line="276" w:lineRule="auto"/>
        <w:rPr>
          <w:rFonts w:cs="Arial"/>
        </w:rPr>
      </w:pPr>
      <w:bookmarkStart w:id="8" w:name="_Toc340841254"/>
      <w:bookmarkStart w:id="9" w:name="_Toc346988036"/>
      <w:r w:rsidRPr="008D4611">
        <w:rPr>
          <w:rFonts w:cs="Arial"/>
        </w:rPr>
        <w:t>Because of its historical significance as a major port in the Aegean</w:t>
      </w:r>
      <w:r w:rsidR="002F5482">
        <w:rPr>
          <w:rFonts w:cs="Arial"/>
        </w:rPr>
        <w:t xml:space="preserve"> Sea</w:t>
      </w:r>
      <w:r w:rsidRPr="008D4611">
        <w:rPr>
          <w:rFonts w:cs="Arial"/>
        </w:rPr>
        <w:t>, Izmir has r</w:t>
      </w:r>
      <w:r w:rsidRPr="008D4611">
        <w:rPr>
          <w:rFonts w:cs="Arial"/>
        </w:rPr>
        <w:t>e</w:t>
      </w:r>
      <w:r w:rsidRPr="008D4611">
        <w:rPr>
          <w:rFonts w:cs="Arial"/>
        </w:rPr>
        <w:t>ceived high levels of investments in urban infrastructure since the seventeenth cent</w:t>
      </w:r>
      <w:r w:rsidRPr="008D4611">
        <w:rPr>
          <w:rFonts w:cs="Arial"/>
        </w:rPr>
        <w:t>u</w:t>
      </w:r>
      <w:r w:rsidRPr="008D4611">
        <w:rPr>
          <w:rFonts w:cs="Arial"/>
        </w:rPr>
        <w:t>ry (Sonmez</w:t>
      </w:r>
      <w:r w:rsidR="00DC3EAE">
        <w:rPr>
          <w:rFonts w:cs="Arial"/>
        </w:rPr>
        <w:t>,</w:t>
      </w:r>
      <w:r w:rsidRPr="008D4611">
        <w:rPr>
          <w:rFonts w:cs="Arial"/>
        </w:rPr>
        <w:t xml:space="preserve"> 2007). Ever since, Izmir has attracted significant capital flows and imm</w:t>
      </w:r>
      <w:r w:rsidRPr="008D4611">
        <w:rPr>
          <w:rFonts w:cs="Arial"/>
        </w:rPr>
        <w:t>i</w:t>
      </w:r>
      <w:r w:rsidRPr="008D4611">
        <w:rPr>
          <w:rFonts w:cs="Arial"/>
        </w:rPr>
        <w:t xml:space="preserve">grant workers from rural areas of Turkey. Internal migration has been more massive since </w:t>
      </w:r>
      <w:r w:rsidR="002F5482">
        <w:rPr>
          <w:rFonts w:cs="Arial"/>
        </w:rPr>
        <w:t xml:space="preserve">the </w:t>
      </w:r>
      <w:r w:rsidRPr="008D4611">
        <w:rPr>
          <w:rFonts w:cs="Arial"/>
        </w:rPr>
        <w:t xml:space="preserve">1970s, while more recently dislocated people from South-Eastern </w:t>
      </w:r>
      <w:r w:rsidR="00417A4F">
        <w:rPr>
          <w:rFonts w:cs="Arial"/>
        </w:rPr>
        <w:t xml:space="preserve">Turkey </w:t>
      </w:r>
      <w:r w:rsidRPr="008D4611">
        <w:rPr>
          <w:rFonts w:cs="Arial"/>
        </w:rPr>
        <w:t>contributed for an important part of the population increase</w:t>
      </w:r>
      <w:r>
        <w:rPr>
          <w:rFonts w:cs="Arial"/>
        </w:rPr>
        <w:t>.</w:t>
      </w:r>
    </w:p>
    <w:p w:rsidR="008D4611" w:rsidRDefault="008D4611" w:rsidP="00DC3EAE">
      <w:pPr>
        <w:spacing w:line="276" w:lineRule="auto"/>
        <w:rPr>
          <w:rFonts w:cs="Arial"/>
        </w:rPr>
      </w:pPr>
      <w:r w:rsidRPr="00200724">
        <w:rPr>
          <w:rFonts w:cs="Arial"/>
        </w:rPr>
        <w:t>After the industrialization period of the city in the 1960s, Izmir has attracted migrants from other parts of Turkey</w:t>
      </w:r>
      <w:r w:rsidR="000D18C6">
        <w:rPr>
          <w:rFonts w:cs="Arial"/>
        </w:rPr>
        <w:t>, in the midst of the outburst of urbanization in Turkey</w:t>
      </w:r>
      <w:r w:rsidR="00FE26C7">
        <w:rPr>
          <w:rFonts w:cs="Arial"/>
        </w:rPr>
        <w:t xml:space="preserve"> (</w:t>
      </w:r>
      <w:r w:rsidR="00BA74BA">
        <w:rPr>
          <w:rFonts w:cs="Arial"/>
        </w:rPr>
        <w:t>U</w:t>
      </w:r>
      <w:r w:rsidR="00BA74BA">
        <w:rPr>
          <w:rFonts w:cs="Arial"/>
        </w:rPr>
        <w:t>n</w:t>
      </w:r>
      <w:r w:rsidR="00BA74BA">
        <w:rPr>
          <w:rFonts w:cs="Arial"/>
        </w:rPr>
        <w:t>verdi et al., 2007)</w:t>
      </w:r>
      <w:r w:rsidRPr="00200724">
        <w:rPr>
          <w:rFonts w:cs="Arial"/>
        </w:rPr>
        <w:t>. However, the number of jobs and housing units was inadequate for these migrants and, thus, the informalization process of housing and job opport</w:t>
      </w:r>
      <w:r w:rsidRPr="00200724">
        <w:rPr>
          <w:rFonts w:cs="Arial"/>
        </w:rPr>
        <w:t>u</w:t>
      </w:r>
      <w:r w:rsidRPr="00200724">
        <w:rPr>
          <w:rFonts w:cs="Arial"/>
        </w:rPr>
        <w:t>nities started to emerge (Sonmez</w:t>
      </w:r>
      <w:r w:rsidR="00DC3EAE">
        <w:rPr>
          <w:rFonts w:cs="Arial"/>
        </w:rPr>
        <w:t>,</w:t>
      </w:r>
      <w:r w:rsidRPr="00200724">
        <w:rPr>
          <w:rFonts w:cs="Arial"/>
        </w:rPr>
        <w:t xml:space="preserve"> 2007). The inner areas of Izmir are still the primary location for work-places and housing of migrating groups. Since the 1960s, the city expanded along </w:t>
      </w:r>
      <w:r>
        <w:rPr>
          <w:rFonts w:cs="Arial"/>
        </w:rPr>
        <w:t>certain</w:t>
      </w:r>
      <w:r w:rsidRPr="00200724">
        <w:rPr>
          <w:rFonts w:cs="Arial"/>
        </w:rPr>
        <w:t xml:space="preserve"> development axes. This made newly built dwellings available to the already established residents, including those of the inner areas of the city, while the new incoming population started to move in to the inner </w:t>
      </w:r>
      <w:r>
        <w:rPr>
          <w:rFonts w:cs="Arial"/>
        </w:rPr>
        <w:t xml:space="preserve">city </w:t>
      </w:r>
      <w:r w:rsidRPr="00200724">
        <w:rPr>
          <w:rFonts w:cs="Arial"/>
        </w:rPr>
        <w:t xml:space="preserve">areas. It is thus during recent decades that Izmir was transformed to a regional metropolis, as the population of the city increased from 554,000 in 1970 to 1,489,817 in 1985 and then to </w:t>
      </w:r>
      <w:r w:rsidR="00F101BE">
        <w:rPr>
          <w:rFonts w:cs="Arial"/>
        </w:rPr>
        <w:t>slightly above</w:t>
      </w:r>
      <w:r w:rsidRPr="00200724">
        <w:rPr>
          <w:rFonts w:cs="Arial"/>
        </w:rPr>
        <w:t xml:space="preserve"> 4 millions in 2012. Rapid urbanization resulted in inadequate hou</w:t>
      </w:r>
      <w:r w:rsidRPr="00200724">
        <w:rPr>
          <w:rFonts w:cs="Arial"/>
        </w:rPr>
        <w:t>s</w:t>
      </w:r>
      <w:r w:rsidRPr="00200724">
        <w:rPr>
          <w:rFonts w:cs="Arial"/>
        </w:rPr>
        <w:t>ing and urban infrastructure, especially for the newcomers.</w:t>
      </w:r>
    </w:p>
    <w:p w:rsidR="00B535D2" w:rsidRDefault="00FB504B" w:rsidP="00DC3EAE">
      <w:pPr>
        <w:spacing w:line="276" w:lineRule="auto"/>
        <w:rPr>
          <w:rFonts w:cs="Arial"/>
        </w:rPr>
      </w:pPr>
      <w:r>
        <w:rPr>
          <w:rFonts w:cs="Arial"/>
        </w:rPr>
        <w:t>The Region of Izmir is not included in the ESPON metropolitan regions typology</w:t>
      </w:r>
      <w:r w:rsidR="006C01E9">
        <w:rPr>
          <w:rFonts w:cs="Arial"/>
        </w:rPr>
        <w:t>, while it is considered a predominantly urban region (</w:t>
      </w:r>
      <w:r w:rsidR="00B66A59">
        <w:rPr>
          <w:rFonts w:cs="Arial"/>
        </w:rPr>
        <w:t xml:space="preserve">see </w:t>
      </w:r>
      <w:r w:rsidR="006C01E9">
        <w:rPr>
          <w:rFonts w:cs="Arial"/>
        </w:rPr>
        <w:t>Table1)</w:t>
      </w:r>
      <w:r>
        <w:rPr>
          <w:rFonts w:cs="Arial"/>
        </w:rPr>
        <w:t xml:space="preserve">. </w:t>
      </w:r>
      <w:r w:rsidR="000231B2">
        <w:rPr>
          <w:rFonts w:cs="Arial"/>
        </w:rPr>
        <w:t>The analysis below follows</w:t>
      </w:r>
      <w:r>
        <w:rPr>
          <w:rFonts w:cs="Arial"/>
        </w:rPr>
        <w:t xml:space="preserve"> the Turkish Statistical Institute</w:t>
      </w:r>
      <w:r w:rsidR="000231B2">
        <w:rPr>
          <w:rFonts w:cs="Arial"/>
        </w:rPr>
        <w:t xml:space="preserve"> </w:t>
      </w:r>
      <w:r w:rsidR="00EB6B89">
        <w:rPr>
          <w:rFonts w:cs="Arial"/>
        </w:rPr>
        <w:t>TUIK</w:t>
      </w:r>
      <w:r>
        <w:rPr>
          <w:rFonts w:cs="Arial"/>
        </w:rPr>
        <w:t xml:space="preserve"> in considering the whole region as one “Metropolitan Municipality”, i.e. identifying the NUTS III Region with the Metropolitan Region of Izmir (MRI). </w:t>
      </w:r>
    </w:p>
    <w:p w:rsidR="00DC3EAE" w:rsidRPr="00DC3EAE" w:rsidRDefault="00DC3EAE" w:rsidP="00DC3EAE">
      <w:pPr>
        <w:spacing w:line="276" w:lineRule="auto"/>
        <w:rPr>
          <w:rFonts w:cs="Arial"/>
          <w:sz w:val="10"/>
          <w:szCs w:val="10"/>
        </w:rPr>
      </w:pPr>
    </w:p>
    <w:p w:rsidR="005E10E5" w:rsidRPr="005E10E5" w:rsidRDefault="009C12C9" w:rsidP="00DC3EAE">
      <w:pPr>
        <w:pStyle w:val="Caption"/>
        <w:keepNext/>
        <w:spacing w:after="120"/>
        <w:ind w:left="142" w:hanging="142"/>
        <w:rPr>
          <w:rFonts w:cs="Arial"/>
          <w:lang w:val="en-US"/>
        </w:rPr>
      </w:pPr>
      <w:bookmarkStart w:id="10" w:name="_Toc385001367"/>
      <w:r>
        <w:t xml:space="preserve">Table </w:t>
      </w:r>
      <w:r w:rsidR="00E472CB">
        <w:fldChar w:fldCharType="begin"/>
      </w:r>
      <w:r>
        <w:instrText xml:space="preserve"> SEQ Table \* ARABIC </w:instrText>
      </w:r>
      <w:r w:rsidR="00E472CB">
        <w:fldChar w:fldCharType="separate"/>
      </w:r>
      <w:r w:rsidR="00D95984">
        <w:rPr>
          <w:noProof/>
        </w:rPr>
        <w:t>1</w:t>
      </w:r>
      <w:r w:rsidR="00E472CB">
        <w:fldChar w:fldCharType="end"/>
      </w:r>
      <w:r w:rsidR="005E10E5">
        <w:t xml:space="preserve">: </w:t>
      </w:r>
      <w:r w:rsidRPr="00D93644">
        <w:rPr>
          <w:rFonts w:cs="Arial"/>
          <w:lang w:val="en-US"/>
        </w:rPr>
        <w:t>ESPON CU typo</w:t>
      </w:r>
      <w:r w:rsidR="00812CE3">
        <w:rPr>
          <w:rFonts w:cs="Arial"/>
          <w:lang w:val="en-US"/>
        </w:rPr>
        <w:t>logy and classification of the r</w:t>
      </w:r>
      <w:r w:rsidRPr="00D93644">
        <w:rPr>
          <w:rFonts w:cs="Arial"/>
          <w:lang w:val="en-US"/>
        </w:rPr>
        <w:t xml:space="preserve">egion of </w:t>
      </w:r>
      <w:r>
        <w:rPr>
          <w:rFonts w:cs="Arial"/>
          <w:lang w:val="en-US"/>
        </w:rPr>
        <w:t>Izmir</w:t>
      </w:r>
      <w:bookmarkEnd w:id="10"/>
    </w:p>
    <w:tbl>
      <w:tblPr>
        <w:tblStyle w:val="TableGrid"/>
        <w:tblW w:w="8791" w:type="dxa"/>
        <w:jc w:val="center"/>
        <w:tblLayout w:type="fixed"/>
        <w:tblLook w:val="0000" w:firstRow="0" w:lastRow="0" w:firstColumn="0" w:lastColumn="0" w:noHBand="0" w:noVBand="0"/>
      </w:tblPr>
      <w:tblGrid>
        <w:gridCol w:w="3257"/>
        <w:gridCol w:w="5534"/>
      </w:tblGrid>
      <w:tr w:rsidR="00856286" w:rsidTr="00DC3EAE">
        <w:trPr>
          <w:jc w:val="center"/>
        </w:trPr>
        <w:tc>
          <w:tcPr>
            <w:tcW w:w="3257" w:type="dxa"/>
            <w:tcBorders>
              <w:bottom w:val="single" w:sz="18" w:space="0" w:color="auto"/>
            </w:tcBorders>
          </w:tcPr>
          <w:bookmarkEnd w:id="8"/>
          <w:bookmarkEnd w:id="9"/>
          <w:p w:rsidR="00856286" w:rsidRPr="00DC3EAE" w:rsidRDefault="00856286" w:rsidP="00DC3EAE">
            <w:pPr>
              <w:pStyle w:val="a"/>
              <w:snapToGrid w:val="0"/>
              <w:spacing w:before="20" w:after="20"/>
              <w:ind w:left="273"/>
              <w:rPr>
                <w:rFonts w:ascii="Arial" w:hAnsi="Arial" w:cs="Arial"/>
                <w:b/>
                <w:bCs/>
                <w:sz w:val="19"/>
                <w:szCs w:val="19"/>
                <w:lang w:val="en-US"/>
              </w:rPr>
            </w:pPr>
            <w:r w:rsidRPr="00DC3EAE">
              <w:rPr>
                <w:rFonts w:ascii="Arial" w:hAnsi="Arial" w:cs="Arial"/>
                <w:b/>
                <w:bCs/>
                <w:sz w:val="19"/>
                <w:szCs w:val="19"/>
                <w:lang w:val="en-US"/>
              </w:rPr>
              <w:t>Typology</w:t>
            </w:r>
          </w:p>
        </w:tc>
        <w:tc>
          <w:tcPr>
            <w:tcW w:w="5534" w:type="dxa"/>
            <w:tcBorders>
              <w:bottom w:val="single" w:sz="18" w:space="0" w:color="auto"/>
            </w:tcBorders>
          </w:tcPr>
          <w:p w:rsidR="00856286" w:rsidRPr="00DC3EAE" w:rsidRDefault="00C47B73" w:rsidP="00DC3EAE">
            <w:pPr>
              <w:pStyle w:val="a"/>
              <w:snapToGrid w:val="0"/>
              <w:spacing w:before="20" w:after="20"/>
              <w:ind w:left="273"/>
              <w:rPr>
                <w:rFonts w:ascii="Arial" w:hAnsi="Arial" w:cs="Arial"/>
                <w:b/>
                <w:bCs/>
                <w:sz w:val="19"/>
                <w:szCs w:val="19"/>
                <w:lang w:val="en-US"/>
              </w:rPr>
            </w:pPr>
            <w:r w:rsidRPr="00DC3EAE">
              <w:rPr>
                <w:rFonts w:ascii="Arial" w:hAnsi="Arial" w:cs="Arial"/>
                <w:b/>
                <w:bCs/>
                <w:sz w:val="19"/>
                <w:szCs w:val="19"/>
                <w:lang w:val="en-US"/>
              </w:rPr>
              <w:t>Classification of the R</w:t>
            </w:r>
            <w:r w:rsidR="00856286" w:rsidRPr="00DC3EAE">
              <w:rPr>
                <w:rFonts w:ascii="Arial" w:hAnsi="Arial" w:cs="Arial"/>
                <w:b/>
                <w:bCs/>
                <w:sz w:val="19"/>
                <w:szCs w:val="19"/>
                <w:lang w:val="en-US"/>
              </w:rPr>
              <w:t xml:space="preserve">egion of </w:t>
            </w:r>
            <w:r w:rsidR="00FB504B" w:rsidRPr="00DC3EAE">
              <w:rPr>
                <w:rFonts w:ascii="Arial" w:hAnsi="Arial" w:cs="Arial"/>
                <w:b/>
                <w:bCs/>
                <w:sz w:val="19"/>
                <w:szCs w:val="19"/>
                <w:lang w:val="en-US"/>
              </w:rPr>
              <w:t>Izmir</w:t>
            </w:r>
          </w:p>
        </w:tc>
      </w:tr>
      <w:tr w:rsidR="00856286" w:rsidTr="00DC3EAE">
        <w:trPr>
          <w:jc w:val="center"/>
        </w:trPr>
        <w:tc>
          <w:tcPr>
            <w:tcW w:w="3257" w:type="dxa"/>
            <w:tcBorders>
              <w:top w:val="single" w:sz="18" w:space="0" w:color="auto"/>
            </w:tcBorders>
            <w:shd w:val="clear" w:color="auto" w:fill="D9D9D9" w:themeFill="background1" w:themeFillShade="D9"/>
          </w:tcPr>
          <w:p w:rsidR="00856286" w:rsidRPr="00DC3EAE" w:rsidRDefault="00DC3EAE" w:rsidP="00DC3EAE">
            <w:pPr>
              <w:snapToGrid w:val="0"/>
              <w:spacing w:before="20" w:after="20" w:line="240" w:lineRule="auto"/>
              <w:ind w:left="273" w:hanging="131"/>
              <w:rPr>
                <w:rFonts w:eastAsia="Verdana" w:cs="Arial"/>
                <w:b/>
                <w:sz w:val="19"/>
                <w:szCs w:val="19"/>
              </w:rPr>
            </w:pPr>
            <w:r>
              <w:rPr>
                <w:rFonts w:eastAsia="Verdana" w:cs="Arial"/>
                <w:b/>
                <w:sz w:val="19"/>
                <w:szCs w:val="19"/>
              </w:rPr>
              <w:t xml:space="preserve">  </w:t>
            </w:r>
            <w:r w:rsidR="00856286" w:rsidRPr="00DC3EAE">
              <w:rPr>
                <w:rFonts w:eastAsia="Verdana" w:cs="Arial"/>
                <w:b/>
                <w:sz w:val="19"/>
                <w:szCs w:val="19"/>
              </w:rPr>
              <w:t>1. Urban-rural regions</w:t>
            </w:r>
          </w:p>
        </w:tc>
        <w:tc>
          <w:tcPr>
            <w:tcW w:w="5534" w:type="dxa"/>
            <w:tcBorders>
              <w:top w:val="single" w:sz="18" w:space="0" w:color="auto"/>
            </w:tcBorders>
            <w:shd w:val="clear" w:color="auto" w:fill="D9D9D9" w:themeFill="background1" w:themeFillShade="D9"/>
          </w:tcPr>
          <w:p w:rsidR="00856286" w:rsidRPr="00DC3EAE" w:rsidRDefault="00856286" w:rsidP="00DC3EAE">
            <w:pPr>
              <w:pStyle w:val="a"/>
              <w:snapToGrid w:val="0"/>
              <w:spacing w:before="20" w:after="20"/>
              <w:ind w:left="273"/>
              <w:rPr>
                <w:rFonts w:ascii="Arial" w:hAnsi="Arial" w:cs="Arial"/>
                <w:sz w:val="19"/>
                <w:szCs w:val="19"/>
                <w:u w:val="single"/>
                <w:lang w:val="en-US"/>
              </w:rPr>
            </w:pPr>
            <w:r w:rsidRPr="00DC3EAE">
              <w:rPr>
                <w:rFonts w:ascii="Arial" w:hAnsi="Arial" w:cs="Arial"/>
                <w:sz w:val="19"/>
                <w:szCs w:val="19"/>
                <w:u w:val="single"/>
                <w:lang w:val="en-US"/>
              </w:rPr>
              <w:t>Predominantly urban region</w:t>
            </w:r>
          </w:p>
        </w:tc>
      </w:tr>
      <w:tr w:rsidR="00856286" w:rsidTr="005E10E5">
        <w:trPr>
          <w:jc w:val="center"/>
        </w:trPr>
        <w:tc>
          <w:tcPr>
            <w:tcW w:w="3257" w:type="dxa"/>
          </w:tcPr>
          <w:p w:rsidR="00856286" w:rsidRPr="00DC3EAE" w:rsidRDefault="00856286" w:rsidP="00DC3EAE">
            <w:pPr>
              <w:snapToGrid w:val="0"/>
              <w:spacing w:before="20" w:after="20" w:line="240" w:lineRule="auto"/>
              <w:ind w:left="415" w:hanging="142"/>
              <w:rPr>
                <w:rFonts w:eastAsia="Verdana" w:cs="Arial"/>
                <w:b/>
                <w:sz w:val="19"/>
                <w:szCs w:val="19"/>
              </w:rPr>
            </w:pPr>
            <w:r w:rsidRPr="00DC3EAE">
              <w:rPr>
                <w:rFonts w:eastAsia="Verdana" w:cs="Arial"/>
                <w:b/>
                <w:sz w:val="19"/>
                <w:szCs w:val="19"/>
              </w:rPr>
              <w:t>2. Metropolitan regions</w:t>
            </w:r>
          </w:p>
        </w:tc>
        <w:tc>
          <w:tcPr>
            <w:tcW w:w="5534" w:type="dxa"/>
          </w:tcPr>
          <w:p w:rsidR="00856286" w:rsidRPr="00DC3EAE" w:rsidRDefault="00333C19" w:rsidP="00DC3EAE">
            <w:pPr>
              <w:snapToGrid w:val="0"/>
              <w:spacing w:before="20" w:after="20" w:line="240" w:lineRule="auto"/>
              <w:ind w:left="273"/>
              <w:jc w:val="left"/>
              <w:rPr>
                <w:rFonts w:eastAsia="Verdana" w:cs="Arial"/>
                <w:sz w:val="19"/>
                <w:szCs w:val="19"/>
              </w:rPr>
            </w:pPr>
            <w:r w:rsidRPr="00DC3EAE">
              <w:rPr>
                <w:rFonts w:eastAsia="Verdana" w:cs="Arial"/>
                <w:sz w:val="19"/>
                <w:szCs w:val="19"/>
              </w:rPr>
              <w:t>-</w:t>
            </w:r>
          </w:p>
        </w:tc>
      </w:tr>
      <w:tr w:rsidR="00856286" w:rsidTr="00DC3EAE">
        <w:trPr>
          <w:jc w:val="center"/>
        </w:trPr>
        <w:tc>
          <w:tcPr>
            <w:tcW w:w="3257" w:type="dxa"/>
            <w:shd w:val="clear" w:color="auto" w:fill="D9D9D9" w:themeFill="background1" w:themeFillShade="D9"/>
          </w:tcPr>
          <w:p w:rsidR="00856286" w:rsidRPr="00DC3EAE" w:rsidRDefault="00856286" w:rsidP="00DC3EAE">
            <w:pPr>
              <w:pStyle w:val="a"/>
              <w:snapToGrid w:val="0"/>
              <w:spacing w:before="20" w:after="20"/>
              <w:ind w:left="273"/>
              <w:jc w:val="both"/>
              <w:rPr>
                <w:rFonts w:ascii="Arial" w:eastAsia="Verdana" w:hAnsi="Arial" w:cs="Arial"/>
                <w:b/>
                <w:sz w:val="19"/>
                <w:szCs w:val="19"/>
              </w:rPr>
            </w:pPr>
            <w:r w:rsidRPr="00DC3EAE">
              <w:rPr>
                <w:rFonts w:ascii="Arial" w:hAnsi="Arial" w:cs="Arial"/>
                <w:b/>
                <w:sz w:val="19"/>
                <w:szCs w:val="19"/>
                <w:lang w:val="en-US"/>
              </w:rPr>
              <w:t>3</w:t>
            </w:r>
            <w:r w:rsidRPr="00DC3EAE">
              <w:rPr>
                <w:rFonts w:ascii="Arial" w:hAnsi="Arial" w:cs="Arial"/>
                <w:b/>
                <w:sz w:val="19"/>
                <w:szCs w:val="19"/>
              </w:rPr>
              <w:t xml:space="preserve">. </w:t>
            </w:r>
            <w:r w:rsidRPr="00DC3EAE">
              <w:rPr>
                <w:rFonts w:ascii="Arial" w:eastAsia="Verdana" w:hAnsi="Arial" w:cs="Arial"/>
                <w:b/>
                <w:sz w:val="19"/>
                <w:szCs w:val="19"/>
              </w:rPr>
              <w:t>Border regions</w:t>
            </w:r>
          </w:p>
        </w:tc>
        <w:tc>
          <w:tcPr>
            <w:tcW w:w="5534" w:type="dxa"/>
            <w:shd w:val="clear" w:color="auto" w:fill="D9D9D9" w:themeFill="background1" w:themeFillShade="D9"/>
          </w:tcPr>
          <w:p w:rsidR="00856286" w:rsidRPr="00DC3EAE" w:rsidRDefault="00333C19" w:rsidP="00DC3EAE">
            <w:pPr>
              <w:pStyle w:val="a"/>
              <w:snapToGrid w:val="0"/>
              <w:spacing w:before="20" w:after="20"/>
              <w:ind w:left="273"/>
              <w:rPr>
                <w:rFonts w:ascii="Arial" w:hAnsi="Arial" w:cs="Arial"/>
                <w:sz w:val="19"/>
                <w:szCs w:val="19"/>
                <w:lang w:val="en-US"/>
              </w:rPr>
            </w:pPr>
            <w:r w:rsidRPr="00DC3EAE">
              <w:rPr>
                <w:rFonts w:ascii="Arial" w:hAnsi="Arial" w:cs="Arial"/>
                <w:sz w:val="19"/>
                <w:szCs w:val="19"/>
                <w:u w:val="single"/>
                <w:lang w:val="en-US"/>
              </w:rPr>
              <w:t>Border region</w:t>
            </w:r>
            <w:r w:rsidRPr="00DC3EAE">
              <w:rPr>
                <w:rFonts w:ascii="Arial" w:hAnsi="Arial" w:cs="Arial"/>
                <w:sz w:val="19"/>
                <w:szCs w:val="19"/>
                <w:lang w:val="en-US"/>
              </w:rPr>
              <w:t xml:space="preserve"> (Programme area – external border programmes)</w:t>
            </w:r>
          </w:p>
        </w:tc>
      </w:tr>
      <w:tr w:rsidR="00856286" w:rsidTr="005E10E5">
        <w:trPr>
          <w:jc w:val="center"/>
        </w:trPr>
        <w:tc>
          <w:tcPr>
            <w:tcW w:w="3257" w:type="dxa"/>
          </w:tcPr>
          <w:p w:rsidR="00856286" w:rsidRPr="00DC3EAE" w:rsidRDefault="00856286" w:rsidP="00DC3EAE">
            <w:pPr>
              <w:pStyle w:val="a"/>
              <w:snapToGrid w:val="0"/>
              <w:spacing w:before="20" w:after="20"/>
              <w:ind w:left="273"/>
              <w:jc w:val="both"/>
              <w:rPr>
                <w:rFonts w:ascii="Arial" w:hAnsi="Arial" w:cs="Arial"/>
                <w:b/>
                <w:sz w:val="19"/>
                <w:szCs w:val="19"/>
              </w:rPr>
            </w:pPr>
            <w:r w:rsidRPr="00DC3EAE">
              <w:rPr>
                <w:rFonts w:ascii="Arial" w:hAnsi="Arial" w:cs="Arial"/>
                <w:b/>
                <w:sz w:val="19"/>
                <w:szCs w:val="19"/>
              </w:rPr>
              <w:t>4. Islands regions</w:t>
            </w:r>
          </w:p>
        </w:tc>
        <w:tc>
          <w:tcPr>
            <w:tcW w:w="5534" w:type="dxa"/>
          </w:tcPr>
          <w:p w:rsidR="00856286" w:rsidRPr="00DC3EAE" w:rsidRDefault="00333C19" w:rsidP="00DC3EAE">
            <w:pPr>
              <w:snapToGrid w:val="0"/>
              <w:spacing w:before="20" w:after="20" w:line="240" w:lineRule="auto"/>
              <w:ind w:left="273"/>
              <w:jc w:val="left"/>
              <w:rPr>
                <w:rFonts w:eastAsia="Verdana" w:cs="Arial"/>
                <w:sz w:val="19"/>
                <w:szCs w:val="19"/>
              </w:rPr>
            </w:pPr>
            <w:r w:rsidRPr="00DC3EAE">
              <w:rPr>
                <w:rFonts w:eastAsia="Verdana" w:cs="Arial"/>
                <w:sz w:val="19"/>
                <w:szCs w:val="19"/>
              </w:rPr>
              <w:t>-</w:t>
            </w:r>
          </w:p>
        </w:tc>
      </w:tr>
      <w:tr w:rsidR="00856286" w:rsidTr="00DC3EAE">
        <w:trPr>
          <w:jc w:val="center"/>
        </w:trPr>
        <w:tc>
          <w:tcPr>
            <w:tcW w:w="3257" w:type="dxa"/>
            <w:shd w:val="clear" w:color="auto" w:fill="D9D9D9" w:themeFill="background1" w:themeFillShade="D9"/>
          </w:tcPr>
          <w:p w:rsidR="00856286" w:rsidRPr="00DC3EAE" w:rsidRDefault="00856286" w:rsidP="00DC3EAE">
            <w:pPr>
              <w:pStyle w:val="a"/>
              <w:snapToGrid w:val="0"/>
              <w:spacing w:before="20" w:after="20"/>
              <w:ind w:left="273"/>
              <w:jc w:val="both"/>
              <w:rPr>
                <w:rFonts w:ascii="Arial" w:hAnsi="Arial" w:cs="Arial"/>
                <w:b/>
                <w:sz w:val="19"/>
                <w:szCs w:val="19"/>
              </w:rPr>
            </w:pPr>
            <w:r w:rsidRPr="00DC3EAE">
              <w:rPr>
                <w:rFonts w:ascii="Arial" w:hAnsi="Arial" w:cs="Arial"/>
                <w:b/>
                <w:sz w:val="19"/>
                <w:szCs w:val="19"/>
              </w:rPr>
              <w:t>5. Sparsely populated regions</w:t>
            </w:r>
          </w:p>
        </w:tc>
        <w:tc>
          <w:tcPr>
            <w:tcW w:w="5534" w:type="dxa"/>
            <w:shd w:val="clear" w:color="auto" w:fill="D9D9D9" w:themeFill="background1" w:themeFillShade="D9"/>
          </w:tcPr>
          <w:p w:rsidR="00856286" w:rsidRPr="00DC3EAE" w:rsidRDefault="00856286" w:rsidP="00DC3EAE">
            <w:pPr>
              <w:snapToGrid w:val="0"/>
              <w:spacing w:before="20" w:after="20" w:line="240" w:lineRule="auto"/>
              <w:ind w:left="273"/>
              <w:jc w:val="left"/>
              <w:rPr>
                <w:rFonts w:eastAsia="Verdana" w:cs="Arial"/>
                <w:sz w:val="19"/>
                <w:szCs w:val="19"/>
                <w:lang w:val="en-US"/>
              </w:rPr>
            </w:pPr>
            <w:r w:rsidRPr="00DC3EAE">
              <w:rPr>
                <w:rFonts w:eastAsia="Verdana" w:cs="Arial"/>
                <w:sz w:val="19"/>
                <w:szCs w:val="19"/>
                <w:lang w:val="en-US"/>
              </w:rPr>
              <w:t>Not a sparsely populated region</w:t>
            </w:r>
          </w:p>
        </w:tc>
      </w:tr>
      <w:tr w:rsidR="00856286" w:rsidTr="005E10E5">
        <w:trPr>
          <w:jc w:val="center"/>
        </w:trPr>
        <w:tc>
          <w:tcPr>
            <w:tcW w:w="3257" w:type="dxa"/>
          </w:tcPr>
          <w:p w:rsidR="00856286" w:rsidRPr="00DC3EAE" w:rsidRDefault="00856286" w:rsidP="00DC3EAE">
            <w:pPr>
              <w:pStyle w:val="a"/>
              <w:snapToGrid w:val="0"/>
              <w:spacing w:before="20" w:after="20"/>
              <w:ind w:left="273"/>
              <w:jc w:val="both"/>
              <w:rPr>
                <w:rFonts w:ascii="Arial" w:hAnsi="Arial" w:cs="Arial"/>
                <w:b/>
                <w:sz w:val="19"/>
                <w:szCs w:val="19"/>
              </w:rPr>
            </w:pPr>
            <w:r w:rsidRPr="00DC3EAE">
              <w:rPr>
                <w:rFonts w:ascii="Arial" w:hAnsi="Arial" w:cs="Arial"/>
                <w:b/>
                <w:sz w:val="19"/>
                <w:szCs w:val="19"/>
              </w:rPr>
              <w:t>6. Outermost regions</w:t>
            </w:r>
          </w:p>
        </w:tc>
        <w:tc>
          <w:tcPr>
            <w:tcW w:w="5534" w:type="dxa"/>
          </w:tcPr>
          <w:p w:rsidR="00856286" w:rsidRPr="00DC3EAE" w:rsidRDefault="00856286" w:rsidP="00DC3EAE">
            <w:pPr>
              <w:snapToGrid w:val="0"/>
              <w:spacing w:before="20" w:after="20" w:line="240" w:lineRule="auto"/>
              <w:ind w:left="273"/>
              <w:jc w:val="left"/>
              <w:rPr>
                <w:rFonts w:eastAsia="Verdana" w:cs="Arial"/>
                <w:sz w:val="19"/>
                <w:szCs w:val="19"/>
              </w:rPr>
            </w:pPr>
            <w:r w:rsidRPr="00DC3EAE">
              <w:rPr>
                <w:rFonts w:eastAsia="Verdana" w:cs="Arial"/>
                <w:sz w:val="19"/>
                <w:szCs w:val="19"/>
              </w:rPr>
              <w:t>Not an outermost region</w:t>
            </w:r>
          </w:p>
        </w:tc>
      </w:tr>
      <w:tr w:rsidR="00856286" w:rsidTr="00DC3EAE">
        <w:trPr>
          <w:jc w:val="center"/>
        </w:trPr>
        <w:tc>
          <w:tcPr>
            <w:tcW w:w="3257" w:type="dxa"/>
            <w:shd w:val="clear" w:color="auto" w:fill="D9D9D9" w:themeFill="background1" w:themeFillShade="D9"/>
          </w:tcPr>
          <w:p w:rsidR="00856286" w:rsidRPr="00DC3EAE" w:rsidRDefault="00856286" w:rsidP="00DC3EAE">
            <w:pPr>
              <w:pStyle w:val="a"/>
              <w:snapToGrid w:val="0"/>
              <w:spacing w:before="20" w:after="20"/>
              <w:ind w:left="273"/>
              <w:jc w:val="both"/>
              <w:rPr>
                <w:rFonts w:ascii="Arial" w:hAnsi="Arial" w:cs="Arial"/>
                <w:b/>
                <w:sz w:val="19"/>
                <w:szCs w:val="19"/>
              </w:rPr>
            </w:pPr>
            <w:r w:rsidRPr="00DC3EAE">
              <w:rPr>
                <w:rFonts w:ascii="Arial" w:hAnsi="Arial" w:cs="Arial"/>
                <w:b/>
                <w:sz w:val="19"/>
                <w:szCs w:val="19"/>
              </w:rPr>
              <w:t>7. Mountainous regions</w:t>
            </w:r>
          </w:p>
        </w:tc>
        <w:tc>
          <w:tcPr>
            <w:tcW w:w="5534" w:type="dxa"/>
            <w:shd w:val="clear" w:color="auto" w:fill="D9D9D9" w:themeFill="background1" w:themeFillShade="D9"/>
          </w:tcPr>
          <w:p w:rsidR="00856286" w:rsidRPr="00DC3EAE" w:rsidRDefault="00333C19" w:rsidP="00DC3EAE">
            <w:pPr>
              <w:snapToGrid w:val="0"/>
              <w:spacing w:before="20" w:after="20" w:line="240" w:lineRule="auto"/>
              <w:ind w:left="273"/>
              <w:jc w:val="left"/>
              <w:rPr>
                <w:rFonts w:eastAsia="Arial" w:cs="Arial"/>
                <w:sz w:val="19"/>
                <w:szCs w:val="19"/>
                <w:u w:val="single"/>
                <w:lang w:val="en-US"/>
              </w:rPr>
            </w:pPr>
            <w:r w:rsidRPr="00DC3EAE">
              <w:rPr>
                <w:rFonts w:eastAsia="Arial" w:cs="Arial"/>
                <w:sz w:val="19"/>
                <w:szCs w:val="19"/>
                <w:u w:val="single"/>
                <w:lang w:val="en-US"/>
              </w:rPr>
              <w:t xml:space="preserve">- </w:t>
            </w:r>
          </w:p>
        </w:tc>
      </w:tr>
      <w:tr w:rsidR="00856286" w:rsidTr="005E10E5">
        <w:trPr>
          <w:jc w:val="center"/>
        </w:trPr>
        <w:tc>
          <w:tcPr>
            <w:tcW w:w="3257" w:type="dxa"/>
          </w:tcPr>
          <w:p w:rsidR="00856286" w:rsidRPr="00DC3EAE" w:rsidRDefault="00856286" w:rsidP="00DC3EAE">
            <w:pPr>
              <w:pStyle w:val="a"/>
              <w:snapToGrid w:val="0"/>
              <w:spacing w:before="20" w:after="20"/>
              <w:ind w:left="273"/>
              <w:jc w:val="both"/>
              <w:rPr>
                <w:rFonts w:ascii="Arial" w:hAnsi="Arial" w:cs="Arial"/>
                <w:b/>
                <w:sz w:val="19"/>
                <w:szCs w:val="19"/>
              </w:rPr>
            </w:pPr>
            <w:r w:rsidRPr="00DC3EAE">
              <w:rPr>
                <w:rFonts w:ascii="Arial" w:hAnsi="Arial" w:cs="Arial"/>
                <w:b/>
                <w:sz w:val="19"/>
                <w:szCs w:val="19"/>
              </w:rPr>
              <w:t>8. Coastal regions</w:t>
            </w:r>
          </w:p>
        </w:tc>
        <w:tc>
          <w:tcPr>
            <w:tcW w:w="5534" w:type="dxa"/>
          </w:tcPr>
          <w:p w:rsidR="00856286" w:rsidRPr="00DC3EAE" w:rsidRDefault="00333C19" w:rsidP="00DC3EAE">
            <w:pPr>
              <w:snapToGrid w:val="0"/>
              <w:spacing w:before="20" w:after="20" w:line="240" w:lineRule="auto"/>
              <w:ind w:left="273"/>
              <w:jc w:val="left"/>
              <w:rPr>
                <w:rFonts w:eastAsia="Verdana" w:cs="Arial"/>
                <w:sz w:val="19"/>
                <w:szCs w:val="19"/>
                <w:u w:val="single"/>
                <w:lang w:val="en-US"/>
              </w:rPr>
            </w:pPr>
            <w:r w:rsidRPr="00DC3EAE">
              <w:rPr>
                <w:rFonts w:eastAsia="Verdana" w:cs="Arial"/>
                <w:sz w:val="19"/>
                <w:szCs w:val="19"/>
                <w:u w:val="single"/>
                <w:lang w:val="en-US"/>
              </w:rPr>
              <w:t>-</w:t>
            </w:r>
          </w:p>
        </w:tc>
      </w:tr>
      <w:tr w:rsidR="00856286" w:rsidTr="00DC3EAE">
        <w:trPr>
          <w:jc w:val="center"/>
        </w:trPr>
        <w:tc>
          <w:tcPr>
            <w:tcW w:w="3257" w:type="dxa"/>
            <w:shd w:val="clear" w:color="auto" w:fill="D9D9D9" w:themeFill="background1" w:themeFillShade="D9"/>
          </w:tcPr>
          <w:p w:rsidR="00856286" w:rsidRPr="00DC3EAE" w:rsidRDefault="00856286" w:rsidP="00DC3EAE">
            <w:pPr>
              <w:pStyle w:val="a"/>
              <w:snapToGrid w:val="0"/>
              <w:spacing w:before="20" w:after="20"/>
              <w:ind w:left="273"/>
              <w:jc w:val="both"/>
              <w:rPr>
                <w:rFonts w:ascii="Arial" w:hAnsi="Arial" w:cs="Arial"/>
                <w:b/>
                <w:sz w:val="19"/>
                <w:szCs w:val="19"/>
              </w:rPr>
            </w:pPr>
            <w:r w:rsidRPr="00DC3EAE">
              <w:rPr>
                <w:rFonts w:ascii="Arial" w:hAnsi="Arial" w:cs="Arial"/>
                <w:b/>
                <w:sz w:val="19"/>
                <w:szCs w:val="19"/>
              </w:rPr>
              <w:t>9. Regions in industrial transition</w:t>
            </w:r>
          </w:p>
        </w:tc>
        <w:tc>
          <w:tcPr>
            <w:tcW w:w="5534" w:type="dxa"/>
            <w:shd w:val="clear" w:color="auto" w:fill="D9D9D9" w:themeFill="background1" w:themeFillShade="D9"/>
          </w:tcPr>
          <w:p w:rsidR="00856286" w:rsidRPr="00DC3EAE" w:rsidRDefault="00B41D02" w:rsidP="00DC3EAE">
            <w:pPr>
              <w:snapToGrid w:val="0"/>
              <w:spacing w:before="20" w:after="20" w:line="240" w:lineRule="auto"/>
              <w:ind w:left="273"/>
              <w:jc w:val="left"/>
              <w:rPr>
                <w:rFonts w:eastAsia="Verdana" w:cs="Arial"/>
                <w:sz w:val="19"/>
                <w:szCs w:val="19"/>
                <w:u w:val="single"/>
                <w:lang w:val="en-US"/>
              </w:rPr>
            </w:pPr>
            <w:r w:rsidRPr="00DC3EAE">
              <w:rPr>
                <w:rFonts w:eastAsia="Verdana" w:cs="Arial"/>
                <w:sz w:val="19"/>
                <w:szCs w:val="19"/>
                <w:u w:val="single"/>
                <w:lang w:val="en-US"/>
              </w:rPr>
              <w:t>Region with internal industrial structural change</w:t>
            </w:r>
            <w:r w:rsidR="00A521E0" w:rsidRPr="00DC3EAE">
              <w:rPr>
                <w:rFonts w:eastAsia="Verdana" w:cs="Arial"/>
                <w:sz w:val="19"/>
                <w:szCs w:val="19"/>
                <w:u w:val="single"/>
                <w:lang w:val="en-US"/>
              </w:rPr>
              <w:t xml:space="preserve"> </w:t>
            </w:r>
          </w:p>
        </w:tc>
      </w:tr>
    </w:tbl>
    <w:p w:rsidR="00BA74BA" w:rsidRPr="00DC3EAE" w:rsidRDefault="00BA74BA" w:rsidP="00652DFA">
      <w:pPr>
        <w:spacing w:line="360" w:lineRule="auto"/>
        <w:rPr>
          <w:rFonts w:cs="Arial"/>
          <w:sz w:val="10"/>
          <w:szCs w:val="10"/>
        </w:rPr>
      </w:pPr>
    </w:p>
    <w:p w:rsidR="00652DFA" w:rsidRDefault="006B342F" w:rsidP="005E10E5">
      <w:pPr>
        <w:spacing w:line="276" w:lineRule="auto"/>
        <w:rPr>
          <w:rFonts w:cs="Arial"/>
        </w:rPr>
      </w:pPr>
      <w:r>
        <w:rPr>
          <w:rFonts w:cs="Arial"/>
        </w:rPr>
        <w:t xml:space="preserve">The regional per capita GDD (at current prices) was $2,722 in 1987, </w:t>
      </w:r>
      <w:r w:rsidR="00CB28A4">
        <w:rPr>
          <w:rFonts w:cs="Arial"/>
        </w:rPr>
        <w:t>very close</w:t>
      </w:r>
      <w:r>
        <w:rPr>
          <w:rFonts w:cs="Arial"/>
        </w:rPr>
        <w:t xml:space="preserve"> to that of Istanbul (22,810) and compared with a significantly lower $1,629 at the n</w:t>
      </w:r>
      <w:r>
        <w:rPr>
          <w:rFonts w:cs="Arial"/>
        </w:rPr>
        <w:t>a</w:t>
      </w:r>
      <w:r>
        <w:rPr>
          <w:rFonts w:cs="Arial"/>
        </w:rPr>
        <w:t>tional</w:t>
      </w:r>
      <w:r w:rsidR="00CB28A4">
        <w:rPr>
          <w:rFonts w:cs="Arial"/>
        </w:rPr>
        <w:t xml:space="preserve"> level</w:t>
      </w:r>
      <w:r>
        <w:rPr>
          <w:rFonts w:cs="Arial"/>
        </w:rPr>
        <w:t xml:space="preserve">. After 14 years of economic development, </w:t>
      </w:r>
      <w:r w:rsidR="00CB28A4">
        <w:rPr>
          <w:rFonts w:cs="Arial"/>
        </w:rPr>
        <w:t xml:space="preserve">the comparative position in MRI was quite similar with </w:t>
      </w:r>
      <w:r w:rsidR="001A37C0">
        <w:rPr>
          <w:rFonts w:cs="Arial"/>
        </w:rPr>
        <w:t xml:space="preserve">a per </w:t>
      </w:r>
      <w:r w:rsidR="001D483A">
        <w:rPr>
          <w:rFonts w:cs="Arial"/>
        </w:rPr>
        <w:t xml:space="preserve">capita </w:t>
      </w:r>
      <w:r w:rsidR="001A37C0">
        <w:rPr>
          <w:rFonts w:cs="Arial"/>
        </w:rPr>
        <w:t xml:space="preserve">GDP (at </w:t>
      </w:r>
      <w:r w:rsidR="001D483A">
        <w:rPr>
          <w:rFonts w:cs="Arial"/>
        </w:rPr>
        <w:t>current</w:t>
      </w:r>
      <w:r w:rsidR="001A37C0">
        <w:rPr>
          <w:rFonts w:cs="Arial"/>
        </w:rPr>
        <w:t xml:space="preserve"> prices) of </w:t>
      </w:r>
      <w:r w:rsidR="00CB28A4">
        <w:rPr>
          <w:rFonts w:cs="Arial"/>
        </w:rPr>
        <w:t>$3,215, now slightly above Istanbul ($3,063</w:t>
      </w:r>
      <w:r w:rsidR="001A37C0">
        <w:rPr>
          <w:rFonts w:cs="Arial"/>
        </w:rPr>
        <w:t>) and again almost 50% higher than the national average ($2,146)</w:t>
      </w:r>
      <w:r w:rsidR="0026426B">
        <w:rPr>
          <w:rFonts w:cs="Arial"/>
        </w:rPr>
        <w:t xml:space="preserve"> (</w:t>
      </w:r>
      <w:r w:rsidR="00B66A59">
        <w:rPr>
          <w:rFonts w:cs="Arial"/>
        </w:rPr>
        <w:t xml:space="preserve">see </w:t>
      </w:r>
      <w:r w:rsidR="00C41557">
        <w:rPr>
          <w:rFonts w:cs="Arial"/>
        </w:rPr>
        <w:fldChar w:fldCharType="begin"/>
      </w:r>
      <w:r w:rsidR="00C41557">
        <w:rPr>
          <w:rFonts w:cs="Arial"/>
        </w:rPr>
        <w:instrText xml:space="preserve"> REF _Ref392101752 \h </w:instrText>
      </w:r>
      <w:r w:rsidR="00C41557">
        <w:rPr>
          <w:rFonts w:cs="Arial"/>
        </w:rPr>
      </w:r>
      <w:r w:rsidR="00C41557">
        <w:rPr>
          <w:rFonts w:cs="Arial"/>
        </w:rPr>
        <w:fldChar w:fldCharType="separate"/>
      </w:r>
      <w:r w:rsidR="00D95984">
        <w:t xml:space="preserve">Map </w:t>
      </w:r>
      <w:r w:rsidR="00D95984">
        <w:rPr>
          <w:noProof/>
        </w:rPr>
        <w:t>2</w:t>
      </w:r>
      <w:r w:rsidR="00C41557">
        <w:rPr>
          <w:rFonts w:cs="Arial"/>
        </w:rPr>
        <w:fldChar w:fldCharType="end"/>
      </w:r>
      <w:r w:rsidR="00C41557">
        <w:rPr>
          <w:rFonts w:cs="Arial"/>
        </w:rPr>
        <w:t xml:space="preserve">). </w:t>
      </w:r>
      <w:r w:rsidR="001A37C0">
        <w:rPr>
          <w:rFonts w:cs="Arial"/>
        </w:rPr>
        <w:t>Between 2004 and 2011, MRI was found between the 5</w:t>
      </w:r>
      <w:r w:rsidR="001A37C0" w:rsidRPr="001A37C0">
        <w:rPr>
          <w:rFonts w:cs="Arial"/>
          <w:vertAlign w:val="superscript"/>
        </w:rPr>
        <w:t>th</w:t>
      </w:r>
      <w:r w:rsidR="001A37C0">
        <w:rPr>
          <w:rFonts w:cs="Arial"/>
        </w:rPr>
        <w:t xml:space="preserve"> and </w:t>
      </w:r>
      <w:r w:rsidR="001A37C0">
        <w:rPr>
          <w:rFonts w:cs="Arial"/>
        </w:rPr>
        <w:lastRenderedPageBreak/>
        <w:t>the 6</w:t>
      </w:r>
      <w:r w:rsidR="001A37C0" w:rsidRPr="001A37C0">
        <w:rPr>
          <w:rFonts w:cs="Arial"/>
          <w:vertAlign w:val="superscript"/>
        </w:rPr>
        <w:t>th</w:t>
      </w:r>
      <w:r w:rsidR="001A37C0">
        <w:rPr>
          <w:rFonts w:cs="Arial"/>
        </w:rPr>
        <w:t xml:space="preserve"> position among all NUTS II Regions of the country regarding the per capita Gross Value Added</w:t>
      </w:r>
      <w:r w:rsidR="00A64CEA">
        <w:rPr>
          <w:rFonts w:cs="Arial"/>
        </w:rPr>
        <w:t xml:space="preserve"> (GVA)</w:t>
      </w:r>
      <w:r w:rsidR="001A37C0">
        <w:rPr>
          <w:rFonts w:cs="Arial"/>
        </w:rPr>
        <w:t xml:space="preserve">, which varied between 1.21 and 1.29 times </w:t>
      </w:r>
      <w:r w:rsidR="00243852">
        <w:rPr>
          <w:rFonts w:cs="Arial"/>
        </w:rPr>
        <w:t>higher than the respective national figure.</w:t>
      </w:r>
      <w:r w:rsidR="00652DFA" w:rsidRPr="00652DFA">
        <w:rPr>
          <w:rFonts w:cs="Arial"/>
        </w:rPr>
        <w:t xml:space="preserve"> </w:t>
      </w:r>
      <w:r w:rsidR="00652DFA">
        <w:rPr>
          <w:rFonts w:cs="Arial"/>
        </w:rPr>
        <w:t>The regional economic structure of MRI shows a ce</w:t>
      </w:r>
      <w:r w:rsidR="00652DFA">
        <w:rPr>
          <w:rFonts w:cs="Arial"/>
        </w:rPr>
        <w:t>r</w:t>
      </w:r>
      <w:r w:rsidR="00652DFA">
        <w:rPr>
          <w:rFonts w:cs="Arial"/>
        </w:rPr>
        <w:t>tain deindustrialization tendency, as the share of manufacture in the total regional GVA fell from 30.4% in 2004 to 26.9% in 2011, albeit exhibiting some level of stabil</w:t>
      </w:r>
      <w:r w:rsidR="00652DFA">
        <w:rPr>
          <w:rFonts w:cs="Arial"/>
        </w:rPr>
        <w:t>i</w:t>
      </w:r>
      <w:r w:rsidR="00652DFA">
        <w:rPr>
          <w:rFonts w:cs="Arial"/>
        </w:rPr>
        <w:t>zation after reaching a minimum in 2009 (</w:t>
      </w:r>
      <w:r w:rsidR="00B66A59">
        <w:rPr>
          <w:rFonts w:cs="Arial"/>
        </w:rPr>
        <w:t xml:space="preserve">see </w:t>
      </w:r>
      <w:r w:rsidR="00652DFA">
        <w:rPr>
          <w:rFonts w:cs="Arial"/>
        </w:rPr>
        <w:t>Figure 3). The share of the service se</w:t>
      </w:r>
      <w:r w:rsidR="00652DFA">
        <w:rPr>
          <w:rFonts w:cs="Arial"/>
        </w:rPr>
        <w:t>c</w:t>
      </w:r>
      <w:r w:rsidR="00652DFA">
        <w:rPr>
          <w:rFonts w:cs="Arial"/>
        </w:rPr>
        <w:t>tor was already at 63.6% in 2004 and increased further to 69.8% in 2011. The r</w:t>
      </w:r>
      <w:r w:rsidR="00652DFA">
        <w:rPr>
          <w:rFonts w:cs="Arial"/>
        </w:rPr>
        <w:t>e</w:t>
      </w:r>
      <w:r w:rsidR="00652DFA">
        <w:rPr>
          <w:rFonts w:cs="Arial"/>
        </w:rPr>
        <w:t>gional share of the service sector is slightly higher than the national figure. Not su</w:t>
      </w:r>
      <w:r w:rsidR="00652DFA">
        <w:rPr>
          <w:rFonts w:cs="Arial"/>
        </w:rPr>
        <w:t>r</w:t>
      </w:r>
      <w:r w:rsidR="00652DFA">
        <w:rPr>
          <w:rFonts w:cs="Arial"/>
        </w:rPr>
        <w:t>prisingly, the share of the agricultural sector in the formation of the GVA remains low throughout the period. In terms of employment, in 2013 about 846,000 people were employed in the service sector, 481,000 in manufacture and 187,000 in agriculture.</w:t>
      </w:r>
    </w:p>
    <w:p w:rsidR="00DC3EAE" w:rsidRPr="00DC3EAE" w:rsidRDefault="00DC3EAE" w:rsidP="005E10E5">
      <w:pPr>
        <w:spacing w:line="276" w:lineRule="auto"/>
        <w:rPr>
          <w:rFonts w:cs="Arial"/>
          <w:sz w:val="10"/>
          <w:szCs w:val="10"/>
        </w:rPr>
      </w:pPr>
      <w:r>
        <w:rPr>
          <w:rFonts w:cs="Arial"/>
          <w:b/>
          <w:noProof/>
          <w:lang w:val="fi-FI" w:eastAsia="fi-FI"/>
        </w:rPr>
        <w:drawing>
          <wp:anchor distT="0" distB="0" distL="114300" distR="114300" simplePos="0" relativeHeight="251672576" behindDoc="0" locked="0" layoutInCell="1" allowOverlap="1" wp14:anchorId="4D132BDC" wp14:editId="73867A0D">
            <wp:simplePos x="0" y="0"/>
            <wp:positionH relativeFrom="margin">
              <wp:posOffset>26035</wp:posOffset>
            </wp:positionH>
            <wp:positionV relativeFrom="paragraph">
              <wp:posOffset>321945</wp:posOffset>
            </wp:positionV>
            <wp:extent cx="3468370" cy="2083435"/>
            <wp:effectExtent l="0" t="0" r="0" b="0"/>
            <wp:wrapTopAndBottom/>
            <wp:docPr id="3"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3468370" cy="2083435"/>
                    </a:xfrm>
                    <a:prstGeom prst="rect">
                      <a:avLst/>
                    </a:prstGeom>
                    <a:noFill/>
                  </pic:spPr>
                </pic:pic>
              </a:graphicData>
            </a:graphic>
          </wp:anchor>
        </w:drawing>
      </w:r>
    </w:p>
    <w:p w:rsidR="00571884" w:rsidRPr="008D1F98" w:rsidRDefault="00645CDF" w:rsidP="008D1F98">
      <w:pPr>
        <w:spacing w:line="276" w:lineRule="auto"/>
        <w:rPr>
          <w:rFonts w:cs="Arial"/>
          <w:b/>
          <w:noProof/>
          <w:lang w:val="en-US" w:eastAsia="de-DE"/>
        </w:rPr>
      </w:pPr>
      <w:r>
        <w:rPr>
          <w:noProof/>
          <w:lang w:val="fi-FI" w:eastAsia="fi-FI"/>
        </w:rPr>
        <mc:AlternateContent>
          <mc:Choice Requires="wps">
            <w:drawing>
              <wp:anchor distT="0" distB="0" distL="114300" distR="114300" simplePos="0" relativeHeight="251677696" behindDoc="0" locked="0" layoutInCell="1" allowOverlap="1" wp14:anchorId="09052A7B" wp14:editId="263B576C">
                <wp:simplePos x="0" y="0"/>
                <wp:positionH relativeFrom="column">
                  <wp:posOffset>-264795</wp:posOffset>
                </wp:positionH>
                <wp:positionV relativeFrom="paragraph">
                  <wp:posOffset>2326005</wp:posOffset>
                </wp:positionV>
                <wp:extent cx="5645150" cy="352425"/>
                <wp:effectExtent l="0" t="0" r="0" b="9525"/>
                <wp:wrapTopAndBottom/>
                <wp:docPr id="1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5150" cy="352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73B37" w:rsidRPr="00793186" w:rsidRDefault="00773B37" w:rsidP="008D1F98">
                            <w:pPr>
                              <w:spacing w:after="240" w:line="320" w:lineRule="exact"/>
                              <w:ind w:left="567" w:hanging="567"/>
                              <w:rPr>
                                <w:rFonts w:cs="Arial"/>
                                <w:b/>
                              </w:rPr>
                            </w:pPr>
                            <w:r>
                              <w:rPr>
                                <w:b/>
                              </w:rPr>
                              <w:t xml:space="preserve">       </w:t>
                            </w:r>
                            <w:bookmarkStart w:id="11" w:name="_Toc392507148"/>
                            <w:r w:rsidRPr="00793186">
                              <w:rPr>
                                <w:b/>
                              </w:rPr>
                              <w:t xml:space="preserve">Figure </w:t>
                            </w:r>
                            <w:r w:rsidRPr="00793186">
                              <w:rPr>
                                <w:b/>
                              </w:rPr>
                              <w:fldChar w:fldCharType="begin"/>
                            </w:r>
                            <w:r w:rsidRPr="00793186">
                              <w:rPr>
                                <w:b/>
                              </w:rPr>
                              <w:instrText xml:space="preserve"> SEQ Figure \* ARABIC </w:instrText>
                            </w:r>
                            <w:r w:rsidRPr="00793186">
                              <w:rPr>
                                <w:b/>
                              </w:rPr>
                              <w:fldChar w:fldCharType="separate"/>
                            </w:r>
                            <w:r w:rsidR="00D95984">
                              <w:rPr>
                                <w:b/>
                                <w:noProof/>
                              </w:rPr>
                              <w:t>1</w:t>
                            </w:r>
                            <w:r w:rsidRPr="00793186">
                              <w:rPr>
                                <w:b/>
                              </w:rPr>
                              <w:fldChar w:fldCharType="end"/>
                            </w:r>
                            <w:r>
                              <w:rPr>
                                <w:b/>
                              </w:rPr>
                              <w:t xml:space="preserve">: </w:t>
                            </w:r>
                            <w:r w:rsidRPr="00793186">
                              <w:rPr>
                                <w:rFonts w:cs="Arial"/>
                                <w:b/>
                              </w:rPr>
                              <w:t>Evolution of regional per capita GDP, 1987-2001. Turkey = 100</w:t>
                            </w:r>
                            <w:bookmarkEnd w:id="11"/>
                          </w:p>
                          <w:p w:rsidR="00773B37" w:rsidRPr="00F746DB" w:rsidRDefault="00773B37" w:rsidP="00793186">
                            <w:pPr>
                              <w:spacing w:before="0" w:line="320" w:lineRule="exact"/>
                              <w:jc w:val="center"/>
                              <w:rPr>
                                <w:rFonts w:cs="Arial"/>
                              </w:rPr>
                            </w:pPr>
                            <w:r w:rsidRPr="00F746DB">
                              <w:rPr>
                                <w:rFonts w:cs="Arial"/>
                              </w:rPr>
                              <w:t>Data source: http://www.turkstat.gov.tr/PreTablo.do?alt_id=1075</w:t>
                            </w:r>
                          </w:p>
                          <w:p w:rsidR="00773B37" w:rsidRPr="000F7687" w:rsidRDefault="00773B37" w:rsidP="00793186">
                            <w:pPr>
                              <w:pStyle w:val="Caption"/>
                              <w:rPr>
                                <w:rFonts w:cs="Arial"/>
                                <w:noProo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052A7B" id="Text Box 9" o:spid="_x0000_s1031" type="#_x0000_t202" style="position:absolute;left:0;text-align:left;margin-left:-20.85pt;margin-top:183.15pt;width:444.5pt;height:27.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" stroked="f">
                <v:textbox inset="0,0,0,0">
                  <w:txbxContent>
                    <w:p w:rsidR="00773B37" w:rsidRPr="00793186" w:rsidRDefault="00773B37" w:rsidP="008D1F98">
                      <w:pPr>
                        <w:spacing w:after="240" w:line="320" w:lineRule="exact"/>
                        <w:ind w:left="567" w:hanging="567"/>
                        <w:rPr>
                          <w:rFonts w:cs="Arial"/>
                          <w:b/>
                        </w:rPr>
                      </w:pPr>
                      <w:r>
                        <w:rPr>
                          <w:b/>
                        </w:rPr>
                        <w:t xml:space="preserve">       </w:t>
                      </w:r>
                      <w:bookmarkStart w:id="16" w:name="_Toc392507148"/>
                      <w:r w:rsidRPr="00793186">
                        <w:rPr>
                          <w:b/>
                        </w:rPr>
                        <w:t xml:space="preserve">Figure </w:t>
                      </w:r>
                      <w:r w:rsidRPr="00793186">
                        <w:rPr>
                          <w:b/>
                        </w:rPr>
                        <w:fldChar w:fldCharType="begin"/>
                      </w:r>
                      <w:r w:rsidRPr="00793186">
                        <w:rPr>
                          <w:b/>
                        </w:rPr>
                        <w:instrText xml:space="preserve"> SEQ Figure \* ARABIC </w:instrText>
                      </w:r>
                      <w:r w:rsidRPr="00793186">
                        <w:rPr>
                          <w:b/>
                        </w:rPr>
                        <w:fldChar w:fldCharType="separate"/>
                      </w:r>
                      <w:r w:rsidR="00D95984">
                        <w:rPr>
                          <w:b/>
                          <w:noProof/>
                        </w:rPr>
                        <w:t>1</w:t>
                      </w:r>
                      <w:r w:rsidRPr="00793186">
                        <w:rPr>
                          <w:b/>
                        </w:rPr>
                        <w:fldChar w:fldCharType="end"/>
                      </w:r>
                      <w:r>
                        <w:rPr>
                          <w:b/>
                        </w:rPr>
                        <w:t xml:space="preserve">: </w:t>
                      </w:r>
                      <w:r w:rsidRPr="00793186">
                        <w:rPr>
                          <w:rFonts w:cs="Arial"/>
                          <w:b/>
                        </w:rPr>
                        <w:t>Evolution of regional per capita GDP, 1987-2001. Turkey = 100</w:t>
                      </w:r>
                      <w:bookmarkEnd w:id="16"/>
                    </w:p>
                    <w:p w:rsidR="00773B37" w:rsidRPr="00F746DB" w:rsidRDefault="00773B37" w:rsidP="00793186">
                      <w:pPr>
                        <w:spacing w:before="0" w:line="320" w:lineRule="exact"/>
                        <w:jc w:val="center"/>
                        <w:rPr>
                          <w:rFonts w:cs="Arial"/>
                        </w:rPr>
                      </w:pPr>
                      <w:r w:rsidRPr="00F746DB">
                        <w:rPr>
                          <w:rFonts w:cs="Arial"/>
                        </w:rPr>
                        <w:t>Data source: http://www.turkstat.gov.tr/PreTablo.do?alt_id=1075</w:t>
                      </w:r>
                    </w:p>
                    <w:p w:rsidR="00773B37" w:rsidRPr="000F7687" w:rsidRDefault="00773B37" w:rsidP="00793186">
                      <w:pPr>
                        <w:pStyle w:val="Kuvaotsikko"/>
                        <w:rPr>
                          <w:rFonts w:cs="Arial"/>
                          <w:noProof/>
                        </w:rPr>
                      </w:pPr>
                    </w:p>
                  </w:txbxContent>
                </v:textbox>
                <w10:wrap type="topAndBottom"/>
              </v:shape>
            </w:pict>
          </mc:Fallback>
        </mc:AlternateContent>
      </w:r>
      <w:r w:rsidR="00571884">
        <w:rPr>
          <w:rFonts w:cs="Arial"/>
        </w:rPr>
        <w:t>Tourism has a special position in the regional economic structure. In 2012 MRI a</w:t>
      </w:r>
      <w:r w:rsidR="00571884">
        <w:rPr>
          <w:rFonts w:cs="Arial"/>
        </w:rPr>
        <w:t>c</w:t>
      </w:r>
      <w:r w:rsidR="00571884">
        <w:rPr>
          <w:rFonts w:cs="Arial"/>
        </w:rPr>
        <w:t>commodated 771,</w:t>
      </w:r>
      <w:r w:rsidR="00571884" w:rsidRPr="00571884">
        <w:rPr>
          <w:rFonts w:cs="Arial"/>
        </w:rPr>
        <w:t>163</w:t>
      </w:r>
      <w:r w:rsidR="00571884">
        <w:rPr>
          <w:rFonts w:cs="Arial"/>
        </w:rPr>
        <w:t xml:space="preserve"> tourists, 15.5% more than in 2009. Turkish tourists, although a minority in the aggregate number of arrivals, increased in the same period by 26%.</w:t>
      </w:r>
      <w:r w:rsidR="00C05833">
        <w:rPr>
          <w:rFonts w:cs="Arial"/>
        </w:rPr>
        <w:t xml:space="preserve"> However, these figures are somewhat less impressive if one considers that the ove</w:t>
      </w:r>
      <w:r w:rsidR="00C05833">
        <w:rPr>
          <w:rFonts w:cs="Arial"/>
        </w:rPr>
        <w:t>r</w:t>
      </w:r>
      <w:r w:rsidR="00C05833">
        <w:rPr>
          <w:rFonts w:cs="Arial"/>
        </w:rPr>
        <w:t>all i</w:t>
      </w:r>
      <w:r w:rsidR="000D18C6">
        <w:rPr>
          <w:rFonts w:cs="Arial"/>
        </w:rPr>
        <w:t xml:space="preserve">ncrease of tourist arrivals in </w:t>
      </w:r>
      <w:r w:rsidR="00C05833">
        <w:rPr>
          <w:rFonts w:cs="Arial"/>
        </w:rPr>
        <w:t>Turkey in the sa</w:t>
      </w:r>
      <w:r w:rsidR="000D18C6">
        <w:rPr>
          <w:rFonts w:cs="Arial"/>
        </w:rPr>
        <w:t>m</w:t>
      </w:r>
      <w:r w:rsidR="00C05833">
        <w:rPr>
          <w:rFonts w:cs="Arial"/>
        </w:rPr>
        <w:t>e period reached 24.2% (23.9% for Turkish citizens).</w:t>
      </w:r>
    </w:p>
    <w:p w:rsidR="00A4545B" w:rsidRDefault="000231B2" w:rsidP="00DC3EAE">
      <w:pPr>
        <w:spacing w:line="276" w:lineRule="auto"/>
        <w:rPr>
          <w:rFonts w:cs="Arial"/>
        </w:rPr>
      </w:pPr>
      <w:r>
        <w:rPr>
          <w:rFonts w:cs="Arial"/>
        </w:rPr>
        <w:lastRenderedPageBreak/>
        <w:t xml:space="preserve">According to </w:t>
      </w:r>
      <w:r w:rsidR="00EB6B89">
        <w:rPr>
          <w:rFonts w:cs="Arial"/>
        </w:rPr>
        <w:t>TUIK</w:t>
      </w:r>
      <w:r>
        <w:rPr>
          <w:rFonts w:cs="Arial"/>
        </w:rPr>
        <w:t xml:space="preserve"> data, the regional unemployment rate fell from 16.2% in 2009 to 15.4% in 2013. At the same time both activity rate and employment rate improved </w:t>
      </w:r>
      <w:r w:rsidR="006A394A">
        <w:rPr>
          <w:rFonts w:cs="Arial"/>
        </w:rPr>
        <w:t xml:space="preserve">rapidly </w:t>
      </w:r>
      <w:r>
        <w:rPr>
          <w:rFonts w:cs="Arial"/>
        </w:rPr>
        <w:t xml:space="preserve">from </w:t>
      </w:r>
      <w:r w:rsidR="006A394A">
        <w:rPr>
          <w:rFonts w:cs="Arial"/>
        </w:rPr>
        <w:t>46.6% to 55.9% and from 39.0% to 47.3% respectively. On the other hand the unemployment rate of 15.4% is one of the highest among the regions of the country and well above the Istanbul and Ankara rates (11.2% and 10.2% respectiv</w:t>
      </w:r>
      <w:r w:rsidR="006A394A">
        <w:rPr>
          <w:rFonts w:cs="Arial"/>
        </w:rPr>
        <w:t>e</w:t>
      </w:r>
      <w:r w:rsidR="006A394A">
        <w:rPr>
          <w:rFonts w:cs="Arial"/>
        </w:rPr>
        <w:t xml:space="preserve">ly). The size of unemployment is </w:t>
      </w:r>
      <w:r w:rsidR="00D62546">
        <w:rPr>
          <w:rFonts w:cs="Arial"/>
        </w:rPr>
        <w:t>quite higher</w:t>
      </w:r>
      <w:r w:rsidR="006A394A">
        <w:rPr>
          <w:rFonts w:cs="Arial"/>
        </w:rPr>
        <w:t xml:space="preserve"> in the 15-24 age group for which MRI stands in the second position in the country with a rate of </w:t>
      </w:r>
      <w:r w:rsidR="00D62546">
        <w:rPr>
          <w:rFonts w:cs="Arial"/>
        </w:rPr>
        <w:t xml:space="preserve">26.9% (in comparison with the national rate of 18.7%). But the situation is even more alarming </w:t>
      </w:r>
      <w:r w:rsidR="00812CE3">
        <w:rPr>
          <w:rFonts w:cs="Arial"/>
        </w:rPr>
        <w:t>concerning f</w:t>
      </w:r>
      <w:r w:rsidR="00812CE3">
        <w:rPr>
          <w:rFonts w:cs="Arial"/>
        </w:rPr>
        <w:t>e</w:t>
      </w:r>
      <w:r w:rsidR="00812CE3">
        <w:rPr>
          <w:rFonts w:cs="Arial"/>
        </w:rPr>
        <w:t>male unemployment. Despite performing well in the female activity rate, MRI pr</w:t>
      </w:r>
      <w:r w:rsidR="00812CE3">
        <w:rPr>
          <w:rFonts w:cs="Arial"/>
        </w:rPr>
        <w:t>e</w:t>
      </w:r>
      <w:r w:rsidR="00812CE3">
        <w:rPr>
          <w:rFonts w:cs="Arial"/>
        </w:rPr>
        <w:t>sents the highest female unemployment rate in Turkey with 22.5%, more than double the national average.</w:t>
      </w:r>
      <w:r w:rsidR="00645CDF">
        <w:rPr>
          <w:noProof/>
          <w:lang w:val="fi-FI" w:eastAsia="fi-FI"/>
        </w:rPr>
        <mc:AlternateContent>
          <mc:Choice Requires="wps">
            <w:drawing>
              <wp:anchor distT="0" distB="0" distL="114300" distR="114300" simplePos="0" relativeHeight="251679744" behindDoc="0" locked="0" layoutInCell="1" allowOverlap="1" wp14:anchorId="4D95A08D" wp14:editId="003D24A8">
                <wp:simplePos x="0" y="0"/>
                <wp:positionH relativeFrom="column">
                  <wp:posOffset>-10795</wp:posOffset>
                </wp:positionH>
                <wp:positionV relativeFrom="paragraph">
                  <wp:posOffset>1934845</wp:posOffset>
                </wp:positionV>
                <wp:extent cx="5641975" cy="574675"/>
                <wp:effectExtent l="0" t="1270" r="0" b="0"/>
                <wp:wrapTopAndBottom/>
                <wp:docPr id="11"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1975" cy="574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73B37" w:rsidRPr="00741C44" w:rsidRDefault="00773B37" w:rsidP="00202A1E">
                            <w:pPr>
                              <w:spacing w:line="320" w:lineRule="exact"/>
                              <w:rPr>
                                <w:rFonts w:cs="Arial"/>
                                <w:b/>
                              </w:rPr>
                            </w:pPr>
                            <w:bookmarkStart w:id="12" w:name="_Toc392507149"/>
                            <w:r w:rsidRPr="00741C44">
                              <w:rPr>
                                <w:b/>
                              </w:rPr>
                              <w:t xml:space="preserve">Figure </w:t>
                            </w:r>
                            <w:r w:rsidRPr="00741C44">
                              <w:rPr>
                                <w:b/>
                              </w:rPr>
                              <w:fldChar w:fldCharType="begin"/>
                            </w:r>
                            <w:r w:rsidRPr="00741C44">
                              <w:rPr>
                                <w:b/>
                              </w:rPr>
                              <w:instrText xml:space="preserve"> SEQ Figure \* ARABIC </w:instrText>
                            </w:r>
                            <w:r w:rsidRPr="00741C44">
                              <w:rPr>
                                <w:b/>
                              </w:rPr>
                              <w:fldChar w:fldCharType="separate"/>
                            </w:r>
                            <w:r w:rsidR="00D95984">
                              <w:rPr>
                                <w:b/>
                                <w:noProof/>
                              </w:rPr>
                              <w:t>2</w:t>
                            </w:r>
                            <w:r w:rsidRPr="00741C44">
                              <w:rPr>
                                <w:b/>
                              </w:rPr>
                              <w:fldChar w:fldCharType="end"/>
                            </w:r>
                            <w:r>
                              <w:rPr>
                                <w:b/>
                              </w:rPr>
                              <w:t>:</w:t>
                            </w:r>
                            <w:r w:rsidRPr="00741C44">
                              <w:rPr>
                                <w:b/>
                              </w:rPr>
                              <w:t xml:space="preserve"> </w:t>
                            </w:r>
                            <w:r w:rsidRPr="00741C44">
                              <w:rPr>
                                <w:rFonts w:cs="Arial"/>
                                <w:b/>
                              </w:rPr>
                              <w:t>Regional GVA at current prices by economic activity, 2004-2011</w:t>
                            </w:r>
                            <w:bookmarkEnd w:id="12"/>
                          </w:p>
                          <w:p w:rsidR="00773B37" w:rsidRPr="00812CE3" w:rsidRDefault="00773B37" w:rsidP="00202A1E">
                            <w:pPr>
                              <w:spacing w:before="0" w:line="320" w:lineRule="exact"/>
                              <w:ind w:left="-142" w:firstLine="142"/>
                              <w:rPr>
                                <w:rFonts w:cs="Arial"/>
                                <w:sz w:val="16"/>
                                <w:szCs w:val="16"/>
                              </w:rPr>
                            </w:pPr>
                            <w:r w:rsidRPr="00DC3EAE">
                              <w:rPr>
                                <w:rFonts w:cs="Arial"/>
                                <w:b/>
                                <w:sz w:val="16"/>
                                <w:szCs w:val="16"/>
                              </w:rPr>
                              <w:t>Source:</w:t>
                            </w:r>
                            <w:r w:rsidRPr="00812CE3">
                              <w:rPr>
                                <w:rFonts w:cs="Arial"/>
                                <w:sz w:val="16"/>
                                <w:szCs w:val="16"/>
                              </w:rPr>
                              <w:t xml:space="preserve"> Turkstat</w:t>
                            </w:r>
                          </w:p>
                          <w:p w:rsidR="00773B37" w:rsidRPr="00526DE8" w:rsidRDefault="00773B37" w:rsidP="00793186">
                            <w:pPr>
                              <w:pStyle w:val="Caption"/>
                              <w:jc w:val="center"/>
                              <w:rPr>
                                <w:rFonts w:cs="Arial"/>
                                <w:noProo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95A08D" id="Text Box 10" o:spid="_x0000_s1032" type="#_x0000_t202" style="position:absolute;left:0;text-align:left;margin-left:-.85pt;margin-top:152.35pt;width:444.25pt;height:4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" stroked="f">
                <v:textbox inset="0,0,0,0">
                  <w:txbxContent>
                    <w:p w:rsidR="00773B37" w:rsidRPr="00741C44" w:rsidRDefault="00773B37" w:rsidP="00202A1E">
                      <w:pPr>
                        <w:spacing w:line="320" w:lineRule="exact"/>
                        <w:rPr>
                          <w:rFonts w:cs="Arial"/>
                          <w:b/>
                        </w:rPr>
                      </w:pPr>
                      <w:bookmarkStart w:id="18" w:name="_Toc392507149"/>
                      <w:r w:rsidRPr="00741C44">
                        <w:rPr>
                          <w:b/>
                        </w:rPr>
                        <w:t xml:space="preserve">Figure </w:t>
                      </w:r>
                      <w:r w:rsidRPr="00741C44">
                        <w:rPr>
                          <w:b/>
                        </w:rPr>
                        <w:fldChar w:fldCharType="begin"/>
                      </w:r>
                      <w:r w:rsidRPr="00741C44">
                        <w:rPr>
                          <w:b/>
                        </w:rPr>
                        <w:instrText xml:space="preserve"> SEQ Figure \* ARABIC </w:instrText>
                      </w:r>
                      <w:r w:rsidRPr="00741C44">
                        <w:rPr>
                          <w:b/>
                        </w:rPr>
                        <w:fldChar w:fldCharType="separate"/>
                      </w:r>
                      <w:r w:rsidR="00D95984">
                        <w:rPr>
                          <w:b/>
                          <w:noProof/>
                        </w:rPr>
                        <w:t>2</w:t>
                      </w:r>
                      <w:r w:rsidRPr="00741C44">
                        <w:rPr>
                          <w:b/>
                        </w:rPr>
                        <w:fldChar w:fldCharType="end"/>
                      </w:r>
                      <w:r>
                        <w:rPr>
                          <w:b/>
                        </w:rPr>
                        <w:t>:</w:t>
                      </w:r>
                      <w:r w:rsidRPr="00741C44">
                        <w:rPr>
                          <w:b/>
                        </w:rPr>
                        <w:t xml:space="preserve"> </w:t>
                      </w:r>
                      <w:r w:rsidRPr="00741C44">
                        <w:rPr>
                          <w:rFonts w:cs="Arial"/>
                          <w:b/>
                        </w:rPr>
                        <w:t>Regional GVA at current prices by economic activity, 2004-2011</w:t>
                      </w:r>
                      <w:bookmarkEnd w:id="18"/>
                    </w:p>
                    <w:p w:rsidR="00773B37" w:rsidRPr="00812CE3" w:rsidRDefault="00773B37" w:rsidP="00202A1E">
                      <w:pPr>
                        <w:spacing w:before="0" w:line="320" w:lineRule="exact"/>
                        <w:ind w:left="-142" w:firstLine="142"/>
                        <w:rPr>
                          <w:rFonts w:cs="Arial"/>
                          <w:sz w:val="16"/>
                          <w:szCs w:val="16"/>
                        </w:rPr>
                      </w:pPr>
                      <w:r w:rsidRPr="00DC3EAE">
                        <w:rPr>
                          <w:rFonts w:cs="Arial"/>
                          <w:b/>
                          <w:sz w:val="16"/>
                          <w:szCs w:val="16"/>
                        </w:rPr>
                        <w:t>Source:</w:t>
                      </w:r>
                      <w:r w:rsidRPr="00812CE3">
                        <w:rPr>
                          <w:rFonts w:cs="Arial"/>
                          <w:sz w:val="16"/>
                          <w:szCs w:val="16"/>
                        </w:rPr>
                        <w:t xml:space="preserve"> Turkstat</w:t>
                      </w:r>
                    </w:p>
                    <w:p w:rsidR="00773B37" w:rsidRPr="00526DE8" w:rsidRDefault="00773B37" w:rsidP="00793186">
                      <w:pPr>
                        <w:pStyle w:val="Kuvaotsikko"/>
                        <w:jc w:val="center"/>
                        <w:rPr>
                          <w:rFonts w:cs="Arial"/>
                          <w:noProof/>
                        </w:rPr>
                      </w:pPr>
                    </w:p>
                  </w:txbxContent>
                </v:textbox>
                <w10:wrap type="topAndBottom"/>
              </v:shape>
            </w:pict>
          </mc:Fallback>
        </mc:AlternateContent>
      </w:r>
      <w:r w:rsidR="00812CE3">
        <w:rPr>
          <w:rFonts w:cs="Arial"/>
          <w:noProof/>
          <w:lang w:val="fi-FI" w:eastAsia="fi-FI"/>
        </w:rPr>
        <w:drawing>
          <wp:anchor distT="0" distB="0" distL="114300" distR="114300" simplePos="0" relativeHeight="251667456" behindDoc="0" locked="0" layoutInCell="1" allowOverlap="1" wp14:anchorId="44B3F5EE" wp14:editId="46EE8E71">
            <wp:simplePos x="0" y="0"/>
            <wp:positionH relativeFrom="margin">
              <wp:posOffset>-69850</wp:posOffset>
            </wp:positionH>
            <wp:positionV relativeFrom="paragraph">
              <wp:posOffset>-245110</wp:posOffset>
            </wp:positionV>
            <wp:extent cx="3435985" cy="2062480"/>
            <wp:effectExtent l="19050" t="0" r="0" b="0"/>
            <wp:wrapTopAndBottom/>
            <wp:docPr id="12"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a:off x="0" y="0"/>
                      <a:ext cx="3435985" cy="2062480"/>
                    </a:xfrm>
                    <a:prstGeom prst="rect">
                      <a:avLst/>
                    </a:prstGeom>
                    <a:noFill/>
                  </pic:spPr>
                </pic:pic>
              </a:graphicData>
            </a:graphic>
          </wp:anchor>
        </w:drawing>
      </w:r>
    </w:p>
    <w:p w:rsidR="000231B2" w:rsidRDefault="00A4545B" w:rsidP="00DC3EAE">
      <w:pPr>
        <w:spacing w:line="276" w:lineRule="auto"/>
        <w:rPr>
          <w:rFonts w:cs="Arial"/>
        </w:rPr>
      </w:pPr>
      <w:r>
        <w:rPr>
          <w:rFonts w:cs="Arial"/>
        </w:rPr>
        <w:t xml:space="preserve">Another dimension of the </w:t>
      </w:r>
      <w:r w:rsidR="00CB58B8">
        <w:rPr>
          <w:rFonts w:cs="Arial"/>
        </w:rPr>
        <w:t>conditions in the regional labour market</w:t>
      </w:r>
      <w:r>
        <w:rPr>
          <w:rFonts w:cs="Arial"/>
        </w:rPr>
        <w:t xml:space="preserve"> rate has to do with the level of unemployment across groups of different education skills. </w:t>
      </w:r>
      <w:r w:rsidR="00CB58B8">
        <w:rPr>
          <w:rFonts w:cs="Arial"/>
        </w:rPr>
        <w:t>MRI presents the highest unemployment rate across all Turkish regions among active persons with secondary education (18.7% in 2013, compared with the national average of 12%). Although the difference is smaller, the regional unemployment rate is also higher than the national in the case of higher education graduates (13.2% and 10.3% r</w:t>
      </w:r>
      <w:r w:rsidR="00CB58B8">
        <w:rPr>
          <w:rFonts w:cs="Arial"/>
        </w:rPr>
        <w:t>e</w:t>
      </w:r>
      <w:r w:rsidR="00CB58B8">
        <w:rPr>
          <w:rFonts w:cs="Arial"/>
        </w:rPr>
        <w:t xml:space="preserve">spectively). </w:t>
      </w:r>
      <w:r w:rsidR="00B83D40">
        <w:rPr>
          <w:rFonts w:cs="Arial"/>
        </w:rPr>
        <w:t xml:space="preserve">On the contrary, the regional unemployment rates </w:t>
      </w:r>
      <w:r w:rsidR="00B877FA">
        <w:rPr>
          <w:rFonts w:cs="Arial"/>
        </w:rPr>
        <w:t>for</w:t>
      </w:r>
      <w:r w:rsidR="00B83D40">
        <w:rPr>
          <w:rFonts w:cs="Arial"/>
        </w:rPr>
        <w:t xml:space="preserve"> </w:t>
      </w:r>
      <w:r w:rsidR="00B877FA">
        <w:rPr>
          <w:rFonts w:cs="Arial"/>
        </w:rPr>
        <w:t>those</w:t>
      </w:r>
      <w:r w:rsidR="00B83D40">
        <w:rPr>
          <w:rFonts w:cs="Arial"/>
        </w:rPr>
        <w:t xml:space="preserve"> with less e</w:t>
      </w:r>
      <w:r w:rsidR="00B83D40">
        <w:rPr>
          <w:rFonts w:cs="Arial"/>
        </w:rPr>
        <w:t>d</w:t>
      </w:r>
      <w:r w:rsidR="00B83D40">
        <w:rPr>
          <w:rFonts w:cs="Arial"/>
        </w:rPr>
        <w:t xml:space="preserve">ucation skills are not very dissimilar from the national scores. </w:t>
      </w:r>
      <w:r w:rsidR="00B877FA">
        <w:rPr>
          <w:rFonts w:cs="Arial"/>
        </w:rPr>
        <w:t>Thus, the</w:t>
      </w:r>
      <w:r w:rsidR="00B83D40">
        <w:rPr>
          <w:rFonts w:cs="Arial"/>
        </w:rPr>
        <w:t xml:space="preserve"> </w:t>
      </w:r>
      <w:r w:rsidR="00A1470A">
        <w:rPr>
          <w:rFonts w:cs="Arial"/>
        </w:rPr>
        <w:t xml:space="preserve">increased unemployment in Izmir </w:t>
      </w:r>
      <w:r w:rsidR="00B877FA">
        <w:rPr>
          <w:rFonts w:cs="Arial"/>
        </w:rPr>
        <w:t>seems to be</w:t>
      </w:r>
      <w:r w:rsidR="00A1470A">
        <w:rPr>
          <w:rFonts w:cs="Arial"/>
        </w:rPr>
        <w:t xml:space="preserve"> connected with the inability of the regional labour market to employ people of middle and</w:t>
      </w:r>
      <w:r w:rsidR="00B877FA">
        <w:rPr>
          <w:rFonts w:cs="Arial"/>
        </w:rPr>
        <w:t xml:space="preserve"> higher educational attainment. This is a sp</w:t>
      </w:r>
      <w:r w:rsidR="00B877FA">
        <w:rPr>
          <w:rFonts w:cs="Arial"/>
        </w:rPr>
        <w:t>e</w:t>
      </w:r>
      <w:r w:rsidR="00B877FA">
        <w:rPr>
          <w:rFonts w:cs="Arial"/>
        </w:rPr>
        <w:t>cial disadvantage for a region with the third higher percentage of higher education graduates and a higher than the national percentage of secondary education grad</w:t>
      </w:r>
      <w:r w:rsidR="00B877FA">
        <w:rPr>
          <w:rFonts w:cs="Arial"/>
        </w:rPr>
        <w:t>u</w:t>
      </w:r>
      <w:r w:rsidR="00B877FA">
        <w:rPr>
          <w:rFonts w:cs="Arial"/>
        </w:rPr>
        <w:t>ates</w:t>
      </w:r>
      <w:r w:rsidR="008856E4">
        <w:rPr>
          <w:rFonts w:cs="Arial"/>
        </w:rPr>
        <w:t xml:space="preserve"> (</w:t>
      </w:r>
      <w:r w:rsidR="00B66A59">
        <w:rPr>
          <w:rFonts w:cs="Arial"/>
        </w:rPr>
        <w:t>see</w:t>
      </w:r>
      <w:r w:rsidR="001734F1">
        <w:rPr>
          <w:rFonts w:cs="Arial"/>
        </w:rPr>
        <w:t xml:space="preserve"> </w:t>
      </w:r>
      <w:r w:rsidR="001734F1" w:rsidRPr="001734F1">
        <w:rPr>
          <w:rFonts w:cs="Arial"/>
        </w:rPr>
        <w:fldChar w:fldCharType="begin"/>
      </w:r>
      <w:r w:rsidR="001734F1" w:rsidRPr="001734F1">
        <w:rPr>
          <w:rFonts w:cs="Arial"/>
        </w:rPr>
        <w:instrText xml:space="preserve"> REF _Ref392506733 \h  \* MERGEFORMAT </w:instrText>
      </w:r>
      <w:r w:rsidR="001734F1" w:rsidRPr="001734F1">
        <w:rPr>
          <w:rFonts w:cs="Arial"/>
        </w:rPr>
      </w:r>
      <w:r w:rsidR="001734F1" w:rsidRPr="001734F1">
        <w:rPr>
          <w:rFonts w:cs="Arial"/>
        </w:rPr>
        <w:fldChar w:fldCharType="separate"/>
      </w:r>
      <w:r w:rsidR="00D95984" w:rsidRPr="00D95984">
        <w:t xml:space="preserve">Figure </w:t>
      </w:r>
      <w:r w:rsidR="00D95984" w:rsidRPr="00D95984">
        <w:rPr>
          <w:noProof/>
        </w:rPr>
        <w:t>3</w:t>
      </w:r>
      <w:r w:rsidR="001734F1" w:rsidRPr="001734F1">
        <w:rPr>
          <w:rFonts w:cs="Arial"/>
        </w:rPr>
        <w:fldChar w:fldCharType="end"/>
      </w:r>
      <w:r w:rsidR="008856E4" w:rsidRPr="001734F1">
        <w:rPr>
          <w:rFonts w:cs="Arial"/>
        </w:rPr>
        <w:t>)</w:t>
      </w:r>
      <w:r w:rsidR="00B877FA" w:rsidRPr="001734F1">
        <w:rPr>
          <w:rFonts w:cs="Arial"/>
        </w:rPr>
        <w:t>.</w:t>
      </w:r>
    </w:p>
    <w:p w:rsidR="00202A1E" w:rsidRDefault="009D6101" w:rsidP="00DC3EAE">
      <w:pPr>
        <w:spacing w:line="276" w:lineRule="auto"/>
        <w:rPr>
          <w:rFonts w:cs="Arial"/>
        </w:rPr>
      </w:pPr>
      <w:r>
        <w:rPr>
          <w:rFonts w:cs="Arial"/>
        </w:rPr>
        <w:t>S</w:t>
      </w:r>
      <w:r w:rsidR="00471FAB">
        <w:rPr>
          <w:rFonts w:cs="Arial"/>
        </w:rPr>
        <w:t xml:space="preserve">ome characteristics of the employed population </w:t>
      </w:r>
      <w:r w:rsidR="008E2A0A">
        <w:rPr>
          <w:rFonts w:cs="Arial"/>
        </w:rPr>
        <w:t xml:space="preserve">in MRI </w:t>
      </w:r>
      <w:r w:rsidR="00471FAB">
        <w:rPr>
          <w:rFonts w:cs="Arial"/>
        </w:rPr>
        <w:t>remind that poverty and s</w:t>
      </w:r>
      <w:r w:rsidR="00471FAB">
        <w:rPr>
          <w:rFonts w:cs="Arial"/>
        </w:rPr>
        <w:t>o</w:t>
      </w:r>
      <w:r w:rsidR="00471FAB">
        <w:rPr>
          <w:rFonts w:cs="Arial"/>
        </w:rPr>
        <w:t xml:space="preserve">cial exclusion do not only concern </w:t>
      </w:r>
      <w:r w:rsidR="008E2A0A">
        <w:rPr>
          <w:rFonts w:cs="Arial"/>
        </w:rPr>
        <w:t xml:space="preserve">the </w:t>
      </w:r>
      <w:r w:rsidR="00471FAB">
        <w:rPr>
          <w:rFonts w:cs="Arial"/>
        </w:rPr>
        <w:t>unemployed.</w:t>
      </w:r>
      <w:r w:rsidR="008E2A0A">
        <w:rPr>
          <w:rFonts w:cs="Arial"/>
        </w:rPr>
        <w:t xml:space="preserve"> The percentage of people in e</w:t>
      </w:r>
      <w:r w:rsidR="008E2A0A">
        <w:rPr>
          <w:rFonts w:cs="Arial"/>
        </w:rPr>
        <w:t>m</w:t>
      </w:r>
      <w:r w:rsidR="008E2A0A">
        <w:rPr>
          <w:rFonts w:cs="Arial"/>
        </w:rPr>
        <w:t>ployment not registered in any form of social security was 30.4% in 2013. This figure is below the national average (36.7%) but at the same time twice higher than in A</w:t>
      </w:r>
      <w:r w:rsidR="008E2A0A">
        <w:rPr>
          <w:rFonts w:cs="Arial"/>
        </w:rPr>
        <w:t>n</w:t>
      </w:r>
      <w:r w:rsidR="008E2A0A">
        <w:rPr>
          <w:rFonts w:cs="Arial"/>
        </w:rPr>
        <w:t xml:space="preserve">kara or Istanbul. </w:t>
      </w:r>
    </w:p>
    <w:p w:rsidR="00C47B73" w:rsidRDefault="00C47B73" w:rsidP="00DC3EAE">
      <w:pPr>
        <w:spacing w:line="276" w:lineRule="auto"/>
        <w:rPr>
          <w:rFonts w:cs="Arial"/>
        </w:rPr>
      </w:pPr>
    </w:p>
    <w:p w:rsidR="00C47B73" w:rsidRDefault="00C47B73" w:rsidP="00206030">
      <w:pPr>
        <w:spacing w:line="23" w:lineRule="atLeast"/>
        <w:rPr>
          <w:rFonts w:cs="Arial"/>
        </w:rPr>
      </w:pPr>
    </w:p>
    <w:p w:rsidR="00DC3EAE" w:rsidRPr="00935609" w:rsidRDefault="00B66A59" w:rsidP="00DC3EAE">
      <w:pPr>
        <w:pStyle w:val="Caption"/>
        <w:spacing w:before="0" w:line="320" w:lineRule="exact"/>
        <w:rPr>
          <w:rFonts w:cs="Arial"/>
          <w:b w:val="0"/>
          <w:noProof/>
          <w:sz w:val="16"/>
          <w:szCs w:val="16"/>
        </w:rPr>
      </w:pPr>
      <w:r>
        <w:rPr>
          <w:noProof/>
          <w:lang w:val="fi-FI" w:eastAsia="fi-FI"/>
        </w:rPr>
        <w:lastRenderedPageBreak/>
        <w:drawing>
          <wp:anchor distT="0" distB="0" distL="114300" distR="114300" simplePos="0" relativeHeight="251687936" behindDoc="0" locked="0" layoutInCell="1" allowOverlap="1" wp14:anchorId="48DB6B41" wp14:editId="24AE6D2A">
            <wp:simplePos x="0" y="0"/>
            <wp:positionH relativeFrom="margin">
              <wp:posOffset>31750</wp:posOffset>
            </wp:positionH>
            <wp:positionV relativeFrom="paragraph">
              <wp:posOffset>187325</wp:posOffset>
            </wp:positionV>
            <wp:extent cx="3415030" cy="2073275"/>
            <wp:effectExtent l="0" t="0" r="0" b="3175"/>
            <wp:wrapTopAndBottom/>
            <wp:docPr id="10"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3415030" cy="2073275"/>
                    </a:xfrm>
                    <a:prstGeom prst="rect">
                      <a:avLst/>
                    </a:prstGeom>
                    <a:noFill/>
                  </pic:spPr>
                </pic:pic>
              </a:graphicData>
            </a:graphic>
          </wp:anchor>
        </w:drawing>
      </w:r>
      <w:r>
        <w:rPr>
          <w:noProof/>
          <w:lang w:val="fi-FI" w:eastAsia="fi-FI"/>
        </w:rPr>
        <mc:AlternateContent>
          <mc:Choice Requires="wps">
            <w:drawing>
              <wp:anchor distT="0" distB="0" distL="114300" distR="114300" simplePos="0" relativeHeight="251681792" behindDoc="0" locked="0" layoutInCell="1" allowOverlap="1" wp14:anchorId="529EA1D9" wp14:editId="2AB3E783">
                <wp:simplePos x="0" y="0"/>
                <wp:positionH relativeFrom="column">
                  <wp:posOffset>77470</wp:posOffset>
                </wp:positionH>
                <wp:positionV relativeFrom="paragraph">
                  <wp:posOffset>2379345</wp:posOffset>
                </wp:positionV>
                <wp:extent cx="5995670" cy="406400"/>
                <wp:effectExtent l="0" t="0" r="5080" b="6350"/>
                <wp:wrapTopAndBottom/>
                <wp:docPr id="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5670" cy="406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73B37" w:rsidRPr="000A6B93" w:rsidRDefault="00773B37" w:rsidP="00202A1E">
                            <w:pPr>
                              <w:spacing w:before="0" w:line="320" w:lineRule="exact"/>
                              <w:rPr>
                                <w:rFonts w:cs="Arial"/>
                                <w:b/>
                              </w:rPr>
                            </w:pPr>
                            <w:bookmarkStart w:id="13" w:name="_Ref392506733"/>
                            <w:bookmarkStart w:id="14" w:name="_Toc392507150"/>
                            <w:r w:rsidRPr="000A6B93">
                              <w:rPr>
                                <w:b/>
                              </w:rPr>
                              <w:t xml:space="preserve">Figure </w:t>
                            </w:r>
                            <w:r w:rsidRPr="000A6B93">
                              <w:rPr>
                                <w:b/>
                              </w:rPr>
                              <w:fldChar w:fldCharType="begin"/>
                            </w:r>
                            <w:r w:rsidRPr="000A6B93">
                              <w:rPr>
                                <w:b/>
                              </w:rPr>
                              <w:instrText xml:space="preserve"> SEQ Figure \* ARABIC </w:instrText>
                            </w:r>
                            <w:r w:rsidRPr="000A6B93">
                              <w:rPr>
                                <w:b/>
                              </w:rPr>
                              <w:fldChar w:fldCharType="separate"/>
                            </w:r>
                            <w:r w:rsidR="00D95984">
                              <w:rPr>
                                <w:b/>
                                <w:noProof/>
                              </w:rPr>
                              <w:t>3</w:t>
                            </w:r>
                            <w:r w:rsidRPr="000A6B93">
                              <w:rPr>
                                <w:b/>
                              </w:rPr>
                              <w:fldChar w:fldCharType="end"/>
                            </w:r>
                            <w:bookmarkEnd w:id="13"/>
                            <w:r>
                              <w:rPr>
                                <w:b/>
                              </w:rPr>
                              <w:t>:</w:t>
                            </w:r>
                            <w:r w:rsidRPr="000A6B93">
                              <w:rPr>
                                <w:rFonts w:cs="Arial"/>
                                <w:b/>
                              </w:rPr>
                              <w:t xml:space="preserve"> Working age population by educational level, 2013</w:t>
                            </w:r>
                            <w:bookmarkEnd w:id="14"/>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9EA1D9" id="Text Box 12" o:spid="_x0000_s1033" type="#_x0000_t202" style="position:absolute;left:0;text-align:left;margin-left:6.1pt;margin-top:187.35pt;width:472.1pt;height:3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" stroked="f">
                <v:textbox style="mso-fit-shape-to-text:t" inset="0,0,0,0">
                  <w:txbxContent>
                    <w:p w:rsidR="00773B37" w:rsidRPr="000A6B93" w:rsidRDefault="00773B37" w:rsidP="00202A1E">
                      <w:pPr>
                        <w:spacing w:before="0" w:line="320" w:lineRule="exact"/>
                        <w:rPr>
                          <w:rFonts w:cs="Arial"/>
                          <w:b/>
                        </w:rPr>
                      </w:pPr>
                      <w:bookmarkStart w:id="21" w:name="_Ref392506733"/>
                      <w:bookmarkStart w:id="22" w:name="_Toc392507150"/>
                      <w:r w:rsidRPr="000A6B93">
                        <w:rPr>
                          <w:b/>
                        </w:rPr>
                        <w:t xml:space="preserve">Figure </w:t>
                      </w:r>
                      <w:r w:rsidRPr="000A6B93">
                        <w:rPr>
                          <w:b/>
                        </w:rPr>
                        <w:fldChar w:fldCharType="begin"/>
                      </w:r>
                      <w:r w:rsidRPr="000A6B93">
                        <w:rPr>
                          <w:b/>
                        </w:rPr>
                        <w:instrText xml:space="preserve"> SEQ Figure \* ARABIC </w:instrText>
                      </w:r>
                      <w:r w:rsidRPr="000A6B93">
                        <w:rPr>
                          <w:b/>
                        </w:rPr>
                        <w:fldChar w:fldCharType="separate"/>
                      </w:r>
                      <w:r w:rsidR="00D95984">
                        <w:rPr>
                          <w:b/>
                          <w:noProof/>
                        </w:rPr>
                        <w:t>3</w:t>
                      </w:r>
                      <w:r w:rsidRPr="000A6B93">
                        <w:rPr>
                          <w:b/>
                        </w:rPr>
                        <w:fldChar w:fldCharType="end"/>
                      </w:r>
                      <w:bookmarkEnd w:id="21"/>
                      <w:r>
                        <w:rPr>
                          <w:b/>
                        </w:rPr>
                        <w:t>:</w:t>
                      </w:r>
                      <w:r w:rsidRPr="000A6B93">
                        <w:rPr>
                          <w:rFonts w:cs="Arial"/>
                          <w:b/>
                        </w:rPr>
                        <w:t xml:space="preserve"> Working age population by educational level, 2013</w:t>
                      </w:r>
                      <w:bookmarkEnd w:id="22"/>
                    </w:p>
                  </w:txbxContent>
                </v:textbox>
                <w10:wrap type="topAndBottom"/>
              </v:shape>
            </w:pict>
          </mc:Fallback>
        </mc:AlternateContent>
      </w:r>
      <w:r w:rsidR="00DC3EAE" w:rsidRPr="00DC3EAE">
        <w:rPr>
          <w:rFonts w:cs="Arial"/>
          <w:sz w:val="16"/>
          <w:szCs w:val="16"/>
        </w:rPr>
        <w:t xml:space="preserve">   Source:</w:t>
      </w:r>
      <w:r w:rsidR="00DC3EAE" w:rsidRPr="00935609">
        <w:rPr>
          <w:rFonts w:cs="Arial"/>
          <w:b w:val="0"/>
          <w:sz w:val="16"/>
          <w:szCs w:val="16"/>
        </w:rPr>
        <w:t xml:space="preserve"> Turkstat</w:t>
      </w:r>
    </w:p>
    <w:p w:rsidR="00C47B73" w:rsidRDefault="00C47B73" w:rsidP="00206030">
      <w:pPr>
        <w:spacing w:line="23" w:lineRule="atLeast"/>
        <w:rPr>
          <w:rFonts w:cs="Arial"/>
        </w:rPr>
      </w:pPr>
    </w:p>
    <w:p w:rsidR="009D6101" w:rsidRDefault="009D6101" w:rsidP="00B66A59">
      <w:pPr>
        <w:spacing w:line="276" w:lineRule="auto"/>
        <w:rPr>
          <w:rFonts w:cs="Arial"/>
        </w:rPr>
      </w:pPr>
      <w:r>
        <w:rPr>
          <w:rFonts w:cs="Arial"/>
        </w:rPr>
        <w:t xml:space="preserve">Moreover, it is worth to mention that unregistered workers </w:t>
      </w:r>
      <w:r w:rsidR="00F03908">
        <w:rPr>
          <w:rFonts w:cs="Arial"/>
        </w:rPr>
        <w:t>increased by 2.7 percen</w:t>
      </w:r>
      <w:r w:rsidR="00F03908">
        <w:rPr>
          <w:rFonts w:cs="Arial"/>
        </w:rPr>
        <w:t>t</w:t>
      </w:r>
      <w:r w:rsidR="00F03908">
        <w:rPr>
          <w:rFonts w:cs="Arial"/>
        </w:rPr>
        <w:t>age units between 2008 (one year after the implementation of a social security r</w:t>
      </w:r>
      <w:r w:rsidR="00F03908">
        <w:rPr>
          <w:rFonts w:cs="Arial"/>
        </w:rPr>
        <w:t>e</w:t>
      </w:r>
      <w:r w:rsidR="00F03908">
        <w:rPr>
          <w:rFonts w:cs="Arial"/>
        </w:rPr>
        <w:t>form in Turkey) and 2013.</w:t>
      </w:r>
      <w:r w:rsidR="00F86D00">
        <w:rPr>
          <w:rFonts w:cs="Arial"/>
        </w:rPr>
        <w:t xml:space="preserve"> Working people with poor education skills are by far more likely to be excluded from the social security system, as the rate is 5.8% for higher education graduates, 16.3% for high school and vocational high school graduates and raises at 43.9% for those with lower than secondary education and even to 81.8% for the illiterate.</w:t>
      </w:r>
    </w:p>
    <w:p w:rsidR="00CA1B13" w:rsidRDefault="00CA1B13" w:rsidP="00B66A59">
      <w:pPr>
        <w:spacing w:line="276" w:lineRule="auto"/>
        <w:rPr>
          <w:rFonts w:cs="Arial"/>
        </w:rPr>
      </w:pPr>
      <w:r>
        <w:rPr>
          <w:rFonts w:cs="Arial"/>
        </w:rPr>
        <w:t xml:space="preserve">The age structure of MRI reveals an old dependency rate of 12.3% </w:t>
      </w:r>
      <w:r w:rsidR="00A310B7">
        <w:rPr>
          <w:rFonts w:cs="Arial"/>
        </w:rPr>
        <w:t xml:space="preserve">(10.8% in Turkey) </w:t>
      </w:r>
      <w:r>
        <w:rPr>
          <w:rFonts w:cs="Arial"/>
        </w:rPr>
        <w:t xml:space="preserve">and </w:t>
      </w:r>
      <w:r w:rsidR="00A310B7">
        <w:rPr>
          <w:rFonts w:cs="Arial"/>
        </w:rPr>
        <w:t>a child dependency rate of 27</w:t>
      </w:r>
      <w:proofErr w:type="gramStart"/>
      <w:r w:rsidR="00A310B7">
        <w:rPr>
          <w:rFonts w:cs="Arial"/>
        </w:rPr>
        <w:t>,6</w:t>
      </w:r>
      <w:proofErr w:type="gramEnd"/>
      <w:r w:rsidR="00A310B7">
        <w:rPr>
          <w:rFonts w:cs="Arial"/>
        </w:rPr>
        <w:t>% (37.6%). While the total dependency rate is thus</w:t>
      </w:r>
      <w:r>
        <w:rPr>
          <w:rFonts w:cs="Arial"/>
        </w:rPr>
        <w:t xml:space="preserve"> </w:t>
      </w:r>
      <w:r w:rsidR="00A310B7">
        <w:rPr>
          <w:rFonts w:cs="Arial"/>
        </w:rPr>
        <w:t xml:space="preserve">quite lower than the national average (and than in Ankara and Istanbul), this is because of a quite older regional age structure, nonetheless with a median age of no more than 33.6 years. </w:t>
      </w:r>
      <w:r w:rsidR="00705F90">
        <w:rPr>
          <w:rFonts w:cs="Arial"/>
        </w:rPr>
        <w:t xml:space="preserve">At the same time, MRI is characterized by a comparatively low proportion of families with </w:t>
      </w:r>
      <w:r w:rsidR="0013084C">
        <w:rPr>
          <w:rFonts w:cs="Arial"/>
        </w:rPr>
        <w:t>5</w:t>
      </w:r>
      <w:r w:rsidR="00705F90">
        <w:rPr>
          <w:rFonts w:cs="Arial"/>
        </w:rPr>
        <w:t xml:space="preserve"> or more members (</w:t>
      </w:r>
      <w:r w:rsidR="00B66A59" w:rsidRPr="001B2440">
        <w:rPr>
          <w:rFonts w:cs="Arial"/>
        </w:rPr>
        <w:t>see</w:t>
      </w:r>
      <w:r w:rsidR="001B2440" w:rsidRPr="001B2440">
        <w:rPr>
          <w:rFonts w:cs="Arial"/>
        </w:rPr>
        <w:t xml:space="preserve"> </w:t>
      </w:r>
      <w:r w:rsidR="001B2440" w:rsidRPr="001B2440">
        <w:rPr>
          <w:rFonts w:cs="Arial"/>
        </w:rPr>
        <w:fldChar w:fldCharType="begin"/>
      </w:r>
      <w:r w:rsidR="001B2440" w:rsidRPr="001B2440">
        <w:rPr>
          <w:rFonts w:cs="Arial"/>
        </w:rPr>
        <w:instrText xml:space="preserve"> REF _Ref392506818 \h  \* MERGEFORMAT </w:instrText>
      </w:r>
      <w:r w:rsidR="001B2440" w:rsidRPr="001B2440">
        <w:rPr>
          <w:rFonts w:cs="Arial"/>
        </w:rPr>
      </w:r>
      <w:r w:rsidR="001B2440" w:rsidRPr="001B2440">
        <w:rPr>
          <w:rFonts w:cs="Arial"/>
        </w:rPr>
        <w:fldChar w:fldCharType="separate"/>
      </w:r>
      <w:r w:rsidR="00D95984" w:rsidRPr="00D95984">
        <w:t xml:space="preserve">Figure </w:t>
      </w:r>
      <w:r w:rsidR="00D95984" w:rsidRPr="00D95984">
        <w:rPr>
          <w:noProof/>
        </w:rPr>
        <w:t>4</w:t>
      </w:r>
      <w:r w:rsidR="001B2440" w:rsidRPr="001B2440">
        <w:rPr>
          <w:rFonts w:cs="Arial"/>
        </w:rPr>
        <w:fldChar w:fldCharType="end"/>
      </w:r>
      <w:r w:rsidR="00705F90" w:rsidRPr="001B2440">
        <w:rPr>
          <w:rFonts w:cs="Arial"/>
        </w:rPr>
        <w:t>).</w:t>
      </w:r>
    </w:p>
    <w:p w:rsidR="00E03D23" w:rsidRDefault="008D77FC" w:rsidP="00B66A59">
      <w:pPr>
        <w:spacing w:line="276" w:lineRule="auto"/>
        <w:rPr>
          <w:rFonts w:cs="Arial"/>
        </w:rPr>
      </w:pPr>
      <w:r>
        <w:rPr>
          <w:rFonts w:cs="Arial"/>
        </w:rPr>
        <w:t>Internal migration is still continued</w:t>
      </w:r>
      <w:r w:rsidR="006B342F">
        <w:rPr>
          <w:rFonts w:cs="Arial"/>
        </w:rPr>
        <w:t xml:space="preserve"> in MRI</w:t>
      </w:r>
      <w:r w:rsidR="000D18C6">
        <w:rPr>
          <w:rFonts w:cs="Arial"/>
        </w:rPr>
        <w:t xml:space="preserve"> as in the rest of Turkey which is a country still undergoing urbanization (</w:t>
      </w:r>
      <w:r w:rsidR="00095A80">
        <w:rPr>
          <w:rFonts w:cs="Arial"/>
        </w:rPr>
        <w:t>Uzun et al.</w:t>
      </w:r>
      <w:r w:rsidR="00B66A59">
        <w:rPr>
          <w:rFonts w:cs="Arial"/>
        </w:rPr>
        <w:t>,</w:t>
      </w:r>
      <w:r w:rsidR="000D18C6">
        <w:rPr>
          <w:rFonts w:cs="Arial"/>
        </w:rPr>
        <w:t xml:space="preserve"> 2010).</w:t>
      </w:r>
      <w:r>
        <w:rPr>
          <w:rFonts w:cs="Arial"/>
        </w:rPr>
        <w:t xml:space="preserve"> The most recent data on 2010-2011 internal migration flows show that Izmir received more than 110,000 incomers in this period, or 4.5% of the total internal migration flows </w:t>
      </w:r>
      <w:r w:rsidR="007F187A">
        <w:rPr>
          <w:rFonts w:cs="Arial"/>
        </w:rPr>
        <w:t>around</w:t>
      </w:r>
      <w:r w:rsidRPr="008D77FC">
        <w:rPr>
          <w:rFonts w:cs="Arial"/>
        </w:rPr>
        <w:t xml:space="preserve"> </w:t>
      </w:r>
      <w:r>
        <w:rPr>
          <w:rFonts w:cs="Arial"/>
        </w:rPr>
        <w:t xml:space="preserve">the country. </w:t>
      </w:r>
      <w:r w:rsidR="00E40A06">
        <w:rPr>
          <w:rFonts w:cs="Arial"/>
        </w:rPr>
        <w:t xml:space="preserve">Although not among the </w:t>
      </w:r>
      <w:r w:rsidR="00922B66">
        <w:rPr>
          <w:rFonts w:cs="Arial"/>
        </w:rPr>
        <w:t>mos</w:t>
      </w:r>
      <w:r w:rsidR="00E40A06">
        <w:rPr>
          <w:rFonts w:cs="Arial"/>
        </w:rPr>
        <w:t xml:space="preserve">t </w:t>
      </w:r>
      <w:r w:rsidR="00922B66">
        <w:rPr>
          <w:rFonts w:cs="Arial"/>
        </w:rPr>
        <w:t xml:space="preserve">important </w:t>
      </w:r>
      <w:r w:rsidR="00E40A06">
        <w:rPr>
          <w:rFonts w:cs="Arial"/>
        </w:rPr>
        <w:t xml:space="preserve">destinations, Izmir shows positive net internal migration rates, gaining almost 75,000 residents between 2008 and 2011, representing 1.9% </w:t>
      </w:r>
      <w:r w:rsidR="00922B66">
        <w:rPr>
          <w:rFonts w:cs="Arial"/>
        </w:rPr>
        <w:t>of its 2011 population</w:t>
      </w:r>
      <w:r w:rsidR="002F5482">
        <w:rPr>
          <w:rFonts w:cs="Arial"/>
        </w:rPr>
        <w:t xml:space="preserve"> (the respective rates were 3.5% in Ankara and 2.1% in Istanbul)</w:t>
      </w:r>
      <w:r w:rsidR="00922B66">
        <w:rPr>
          <w:rFonts w:cs="Arial"/>
        </w:rPr>
        <w:t>.</w:t>
      </w:r>
      <w:r w:rsidR="00E40A06">
        <w:rPr>
          <w:rFonts w:cs="Arial"/>
        </w:rPr>
        <w:t xml:space="preserve"> </w:t>
      </w:r>
      <w:r w:rsidR="00F101BE">
        <w:rPr>
          <w:rFonts w:cs="Arial"/>
        </w:rPr>
        <w:t xml:space="preserve">As in the rest of Turkey, the investigation of the age structure reveals a relatively young incoming population: 18.6% of the 2011 newcomers belonged to the 0-14 age group and 44% to the 15-29 age </w:t>
      </w:r>
      <w:proofErr w:type="gramStart"/>
      <w:r w:rsidR="00F101BE">
        <w:rPr>
          <w:rFonts w:cs="Arial"/>
        </w:rPr>
        <w:t>group</w:t>
      </w:r>
      <w:proofErr w:type="gramEnd"/>
      <w:r w:rsidR="00F101BE">
        <w:rPr>
          <w:rFonts w:cs="Arial"/>
        </w:rPr>
        <w:t xml:space="preserve">. </w:t>
      </w:r>
      <w:r w:rsidR="00E03D23" w:rsidRPr="00200724">
        <w:rPr>
          <w:rFonts w:cs="Arial"/>
        </w:rPr>
        <w:t>Poverty seems to be much more widespread among internal immigrants, e</w:t>
      </w:r>
      <w:r w:rsidR="007C6A85">
        <w:rPr>
          <w:rFonts w:cs="Arial"/>
        </w:rPr>
        <w:t xml:space="preserve">specially for nuclear families </w:t>
      </w:r>
      <w:r w:rsidR="00E03D23" w:rsidRPr="00200724">
        <w:rPr>
          <w:rFonts w:cs="Arial"/>
        </w:rPr>
        <w:t>that migrated recently (I</w:t>
      </w:r>
      <w:r w:rsidR="00E03D23" w:rsidRPr="00200724">
        <w:rPr>
          <w:rFonts w:cs="Arial"/>
        </w:rPr>
        <w:t>n</w:t>
      </w:r>
      <w:r w:rsidR="00E03D23" w:rsidRPr="00200724">
        <w:rPr>
          <w:rFonts w:cs="Arial"/>
        </w:rPr>
        <w:t>terview with I.S.).</w:t>
      </w:r>
      <w:r>
        <w:rPr>
          <w:rFonts w:cs="Arial"/>
        </w:rPr>
        <w:t xml:space="preserve"> </w:t>
      </w:r>
    </w:p>
    <w:p w:rsidR="005E10E5" w:rsidRDefault="0013084C" w:rsidP="00B66A59">
      <w:pPr>
        <w:spacing w:line="276" w:lineRule="auto"/>
        <w:rPr>
          <w:rFonts w:cs="Arial"/>
        </w:rPr>
      </w:pPr>
      <w:r>
        <w:rPr>
          <w:rFonts w:cs="Arial"/>
        </w:rPr>
        <w:t xml:space="preserve">Official 2011 census statistics provide a general picture of comparatively low rates of housing deprivation in MRI. About 19,000 households (1.6%) had no piped water system and about 69,000 had no toilet inside their dwellings, placing MRI in a better than the average national position but well below Istanbul. Eight thousand household </w:t>
      </w:r>
      <w:r>
        <w:rPr>
          <w:rFonts w:cs="Arial"/>
        </w:rPr>
        <w:lastRenderedPageBreak/>
        <w:t>(0.6%) lived in dwellings without kitchen. The average number of persons per room was 0.9, compared with the national 1.1. Almost 2/3 of the households lived in ow</w:t>
      </w:r>
      <w:r>
        <w:rPr>
          <w:rFonts w:cs="Arial"/>
        </w:rPr>
        <w:t>n</w:t>
      </w:r>
      <w:r>
        <w:rPr>
          <w:rFonts w:cs="Arial"/>
        </w:rPr>
        <w:t>er-occupied dwellings, while the percentage of renters (26.5%) is close to the natio</w:t>
      </w:r>
      <w:r>
        <w:rPr>
          <w:rFonts w:cs="Arial"/>
        </w:rPr>
        <w:t>n</w:t>
      </w:r>
      <w:r>
        <w:rPr>
          <w:rFonts w:cs="Arial"/>
        </w:rPr>
        <w:t>al average. As in the rest of Turkey public housing in MRI is rather marginal. The percentage of households living in dwellings that are not owner-occupied but for which they do not pay rent are likely to be connected with  forms of accommodation or squatting that might conceal conditions of inadequate housing.</w:t>
      </w:r>
      <w:r w:rsidRPr="00BA74BA">
        <w:rPr>
          <w:rFonts w:cs="Arial"/>
        </w:rPr>
        <w:t xml:space="preserve"> </w:t>
      </w:r>
      <w:r>
        <w:rPr>
          <w:rFonts w:cs="Arial"/>
        </w:rPr>
        <w:t>The 2012 ratio of doctors to total population was 1:591 a cross Turkey. MRI figures among the regions with better performance, presenting a ratio of 1:448.</w:t>
      </w:r>
    </w:p>
    <w:p w:rsidR="00B66A59" w:rsidRPr="00B66A59" w:rsidRDefault="00B66A59" w:rsidP="00B66A59">
      <w:pPr>
        <w:spacing w:line="276" w:lineRule="auto"/>
        <w:rPr>
          <w:rFonts w:cs="Arial"/>
          <w:sz w:val="10"/>
          <w:szCs w:val="10"/>
        </w:rPr>
      </w:pPr>
    </w:p>
    <w:p w:rsidR="000A6EC6" w:rsidRDefault="00645CDF" w:rsidP="00B66A59">
      <w:pPr>
        <w:spacing w:line="276" w:lineRule="auto"/>
        <w:rPr>
          <w:rFonts w:cs="Arial"/>
        </w:rPr>
      </w:pPr>
      <w:r>
        <w:rPr>
          <w:noProof/>
          <w:lang w:val="fi-FI" w:eastAsia="fi-FI"/>
        </w:rPr>
        <mc:AlternateContent>
          <mc:Choice Requires="wps">
            <w:drawing>
              <wp:anchor distT="0" distB="0" distL="114300" distR="114300" simplePos="0" relativeHeight="251683840" behindDoc="0" locked="0" layoutInCell="1" allowOverlap="1" wp14:anchorId="52C552B9" wp14:editId="77035DA4">
                <wp:simplePos x="0" y="0"/>
                <wp:positionH relativeFrom="column">
                  <wp:posOffset>40005</wp:posOffset>
                </wp:positionH>
                <wp:positionV relativeFrom="paragraph">
                  <wp:posOffset>2190750</wp:posOffset>
                </wp:positionV>
                <wp:extent cx="6118225" cy="581025"/>
                <wp:effectExtent l="0" t="0" r="0" b="9525"/>
                <wp:wrapTopAndBottom/>
                <wp:docPr id="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581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73B37" w:rsidRPr="00D47326" w:rsidRDefault="00773B37" w:rsidP="00B66A59">
                            <w:pPr>
                              <w:spacing w:line="320" w:lineRule="exact"/>
                              <w:rPr>
                                <w:rFonts w:cs="Arial"/>
                                <w:b/>
                              </w:rPr>
                            </w:pPr>
                            <w:bookmarkStart w:id="15" w:name="_Ref392506818"/>
                            <w:bookmarkStart w:id="16" w:name="_Toc392507151"/>
                            <w:r w:rsidRPr="0013084C">
                              <w:rPr>
                                <w:b/>
                              </w:rPr>
                              <w:t xml:space="preserve">Figure </w:t>
                            </w:r>
                            <w:r w:rsidRPr="0013084C">
                              <w:rPr>
                                <w:b/>
                              </w:rPr>
                              <w:fldChar w:fldCharType="begin"/>
                            </w:r>
                            <w:r w:rsidRPr="0013084C">
                              <w:rPr>
                                <w:b/>
                              </w:rPr>
                              <w:instrText xml:space="preserve"> SEQ Figure \* ARABIC </w:instrText>
                            </w:r>
                            <w:r w:rsidRPr="0013084C">
                              <w:rPr>
                                <w:b/>
                              </w:rPr>
                              <w:fldChar w:fldCharType="separate"/>
                            </w:r>
                            <w:r w:rsidR="00D95984">
                              <w:rPr>
                                <w:b/>
                                <w:noProof/>
                              </w:rPr>
                              <w:t>4</w:t>
                            </w:r>
                            <w:r w:rsidRPr="0013084C">
                              <w:rPr>
                                <w:b/>
                              </w:rPr>
                              <w:fldChar w:fldCharType="end"/>
                            </w:r>
                            <w:bookmarkEnd w:id="15"/>
                            <w:r w:rsidR="008D1F98">
                              <w:rPr>
                                <w:b/>
                              </w:rPr>
                              <w:t>:</w:t>
                            </w:r>
                            <w:r w:rsidR="004343C0">
                              <w:t xml:space="preserve"> </w:t>
                            </w:r>
                            <w:r w:rsidRPr="00D47326">
                              <w:rPr>
                                <w:rFonts w:cs="Arial"/>
                                <w:b/>
                              </w:rPr>
                              <w:t>Household size distribution, 2011</w:t>
                            </w:r>
                            <w:bookmarkEnd w:id="16"/>
                          </w:p>
                          <w:p w:rsidR="00773B37" w:rsidRPr="00935609" w:rsidRDefault="00773B37" w:rsidP="00B66A59">
                            <w:pPr>
                              <w:pStyle w:val="Caption"/>
                              <w:spacing w:before="0" w:after="240" w:line="320" w:lineRule="exact"/>
                              <w:rPr>
                                <w:rFonts w:cs="Arial"/>
                                <w:b w:val="0"/>
                                <w:sz w:val="16"/>
                                <w:szCs w:val="16"/>
                              </w:rPr>
                            </w:pPr>
                            <w:r w:rsidRPr="00B66A59">
                              <w:rPr>
                                <w:rFonts w:cs="Arial"/>
                                <w:sz w:val="16"/>
                                <w:szCs w:val="16"/>
                              </w:rPr>
                              <w:t>Source:</w:t>
                            </w:r>
                            <w:r w:rsidRPr="00935609">
                              <w:rPr>
                                <w:rFonts w:cs="Arial"/>
                                <w:b w:val="0"/>
                                <w:sz w:val="16"/>
                                <w:szCs w:val="16"/>
                              </w:rPr>
                              <w:t xml:space="preserve"> Turkstat</w:t>
                            </w:r>
                          </w:p>
                          <w:p w:rsidR="00773B37" w:rsidRPr="00935609" w:rsidRDefault="00773B37" w:rsidP="0093560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C552B9" id="Text Box 13" o:spid="_x0000_s1034" type="#_x0000_t202" style="position:absolute;left:0;text-align:left;margin-left:3.15pt;margin-top:172.5pt;width:481.75pt;height:45.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" stroked="f">
                <v:textbox inset="0,0,0,0">
                  <w:txbxContent>
                    <w:p w:rsidR="00773B37" w:rsidRPr="00D47326" w:rsidRDefault="00773B37" w:rsidP="00B66A59">
                      <w:pPr>
                        <w:spacing w:line="320" w:lineRule="exact"/>
                        <w:rPr>
                          <w:rFonts w:cs="Arial"/>
                          <w:b/>
                        </w:rPr>
                      </w:pPr>
                      <w:bookmarkStart w:id="25" w:name="_Ref392506818"/>
                      <w:bookmarkStart w:id="26" w:name="_Toc392507151"/>
                      <w:r w:rsidRPr="0013084C">
                        <w:rPr>
                          <w:b/>
                        </w:rPr>
                        <w:t xml:space="preserve">Figure </w:t>
                      </w:r>
                      <w:r w:rsidRPr="0013084C">
                        <w:rPr>
                          <w:b/>
                        </w:rPr>
                        <w:fldChar w:fldCharType="begin"/>
                      </w:r>
                      <w:r w:rsidRPr="0013084C">
                        <w:rPr>
                          <w:b/>
                        </w:rPr>
                        <w:instrText xml:space="preserve"> SEQ Figure \* ARABIC </w:instrText>
                      </w:r>
                      <w:r w:rsidRPr="0013084C">
                        <w:rPr>
                          <w:b/>
                        </w:rPr>
                        <w:fldChar w:fldCharType="separate"/>
                      </w:r>
                      <w:r w:rsidR="00D95984">
                        <w:rPr>
                          <w:b/>
                          <w:noProof/>
                        </w:rPr>
                        <w:t>4</w:t>
                      </w:r>
                      <w:r w:rsidRPr="0013084C">
                        <w:rPr>
                          <w:b/>
                        </w:rPr>
                        <w:fldChar w:fldCharType="end"/>
                      </w:r>
                      <w:bookmarkEnd w:id="25"/>
                      <w:r w:rsidR="008D1F98">
                        <w:rPr>
                          <w:b/>
                        </w:rPr>
                        <w:t>:</w:t>
                      </w:r>
                      <w:r w:rsidR="004343C0">
                        <w:t xml:space="preserve"> </w:t>
                      </w:r>
                      <w:r w:rsidRPr="00D47326">
                        <w:rPr>
                          <w:rFonts w:cs="Arial"/>
                          <w:b/>
                        </w:rPr>
                        <w:t>Household size distribution, 2011</w:t>
                      </w:r>
                      <w:bookmarkEnd w:id="26"/>
                    </w:p>
                    <w:p w:rsidR="00773B37" w:rsidRPr="00935609" w:rsidRDefault="00773B37" w:rsidP="00B66A59">
                      <w:pPr>
                        <w:pStyle w:val="Kuvaotsikko"/>
                        <w:spacing w:before="0" w:after="240" w:line="320" w:lineRule="exact"/>
                        <w:rPr>
                          <w:rFonts w:cs="Arial"/>
                          <w:b w:val="0"/>
                          <w:sz w:val="16"/>
                          <w:szCs w:val="16"/>
                        </w:rPr>
                      </w:pPr>
                      <w:r w:rsidRPr="00B66A59">
                        <w:rPr>
                          <w:rFonts w:cs="Arial"/>
                          <w:sz w:val="16"/>
                          <w:szCs w:val="16"/>
                        </w:rPr>
                        <w:t>Source:</w:t>
                      </w:r>
                      <w:r w:rsidRPr="00935609">
                        <w:rPr>
                          <w:rFonts w:cs="Arial"/>
                          <w:b w:val="0"/>
                          <w:sz w:val="16"/>
                          <w:szCs w:val="16"/>
                        </w:rPr>
                        <w:t xml:space="preserve"> Turkstat</w:t>
                      </w:r>
                    </w:p>
                    <w:p w:rsidR="00773B37" w:rsidRPr="00935609" w:rsidRDefault="00773B37" w:rsidP="00935609"/>
                  </w:txbxContent>
                </v:textbox>
                <w10:wrap type="topAndBottom"/>
              </v:shape>
            </w:pict>
          </mc:Fallback>
        </mc:AlternateContent>
      </w:r>
      <w:r w:rsidR="0017000B">
        <w:rPr>
          <w:noProof/>
          <w:lang w:val="fi-FI" w:eastAsia="fi-FI"/>
        </w:rPr>
        <w:drawing>
          <wp:anchor distT="0" distB="0" distL="114300" distR="114300" simplePos="0" relativeHeight="251670528" behindDoc="0" locked="0" layoutInCell="1" allowOverlap="1" wp14:anchorId="572C65FF" wp14:editId="5D51C66B">
            <wp:simplePos x="0" y="0"/>
            <wp:positionH relativeFrom="column">
              <wp:posOffset>57785</wp:posOffset>
            </wp:positionH>
            <wp:positionV relativeFrom="paragraph">
              <wp:posOffset>159385</wp:posOffset>
            </wp:positionV>
            <wp:extent cx="3437255" cy="2040890"/>
            <wp:effectExtent l="19050" t="0" r="0" b="0"/>
            <wp:wrapTopAndBottom/>
            <wp:docPr id="1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srcRect/>
                    <a:stretch>
                      <a:fillRect/>
                    </a:stretch>
                  </pic:blipFill>
                  <pic:spPr bwMode="auto">
                    <a:xfrm>
                      <a:off x="0" y="0"/>
                      <a:ext cx="3437255" cy="2040890"/>
                    </a:xfrm>
                    <a:prstGeom prst="rect">
                      <a:avLst/>
                    </a:prstGeom>
                    <a:noFill/>
                  </pic:spPr>
                </pic:pic>
              </a:graphicData>
            </a:graphic>
          </wp:anchor>
        </w:drawing>
      </w:r>
      <w:r w:rsidR="000A6EC6">
        <w:rPr>
          <w:rFonts w:cs="Arial"/>
        </w:rPr>
        <w:t>Urban development in recent years is indicated by the figure of building construction. According to the 7,567 construction permits for residential permits were granted in 2013, regarding a total floor space of about 5.5 million square meters</w:t>
      </w:r>
      <w:r w:rsidR="00332C12">
        <w:rPr>
          <w:rFonts w:cs="Arial"/>
        </w:rPr>
        <w:t xml:space="preserve"> in 39,380 hou</w:t>
      </w:r>
      <w:r w:rsidR="00332C12">
        <w:rPr>
          <w:rFonts w:cs="Arial"/>
        </w:rPr>
        <w:t>s</w:t>
      </w:r>
      <w:r w:rsidR="00332C12">
        <w:rPr>
          <w:rFonts w:cs="Arial"/>
        </w:rPr>
        <w:t>ing units</w:t>
      </w:r>
      <w:r w:rsidR="000A6EC6">
        <w:rPr>
          <w:rFonts w:cs="Arial"/>
        </w:rPr>
        <w:t>.</w:t>
      </w:r>
      <w:r w:rsidR="00F101BE">
        <w:rPr>
          <w:rFonts w:cs="Arial"/>
        </w:rPr>
        <w:t xml:space="preserve"> </w:t>
      </w:r>
      <w:r w:rsidR="00332C12">
        <w:rPr>
          <w:rFonts w:cs="Arial"/>
        </w:rPr>
        <w:t>This gives a rate of 1,341 square meters and 9.7</w:t>
      </w:r>
      <w:r w:rsidR="00F101BE">
        <w:rPr>
          <w:rFonts w:cs="Arial"/>
        </w:rPr>
        <w:t xml:space="preserve"> </w:t>
      </w:r>
      <w:r w:rsidR="00332C12">
        <w:rPr>
          <w:rFonts w:cs="Arial"/>
        </w:rPr>
        <w:t>new housing units for ev</w:t>
      </w:r>
      <w:r w:rsidR="00332C12">
        <w:rPr>
          <w:rFonts w:cs="Arial"/>
        </w:rPr>
        <w:t>e</w:t>
      </w:r>
      <w:r w:rsidR="00332C12">
        <w:rPr>
          <w:rFonts w:cs="Arial"/>
        </w:rPr>
        <w:t>ry 1,000 residents.</w:t>
      </w:r>
      <w:r w:rsidR="00834D9C">
        <w:rPr>
          <w:rFonts w:cs="Arial"/>
        </w:rPr>
        <w:t xml:space="preserve"> From a comparative perspective</w:t>
      </w:r>
      <w:r w:rsidR="00332C12">
        <w:rPr>
          <w:rFonts w:cs="Arial"/>
        </w:rPr>
        <w:t xml:space="preserve"> </w:t>
      </w:r>
      <w:r w:rsidR="00834D9C">
        <w:rPr>
          <w:rFonts w:cs="Arial"/>
        </w:rPr>
        <w:t>housing development in MRI is lower than at the national level and in the two bigge</w:t>
      </w:r>
      <w:r w:rsidR="008411CD">
        <w:rPr>
          <w:rFonts w:cs="Arial"/>
        </w:rPr>
        <w:t>r</w:t>
      </w:r>
      <w:r w:rsidR="00834D9C">
        <w:rPr>
          <w:rFonts w:cs="Arial"/>
        </w:rPr>
        <w:t xml:space="preserve"> metropolitan regions of Ankara and Izmir</w:t>
      </w:r>
      <w:r w:rsidR="006C01E9">
        <w:rPr>
          <w:rFonts w:cs="Arial"/>
        </w:rPr>
        <w:t xml:space="preserve"> (</w:t>
      </w:r>
      <w:r w:rsidR="00B66A59">
        <w:rPr>
          <w:rFonts w:cs="Arial"/>
        </w:rPr>
        <w:t xml:space="preserve">see </w:t>
      </w:r>
      <w:r w:rsidR="006C01E9">
        <w:rPr>
          <w:rFonts w:cs="Arial"/>
        </w:rPr>
        <w:t>Table 2)</w:t>
      </w:r>
      <w:r w:rsidR="00834D9C">
        <w:rPr>
          <w:rFonts w:cs="Arial"/>
        </w:rPr>
        <w:t>.</w:t>
      </w:r>
      <w:r w:rsidR="008411CD">
        <w:rPr>
          <w:rFonts w:cs="Arial"/>
        </w:rPr>
        <w:t xml:space="preserve"> </w:t>
      </w:r>
      <w:r w:rsidR="002F5482">
        <w:rPr>
          <w:rFonts w:cs="Arial"/>
        </w:rPr>
        <w:t>This means that despite having quite lower in-migration rates, Izmir faces similar housing pressures with the two other metropolitan regions.</w:t>
      </w:r>
    </w:p>
    <w:p w:rsidR="00B66A59" w:rsidRPr="00B66A59" w:rsidRDefault="00B66A59" w:rsidP="005E10E5">
      <w:pPr>
        <w:spacing w:line="276" w:lineRule="auto"/>
        <w:rPr>
          <w:rFonts w:cs="Arial"/>
          <w:sz w:val="10"/>
          <w:szCs w:val="10"/>
        </w:rPr>
      </w:pPr>
    </w:p>
    <w:p w:rsidR="009C12C9" w:rsidRPr="009C12C9" w:rsidRDefault="009C12C9" w:rsidP="00B66A59">
      <w:pPr>
        <w:pStyle w:val="Caption"/>
        <w:keepNext/>
        <w:spacing w:after="120"/>
      </w:pPr>
      <w:bookmarkStart w:id="17" w:name="_Toc385001368"/>
      <w:r w:rsidRPr="009C12C9">
        <w:t xml:space="preserve">Table </w:t>
      </w:r>
      <w:r w:rsidR="00E472CB" w:rsidRPr="009C12C9">
        <w:fldChar w:fldCharType="begin"/>
      </w:r>
      <w:r w:rsidRPr="009C12C9">
        <w:instrText xml:space="preserve"> SEQ Table \* ARABIC </w:instrText>
      </w:r>
      <w:r w:rsidR="00E472CB" w:rsidRPr="009C12C9">
        <w:fldChar w:fldCharType="separate"/>
      </w:r>
      <w:r w:rsidR="00D95984">
        <w:rPr>
          <w:noProof/>
        </w:rPr>
        <w:t>2</w:t>
      </w:r>
      <w:r w:rsidR="00E472CB" w:rsidRPr="009C12C9">
        <w:fldChar w:fldCharType="end"/>
      </w:r>
      <w:r w:rsidR="00935609">
        <w:t>:</w:t>
      </w:r>
      <w:r w:rsidRPr="009C12C9">
        <w:t xml:space="preserve"> </w:t>
      </w:r>
      <w:r w:rsidRPr="009C12C9">
        <w:rPr>
          <w:rFonts w:cs="Arial"/>
        </w:rPr>
        <w:t>Housing d</w:t>
      </w:r>
      <w:r w:rsidR="00812CE3">
        <w:rPr>
          <w:rFonts w:cs="Arial"/>
        </w:rPr>
        <w:t>evelopment in the three bigger metropolitan r</w:t>
      </w:r>
      <w:r w:rsidRPr="009C12C9">
        <w:rPr>
          <w:rFonts w:cs="Arial"/>
        </w:rPr>
        <w:t>egions of Tu</w:t>
      </w:r>
      <w:r w:rsidRPr="009C12C9">
        <w:rPr>
          <w:rFonts w:cs="Arial"/>
        </w:rPr>
        <w:t>r</w:t>
      </w:r>
      <w:r w:rsidRPr="009C12C9">
        <w:rPr>
          <w:rFonts w:cs="Arial"/>
        </w:rPr>
        <w:t>key, 2013</w:t>
      </w:r>
      <w:bookmarkEnd w:id="17"/>
    </w:p>
    <w:tbl>
      <w:tblPr>
        <w:tblStyle w:val="TableGrid"/>
        <w:tblW w:w="0" w:type="auto"/>
        <w:tblLook w:val="04A0" w:firstRow="1" w:lastRow="0" w:firstColumn="1" w:lastColumn="0" w:noHBand="0" w:noVBand="1"/>
      </w:tblPr>
      <w:tblGrid>
        <w:gridCol w:w="1865"/>
        <w:gridCol w:w="1581"/>
        <w:gridCol w:w="1709"/>
        <w:gridCol w:w="1664"/>
        <w:gridCol w:w="1709"/>
      </w:tblGrid>
      <w:tr w:rsidR="00834D9C" w:rsidRPr="008411CD" w:rsidTr="008411CD">
        <w:tc>
          <w:tcPr>
            <w:tcW w:w="2235" w:type="dxa"/>
          </w:tcPr>
          <w:p w:rsidR="00834D9C" w:rsidRPr="00B66A59" w:rsidRDefault="00834D9C" w:rsidP="00B66A59">
            <w:pPr>
              <w:spacing w:before="20" w:after="20" w:line="240" w:lineRule="auto"/>
              <w:rPr>
                <w:rFonts w:cs="Arial"/>
                <w:sz w:val="19"/>
                <w:szCs w:val="19"/>
              </w:rPr>
            </w:pPr>
          </w:p>
        </w:tc>
        <w:tc>
          <w:tcPr>
            <w:tcW w:w="3677" w:type="dxa"/>
            <w:gridSpan w:val="2"/>
            <w:vAlign w:val="center"/>
          </w:tcPr>
          <w:p w:rsidR="00834D9C" w:rsidRPr="00B66A59" w:rsidRDefault="00CD7588" w:rsidP="00B66A59">
            <w:pPr>
              <w:spacing w:before="20" w:after="20" w:line="240" w:lineRule="auto"/>
              <w:jc w:val="left"/>
              <w:rPr>
                <w:rFonts w:cs="Arial"/>
                <w:b/>
                <w:sz w:val="19"/>
                <w:szCs w:val="19"/>
              </w:rPr>
            </w:pPr>
            <w:r w:rsidRPr="00B66A59">
              <w:rPr>
                <w:rFonts w:cs="Arial"/>
                <w:b/>
                <w:sz w:val="19"/>
                <w:szCs w:val="19"/>
              </w:rPr>
              <w:t>F</w:t>
            </w:r>
            <w:r w:rsidR="00834D9C" w:rsidRPr="00B66A59">
              <w:rPr>
                <w:rFonts w:cs="Arial"/>
                <w:b/>
                <w:sz w:val="19"/>
                <w:szCs w:val="19"/>
              </w:rPr>
              <w:t>loor space</w:t>
            </w:r>
          </w:p>
        </w:tc>
        <w:tc>
          <w:tcPr>
            <w:tcW w:w="3942" w:type="dxa"/>
            <w:gridSpan w:val="2"/>
            <w:vAlign w:val="bottom"/>
          </w:tcPr>
          <w:p w:rsidR="00834D9C" w:rsidRPr="00B66A59" w:rsidRDefault="00834D9C" w:rsidP="00B66A59">
            <w:pPr>
              <w:spacing w:before="20" w:after="20" w:line="240" w:lineRule="auto"/>
              <w:jc w:val="left"/>
              <w:rPr>
                <w:rFonts w:cs="Arial"/>
                <w:b/>
                <w:sz w:val="19"/>
                <w:szCs w:val="19"/>
              </w:rPr>
            </w:pPr>
            <w:r w:rsidRPr="00B66A59">
              <w:rPr>
                <w:rFonts w:cs="Arial"/>
                <w:b/>
                <w:sz w:val="19"/>
                <w:szCs w:val="19"/>
              </w:rPr>
              <w:t>Housing units</w:t>
            </w:r>
          </w:p>
        </w:tc>
      </w:tr>
      <w:tr w:rsidR="00834D9C" w:rsidRPr="008411CD" w:rsidTr="00B66A59">
        <w:tc>
          <w:tcPr>
            <w:tcW w:w="2235" w:type="dxa"/>
            <w:tcBorders>
              <w:bottom w:val="single" w:sz="18" w:space="0" w:color="auto"/>
            </w:tcBorders>
          </w:tcPr>
          <w:p w:rsidR="00834D9C" w:rsidRPr="00B66A59" w:rsidRDefault="00834D9C" w:rsidP="00B66A59">
            <w:pPr>
              <w:spacing w:before="20" w:after="20" w:line="240" w:lineRule="auto"/>
              <w:rPr>
                <w:rFonts w:cs="Arial"/>
                <w:sz w:val="19"/>
                <w:szCs w:val="19"/>
              </w:rPr>
            </w:pPr>
          </w:p>
        </w:tc>
        <w:tc>
          <w:tcPr>
            <w:tcW w:w="1706" w:type="dxa"/>
            <w:tcBorders>
              <w:bottom w:val="single" w:sz="18" w:space="0" w:color="auto"/>
            </w:tcBorders>
          </w:tcPr>
          <w:p w:rsidR="00834D9C" w:rsidRPr="00B66A59" w:rsidRDefault="00834D9C" w:rsidP="00B66A59">
            <w:pPr>
              <w:spacing w:before="20" w:after="20" w:line="240" w:lineRule="auto"/>
              <w:jc w:val="left"/>
              <w:rPr>
                <w:rFonts w:cs="Arial"/>
                <w:b/>
                <w:sz w:val="19"/>
                <w:szCs w:val="19"/>
              </w:rPr>
            </w:pPr>
            <w:r w:rsidRPr="00B66A59">
              <w:rPr>
                <w:rFonts w:cs="Arial"/>
                <w:b/>
                <w:sz w:val="19"/>
                <w:szCs w:val="19"/>
              </w:rPr>
              <w:t>m</w:t>
            </w:r>
            <w:r w:rsidRPr="00B66A59">
              <w:rPr>
                <w:rFonts w:cs="Arial"/>
                <w:b/>
                <w:sz w:val="19"/>
                <w:szCs w:val="19"/>
                <w:vertAlign w:val="superscript"/>
              </w:rPr>
              <w:t>2</w:t>
            </w:r>
          </w:p>
        </w:tc>
        <w:tc>
          <w:tcPr>
            <w:tcW w:w="1971" w:type="dxa"/>
            <w:tcBorders>
              <w:bottom w:val="single" w:sz="18" w:space="0" w:color="auto"/>
            </w:tcBorders>
          </w:tcPr>
          <w:p w:rsidR="00834D9C" w:rsidRPr="00B66A59" w:rsidRDefault="00834D9C" w:rsidP="00B66A59">
            <w:pPr>
              <w:spacing w:before="20" w:after="20" w:line="240" w:lineRule="auto"/>
              <w:jc w:val="left"/>
              <w:rPr>
                <w:rFonts w:cs="Arial"/>
                <w:b/>
                <w:sz w:val="19"/>
                <w:szCs w:val="19"/>
              </w:rPr>
            </w:pPr>
            <w:r w:rsidRPr="00B66A59">
              <w:rPr>
                <w:rFonts w:cs="Arial"/>
                <w:b/>
                <w:sz w:val="19"/>
                <w:szCs w:val="19"/>
              </w:rPr>
              <w:t>per 1,000 res</w:t>
            </w:r>
            <w:r w:rsidRPr="00B66A59">
              <w:rPr>
                <w:rFonts w:cs="Arial"/>
                <w:b/>
                <w:sz w:val="19"/>
                <w:szCs w:val="19"/>
              </w:rPr>
              <w:t>i</w:t>
            </w:r>
            <w:r w:rsidRPr="00B66A59">
              <w:rPr>
                <w:rFonts w:cs="Arial"/>
                <w:b/>
                <w:sz w:val="19"/>
                <w:szCs w:val="19"/>
              </w:rPr>
              <w:t>dents</w:t>
            </w:r>
          </w:p>
        </w:tc>
        <w:tc>
          <w:tcPr>
            <w:tcW w:w="1971" w:type="dxa"/>
            <w:tcBorders>
              <w:bottom w:val="single" w:sz="18" w:space="0" w:color="auto"/>
            </w:tcBorders>
          </w:tcPr>
          <w:p w:rsidR="00834D9C" w:rsidRPr="00B66A59" w:rsidRDefault="00834D9C" w:rsidP="00B66A59">
            <w:pPr>
              <w:spacing w:before="20" w:after="20" w:line="240" w:lineRule="auto"/>
              <w:jc w:val="left"/>
              <w:rPr>
                <w:rFonts w:cs="Arial"/>
                <w:b/>
                <w:sz w:val="19"/>
                <w:szCs w:val="19"/>
              </w:rPr>
            </w:pPr>
            <w:r w:rsidRPr="00B66A59">
              <w:rPr>
                <w:rFonts w:cs="Arial"/>
                <w:b/>
                <w:sz w:val="19"/>
                <w:szCs w:val="19"/>
              </w:rPr>
              <w:t>no</w:t>
            </w:r>
          </w:p>
        </w:tc>
        <w:tc>
          <w:tcPr>
            <w:tcW w:w="1971" w:type="dxa"/>
            <w:tcBorders>
              <w:bottom w:val="single" w:sz="18" w:space="0" w:color="auto"/>
            </w:tcBorders>
          </w:tcPr>
          <w:p w:rsidR="00834D9C" w:rsidRPr="00B66A59" w:rsidRDefault="00834D9C" w:rsidP="00B66A59">
            <w:pPr>
              <w:spacing w:before="20" w:after="20" w:line="240" w:lineRule="auto"/>
              <w:jc w:val="left"/>
              <w:rPr>
                <w:rFonts w:cs="Arial"/>
                <w:b/>
                <w:sz w:val="19"/>
                <w:szCs w:val="19"/>
              </w:rPr>
            </w:pPr>
            <w:r w:rsidRPr="00B66A59">
              <w:rPr>
                <w:rFonts w:cs="Arial"/>
                <w:b/>
                <w:sz w:val="19"/>
                <w:szCs w:val="19"/>
              </w:rPr>
              <w:t>per 1,000 res</w:t>
            </w:r>
            <w:r w:rsidRPr="00B66A59">
              <w:rPr>
                <w:rFonts w:cs="Arial"/>
                <w:b/>
                <w:sz w:val="19"/>
                <w:szCs w:val="19"/>
              </w:rPr>
              <w:t>i</w:t>
            </w:r>
            <w:r w:rsidRPr="00B66A59">
              <w:rPr>
                <w:rFonts w:cs="Arial"/>
                <w:b/>
                <w:sz w:val="19"/>
                <w:szCs w:val="19"/>
              </w:rPr>
              <w:t>dents</w:t>
            </w:r>
          </w:p>
        </w:tc>
      </w:tr>
      <w:tr w:rsidR="00834D9C" w:rsidRPr="008411CD" w:rsidTr="00B66A59">
        <w:tc>
          <w:tcPr>
            <w:tcW w:w="2235" w:type="dxa"/>
            <w:tcBorders>
              <w:top w:val="single" w:sz="18" w:space="0" w:color="auto"/>
            </w:tcBorders>
            <w:shd w:val="clear" w:color="auto" w:fill="D9D9D9" w:themeFill="background1" w:themeFillShade="D9"/>
          </w:tcPr>
          <w:p w:rsidR="00834D9C" w:rsidRPr="00B66A59" w:rsidRDefault="00834D9C" w:rsidP="00B66A59">
            <w:pPr>
              <w:spacing w:before="20" w:after="20" w:line="240" w:lineRule="auto"/>
              <w:rPr>
                <w:rFonts w:cs="Arial"/>
                <w:b/>
                <w:sz w:val="19"/>
                <w:szCs w:val="19"/>
              </w:rPr>
            </w:pPr>
            <w:r w:rsidRPr="00B66A59">
              <w:rPr>
                <w:rFonts w:cs="Arial"/>
                <w:b/>
                <w:sz w:val="19"/>
                <w:szCs w:val="19"/>
              </w:rPr>
              <w:t>MRI (TR310)</w:t>
            </w:r>
          </w:p>
        </w:tc>
        <w:tc>
          <w:tcPr>
            <w:tcW w:w="1706" w:type="dxa"/>
            <w:tcBorders>
              <w:top w:val="single" w:sz="18" w:space="0" w:color="auto"/>
            </w:tcBorders>
            <w:shd w:val="clear" w:color="auto" w:fill="D9D9D9" w:themeFill="background1" w:themeFillShade="D9"/>
            <w:vAlign w:val="center"/>
          </w:tcPr>
          <w:p w:rsidR="00834D9C" w:rsidRPr="00B66A59" w:rsidRDefault="00834D9C" w:rsidP="00B66A59">
            <w:pPr>
              <w:spacing w:before="20" w:after="20" w:line="240" w:lineRule="auto"/>
              <w:jc w:val="right"/>
              <w:rPr>
                <w:rFonts w:cs="Arial"/>
                <w:sz w:val="19"/>
                <w:szCs w:val="19"/>
              </w:rPr>
            </w:pPr>
            <w:r w:rsidRPr="00B66A59">
              <w:rPr>
                <w:rFonts w:cs="Arial"/>
                <w:sz w:val="19"/>
                <w:szCs w:val="19"/>
              </w:rPr>
              <w:t>5,445,364</w:t>
            </w:r>
          </w:p>
        </w:tc>
        <w:tc>
          <w:tcPr>
            <w:tcW w:w="1971" w:type="dxa"/>
            <w:tcBorders>
              <w:top w:val="single" w:sz="18" w:space="0" w:color="auto"/>
            </w:tcBorders>
            <w:shd w:val="clear" w:color="auto" w:fill="D9D9D9" w:themeFill="background1" w:themeFillShade="D9"/>
            <w:vAlign w:val="center"/>
          </w:tcPr>
          <w:p w:rsidR="00834D9C" w:rsidRPr="00B66A59" w:rsidRDefault="007456D5" w:rsidP="00B66A59">
            <w:pPr>
              <w:spacing w:before="20" w:after="20" w:line="240" w:lineRule="auto"/>
              <w:jc w:val="right"/>
              <w:rPr>
                <w:rFonts w:cs="Arial"/>
                <w:sz w:val="19"/>
                <w:szCs w:val="19"/>
              </w:rPr>
            </w:pPr>
            <w:r w:rsidRPr="00B66A59">
              <w:rPr>
                <w:rFonts w:cs="Arial"/>
                <w:sz w:val="19"/>
                <w:szCs w:val="19"/>
              </w:rPr>
              <w:t>1340.</w:t>
            </w:r>
            <w:r w:rsidR="00834D9C" w:rsidRPr="00B66A59">
              <w:rPr>
                <w:rFonts w:cs="Arial"/>
                <w:sz w:val="19"/>
                <w:szCs w:val="19"/>
              </w:rPr>
              <w:t>87</w:t>
            </w:r>
          </w:p>
        </w:tc>
        <w:tc>
          <w:tcPr>
            <w:tcW w:w="1971" w:type="dxa"/>
            <w:tcBorders>
              <w:top w:val="single" w:sz="18" w:space="0" w:color="auto"/>
            </w:tcBorders>
            <w:shd w:val="clear" w:color="auto" w:fill="D9D9D9" w:themeFill="background1" w:themeFillShade="D9"/>
            <w:vAlign w:val="center"/>
          </w:tcPr>
          <w:p w:rsidR="00834D9C" w:rsidRPr="00B66A59" w:rsidRDefault="00834D9C" w:rsidP="00B66A59">
            <w:pPr>
              <w:spacing w:before="20" w:after="20" w:line="240" w:lineRule="auto"/>
              <w:jc w:val="right"/>
              <w:rPr>
                <w:rFonts w:cs="Arial"/>
                <w:sz w:val="19"/>
                <w:szCs w:val="19"/>
              </w:rPr>
            </w:pPr>
            <w:r w:rsidRPr="00B66A59">
              <w:rPr>
                <w:rFonts w:cs="Arial"/>
                <w:sz w:val="19"/>
                <w:szCs w:val="19"/>
              </w:rPr>
              <w:t>39,380</w:t>
            </w:r>
          </w:p>
        </w:tc>
        <w:tc>
          <w:tcPr>
            <w:tcW w:w="1971" w:type="dxa"/>
            <w:tcBorders>
              <w:top w:val="single" w:sz="18" w:space="0" w:color="auto"/>
            </w:tcBorders>
            <w:shd w:val="clear" w:color="auto" w:fill="D9D9D9" w:themeFill="background1" w:themeFillShade="D9"/>
            <w:vAlign w:val="center"/>
          </w:tcPr>
          <w:p w:rsidR="00834D9C" w:rsidRPr="00B66A59" w:rsidRDefault="00834D9C" w:rsidP="00B66A59">
            <w:pPr>
              <w:spacing w:before="20" w:after="20" w:line="240" w:lineRule="auto"/>
              <w:jc w:val="right"/>
              <w:rPr>
                <w:rFonts w:cs="Arial"/>
                <w:sz w:val="19"/>
                <w:szCs w:val="19"/>
              </w:rPr>
            </w:pPr>
            <w:r w:rsidRPr="00B66A59">
              <w:rPr>
                <w:rFonts w:cs="Arial"/>
                <w:sz w:val="19"/>
                <w:szCs w:val="19"/>
              </w:rPr>
              <w:t>9.7</w:t>
            </w:r>
          </w:p>
        </w:tc>
      </w:tr>
      <w:tr w:rsidR="00834D9C" w:rsidRPr="008411CD" w:rsidTr="008411CD">
        <w:tc>
          <w:tcPr>
            <w:tcW w:w="2235" w:type="dxa"/>
          </w:tcPr>
          <w:p w:rsidR="00834D9C" w:rsidRPr="00B66A59" w:rsidRDefault="00834D9C" w:rsidP="00B66A59">
            <w:pPr>
              <w:spacing w:before="20" w:after="20" w:line="240" w:lineRule="auto"/>
              <w:rPr>
                <w:rFonts w:cs="Arial"/>
                <w:b/>
                <w:sz w:val="19"/>
                <w:szCs w:val="19"/>
              </w:rPr>
            </w:pPr>
            <w:r w:rsidRPr="00B66A59">
              <w:rPr>
                <w:rFonts w:cs="Arial"/>
                <w:b/>
                <w:sz w:val="19"/>
                <w:szCs w:val="19"/>
              </w:rPr>
              <w:t>MR Ankara</w:t>
            </w:r>
            <w:r w:rsidR="008411CD" w:rsidRPr="00B66A59">
              <w:rPr>
                <w:rFonts w:cs="Arial"/>
                <w:b/>
                <w:sz w:val="19"/>
                <w:szCs w:val="19"/>
              </w:rPr>
              <w:t xml:space="preserve"> (TR510)</w:t>
            </w:r>
          </w:p>
        </w:tc>
        <w:tc>
          <w:tcPr>
            <w:tcW w:w="1706" w:type="dxa"/>
            <w:vAlign w:val="center"/>
          </w:tcPr>
          <w:p w:rsidR="00834D9C" w:rsidRPr="00B66A59" w:rsidRDefault="00834D9C" w:rsidP="00B66A59">
            <w:pPr>
              <w:spacing w:before="20" w:after="20" w:line="240" w:lineRule="auto"/>
              <w:jc w:val="right"/>
              <w:rPr>
                <w:rFonts w:cs="Arial"/>
                <w:sz w:val="19"/>
                <w:szCs w:val="19"/>
              </w:rPr>
            </w:pPr>
            <w:r w:rsidRPr="00B66A59">
              <w:rPr>
                <w:rStyle w:val="c22"/>
                <w:sz w:val="19"/>
                <w:szCs w:val="19"/>
              </w:rPr>
              <w:t>14,721,097</w:t>
            </w:r>
          </w:p>
        </w:tc>
        <w:tc>
          <w:tcPr>
            <w:tcW w:w="1971" w:type="dxa"/>
            <w:vAlign w:val="center"/>
          </w:tcPr>
          <w:p w:rsidR="00834D9C" w:rsidRPr="00B66A59" w:rsidRDefault="007456D5" w:rsidP="00B66A59">
            <w:pPr>
              <w:spacing w:before="20" w:after="20" w:line="240" w:lineRule="auto"/>
              <w:jc w:val="right"/>
              <w:rPr>
                <w:rFonts w:cs="Arial"/>
                <w:sz w:val="19"/>
                <w:szCs w:val="19"/>
              </w:rPr>
            </w:pPr>
            <w:r w:rsidRPr="00B66A59">
              <w:rPr>
                <w:rFonts w:cs="Arial"/>
                <w:sz w:val="19"/>
                <w:szCs w:val="19"/>
              </w:rPr>
              <w:t>2917.91</w:t>
            </w:r>
          </w:p>
        </w:tc>
        <w:tc>
          <w:tcPr>
            <w:tcW w:w="1971" w:type="dxa"/>
            <w:vAlign w:val="center"/>
          </w:tcPr>
          <w:p w:rsidR="00834D9C" w:rsidRPr="00B66A59" w:rsidRDefault="00834D9C" w:rsidP="00B66A59">
            <w:pPr>
              <w:spacing w:before="20" w:after="20" w:line="240" w:lineRule="auto"/>
              <w:jc w:val="right"/>
              <w:rPr>
                <w:rFonts w:cs="Arial"/>
                <w:sz w:val="19"/>
                <w:szCs w:val="19"/>
              </w:rPr>
            </w:pPr>
            <w:r w:rsidRPr="00B66A59">
              <w:rPr>
                <w:rStyle w:val="c22"/>
                <w:sz w:val="19"/>
                <w:szCs w:val="19"/>
              </w:rPr>
              <w:t>78,192</w:t>
            </w:r>
          </w:p>
        </w:tc>
        <w:tc>
          <w:tcPr>
            <w:tcW w:w="1971" w:type="dxa"/>
            <w:vAlign w:val="center"/>
          </w:tcPr>
          <w:p w:rsidR="00834D9C" w:rsidRPr="00B66A59" w:rsidRDefault="007456D5" w:rsidP="00B66A59">
            <w:pPr>
              <w:spacing w:before="20" w:after="20" w:line="240" w:lineRule="auto"/>
              <w:jc w:val="right"/>
              <w:rPr>
                <w:rFonts w:cs="Arial"/>
                <w:sz w:val="19"/>
                <w:szCs w:val="19"/>
              </w:rPr>
            </w:pPr>
            <w:r w:rsidRPr="00B66A59">
              <w:rPr>
                <w:rFonts w:cs="Arial"/>
                <w:sz w:val="19"/>
                <w:szCs w:val="19"/>
              </w:rPr>
              <w:t>15.5</w:t>
            </w:r>
          </w:p>
        </w:tc>
      </w:tr>
      <w:tr w:rsidR="00834D9C" w:rsidRPr="008411CD" w:rsidTr="00B66A59">
        <w:tc>
          <w:tcPr>
            <w:tcW w:w="2235" w:type="dxa"/>
            <w:shd w:val="clear" w:color="auto" w:fill="D9D9D9" w:themeFill="background1" w:themeFillShade="D9"/>
          </w:tcPr>
          <w:p w:rsidR="00834D9C" w:rsidRPr="00B66A59" w:rsidRDefault="00834D9C" w:rsidP="00B66A59">
            <w:pPr>
              <w:spacing w:before="20" w:after="20" w:line="240" w:lineRule="auto"/>
              <w:rPr>
                <w:rFonts w:cs="Arial"/>
                <w:b/>
                <w:sz w:val="19"/>
                <w:szCs w:val="19"/>
              </w:rPr>
            </w:pPr>
            <w:r w:rsidRPr="00B66A59">
              <w:rPr>
                <w:rFonts w:cs="Arial"/>
                <w:b/>
                <w:sz w:val="19"/>
                <w:szCs w:val="19"/>
              </w:rPr>
              <w:t>M</w:t>
            </w:r>
            <w:r w:rsidR="008411CD" w:rsidRPr="00B66A59">
              <w:rPr>
                <w:rFonts w:cs="Arial"/>
                <w:b/>
                <w:sz w:val="19"/>
                <w:szCs w:val="19"/>
              </w:rPr>
              <w:t>R</w:t>
            </w:r>
            <w:r w:rsidRPr="00B66A59">
              <w:rPr>
                <w:rFonts w:cs="Arial"/>
                <w:b/>
                <w:sz w:val="19"/>
                <w:szCs w:val="19"/>
              </w:rPr>
              <w:t xml:space="preserve"> Istanbul</w:t>
            </w:r>
            <w:r w:rsidR="008411CD" w:rsidRPr="00B66A59">
              <w:rPr>
                <w:rFonts w:cs="Arial"/>
                <w:b/>
                <w:sz w:val="19"/>
                <w:szCs w:val="19"/>
              </w:rPr>
              <w:t xml:space="preserve"> (TR 100)</w:t>
            </w:r>
          </w:p>
        </w:tc>
        <w:tc>
          <w:tcPr>
            <w:tcW w:w="1706" w:type="dxa"/>
            <w:shd w:val="clear" w:color="auto" w:fill="D9D9D9" w:themeFill="background1" w:themeFillShade="D9"/>
            <w:vAlign w:val="center"/>
          </w:tcPr>
          <w:p w:rsidR="00834D9C" w:rsidRPr="00B66A59" w:rsidRDefault="008411CD" w:rsidP="00B66A59">
            <w:pPr>
              <w:spacing w:before="20" w:after="20" w:line="240" w:lineRule="auto"/>
              <w:jc w:val="right"/>
              <w:rPr>
                <w:rFonts w:cs="Arial"/>
                <w:sz w:val="19"/>
                <w:szCs w:val="19"/>
              </w:rPr>
            </w:pPr>
            <w:r w:rsidRPr="00B66A59">
              <w:rPr>
                <w:rFonts w:cs="Arial"/>
                <w:sz w:val="19"/>
                <w:szCs w:val="19"/>
              </w:rPr>
              <w:t>21,727,004</w:t>
            </w:r>
          </w:p>
        </w:tc>
        <w:tc>
          <w:tcPr>
            <w:tcW w:w="1971" w:type="dxa"/>
            <w:shd w:val="clear" w:color="auto" w:fill="D9D9D9" w:themeFill="background1" w:themeFillShade="D9"/>
            <w:vAlign w:val="center"/>
          </w:tcPr>
          <w:p w:rsidR="00834D9C" w:rsidRPr="00B66A59" w:rsidRDefault="008411CD" w:rsidP="00B66A59">
            <w:pPr>
              <w:spacing w:before="20" w:after="20" w:line="240" w:lineRule="auto"/>
              <w:jc w:val="right"/>
              <w:rPr>
                <w:rFonts w:cs="Arial"/>
                <w:sz w:val="19"/>
                <w:szCs w:val="19"/>
              </w:rPr>
            </w:pPr>
            <w:r w:rsidRPr="00B66A59">
              <w:rPr>
                <w:rFonts w:cs="Arial"/>
                <w:sz w:val="19"/>
                <w:szCs w:val="19"/>
              </w:rPr>
              <w:t>1534.34</w:t>
            </w:r>
          </w:p>
        </w:tc>
        <w:tc>
          <w:tcPr>
            <w:tcW w:w="1971" w:type="dxa"/>
            <w:shd w:val="clear" w:color="auto" w:fill="D9D9D9" w:themeFill="background1" w:themeFillShade="D9"/>
            <w:vAlign w:val="center"/>
          </w:tcPr>
          <w:p w:rsidR="00834D9C" w:rsidRPr="00B66A59" w:rsidRDefault="008411CD" w:rsidP="00B66A59">
            <w:pPr>
              <w:spacing w:before="20" w:after="20" w:line="240" w:lineRule="auto"/>
              <w:jc w:val="right"/>
              <w:rPr>
                <w:rFonts w:cs="Arial"/>
                <w:sz w:val="19"/>
                <w:szCs w:val="19"/>
              </w:rPr>
            </w:pPr>
            <w:r w:rsidRPr="00B66A59">
              <w:rPr>
                <w:rFonts w:cs="Arial"/>
                <w:sz w:val="19"/>
                <w:szCs w:val="19"/>
              </w:rPr>
              <w:t>153,182</w:t>
            </w:r>
          </w:p>
        </w:tc>
        <w:tc>
          <w:tcPr>
            <w:tcW w:w="1971" w:type="dxa"/>
            <w:shd w:val="clear" w:color="auto" w:fill="D9D9D9" w:themeFill="background1" w:themeFillShade="D9"/>
            <w:vAlign w:val="center"/>
          </w:tcPr>
          <w:p w:rsidR="00834D9C" w:rsidRPr="00B66A59" w:rsidRDefault="008411CD" w:rsidP="00B66A59">
            <w:pPr>
              <w:spacing w:before="20" w:after="20" w:line="240" w:lineRule="auto"/>
              <w:jc w:val="right"/>
              <w:rPr>
                <w:rFonts w:cs="Arial"/>
                <w:sz w:val="19"/>
                <w:szCs w:val="19"/>
              </w:rPr>
            </w:pPr>
            <w:r w:rsidRPr="00B66A59">
              <w:rPr>
                <w:rFonts w:cs="Arial"/>
                <w:sz w:val="19"/>
                <w:szCs w:val="19"/>
              </w:rPr>
              <w:t>10.8</w:t>
            </w:r>
          </w:p>
        </w:tc>
      </w:tr>
      <w:tr w:rsidR="00834D9C" w:rsidRPr="008411CD" w:rsidTr="008411CD">
        <w:tc>
          <w:tcPr>
            <w:tcW w:w="2235" w:type="dxa"/>
          </w:tcPr>
          <w:p w:rsidR="00834D9C" w:rsidRPr="00B66A59" w:rsidRDefault="00834D9C" w:rsidP="00B66A59">
            <w:pPr>
              <w:spacing w:before="20" w:after="20" w:line="240" w:lineRule="auto"/>
              <w:rPr>
                <w:rFonts w:cs="Arial"/>
                <w:b/>
                <w:sz w:val="19"/>
                <w:szCs w:val="19"/>
              </w:rPr>
            </w:pPr>
            <w:r w:rsidRPr="00B66A59">
              <w:rPr>
                <w:rFonts w:cs="Arial"/>
                <w:b/>
                <w:sz w:val="19"/>
                <w:szCs w:val="19"/>
              </w:rPr>
              <w:t>Turkey</w:t>
            </w:r>
          </w:p>
        </w:tc>
        <w:tc>
          <w:tcPr>
            <w:tcW w:w="1706" w:type="dxa"/>
            <w:vAlign w:val="center"/>
          </w:tcPr>
          <w:p w:rsidR="00834D9C" w:rsidRPr="00B66A59" w:rsidRDefault="006C01E9" w:rsidP="00B66A59">
            <w:pPr>
              <w:spacing w:before="20" w:after="20" w:line="240" w:lineRule="auto"/>
              <w:jc w:val="right"/>
              <w:rPr>
                <w:rFonts w:cs="Arial"/>
                <w:sz w:val="19"/>
                <w:szCs w:val="19"/>
              </w:rPr>
            </w:pPr>
            <w:r w:rsidRPr="00B66A59">
              <w:rPr>
                <w:rFonts w:cs="Arial"/>
                <w:sz w:val="19"/>
                <w:szCs w:val="19"/>
              </w:rPr>
              <w:t>127,689,378</w:t>
            </w:r>
          </w:p>
        </w:tc>
        <w:tc>
          <w:tcPr>
            <w:tcW w:w="1971" w:type="dxa"/>
            <w:vAlign w:val="center"/>
          </w:tcPr>
          <w:p w:rsidR="00834D9C" w:rsidRPr="00B66A59" w:rsidRDefault="006C01E9" w:rsidP="00B66A59">
            <w:pPr>
              <w:spacing w:before="20" w:after="20" w:line="240" w:lineRule="auto"/>
              <w:jc w:val="right"/>
              <w:rPr>
                <w:rFonts w:cs="Arial"/>
                <w:sz w:val="19"/>
                <w:szCs w:val="19"/>
              </w:rPr>
            </w:pPr>
            <w:r w:rsidRPr="00B66A59">
              <w:rPr>
                <w:rFonts w:cs="Arial"/>
                <w:sz w:val="19"/>
                <w:szCs w:val="19"/>
              </w:rPr>
              <w:t>1665.49</w:t>
            </w:r>
          </w:p>
        </w:tc>
        <w:tc>
          <w:tcPr>
            <w:tcW w:w="1971" w:type="dxa"/>
            <w:vAlign w:val="center"/>
          </w:tcPr>
          <w:p w:rsidR="00834D9C" w:rsidRPr="00B66A59" w:rsidRDefault="006C01E9" w:rsidP="00B66A59">
            <w:pPr>
              <w:spacing w:before="20" w:after="20" w:line="240" w:lineRule="auto"/>
              <w:jc w:val="right"/>
              <w:rPr>
                <w:rFonts w:cs="Arial"/>
                <w:sz w:val="19"/>
                <w:szCs w:val="19"/>
              </w:rPr>
            </w:pPr>
            <w:r w:rsidRPr="00B66A59">
              <w:rPr>
                <w:rFonts w:cs="Arial"/>
                <w:sz w:val="19"/>
                <w:szCs w:val="19"/>
              </w:rPr>
              <w:t>810,817</w:t>
            </w:r>
          </w:p>
        </w:tc>
        <w:tc>
          <w:tcPr>
            <w:tcW w:w="1971" w:type="dxa"/>
            <w:vAlign w:val="center"/>
          </w:tcPr>
          <w:p w:rsidR="00834D9C" w:rsidRPr="00B66A59" w:rsidRDefault="006C01E9" w:rsidP="00B66A59">
            <w:pPr>
              <w:spacing w:before="20" w:after="20" w:line="240" w:lineRule="auto"/>
              <w:jc w:val="right"/>
              <w:rPr>
                <w:rFonts w:cs="Arial"/>
                <w:sz w:val="19"/>
                <w:szCs w:val="19"/>
              </w:rPr>
            </w:pPr>
            <w:r w:rsidRPr="00B66A59">
              <w:rPr>
                <w:rFonts w:cs="Arial"/>
                <w:sz w:val="19"/>
                <w:szCs w:val="19"/>
              </w:rPr>
              <w:t>10.6</w:t>
            </w:r>
          </w:p>
        </w:tc>
      </w:tr>
    </w:tbl>
    <w:p w:rsidR="00834D9C" w:rsidRDefault="00812CE3" w:rsidP="00E03D23">
      <w:pPr>
        <w:spacing w:line="360" w:lineRule="exact"/>
        <w:rPr>
          <w:rFonts w:cs="Arial"/>
          <w:sz w:val="16"/>
          <w:szCs w:val="16"/>
        </w:rPr>
      </w:pPr>
      <w:r w:rsidRPr="00B66A59">
        <w:rPr>
          <w:rFonts w:cs="Arial"/>
          <w:b/>
          <w:sz w:val="16"/>
          <w:szCs w:val="16"/>
        </w:rPr>
        <w:t>Source:</w:t>
      </w:r>
      <w:r w:rsidRPr="00812CE3">
        <w:rPr>
          <w:rFonts w:cs="Arial"/>
          <w:sz w:val="16"/>
          <w:szCs w:val="16"/>
        </w:rPr>
        <w:t xml:space="preserve"> Turkstat</w:t>
      </w:r>
    </w:p>
    <w:p w:rsidR="00C874DD" w:rsidRDefault="00BA74BA" w:rsidP="00B66A59">
      <w:pPr>
        <w:spacing w:line="276" w:lineRule="auto"/>
        <w:rPr>
          <w:rFonts w:cs="Arial"/>
        </w:rPr>
      </w:pPr>
      <w:r>
        <w:rPr>
          <w:rFonts w:cs="Arial"/>
        </w:rPr>
        <w:lastRenderedPageBreak/>
        <w:t>The constantly increasing population caused an urban pattern that extends beyond the natural borders of the basin of the historical city</w:t>
      </w:r>
      <w:r w:rsidR="00BB1F09">
        <w:rPr>
          <w:rFonts w:cs="Arial"/>
        </w:rPr>
        <w:t xml:space="preserve"> (Unverdi et al., 2007)</w:t>
      </w:r>
      <w:r>
        <w:rPr>
          <w:rFonts w:cs="Arial"/>
        </w:rPr>
        <w:t xml:space="preserve">. </w:t>
      </w:r>
      <w:r w:rsidR="00BF608E">
        <w:rPr>
          <w:rFonts w:cs="Arial"/>
        </w:rPr>
        <w:t>Settl</w:t>
      </w:r>
      <w:r w:rsidR="00BF608E">
        <w:rPr>
          <w:rFonts w:cs="Arial"/>
        </w:rPr>
        <w:t>e</w:t>
      </w:r>
      <w:r w:rsidR="00BF608E">
        <w:rPr>
          <w:rFonts w:cs="Arial"/>
        </w:rPr>
        <w:t>ments extend outwards to every direction, mainly along linear development corridors</w:t>
      </w:r>
      <w:r w:rsidR="00BB1F09">
        <w:rPr>
          <w:rFonts w:cs="Arial"/>
        </w:rPr>
        <w:t>, resulting in disjointed urban areas</w:t>
      </w:r>
      <w:r w:rsidR="00BF608E">
        <w:rPr>
          <w:rFonts w:cs="Arial"/>
        </w:rPr>
        <w:t xml:space="preserve">. </w:t>
      </w:r>
    </w:p>
    <w:p w:rsidR="00E03D23" w:rsidRPr="00200724" w:rsidRDefault="00E03D23" w:rsidP="00B66A59">
      <w:pPr>
        <w:spacing w:line="276" w:lineRule="auto"/>
        <w:rPr>
          <w:rFonts w:cs="Arial"/>
        </w:rPr>
      </w:pPr>
      <w:r w:rsidRPr="00200724">
        <w:rPr>
          <w:rFonts w:cs="Arial"/>
        </w:rPr>
        <w:t>Izmir is not a highly segregated city and in general different social groups are e</w:t>
      </w:r>
      <w:r w:rsidRPr="00200724">
        <w:rPr>
          <w:rFonts w:cs="Arial"/>
        </w:rPr>
        <w:t>x</w:t>
      </w:r>
      <w:r w:rsidRPr="00200724">
        <w:rPr>
          <w:rFonts w:cs="Arial"/>
        </w:rPr>
        <w:t>posed to each other</w:t>
      </w:r>
      <w:r w:rsidR="00FE26C7">
        <w:rPr>
          <w:rFonts w:cs="Arial"/>
        </w:rPr>
        <w:t xml:space="preserve"> both in residential areas in public space (interview with I.S)</w:t>
      </w:r>
      <w:r w:rsidRPr="00200724">
        <w:rPr>
          <w:rFonts w:cs="Arial"/>
        </w:rPr>
        <w:t>. However, survey findings in the inner areas of Izmir indicate that these areas are l</w:t>
      </w:r>
      <w:r w:rsidRPr="00200724">
        <w:rPr>
          <w:rFonts w:cs="Arial"/>
        </w:rPr>
        <w:t>o</w:t>
      </w:r>
      <w:r w:rsidRPr="00200724">
        <w:rPr>
          <w:rFonts w:cs="Arial"/>
        </w:rPr>
        <w:t xml:space="preserve">cales at which urban poverty concentrates and that one of the important dynamics of this pattern is migration. They also point out that these areas attracted rural migrants since the 1970s, together with the tendency of the more affluent native household to relocate to suburban areas at the coastal zone. Consequently today, 76% of the households </w:t>
      </w:r>
      <w:r w:rsidR="00B535D2">
        <w:rPr>
          <w:rFonts w:cs="Arial"/>
        </w:rPr>
        <w:t>residing in</w:t>
      </w:r>
      <w:r w:rsidRPr="00200724">
        <w:rPr>
          <w:rFonts w:cs="Arial"/>
        </w:rPr>
        <w:t xml:space="preserve"> these areas had migrated from another place in the country, especially from the eastern regions of Turkey. Before the 1970s, the region that co</w:t>
      </w:r>
      <w:r w:rsidRPr="00200724">
        <w:rPr>
          <w:rFonts w:cs="Arial"/>
        </w:rPr>
        <w:t>n</w:t>
      </w:r>
      <w:r w:rsidRPr="00200724">
        <w:rPr>
          <w:rFonts w:cs="Arial"/>
        </w:rPr>
        <w:t xml:space="preserve">tributed to migration most was the Aegean region, including the province of Izmir. Yet after the 1980s, the south-eastern region of Turkey became the major contributor. </w:t>
      </w:r>
    </w:p>
    <w:p w:rsidR="00E03D23" w:rsidRPr="00200724" w:rsidRDefault="00E03D23" w:rsidP="00B66A59">
      <w:pPr>
        <w:spacing w:line="276" w:lineRule="auto"/>
        <w:rPr>
          <w:rFonts w:cs="Arial"/>
        </w:rPr>
      </w:pPr>
      <w:r w:rsidRPr="00200724">
        <w:rPr>
          <w:rFonts w:cs="Arial"/>
        </w:rPr>
        <w:t>Sixty-seven per cent of the population of these areas hold informal and marginal o</w:t>
      </w:r>
      <w:r w:rsidRPr="00200724">
        <w:rPr>
          <w:rFonts w:cs="Arial"/>
        </w:rPr>
        <w:t>c</w:t>
      </w:r>
      <w:r w:rsidRPr="00200724">
        <w:rPr>
          <w:rFonts w:cs="Arial"/>
        </w:rPr>
        <w:t>cupations and are employed in workplaces close to their neighbourhood. Thirty-three per cent of the total workers have jobs in small scale manufacturing—primarily, in textile, shoe or leather production</w:t>
      </w:r>
      <w:r w:rsidR="00B66A59">
        <w:rPr>
          <w:rFonts w:cs="Arial"/>
        </w:rPr>
        <w:t xml:space="preserve"> – </w:t>
      </w:r>
      <w:r w:rsidRPr="00200724">
        <w:rPr>
          <w:rFonts w:cs="Arial"/>
        </w:rPr>
        <w:t>and also in marginal services, such as do</w:t>
      </w:r>
      <w:r w:rsidR="00B535D2">
        <w:rPr>
          <w:rFonts w:cs="Arial"/>
        </w:rPr>
        <w:t>mestic services and street vend</w:t>
      </w:r>
      <w:r w:rsidRPr="00200724">
        <w:rPr>
          <w:rFonts w:cs="Arial"/>
        </w:rPr>
        <w:t xml:space="preserve">ing. </w:t>
      </w:r>
      <w:r w:rsidR="00B535D2" w:rsidRPr="00200724">
        <w:rPr>
          <w:rFonts w:cs="Arial"/>
        </w:rPr>
        <w:t>Forty</w:t>
      </w:r>
      <w:r w:rsidRPr="00200724">
        <w:rPr>
          <w:rFonts w:cs="Arial"/>
        </w:rPr>
        <w:t>-seven per cent have no social security. Many chi</w:t>
      </w:r>
      <w:r w:rsidRPr="00200724">
        <w:rPr>
          <w:rFonts w:cs="Arial"/>
        </w:rPr>
        <w:t>l</w:t>
      </w:r>
      <w:r w:rsidRPr="00200724">
        <w:rPr>
          <w:rFonts w:cs="Arial"/>
        </w:rPr>
        <w:t xml:space="preserve">dren living in these areas work since the age of 12. These young workers hold jobs mostly in small-scale production manufacturers. This also suggests that teenagers stop their school education usually around the age of 15, which adds to the lack of social security for the labour force. This prevents further the chances of educating and then integrating these young workers to the formal labour force. Today, initiatives and projects aiming to upgrade the physical structures of the central city, especially close to the touristic points, menace to dislocate the less privileged from the area. </w:t>
      </w:r>
    </w:p>
    <w:p w:rsidR="000D18C6" w:rsidRDefault="00E03D23" w:rsidP="00B66A59">
      <w:pPr>
        <w:spacing w:line="276" w:lineRule="auto"/>
        <w:rPr>
          <w:rFonts w:cs="Arial"/>
        </w:rPr>
      </w:pPr>
      <w:r w:rsidRPr="00200724">
        <w:rPr>
          <w:rFonts w:cs="Arial"/>
        </w:rPr>
        <w:t xml:space="preserve">On the other hand, the conditions of poverty and social exclusion at the outskirts of the city, where touristic destinations and affluent peri-urban areas develop amongst the dynamic </w:t>
      </w:r>
      <w:r w:rsidRPr="00200724">
        <w:rPr>
          <w:rFonts w:cs="Arial"/>
          <w:i/>
          <w:iCs/>
        </w:rPr>
        <w:t xml:space="preserve">Gecekondu </w:t>
      </w:r>
      <w:r w:rsidRPr="00200724">
        <w:rPr>
          <w:rFonts w:cs="Arial"/>
        </w:rPr>
        <w:t>(meaning ‘‘landed overnight’’ in Turkish, Uzun et al.</w:t>
      </w:r>
      <w:r w:rsidR="00095A80">
        <w:rPr>
          <w:rFonts w:cs="Arial"/>
        </w:rPr>
        <w:t>,</w:t>
      </w:r>
      <w:r w:rsidRPr="00200724">
        <w:rPr>
          <w:rFonts w:cs="Arial"/>
        </w:rPr>
        <w:t xml:space="preserve"> 2010)</w:t>
      </w:r>
      <w:r w:rsidRPr="00200724">
        <w:rPr>
          <w:rFonts w:cs="Arial"/>
          <w:i/>
          <w:iCs/>
        </w:rPr>
        <w:t xml:space="preserve"> </w:t>
      </w:r>
      <w:r w:rsidR="00FE6C7B" w:rsidRPr="00200724">
        <w:rPr>
          <w:rFonts w:cs="Arial"/>
        </w:rPr>
        <w:t>neighbourhoods</w:t>
      </w:r>
      <w:r w:rsidRPr="00200724">
        <w:rPr>
          <w:rFonts w:cs="Arial"/>
        </w:rPr>
        <w:t xml:space="preserve"> are possibly more complex. </w:t>
      </w:r>
      <w:r w:rsidR="00007D9E">
        <w:rPr>
          <w:rFonts w:cs="Arial"/>
        </w:rPr>
        <w:t>Gecekondu</w:t>
      </w:r>
      <w:r w:rsidRPr="00200724">
        <w:rPr>
          <w:rFonts w:cs="Arial"/>
        </w:rPr>
        <w:t xml:space="preserve"> areas developed in the u</w:t>
      </w:r>
      <w:r w:rsidRPr="00200724">
        <w:rPr>
          <w:rFonts w:cs="Arial"/>
        </w:rPr>
        <w:t>r</w:t>
      </w:r>
      <w:r w:rsidRPr="00200724">
        <w:rPr>
          <w:rFonts w:cs="Arial"/>
        </w:rPr>
        <w:t>ban fringes</w:t>
      </w:r>
      <w:r w:rsidR="003B6A33">
        <w:rPr>
          <w:rFonts w:cs="Arial"/>
        </w:rPr>
        <w:t xml:space="preserve"> and particularly on government-owned land</w:t>
      </w:r>
      <w:r w:rsidRPr="00200724">
        <w:rPr>
          <w:rFonts w:cs="Arial"/>
        </w:rPr>
        <w:t xml:space="preserve">, as housing opportunities in the inner city were no longer enough for the internal migrants. </w:t>
      </w:r>
      <w:r w:rsidR="000D18C6">
        <w:rPr>
          <w:rFonts w:cs="Arial"/>
        </w:rPr>
        <w:t xml:space="preserve">They are </w:t>
      </w:r>
      <w:r w:rsidR="000D18C6" w:rsidRPr="000D18C6">
        <w:rPr>
          <w:rFonts w:cs="Arial"/>
        </w:rPr>
        <w:t>usually over-crowded</w:t>
      </w:r>
      <w:r w:rsidR="000D18C6">
        <w:rPr>
          <w:rFonts w:cs="Arial"/>
        </w:rPr>
        <w:t>, unsafe, temporary, unhygienic and</w:t>
      </w:r>
      <w:r w:rsidR="000D18C6" w:rsidRPr="000D18C6">
        <w:rPr>
          <w:rFonts w:cs="Arial"/>
        </w:rPr>
        <w:t xml:space="preserve"> probably illegal</w:t>
      </w:r>
      <w:r w:rsidR="000D18C6">
        <w:rPr>
          <w:rFonts w:cs="Arial"/>
        </w:rPr>
        <w:t xml:space="preserve"> (</w:t>
      </w:r>
      <w:r w:rsidR="00095A80">
        <w:rPr>
          <w:rFonts w:cs="Arial"/>
        </w:rPr>
        <w:t>Uzun et al.</w:t>
      </w:r>
      <w:r w:rsidR="00C71A60">
        <w:rPr>
          <w:rFonts w:cs="Arial"/>
        </w:rPr>
        <w:t>,</w:t>
      </w:r>
      <w:r w:rsidR="000D18C6">
        <w:rPr>
          <w:rFonts w:cs="Arial"/>
        </w:rPr>
        <w:t xml:space="preserve"> 2010). </w:t>
      </w:r>
      <w:r w:rsidR="00B35379">
        <w:rPr>
          <w:rFonts w:cs="Arial"/>
        </w:rPr>
        <w:t>E</w:t>
      </w:r>
      <w:r w:rsidR="00B35379">
        <w:rPr>
          <w:rFonts w:cs="Arial"/>
        </w:rPr>
        <w:t>x</w:t>
      </w:r>
      <w:r w:rsidR="00B35379">
        <w:rPr>
          <w:rFonts w:cs="Arial"/>
        </w:rPr>
        <w:t>amples of spontaneous architecture and spatial “planning</w:t>
      </w:r>
      <w:r w:rsidR="00B35379" w:rsidRPr="00B35379">
        <w:rPr>
          <w:rFonts w:cs="Arial"/>
        </w:rPr>
        <w:t>, gecekondus were then turned into ‘squatter towns’</w:t>
      </w:r>
      <w:r w:rsidR="00B35379">
        <w:rPr>
          <w:rFonts w:cs="Arial"/>
        </w:rPr>
        <w:t xml:space="preserve"> surrounding cities.</w:t>
      </w:r>
      <w:r w:rsidR="00C71A60">
        <w:rPr>
          <w:rFonts w:cs="Arial"/>
        </w:rPr>
        <w:t xml:space="preserve"> Legalization rules were adopted in the early 1980s as a method to improve housing and settlement conditions, but the r</w:t>
      </w:r>
      <w:r w:rsidR="00C71A60">
        <w:rPr>
          <w:rFonts w:cs="Arial"/>
        </w:rPr>
        <w:t>e</w:t>
      </w:r>
      <w:r w:rsidR="00C71A60">
        <w:rPr>
          <w:rFonts w:cs="Arial"/>
        </w:rPr>
        <w:t xml:space="preserve">sults were generally poor, apart from sporadic transformations. Moreover, ongoing urban development means that the relative position of Gecekondus at the outskirts of the city altered, bringing the problem in the urban cores </w:t>
      </w:r>
      <w:r w:rsidR="00C71A60" w:rsidRPr="00C71A60">
        <w:rPr>
          <w:rFonts w:cs="Arial"/>
        </w:rPr>
        <w:t>(Kaya &amp; Zengel, 2005</w:t>
      </w:r>
      <w:r w:rsidR="00C71A60">
        <w:rPr>
          <w:rFonts w:cs="Arial"/>
        </w:rPr>
        <w:t xml:space="preserve">, cited by </w:t>
      </w:r>
      <w:r w:rsidR="00095A80">
        <w:rPr>
          <w:rFonts w:cs="Arial"/>
        </w:rPr>
        <w:t>Uzun et al.,</w:t>
      </w:r>
      <w:r w:rsidR="00C71A60">
        <w:rPr>
          <w:rFonts w:cs="Arial"/>
        </w:rPr>
        <w:t xml:space="preserve"> 2010)</w:t>
      </w:r>
      <w:r w:rsidR="00F3665E">
        <w:rPr>
          <w:rFonts w:cs="Arial"/>
        </w:rPr>
        <w:t>.</w:t>
      </w:r>
      <w:r w:rsidR="00751F58">
        <w:rPr>
          <w:rFonts w:cs="Arial"/>
        </w:rPr>
        <w:t xml:space="preserve"> In some cases local communities resist the rehabilitation plans that are promoted by local authorities.</w:t>
      </w:r>
    </w:p>
    <w:p w:rsidR="00E03D23" w:rsidRPr="00200724" w:rsidRDefault="00E03D23" w:rsidP="00B66A59">
      <w:pPr>
        <w:spacing w:line="276" w:lineRule="auto"/>
        <w:rPr>
          <w:rFonts w:cs="Arial"/>
        </w:rPr>
      </w:pPr>
      <w:r w:rsidRPr="00200724">
        <w:rPr>
          <w:rFonts w:cs="Arial"/>
        </w:rPr>
        <w:t>Both in the inner city and in the periphery internal migrants tend to concentrate in re</w:t>
      </w:r>
      <w:r w:rsidRPr="00200724">
        <w:rPr>
          <w:rFonts w:cs="Arial"/>
        </w:rPr>
        <w:t>s</w:t>
      </w:r>
      <w:r w:rsidRPr="00200724">
        <w:rPr>
          <w:rFonts w:cs="Arial"/>
        </w:rPr>
        <w:t>idential areas according to common places of origin</w:t>
      </w:r>
      <w:r w:rsidR="00936127">
        <w:rPr>
          <w:rFonts w:cs="Arial"/>
        </w:rPr>
        <w:t xml:space="preserve"> (interview with I.S.</w:t>
      </w:r>
      <w:r w:rsidR="00B215CE">
        <w:rPr>
          <w:rFonts w:cs="Arial"/>
        </w:rPr>
        <w:t>, Unverdi et al., 2007</w:t>
      </w:r>
      <w:r w:rsidR="00936127">
        <w:rPr>
          <w:rFonts w:cs="Arial"/>
        </w:rPr>
        <w:t>)</w:t>
      </w:r>
      <w:r w:rsidRPr="00200724">
        <w:rPr>
          <w:rFonts w:cs="Arial"/>
        </w:rPr>
        <w:t xml:space="preserve">. This kind of congregation helps to maintain strong family and community </w:t>
      </w:r>
      <w:r w:rsidRPr="00200724">
        <w:rPr>
          <w:rFonts w:cs="Arial"/>
        </w:rPr>
        <w:lastRenderedPageBreak/>
        <w:t>ties. At the same time, intergenerational social mobility brought about important transformations in the squatter areas, with new apartments being added to the ve</w:t>
      </w:r>
      <w:r w:rsidRPr="00200724">
        <w:rPr>
          <w:rFonts w:cs="Arial"/>
        </w:rPr>
        <w:t>r</w:t>
      </w:r>
      <w:r w:rsidRPr="00200724">
        <w:rPr>
          <w:rFonts w:cs="Arial"/>
        </w:rPr>
        <w:t xml:space="preserve">nacular housing stock. After legalization of irregular constructions in the early 1980s, the model adopted by </w:t>
      </w:r>
      <w:r w:rsidR="001D483A" w:rsidRPr="00200724">
        <w:rPr>
          <w:rFonts w:cs="Arial"/>
        </w:rPr>
        <w:t>the Turkish</w:t>
      </w:r>
      <w:r w:rsidRPr="00200724">
        <w:rPr>
          <w:rFonts w:cs="Arial"/>
        </w:rPr>
        <w:t xml:space="preserve"> Housing Development Administration in collabor</w:t>
      </w:r>
      <w:r w:rsidRPr="00200724">
        <w:rPr>
          <w:rFonts w:cs="Arial"/>
        </w:rPr>
        <w:t>a</w:t>
      </w:r>
      <w:r w:rsidRPr="00200724">
        <w:rPr>
          <w:rFonts w:cs="Arial"/>
        </w:rPr>
        <w:t>tion with local authorities, replaces slums with new high-rise housing units, while gi</w:t>
      </w:r>
      <w:r w:rsidRPr="00200724">
        <w:rPr>
          <w:rFonts w:cs="Arial"/>
        </w:rPr>
        <w:t>v</w:t>
      </w:r>
      <w:r w:rsidRPr="00200724">
        <w:rPr>
          <w:rFonts w:cs="Arial"/>
        </w:rPr>
        <w:t>ing to squatters and needy people living in other parts of the cities the opportunity to buy only one housing unit with affordable and long-term payments (Uzun et al.</w:t>
      </w:r>
      <w:r w:rsidR="00B66A59">
        <w:rPr>
          <w:rFonts w:cs="Arial"/>
        </w:rPr>
        <w:t>,</w:t>
      </w:r>
      <w:r w:rsidRPr="00200724">
        <w:rPr>
          <w:rFonts w:cs="Arial"/>
        </w:rPr>
        <w:t xml:space="preserve"> 2010). If one adds in the picture </w:t>
      </w:r>
      <w:r w:rsidR="00145A4A">
        <w:rPr>
          <w:rFonts w:cs="Arial"/>
        </w:rPr>
        <w:t xml:space="preserve">the </w:t>
      </w:r>
      <w:r w:rsidRPr="00200724">
        <w:rPr>
          <w:rFonts w:cs="Arial"/>
        </w:rPr>
        <w:t>infrastructure and social services provision by the state, prospects for social inclusion have been improved.</w:t>
      </w:r>
    </w:p>
    <w:p w:rsidR="00E03D23" w:rsidRPr="00200724" w:rsidRDefault="00E03D23" w:rsidP="0017000B">
      <w:pPr>
        <w:spacing w:line="23" w:lineRule="atLeast"/>
        <w:rPr>
          <w:rFonts w:cs="Arial"/>
          <w:bCs/>
        </w:rPr>
      </w:pPr>
    </w:p>
    <w:p w:rsidR="00B66A59" w:rsidRDefault="00B66A59" w:rsidP="009D5769">
      <w:pPr>
        <w:pStyle w:val="Heading1"/>
        <w:rPr>
          <w:noProof/>
        </w:rPr>
        <w:sectPr w:rsidR="00B66A59" w:rsidSect="00A24D34">
          <w:pgSz w:w="11906" w:h="16838"/>
          <w:pgMar w:top="1440" w:right="1797" w:bottom="1440" w:left="1797" w:header="720" w:footer="720" w:gutter="0"/>
          <w:pgNumType w:start="1"/>
          <w:cols w:space="720"/>
          <w:docGrid w:linePitch="299"/>
        </w:sectPr>
      </w:pPr>
    </w:p>
    <w:p w:rsidR="007045B4" w:rsidRDefault="00812CE3" w:rsidP="009D5769">
      <w:pPr>
        <w:pStyle w:val="Heading1"/>
        <w:rPr>
          <w:noProof/>
        </w:rPr>
      </w:pPr>
      <w:bookmarkStart w:id="18" w:name="_Toc384993695"/>
      <w:r>
        <w:rPr>
          <w:noProof/>
        </w:rPr>
        <w:lastRenderedPageBreak/>
        <w:t>Characteristics of social exclusion and poverty: patterns and p</w:t>
      </w:r>
      <w:r w:rsidR="00536563" w:rsidRPr="00200724">
        <w:rPr>
          <w:noProof/>
        </w:rPr>
        <w:t>rocesses</w:t>
      </w:r>
      <w:bookmarkEnd w:id="18"/>
    </w:p>
    <w:p w:rsidR="009D5769" w:rsidRPr="009D5769" w:rsidRDefault="009D5769" w:rsidP="009D5769"/>
    <w:p w:rsidR="00732050" w:rsidRPr="00B26236" w:rsidRDefault="00B72FE4" w:rsidP="00732050">
      <w:pPr>
        <w:spacing w:line="276" w:lineRule="auto"/>
        <w:rPr>
          <w:rFonts w:cs="Arial"/>
        </w:rPr>
      </w:pPr>
      <w:r>
        <w:rPr>
          <w:rFonts w:cs="Arial"/>
        </w:rPr>
        <w:t>Using the 60% threshold, T</w:t>
      </w:r>
      <w:r w:rsidR="00EB6B89">
        <w:rPr>
          <w:rFonts w:cs="Arial"/>
        </w:rPr>
        <w:t>UIK</w:t>
      </w:r>
      <w:r w:rsidR="00F810F3">
        <w:rPr>
          <w:rFonts w:cs="Arial"/>
        </w:rPr>
        <w:t xml:space="preserve"> calculates</w:t>
      </w:r>
      <w:r>
        <w:rPr>
          <w:rFonts w:cs="Arial"/>
        </w:rPr>
        <w:t xml:space="preserve"> the at-risk-of-poverty rate in Turkey at 25.0% in 2006 and 22.</w:t>
      </w:r>
      <w:r w:rsidR="00582F13">
        <w:rPr>
          <w:rFonts w:cs="Arial"/>
        </w:rPr>
        <w:t>7</w:t>
      </w:r>
      <w:r>
        <w:rPr>
          <w:rFonts w:cs="Arial"/>
        </w:rPr>
        <w:t>% in 201</w:t>
      </w:r>
      <w:r w:rsidR="001D1508">
        <w:rPr>
          <w:rFonts w:cs="Arial"/>
        </w:rPr>
        <w:t>1</w:t>
      </w:r>
      <w:r>
        <w:rPr>
          <w:rFonts w:cs="Arial"/>
        </w:rPr>
        <w:t xml:space="preserve">. </w:t>
      </w:r>
      <w:proofErr w:type="gramStart"/>
      <w:r>
        <w:rPr>
          <w:rFonts w:cs="Arial"/>
        </w:rPr>
        <w:t xml:space="preserve">The respective figures for the </w:t>
      </w:r>
      <w:r w:rsidR="006634F7">
        <w:rPr>
          <w:rFonts w:cs="Arial"/>
        </w:rPr>
        <w:t xml:space="preserve">greater </w:t>
      </w:r>
      <w:r>
        <w:rPr>
          <w:rFonts w:cs="Arial"/>
        </w:rPr>
        <w:t>Ege Region (TR</w:t>
      </w:r>
      <w:r w:rsidR="006634F7">
        <w:rPr>
          <w:rFonts w:cs="Arial"/>
        </w:rPr>
        <w:t>3), comprising MRI</w:t>
      </w:r>
      <w:r w:rsidR="001D483A">
        <w:rPr>
          <w:rFonts w:cs="Arial"/>
        </w:rPr>
        <w:t>,</w:t>
      </w:r>
      <w:r w:rsidR="006634F7">
        <w:rPr>
          <w:rFonts w:cs="Arial"/>
        </w:rPr>
        <w:t xml:space="preserve"> </w:t>
      </w:r>
      <w:r w:rsidR="00F810F3">
        <w:rPr>
          <w:rFonts w:cs="Arial"/>
        </w:rPr>
        <w:t>are 23.1% and 1</w:t>
      </w:r>
      <w:r w:rsidR="009E71C9">
        <w:rPr>
          <w:rFonts w:cs="Arial"/>
        </w:rPr>
        <w:t>7</w:t>
      </w:r>
      <w:r w:rsidR="00F810F3">
        <w:rPr>
          <w:rFonts w:cs="Arial"/>
        </w:rPr>
        <w:t>.</w:t>
      </w:r>
      <w:r w:rsidR="009E71C9">
        <w:rPr>
          <w:rFonts w:cs="Arial"/>
        </w:rPr>
        <w:t>1</w:t>
      </w:r>
      <w:r w:rsidR="00F810F3">
        <w:rPr>
          <w:rFonts w:cs="Arial"/>
        </w:rPr>
        <w:t>%.</w:t>
      </w:r>
      <w:proofErr w:type="gramEnd"/>
      <w:r w:rsidR="009E71C9">
        <w:rPr>
          <w:rFonts w:cs="Arial"/>
        </w:rPr>
        <w:t xml:space="preserve"> </w:t>
      </w:r>
      <w:proofErr w:type="gramStart"/>
      <w:r w:rsidR="009E71C9">
        <w:rPr>
          <w:rFonts w:cs="Arial"/>
        </w:rPr>
        <w:t>(Table 3).</w:t>
      </w:r>
      <w:proofErr w:type="gramEnd"/>
      <w:r w:rsidR="000575C4">
        <w:rPr>
          <w:rFonts w:cs="Arial"/>
        </w:rPr>
        <w:t xml:space="preserve"> In the context of the TIPSE project (using an area based model of disaggregation) the at-risk-of-poverty rate in MRI is estimated at </w:t>
      </w:r>
      <w:r w:rsidR="005655A5">
        <w:rPr>
          <w:rFonts w:cs="Arial"/>
        </w:rPr>
        <w:t>17</w:t>
      </w:r>
      <w:r w:rsidR="000575C4">
        <w:rPr>
          <w:rFonts w:cs="Arial"/>
        </w:rPr>
        <w:t>.</w:t>
      </w:r>
      <w:r w:rsidR="005655A5">
        <w:rPr>
          <w:rFonts w:cs="Arial"/>
        </w:rPr>
        <w:t>3</w:t>
      </w:r>
      <w:r w:rsidR="000575C4">
        <w:rPr>
          <w:rFonts w:cs="Arial"/>
        </w:rPr>
        <w:t xml:space="preserve">%, </w:t>
      </w:r>
      <w:r w:rsidR="005655A5">
        <w:rPr>
          <w:rFonts w:cs="Arial"/>
        </w:rPr>
        <w:t>rather</w:t>
      </w:r>
      <w:r w:rsidR="000575C4">
        <w:rPr>
          <w:rFonts w:cs="Arial"/>
        </w:rPr>
        <w:t xml:space="preserve"> above Istanbul (</w:t>
      </w:r>
      <w:r w:rsidR="005655A5">
        <w:rPr>
          <w:rFonts w:cs="Arial"/>
        </w:rPr>
        <w:t>6</w:t>
      </w:r>
      <w:r w:rsidR="000575C4">
        <w:rPr>
          <w:rFonts w:cs="Arial"/>
        </w:rPr>
        <w:t>.</w:t>
      </w:r>
      <w:r w:rsidR="005655A5">
        <w:rPr>
          <w:rFonts w:cs="Arial"/>
        </w:rPr>
        <w:t>6</w:t>
      </w:r>
      <w:r w:rsidR="000575C4">
        <w:rPr>
          <w:rFonts w:cs="Arial"/>
        </w:rPr>
        <w:t>%) and Ankara (</w:t>
      </w:r>
      <w:r w:rsidR="005655A5">
        <w:rPr>
          <w:rFonts w:cs="Arial"/>
        </w:rPr>
        <w:t>12</w:t>
      </w:r>
      <w:r w:rsidR="000575C4">
        <w:rPr>
          <w:rFonts w:cs="Arial"/>
        </w:rPr>
        <w:t>.2%).</w:t>
      </w:r>
    </w:p>
    <w:p w:rsidR="001D1508" w:rsidRDefault="00732050" w:rsidP="00732050">
      <w:pPr>
        <w:pStyle w:val="Caption"/>
        <w:spacing w:after="120"/>
        <w:rPr>
          <w:rFonts w:cs="Arial"/>
        </w:rPr>
      </w:pPr>
      <w:r>
        <w:t xml:space="preserve"> </w:t>
      </w:r>
      <w:bookmarkStart w:id="19" w:name="_Toc385001369"/>
      <w:r w:rsidR="001D1508">
        <w:t xml:space="preserve">Table </w:t>
      </w:r>
      <w:r w:rsidR="00C46323">
        <w:fldChar w:fldCharType="begin"/>
      </w:r>
      <w:r w:rsidR="00C46323">
        <w:instrText xml:space="preserve"> SEQ Table \* ARABIC </w:instrText>
      </w:r>
      <w:r w:rsidR="00C46323">
        <w:fldChar w:fldCharType="separate"/>
      </w:r>
      <w:r w:rsidR="00D95984">
        <w:rPr>
          <w:noProof/>
        </w:rPr>
        <w:t>3</w:t>
      </w:r>
      <w:r w:rsidR="00C46323">
        <w:rPr>
          <w:noProof/>
        </w:rPr>
        <w:fldChar w:fldCharType="end"/>
      </w:r>
      <w:r w:rsidR="005E10E5">
        <w:t xml:space="preserve">: </w:t>
      </w:r>
      <w:r w:rsidR="001D1508">
        <w:t>At-risk-of poverty rate, 2011</w:t>
      </w:r>
      <w:bookmarkEnd w:id="19"/>
    </w:p>
    <w:tbl>
      <w:tblPr>
        <w:tblStyle w:val="TableGrid"/>
        <w:tblW w:w="8528" w:type="dxa"/>
        <w:tblInd w:w="164" w:type="dxa"/>
        <w:tblLook w:val="04A0" w:firstRow="1" w:lastRow="0" w:firstColumn="1" w:lastColumn="0" w:noHBand="0" w:noVBand="1"/>
      </w:tblPr>
      <w:tblGrid>
        <w:gridCol w:w="2824"/>
        <w:gridCol w:w="2918"/>
        <w:gridCol w:w="2786"/>
      </w:tblGrid>
      <w:tr w:rsidR="001D1508" w:rsidTr="00732050">
        <w:tc>
          <w:tcPr>
            <w:tcW w:w="2824" w:type="dxa"/>
            <w:tcBorders>
              <w:bottom w:val="single" w:sz="18" w:space="0" w:color="auto"/>
            </w:tcBorders>
          </w:tcPr>
          <w:p w:rsidR="001D1508" w:rsidRPr="00732050" w:rsidRDefault="001D1508" w:rsidP="00732050">
            <w:pPr>
              <w:spacing w:before="20" w:after="20" w:line="240" w:lineRule="auto"/>
              <w:rPr>
                <w:rFonts w:cs="Arial"/>
                <w:sz w:val="19"/>
                <w:szCs w:val="19"/>
              </w:rPr>
            </w:pPr>
          </w:p>
        </w:tc>
        <w:tc>
          <w:tcPr>
            <w:tcW w:w="2918" w:type="dxa"/>
            <w:tcBorders>
              <w:bottom w:val="single" w:sz="18" w:space="0" w:color="auto"/>
            </w:tcBorders>
            <w:vAlign w:val="center"/>
          </w:tcPr>
          <w:p w:rsidR="001D1508" w:rsidRPr="00732050" w:rsidRDefault="001D1508" w:rsidP="00732050">
            <w:pPr>
              <w:spacing w:before="20" w:after="20" w:line="240" w:lineRule="auto"/>
              <w:jc w:val="left"/>
              <w:rPr>
                <w:rFonts w:cs="Arial"/>
                <w:b/>
                <w:sz w:val="19"/>
                <w:szCs w:val="19"/>
              </w:rPr>
            </w:pPr>
            <w:r w:rsidRPr="00732050">
              <w:rPr>
                <w:rFonts w:cs="Arial"/>
                <w:b/>
                <w:sz w:val="19"/>
                <w:szCs w:val="19"/>
              </w:rPr>
              <w:t>Poor population</w:t>
            </w:r>
          </w:p>
        </w:tc>
        <w:tc>
          <w:tcPr>
            <w:tcW w:w="2786" w:type="dxa"/>
            <w:tcBorders>
              <w:bottom w:val="single" w:sz="18" w:space="0" w:color="auto"/>
            </w:tcBorders>
            <w:vAlign w:val="center"/>
          </w:tcPr>
          <w:p w:rsidR="001D1508" w:rsidRPr="00732050" w:rsidRDefault="001D1508" w:rsidP="00732050">
            <w:pPr>
              <w:spacing w:before="20" w:after="20" w:line="240" w:lineRule="auto"/>
              <w:jc w:val="left"/>
              <w:rPr>
                <w:rFonts w:cs="Arial"/>
                <w:b/>
                <w:sz w:val="19"/>
                <w:szCs w:val="19"/>
              </w:rPr>
            </w:pPr>
            <w:r w:rsidRPr="00732050">
              <w:rPr>
                <w:rFonts w:cs="Arial"/>
                <w:b/>
                <w:sz w:val="19"/>
                <w:szCs w:val="19"/>
              </w:rPr>
              <w:t>AROP rate %</w:t>
            </w:r>
          </w:p>
        </w:tc>
      </w:tr>
      <w:tr w:rsidR="009E71C9" w:rsidTr="00732050">
        <w:tc>
          <w:tcPr>
            <w:tcW w:w="2824" w:type="dxa"/>
            <w:tcBorders>
              <w:top w:val="single" w:sz="18" w:space="0" w:color="auto"/>
            </w:tcBorders>
            <w:shd w:val="clear" w:color="auto" w:fill="D9D9D9" w:themeFill="background1" w:themeFillShade="D9"/>
          </w:tcPr>
          <w:p w:rsidR="009E71C9" w:rsidRPr="00732050" w:rsidRDefault="009E71C9" w:rsidP="00732050">
            <w:pPr>
              <w:spacing w:before="20" w:after="20" w:line="240" w:lineRule="auto"/>
              <w:rPr>
                <w:rFonts w:cs="Arial"/>
                <w:b/>
                <w:sz w:val="19"/>
                <w:szCs w:val="19"/>
              </w:rPr>
            </w:pPr>
            <w:r w:rsidRPr="00732050">
              <w:rPr>
                <w:rFonts w:cs="Arial"/>
                <w:b/>
                <w:sz w:val="19"/>
                <w:szCs w:val="19"/>
              </w:rPr>
              <w:t>Ege (TR3)</w:t>
            </w:r>
          </w:p>
        </w:tc>
        <w:tc>
          <w:tcPr>
            <w:tcW w:w="2918" w:type="dxa"/>
            <w:tcBorders>
              <w:top w:val="single" w:sz="18" w:space="0" w:color="auto"/>
            </w:tcBorders>
            <w:shd w:val="clear" w:color="auto" w:fill="D9D9D9" w:themeFill="background1" w:themeFillShade="D9"/>
            <w:vAlign w:val="bottom"/>
          </w:tcPr>
          <w:p w:rsidR="009E71C9" w:rsidRPr="00732050" w:rsidRDefault="009E71C9" w:rsidP="00732050">
            <w:pPr>
              <w:spacing w:before="20" w:after="20" w:line="240" w:lineRule="auto"/>
              <w:jc w:val="left"/>
              <w:rPr>
                <w:rFonts w:cs="Arial"/>
                <w:color w:val="000000"/>
                <w:sz w:val="19"/>
                <w:szCs w:val="19"/>
              </w:rPr>
            </w:pPr>
            <w:r w:rsidRPr="00732050">
              <w:rPr>
                <w:rFonts w:cs="Arial"/>
                <w:color w:val="000000"/>
                <w:sz w:val="19"/>
                <w:szCs w:val="19"/>
              </w:rPr>
              <w:t>1.660.000,00</w:t>
            </w:r>
          </w:p>
        </w:tc>
        <w:tc>
          <w:tcPr>
            <w:tcW w:w="2786" w:type="dxa"/>
            <w:tcBorders>
              <w:top w:val="single" w:sz="18" w:space="0" w:color="auto"/>
            </w:tcBorders>
            <w:shd w:val="clear" w:color="auto" w:fill="D9D9D9" w:themeFill="background1" w:themeFillShade="D9"/>
            <w:vAlign w:val="bottom"/>
          </w:tcPr>
          <w:p w:rsidR="009E71C9" w:rsidRPr="00732050" w:rsidRDefault="009E71C9" w:rsidP="00732050">
            <w:pPr>
              <w:spacing w:before="20" w:after="20" w:line="240" w:lineRule="auto"/>
              <w:jc w:val="left"/>
              <w:rPr>
                <w:rFonts w:cs="Arial"/>
                <w:color w:val="000000"/>
                <w:sz w:val="19"/>
                <w:szCs w:val="19"/>
              </w:rPr>
            </w:pPr>
            <w:r w:rsidRPr="00732050">
              <w:rPr>
                <w:rFonts w:cs="Arial"/>
                <w:color w:val="000000"/>
                <w:sz w:val="19"/>
                <w:szCs w:val="19"/>
              </w:rPr>
              <w:t>17,1%</w:t>
            </w:r>
          </w:p>
        </w:tc>
      </w:tr>
      <w:tr w:rsidR="009E71C9" w:rsidTr="00732050">
        <w:tc>
          <w:tcPr>
            <w:tcW w:w="2824" w:type="dxa"/>
          </w:tcPr>
          <w:p w:rsidR="009E71C9" w:rsidRPr="00732050" w:rsidRDefault="009E71C9" w:rsidP="00732050">
            <w:pPr>
              <w:spacing w:before="20" w:after="20" w:line="240" w:lineRule="auto"/>
              <w:rPr>
                <w:rFonts w:cs="Arial"/>
                <w:b/>
                <w:sz w:val="19"/>
                <w:szCs w:val="19"/>
              </w:rPr>
            </w:pPr>
            <w:r w:rsidRPr="00732050">
              <w:rPr>
                <w:rFonts w:cs="Arial"/>
                <w:b/>
                <w:sz w:val="19"/>
                <w:szCs w:val="19"/>
              </w:rPr>
              <w:t>Istanbul</w:t>
            </w:r>
          </w:p>
        </w:tc>
        <w:tc>
          <w:tcPr>
            <w:tcW w:w="2918" w:type="dxa"/>
            <w:vAlign w:val="bottom"/>
          </w:tcPr>
          <w:p w:rsidR="009E71C9" w:rsidRPr="00732050" w:rsidRDefault="009E71C9" w:rsidP="00732050">
            <w:pPr>
              <w:spacing w:before="20" w:after="20" w:line="240" w:lineRule="auto"/>
              <w:jc w:val="left"/>
              <w:rPr>
                <w:rFonts w:cs="Arial"/>
                <w:color w:val="000000"/>
                <w:sz w:val="19"/>
                <w:szCs w:val="19"/>
              </w:rPr>
            </w:pPr>
            <w:r w:rsidRPr="00732050">
              <w:rPr>
                <w:rFonts w:cs="Arial"/>
                <w:color w:val="000000"/>
                <w:sz w:val="19"/>
                <w:szCs w:val="19"/>
              </w:rPr>
              <w:t>900.000,00</w:t>
            </w:r>
          </w:p>
        </w:tc>
        <w:tc>
          <w:tcPr>
            <w:tcW w:w="2786" w:type="dxa"/>
            <w:vAlign w:val="bottom"/>
          </w:tcPr>
          <w:p w:rsidR="009E71C9" w:rsidRPr="00732050" w:rsidRDefault="009E71C9" w:rsidP="00732050">
            <w:pPr>
              <w:spacing w:before="20" w:after="20" w:line="240" w:lineRule="auto"/>
              <w:jc w:val="left"/>
              <w:rPr>
                <w:rFonts w:cs="Arial"/>
                <w:color w:val="000000"/>
                <w:sz w:val="19"/>
                <w:szCs w:val="19"/>
              </w:rPr>
            </w:pPr>
            <w:r w:rsidRPr="00732050">
              <w:rPr>
                <w:rFonts w:cs="Arial"/>
                <w:color w:val="000000"/>
                <w:sz w:val="19"/>
                <w:szCs w:val="19"/>
              </w:rPr>
              <w:t>6,6%</w:t>
            </w:r>
          </w:p>
        </w:tc>
      </w:tr>
      <w:tr w:rsidR="009E71C9" w:rsidTr="00732050">
        <w:tc>
          <w:tcPr>
            <w:tcW w:w="2824" w:type="dxa"/>
            <w:shd w:val="clear" w:color="auto" w:fill="D9D9D9" w:themeFill="background1" w:themeFillShade="D9"/>
          </w:tcPr>
          <w:p w:rsidR="009E71C9" w:rsidRPr="00732050" w:rsidRDefault="009E71C9" w:rsidP="00732050">
            <w:pPr>
              <w:spacing w:before="20" w:after="20" w:line="240" w:lineRule="auto"/>
              <w:rPr>
                <w:rFonts w:cs="Arial"/>
                <w:b/>
                <w:sz w:val="19"/>
                <w:szCs w:val="19"/>
              </w:rPr>
            </w:pPr>
            <w:r w:rsidRPr="00732050">
              <w:rPr>
                <w:rFonts w:cs="Arial"/>
                <w:b/>
                <w:sz w:val="19"/>
                <w:szCs w:val="19"/>
              </w:rPr>
              <w:t>West Anatolia (TR5)</w:t>
            </w:r>
          </w:p>
        </w:tc>
        <w:tc>
          <w:tcPr>
            <w:tcW w:w="2918" w:type="dxa"/>
            <w:shd w:val="clear" w:color="auto" w:fill="D9D9D9" w:themeFill="background1" w:themeFillShade="D9"/>
            <w:vAlign w:val="bottom"/>
          </w:tcPr>
          <w:p w:rsidR="009E71C9" w:rsidRPr="00732050" w:rsidRDefault="009E71C9" w:rsidP="00732050">
            <w:pPr>
              <w:spacing w:before="20" w:after="20" w:line="240" w:lineRule="auto"/>
              <w:jc w:val="left"/>
              <w:rPr>
                <w:rFonts w:cs="Arial"/>
                <w:color w:val="000000"/>
                <w:sz w:val="19"/>
                <w:szCs w:val="19"/>
              </w:rPr>
            </w:pPr>
            <w:r w:rsidRPr="00732050">
              <w:rPr>
                <w:rFonts w:cs="Arial"/>
                <w:color w:val="000000"/>
                <w:sz w:val="19"/>
                <w:szCs w:val="19"/>
              </w:rPr>
              <w:t>967.000,00</w:t>
            </w:r>
          </w:p>
        </w:tc>
        <w:tc>
          <w:tcPr>
            <w:tcW w:w="2786" w:type="dxa"/>
            <w:shd w:val="clear" w:color="auto" w:fill="D9D9D9" w:themeFill="background1" w:themeFillShade="D9"/>
            <w:vAlign w:val="bottom"/>
          </w:tcPr>
          <w:p w:rsidR="009E71C9" w:rsidRPr="00732050" w:rsidRDefault="009E71C9" w:rsidP="00732050">
            <w:pPr>
              <w:spacing w:before="20" w:after="20" w:line="240" w:lineRule="auto"/>
              <w:jc w:val="left"/>
              <w:rPr>
                <w:rFonts w:cs="Arial"/>
                <w:color w:val="000000"/>
                <w:sz w:val="19"/>
                <w:szCs w:val="19"/>
              </w:rPr>
            </w:pPr>
            <w:r w:rsidRPr="00732050">
              <w:rPr>
                <w:rFonts w:cs="Arial"/>
                <w:color w:val="000000"/>
                <w:sz w:val="19"/>
                <w:szCs w:val="19"/>
              </w:rPr>
              <w:t>13,5%</w:t>
            </w:r>
          </w:p>
        </w:tc>
      </w:tr>
      <w:tr w:rsidR="00582F13" w:rsidTr="00732050">
        <w:tc>
          <w:tcPr>
            <w:tcW w:w="2824" w:type="dxa"/>
          </w:tcPr>
          <w:p w:rsidR="00582F13" w:rsidRPr="00732050" w:rsidRDefault="00582F13" w:rsidP="00732050">
            <w:pPr>
              <w:spacing w:before="20" w:after="20" w:line="240" w:lineRule="auto"/>
              <w:rPr>
                <w:rFonts w:cs="Arial"/>
                <w:b/>
                <w:sz w:val="19"/>
                <w:szCs w:val="19"/>
              </w:rPr>
            </w:pPr>
            <w:r w:rsidRPr="00732050">
              <w:rPr>
                <w:rFonts w:cs="Arial"/>
                <w:b/>
                <w:sz w:val="19"/>
                <w:szCs w:val="19"/>
              </w:rPr>
              <w:t>Turkey</w:t>
            </w:r>
          </w:p>
        </w:tc>
        <w:tc>
          <w:tcPr>
            <w:tcW w:w="2918" w:type="dxa"/>
            <w:vAlign w:val="bottom"/>
          </w:tcPr>
          <w:p w:rsidR="00582F13" w:rsidRPr="00732050" w:rsidRDefault="00582F13" w:rsidP="00732050">
            <w:pPr>
              <w:spacing w:before="20" w:after="20" w:line="240" w:lineRule="auto"/>
              <w:jc w:val="left"/>
              <w:rPr>
                <w:rFonts w:cs="Arial"/>
                <w:color w:val="000000"/>
                <w:sz w:val="19"/>
                <w:szCs w:val="19"/>
              </w:rPr>
            </w:pPr>
            <w:r w:rsidRPr="00732050">
              <w:rPr>
                <w:rFonts w:cs="Arial"/>
                <w:color w:val="000000"/>
                <w:sz w:val="19"/>
                <w:szCs w:val="19"/>
              </w:rPr>
              <w:t>16.932.000,00</w:t>
            </w:r>
          </w:p>
        </w:tc>
        <w:tc>
          <w:tcPr>
            <w:tcW w:w="2786" w:type="dxa"/>
            <w:vAlign w:val="bottom"/>
          </w:tcPr>
          <w:p w:rsidR="00582F13" w:rsidRPr="00732050" w:rsidRDefault="00582F13" w:rsidP="00732050">
            <w:pPr>
              <w:spacing w:before="20" w:after="20" w:line="240" w:lineRule="auto"/>
              <w:jc w:val="left"/>
              <w:rPr>
                <w:rFonts w:cs="Arial"/>
                <w:color w:val="000000"/>
                <w:sz w:val="19"/>
                <w:szCs w:val="19"/>
              </w:rPr>
            </w:pPr>
            <w:r w:rsidRPr="00732050">
              <w:rPr>
                <w:rFonts w:cs="Arial"/>
                <w:color w:val="000000"/>
                <w:sz w:val="19"/>
                <w:szCs w:val="19"/>
              </w:rPr>
              <w:t>22,7%</w:t>
            </w:r>
          </w:p>
        </w:tc>
      </w:tr>
    </w:tbl>
    <w:p w:rsidR="001D1508" w:rsidRPr="00812CE3" w:rsidRDefault="00732050" w:rsidP="00732050">
      <w:pPr>
        <w:spacing w:after="240" w:line="360" w:lineRule="auto"/>
        <w:rPr>
          <w:rFonts w:cs="Arial"/>
          <w:sz w:val="16"/>
          <w:szCs w:val="16"/>
        </w:rPr>
      </w:pPr>
      <w:r>
        <w:rPr>
          <w:rFonts w:cs="Arial"/>
          <w:b/>
          <w:sz w:val="16"/>
          <w:szCs w:val="16"/>
        </w:rPr>
        <w:t xml:space="preserve"> </w:t>
      </w:r>
      <w:r w:rsidR="00812CE3" w:rsidRPr="00732050">
        <w:rPr>
          <w:rFonts w:cs="Arial"/>
          <w:b/>
          <w:sz w:val="16"/>
          <w:szCs w:val="16"/>
        </w:rPr>
        <w:t>Source:</w:t>
      </w:r>
      <w:r w:rsidR="00812CE3" w:rsidRPr="00812CE3">
        <w:rPr>
          <w:rFonts w:cs="Arial"/>
          <w:sz w:val="16"/>
          <w:szCs w:val="16"/>
        </w:rPr>
        <w:t xml:space="preserve"> Turkstat</w:t>
      </w:r>
    </w:p>
    <w:p w:rsidR="003C6CEA" w:rsidRDefault="003C6CEA" w:rsidP="00732050">
      <w:pPr>
        <w:spacing w:line="276" w:lineRule="auto"/>
        <w:rPr>
          <w:rFonts w:cs="Arial"/>
        </w:rPr>
      </w:pPr>
      <w:r>
        <w:rPr>
          <w:rFonts w:cs="Arial"/>
        </w:rPr>
        <w:t>Turkey is a country characterized by high income inequality, despite that the level of inequalities between the richest and the poorest groups have been constantly r</w:t>
      </w:r>
      <w:r>
        <w:rPr>
          <w:rFonts w:cs="Arial"/>
        </w:rPr>
        <w:t>e</w:t>
      </w:r>
      <w:r>
        <w:rPr>
          <w:rFonts w:cs="Arial"/>
        </w:rPr>
        <w:t xml:space="preserve">duced since the 1960s. The Gini coefficient </w:t>
      </w:r>
      <w:r w:rsidR="00E105C6">
        <w:rPr>
          <w:rFonts w:cs="Arial"/>
        </w:rPr>
        <w:t>fell from 0.55 in 1963 to 0.40 in 2005.</w:t>
      </w:r>
      <w:r w:rsidR="0047607E">
        <w:rPr>
          <w:rFonts w:cs="Arial"/>
        </w:rPr>
        <w:t xml:space="preserve"> </w:t>
      </w:r>
      <w:r w:rsidR="0047607E" w:rsidRPr="0047607E">
        <w:rPr>
          <w:rFonts w:cs="Arial"/>
        </w:rPr>
        <w:t>The richest 10% of the households earned 22.5 times more than</w:t>
      </w:r>
      <w:r w:rsidR="0047607E">
        <w:rPr>
          <w:rFonts w:cs="Arial"/>
        </w:rPr>
        <w:t xml:space="preserve"> </w:t>
      </w:r>
      <w:r w:rsidR="0047607E" w:rsidRPr="0047607E">
        <w:rPr>
          <w:rFonts w:cs="Arial"/>
        </w:rPr>
        <w:t>the bottom decile in 1994.</w:t>
      </w:r>
      <w:r w:rsidR="00E105C6">
        <w:rPr>
          <w:rFonts w:cs="Arial"/>
        </w:rPr>
        <w:t xml:space="preserve"> </w:t>
      </w:r>
      <w:r w:rsidR="00814E48">
        <w:rPr>
          <w:rFonts w:cs="Arial"/>
        </w:rPr>
        <w:t>T</w:t>
      </w:r>
      <w:r w:rsidR="00814E48" w:rsidRPr="00814E48">
        <w:rPr>
          <w:rFonts w:cs="Arial"/>
        </w:rPr>
        <w:t xml:space="preserve">he ratio </w:t>
      </w:r>
      <w:r w:rsidR="00814E48">
        <w:rPr>
          <w:rFonts w:cs="Arial"/>
        </w:rPr>
        <w:t>had</w:t>
      </w:r>
      <w:r w:rsidR="00814E48" w:rsidRPr="00814E48">
        <w:rPr>
          <w:rFonts w:cs="Arial"/>
        </w:rPr>
        <w:t xml:space="preserve"> decreased to around</w:t>
      </w:r>
      <w:r w:rsidR="00814E48">
        <w:rPr>
          <w:rFonts w:cs="Arial"/>
        </w:rPr>
        <w:t xml:space="preserve"> </w:t>
      </w:r>
      <w:r w:rsidR="00814E48" w:rsidRPr="00814E48">
        <w:rPr>
          <w:rFonts w:cs="Arial"/>
        </w:rPr>
        <w:t>13 times in 2005</w:t>
      </w:r>
      <w:r w:rsidR="005E2E99">
        <w:rPr>
          <w:rFonts w:cs="Arial"/>
        </w:rPr>
        <w:t xml:space="preserve"> and to 6.5 times in 2013 (Duman,</w:t>
      </w:r>
      <w:r w:rsidR="002E25EC">
        <w:rPr>
          <w:rFonts w:cs="Arial"/>
        </w:rPr>
        <w:t xml:space="preserve"> 2008;</w:t>
      </w:r>
      <w:r w:rsidR="005E2E99">
        <w:rPr>
          <w:rFonts w:cs="Arial"/>
        </w:rPr>
        <w:t xml:space="preserve"> OECD</w:t>
      </w:r>
      <w:r w:rsidR="00732050">
        <w:rPr>
          <w:rFonts w:cs="Arial"/>
        </w:rPr>
        <w:t>,</w:t>
      </w:r>
      <w:r w:rsidR="005E2E99">
        <w:rPr>
          <w:rFonts w:cs="Arial"/>
        </w:rPr>
        <w:t xml:space="preserve"> 2013), still being the third highest among 34 OECD countries.</w:t>
      </w:r>
      <w:r w:rsidR="008754B8">
        <w:rPr>
          <w:rFonts w:cs="Arial"/>
        </w:rPr>
        <w:t xml:space="preserve"> </w:t>
      </w:r>
    </w:p>
    <w:p w:rsidR="00BD58E2" w:rsidRPr="00200724" w:rsidRDefault="00BD58E2" w:rsidP="00732050">
      <w:pPr>
        <w:spacing w:line="276" w:lineRule="auto"/>
        <w:rPr>
          <w:rFonts w:cs="Arial"/>
        </w:rPr>
      </w:pPr>
      <w:r w:rsidRPr="00200724">
        <w:rPr>
          <w:rFonts w:cs="Arial"/>
        </w:rPr>
        <w:t xml:space="preserve">Yilmaz (2005) argues that in Turkey, the </w:t>
      </w:r>
      <w:r w:rsidR="00D77768">
        <w:rPr>
          <w:rFonts w:cs="Arial"/>
        </w:rPr>
        <w:t>context</w:t>
      </w:r>
      <w:r w:rsidRPr="00200724">
        <w:rPr>
          <w:rFonts w:cs="Arial"/>
        </w:rPr>
        <w:t xml:space="preserve"> of </w:t>
      </w:r>
      <w:r w:rsidR="00D77768">
        <w:rPr>
          <w:rFonts w:cs="Arial"/>
        </w:rPr>
        <w:t>what he calls “</w:t>
      </w:r>
      <w:r w:rsidRPr="00200724">
        <w:rPr>
          <w:rFonts w:cs="Arial"/>
        </w:rPr>
        <w:t>integrated poverty</w:t>
      </w:r>
      <w:r w:rsidR="00D77768">
        <w:rPr>
          <w:rFonts w:cs="Arial"/>
        </w:rPr>
        <w:t>”</w:t>
      </w:r>
      <w:r w:rsidRPr="00200724">
        <w:rPr>
          <w:rFonts w:cs="Arial"/>
        </w:rPr>
        <w:t xml:space="preserve">, which, for many decades made it possible for the urban poor to integrate into urban society with the help of informal </w:t>
      </w:r>
      <w:r w:rsidR="00FE3A85">
        <w:rPr>
          <w:rFonts w:cs="Arial"/>
        </w:rPr>
        <w:t xml:space="preserve">economic </w:t>
      </w:r>
      <w:r w:rsidRPr="00200724">
        <w:rPr>
          <w:rFonts w:cs="Arial"/>
        </w:rPr>
        <w:t xml:space="preserve">activities as well as informal housing, is getting transformed under the destructive effects of the neo-liberal oriented structural adjustment programs and weakening social solidarity bonds. </w:t>
      </w:r>
      <w:r w:rsidR="00B215CE">
        <w:rPr>
          <w:rFonts w:cs="Arial"/>
        </w:rPr>
        <w:t xml:space="preserve">Far from being some kind of idyllic </w:t>
      </w:r>
      <w:r w:rsidR="00FE3A85">
        <w:rPr>
          <w:rFonts w:cs="Arial"/>
        </w:rPr>
        <w:t>integration process, the incorporation of migrant populations has been based on informality in the labour and housing markets and on cultural isolation from the established population of the city</w:t>
      </w:r>
      <w:r w:rsidR="00B53C52">
        <w:rPr>
          <w:rFonts w:cs="Arial"/>
        </w:rPr>
        <w:t xml:space="preserve"> (Unverdi et al., 2007)</w:t>
      </w:r>
      <w:r w:rsidR="00FE3A85">
        <w:rPr>
          <w:rFonts w:cs="Arial"/>
        </w:rPr>
        <w:t xml:space="preserve">. </w:t>
      </w:r>
      <w:r w:rsidRPr="00200724">
        <w:rPr>
          <w:rFonts w:cs="Arial"/>
        </w:rPr>
        <w:t>Henceforth, it is possible to observe a certain decline in the integrating capacity of the informal activities as well as in the protective capacity of family supports.</w:t>
      </w:r>
    </w:p>
    <w:p w:rsidR="00BD58E2" w:rsidRPr="00200724" w:rsidRDefault="00BD58E2" w:rsidP="00732050">
      <w:pPr>
        <w:spacing w:line="276" w:lineRule="auto"/>
        <w:rPr>
          <w:rFonts w:cs="Arial"/>
        </w:rPr>
      </w:pPr>
      <w:r w:rsidRPr="00200724">
        <w:rPr>
          <w:rFonts w:cs="Arial"/>
        </w:rPr>
        <w:t>Rising unemployment in Turkey has been an issue since decades (Filiztekin</w:t>
      </w:r>
      <w:r w:rsidR="00732050">
        <w:rPr>
          <w:rFonts w:cs="Arial"/>
        </w:rPr>
        <w:t>,</w:t>
      </w:r>
      <w:r w:rsidRPr="00200724">
        <w:rPr>
          <w:rFonts w:cs="Arial"/>
        </w:rPr>
        <w:t xml:space="preserve"> 2009). The unemployment rate was not higher than 3% in the 1960s but increased to about 8% in the 1980s and to slightly above 9% in the 200</w:t>
      </w:r>
      <w:r w:rsidR="000231B2">
        <w:rPr>
          <w:rFonts w:cs="Arial"/>
        </w:rPr>
        <w:t>0</w:t>
      </w:r>
      <w:r w:rsidRPr="00200724">
        <w:rPr>
          <w:rFonts w:cs="Arial"/>
        </w:rPr>
        <w:t>s. Moreover, different Regions and Provinces experience different unemployment rates However, the large pre</w:t>
      </w:r>
      <w:r w:rsidRPr="00200724">
        <w:rPr>
          <w:rFonts w:cs="Arial"/>
        </w:rPr>
        <w:t>s</w:t>
      </w:r>
      <w:r w:rsidRPr="00200724">
        <w:rPr>
          <w:rFonts w:cs="Arial"/>
        </w:rPr>
        <w:t>ence of informal activities in the economy mean that long term unemployment is not the most significant causal factor of poverty and social exclusion. Poverty of e</w:t>
      </w:r>
      <w:r w:rsidRPr="00200724">
        <w:rPr>
          <w:rFonts w:cs="Arial"/>
        </w:rPr>
        <w:t>m</w:t>
      </w:r>
      <w:r w:rsidRPr="00200724">
        <w:rPr>
          <w:rFonts w:cs="Arial"/>
        </w:rPr>
        <w:t xml:space="preserve">ployed people is </w:t>
      </w:r>
      <w:r w:rsidR="00CF4A60">
        <w:rPr>
          <w:rFonts w:cs="Arial"/>
        </w:rPr>
        <w:t xml:space="preserve">also </w:t>
      </w:r>
      <w:r w:rsidRPr="00200724">
        <w:rPr>
          <w:rFonts w:cs="Arial"/>
        </w:rPr>
        <w:t xml:space="preserve">a major concern. </w:t>
      </w:r>
    </w:p>
    <w:p w:rsidR="00BD58E2" w:rsidRPr="00200724" w:rsidRDefault="00BD58E2" w:rsidP="00732050">
      <w:pPr>
        <w:spacing w:line="276" w:lineRule="auto"/>
        <w:rPr>
          <w:rFonts w:cs="Arial"/>
        </w:rPr>
      </w:pPr>
      <w:r w:rsidRPr="00200724">
        <w:rPr>
          <w:rFonts w:cs="Arial"/>
        </w:rPr>
        <w:t>Adaman and Keyder (2005) stress that the single most important reason for social exclusion in Turkey is poverty, yet there are also cultural and political dimensions of exclusion. Based on a review of the Turkish literature, they propose the following t</w:t>
      </w:r>
      <w:r w:rsidRPr="00200724">
        <w:rPr>
          <w:rFonts w:cs="Arial"/>
        </w:rPr>
        <w:t>y</w:t>
      </w:r>
      <w:r w:rsidRPr="00200724">
        <w:rPr>
          <w:rFonts w:cs="Arial"/>
        </w:rPr>
        <w:t>pology of vulnerable groups:</w:t>
      </w:r>
    </w:p>
    <w:p w:rsidR="00BD58E2" w:rsidRPr="00200724" w:rsidRDefault="00BD58E2" w:rsidP="00732050">
      <w:pPr>
        <w:widowControl w:val="0"/>
        <w:numPr>
          <w:ilvl w:val="0"/>
          <w:numId w:val="5"/>
        </w:numPr>
        <w:suppressAutoHyphens/>
        <w:spacing w:line="276" w:lineRule="auto"/>
        <w:rPr>
          <w:rFonts w:cs="Arial"/>
        </w:rPr>
      </w:pPr>
      <w:r w:rsidRPr="00200724">
        <w:rPr>
          <w:rFonts w:cs="Arial"/>
        </w:rPr>
        <w:lastRenderedPageBreak/>
        <w:t>Children and young people, to whom the effects of poverty are transferred from the spatial and economic exclusions of their fa</w:t>
      </w:r>
      <w:r w:rsidR="00732050">
        <w:rPr>
          <w:rFonts w:cs="Arial"/>
        </w:rPr>
        <w:t>milies</w:t>
      </w:r>
    </w:p>
    <w:p w:rsidR="00BD58E2" w:rsidRPr="00200724" w:rsidRDefault="00BD58E2" w:rsidP="00732050">
      <w:pPr>
        <w:widowControl w:val="0"/>
        <w:numPr>
          <w:ilvl w:val="0"/>
          <w:numId w:val="5"/>
        </w:numPr>
        <w:suppressAutoHyphens/>
        <w:spacing w:line="276" w:lineRule="auto"/>
        <w:rPr>
          <w:rFonts w:cs="Arial"/>
        </w:rPr>
      </w:pPr>
      <w:r w:rsidRPr="00200724">
        <w:rPr>
          <w:rFonts w:cs="Arial"/>
        </w:rPr>
        <w:t>The elderly and especially those who are not insured by any</w:t>
      </w:r>
      <w:r w:rsidR="00732050">
        <w:rPr>
          <w:rFonts w:cs="Arial"/>
        </w:rPr>
        <w:t xml:space="preserve"> of the social security schemes</w:t>
      </w:r>
    </w:p>
    <w:p w:rsidR="00BD58E2" w:rsidRPr="00200724" w:rsidRDefault="00BD58E2" w:rsidP="00732050">
      <w:pPr>
        <w:widowControl w:val="0"/>
        <w:numPr>
          <w:ilvl w:val="0"/>
          <w:numId w:val="5"/>
        </w:numPr>
        <w:suppressAutoHyphens/>
        <w:spacing w:line="276" w:lineRule="auto"/>
        <w:rPr>
          <w:rFonts w:cs="Arial"/>
        </w:rPr>
      </w:pPr>
      <w:r w:rsidRPr="00200724">
        <w:rPr>
          <w:rFonts w:cs="Arial"/>
        </w:rPr>
        <w:t>The disabled</w:t>
      </w:r>
    </w:p>
    <w:p w:rsidR="00BD58E2" w:rsidRPr="00200724" w:rsidRDefault="00732050" w:rsidP="00732050">
      <w:pPr>
        <w:widowControl w:val="0"/>
        <w:numPr>
          <w:ilvl w:val="0"/>
          <w:numId w:val="5"/>
        </w:numPr>
        <w:suppressAutoHyphens/>
        <w:spacing w:line="276" w:lineRule="auto"/>
        <w:rPr>
          <w:rFonts w:cs="Arial"/>
        </w:rPr>
      </w:pPr>
      <w:r>
        <w:rPr>
          <w:rFonts w:cs="Arial"/>
        </w:rPr>
        <w:t>Migrants</w:t>
      </w:r>
    </w:p>
    <w:p w:rsidR="00BD58E2" w:rsidRPr="00200724" w:rsidRDefault="00BD58E2" w:rsidP="00732050">
      <w:pPr>
        <w:widowControl w:val="0"/>
        <w:numPr>
          <w:ilvl w:val="0"/>
          <w:numId w:val="5"/>
        </w:numPr>
        <w:suppressAutoHyphens/>
        <w:spacing w:line="276" w:lineRule="auto"/>
        <w:rPr>
          <w:rFonts w:cs="Arial"/>
        </w:rPr>
      </w:pPr>
      <w:r w:rsidRPr="00200724">
        <w:rPr>
          <w:rFonts w:cs="Arial"/>
        </w:rPr>
        <w:t xml:space="preserve">Exclusion due </w:t>
      </w:r>
      <w:r w:rsidR="00732050">
        <w:rPr>
          <w:rFonts w:cs="Arial"/>
        </w:rPr>
        <w:t>to gender or sexual orientation</w:t>
      </w:r>
    </w:p>
    <w:p w:rsidR="00BD58E2" w:rsidRPr="00200724" w:rsidRDefault="00BD58E2" w:rsidP="00732050">
      <w:pPr>
        <w:widowControl w:val="0"/>
        <w:numPr>
          <w:ilvl w:val="0"/>
          <w:numId w:val="5"/>
        </w:numPr>
        <w:suppressAutoHyphens/>
        <w:spacing w:line="276" w:lineRule="auto"/>
        <w:rPr>
          <w:rFonts w:cs="Arial"/>
        </w:rPr>
      </w:pPr>
      <w:r w:rsidRPr="00200724">
        <w:rPr>
          <w:rFonts w:cs="Arial"/>
        </w:rPr>
        <w:t xml:space="preserve">Exclusion due to religious affiliation (especially concerning discrimination against </w:t>
      </w:r>
      <w:r w:rsidR="00732050">
        <w:rPr>
          <w:rFonts w:cs="Arial"/>
        </w:rPr>
        <w:t>Alevis)</w:t>
      </w:r>
    </w:p>
    <w:p w:rsidR="00BD58E2" w:rsidRDefault="00BD58E2" w:rsidP="00732050">
      <w:pPr>
        <w:widowControl w:val="0"/>
        <w:numPr>
          <w:ilvl w:val="0"/>
          <w:numId w:val="5"/>
        </w:numPr>
        <w:suppressAutoHyphens/>
        <w:spacing w:line="276" w:lineRule="auto"/>
        <w:rPr>
          <w:rFonts w:cs="Arial"/>
          <w:noProof/>
        </w:rPr>
      </w:pPr>
      <w:r w:rsidRPr="00200724">
        <w:rPr>
          <w:rFonts w:cs="Arial"/>
        </w:rPr>
        <w:t xml:space="preserve">Exclusion due to ethnic origin (especially concerning discrimination against Kurds, Romani and non-Muslim </w:t>
      </w:r>
      <w:r w:rsidR="00732050">
        <w:rPr>
          <w:rFonts w:cs="Arial"/>
        </w:rPr>
        <w:t>groups such as Jews and Greeks)</w:t>
      </w:r>
    </w:p>
    <w:p w:rsidR="00B535D2" w:rsidRPr="00B535D2" w:rsidRDefault="00B535D2" w:rsidP="00732050">
      <w:pPr>
        <w:pStyle w:val="ListParagraph"/>
        <w:numPr>
          <w:ilvl w:val="0"/>
          <w:numId w:val="5"/>
        </w:numPr>
        <w:spacing w:line="276" w:lineRule="auto"/>
        <w:rPr>
          <w:rFonts w:cs="Arial"/>
        </w:rPr>
      </w:pPr>
      <w:r w:rsidRPr="00B535D2">
        <w:rPr>
          <w:rFonts w:cs="Arial"/>
        </w:rPr>
        <w:t>Exclusion due to other reasons, such as nomadic life, drug addiction, impri</w:t>
      </w:r>
      <w:r w:rsidRPr="00B535D2">
        <w:rPr>
          <w:rFonts w:cs="Arial"/>
        </w:rPr>
        <w:t>s</w:t>
      </w:r>
      <w:r w:rsidR="00732050">
        <w:rPr>
          <w:rFonts w:cs="Arial"/>
        </w:rPr>
        <w:t>onment and irregular employment</w:t>
      </w:r>
    </w:p>
    <w:p w:rsidR="00D5403C" w:rsidRDefault="00D5403C" w:rsidP="00732050">
      <w:pPr>
        <w:spacing w:line="276" w:lineRule="auto"/>
        <w:rPr>
          <w:rFonts w:cs="Arial"/>
        </w:rPr>
      </w:pPr>
      <w:r w:rsidRPr="00200724">
        <w:rPr>
          <w:rFonts w:cs="Arial"/>
        </w:rPr>
        <w:t xml:space="preserve">Poor people </w:t>
      </w:r>
      <w:r>
        <w:rPr>
          <w:rFonts w:cs="Arial"/>
        </w:rPr>
        <w:t>in deprived areas</w:t>
      </w:r>
      <w:r w:rsidRPr="00200724">
        <w:rPr>
          <w:rFonts w:cs="Arial"/>
        </w:rPr>
        <w:t xml:space="preserve"> face additional difficulties in accessing education and according to survey data (Adaman and Kayder</w:t>
      </w:r>
      <w:r w:rsidR="00732050">
        <w:rPr>
          <w:rFonts w:cs="Arial"/>
        </w:rPr>
        <w:t>,</w:t>
      </w:r>
      <w:r w:rsidRPr="00200724">
        <w:rPr>
          <w:rFonts w:cs="Arial"/>
        </w:rPr>
        <w:t xml:space="preserve"> 2005), the overall rate of education is alarming: more than one-fourth of the respondents are illiterate and only less than one-fifth have completed </w:t>
      </w:r>
      <w:r>
        <w:rPr>
          <w:rFonts w:cs="Arial"/>
        </w:rPr>
        <w:t xml:space="preserve">any stream of </w:t>
      </w:r>
      <w:r w:rsidRPr="00200724">
        <w:rPr>
          <w:rFonts w:cs="Arial"/>
        </w:rPr>
        <w:t xml:space="preserve">secondary </w:t>
      </w:r>
      <w:r>
        <w:rPr>
          <w:rFonts w:cs="Arial"/>
        </w:rPr>
        <w:t>education</w:t>
      </w:r>
      <w:r w:rsidRPr="00200724">
        <w:rPr>
          <w:rFonts w:cs="Arial"/>
        </w:rPr>
        <w:t>. One-fourth of the su</w:t>
      </w:r>
      <w:r w:rsidRPr="00200724">
        <w:rPr>
          <w:rFonts w:cs="Arial"/>
        </w:rPr>
        <w:t>r</w:t>
      </w:r>
      <w:r w:rsidRPr="00200724">
        <w:rPr>
          <w:rFonts w:cs="Arial"/>
        </w:rPr>
        <w:t>veyed feel socially excluded due to their level of education. There are clear signals that the current level of poverty would in turn bring about a low level of human capital in the next generation.</w:t>
      </w:r>
    </w:p>
    <w:p w:rsidR="00B535D2" w:rsidRDefault="00CF4A60" w:rsidP="00732050">
      <w:pPr>
        <w:spacing w:line="276" w:lineRule="auto"/>
        <w:rPr>
          <w:rFonts w:cs="Arial"/>
        </w:rPr>
      </w:pPr>
      <w:r>
        <w:rPr>
          <w:rFonts w:cs="Arial"/>
        </w:rPr>
        <w:t>The complex spatiality of poverty and social exclusion in Izmir is reflected on the d</w:t>
      </w:r>
      <w:r>
        <w:rPr>
          <w:rFonts w:cs="Arial"/>
        </w:rPr>
        <w:t>y</w:t>
      </w:r>
      <w:r>
        <w:rPr>
          <w:rFonts w:cs="Arial"/>
        </w:rPr>
        <w:t xml:space="preserve">namics of Gecekondu areas and the competition of different actors and </w:t>
      </w:r>
      <w:r w:rsidR="00126C5C">
        <w:rPr>
          <w:rFonts w:cs="Arial"/>
        </w:rPr>
        <w:t>various levels of the administration</w:t>
      </w:r>
      <w:r>
        <w:rPr>
          <w:rFonts w:cs="Arial"/>
        </w:rPr>
        <w:t xml:space="preserve"> on the urban land. Legalization of Gecekondu areas was pr</w:t>
      </w:r>
      <w:r>
        <w:rPr>
          <w:rFonts w:cs="Arial"/>
        </w:rPr>
        <w:t>o</w:t>
      </w:r>
      <w:r>
        <w:rPr>
          <w:rFonts w:cs="Arial"/>
        </w:rPr>
        <w:t xml:space="preserve">moted as means to ameliorate living conditions there and arrane ownership issues. In the initial model adopted in the early 1980s Ownership titles were </w:t>
      </w:r>
      <w:r w:rsidR="00126C5C">
        <w:rPr>
          <w:rFonts w:cs="Arial"/>
        </w:rPr>
        <w:t>granted to fo</w:t>
      </w:r>
      <w:r w:rsidR="00126C5C">
        <w:rPr>
          <w:rFonts w:cs="Arial"/>
        </w:rPr>
        <w:t>r</w:t>
      </w:r>
      <w:r w:rsidR="00126C5C">
        <w:rPr>
          <w:rFonts w:cs="Arial"/>
        </w:rPr>
        <w:t xml:space="preserve">mer squatters upon </w:t>
      </w:r>
      <w:r w:rsidR="00732050">
        <w:rPr>
          <w:rFonts w:cs="Arial"/>
        </w:rPr>
        <w:t>certain prerequisites for recons</w:t>
      </w:r>
      <w:r w:rsidR="00126C5C">
        <w:rPr>
          <w:rFonts w:cs="Arial"/>
        </w:rPr>
        <w:t>truction and payment of the r</w:t>
      </w:r>
      <w:r w:rsidR="00126C5C">
        <w:rPr>
          <w:rFonts w:cs="Arial"/>
        </w:rPr>
        <w:t>e</w:t>
      </w:r>
      <w:r w:rsidR="00126C5C">
        <w:rPr>
          <w:rFonts w:cs="Arial"/>
        </w:rPr>
        <w:t>quired duties to the owner in a period of four years. According to Uzun</w:t>
      </w:r>
      <w:r w:rsidR="001B4530">
        <w:rPr>
          <w:rFonts w:cs="Arial"/>
        </w:rPr>
        <w:t xml:space="preserve"> et al.</w:t>
      </w:r>
      <w:r w:rsidR="00126C5C">
        <w:rPr>
          <w:rFonts w:cs="Arial"/>
        </w:rPr>
        <w:t xml:space="preserve"> (2012) the initial model had several </w:t>
      </w:r>
      <w:r w:rsidR="00732050">
        <w:rPr>
          <w:rFonts w:cs="Arial"/>
        </w:rPr>
        <w:t>disadvantages</w:t>
      </w:r>
      <w:r w:rsidR="00126C5C">
        <w:rPr>
          <w:rFonts w:cs="Arial"/>
        </w:rPr>
        <w:t xml:space="preserve">. </w:t>
      </w:r>
      <w:r w:rsidR="00732050">
        <w:rPr>
          <w:rFonts w:cs="Arial"/>
        </w:rPr>
        <w:t>First</w:t>
      </w:r>
      <w:r w:rsidR="00126C5C">
        <w:rPr>
          <w:rFonts w:cs="Arial"/>
        </w:rPr>
        <w:t xml:space="preserve"> of all, it led to the preservation of many slum areas, without actual </w:t>
      </w:r>
      <w:r w:rsidR="00732050">
        <w:rPr>
          <w:rFonts w:cs="Arial"/>
        </w:rPr>
        <w:t>amelioration</w:t>
      </w:r>
      <w:r w:rsidR="00126C5C">
        <w:rPr>
          <w:rFonts w:cs="Arial"/>
        </w:rPr>
        <w:t xml:space="preserve"> of the living conditions. Second, </w:t>
      </w:r>
      <w:r w:rsidR="003912C7">
        <w:rPr>
          <w:rFonts w:cs="Arial"/>
        </w:rPr>
        <w:t xml:space="preserve">after their legalization, several Gecekondus were gradually equipped with high-rise </w:t>
      </w:r>
      <w:r w:rsidR="00732050">
        <w:rPr>
          <w:rFonts w:cs="Arial"/>
        </w:rPr>
        <w:t>apar</w:t>
      </w:r>
      <w:r w:rsidR="00732050">
        <w:rPr>
          <w:rFonts w:cs="Arial"/>
        </w:rPr>
        <w:t>t</w:t>
      </w:r>
      <w:r w:rsidR="00732050">
        <w:rPr>
          <w:rFonts w:cs="Arial"/>
        </w:rPr>
        <w:t>ments and private buildings for non-residential</w:t>
      </w:r>
      <w:r w:rsidR="003912C7">
        <w:rPr>
          <w:rFonts w:cs="Arial"/>
        </w:rPr>
        <w:t xml:space="preserve"> uses (shopping centres,</w:t>
      </w:r>
      <w:r w:rsidR="00845019" w:rsidRPr="00C813F6">
        <w:rPr>
          <w:rFonts w:cs="Arial"/>
        </w:rPr>
        <w:t xml:space="preserve"> </w:t>
      </w:r>
      <w:r w:rsidR="00845019" w:rsidRPr="00845019">
        <w:rPr>
          <w:rFonts w:cs="Arial"/>
        </w:rPr>
        <w:t>offices and business spaces</w:t>
      </w:r>
      <w:r w:rsidR="00845019">
        <w:rPr>
          <w:rFonts w:cs="Arial"/>
        </w:rPr>
        <w:t>), thus rewarding the new owners (and ex-squatters) who obtained the exclusive right to develop new constructions. Last but not</w:t>
      </w:r>
      <w:r w:rsidR="003912C7">
        <w:rPr>
          <w:rFonts w:cs="Arial"/>
        </w:rPr>
        <w:t xml:space="preserve"> </w:t>
      </w:r>
      <w:r w:rsidR="00845019">
        <w:rPr>
          <w:rFonts w:cs="Arial"/>
        </w:rPr>
        <w:t xml:space="preserve">least the legalization process raised expectations of potential squatters and did not prevent the generation of more </w:t>
      </w:r>
      <w:r w:rsidR="00732050">
        <w:rPr>
          <w:rFonts w:cs="Arial"/>
        </w:rPr>
        <w:t>G</w:t>
      </w:r>
      <w:r w:rsidR="00845019">
        <w:rPr>
          <w:rFonts w:cs="Arial"/>
        </w:rPr>
        <w:t>ecekondus.</w:t>
      </w:r>
    </w:p>
    <w:p w:rsidR="003A362C" w:rsidRDefault="003A362C" w:rsidP="00732050">
      <w:pPr>
        <w:spacing w:line="276" w:lineRule="auto"/>
        <w:rPr>
          <w:rFonts w:cs="Arial"/>
          <w:noProof/>
        </w:rPr>
      </w:pPr>
      <w:r>
        <w:rPr>
          <w:rFonts w:cs="Arial"/>
        </w:rPr>
        <w:t>Almost 188,000 applications for building permission</w:t>
      </w:r>
      <w:r w:rsidR="00C40620">
        <w:rPr>
          <w:rFonts w:cs="Arial"/>
        </w:rPr>
        <w:t>s</w:t>
      </w:r>
      <w:r>
        <w:rPr>
          <w:rFonts w:cs="Arial"/>
        </w:rPr>
        <w:t xml:space="preserve"> were made in the MRI </w:t>
      </w:r>
      <w:r w:rsidR="00732050">
        <w:rPr>
          <w:rFonts w:cs="Arial"/>
        </w:rPr>
        <w:t>G</w:t>
      </w:r>
      <w:r>
        <w:rPr>
          <w:rFonts w:cs="Arial"/>
        </w:rPr>
        <w:t>ecekondu areas until 1987, compared with 73,00</w:t>
      </w:r>
      <w:r w:rsidR="00A81D2D">
        <w:rPr>
          <w:rFonts w:cs="Arial"/>
        </w:rPr>
        <w:t>0</w:t>
      </w:r>
      <w:r>
        <w:rPr>
          <w:rFonts w:cs="Arial"/>
        </w:rPr>
        <w:t xml:space="preserve"> for jointly-owned</w:t>
      </w:r>
      <w:r>
        <w:rPr>
          <w:rFonts w:cs="Arial"/>
          <w:noProof/>
        </w:rPr>
        <w:t xml:space="preserve"> land properties (Unverdi et al., 2007). Between 1985 and 1987, slum reclamation </w:t>
      </w:r>
      <w:r w:rsidR="00C40620">
        <w:rPr>
          <w:rFonts w:cs="Arial"/>
          <w:noProof/>
        </w:rPr>
        <w:t xml:space="preserve">projects affected one-fourth of the built environment and half of the residential area. </w:t>
      </w:r>
      <w:r w:rsidR="00A81D2D">
        <w:rPr>
          <w:rFonts w:cs="Arial"/>
          <w:noProof/>
        </w:rPr>
        <w:t>Furthermore, i</w:t>
      </w:r>
      <w:r w:rsidR="00A81D2D" w:rsidRPr="00A81D2D">
        <w:rPr>
          <w:rFonts w:cs="Arial"/>
          <w:noProof/>
        </w:rPr>
        <w:t xml:space="preserve">t was in the same period that large scale constructions by cooperations began to substitute for the small scale housing production. </w:t>
      </w:r>
      <w:r w:rsidR="00C40620">
        <w:rPr>
          <w:rFonts w:cs="Arial"/>
          <w:noProof/>
        </w:rPr>
        <w:t xml:space="preserve">However, as Unverdi et al. argue, while this was a crucial step towards physical and legal integration, it did not result in </w:t>
      </w:r>
      <w:r w:rsidR="00C40620">
        <w:rPr>
          <w:rFonts w:cs="Arial"/>
          <w:noProof/>
        </w:rPr>
        <w:lastRenderedPageBreak/>
        <w:t xml:space="preserve">social integration as well. </w:t>
      </w:r>
      <w:r w:rsidR="00417A4F">
        <w:rPr>
          <w:rFonts w:cs="Arial"/>
          <w:noProof/>
        </w:rPr>
        <w:t>After 1990 the migratory wave of people unwillingly dislocated from South-Eastern Turkey was added in the social tissue of the Region.</w:t>
      </w:r>
    </w:p>
    <w:p w:rsidR="0011739F" w:rsidRDefault="007179EA" w:rsidP="00732050">
      <w:pPr>
        <w:spacing w:line="276" w:lineRule="auto"/>
        <w:rPr>
          <w:rFonts w:cs="Arial"/>
        </w:rPr>
      </w:pPr>
      <w:r>
        <w:rPr>
          <w:rFonts w:cs="Arial"/>
          <w:noProof/>
        </w:rPr>
        <w:t xml:space="preserve">A new </w:t>
      </w:r>
      <w:r w:rsidR="00890594">
        <w:rPr>
          <w:rFonts w:cs="Arial"/>
          <w:noProof/>
        </w:rPr>
        <w:t>legalization and regen</w:t>
      </w:r>
      <w:r w:rsidR="00826590">
        <w:rPr>
          <w:rFonts w:cs="Arial"/>
          <w:noProof/>
        </w:rPr>
        <w:t>e</w:t>
      </w:r>
      <w:r w:rsidR="00890594">
        <w:rPr>
          <w:rFonts w:cs="Arial"/>
          <w:noProof/>
        </w:rPr>
        <w:t xml:space="preserve">ration </w:t>
      </w:r>
      <w:r>
        <w:rPr>
          <w:rFonts w:cs="Arial"/>
          <w:noProof/>
        </w:rPr>
        <w:t>model was propo</w:t>
      </w:r>
      <w:r w:rsidR="0011739F">
        <w:rPr>
          <w:rFonts w:cs="Arial"/>
          <w:noProof/>
        </w:rPr>
        <w:t>se</w:t>
      </w:r>
      <w:r>
        <w:rPr>
          <w:rFonts w:cs="Arial"/>
          <w:noProof/>
        </w:rPr>
        <w:t>d</w:t>
      </w:r>
      <w:r w:rsidR="0011739F">
        <w:rPr>
          <w:rFonts w:cs="Arial"/>
          <w:noProof/>
        </w:rPr>
        <w:t xml:space="preserve"> and implemented </w:t>
      </w:r>
      <w:r w:rsidR="000C0527">
        <w:rPr>
          <w:rFonts w:cs="Arial"/>
          <w:noProof/>
        </w:rPr>
        <w:t>two decades after the first legalization</w:t>
      </w:r>
      <w:r>
        <w:rPr>
          <w:rFonts w:cs="Arial"/>
          <w:noProof/>
        </w:rPr>
        <w:t xml:space="preserve"> process,</w:t>
      </w:r>
      <w:r w:rsidR="000C0527">
        <w:rPr>
          <w:rFonts w:cs="Arial"/>
          <w:noProof/>
        </w:rPr>
        <w:t xml:space="preserve"> in order to solve the above </w:t>
      </w:r>
      <w:r w:rsidR="00E05489">
        <w:rPr>
          <w:rFonts w:cs="Arial"/>
          <w:noProof/>
        </w:rPr>
        <w:t xml:space="preserve">mentioned </w:t>
      </w:r>
      <w:r w:rsidR="000C0527">
        <w:rPr>
          <w:rFonts w:cs="Arial"/>
          <w:noProof/>
        </w:rPr>
        <w:t>difficulties. The cornerstone of the new model is the establishment of a public non-</w:t>
      </w:r>
      <w:r w:rsidR="000C0527">
        <w:rPr>
          <w:rFonts w:cs="Arial"/>
        </w:rPr>
        <w:t>profit entity</w:t>
      </w:r>
      <w:r w:rsidR="002F197F">
        <w:rPr>
          <w:rFonts w:cs="Arial"/>
        </w:rPr>
        <w:t xml:space="preserve"> under the name </w:t>
      </w:r>
      <w:r w:rsidR="002F197F" w:rsidRPr="002F197F">
        <w:rPr>
          <w:rFonts w:cs="Arial"/>
        </w:rPr>
        <w:t>Turkish Housing Development Administration</w:t>
      </w:r>
      <w:r w:rsidR="002F197F">
        <w:rPr>
          <w:rFonts w:cs="Arial"/>
        </w:rPr>
        <w:t xml:space="preserve"> (T</w:t>
      </w:r>
      <w:r w:rsidR="002F197F">
        <w:rPr>
          <w:rFonts w:cs="Arial"/>
        </w:rPr>
        <w:t>O</w:t>
      </w:r>
      <w:r w:rsidR="002F197F">
        <w:rPr>
          <w:rFonts w:cs="Arial"/>
        </w:rPr>
        <w:t>KI).</w:t>
      </w:r>
      <w:r w:rsidR="002A0B5A">
        <w:rPr>
          <w:rFonts w:cs="Arial"/>
        </w:rPr>
        <w:t xml:space="preserve">TOKI was granted ownership titles to public land where Gecekondus have been </w:t>
      </w:r>
      <w:r w:rsidR="00732050">
        <w:rPr>
          <w:rFonts w:cs="Arial"/>
        </w:rPr>
        <w:t>settled</w:t>
      </w:r>
      <w:r w:rsidR="002A0B5A">
        <w:rPr>
          <w:rFonts w:cs="Arial"/>
        </w:rPr>
        <w:t xml:space="preserve"> and the right to sell and rent land and buildings. </w:t>
      </w:r>
      <w:r w:rsidR="002C0A52">
        <w:rPr>
          <w:rFonts w:cs="Arial"/>
        </w:rPr>
        <w:t>T</w:t>
      </w:r>
      <w:r w:rsidR="002A0B5A">
        <w:rPr>
          <w:rFonts w:cs="Arial"/>
        </w:rPr>
        <w:t xml:space="preserve">he key idea is </w:t>
      </w:r>
      <w:r w:rsidR="002C0A52">
        <w:rPr>
          <w:rFonts w:cs="Arial"/>
        </w:rPr>
        <w:t>to build a su</w:t>
      </w:r>
      <w:r w:rsidR="002C0A52">
        <w:rPr>
          <w:rFonts w:cs="Arial"/>
        </w:rPr>
        <w:t>s</w:t>
      </w:r>
      <w:r w:rsidR="002C0A52">
        <w:rPr>
          <w:rFonts w:cs="Arial"/>
        </w:rPr>
        <w:t xml:space="preserve">tainable regeneration model </w:t>
      </w:r>
      <w:r w:rsidR="0014211D">
        <w:rPr>
          <w:rFonts w:cs="Arial"/>
        </w:rPr>
        <w:t xml:space="preserve">by </w:t>
      </w:r>
      <w:r w:rsidR="002C0A52" w:rsidRPr="002C0A52">
        <w:rPr>
          <w:rFonts w:cs="Arial"/>
        </w:rPr>
        <w:t>enabl</w:t>
      </w:r>
      <w:r w:rsidR="002C0A52">
        <w:rPr>
          <w:rFonts w:cs="Arial"/>
        </w:rPr>
        <w:t>ing</w:t>
      </w:r>
      <w:r w:rsidR="002C0A52" w:rsidRPr="002C0A52">
        <w:rPr>
          <w:rFonts w:cs="Arial"/>
        </w:rPr>
        <w:t xml:space="preserve"> TOK</w:t>
      </w:r>
      <w:r w:rsidR="002C0A52">
        <w:rPr>
          <w:rFonts w:cs="Arial"/>
        </w:rPr>
        <w:t>I</w:t>
      </w:r>
      <w:r w:rsidR="002C0A52" w:rsidRPr="002C0A52">
        <w:rPr>
          <w:rFonts w:cs="Arial"/>
        </w:rPr>
        <w:t xml:space="preserve"> and local authorities to accomplish</w:t>
      </w:r>
      <w:r w:rsidR="002C0A52">
        <w:rPr>
          <w:rFonts w:cs="Arial"/>
        </w:rPr>
        <w:t xml:space="preserve"> </w:t>
      </w:r>
      <w:r w:rsidR="002C0A52" w:rsidRPr="002C0A52">
        <w:rPr>
          <w:rFonts w:cs="Arial"/>
        </w:rPr>
        <w:t xml:space="preserve">upgrading projects on these areas without </w:t>
      </w:r>
      <w:r w:rsidR="0014211D">
        <w:rPr>
          <w:rFonts w:cs="Arial"/>
        </w:rPr>
        <w:t>faci</w:t>
      </w:r>
      <w:r w:rsidR="002C0A52" w:rsidRPr="002C0A52">
        <w:rPr>
          <w:rFonts w:cs="Arial"/>
        </w:rPr>
        <w:t>ng financial difficulties</w:t>
      </w:r>
      <w:r w:rsidR="0014211D">
        <w:rPr>
          <w:rFonts w:cs="Arial"/>
        </w:rPr>
        <w:t>.</w:t>
      </w:r>
      <w:r w:rsidR="00850D18">
        <w:rPr>
          <w:rFonts w:cs="Arial"/>
        </w:rPr>
        <w:t xml:space="preserve"> </w:t>
      </w:r>
      <w:r w:rsidR="0014211D">
        <w:rPr>
          <w:rFonts w:cs="Arial"/>
        </w:rPr>
        <w:t>T</w:t>
      </w:r>
      <w:r w:rsidR="002C0A52" w:rsidRPr="002C0A52">
        <w:rPr>
          <w:rFonts w:cs="Arial"/>
        </w:rPr>
        <w:t>he construc</w:t>
      </w:r>
      <w:r w:rsidR="002C0A52" w:rsidRPr="002C0A52">
        <w:rPr>
          <w:rFonts w:cs="Arial"/>
        </w:rPr>
        <w:t>t</w:t>
      </w:r>
      <w:r w:rsidR="002C0A52" w:rsidRPr="002C0A52">
        <w:rPr>
          <w:rFonts w:cs="Arial"/>
        </w:rPr>
        <w:t>ed houses remaining after allocation to</w:t>
      </w:r>
      <w:r w:rsidR="002C0A52">
        <w:rPr>
          <w:rFonts w:cs="Arial"/>
        </w:rPr>
        <w:t xml:space="preserve"> </w:t>
      </w:r>
      <w:r w:rsidR="002C0A52" w:rsidRPr="002C0A52">
        <w:rPr>
          <w:rFonts w:cs="Arial"/>
        </w:rPr>
        <w:t>the right holders</w:t>
      </w:r>
      <w:r w:rsidR="00850D18">
        <w:rPr>
          <w:rFonts w:cs="Arial"/>
        </w:rPr>
        <w:t xml:space="preserve"> (i.e. the squatters)</w:t>
      </w:r>
      <w:r w:rsidR="002C0A52" w:rsidRPr="002C0A52">
        <w:rPr>
          <w:rFonts w:cs="Arial"/>
        </w:rPr>
        <w:t xml:space="preserve"> </w:t>
      </w:r>
      <w:r w:rsidR="00850D18">
        <w:rPr>
          <w:rFonts w:cs="Arial"/>
        </w:rPr>
        <w:t>wo</w:t>
      </w:r>
      <w:r>
        <w:rPr>
          <w:rFonts w:cs="Arial"/>
        </w:rPr>
        <w:t>u</w:t>
      </w:r>
      <w:r w:rsidR="00850D18">
        <w:rPr>
          <w:rFonts w:cs="Arial"/>
        </w:rPr>
        <w:t>ld be</w:t>
      </w:r>
      <w:r>
        <w:rPr>
          <w:rFonts w:cs="Arial"/>
        </w:rPr>
        <w:t xml:space="preserve"> sold</w:t>
      </w:r>
      <w:r w:rsidR="00850D18">
        <w:rPr>
          <w:rFonts w:cs="Arial"/>
        </w:rPr>
        <w:t xml:space="preserve"> to other buyers </w:t>
      </w:r>
      <w:r w:rsidR="002C0A52" w:rsidRPr="002C0A52">
        <w:rPr>
          <w:rFonts w:cs="Arial"/>
        </w:rPr>
        <w:t>in a good price</w:t>
      </w:r>
      <w:r w:rsidR="0014211D">
        <w:rPr>
          <w:rFonts w:cs="Arial"/>
        </w:rPr>
        <w:t>, especially when the land is situated close to city centres, in proximity with places of touristic attraction etc</w:t>
      </w:r>
      <w:r w:rsidR="002C0A52">
        <w:rPr>
          <w:rFonts w:cs="Arial"/>
        </w:rPr>
        <w:t>.</w:t>
      </w:r>
    </w:p>
    <w:p w:rsidR="003A362C" w:rsidRDefault="00E81B9C" w:rsidP="00732050">
      <w:pPr>
        <w:spacing w:line="276" w:lineRule="auto"/>
        <w:rPr>
          <w:rFonts w:cs="Arial"/>
        </w:rPr>
      </w:pPr>
      <w:r>
        <w:rPr>
          <w:rFonts w:cs="Arial"/>
        </w:rPr>
        <w:t xml:space="preserve">The model has two variants, either constructing new housing units for the squatters in the same area of the Gecekondus </w:t>
      </w:r>
      <w:r w:rsidR="00C13982">
        <w:rPr>
          <w:rFonts w:cs="Arial"/>
        </w:rPr>
        <w:t>(</w:t>
      </w:r>
      <w:r w:rsidR="00C13982" w:rsidRPr="00C13982">
        <w:rPr>
          <w:rFonts w:cs="Arial"/>
        </w:rPr>
        <w:t>slum owners are moved to</w:t>
      </w:r>
      <w:r w:rsidR="00C13982">
        <w:rPr>
          <w:rFonts w:cs="Arial"/>
        </w:rPr>
        <w:t xml:space="preserve"> </w:t>
      </w:r>
      <w:r w:rsidR="00C13982" w:rsidRPr="00C13982">
        <w:rPr>
          <w:rFonts w:cs="Arial"/>
        </w:rPr>
        <w:t>temporary houses during the upgrading process</w:t>
      </w:r>
      <w:r w:rsidR="00C13982">
        <w:rPr>
          <w:rFonts w:cs="Arial"/>
        </w:rPr>
        <w:t xml:space="preserve">) </w:t>
      </w:r>
      <w:r>
        <w:rPr>
          <w:rFonts w:cs="Arial"/>
        </w:rPr>
        <w:t xml:space="preserve">or removing the squatters from their dwellings to other vacanta areas. </w:t>
      </w:r>
      <w:r w:rsidR="00C13982">
        <w:rPr>
          <w:rFonts w:cs="Arial"/>
        </w:rPr>
        <w:t>In the latter case t</w:t>
      </w:r>
      <w:r w:rsidR="00C13982" w:rsidRPr="00C13982">
        <w:rPr>
          <w:rFonts w:cs="Arial"/>
        </w:rPr>
        <w:t>he illegal settlement area is</w:t>
      </w:r>
      <w:r w:rsidR="00C13982">
        <w:rPr>
          <w:rFonts w:cs="Arial"/>
        </w:rPr>
        <w:t xml:space="preserve"> </w:t>
      </w:r>
      <w:r w:rsidR="00C13982" w:rsidRPr="00C13982">
        <w:rPr>
          <w:rFonts w:cs="Arial"/>
        </w:rPr>
        <w:t xml:space="preserve">purified after </w:t>
      </w:r>
      <w:r w:rsidR="00C13982">
        <w:rPr>
          <w:rFonts w:cs="Arial"/>
        </w:rPr>
        <w:t>an</w:t>
      </w:r>
      <w:r w:rsidR="00C13982" w:rsidRPr="00C13982">
        <w:rPr>
          <w:rFonts w:cs="Arial"/>
        </w:rPr>
        <w:t xml:space="preserve"> evac</w:t>
      </w:r>
      <w:r w:rsidR="00C13982" w:rsidRPr="00C13982">
        <w:rPr>
          <w:rFonts w:cs="Arial"/>
        </w:rPr>
        <w:t>u</w:t>
      </w:r>
      <w:r w:rsidR="00C13982" w:rsidRPr="00C13982">
        <w:rPr>
          <w:rFonts w:cs="Arial"/>
        </w:rPr>
        <w:t xml:space="preserve">ation process by the </w:t>
      </w:r>
      <w:r w:rsidR="00387E14">
        <w:rPr>
          <w:rFonts w:cs="Arial"/>
        </w:rPr>
        <w:t>responsible</w:t>
      </w:r>
      <w:r w:rsidR="00C13982">
        <w:rPr>
          <w:rFonts w:cs="Arial"/>
        </w:rPr>
        <w:t xml:space="preserve"> </w:t>
      </w:r>
      <w:r w:rsidR="00C13982" w:rsidRPr="00C13982">
        <w:rPr>
          <w:rFonts w:cs="Arial"/>
        </w:rPr>
        <w:t>local authority and</w:t>
      </w:r>
      <w:r w:rsidR="00C13982">
        <w:rPr>
          <w:rFonts w:cs="Arial"/>
        </w:rPr>
        <w:t xml:space="preserve"> then</w:t>
      </w:r>
      <w:r w:rsidR="00C13982" w:rsidRPr="00C13982">
        <w:rPr>
          <w:rFonts w:cs="Arial"/>
        </w:rPr>
        <w:t xml:space="preserve"> transferred to TOK</w:t>
      </w:r>
      <w:r w:rsidR="00C13982">
        <w:rPr>
          <w:rFonts w:cs="Arial"/>
        </w:rPr>
        <w:t>I.</w:t>
      </w:r>
    </w:p>
    <w:p w:rsidR="00FE025B" w:rsidRDefault="006B3F04" w:rsidP="00732050">
      <w:pPr>
        <w:spacing w:line="276" w:lineRule="auto"/>
        <w:rPr>
          <w:rFonts w:cs="Arial"/>
        </w:rPr>
      </w:pPr>
      <w:r>
        <w:rPr>
          <w:rFonts w:cs="Arial"/>
        </w:rPr>
        <w:t xml:space="preserve">A </w:t>
      </w:r>
      <w:r w:rsidR="00387E14">
        <w:rPr>
          <w:rFonts w:cs="Arial"/>
        </w:rPr>
        <w:t>successful</w:t>
      </w:r>
      <w:r w:rsidR="001B4530">
        <w:rPr>
          <w:rFonts w:cs="Arial"/>
        </w:rPr>
        <w:t xml:space="preserve"> example </w:t>
      </w:r>
      <w:r>
        <w:rPr>
          <w:rFonts w:cs="Arial"/>
        </w:rPr>
        <w:t xml:space="preserve">of </w:t>
      </w:r>
      <w:r w:rsidR="00387E14">
        <w:rPr>
          <w:rFonts w:cs="Arial"/>
        </w:rPr>
        <w:t>implementation</w:t>
      </w:r>
      <w:r>
        <w:rPr>
          <w:rFonts w:cs="Arial"/>
        </w:rPr>
        <w:t xml:space="preserve"> is given by Uzun et al. </w:t>
      </w:r>
      <w:r w:rsidR="00387E14">
        <w:rPr>
          <w:rFonts w:cs="Arial"/>
        </w:rPr>
        <w:t>regarding</w:t>
      </w:r>
      <w:r>
        <w:rPr>
          <w:rFonts w:cs="Arial"/>
        </w:rPr>
        <w:t xml:space="preserve"> the rege</w:t>
      </w:r>
      <w:r>
        <w:rPr>
          <w:rFonts w:cs="Arial"/>
        </w:rPr>
        <w:t>n</w:t>
      </w:r>
      <w:r>
        <w:rPr>
          <w:rFonts w:cs="Arial"/>
        </w:rPr>
        <w:t>eration of the Çarsi</w:t>
      </w:r>
      <w:r w:rsidRPr="006B3F04">
        <w:rPr>
          <w:rFonts w:cs="Arial"/>
        </w:rPr>
        <w:t xml:space="preserve"> Quarter</w:t>
      </w:r>
      <w:r>
        <w:rPr>
          <w:rFonts w:cs="Arial"/>
        </w:rPr>
        <w:t xml:space="preserve"> in Erzincan, Anatolia. </w:t>
      </w:r>
      <w:r w:rsidR="007179EA">
        <w:rPr>
          <w:rFonts w:cs="Arial"/>
        </w:rPr>
        <w:t xml:space="preserve">However, a study </w:t>
      </w:r>
      <w:r w:rsidR="003B6928">
        <w:rPr>
          <w:rFonts w:cs="Arial"/>
        </w:rPr>
        <w:t>about</w:t>
      </w:r>
      <w:r w:rsidR="007179EA">
        <w:rPr>
          <w:rFonts w:cs="Arial"/>
        </w:rPr>
        <w:t xml:space="preserve"> the case of Narli</w:t>
      </w:r>
      <w:r w:rsidR="007179EA" w:rsidRPr="007179EA">
        <w:rPr>
          <w:rFonts w:cs="Arial"/>
        </w:rPr>
        <w:t>dere</w:t>
      </w:r>
      <w:r w:rsidR="007179EA">
        <w:rPr>
          <w:rFonts w:cs="Arial"/>
        </w:rPr>
        <w:t xml:space="preserve"> </w:t>
      </w:r>
      <w:r w:rsidR="007179EA" w:rsidRPr="007179EA">
        <w:rPr>
          <w:rFonts w:cs="Arial"/>
        </w:rPr>
        <w:t>District</w:t>
      </w:r>
      <w:r w:rsidR="007179EA">
        <w:rPr>
          <w:rFonts w:cs="Arial"/>
        </w:rPr>
        <w:t xml:space="preserve"> </w:t>
      </w:r>
      <w:r w:rsidR="00AB1282">
        <w:rPr>
          <w:rFonts w:cs="Arial"/>
        </w:rPr>
        <w:t>on the seashor</w:t>
      </w:r>
      <w:r w:rsidR="00100AF4">
        <w:rPr>
          <w:rFonts w:cs="Arial"/>
        </w:rPr>
        <w:t>e</w:t>
      </w:r>
      <w:r w:rsidR="00AB1282">
        <w:rPr>
          <w:rFonts w:cs="Arial"/>
        </w:rPr>
        <w:t xml:space="preserve"> of </w:t>
      </w:r>
      <w:r w:rsidR="007179EA">
        <w:rPr>
          <w:rFonts w:cs="Arial"/>
        </w:rPr>
        <w:t>Izmir (Arslan, 2013) gives a more critical view</w:t>
      </w:r>
      <w:r w:rsidR="003B6928">
        <w:rPr>
          <w:rFonts w:cs="Arial"/>
        </w:rPr>
        <w:t xml:space="preserve"> on slum clearance</w:t>
      </w:r>
      <w:r w:rsidR="007179EA">
        <w:rPr>
          <w:rFonts w:cs="Arial"/>
        </w:rPr>
        <w:t xml:space="preserve">. </w:t>
      </w:r>
      <w:r w:rsidR="00AB1282">
        <w:rPr>
          <w:rFonts w:cs="Arial"/>
        </w:rPr>
        <w:t>The I</w:t>
      </w:r>
      <w:r w:rsidR="00AB1282" w:rsidRPr="00AB1282">
        <w:rPr>
          <w:rFonts w:cs="Arial"/>
        </w:rPr>
        <w:t>kinci</w:t>
      </w:r>
      <w:r w:rsidR="00AB1282">
        <w:rPr>
          <w:rFonts w:cs="Arial"/>
        </w:rPr>
        <w:t xml:space="preserve"> I</w:t>
      </w:r>
      <w:r w:rsidR="00AB1282" w:rsidRPr="00AB1282">
        <w:rPr>
          <w:rFonts w:cs="Arial"/>
        </w:rPr>
        <w:t>nönü</w:t>
      </w:r>
      <w:r w:rsidR="00AB1282">
        <w:rPr>
          <w:rFonts w:cs="Arial"/>
        </w:rPr>
        <w:t xml:space="preserve"> neighborhood in Narlidere was </w:t>
      </w:r>
      <w:r w:rsidR="00387E14">
        <w:rPr>
          <w:rFonts w:cs="Arial"/>
        </w:rPr>
        <w:t>developed</w:t>
      </w:r>
      <w:r w:rsidR="00AB1282">
        <w:rPr>
          <w:rFonts w:cs="Arial"/>
        </w:rPr>
        <w:t xml:space="preserve"> as a Gecekondu. </w:t>
      </w:r>
      <w:r w:rsidR="005C6780">
        <w:rPr>
          <w:rFonts w:cs="Arial"/>
        </w:rPr>
        <w:t>The Narli</w:t>
      </w:r>
      <w:r w:rsidR="005C6780" w:rsidRPr="005C6780">
        <w:rPr>
          <w:rFonts w:cs="Arial"/>
        </w:rPr>
        <w:t>dere Urban Regeneration Project</w:t>
      </w:r>
      <w:r w:rsidR="005C6780">
        <w:rPr>
          <w:rFonts w:cs="Arial"/>
        </w:rPr>
        <w:t xml:space="preserve"> (</w:t>
      </w:r>
      <w:r w:rsidR="005C6780" w:rsidRPr="005C6780">
        <w:rPr>
          <w:rFonts w:cs="Arial"/>
        </w:rPr>
        <w:t>NARKENT</w:t>
      </w:r>
      <w:r w:rsidR="005C6780">
        <w:rPr>
          <w:rFonts w:cs="Arial"/>
        </w:rPr>
        <w:t>) was launched in the mid-1990s through an “</w:t>
      </w:r>
      <w:r w:rsidR="005C6780" w:rsidRPr="005C6780">
        <w:rPr>
          <w:rFonts w:cs="Arial"/>
        </w:rPr>
        <w:t>urban cooperative system</w:t>
      </w:r>
      <w:r w:rsidR="005C6780">
        <w:rPr>
          <w:rFonts w:cs="Arial"/>
        </w:rPr>
        <w:t>” in order to re</w:t>
      </w:r>
      <w:r w:rsidR="005C6780" w:rsidRPr="005C6780">
        <w:rPr>
          <w:rFonts w:cs="Arial"/>
        </w:rPr>
        <w:t xml:space="preserve">move </w:t>
      </w:r>
      <w:r w:rsidR="005C6780">
        <w:rPr>
          <w:rFonts w:cs="Arial"/>
        </w:rPr>
        <w:t xml:space="preserve">the </w:t>
      </w:r>
      <w:r w:rsidR="00387E14">
        <w:rPr>
          <w:rFonts w:cs="Arial"/>
        </w:rPr>
        <w:t>G</w:t>
      </w:r>
      <w:r w:rsidR="005C6780" w:rsidRPr="005C6780">
        <w:rPr>
          <w:rFonts w:cs="Arial"/>
        </w:rPr>
        <w:t>ecekondu, to create a</w:t>
      </w:r>
      <w:r w:rsidR="005C6780">
        <w:rPr>
          <w:rFonts w:cs="Arial"/>
        </w:rPr>
        <w:t xml:space="preserve"> </w:t>
      </w:r>
      <w:r w:rsidR="00387E14" w:rsidRPr="005C6780">
        <w:rPr>
          <w:rFonts w:cs="Arial"/>
        </w:rPr>
        <w:t>liveable</w:t>
      </w:r>
      <w:r w:rsidR="005C6780" w:rsidRPr="005C6780">
        <w:rPr>
          <w:rFonts w:cs="Arial"/>
        </w:rPr>
        <w:t xml:space="preserve"> urban environment, to make it possible for</w:t>
      </w:r>
      <w:r w:rsidR="00FE025B">
        <w:rPr>
          <w:rFonts w:cs="Arial"/>
        </w:rPr>
        <w:t xml:space="preserve"> the </w:t>
      </w:r>
      <w:r w:rsidR="00387E14">
        <w:rPr>
          <w:rFonts w:cs="Arial"/>
        </w:rPr>
        <w:t>G</w:t>
      </w:r>
      <w:r w:rsidR="005C6780" w:rsidRPr="005C6780">
        <w:rPr>
          <w:rFonts w:cs="Arial"/>
        </w:rPr>
        <w:t>ecekondu to integrate with the city and to</w:t>
      </w:r>
      <w:r w:rsidR="005C6780">
        <w:rPr>
          <w:rFonts w:cs="Arial"/>
        </w:rPr>
        <w:t xml:space="preserve"> </w:t>
      </w:r>
      <w:r w:rsidR="005C6780" w:rsidRPr="005C6780">
        <w:rPr>
          <w:rFonts w:cs="Arial"/>
        </w:rPr>
        <w:t>enable th</w:t>
      </w:r>
      <w:r w:rsidR="00FE025B">
        <w:rPr>
          <w:rFonts w:cs="Arial"/>
        </w:rPr>
        <w:t>ose with low-income</w:t>
      </w:r>
      <w:r w:rsidR="005C6780" w:rsidRPr="005C6780">
        <w:rPr>
          <w:rFonts w:cs="Arial"/>
        </w:rPr>
        <w:t xml:space="preserve"> to </w:t>
      </w:r>
      <w:r w:rsidR="005C6780">
        <w:rPr>
          <w:rFonts w:cs="Arial"/>
        </w:rPr>
        <w:t>access</w:t>
      </w:r>
      <w:r w:rsidR="005C6780" w:rsidRPr="005C6780">
        <w:rPr>
          <w:rFonts w:cs="Arial"/>
        </w:rPr>
        <w:t xml:space="preserve"> </w:t>
      </w:r>
      <w:r w:rsidR="005C6780">
        <w:rPr>
          <w:rFonts w:cs="Arial"/>
        </w:rPr>
        <w:t>adequate housing.</w:t>
      </w:r>
      <w:r w:rsidR="00767636">
        <w:rPr>
          <w:rFonts w:cs="Arial"/>
        </w:rPr>
        <w:t xml:space="preserve"> The housing cooperative that undertook the project would be able to construct </w:t>
      </w:r>
      <w:r w:rsidR="00FE025B">
        <w:rPr>
          <w:rFonts w:cs="Arial"/>
        </w:rPr>
        <w:t xml:space="preserve">new residential buildings for its own members, after </w:t>
      </w:r>
      <w:r w:rsidR="00387E14">
        <w:rPr>
          <w:rFonts w:cs="Arial"/>
        </w:rPr>
        <w:t>completing</w:t>
      </w:r>
      <w:r w:rsidR="00FE025B">
        <w:rPr>
          <w:rFonts w:cs="Arial"/>
        </w:rPr>
        <w:t xml:space="preserve"> the blocks for the slum owners. </w:t>
      </w:r>
    </w:p>
    <w:p w:rsidR="00C60396" w:rsidRDefault="00767636" w:rsidP="00732050">
      <w:pPr>
        <w:spacing w:line="276" w:lineRule="auto"/>
        <w:rPr>
          <w:rFonts w:cs="Arial"/>
        </w:rPr>
      </w:pPr>
      <w:r>
        <w:rPr>
          <w:rFonts w:cs="Arial"/>
        </w:rPr>
        <w:t>However, Arslan’s survey reveals that the dwellers of the NARKENT blocks are ge</w:t>
      </w:r>
      <w:r>
        <w:rPr>
          <w:rFonts w:cs="Arial"/>
        </w:rPr>
        <w:t>n</w:t>
      </w:r>
      <w:r>
        <w:rPr>
          <w:rFonts w:cs="Arial"/>
        </w:rPr>
        <w:t xml:space="preserve">erally dissatisfied with the living conditions in their new dwellings, while they feel that they were excluded </w:t>
      </w:r>
      <w:r w:rsidR="00387E14">
        <w:rPr>
          <w:rFonts w:cs="Arial"/>
        </w:rPr>
        <w:t>from</w:t>
      </w:r>
      <w:r w:rsidR="00FE025B">
        <w:rPr>
          <w:rFonts w:cs="Arial"/>
        </w:rPr>
        <w:t xml:space="preserve"> the planning process.</w:t>
      </w:r>
      <w:r w:rsidR="001873B8">
        <w:rPr>
          <w:rFonts w:cs="Arial"/>
        </w:rPr>
        <w:t xml:space="preserve"> Only 18% of those </w:t>
      </w:r>
      <w:r w:rsidR="00387E14">
        <w:rPr>
          <w:rFonts w:cs="Arial"/>
        </w:rPr>
        <w:t>that</w:t>
      </w:r>
      <w:r w:rsidR="001873B8">
        <w:rPr>
          <w:rFonts w:cs="Arial"/>
        </w:rPr>
        <w:t xml:space="preserve"> remain in the </w:t>
      </w:r>
      <w:r w:rsidR="00387E14">
        <w:rPr>
          <w:rFonts w:cs="Arial"/>
        </w:rPr>
        <w:t>G</w:t>
      </w:r>
      <w:r w:rsidR="001873B8">
        <w:rPr>
          <w:rFonts w:cs="Arial"/>
        </w:rPr>
        <w:t>ecekondu state they would choose NARKENT if it was to buy a house.</w:t>
      </w:r>
      <w:r w:rsidR="0089428F">
        <w:rPr>
          <w:rFonts w:cs="Arial"/>
        </w:rPr>
        <w:t xml:space="preserve"> Moreover, a public campaign advertising the newly built housing </w:t>
      </w:r>
      <w:proofErr w:type="gramStart"/>
      <w:r w:rsidR="0089428F">
        <w:rPr>
          <w:rFonts w:cs="Arial"/>
        </w:rPr>
        <w:t>units that is</w:t>
      </w:r>
      <w:proofErr w:type="gramEnd"/>
      <w:r w:rsidR="0089428F">
        <w:rPr>
          <w:rFonts w:cs="Arial"/>
        </w:rPr>
        <w:t xml:space="preserve"> </w:t>
      </w:r>
      <w:r w:rsidR="00387E14">
        <w:rPr>
          <w:rFonts w:cs="Arial"/>
        </w:rPr>
        <w:t>addressed</w:t>
      </w:r>
      <w:r w:rsidR="0089428F">
        <w:rPr>
          <w:rFonts w:cs="Arial"/>
        </w:rPr>
        <w:t xml:space="preserve"> to pote</w:t>
      </w:r>
      <w:r w:rsidR="0089428F">
        <w:rPr>
          <w:rFonts w:cs="Arial"/>
        </w:rPr>
        <w:t>n</w:t>
      </w:r>
      <w:r w:rsidR="0089428F">
        <w:rPr>
          <w:rFonts w:cs="Arial"/>
        </w:rPr>
        <w:t xml:space="preserve">tial </w:t>
      </w:r>
      <w:r w:rsidR="00387E14">
        <w:rPr>
          <w:rFonts w:cs="Arial"/>
        </w:rPr>
        <w:t>middle</w:t>
      </w:r>
      <w:r w:rsidR="0089428F">
        <w:rPr>
          <w:rFonts w:cs="Arial"/>
        </w:rPr>
        <w:t xml:space="preserve"> </w:t>
      </w:r>
      <w:r w:rsidR="00387E14">
        <w:rPr>
          <w:rFonts w:cs="Arial"/>
        </w:rPr>
        <w:t>class</w:t>
      </w:r>
      <w:r w:rsidR="00AD270D">
        <w:rPr>
          <w:rFonts w:cs="Arial"/>
        </w:rPr>
        <w:t xml:space="preserve"> residents with </w:t>
      </w:r>
      <w:r w:rsidR="0089428F">
        <w:rPr>
          <w:rFonts w:cs="Arial"/>
        </w:rPr>
        <w:t xml:space="preserve">the construction </w:t>
      </w:r>
      <w:r w:rsidR="00AD270D">
        <w:rPr>
          <w:rFonts w:cs="Arial"/>
        </w:rPr>
        <w:t xml:space="preserve">of the </w:t>
      </w:r>
      <w:r w:rsidR="00AD270D" w:rsidRPr="00AD270D">
        <w:rPr>
          <w:rFonts w:cs="Arial"/>
        </w:rPr>
        <w:t>Erda</w:t>
      </w:r>
      <w:r w:rsidR="00AD270D">
        <w:rPr>
          <w:rFonts w:cs="Arial"/>
        </w:rPr>
        <w:t>l I</w:t>
      </w:r>
      <w:r w:rsidR="00AD270D" w:rsidRPr="00AD270D">
        <w:rPr>
          <w:rFonts w:cs="Arial"/>
        </w:rPr>
        <w:t>nönü Street</w:t>
      </w:r>
      <w:r w:rsidR="00AD270D">
        <w:rPr>
          <w:rFonts w:cs="Arial"/>
        </w:rPr>
        <w:t xml:space="preserve"> tend to is</w:t>
      </w:r>
      <w:r w:rsidR="00AD270D">
        <w:rPr>
          <w:rFonts w:cs="Arial"/>
        </w:rPr>
        <w:t>o</w:t>
      </w:r>
      <w:r w:rsidR="00AD270D">
        <w:rPr>
          <w:rFonts w:cs="Arial"/>
        </w:rPr>
        <w:t xml:space="preserve">late the </w:t>
      </w:r>
      <w:r w:rsidR="00387E14">
        <w:rPr>
          <w:rFonts w:cs="Arial"/>
        </w:rPr>
        <w:t>G</w:t>
      </w:r>
      <w:r w:rsidR="00AD270D">
        <w:rPr>
          <w:rFonts w:cs="Arial"/>
        </w:rPr>
        <w:t xml:space="preserve">ecekondu and the NARKENT project form their surroundings in both social and </w:t>
      </w:r>
      <w:r w:rsidR="00387E14">
        <w:rPr>
          <w:rFonts w:cs="Arial"/>
        </w:rPr>
        <w:t>physical</w:t>
      </w:r>
      <w:r w:rsidR="00AD270D">
        <w:rPr>
          <w:rFonts w:cs="Arial"/>
        </w:rPr>
        <w:t xml:space="preserve"> terms.</w:t>
      </w:r>
    </w:p>
    <w:p w:rsidR="0014211D" w:rsidRDefault="00C60396" w:rsidP="00732050">
      <w:pPr>
        <w:spacing w:line="276" w:lineRule="auto"/>
        <w:rPr>
          <w:rFonts w:cs="Arial"/>
        </w:rPr>
      </w:pPr>
      <w:r>
        <w:rPr>
          <w:rFonts w:cs="Arial"/>
        </w:rPr>
        <w:t>Other regeneration projects mentioned by Unverdi et al. (2007) reveal different a</w:t>
      </w:r>
      <w:r>
        <w:rPr>
          <w:rFonts w:cs="Arial"/>
        </w:rPr>
        <w:t>s</w:t>
      </w:r>
      <w:r>
        <w:rPr>
          <w:rFonts w:cs="Arial"/>
        </w:rPr>
        <w:t xml:space="preserve">pects, contradictions as well as good practices adopted by the involved authorities. For example, in the case of </w:t>
      </w:r>
      <w:r w:rsidR="00710285">
        <w:rPr>
          <w:rFonts w:cs="Arial"/>
        </w:rPr>
        <w:t xml:space="preserve">Uzundere in Konak district, the </w:t>
      </w:r>
      <w:r w:rsidR="00387E14">
        <w:rPr>
          <w:rFonts w:cs="Arial"/>
        </w:rPr>
        <w:t>regeneration</w:t>
      </w:r>
      <w:r w:rsidR="00710285">
        <w:rPr>
          <w:rFonts w:cs="Arial"/>
        </w:rPr>
        <w:t xml:space="preserve"> project ai</w:t>
      </w:r>
      <w:r w:rsidR="00710285">
        <w:rPr>
          <w:rFonts w:cs="Arial"/>
        </w:rPr>
        <w:t>m</w:t>
      </w:r>
      <w:r w:rsidR="00710285">
        <w:rPr>
          <w:rFonts w:cs="Arial"/>
        </w:rPr>
        <w:t xml:space="preserve">ing at relocating 1,845 families from the degrading Kadifekale </w:t>
      </w:r>
      <w:proofErr w:type="gramStart"/>
      <w:r w:rsidR="00387E14">
        <w:rPr>
          <w:rFonts w:cs="Arial"/>
        </w:rPr>
        <w:t>neighbourhood</w:t>
      </w:r>
      <w:r w:rsidR="00710285">
        <w:rPr>
          <w:rFonts w:cs="Arial"/>
        </w:rPr>
        <w:t>,</w:t>
      </w:r>
      <w:proofErr w:type="gramEnd"/>
      <w:r w:rsidR="00710285">
        <w:rPr>
          <w:rFonts w:cs="Arial"/>
        </w:rPr>
        <w:t xml:space="preserve"> i</w:t>
      </w:r>
      <w:r w:rsidR="00710285">
        <w:rPr>
          <w:rFonts w:cs="Arial"/>
        </w:rPr>
        <w:t>n</w:t>
      </w:r>
      <w:r w:rsidR="00710285">
        <w:rPr>
          <w:rFonts w:cs="Arial"/>
        </w:rPr>
        <w:t xml:space="preserve">cludes a specific intervention in order not to interrupt </w:t>
      </w:r>
      <w:r w:rsidR="00387E14">
        <w:rPr>
          <w:rFonts w:cs="Arial"/>
        </w:rPr>
        <w:t>traditional</w:t>
      </w:r>
      <w:r w:rsidR="00710285">
        <w:rPr>
          <w:rFonts w:cs="Arial"/>
        </w:rPr>
        <w:t xml:space="preserve"> activities of the rel</w:t>
      </w:r>
      <w:r w:rsidR="00710285">
        <w:rPr>
          <w:rFonts w:cs="Arial"/>
        </w:rPr>
        <w:t>o</w:t>
      </w:r>
      <w:r w:rsidR="00710285">
        <w:rPr>
          <w:rFonts w:cs="Arial"/>
        </w:rPr>
        <w:t>cat</w:t>
      </w:r>
      <w:r w:rsidR="009C12C9">
        <w:rPr>
          <w:rFonts w:cs="Arial"/>
        </w:rPr>
        <w:t>e</w:t>
      </w:r>
      <w:r w:rsidR="00710285">
        <w:rPr>
          <w:rFonts w:cs="Arial"/>
        </w:rPr>
        <w:t>d people, by establishing a mussel processing unit and a bazaar. On the contr</w:t>
      </w:r>
      <w:r w:rsidR="00710285">
        <w:rPr>
          <w:rFonts w:cs="Arial"/>
        </w:rPr>
        <w:t>a</w:t>
      </w:r>
      <w:r w:rsidR="00710285">
        <w:rPr>
          <w:rFonts w:cs="Arial"/>
        </w:rPr>
        <w:t xml:space="preserve">ry, while home-owners of Kadifekale receive a compensation for their property by which they can purchase their new dwellings in Uzundere, no similar arrangement </w:t>
      </w:r>
      <w:r w:rsidR="00710285">
        <w:rPr>
          <w:rFonts w:cs="Arial"/>
        </w:rPr>
        <w:lastRenderedPageBreak/>
        <w:t>exists for renters</w:t>
      </w:r>
      <w:r w:rsidR="009C12C9">
        <w:rPr>
          <w:rFonts w:cs="Arial"/>
        </w:rPr>
        <w:t xml:space="preserve"> who thus have to rely on the intentions of their home-owners</w:t>
      </w:r>
      <w:r w:rsidR="00710285">
        <w:rPr>
          <w:rFonts w:cs="Arial"/>
        </w:rPr>
        <w:t>.</w:t>
      </w:r>
      <w:r w:rsidR="00F648E9">
        <w:rPr>
          <w:rFonts w:cs="Arial"/>
        </w:rPr>
        <w:t xml:space="preserve"> The situation is perhaps more alarming in the case of the Ege </w:t>
      </w:r>
      <w:r w:rsidR="00387E14">
        <w:rPr>
          <w:rFonts w:cs="Arial"/>
        </w:rPr>
        <w:t>neighbourhood</w:t>
      </w:r>
      <w:r w:rsidR="00F648E9">
        <w:rPr>
          <w:rFonts w:cs="Arial"/>
        </w:rPr>
        <w:t xml:space="preserve"> in Konak district, </w:t>
      </w:r>
      <w:r w:rsidR="0085730A">
        <w:rPr>
          <w:rFonts w:cs="Arial"/>
        </w:rPr>
        <w:t xml:space="preserve">where the Roma residents are given the chance to move in a remote area which they do not approve or in the case of Ornekkoy </w:t>
      </w:r>
      <w:r w:rsidR="00387E14">
        <w:rPr>
          <w:rFonts w:cs="Arial"/>
        </w:rPr>
        <w:t>neighbourhood</w:t>
      </w:r>
      <w:r w:rsidR="0085730A">
        <w:rPr>
          <w:rFonts w:cs="Arial"/>
        </w:rPr>
        <w:t xml:space="preserve"> in Karsiyaka where Roma residents possess no legal titles of their houses and are not taking compensations, having to rely on subsidized mortgage to purchase new properties.</w:t>
      </w:r>
      <w:r w:rsidR="00BA03BC">
        <w:rPr>
          <w:rFonts w:cs="Arial"/>
        </w:rPr>
        <w:t xml:space="preserve"> A positive initiative of the Izmir Metropolitan Municipality has to do with </w:t>
      </w:r>
      <w:r w:rsidR="0071567C">
        <w:rPr>
          <w:rFonts w:cs="Arial"/>
        </w:rPr>
        <w:t>the mobilization of elected neighbourhood representatives (</w:t>
      </w:r>
      <w:r w:rsidR="0071567C" w:rsidRPr="0071567C">
        <w:rPr>
          <w:rFonts w:cs="Arial"/>
          <w:i/>
        </w:rPr>
        <w:t>Mu</w:t>
      </w:r>
      <w:r w:rsidR="00E318E0">
        <w:rPr>
          <w:rFonts w:cs="Arial"/>
          <w:i/>
        </w:rPr>
        <w:t>k</w:t>
      </w:r>
      <w:r w:rsidR="0071567C" w:rsidRPr="0071567C">
        <w:rPr>
          <w:rFonts w:cs="Arial"/>
          <w:i/>
        </w:rPr>
        <w:t>htars</w:t>
      </w:r>
      <w:r w:rsidR="0071567C">
        <w:rPr>
          <w:rFonts w:cs="Arial"/>
        </w:rPr>
        <w:t xml:space="preserve">) </w:t>
      </w:r>
      <w:r w:rsidR="00E318E0">
        <w:rPr>
          <w:rFonts w:cs="Arial"/>
        </w:rPr>
        <w:t>(</w:t>
      </w:r>
      <w:r w:rsidR="0071567C">
        <w:rPr>
          <w:rFonts w:cs="Arial"/>
        </w:rPr>
        <w:t>who form a parallel administr</w:t>
      </w:r>
      <w:r w:rsidR="0071567C">
        <w:rPr>
          <w:rFonts w:cs="Arial"/>
        </w:rPr>
        <w:t>a</w:t>
      </w:r>
      <w:r w:rsidR="0071567C">
        <w:rPr>
          <w:rFonts w:cs="Arial"/>
        </w:rPr>
        <w:t>tive structure separated from the Municipalities</w:t>
      </w:r>
      <w:r w:rsidR="005B097B">
        <w:rPr>
          <w:rFonts w:cs="Arial"/>
        </w:rPr>
        <w:t xml:space="preserve"> and based on national legislation</w:t>
      </w:r>
      <w:r w:rsidR="00E318E0">
        <w:rPr>
          <w:rFonts w:cs="Arial"/>
        </w:rPr>
        <w:t>), by offering training in governance and service provision</w:t>
      </w:r>
      <w:r w:rsidR="0071567C">
        <w:rPr>
          <w:rFonts w:cs="Arial"/>
        </w:rPr>
        <w:t>.</w:t>
      </w:r>
      <w:r w:rsidR="00E318E0">
        <w:rPr>
          <w:rFonts w:cs="Arial"/>
        </w:rPr>
        <w:t xml:space="preserve"> </w:t>
      </w:r>
    </w:p>
    <w:p w:rsidR="00A66F8B" w:rsidRDefault="00387E14" w:rsidP="00732050">
      <w:pPr>
        <w:spacing w:line="276" w:lineRule="auto"/>
        <w:rPr>
          <w:rFonts w:cs="Arial"/>
          <w:noProof/>
        </w:rPr>
      </w:pPr>
      <w:r>
        <w:rPr>
          <w:rFonts w:cs="Arial"/>
        </w:rPr>
        <w:t>Apart fro</w:t>
      </w:r>
      <w:r w:rsidR="001D483A" w:rsidRPr="001D2D02">
        <w:rPr>
          <w:rFonts w:cs="Arial"/>
        </w:rPr>
        <w:t>m internal migrants of different origin in Turkey and the Roma people, po</w:t>
      </w:r>
      <w:r w:rsidR="001D483A" w:rsidRPr="001D2D02">
        <w:rPr>
          <w:rFonts w:cs="Arial"/>
        </w:rPr>
        <w:t>v</w:t>
      </w:r>
      <w:r w:rsidR="001D483A" w:rsidRPr="001D2D02">
        <w:rPr>
          <w:rFonts w:cs="Arial"/>
        </w:rPr>
        <w:t xml:space="preserve">erty and social exclusion affect immigrants and asylum </w:t>
      </w:r>
      <w:r w:rsidRPr="001D2D02">
        <w:rPr>
          <w:rFonts w:cs="Arial"/>
        </w:rPr>
        <w:t>seekers</w:t>
      </w:r>
      <w:r w:rsidR="001D483A" w:rsidRPr="001D2D02">
        <w:rPr>
          <w:rFonts w:cs="Arial"/>
        </w:rPr>
        <w:t xml:space="preserve"> coming from other </w:t>
      </w:r>
      <w:r w:rsidR="005279C0" w:rsidRPr="001D2D02">
        <w:rPr>
          <w:rFonts w:cs="Arial"/>
        </w:rPr>
        <w:t xml:space="preserve">countries, usually in their </w:t>
      </w:r>
      <w:r w:rsidRPr="001D2D02">
        <w:rPr>
          <w:rFonts w:cs="Arial"/>
        </w:rPr>
        <w:t>effort</w:t>
      </w:r>
      <w:r w:rsidR="005279C0" w:rsidRPr="001D2D02">
        <w:rPr>
          <w:rFonts w:cs="Arial"/>
        </w:rPr>
        <w:t xml:space="preserve"> to cross Turkish borders and </w:t>
      </w:r>
      <w:r w:rsidR="00C813F6">
        <w:rPr>
          <w:rFonts w:cs="Arial"/>
        </w:rPr>
        <w:t>continue their journey to</w:t>
      </w:r>
      <w:r w:rsidR="005279C0" w:rsidRPr="001D2D02">
        <w:rPr>
          <w:rFonts w:cs="Arial"/>
        </w:rPr>
        <w:t xml:space="preserve"> Europea</w:t>
      </w:r>
      <w:r w:rsidR="00C813F6">
        <w:rPr>
          <w:rFonts w:cs="Arial"/>
        </w:rPr>
        <w:t>n</w:t>
      </w:r>
      <w:r w:rsidR="005279C0" w:rsidRPr="001D2D02">
        <w:rPr>
          <w:rFonts w:cs="Arial"/>
        </w:rPr>
        <w:t xml:space="preserve"> countries. The </w:t>
      </w:r>
      <w:r w:rsidR="00A66F8B" w:rsidRPr="001D2D02">
        <w:rPr>
          <w:rFonts w:cs="Arial"/>
        </w:rPr>
        <w:t>s</w:t>
      </w:r>
      <w:r w:rsidR="005279C0" w:rsidRPr="001D2D02">
        <w:rPr>
          <w:rFonts w:cs="Arial"/>
        </w:rPr>
        <w:t>ize and the characteristics of this population</w:t>
      </w:r>
      <w:r w:rsidR="00C813F6">
        <w:rPr>
          <w:rFonts w:cs="Arial"/>
        </w:rPr>
        <w:t xml:space="preserve"> seems to be hidden in the offic</w:t>
      </w:r>
      <w:r w:rsidR="005279C0" w:rsidRPr="001D2D02">
        <w:rPr>
          <w:rFonts w:cs="Arial"/>
        </w:rPr>
        <w:t>ial statistics and no reliable estimates can be made</w:t>
      </w:r>
      <w:r w:rsidR="00A66F8B" w:rsidRPr="001D2D02">
        <w:rPr>
          <w:rFonts w:cs="Arial"/>
        </w:rPr>
        <w:t xml:space="preserve"> at the regional level</w:t>
      </w:r>
      <w:r w:rsidR="005279C0" w:rsidRPr="001D2D02">
        <w:rPr>
          <w:rFonts w:cs="Arial"/>
        </w:rPr>
        <w:t xml:space="preserve">. Only </w:t>
      </w:r>
      <w:r w:rsidR="00870AA8">
        <w:rPr>
          <w:rFonts w:cs="Arial"/>
        </w:rPr>
        <w:t>s</w:t>
      </w:r>
      <w:r w:rsidR="005279C0" w:rsidRPr="001D2D02">
        <w:rPr>
          <w:rFonts w:cs="Arial"/>
        </w:rPr>
        <w:t>ince the beginning of the crisis in Syria in 2011, over</w:t>
      </w:r>
      <w:r w:rsidR="005279C0" w:rsidRPr="001D2D02">
        <w:rPr>
          <w:rFonts w:cs="Arial"/>
          <w:noProof/>
        </w:rPr>
        <w:t xml:space="preserve"> 500,000 Syrians have sought protection in Turkey, according to Government estimates</w:t>
      </w:r>
      <w:r w:rsidR="00C813F6">
        <w:rPr>
          <w:rFonts w:cs="Arial"/>
          <w:noProof/>
        </w:rPr>
        <w:t>, while UNHCR expects a much bigger inflow</w:t>
      </w:r>
      <w:r w:rsidR="005279C0" w:rsidRPr="001D2D02">
        <w:rPr>
          <w:rFonts w:cs="Arial"/>
          <w:noProof/>
        </w:rPr>
        <w:t xml:space="preserve"> (UNHCR, 2014</w:t>
      </w:r>
      <w:r w:rsidR="00C813F6">
        <w:rPr>
          <w:rFonts w:cs="Arial"/>
          <w:noProof/>
        </w:rPr>
        <w:t xml:space="preserve">, Table </w:t>
      </w:r>
      <w:r w:rsidR="005F6C66">
        <w:rPr>
          <w:rFonts w:cs="Arial"/>
          <w:noProof/>
        </w:rPr>
        <w:t>4</w:t>
      </w:r>
      <w:r w:rsidR="005279C0" w:rsidRPr="001D2D02">
        <w:rPr>
          <w:rFonts w:cs="Arial"/>
          <w:noProof/>
        </w:rPr>
        <w:t>).</w:t>
      </w:r>
      <w:r w:rsidR="00A66F8B" w:rsidRPr="001D2D02">
        <w:rPr>
          <w:rFonts w:cs="Arial"/>
          <w:noProof/>
        </w:rPr>
        <w:t xml:space="preserve"> </w:t>
      </w:r>
    </w:p>
    <w:p w:rsidR="005F6C66" w:rsidRPr="00BD4F43" w:rsidRDefault="005F6C66" w:rsidP="00732050">
      <w:pPr>
        <w:spacing w:line="276" w:lineRule="auto"/>
        <w:rPr>
          <w:rFonts w:cs="Arial"/>
        </w:rPr>
      </w:pPr>
      <w:r>
        <w:rPr>
          <w:rFonts w:cs="Arial"/>
          <w:noProof/>
          <w:lang w:val="en-US"/>
        </w:rPr>
        <w:t>I</w:t>
      </w:r>
      <w:r w:rsidRPr="00C813F6">
        <w:rPr>
          <w:rFonts w:cs="Arial"/>
          <w:noProof/>
          <w:lang w:val="en-US"/>
        </w:rPr>
        <w:t xml:space="preserve">rregular non-citizens can be apprehended by the police or Gendarmerie and held briefly in police custody before </w:t>
      </w:r>
      <w:r w:rsidRPr="00BD4F43">
        <w:rPr>
          <w:rFonts w:cs="Arial"/>
        </w:rPr>
        <w:t xml:space="preserve">being taken to a “guesthouse for foreigners” (Global Detention Project, 2010). The following </w:t>
      </w:r>
      <w:r>
        <w:rPr>
          <w:rFonts w:cs="Arial"/>
        </w:rPr>
        <w:t xml:space="preserve">two </w:t>
      </w:r>
      <w:r w:rsidRPr="00BD4F43">
        <w:rPr>
          <w:rFonts w:cs="Arial"/>
        </w:rPr>
        <w:t>passage</w:t>
      </w:r>
      <w:r>
        <w:rPr>
          <w:rFonts w:cs="Arial"/>
        </w:rPr>
        <w:t>s</w:t>
      </w:r>
      <w:r w:rsidRPr="00BD4F43">
        <w:rPr>
          <w:rFonts w:cs="Arial"/>
        </w:rPr>
        <w:t xml:space="preserve"> from interview</w:t>
      </w:r>
      <w:r>
        <w:rPr>
          <w:rFonts w:cs="Arial"/>
        </w:rPr>
        <w:t>s</w:t>
      </w:r>
      <w:r w:rsidRPr="00BD4F43">
        <w:rPr>
          <w:rFonts w:cs="Arial"/>
        </w:rPr>
        <w:t xml:space="preserve"> with a 20-year-old man and a 33-year-old man</w:t>
      </w:r>
      <w:r>
        <w:rPr>
          <w:rFonts w:cs="Arial"/>
        </w:rPr>
        <w:t xml:space="preserve"> </w:t>
      </w:r>
      <w:r w:rsidRPr="00BD4F43">
        <w:rPr>
          <w:rFonts w:cs="Arial"/>
        </w:rPr>
        <w:t>from Baghdad (</w:t>
      </w:r>
      <w:r w:rsidR="00387E14">
        <w:rPr>
          <w:rFonts w:cs="Arial"/>
        </w:rPr>
        <w:t>Human Rights Watch, 2008, p.</w:t>
      </w:r>
      <w:r>
        <w:rPr>
          <w:rFonts w:cs="Arial"/>
        </w:rPr>
        <w:t xml:space="preserve"> 60</w:t>
      </w:r>
      <w:r w:rsidRPr="00BD4F43">
        <w:rPr>
          <w:rFonts w:cs="Arial"/>
        </w:rPr>
        <w:t>) are quite indicative of inhuman conditions and violent treatment:</w:t>
      </w:r>
    </w:p>
    <w:p w:rsidR="005F6C66" w:rsidRPr="00387E14" w:rsidRDefault="005F6C66" w:rsidP="0017000B">
      <w:pPr>
        <w:spacing w:line="276" w:lineRule="auto"/>
        <w:rPr>
          <w:rFonts w:cs="Arial"/>
          <w:noProof/>
          <w:sz w:val="10"/>
          <w:szCs w:val="10"/>
        </w:rPr>
      </w:pPr>
    </w:p>
    <w:p w:rsidR="009C12C9" w:rsidRPr="00387E14" w:rsidRDefault="009C12C9" w:rsidP="00387E14">
      <w:pPr>
        <w:pStyle w:val="Caption"/>
        <w:keepNext/>
        <w:spacing w:after="120"/>
      </w:pPr>
      <w:bookmarkStart w:id="20" w:name="_Toc385001370"/>
      <w:r>
        <w:t xml:space="preserve">Table </w:t>
      </w:r>
      <w:r w:rsidR="00E472CB">
        <w:fldChar w:fldCharType="begin"/>
      </w:r>
      <w:r>
        <w:instrText xml:space="preserve"> SEQ Table \* ARABIC </w:instrText>
      </w:r>
      <w:r w:rsidR="00E472CB">
        <w:fldChar w:fldCharType="separate"/>
      </w:r>
      <w:r w:rsidR="00D95984">
        <w:rPr>
          <w:noProof/>
        </w:rPr>
        <w:t>4</w:t>
      </w:r>
      <w:r w:rsidR="00E472CB">
        <w:fldChar w:fldCharType="end"/>
      </w:r>
      <w:r w:rsidR="00812CE3">
        <w:t xml:space="preserve">: </w:t>
      </w:r>
      <w:r>
        <w:t xml:space="preserve"> </w:t>
      </w:r>
      <w:r w:rsidRPr="00387E14">
        <w:rPr>
          <w:rFonts w:cs="Arial"/>
          <w:noProof/>
        </w:rPr>
        <w:t>UNHCR 2014 planning figures for  refuges</w:t>
      </w:r>
      <w:r w:rsidR="00935609" w:rsidRPr="00387E14">
        <w:rPr>
          <w:rFonts w:cs="Arial"/>
          <w:noProof/>
        </w:rPr>
        <w:t xml:space="preserve">es and asylum seekers in </w:t>
      </w:r>
      <w:r w:rsidRPr="00387E14">
        <w:rPr>
          <w:rFonts w:cs="Arial"/>
          <w:noProof/>
        </w:rPr>
        <w:t>Turkey</w:t>
      </w:r>
      <w:bookmarkEnd w:id="20"/>
    </w:p>
    <w:tbl>
      <w:tblPr>
        <w:tblStyle w:val="TableGrid"/>
        <w:tblW w:w="0" w:type="auto"/>
        <w:tblInd w:w="108" w:type="dxa"/>
        <w:tblLook w:val="04A0" w:firstRow="1" w:lastRow="0" w:firstColumn="1" w:lastColumn="0" w:noHBand="0" w:noVBand="1"/>
      </w:tblPr>
      <w:tblGrid>
        <w:gridCol w:w="1845"/>
        <w:gridCol w:w="1939"/>
        <w:gridCol w:w="1144"/>
        <w:gridCol w:w="1168"/>
        <w:gridCol w:w="1144"/>
        <w:gridCol w:w="1180"/>
      </w:tblGrid>
      <w:tr w:rsidR="00A66F8B" w:rsidRPr="001D2D02" w:rsidTr="009C12C9">
        <w:tc>
          <w:tcPr>
            <w:tcW w:w="1844" w:type="dxa"/>
            <w:vMerge w:val="restart"/>
            <w:hideMark/>
          </w:tcPr>
          <w:p w:rsidR="00A66F8B" w:rsidRPr="00387E14" w:rsidRDefault="00A66F8B" w:rsidP="00387E14">
            <w:pPr>
              <w:spacing w:before="20" w:after="20" w:line="240" w:lineRule="auto"/>
              <w:jc w:val="center"/>
              <w:rPr>
                <w:rFonts w:cs="Arial"/>
                <w:b/>
                <w:bCs/>
                <w:sz w:val="19"/>
                <w:szCs w:val="19"/>
                <w:lang w:val="el-GR" w:eastAsia="el-GR"/>
              </w:rPr>
            </w:pPr>
            <w:r w:rsidRPr="00387E14">
              <w:rPr>
                <w:rFonts w:cs="Arial"/>
                <w:b/>
                <w:bCs/>
                <w:sz w:val="19"/>
                <w:szCs w:val="19"/>
                <w:lang w:val="el-GR" w:eastAsia="el-GR"/>
              </w:rPr>
              <w:t>TYPE OF POPULATION</w:t>
            </w:r>
          </w:p>
        </w:tc>
        <w:tc>
          <w:tcPr>
            <w:tcW w:w="1939" w:type="dxa"/>
            <w:vMerge w:val="restart"/>
            <w:hideMark/>
          </w:tcPr>
          <w:p w:rsidR="00A66F8B" w:rsidRPr="00387E14" w:rsidRDefault="00A66F8B" w:rsidP="00387E14">
            <w:pPr>
              <w:spacing w:before="20" w:after="20" w:line="240" w:lineRule="auto"/>
              <w:jc w:val="center"/>
              <w:rPr>
                <w:rFonts w:cs="Arial"/>
                <w:b/>
                <w:bCs/>
                <w:sz w:val="19"/>
                <w:szCs w:val="19"/>
                <w:lang w:val="el-GR" w:eastAsia="el-GR"/>
              </w:rPr>
            </w:pPr>
            <w:r w:rsidRPr="00387E14">
              <w:rPr>
                <w:rFonts w:cs="Arial"/>
                <w:b/>
                <w:bCs/>
                <w:sz w:val="19"/>
                <w:szCs w:val="19"/>
                <w:lang w:val="el-GR" w:eastAsia="el-GR"/>
              </w:rPr>
              <w:t>ORIGIN</w:t>
            </w:r>
          </w:p>
        </w:tc>
        <w:tc>
          <w:tcPr>
            <w:tcW w:w="0" w:type="auto"/>
            <w:gridSpan w:val="2"/>
            <w:hideMark/>
          </w:tcPr>
          <w:p w:rsidR="00A66F8B" w:rsidRPr="00387E14" w:rsidRDefault="00A66F8B" w:rsidP="00387E14">
            <w:pPr>
              <w:spacing w:before="20" w:after="20" w:line="240" w:lineRule="auto"/>
              <w:jc w:val="center"/>
              <w:rPr>
                <w:rFonts w:cs="Arial"/>
                <w:b/>
                <w:bCs/>
                <w:sz w:val="19"/>
                <w:szCs w:val="19"/>
                <w:lang w:val="el-GR" w:eastAsia="el-GR"/>
              </w:rPr>
            </w:pPr>
            <w:r w:rsidRPr="00387E14">
              <w:rPr>
                <w:rFonts w:cs="Arial"/>
                <w:b/>
                <w:bCs/>
                <w:sz w:val="19"/>
                <w:szCs w:val="19"/>
                <w:lang w:val="el-GR" w:eastAsia="el-GR"/>
              </w:rPr>
              <w:t>Dec 2013</w:t>
            </w:r>
          </w:p>
        </w:tc>
        <w:tc>
          <w:tcPr>
            <w:tcW w:w="2731" w:type="dxa"/>
            <w:gridSpan w:val="2"/>
            <w:hideMark/>
          </w:tcPr>
          <w:p w:rsidR="00A66F8B" w:rsidRPr="00387E14" w:rsidRDefault="00A66F8B" w:rsidP="00387E14">
            <w:pPr>
              <w:spacing w:before="20" w:after="20" w:line="240" w:lineRule="auto"/>
              <w:jc w:val="center"/>
              <w:rPr>
                <w:rFonts w:cs="Arial"/>
                <w:b/>
                <w:bCs/>
                <w:sz w:val="19"/>
                <w:szCs w:val="19"/>
                <w:lang w:val="el-GR" w:eastAsia="el-GR"/>
              </w:rPr>
            </w:pPr>
            <w:r w:rsidRPr="00387E14">
              <w:rPr>
                <w:rFonts w:cs="Arial"/>
                <w:b/>
                <w:bCs/>
                <w:sz w:val="19"/>
                <w:szCs w:val="19"/>
                <w:lang w:val="el-GR" w:eastAsia="el-GR"/>
              </w:rPr>
              <w:t>Dec 2014</w:t>
            </w:r>
          </w:p>
        </w:tc>
      </w:tr>
      <w:tr w:rsidR="00A66F8B" w:rsidRPr="001D2D02" w:rsidTr="00387E14">
        <w:tc>
          <w:tcPr>
            <w:tcW w:w="1844" w:type="dxa"/>
            <w:vMerge/>
            <w:tcBorders>
              <w:bottom w:val="single" w:sz="18" w:space="0" w:color="auto"/>
            </w:tcBorders>
            <w:hideMark/>
          </w:tcPr>
          <w:p w:rsidR="00A66F8B" w:rsidRPr="00387E14" w:rsidRDefault="00A66F8B" w:rsidP="00387E14">
            <w:pPr>
              <w:spacing w:before="20" w:after="20" w:line="240" w:lineRule="auto"/>
              <w:jc w:val="left"/>
              <w:rPr>
                <w:rFonts w:cs="Arial"/>
                <w:b/>
                <w:bCs/>
                <w:sz w:val="19"/>
                <w:szCs w:val="19"/>
                <w:lang w:val="el-GR" w:eastAsia="el-GR"/>
              </w:rPr>
            </w:pPr>
          </w:p>
        </w:tc>
        <w:tc>
          <w:tcPr>
            <w:tcW w:w="1939" w:type="dxa"/>
            <w:vMerge/>
            <w:tcBorders>
              <w:bottom w:val="single" w:sz="18" w:space="0" w:color="auto"/>
            </w:tcBorders>
            <w:hideMark/>
          </w:tcPr>
          <w:p w:rsidR="00A66F8B" w:rsidRPr="00387E14" w:rsidRDefault="00A66F8B" w:rsidP="00387E14">
            <w:pPr>
              <w:spacing w:before="20" w:after="20" w:line="240" w:lineRule="auto"/>
              <w:jc w:val="left"/>
              <w:rPr>
                <w:rFonts w:cs="Arial"/>
                <w:b/>
                <w:bCs/>
                <w:sz w:val="19"/>
                <w:szCs w:val="19"/>
                <w:lang w:val="el-GR" w:eastAsia="el-GR"/>
              </w:rPr>
            </w:pPr>
          </w:p>
        </w:tc>
        <w:tc>
          <w:tcPr>
            <w:tcW w:w="0" w:type="auto"/>
            <w:tcBorders>
              <w:bottom w:val="single" w:sz="18" w:space="0" w:color="auto"/>
            </w:tcBorders>
            <w:hideMark/>
          </w:tcPr>
          <w:p w:rsidR="00A66F8B" w:rsidRPr="00387E14" w:rsidRDefault="00A66F8B" w:rsidP="00387E14">
            <w:pPr>
              <w:spacing w:before="20" w:after="20" w:line="240" w:lineRule="auto"/>
              <w:jc w:val="center"/>
              <w:rPr>
                <w:rFonts w:cs="Arial"/>
                <w:b/>
                <w:bCs/>
                <w:sz w:val="19"/>
                <w:szCs w:val="19"/>
                <w:lang w:val="el-GR" w:eastAsia="el-GR"/>
              </w:rPr>
            </w:pPr>
            <w:r w:rsidRPr="00387E14">
              <w:rPr>
                <w:rFonts w:cs="Arial"/>
                <w:b/>
                <w:bCs/>
                <w:sz w:val="19"/>
                <w:szCs w:val="19"/>
                <w:lang w:val="el-GR" w:eastAsia="el-GR"/>
              </w:rPr>
              <w:t>Total in country</w:t>
            </w:r>
          </w:p>
        </w:tc>
        <w:tc>
          <w:tcPr>
            <w:tcW w:w="0" w:type="auto"/>
            <w:tcBorders>
              <w:bottom w:val="single" w:sz="18" w:space="0" w:color="auto"/>
            </w:tcBorders>
            <w:hideMark/>
          </w:tcPr>
          <w:p w:rsidR="00A66F8B" w:rsidRPr="00387E14" w:rsidRDefault="00A66F8B" w:rsidP="00387E14">
            <w:pPr>
              <w:spacing w:before="20" w:after="20" w:line="240" w:lineRule="auto"/>
              <w:jc w:val="center"/>
              <w:rPr>
                <w:rFonts w:cs="Arial"/>
                <w:b/>
                <w:bCs/>
                <w:sz w:val="19"/>
                <w:szCs w:val="19"/>
                <w:lang w:val="en-US" w:eastAsia="el-GR"/>
              </w:rPr>
            </w:pPr>
            <w:r w:rsidRPr="00387E14">
              <w:rPr>
                <w:rFonts w:cs="Arial"/>
                <w:b/>
                <w:bCs/>
                <w:sz w:val="19"/>
                <w:szCs w:val="19"/>
                <w:lang w:val="en-US" w:eastAsia="el-GR"/>
              </w:rPr>
              <w:t>of whom assisted</w:t>
            </w:r>
            <w:r w:rsidRPr="00387E14">
              <w:rPr>
                <w:rFonts w:cs="Arial"/>
                <w:b/>
                <w:bCs/>
                <w:sz w:val="19"/>
                <w:szCs w:val="19"/>
                <w:lang w:val="en-US" w:eastAsia="el-GR"/>
              </w:rPr>
              <w:br/>
              <w:t>by U</w:t>
            </w:r>
            <w:r w:rsidRPr="00387E14">
              <w:rPr>
                <w:rFonts w:cs="Arial"/>
                <w:b/>
                <w:bCs/>
                <w:sz w:val="19"/>
                <w:szCs w:val="19"/>
                <w:lang w:val="en-US" w:eastAsia="el-GR"/>
              </w:rPr>
              <w:t>N</w:t>
            </w:r>
            <w:r w:rsidRPr="00387E14">
              <w:rPr>
                <w:rFonts w:cs="Arial"/>
                <w:b/>
                <w:bCs/>
                <w:sz w:val="19"/>
                <w:szCs w:val="19"/>
                <w:lang w:val="en-US" w:eastAsia="el-GR"/>
              </w:rPr>
              <w:t>HCR</w:t>
            </w:r>
          </w:p>
        </w:tc>
        <w:tc>
          <w:tcPr>
            <w:tcW w:w="0" w:type="auto"/>
            <w:tcBorders>
              <w:bottom w:val="single" w:sz="18" w:space="0" w:color="auto"/>
            </w:tcBorders>
            <w:hideMark/>
          </w:tcPr>
          <w:p w:rsidR="00A66F8B" w:rsidRPr="00387E14" w:rsidRDefault="00A66F8B" w:rsidP="00387E14">
            <w:pPr>
              <w:spacing w:before="20" w:after="20" w:line="240" w:lineRule="auto"/>
              <w:jc w:val="center"/>
              <w:rPr>
                <w:rFonts w:cs="Arial"/>
                <w:b/>
                <w:bCs/>
                <w:sz w:val="19"/>
                <w:szCs w:val="19"/>
                <w:lang w:val="el-GR" w:eastAsia="el-GR"/>
              </w:rPr>
            </w:pPr>
            <w:r w:rsidRPr="00387E14">
              <w:rPr>
                <w:rFonts w:cs="Arial"/>
                <w:b/>
                <w:bCs/>
                <w:sz w:val="19"/>
                <w:szCs w:val="19"/>
                <w:lang w:val="el-GR" w:eastAsia="el-GR"/>
              </w:rPr>
              <w:t>Total in country</w:t>
            </w:r>
          </w:p>
        </w:tc>
        <w:tc>
          <w:tcPr>
            <w:tcW w:w="1180" w:type="dxa"/>
            <w:tcBorders>
              <w:bottom w:val="single" w:sz="18" w:space="0" w:color="auto"/>
            </w:tcBorders>
            <w:hideMark/>
          </w:tcPr>
          <w:p w:rsidR="00A66F8B" w:rsidRPr="00387E14" w:rsidRDefault="00A66F8B" w:rsidP="00387E14">
            <w:pPr>
              <w:spacing w:before="20" w:after="20" w:line="240" w:lineRule="auto"/>
              <w:jc w:val="center"/>
              <w:rPr>
                <w:rFonts w:cs="Arial"/>
                <w:b/>
                <w:bCs/>
                <w:sz w:val="19"/>
                <w:szCs w:val="19"/>
                <w:lang w:val="en-US" w:eastAsia="el-GR"/>
              </w:rPr>
            </w:pPr>
            <w:r w:rsidRPr="00387E14">
              <w:rPr>
                <w:rFonts w:cs="Arial"/>
                <w:b/>
                <w:bCs/>
                <w:sz w:val="19"/>
                <w:szCs w:val="19"/>
                <w:lang w:val="en-US" w:eastAsia="el-GR"/>
              </w:rPr>
              <w:t>of whom assisted</w:t>
            </w:r>
            <w:r w:rsidRPr="00387E14">
              <w:rPr>
                <w:rFonts w:cs="Arial"/>
                <w:b/>
                <w:bCs/>
                <w:sz w:val="19"/>
                <w:szCs w:val="19"/>
                <w:lang w:val="en-US" w:eastAsia="el-GR"/>
              </w:rPr>
              <w:br/>
              <w:t>by UNHCR</w:t>
            </w:r>
          </w:p>
        </w:tc>
      </w:tr>
      <w:tr w:rsidR="00A66F8B" w:rsidRPr="001D2D02" w:rsidTr="00387E14">
        <w:tc>
          <w:tcPr>
            <w:tcW w:w="3783" w:type="dxa"/>
            <w:gridSpan w:val="2"/>
            <w:tcBorders>
              <w:top w:val="single" w:sz="18" w:space="0" w:color="auto"/>
            </w:tcBorders>
            <w:shd w:val="clear" w:color="auto" w:fill="D9D9D9" w:themeFill="background1" w:themeFillShade="D9"/>
            <w:hideMark/>
          </w:tcPr>
          <w:p w:rsidR="00A66F8B" w:rsidRPr="00387E14" w:rsidRDefault="00A66F8B" w:rsidP="00387E14">
            <w:pPr>
              <w:spacing w:before="20" w:after="20" w:line="240" w:lineRule="auto"/>
              <w:jc w:val="center"/>
              <w:rPr>
                <w:rFonts w:cs="Arial"/>
                <w:b/>
                <w:sz w:val="19"/>
                <w:szCs w:val="19"/>
                <w:lang w:val="el-GR" w:eastAsia="el-GR"/>
              </w:rPr>
            </w:pPr>
            <w:r w:rsidRPr="00387E14">
              <w:rPr>
                <w:rFonts w:cs="Arial"/>
                <w:b/>
                <w:sz w:val="19"/>
                <w:szCs w:val="19"/>
                <w:lang w:val="el-GR" w:eastAsia="el-GR"/>
              </w:rPr>
              <w:t>Total</w:t>
            </w:r>
          </w:p>
        </w:tc>
        <w:tc>
          <w:tcPr>
            <w:tcW w:w="0" w:type="auto"/>
            <w:tcBorders>
              <w:top w:val="single" w:sz="18" w:space="0" w:color="auto"/>
            </w:tcBorders>
            <w:shd w:val="clear" w:color="auto" w:fill="D9D9D9" w:themeFill="background1" w:themeFillShade="D9"/>
            <w:hideMark/>
          </w:tcPr>
          <w:p w:rsidR="00A66F8B" w:rsidRPr="00387E14" w:rsidRDefault="00A66F8B" w:rsidP="00387E14">
            <w:pPr>
              <w:spacing w:before="20" w:after="20" w:line="240" w:lineRule="auto"/>
              <w:jc w:val="right"/>
              <w:rPr>
                <w:rFonts w:cs="Arial"/>
                <w:b/>
                <w:sz w:val="19"/>
                <w:szCs w:val="19"/>
                <w:lang w:val="el-GR" w:eastAsia="el-GR"/>
              </w:rPr>
            </w:pPr>
            <w:r w:rsidRPr="00387E14">
              <w:rPr>
                <w:rFonts w:cs="Arial"/>
                <w:b/>
                <w:sz w:val="19"/>
                <w:szCs w:val="19"/>
                <w:lang w:val="el-GR" w:eastAsia="el-GR"/>
              </w:rPr>
              <w:t>1,053,690</w:t>
            </w:r>
          </w:p>
        </w:tc>
        <w:tc>
          <w:tcPr>
            <w:tcW w:w="0" w:type="auto"/>
            <w:tcBorders>
              <w:top w:val="single" w:sz="18" w:space="0" w:color="auto"/>
            </w:tcBorders>
            <w:shd w:val="clear" w:color="auto" w:fill="D9D9D9" w:themeFill="background1" w:themeFillShade="D9"/>
            <w:hideMark/>
          </w:tcPr>
          <w:p w:rsidR="00A66F8B" w:rsidRPr="00387E14" w:rsidRDefault="00A66F8B" w:rsidP="00387E14">
            <w:pPr>
              <w:spacing w:before="20" w:after="20" w:line="240" w:lineRule="auto"/>
              <w:jc w:val="right"/>
              <w:rPr>
                <w:rFonts w:cs="Arial"/>
                <w:b/>
                <w:sz w:val="19"/>
                <w:szCs w:val="19"/>
                <w:lang w:val="el-GR" w:eastAsia="el-GR"/>
              </w:rPr>
            </w:pPr>
            <w:r w:rsidRPr="00387E14">
              <w:rPr>
                <w:rFonts w:cs="Arial"/>
                <w:b/>
                <w:sz w:val="19"/>
                <w:szCs w:val="19"/>
                <w:lang w:val="el-GR" w:eastAsia="el-GR"/>
              </w:rPr>
              <w:t>1,053,520</w:t>
            </w:r>
          </w:p>
        </w:tc>
        <w:tc>
          <w:tcPr>
            <w:tcW w:w="0" w:type="auto"/>
            <w:tcBorders>
              <w:top w:val="single" w:sz="18" w:space="0" w:color="auto"/>
            </w:tcBorders>
            <w:shd w:val="clear" w:color="auto" w:fill="D9D9D9" w:themeFill="background1" w:themeFillShade="D9"/>
            <w:hideMark/>
          </w:tcPr>
          <w:p w:rsidR="00A66F8B" w:rsidRPr="00387E14" w:rsidRDefault="00A66F8B" w:rsidP="00387E14">
            <w:pPr>
              <w:spacing w:before="20" w:after="20" w:line="240" w:lineRule="auto"/>
              <w:jc w:val="right"/>
              <w:rPr>
                <w:rFonts w:cs="Arial"/>
                <w:b/>
                <w:sz w:val="19"/>
                <w:szCs w:val="19"/>
                <w:lang w:val="el-GR" w:eastAsia="el-GR"/>
              </w:rPr>
            </w:pPr>
            <w:r w:rsidRPr="00387E14">
              <w:rPr>
                <w:rFonts w:cs="Arial"/>
                <w:b/>
                <w:sz w:val="19"/>
                <w:szCs w:val="19"/>
                <w:lang w:val="el-GR" w:eastAsia="el-GR"/>
              </w:rPr>
              <w:t>1,373,390</w:t>
            </w:r>
          </w:p>
        </w:tc>
        <w:tc>
          <w:tcPr>
            <w:tcW w:w="1180" w:type="dxa"/>
            <w:tcBorders>
              <w:top w:val="single" w:sz="18" w:space="0" w:color="auto"/>
            </w:tcBorders>
            <w:shd w:val="clear" w:color="auto" w:fill="D9D9D9" w:themeFill="background1" w:themeFillShade="D9"/>
            <w:hideMark/>
          </w:tcPr>
          <w:p w:rsidR="00A66F8B" w:rsidRPr="00387E14" w:rsidRDefault="00A66F8B" w:rsidP="00387E14">
            <w:pPr>
              <w:spacing w:before="20" w:after="20" w:line="240" w:lineRule="auto"/>
              <w:jc w:val="right"/>
              <w:rPr>
                <w:rFonts w:cs="Arial"/>
                <w:b/>
                <w:sz w:val="19"/>
                <w:szCs w:val="19"/>
                <w:lang w:val="el-GR" w:eastAsia="el-GR"/>
              </w:rPr>
            </w:pPr>
            <w:r w:rsidRPr="00387E14">
              <w:rPr>
                <w:rFonts w:cs="Arial"/>
                <w:b/>
                <w:sz w:val="19"/>
                <w:szCs w:val="19"/>
                <w:lang w:val="el-GR" w:eastAsia="el-GR"/>
              </w:rPr>
              <w:t>1,373,390</w:t>
            </w:r>
          </w:p>
        </w:tc>
      </w:tr>
      <w:tr w:rsidR="00A66F8B" w:rsidRPr="001D2D02" w:rsidTr="009C12C9">
        <w:tc>
          <w:tcPr>
            <w:tcW w:w="1844" w:type="dxa"/>
            <w:vMerge w:val="restart"/>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b/>
                <w:bCs/>
                <w:sz w:val="19"/>
                <w:szCs w:val="19"/>
                <w:lang w:val="el-GR" w:eastAsia="el-GR"/>
              </w:rPr>
              <w:t>Refugees</w:t>
            </w:r>
          </w:p>
        </w:tc>
        <w:tc>
          <w:tcPr>
            <w:tcW w:w="0" w:type="auto"/>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sz w:val="19"/>
                <w:szCs w:val="19"/>
                <w:lang w:val="el-GR" w:eastAsia="el-GR"/>
              </w:rPr>
              <w:t>Afghanistan</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4,520</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4,520</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4,200</w:t>
            </w:r>
          </w:p>
        </w:tc>
        <w:tc>
          <w:tcPr>
            <w:tcW w:w="1180" w:type="dxa"/>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4,200</w:t>
            </w:r>
          </w:p>
        </w:tc>
      </w:tr>
      <w:tr w:rsidR="00A66F8B" w:rsidRPr="001D2D02" w:rsidTr="00387E14">
        <w:tc>
          <w:tcPr>
            <w:tcW w:w="1844" w:type="dxa"/>
            <w:vMerge/>
            <w:hideMark/>
          </w:tcPr>
          <w:p w:rsidR="00A66F8B" w:rsidRPr="00387E14" w:rsidRDefault="00A66F8B" w:rsidP="00387E14">
            <w:pPr>
              <w:spacing w:before="20" w:after="20" w:line="240" w:lineRule="auto"/>
              <w:jc w:val="left"/>
              <w:rPr>
                <w:rFonts w:cs="Arial"/>
                <w:sz w:val="19"/>
                <w:szCs w:val="19"/>
                <w:lang w:val="el-GR" w:eastAsia="el-GR"/>
              </w:rPr>
            </w:pPr>
          </w:p>
        </w:tc>
        <w:tc>
          <w:tcPr>
            <w:tcW w:w="0" w:type="auto"/>
            <w:shd w:val="clear" w:color="auto" w:fill="D9D9D9" w:themeFill="background1" w:themeFillShade="D9"/>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sz w:val="19"/>
                <w:szCs w:val="19"/>
                <w:lang w:val="el-GR" w:eastAsia="el-GR"/>
              </w:rPr>
              <w:t>Iraq</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14,350</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14,350</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23,600</w:t>
            </w:r>
          </w:p>
        </w:tc>
        <w:tc>
          <w:tcPr>
            <w:tcW w:w="1180" w:type="dxa"/>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23,600</w:t>
            </w:r>
          </w:p>
        </w:tc>
      </w:tr>
      <w:tr w:rsidR="00A66F8B" w:rsidRPr="001D2D02" w:rsidTr="009C12C9">
        <w:tc>
          <w:tcPr>
            <w:tcW w:w="1844" w:type="dxa"/>
            <w:vMerge/>
            <w:hideMark/>
          </w:tcPr>
          <w:p w:rsidR="00A66F8B" w:rsidRPr="00387E14" w:rsidRDefault="00A66F8B" w:rsidP="00387E14">
            <w:pPr>
              <w:spacing w:before="20" w:after="20" w:line="240" w:lineRule="auto"/>
              <w:jc w:val="left"/>
              <w:rPr>
                <w:rFonts w:cs="Arial"/>
                <w:sz w:val="19"/>
                <w:szCs w:val="19"/>
                <w:lang w:val="el-GR" w:eastAsia="el-GR"/>
              </w:rPr>
            </w:pPr>
          </w:p>
        </w:tc>
        <w:tc>
          <w:tcPr>
            <w:tcW w:w="0" w:type="auto"/>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sz w:val="19"/>
                <w:szCs w:val="19"/>
                <w:lang w:val="el-GR" w:eastAsia="el-GR"/>
              </w:rPr>
              <w:t>Syrian Arab Rep.</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1,000,000</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1,000,000</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1,300,000</w:t>
            </w:r>
          </w:p>
        </w:tc>
        <w:tc>
          <w:tcPr>
            <w:tcW w:w="1180" w:type="dxa"/>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1,300,000</w:t>
            </w:r>
          </w:p>
        </w:tc>
      </w:tr>
      <w:tr w:rsidR="00A66F8B" w:rsidRPr="001D2D02" w:rsidTr="00387E14">
        <w:tc>
          <w:tcPr>
            <w:tcW w:w="1844" w:type="dxa"/>
            <w:vMerge/>
            <w:hideMark/>
          </w:tcPr>
          <w:p w:rsidR="00A66F8B" w:rsidRPr="00387E14" w:rsidRDefault="00A66F8B" w:rsidP="00387E14">
            <w:pPr>
              <w:spacing w:before="20" w:after="20" w:line="240" w:lineRule="auto"/>
              <w:jc w:val="left"/>
              <w:rPr>
                <w:rFonts w:cs="Arial"/>
                <w:sz w:val="19"/>
                <w:szCs w:val="19"/>
                <w:lang w:val="el-GR" w:eastAsia="el-GR"/>
              </w:rPr>
            </w:pPr>
          </w:p>
        </w:tc>
        <w:tc>
          <w:tcPr>
            <w:tcW w:w="0" w:type="auto"/>
            <w:shd w:val="clear" w:color="auto" w:fill="D9D9D9" w:themeFill="background1" w:themeFillShade="D9"/>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sz w:val="19"/>
                <w:szCs w:val="19"/>
                <w:lang w:val="el-GR" w:eastAsia="el-GR"/>
              </w:rPr>
              <w:t>Various</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7,350</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7,180</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8,850</w:t>
            </w:r>
          </w:p>
        </w:tc>
        <w:tc>
          <w:tcPr>
            <w:tcW w:w="1180" w:type="dxa"/>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8,850</w:t>
            </w:r>
          </w:p>
        </w:tc>
      </w:tr>
      <w:tr w:rsidR="00A66F8B" w:rsidRPr="001D2D02" w:rsidTr="009C12C9">
        <w:tc>
          <w:tcPr>
            <w:tcW w:w="1844" w:type="dxa"/>
            <w:vMerge w:val="restart"/>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b/>
                <w:bCs/>
                <w:sz w:val="19"/>
                <w:szCs w:val="19"/>
                <w:lang w:val="el-GR" w:eastAsia="el-GR"/>
              </w:rPr>
              <w:t>Asylum-seekers</w:t>
            </w:r>
          </w:p>
        </w:tc>
        <w:tc>
          <w:tcPr>
            <w:tcW w:w="0" w:type="auto"/>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sz w:val="19"/>
                <w:szCs w:val="19"/>
                <w:lang w:val="el-GR" w:eastAsia="el-GR"/>
              </w:rPr>
              <w:t>Afghanistan</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7,970</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7,970</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10,460</w:t>
            </w:r>
          </w:p>
        </w:tc>
        <w:tc>
          <w:tcPr>
            <w:tcW w:w="1180" w:type="dxa"/>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10,460</w:t>
            </w:r>
          </w:p>
        </w:tc>
      </w:tr>
      <w:tr w:rsidR="00A66F8B" w:rsidRPr="001D2D02" w:rsidTr="00387E14">
        <w:tc>
          <w:tcPr>
            <w:tcW w:w="1844" w:type="dxa"/>
            <w:vMerge/>
            <w:hideMark/>
          </w:tcPr>
          <w:p w:rsidR="00A66F8B" w:rsidRPr="00387E14" w:rsidRDefault="00A66F8B" w:rsidP="00387E14">
            <w:pPr>
              <w:spacing w:before="20" w:after="20" w:line="240" w:lineRule="auto"/>
              <w:jc w:val="left"/>
              <w:rPr>
                <w:rFonts w:cs="Arial"/>
                <w:sz w:val="19"/>
                <w:szCs w:val="19"/>
                <w:lang w:val="el-GR" w:eastAsia="el-GR"/>
              </w:rPr>
            </w:pPr>
          </w:p>
        </w:tc>
        <w:tc>
          <w:tcPr>
            <w:tcW w:w="0" w:type="auto"/>
            <w:shd w:val="clear" w:color="auto" w:fill="D9D9D9" w:themeFill="background1" w:themeFillShade="D9"/>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sz w:val="19"/>
                <w:szCs w:val="19"/>
                <w:lang w:val="el-GR" w:eastAsia="el-GR"/>
              </w:rPr>
              <w:t>Islamic Rep. of Iran</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5,880</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5,880</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9,040</w:t>
            </w:r>
          </w:p>
        </w:tc>
        <w:tc>
          <w:tcPr>
            <w:tcW w:w="1180" w:type="dxa"/>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9,040</w:t>
            </w:r>
          </w:p>
        </w:tc>
      </w:tr>
      <w:tr w:rsidR="00A66F8B" w:rsidRPr="001D2D02" w:rsidTr="009C12C9">
        <w:tc>
          <w:tcPr>
            <w:tcW w:w="1844" w:type="dxa"/>
            <w:vMerge/>
            <w:hideMark/>
          </w:tcPr>
          <w:p w:rsidR="00A66F8B" w:rsidRPr="00387E14" w:rsidRDefault="00A66F8B" w:rsidP="00387E14">
            <w:pPr>
              <w:spacing w:before="20" w:after="20" w:line="240" w:lineRule="auto"/>
              <w:jc w:val="left"/>
              <w:rPr>
                <w:rFonts w:cs="Arial"/>
                <w:sz w:val="19"/>
                <w:szCs w:val="19"/>
                <w:lang w:val="el-GR" w:eastAsia="el-GR"/>
              </w:rPr>
            </w:pPr>
          </w:p>
        </w:tc>
        <w:tc>
          <w:tcPr>
            <w:tcW w:w="0" w:type="auto"/>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sz w:val="19"/>
                <w:szCs w:val="19"/>
                <w:lang w:val="el-GR" w:eastAsia="el-GR"/>
              </w:rPr>
              <w:t>Iraq</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9,600</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9,600</w:t>
            </w:r>
          </w:p>
        </w:tc>
        <w:tc>
          <w:tcPr>
            <w:tcW w:w="0" w:type="auto"/>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11,470</w:t>
            </w:r>
          </w:p>
        </w:tc>
        <w:tc>
          <w:tcPr>
            <w:tcW w:w="1180" w:type="dxa"/>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11,470</w:t>
            </w:r>
          </w:p>
        </w:tc>
      </w:tr>
      <w:tr w:rsidR="00A66F8B" w:rsidRPr="001D2D02" w:rsidTr="00387E14">
        <w:tc>
          <w:tcPr>
            <w:tcW w:w="1844" w:type="dxa"/>
            <w:vMerge/>
            <w:hideMark/>
          </w:tcPr>
          <w:p w:rsidR="00A66F8B" w:rsidRPr="00387E14" w:rsidRDefault="00A66F8B" w:rsidP="00387E14">
            <w:pPr>
              <w:spacing w:before="20" w:after="20" w:line="240" w:lineRule="auto"/>
              <w:jc w:val="left"/>
              <w:rPr>
                <w:rFonts w:cs="Arial"/>
                <w:sz w:val="19"/>
                <w:szCs w:val="19"/>
                <w:lang w:val="el-GR" w:eastAsia="el-GR"/>
              </w:rPr>
            </w:pPr>
          </w:p>
        </w:tc>
        <w:tc>
          <w:tcPr>
            <w:tcW w:w="0" w:type="auto"/>
            <w:shd w:val="clear" w:color="auto" w:fill="D9D9D9" w:themeFill="background1" w:themeFillShade="D9"/>
            <w:hideMark/>
          </w:tcPr>
          <w:p w:rsidR="00A66F8B" w:rsidRPr="00387E14" w:rsidRDefault="00A66F8B" w:rsidP="00387E14">
            <w:pPr>
              <w:spacing w:before="20" w:after="20" w:line="240" w:lineRule="auto"/>
              <w:jc w:val="left"/>
              <w:rPr>
                <w:rFonts w:cs="Arial"/>
                <w:sz w:val="19"/>
                <w:szCs w:val="19"/>
                <w:lang w:val="el-GR" w:eastAsia="el-GR"/>
              </w:rPr>
            </w:pPr>
            <w:r w:rsidRPr="00387E14">
              <w:rPr>
                <w:rFonts w:cs="Arial"/>
                <w:sz w:val="19"/>
                <w:szCs w:val="19"/>
                <w:lang w:val="el-GR" w:eastAsia="el-GR"/>
              </w:rPr>
              <w:t>Various</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4,020</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4,020</w:t>
            </w:r>
          </w:p>
        </w:tc>
        <w:tc>
          <w:tcPr>
            <w:tcW w:w="0" w:type="auto"/>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5,770</w:t>
            </w:r>
          </w:p>
        </w:tc>
        <w:tc>
          <w:tcPr>
            <w:tcW w:w="1180" w:type="dxa"/>
            <w:shd w:val="clear" w:color="auto" w:fill="D9D9D9" w:themeFill="background1" w:themeFillShade="D9"/>
            <w:hideMark/>
          </w:tcPr>
          <w:p w:rsidR="00A66F8B" w:rsidRPr="00387E14" w:rsidRDefault="00A66F8B" w:rsidP="00387E14">
            <w:pPr>
              <w:spacing w:before="20" w:after="20" w:line="240" w:lineRule="auto"/>
              <w:jc w:val="right"/>
              <w:rPr>
                <w:rFonts w:cs="Arial"/>
                <w:sz w:val="19"/>
                <w:szCs w:val="19"/>
                <w:lang w:val="el-GR" w:eastAsia="el-GR"/>
              </w:rPr>
            </w:pPr>
            <w:r w:rsidRPr="00387E14">
              <w:rPr>
                <w:rFonts w:cs="Arial"/>
                <w:sz w:val="19"/>
                <w:szCs w:val="19"/>
                <w:lang w:val="el-GR" w:eastAsia="el-GR"/>
              </w:rPr>
              <w:t>5,770</w:t>
            </w:r>
          </w:p>
        </w:tc>
      </w:tr>
    </w:tbl>
    <w:p w:rsidR="0017000B" w:rsidRPr="00935609" w:rsidRDefault="001D483A" w:rsidP="00387E14">
      <w:pPr>
        <w:widowControl w:val="0"/>
        <w:suppressAutoHyphens/>
        <w:spacing w:after="240" w:line="360" w:lineRule="auto"/>
        <w:rPr>
          <w:rFonts w:cs="Arial"/>
          <w:noProof/>
          <w:sz w:val="16"/>
          <w:szCs w:val="16"/>
        </w:rPr>
      </w:pPr>
      <w:r w:rsidRPr="00812CE3">
        <w:rPr>
          <w:rFonts w:cs="Arial"/>
          <w:noProof/>
          <w:sz w:val="16"/>
          <w:szCs w:val="16"/>
        </w:rPr>
        <w:t xml:space="preserve"> </w:t>
      </w:r>
      <w:r w:rsidR="00A66F8B" w:rsidRPr="00387E14">
        <w:rPr>
          <w:rFonts w:cs="Arial"/>
          <w:b/>
          <w:noProof/>
          <w:sz w:val="16"/>
          <w:szCs w:val="16"/>
        </w:rPr>
        <w:t>Source:</w:t>
      </w:r>
      <w:r w:rsidR="00A66F8B" w:rsidRPr="00812CE3">
        <w:rPr>
          <w:rFonts w:cs="Arial"/>
          <w:noProof/>
          <w:sz w:val="16"/>
          <w:szCs w:val="16"/>
        </w:rPr>
        <w:t xml:space="preserve"> </w:t>
      </w:r>
      <w:r w:rsidR="001D2D02" w:rsidRPr="00812CE3">
        <w:rPr>
          <w:rFonts w:cs="Arial"/>
          <w:noProof/>
          <w:sz w:val="16"/>
          <w:szCs w:val="16"/>
        </w:rPr>
        <w:t>UNHCR, 2014 (adapted)</w:t>
      </w:r>
    </w:p>
    <w:p w:rsidR="00BD4F43" w:rsidRPr="00387E14" w:rsidRDefault="00BD4F43" w:rsidP="00387E14">
      <w:pPr>
        <w:spacing w:before="240" w:after="240" w:line="240" w:lineRule="auto"/>
        <w:ind w:left="567" w:right="851"/>
        <w:rPr>
          <w:rFonts w:cs="Arial"/>
          <w:szCs w:val="22"/>
        </w:rPr>
      </w:pPr>
      <w:r w:rsidRPr="00387E14">
        <w:rPr>
          <w:rFonts w:cs="Arial"/>
          <w:szCs w:val="22"/>
        </w:rPr>
        <w:t>“In the Izmir jail there was no</w:t>
      </w:r>
      <w:r w:rsidR="003D0CD5" w:rsidRPr="00387E14">
        <w:rPr>
          <w:rFonts w:cs="Arial"/>
          <w:szCs w:val="22"/>
        </w:rPr>
        <w:t xml:space="preserve"> </w:t>
      </w:r>
      <w:r w:rsidRPr="00387E14">
        <w:rPr>
          <w:rFonts w:cs="Arial"/>
          <w:szCs w:val="22"/>
        </w:rPr>
        <w:t>food and they would beat you to get you to admit that you were Iraqi. There were abou</w:t>
      </w:r>
      <w:r w:rsidR="003D0CD5" w:rsidRPr="00387E14">
        <w:rPr>
          <w:rFonts w:cs="Arial"/>
          <w:szCs w:val="22"/>
        </w:rPr>
        <w:t>t</w:t>
      </w:r>
      <w:r w:rsidRPr="00387E14">
        <w:rPr>
          <w:rFonts w:cs="Arial"/>
          <w:szCs w:val="22"/>
        </w:rPr>
        <w:t xml:space="preserve"> 100 people held in a narrow room (…). They hit me with police clubs. Every day they beat me”.</w:t>
      </w:r>
    </w:p>
    <w:p w:rsidR="00BD4F43" w:rsidRPr="00387E14" w:rsidRDefault="00BD4F43" w:rsidP="00387E14">
      <w:pPr>
        <w:spacing w:before="240" w:after="240" w:line="240" w:lineRule="auto"/>
        <w:ind w:left="567" w:right="851"/>
        <w:rPr>
          <w:rFonts w:cs="Arial"/>
          <w:szCs w:val="22"/>
        </w:rPr>
      </w:pPr>
      <w:r w:rsidRPr="00387E14">
        <w:rPr>
          <w:rFonts w:cs="Arial"/>
          <w:szCs w:val="22"/>
        </w:rPr>
        <w:lastRenderedPageBreak/>
        <w:t>“We were held underground for two weeks. There were a lot of people there. We couldn’t breathe. There were different nationality groups</w:t>
      </w:r>
      <w:r w:rsidR="003D0CD5" w:rsidRPr="00387E14">
        <w:rPr>
          <w:rFonts w:cs="Arial"/>
          <w:szCs w:val="22"/>
        </w:rPr>
        <w:t xml:space="preserve">: the Moroccans, the Pakistanis, </w:t>
      </w:r>
      <w:proofErr w:type="gramStart"/>
      <w:r w:rsidR="003D0CD5" w:rsidRPr="00387E14">
        <w:rPr>
          <w:rFonts w:cs="Arial"/>
          <w:szCs w:val="22"/>
        </w:rPr>
        <w:t>the</w:t>
      </w:r>
      <w:proofErr w:type="gramEnd"/>
      <w:r w:rsidR="003D0CD5" w:rsidRPr="00387E14">
        <w:rPr>
          <w:rFonts w:cs="Arial"/>
          <w:szCs w:val="22"/>
        </w:rPr>
        <w:t xml:space="preserve"> Palestinians. The police feeding would take place once per </w:t>
      </w:r>
      <w:r w:rsidR="0058259A" w:rsidRPr="00387E14">
        <w:rPr>
          <w:rFonts w:cs="Arial"/>
          <w:szCs w:val="22"/>
        </w:rPr>
        <w:t>day. The</w:t>
      </w:r>
      <w:r w:rsidR="003D0CD5" w:rsidRPr="00387E14">
        <w:rPr>
          <w:rFonts w:cs="Arial"/>
          <w:szCs w:val="22"/>
        </w:rPr>
        <w:t xml:space="preserve"> bigger groups took all the</w:t>
      </w:r>
      <w:r w:rsidR="00183712">
        <w:rPr>
          <w:rFonts w:cs="Arial"/>
          <w:szCs w:val="22"/>
        </w:rPr>
        <w:t xml:space="preserve"> food. The p</w:t>
      </w:r>
      <w:r w:rsidR="00183712">
        <w:rPr>
          <w:rFonts w:cs="Arial"/>
          <w:szCs w:val="22"/>
        </w:rPr>
        <w:t>o</w:t>
      </w:r>
      <w:r w:rsidR="00183712">
        <w:rPr>
          <w:rFonts w:cs="Arial"/>
          <w:szCs w:val="22"/>
        </w:rPr>
        <w:t>lice laughed at us</w:t>
      </w:r>
      <w:r w:rsidR="003D0CD5" w:rsidRPr="00387E14">
        <w:rPr>
          <w:rFonts w:cs="Arial"/>
          <w:szCs w:val="22"/>
        </w:rPr>
        <w:t>.</w:t>
      </w:r>
      <w:r w:rsidR="00183712">
        <w:rPr>
          <w:rFonts w:cs="Arial"/>
          <w:szCs w:val="22"/>
        </w:rPr>
        <w:t>”</w:t>
      </w:r>
      <w:r w:rsidRPr="00387E14">
        <w:rPr>
          <w:rFonts w:cs="Arial"/>
          <w:szCs w:val="22"/>
        </w:rPr>
        <w:t xml:space="preserve"> </w:t>
      </w:r>
    </w:p>
    <w:p w:rsidR="001D2D02" w:rsidRDefault="00BE6B87" w:rsidP="00183712">
      <w:pPr>
        <w:spacing w:line="276" w:lineRule="auto"/>
        <w:rPr>
          <w:rFonts w:cs="Arial"/>
          <w:noProof/>
          <w:lang w:val="en-US"/>
        </w:rPr>
      </w:pPr>
      <w:r w:rsidRPr="00BD4F43">
        <w:rPr>
          <w:rFonts w:cs="Arial"/>
        </w:rPr>
        <w:t>Turkey maintains</w:t>
      </w:r>
      <w:r w:rsidRPr="00BE6B87">
        <w:rPr>
          <w:rFonts w:cs="Arial"/>
          <w:noProof/>
          <w:lang w:val="en-US"/>
        </w:rPr>
        <w:t xml:space="preserve"> a large network of secure “guesthouses” for the administrative detention of asylum seekers and irregular migrants</w:t>
      </w:r>
      <w:r>
        <w:rPr>
          <w:rFonts w:cs="Arial"/>
          <w:noProof/>
          <w:lang w:val="en-US"/>
        </w:rPr>
        <w:t>, including guesthouses in all major cities (Global Detention Project, 2010)</w:t>
      </w:r>
      <w:r w:rsidRPr="00BE6B87">
        <w:rPr>
          <w:rFonts w:cs="Arial"/>
          <w:noProof/>
          <w:lang w:val="en-US"/>
        </w:rPr>
        <w:t>.</w:t>
      </w:r>
      <w:r w:rsidR="00183712">
        <w:rPr>
          <w:rFonts w:cs="Arial"/>
          <w:noProof/>
          <w:lang w:val="en-US"/>
        </w:rPr>
        <w:t xml:space="preserve"> </w:t>
      </w:r>
      <w:r>
        <w:rPr>
          <w:rFonts w:cs="Arial"/>
          <w:noProof/>
          <w:lang w:val="en-US"/>
        </w:rPr>
        <w:t>V</w:t>
      </w:r>
      <w:r w:rsidRPr="00BE6B87">
        <w:rPr>
          <w:rFonts w:cs="Arial"/>
          <w:noProof/>
          <w:lang w:val="en-US"/>
        </w:rPr>
        <w:t xml:space="preserve">arious international bodies have argued that while </w:t>
      </w:r>
      <w:r>
        <w:rPr>
          <w:rFonts w:cs="Arial"/>
          <w:noProof/>
          <w:lang w:val="en-US"/>
        </w:rPr>
        <w:t>legislation</w:t>
      </w:r>
      <w:r w:rsidRPr="00BE6B87">
        <w:rPr>
          <w:rFonts w:cs="Arial"/>
          <w:noProof/>
          <w:lang w:val="en-US"/>
        </w:rPr>
        <w:t xml:space="preserve"> </w:t>
      </w:r>
      <w:r>
        <w:rPr>
          <w:rFonts w:cs="Arial"/>
          <w:noProof/>
          <w:lang w:val="en-US"/>
        </w:rPr>
        <w:t xml:space="preserve">does </w:t>
      </w:r>
      <w:r w:rsidRPr="00BE6B87">
        <w:rPr>
          <w:rFonts w:cs="Arial"/>
          <w:noProof/>
          <w:lang w:val="en-US"/>
        </w:rPr>
        <w:t>not provide for detention, the type of accommodation carried out by authorities amounts to a clear deprivation of liberty and that the facilities used for this purpose operate as detention centres</w:t>
      </w:r>
      <w:r>
        <w:rPr>
          <w:rFonts w:cs="Arial"/>
          <w:noProof/>
          <w:lang w:val="en-US"/>
        </w:rPr>
        <w:t xml:space="preserve">. </w:t>
      </w:r>
      <w:r w:rsidRPr="00BE6B87">
        <w:rPr>
          <w:rFonts w:cs="Arial"/>
          <w:noProof/>
          <w:lang w:val="en-US"/>
        </w:rPr>
        <w:t>People who apply for asylum after being detained, instead of upon arrival in the country, often remain in detention for more than six months. It is reportedly difficult for non-citizens to apply for asylum while in detention as they are denied or have limited access to interpreters and lawyers, have no access to NGOs, and are unaware of their rights</w:t>
      </w:r>
      <w:r>
        <w:rPr>
          <w:rFonts w:cs="Arial"/>
          <w:noProof/>
          <w:lang w:val="en-US"/>
        </w:rPr>
        <w:t>.</w:t>
      </w:r>
    </w:p>
    <w:p w:rsidR="00BD4F43" w:rsidRPr="001D2D02" w:rsidRDefault="000E6073" w:rsidP="00183712">
      <w:pPr>
        <w:spacing w:line="276" w:lineRule="auto"/>
        <w:rPr>
          <w:rFonts w:cs="Arial"/>
          <w:noProof/>
          <w:lang w:val="en-US"/>
        </w:rPr>
      </w:pPr>
      <w:r>
        <w:rPr>
          <w:rFonts w:cs="Arial"/>
          <w:noProof/>
          <w:lang w:val="en-US"/>
        </w:rPr>
        <w:t>The Turkish authorities seem to make use of indefinitie detention until they force detainees to accept self-deportation, by contacting their families and having their tickets paid by them (Humand Rights Watch, 2008).</w:t>
      </w:r>
      <w:r w:rsidR="00183712">
        <w:rPr>
          <w:rFonts w:cs="Arial"/>
          <w:noProof/>
          <w:lang w:val="en-US"/>
        </w:rPr>
        <w:t xml:space="preserve"> </w:t>
      </w:r>
      <w:r w:rsidR="00BD4F43">
        <w:rPr>
          <w:rFonts w:cs="Arial"/>
          <w:noProof/>
          <w:lang w:val="en-US"/>
        </w:rPr>
        <w:t xml:space="preserve">On the other hand, continuous </w:t>
      </w:r>
      <w:r w:rsidR="00CB27CF">
        <w:rPr>
          <w:rFonts w:cs="Arial"/>
          <w:noProof/>
          <w:lang w:val="en-US"/>
        </w:rPr>
        <w:t xml:space="preserve">and in several cases fatal </w:t>
      </w:r>
      <w:r w:rsidR="00BD4F43">
        <w:rPr>
          <w:rFonts w:cs="Arial"/>
          <w:noProof/>
          <w:lang w:val="en-US"/>
        </w:rPr>
        <w:t>migratory flows from Turkey to Greece</w:t>
      </w:r>
      <w:r w:rsidR="00CB27CF">
        <w:rPr>
          <w:rFonts w:cs="Arial"/>
          <w:noProof/>
          <w:lang w:val="en-US"/>
        </w:rPr>
        <w:t xml:space="preserve"> indicate that </w:t>
      </w:r>
      <w:r w:rsidR="00C65233">
        <w:rPr>
          <w:rFonts w:cs="Arial"/>
          <w:noProof/>
          <w:lang w:val="en-US"/>
        </w:rPr>
        <w:t>other</w:t>
      </w:r>
      <w:r w:rsidR="00CB27CF">
        <w:rPr>
          <w:rFonts w:cs="Arial"/>
          <w:noProof/>
          <w:lang w:val="en-US"/>
        </w:rPr>
        <w:t xml:space="preserve"> asylum seekers </w:t>
      </w:r>
      <w:r w:rsidR="00C65233">
        <w:rPr>
          <w:rFonts w:cs="Arial"/>
          <w:noProof/>
          <w:lang w:val="en-US"/>
        </w:rPr>
        <w:t>may live for some time in marginal living conitions aroun</w:t>
      </w:r>
      <w:r w:rsidR="005E130E">
        <w:rPr>
          <w:rFonts w:cs="Arial"/>
          <w:noProof/>
          <w:lang w:val="en-US"/>
        </w:rPr>
        <w:t>d</w:t>
      </w:r>
      <w:r w:rsidR="00C65233">
        <w:rPr>
          <w:rFonts w:cs="Arial"/>
          <w:noProof/>
          <w:lang w:val="en-US"/>
        </w:rPr>
        <w:t xml:space="preserve"> the city, trying </w:t>
      </w:r>
      <w:r w:rsidR="0039275D">
        <w:rPr>
          <w:rFonts w:cs="Arial"/>
          <w:noProof/>
          <w:lang w:val="en-US"/>
        </w:rPr>
        <w:t xml:space="preserve">repeatedly </w:t>
      </w:r>
      <w:r w:rsidR="00C65233">
        <w:rPr>
          <w:rFonts w:cs="Arial"/>
          <w:noProof/>
          <w:lang w:val="en-US"/>
        </w:rPr>
        <w:t xml:space="preserve">to </w:t>
      </w:r>
      <w:r w:rsidR="005E130E">
        <w:rPr>
          <w:rFonts w:cs="Arial"/>
          <w:noProof/>
          <w:lang w:val="en-US"/>
        </w:rPr>
        <w:t xml:space="preserve">avoid apprehension and to </w:t>
      </w:r>
      <w:r w:rsidR="00C65233">
        <w:rPr>
          <w:rFonts w:cs="Arial"/>
          <w:noProof/>
          <w:lang w:val="en-US"/>
        </w:rPr>
        <w:t xml:space="preserve">escape </w:t>
      </w:r>
      <w:r w:rsidR="005E130E">
        <w:rPr>
          <w:rFonts w:cs="Arial"/>
          <w:noProof/>
          <w:lang w:val="en-US"/>
        </w:rPr>
        <w:t>via informal networks</w:t>
      </w:r>
      <w:r w:rsidR="00BF2DA2">
        <w:rPr>
          <w:rFonts w:cs="Arial"/>
          <w:noProof/>
          <w:lang w:val="en-US"/>
        </w:rPr>
        <w:t xml:space="preserve"> and remaining invisible in official statistics</w:t>
      </w:r>
      <w:r w:rsidR="005E130E">
        <w:rPr>
          <w:rFonts w:cs="Arial"/>
          <w:noProof/>
          <w:lang w:val="en-US"/>
        </w:rPr>
        <w:t>.</w:t>
      </w:r>
    </w:p>
    <w:p w:rsidR="000C7211" w:rsidRPr="00477369" w:rsidRDefault="00536563" w:rsidP="00477369">
      <w:pPr>
        <w:pStyle w:val="Heading1"/>
      </w:pPr>
      <w:r w:rsidRPr="00200724">
        <w:rPr>
          <w:noProof/>
        </w:rPr>
        <w:br w:type="column"/>
      </w:r>
      <w:bookmarkStart w:id="21" w:name="_Toc384993696"/>
      <w:r w:rsidRPr="00477369">
        <w:lastRenderedPageBreak/>
        <w:t>Analysis</w:t>
      </w:r>
      <w:r w:rsidR="00812CE3" w:rsidRPr="00477369">
        <w:t xml:space="preserve"> of underlying processes and t</w:t>
      </w:r>
      <w:r w:rsidRPr="00477369">
        <w:t>rends</w:t>
      </w:r>
      <w:bookmarkEnd w:id="21"/>
    </w:p>
    <w:p w:rsidR="00200724" w:rsidRDefault="00200724" w:rsidP="00200724">
      <w:pPr>
        <w:spacing w:line="360" w:lineRule="exact"/>
        <w:rPr>
          <w:rFonts w:cs="Arial"/>
        </w:rPr>
      </w:pPr>
    </w:p>
    <w:p w:rsidR="007045B4" w:rsidRDefault="007045B4" w:rsidP="00183712">
      <w:pPr>
        <w:spacing w:line="276" w:lineRule="auto"/>
        <w:rPr>
          <w:rFonts w:cs="Arial"/>
        </w:rPr>
      </w:pPr>
      <w:r>
        <w:rPr>
          <w:rFonts w:cs="Arial"/>
        </w:rPr>
        <w:t xml:space="preserve">This chapter is devoted to a description of the Turkish education </w:t>
      </w:r>
      <w:r w:rsidR="0058259A">
        <w:rPr>
          <w:rFonts w:cs="Arial"/>
        </w:rPr>
        <w:t>system, its</w:t>
      </w:r>
      <w:r w:rsidR="00183712">
        <w:rPr>
          <w:rFonts w:cs="Arial"/>
        </w:rPr>
        <w:t xml:space="preserve"> wea</w:t>
      </w:r>
      <w:r w:rsidR="00183712">
        <w:rPr>
          <w:rFonts w:cs="Arial"/>
        </w:rPr>
        <w:t>k</w:t>
      </w:r>
      <w:r w:rsidR="00183712">
        <w:rPr>
          <w:rFonts w:cs="Arial"/>
        </w:rPr>
        <w:t>nesses</w:t>
      </w:r>
      <w:r>
        <w:rPr>
          <w:rFonts w:cs="Arial"/>
        </w:rPr>
        <w:t xml:space="preserve"> and </w:t>
      </w:r>
      <w:r w:rsidR="0058259A">
        <w:rPr>
          <w:rFonts w:cs="Arial"/>
        </w:rPr>
        <w:t>strengths</w:t>
      </w:r>
      <w:r>
        <w:rPr>
          <w:rFonts w:cs="Arial"/>
        </w:rPr>
        <w:t xml:space="preserve"> and transformation tendencies, proposing some critical co</w:t>
      </w:r>
      <w:r>
        <w:rPr>
          <w:rFonts w:cs="Arial"/>
        </w:rPr>
        <w:t>m</w:t>
      </w:r>
      <w:r>
        <w:rPr>
          <w:rFonts w:cs="Arial"/>
        </w:rPr>
        <w:t>ments. As the Turkish education system is highly centralized and focusing in the last section, on the Izmir case</w:t>
      </w:r>
    </w:p>
    <w:p w:rsidR="00200724" w:rsidRPr="00200724" w:rsidRDefault="00200724" w:rsidP="00183712">
      <w:pPr>
        <w:spacing w:line="276" w:lineRule="auto"/>
        <w:rPr>
          <w:rFonts w:cs="Arial"/>
        </w:rPr>
      </w:pPr>
      <w:r w:rsidRPr="00200724">
        <w:rPr>
          <w:rFonts w:cs="Arial"/>
        </w:rPr>
        <w:t>The Turkish national education system has its roots at the Ataturk reforms dated from the 1920s. It is regulated and controlled by the state and specifically under the s</w:t>
      </w:r>
      <w:r w:rsidRPr="00200724">
        <w:rPr>
          <w:rFonts w:cs="Arial"/>
        </w:rPr>
        <w:t>u</w:t>
      </w:r>
      <w:r w:rsidRPr="00200724">
        <w:rPr>
          <w:rFonts w:cs="Arial"/>
        </w:rPr>
        <w:t>pervision of the Ministry of National Education. According to the Constitution of the Republic of Turkey, everyone has the right to receive education. The formal educ</w:t>
      </w:r>
      <w:r w:rsidRPr="00200724">
        <w:rPr>
          <w:rFonts w:cs="Arial"/>
        </w:rPr>
        <w:t>a</w:t>
      </w:r>
      <w:r w:rsidRPr="00200724">
        <w:rPr>
          <w:rFonts w:cs="Arial"/>
        </w:rPr>
        <w:t>tion system is divided into three categories, i.e. the primary schools, high schools, and universities. Until 1997, there was also middle school category, which was merged with primary schools at that year, to be separated again in 2012. The co</w:t>
      </w:r>
      <w:r w:rsidRPr="00200724">
        <w:rPr>
          <w:rFonts w:cs="Arial"/>
        </w:rPr>
        <w:t>m</w:t>
      </w:r>
      <w:r w:rsidRPr="00200724">
        <w:rPr>
          <w:rFonts w:cs="Arial"/>
        </w:rPr>
        <w:t xml:space="preserve">pulsory education increased from five to eight years. In 2001 the government passed a law raising compulsory education from eight to twelve years covering high school; however, this reform was enacted only very recently, in April 2012. </w:t>
      </w:r>
    </w:p>
    <w:p w:rsidR="00200724" w:rsidRPr="00200724" w:rsidRDefault="00200724" w:rsidP="00183712">
      <w:pPr>
        <w:spacing w:line="276" w:lineRule="auto"/>
        <w:rPr>
          <w:rFonts w:cs="Arial"/>
        </w:rPr>
      </w:pPr>
      <w:r w:rsidRPr="00200724">
        <w:rPr>
          <w:rFonts w:cs="Arial"/>
        </w:rPr>
        <w:t>In 2011 there were 60,165 schools at the national level, with 25,429,670 students and 880,317 teachers (at a rat</w:t>
      </w:r>
      <w:r w:rsidR="0072001A">
        <w:rPr>
          <w:rFonts w:cs="Arial"/>
        </w:rPr>
        <w:t>io of 1 teacher per 29 students</w:t>
      </w:r>
      <w:r w:rsidRPr="00200724">
        <w:rPr>
          <w:rFonts w:cs="Arial"/>
        </w:rPr>
        <w:t>). About 1.5 million st</w:t>
      </w:r>
      <w:r w:rsidRPr="00200724">
        <w:rPr>
          <w:rFonts w:cs="Arial"/>
        </w:rPr>
        <w:t>u</w:t>
      </w:r>
      <w:r w:rsidRPr="00200724">
        <w:rPr>
          <w:rFonts w:cs="Arial"/>
        </w:rPr>
        <w:t>dents graduate from Turkish high schools at an annual basis. About 95% of students attend public schools, but inadequacies of the publ</w:t>
      </w:r>
      <w:r w:rsidR="00550126">
        <w:rPr>
          <w:rFonts w:cs="Arial"/>
        </w:rPr>
        <w:t>ic system increasingly motivate</w:t>
      </w:r>
      <w:r w:rsidRPr="00200724">
        <w:rPr>
          <w:rFonts w:cs="Arial"/>
        </w:rPr>
        <w:t xml:space="preserve"> middle-class parents to seek private education. Except for the Open Education Fa</w:t>
      </w:r>
      <w:r w:rsidRPr="00200724">
        <w:rPr>
          <w:rFonts w:cs="Arial"/>
        </w:rPr>
        <w:t>c</w:t>
      </w:r>
      <w:r w:rsidRPr="00200724">
        <w:rPr>
          <w:rFonts w:cs="Arial"/>
        </w:rPr>
        <w:t>ulty (</w:t>
      </w:r>
      <w:r w:rsidRPr="00200724">
        <w:rPr>
          <w:rFonts w:cs="Arial"/>
          <w:i/>
        </w:rPr>
        <w:t>Açıköğretim Fakültesi</w:t>
      </w:r>
      <w:r w:rsidRPr="00200724">
        <w:rPr>
          <w:rFonts w:cs="Arial"/>
        </w:rPr>
        <w:t xml:space="preserve">) at Anadolu University, entrance </w:t>
      </w:r>
      <w:r w:rsidR="008E256A">
        <w:rPr>
          <w:rFonts w:cs="Arial"/>
        </w:rPr>
        <w:t xml:space="preserve">to tertiary education </w:t>
      </w:r>
      <w:r w:rsidRPr="00200724">
        <w:rPr>
          <w:rFonts w:cs="Arial"/>
        </w:rPr>
        <w:t xml:space="preserve">is regulated by a </w:t>
      </w:r>
      <w:r w:rsidR="008E256A">
        <w:rPr>
          <w:rFonts w:cs="Arial"/>
        </w:rPr>
        <w:t xml:space="preserve">common </w:t>
      </w:r>
      <w:r w:rsidRPr="00200724">
        <w:rPr>
          <w:rFonts w:cs="Arial"/>
        </w:rPr>
        <w:t>national examination, ÖSS, after which high school grad</w:t>
      </w:r>
      <w:r w:rsidRPr="00200724">
        <w:rPr>
          <w:rFonts w:cs="Arial"/>
        </w:rPr>
        <w:t>u</w:t>
      </w:r>
      <w:r w:rsidRPr="00200724">
        <w:rPr>
          <w:rFonts w:cs="Arial"/>
        </w:rPr>
        <w:t>ates are assigned to university according to their performance.</w:t>
      </w:r>
    </w:p>
    <w:p w:rsidR="00F8321F" w:rsidRDefault="00200724" w:rsidP="00183712">
      <w:pPr>
        <w:spacing w:line="276" w:lineRule="auto"/>
        <w:rPr>
          <w:rFonts w:cs="Arial"/>
        </w:rPr>
      </w:pPr>
      <w:r w:rsidRPr="00200724">
        <w:rPr>
          <w:rFonts w:cs="Arial"/>
        </w:rPr>
        <w:t>The average schooling years in Turkey have increased from 2.7 years in the 1960s to 5.3 years in the 2000s. Moreover, until recently children would start school at around the age of 80 months or between 6 ½ to 7 years but this was lowered to 66 months in 2012 (National Education Statistics</w:t>
      </w:r>
      <w:r w:rsidR="00183712">
        <w:rPr>
          <w:rFonts w:cs="Arial"/>
        </w:rPr>
        <w:t>,</w:t>
      </w:r>
      <w:r w:rsidRPr="00200724">
        <w:rPr>
          <w:rFonts w:cs="Arial"/>
        </w:rPr>
        <w:t xml:space="preserve"> 2012-2013). These aggregate figures bring Turkey slightly above the developing countries. On the other hand, despite some convergence, Turkey's average schooling years are 4.47 years less than the average of the developed countries. </w:t>
      </w:r>
      <w:r w:rsidR="001A50A4" w:rsidRPr="001A50A4">
        <w:rPr>
          <w:rFonts w:cs="Arial"/>
        </w:rPr>
        <w:t>OECD</w:t>
      </w:r>
      <w:r w:rsidR="001A50A4">
        <w:rPr>
          <w:rFonts w:cs="Arial"/>
        </w:rPr>
        <w:t xml:space="preserve"> statistics</w:t>
      </w:r>
      <w:r w:rsidR="001A50A4" w:rsidRPr="001A50A4">
        <w:rPr>
          <w:rFonts w:cs="Arial"/>
        </w:rPr>
        <w:t xml:space="preserve"> reveal that in 2010 less than one in three adults aged 25-64 had the equivalent of a</w:t>
      </w:r>
      <w:r w:rsidR="001A50A4">
        <w:rPr>
          <w:rFonts w:cs="Arial"/>
        </w:rPr>
        <w:t xml:space="preserve"> high school diploma (31%</w:t>
      </w:r>
      <w:r w:rsidR="001A50A4" w:rsidRPr="001A50A4">
        <w:rPr>
          <w:rFonts w:cs="Arial"/>
        </w:rPr>
        <w:t>), much lo</w:t>
      </w:r>
      <w:r w:rsidR="001A50A4">
        <w:rPr>
          <w:rFonts w:cs="Arial"/>
        </w:rPr>
        <w:t>wer than the OECD average of 74%</w:t>
      </w:r>
      <w:r w:rsidR="001A50A4" w:rsidRPr="001A50A4">
        <w:rPr>
          <w:rFonts w:cs="Arial"/>
        </w:rPr>
        <w:t xml:space="preserve"> and the lowest rate across OECD cou</w:t>
      </w:r>
      <w:r w:rsidR="001A50A4" w:rsidRPr="001A50A4">
        <w:rPr>
          <w:rFonts w:cs="Arial"/>
        </w:rPr>
        <w:t>n</w:t>
      </w:r>
      <w:r w:rsidR="001A50A4" w:rsidRPr="001A50A4">
        <w:rPr>
          <w:rFonts w:cs="Arial"/>
        </w:rPr>
        <w:t>tries. Among the current generation (aged under 25), upper secondary gradu</w:t>
      </w:r>
      <w:r w:rsidR="00183712">
        <w:rPr>
          <w:rFonts w:cs="Arial"/>
        </w:rPr>
        <w:t>ation rates stood at 54%</w:t>
      </w:r>
      <w:proofErr w:type="gramStart"/>
      <w:r w:rsidR="001A50A4" w:rsidRPr="001A50A4">
        <w:rPr>
          <w:rFonts w:cs="Arial"/>
        </w:rPr>
        <w:t>,</w:t>
      </w:r>
      <w:proofErr w:type="gramEnd"/>
      <w:r w:rsidR="001A50A4" w:rsidRPr="001A50A4">
        <w:rPr>
          <w:rFonts w:cs="Arial"/>
        </w:rPr>
        <w:t xml:space="preserve"> again well below the OECD average of 84</w:t>
      </w:r>
      <w:r w:rsidR="00F60044">
        <w:rPr>
          <w:rFonts w:cs="Arial"/>
        </w:rPr>
        <w:t>% (Clark &amp; Mih</w:t>
      </w:r>
      <w:r w:rsidR="001A50A4">
        <w:rPr>
          <w:rFonts w:cs="Arial"/>
        </w:rPr>
        <w:t>ael</w:t>
      </w:r>
      <w:r w:rsidR="00183712">
        <w:rPr>
          <w:rFonts w:cs="Arial"/>
        </w:rPr>
        <w:t>,</w:t>
      </w:r>
      <w:r w:rsidR="001A50A4">
        <w:rPr>
          <w:rFonts w:cs="Arial"/>
        </w:rPr>
        <w:t xml:space="preserve"> 2012).</w:t>
      </w:r>
      <w:r w:rsidR="001A50A4" w:rsidRPr="001A50A4">
        <w:rPr>
          <w:rFonts w:cs="Arial"/>
        </w:rPr>
        <w:t xml:space="preserve"> </w:t>
      </w:r>
      <w:r w:rsidR="00F8321F">
        <w:rPr>
          <w:rFonts w:cs="Arial"/>
        </w:rPr>
        <w:t>G</w:t>
      </w:r>
      <w:r w:rsidR="00F8321F" w:rsidRPr="00F8321F">
        <w:rPr>
          <w:rFonts w:cs="Arial"/>
        </w:rPr>
        <w:t xml:space="preserve">irls are nine percent less likely to complete high school than </w:t>
      </w:r>
      <w:r w:rsidR="00F8321F">
        <w:rPr>
          <w:rFonts w:cs="Arial"/>
        </w:rPr>
        <w:t>boys.</w:t>
      </w:r>
      <w:r w:rsidR="00F8321F" w:rsidRPr="00F8321F">
        <w:rPr>
          <w:rFonts w:cs="Arial"/>
        </w:rPr>
        <w:t xml:space="preserve"> </w:t>
      </w:r>
    </w:p>
    <w:p w:rsidR="00200724" w:rsidRPr="00200724" w:rsidRDefault="00F8321F" w:rsidP="00183712">
      <w:pPr>
        <w:spacing w:line="276" w:lineRule="auto"/>
        <w:rPr>
          <w:rFonts w:cs="Arial"/>
        </w:rPr>
      </w:pPr>
      <w:r>
        <w:rPr>
          <w:rFonts w:cs="Arial"/>
        </w:rPr>
        <w:t xml:space="preserve">The </w:t>
      </w:r>
      <w:r w:rsidR="00200724" w:rsidRPr="00200724">
        <w:rPr>
          <w:rFonts w:cs="Arial"/>
        </w:rPr>
        <w:t>Turkish government spending on education as a percentage of GDP</w:t>
      </w:r>
      <w:r w:rsidR="00AB0413">
        <w:rPr>
          <w:rFonts w:cs="Arial"/>
        </w:rPr>
        <w:t xml:space="preserve"> (about </w:t>
      </w:r>
      <w:r w:rsidR="00103AED">
        <w:rPr>
          <w:rFonts w:cs="Arial"/>
        </w:rPr>
        <w:t>4% in the period 1987-2005</w:t>
      </w:r>
      <w:r w:rsidR="00875319">
        <w:rPr>
          <w:rFonts w:cs="Arial"/>
        </w:rPr>
        <w:t>)</w:t>
      </w:r>
      <w:r w:rsidR="00200724" w:rsidRPr="00200724">
        <w:rPr>
          <w:rFonts w:cs="Arial"/>
        </w:rPr>
        <w:t xml:space="preserve"> is significantly behind any of the OECD countries and it has been stagnant for a long time, thus reducing the possibilities for any further conve</w:t>
      </w:r>
      <w:r w:rsidR="00200724" w:rsidRPr="00200724">
        <w:rPr>
          <w:rFonts w:cs="Arial"/>
        </w:rPr>
        <w:t>r</w:t>
      </w:r>
      <w:r w:rsidR="00200724" w:rsidRPr="00200724">
        <w:rPr>
          <w:rFonts w:cs="Arial"/>
        </w:rPr>
        <w:t>gence in the near future</w:t>
      </w:r>
      <w:r w:rsidR="00103AED">
        <w:rPr>
          <w:rFonts w:cs="Arial"/>
        </w:rPr>
        <w:t xml:space="preserve"> (Duman</w:t>
      </w:r>
      <w:r w:rsidR="002E25EC">
        <w:rPr>
          <w:rFonts w:cs="Arial"/>
        </w:rPr>
        <w:t>, 2008</w:t>
      </w:r>
      <w:r w:rsidR="00103AED">
        <w:rPr>
          <w:rFonts w:cs="Arial"/>
        </w:rPr>
        <w:t>)</w:t>
      </w:r>
      <w:r w:rsidR="00200724" w:rsidRPr="00200724">
        <w:rPr>
          <w:rFonts w:cs="Arial"/>
        </w:rPr>
        <w:t>. At the same time, the government is restric</w:t>
      </w:r>
      <w:r w:rsidR="00200724" w:rsidRPr="00200724">
        <w:rPr>
          <w:rFonts w:cs="Arial"/>
        </w:rPr>
        <w:t>t</w:t>
      </w:r>
      <w:r w:rsidR="00200724" w:rsidRPr="00200724">
        <w:rPr>
          <w:rFonts w:cs="Arial"/>
        </w:rPr>
        <w:t>ing its spending on primary and secondary education while keeping high levels of relative spending on tertiary education, facing the danger to restrict education oppo</w:t>
      </w:r>
      <w:r w:rsidR="00200724" w:rsidRPr="00200724">
        <w:rPr>
          <w:rFonts w:cs="Arial"/>
        </w:rPr>
        <w:t>r</w:t>
      </w:r>
      <w:r w:rsidR="00200724" w:rsidRPr="00200724">
        <w:rPr>
          <w:rFonts w:cs="Arial"/>
        </w:rPr>
        <w:lastRenderedPageBreak/>
        <w:t>tunities for the less affluent while increasing education opportunities for the more a</w:t>
      </w:r>
      <w:r w:rsidR="00200724" w:rsidRPr="00200724">
        <w:rPr>
          <w:rFonts w:cs="Arial"/>
        </w:rPr>
        <w:t>f</w:t>
      </w:r>
      <w:r w:rsidR="00200724" w:rsidRPr="00200724">
        <w:rPr>
          <w:rFonts w:cs="Arial"/>
        </w:rPr>
        <w:t>fluent</w:t>
      </w:r>
      <w:r w:rsidR="00103AED">
        <w:rPr>
          <w:rFonts w:cs="Arial"/>
        </w:rPr>
        <w:t xml:space="preserve"> part of the population</w:t>
      </w:r>
      <w:r w:rsidR="00200724" w:rsidRPr="00200724">
        <w:rPr>
          <w:rFonts w:cs="Arial"/>
        </w:rPr>
        <w:t>.</w:t>
      </w:r>
    </w:p>
    <w:p w:rsidR="00200724" w:rsidRDefault="002A36FF" w:rsidP="00183712">
      <w:pPr>
        <w:spacing w:line="276" w:lineRule="auto"/>
        <w:rPr>
          <w:rFonts w:cs="Arial"/>
        </w:rPr>
      </w:pPr>
      <w:r>
        <w:rPr>
          <w:rFonts w:cs="Arial"/>
        </w:rPr>
        <w:t xml:space="preserve">According to </w:t>
      </w:r>
      <w:r w:rsidR="00EB6B89">
        <w:rPr>
          <w:rFonts w:cs="Arial"/>
        </w:rPr>
        <w:t>TUIK</w:t>
      </w:r>
      <w:r>
        <w:rPr>
          <w:rFonts w:cs="Arial"/>
        </w:rPr>
        <w:t xml:space="preserve">, a total number of 2,314,000 children were estimated to not attend school in </w:t>
      </w:r>
      <w:r w:rsidR="00E841C3">
        <w:rPr>
          <w:rFonts w:cs="Arial"/>
        </w:rPr>
        <w:t>200</w:t>
      </w:r>
      <w:r w:rsidR="00D86964">
        <w:rPr>
          <w:rFonts w:cs="Arial"/>
        </w:rPr>
        <w:t>6</w:t>
      </w:r>
      <w:r>
        <w:rPr>
          <w:rFonts w:cs="Arial"/>
        </w:rPr>
        <w:t>. About 860,000 early school leavers belonged to the age group b</w:t>
      </w:r>
      <w:r>
        <w:rPr>
          <w:rFonts w:cs="Arial"/>
        </w:rPr>
        <w:t>e</w:t>
      </w:r>
      <w:r>
        <w:rPr>
          <w:rFonts w:cs="Arial"/>
        </w:rPr>
        <w:t xml:space="preserve">tween 6 and 14 and other 1,454,000 in the 15-17 </w:t>
      </w:r>
      <w:proofErr w:type="gramStart"/>
      <w:r>
        <w:rPr>
          <w:rFonts w:cs="Arial"/>
        </w:rPr>
        <w:t>group</w:t>
      </w:r>
      <w:proofErr w:type="gramEnd"/>
      <w:r>
        <w:rPr>
          <w:rFonts w:cs="Arial"/>
        </w:rPr>
        <w:t>. Girls represented the major</w:t>
      </w:r>
      <w:r>
        <w:rPr>
          <w:rFonts w:cs="Arial"/>
        </w:rPr>
        <w:t>i</w:t>
      </w:r>
      <w:r>
        <w:rPr>
          <w:rFonts w:cs="Arial"/>
        </w:rPr>
        <w:t>ty with 57.5%.</w:t>
      </w:r>
      <w:r w:rsidR="00BB5EC6">
        <w:rPr>
          <w:rFonts w:cs="Arial"/>
        </w:rPr>
        <w:t xml:space="preserve"> </w:t>
      </w:r>
      <w:r w:rsidR="00D86964">
        <w:rPr>
          <w:rFonts w:cs="Arial"/>
        </w:rPr>
        <w:t>1,311,000 early school leavers lived in urban areas of the country. By 2012 there were clear signs of improvement as the total number had decreased by more than one million to 1,297,000 (</w:t>
      </w:r>
      <w:r w:rsidR="00CF021C">
        <w:rPr>
          <w:rFonts w:cs="Arial"/>
        </w:rPr>
        <w:t>319,000 between 6 and 14 and 978,000 between 15 and17</w:t>
      </w:r>
      <w:r w:rsidR="00D86964">
        <w:rPr>
          <w:rFonts w:cs="Arial"/>
        </w:rPr>
        <w:t>)</w:t>
      </w:r>
      <w:r w:rsidR="00CF021C">
        <w:rPr>
          <w:rFonts w:cs="Arial"/>
        </w:rPr>
        <w:t xml:space="preserve"> and girls represented no more than 51.6%. The improvement was more rapid in urban areas where the decrease raised at 51%, compared with 34% in rural areas.</w:t>
      </w:r>
      <w:r w:rsidR="008E256A">
        <w:rPr>
          <w:rFonts w:cs="Arial"/>
        </w:rPr>
        <w:t xml:space="preserve"> </w:t>
      </w:r>
      <w:r w:rsidR="00486DF4">
        <w:rPr>
          <w:rFonts w:cs="Arial"/>
        </w:rPr>
        <w:t>Engagement in economic activity is the most important factor explaining school dropout among boys (49.5%), while for 60.5% of the girls dropout was co</w:t>
      </w:r>
      <w:r w:rsidR="00486DF4">
        <w:rPr>
          <w:rFonts w:cs="Arial"/>
        </w:rPr>
        <w:t>n</w:t>
      </w:r>
      <w:r w:rsidR="00486DF4">
        <w:rPr>
          <w:rFonts w:cs="Arial"/>
        </w:rPr>
        <w:t>nected with engagement in household duties.</w:t>
      </w:r>
    </w:p>
    <w:p w:rsidR="00F8321F" w:rsidRPr="00200724" w:rsidRDefault="00F8321F" w:rsidP="00183712">
      <w:pPr>
        <w:spacing w:line="276" w:lineRule="auto"/>
        <w:rPr>
          <w:rFonts w:cs="Arial"/>
        </w:rPr>
      </w:pPr>
      <w:r>
        <w:rPr>
          <w:rFonts w:cs="Arial"/>
        </w:rPr>
        <w:t xml:space="preserve">Recent legislative changes and reforms adopted by the ruling AKP party have been highly controversial. The contention usually takes the form of a struggle between those supporting the secularist Ataturk tradition and the religious conservatives (Clark &amp; Mihael, 2012). </w:t>
      </w:r>
      <w:r w:rsidR="00E7046D">
        <w:rPr>
          <w:rFonts w:cs="Arial"/>
        </w:rPr>
        <w:t>The AKP policy is describes as an amalgam of Islamic co</w:t>
      </w:r>
      <w:r w:rsidR="00E7046D">
        <w:rPr>
          <w:rFonts w:cs="Arial"/>
        </w:rPr>
        <w:t>n</w:t>
      </w:r>
      <w:r w:rsidR="00E7046D">
        <w:rPr>
          <w:rFonts w:cs="Arial"/>
        </w:rPr>
        <w:t>servatism and neoliberalism (Yucesan-Ozdemir &amp; Ozdemir, 2012).</w:t>
      </w:r>
      <w:r>
        <w:rPr>
          <w:rFonts w:cs="Arial"/>
        </w:rPr>
        <w:t>For example the division of the primary education circle in three stages is presented by the gover</w:t>
      </w:r>
      <w:r>
        <w:rPr>
          <w:rFonts w:cs="Arial"/>
        </w:rPr>
        <w:t>n</w:t>
      </w:r>
      <w:r>
        <w:rPr>
          <w:rFonts w:cs="Arial"/>
        </w:rPr>
        <w:t>ment as a means to improve opportunities for vocational training, but opponents a</w:t>
      </w:r>
      <w:r>
        <w:rPr>
          <w:rFonts w:cs="Arial"/>
        </w:rPr>
        <w:t>r</w:t>
      </w:r>
      <w:r>
        <w:rPr>
          <w:rFonts w:cs="Arial"/>
        </w:rPr>
        <w:t>gue that a period of only four years of schooling before entering vocational pr</w:t>
      </w:r>
      <w:r>
        <w:rPr>
          <w:rFonts w:cs="Arial"/>
        </w:rPr>
        <w:t>o</w:t>
      </w:r>
      <w:r>
        <w:rPr>
          <w:rFonts w:cs="Arial"/>
        </w:rPr>
        <w:t>grammes is inadequate. Similarly, certain concerns are formulated on the gover</w:t>
      </w:r>
      <w:r>
        <w:rPr>
          <w:rFonts w:cs="Arial"/>
        </w:rPr>
        <w:t>n</w:t>
      </w:r>
      <w:r>
        <w:rPr>
          <w:rFonts w:cs="Arial"/>
        </w:rPr>
        <w:t>ment’s intention to facilitate families to keep their children at home (by implementing home school for children after four years of schooling) and the expected cons</w:t>
      </w:r>
      <w:r>
        <w:rPr>
          <w:rFonts w:cs="Arial"/>
        </w:rPr>
        <w:t>e</w:t>
      </w:r>
      <w:r>
        <w:rPr>
          <w:rFonts w:cs="Arial"/>
        </w:rPr>
        <w:t xml:space="preserve">quences on girls’ education attainment. </w:t>
      </w:r>
      <w:r w:rsidR="008F2C60">
        <w:rPr>
          <w:rFonts w:cs="Arial"/>
        </w:rPr>
        <w:t>The tension is widely felt and opposition to AKP reforms is expressed in MRI with its strong secularist tradition</w:t>
      </w:r>
      <w:r w:rsidR="00595A89">
        <w:rPr>
          <w:rFonts w:cs="Arial"/>
        </w:rPr>
        <w:t xml:space="preserve"> (interview with D.O.)</w:t>
      </w:r>
      <w:r w:rsidR="008F2C60">
        <w:rPr>
          <w:rFonts w:cs="Arial"/>
        </w:rPr>
        <w:t>.</w:t>
      </w:r>
    </w:p>
    <w:p w:rsidR="00F8321F" w:rsidRPr="007747A5" w:rsidRDefault="00F8321F" w:rsidP="00183712">
      <w:pPr>
        <w:spacing w:before="240" w:line="276" w:lineRule="auto"/>
        <w:rPr>
          <w:rFonts w:cs="Arial"/>
          <w:i/>
        </w:rPr>
      </w:pPr>
      <w:r w:rsidRPr="007747A5">
        <w:rPr>
          <w:rFonts w:cs="Arial"/>
          <w:i/>
        </w:rPr>
        <w:t>Primary education</w:t>
      </w:r>
    </w:p>
    <w:p w:rsidR="00F8321F" w:rsidRPr="00200724" w:rsidRDefault="00F8321F" w:rsidP="00183712">
      <w:pPr>
        <w:spacing w:line="276" w:lineRule="auto"/>
        <w:rPr>
          <w:rFonts w:cs="Arial"/>
        </w:rPr>
      </w:pPr>
      <w:r w:rsidRPr="00200724">
        <w:rPr>
          <w:rFonts w:cs="Arial"/>
        </w:rPr>
        <w:t>Primary education in Turkey lasts for 8 years and is compulsory and free of charge at the public schools. Until recently there was a single primary school offering education for 8 years, but after the recent reform (which increased compulsory education from 8 to 12 years), primary education is separated in five years of primary schools and three years of junior high school (considered as primary education in the Turkish sy</w:t>
      </w:r>
      <w:r w:rsidRPr="00200724">
        <w:rPr>
          <w:rFonts w:cs="Arial"/>
        </w:rPr>
        <w:t>s</w:t>
      </w:r>
      <w:r w:rsidRPr="00200724">
        <w:rPr>
          <w:rFonts w:cs="Arial"/>
        </w:rPr>
        <w:t xml:space="preserve">tem. Primary education diplomas are awarded to the graduating students. </w:t>
      </w:r>
    </w:p>
    <w:p w:rsidR="00F8321F" w:rsidRPr="00200724" w:rsidRDefault="00F8321F" w:rsidP="00183712">
      <w:pPr>
        <w:spacing w:line="276" w:lineRule="auto"/>
        <w:rPr>
          <w:rFonts w:cs="Arial"/>
        </w:rPr>
      </w:pPr>
      <w:r w:rsidRPr="00200724">
        <w:rPr>
          <w:rFonts w:cs="Arial"/>
        </w:rPr>
        <w:t>When students start studying the 6th grade, they start preparing themselves for the national level placement test (SBS). At the end of 6th, 7th and 8th grade, students take this exam and finishing the 8th grade, they select which high school they would like to study at, according to their performance in their SBS exams. As a matter of fact, several different choices are available.</w:t>
      </w:r>
    </w:p>
    <w:p w:rsidR="00F8321F" w:rsidRDefault="00F8321F" w:rsidP="0017000B">
      <w:pPr>
        <w:spacing w:line="276" w:lineRule="auto"/>
        <w:rPr>
          <w:rFonts w:cs="Arial"/>
        </w:rPr>
      </w:pPr>
    </w:p>
    <w:p w:rsidR="007161C4" w:rsidRDefault="00200724" w:rsidP="0017000B">
      <w:pPr>
        <w:keepNext/>
      </w:pPr>
      <w:r w:rsidRPr="00200724">
        <w:rPr>
          <w:rFonts w:cs="Arial"/>
          <w:noProof/>
          <w:lang w:val="fi-FI" w:eastAsia="fi-FI"/>
        </w:rPr>
        <w:lastRenderedPageBreak/>
        <w:drawing>
          <wp:inline distT="0" distB="0" distL="0" distR="0" wp14:anchorId="2535EE75" wp14:editId="2109D473">
            <wp:extent cx="4154917" cy="5850502"/>
            <wp:effectExtent l="19050" t="0" r="0" b="0"/>
            <wp:docPr id="82" name="Εικόνα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9" cstate="print"/>
                    <a:srcRect/>
                    <a:stretch>
                      <a:fillRect/>
                    </a:stretch>
                  </pic:blipFill>
                  <pic:spPr bwMode="auto">
                    <a:xfrm>
                      <a:off x="0" y="0"/>
                      <a:ext cx="4156095" cy="5852160"/>
                    </a:xfrm>
                    <a:prstGeom prst="rect">
                      <a:avLst/>
                    </a:prstGeom>
                    <a:noFill/>
                    <a:ln w="9525">
                      <a:noFill/>
                      <a:miter lim="800000"/>
                      <a:headEnd/>
                      <a:tailEnd/>
                    </a:ln>
                  </pic:spPr>
                </pic:pic>
              </a:graphicData>
            </a:graphic>
          </wp:inline>
        </w:drawing>
      </w:r>
    </w:p>
    <w:p w:rsidR="007161C4" w:rsidRPr="007161C4" w:rsidRDefault="007161C4" w:rsidP="0017000B">
      <w:pPr>
        <w:spacing w:before="0" w:line="320" w:lineRule="exact"/>
        <w:rPr>
          <w:rFonts w:cs="Arial"/>
          <w:b/>
        </w:rPr>
      </w:pPr>
      <w:bookmarkStart w:id="22" w:name="_Toc392507152"/>
      <w:r w:rsidRPr="007161C4">
        <w:rPr>
          <w:b/>
        </w:rPr>
        <w:t xml:space="preserve">Figure </w:t>
      </w:r>
      <w:r w:rsidR="00E472CB" w:rsidRPr="007161C4">
        <w:rPr>
          <w:b/>
        </w:rPr>
        <w:fldChar w:fldCharType="begin"/>
      </w:r>
      <w:r w:rsidRPr="007161C4">
        <w:rPr>
          <w:b/>
        </w:rPr>
        <w:instrText xml:space="preserve"> SEQ Figure \* ARABIC </w:instrText>
      </w:r>
      <w:r w:rsidR="00E472CB" w:rsidRPr="007161C4">
        <w:rPr>
          <w:b/>
        </w:rPr>
        <w:fldChar w:fldCharType="separate"/>
      </w:r>
      <w:r w:rsidR="00D95984">
        <w:rPr>
          <w:b/>
          <w:noProof/>
        </w:rPr>
        <w:t>5</w:t>
      </w:r>
      <w:r w:rsidR="00E472CB" w:rsidRPr="007161C4">
        <w:rPr>
          <w:b/>
        </w:rPr>
        <w:fldChar w:fldCharType="end"/>
      </w:r>
      <w:r w:rsidR="00935609">
        <w:rPr>
          <w:b/>
        </w:rPr>
        <w:t>:</w:t>
      </w:r>
      <w:r w:rsidRPr="007161C4">
        <w:rPr>
          <w:b/>
        </w:rPr>
        <w:t xml:space="preserve"> </w:t>
      </w:r>
      <w:r w:rsidRPr="007161C4">
        <w:rPr>
          <w:rFonts w:cs="Arial"/>
          <w:b/>
        </w:rPr>
        <w:t>Structure of the Turkish educational system</w:t>
      </w:r>
      <w:bookmarkEnd w:id="22"/>
    </w:p>
    <w:p w:rsidR="00200724" w:rsidRPr="00935609" w:rsidRDefault="007161C4" w:rsidP="00183712">
      <w:pPr>
        <w:pStyle w:val="Caption"/>
        <w:spacing w:before="0" w:after="240" w:line="320" w:lineRule="exact"/>
        <w:rPr>
          <w:rFonts w:cs="Arial"/>
          <w:b w:val="0"/>
          <w:sz w:val="16"/>
          <w:szCs w:val="16"/>
        </w:rPr>
      </w:pPr>
      <w:r w:rsidRPr="00183712">
        <w:rPr>
          <w:rFonts w:cs="Arial"/>
          <w:sz w:val="16"/>
          <w:szCs w:val="16"/>
        </w:rPr>
        <w:t>Source:</w:t>
      </w:r>
      <w:r w:rsidRPr="00935609">
        <w:rPr>
          <w:rFonts w:cs="Arial"/>
          <w:b w:val="0"/>
          <w:sz w:val="16"/>
          <w:szCs w:val="16"/>
        </w:rPr>
        <w:t xml:space="preserve"> National Education Statistics, 2011-2012</w:t>
      </w:r>
    </w:p>
    <w:p w:rsidR="00200724" w:rsidRPr="007747A5" w:rsidRDefault="00200724" w:rsidP="00183712">
      <w:pPr>
        <w:spacing w:before="240" w:line="23" w:lineRule="atLeast"/>
        <w:rPr>
          <w:rFonts w:cs="Arial"/>
          <w:i/>
        </w:rPr>
      </w:pPr>
      <w:r w:rsidRPr="007747A5">
        <w:rPr>
          <w:rFonts w:cs="Arial"/>
          <w:i/>
        </w:rPr>
        <w:t>Secondary education</w:t>
      </w:r>
    </w:p>
    <w:p w:rsidR="00200724" w:rsidRPr="00200724" w:rsidRDefault="00200724" w:rsidP="00183712">
      <w:pPr>
        <w:spacing w:line="276" w:lineRule="auto"/>
        <w:rPr>
          <w:rFonts w:cs="Arial"/>
        </w:rPr>
      </w:pPr>
      <w:r w:rsidRPr="00200724">
        <w:rPr>
          <w:rFonts w:cs="Arial"/>
        </w:rPr>
        <w:t xml:space="preserve">The secondary education system includes General High Schools, Anatolian High Schools, Science High Schools and Vocational and Technical High Schools. From 2005-2006 on the duration of secondary education has been increased from three to four years. In General </w:t>
      </w:r>
      <w:r w:rsidR="00132436">
        <w:rPr>
          <w:rFonts w:cs="Arial"/>
        </w:rPr>
        <w:t>H</w:t>
      </w:r>
      <w:r w:rsidRPr="00200724">
        <w:rPr>
          <w:rFonts w:cs="Arial"/>
        </w:rPr>
        <w:t xml:space="preserve">igh </w:t>
      </w:r>
      <w:r w:rsidR="00132436">
        <w:rPr>
          <w:rFonts w:cs="Arial"/>
        </w:rPr>
        <w:t>S</w:t>
      </w:r>
      <w:r w:rsidRPr="00200724">
        <w:rPr>
          <w:rFonts w:cs="Arial"/>
        </w:rPr>
        <w:t>chools (lycee), apart from general education aiming at preparing students for tertiary education, foreign language courses (English, French or German) are offered. A religious education lesson, depending on the present go</w:t>
      </w:r>
      <w:r w:rsidRPr="00200724">
        <w:rPr>
          <w:rFonts w:cs="Arial"/>
        </w:rPr>
        <w:t>v</w:t>
      </w:r>
      <w:r w:rsidRPr="00200724">
        <w:rPr>
          <w:rFonts w:cs="Arial"/>
        </w:rPr>
        <w:t>ernment’s policy, is often optional, and is actually a comparative study of religions r</w:t>
      </w:r>
      <w:r w:rsidRPr="00200724">
        <w:rPr>
          <w:rFonts w:cs="Arial"/>
        </w:rPr>
        <w:t>a</w:t>
      </w:r>
      <w:r w:rsidRPr="00200724">
        <w:rPr>
          <w:rFonts w:cs="Arial"/>
        </w:rPr>
        <w:t>ther than only of Islam.</w:t>
      </w:r>
    </w:p>
    <w:p w:rsidR="00200724" w:rsidRPr="00200724" w:rsidRDefault="00200724" w:rsidP="00183712">
      <w:pPr>
        <w:spacing w:line="276" w:lineRule="auto"/>
        <w:rPr>
          <w:rFonts w:cs="Arial"/>
        </w:rPr>
      </w:pPr>
      <w:r w:rsidRPr="00200724">
        <w:rPr>
          <w:rFonts w:cs="Arial"/>
        </w:rPr>
        <w:t>Anatolian high schools were established for the purpose of teaching students at least one foreign language. The educational period covers 5 years, with a one year pr</w:t>
      </w:r>
      <w:r w:rsidRPr="00200724">
        <w:rPr>
          <w:rFonts w:cs="Arial"/>
        </w:rPr>
        <w:t>e</w:t>
      </w:r>
      <w:r w:rsidRPr="00200724">
        <w:rPr>
          <w:rFonts w:cs="Arial"/>
        </w:rPr>
        <w:t xml:space="preserve">paratory course. Apart from foreign language lessons, the normal lycee program is </w:t>
      </w:r>
      <w:r w:rsidRPr="00200724">
        <w:rPr>
          <w:rFonts w:cs="Arial"/>
        </w:rPr>
        <w:lastRenderedPageBreak/>
        <w:t>implemented, with science and mathematics lessons given in English. In General and Anatolian high schools, students have to choose which field they would like to study at for their further education, in the beginning of 9th grade. The available options are Science and Math, Social Studies, Turkish and Social studies, Foreign Languages. At the end of grade 10 students may change their selection.</w:t>
      </w:r>
    </w:p>
    <w:p w:rsidR="00200724" w:rsidRPr="00200724" w:rsidRDefault="00200724" w:rsidP="00183712">
      <w:pPr>
        <w:tabs>
          <w:tab w:val="left" w:pos="3330"/>
        </w:tabs>
        <w:spacing w:line="276" w:lineRule="auto"/>
        <w:rPr>
          <w:rFonts w:cs="Arial"/>
        </w:rPr>
      </w:pPr>
      <w:r w:rsidRPr="00200724">
        <w:rPr>
          <w:rFonts w:cs="Arial"/>
        </w:rPr>
        <w:t>Students with highest performance in the SBS exams are accepted at the Science high schools. These schools offer education focused on the fields of Mathematics and Science. In the Vocational and Technical high schools the tuition period is five years including a one-year preparatory course. Students are taught at least one fo</w:t>
      </w:r>
      <w:r w:rsidRPr="00200724">
        <w:rPr>
          <w:rFonts w:cs="Arial"/>
        </w:rPr>
        <w:t>r</w:t>
      </w:r>
      <w:r w:rsidRPr="00200724">
        <w:rPr>
          <w:rFonts w:cs="Arial"/>
        </w:rPr>
        <w:t>eign language in addition to the lessons included in the Science Lycees. The pr</w:t>
      </w:r>
      <w:r w:rsidRPr="00200724">
        <w:rPr>
          <w:rFonts w:cs="Arial"/>
        </w:rPr>
        <w:t>o</w:t>
      </w:r>
      <w:r w:rsidRPr="00200724">
        <w:rPr>
          <w:rFonts w:cs="Arial"/>
        </w:rPr>
        <w:t>grams in these lycees include training in fields such as computer science, enginee</w:t>
      </w:r>
      <w:r w:rsidRPr="00200724">
        <w:rPr>
          <w:rFonts w:cs="Arial"/>
        </w:rPr>
        <w:t>r</w:t>
      </w:r>
      <w:r w:rsidRPr="00200724">
        <w:rPr>
          <w:rFonts w:cs="Arial"/>
        </w:rPr>
        <w:t>ing, computers, medicine, architecture and journalism.</w:t>
      </w:r>
      <w:r w:rsidR="00305B38">
        <w:rPr>
          <w:rFonts w:cs="Arial"/>
        </w:rPr>
        <w:t xml:space="preserve"> </w:t>
      </w:r>
      <w:r w:rsidR="00305B38" w:rsidRPr="00FF40D4">
        <w:rPr>
          <w:rFonts w:cs="Arial"/>
        </w:rPr>
        <w:t>In 201</w:t>
      </w:r>
      <w:r w:rsidR="004100CC">
        <w:rPr>
          <w:rFonts w:cs="Arial"/>
        </w:rPr>
        <w:t>1</w:t>
      </w:r>
      <w:r w:rsidR="00305B38" w:rsidRPr="00FF40D4">
        <w:rPr>
          <w:rFonts w:cs="Arial"/>
        </w:rPr>
        <w:t>-1</w:t>
      </w:r>
      <w:r w:rsidR="004100CC">
        <w:rPr>
          <w:rFonts w:cs="Arial"/>
        </w:rPr>
        <w:t>2</w:t>
      </w:r>
      <w:r w:rsidR="00305B38" w:rsidRPr="00FF40D4">
        <w:rPr>
          <w:rFonts w:cs="Arial"/>
        </w:rPr>
        <w:t>, there were 4,7</w:t>
      </w:r>
      <w:r w:rsidR="004100CC">
        <w:rPr>
          <w:rFonts w:cs="Arial"/>
        </w:rPr>
        <w:t>56</w:t>
      </w:r>
      <w:r w:rsidR="00305B38" w:rsidRPr="00FF40D4">
        <w:rPr>
          <w:rFonts w:cs="Arial"/>
        </w:rPr>
        <w:t>,</w:t>
      </w:r>
      <w:r w:rsidR="004100CC">
        <w:rPr>
          <w:rFonts w:cs="Arial"/>
        </w:rPr>
        <w:t>286</w:t>
      </w:r>
      <w:r w:rsidR="00305B38" w:rsidRPr="00FF40D4">
        <w:rPr>
          <w:rFonts w:cs="Arial"/>
        </w:rPr>
        <w:t xml:space="preserve"> students enrolled in secondary schools. Of those, 2,6</w:t>
      </w:r>
      <w:r w:rsidR="004100CC">
        <w:rPr>
          <w:rFonts w:cs="Arial"/>
        </w:rPr>
        <w:t>6</w:t>
      </w:r>
      <w:r w:rsidR="00305B38" w:rsidRPr="00FF40D4">
        <w:rPr>
          <w:rFonts w:cs="Arial"/>
        </w:rPr>
        <w:t>6,</w:t>
      </w:r>
      <w:r w:rsidR="004100CC">
        <w:rPr>
          <w:rFonts w:cs="Arial"/>
        </w:rPr>
        <w:t>066</w:t>
      </w:r>
      <w:r w:rsidR="00305B38" w:rsidRPr="00FF40D4">
        <w:rPr>
          <w:rFonts w:cs="Arial"/>
        </w:rPr>
        <w:t xml:space="preserve"> </w:t>
      </w:r>
      <w:r w:rsidR="00305B38">
        <w:rPr>
          <w:rFonts w:cs="Arial"/>
        </w:rPr>
        <w:t xml:space="preserve">(56%) </w:t>
      </w:r>
      <w:r w:rsidR="00305B38" w:rsidRPr="00FF40D4">
        <w:rPr>
          <w:rFonts w:cs="Arial"/>
        </w:rPr>
        <w:t>were enrolled in the general secondary stream</w:t>
      </w:r>
      <w:r w:rsidR="00FF34E4">
        <w:rPr>
          <w:rFonts w:cs="Arial"/>
        </w:rPr>
        <w:t xml:space="preserve"> (Clark &amp; Mihael</w:t>
      </w:r>
      <w:r w:rsidR="00183712">
        <w:rPr>
          <w:rFonts w:cs="Arial"/>
        </w:rPr>
        <w:t>,</w:t>
      </w:r>
      <w:r w:rsidR="00FF34E4">
        <w:rPr>
          <w:rFonts w:cs="Arial"/>
        </w:rPr>
        <w:t xml:space="preserve"> 2012)</w:t>
      </w:r>
      <w:r w:rsidR="00305B38" w:rsidRPr="00FF40D4">
        <w:rPr>
          <w:rFonts w:cs="Arial"/>
        </w:rPr>
        <w:t>.</w:t>
      </w:r>
    </w:p>
    <w:p w:rsidR="00200724" w:rsidRDefault="00200724" w:rsidP="00183712">
      <w:pPr>
        <w:spacing w:line="276" w:lineRule="auto"/>
        <w:rPr>
          <w:rFonts w:cs="Arial"/>
        </w:rPr>
      </w:pPr>
      <w:r w:rsidRPr="00200724">
        <w:rPr>
          <w:rFonts w:cs="Arial"/>
        </w:rPr>
        <w:t>At the end of high school (finishing the 12th grade), students take the National Un</w:t>
      </w:r>
      <w:r w:rsidRPr="00200724">
        <w:rPr>
          <w:rFonts w:cs="Arial"/>
        </w:rPr>
        <w:t>i</w:t>
      </w:r>
      <w:r w:rsidRPr="00200724">
        <w:rPr>
          <w:rFonts w:cs="Arial"/>
        </w:rPr>
        <w:t>versity Entrance Examination (OSS) which allow them to continue their studies at a two-year vocational higher education, open/distance education programs or a four-year undergraduate programme at a University. Students have unlimited opportun</w:t>
      </w:r>
      <w:r w:rsidRPr="00200724">
        <w:rPr>
          <w:rFonts w:cs="Arial"/>
        </w:rPr>
        <w:t>i</w:t>
      </w:r>
      <w:r w:rsidRPr="00200724">
        <w:rPr>
          <w:rFonts w:cs="Arial"/>
        </w:rPr>
        <w:t>ties to retake the test. People at any age who would like to attend university can take the test, provided they have graduated from high school. Students in high schools where the general program is applied may choose to attend branches which specia</w:t>
      </w:r>
      <w:r w:rsidRPr="00200724">
        <w:rPr>
          <w:rFonts w:cs="Arial"/>
        </w:rPr>
        <w:t>l</w:t>
      </w:r>
      <w:r w:rsidRPr="00200724">
        <w:rPr>
          <w:rFonts w:cs="Arial"/>
        </w:rPr>
        <w:t>ize in the natural sciences, literature and mathematics, the social sciences, foreign languages, art or physical education. Those students have the possibility to select a major related to their branch. If, however, they apply for a different field than their branch they lose points. Science High Schools only offer the science branch.</w:t>
      </w:r>
    </w:p>
    <w:p w:rsidR="00200724" w:rsidRPr="00200724" w:rsidRDefault="00305B38" w:rsidP="00183712">
      <w:pPr>
        <w:spacing w:line="276" w:lineRule="auto"/>
        <w:rPr>
          <w:rFonts w:cs="Arial"/>
        </w:rPr>
      </w:pPr>
      <w:r>
        <w:rPr>
          <w:rFonts w:cs="Arial"/>
        </w:rPr>
        <w:t>About</w:t>
      </w:r>
      <w:r w:rsidR="00FF40D4" w:rsidRPr="00FF40D4">
        <w:rPr>
          <w:rFonts w:cs="Arial"/>
        </w:rPr>
        <w:t xml:space="preserve"> 130,397</w:t>
      </w:r>
      <w:r>
        <w:rPr>
          <w:rFonts w:cs="Arial"/>
        </w:rPr>
        <w:t xml:space="preserve"> (3%)</w:t>
      </w:r>
      <w:r w:rsidR="00FF40D4" w:rsidRPr="00FF40D4">
        <w:rPr>
          <w:rFonts w:cs="Arial"/>
        </w:rPr>
        <w:t xml:space="preserve"> of all secondary students were enrolle</w:t>
      </w:r>
      <w:r w:rsidR="00F60044">
        <w:rPr>
          <w:rFonts w:cs="Arial"/>
        </w:rPr>
        <w:t>d at private schools</w:t>
      </w:r>
      <w:r w:rsidR="00FF40D4" w:rsidRPr="00FF40D4">
        <w:rPr>
          <w:rFonts w:cs="Arial"/>
        </w:rPr>
        <w:t>.</w:t>
      </w:r>
      <w:r w:rsidR="00F60044">
        <w:rPr>
          <w:rFonts w:cs="Arial"/>
        </w:rPr>
        <w:t xml:space="preserve"> </w:t>
      </w:r>
      <w:r w:rsidR="00200724" w:rsidRPr="00200724">
        <w:rPr>
          <w:rFonts w:cs="Arial"/>
        </w:rPr>
        <w:t>St</w:t>
      </w:r>
      <w:r w:rsidR="00200724" w:rsidRPr="00200724">
        <w:rPr>
          <w:rFonts w:cs="Arial"/>
        </w:rPr>
        <w:t>u</w:t>
      </w:r>
      <w:r w:rsidR="00200724" w:rsidRPr="00200724">
        <w:rPr>
          <w:rFonts w:cs="Arial"/>
        </w:rPr>
        <w:t>dents in private schools have better performance than those in public schools. Taking additional private courses is a widespread practice for the preparation before the OSS. Roughly 1/3 of the secondary education students continue to the university every year. Those who do not succeed have the opportunity to continue in the private universities, where tuition fees are applied.</w:t>
      </w:r>
      <w:r w:rsidR="00D9598F">
        <w:rPr>
          <w:rFonts w:cs="Arial"/>
        </w:rPr>
        <w:t xml:space="preserve"> In order to increase their possibilities for tertiary studies Turkish students choose to take extra courses in private preparatory schools. </w:t>
      </w:r>
      <w:r w:rsidR="004377F4">
        <w:rPr>
          <w:rFonts w:cs="Arial"/>
        </w:rPr>
        <w:t>Studying in these schools is of course restricted to those who have the ec</w:t>
      </w:r>
      <w:r w:rsidR="004377F4">
        <w:rPr>
          <w:rFonts w:cs="Arial"/>
        </w:rPr>
        <w:t>o</w:t>
      </w:r>
      <w:r w:rsidR="004377F4">
        <w:rPr>
          <w:rFonts w:cs="Arial"/>
        </w:rPr>
        <w:t>nomic potential to pay the applied fees, thus limiting equal access to tertiary educ</w:t>
      </w:r>
      <w:r w:rsidR="004377F4">
        <w:rPr>
          <w:rFonts w:cs="Arial"/>
        </w:rPr>
        <w:t>a</w:t>
      </w:r>
      <w:r w:rsidR="004377F4">
        <w:rPr>
          <w:rFonts w:cs="Arial"/>
        </w:rPr>
        <w:t>tion for students from different social backgrounds</w:t>
      </w:r>
      <w:r w:rsidR="00C12E9E">
        <w:rPr>
          <w:rFonts w:cs="Arial"/>
        </w:rPr>
        <w:t xml:space="preserve"> (interview with D.O)</w:t>
      </w:r>
      <w:r w:rsidR="004377F4">
        <w:rPr>
          <w:rFonts w:cs="Arial"/>
        </w:rPr>
        <w:t>.</w:t>
      </w:r>
    </w:p>
    <w:p w:rsidR="00200724" w:rsidRPr="007747A5" w:rsidRDefault="00200724" w:rsidP="00F60044">
      <w:pPr>
        <w:spacing w:before="240" w:line="276" w:lineRule="auto"/>
        <w:rPr>
          <w:rFonts w:cs="Arial"/>
          <w:i/>
        </w:rPr>
      </w:pPr>
      <w:r w:rsidRPr="007747A5">
        <w:rPr>
          <w:rFonts w:cs="Arial"/>
          <w:i/>
        </w:rPr>
        <w:t>Tertiary education</w:t>
      </w:r>
    </w:p>
    <w:p w:rsidR="00200724" w:rsidRPr="00200724" w:rsidRDefault="00200724" w:rsidP="00183712">
      <w:pPr>
        <w:spacing w:line="276" w:lineRule="auto"/>
        <w:rPr>
          <w:rFonts w:cs="Arial"/>
        </w:rPr>
      </w:pPr>
      <w:r w:rsidRPr="00200724">
        <w:rPr>
          <w:rFonts w:cs="Arial"/>
        </w:rPr>
        <w:t>The Council of Higher Education (YOK) is responsible for the planning, coordination and supervision of higher education. Formally, university education is open to an</w:t>
      </w:r>
      <w:r w:rsidRPr="00200724">
        <w:rPr>
          <w:rFonts w:cs="Arial"/>
        </w:rPr>
        <w:t>y</w:t>
      </w:r>
      <w:r w:rsidRPr="00200724">
        <w:rPr>
          <w:rFonts w:cs="Arial"/>
        </w:rPr>
        <w:t>body with a high school degree and sufficient scores from the national entrance e</w:t>
      </w:r>
      <w:r w:rsidRPr="00200724">
        <w:rPr>
          <w:rFonts w:cs="Arial"/>
        </w:rPr>
        <w:t>x</w:t>
      </w:r>
      <w:r w:rsidRPr="00200724">
        <w:rPr>
          <w:rFonts w:cs="Arial"/>
        </w:rPr>
        <w:t>amination. The centralized test is seen as an equalizing factor, but a recent survey of students taking the college entrance exam has shown that students from high-income families, with more educated parents, and from larger cities are more likely to be placed in higher education</w:t>
      </w:r>
      <w:r w:rsidR="00B13A1B">
        <w:rPr>
          <w:rFonts w:cs="Arial"/>
        </w:rPr>
        <w:t xml:space="preserve"> (Hakatenaka, 2006, cited by Duman</w:t>
      </w:r>
      <w:r w:rsidR="002E25EC">
        <w:rPr>
          <w:rFonts w:cs="Arial"/>
        </w:rPr>
        <w:t>, 2008</w:t>
      </w:r>
      <w:r w:rsidR="00B13A1B">
        <w:rPr>
          <w:rFonts w:cs="Arial"/>
        </w:rPr>
        <w:t>)</w:t>
      </w:r>
      <w:r w:rsidRPr="00200724">
        <w:rPr>
          <w:rFonts w:cs="Arial"/>
        </w:rPr>
        <w:t xml:space="preserve">. </w:t>
      </w:r>
    </w:p>
    <w:p w:rsidR="00200724" w:rsidRPr="00200724" w:rsidRDefault="00200724" w:rsidP="00183712">
      <w:pPr>
        <w:spacing w:line="276" w:lineRule="auto"/>
        <w:rPr>
          <w:rFonts w:cs="Arial"/>
        </w:rPr>
      </w:pPr>
      <w:r w:rsidRPr="00200724">
        <w:rPr>
          <w:rFonts w:cs="Arial"/>
        </w:rPr>
        <w:lastRenderedPageBreak/>
        <w:t xml:space="preserve">There are 174 universities and academies in Turkey; 103 of them </w:t>
      </w:r>
      <w:r w:rsidR="00EA27C1">
        <w:rPr>
          <w:rFonts w:cs="Arial"/>
        </w:rPr>
        <w:t>are State Univers</w:t>
      </w:r>
      <w:r w:rsidR="00EA27C1">
        <w:rPr>
          <w:rFonts w:cs="Arial"/>
        </w:rPr>
        <w:t>i</w:t>
      </w:r>
      <w:r w:rsidR="00EA27C1">
        <w:rPr>
          <w:rFonts w:cs="Arial"/>
        </w:rPr>
        <w:t xml:space="preserve">ties (five </w:t>
      </w:r>
      <w:r w:rsidRPr="00200724">
        <w:rPr>
          <w:rFonts w:cs="Arial"/>
        </w:rPr>
        <w:t>technical universities, two of whi</w:t>
      </w:r>
      <w:r w:rsidR="00EA27C1">
        <w:rPr>
          <w:rFonts w:cs="Arial"/>
        </w:rPr>
        <w:t>ch are institutes of technology and</w:t>
      </w:r>
      <w:r w:rsidRPr="00200724">
        <w:rPr>
          <w:rFonts w:cs="Arial"/>
        </w:rPr>
        <w:t xml:space="preserve"> one fine arts university), and 66 private foundation universities (seven of which are two-year granting institutions), four military academies and one police academy. Nine Univers</w:t>
      </w:r>
      <w:r w:rsidRPr="00200724">
        <w:rPr>
          <w:rFonts w:cs="Arial"/>
        </w:rPr>
        <w:t>i</w:t>
      </w:r>
      <w:r w:rsidRPr="00200724">
        <w:rPr>
          <w:rFonts w:cs="Arial"/>
        </w:rPr>
        <w:t xml:space="preserve">ties are located in </w:t>
      </w:r>
      <w:r w:rsidR="00EA27C1">
        <w:rPr>
          <w:rFonts w:cs="Arial"/>
        </w:rPr>
        <w:t>MRI</w:t>
      </w:r>
      <w:r w:rsidRPr="00200724">
        <w:rPr>
          <w:rFonts w:cs="Arial"/>
        </w:rPr>
        <w:t>.</w:t>
      </w:r>
    </w:p>
    <w:p w:rsidR="00200724" w:rsidRPr="00200724" w:rsidRDefault="00200724" w:rsidP="00183712">
      <w:pPr>
        <w:spacing w:line="276" w:lineRule="auto"/>
        <w:rPr>
          <w:rFonts w:cs="Arial"/>
        </w:rPr>
      </w:pPr>
      <w:r w:rsidRPr="00200724">
        <w:rPr>
          <w:rFonts w:cs="Arial"/>
        </w:rPr>
        <w:t>An Önlisans Derecesi or Diplomasi (Associate Degree) is awarded after the succes</w:t>
      </w:r>
      <w:r w:rsidRPr="00200724">
        <w:rPr>
          <w:rFonts w:cs="Arial"/>
        </w:rPr>
        <w:t>s</w:t>
      </w:r>
      <w:r w:rsidRPr="00200724">
        <w:rPr>
          <w:rFonts w:cs="Arial"/>
        </w:rPr>
        <w:t>ful completion of two-year university studies. Courses leading to the Lisans Diplomasi require a minimum o</w:t>
      </w:r>
      <w:r w:rsidR="0081393D">
        <w:rPr>
          <w:rFonts w:cs="Arial"/>
        </w:rPr>
        <w:t>f four years' university study.</w:t>
      </w:r>
      <w:r w:rsidRPr="00200724">
        <w:rPr>
          <w:rFonts w:cs="Arial"/>
        </w:rPr>
        <w:t xml:space="preserve"> Courses last for five years in De</w:t>
      </w:r>
      <w:r w:rsidRPr="00200724">
        <w:rPr>
          <w:rFonts w:cs="Arial"/>
        </w:rPr>
        <w:t>n</w:t>
      </w:r>
      <w:r w:rsidRPr="00200724">
        <w:rPr>
          <w:rFonts w:cs="Arial"/>
        </w:rPr>
        <w:t>tistry and Veterinary Medicine and for six years in Medicine. In the academic year 2006-2007 year there were 200,000 students in two-year colleges and 230,000 st</w:t>
      </w:r>
      <w:r w:rsidRPr="00200724">
        <w:rPr>
          <w:rFonts w:cs="Arial"/>
        </w:rPr>
        <w:t>u</w:t>
      </w:r>
      <w:r w:rsidRPr="00200724">
        <w:rPr>
          <w:rFonts w:cs="Arial"/>
        </w:rPr>
        <w:t xml:space="preserve">dents in four-Year faculties. </w:t>
      </w:r>
    </w:p>
    <w:p w:rsidR="00200724" w:rsidRPr="007747A5" w:rsidRDefault="00200724" w:rsidP="00F60044">
      <w:pPr>
        <w:spacing w:before="240" w:line="276" w:lineRule="auto"/>
        <w:rPr>
          <w:rFonts w:cs="Arial"/>
          <w:i/>
        </w:rPr>
      </w:pPr>
      <w:r w:rsidRPr="007747A5">
        <w:rPr>
          <w:rFonts w:cs="Arial"/>
          <w:i/>
        </w:rPr>
        <w:t>Non-formal education</w:t>
      </w:r>
    </w:p>
    <w:p w:rsidR="000C7211" w:rsidRPr="00200724" w:rsidRDefault="00200724" w:rsidP="00183712">
      <w:pPr>
        <w:spacing w:line="276" w:lineRule="auto"/>
        <w:rPr>
          <w:rFonts w:cs="Arial"/>
        </w:rPr>
      </w:pPr>
      <w:r w:rsidRPr="00200724">
        <w:rPr>
          <w:rFonts w:cs="Arial"/>
        </w:rPr>
        <w:t>The objective of non-formal education is to provide knowledge and skills to citizens who have never entered the formal education system or are at any level of it or have left at that level. Non formal education may accompany formal education or be ind</w:t>
      </w:r>
      <w:r w:rsidRPr="00200724">
        <w:rPr>
          <w:rFonts w:cs="Arial"/>
        </w:rPr>
        <w:t>e</w:t>
      </w:r>
      <w:r w:rsidRPr="00200724">
        <w:rPr>
          <w:rFonts w:cs="Arial"/>
        </w:rPr>
        <w:t>pendent of it. Non-formal education activities are thus considered important for lif</w:t>
      </w:r>
      <w:r w:rsidRPr="00200724">
        <w:rPr>
          <w:rFonts w:cs="Arial"/>
        </w:rPr>
        <w:t>e</w:t>
      </w:r>
      <w:r w:rsidRPr="00200724">
        <w:rPr>
          <w:rFonts w:cs="Arial"/>
        </w:rPr>
        <w:t xml:space="preserve">long learning and training. According to </w:t>
      </w:r>
      <w:r w:rsidR="00EB6B89">
        <w:rPr>
          <w:rFonts w:cs="Arial"/>
        </w:rPr>
        <w:t>TUIK</w:t>
      </w:r>
      <w:r w:rsidRPr="00200724">
        <w:rPr>
          <w:rFonts w:cs="Arial"/>
        </w:rPr>
        <w:t xml:space="preserve"> data, the Region of Izmir, following the national trends, experienced recently a remarkable increase both in the number of non-formal education courses (from 396 in 2009 to 3,810 in 2011) and in the number of enrolled participants (from </w:t>
      </w:r>
      <w:r w:rsidRPr="00200724">
        <w:rPr>
          <w:rFonts w:cs="Arial"/>
          <w:lang w:eastAsia="el-GR"/>
        </w:rPr>
        <w:t xml:space="preserve">28,303 in 2009 to 164,656  in 2011). </w:t>
      </w:r>
      <w:r w:rsidRPr="00200724">
        <w:rPr>
          <w:rFonts w:cs="Arial"/>
        </w:rPr>
        <w:t>Municipalities are among the major institutions that organize and offer non-formal education courses (interview with I.S.).</w:t>
      </w:r>
      <w:r w:rsidR="002C5E36">
        <w:rPr>
          <w:rFonts w:cs="Arial"/>
        </w:rPr>
        <w:t xml:space="preserve"> </w:t>
      </w:r>
    </w:p>
    <w:p w:rsidR="00975943" w:rsidRDefault="003B24CF" w:rsidP="00975943">
      <w:pPr>
        <w:spacing w:line="276" w:lineRule="auto"/>
        <w:rPr>
          <w:rFonts w:cs="Arial"/>
        </w:rPr>
      </w:pPr>
      <w:r w:rsidRPr="00200724">
        <w:rPr>
          <w:rFonts w:cs="Arial"/>
        </w:rPr>
        <w:t>The improvements in the aggregate educational outcomes in Turkey have, in part, resulted from the general increase in living standards (Naqvi</w:t>
      </w:r>
      <w:r w:rsidR="00F60044">
        <w:rPr>
          <w:rFonts w:cs="Arial"/>
        </w:rPr>
        <w:t>,</w:t>
      </w:r>
      <w:r w:rsidRPr="00200724">
        <w:rPr>
          <w:rFonts w:cs="Arial"/>
        </w:rPr>
        <w:t xml:space="preserve"> 2013). </w:t>
      </w:r>
    </w:p>
    <w:p w:rsidR="00975943" w:rsidRDefault="00F60044" w:rsidP="00CB1361">
      <w:pPr>
        <w:spacing w:line="360" w:lineRule="auto"/>
        <w:rPr>
          <w:rFonts w:cs="Arial"/>
        </w:rPr>
      </w:pPr>
      <w:r>
        <w:rPr>
          <w:noProof/>
          <w:lang w:val="fi-FI" w:eastAsia="fi-FI"/>
        </w:rPr>
        <w:drawing>
          <wp:anchor distT="360045" distB="360045" distL="114300" distR="114300" simplePos="0" relativeHeight="251662336" behindDoc="1" locked="0" layoutInCell="1" allowOverlap="1" wp14:anchorId="1128005E" wp14:editId="46A2DFA7">
            <wp:simplePos x="0" y="0"/>
            <wp:positionH relativeFrom="column">
              <wp:posOffset>30480</wp:posOffset>
            </wp:positionH>
            <wp:positionV relativeFrom="paragraph">
              <wp:posOffset>222250</wp:posOffset>
            </wp:positionV>
            <wp:extent cx="4520565" cy="2040890"/>
            <wp:effectExtent l="19050" t="19050" r="13335" b="16510"/>
            <wp:wrapTight wrapText="bothSides">
              <wp:wrapPolygon edited="0">
                <wp:start x="-91" y="-202"/>
                <wp:lineTo x="-91" y="21573"/>
                <wp:lineTo x="21573" y="21573"/>
                <wp:lineTo x="21573" y="-202"/>
                <wp:lineTo x="-91" y="-202"/>
              </wp:wrapPolygon>
            </wp:wrapTight>
            <wp:docPr id="8"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0" cstate="print"/>
                    <a:srcRect l="8785" t="10811" r="3438" b="3774"/>
                    <a:stretch>
                      <a:fillRect/>
                    </a:stretch>
                  </pic:blipFill>
                  <pic:spPr bwMode="auto">
                    <a:xfrm>
                      <a:off x="0" y="0"/>
                      <a:ext cx="4520565" cy="2040890"/>
                    </a:xfrm>
                    <a:prstGeom prst="rect">
                      <a:avLst/>
                    </a:prstGeom>
                    <a:noFill/>
                    <a:ln w="9525">
                      <a:solidFill>
                        <a:schemeClr val="tx1"/>
                      </a:solidFill>
                      <a:miter lim="800000"/>
                      <a:headEnd/>
                      <a:tailEnd/>
                    </a:ln>
                  </pic:spPr>
                </pic:pic>
              </a:graphicData>
            </a:graphic>
          </wp:anchor>
        </w:drawing>
      </w:r>
      <w:r w:rsidR="00645CDF">
        <w:rPr>
          <w:noProof/>
          <w:lang w:val="fi-FI" w:eastAsia="fi-FI"/>
        </w:rPr>
        <mc:AlternateContent>
          <mc:Choice Requires="wps">
            <w:drawing>
              <wp:anchor distT="0" distB="0" distL="114300" distR="114300" simplePos="0" relativeHeight="251685888" behindDoc="0" locked="0" layoutInCell="1" allowOverlap="1" wp14:anchorId="716AEAC6" wp14:editId="2DBD975B">
                <wp:simplePos x="0" y="0"/>
                <wp:positionH relativeFrom="column">
                  <wp:posOffset>28575</wp:posOffset>
                </wp:positionH>
                <wp:positionV relativeFrom="paragraph">
                  <wp:posOffset>2540635</wp:posOffset>
                </wp:positionV>
                <wp:extent cx="5416550" cy="609600"/>
                <wp:effectExtent l="0" t="0" r="3175" b="2540"/>
                <wp:wrapTopAndBottom/>
                <wp:docPr id="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6550" cy="609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73B37" w:rsidRPr="007161C4" w:rsidRDefault="00773B37" w:rsidP="007161C4">
                            <w:pPr>
                              <w:spacing w:before="0" w:line="320" w:lineRule="exact"/>
                              <w:rPr>
                                <w:rFonts w:cs="Arial"/>
                                <w:b/>
                              </w:rPr>
                            </w:pPr>
                            <w:bookmarkStart w:id="23" w:name="_Toc392507153"/>
                            <w:r w:rsidRPr="007161C4">
                              <w:rPr>
                                <w:b/>
                              </w:rPr>
                              <w:t xml:space="preserve">Figure </w:t>
                            </w:r>
                            <w:r w:rsidRPr="007161C4">
                              <w:rPr>
                                <w:b/>
                              </w:rPr>
                              <w:fldChar w:fldCharType="begin"/>
                            </w:r>
                            <w:r w:rsidRPr="007161C4">
                              <w:rPr>
                                <w:b/>
                              </w:rPr>
                              <w:instrText xml:space="preserve"> SEQ Figure \* ARABIC </w:instrText>
                            </w:r>
                            <w:r w:rsidRPr="007161C4">
                              <w:rPr>
                                <w:b/>
                              </w:rPr>
                              <w:fldChar w:fldCharType="separate"/>
                            </w:r>
                            <w:r w:rsidR="00D95984">
                              <w:rPr>
                                <w:b/>
                                <w:noProof/>
                              </w:rPr>
                              <w:t>6</w:t>
                            </w:r>
                            <w:r w:rsidRPr="007161C4">
                              <w:rPr>
                                <w:b/>
                              </w:rPr>
                              <w:fldChar w:fldCharType="end"/>
                            </w:r>
                            <w:r>
                              <w:rPr>
                                <w:b/>
                              </w:rPr>
                              <w:t xml:space="preserve">: </w:t>
                            </w:r>
                            <w:r w:rsidRPr="007161C4">
                              <w:rPr>
                                <w:rFonts w:cs="Arial"/>
                                <w:b/>
                              </w:rPr>
                              <w:t>Problems of children attending school in slum areas of Turkish metr</w:t>
                            </w:r>
                            <w:r w:rsidRPr="007161C4">
                              <w:rPr>
                                <w:rFonts w:cs="Arial"/>
                                <w:b/>
                              </w:rPr>
                              <w:t>o</w:t>
                            </w:r>
                            <w:r w:rsidRPr="007161C4">
                              <w:rPr>
                                <w:rFonts w:cs="Arial"/>
                                <w:b/>
                              </w:rPr>
                              <w:t>politan areas</w:t>
                            </w:r>
                            <w:bookmarkEnd w:id="23"/>
                          </w:p>
                          <w:p w:rsidR="00773B37" w:rsidRPr="00935609" w:rsidRDefault="00773B37" w:rsidP="00F60044">
                            <w:pPr>
                              <w:pStyle w:val="Caption"/>
                              <w:spacing w:after="240" w:line="320" w:lineRule="exact"/>
                              <w:rPr>
                                <w:rFonts w:cs="Arial"/>
                                <w:b w:val="0"/>
                                <w:noProof/>
                                <w:sz w:val="16"/>
                                <w:szCs w:val="16"/>
                              </w:rPr>
                            </w:pPr>
                            <w:r w:rsidRPr="00F60044">
                              <w:rPr>
                                <w:rFonts w:cs="Arial"/>
                                <w:sz w:val="16"/>
                                <w:szCs w:val="16"/>
                              </w:rPr>
                              <w:t>Source:</w:t>
                            </w:r>
                            <w:r w:rsidRPr="00935609">
                              <w:rPr>
                                <w:rFonts w:cs="Arial"/>
                                <w:b w:val="0"/>
                                <w:sz w:val="16"/>
                                <w:szCs w:val="16"/>
                              </w:rPr>
                              <w:t xml:space="preserve"> Müderrisoğlu 2005 (survey results)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6AEAC6" id="Text Box 14" o:spid="_x0000_s1035" type="#_x0000_t202" style="position:absolute;left:0;text-align:left;margin-left:2.25pt;margin-top:200.05pt;width:426.5pt;height:4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" stroked="f">
                <v:textbox style="mso-fit-shape-to-text:t" inset="0,0,0,0">
                  <w:txbxContent>
                    <w:p w:rsidR="00773B37" w:rsidRPr="007161C4" w:rsidRDefault="00773B37" w:rsidP="007161C4">
                      <w:pPr>
                        <w:spacing w:before="0" w:line="320" w:lineRule="exact"/>
                        <w:rPr>
                          <w:rFonts w:cs="Arial"/>
                          <w:b/>
                        </w:rPr>
                      </w:pPr>
                      <w:bookmarkStart w:id="34" w:name="_Toc392507153"/>
                      <w:r w:rsidRPr="007161C4">
                        <w:rPr>
                          <w:b/>
                        </w:rPr>
                        <w:t xml:space="preserve">Figure </w:t>
                      </w:r>
                      <w:r w:rsidRPr="007161C4">
                        <w:rPr>
                          <w:b/>
                        </w:rPr>
                        <w:fldChar w:fldCharType="begin"/>
                      </w:r>
                      <w:r w:rsidRPr="007161C4">
                        <w:rPr>
                          <w:b/>
                        </w:rPr>
                        <w:instrText xml:space="preserve"> SEQ Figure \* ARABIC </w:instrText>
                      </w:r>
                      <w:r w:rsidRPr="007161C4">
                        <w:rPr>
                          <w:b/>
                        </w:rPr>
                        <w:fldChar w:fldCharType="separate"/>
                      </w:r>
                      <w:r w:rsidR="00D95984">
                        <w:rPr>
                          <w:b/>
                          <w:noProof/>
                        </w:rPr>
                        <w:t>6</w:t>
                      </w:r>
                      <w:r w:rsidRPr="007161C4">
                        <w:rPr>
                          <w:b/>
                        </w:rPr>
                        <w:fldChar w:fldCharType="end"/>
                      </w:r>
                      <w:r>
                        <w:rPr>
                          <w:b/>
                        </w:rPr>
                        <w:t xml:space="preserve">: </w:t>
                      </w:r>
                      <w:r w:rsidRPr="007161C4">
                        <w:rPr>
                          <w:rFonts w:cs="Arial"/>
                          <w:b/>
                        </w:rPr>
                        <w:t>Problems of children attending school in slum areas of Turkish metropolitan areas</w:t>
                      </w:r>
                      <w:bookmarkEnd w:id="34"/>
                    </w:p>
                    <w:p w:rsidR="00773B37" w:rsidRPr="00935609" w:rsidRDefault="00773B37" w:rsidP="00F60044">
                      <w:pPr>
                        <w:pStyle w:val="Kuvaotsikko"/>
                        <w:spacing w:after="240" w:line="320" w:lineRule="exact"/>
                        <w:rPr>
                          <w:rFonts w:cs="Arial"/>
                          <w:b w:val="0"/>
                          <w:noProof/>
                          <w:sz w:val="16"/>
                          <w:szCs w:val="16"/>
                        </w:rPr>
                      </w:pPr>
                      <w:r w:rsidRPr="00F60044">
                        <w:rPr>
                          <w:rFonts w:cs="Arial"/>
                          <w:sz w:val="16"/>
                          <w:szCs w:val="16"/>
                        </w:rPr>
                        <w:t>Source:</w:t>
                      </w:r>
                      <w:r w:rsidRPr="00935609">
                        <w:rPr>
                          <w:rFonts w:cs="Arial"/>
                          <w:b w:val="0"/>
                          <w:sz w:val="16"/>
                          <w:szCs w:val="16"/>
                        </w:rPr>
                        <w:t xml:space="preserve"> Müderrisoğlu 2005 (survey results)</w:t>
                      </w:r>
                    </w:p>
                  </w:txbxContent>
                </v:textbox>
                <w10:wrap type="topAndBottom"/>
              </v:shape>
            </w:pict>
          </mc:Fallback>
        </mc:AlternateContent>
      </w:r>
    </w:p>
    <w:p w:rsidR="00F60044" w:rsidRDefault="00F60044" w:rsidP="00975943">
      <w:pPr>
        <w:spacing w:line="276" w:lineRule="auto"/>
        <w:rPr>
          <w:rFonts w:cs="Arial"/>
        </w:rPr>
      </w:pPr>
    </w:p>
    <w:p w:rsidR="00F60044" w:rsidRDefault="00F60044" w:rsidP="00975943">
      <w:pPr>
        <w:spacing w:line="276" w:lineRule="auto"/>
        <w:rPr>
          <w:rFonts w:cs="Arial"/>
        </w:rPr>
      </w:pPr>
    </w:p>
    <w:p w:rsidR="00F60044" w:rsidRDefault="00F60044" w:rsidP="00975943">
      <w:pPr>
        <w:spacing w:line="276" w:lineRule="auto"/>
        <w:rPr>
          <w:rFonts w:cs="Arial"/>
        </w:rPr>
      </w:pPr>
    </w:p>
    <w:p w:rsidR="00F60044" w:rsidRDefault="00F60044" w:rsidP="00975943">
      <w:pPr>
        <w:spacing w:line="276" w:lineRule="auto"/>
        <w:rPr>
          <w:rFonts w:cs="Arial"/>
        </w:rPr>
      </w:pPr>
    </w:p>
    <w:p w:rsidR="00F60044" w:rsidRDefault="00F60044" w:rsidP="00975943">
      <w:pPr>
        <w:spacing w:line="276" w:lineRule="auto"/>
        <w:rPr>
          <w:rFonts w:cs="Arial"/>
        </w:rPr>
      </w:pPr>
    </w:p>
    <w:p w:rsidR="00F60044" w:rsidRDefault="00F60044" w:rsidP="00975943">
      <w:pPr>
        <w:spacing w:line="276" w:lineRule="auto"/>
        <w:rPr>
          <w:rFonts w:cs="Arial"/>
        </w:rPr>
      </w:pPr>
    </w:p>
    <w:p w:rsidR="00F60044" w:rsidRDefault="00F60044" w:rsidP="00975943">
      <w:pPr>
        <w:spacing w:line="276" w:lineRule="auto"/>
        <w:rPr>
          <w:rFonts w:cs="Arial"/>
        </w:rPr>
      </w:pPr>
    </w:p>
    <w:p w:rsidR="00F60044" w:rsidRDefault="00F60044" w:rsidP="00975943">
      <w:pPr>
        <w:spacing w:line="276" w:lineRule="auto"/>
        <w:rPr>
          <w:rFonts w:cs="Arial"/>
        </w:rPr>
      </w:pPr>
    </w:p>
    <w:p w:rsidR="003B24CF" w:rsidRDefault="00975943" w:rsidP="00F60044">
      <w:pPr>
        <w:spacing w:line="276" w:lineRule="auto"/>
        <w:rPr>
          <w:rFonts w:cs="Arial"/>
        </w:rPr>
      </w:pPr>
      <w:r w:rsidRPr="00200724">
        <w:rPr>
          <w:rFonts w:cs="Arial"/>
        </w:rPr>
        <w:t xml:space="preserve">Thus, the </w:t>
      </w:r>
      <w:r w:rsidR="003B24CF" w:rsidRPr="00200724">
        <w:rPr>
          <w:rFonts w:cs="Arial"/>
        </w:rPr>
        <w:t>socioeconomic backgr</w:t>
      </w:r>
      <w:r w:rsidR="003B24CF">
        <w:rPr>
          <w:rFonts w:cs="Arial"/>
        </w:rPr>
        <w:t>ound mattered less for students’</w:t>
      </w:r>
      <w:r w:rsidR="003B24CF" w:rsidRPr="00200724">
        <w:rPr>
          <w:rFonts w:cs="Arial"/>
        </w:rPr>
        <w:t xml:space="preserve"> results in 2009 than it did in 2003. </w:t>
      </w:r>
      <w:r w:rsidR="000500C0">
        <w:rPr>
          <w:rFonts w:cs="Arial"/>
        </w:rPr>
        <w:t xml:space="preserve">Furthermore, inequalities among students in school performance tend </w:t>
      </w:r>
      <w:r w:rsidR="000500C0">
        <w:rPr>
          <w:rFonts w:cs="Arial"/>
        </w:rPr>
        <w:lastRenderedPageBreak/>
        <w:t>to decrease from primary to secondary education, possibly because of the absence of an early-tracking system (Hanus</w:t>
      </w:r>
      <w:r w:rsidR="00FA4C61">
        <w:rPr>
          <w:rFonts w:cs="Arial"/>
        </w:rPr>
        <w:t>h</w:t>
      </w:r>
      <w:r w:rsidR="000500C0">
        <w:rPr>
          <w:rFonts w:cs="Arial"/>
        </w:rPr>
        <w:t>ek</w:t>
      </w:r>
      <w:r w:rsidR="00FA4C61">
        <w:rPr>
          <w:rFonts w:cs="Arial"/>
        </w:rPr>
        <w:t xml:space="preserve"> et al.</w:t>
      </w:r>
      <w:r w:rsidR="000500C0">
        <w:rPr>
          <w:rFonts w:cs="Arial"/>
        </w:rPr>
        <w:t xml:space="preserve">, 2005). </w:t>
      </w:r>
      <w:r w:rsidR="003B24CF" w:rsidRPr="00200724">
        <w:rPr>
          <w:rFonts w:cs="Arial"/>
        </w:rPr>
        <w:t xml:space="preserve">Despite these successes, </w:t>
      </w:r>
      <w:r w:rsidR="003B24CF">
        <w:rPr>
          <w:rFonts w:cs="Arial"/>
        </w:rPr>
        <w:t>ce</w:t>
      </w:r>
      <w:r w:rsidR="003B24CF">
        <w:rPr>
          <w:rFonts w:cs="Arial"/>
        </w:rPr>
        <w:t>r</w:t>
      </w:r>
      <w:r w:rsidR="003B24CF">
        <w:rPr>
          <w:rFonts w:cs="Arial"/>
        </w:rPr>
        <w:t>tain</w:t>
      </w:r>
      <w:r w:rsidR="003B24CF" w:rsidRPr="00200724">
        <w:rPr>
          <w:rFonts w:cs="Arial"/>
        </w:rPr>
        <w:t xml:space="preserve"> challenges remain. The performance of Turkey’s average 15-year-old is still one full year (or 40 PISA points) behind the OECD average and a student’s socio-economic background remains a far more important determinant of educational ou</w:t>
      </w:r>
      <w:r w:rsidR="003B24CF" w:rsidRPr="00200724">
        <w:rPr>
          <w:rFonts w:cs="Arial"/>
        </w:rPr>
        <w:t>t</w:t>
      </w:r>
      <w:r w:rsidR="003B24CF" w:rsidRPr="00200724">
        <w:rPr>
          <w:rFonts w:cs="Arial"/>
        </w:rPr>
        <w:t>comes in Turkey, than it does in other OECD countries. Around 25 percent of the Turkish 15-year-olds do not read well enough to be able to analyze and understand what they are reading and are therefore considered by the OECD</w:t>
      </w:r>
      <w:r w:rsidR="003B24CF">
        <w:rPr>
          <w:rFonts w:cs="Arial"/>
        </w:rPr>
        <w:t xml:space="preserve"> to be “functionally illiterate</w:t>
      </w:r>
      <w:r w:rsidR="003B24CF" w:rsidRPr="00200724">
        <w:rPr>
          <w:rFonts w:cs="Arial"/>
        </w:rPr>
        <w:t>”</w:t>
      </w:r>
      <w:r w:rsidR="00F60044">
        <w:rPr>
          <w:rFonts w:cs="Arial"/>
        </w:rPr>
        <w:t>.</w:t>
      </w:r>
      <w:r w:rsidR="003B24CF" w:rsidRPr="00200724">
        <w:rPr>
          <w:rFonts w:cs="Arial"/>
        </w:rPr>
        <w:t xml:space="preserve"> However, this rate has been declining at a fast pace since 2003, when the equivalent proportion was 36 percent. Many students from poor families join the workforce by the age the time they reach 13 or 14 and thus drop out of the last years of primary education in order to supplement the family income (Müderrisoğlu</w:t>
      </w:r>
      <w:r w:rsidR="00F60044">
        <w:rPr>
          <w:rFonts w:cs="Arial"/>
        </w:rPr>
        <w:t>,</w:t>
      </w:r>
      <w:r w:rsidR="003B24CF" w:rsidRPr="00200724">
        <w:rPr>
          <w:rFonts w:cs="Arial"/>
        </w:rPr>
        <w:t xml:space="preserve"> 2005).</w:t>
      </w:r>
    </w:p>
    <w:p w:rsidR="00C874DD" w:rsidRDefault="00C874DD" w:rsidP="00F60044">
      <w:pPr>
        <w:spacing w:line="276" w:lineRule="auto"/>
        <w:rPr>
          <w:rFonts w:cs="Arial"/>
        </w:rPr>
      </w:pPr>
      <w:r w:rsidRPr="00200724">
        <w:rPr>
          <w:rFonts w:cs="Arial"/>
        </w:rPr>
        <w:t>The Region of Izmir performs better than the national average concerning the ave</w:t>
      </w:r>
      <w:r w:rsidRPr="00200724">
        <w:rPr>
          <w:rFonts w:cs="Arial"/>
        </w:rPr>
        <w:t>r</w:t>
      </w:r>
      <w:r w:rsidRPr="00200724">
        <w:rPr>
          <w:rFonts w:cs="Arial"/>
        </w:rPr>
        <w:t>age schooling years and gender inequalities in education (Tomul 2006). However (as in other parts of the country) significant educational inequalities exist within the r</w:t>
      </w:r>
      <w:r w:rsidRPr="00200724">
        <w:rPr>
          <w:rFonts w:cs="Arial"/>
        </w:rPr>
        <w:t>e</w:t>
      </w:r>
      <w:r w:rsidRPr="00200724">
        <w:rPr>
          <w:rFonts w:cs="Arial"/>
        </w:rPr>
        <w:t>gion. For example, according to the Address Based Population Registration System (ABPRS) data, in 2011 people aged over 15 with less than primary education coun</w:t>
      </w:r>
      <w:r w:rsidRPr="00200724">
        <w:rPr>
          <w:rFonts w:cs="Arial"/>
        </w:rPr>
        <w:t>t</w:t>
      </w:r>
      <w:r w:rsidRPr="00200724">
        <w:rPr>
          <w:rFonts w:cs="Arial"/>
        </w:rPr>
        <w:t>ed for 20.4% in the District of Kiraz and only 3.0% in the District of Seferihisar. On the other edge of the spectrum, the percentage of those with university degree ranged between 1.2% in the District of Torbali and 36.</w:t>
      </w:r>
      <w:r w:rsidR="00145A4A">
        <w:rPr>
          <w:rFonts w:cs="Arial"/>
        </w:rPr>
        <w:t>6% in the District of Karşiyaka</w:t>
      </w:r>
      <w:r w:rsidRPr="00200724">
        <w:rPr>
          <w:rFonts w:cs="Arial"/>
        </w:rPr>
        <w:t xml:space="preserve">. </w:t>
      </w:r>
      <w:r>
        <w:rPr>
          <w:rFonts w:cs="Arial"/>
        </w:rPr>
        <w:t xml:space="preserve">Figures </w:t>
      </w:r>
      <w:r w:rsidR="00FD4E6A">
        <w:rPr>
          <w:rFonts w:cs="Arial"/>
        </w:rPr>
        <w:t>9</w:t>
      </w:r>
      <w:r>
        <w:rPr>
          <w:rFonts w:cs="Arial"/>
        </w:rPr>
        <w:t xml:space="preserve"> and </w:t>
      </w:r>
      <w:r w:rsidR="00FD4E6A">
        <w:rPr>
          <w:rFonts w:cs="Arial"/>
        </w:rPr>
        <w:t xml:space="preserve">10 (next page) </w:t>
      </w:r>
      <w:r w:rsidRPr="00200724">
        <w:rPr>
          <w:rFonts w:cs="Arial"/>
        </w:rPr>
        <w:t>represent the different patterns of distribution of the lowest and highest educational skills</w:t>
      </w:r>
      <w:r w:rsidR="00145A4A">
        <w:rPr>
          <w:rFonts w:cs="Arial"/>
        </w:rPr>
        <w:t xml:space="preserve"> </w:t>
      </w:r>
      <w:r w:rsidR="00145A4A" w:rsidRPr="00200724">
        <w:rPr>
          <w:rFonts w:cs="Arial"/>
        </w:rPr>
        <w:t>in different parts of the region, with various s</w:t>
      </w:r>
      <w:r w:rsidR="00145A4A" w:rsidRPr="00200724">
        <w:rPr>
          <w:rFonts w:cs="Arial"/>
        </w:rPr>
        <w:t>o</w:t>
      </w:r>
      <w:r w:rsidR="00145A4A" w:rsidRPr="00200724">
        <w:rPr>
          <w:rFonts w:cs="Arial"/>
        </w:rPr>
        <w:t>cioeconomic structures, migration rates and positions in the metropolitan tissue</w:t>
      </w:r>
      <w:r w:rsidRPr="00200724">
        <w:rPr>
          <w:rFonts w:cs="Arial"/>
        </w:rPr>
        <w:t>. Higher concentrations of illiterate people over 15 years are observed at the metr</w:t>
      </w:r>
      <w:r w:rsidRPr="00200724">
        <w:rPr>
          <w:rFonts w:cs="Arial"/>
        </w:rPr>
        <w:t>o</w:t>
      </w:r>
      <w:r w:rsidRPr="00200724">
        <w:rPr>
          <w:rFonts w:cs="Arial"/>
        </w:rPr>
        <w:t>politan periphery and in the Konak district in the central city. Higher concentrations of higher education graduates are observed in the Karsiyaka district and in the coastal zone of the metropolitan region.</w:t>
      </w:r>
    </w:p>
    <w:p w:rsidR="00875319" w:rsidRDefault="00875319" w:rsidP="00F60044">
      <w:pPr>
        <w:spacing w:line="276" w:lineRule="auto"/>
        <w:rPr>
          <w:rFonts w:cs="Arial"/>
        </w:rPr>
      </w:pPr>
      <w:r>
        <w:rPr>
          <w:rFonts w:cs="Arial"/>
        </w:rPr>
        <w:t>The ratio of children to teachers in MRI (school year 2011-2012) is somewhat better than the ratio in Istanbul in both primary (19.0 against 28.2) and secondary (18.4 against 28.7) schools. As in most other parts of the country (but not in Istanbul) the structure o</w:t>
      </w:r>
      <w:r w:rsidR="00564B2E">
        <w:rPr>
          <w:rFonts w:cs="Arial"/>
        </w:rPr>
        <w:t>f secondary education comprises</w:t>
      </w:r>
      <w:r>
        <w:rPr>
          <w:rFonts w:cs="Arial"/>
        </w:rPr>
        <w:t xml:space="preserve"> more Vocational/Technical than General Schools. However 53%of secondary education students attain General Schools (compared with 56% in the country). The ratio of female to male students in secon</w:t>
      </w:r>
      <w:r>
        <w:rPr>
          <w:rFonts w:cs="Arial"/>
        </w:rPr>
        <w:t>d</w:t>
      </w:r>
      <w:r>
        <w:rPr>
          <w:rFonts w:cs="Arial"/>
        </w:rPr>
        <w:t>ary education is 0.93 (0.92 in Istanbul and 0.88 in Turkey). This performance might be explained to some extent by the compar</w:t>
      </w:r>
      <w:r w:rsidR="003A362C">
        <w:rPr>
          <w:rFonts w:cs="Arial"/>
        </w:rPr>
        <w:t>atively small average househol</w:t>
      </w:r>
      <w:r>
        <w:rPr>
          <w:rFonts w:cs="Arial"/>
        </w:rPr>
        <w:t>d size in MRI, as Duman (2010) found that girls in larger families are less likely to attend school, because of the need to provide child labour. On the other hand, the percen</w:t>
      </w:r>
      <w:r>
        <w:rPr>
          <w:rFonts w:cs="Arial"/>
        </w:rPr>
        <w:t>t</w:t>
      </w:r>
      <w:r>
        <w:rPr>
          <w:rFonts w:cs="Arial"/>
        </w:rPr>
        <w:t>age of girls especially in the General Schools of the secondary education is in MRI rises at 52%, compared with 48% at the national level.</w:t>
      </w:r>
    </w:p>
    <w:p w:rsidR="005C6189" w:rsidRDefault="005C6189" w:rsidP="00CB1361">
      <w:pPr>
        <w:spacing w:line="360" w:lineRule="auto"/>
        <w:rPr>
          <w:rFonts w:cs="Arial"/>
        </w:rPr>
      </w:pPr>
    </w:p>
    <w:p w:rsidR="00ED0AB9" w:rsidRDefault="00C874DD" w:rsidP="00ED0AB9">
      <w:pPr>
        <w:keepNext/>
      </w:pPr>
      <w:r w:rsidRPr="00200724">
        <w:rPr>
          <w:rFonts w:cs="Arial"/>
          <w:noProof/>
          <w:lang w:val="fi-FI" w:eastAsia="fi-FI"/>
        </w:rPr>
        <w:lastRenderedPageBreak/>
        <w:drawing>
          <wp:inline distT="0" distB="0" distL="0" distR="0" wp14:anchorId="6467E677" wp14:editId="0101549A">
            <wp:extent cx="4191000" cy="2924175"/>
            <wp:effectExtent l="0" t="0" r="0" b="9525"/>
            <wp:docPr id="16" name="Εικόνα 56" descr="Illitercy_15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Illitercy_15over"/>
                    <pic:cNvPicPr>
                      <a:picLocks noChangeAspect="1" noChangeArrowheads="1"/>
                    </pic:cNvPicPr>
                  </pic:nvPicPr>
                  <pic:blipFill rotWithShape="1">
                    <a:blip r:embed="rId31" cstate="print"/>
                    <a:srcRect l="1135" t="1573" r="1592" b="1831"/>
                    <a:stretch/>
                  </pic:blipFill>
                  <pic:spPr bwMode="auto">
                    <a:xfrm>
                      <a:off x="0" y="0"/>
                      <a:ext cx="4187228" cy="2921543"/>
                    </a:xfrm>
                    <a:prstGeom prst="rect">
                      <a:avLst/>
                    </a:prstGeom>
                    <a:noFill/>
                    <a:ln>
                      <a:noFill/>
                    </a:ln>
                    <a:extLst>
                      <a:ext uri="{53640926-AAD7-44D8-BBD7-CCE9431645EC}">
                        <a14:shadowObscured xmlns:a14="http://schemas.microsoft.com/office/drawing/2010/main"/>
                      </a:ext>
                    </a:extLst>
                  </pic:spPr>
                </pic:pic>
              </a:graphicData>
            </a:graphic>
          </wp:inline>
        </w:drawing>
      </w:r>
    </w:p>
    <w:p w:rsidR="00FD4E6A" w:rsidRDefault="00ED0AB9" w:rsidP="00ED0AB9">
      <w:pPr>
        <w:pStyle w:val="Caption"/>
      </w:pPr>
      <w:bookmarkStart w:id="24" w:name="_Toc392507183"/>
      <w:r>
        <w:t xml:space="preserve">Map </w:t>
      </w:r>
      <w:r w:rsidR="00C46323">
        <w:fldChar w:fldCharType="begin"/>
      </w:r>
      <w:r w:rsidR="00C46323">
        <w:instrText xml:space="preserve"> SEQ Map \* ARABIC </w:instrText>
      </w:r>
      <w:r w:rsidR="00C46323">
        <w:fldChar w:fldCharType="separate"/>
      </w:r>
      <w:r w:rsidR="00D95984">
        <w:rPr>
          <w:noProof/>
        </w:rPr>
        <w:t>3</w:t>
      </w:r>
      <w:r w:rsidR="00C46323">
        <w:rPr>
          <w:noProof/>
        </w:rPr>
        <w:fldChar w:fldCharType="end"/>
      </w:r>
      <w:r>
        <w:t xml:space="preserve">: </w:t>
      </w:r>
      <w:r w:rsidRPr="00ED0AB9">
        <w:rPr>
          <w:rFonts w:cs="Arial"/>
          <w:bCs w:val="0"/>
        </w:rPr>
        <w:t>Illiterate persons (%) by municipality. Region of Izmir, 2011</w:t>
      </w:r>
      <w:bookmarkEnd w:id="24"/>
    </w:p>
    <w:p w:rsidR="00FD4E6A" w:rsidRDefault="009D5769" w:rsidP="002E549B">
      <w:pPr>
        <w:spacing w:before="0" w:after="240" w:line="320" w:lineRule="exact"/>
        <w:rPr>
          <w:rFonts w:cs="Arial"/>
          <w:bCs/>
          <w:sz w:val="16"/>
          <w:szCs w:val="16"/>
        </w:rPr>
      </w:pPr>
      <w:r w:rsidRPr="00F60044">
        <w:rPr>
          <w:rFonts w:cs="Arial"/>
          <w:b/>
          <w:bCs/>
          <w:sz w:val="16"/>
          <w:szCs w:val="16"/>
        </w:rPr>
        <w:t>Data source</w:t>
      </w:r>
      <w:r>
        <w:rPr>
          <w:rFonts w:cs="Arial"/>
          <w:bCs/>
          <w:sz w:val="16"/>
          <w:szCs w:val="16"/>
        </w:rPr>
        <w:t>: ABPRS</w:t>
      </w:r>
    </w:p>
    <w:p w:rsidR="00590652" w:rsidRDefault="00C874DD" w:rsidP="00590652">
      <w:pPr>
        <w:keepNext/>
      </w:pPr>
      <w:r w:rsidRPr="00200724">
        <w:rPr>
          <w:rFonts w:cs="Arial"/>
          <w:b/>
          <w:bCs/>
          <w:noProof/>
          <w:lang w:val="fi-FI" w:eastAsia="fi-FI"/>
        </w:rPr>
        <w:drawing>
          <wp:inline distT="0" distB="0" distL="0" distR="0" wp14:anchorId="5EAF954B" wp14:editId="10FF510A">
            <wp:extent cx="4191000" cy="2933700"/>
            <wp:effectExtent l="0" t="0" r="0" b="0"/>
            <wp:docPr id="17" name="Εικόνα 57" descr="higher_15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igher_15over"/>
                    <pic:cNvPicPr>
                      <a:picLocks noChangeAspect="1" noChangeArrowheads="1"/>
                    </pic:cNvPicPr>
                  </pic:nvPicPr>
                  <pic:blipFill rotWithShape="1">
                    <a:blip r:embed="rId32" cstate="print"/>
                    <a:srcRect l="1328" t="1575" r="1328" b="1443"/>
                    <a:stretch/>
                  </pic:blipFill>
                  <pic:spPr bwMode="auto">
                    <a:xfrm>
                      <a:off x="0" y="0"/>
                      <a:ext cx="4190381" cy="2933267"/>
                    </a:xfrm>
                    <a:prstGeom prst="rect">
                      <a:avLst/>
                    </a:prstGeom>
                    <a:noFill/>
                    <a:ln>
                      <a:noFill/>
                    </a:ln>
                    <a:extLst>
                      <a:ext uri="{53640926-AAD7-44D8-BBD7-CCE9431645EC}">
                        <a14:shadowObscured xmlns:a14="http://schemas.microsoft.com/office/drawing/2010/main"/>
                      </a:ext>
                    </a:extLst>
                  </pic:spPr>
                </pic:pic>
              </a:graphicData>
            </a:graphic>
          </wp:inline>
        </w:drawing>
      </w:r>
    </w:p>
    <w:p w:rsidR="00FD4E6A" w:rsidRDefault="00590652" w:rsidP="00590652">
      <w:pPr>
        <w:pStyle w:val="Caption"/>
      </w:pPr>
      <w:bookmarkStart w:id="25" w:name="_Toc392507184"/>
      <w:r>
        <w:t xml:space="preserve">Map </w:t>
      </w:r>
      <w:r w:rsidR="00C46323">
        <w:fldChar w:fldCharType="begin"/>
      </w:r>
      <w:r w:rsidR="00C46323">
        <w:instrText xml:space="preserve"> SEQ Map \* ARABIC </w:instrText>
      </w:r>
      <w:r w:rsidR="00C46323">
        <w:fldChar w:fldCharType="separate"/>
      </w:r>
      <w:r w:rsidR="00D95984">
        <w:rPr>
          <w:noProof/>
        </w:rPr>
        <w:t>4</w:t>
      </w:r>
      <w:r w:rsidR="00C46323">
        <w:rPr>
          <w:noProof/>
        </w:rPr>
        <w:fldChar w:fldCharType="end"/>
      </w:r>
      <w:r>
        <w:t xml:space="preserve">: </w:t>
      </w:r>
      <w:r w:rsidRPr="00590652">
        <w:rPr>
          <w:rFonts w:cs="Arial"/>
          <w:bCs w:val="0"/>
        </w:rPr>
        <w:t>Persons with higher education (%) by municipality. Region of Izmir, 2011</w:t>
      </w:r>
      <w:bookmarkEnd w:id="25"/>
    </w:p>
    <w:p w:rsidR="00FD4E6A" w:rsidRPr="00200724" w:rsidRDefault="00FD4E6A" w:rsidP="002E549B">
      <w:pPr>
        <w:spacing w:before="0" w:after="240" w:line="320" w:lineRule="exact"/>
        <w:rPr>
          <w:rFonts w:cs="Arial"/>
        </w:rPr>
      </w:pPr>
      <w:r w:rsidRPr="002E549B">
        <w:rPr>
          <w:rFonts w:cs="Arial"/>
          <w:b/>
          <w:bCs/>
          <w:sz w:val="16"/>
          <w:szCs w:val="16"/>
        </w:rPr>
        <w:t>Data source:</w:t>
      </w:r>
      <w:r w:rsidRPr="009D5769">
        <w:rPr>
          <w:rFonts w:cs="Arial"/>
          <w:bCs/>
          <w:sz w:val="16"/>
          <w:szCs w:val="16"/>
        </w:rPr>
        <w:t xml:space="preserve"> ABPRS</w:t>
      </w:r>
    </w:p>
    <w:p w:rsidR="00C874DD" w:rsidRPr="009F4481" w:rsidRDefault="009F4481" w:rsidP="002E549B">
      <w:pPr>
        <w:spacing w:line="276" w:lineRule="auto"/>
        <w:rPr>
          <w:rFonts w:cs="Arial"/>
        </w:rPr>
      </w:pPr>
      <w:r>
        <w:rPr>
          <w:rFonts w:cs="Arial"/>
        </w:rPr>
        <w:t>Concerning non-formal education, the Izmir Metropolitan Municipality has been active in organizing vocational training courses in four education centres. Another pr</w:t>
      </w:r>
      <w:r>
        <w:rPr>
          <w:rFonts w:cs="Arial"/>
        </w:rPr>
        <w:t>o</w:t>
      </w:r>
      <w:r>
        <w:rPr>
          <w:rFonts w:cs="Arial"/>
        </w:rPr>
        <w:t xml:space="preserve">gramme is addressed to women with uncompleted school career, many of whom come </w:t>
      </w:r>
      <w:r w:rsidR="002E549B">
        <w:rPr>
          <w:rFonts w:cs="Arial"/>
        </w:rPr>
        <w:t>from</w:t>
      </w:r>
      <w:r>
        <w:rPr>
          <w:rFonts w:cs="Arial"/>
        </w:rPr>
        <w:t xml:space="preserve"> South-Eastern Turkey and live in the deprived areas of the city.</w:t>
      </w:r>
    </w:p>
    <w:p w:rsidR="00875319" w:rsidRDefault="00875319" w:rsidP="002E549B">
      <w:pPr>
        <w:spacing w:line="276" w:lineRule="auto"/>
        <w:rPr>
          <w:rFonts w:cs="Arial"/>
        </w:rPr>
      </w:pPr>
      <w:r>
        <w:rPr>
          <w:rFonts w:cs="Arial"/>
        </w:rPr>
        <w:t>I</w:t>
      </w:r>
      <w:r w:rsidRPr="00C6604D">
        <w:rPr>
          <w:rFonts w:cs="Arial"/>
        </w:rPr>
        <w:t>ncome and</w:t>
      </w:r>
      <w:r>
        <w:rPr>
          <w:rFonts w:cs="Arial"/>
        </w:rPr>
        <w:t xml:space="preserve"> </w:t>
      </w:r>
      <w:r w:rsidRPr="00C6604D">
        <w:rPr>
          <w:rFonts w:cs="Arial"/>
        </w:rPr>
        <w:t>education are highly correlated in Turkey</w:t>
      </w:r>
      <w:r>
        <w:rPr>
          <w:rFonts w:cs="Arial"/>
        </w:rPr>
        <w:t xml:space="preserve"> (Duman</w:t>
      </w:r>
      <w:r w:rsidR="002E25EC">
        <w:rPr>
          <w:rFonts w:cs="Arial"/>
        </w:rPr>
        <w:t>, 2008</w:t>
      </w:r>
      <w:r>
        <w:rPr>
          <w:rFonts w:cs="Arial"/>
        </w:rPr>
        <w:t>). Thus, different educational attainment groups enjoy unequal income levels. T</w:t>
      </w:r>
      <w:r w:rsidRPr="00495235">
        <w:rPr>
          <w:rFonts w:cs="Arial"/>
        </w:rPr>
        <w:t xml:space="preserve">he average earnings of </w:t>
      </w:r>
      <w:r w:rsidRPr="00495235">
        <w:rPr>
          <w:rFonts w:cs="Arial"/>
        </w:rPr>
        <w:lastRenderedPageBreak/>
        <w:t>university graduates have increased from 3.4 times that of people</w:t>
      </w:r>
      <w:r>
        <w:rPr>
          <w:rFonts w:cs="Arial"/>
        </w:rPr>
        <w:t xml:space="preserve"> </w:t>
      </w:r>
      <w:r w:rsidRPr="00495235">
        <w:rPr>
          <w:rFonts w:cs="Arial"/>
        </w:rPr>
        <w:t>with primary school degrees in 1987 to 4.5 times in 2005</w:t>
      </w:r>
      <w:r>
        <w:rPr>
          <w:rFonts w:cs="Arial"/>
        </w:rPr>
        <w:t xml:space="preserve">. Disparities are summarized in Table </w:t>
      </w:r>
      <w:r w:rsidR="00FD4E6A">
        <w:rPr>
          <w:rFonts w:cs="Arial"/>
        </w:rPr>
        <w:t>5</w:t>
      </w:r>
      <w:r>
        <w:rPr>
          <w:rFonts w:cs="Arial"/>
        </w:rPr>
        <w:t>.</w:t>
      </w:r>
    </w:p>
    <w:p w:rsidR="000F098F" w:rsidRPr="000F098F" w:rsidRDefault="000F098F" w:rsidP="002E549B">
      <w:pPr>
        <w:pStyle w:val="Caption"/>
        <w:keepNext/>
        <w:spacing w:after="120"/>
      </w:pPr>
      <w:bookmarkStart w:id="26" w:name="_Toc385001371"/>
      <w:r w:rsidRPr="000F098F">
        <w:t xml:space="preserve">Table </w:t>
      </w:r>
      <w:r w:rsidR="00E472CB" w:rsidRPr="000F098F">
        <w:fldChar w:fldCharType="begin"/>
      </w:r>
      <w:r w:rsidRPr="000F098F">
        <w:instrText xml:space="preserve"> SEQ Table \* ARABIC </w:instrText>
      </w:r>
      <w:r w:rsidR="00E472CB" w:rsidRPr="000F098F">
        <w:fldChar w:fldCharType="separate"/>
      </w:r>
      <w:r w:rsidR="00D95984">
        <w:rPr>
          <w:noProof/>
        </w:rPr>
        <w:t>5</w:t>
      </w:r>
      <w:r w:rsidR="00E472CB" w:rsidRPr="000F098F">
        <w:fldChar w:fldCharType="end"/>
      </w:r>
      <w:r w:rsidR="009D5769">
        <w:t xml:space="preserve">: </w:t>
      </w:r>
      <w:r w:rsidR="00FD4E6A" w:rsidRPr="000F098F">
        <w:rPr>
          <w:rFonts w:cs="Arial"/>
        </w:rPr>
        <w:t xml:space="preserve">Educational </w:t>
      </w:r>
      <w:r w:rsidR="00FD4E6A">
        <w:rPr>
          <w:rFonts w:cs="Arial"/>
        </w:rPr>
        <w:t>attainment of the richest and the poorest q</w:t>
      </w:r>
      <w:r w:rsidR="00FD4E6A" w:rsidRPr="000F098F">
        <w:rPr>
          <w:rFonts w:cs="Arial"/>
        </w:rPr>
        <w:t>uintile</w:t>
      </w:r>
      <w:r w:rsidR="00FD4E6A">
        <w:rPr>
          <w:rFonts w:cs="Arial"/>
        </w:rPr>
        <w:t xml:space="preserve"> in Tu</w:t>
      </w:r>
      <w:r w:rsidR="00FD4E6A">
        <w:rPr>
          <w:rFonts w:cs="Arial"/>
        </w:rPr>
        <w:t>r</w:t>
      </w:r>
      <w:r w:rsidR="00FD4E6A">
        <w:rPr>
          <w:rFonts w:cs="Arial"/>
        </w:rPr>
        <w:t>key</w:t>
      </w:r>
      <w:r w:rsidR="00FD4E6A" w:rsidRPr="000F098F">
        <w:rPr>
          <w:rFonts w:cs="Arial"/>
        </w:rPr>
        <w:t xml:space="preserve"> </w:t>
      </w:r>
      <w:r w:rsidR="00FD4E6A">
        <w:rPr>
          <w:rFonts w:cs="Arial"/>
        </w:rPr>
        <w:t>(</w:t>
      </w:r>
      <w:r w:rsidR="00FD4E6A" w:rsidRPr="000F098F">
        <w:rPr>
          <w:rFonts w:cs="Arial"/>
        </w:rPr>
        <w:t>%</w:t>
      </w:r>
      <w:r w:rsidR="00FD4E6A">
        <w:rPr>
          <w:rFonts w:cs="Arial"/>
        </w:rPr>
        <w:t>)</w:t>
      </w:r>
      <w:bookmarkEnd w:id="26"/>
    </w:p>
    <w:tbl>
      <w:tblPr>
        <w:tblStyle w:val="TableGrid"/>
        <w:tblW w:w="8528" w:type="dxa"/>
        <w:tblInd w:w="164" w:type="dxa"/>
        <w:tblLook w:val="04A0" w:firstRow="1" w:lastRow="0" w:firstColumn="1" w:lastColumn="0" w:noHBand="0" w:noVBand="1"/>
      </w:tblPr>
      <w:tblGrid>
        <w:gridCol w:w="1750"/>
        <w:gridCol w:w="1697"/>
        <w:gridCol w:w="1692"/>
        <w:gridCol w:w="1697"/>
        <w:gridCol w:w="1692"/>
      </w:tblGrid>
      <w:tr w:rsidR="00875319" w:rsidRPr="00C6604D" w:rsidTr="002E549B">
        <w:tc>
          <w:tcPr>
            <w:tcW w:w="1750" w:type="dxa"/>
          </w:tcPr>
          <w:p w:rsidR="00875319" w:rsidRPr="002E549B" w:rsidRDefault="00875319" w:rsidP="002E549B">
            <w:pPr>
              <w:spacing w:before="20" w:after="20" w:line="240" w:lineRule="auto"/>
              <w:rPr>
                <w:rFonts w:cs="Arial"/>
                <w:sz w:val="19"/>
                <w:szCs w:val="19"/>
              </w:rPr>
            </w:pPr>
          </w:p>
        </w:tc>
        <w:tc>
          <w:tcPr>
            <w:tcW w:w="3389" w:type="dxa"/>
            <w:gridSpan w:val="2"/>
            <w:vAlign w:val="center"/>
          </w:tcPr>
          <w:p w:rsidR="00875319" w:rsidRPr="002E549B" w:rsidRDefault="00875319" w:rsidP="002E549B">
            <w:pPr>
              <w:spacing w:before="20" w:after="20" w:line="240" w:lineRule="auto"/>
              <w:jc w:val="left"/>
              <w:rPr>
                <w:rFonts w:cs="Arial"/>
                <w:b/>
                <w:sz w:val="19"/>
                <w:szCs w:val="19"/>
              </w:rPr>
            </w:pPr>
            <w:r w:rsidRPr="002E549B">
              <w:rPr>
                <w:rFonts w:cs="Arial"/>
                <w:b/>
                <w:sz w:val="19"/>
                <w:szCs w:val="19"/>
              </w:rPr>
              <w:t>1987</w:t>
            </w:r>
          </w:p>
        </w:tc>
        <w:tc>
          <w:tcPr>
            <w:tcW w:w="3389" w:type="dxa"/>
            <w:gridSpan w:val="2"/>
            <w:vAlign w:val="center"/>
          </w:tcPr>
          <w:p w:rsidR="00875319" w:rsidRPr="002E549B" w:rsidRDefault="00875319" w:rsidP="002E549B">
            <w:pPr>
              <w:spacing w:before="20" w:after="20" w:line="240" w:lineRule="auto"/>
              <w:jc w:val="left"/>
              <w:rPr>
                <w:rFonts w:cs="Arial"/>
                <w:b/>
                <w:sz w:val="19"/>
                <w:szCs w:val="19"/>
              </w:rPr>
            </w:pPr>
            <w:r w:rsidRPr="002E549B">
              <w:rPr>
                <w:rFonts w:cs="Arial"/>
                <w:b/>
                <w:sz w:val="19"/>
                <w:szCs w:val="19"/>
              </w:rPr>
              <w:t>2005</w:t>
            </w:r>
          </w:p>
        </w:tc>
      </w:tr>
      <w:tr w:rsidR="00875319" w:rsidRPr="00C6604D" w:rsidTr="002E549B">
        <w:tc>
          <w:tcPr>
            <w:tcW w:w="1750" w:type="dxa"/>
            <w:tcBorders>
              <w:bottom w:val="single" w:sz="18" w:space="0" w:color="auto"/>
            </w:tcBorders>
          </w:tcPr>
          <w:p w:rsidR="00875319" w:rsidRPr="002E549B" w:rsidRDefault="00875319" w:rsidP="002E549B">
            <w:pPr>
              <w:spacing w:before="20" w:after="20" w:line="240" w:lineRule="auto"/>
              <w:rPr>
                <w:rFonts w:cs="Arial"/>
                <w:sz w:val="19"/>
                <w:szCs w:val="19"/>
              </w:rPr>
            </w:pPr>
            <w:r w:rsidRPr="002E549B">
              <w:rPr>
                <w:rFonts w:cs="Arial"/>
                <w:sz w:val="19"/>
                <w:szCs w:val="19"/>
              </w:rPr>
              <w:t>Education level</w:t>
            </w:r>
          </w:p>
        </w:tc>
        <w:tc>
          <w:tcPr>
            <w:tcW w:w="1697" w:type="dxa"/>
            <w:tcBorders>
              <w:bottom w:val="single" w:sz="18" w:space="0" w:color="auto"/>
            </w:tcBorders>
            <w:vAlign w:val="center"/>
          </w:tcPr>
          <w:p w:rsidR="00875319" w:rsidRPr="002E549B" w:rsidRDefault="00875319" w:rsidP="002E549B">
            <w:pPr>
              <w:spacing w:before="20" w:after="20" w:line="240" w:lineRule="auto"/>
              <w:jc w:val="left"/>
              <w:rPr>
                <w:rFonts w:cs="Arial"/>
                <w:b/>
                <w:sz w:val="19"/>
                <w:szCs w:val="19"/>
              </w:rPr>
            </w:pPr>
            <w:r w:rsidRPr="002E549B">
              <w:rPr>
                <w:rFonts w:cs="Arial"/>
                <w:b/>
                <w:sz w:val="19"/>
                <w:szCs w:val="19"/>
              </w:rPr>
              <w:t>Poorest 20%</w:t>
            </w:r>
          </w:p>
        </w:tc>
        <w:tc>
          <w:tcPr>
            <w:tcW w:w="1692" w:type="dxa"/>
            <w:tcBorders>
              <w:bottom w:val="single" w:sz="18" w:space="0" w:color="auto"/>
            </w:tcBorders>
            <w:vAlign w:val="center"/>
          </w:tcPr>
          <w:p w:rsidR="00875319" w:rsidRPr="002E549B" w:rsidRDefault="00875319" w:rsidP="002E549B">
            <w:pPr>
              <w:spacing w:before="20" w:after="20" w:line="240" w:lineRule="auto"/>
              <w:jc w:val="left"/>
              <w:rPr>
                <w:rFonts w:cs="Arial"/>
                <w:b/>
                <w:sz w:val="19"/>
                <w:szCs w:val="19"/>
              </w:rPr>
            </w:pPr>
            <w:r w:rsidRPr="002E549B">
              <w:rPr>
                <w:rFonts w:cs="Arial"/>
                <w:b/>
                <w:sz w:val="19"/>
                <w:szCs w:val="19"/>
              </w:rPr>
              <w:t>Richest 20%</w:t>
            </w:r>
          </w:p>
        </w:tc>
        <w:tc>
          <w:tcPr>
            <w:tcW w:w="1697" w:type="dxa"/>
            <w:tcBorders>
              <w:bottom w:val="single" w:sz="18" w:space="0" w:color="auto"/>
            </w:tcBorders>
            <w:vAlign w:val="center"/>
          </w:tcPr>
          <w:p w:rsidR="00875319" w:rsidRPr="002E549B" w:rsidRDefault="00875319" w:rsidP="002E549B">
            <w:pPr>
              <w:spacing w:before="20" w:after="20" w:line="240" w:lineRule="auto"/>
              <w:jc w:val="left"/>
              <w:rPr>
                <w:rFonts w:cs="Arial"/>
                <w:b/>
                <w:sz w:val="19"/>
                <w:szCs w:val="19"/>
              </w:rPr>
            </w:pPr>
            <w:r w:rsidRPr="002E549B">
              <w:rPr>
                <w:rFonts w:cs="Arial"/>
                <w:b/>
                <w:sz w:val="19"/>
                <w:szCs w:val="19"/>
              </w:rPr>
              <w:t>Poorest 20%</w:t>
            </w:r>
          </w:p>
        </w:tc>
        <w:tc>
          <w:tcPr>
            <w:tcW w:w="1692" w:type="dxa"/>
            <w:tcBorders>
              <w:bottom w:val="single" w:sz="18" w:space="0" w:color="auto"/>
            </w:tcBorders>
            <w:vAlign w:val="center"/>
          </w:tcPr>
          <w:p w:rsidR="00875319" w:rsidRPr="002E549B" w:rsidRDefault="00875319" w:rsidP="002E549B">
            <w:pPr>
              <w:spacing w:before="20" w:after="20" w:line="240" w:lineRule="auto"/>
              <w:jc w:val="left"/>
              <w:rPr>
                <w:rFonts w:cs="Arial"/>
                <w:b/>
                <w:sz w:val="19"/>
                <w:szCs w:val="19"/>
              </w:rPr>
            </w:pPr>
            <w:r w:rsidRPr="002E549B">
              <w:rPr>
                <w:rFonts w:cs="Arial"/>
                <w:b/>
                <w:sz w:val="19"/>
                <w:szCs w:val="19"/>
              </w:rPr>
              <w:t>Richest 20%</w:t>
            </w:r>
          </w:p>
        </w:tc>
      </w:tr>
      <w:tr w:rsidR="00875319" w:rsidRPr="00C6604D" w:rsidTr="002E549B">
        <w:tc>
          <w:tcPr>
            <w:tcW w:w="1750" w:type="dxa"/>
            <w:tcBorders>
              <w:top w:val="single" w:sz="18" w:space="0" w:color="auto"/>
            </w:tcBorders>
            <w:shd w:val="clear" w:color="auto" w:fill="D9D9D9" w:themeFill="background1" w:themeFillShade="D9"/>
          </w:tcPr>
          <w:p w:rsidR="00875319" w:rsidRPr="002E549B" w:rsidRDefault="00875319" w:rsidP="002E549B">
            <w:pPr>
              <w:spacing w:before="20" w:after="20" w:line="240" w:lineRule="auto"/>
              <w:rPr>
                <w:rFonts w:cs="Arial"/>
                <w:sz w:val="19"/>
                <w:szCs w:val="19"/>
              </w:rPr>
            </w:pPr>
            <w:r w:rsidRPr="002E549B">
              <w:rPr>
                <w:rFonts w:cs="Arial"/>
                <w:sz w:val="19"/>
                <w:szCs w:val="19"/>
              </w:rPr>
              <w:t>Below Primary</w:t>
            </w:r>
          </w:p>
        </w:tc>
        <w:tc>
          <w:tcPr>
            <w:tcW w:w="1697" w:type="dxa"/>
            <w:tcBorders>
              <w:top w:val="single" w:sz="18" w:space="0" w:color="auto"/>
            </w:tcBorders>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34.50</w:t>
            </w:r>
          </w:p>
        </w:tc>
        <w:tc>
          <w:tcPr>
            <w:tcW w:w="1692" w:type="dxa"/>
            <w:tcBorders>
              <w:top w:val="single" w:sz="18" w:space="0" w:color="auto"/>
            </w:tcBorders>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6.01</w:t>
            </w:r>
          </w:p>
        </w:tc>
        <w:tc>
          <w:tcPr>
            <w:tcW w:w="1697" w:type="dxa"/>
            <w:tcBorders>
              <w:top w:val="single" w:sz="18" w:space="0" w:color="auto"/>
            </w:tcBorders>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31.22</w:t>
            </w:r>
          </w:p>
        </w:tc>
        <w:tc>
          <w:tcPr>
            <w:tcW w:w="1692" w:type="dxa"/>
            <w:tcBorders>
              <w:top w:val="single" w:sz="18" w:space="0" w:color="auto"/>
            </w:tcBorders>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4.89</w:t>
            </w:r>
          </w:p>
        </w:tc>
      </w:tr>
      <w:tr w:rsidR="00875319" w:rsidRPr="00C6604D" w:rsidTr="002E549B">
        <w:tc>
          <w:tcPr>
            <w:tcW w:w="1750" w:type="dxa"/>
          </w:tcPr>
          <w:p w:rsidR="00875319" w:rsidRPr="002E549B" w:rsidRDefault="00875319" w:rsidP="002E549B">
            <w:pPr>
              <w:spacing w:before="20" w:after="20" w:line="240" w:lineRule="auto"/>
              <w:rPr>
                <w:rFonts w:cs="Arial"/>
                <w:sz w:val="19"/>
                <w:szCs w:val="19"/>
              </w:rPr>
            </w:pPr>
            <w:r w:rsidRPr="002E549B">
              <w:rPr>
                <w:rFonts w:cs="Arial"/>
                <w:sz w:val="19"/>
                <w:szCs w:val="19"/>
              </w:rPr>
              <w:t>Primary</w:t>
            </w:r>
          </w:p>
        </w:tc>
        <w:tc>
          <w:tcPr>
            <w:tcW w:w="1697"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53.01</w:t>
            </w:r>
          </w:p>
        </w:tc>
        <w:tc>
          <w:tcPr>
            <w:tcW w:w="1692"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39.03</w:t>
            </w:r>
          </w:p>
        </w:tc>
        <w:tc>
          <w:tcPr>
            <w:tcW w:w="1697"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56.24</w:t>
            </w:r>
          </w:p>
        </w:tc>
        <w:tc>
          <w:tcPr>
            <w:tcW w:w="1692"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34.76</w:t>
            </w:r>
          </w:p>
        </w:tc>
      </w:tr>
      <w:tr w:rsidR="00875319" w:rsidRPr="00C6604D" w:rsidTr="002E549B">
        <w:tc>
          <w:tcPr>
            <w:tcW w:w="1750" w:type="dxa"/>
            <w:shd w:val="clear" w:color="auto" w:fill="D9D9D9" w:themeFill="background1" w:themeFillShade="D9"/>
          </w:tcPr>
          <w:p w:rsidR="00875319" w:rsidRPr="002E549B" w:rsidRDefault="00875319" w:rsidP="002E549B">
            <w:pPr>
              <w:spacing w:before="20" w:after="20" w:line="240" w:lineRule="auto"/>
              <w:rPr>
                <w:rFonts w:cs="Arial"/>
                <w:sz w:val="19"/>
                <w:szCs w:val="19"/>
              </w:rPr>
            </w:pPr>
            <w:r w:rsidRPr="002E549B">
              <w:rPr>
                <w:rFonts w:cs="Arial"/>
                <w:sz w:val="19"/>
                <w:szCs w:val="19"/>
              </w:rPr>
              <w:t>Lower Secondary</w:t>
            </w:r>
          </w:p>
        </w:tc>
        <w:tc>
          <w:tcPr>
            <w:tcW w:w="1697" w:type="dxa"/>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8.24</w:t>
            </w:r>
          </w:p>
        </w:tc>
        <w:tc>
          <w:tcPr>
            <w:tcW w:w="1692" w:type="dxa"/>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9.89</w:t>
            </w:r>
          </w:p>
        </w:tc>
        <w:tc>
          <w:tcPr>
            <w:tcW w:w="1697" w:type="dxa"/>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8.11</w:t>
            </w:r>
          </w:p>
        </w:tc>
        <w:tc>
          <w:tcPr>
            <w:tcW w:w="1692" w:type="dxa"/>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8.52</w:t>
            </w:r>
          </w:p>
        </w:tc>
      </w:tr>
      <w:tr w:rsidR="00875319" w:rsidRPr="00C6604D" w:rsidTr="002E549B">
        <w:tc>
          <w:tcPr>
            <w:tcW w:w="1750" w:type="dxa"/>
          </w:tcPr>
          <w:p w:rsidR="00875319" w:rsidRPr="002E549B" w:rsidRDefault="00875319" w:rsidP="002E549B">
            <w:pPr>
              <w:spacing w:before="20" w:after="20" w:line="240" w:lineRule="auto"/>
              <w:rPr>
                <w:rFonts w:cs="Arial"/>
                <w:sz w:val="19"/>
                <w:szCs w:val="19"/>
              </w:rPr>
            </w:pPr>
            <w:r w:rsidRPr="002E549B">
              <w:rPr>
                <w:rFonts w:cs="Arial"/>
                <w:sz w:val="19"/>
                <w:szCs w:val="19"/>
              </w:rPr>
              <w:t>Higher secondary</w:t>
            </w:r>
          </w:p>
        </w:tc>
        <w:tc>
          <w:tcPr>
            <w:tcW w:w="1697"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3.50</w:t>
            </w:r>
          </w:p>
        </w:tc>
        <w:tc>
          <w:tcPr>
            <w:tcW w:w="1692"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26.71</w:t>
            </w:r>
          </w:p>
        </w:tc>
        <w:tc>
          <w:tcPr>
            <w:tcW w:w="1697"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3.93</w:t>
            </w:r>
          </w:p>
        </w:tc>
        <w:tc>
          <w:tcPr>
            <w:tcW w:w="1692"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24.10</w:t>
            </w:r>
          </w:p>
        </w:tc>
      </w:tr>
      <w:tr w:rsidR="00875319" w:rsidRPr="00C6604D" w:rsidTr="002E549B">
        <w:tc>
          <w:tcPr>
            <w:tcW w:w="1750" w:type="dxa"/>
            <w:shd w:val="clear" w:color="auto" w:fill="D9D9D9" w:themeFill="background1" w:themeFillShade="D9"/>
          </w:tcPr>
          <w:p w:rsidR="00875319" w:rsidRPr="002E549B" w:rsidRDefault="00875319" w:rsidP="002E549B">
            <w:pPr>
              <w:spacing w:before="20" w:after="20" w:line="240" w:lineRule="auto"/>
              <w:rPr>
                <w:rFonts w:cs="Arial"/>
                <w:sz w:val="19"/>
                <w:szCs w:val="19"/>
              </w:rPr>
            </w:pPr>
            <w:r w:rsidRPr="002E549B">
              <w:rPr>
                <w:rFonts w:cs="Arial"/>
                <w:sz w:val="19"/>
                <w:szCs w:val="19"/>
              </w:rPr>
              <w:t>Tertiary</w:t>
            </w:r>
          </w:p>
        </w:tc>
        <w:tc>
          <w:tcPr>
            <w:tcW w:w="1697" w:type="dxa"/>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0.75</w:t>
            </w:r>
          </w:p>
        </w:tc>
        <w:tc>
          <w:tcPr>
            <w:tcW w:w="1692" w:type="dxa"/>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18.36</w:t>
            </w:r>
          </w:p>
        </w:tc>
        <w:tc>
          <w:tcPr>
            <w:tcW w:w="1697" w:type="dxa"/>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0.50</w:t>
            </w:r>
          </w:p>
        </w:tc>
        <w:tc>
          <w:tcPr>
            <w:tcW w:w="1692" w:type="dxa"/>
            <w:shd w:val="clear" w:color="auto" w:fill="D9D9D9" w:themeFill="background1" w:themeFillShade="D9"/>
          </w:tcPr>
          <w:p w:rsidR="00875319" w:rsidRPr="002E549B" w:rsidRDefault="00875319" w:rsidP="002E549B">
            <w:pPr>
              <w:spacing w:before="20" w:after="20" w:line="240" w:lineRule="auto"/>
              <w:jc w:val="left"/>
              <w:rPr>
                <w:rFonts w:cs="Arial"/>
                <w:sz w:val="19"/>
                <w:szCs w:val="19"/>
              </w:rPr>
            </w:pPr>
            <w:r w:rsidRPr="002E549B">
              <w:rPr>
                <w:rFonts w:cs="Arial"/>
                <w:sz w:val="19"/>
                <w:szCs w:val="19"/>
                <w:lang w:val="el-GR" w:eastAsia="en-GB"/>
              </w:rPr>
              <w:t>27.73</w:t>
            </w:r>
          </w:p>
        </w:tc>
      </w:tr>
      <w:tr w:rsidR="00875319" w:rsidRPr="00C6604D" w:rsidTr="002E549B">
        <w:tc>
          <w:tcPr>
            <w:tcW w:w="1750" w:type="dxa"/>
          </w:tcPr>
          <w:p w:rsidR="00875319" w:rsidRPr="002E549B" w:rsidRDefault="00875319" w:rsidP="002E549B">
            <w:pPr>
              <w:spacing w:before="20" w:after="20" w:line="240" w:lineRule="auto"/>
              <w:rPr>
                <w:rFonts w:cs="Arial"/>
                <w:sz w:val="19"/>
                <w:szCs w:val="19"/>
              </w:rPr>
            </w:pPr>
            <w:r w:rsidRPr="002E549B">
              <w:rPr>
                <w:rFonts w:cs="Arial"/>
                <w:sz w:val="19"/>
                <w:szCs w:val="19"/>
              </w:rPr>
              <w:t>Total</w:t>
            </w:r>
          </w:p>
        </w:tc>
        <w:tc>
          <w:tcPr>
            <w:tcW w:w="1697"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rPr>
              <w:t>100.0</w:t>
            </w:r>
          </w:p>
        </w:tc>
        <w:tc>
          <w:tcPr>
            <w:tcW w:w="1692"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rPr>
              <w:t>100.0</w:t>
            </w:r>
          </w:p>
        </w:tc>
        <w:tc>
          <w:tcPr>
            <w:tcW w:w="1697"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rPr>
              <w:t>100.0</w:t>
            </w:r>
          </w:p>
        </w:tc>
        <w:tc>
          <w:tcPr>
            <w:tcW w:w="1692" w:type="dxa"/>
          </w:tcPr>
          <w:p w:rsidR="00875319" w:rsidRPr="002E549B" w:rsidRDefault="00875319" w:rsidP="002E549B">
            <w:pPr>
              <w:spacing w:before="20" w:after="20" w:line="240" w:lineRule="auto"/>
              <w:jc w:val="left"/>
              <w:rPr>
                <w:rFonts w:cs="Arial"/>
                <w:sz w:val="19"/>
                <w:szCs w:val="19"/>
              </w:rPr>
            </w:pPr>
            <w:r w:rsidRPr="002E549B">
              <w:rPr>
                <w:rFonts w:cs="Arial"/>
                <w:sz w:val="19"/>
                <w:szCs w:val="19"/>
              </w:rPr>
              <w:t>100.0</w:t>
            </w:r>
          </w:p>
        </w:tc>
      </w:tr>
    </w:tbl>
    <w:p w:rsidR="00875319" w:rsidRPr="009D5769" w:rsidRDefault="00875319" w:rsidP="002E549B">
      <w:pPr>
        <w:spacing w:after="240" w:line="360" w:lineRule="auto"/>
        <w:rPr>
          <w:rFonts w:cs="Arial"/>
          <w:sz w:val="16"/>
          <w:szCs w:val="16"/>
        </w:rPr>
      </w:pPr>
      <w:r w:rsidRPr="002E549B">
        <w:rPr>
          <w:rFonts w:cs="Arial"/>
          <w:b/>
          <w:sz w:val="16"/>
          <w:szCs w:val="16"/>
        </w:rPr>
        <w:t>Source:</w:t>
      </w:r>
      <w:r w:rsidRPr="009D5769">
        <w:rPr>
          <w:rFonts w:cs="Arial"/>
          <w:sz w:val="16"/>
          <w:szCs w:val="16"/>
        </w:rPr>
        <w:t xml:space="preserve"> Duman</w:t>
      </w:r>
      <w:r w:rsidR="002E25EC" w:rsidRPr="009D5769">
        <w:rPr>
          <w:rFonts w:cs="Arial"/>
          <w:sz w:val="16"/>
          <w:szCs w:val="16"/>
        </w:rPr>
        <w:t>, 2008</w:t>
      </w:r>
      <w:r w:rsidR="009D5769">
        <w:rPr>
          <w:rFonts w:cs="Arial"/>
          <w:sz w:val="16"/>
          <w:szCs w:val="16"/>
        </w:rPr>
        <w:t xml:space="preserve"> (adapted)</w:t>
      </w:r>
    </w:p>
    <w:p w:rsidR="00875319" w:rsidRDefault="00875319" w:rsidP="002E549B">
      <w:pPr>
        <w:spacing w:line="276" w:lineRule="auto"/>
        <w:rPr>
          <w:rFonts w:cs="Arial"/>
        </w:rPr>
      </w:pPr>
      <w:r>
        <w:rPr>
          <w:rFonts w:cs="Arial"/>
        </w:rPr>
        <w:t>The wide difference between the educational level of the lowest and the richest qui</w:t>
      </w:r>
      <w:r>
        <w:rPr>
          <w:rFonts w:cs="Arial"/>
        </w:rPr>
        <w:t>n</w:t>
      </w:r>
      <w:r>
        <w:rPr>
          <w:rFonts w:cs="Arial"/>
        </w:rPr>
        <w:t>tile is evident. But even more interestingly, while there is a clear improvement in the educational skills of the richest 20%, in the same period of almost two decades the educational skills of the lowest 20% remain stagnant. In fact, while the share of those with less than primary education among the poorest fell from 34.5% to 31.2%, the share of those with tertiary education did not increase (and actually fell from an a</w:t>
      </w:r>
      <w:r>
        <w:rPr>
          <w:rFonts w:cs="Arial"/>
        </w:rPr>
        <w:t>l</w:t>
      </w:r>
      <w:r>
        <w:rPr>
          <w:rFonts w:cs="Arial"/>
        </w:rPr>
        <w:t xml:space="preserve">ready low 0.75% to a mere 0.5%). This reveals not only that </w:t>
      </w:r>
      <w:r w:rsidRPr="00EB1CBA">
        <w:rPr>
          <w:rFonts w:cs="Arial"/>
        </w:rPr>
        <w:t>schooling levels contri</w:t>
      </w:r>
      <w:r w:rsidRPr="00EB1CBA">
        <w:rPr>
          <w:rFonts w:cs="Arial"/>
        </w:rPr>
        <w:t>b</w:t>
      </w:r>
      <w:r w:rsidRPr="00EB1CBA">
        <w:rPr>
          <w:rFonts w:cs="Arial"/>
        </w:rPr>
        <w:t>ute</w:t>
      </w:r>
      <w:r>
        <w:rPr>
          <w:rFonts w:cs="Arial"/>
        </w:rPr>
        <w:t xml:space="preserve"> significantly </w:t>
      </w:r>
      <w:r w:rsidRPr="00EB1CBA">
        <w:rPr>
          <w:rFonts w:cs="Arial"/>
        </w:rPr>
        <w:t>to income differences</w:t>
      </w:r>
      <w:r w:rsidR="003A2887">
        <w:rPr>
          <w:rFonts w:cs="Arial"/>
        </w:rPr>
        <w:t>,</w:t>
      </w:r>
      <w:r>
        <w:rPr>
          <w:rFonts w:cs="Arial"/>
        </w:rPr>
        <w:t xml:space="preserve"> but also that the improvements in income di</w:t>
      </w:r>
      <w:r>
        <w:rPr>
          <w:rFonts w:cs="Arial"/>
        </w:rPr>
        <w:t>s</w:t>
      </w:r>
      <w:r>
        <w:rPr>
          <w:rFonts w:cs="Arial"/>
        </w:rPr>
        <w:t>tribution are not followed by similar improvements in educational attainment.</w:t>
      </w:r>
    </w:p>
    <w:p w:rsidR="00564B2E" w:rsidRDefault="00875319" w:rsidP="002E549B">
      <w:pPr>
        <w:spacing w:line="276" w:lineRule="auto"/>
        <w:rPr>
          <w:rFonts w:cs="Arial"/>
        </w:rPr>
      </w:pPr>
      <w:r>
        <w:rPr>
          <w:rFonts w:cs="Arial"/>
        </w:rPr>
        <w:t>As Duman</w:t>
      </w:r>
      <w:r w:rsidR="002E25EC">
        <w:rPr>
          <w:rFonts w:cs="Arial"/>
        </w:rPr>
        <w:t xml:space="preserve"> (2008)</w:t>
      </w:r>
      <w:r>
        <w:rPr>
          <w:rFonts w:cs="Arial"/>
        </w:rPr>
        <w:t xml:space="preserve"> also points, the private return (defined as </w:t>
      </w:r>
      <w:r w:rsidRPr="0047756D">
        <w:rPr>
          <w:rFonts w:cs="Arial"/>
        </w:rPr>
        <w:t>the discount rate</w:t>
      </w:r>
      <w:r>
        <w:rPr>
          <w:rFonts w:cs="Arial"/>
        </w:rPr>
        <w:t xml:space="preserve"> </w:t>
      </w:r>
      <w:r w:rsidRPr="0047756D">
        <w:rPr>
          <w:rFonts w:cs="Arial"/>
        </w:rPr>
        <w:t>that equalizes the present value of the private costs and benefits generated by an i</w:t>
      </w:r>
      <w:r w:rsidRPr="0047756D">
        <w:rPr>
          <w:rFonts w:cs="Arial"/>
        </w:rPr>
        <w:t>n</w:t>
      </w:r>
      <w:r w:rsidRPr="0047756D">
        <w:rPr>
          <w:rFonts w:cs="Arial"/>
        </w:rPr>
        <w:t>crease</w:t>
      </w:r>
      <w:r>
        <w:rPr>
          <w:rFonts w:cs="Arial"/>
        </w:rPr>
        <w:t xml:space="preserve"> </w:t>
      </w:r>
      <w:r w:rsidRPr="0047756D">
        <w:rPr>
          <w:rFonts w:cs="Arial"/>
        </w:rPr>
        <w:t>in the schooling of a representative individual</w:t>
      </w:r>
      <w:r>
        <w:rPr>
          <w:rFonts w:cs="Arial"/>
        </w:rPr>
        <w:t xml:space="preserve">) </w:t>
      </w:r>
      <w:r w:rsidRPr="0047756D">
        <w:rPr>
          <w:rFonts w:cs="Arial"/>
        </w:rPr>
        <w:t>on primary schooling declined to 19% in 2005</w:t>
      </w:r>
      <w:r>
        <w:rPr>
          <w:rFonts w:cs="Arial"/>
        </w:rPr>
        <w:t xml:space="preserve"> from 22.5% in 1987, while the return on primary and secondary ed</w:t>
      </w:r>
      <w:r>
        <w:rPr>
          <w:rFonts w:cs="Arial"/>
        </w:rPr>
        <w:t>u</w:t>
      </w:r>
      <w:r>
        <w:rPr>
          <w:rFonts w:cs="Arial"/>
        </w:rPr>
        <w:t xml:space="preserve">cation (23% from 17%) converged. The return on tertiary education remained stable and quite higher than at about 28%. </w:t>
      </w:r>
    </w:p>
    <w:p w:rsidR="00875319" w:rsidRPr="008F2C60" w:rsidRDefault="00875319" w:rsidP="002E549B">
      <w:pPr>
        <w:spacing w:line="276" w:lineRule="auto"/>
        <w:rPr>
          <w:rFonts w:cs="Arial"/>
        </w:rPr>
      </w:pPr>
      <w:r>
        <w:rPr>
          <w:rFonts w:cs="Arial"/>
        </w:rPr>
        <w:t>Together with the increasing share of tertiary education in the overall public expend</w:t>
      </w:r>
      <w:r>
        <w:rPr>
          <w:rFonts w:cs="Arial"/>
        </w:rPr>
        <w:t>i</w:t>
      </w:r>
      <w:r>
        <w:rPr>
          <w:rFonts w:cs="Arial"/>
        </w:rPr>
        <w:t xml:space="preserve">ture on education, the situation seems to be one of polarized education chances, with the more affluent part of the society gaining more from their participation in higher education and the less affluent facing reduced opportunities to benefit from education and to gain access to higher educational levels. </w:t>
      </w:r>
      <w:r w:rsidR="00564B2E">
        <w:rPr>
          <w:rFonts w:cs="Arial"/>
        </w:rPr>
        <w:t>Additionally, as Karahasan and Uyar (2009) have shown intra-regional inequalities regarding tertiary education are signif</w:t>
      </w:r>
      <w:r w:rsidR="00564B2E">
        <w:rPr>
          <w:rFonts w:cs="Arial"/>
        </w:rPr>
        <w:t>i</w:t>
      </w:r>
      <w:r w:rsidR="00564B2E">
        <w:rPr>
          <w:rFonts w:cs="Arial"/>
        </w:rPr>
        <w:t xml:space="preserve">cantly higher than for primary and secondary education. </w:t>
      </w:r>
      <w:r w:rsidRPr="008F2C60">
        <w:rPr>
          <w:rFonts w:cs="Arial"/>
        </w:rPr>
        <w:t xml:space="preserve">The </w:t>
      </w:r>
      <w:r>
        <w:rPr>
          <w:rFonts w:cs="Arial"/>
        </w:rPr>
        <w:t xml:space="preserve">intergenerational </w:t>
      </w:r>
      <w:r w:rsidRPr="008F2C60">
        <w:rPr>
          <w:rFonts w:cs="Arial"/>
        </w:rPr>
        <w:t>tran</w:t>
      </w:r>
      <w:r w:rsidRPr="008F2C60">
        <w:rPr>
          <w:rFonts w:cs="Arial"/>
        </w:rPr>
        <w:t>s</w:t>
      </w:r>
      <w:r w:rsidRPr="008F2C60">
        <w:rPr>
          <w:rFonts w:cs="Arial"/>
        </w:rPr>
        <w:t>mission</w:t>
      </w:r>
      <w:r>
        <w:rPr>
          <w:rFonts w:cs="Arial"/>
        </w:rPr>
        <w:t xml:space="preserve"> </w:t>
      </w:r>
      <w:r w:rsidRPr="008F2C60">
        <w:rPr>
          <w:rFonts w:cs="Arial"/>
        </w:rPr>
        <w:t xml:space="preserve">of inequality is more probable when </w:t>
      </w:r>
      <w:r>
        <w:rPr>
          <w:rFonts w:cs="Arial"/>
        </w:rPr>
        <w:t>access to tertiary education</w:t>
      </w:r>
      <w:r w:rsidRPr="008F2C60">
        <w:rPr>
          <w:rFonts w:cs="Arial"/>
        </w:rPr>
        <w:t xml:space="preserve"> is restricted</w:t>
      </w:r>
      <w:r>
        <w:rPr>
          <w:rFonts w:cs="Arial"/>
        </w:rPr>
        <w:t xml:space="preserve"> and this is even more important in regions with high and continuous migratory inflows that reproduce successive “second” generations.</w:t>
      </w:r>
    </w:p>
    <w:p w:rsidR="00875319" w:rsidRPr="00200724" w:rsidRDefault="00875319" w:rsidP="00975943">
      <w:pPr>
        <w:spacing w:line="23" w:lineRule="atLeast"/>
        <w:rPr>
          <w:rFonts w:cs="Arial"/>
        </w:rPr>
      </w:pPr>
    </w:p>
    <w:p w:rsidR="008D109F" w:rsidRPr="00477369" w:rsidRDefault="00536563" w:rsidP="00477369">
      <w:pPr>
        <w:pStyle w:val="Heading1"/>
      </w:pPr>
      <w:r w:rsidRPr="00AE110B">
        <w:rPr>
          <w:noProof/>
        </w:rPr>
        <w:br w:type="column"/>
      </w:r>
      <w:bookmarkStart w:id="27" w:name="_Toc384993697"/>
      <w:r w:rsidR="00AE110B" w:rsidRPr="00477369">
        <w:lastRenderedPageBreak/>
        <w:t xml:space="preserve">Validity of European </w:t>
      </w:r>
      <w:r w:rsidR="009D5769" w:rsidRPr="00477369">
        <w:t>wide d</w:t>
      </w:r>
      <w:r w:rsidR="00AE110B" w:rsidRPr="00477369">
        <w:t xml:space="preserve">ata from </w:t>
      </w:r>
      <w:r w:rsidR="009D5769" w:rsidRPr="00477369">
        <w:t>l</w:t>
      </w:r>
      <w:r w:rsidR="00AE110B" w:rsidRPr="00477369">
        <w:t xml:space="preserve">ocal </w:t>
      </w:r>
      <w:r w:rsidR="009D5769" w:rsidRPr="00477369">
        <w:t>p</w:t>
      </w:r>
      <w:r w:rsidR="00AE110B" w:rsidRPr="00477369">
        <w:t>erspective</w:t>
      </w:r>
      <w:bookmarkEnd w:id="27"/>
    </w:p>
    <w:p w:rsidR="002D3C65" w:rsidRDefault="002D3C65" w:rsidP="008D109F"/>
    <w:p w:rsidR="008D109F" w:rsidRDefault="002D3C65" w:rsidP="002E549B">
      <w:pPr>
        <w:spacing w:line="276" w:lineRule="auto"/>
      </w:pPr>
      <w:r>
        <w:t>The maps on risk of poverty and/or social exclusion that were produced in the co</w:t>
      </w:r>
      <w:r>
        <w:t>n</w:t>
      </w:r>
      <w:r>
        <w:t xml:space="preserve">text of the TIPSE project reveal </w:t>
      </w:r>
      <w:r w:rsidR="003F1ECE">
        <w:t>some of the important characteristics of poverty and social exclusion in Turkey (in comparison with the rest of the countries in the ESPON space), as well as among the Turkish regions. Thus, it is quite evident that Turkey scores high in at-risk-of-poverty rate</w:t>
      </w:r>
      <w:r w:rsidR="00606D5F">
        <w:t xml:space="preserve"> among European countries</w:t>
      </w:r>
      <w:r w:rsidR="003F1ECE">
        <w:t xml:space="preserve">, but at the same time disparities between the Turkish regions are noteworthy. </w:t>
      </w:r>
      <w:r w:rsidR="0032712A">
        <w:t xml:space="preserve">At-risk-of-poverty rate increases significantly as one </w:t>
      </w:r>
      <w:proofErr w:type="gramStart"/>
      <w:r w:rsidR="0032712A">
        <w:t>moves</w:t>
      </w:r>
      <w:proofErr w:type="gramEnd"/>
      <w:r w:rsidR="0032712A">
        <w:t xml:space="preserve"> from Istanbul and the coast of the Aegean to the Eastern and especially the South-Eastern part of the country. Despite its location, MRI is not among the most privileged regions as it belongs to </w:t>
      </w:r>
      <w:r w:rsidR="00B841CE">
        <w:t>the second among five ranks.</w:t>
      </w:r>
    </w:p>
    <w:p w:rsidR="002E549B" w:rsidRPr="002E549B" w:rsidRDefault="002E549B" w:rsidP="002E549B">
      <w:pPr>
        <w:spacing w:line="276" w:lineRule="auto"/>
        <w:rPr>
          <w:sz w:val="10"/>
          <w:szCs w:val="10"/>
        </w:rPr>
      </w:pPr>
    </w:p>
    <w:p w:rsidR="004C4986" w:rsidRDefault="00B841CE" w:rsidP="004C4986">
      <w:pPr>
        <w:keepNext/>
      </w:pPr>
      <w:r w:rsidRPr="00B841CE">
        <w:rPr>
          <w:noProof/>
          <w:lang w:val="fi-FI" w:eastAsia="fi-FI"/>
        </w:rPr>
        <w:drawing>
          <wp:inline distT="0" distB="0" distL="0" distR="0" wp14:anchorId="13CE15FD" wp14:editId="642E4A99">
            <wp:extent cx="4305300" cy="3943350"/>
            <wp:effectExtent l="0" t="0" r="0" b="0"/>
            <wp:docPr id="4" name="Picture 1" descr="H:\ \RESEARCH_PROJECTS\TIPSE\POVMAP_NEW\POVMAP_TURKEY\New_analysis_31_3_2014\MAPS_24_3_2014\TIPSE_24_3_2014_T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 \RESEARCH_PROJECTS\TIPSE\POVMAP_NEW\POVMAP_TURKEY\New_analysis_31_3_2014\MAPS_24_3_2014\TIPSE_24_3_2014_TR2.jpg"/>
                    <pic:cNvPicPr>
                      <a:picLocks noChangeAspect="1" noChangeArrowheads="1"/>
                    </pic:cNvPicPr>
                  </pic:nvPicPr>
                  <pic:blipFill rotWithShape="1">
                    <a:blip r:embed="rId33" cstate="print"/>
                    <a:srcRect l="4269" t="15993" r="3861" b="24576"/>
                    <a:stretch/>
                  </pic:blipFill>
                  <pic:spPr bwMode="auto">
                    <a:xfrm>
                      <a:off x="0" y="0"/>
                      <a:ext cx="4305300" cy="3943350"/>
                    </a:xfrm>
                    <a:prstGeom prst="rect">
                      <a:avLst/>
                    </a:prstGeom>
                    <a:noFill/>
                    <a:ln>
                      <a:noFill/>
                    </a:ln>
                    <a:extLst>
                      <a:ext uri="{53640926-AAD7-44D8-BBD7-CCE9431645EC}">
                        <a14:shadowObscured xmlns:a14="http://schemas.microsoft.com/office/drawing/2010/main"/>
                      </a:ext>
                    </a:extLst>
                  </pic:spPr>
                </pic:pic>
              </a:graphicData>
            </a:graphic>
          </wp:inline>
        </w:drawing>
      </w:r>
    </w:p>
    <w:p w:rsidR="003D3691" w:rsidRDefault="004C4986" w:rsidP="004C4986">
      <w:pPr>
        <w:pStyle w:val="Caption"/>
      </w:pPr>
      <w:bookmarkStart w:id="28" w:name="_Toc392507185"/>
      <w:r>
        <w:t xml:space="preserve">Map </w:t>
      </w:r>
      <w:r w:rsidR="00C46323">
        <w:fldChar w:fldCharType="begin"/>
      </w:r>
      <w:r w:rsidR="00C46323">
        <w:instrText xml:space="preserve"> SEQ Map \* ARABIC </w:instrText>
      </w:r>
      <w:r w:rsidR="00C46323">
        <w:fldChar w:fldCharType="separate"/>
      </w:r>
      <w:r w:rsidR="00D95984">
        <w:rPr>
          <w:noProof/>
        </w:rPr>
        <w:t>5</w:t>
      </w:r>
      <w:r w:rsidR="00C46323">
        <w:rPr>
          <w:noProof/>
        </w:rPr>
        <w:fldChar w:fldCharType="end"/>
      </w:r>
      <w:r>
        <w:t>: At-risk-of-poverty-rate in Turkish NUTS II regions, 2011</w:t>
      </w:r>
      <w:bookmarkEnd w:id="28"/>
    </w:p>
    <w:p w:rsidR="00477369" w:rsidRPr="00477369" w:rsidRDefault="00477369" w:rsidP="00975943">
      <w:pPr>
        <w:spacing w:line="23" w:lineRule="atLeast"/>
        <w:rPr>
          <w:sz w:val="10"/>
          <w:szCs w:val="10"/>
        </w:rPr>
      </w:pPr>
    </w:p>
    <w:p w:rsidR="00E26B6E" w:rsidRDefault="00E26B6E" w:rsidP="00477369">
      <w:pPr>
        <w:spacing w:line="276" w:lineRule="auto"/>
      </w:pPr>
      <w:r>
        <w:t>Interestingly enough the map of regional poverty shows an almost identical pattern with the Turkish map on total dependency rate, as more remote areas show rates of even more than 70</w:t>
      </w:r>
      <w:r w:rsidR="0085157B">
        <w:t xml:space="preserve"> per cent</w:t>
      </w:r>
      <w:r>
        <w:t xml:space="preserve">, while the rates in Western Turkey are generally between 40 and 50 per cent. </w:t>
      </w:r>
      <w:r w:rsidR="00A043BA">
        <w:t xml:space="preserve">Total dependency rate </w:t>
      </w:r>
      <w:r w:rsidR="00B53E91">
        <w:t>is in turn largely explained by the child dependency rate (as the old d</w:t>
      </w:r>
      <w:r w:rsidR="00982CCC">
        <w:t>e</w:t>
      </w:r>
      <w:r w:rsidR="00B53E91">
        <w:t>pendency rate is much more uniform across the cou</w:t>
      </w:r>
      <w:r w:rsidR="00B53E91">
        <w:t>n</w:t>
      </w:r>
      <w:r w:rsidR="00B53E91">
        <w:t xml:space="preserve">try). </w:t>
      </w:r>
      <w:r w:rsidR="00982CCC">
        <w:t xml:space="preserve">Consequently, poverty in Turkey seems to be connected with high fertility rates, raising questions about the intergenerational transfer of inequalities that </w:t>
      </w:r>
      <w:proofErr w:type="gramStart"/>
      <w:r w:rsidR="00D268FD">
        <w:t>was</w:t>
      </w:r>
      <w:proofErr w:type="gramEnd"/>
      <w:r w:rsidR="00D268FD">
        <w:t xml:space="preserve"> also i</w:t>
      </w:r>
      <w:r w:rsidR="00D268FD">
        <w:t>n</w:t>
      </w:r>
      <w:r w:rsidR="00D268FD">
        <w:lastRenderedPageBreak/>
        <w:t>dicated by the more focused analysis on MRI.</w:t>
      </w:r>
      <w:r w:rsidR="00477369">
        <w:t xml:space="preserve"> </w:t>
      </w:r>
      <w:r w:rsidR="00982CCC">
        <w:t xml:space="preserve">However, MRI is an outlier because </w:t>
      </w:r>
      <w:r w:rsidR="009F3819">
        <w:t xml:space="preserve">although it is not among the best Turkish </w:t>
      </w:r>
      <w:r w:rsidR="007677EE">
        <w:t>regions in terms of at-risk-of-poverty rate</w:t>
      </w:r>
      <w:r w:rsidR="000E70F6">
        <w:t xml:space="preserve">, it has one of the lowest dependency rates. </w:t>
      </w:r>
    </w:p>
    <w:p w:rsidR="003D3691" w:rsidRDefault="000E70F6" w:rsidP="00477369">
      <w:pPr>
        <w:spacing w:line="276" w:lineRule="auto"/>
      </w:pPr>
      <w:r>
        <w:t>One possible explanation for that might be found in the characteristics of the labour market. As it is indicated by the social exclusion mapping exercise of TIPSE</w:t>
      </w:r>
      <w:r w:rsidR="00A77CD0">
        <w:t>,</w:t>
      </w:r>
      <w:r w:rsidR="00133823">
        <w:t xml:space="preserve"> </w:t>
      </w:r>
      <w:r w:rsidR="00E26B6E">
        <w:t>accor</w:t>
      </w:r>
      <w:r w:rsidR="00E26B6E">
        <w:t>d</w:t>
      </w:r>
      <w:r w:rsidR="00E26B6E">
        <w:t xml:space="preserve">ing to 2001 census data, </w:t>
      </w:r>
      <w:r>
        <w:t>MRI is characterized by a comparatively</w:t>
      </w:r>
      <w:r w:rsidR="00A77CD0">
        <w:t xml:space="preserve"> high unemplo</w:t>
      </w:r>
      <w:r w:rsidR="00A77CD0">
        <w:t>y</w:t>
      </w:r>
      <w:r w:rsidR="00A77CD0">
        <w:t>ment rate for both the men and the women of the Region.</w:t>
      </w:r>
      <w:r w:rsidR="00E26B6E">
        <w:t xml:space="preserve"> </w:t>
      </w:r>
      <w:r w:rsidR="00A77CD0">
        <w:t>Economic restructuring with further tertiarization might be a reason for that, together with the limited access to informal employment for internal migrants (access that is rather difficult to est</w:t>
      </w:r>
      <w:r w:rsidR="00A77CD0">
        <w:t>i</w:t>
      </w:r>
      <w:r w:rsidR="00A77CD0">
        <w:t>mate).</w:t>
      </w:r>
    </w:p>
    <w:p w:rsidR="00AE110B" w:rsidRDefault="00AE110B" w:rsidP="00477369">
      <w:pPr>
        <w:spacing w:line="276" w:lineRule="auto"/>
      </w:pPr>
      <w:r>
        <w:t xml:space="preserve">A related explanation might have to do with educational skills. </w:t>
      </w:r>
      <w:r w:rsidR="00223CFD">
        <w:t>While MRI performs relatively well in that aspect, the previous analysis shows that returns on education are hig</w:t>
      </w:r>
      <w:r w:rsidR="00976EF0">
        <w:t>h</w:t>
      </w:r>
      <w:r w:rsidR="00223CFD">
        <w:t xml:space="preserve">ly polarized between lower and higher education levels. </w:t>
      </w:r>
      <w:r w:rsidR="00976EF0">
        <w:t>Intra-regional in</w:t>
      </w:r>
      <w:r w:rsidR="00976EF0">
        <w:t>e</w:t>
      </w:r>
      <w:r w:rsidR="00976EF0">
        <w:t>qualities might explain the seemingly paradoxical emergence of relatively high po</w:t>
      </w:r>
      <w:r w:rsidR="00976EF0">
        <w:t>v</w:t>
      </w:r>
      <w:r w:rsidR="00976EF0">
        <w:t xml:space="preserve">erty rate and unemployment together with increasing per capita GDP. </w:t>
      </w:r>
    </w:p>
    <w:p w:rsidR="00301A67" w:rsidRDefault="00301A67" w:rsidP="00477369">
      <w:pPr>
        <w:spacing w:line="276" w:lineRule="auto"/>
      </w:pPr>
      <w:r>
        <w:t>In any case, what this contradiction makes clear is the need for a combination of quantitative indicators with qualitative data in order to uncover sub-regional differe</w:t>
      </w:r>
      <w:r>
        <w:t>n</w:t>
      </w:r>
      <w:r>
        <w:t>tiations dynamics of poverty and social exclusion. This is especially true for large and complex metropolitan regions undergoing significant demographic and socioecono</w:t>
      </w:r>
      <w:r>
        <w:t>m</w:t>
      </w:r>
      <w:r>
        <w:t>ic transformations.</w:t>
      </w:r>
      <w:r w:rsidR="001D5A73">
        <w:t xml:space="preserve"> </w:t>
      </w:r>
    </w:p>
    <w:p w:rsidR="001D5A73" w:rsidRDefault="001D5A73" w:rsidP="00477369">
      <w:pPr>
        <w:spacing w:line="276" w:lineRule="auto"/>
      </w:pPr>
      <w:r>
        <w:t>Especially in what concerns the relationship between poverty/social exclusion and education, t</w:t>
      </w:r>
      <w:r w:rsidR="00DE07DD">
        <w:t>he</w:t>
      </w:r>
      <w:r w:rsidRPr="001D5A73">
        <w:t xml:space="preserve"> </w:t>
      </w:r>
      <w:r>
        <w:t>MRI case</w:t>
      </w:r>
      <w:r w:rsidR="005F45A1">
        <w:t xml:space="preserve"> makes clear that education inequalities may extend well b</w:t>
      </w:r>
      <w:r w:rsidR="005F45A1">
        <w:t>e</w:t>
      </w:r>
      <w:r w:rsidR="005F45A1">
        <w:t>yond what is indicated by the typical distributions in educational attainment levels. I</w:t>
      </w:r>
      <w:r w:rsidR="005F45A1">
        <w:t>n</w:t>
      </w:r>
      <w:r w:rsidR="005F45A1">
        <w:t xml:space="preserve">dicators on education are more sensible </w:t>
      </w:r>
      <w:r w:rsidR="00AD0C74">
        <w:t>when they account for</w:t>
      </w:r>
      <w:r w:rsidR="005F45A1">
        <w:t xml:space="preserve"> differences among socio-economic classes, ethnic groups etc. and</w:t>
      </w:r>
      <w:r w:rsidR="00AD0C74">
        <w:t xml:space="preserve"> when they </w:t>
      </w:r>
      <w:r w:rsidR="00DE07DD">
        <w:t>indicate</w:t>
      </w:r>
      <w:r w:rsidR="00AD0C74">
        <w:t xml:space="preserve"> the consequen</w:t>
      </w:r>
      <w:r w:rsidR="00AD0C74">
        <w:t>c</w:t>
      </w:r>
      <w:r w:rsidR="00AD0C74">
        <w:t>es of education inequalities on social integration and social mobility prospects.</w:t>
      </w:r>
    </w:p>
    <w:p w:rsidR="00DE07DD" w:rsidRDefault="00DE07DD" w:rsidP="00477369">
      <w:pPr>
        <w:spacing w:line="276" w:lineRule="auto"/>
      </w:pPr>
      <w:r>
        <w:t>Last but not least, the MRI case is a good example of hidden populations that are not represented in official statistics. Regarding undocumented immigrants and asylum seekers, the lack of data reflects lack of recognition.</w:t>
      </w:r>
    </w:p>
    <w:p w:rsidR="008D109F" w:rsidRDefault="008D109F" w:rsidP="00975943">
      <w:pPr>
        <w:spacing w:line="23" w:lineRule="atLeast"/>
      </w:pPr>
    </w:p>
    <w:p w:rsidR="003D3691" w:rsidRPr="008D109F" w:rsidRDefault="003D3691" w:rsidP="00975943">
      <w:pPr>
        <w:spacing w:line="23" w:lineRule="atLeast"/>
        <w:sectPr w:rsidR="003D3691" w:rsidRPr="008D109F" w:rsidSect="0017000B">
          <w:pgSz w:w="11906" w:h="16838"/>
          <w:pgMar w:top="1440" w:right="1797" w:bottom="1440" w:left="1797" w:header="720" w:footer="720" w:gutter="0"/>
          <w:cols w:space="720"/>
          <w:docGrid w:linePitch="299"/>
        </w:sectPr>
      </w:pPr>
    </w:p>
    <w:p w:rsidR="00007B80" w:rsidRPr="00477369" w:rsidRDefault="009D5769" w:rsidP="00477369">
      <w:pPr>
        <w:pStyle w:val="Heading1"/>
      </w:pPr>
      <w:bookmarkStart w:id="29" w:name="_Toc384993698"/>
      <w:r w:rsidRPr="00477369">
        <w:lastRenderedPageBreak/>
        <w:t>Transferability of r</w:t>
      </w:r>
      <w:r w:rsidR="00536563" w:rsidRPr="00477369">
        <w:t>esults</w:t>
      </w:r>
      <w:bookmarkEnd w:id="29"/>
    </w:p>
    <w:p w:rsidR="0002608A" w:rsidRPr="00200724" w:rsidRDefault="0002608A" w:rsidP="00975943">
      <w:pPr>
        <w:spacing w:line="23" w:lineRule="atLeast"/>
        <w:rPr>
          <w:rFonts w:cs="Arial"/>
        </w:rPr>
      </w:pPr>
    </w:p>
    <w:p w:rsidR="00F81AF2" w:rsidRDefault="00F8321F" w:rsidP="00477369">
      <w:pPr>
        <w:spacing w:line="276" w:lineRule="auto"/>
        <w:rPr>
          <w:rFonts w:cs="Arial"/>
          <w:noProof/>
        </w:rPr>
      </w:pPr>
      <w:r>
        <w:rPr>
          <w:rFonts w:cs="Arial"/>
          <w:noProof/>
        </w:rPr>
        <w:t>The Metropolitan region of Izmir can be considered as</w:t>
      </w:r>
      <w:r w:rsidR="00383001">
        <w:rPr>
          <w:rFonts w:cs="Arial"/>
          <w:noProof/>
        </w:rPr>
        <w:t xml:space="preserve"> a</w:t>
      </w:r>
      <w:r>
        <w:rPr>
          <w:rFonts w:cs="Arial"/>
          <w:noProof/>
        </w:rPr>
        <w:t xml:space="preserve"> particular case </w:t>
      </w:r>
      <w:r w:rsidR="00383001">
        <w:rPr>
          <w:rFonts w:cs="Arial"/>
          <w:noProof/>
        </w:rPr>
        <w:t>from a comparative European perspective</w:t>
      </w:r>
      <w:r w:rsidR="000C640E">
        <w:rPr>
          <w:rFonts w:cs="Arial"/>
          <w:noProof/>
        </w:rPr>
        <w:t>.</w:t>
      </w:r>
      <w:r w:rsidR="00383001">
        <w:rPr>
          <w:rFonts w:cs="Arial"/>
          <w:noProof/>
        </w:rPr>
        <w:t xml:space="preserve"> </w:t>
      </w:r>
      <w:r w:rsidR="007B40FC">
        <w:rPr>
          <w:rFonts w:cs="Arial"/>
        </w:rPr>
        <w:t>Several</w:t>
      </w:r>
      <w:r w:rsidR="005B4D2A">
        <w:rPr>
          <w:rFonts w:cs="Arial"/>
          <w:noProof/>
        </w:rPr>
        <w:t xml:space="preserve"> chatacteristics differentiate MRI from many other European metropolitan regions and </w:t>
      </w:r>
      <w:r w:rsidR="000C640E">
        <w:rPr>
          <w:rFonts w:cs="Arial"/>
          <w:noProof/>
        </w:rPr>
        <w:t>and above all</w:t>
      </w:r>
      <w:r w:rsidR="005B4D2A">
        <w:rPr>
          <w:rFonts w:cs="Arial"/>
          <w:noProof/>
        </w:rPr>
        <w:t xml:space="preserve"> relatively high levels of income inequality, </w:t>
      </w:r>
      <w:r w:rsidR="00647D24">
        <w:rPr>
          <w:rFonts w:cs="Arial"/>
          <w:noProof/>
        </w:rPr>
        <w:t xml:space="preserve">low </w:t>
      </w:r>
      <w:r w:rsidR="00311AEA">
        <w:rPr>
          <w:rFonts w:cs="Arial"/>
          <w:noProof/>
        </w:rPr>
        <w:t xml:space="preserve">average </w:t>
      </w:r>
      <w:r w:rsidR="00647D24">
        <w:rPr>
          <w:rFonts w:cs="Arial"/>
          <w:noProof/>
        </w:rPr>
        <w:t>educational skills</w:t>
      </w:r>
      <w:r w:rsidR="005B4D2A">
        <w:rPr>
          <w:rFonts w:cs="Arial"/>
          <w:noProof/>
        </w:rPr>
        <w:t xml:space="preserve"> and large informal sectors in the labour and the housing market</w:t>
      </w:r>
      <w:r w:rsidR="00383001">
        <w:rPr>
          <w:rFonts w:cs="Arial"/>
          <w:noProof/>
        </w:rPr>
        <w:t>.</w:t>
      </w:r>
      <w:r w:rsidR="00647D24">
        <w:rPr>
          <w:rFonts w:cs="Arial"/>
          <w:noProof/>
        </w:rPr>
        <w:t xml:space="preserve"> </w:t>
      </w:r>
      <w:r w:rsidR="005B4D2A">
        <w:rPr>
          <w:rFonts w:cs="Arial"/>
          <w:noProof/>
        </w:rPr>
        <w:t>However, there are specific lessons that can be learned from poverty and social exlusion patterns and trends in MRI.</w:t>
      </w:r>
      <w:r w:rsidR="001817E3">
        <w:rPr>
          <w:rFonts w:cs="Arial"/>
          <w:noProof/>
        </w:rPr>
        <w:t xml:space="preserve"> </w:t>
      </w:r>
    </w:p>
    <w:p w:rsidR="005B4D2A" w:rsidRDefault="000C640E" w:rsidP="00477369">
      <w:pPr>
        <w:pStyle w:val="ListParagraph"/>
        <w:numPr>
          <w:ilvl w:val="0"/>
          <w:numId w:val="3"/>
        </w:numPr>
        <w:spacing w:line="276" w:lineRule="auto"/>
        <w:rPr>
          <w:rFonts w:cs="Arial"/>
          <w:noProof/>
        </w:rPr>
      </w:pPr>
      <w:r>
        <w:rPr>
          <w:rFonts w:cs="Arial"/>
          <w:noProof/>
        </w:rPr>
        <w:t xml:space="preserve">MRI is a region characterized by </w:t>
      </w:r>
      <w:r w:rsidR="002970BA">
        <w:rPr>
          <w:rFonts w:cs="Arial"/>
          <w:noProof/>
        </w:rPr>
        <w:t>high and continuous urbanization in an extended period of time. Internal migration continues to bring people with low income, low educational skills and poor integration prospects in the city</w:t>
      </w:r>
      <w:r w:rsidR="00AA3665">
        <w:rPr>
          <w:rFonts w:cs="Arial"/>
          <w:noProof/>
        </w:rPr>
        <w:t xml:space="preserve"> and the suburbs</w:t>
      </w:r>
      <w:r w:rsidR="002970BA">
        <w:rPr>
          <w:rFonts w:cs="Arial"/>
          <w:noProof/>
        </w:rPr>
        <w:t xml:space="preserve">. </w:t>
      </w:r>
      <w:r w:rsidR="00AA3665">
        <w:rPr>
          <w:rFonts w:cs="Arial"/>
          <w:noProof/>
        </w:rPr>
        <w:t xml:space="preserve">In fact, it is through successive internal migratory waves from various parts of Turkey that Izmir emerged as a metropolitan region. </w:t>
      </w:r>
      <w:r w:rsidR="002970BA">
        <w:rPr>
          <w:rFonts w:cs="Arial"/>
          <w:noProof/>
        </w:rPr>
        <w:t>While integration in the past decades has been promoted by informal arrangements in the labour and the housing market,</w:t>
      </w:r>
      <w:r w:rsidR="00AA3665">
        <w:rPr>
          <w:rFonts w:cs="Arial"/>
          <w:noProof/>
        </w:rPr>
        <w:t xml:space="preserve"> i.e. shadow employment and irregular housing at the scale of entire settlements,</w:t>
      </w:r>
      <w:r w:rsidR="002970BA">
        <w:rPr>
          <w:rFonts w:cs="Arial"/>
          <w:noProof/>
        </w:rPr>
        <w:t xml:space="preserve"> opportunities in both fields tend to be restricted for newcomers. </w:t>
      </w:r>
      <w:r w:rsidR="00DF191F">
        <w:rPr>
          <w:rFonts w:cs="Arial"/>
          <w:noProof/>
        </w:rPr>
        <w:t>The dynamics of poverty and social exclusion in MRI thus reveal the risks asssociated with massive population increase in metrop</w:t>
      </w:r>
      <w:r w:rsidR="001D04FE">
        <w:rPr>
          <w:rFonts w:cs="Arial"/>
          <w:noProof/>
        </w:rPr>
        <w:t>olitan areas and the capacity of local and regional authorities to adopt integ</w:t>
      </w:r>
      <w:r w:rsidR="003E5B50">
        <w:rPr>
          <w:rFonts w:cs="Arial"/>
          <w:noProof/>
        </w:rPr>
        <w:t>ra</w:t>
      </w:r>
      <w:r w:rsidR="001D04FE">
        <w:rPr>
          <w:rFonts w:cs="Arial"/>
          <w:noProof/>
        </w:rPr>
        <w:t>tion policies and measures.</w:t>
      </w:r>
    </w:p>
    <w:p w:rsidR="001D04FE" w:rsidRDefault="003E5B50" w:rsidP="00477369">
      <w:pPr>
        <w:pStyle w:val="ListParagraph"/>
        <w:numPr>
          <w:ilvl w:val="0"/>
          <w:numId w:val="3"/>
        </w:numPr>
        <w:spacing w:line="276" w:lineRule="auto"/>
        <w:rPr>
          <w:rFonts w:cs="Arial"/>
          <w:noProof/>
        </w:rPr>
      </w:pPr>
      <w:r>
        <w:rPr>
          <w:rFonts w:cs="Arial"/>
          <w:noProof/>
        </w:rPr>
        <w:t>Education and poverty are highly interreleated. The case of Izmir reveals th</w:t>
      </w:r>
      <w:r w:rsidR="00C259F1">
        <w:rPr>
          <w:rFonts w:cs="Arial"/>
          <w:noProof/>
        </w:rPr>
        <w:t>a</w:t>
      </w:r>
      <w:r>
        <w:rPr>
          <w:rFonts w:cs="Arial"/>
          <w:noProof/>
        </w:rPr>
        <w:t xml:space="preserve">t not only poor people enjoy fewer chances for participating in education but also that </w:t>
      </w:r>
      <w:r w:rsidR="00C259F1">
        <w:rPr>
          <w:rFonts w:cs="Arial"/>
          <w:noProof/>
        </w:rPr>
        <w:t xml:space="preserve">general improvements both in the general education level and </w:t>
      </w:r>
      <w:r w:rsidR="00943A05">
        <w:rPr>
          <w:rFonts w:cs="Arial"/>
          <w:noProof/>
        </w:rPr>
        <w:t>in the</w:t>
      </w:r>
      <w:r w:rsidR="00C259F1">
        <w:rPr>
          <w:rFonts w:cs="Arial"/>
          <w:noProof/>
        </w:rPr>
        <w:t xml:space="preserve"> access to basic education are not sufficient, in the sense that they do not prevent polarization. The emphasis given on investments to </w:t>
      </w:r>
      <w:r w:rsidR="003F2B7C">
        <w:rPr>
          <w:rFonts w:cs="Arial"/>
          <w:noProof/>
        </w:rPr>
        <w:t>tertiary education may prolong</w:t>
      </w:r>
      <w:r w:rsidR="00C259F1">
        <w:rPr>
          <w:rFonts w:cs="Arial"/>
          <w:noProof/>
        </w:rPr>
        <w:t xml:space="preserve"> the distance between the more afflunet and the less a</w:t>
      </w:r>
      <w:r w:rsidR="00943A05">
        <w:rPr>
          <w:rFonts w:cs="Arial"/>
          <w:noProof/>
        </w:rPr>
        <w:t>f</w:t>
      </w:r>
      <w:r w:rsidR="00C259F1">
        <w:rPr>
          <w:rFonts w:cs="Arial"/>
          <w:noProof/>
        </w:rPr>
        <w:t xml:space="preserve">fluent groups, if the access of the less privileged is not supported by adequate policies. </w:t>
      </w:r>
    </w:p>
    <w:p w:rsidR="003F2B7C" w:rsidRDefault="003F2B7C" w:rsidP="00477369">
      <w:pPr>
        <w:pStyle w:val="ListParagraph"/>
        <w:numPr>
          <w:ilvl w:val="0"/>
          <w:numId w:val="3"/>
        </w:numPr>
        <w:spacing w:line="276" w:lineRule="auto"/>
        <w:rPr>
          <w:rFonts w:cs="Arial"/>
          <w:noProof/>
        </w:rPr>
      </w:pPr>
      <w:r>
        <w:rPr>
          <w:rFonts w:cs="Arial"/>
          <w:noProof/>
        </w:rPr>
        <w:t>Centralized education systems do not necessarily prevent regional and sub-regional disparities in the average education level</w:t>
      </w:r>
      <w:r w:rsidR="001817E3">
        <w:rPr>
          <w:rFonts w:cs="Arial"/>
          <w:noProof/>
        </w:rPr>
        <w:t xml:space="preserve">, not only becausee presence of adults with different socioeconomic and cultural backgrounds but also because inequalities among their descendants. </w:t>
      </w:r>
      <w:r>
        <w:rPr>
          <w:rFonts w:cs="Arial"/>
          <w:noProof/>
        </w:rPr>
        <w:t xml:space="preserve"> </w:t>
      </w:r>
    </w:p>
    <w:p w:rsidR="00C259F1" w:rsidRDefault="0058259A" w:rsidP="00477369">
      <w:pPr>
        <w:pStyle w:val="ListParagraph"/>
        <w:numPr>
          <w:ilvl w:val="0"/>
          <w:numId w:val="3"/>
        </w:numPr>
        <w:spacing w:line="276" w:lineRule="auto"/>
        <w:rPr>
          <w:rFonts w:cs="Arial"/>
          <w:noProof/>
        </w:rPr>
      </w:pPr>
      <w:r>
        <w:rPr>
          <w:rFonts w:cs="Arial"/>
          <w:noProof/>
        </w:rPr>
        <w:t>The case of MRI is crucial in identifying the existance of severely deprived social groups that remain invisible</w:t>
      </w:r>
      <w:r w:rsidR="007964E3">
        <w:rPr>
          <w:rFonts w:cs="Arial"/>
          <w:noProof/>
        </w:rPr>
        <w:t>.</w:t>
      </w:r>
      <w:r>
        <w:rPr>
          <w:rFonts w:cs="Arial"/>
          <w:noProof/>
        </w:rPr>
        <w:t xml:space="preserve"> Non-documented immigrants and asylum seekers face the risk not only to be detained, maltreated</w:t>
      </w:r>
      <w:r w:rsidR="007964E3">
        <w:rPr>
          <w:rFonts w:cs="Arial"/>
          <w:noProof/>
        </w:rPr>
        <w:t>, tortured and deported but also the risk to disappear</w:t>
      </w:r>
      <w:r>
        <w:rPr>
          <w:rFonts w:cs="Arial"/>
          <w:noProof/>
        </w:rPr>
        <w:t xml:space="preserve"> </w:t>
      </w:r>
      <w:r w:rsidR="007964E3">
        <w:rPr>
          <w:rFonts w:cs="Arial"/>
          <w:noProof/>
        </w:rPr>
        <w:t xml:space="preserve">from official statistics. </w:t>
      </w:r>
      <w:r w:rsidR="00943A05">
        <w:rPr>
          <w:rFonts w:cs="Arial"/>
          <w:noProof/>
        </w:rPr>
        <w:t>It is exactly these groups tha</w:t>
      </w:r>
      <w:r w:rsidR="00AD60C4">
        <w:rPr>
          <w:rFonts w:cs="Arial"/>
          <w:noProof/>
        </w:rPr>
        <w:t>t</w:t>
      </w:r>
      <w:r w:rsidR="00943A05">
        <w:rPr>
          <w:rFonts w:cs="Arial"/>
          <w:noProof/>
        </w:rPr>
        <w:t xml:space="preserve"> </w:t>
      </w:r>
      <w:r w:rsidR="00AD60C4">
        <w:rPr>
          <w:rFonts w:cs="Arial"/>
          <w:noProof/>
        </w:rPr>
        <w:t>are most vulne</w:t>
      </w:r>
      <w:r w:rsidR="001C7B10">
        <w:rPr>
          <w:rFonts w:cs="Arial"/>
          <w:noProof/>
        </w:rPr>
        <w:t>r</w:t>
      </w:r>
      <w:r w:rsidR="00AD60C4">
        <w:rPr>
          <w:rFonts w:cs="Arial"/>
          <w:noProof/>
        </w:rPr>
        <w:t>able, lacking the resources to cover their basic needs and a supportive social environment, while being stigmatized and excluded from any form of political recognition.</w:t>
      </w:r>
    </w:p>
    <w:p w:rsidR="00E36488" w:rsidRDefault="00E36488" w:rsidP="00477369">
      <w:pPr>
        <w:pStyle w:val="ListParagraph"/>
        <w:numPr>
          <w:ilvl w:val="0"/>
          <w:numId w:val="3"/>
        </w:numPr>
        <w:spacing w:line="276" w:lineRule="auto"/>
        <w:rPr>
          <w:rFonts w:cs="Arial"/>
          <w:noProof/>
        </w:rPr>
      </w:pPr>
      <w:r>
        <w:rPr>
          <w:rFonts w:cs="Arial"/>
          <w:noProof/>
        </w:rPr>
        <w:t xml:space="preserve">As other metropolitan regions in Turkey, Izmir is a good example of the contradictions inherent in any attempt to regenerate urban areas marked by concentration of poverty and physical degradation. </w:t>
      </w:r>
      <w:r w:rsidR="007B40FC">
        <w:rPr>
          <w:rFonts w:cs="Arial"/>
          <w:noProof/>
        </w:rPr>
        <w:t xml:space="preserve">Regeneration projects may lead to gentrification of specific areas and dislocation of their previous redidents, while failing to make any substantial improvement in their living </w:t>
      </w:r>
      <w:r w:rsidR="007B40FC">
        <w:rPr>
          <w:rFonts w:cs="Arial"/>
          <w:noProof/>
        </w:rPr>
        <w:lastRenderedPageBreak/>
        <w:t xml:space="preserve">conditions and integration prospects. Even worse, regeneration may in fact deteriorate the </w:t>
      </w:r>
      <w:r w:rsidR="00CE2100">
        <w:rPr>
          <w:rFonts w:cs="Arial"/>
          <w:noProof/>
        </w:rPr>
        <w:t xml:space="preserve">relative position </w:t>
      </w:r>
      <w:r w:rsidR="00753A9B">
        <w:rPr>
          <w:rFonts w:cs="Arial"/>
          <w:noProof/>
        </w:rPr>
        <w:t>of the deprived reidents, by destroying their social networks</w:t>
      </w:r>
      <w:r w:rsidR="007F3E4A">
        <w:rPr>
          <w:rFonts w:cs="Arial"/>
          <w:noProof/>
        </w:rPr>
        <w:t>,</w:t>
      </w:r>
      <w:r w:rsidR="00753A9B">
        <w:rPr>
          <w:rFonts w:cs="Arial"/>
          <w:noProof/>
        </w:rPr>
        <w:t xml:space="preserve"> employment opportunities</w:t>
      </w:r>
      <w:r w:rsidR="007F3E4A">
        <w:rPr>
          <w:rFonts w:cs="Arial"/>
          <w:noProof/>
        </w:rPr>
        <w:t xml:space="preserve"> and even their already limited access to social facilities</w:t>
      </w:r>
      <w:r w:rsidR="00753A9B">
        <w:rPr>
          <w:rFonts w:cs="Arial"/>
          <w:noProof/>
        </w:rPr>
        <w:t xml:space="preserve"> </w:t>
      </w:r>
      <w:r w:rsidR="007F3E4A">
        <w:rPr>
          <w:rFonts w:cs="Arial"/>
          <w:noProof/>
        </w:rPr>
        <w:t>The responsible administrative units and planning authorities must take into account these problems.</w:t>
      </w:r>
      <w:r w:rsidR="005C6189">
        <w:rPr>
          <w:rFonts w:cs="Arial"/>
          <w:noProof/>
        </w:rPr>
        <w:t xml:space="preserve"> </w:t>
      </w:r>
    </w:p>
    <w:p w:rsidR="007F3E4A" w:rsidRPr="000C640E" w:rsidRDefault="001F6FE3" w:rsidP="00477369">
      <w:pPr>
        <w:pStyle w:val="ListParagraph"/>
        <w:numPr>
          <w:ilvl w:val="0"/>
          <w:numId w:val="3"/>
        </w:numPr>
        <w:spacing w:line="276" w:lineRule="auto"/>
        <w:rPr>
          <w:rFonts w:cs="Arial"/>
          <w:noProof/>
        </w:rPr>
      </w:pPr>
      <w:r>
        <w:rPr>
          <w:rFonts w:cs="Arial"/>
          <w:noProof/>
        </w:rPr>
        <w:t xml:space="preserve">In this perspective, it seems crucial for local authorities to develop extended networks of service provision in collaboration with the state agencies and sub-local actors. The role of the latter is important especially when </w:t>
      </w:r>
      <w:r w:rsidR="003F2B7C">
        <w:rPr>
          <w:rFonts w:cs="Arial"/>
          <w:noProof/>
        </w:rPr>
        <w:t>they are</w:t>
      </w:r>
      <w:r>
        <w:rPr>
          <w:rFonts w:cs="Arial"/>
          <w:noProof/>
        </w:rPr>
        <w:t xml:space="preserve"> connected with established traditions of local representation. </w:t>
      </w:r>
    </w:p>
    <w:p w:rsidR="00F81AF2" w:rsidRPr="00200724" w:rsidRDefault="00F81AF2" w:rsidP="00477369">
      <w:pPr>
        <w:spacing w:line="276" w:lineRule="auto"/>
        <w:rPr>
          <w:rFonts w:cs="Arial"/>
          <w:noProof/>
        </w:rPr>
        <w:sectPr w:rsidR="00F81AF2" w:rsidRPr="00200724" w:rsidSect="009D5769">
          <w:pgSz w:w="11906" w:h="16838"/>
          <w:pgMar w:top="1440" w:right="1797" w:bottom="1440" w:left="1797" w:header="720" w:footer="720" w:gutter="0"/>
          <w:cols w:space="720"/>
          <w:docGrid w:linePitch="299"/>
        </w:sectPr>
      </w:pPr>
      <w:r w:rsidRPr="00200724">
        <w:rPr>
          <w:rFonts w:cs="Arial"/>
          <w:noProof/>
        </w:rPr>
        <w:t xml:space="preserve"> </w:t>
      </w:r>
    </w:p>
    <w:p w:rsidR="00007B80" w:rsidRPr="00477369" w:rsidRDefault="009D5769" w:rsidP="00477369">
      <w:pPr>
        <w:pStyle w:val="Heading1"/>
      </w:pPr>
      <w:bookmarkStart w:id="30" w:name="_Toc384993699"/>
      <w:r w:rsidRPr="00477369">
        <w:lastRenderedPageBreak/>
        <w:t>Conclusions for policy development and m</w:t>
      </w:r>
      <w:r w:rsidR="00536563" w:rsidRPr="00477369">
        <w:t>onitoring</w:t>
      </w:r>
      <w:bookmarkEnd w:id="30"/>
    </w:p>
    <w:p w:rsidR="00536563" w:rsidRPr="00200724" w:rsidRDefault="00536563" w:rsidP="00975943">
      <w:pPr>
        <w:rPr>
          <w:rFonts w:cs="Arial"/>
          <w:noProof/>
        </w:rPr>
      </w:pPr>
    </w:p>
    <w:p w:rsidR="00E51CF7" w:rsidRPr="00D77768" w:rsidRDefault="00E51CF7" w:rsidP="00477369">
      <w:pPr>
        <w:widowControl w:val="0"/>
        <w:suppressAutoHyphens/>
        <w:spacing w:line="276" w:lineRule="auto"/>
        <w:rPr>
          <w:rFonts w:cs="Arial"/>
        </w:rPr>
      </w:pPr>
      <w:r w:rsidRPr="00D77768">
        <w:rPr>
          <w:rFonts w:cs="Arial"/>
          <w:bCs/>
        </w:rPr>
        <w:t>The case of Izmir raises questions about poverty and social exclusion in conditions of rapid and continuous urbanization. In this perspective, Izmir experiences conditions that are dissimilar from the rest of European cities. However poverty and social exclusion caused by massive migration flows is an issue of significance in a wide range of European cities, although in different rates. The challenge is to provide adequate services (education being one of the most crucial) in rapidly transforming parts of the urban/metropolitan tissue, without discriminating against newcomers.</w:t>
      </w:r>
    </w:p>
    <w:p w:rsidR="00E51CF7" w:rsidRPr="00D77768" w:rsidRDefault="00E51CF7" w:rsidP="00477369">
      <w:pPr>
        <w:widowControl w:val="0"/>
        <w:suppressAutoHyphens/>
        <w:spacing w:line="276" w:lineRule="auto"/>
        <w:rPr>
          <w:rFonts w:cs="Arial"/>
        </w:rPr>
      </w:pPr>
      <w:r w:rsidRPr="00D77768">
        <w:rPr>
          <w:rFonts w:cs="Arial"/>
        </w:rPr>
        <w:t xml:space="preserve">Despite improvements in the average years of education and in the education prospects for children growing in poor socioeconomic conditions, inequalities persist. Inequalities are perplexed by issues of ethnicity (although this is not always recognized) and segregation. The challenge is to build a more comprehensive education system with a balanced spatial structure in conditions of reduced economic recourses transferred by the state. </w:t>
      </w:r>
    </w:p>
    <w:p w:rsidR="00E51CF7" w:rsidRPr="00D77768" w:rsidRDefault="00E51CF7" w:rsidP="00477369">
      <w:pPr>
        <w:widowControl w:val="0"/>
        <w:suppressAutoHyphens/>
        <w:spacing w:line="276" w:lineRule="auto"/>
        <w:rPr>
          <w:rFonts w:cs="Arial"/>
        </w:rPr>
      </w:pPr>
      <w:r w:rsidRPr="00D77768">
        <w:rPr>
          <w:rFonts w:cs="Arial"/>
        </w:rPr>
        <w:t>Education provided by several institutions outside the formal education scheme is of great importance in a country where significant parts of the adult population possess poor education skills. This is even more important in areas where people with low skills concentrate. The challenge is to provide comprehensive non-formal education courses that improve social integration prospects, in collaboration with local authorities.</w:t>
      </w:r>
    </w:p>
    <w:p w:rsidR="00E51CF7" w:rsidRPr="00D77768" w:rsidRDefault="00E51CF7" w:rsidP="00477369">
      <w:pPr>
        <w:widowControl w:val="0"/>
        <w:suppressAutoHyphens/>
        <w:spacing w:line="276" w:lineRule="auto"/>
        <w:rPr>
          <w:rFonts w:cs="Arial"/>
        </w:rPr>
      </w:pPr>
      <w:r w:rsidRPr="00D77768">
        <w:rPr>
          <w:rFonts w:cs="Arial"/>
        </w:rPr>
        <w:t xml:space="preserve">Despite the increase of compulsory education from 5 to 8 and then to 12 years, child labour remains an issue. Children are found to be working </w:t>
      </w:r>
      <w:r w:rsidR="00211FB1">
        <w:rPr>
          <w:rFonts w:cs="Arial"/>
        </w:rPr>
        <w:t>at</w:t>
      </w:r>
      <w:r w:rsidRPr="00D77768">
        <w:rPr>
          <w:rFonts w:cs="Arial"/>
        </w:rPr>
        <w:t xml:space="preserve"> home, on the streets, as apprentices and blue collar workers in small establishments and service/entertainment sectors (Müderrisoğlu</w:t>
      </w:r>
      <w:r w:rsidR="00B01158">
        <w:rPr>
          <w:rFonts w:cs="Arial"/>
        </w:rPr>
        <w:t>,</w:t>
      </w:r>
      <w:r w:rsidRPr="00D77768">
        <w:rPr>
          <w:rFonts w:cs="Arial"/>
        </w:rPr>
        <w:t xml:space="preserve"> 2005). The challenge is to combine comprehensive education policies with social policy in order to combat conditions of poverty that force children to drop out, being unable to cover education costs.</w:t>
      </w:r>
    </w:p>
    <w:p w:rsidR="00E51CF7" w:rsidRPr="00D77768" w:rsidRDefault="00E51CF7" w:rsidP="00477369">
      <w:pPr>
        <w:widowControl w:val="0"/>
        <w:suppressAutoHyphens/>
        <w:spacing w:line="276" w:lineRule="auto"/>
        <w:rPr>
          <w:rFonts w:cs="Arial"/>
        </w:rPr>
      </w:pPr>
      <w:r w:rsidRPr="00D77768">
        <w:rPr>
          <w:rFonts w:cs="Arial"/>
        </w:rPr>
        <w:t>Education inequalities between genders persist, especially in slum areas with high percentages of poorly educated adults. The challenge is to improve equal opportunities for men and women combating with material and cultural obstacles.</w:t>
      </w:r>
    </w:p>
    <w:p w:rsidR="00E51CF7" w:rsidRPr="008B25E3" w:rsidRDefault="00E51CF7" w:rsidP="00477369">
      <w:pPr>
        <w:widowControl w:val="0"/>
        <w:suppressAutoHyphens/>
        <w:spacing w:line="276" w:lineRule="auto"/>
        <w:rPr>
          <w:rFonts w:cs="Arial"/>
        </w:rPr>
      </w:pPr>
      <w:r w:rsidRPr="008B25E3">
        <w:rPr>
          <w:rFonts w:cs="Arial"/>
        </w:rPr>
        <w:t xml:space="preserve">The Turkish education system is highly centralized but initiatives by local authorities have started to emerge in order to address local priorities and needs. The challenge is to facilitate and enrich local initiatives in order to meet the varied needs of local populations, while maintaining a comprehensive </w:t>
      </w:r>
      <w:r w:rsidR="00DD054C">
        <w:rPr>
          <w:rFonts w:cs="Arial"/>
        </w:rPr>
        <w:t xml:space="preserve">common </w:t>
      </w:r>
      <w:r w:rsidRPr="008B25E3">
        <w:rPr>
          <w:rFonts w:cs="Arial"/>
        </w:rPr>
        <w:t>core of education services.</w:t>
      </w:r>
    </w:p>
    <w:p w:rsidR="00E51CF7" w:rsidRDefault="00E51CF7" w:rsidP="00477369">
      <w:pPr>
        <w:widowControl w:val="0"/>
        <w:suppressAutoHyphens/>
        <w:spacing w:line="276" w:lineRule="auto"/>
        <w:rPr>
          <w:rFonts w:cs="Arial"/>
        </w:rPr>
      </w:pPr>
      <w:r w:rsidRPr="00D77768">
        <w:rPr>
          <w:rFonts w:cs="Arial"/>
        </w:rPr>
        <w:t>Izmir is under major economic transformations. Its traditional significance in manufacturing is decreasing while banking, finance, trade and tourism activities contribute to the increasing share of the Region in the GNP. The challenge is to promote integration of people that are affected by economic transformations, especially those in informal activities.</w:t>
      </w:r>
    </w:p>
    <w:p w:rsidR="00DD054C" w:rsidRPr="00D77768" w:rsidRDefault="00DD054C" w:rsidP="00477369">
      <w:pPr>
        <w:widowControl w:val="0"/>
        <w:suppressAutoHyphens/>
        <w:spacing w:line="276" w:lineRule="auto"/>
        <w:rPr>
          <w:rFonts w:cs="Arial"/>
        </w:rPr>
      </w:pPr>
      <w:r>
        <w:rPr>
          <w:rFonts w:cs="Arial"/>
        </w:rPr>
        <w:t xml:space="preserve">Last but not least, Izmir is situated on the crossroads of international migration, accommodating an unknown number of people on the move, often entrapped in </w:t>
      </w:r>
      <w:r>
        <w:rPr>
          <w:rFonts w:cs="Arial"/>
        </w:rPr>
        <w:lastRenderedPageBreak/>
        <w:t xml:space="preserve">various spaces of enclosure, including death traps. The challenge here is </w:t>
      </w:r>
      <w:r w:rsidR="0067739E">
        <w:rPr>
          <w:rFonts w:cs="Arial"/>
        </w:rPr>
        <w:t>perhaps even broader but first of all it necessarily includes the recognition of immigrants as people with rights</w:t>
      </w:r>
      <w:r w:rsidR="00B01158">
        <w:rPr>
          <w:rFonts w:cs="Arial"/>
        </w:rPr>
        <w:t>.</w:t>
      </w:r>
      <w:r>
        <w:rPr>
          <w:rFonts w:cs="Arial"/>
        </w:rPr>
        <w:t xml:space="preserve"> </w:t>
      </w:r>
    </w:p>
    <w:p w:rsidR="00101107" w:rsidRPr="00B01158" w:rsidRDefault="00536563" w:rsidP="00B01158">
      <w:pPr>
        <w:pStyle w:val="Heading1"/>
      </w:pPr>
      <w:r w:rsidRPr="00E51CF7">
        <w:rPr>
          <w:noProof/>
        </w:rPr>
        <w:br w:type="column"/>
      </w:r>
      <w:bookmarkStart w:id="31" w:name="_Toc384993700"/>
      <w:r w:rsidR="009D5769" w:rsidRPr="00B01158">
        <w:lastRenderedPageBreak/>
        <w:t>Literature</w:t>
      </w:r>
      <w:bookmarkEnd w:id="31"/>
      <w:r w:rsidR="00E31B5A" w:rsidRPr="00B01158">
        <w:t xml:space="preserve"> </w:t>
      </w:r>
    </w:p>
    <w:p w:rsidR="00B01158" w:rsidRDefault="00B01158" w:rsidP="00B361AB"/>
    <w:p w:rsidR="00BF2DA2" w:rsidRDefault="00153FFD" w:rsidP="00773B37">
      <w:pPr>
        <w:spacing w:after="60" w:line="240" w:lineRule="auto"/>
      </w:pPr>
      <w:proofErr w:type="gramStart"/>
      <w:r>
        <w:t>Adama</w:t>
      </w:r>
      <w:r w:rsidR="00E43F17">
        <w:t>n</w:t>
      </w:r>
      <w:r>
        <w:t>, F.</w:t>
      </w:r>
      <w:r w:rsidR="00BF2DA2">
        <w:t xml:space="preserve"> &amp; Kayder</w:t>
      </w:r>
      <w:r>
        <w:t>, C</w:t>
      </w:r>
      <w:r w:rsidR="00B01158">
        <w:t xml:space="preserve">. (2005) </w:t>
      </w:r>
      <w:r>
        <w:t>Poverty and social exclusion in the slum areas of large cities in Turkey.</w:t>
      </w:r>
      <w:proofErr w:type="gramEnd"/>
      <w:r>
        <w:t xml:space="preserve"> </w:t>
      </w:r>
      <w:proofErr w:type="gramStart"/>
      <w:r>
        <w:t>Unpublished report.</w:t>
      </w:r>
      <w:proofErr w:type="gramEnd"/>
      <w:r>
        <w:t xml:space="preserve"> </w:t>
      </w:r>
      <w:r w:rsidR="00B01158">
        <w:t>[</w:t>
      </w:r>
      <w:proofErr w:type="gramStart"/>
      <w:r w:rsidR="00B01158">
        <w:t>online</w:t>
      </w:r>
      <w:proofErr w:type="gramEnd"/>
      <w:r w:rsidR="00B01158">
        <w:t xml:space="preserve">] Available at: </w:t>
      </w:r>
      <w:r w:rsidRPr="00153FFD">
        <w:t>spm.ku.edu.tr/wp-content/uploads/pdf/povertyexclusion.pdf‎</w:t>
      </w:r>
    </w:p>
    <w:p w:rsidR="00B361AB" w:rsidRDefault="00B01158" w:rsidP="00773B37">
      <w:pPr>
        <w:spacing w:after="60" w:line="240" w:lineRule="auto"/>
      </w:pPr>
      <w:r>
        <w:t xml:space="preserve">Arslan, H. (2013) </w:t>
      </w:r>
      <w:r w:rsidR="00B361AB">
        <w:t>Urban regeneration and the social exclusion: The</w:t>
      </w:r>
      <w:r w:rsidR="00773B37">
        <w:t xml:space="preserve"> case of Izmir NARKENT project,</w:t>
      </w:r>
      <w:r w:rsidR="00B361AB">
        <w:t xml:space="preserve"> </w:t>
      </w:r>
      <w:r w:rsidR="00B361AB" w:rsidRPr="00B361AB">
        <w:rPr>
          <w:i/>
        </w:rPr>
        <w:t>Humanities and Social Sciences Review</w:t>
      </w:r>
      <w:r w:rsidR="00B361AB">
        <w:t>, 2(3): 481-487.</w:t>
      </w:r>
    </w:p>
    <w:p w:rsidR="006A364A" w:rsidRDefault="006A364A" w:rsidP="00773B37">
      <w:pPr>
        <w:spacing w:after="60" w:line="240" w:lineRule="auto"/>
      </w:pPr>
      <w:r>
        <w:t xml:space="preserve">Clark, N. and Mihael, </w:t>
      </w:r>
      <w:r w:rsidR="00773B37">
        <w:t xml:space="preserve">A. (2012) </w:t>
      </w:r>
      <w:proofErr w:type="gramStart"/>
      <w:r>
        <w:t>An</w:t>
      </w:r>
      <w:proofErr w:type="gramEnd"/>
      <w:r>
        <w:t xml:space="preserve"> </w:t>
      </w:r>
      <w:r w:rsidR="00773B37">
        <w:t>overview of education in Turkey</w:t>
      </w:r>
      <w:r>
        <w:t xml:space="preserve">, WENR Archive. </w:t>
      </w:r>
      <w:r w:rsidR="00773B37">
        <w:t>[</w:t>
      </w:r>
      <w:proofErr w:type="gramStart"/>
      <w:r w:rsidR="00773B37">
        <w:t>online</w:t>
      </w:r>
      <w:proofErr w:type="gramEnd"/>
      <w:r w:rsidR="00773B37">
        <w:t xml:space="preserve">] </w:t>
      </w:r>
      <w:r w:rsidR="001D483A">
        <w:t>Available</w:t>
      </w:r>
      <w:r>
        <w:t xml:space="preserve"> at: </w:t>
      </w:r>
      <w:r w:rsidRPr="006A364A">
        <w:t>http://wenr.wes.org/2012/09/wenr-september-2012-education-in-turkey/</w:t>
      </w:r>
      <w:r>
        <w:t xml:space="preserve">  </w:t>
      </w:r>
    </w:p>
    <w:p w:rsidR="0027649F" w:rsidRDefault="00773B37" w:rsidP="00773B37">
      <w:pPr>
        <w:spacing w:after="60" w:line="240" w:lineRule="auto"/>
      </w:pPr>
      <w:r>
        <w:t xml:space="preserve">Duman, A. (2010) </w:t>
      </w:r>
      <w:r w:rsidR="0027649F">
        <w:t>Female education inequality in Turkey: Factors affec</w:t>
      </w:r>
      <w:r>
        <w:t>ting girls’ schooling decisions</w:t>
      </w:r>
      <w:r w:rsidR="00412586">
        <w:t xml:space="preserve">, </w:t>
      </w:r>
      <w:r w:rsidR="00412586" w:rsidRPr="009B2A5F">
        <w:rPr>
          <w:i/>
        </w:rPr>
        <w:t>International Journal of Education, Economics and Develo</w:t>
      </w:r>
      <w:r w:rsidR="00412586" w:rsidRPr="009B2A5F">
        <w:rPr>
          <w:i/>
        </w:rPr>
        <w:t>p</w:t>
      </w:r>
      <w:r w:rsidR="00412586" w:rsidRPr="009B2A5F">
        <w:rPr>
          <w:i/>
        </w:rPr>
        <w:t>ment</w:t>
      </w:r>
      <w:r w:rsidR="00412586">
        <w:t xml:space="preserve">, 1(3): 243-258. </w:t>
      </w:r>
    </w:p>
    <w:p w:rsidR="009B2A5F" w:rsidRDefault="00773B37" w:rsidP="00773B37">
      <w:pPr>
        <w:spacing w:after="60" w:line="240" w:lineRule="auto"/>
      </w:pPr>
      <w:r>
        <w:t xml:space="preserve">Duman, A. (2008) </w:t>
      </w:r>
      <w:r w:rsidR="009B2A5F">
        <w:t xml:space="preserve">Education and income inequality in Turkey: Does scholling matter? </w:t>
      </w:r>
      <w:r w:rsidR="009B2A5F" w:rsidRPr="009B2A5F">
        <w:rPr>
          <w:i/>
        </w:rPr>
        <w:t>Financial Theory and Practice</w:t>
      </w:r>
      <w:r w:rsidR="009B2A5F">
        <w:t xml:space="preserve">, 32(3): </w:t>
      </w:r>
      <w:r w:rsidR="009B2A5F" w:rsidRPr="009B2A5F">
        <w:t>369-385</w:t>
      </w:r>
      <w:r w:rsidR="009B2A5F">
        <w:t xml:space="preserve">. </w:t>
      </w:r>
    </w:p>
    <w:p w:rsidR="000D66AA" w:rsidRPr="000D66AA" w:rsidRDefault="00773B37" w:rsidP="00773B37">
      <w:pPr>
        <w:spacing w:after="60" w:line="240" w:lineRule="auto"/>
      </w:pPr>
      <w:r>
        <w:t xml:space="preserve">Filiztekin, A. (2009) </w:t>
      </w:r>
      <w:r w:rsidR="000D66AA" w:rsidRPr="000D66AA">
        <w:t>Regional unemployment in Turkey</w:t>
      </w:r>
      <w:r w:rsidR="000D66AA">
        <w:t xml:space="preserve">, </w:t>
      </w:r>
      <w:r w:rsidR="000D66AA" w:rsidRPr="000D66AA">
        <w:rPr>
          <w:i/>
        </w:rPr>
        <w:t>Papers in Regional Science</w:t>
      </w:r>
      <w:r w:rsidR="000D66AA">
        <w:t xml:space="preserve">, 88(4): </w:t>
      </w:r>
      <w:r w:rsidR="000D66AA" w:rsidRPr="000D66AA">
        <w:t>863–878</w:t>
      </w:r>
      <w:r w:rsidR="000D66AA">
        <w:t>.</w:t>
      </w:r>
    </w:p>
    <w:p w:rsidR="000311D8" w:rsidRDefault="000311D8" w:rsidP="00773B37">
      <w:pPr>
        <w:spacing w:after="60" w:line="240" w:lineRule="auto"/>
      </w:pPr>
      <w:proofErr w:type="gramStart"/>
      <w:r>
        <w:t>G</w:t>
      </w:r>
      <w:r w:rsidR="00773B37">
        <w:t xml:space="preserve">lobal Detention Project (2010) </w:t>
      </w:r>
      <w:r w:rsidR="00773B37" w:rsidRPr="00773B37">
        <w:rPr>
          <w:i/>
        </w:rPr>
        <w:t>Turkey detention profile</w:t>
      </w:r>
      <w:r w:rsidRPr="00773B37">
        <w:rPr>
          <w:i/>
        </w:rPr>
        <w:t>.</w:t>
      </w:r>
      <w:proofErr w:type="gramEnd"/>
      <w:r w:rsidRPr="00773B37">
        <w:rPr>
          <w:i/>
        </w:rPr>
        <w:t xml:space="preserve"> </w:t>
      </w:r>
      <w:r w:rsidR="00773B37">
        <w:t>[</w:t>
      </w:r>
      <w:proofErr w:type="gramStart"/>
      <w:r w:rsidR="00773B37">
        <w:t>online</w:t>
      </w:r>
      <w:proofErr w:type="gramEnd"/>
      <w:r w:rsidR="00773B37">
        <w:t xml:space="preserve">] </w:t>
      </w:r>
      <w:r>
        <w:t xml:space="preserve">Available at: </w:t>
      </w:r>
      <w:r w:rsidR="0039275D" w:rsidRPr="00516CAE">
        <w:t>http://www.globaldetentionproject.org/countries/europe/turkey/introduction.html</w:t>
      </w:r>
    </w:p>
    <w:p w:rsidR="00773B37" w:rsidRDefault="00773B37" w:rsidP="00773B37">
      <w:pPr>
        <w:spacing w:line="240" w:lineRule="auto"/>
      </w:pPr>
      <w:proofErr w:type="gramStart"/>
      <w:r>
        <w:t xml:space="preserve">Hatakenaka, S. (2006) </w:t>
      </w:r>
      <w:r w:rsidR="002E25EC" w:rsidRPr="00773B37">
        <w:rPr>
          <w:i/>
        </w:rPr>
        <w:t>Higher Education in Turkey for the 21st Century: Size and</w:t>
      </w:r>
      <w:r w:rsidRPr="00773B37">
        <w:rPr>
          <w:i/>
        </w:rPr>
        <w:t xml:space="preserve"> Composition</w:t>
      </w:r>
      <w:r w:rsidR="002E25EC" w:rsidRPr="00773B37">
        <w:rPr>
          <w:i/>
        </w:rPr>
        <w:t>.</w:t>
      </w:r>
      <w:proofErr w:type="gramEnd"/>
      <w:r w:rsidRPr="00773B37">
        <w:rPr>
          <w:i/>
        </w:rPr>
        <w:t xml:space="preserve"> </w:t>
      </w:r>
      <w:r>
        <w:t>[</w:t>
      </w:r>
      <w:proofErr w:type="gramStart"/>
      <w:r>
        <w:t>online</w:t>
      </w:r>
      <w:proofErr w:type="gramEnd"/>
      <w:r>
        <w:t xml:space="preserve">] </w:t>
      </w:r>
      <w:r w:rsidR="002E25EC">
        <w:t xml:space="preserve"> Available at: </w:t>
      </w:r>
    </w:p>
    <w:p w:rsidR="002E25EC" w:rsidRDefault="002E25EC" w:rsidP="00773B37">
      <w:pPr>
        <w:spacing w:before="0" w:after="60" w:line="240" w:lineRule="auto"/>
      </w:pPr>
      <w:r>
        <w:t>http://siteresources.worldbank.org/EXTECAREGTOPEDUCATION/ R</w:t>
      </w:r>
      <w:r>
        <w:t>e</w:t>
      </w:r>
      <w:r>
        <w:t xml:space="preserve">sources/444607- 192636551820/S._Hatakenakas_report_on_Higher_Education_in_Turkey </w:t>
      </w:r>
      <w:r w:rsidR="00773B37">
        <w:t>_for_21st_Century_Nov_2006.pdf</w:t>
      </w:r>
    </w:p>
    <w:p w:rsidR="001F20A2" w:rsidRDefault="00773B37" w:rsidP="00773B37">
      <w:pPr>
        <w:spacing w:after="60" w:line="240" w:lineRule="auto"/>
      </w:pPr>
      <w:r>
        <w:t>Hanushek, E.A. &amp;</w:t>
      </w:r>
      <w:r w:rsidR="001F20A2">
        <w:t xml:space="preserve"> W</w:t>
      </w:r>
      <w:r>
        <w:t xml:space="preserve">oessmann, L. (2005) </w:t>
      </w:r>
      <w:proofErr w:type="gramStart"/>
      <w:r w:rsidR="001F20A2">
        <w:t>Does</w:t>
      </w:r>
      <w:proofErr w:type="gramEnd"/>
      <w:r w:rsidR="001F20A2">
        <w:t xml:space="preserve"> educational tracking affect perfo</w:t>
      </w:r>
      <w:r w:rsidR="001F20A2">
        <w:t>r</w:t>
      </w:r>
      <w:r w:rsidR="001F20A2">
        <w:t>mance and inequality? Differences-in-differ</w:t>
      </w:r>
      <w:r>
        <w:t>ences evidence across countries</w:t>
      </w:r>
      <w:r w:rsidR="001F20A2">
        <w:t xml:space="preserve">, </w:t>
      </w:r>
      <w:r w:rsidR="001F20A2" w:rsidRPr="00773B37">
        <w:rPr>
          <w:i/>
        </w:rPr>
        <w:t>CESifo working papers</w:t>
      </w:r>
      <w:r>
        <w:t>, No. 1415</w:t>
      </w:r>
      <w:r w:rsidR="001F20A2">
        <w:t xml:space="preserve">. </w:t>
      </w:r>
      <w:r>
        <w:t>[</w:t>
      </w:r>
      <w:proofErr w:type="gramStart"/>
      <w:r>
        <w:t>online</w:t>
      </w:r>
      <w:proofErr w:type="gramEnd"/>
      <w:r>
        <w:t xml:space="preserve">] </w:t>
      </w:r>
      <w:r w:rsidR="001F20A2">
        <w:t xml:space="preserve">Available at: </w:t>
      </w:r>
      <w:r w:rsidR="001F20A2" w:rsidRPr="001F20A2">
        <w:t>http://SSRN.com/abstract=668864</w:t>
      </w:r>
    </w:p>
    <w:p w:rsidR="0039275D" w:rsidRDefault="0039275D" w:rsidP="00773B37">
      <w:pPr>
        <w:spacing w:after="60" w:line="240" w:lineRule="auto"/>
      </w:pPr>
      <w:r>
        <w:t xml:space="preserve">Human Rights Watch (2008) </w:t>
      </w:r>
      <w:r>
        <w:rPr>
          <w:i/>
        </w:rPr>
        <w:t xml:space="preserve">Stuck in a Revolving Door: Iraqis and other Asylum Seekers and </w:t>
      </w:r>
      <w:r w:rsidR="0058259A">
        <w:rPr>
          <w:i/>
        </w:rPr>
        <w:t>Migrants</w:t>
      </w:r>
      <w:r>
        <w:rPr>
          <w:i/>
        </w:rPr>
        <w:t xml:space="preserve"> at the Greece/Turkey Entrance to the European Union</w:t>
      </w:r>
      <w:r>
        <w:t>, New York: Human Rights Watch.</w:t>
      </w:r>
    </w:p>
    <w:p w:rsidR="00564B2E" w:rsidRPr="0039275D" w:rsidRDefault="00773B37" w:rsidP="00773B37">
      <w:pPr>
        <w:spacing w:after="60" w:line="240" w:lineRule="auto"/>
      </w:pPr>
      <w:r>
        <w:t>Karahasan, B.C. &amp;</w:t>
      </w:r>
      <w:r w:rsidR="00564B2E">
        <w:t xml:space="preserve"> Uyar, E. (2009) Spatial Distribution of Education and Regional I</w:t>
      </w:r>
      <w:r w:rsidR="00564B2E">
        <w:t>n</w:t>
      </w:r>
      <w:r w:rsidR="00564B2E">
        <w:t xml:space="preserve">equalities in Turkey, </w:t>
      </w:r>
      <w:r w:rsidR="00564B2E" w:rsidRPr="0024462E">
        <w:rPr>
          <w:i/>
        </w:rPr>
        <w:t>Munich Personal RePEc Archive</w:t>
      </w:r>
      <w:r w:rsidR="00564B2E">
        <w:t xml:space="preserve">, Paper No 30130. </w:t>
      </w:r>
      <w:r w:rsidR="0024462E">
        <w:t>[</w:t>
      </w:r>
      <w:proofErr w:type="gramStart"/>
      <w:r w:rsidR="0024462E">
        <w:t>online</w:t>
      </w:r>
      <w:proofErr w:type="gramEnd"/>
      <w:r w:rsidR="0024462E">
        <w:t xml:space="preserve">] </w:t>
      </w:r>
      <w:r w:rsidR="00564B2E">
        <w:t xml:space="preserve">Available at: </w:t>
      </w:r>
      <w:r w:rsidR="00564B2E" w:rsidRPr="00564B2E">
        <w:t>http://mpra.ub.uni-muenchen.de/30130/</w:t>
      </w:r>
    </w:p>
    <w:p w:rsidR="00E83475" w:rsidRDefault="00E83475" w:rsidP="00773B37">
      <w:pPr>
        <w:spacing w:after="60" w:line="240" w:lineRule="auto"/>
      </w:pPr>
      <w:r>
        <w:t xml:space="preserve">Kaya, I. </w:t>
      </w:r>
      <w:r w:rsidR="0024462E">
        <w:t xml:space="preserve">&amp; Zengel, R. (2005) </w:t>
      </w:r>
      <w:r w:rsidRPr="00E83475">
        <w:t>A marginal place for the Gypsy community in a prospe</w:t>
      </w:r>
      <w:r w:rsidRPr="00E83475">
        <w:t>r</w:t>
      </w:r>
      <w:r w:rsidRPr="00E83475">
        <w:t>ous city: Izmir, Turkey</w:t>
      </w:r>
      <w:r>
        <w:t xml:space="preserve">, </w:t>
      </w:r>
      <w:r w:rsidRPr="00E83475">
        <w:rPr>
          <w:i/>
        </w:rPr>
        <w:t>Cities</w:t>
      </w:r>
      <w:r>
        <w:t>, 22(2): 151-160</w:t>
      </w:r>
      <w:r w:rsidR="0024462E">
        <w:t>.</w:t>
      </w:r>
    </w:p>
    <w:p w:rsidR="0027649F" w:rsidRDefault="0027649F" w:rsidP="00773B37">
      <w:pPr>
        <w:spacing w:after="60" w:line="240" w:lineRule="auto"/>
      </w:pPr>
      <w:r w:rsidRPr="00D77768">
        <w:rPr>
          <w:rFonts w:cs="Arial"/>
        </w:rPr>
        <w:t>Müderrisoğlu</w:t>
      </w:r>
      <w:r w:rsidR="0024462E">
        <w:rPr>
          <w:rFonts w:cs="Arial"/>
        </w:rPr>
        <w:t xml:space="preserve">, S. (2005) </w:t>
      </w:r>
      <w:proofErr w:type="gramStart"/>
      <w:r w:rsidR="00E43F17">
        <w:rPr>
          <w:rFonts w:cs="Arial"/>
        </w:rPr>
        <w:t>To</w:t>
      </w:r>
      <w:proofErr w:type="gramEnd"/>
      <w:r w:rsidR="00E43F17">
        <w:rPr>
          <w:rFonts w:cs="Arial"/>
        </w:rPr>
        <w:t xml:space="preserve"> work or not</w:t>
      </w:r>
      <w:r w:rsidR="0024462E">
        <w:rPr>
          <w:rFonts w:cs="Arial"/>
        </w:rPr>
        <w:t xml:space="preserve"> to work? That is the Question!</w:t>
      </w:r>
      <w:r w:rsidR="00E43F17">
        <w:rPr>
          <w:rFonts w:cs="Arial"/>
        </w:rPr>
        <w:t xml:space="preserve"> In</w:t>
      </w:r>
      <w:r w:rsidR="0024462E">
        <w:rPr>
          <w:rFonts w:cs="Arial"/>
        </w:rPr>
        <w:t xml:space="preserve">: Adaman &amp; Kayder, </w:t>
      </w:r>
      <w:proofErr w:type="gramStart"/>
      <w:r w:rsidR="0024462E">
        <w:rPr>
          <w:rFonts w:cs="Arial"/>
        </w:rPr>
        <w:t>ed</w:t>
      </w:r>
      <w:proofErr w:type="gramEnd"/>
      <w:r w:rsidR="0024462E">
        <w:rPr>
          <w:rFonts w:cs="Arial"/>
        </w:rPr>
        <w:t>.</w:t>
      </w:r>
    </w:p>
    <w:p w:rsidR="0024462E" w:rsidRDefault="00C12AF8" w:rsidP="0024462E">
      <w:pPr>
        <w:spacing w:line="240" w:lineRule="auto"/>
      </w:pPr>
      <w:r w:rsidRPr="00C12AF8">
        <w:t xml:space="preserve">OECD </w:t>
      </w:r>
      <w:r>
        <w:t>(</w:t>
      </w:r>
      <w:r w:rsidRPr="00C12AF8">
        <w:t>2013</w:t>
      </w:r>
      <w:r>
        <w:t>)</w:t>
      </w:r>
      <w:r w:rsidRPr="00C12AF8">
        <w:t xml:space="preserve"> </w:t>
      </w:r>
      <w:r w:rsidRPr="00C12AF8">
        <w:rPr>
          <w:i/>
        </w:rPr>
        <w:t>OECD Factbook: Economic, Environmental and Social Statistics</w:t>
      </w:r>
      <w:r>
        <w:t xml:space="preserve">. </w:t>
      </w:r>
      <w:r w:rsidR="0024462E">
        <w:t>[</w:t>
      </w:r>
      <w:proofErr w:type="gramStart"/>
      <w:r w:rsidR="0024462E">
        <w:t>online</w:t>
      </w:r>
      <w:proofErr w:type="gramEnd"/>
      <w:r w:rsidR="0024462E">
        <w:t xml:space="preserve">] </w:t>
      </w:r>
      <w:r>
        <w:t xml:space="preserve">Available at: </w:t>
      </w:r>
    </w:p>
    <w:p w:rsidR="00C12AF8" w:rsidRDefault="005279C0" w:rsidP="0024462E">
      <w:pPr>
        <w:spacing w:before="0" w:after="60" w:line="240" w:lineRule="auto"/>
      </w:pPr>
      <w:r w:rsidRPr="0024462E">
        <w:t>http://www.oecd-ilibrary.org/content/book/factbook-2013-en?itemId=/content/chapter/factbook-2013-25-en</w:t>
      </w:r>
      <w:r w:rsidR="00C12AF8">
        <w:t>.</w:t>
      </w:r>
    </w:p>
    <w:p w:rsidR="00E7046D" w:rsidRDefault="00E7046D" w:rsidP="00773B37">
      <w:pPr>
        <w:spacing w:after="60" w:line="240" w:lineRule="auto"/>
      </w:pPr>
      <w:r>
        <w:t>Yucesan-Ozde</w:t>
      </w:r>
      <w:r w:rsidR="0024462E">
        <w:t xml:space="preserve">mir, G. &amp; Ozdemir, A.M. (2012) </w:t>
      </w:r>
      <w:proofErr w:type="gramStart"/>
      <w:r>
        <w:t>The</w:t>
      </w:r>
      <w:proofErr w:type="gramEnd"/>
      <w:r>
        <w:t xml:space="preserve"> political economy of education in Turkey: State, labor and capital under AKP</w:t>
      </w:r>
      <w:r w:rsidR="0024462E">
        <w:t xml:space="preserve"> rule</w:t>
      </w:r>
      <w:r>
        <w:t>. In</w:t>
      </w:r>
      <w:r w:rsidR="0024462E">
        <w:t>: Inal, K &amp; Akkaymak, G., ed.</w:t>
      </w:r>
      <w:r>
        <w:t xml:space="preserve"> </w:t>
      </w:r>
      <w:r>
        <w:rPr>
          <w:i/>
        </w:rPr>
        <w:t>N</w:t>
      </w:r>
      <w:r>
        <w:rPr>
          <w:i/>
        </w:rPr>
        <w:t>e</w:t>
      </w:r>
      <w:r>
        <w:rPr>
          <w:i/>
        </w:rPr>
        <w:lastRenderedPageBreak/>
        <w:t>oliberal Tra</w:t>
      </w:r>
      <w:r w:rsidR="0024462E">
        <w:rPr>
          <w:i/>
        </w:rPr>
        <w:t>n</w:t>
      </w:r>
      <w:r>
        <w:rPr>
          <w:i/>
        </w:rPr>
        <w:t>sformation of Education in Turkey</w:t>
      </w:r>
      <w:r w:rsidR="0024462E">
        <w:t>.</w:t>
      </w:r>
      <w:r>
        <w:t xml:space="preserve"> New York: Palgrave MacMillan, </w:t>
      </w:r>
      <w:r w:rsidR="0024462E">
        <w:t xml:space="preserve">pp. </w:t>
      </w:r>
      <w:r>
        <w:t xml:space="preserve">3-16. </w:t>
      </w:r>
    </w:p>
    <w:p w:rsidR="00322921" w:rsidRDefault="0024462E" w:rsidP="00773B37">
      <w:pPr>
        <w:spacing w:after="60" w:line="240" w:lineRule="auto"/>
      </w:pPr>
      <w:r>
        <w:t>Sonmez, I. (2007)</w:t>
      </w:r>
      <w:r w:rsidR="00322921">
        <w:t xml:space="preserve"> Concentrated Urban Poverty: The Case of Izmir Inner Area, Tu</w:t>
      </w:r>
      <w:r w:rsidR="00322921">
        <w:t>r</w:t>
      </w:r>
      <w:r w:rsidR="00322921">
        <w:t xml:space="preserve">key, </w:t>
      </w:r>
      <w:r w:rsidR="00322921" w:rsidRPr="00322921">
        <w:rPr>
          <w:i/>
        </w:rPr>
        <w:t>European Planning Studies</w:t>
      </w:r>
      <w:r w:rsidR="00322921">
        <w:t>, 15(3): 319-338</w:t>
      </w:r>
      <w:r>
        <w:t>.</w:t>
      </w:r>
    </w:p>
    <w:p w:rsidR="005279C0" w:rsidRDefault="005279C0" w:rsidP="00773B37">
      <w:pPr>
        <w:spacing w:after="60" w:line="240" w:lineRule="auto"/>
      </w:pPr>
      <w:r>
        <w:t>UHH</w:t>
      </w:r>
      <w:r w:rsidR="0024462E">
        <w:t xml:space="preserve">CR (2014) </w:t>
      </w:r>
      <w:r w:rsidRPr="0024462E">
        <w:rPr>
          <w:i/>
        </w:rPr>
        <w:t>2014 UNHCR country operations profile – Turkey.</w:t>
      </w:r>
      <w:r>
        <w:t xml:space="preserve"> </w:t>
      </w:r>
      <w:r w:rsidR="0024462E">
        <w:t>[</w:t>
      </w:r>
      <w:proofErr w:type="gramStart"/>
      <w:r w:rsidR="0024462E">
        <w:t>online</w:t>
      </w:r>
      <w:proofErr w:type="gramEnd"/>
      <w:r w:rsidR="0024462E">
        <w:t xml:space="preserve">] </w:t>
      </w:r>
      <w:r>
        <w:t xml:space="preserve">Available at: </w:t>
      </w:r>
      <w:r w:rsidR="00BB2B58" w:rsidRPr="00BB2B58">
        <w:t>http://www.unhcr.org/pages/49e48e0fa7f.html</w:t>
      </w:r>
    </w:p>
    <w:p w:rsidR="00BB2B58" w:rsidRPr="00C12AF8" w:rsidRDefault="00BB2B58" w:rsidP="00773B37">
      <w:pPr>
        <w:spacing w:after="60" w:line="240" w:lineRule="auto"/>
      </w:pPr>
      <w:r>
        <w:t xml:space="preserve">Unverdi, H., Bosswick, W. </w:t>
      </w:r>
      <w:r w:rsidR="0024462E">
        <w:t xml:space="preserve">&amp; Luken-Klassen, D. (2007) </w:t>
      </w:r>
      <w:r w:rsidRPr="0024462E">
        <w:rPr>
          <w:i/>
        </w:rPr>
        <w:t>Case study on housing: Izmir, Turkey. Report for the European Foundation for the Improvement of Living and Wor</w:t>
      </w:r>
      <w:r w:rsidRPr="0024462E">
        <w:rPr>
          <w:i/>
        </w:rPr>
        <w:t>k</w:t>
      </w:r>
      <w:r w:rsidRPr="0024462E">
        <w:rPr>
          <w:i/>
        </w:rPr>
        <w:t>ing Conditions.</w:t>
      </w:r>
      <w:r>
        <w:t xml:space="preserve"> </w:t>
      </w:r>
      <w:r w:rsidR="0024462E">
        <w:t>[</w:t>
      </w:r>
      <w:proofErr w:type="gramStart"/>
      <w:r w:rsidR="0024462E">
        <w:t>online</w:t>
      </w:r>
      <w:proofErr w:type="gramEnd"/>
      <w:r w:rsidR="0024462E">
        <w:t xml:space="preserve">] Available at: </w:t>
      </w:r>
      <w:r w:rsidRPr="00BB2B58">
        <w:t>www.eukn.org/dsresource?objectid=146223‎</w:t>
      </w:r>
    </w:p>
    <w:p w:rsidR="00DA211F" w:rsidRDefault="00DA211F" w:rsidP="00773B37">
      <w:pPr>
        <w:spacing w:after="60" w:line="240" w:lineRule="auto"/>
      </w:pPr>
      <w:r>
        <w:t xml:space="preserve">Uzun, B., </w:t>
      </w:r>
      <w:r w:rsidRPr="00DA211F">
        <w:t>Çete</w:t>
      </w:r>
      <w:r>
        <w:t xml:space="preserve">, M. </w:t>
      </w:r>
      <w:r w:rsidR="0024462E">
        <w:t>&amp;</w:t>
      </w:r>
      <w:r>
        <w:t xml:space="preserve"> Palancıog</w:t>
      </w:r>
      <w:r w:rsidRPr="00DA211F">
        <w:t>lu</w:t>
      </w:r>
      <w:r w:rsidR="0024462E">
        <w:t xml:space="preserve">, M. (2010) </w:t>
      </w:r>
      <w:r>
        <w:t>Legalization and upgrading illegal se</w:t>
      </w:r>
      <w:r>
        <w:t>t</w:t>
      </w:r>
      <w:r w:rsidR="0024462E">
        <w:t>tlements in Turkey</w:t>
      </w:r>
      <w:r>
        <w:t xml:space="preserve">, </w:t>
      </w:r>
      <w:r w:rsidRPr="00DA211F">
        <w:rPr>
          <w:i/>
        </w:rPr>
        <w:t>Habitat International</w:t>
      </w:r>
      <w:r>
        <w:t>, 34: 204-209.</w:t>
      </w:r>
    </w:p>
    <w:p w:rsidR="002D1A8C" w:rsidRDefault="002D1A8C" w:rsidP="00773B37">
      <w:pPr>
        <w:spacing w:after="60" w:line="240" w:lineRule="auto"/>
      </w:pPr>
      <w:r>
        <w:t>Yilmaz,</w:t>
      </w:r>
      <w:r w:rsidR="0024462E">
        <w:t xml:space="preserve"> B. (2005) </w:t>
      </w:r>
      <w:r>
        <w:t xml:space="preserve">Far away, so close: Social exclusion and spatial relegation in </w:t>
      </w:r>
      <w:r w:rsidR="0024462E">
        <w:t>an inner-city slum of İstanbul.</w:t>
      </w:r>
      <w:r>
        <w:t xml:space="preserve"> In</w:t>
      </w:r>
      <w:r w:rsidR="0024462E">
        <w:t xml:space="preserve">: Adaman &amp; Keyder, </w:t>
      </w:r>
      <w:proofErr w:type="gramStart"/>
      <w:r w:rsidR="0024462E">
        <w:t>ed</w:t>
      </w:r>
      <w:proofErr w:type="gramEnd"/>
      <w:r w:rsidR="0024462E">
        <w:t>.</w:t>
      </w:r>
    </w:p>
    <w:p w:rsidR="002D1A8C" w:rsidRDefault="002D1A8C" w:rsidP="00B361AB"/>
    <w:p w:rsidR="00B361AB" w:rsidRPr="00200724" w:rsidRDefault="00B361AB" w:rsidP="00B361AB">
      <w:pPr>
        <w:sectPr w:rsidR="00B361AB" w:rsidRPr="00200724" w:rsidSect="00975943">
          <w:pgSz w:w="11906" w:h="16838"/>
          <w:pgMar w:top="1440" w:right="1797" w:bottom="1440" w:left="1797" w:header="720" w:footer="720" w:gutter="0"/>
          <w:cols w:space="720"/>
          <w:docGrid w:linePitch="299"/>
        </w:sectPr>
      </w:pPr>
    </w:p>
    <w:p w:rsidR="00101107" w:rsidRDefault="0072001A" w:rsidP="0024462E">
      <w:pPr>
        <w:pStyle w:val="Heading1"/>
        <w:numPr>
          <w:ilvl w:val="0"/>
          <w:numId w:val="0"/>
        </w:numPr>
        <w:ind w:left="510" w:hanging="510"/>
        <w:jc w:val="center"/>
      </w:pPr>
      <w:bookmarkStart w:id="32" w:name="_Toc384993701"/>
      <w:r>
        <w:lastRenderedPageBreak/>
        <w:t>A</w:t>
      </w:r>
      <w:r w:rsidR="0024462E">
        <w:t>nnex 1</w:t>
      </w:r>
      <w:r>
        <w:t xml:space="preserve">: </w:t>
      </w:r>
      <w:r w:rsidR="005B26E7">
        <w:t>List of interviewed experts</w:t>
      </w:r>
      <w:bookmarkEnd w:id="32"/>
    </w:p>
    <w:p w:rsidR="0024462E" w:rsidRDefault="0024462E" w:rsidP="0024462E"/>
    <w:p w:rsidR="0024462E" w:rsidRPr="0024462E" w:rsidRDefault="0024462E" w:rsidP="0024462E"/>
    <w:tbl>
      <w:tblPr>
        <w:tblStyle w:val="TableGrid"/>
        <w:tblW w:w="0" w:type="auto"/>
        <w:tblLook w:val="04A0" w:firstRow="1" w:lastRow="0" w:firstColumn="1" w:lastColumn="0" w:noHBand="0" w:noVBand="1"/>
      </w:tblPr>
      <w:tblGrid>
        <w:gridCol w:w="1893"/>
        <w:gridCol w:w="1646"/>
        <w:gridCol w:w="2515"/>
        <w:gridCol w:w="1073"/>
        <w:gridCol w:w="1402"/>
      </w:tblGrid>
      <w:tr w:rsidR="0072001A" w:rsidRPr="006A11C6" w:rsidTr="0024462E">
        <w:tc>
          <w:tcPr>
            <w:tcW w:w="1893" w:type="dxa"/>
            <w:tcBorders>
              <w:bottom w:val="single" w:sz="18" w:space="0" w:color="auto"/>
            </w:tcBorders>
          </w:tcPr>
          <w:p w:rsidR="0072001A" w:rsidRPr="0024462E" w:rsidRDefault="0072001A" w:rsidP="0024462E">
            <w:pPr>
              <w:spacing w:before="20" w:after="20" w:line="240" w:lineRule="auto"/>
              <w:jc w:val="center"/>
              <w:rPr>
                <w:rFonts w:cs="Arial"/>
                <w:b/>
                <w:sz w:val="19"/>
                <w:szCs w:val="19"/>
              </w:rPr>
            </w:pPr>
            <w:r w:rsidRPr="0024462E">
              <w:rPr>
                <w:rFonts w:cs="Arial"/>
                <w:b/>
                <w:sz w:val="19"/>
                <w:szCs w:val="19"/>
              </w:rPr>
              <w:t>Institution</w:t>
            </w:r>
          </w:p>
        </w:tc>
        <w:tc>
          <w:tcPr>
            <w:tcW w:w="1646" w:type="dxa"/>
            <w:tcBorders>
              <w:bottom w:val="single" w:sz="18" w:space="0" w:color="auto"/>
            </w:tcBorders>
          </w:tcPr>
          <w:p w:rsidR="0072001A" w:rsidRPr="0024462E" w:rsidRDefault="0072001A" w:rsidP="0024462E">
            <w:pPr>
              <w:spacing w:before="20" w:after="20" w:line="240" w:lineRule="auto"/>
              <w:jc w:val="center"/>
              <w:rPr>
                <w:rFonts w:cs="Arial"/>
                <w:b/>
                <w:sz w:val="19"/>
                <w:szCs w:val="19"/>
              </w:rPr>
            </w:pPr>
            <w:r w:rsidRPr="0024462E">
              <w:rPr>
                <w:rFonts w:cs="Arial"/>
                <w:b/>
                <w:sz w:val="19"/>
                <w:szCs w:val="19"/>
              </w:rPr>
              <w:t>Role in dealing with poverty and/or social exclusion</w:t>
            </w:r>
          </w:p>
        </w:tc>
        <w:tc>
          <w:tcPr>
            <w:tcW w:w="2515" w:type="dxa"/>
            <w:tcBorders>
              <w:bottom w:val="single" w:sz="18" w:space="0" w:color="auto"/>
            </w:tcBorders>
          </w:tcPr>
          <w:p w:rsidR="0072001A" w:rsidRPr="0024462E" w:rsidRDefault="0072001A" w:rsidP="0024462E">
            <w:pPr>
              <w:spacing w:before="20" w:after="20" w:line="240" w:lineRule="auto"/>
              <w:jc w:val="center"/>
              <w:rPr>
                <w:rFonts w:cs="Arial"/>
                <w:b/>
                <w:sz w:val="19"/>
                <w:szCs w:val="19"/>
              </w:rPr>
            </w:pPr>
            <w:r w:rsidRPr="0024462E">
              <w:rPr>
                <w:rFonts w:cs="Arial"/>
                <w:b/>
                <w:sz w:val="19"/>
                <w:szCs w:val="19"/>
              </w:rPr>
              <w:t>Geographical/political level</w:t>
            </w:r>
          </w:p>
        </w:tc>
        <w:tc>
          <w:tcPr>
            <w:tcW w:w="1073" w:type="dxa"/>
            <w:tcBorders>
              <w:bottom w:val="single" w:sz="18" w:space="0" w:color="auto"/>
            </w:tcBorders>
          </w:tcPr>
          <w:p w:rsidR="0072001A" w:rsidRPr="0024462E" w:rsidRDefault="0072001A" w:rsidP="0024462E">
            <w:pPr>
              <w:spacing w:before="20" w:after="20" w:line="240" w:lineRule="auto"/>
              <w:jc w:val="center"/>
              <w:rPr>
                <w:rFonts w:cs="Arial"/>
                <w:b/>
                <w:sz w:val="19"/>
                <w:szCs w:val="19"/>
              </w:rPr>
            </w:pPr>
            <w:r w:rsidRPr="0024462E">
              <w:rPr>
                <w:rFonts w:cs="Arial"/>
                <w:b/>
                <w:sz w:val="19"/>
                <w:szCs w:val="19"/>
              </w:rPr>
              <w:t>Date</w:t>
            </w:r>
          </w:p>
        </w:tc>
        <w:tc>
          <w:tcPr>
            <w:tcW w:w="1402" w:type="dxa"/>
            <w:tcBorders>
              <w:bottom w:val="single" w:sz="18" w:space="0" w:color="auto"/>
            </w:tcBorders>
          </w:tcPr>
          <w:p w:rsidR="0072001A" w:rsidRPr="0024462E" w:rsidRDefault="0072001A" w:rsidP="0024462E">
            <w:pPr>
              <w:spacing w:before="20" w:after="20" w:line="240" w:lineRule="auto"/>
              <w:jc w:val="center"/>
              <w:rPr>
                <w:rFonts w:cs="Arial"/>
                <w:b/>
                <w:sz w:val="19"/>
                <w:szCs w:val="19"/>
              </w:rPr>
            </w:pPr>
            <w:r w:rsidRPr="0024462E">
              <w:rPr>
                <w:rFonts w:cs="Arial"/>
                <w:b/>
                <w:sz w:val="19"/>
                <w:szCs w:val="19"/>
              </w:rPr>
              <w:t>Has declared willingness to work with TIPSE?</w:t>
            </w:r>
          </w:p>
        </w:tc>
      </w:tr>
      <w:tr w:rsidR="0072001A" w:rsidRPr="00F26CE4" w:rsidTr="0024462E">
        <w:tc>
          <w:tcPr>
            <w:tcW w:w="1893" w:type="dxa"/>
            <w:tcBorders>
              <w:top w:val="single" w:sz="18" w:space="0" w:color="auto"/>
            </w:tcBorders>
            <w:shd w:val="clear" w:color="auto" w:fill="BFBFBF" w:themeFill="background1" w:themeFillShade="BF"/>
          </w:tcPr>
          <w:p w:rsidR="0072001A" w:rsidRPr="0024462E" w:rsidRDefault="0072001A" w:rsidP="0024462E">
            <w:pPr>
              <w:spacing w:before="20" w:after="20" w:line="240" w:lineRule="auto"/>
              <w:jc w:val="left"/>
              <w:rPr>
                <w:rFonts w:cs="Arial"/>
                <w:sz w:val="19"/>
                <w:szCs w:val="19"/>
              </w:rPr>
            </w:pPr>
            <w:r w:rsidRPr="0024462E">
              <w:rPr>
                <w:rFonts w:cs="Arial"/>
                <w:sz w:val="19"/>
                <w:szCs w:val="19"/>
              </w:rPr>
              <w:t>Dokuz Eylul Un</w:t>
            </w:r>
            <w:r w:rsidRPr="0024462E">
              <w:rPr>
                <w:rFonts w:cs="Arial"/>
                <w:sz w:val="19"/>
                <w:szCs w:val="19"/>
              </w:rPr>
              <w:t>i</w:t>
            </w:r>
            <w:r w:rsidRPr="0024462E">
              <w:rPr>
                <w:rFonts w:cs="Arial"/>
                <w:sz w:val="19"/>
                <w:szCs w:val="19"/>
              </w:rPr>
              <w:t>versity</w:t>
            </w:r>
          </w:p>
        </w:tc>
        <w:tc>
          <w:tcPr>
            <w:tcW w:w="1646" w:type="dxa"/>
            <w:tcBorders>
              <w:top w:val="single" w:sz="18" w:space="0" w:color="auto"/>
            </w:tcBorders>
            <w:shd w:val="clear" w:color="auto" w:fill="BFBFBF" w:themeFill="background1" w:themeFillShade="BF"/>
          </w:tcPr>
          <w:p w:rsidR="0072001A" w:rsidRPr="0024462E" w:rsidRDefault="00A52A8D" w:rsidP="0024462E">
            <w:pPr>
              <w:spacing w:before="20" w:after="20" w:line="240" w:lineRule="auto"/>
              <w:jc w:val="left"/>
              <w:rPr>
                <w:rFonts w:cs="Arial"/>
                <w:sz w:val="19"/>
                <w:szCs w:val="19"/>
              </w:rPr>
            </w:pPr>
            <w:r w:rsidRPr="0024462E">
              <w:rPr>
                <w:rFonts w:cs="Arial"/>
                <w:sz w:val="19"/>
                <w:szCs w:val="19"/>
              </w:rPr>
              <w:t>Associate Pr</w:t>
            </w:r>
            <w:r w:rsidRPr="0024462E">
              <w:rPr>
                <w:rFonts w:cs="Arial"/>
                <w:sz w:val="19"/>
                <w:szCs w:val="19"/>
              </w:rPr>
              <w:t>o</w:t>
            </w:r>
            <w:r w:rsidRPr="0024462E">
              <w:rPr>
                <w:rFonts w:cs="Arial"/>
                <w:sz w:val="19"/>
                <w:szCs w:val="19"/>
              </w:rPr>
              <w:t>fessor</w:t>
            </w:r>
          </w:p>
        </w:tc>
        <w:tc>
          <w:tcPr>
            <w:tcW w:w="2515" w:type="dxa"/>
            <w:tcBorders>
              <w:top w:val="single" w:sz="18" w:space="0" w:color="auto"/>
            </w:tcBorders>
            <w:shd w:val="clear" w:color="auto" w:fill="BFBFBF" w:themeFill="background1" w:themeFillShade="BF"/>
          </w:tcPr>
          <w:p w:rsidR="0072001A" w:rsidRPr="0024462E" w:rsidRDefault="0072001A" w:rsidP="0024462E">
            <w:pPr>
              <w:spacing w:before="20" w:after="20" w:line="240" w:lineRule="auto"/>
              <w:jc w:val="left"/>
              <w:rPr>
                <w:rFonts w:cs="Arial"/>
                <w:sz w:val="19"/>
                <w:szCs w:val="19"/>
              </w:rPr>
            </w:pPr>
            <w:r w:rsidRPr="0024462E">
              <w:rPr>
                <w:sz w:val="19"/>
                <w:szCs w:val="19"/>
              </w:rPr>
              <w:t xml:space="preserve">Local </w:t>
            </w:r>
          </w:p>
        </w:tc>
        <w:tc>
          <w:tcPr>
            <w:tcW w:w="1073" w:type="dxa"/>
            <w:tcBorders>
              <w:top w:val="single" w:sz="18" w:space="0" w:color="auto"/>
            </w:tcBorders>
            <w:shd w:val="clear" w:color="auto" w:fill="BFBFBF" w:themeFill="background1" w:themeFillShade="BF"/>
          </w:tcPr>
          <w:p w:rsidR="0072001A" w:rsidRPr="0024462E" w:rsidRDefault="00A52A8D" w:rsidP="0024462E">
            <w:pPr>
              <w:spacing w:before="20" w:after="20" w:line="240" w:lineRule="auto"/>
              <w:rPr>
                <w:rFonts w:cs="Arial"/>
                <w:sz w:val="19"/>
                <w:szCs w:val="19"/>
              </w:rPr>
            </w:pPr>
            <w:r w:rsidRPr="0024462E">
              <w:rPr>
                <w:rFonts w:cs="Arial"/>
                <w:sz w:val="19"/>
                <w:szCs w:val="19"/>
              </w:rPr>
              <w:t>20</w:t>
            </w:r>
            <w:r w:rsidR="0072001A" w:rsidRPr="0024462E">
              <w:rPr>
                <w:rFonts w:cs="Arial"/>
                <w:sz w:val="19"/>
                <w:szCs w:val="19"/>
              </w:rPr>
              <w:t>/</w:t>
            </w:r>
            <w:r w:rsidRPr="0024462E">
              <w:rPr>
                <w:rFonts w:cs="Arial"/>
                <w:sz w:val="19"/>
                <w:szCs w:val="19"/>
              </w:rPr>
              <w:t>9</w:t>
            </w:r>
            <w:r w:rsidR="0072001A" w:rsidRPr="0024462E">
              <w:rPr>
                <w:rFonts w:cs="Arial"/>
                <w:sz w:val="19"/>
                <w:szCs w:val="19"/>
              </w:rPr>
              <w:t>/1</w:t>
            </w:r>
            <w:r w:rsidRPr="0024462E">
              <w:rPr>
                <w:rFonts w:cs="Arial"/>
                <w:sz w:val="19"/>
                <w:szCs w:val="19"/>
              </w:rPr>
              <w:t>3</w:t>
            </w:r>
          </w:p>
        </w:tc>
        <w:tc>
          <w:tcPr>
            <w:tcW w:w="1402" w:type="dxa"/>
            <w:tcBorders>
              <w:top w:val="single" w:sz="18" w:space="0" w:color="auto"/>
            </w:tcBorders>
            <w:shd w:val="clear" w:color="auto" w:fill="BFBFBF" w:themeFill="background1" w:themeFillShade="BF"/>
          </w:tcPr>
          <w:p w:rsidR="0072001A" w:rsidRPr="0024462E" w:rsidRDefault="0072001A" w:rsidP="0024462E">
            <w:pPr>
              <w:spacing w:before="20" w:after="20" w:line="240" w:lineRule="auto"/>
              <w:jc w:val="center"/>
              <w:rPr>
                <w:rFonts w:cs="Arial"/>
                <w:sz w:val="19"/>
                <w:szCs w:val="19"/>
              </w:rPr>
            </w:pPr>
          </w:p>
        </w:tc>
      </w:tr>
      <w:tr w:rsidR="0072001A" w:rsidRPr="00F26CE4" w:rsidTr="002D3C65">
        <w:tc>
          <w:tcPr>
            <w:tcW w:w="1893" w:type="dxa"/>
          </w:tcPr>
          <w:p w:rsidR="0072001A" w:rsidRPr="0024462E" w:rsidRDefault="0072001A" w:rsidP="0024462E">
            <w:pPr>
              <w:spacing w:before="20" w:after="20" w:line="240" w:lineRule="auto"/>
              <w:jc w:val="left"/>
              <w:rPr>
                <w:rFonts w:cs="Arial"/>
                <w:sz w:val="19"/>
                <w:szCs w:val="19"/>
              </w:rPr>
            </w:pPr>
            <w:r w:rsidRPr="0024462E">
              <w:rPr>
                <w:sz w:val="19"/>
                <w:szCs w:val="19"/>
              </w:rPr>
              <w:t>D.O.</w:t>
            </w:r>
          </w:p>
        </w:tc>
        <w:tc>
          <w:tcPr>
            <w:tcW w:w="1646" w:type="dxa"/>
          </w:tcPr>
          <w:p w:rsidR="0072001A" w:rsidRPr="0024462E" w:rsidRDefault="0072001A" w:rsidP="0024462E">
            <w:pPr>
              <w:spacing w:before="20" w:after="20" w:line="240" w:lineRule="auto"/>
              <w:jc w:val="left"/>
              <w:rPr>
                <w:rFonts w:cs="Arial"/>
                <w:sz w:val="19"/>
                <w:szCs w:val="19"/>
              </w:rPr>
            </w:pPr>
            <w:r w:rsidRPr="0024462E">
              <w:rPr>
                <w:sz w:val="19"/>
                <w:szCs w:val="19"/>
              </w:rPr>
              <w:t>Former texcher in Izmir</w:t>
            </w:r>
          </w:p>
        </w:tc>
        <w:tc>
          <w:tcPr>
            <w:tcW w:w="2515" w:type="dxa"/>
          </w:tcPr>
          <w:p w:rsidR="0072001A" w:rsidRPr="0024462E" w:rsidRDefault="0072001A" w:rsidP="0024462E">
            <w:pPr>
              <w:spacing w:before="20" w:after="20" w:line="240" w:lineRule="auto"/>
              <w:jc w:val="left"/>
              <w:rPr>
                <w:rFonts w:cs="Arial"/>
                <w:sz w:val="19"/>
                <w:szCs w:val="19"/>
              </w:rPr>
            </w:pPr>
            <w:r w:rsidRPr="0024462E">
              <w:rPr>
                <w:rFonts w:cs="Arial"/>
                <w:sz w:val="19"/>
                <w:szCs w:val="19"/>
              </w:rPr>
              <w:t>Local</w:t>
            </w:r>
          </w:p>
        </w:tc>
        <w:tc>
          <w:tcPr>
            <w:tcW w:w="1073" w:type="dxa"/>
          </w:tcPr>
          <w:p w:rsidR="0072001A" w:rsidRPr="0024462E" w:rsidRDefault="0072001A" w:rsidP="0024462E">
            <w:pPr>
              <w:spacing w:before="20" w:after="20" w:line="240" w:lineRule="auto"/>
              <w:rPr>
                <w:rFonts w:cs="Arial"/>
                <w:sz w:val="19"/>
                <w:szCs w:val="19"/>
              </w:rPr>
            </w:pPr>
            <w:r w:rsidRPr="0024462E">
              <w:rPr>
                <w:rFonts w:cs="Arial"/>
                <w:sz w:val="19"/>
                <w:szCs w:val="19"/>
              </w:rPr>
              <w:t>18/6/2013</w:t>
            </w:r>
          </w:p>
        </w:tc>
        <w:tc>
          <w:tcPr>
            <w:tcW w:w="1402" w:type="dxa"/>
          </w:tcPr>
          <w:p w:rsidR="0072001A" w:rsidRPr="0024462E" w:rsidRDefault="0072001A" w:rsidP="0024462E">
            <w:pPr>
              <w:spacing w:before="20" w:after="20" w:line="240" w:lineRule="auto"/>
              <w:rPr>
                <w:rFonts w:cs="Arial"/>
                <w:sz w:val="19"/>
                <w:szCs w:val="19"/>
              </w:rPr>
            </w:pPr>
          </w:p>
        </w:tc>
      </w:tr>
    </w:tbl>
    <w:p w:rsidR="009D5769" w:rsidRPr="00200724" w:rsidRDefault="009D5769" w:rsidP="0024462E">
      <w:pPr>
        <w:rPr>
          <w:rFonts w:cs="Arial"/>
        </w:rPr>
      </w:pPr>
    </w:p>
    <w:sectPr w:rsidR="009D5769" w:rsidRPr="00200724" w:rsidSect="00A24D34">
      <w:headerReference w:type="even" r:id="rId34"/>
      <w:pgSz w:w="11907" w:h="16840" w:code="9"/>
      <w:pgMar w:top="1440" w:right="1797" w:bottom="1440" w:left="1797" w:header="709" w:footer="709" w:gutter="0"/>
      <w:pgNumType w:start="3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6323" w:rsidRDefault="00C46323">
      <w:r>
        <w:separator/>
      </w:r>
    </w:p>
    <w:p w:rsidR="00C46323" w:rsidRDefault="00C46323"/>
  </w:endnote>
  <w:endnote w:type="continuationSeparator" w:id="0">
    <w:p w:rsidR="00C46323" w:rsidRDefault="00C46323">
      <w:r>
        <w:continuationSeparator/>
      </w:r>
    </w:p>
    <w:p w:rsidR="00C46323" w:rsidRDefault="00C463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DejaVu Sans">
    <w:charset w:val="A1"/>
    <w:family w:val="swiss"/>
    <w:pitch w:val="variable"/>
    <w:sig w:usb0="E7000EFF" w:usb1="5200FDFF" w:usb2="0A042021" w:usb3="00000000" w:csb0="000001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enQuanYi Micro Hei">
    <w:altName w:val="MS Mincho"/>
    <w:charset w:val="80"/>
    <w:family w:val="auto"/>
    <w:pitch w:val="variable"/>
  </w:font>
  <w:font w:name="Lohit Hindi">
    <w:altName w:val="MS Mincho"/>
    <w:charset w:val="80"/>
    <w:family w:val="auto"/>
    <w:pitch w:val="variable"/>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Liberation Serif">
    <w:altName w:val="MS PMincho"/>
    <w:charset w:val="80"/>
    <w:family w:val="roman"/>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4832470"/>
      <w:docPartObj>
        <w:docPartGallery w:val="Page Numbers (Bottom of Page)"/>
        <w:docPartUnique/>
      </w:docPartObj>
    </w:sdtPr>
    <w:sdtEndPr/>
    <w:sdtContent>
      <w:p w:rsidR="00EF5566" w:rsidRDefault="00EF5566">
        <w:pPr>
          <w:pStyle w:val="Footer"/>
          <w:jc w:val="right"/>
        </w:pPr>
        <w:r>
          <w:fldChar w:fldCharType="begin"/>
        </w:r>
        <w:r>
          <w:instrText>PAGE   \* MERGEFORMAT</w:instrText>
        </w:r>
        <w:r>
          <w:fldChar w:fldCharType="separate"/>
        </w:r>
        <w:r w:rsidR="00AD1856" w:rsidRPr="00AD1856">
          <w:rPr>
            <w:noProof/>
            <w:lang w:val="de-DE"/>
          </w:rPr>
          <w:t>30</w:t>
        </w:r>
        <w:r>
          <w:fldChar w:fldCharType="end"/>
        </w:r>
      </w:p>
    </w:sdtContent>
  </w:sdt>
  <w:p w:rsidR="00773B37" w:rsidRDefault="00773B37" w:rsidP="00676302">
    <w:pPr>
      <w:pStyle w:val="Footer"/>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3B37" w:rsidRDefault="00773B37">
    <w:pPr>
      <w:pStyle w:val="Footer"/>
      <w:jc w:val="right"/>
    </w:pPr>
    <w:r>
      <w:fldChar w:fldCharType="begin"/>
    </w:r>
    <w:r>
      <w:instrText xml:space="preserve"> PAGE   \* MERGEFORMAT </w:instrText>
    </w:r>
    <w:r>
      <w:fldChar w:fldCharType="separate"/>
    </w:r>
    <w:r w:rsidR="00AD1856">
      <w:rPr>
        <w:noProof/>
      </w:rPr>
      <w:t>29</w:t>
    </w:r>
    <w:r>
      <w:rPr>
        <w:noProof/>
      </w:rPr>
      <w:fldChar w:fldCharType="end"/>
    </w:r>
  </w:p>
  <w:p w:rsidR="00773B37" w:rsidRDefault="00773B37">
    <w:pPr>
      <w:pStyle w:val="Footer"/>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6323" w:rsidRDefault="00C46323">
      <w:r>
        <w:separator/>
      </w:r>
    </w:p>
    <w:p w:rsidR="00C46323" w:rsidRDefault="00C46323"/>
  </w:footnote>
  <w:footnote w:type="continuationSeparator" w:id="0">
    <w:p w:rsidR="00C46323" w:rsidRDefault="00C46323">
      <w:r>
        <w:continuationSeparator/>
      </w:r>
    </w:p>
    <w:p w:rsidR="00C46323" w:rsidRDefault="00C4632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3B37" w:rsidRDefault="00773B3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Num3"/>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
    <w:nsid w:val="00000003"/>
    <w:multiLevelType w:val="multilevel"/>
    <w:tmpl w:val="C5166846"/>
    <w:name w:val="WWNum4"/>
    <w:lvl w:ilvl="0">
      <w:start w:val="1"/>
      <w:numFmt w:val="lowerLetter"/>
      <w:lvlText w:val="%1."/>
      <w:lvlJc w:val="left"/>
      <w:pPr>
        <w:tabs>
          <w:tab w:val="num" w:pos="391"/>
        </w:tabs>
        <w:ind w:left="720" w:hanging="360"/>
      </w:pPr>
      <w:rPr>
        <w:rFonts w:ascii="Times New Roman" w:eastAsia="DejaVu Sans" w:hAnsi="Times New Roman" w:cs="DejaVu Sans"/>
      </w:rPr>
    </w:lvl>
    <w:lvl w:ilvl="1">
      <w:start w:val="1"/>
      <w:numFmt w:val="decimal"/>
      <w:lvlText w:val="%2."/>
      <w:lvlJc w:val="left"/>
      <w:pPr>
        <w:tabs>
          <w:tab w:val="num" w:pos="1080"/>
        </w:tabs>
        <w:ind w:left="1080" w:hanging="360"/>
      </w:pPr>
    </w:lvl>
    <w:lvl w:ilvl="2">
      <w:start w:val="1"/>
      <w:numFmt w:val="lowerRoman"/>
      <w:lvlText w:val="%3."/>
      <w:lvlJc w:val="left"/>
      <w:pPr>
        <w:tabs>
          <w:tab w:val="num" w:pos="391"/>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27"/>
    <w:multiLevelType w:val="singleLevel"/>
    <w:tmpl w:val="00000027"/>
    <w:name w:val="WW8Num41"/>
    <w:lvl w:ilvl="0">
      <w:start w:val="1"/>
      <w:numFmt w:val="decimal"/>
      <w:lvlText w:val="%1."/>
      <w:lvlJc w:val="left"/>
      <w:pPr>
        <w:tabs>
          <w:tab w:val="num" w:pos="720"/>
        </w:tabs>
        <w:ind w:left="720" w:hanging="360"/>
      </w:pPr>
    </w:lvl>
  </w:abstractNum>
  <w:abstractNum w:abstractNumId="3">
    <w:nsid w:val="10A96587"/>
    <w:multiLevelType w:val="hybridMultilevel"/>
    <w:tmpl w:val="6C1A8AB8"/>
    <w:lvl w:ilvl="0" w:tplc="0407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15B75017"/>
    <w:multiLevelType w:val="multilevel"/>
    <w:tmpl w:val="1158E470"/>
    <w:lvl w:ilvl="0">
      <w:start w:val="1"/>
      <w:numFmt w:val="decimal"/>
      <w:pStyle w:val="Heading1"/>
      <w:lvlText w:val="%1"/>
      <w:lvlJc w:val="left"/>
      <w:pPr>
        <w:tabs>
          <w:tab w:val="num" w:pos="510"/>
        </w:tabs>
        <w:ind w:left="510" w:hanging="510"/>
      </w:pPr>
    </w:lvl>
    <w:lvl w:ilvl="1">
      <w:start w:val="1"/>
      <w:numFmt w:val="decimal"/>
      <w:pStyle w:val="Heading2"/>
      <w:lvlText w:val="%1.%2"/>
      <w:lvlJc w:val="left"/>
      <w:pPr>
        <w:tabs>
          <w:tab w:val="num" w:pos="5274"/>
        </w:tabs>
        <w:ind w:left="5274" w:hanging="737"/>
      </w:pPr>
    </w:lvl>
    <w:lvl w:ilvl="2">
      <w:start w:val="1"/>
      <w:numFmt w:val="decimal"/>
      <w:pStyle w:val="Heading3"/>
      <w:lvlText w:val="%1.%2.%3"/>
      <w:lvlJc w:val="left"/>
      <w:pPr>
        <w:tabs>
          <w:tab w:val="num" w:pos="1021"/>
        </w:tabs>
        <w:ind w:left="1021" w:hanging="1021"/>
      </w:pPr>
    </w:lvl>
    <w:lvl w:ilvl="3">
      <w:start w:val="1"/>
      <w:numFmt w:val="decimal"/>
      <w:pStyle w:val="Heading4"/>
      <w:lvlText w:val="%1.%2.%3.%4"/>
      <w:lvlJc w:val="left"/>
      <w:pPr>
        <w:tabs>
          <w:tab w:val="num" w:pos="1304"/>
        </w:tabs>
        <w:ind w:left="1304" w:hanging="1304"/>
      </w:pPr>
    </w:lvl>
    <w:lvl w:ilvl="4">
      <w:start w:val="1"/>
      <w:numFmt w:val="decimal"/>
      <w:pStyle w:val="Heading5"/>
      <w:lvlText w:val="%1.%2.%3.%4.%5"/>
      <w:lvlJc w:val="left"/>
      <w:pPr>
        <w:tabs>
          <w:tab w:val="num" w:pos="1644"/>
        </w:tabs>
        <w:ind w:left="1644" w:hanging="1644"/>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5">
    <w:nsid w:val="21126280"/>
    <w:multiLevelType w:val="hybridMultilevel"/>
    <w:tmpl w:val="22EC1C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F323E1B"/>
    <w:multiLevelType w:val="hybridMultilevel"/>
    <w:tmpl w:val="F4E4830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352213BE"/>
    <w:multiLevelType w:val="hybridMultilevel"/>
    <w:tmpl w:val="810E6196"/>
    <w:lvl w:ilvl="0" w:tplc="25EAF5A6">
      <w:start w:val="1"/>
      <w:numFmt w:val="bullet"/>
      <w:lvlText w:val="-"/>
      <w:lvlJc w:val="left"/>
      <w:pPr>
        <w:ind w:left="720" w:hanging="360"/>
      </w:pPr>
      <w:rPr>
        <w:rFonts w:ascii="Calibri" w:eastAsia="WenQuanYi Micro Hei" w:hAnsi="Calibri" w:cs="Lohit Hin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6"/>
  </w:num>
  <w:num w:numId="4">
    <w:abstractNumId w:val="5"/>
  </w:num>
  <w:num w:numId="5">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de-DE" w:vendorID="64" w:dllVersion="131078" w:nlCheck="1" w:checkStyle="1"/>
  <w:activeWritingStyle w:appName="MSWord" w:lang="fr-FR" w:vendorID="64" w:dllVersion="131078" w:nlCheck="1" w:checkStyle="1"/>
  <w:activeWritingStyle w:appName="MSWord" w:lang="de-DE" w:vendorID="9" w:dllVersion="512" w:checkStyle="1"/>
  <w:activeWritingStyle w:appName="MSWord" w:lang="sv-SE" w:vendorID="666" w:dllVersion="513" w:checkStyle="1"/>
  <w:activeWritingStyle w:appName="MSWord" w:lang="sv-SE" w:vendorID="22" w:dllVersion="513" w:checkStyle="1"/>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autoHyphenation/>
  <w:hyphenationZone w:val="142"/>
  <w:evenAndOddHeaders/>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EB2"/>
    <w:rsid w:val="0000028F"/>
    <w:rsid w:val="000006F2"/>
    <w:rsid w:val="00000B0C"/>
    <w:rsid w:val="00001202"/>
    <w:rsid w:val="00001391"/>
    <w:rsid w:val="000017E6"/>
    <w:rsid w:val="00002167"/>
    <w:rsid w:val="00006463"/>
    <w:rsid w:val="000067E6"/>
    <w:rsid w:val="00006BE0"/>
    <w:rsid w:val="00007B80"/>
    <w:rsid w:val="00007D9E"/>
    <w:rsid w:val="000113CF"/>
    <w:rsid w:val="0001183B"/>
    <w:rsid w:val="00012ECC"/>
    <w:rsid w:val="000140DE"/>
    <w:rsid w:val="00016B2C"/>
    <w:rsid w:val="00017991"/>
    <w:rsid w:val="00017F32"/>
    <w:rsid w:val="000202B2"/>
    <w:rsid w:val="000213DB"/>
    <w:rsid w:val="000216BC"/>
    <w:rsid w:val="000230A7"/>
    <w:rsid w:val="000231B2"/>
    <w:rsid w:val="000231EB"/>
    <w:rsid w:val="000232B9"/>
    <w:rsid w:val="00025AF4"/>
    <w:rsid w:val="0002608A"/>
    <w:rsid w:val="0002775E"/>
    <w:rsid w:val="00030441"/>
    <w:rsid w:val="00030A2B"/>
    <w:rsid w:val="000311D8"/>
    <w:rsid w:val="00031896"/>
    <w:rsid w:val="000321CA"/>
    <w:rsid w:val="00033EFC"/>
    <w:rsid w:val="00034461"/>
    <w:rsid w:val="000346BE"/>
    <w:rsid w:val="00034A1E"/>
    <w:rsid w:val="00034E16"/>
    <w:rsid w:val="00034ECB"/>
    <w:rsid w:val="0003619E"/>
    <w:rsid w:val="000375E7"/>
    <w:rsid w:val="00037ACA"/>
    <w:rsid w:val="00040905"/>
    <w:rsid w:val="000412CF"/>
    <w:rsid w:val="00041655"/>
    <w:rsid w:val="00042531"/>
    <w:rsid w:val="0004374E"/>
    <w:rsid w:val="00044645"/>
    <w:rsid w:val="00045B9A"/>
    <w:rsid w:val="000500C0"/>
    <w:rsid w:val="0005053A"/>
    <w:rsid w:val="0005364B"/>
    <w:rsid w:val="00053C9F"/>
    <w:rsid w:val="00054EE7"/>
    <w:rsid w:val="00055AEC"/>
    <w:rsid w:val="000561E7"/>
    <w:rsid w:val="00056948"/>
    <w:rsid w:val="000575C4"/>
    <w:rsid w:val="000630F9"/>
    <w:rsid w:val="00064076"/>
    <w:rsid w:val="00064A7E"/>
    <w:rsid w:val="00065BDB"/>
    <w:rsid w:val="00067257"/>
    <w:rsid w:val="0006781E"/>
    <w:rsid w:val="000679AE"/>
    <w:rsid w:val="00067CB5"/>
    <w:rsid w:val="00070603"/>
    <w:rsid w:val="000720FE"/>
    <w:rsid w:val="00074A6D"/>
    <w:rsid w:val="000750A5"/>
    <w:rsid w:val="000757B4"/>
    <w:rsid w:val="0007691F"/>
    <w:rsid w:val="00076CE3"/>
    <w:rsid w:val="00077EC7"/>
    <w:rsid w:val="00080C5E"/>
    <w:rsid w:val="00083584"/>
    <w:rsid w:val="00083B2D"/>
    <w:rsid w:val="00083D01"/>
    <w:rsid w:val="0008436F"/>
    <w:rsid w:val="000848D0"/>
    <w:rsid w:val="00084E99"/>
    <w:rsid w:val="000858C8"/>
    <w:rsid w:val="00086448"/>
    <w:rsid w:val="00086B1F"/>
    <w:rsid w:val="000876F1"/>
    <w:rsid w:val="000932C8"/>
    <w:rsid w:val="000955C3"/>
    <w:rsid w:val="00095A80"/>
    <w:rsid w:val="000A4357"/>
    <w:rsid w:val="000A5445"/>
    <w:rsid w:val="000A55A7"/>
    <w:rsid w:val="000A596D"/>
    <w:rsid w:val="000A5C93"/>
    <w:rsid w:val="000A6B6E"/>
    <w:rsid w:val="000A6B93"/>
    <w:rsid w:val="000A6EC6"/>
    <w:rsid w:val="000B0A14"/>
    <w:rsid w:val="000B141D"/>
    <w:rsid w:val="000B1C1D"/>
    <w:rsid w:val="000B321B"/>
    <w:rsid w:val="000B3347"/>
    <w:rsid w:val="000B4AD8"/>
    <w:rsid w:val="000B4BBC"/>
    <w:rsid w:val="000C02FC"/>
    <w:rsid w:val="000C0527"/>
    <w:rsid w:val="000C0B1C"/>
    <w:rsid w:val="000C185B"/>
    <w:rsid w:val="000C232A"/>
    <w:rsid w:val="000C3116"/>
    <w:rsid w:val="000C41E1"/>
    <w:rsid w:val="000C4473"/>
    <w:rsid w:val="000C47EA"/>
    <w:rsid w:val="000C4907"/>
    <w:rsid w:val="000C57FB"/>
    <w:rsid w:val="000C5BDC"/>
    <w:rsid w:val="000C640E"/>
    <w:rsid w:val="000C694E"/>
    <w:rsid w:val="000C7211"/>
    <w:rsid w:val="000D0B9C"/>
    <w:rsid w:val="000D18C6"/>
    <w:rsid w:val="000D3760"/>
    <w:rsid w:val="000D3E21"/>
    <w:rsid w:val="000D5AE1"/>
    <w:rsid w:val="000D621B"/>
    <w:rsid w:val="000D6230"/>
    <w:rsid w:val="000D66AA"/>
    <w:rsid w:val="000D6D23"/>
    <w:rsid w:val="000E2716"/>
    <w:rsid w:val="000E27F4"/>
    <w:rsid w:val="000E292D"/>
    <w:rsid w:val="000E410F"/>
    <w:rsid w:val="000E42A3"/>
    <w:rsid w:val="000E4847"/>
    <w:rsid w:val="000E4A6B"/>
    <w:rsid w:val="000E54B7"/>
    <w:rsid w:val="000E6073"/>
    <w:rsid w:val="000E6776"/>
    <w:rsid w:val="000E7061"/>
    <w:rsid w:val="000E70F6"/>
    <w:rsid w:val="000E73F1"/>
    <w:rsid w:val="000E75A3"/>
    <w:rsid w:val="000F098F"/>
    <w:rsid w:val="000F4309"/>
    <w:rsid w:val="000F4604"/>
    <w:rsid w:val="000F4747"/>
    <w:rsid w:val="000F5B25"/>
    <w:rsid w:val="000F5BFE"/>
    <w:rsid w:val="000F7F2F"/>
    <w:rsid w:val="00100AF4"/>
    <w:rsid w:val="00101107"/>
    <w:rsid w:val="001020E0"/>
    <w:rsid w:val="0010210C"/>
    <w:rsid w:val="00102CEF"/>
    <w:rsid w:val="0010333F"/>
    <w:rsid w:val="00103677"/>
    <w:rsid w:val="00103AED"/>
    <w:rsid w:val="00103CF5"/>
    <w:rsid w:val="00103D07"/>
    <w:rsid w:val="00103E0C"/>
    <w:rsid w:val="0010428A"/>
    <w:rsid w:val="0010441A"/>
    <w:rsid w:val="00105086"/>
    <w:rsid w:val="00106186"/>
    <w:rsid w:val="001069FE"/>
    <w:rsid w:val="001078B6"/>
    <w:rsid w:val="00110672"/>
    <w:rsid w:val="00112CC8"/>
    <w:rsid w:val="00112EA9"/>
    <w:rsid w:val="0011367E"/>
    <w:rsid w:val="001158E3"/>
    <w:rsid w:val="00117328"/>
    <w:rsid w:val="0011739D"/>
    <w:rsid w:val="0011739F"/>
    <w:rsid w:val="0012005B"/>
    <w:rsid w:val="00122B4B"/>
    <w:rsid w:val="001232C7"/>
    <w:rsid w:val="001238A1"/>
    <w:rsid w:val="00123957"/>
    <w:rsid w:val="00123B30"/>
    <w:rsid w:val="00124AE2"/>
    <w:rsid w:val="00124E1D"/>
    <w:rsid w:val="0012683A"/>
    <w:rsid w:val="00126C5C"/>
    <w:rsid w:val="0012724A"/>
    <w:rsid w:val="00127468"/>
    <w:rsid w:val="0012758F"/>
    <w:rsid w:val="0013084C"/>
    <w:rsid w:val="00132436"/>
    <w:rsid w:val="001337C3"/>
    <w:rsid w:val="00133823"/>
    <w:rsid w:val="00134A21"/>
    <w:rsid w:val="001355B8"/>
    <w:rsid w:val="00135A3D"/>
    <w:rsid w:val="0013603B"/>
    <w:rsid w:val="00141052"/>
    <w:rsid w:val="0014164F"/>
    <w:rsid w:val="0014211D"/>
    <w:rsid w:val="00142531"/>
    <w:rsid w:val="001443BC"/>
    <w:rsid w:val="00145352"/>
    <w:rsid w:val="001455CB"/>
    <w:rsid w:val="001456F6"/>
    <w:rsid w:val="00145A4A"/>
    <w:rsid w:val="00151E23"/>
    <w:rsid w:val="00153FFD"/>
    <w:rsid w:val="001552EA"/>
    <w:rsid w:val="001566B2"/>
    <w:rsid w:val="00161317"/>
    <w:rsid w:val="001644F5"/>
    <w:rsid w:val="00164958"/>
    <w:rsid w:val="00164B49"/>
    <w:rsid w:val="00165D18"/>
    <w:rsid w:val="00167721"/>
    <w:rsid w:val="0017000B"/>
    <w:rsid w:val="00171736"/>
    <w:rsid w:val="0017265C"/>
    <w:rsid w:val="00172B10"/>
    <w:rsid w:val="001734F1"/>
    <w:rsid w:val="001737DD"/>
    <w:rsid w:val="001758F2"/>
    <w:rsid w:val="00176E13"/>
    <w:rsid w:val="001803F8"/>
    <w:rsid w:val="0018124A"/>
    <w:rsid w:val="001813C9"/>
    <w:rsid w:val="001817E3"/>
    <w:rsid w:val="0018352F"/>
    <w:rsid w:val="00183712"/>
    <w:rsid w:val="00184360"/>
    <w:rsid w:val="0018444A"/>
    <w:rsid w:val="0018445E"/>
    <w:rsid w:val="00184AC0"/>
    <w:rsid w:val="00184DC6"/>
    <w:rsid w:val="00186983"/>
    <w:rsid w:val="00186BC7"/>
    <w:rsid w:val="00186C9A"/>
    <w:rsid w:val="001873B8"/>
    <w:rsid w:val="001903D6"/>
    <w:rsid w:val="0019070F"/>
    <w:rsid w:val="00193DC7"/>
    <w:rsid w:val="0019503C"/>
    <w:rsid w:val="001A1C86"/>
    <w:rsid w:val="001A264C"/>
    <w:rsid w:val="001A281D"/>
    <w:rsid w:val="001A357B"/>
    <w:rsid w:val="001A37C0"/>
    <w:rsid w:val="001A3A68"/>
    <w:rsid w:val="001A43C8"/>
    <w:rsid w:val="001A4A11"/>
    <w:rsid w:val="001A4A16"/>
    <w:rsid w:val="001A4FDA"/>
    <w:rsid w:val="001A50A4"/>
    <w:rsid w:val="001A72FA"/>
    <w:rsid w:val="001B06C0"/>
    <w:rsid w:val="001B06D3"/>
    <w:rsid w:val="001B2097"/>
    <w:rsid w:val="001B2440"/>
    <w:rsid w:val="001B312D"/>
    <w:rsid w:val="001B332E"/>
    <w:rsid w:val="001B35A9"/>
    <w:rsid w:val="001B4530"/>
    <w:rsid w:val="001B4ACF"/>
    <w:rsid w:val="001B4FB4"/>
    <w:rsid w:val="001C068B"/>
    <w:rsid w:val="001C0EBB"/>
    <w:rsid w:val="001C1BDD"/>
    <w:rsid w:val="001C35B1"/>
    <w:rsid w:val="001C3A8C"/>
    <w:rsid w:val="001C4CCC"/>
    <w:rsid w:val="001C4CD5"/>
    <w:rsid w:val="001C5ABE"/>
    <w:rsid w:val="001C7B10"/>
    <w:rsid w:val="001C7C0E"/>
    <w:rsid w:val="001D0317"/>
    <w:rsid w:val="001D04FE"/>
    <w:rsid w:val="001D1508"/>
    <w:rsid w:val="001D2D02"/>
    <w:rsid w:val="001D342C"/>
    <w:rsid w:val="001D39C1"/>
    <w:rsid w:val="001D483A"/>
    <w:rsid w:val="001D491F"/>
    <w:rsid w:val="001D5A73"/>
    <w:rsid w:val="001D7873"/>
    <w:rsid w:val="001E117C"/>
    <w:rsid w:val="001E1583"/>
    <w:rsid w:val="001E1A1C"/>
    <w:rsid w:val="001E24BA"/>
    <w:rsid w:val="001E28A5"/>
    <w:rsid w:val="001E3840"/>
    <w:rsid w:val="001E3ED5"/>
    <w:rsid w:val="001E4469"/>
    <w:rsid w:val="001E5F9A"/>
    <w:rsid w:val="001E6504"/>
    <w:rsid w:val="001E6CE5"/>
    <w:rsid w:val="001F20A2"/>
    <w:rsid w:val="001F2182"/>
    <w:rsid w:val="001F288D"/>
    <w:rsid w:val="001F2983"/>
    <w:rsid w:val="001F2C7C"/>
    <w:rsid w:val="001F3B17"/>
    <w:rsid w:val="001F3B68"/>
    <w:rsid w:val="001F6FE3"/>
    <w:rsid w:val="001F7573"/>
    <w:rsid w:val="00200724"/>
    <w:rsid w:val="0020078E"/>
    <w:rsid w:val="002008F4"/>
    <w:rsid w:val="00201098"/>
    <w:rsid w:val="002010FF"/>
    <w:rsid w:val="002011F9"/>
    <w:rsid w:val="0020231D"/>
    <w:rsid w:val="00202A1E"/>
    <w:rsid w:val="00204D37"/>
    <w:rsid w:val="00205306"/>
    <w:rsid w:val="00205E2A"/>
    <w:rsid w:val="00206030"/>
    <w:rsid w:val="00210090"/>
    <w:rsid w:val="00211179"/>
    <w:rsid w:val="00211287"/>
    <w:rsid w:val="00211FB1"/>
    <w:rsid w:val="00213880"/>
    <w:rsid w:val="002147C8"/>
    <w:rsid w:val="002154C2"/>
    <w:rsid w:val="00215B72"/>
    <w:rsid w:val="002200D9"/>
    <w:rsid w:val="002205A7"/>
    <w:rsid w:val="00220791"/>
    <w:rsid w:val="0022390E"/>
    <w:rsid w:val="00223CFD"/>
    <w:rsid w:val="00224958"/>
    <w:rsid w:val="00224A28"/>
    <w:rsid w:val="00225964"/>
    <w:rsid w:val="00226092"/>
    <w:rsid w:val="0022682D"/>
    <w:rsid w:val="00226871"/>
    <w:rsid w:val="00232225"/>
    <w:rsid w:val="00233E96"/>
    <w:rsid w:val="002342F3"/>
    <w:rsid w:val="0023544B"/>
    <w:rsid w:val="00235C20"/>
    <w:rsid w:val="00236C3D"/>
    <w:rsid w:val="002418BE"/>
    <w:rsid w:val="002419F4"/>
    <w:rsid w:val="00242599"/>
    <w:rsid w:val="00242F8B"/>
    <w:rsid w:val="00243852"/>
    <w:rsid w:val="0024462E"/>
    <w:rsid w:val="00245BCF"/>
    <w:rsid w:val="00245D9F"/>
    <w:rsid w:val="00246B4C"/>
    <w:rsid w:val="0024704A"/>
    <w:rsid w:val="00251F9E"/>
    <w:rsid w:val="00254997"/>
    <w:rsid w:val="00255476"/>
    <w:rsid w:val="00256C08"/>
    <w:rsid w:val="00256CCE"/>
    <w:rsid w:val="00257897"/>
    <w:rsid w:val="00260458"/>
    <w:rsid w:val="00261332"/>
    <w:rsid w:val="00261846"/>
    <w:rsid w:val="0026426B"/>
    <w:rsid w:val="00266F82"/>
    <w:rsid w:val="00267206"/>
    <w:rsid w:val="00267928"/>
    <w:rsid w:val="00267B2C"/>
    <w:rsid w:val="0027046F"/>
    <w:rsid w:val="0027063C"/>
    <w:rsid w:val="00271198"/>
    <w:rsid w:val="00273722"/>
    <w:rsid w:val="00273A3A"/>
    <w:rsid w:val="002742E8"/>
    <w:rsid w:val="0027649F"/>
    <w:rsid w:val="00276709"/>
    <w:rsid w:val="00276F23"/>
    <w:rsid w:val="00277045"/>
    <w:rsid w:val="00280DAD"/>
    <w:rsid w:val="0028616F"/>
    <w:rsid w:val="00290383"/>
    <w:rsid w:val="00291573"/>
    <w:rsid w:val="00292E05"/>
    <w:rsid w:val="00295871"/>
    <w:rsid w:val="002967A9"/>
    <w:rsid w:val="00296FA3"/>
    <w:rsid w:val="002970BA"/>
    <w:rsid w:val="002977F2"/>
    <w:rsid w:val="00297F5A"/>
    <w:rsid w:val="002A0B5A"/>
    <w:rsid w:val="002A0D2E"/>
    <w:rsid w:val="002A1040"/>
    <w:rsid w:val="002A19E9"/>
    <w:rsid w:val="002A2CB0"/>
    <w:rsid w:val="002A36FF"/>
    <w:rsid w:val="002A38AF"/>
    <w:rsid w:val="002A41F9"/>
    <w:rsid w:val="002A6DE0"/>
    <w:rsid w:val="002A74E1"/>
    <w:rsid w:val="002A7DF8"/>
    <w:rsid w:val="002B09F4"/>
    <w:rsid w:val="002B4ED5"/>
    <w:rsid w:val="002B6353"/>
    <w:rsid w:val="002B6894"/>
    <w:rsid w:val="002B7D59"/>
    <w:rsid w:val="002C00C7"/>
    <w:rsid w:val="002C0A52"/>
    <w:rsid w:val="002C0CB3"/>
    <w:rsid w:val="002C130D"/>
    <w:rsid w:val="002C1832"/>
    <w:rsid w:val="002C1B81"/>
    <w:rsid w:val="002C1B9B"/>
    <w:rsid w:val="002C2077"/>
    <w:rsid w:val="002C5E36"/>
    <w:rsid w:val="002C6129"/>
    <w:rsid w:val="002C70AA"/>
    <w:rsid w:val="002D1A8C"/>
    <w:rsid w:val="002D3C65"/>
    <w:rsid w:val="002D542B"/>
    <w:rsid w:val="002D5AA7"/>
    <w:rsid w:val="002D6531"/>
    <w:rsid w:val="002D7500"/>
    <w:rsid w:val="002D7F22"/>
    <w:rsid w:val="002E0E85"/>
    <w:rsid w:val="002E19B7"/>
    <w:rsid w:val="002E2567"/>
    <w:rsid w:val="002E257B"/>
    <w:rsid w:val="002E25EC"/>
    <w:rsid w:val="002E26A0"/>
    <w:rsid w:val="002E2D82"/>
    <w:rsid w:val="002E38CA"/>
    <w:rsid w:val="002E3AB0"/>
    <w:rsid w:val="002E4263"/>
    <w:rsid w:val="002E50FF"/>
    <w:rsid w:val="002E5386"/>
    <w:rsid w:val="002E549B"/>
    <w:rsid w:val="002E5783"/>
    <w:rsid w:val="002E5F59"/>
    <w:rsid w:val="002E6532"/>
    <w:rsid w:val="002E6C4C"/>
    <w:rsid w:val="002F0188"/>
    <w:rsid w:val="002F0FD4"/>
    <w:rsid w:val="002F107C"/>
    <w:rsid w:val="002F121E"/>
    <w:rsid w:val="002F197F"/>
    <w:rsid w:val="002F4897"/>
    <w:rsid w:val="002F5085"/>
    <w:rsid w:val="002F5482"/>
    <w:rsid w:val="002F59AA"/>
    <w:rsid w:val="002F661A"/>
    <w:rsid w:val="002F7A8D"/>
    <w:rsid w:val="002F7AE3"/>
    <w:rsid w:val="003004C2"/>
    <w:rsid w:val="003016AB"/>
    <w:rsid w:val="00301A67"/>
    <w:rsid w:val="003028B8"/>
    <w:rsid w:val="003029A4"/>
    <w:rsid w:val="00302E0A"/>
    <w:rsid w:val="0030322D"/>
    <w:rsid w:val="00303F10"/>
    <w:rsid w:val="0030445F"/>
    <w:rsid w:val="00305B38"/>
    <w:rsid w:val="00306116"/>
    <w:rsid w:val="0030618A"/>
    <w:rsid w:val="0030641F"/>
    <w:rsid w:val="00307F3C"/>
    <w:rsid w:val="00310A28"/>
    <w:rsid w:val="00311AEA"/>
    <w:rsid w:val="0031283D"/>
    <w:rsid w:val="00312B44"/>
    <w:rsid w:val="003132F9"/>
    <w:rsid w:val="003171CA"/>
    <w:rsid w:val="00320501"/>
    <w:rsid w:val="00322921"/>
    <w:rsid w:val="003234F3"/>
    <w:rsid w:val="00324460"/>
    <w:rsid w:val="00326086"/>
    <w:rsid w:val="0032621C"/>
    <w:rsid w:val="00326690"/>
    <w:rsid w:val="0032712A"/>
    <w:rsid w:val="003308CD"/>
    <w:rsid w:val="00330B77"/>
    <w:rsid w:val="00332C12"/>
    <w:rsid w:val="00333C19"/>
    <w:rsid w:val="003346E4"/>
    <w:rsid w:val="00334F55"/>
    <w:rsid w:val="00335EBC"/>
    <w:rsid w:val="00336B6A"/>
    <w:rsid w:val="00337C7F"/>
    <w:rsid w:val="003429F0"/>
    <w:rsid w:val="0034456D"/>
    <w:rsid w:val="00346E28"/>
    <w:rsid w:val="00350416"/>
    <w:rsid w:val="003511EB"/>
    <w:rsid w:val="003524C9"/>
    <w:rsid w:val="00352C07"/>
    <w:rsid w:val="0035392E"/>
    <w:rsid w:val="00355255"/>
    <w:rsid w:val="00356071"/>
    <w:rsid w:val="003573F3"/>
    <w:rsid w:val="0035793C"/>
    <w:rsid w:val="00360468"/>
    <w:rsid w:val="00361448"/>
    <w:rsid w:val="00362778"/>
    <w:rsid w:val="00362DEE"/>
    <w:rsid w:val="003630B0"/>
    <w:rsid w:val="0036333D"/>
    <w:rsid w:val="003637EB"/>
    <w:rsid w:val="00363E65"/>
    <w:rsid w:val="0036430A"/>
    <w:rsid w:val="003649CA"/>
    <w:rsid w:val="00366226"/>
    <w:rsid w:val="00366B28"/>
    <w:rsid w:val="00367E4F"/>
    <w:rsid w:val="00367EB0"/>
    <w:rsid w:val="003705CD"/>
    <w:rsid w:val="003711B3"/>
    <w:rsid w:val="003719EB"/>
    <w:rsid w:val="00371A39"/>
    <w:rsid w:val="00372936"/>
    <w:rsid w:val="00372DE1"/>
    <w:rsid w:val="00373929"/>
    <w:rsid w:val="003747B6"/>
    <w:rsid w:val="00374AB1"/>
    <w:rsid w:val="00375109"/>
    <w:rsid w:val="00376527"/>
    <w:rsid w:val="00377F72"/>
    <w:rsid w:val="00380A7F"/>
    <w:rsid w:val="0038166F"/>
    <w:rsid w:val="003822DC"/>
    <w:rsid w:val="0038256D"/>
    <w:rsid w:val="00382A20"/>
    <w:rsid w:val="00382E94"/>
    <w:rsid w:val="00383001"/>
    <w:rsid w:val="00384379"/>
    <w:rsid w:val="003848CA"/>
    <w:rsid w:val="003860D6"/>
    <w:rsid w:val="00386725"/>
    <w:rsid w:val="00387A47"/>
    <w:rsid w:val="00387E14"/>
    <w:rsid w:val="00390969"/>
    <w:rsid w:val="003912C7"/>
    <w:rsid w:val="00391521"/>
    <w:rsid w:val="00392031"/>
    <w:rsid w:val="0039222F"/>
    <w:rsid w:val="0039275D"/>
    <w:rsid w:val="003937A3"/>
    <w:rsid w:val="003938EF"/>
    <w:rsid w:val="00393E13"/>
    <w:rsid w:val="00394353"/>
    <w:rsid w:val="003945E2"/>
    <w:rsid w:val="00395ADD"/>
    <w:rsid w:val="00397647"/>
    <w:rsid w:val="003A0177"/>
    <w:rsid w:val="003A2887"/>
    <w:rsid w:val="003A2C71"/>
    <w:rsid w:val="003A362C"/>
    <w:rsid w:val="003A515E"/>
    <w:rsid w:val="003A7A02"/>
    <w:rsid w:val="003B12D7"/>
    <w:rsid w:val="003B17E4"/>
    <w:rsid w:val="003B217A"/>
    <w:rsid w:val="003B24CF"/>
    <w:rsid w:val="003B6928"/>
    <w:rsid w:val="003B6A33"/>
    <w:rsid w:val="003B75DA"/>
    <w:rsid w:val="003B7BFC"/>
    <w:rsid w:val="003C05E9"/>
    <w:rsid w:val="003C18A5"/>
    <w:rsid w:val="003C1C4A"/>
    <w:rsid w:val="003C1E88"/>
    <w:rsid w:val="003C31B4"/>
    <w:rsid w:val="003C3E1B"/>
    <w:rsid w:val="003C54C6"/>
    <w:rsid w:val="003C6AD6"/>
    <w:rsid w:val="003C6B4A"/>
    <w:rsid w:val="003C6CEA"/>
    <w:rsid w:val="003C76C9"/>
    <w:rsid w:val="003D026B"/>
    <w:rsid w:val="003D0CD5"/>
    <w:rsid w:val="003D1330"/>
    <w:rsid w:val="003D15AD"/>
    <w:rsid w:val="003D1894"/>
    <w:rsid w:val="003D1CA1"/>
    <w:rsid w:val="003D3691"/>
    <w:rsid w:val="003D36A7"/>
    <w:rsid w:val="003D486D"/>
    <w:rsid w:val="003D4AAC"/>
    <w:rsid w:val="003D4AC0"/>
    <w:rsid w:val="003D4D91"/>
    <w:rsid w:val="003D5518"/>
    <w:rsid w:val="003D6738"/>
    <w:rsid w:val="003D73C8"/>
    <w:rsid w:val="003D7B3B"/>
    <w:rsid w:val="003E2E0C"/>
    <w:rsid w:val="003E3A50"/>
    <w:rsid w:val="003E40B4"/>
    <w:rsid w:val="003E51E2"/>
    <w:rsid w:val="003E5B50"/>
    <w:rsid w:val="003E6A8B"/>
    <w:rsid w:val="003E700A"/>
    <w:rsid w:val="003E715A"/>
    <w:rsid w:val="003F00CA"/>
    <w:rsid w:val="003F0E17"/>
    <w:rsid w:val="003F1ECE"/>
    <w:rsid w:val="003F2B7C"/>
    <w:rsid w:val="003F41AB"/>
    <w:rsid w:val="003F6AEC"/>
    <w:rsid w:val="003F6C51"/>
    <w:rsid w:val="003F7C2B"/>
    <w:rsid w:val="00401204"/>
    <w:rsid w:val="00402C1C"/>
    <w:rsid w:val="004036AF"/>
    <w:rsid w:val="0040404A"/>
    <w:rsid w:val="00404B5C"/>
    <w:rsid w:val="00404F97"/>
    <w:rsid w:val="004053AC"/>
    <w:rsid w:val="004066DC"/>
    <w:rsid w:val="004069CA"/>
    <w:rsid w:val="004100CC"/>
    <w:rsid w:val="00412310"/>
    <w:rsid w:val="00412586"/>
    <w:rsid w:val="004129AF"/>
    <w:rsid w:val="004144EA"/>
    <w:rsid w:val="00415862"/>
    <w:rsid w:val="00417A4F"/>
    <w:rsid w:val="004209D7"/>
    <w:rsid w:val="00420F4C"/>
    <w:rsid w:val="00422996"/>
    <w:rsid w:val="00423171"/>
    <w:rsid w:val="00423E76"/>
    <w:rsid w:val="0042721F"/>
    <w:rsid w:val="00427D00"/>
    <w:rsid w:val="004303C4"/>
    <w:rsid w:val="00430686"/>
    <w:rsid w:val="00430F39"/>
    <w:rsid w:val="0043149C"/>
    <w:rsid w:val="00431886"/>
    <w:rsid w:val="00432D73"/>
    <w:rsid w:val="004343C0"/>
    <w:rsid w:val="004344FA"/>
    <w:rsid w:val="00434634"/>
    <w:rsid w:val="00435BBC"/>
    <w:rsid w:val="00436950"/>
    <w:rsid w:val="0043696D"/>
    <w:rsid w:val="004377F4"/>
    <w:rsid w:val="00437D67"/>
    <w:rsid w:val="00437F60"/>
    <w:rsid w:val="00442D41"/>
    <w:rsid w:val="0044301B"/>
    <w:rsid w:val="004431D0"/>
    <w:rsid w:val="004437E7"/>
    <w:rsid w:val="00445CA6"/>
    <w:rsid w:val="00446A29"/>
    <w:rsid w:val="00447854"/>
    <w:rsid w:val="00452917"/>
    <w:rsid w:val="00453265"/>
    <w:rsid w:val="004539E7"/>
    <w:rsid w:val="00453A34"/>
    <w:rsid w:val="00455209"/>
    <w:rsid w:val="00455D6B"/>
    <w:rsid w:val="00460005"/>
    <w:rsid w:val="00461CF3"/>
    <w:rsid w:val="00461D0D"/>
    <w:rsid w:val="00465765"/>
    <w:rsid w:val="00465EC5"/>
    <w:rsid w:val="00465F14"/>
    <w:rsid w:val="00467115"/>
    <w:rsid w:val="0047003F"/>
    <w:rsid w:val="00470AAD"/>
    <w:rsid w:val="00471A27"/>
    <w:rsid w:val="00471FAB"/>
    <w:rsid w:val="00473821"/>
    <w:rsid w:val="00474472"/>
    <w:rsid w:val="0047607E"/>
    <w:rsid w:val="0047662B"/>
    <w:rsid w:val="00477369"/>
    <w:rsid w:val="0047756D"/>
    <w:rsid w:val="004806D6"/>
    <w:rsid w:val="0048298D"/>
    <w:rsid w:val="00483AD5"/>
    <w:rsid w:val="0048433B"/>
    <w:rsid w:val="00486CF9"/>
    <w:rsid w:val="00486DF4"/>
    <w:rsid w:val="00487BD9"/>
    <w:rsid w:val="00490E1F"/>
    <w:rsid w:val="004929E9"/>
    <w:rsid w:val="00492A81"/>
    <w:rsid w:val="00493C92"/>
    <w:rsid w:val="00495235"/>
    <w:rsid w:val="004967E1"/>
    <w:rsid w:val="004A057E"/>
    <w:rsid w:val="004A2F61"/>
    <w:rsid w:val="004A4FF6"/>
    <w:rsid w:val="004A5D38"/>
    <w:rsid w:val="004A6152"/>
    <w:rsid w:val="004A678B"/>
    <w:rsid w:val="004A6CA1"/>
    <w:rsid w:val="004A7E57"/>
    <w:rsid w:val="004B0CD7"/>
    <w:rsid w:val="004B0D5C"/>
    <w:rsid w:val="004B1109"/>
    <w:rsid w:val="004B32A5"/>
    <w:rsid w:val="004B3372"/>
    <w:rsid w:val="004B485B"/>
    <w:rsid w:val="004B5647"/>
    <w:rsid w:val="004B5D42"/>
    <w:rsid w:val="004B5DBA"/>
    <w:rsid w:val="004B60E6"/>
    <w:rsid w:val="004B6400"/>
    <w:rsid w:val="004B641B"/>
    <w:rsid w:val="004B701E"/>
    <w:rsid w:val="004B7128"/>
    <w:rsid w:val="004B7235"/>
    <w:rsid w:val="004C1755"/>
    <w:rsid w:val="004C2A5F"/>
    <w:rsid w:val="004C2B82"/>
    <w:rsid w:val="004C4986"/>
    <w:rsid w:val="004C6434"/>
    <w:rsid w:val="004C652F"/>
    <w:rsid w:val="004C7D49"/>
    <w:rsid w:val="004D233E"/>
    <w:rsid w:val="004D2DFC"/>
    <w:rsid w:val="004D32E8"/>
    <w:rsid w:val="004D40EE"/>
    <w:rsid w:val="004D4A49"/>
    <w:rsid w:val="004D4BAA"/>
    <w:rsid w:val="004D51CD"/>
    <w:rsid w:val="004D64B7"/>
    <w:rsid w:val="004D6D24"/>
    <w:rsid w:val="004E09A6"/>
    <w:rsid w:val="004E266B"/>
    <w:rsid w:val="004E2B35"/>
    <w:rsid w:val="004E330F"/>
    <w:rsid w:val="004E6737"/>
    <w:rsid w:val="004E6B7D"/>
    <w:rsid w:val="004E6CB4"/>
    <w:rsid w:val="004E6D6D"/>
    <w:rsid w:val="004E6EDF"/>
    <w:rsid w:val="004E7FEE"/>
    <w:rsid w:val="004F179E"/>
    <w:rsid w:val="004F3C45"/>
    <w:rsid w:val="004F4190"/>
    <w:rsid w:val="004F5E15"/>
    <w:rsid w:val="004F7E56"/>
    <w:rsid w:val="005007A3"/>
    <w:rsid w:val="00501048"/>
    <w:rsid w:val="00504D9D"/>
    <w:rsid w:val="00505452"/>
    <w:rsid w:val="005112FB"/>
    <w:rsid w:val="005113B0"/>
    <w:rsid w:val="0051144B"/>
    <w:rsid w:val="0051479A"/>
    <w:rsid w:val="005156AF"/>
    <w:rsid w:val="005169AD"/>
    <w:rsid w:val="00516CAE"/>
    <w:rsid w:val="00517649"/>
    <w:rsid w:val="0052046A"/>
    <w:rsid w:val="005217A3"/>
    <w:rsid w:val="00521BA2"/>
    <w:rsid w:val="00522698"/>
    <w:rsid w:val="00524BC5"/>
    <w:rsid w:val="005279C0"/>
    <w:rsid w:val="0053026B"/>
    <w:rsid w:val="00531FC2"/>
    <w:rsid w:val="005330B9"/>
    <w:rsid w:val="00533E0F"/>
    <w:rsid w:val="005355FE"/>
    <w:rsid w:val="005356B5"/>
    <w:rsid w:val="00535F58"/>
    <w:rsid w:val="00536563"/>
    <w:rsid w:val="00536C3C"/>
    <w:rsid w:val="005371CC"/>
    <w:rsid w:val="005376D5"/>
    <w:rsid w:val="005409B5"/>
    <w:rsid w:val="00541074"/>
    <w:rsid w:val="0054175D"/>
    <w:rsid w:val="00542C6B"/>
    <w:rsid w:val="0054367E"/>
    <w:rsid w:val="00544768"/>
    <w:rsid w:val="00544FCA"/>
    <w:rsid w:val="00546D91"/>
    <w:rsid w:val="0054799C"/>
    <w:rsid w:val="00547E40"/>
    <w:rsid w:val="00550126"/>
    <w:rsid w:val="005505B9"/>
    <w:rsid w:val="00550DD5"/>
    <w:rsid w:val="00551C08"/>
    <w:rsid w:val="005535F1"/>
    <w:rsid w:val="00553651"/>
    <w:rsid w:val="00554197"/>
    <w:rsid w:val="00554B91"/>
    <w:rsid w:val="00556AF5"/>
    <w:rsid w:val="00560F65"/>
    <w:rsid w:val="0056216C"/>
    <w:rsid w:val="0056240A"/>
    <w:rsid w:val="00564205"/>
    <w:rsid w:val="005649A4"/>
    <w:rsid w:val="00564B2E"/>
    <w:rsid w:val="005655A5"/>
    <w:rsid w:val="005659CC"/>
    <w:rsid w:val="00566F14"/>
    <w:rsid w:val="005671C8"/>
    <w:rsid w:val="005674F3"/>
    <w:rsid w:val="005703AA"/>
    <w:rsid w:val="005715AF"/>
    <w:rsid w:val="00571677"/>
    <w:rsid w:val="00571884"/>
    <w:rsid w:val="00572B35"/>
    <w:rsid w:val="00573A7D"/>
    <w:rsid w:val="00574D4A"/>
    <w:rsid w:val="00580616"/>
    <w:rsid w:val="00580BC9"/>
    <w:rsid w:val="005812F3"/>
    <w:rsid w:val="0058169D"/>
    <w:rsid w:val="0058259A"/>
    <w:rsid w:val="00582F13"/>
    <w:rsid w:val="005852DD"/>
    <w:rsid w:val="0059040F"/>
    <w:rsid w:val="00590652"/>
    <w:rsid w:val="005907B4"/>
    <w:rsid w:val="00590F92"/>
    <w:rsid w:val="0059201D"/>
    <w:rsid w:val="00592095"/>
    <w:rsid w:val="0059313B"/>
    <w:rsid w:val="00593BEB"/>
    <w:rsid w:val="00593EFA"/>
    <w:rsid w:val="00595A89"/>
    <w:rsid w:val="005960D2"/>
    <w:rsid w:val="00596D61"/>
    <w:rsid w:val="005A2AF1"/>
    <w:rsid w:val="005A5D6F"/>
    <w:rsid w:val="005A6AE3"/>
    <w:rsid w:val="005A6AEA"/>
    <w:rsid w:val="005A6BD4"/>
    <w:rsid w:val="005A7BAD"/>
    <w:rsid w:val="005B097B"/>
    <w:rsid w:val="005B0A2D"/>
    <w:rsid w:val="005B137C"/>
    <w:rsid w:val="005B26E7"/>
    <w:rsid w:val="005B2879"/>
    <w:rsid w:val="005B2CD3"/>
    <w:rsid w:val="005B2F2B"/>
    <w:rsid w:val="005B346C"/>
    <w:rsid w:val="005B3D76"/>
    <w:rsid w:val="005B447E"/>
    <w:rsid w:val="005B4758"/>
    <w:rsid w:val="005B4D2A"/>
    <w:rsid w:val="005B5790"/>
    <w:rsid w:val="005B65C6"/>
    <w:rsid w:val="005B779A"/>
    <w:rsid w:val="005C0029"/>
    <w:rsid w:val="005C0147"/>
    <w:rsid w:val="005C0BE9"/>
    <w:rsid w:val="005C13F8"/>
    <w:rsid w:val="005C1A28"/>
    <w:rsid w:val="005C2119"/>
    <w:rsid w:val="005C32D8"/>
    <w:rsid w:val="005C36A4"/>
    <w:rsid w:val="005C6189"/>
    <w:rsid w:val="005C6675"/>
    <w:rsid w:val="005C6780"/>
    <w:rsid w:val="005C7CBA"/>
    <w:rsid w:val="005D0882"/>
    <w:rsid w:val="005D1C9E"/>
    <w:rsid w:val="005D5616"/>
    <w:rsid w:val="005D5755"/>
    <w:rsid w:val="005D7C57"/>
    <w:rsid w:val="005E10E5"/>
    <w:rsid w:val="005E130E"/>
    <w:rsid w:val="005E2E99"/>
    <w:rsid w:val="005E3104"/>
    <w:rsid w:val="005E4676"/>
    <w:rsid w:val="005E55E2"/>
    <w:rsid w:val="005E5F2D"/>
    <w:rsid w:val="005E778B"/>
    <w:rsid w:val="005E7DEB"/>
    <w:rsid w:val="005F158C"/>
    <w:rsid w:val="005F3194"/>
    <w:rsid w:val="005F323E"/>
    <w:rsid w:val="005F3919"/>
    <w:rsid w:val="005F45A1"/>
    <w:rsid w:val="005F4B5C"/>
    <w:rsid w:val="005F4E29"/>
    <w:rsid w:val="005F4F6F"/>
    <w:rsid w:val="005F6C66"/>
    <w:rsid w:val="005F6F0E"/>
    <w:rsid w:val="005F7D5B"/>
    <w:rsid w:val="00600549"/>
    <w:rsid w:val="006005EE"/>
    <w:rsid w:val="00600AF7"/>
    <w:rsid w:val="006014AE"/>
    <w:rsid w:val="00601BAD"/>
    <w:rsid w:val="00603C42"/>
    <w:rsid w:val="00603DC0"/>
    <w:rsid w:val="00603FCB"/>
    <w:rsid w:val="00604CC4"/>
    <w:rsid w:val="0060506C"/>
    <w:rsid w:val="00605433"/>
    <w:rsid w:val="00606D5F"/>
    <w:rsid w:val="006100B6"/>
    <w:rsid w:val="00610405"/>
    <w:rsid w:val="006109BA"/>
    <w:rsid w:val="00610AC8"/>
    <w:rsid w:val="006131A0"/>
    <w:rsid w:val="0061330E"/>
    <w:rsid w:val="0061373E"/>
    <w:rsid w:val="00615784"/>
    <w:rsid w:val="00616205"/>
    <w:rsid w:val="00616CDA"/>
    <w:rsid w:val="00617362"/>
    <w:rsid w:val="00617478"/>
    <w:rsid w:val="00617CE1"/>
    <w:rsid w:val="006214D8"/>
    <w:rsid w:val="00622043"/>
    <w:rsid w:val="006232E5"/>
    <w:rsid w:val="00623AEF"/>
    <w:rsid w:val="00623EE9"/>
    <w:rsid w:val="00625AFF"/>
    <w:rsid w:val="0062696A"/>
    <w:rsid w:val="00626C9B"/>
    <w:rsid w:val="00630513"/>
    <w:rsid w:val="00631A6D"/>
    <w:rsid w:val="006322E1"/>
    <w:rsid w:val="006351F2"/>
    <w:rsid w:val="0063584F"/>
    <w:rsid w:val="006358A4"/>
    <w:rsid w:val="00636012"/>
    <w:rsid w:val="0063732F"/>
    <w:rsid w:val="00637487"/>
    <w:rsid w:val="00637E1B"/>
    <w:rsid w:val="0064005D"/>
    <w:rsid w:val="00640777"/>
    <w:rsid w:val="006424AB"/>
    <w:rsid w:val="006425A1"/>
    <w:rsid w:val="006425E0"/>
    <w:rsid w:val="00644002"/>
    <w:rsid w:val="00645B2E"/>
    <w:rsid w:val="00645CDF"/>
    <w:rsid w:val="00645FF6"/>
    <w:rsid w:val="00647AAB"/>
    <w:rsid w:val="00647D24"/>
    <w:rsid w:val="00652DD6"/>
    <w:rsid w:val="00652DFA"/>
    <w:rsid w:val="00655359"/>
    <w:rsid w:val="0066247D"/>
    <w:rsid w:val="00662CE3"/>
    <w:rsid w:val="006634F7"/>
    <w:rsid w:val="0066377D"/>
    <w:rsid w:val="0066429B"/>
    <w:rsid w:val="006646D9"/>
    <w:rsid w:val="006648FB"/>
    <w:rsid w:val="00664DFB"/>
    <w:rsid w:val="00664F4E"/>
    <w:rsid w:val="0066720D"/>
    <w:rsid w:val="00670DF1"/>
    <w:rsid w:val="006719C1"/>
    <w:rsid w:val="00671FA8"/>
    <w:rsid w:val="00672297"/>
    <w:rsid w:val="006732BB"/>
    <w:rsid w:val="0067593C"/>
    <w:rsid w:val="00675EA7"/>
    <w:rsid w:val="00676302"/>
    <w:rsid w:val="0067739E"/>
    <w:rsid w:val="00680762"/>
    <w:rsid w:val="00683AB8"/>
    <w:rsid w:val="006844CD"/>
    <w:rsid w:val="00685036"/>
    <w:rsid w:val="00685ED7"/>
    <w:rsid w:val="00686651"/>
    <w:rsid w:val="00686BF7"/>
    <w:rsid w:val="00687132"/>
    <w:rsid w:val="006907E0"/>
    <w:rsid w:val="00690C57"/>
    <w:rsid w:val="006913B0"/>
    <w:rsid w:val="006915E2"/>
    <w:rsid w:val="006915EA"/>
    <w:rsid w:val="006922C2"/>
    <w:rsid w:val="00694E36"/>
    <w:rsid w:val="00695659"/>
    <w:rsid w:val="0069599E"/>
    <w:rsid w:val="006977F9"/>
    <w:rsid w:val="006A0171"/>
    <w:rsid w:val="006A0AF0"/>
    <w:rsid w:val="006A0CBB"/>
    <w:rsid w:val="006A0FDD"/>
    <w:rsid w:val="006A1DF6"/>
    <w:rsid w:val="006A20E6"/>
    <w:rsid w:val="006A364A"/>
    <w:rsid w:val="006A3846"/>
    <w:rsid w:val="006A394A"/>
    <w:rsid w:val="006A4239"/>
    <w:rsid w:val="006A4E94"/>
    <w:rsid w:val="006A5F53"/>
    <w:rsid w:val="006A631F"/>
    <w:rsid w:val="006A7148"/>
    <w:rsid w:val="006A77B5"/>
    <w:rsid w:val="006B0102"/>
    <w:rsid w:val="006B17BF"/>
    <w:rsid w:val="006B342F"/>
    <w:rsid w:val="006B3F04"/>
    <w:rsid w:val="006B3FEB"/>
    <w:rsid w:val="006B54F3"/>
    <w:rsid w:val="006B57A5"/>
    <w:rsid w:val="006B5896"/>
    <w:rsid w:val="006B5E7A"/>
    <w:rsid w:val="006C01E9"/>
    <w:rsid w:val="006C1415"/>
    <w:rsid w:val="006C1EDD"/>
    <w:rsid w:val="006C20A5"/>
    <w:rsid w:val="006C2123"/>
    <w:rsid w:val="006C33A1"/>
    <w:rsid w:val="006C3864"/>
    <w:rsid w:val="006C3CC8"/>
    <w:rsid w:val="006C40BF"/>
    <w:rsid w:val="006C42D0"/>
    <w:rsid w:val="006C4AC4"/>
    <w:rsid w:val="006C56D9"/>
    <w:rsid w:val="006C6D13"/>
    <w:rsid w:val="006D13E0"/>
    <w:rsid w:val="006D145A"/>
    <w:rsid w:val="006D22F7"/>
    <w:rsid w:val="006D2C4A"/>
    <w:rsid w:val="006D518F"/>
    <w:rsid w:val="006D6890"/>
    <w:rsid w:val="006D72E1"/>
    <w:rsid w:val="006D7F0D"/>
    <w:rsid w:val="006E17AD"/>
    <w:rsid w:val="006E783A"/>
    <w:rsid w:val="006F3218"/>
    <w:rsid w:val="006F336D"/>
    <w:rsid w:val="006F4045"/>
    <w:rsid w:val="006F48B9"/>
    <w:rsid w:val="006F54A0"/>
    <w:rsid w:val="006F5A5C"/>
    <w:rsid w:val="006F7F00"/>
    <w:rsid w:val="0070000A"/>
    <w:rsid w:val="0070177E"/>
    <w:rsid w:val="00702603"/>
    <w:rsid w:val="00702617"/>
    <w:rsid w:val="007027B2"/>
    <w:rsid w:val="00702CFB"/>
    <w:rsid w:val="007045B4"/>
    <w:rsid w:val="00705F90"/>
    <w:rsid w:val="0070738A"/>
    <w:rsid w:val="00710285"/>
    <w:rsid w:val="007104E5"/>
    <w:rsid w:val="007114C7"/>
    <w:rsid w:val="00712764"/>
    <w:rsid w:val="00712CC9"/>
    <w:rsid w:val="00713221"/>
    <w:rsid w:val="0071567C"/>
    <w:rsid w:val="00715D1F"/>
    <w:rsid w:val="00715F9E"/>
    <w:rsid w:val="007161C4"/>
    <w:rsid w:val="007179EA"/>
    <w:rsid w:val="0072001A"/>
    <w:rsid w:val="0072085E"/>
    <w:rsid w:val="00721715"/>
    <w:rsid w:val="00723487"/>
    <w:rsid w:val="00723871"/>
    <w:rsid w:val="00723EA4"/>
    <w:rsid w:val="00724424"/>
    <w:rsid w:val="007250D9"/>
    <w:rsid w:val="007254E4"/>
    <w:rsid w:val="0072595D"/>
    <w:rsid w:val="00725E62"/>
    <w:rsid w:val="00726CC0"/>
    <w:rsid w:val="00727BDE"/>
    <w:rsid w:val="00731BD3"/>
    <w:rsid w:val="00731C1D"/>
    <w:rsid w:val="00731CC9"/>
    <w:rsid w:val="00731DCD"/>
    <w:rsid w:val="00732050"/>
    <w:rsid w:val="00732F51"/>
    <w:rsid w:val="00741C44"/>
    <w:rsid w:val="00743764"/>
    <w:rsid w:val="00744261"/>
    <w:rsid w:val="00744346"/>
    <w:rsid w:val="00744650"/>
    <w:rsid w:val="007456D5"/>
    <w:rsid w:val="00745C96"/>
    <w:rsid w:val="00745F63"/>
    <w:rsid w:val="00747297"/>
    <w:rsid w:val="00747DAC"/>
    <w:rsid w:val="0075160D"/>
    <w:rsid w:val="00751F58"/>
    <w:rsid w:val="00752E2A"/>
    <w:rsid w:val="00753A9B"/>
    <w:rsid w:val="00754D87"/>
    <w:rsid w:val="00755765"/>
    <w:rsid w:val="007566B2"/>
    <w:rsid w:val="00757356"/>
    <w:rsid w:val="007607C5"/>
    <w:rsid w:val="007610CD"/>
    <w:rsid w:val="007631FF"/>
    <w:rsid w:val="007658E9"/>
    <w:rsid w:val="00765F26"/>
    <w:rsid w:val="00766D75"/>
    <w:rsid w:val="00767035"/>
    <w:rsid w:val="00767636"/>
    <w:rsid w:val="007677EE"/>
    <w:rsid w:val="007677FA"/>
    <w:rsid w:val="00767D3C"/>
    <w:rsid w:val="00770688"/>
    <w:rsid w:val="00772071"/>
    <w:rsid w:val="007726A2"/>
    <w:rsid w:val="00772EE5"/>
    <w:rsid w:val="00773B37"/>
    <w:rsid w:val="007747A5"/>
    <w:rsid w:val="00774F4B"/>
    <w:rsid w:val="00775612"/>
    <w:rsid w:val="00776A31"/>
    <w:rsid w:val="00776FE1"/>
    <w:rsid w:val="007803AB"/>
    <w:rsid w:val="00780834"/>
    <w:rsid w:val="007828ED"/>
    <w:rsid w:val="00783B19"/>
    <w:rsid w:val="007845D4"/>
    <w:rsid w:val="00784B03"/>
    <w:rsid w:val="007857D9"/>
    <w:rsid w:val="00786E19"/>
    <w:rsid w:val="00787C73"/>
    <w:rsid w:val="00791139"/>
    <w:rsid w:val="00791B17"/>
    <w:rsid w:val="00792830"/>
    <w:rsid w:val="007929A9"/>
    <w:rsid w:val="00792F37"/>
    <w:rsid w:val="00793186"/>
    <w:rsid w:val="007932B3"/>
    <w:rsid w:val="00794083"/>
    <w:rsid w:val="0079481E"/>
    <w:rsid w:val="00794E39"/>
    <w:rsid w:val="0079546B"/>
    <w:rsid w:val="00795A75"/>
    <w:rsid w:val="007964E3"/>
    <w:rsid w:val="00796772"/>
    <w:rsid w:val="00796BE5"/>
    <w:rsid w:val="00796D91"/>
    <w:rsid w:val="007975AF"/>
    <w:rsid w:val="0079778D"/>
    <w:rsid w:val="007A0AA6"/>
    <w:rsid w:val="007A0DF4"/>
    <w:rsid w:val="007A32B4"/>
    <w:rsid w:val="007A420A"/>
    <w:rsid w:val="007A4D19"/>
    <w:rsid w:val="007A5481"/>
    <w:rsid w:val="007A57CA"/>
    <w:rsid w:val="007A60D0"/>
    <w:rsid w:val="007B0404"/>
    <w:rsid w:val="007B1110"/>
    <w:rsid w:val="007B150A"/>
    <w:rsid w:val="007B40FC"/>
    <w:rsid w:val="007B4DC3"/>
    <w:rsid w:val="007B598F"/>
    <w:rsid w:val="007B61F3"/>
    <w:rsid w:val="007B78B4"/>
    <w:rsid w:val="007C17E5"/>
    <w:rsid w:val="007C1DB4"/>
    <w:rsid w:val="007C2E15"/>
    <w:rsid w:val="007C30CC"/>
    <w:rsid w:val="007C37B0"/>
    <w:rsid w:val="007C3FFD"/>
    <w:rsid w:val="007C50C4"/>
    <w:rsid w:val="007C6A85"/>
    <w:rsid w:val="007D02E9"/>
    <w:rsid w:val="007D1558"/>
    <w:rsid w:val="007D1642"/>
    <w:rsid w:val="007D2C33"/>
    <w:rsid w:val="007D30CA"/>
    <w:rsid w:val="007D4160"/>
    <w:rsid w:val="007D41A1"/>
    <w:rsid w:val="007D6303"/>
    <w:rsid w:val="007D70F2"/>
    <w:rsid w:val="007D7466"/>
    <w:rsid w:val="007E03CC"/>
    <w:rsid w:val="007E3117"/>
    <w:rsid w:val="007E4955"/>
    <w:rsid w:val="007E4CC6"/>
    <w:rsid w:val="007E59B3"/>
    <w:rsid w:val="007F0498"/>
    <w:rsid w:val="007F187A"/>
    <w:rsid w:val="007F19B7"/>
    <w:rsid w:val="007F3409"/>
    <w:rsid w:val="007F3E4A"/>
    <w:rsid w:val="007F46D4"/>
    <w:rsid w:val="007F487A"/>
    <w:rsid w:val="007F4ABE"/>
    <w:rsid w:val="007F7488"/>
    <w:rsid w:val="007F7C12"/>
    <w:rsid w:val="00800440"/>
    <w:rsid w:val="00802831"/>
    <w:rsid w:val="00803A67"/>
    <w:rsid w:val="0080548D"/>
    <w:rsid w:val="0080622A"/>
    <w:rsid w:val="00806670"/>
    <w:rsid w:val="0080783C"/>
    <w:rsid w:val="00810650"/>
    <w:rsid w:val="00811551"/>
    <w:rsid w:val="00812482"/>
    <w:rsid w:val="00812CE3"/>
    <w:rsid w:val="0081393D"/>
    <w:rsid w:val="00814E48"/>
    <w:rsid w:val="0081694E"/>
    <w:rsid w:val="008179C2"/>
    <w:rsid w:val="00817F63"/>
    <w:rsid w:val="00822864"/>
    <w:rsid w:val="008230B1"/>
    <w:rsid w:val="00823B25"/>
    <w:rsid w:val="00824FAA"/>
    <w:rsid w:val="00826590"/>
    <w:rsid w:val="00826748"/>
    <w:rsid w:val="00826CF6"/>
    <w:rsid w:val="00827380"/>
    <w:rsid w:val="0082742A"/>
    <w:rsid w:val="0083059A"/>
    <w:rsid w:val="008306B8"/>
    <w:rsid w:val="0083294C"/>
    <w:rsid w:val="00832B7E"/>
    <w:rsid w:val="008349C0"/>
    <w:rsid w:val="00834A55"/>
    <w:rsid w:val="00834D9C"/>
    <w:rsid w:val="0083524C"/>
    <w:rsid w:val="00835D2F"/>
    <w:rsid w:val="00835D52"/>
    <w:rsid w:val="00836A32"/>
    <w:rsid w:val="00837CE7"/>
    <w:rsid w:val="008411CD"/>
    <w:rsid w:val="008414C5"/>
    <w:rsid w:val="0084378D"/>
    <w:rsid w:val="008446C7"/>
    <w:rsid w:val="00844768"/>
    <w:rsid w:val="00844D4C"/>
    <w:rsid w:val="00845019"/>
    <w:rsid w:val="0084589F"/>
    <w:rsid w:val="00846160"/>
    <w:rsid w:val="00847FCD"/>
    <w:rsid w:val="00850D18"/>
    <w:rsid w:val="00850FA9"/>
    <w:rsid w:val="0085157B"/>
    <w:rsid w:val="00851C5E"/>
    <w:rsid w:val="00853B7C"/>
    <w:rsid w:val="008550C3"/>
    <w:rsid w:val="00855A27"/>
    <w:rsid w:val="00855E03"/>
    <w:rsid w:val="00856286"/>
    <w:rsid w:val="008567E3"/>
    <w:rsid w:val="00856EA6"/>
    <w:rsid w:val="0085730A"/>
    <w:rsid w:val="0086232B"/>
    <w:rsid w:val="0086314C"/>
    <w:rsid w:val="0086364C"/>
    <w:rsid w:val="0086607C"/>
    <w:rsid w:val="00866F0B"/>
    <w:rsid w:val="00867014"/>
    <w:rsid w:val="00867BE1"/>
    <w:rsid w:val="00870AA8"/>
    <w:rsid w:val="00872457"/>
    <w:rsid w:val="00872D70"/>
    <w:rsid w:val="00872E6B"/>
    <w:rsid w:val="0087330C"/>
    <w:rsid w:val="00873A9D"/>
    <w:rsid w:val="00873B3E"/>
    <w:rsid w:val="00874491"/>
    <w:rsid w:val="008750DE"/>
    <w:rsid w:val="00875319"/>
    <w:rsid w:val="008754B8"/>
    <w:rsid w:val="0087685F"/>
    <w:rsid w:val="008773E8"/>
    <w:rsid w:val="008801C7"/>
    <w:rsid w:val="008802AA"/>
    <w:rsid w:val="00880E45"/>
    <w:rsid w:val="00881200"/>
    <w:rsid w:val="0088317F"/>
    <w:rsid w:val="008831A1"/>
    <w:rsid w:val="008836CB"/>
    <w:rsid w:val="008837B4"/>
    <w:rsid w:val="008842D1"/>
    <w:rsid w:val="008856E4"/>
    <w:rsid w:val="00887473"/>
    <w:rsid w:val="00887F5C"/>
    <w:rsid w:val="0089020B"/>
    <w:rsid w:val="00890594"/>
    <w:rsid w:val="0089147A"/>
    <w:rsid w:val="008924D7"/>
    <w:rsid w:val="00892CA5"/>
    <w:rsid w:val="00893585"/>
    <w:rsid w:val="00893D93"/>
    <w:rsid w:val="0089428F"/>
    <w:rsid w:val="00895002"/>
    <w:rsid w:val="008952B1"/>
    <w:rsid w:val="008957AC"/>
    <w:rsid w:val="00895C3B"/>
    <w:rsid w:val="00895DF5"/>
    <w:rsid w:val="008971E8"/>
    <w:rsid w:val="008A027A"/>
    <w:rsid w:val="008A0864"/>
    <w:rsid w:val="008A1AB6"/>
    <w:rsid w:val="008A1AD3"/>
    <w:rsid w:val="008A32A9"/>
    <w:rsid w:val="008A48A6"/>
    <w:rsid w:val="008A5AF4"/>
    <w:rsid w:val="008A651D"/>
    <w:rsid w:val="008B2334"/>
    <w:rsid w:val="008B25E3"/>
    <w:rsid w:val="008B2D8B"/>
    <w:rsid w:val="008B2DCC"/>
    <w:rsid w:val="008B412B"/>
    <w:rsid w:val="008B42DE"/>
    <w:rsid w:val="008B5A4D"/>
    <w:rsid w:val="008B5DAC"/>
    <w:rsid w:val="008B69D5"/>
    <w:rsid w:val="008B7B84"/>
    <w:rsid w:val="008C20BA"/>
    <w:rsid w:val="008C2D1E"/>
    <w:rsid w:val="008C3D90"/>
    <w:rsid w:val="008C4AA9"/>
    <w:rsid w:val="008C5E12"/>
    <w:rsid w:val="008D0421"/>
    <w:rsid w:val="008D109F"/>
    <w:rsid w:val="008D1874"/>
    <w:rsid w:val="008D1F98"/>
    <w:rsid w:val="008D4611"/>
    <w:rsid w:val="008D5889"/>
    <w:rsid w:val="008D6005"/>
    <w:rsid w:val="008D77FC"/>
    <w:rsid w:val="008E13A2"/>
    <w:rsid w:val="008E256A"/>
    <w:rsid w:val="008E2633"/>
    <w:rsid w:val="008E2A0A"/>
    <w:rsid w:val="008E2FD9"/>
    <w:rsid w:val="008E40BA"/>
    <w:rsid w:val="008E4357"/>
    <w:rsid w:val="008E4E43"/>
    <w:rsid w:val="008E5889"/>
    <w:rsid w:val="008E58F5"/>
    <w:rsid w:val="008E5FA1"/>
    <w:rsid w:val="008E697F"/>
    <w:rsid w:val="008F0522"/>
    <w:rsid w:val="008F14A5"/>
    <w:rsid w:val="008F172F"/>
    <w:rsid w:val="008F1BAC"/>
    <w:rsid w:val="008F1DAE"/>
    <w:rsid w:val="008F2301"/>
    <w:rsid w:val="008F28F1"/>
    <w:rsid w:val="008F2C60"/>
    <w:rsid w:val="008F3543"/>
    <w:rsid w:val="008F5C2F"/>
    <w:rsid w:val="008F6657"/>
    <w:rsid w:val="008F7D45"/>
    <w:rsid w:val="00900872"/>
    <w:rsid w:val="00900A3C"/>
    <w:rsid w:val="00901D94"/>
    <w:rsid w:val="009027B9"/>
    <w:rsid w:val="00902B07"/>
    <w:rsid w:val="009049F1"/>
    <w:rsid w:val="00905673"/>
    <w:rsid w:val="0090771F"/>
    <w:rsid w:val="00907C2C"/>
    <w:rsid w:val="00911975"/>
    <w:rsid w:val="00913528"/>
    <w:rsid w:val="00915918"/>
    <w:rsid w:val="0091603D"/>
    <w:rsid w:val="00916850"/>
    <w:rsid w:val="00922549"/>
    <w:rsid w:val="00922B66"/>
    <w:rsid w:val="00922F7A"/>
    <w:rsid w:val="0092457F"/>
    <w:rsid w:val="009250D9"/>
    <w:rsid w:val="00925C23"/>
    <w:rsid w:val="00927A69"/>
    <w:rsid w:val="009309AB"/>
    <w:rsid w:val="00930B97"/>
    <w:rsid w:val="00930CC4"/>
    <w:rsid w:val="0093340F"/>
    <w:rsid w:val="0093414F"/>
    <w:rsid w:val="0093418C"/>
    <w:rsid w:val="00934566"/>
    <w:rsid w:val="00934DAA"/>
    <w:rsid w:val="0093559E"/>
    <w:rsid w:val="00935609"/>
    <w:rsid w:val="009356E3"/>
    <w:rsid w:val="00936127"/>
    <w:rsid w:val="0093632B"/>
    <w:rsid w:val="00936501"/>
    <w:rsid w:val="009373B3"/>
    <w:rsid w:val="0093747B"/>
    <w:rsid w:val="00940982"/>
    <w:rsid w:val="009429FC"/>
    <w:rsid w:val="00942BB8"/>
    <w:rsid w:val="00943A05"/>
    <w:rsid w:val="00943BCE"/>
    <w:rsid w:val="009453C2"/>
    <w:rsid w:val="00945FCB"/>
    <w:rsid w:val="00946B3E"/>
    <w:rsid w:val="009472D4"/>
    <w:rsid w:val="00950896"/>
    <w:rsid w:val="00950EE3"/>
    <w:rsid w:val="00951054"/>
    <w:rsid w:val="0095163E"/>
    <w:rsid w:val="009519FE"/>
    <w:rsid w:val="00953064"/>
    <w:rsid w:val="009537C4"/>
    <w:rsid w:val="00953B36"/>
    <w:rsid w:val="0095411C"/>
    <w:rsid w:val="009541E4"/>
    <w:rsid w:val="009556EC"/>
    <w:rsid w:val="00956017"/>
    <w:rsid w:val="00956CB4"/>
    <w:rsid w:val="00956CEA"/>
    <w:rsid w:val="00956E3A"/>
    <w:rsid w:val="00957D1D"/>
    <w:rsid w:val="009611FF"/>
    <w:rsid w:val="00963AE1"/>
    <w:rsid w:val="00963B92"/>
    <w:rsid w:val="00963BFD"/>
    <w:rsid w:val="00965790"/>
    <w:rsid w:val="00966B91"/>
    <w:rsid w:val="00967201"/>
    <w:rsid w:val="00970D52"/>
    <w:rsid w:val="00970D5D"/>
    <w:rsid w:val="00972391"/>
    <w:rsid w:val="00972AFD"/>
    <w:rsid w:val="00973540"/>
    <w:rsid w:val="00973669"/>
    <w:rsid w:val="0097407B"/>
    <w:rsid w:val="0097516F"/>
    <w:rsid w:val="0097531A"/>
    <w:rsid w:val="00975943"/>
    <w:rsid w:val="00975B57"/>
    <w:rsid w:val="00976EF0"/>
    <w:rsid w:val="009817D0"/>
    <w:rsid w:val="00982CCC"/>
    <w:rsid w:val="009853D0"/>
    <w:rsid w:val="009871A0"/>
    <w:rsid w:val="00987AB3"/>
    <w:rsid w:val="00987B29"/>
    <w:rsid w:val="00990F74"/>
    <w:rsid w:val="009916C1"/>
    <w:rsid w:val="00991788"/>
    <w:rsid w:val="00992A1F"/>
    <w:rsid w:val="00994A96"/>
    <w:rsid w:val="00997032"/>
    <w:rsid w:val="00997164"/>
    <w:rsid w:val="009971EB"/>
    <w:rsid w:val="009972C5"/>
    <w:rsid w:val="00997D31"/>
    <w:rsid w:val="00997FCE"/>
    <w:rsid w:val="009A080B"/>
    <w:rsid w:val="009A0E71"/>
    <w:rsid w:val="009A1010"/>
    <w:rsid w:val="009A10AD"/>
    <w:rsid w:val="009A2176"/>
    <w:rsid w:val="009A27DB"/>
    <w:rsid w:val="009A27DF"/>
    <w:rsid w:val="009A2A4F"/>
    <w:rsid w:val="009A349F"/>
    <w:rsid w:val="009A3AE9"/>
    <w:rsid w:val="009A4D3E"/>
    <w:rsid w:val="009A69D7"/>
    <w:rsid w:val="009A7FB3"/>
    <w:rsid w:val="009B0198"/>
    <w:rsid w:val="009B0927"/>
    <w:rsid w:val="009B0C9B"/>
    <w:rsid w:val="009B1B84"/>
    <w:rsid w:val="009B2A5F"/>
    <w:rsid w:val="009B3FCA"/>
    <w:rsid w:val="009B4113"/>
    <w:rsid w:val="009B52BC"/>
    <w:rsid w:val="009B669F"/>
    <w:rsid w:val="009B6701"/>
    <w:rsid w:val="009B7E64"/>
    <w:rsid w:val="009B7F1E"/>
    <w:rsid w:val="009B7F39"/>
    <w:rsid w:val="009C08E5"/>
    <w:rsid w:val="009C0A44"/>
    <w:rsid w:val="009C12C9"/>
    <w:rsid w:val="009C14B1"/>
    <w:rsid w:val="009C1A63"/>
    <w:rsid w:val="009C2535"/>
    <w:rsid w:val="009C2FA9"/>
    <w:rsid w:val="009C2FC0"/>
    <w:rsid w:val="009C3139"/>
    <w:rsid w:val="009C5CA9"/>
    <w:rsid w:val="009C6996"/>
    <w:rsid w:val="009D4725"/>
    <w:rsid w:val="009D4EC0"/>
    <w:rsid w:val="009D5769"/>
    <w:rsid w:val="009D6084"/>
    <w:rsid w:val="009D6101"/>
    <w:rsid w:val="009D67B9"/>
    <w:rsid w:val="009D6D77"/>
    <w:rsid w:val="009D7AD5"/>
    <w:rsid w:val="009E0AF5"/>
    <w:rsid w:val="009E177E"/>
    <w:rsid w:val="009E2912"/>
    <w:rsid w:val="009E4ED3"/>
    <w:rsid w:val="009E527B"/>
    <w:rsid w:val="009E5432"/>
    <w:rsid w:val="009E5AB5"/>
    <w:rsid w:val="009E5E13"/>
    <w:rsid w:val="009E71C9"/>
    <w:rsid w:val="009E763E"/>
    <w:rsid w:val="009F0982"/>
    <w:rsid w:val="009F0D2B"/>
    <w:rsid w:val="009F3094"/>
    <w:rsid w:val="009F3819"/>
    <w:rsid w:val="009F3E56"/>
    <w:rsid w:val="009F4481"/>
    <w:rsid w:val="009F46F0"/>
    <w:rsid w:val="009F5490"/>
    <w:rsid w:val="009F5912"/>
    <w:rsid w:val="009F5DE5"/>
    <w:rsid w:val="009F75EB"/>
    <w:rsid w:val="009F7F7F"/>
    <w:rsid w:val="00A0036C"/>
    <w:rsid w:val="00A0297C"/>
    <w:rsid w:val="00A043BA"/>
    <w:rsid w:val="00A0449B"/>
    <w:rsid w:val="00A04C05"/>
    <w:rsid w:val="00A053FF"/>
    <w:rsid w:val="00A05E8E"/>
    <w:rsid w:val="00A06918"/>
    <w:rsid w:val="00A06E55"/>
    <w:rsid w:val="00A076E3"/>
    <w:rsid w:val="00A1027C"/>
    <w:rsid w:val="00A108B1"/>
    <w:rsid w:val="00A12DD8"/>
    <w:rsid w:val="00A1333C"/>
    <w:rsid w:val="00A13988"/>
    <w:rsid w:val="00A1421F"/>
    <w:rsid w:val="00A14590"/>
    <w:rsid w:val="00A1464D"/>
    <w:rsid w:val="00A1470A"/>
    <w:rsid w:val="00A16217"/>
    <w:rsid w:val="00A17110"/>
    <w:rsid w:val="00A1746D"/>
    <w:rsid w:val="00A1752B"/>
    <w:rsid w:val="00A179DA"/>
    <w:rsid w:val="00A17C27"/>
    <w:rsid w:val="00A20060"/>
    <w:rsid w:val="00A20102"/>
    <w:rsid w:val="00A20428"/>
    <w:rsid w:val="00A20540"/>
    <w:rsid w:val="00A208E9"/>
    <w:rsid w:val="00A21F85"/>
    <w:rsid w:val="00A229A7"/>
    <w:rsid w:val="00A230BA"/>
    <w:rsid w:val="00A24CE2"/>
    <w:rsid w:val="00A24D34"/>
    <w:rsid w:val="00A25015"/>
    <w:rsid w:val="00A25C86"/>
    <w:rsid w:val="00A30468"/>
    <w:rsid w:val="00A310B7"/>
    <w:rsid w:val="00A31DC9"/>
    <w:rsid w:val="00A32C77"/>
    <w:rsid w:val="00A330BC"/>
    <w:rsid w:val="00A33EC5"/>
    <w:rsid w:val="00A36829"/>
    <w:rsid w:val="00A37D69"/>
    <w:rsid w:val="00A41725"/>
    <w:rsid w:val="00A418EB"/>
    <w:rsid w:val="00A43302"/>
    <w:rsid w:val="00A447F8"/>
    <w:rsid w:val="00A4545B"/>
    <w:rsid w:val="00A455AF"/>
    <w:rsid w:val="00A458E9"/>
    <w:rsid w:val="00A460E2"/>
    <w:rsid w:val="00A472AA"/>
    <w:rsid w:val="00A5056B"/>
    <w:rsid w:val="00A521E0"/>
    <w:rsid w:val="00A52A8D"/>
    <w:rsid w:val="00A52D41"/>
    <w:rsid w:val="00A53484"/>
    <w:rsid w:val="00A53945"/>
    <w:rsid w:val="00A5479D"/>
    <w:rsid w:val="00A55C62"/>
    <w:rsid w:val="00A56E7C"/>
    <w:rsid w:val="00A57EF4"/>
    <w:rsid w:val="00A6146F"/>
    <w:rsid w:val="00A6289F"/>
    <w:rsid w:val="00A6307B"/>
    <w:rsid w:val="00A64CEA"/>
    <w:rsid w:val="00A66F73"/>
    <w:rsid w:val="00A66F8B"/>
    <w:rsid w:val="00A6766E"/>
    <w:rsid w:val="00A67B37"/>
    <w:rsid w:val="00A67B9E"/>
    <w:rsid w:val="00A67BAC"/>
    <w:rsid w:val="00A67E83"/>
    <w:rsid w:val="00A701BF"/>
    <w:rsid w:val="00A705E6"/>
    <w:rsid w:val="00A722BC"/>
    <w:rsid w:val="00A73D24"/>
    <w:rsid w:val="00A75531"/>
    <w:rsid w:val="00A766DB"/>
    <w:rsid w:val="00A774E3"/>
    <w:rsid w:val="00A77650"/>
    <w:rsid w:val="00A77A98"/>
    <w:rsid w:val="00A77CD0"/>
    <w:rsid w:val="00A80995"/>
    <w:rsid w:val="00A81A4C"/>
    <w:rsid w:val="00A81D2D"/>
    <w:rsid w:val="00A83160"/>
    <w:rsid w:val="00A8342E"/>
    <w:rsid w:val="00A83C6B"/>
    <w:rsid w:val="00A85123"/>
    <w:rsid w:val="00A86CDF"/>
    <w:rsid w:val="00A879D3"/>
    <w:rsid w:val="00A912BA"/>
    <w:rsid w:val="00A9269D"/>
    <w:rsid w:val="00A9303F"/>
    <w:rsid w:val="00A94126"/>
    <w:rsid w:val="00A94B9B"/>
    <w:rsid w:val="00A94E70"/>
    <w:rsid w:val="00A95787"/>
    <w:rsid w:val="00A96C4F"/>
    <w:rsid w:val="00A97056"/>
    <w:rsid w:val="00A97A2A"/>
    <w:rsid w:val="00A97F05"/>
    <w:rsid w:val="00AA016D"/>
    <w:rsid w:val="00AA0C5C"/>
    <w:rsid w:val="00AA1232"/>
    <w:rsid w:val="00AA1278"/>
    <w:rsid w:val="00AA149B"/>
    <w:rsid w:val="00AA3665"/>
    <w:rsid w:val="00AA3FBB"/>
    <w:rsid w:val="00AA620F"/>
    <w:rsid w:val="00AA78EC"/>
    <w:rsid w:val="00AB0413"/>
    <w:rsid w:val="00AB1282"/>
    <w:rsid w:val="00AB1713"/>
    <w:rsid w:val="00AB1AC6"/>
    <w:rsid w:val="00AB1E22"/>
    <w:rsid w:val="00AB1F33"/>
    <w:rsid w:val="00AB24A2"/>
    <w:rsid w:val="00AB647E"/>
    <w:rsid w:val="00AB6CD2"/>
    <w:rsid w:val="00AC05F0"/>
    <w:rsid w:val="00AC07B4"/>
    <w:rsid w:val="00AC098F"/>
    <w:rsid w:val="00AC0D28"/>
    <w:rsid w:val="00AC1E5B"/>
    <w:rsid w:val="00AC29B5"/>
    <w:rsid w:val="00AC3DC1"/>
    <w:rsid w:val="00AC541E"/>
    <w:rsid w:val="00AC6465"/>
    <w:rsid w:val="00AC6AFD"/>
    <w:rsid w:val="00AC6C96"/>
    <w:rsid w:val="00AD0C74"/>
    <w:rsid w:val="00AD1856"/>
    <w:rsid w:val="00AD270D"/>
    <w:rsid w:val="00AD295F"/>
    <w:rsid w:val="00AD32B9"/>
    <w:rsid w:val="00AD3A1B"/>
    <w:rsid w:val="00AD45B0"/>
    <w:rsid w:val="00AD4735"/>
    <w:rsid w:val="00AD499A"/>
    <w:rsid w:val="00AD5AEB"/>
    <w:rsid w:val="00AD5CBA"/>
    <w:rsid w:val="00AD60C4"/>
    <w:rsid w:val="00AD6689"/>
    <w:rsid w:val="00AE0357"/>
    <w:rsid w:val="00AE0924"/>
    <w:rsid w:val="00AE110B"/>
    <w:rsid w:val="00AE3F79"/>
    <w:rsid w:val="00AE470F"/>
    <w:rsid w:val="00AE5E68"/>
    <w:rsid w:val="00AE6DD1"/>
    <w:rsid w:val="00AE7D4D"/>
    <w:rsid w:val="00AF0423"/>
    <w:rsid w:val="00AF2A9E"/>
    <w:rsid w:val="00AF3EAB"/>
    <w:rsid w:val="00AF450B"/>
    <w:rsid w:val="00AF577F"/>
    <w:rsid w:val="00AF6C0D"/>
    <w:rsid w:val="00AF6C49"/>
    <w:rsid w:val="00AF738B"/>
    <w:rsid w:val="00AF7930"/>
    <w:rsid w:val="00B00118"/>
    <w:rsid w:val="00B010E1"/>
    <w:rsid w:val="00B01158"/>
    <w:rsid w:val="00B022BE"/>
    <w:rsid w:val="00B023B6"/>
    <w:rsid w:val="00B02B94"/>
    <w:rsid w:val="00B05AF4"/>
    <w:rsid w:val="00B065F6"/>
    <w:rsid w:val="00B10AE5"/>
    <w:rsid w:val="00B13A1B"/>
    <w:rsid w:val="00B13D05"/>
    <w:rsid w:val="00B13F17"/>
    <w:rsid w:val="00B15EFF"/>
    <w:rsid w:val="00B16F1F"/>
    <w:rsid w:val="00B215CE"/>
    <w:rsid w:val="00B2296A"/>
    <w:rsid w:val="00B22FBB"/>
    <w:rsid w:val="00B24FCB"/>
    <w:rsid w:val="00B2540B"/>
    <w:rsid w:val="00B26236"/>
    <w:rsid w:val="00B271A5"/>
    <w:rsid w:val="00B30CDE"/>
    <w:rsid w:val="00B31613"/>
    <w:rsid w:val="00B32855"/>
    <w:rsid w:val="00B32C93"/>
    <w:rsid w:val="00B35379"/>
    <w:rsid w:val="00B35680"/>
    <w:rsid w:val="00B35E7E"/>
    <w:rsid w:val="00B36030"/>
    <w:rsid w:val="00B361AB"/>
    <w:rsid w:val="00B3647B"/>
    <w:rsid w:val="00B369F0"/>
    <w:rsid w:val="00B415A9"/>
    <w:rsid w:val="00B416A7"/>
    <w:rsid w:val="00B41B18"/>
    <w:rsid w:val="00B41D02"/>
    <w:rsid w:val="00B43949"/>
    <w:rsid w:val="00B43C0F"/>
    <w:rsid w:val="00B45A99"/>
    <w:rsid w:val="00B465BD"/>
    <w:rsid w:val="00B51379"/>
    <w:rsid w:val="00B5352F"/>
    <w:rsid w:val="00B535D2"/>
    <w:rsid w:val="00B537AA"/>
    <w:rsid w:val="00B53C52"/>
    <w:rsid w:val="00B53E91"/>
    <w:rsid w:val="00B5493D"/>
    <w:rsid w:val="00B60963"/>
    <w:rsid w:val="00B60A32"/>
    <w:rsid w:val="00B60BE9"/>
    <w:rsid w:val="00B616DC"/>
    <w:rsid w:val="00B61F2F"/>
    <w:rsid w:val="00B644D0"/>
    <w:rsid w:val="00B64517"/>
    <w:rsid w:val="00B65567"/>
    <w:rsid w:val="00B6567D"/>
    <w:rsid w:val="00B65F25"/>
    <w:rsid w:val="00B663B1"/>
    <w:rsid w:val="00B66A59"/>
    <w:rsid w:val="00B670F4"/>
    <w:rsid w:val="00B67C63"/>
    <w:rsid w:val="00B70C9E"/>
    <w:rsid w:val="00B71502"/>
    <w:rsid w:val="00B72FE4"/>
    <w:rsid w:val="00B73790"/>
    <w:rsid w:val="00B73DE7"/>
    <w:rsid w:val="00B74515"/>
    <w:rsid w:val="00B75E47"/>
    <w:rsid w:val="00B75FBA"/>
    <w:rsid w:val="00B805D5"/>
    <w:rsid w:val="00B809D8"/>
    <w:rsid w:val="00B80C0B"/>
    <w:rsid w:val="00B80CBD"/>
    <w:rsid w:val="00B82DBD"/>
    <w:rsid w:val="00B83D40"/>
    <w:rsid w:val="00B83EB5"/>
    <w:rsid w:val="00B841CE"/>
    <w:rsid w:val="00B85277"/>
    <w:rsid w:val="00B85F2B"/>
    <w:rsid w:val="00B86DF5"/>
    <w:rsid w:val="00B877FA"/>
    <w:rsid w:val="00B925BF"/>
    <w:rsid w:val="00B93310"/>
    <w:rsid w:val="00B93C95"/>
    <w:rsid w:val="00B95941"/>
    <w:rsid w:val="00B96333"/>
    <w:rsid w:val="00B963BC"/>
    <w:rsid w:val="00BA03BC"/>
    <w:rsid w:val="00BA1E78"/>
    <w:rsid w:val="00BA2C67"/>
    <w:rsid w:val="00BA3542"/>
    <w:rsid w:val="00BA4B8E"/>
    <w:rsid w:val="00BA5D81"/>
    <w:rsid w:val="00BA6DD5"/>
    <w:rsid w:val="00BA74BA"/>
    <w:rsid w:val="00BB0AF3"/>
    <w:rsid w:val="00BB16E9"/>
    <w:rsid w:val="00BB1EE3"/>
    <w:rsid w:val="00BB1F09"/>
    <w:rsid w:val="00BB2B58"/>
    <w:rsid w:val="00BB5A9A"/>
    <w:rsid w:val="00BB5EC6"/>
    <w:rsid w:val="00BB72E8"/>
    <w:rsid w:val="00BC1832"/>
    <w:rsid w:val="00BC19FF"/>
    <w:rsid w:val="00BC3B09"/>
    <w:rsid w:val="00BC438F"/>
    <w:rsid w:val="00BC45F5"/>
    <w:rsid w:val="00BC5794"/>
    <w:rsid w:val="00BC5FFE"/>
    <w:rsid w:val="00BC76DD"/>
    <w:rsid w:val="00BD01AA"/>
    <w:rsid w:val="00BD0263"/>
    <w:rsid w:val="00BD1275"/>
    <w:rsid w:val="00BD27EA"/>
    <w:rsid w:val="00BD28CA"/>
    <w:rsid w:val="00BD42D4"/>
    <w:rsid w:val="00BD4F43"/>
    <w:rsid w:val="00BD58E2"/>
    <w:rsid w:val="00BD5AB4"/>
    <w:rsid w:val="00BD6A24"/>
    <w:rsid w:val="00BE021D"/>
    <w:rsid w:val="00BE0C92"/>
    <w:rsid w:val="00BE15DB"/>
    <w:rsid w:val="00BE1E82"/>
    <w:rsid w:val="00BE3176"/>
    <w:rsid w:val="00BE3EEA"/>
    <w:rsid w:val="00BE3F40"/>
    <w:rsid w:val="00BE3F8B"/>
    <w:rsid w:val="00BE5D6C"/>
    <w:rsid w:val="00BE6B87"/>
    <w:rsid w:val="00BE6CB5"/>
    <w:rsid w:val="00BE6D46"/>
    <w:rsid w:val="00BE7D1B"/>
    <w:rsid w:val="00BF09EE"/>
    <w:rsid w:val="00BF0DFA"/>
    <w:rsid w:val="00BF2178"/>
    <w:rsid w:val="00BF21C8"/>
    <w:rsid w:val="00BF2787"/>
    <w:rsid w:val="00BF2DA2"/>
    <w:rsid w:val="00BF37F2"/>
    <w:rsid w:val="00BF3A89"/>
    <w:rsid w:val="00BF5663"/>
    <w:rsid w:val="00BF58E8"/>
    <w:rsid w:val="00BF5B2A"/>
    <w:rsid w:val="00BF608E"/>
    <w:rsid w:val="00BF6E4C"/>
    <w:rsid w:val="00C0013E"/>
    <w:rsid w:val="00C01363"/>
    <w:rsid w:val="00C018F4"/>
    <w:rsid w:val="00C01D41"/>
    <w:rsid w:val="00C02E33"/>
    <w:rsid w:val="00C03473"/>
    <w:rsid w:val="00C03505"/>
    <w:rsid w:val="00C035DF"/>
    <w:rsid w:val="00C05833"/>
    <w:rsid w:val="00C05C2C"/>
    <w:rsid w:val="00C06036"/>
    <w:rsid w:val="00C06FF7"/>
    <w:rsid w:val="00C10104"/>
    <w:rsid w:val="00C10CA7"/>
    <w:rsid w:val="00C10EC0"/>
    <w:rsid w:val="00C1293E"/>
    <w:rsid w:val="00C12AF8"/>
    <w:rsid w:val="00C12DE7"/>
    <w:rsid w:val="00C12E9E"/>
    <w:rsid w:val="00C12ECE"/>
    <w:rsid w:val="00C13069"/>
    <w:rsid w:val="00C13247"/>
    <w:rsid w:val="00C13982"/>
    <w:rsid w:val="00C152B5"/>
    <w:rsid w:val="00C15BB3"/>
    <w:rsid w:val="00C15F53"/>
    <w:rsid w:val="00C164E3"/>
    <w:rsid w:val="00C16540"/>
    <w:rsid w:val="00C1683E"/>
    <w:rsid w:val="00C175E5"/>
    <w:rsid w:val="00C17A46"/>
    <w:rsid w:val="00C17AEF"/>
    <w:rsid w:val="00C20E68"/>
    <w:rsid w:val="00C21F6C"/>
    <w:rsid w:val="00C231B8"/>
    <w:rsid w:val="00C233EF"/>
    <w:rsid w:val="00C23408"/>
    <w:rsid w:val="00C237D5"/>
    <w:rsid w:val="00C237FB"/>
    <w:rsid w:val="00C2389C"/>
    <w:rsid w:val="00C259F1"/>
    <w:rsid w:val="00C27242"/>
    <w:rsid w:val="00C300AA"/>
    <w:rsid w:val="00C3011F"/>
    <w:rsid w:val="00C3023D"/>
    <w:rsid w:val="00C3239B"/>
    <w:rsid w:val="00C32CEE"/>
    <w:rsid w:val="00C33CC9"/>
    <w:rsid w:val="00C3591C"/>
    <w:rsid w:val="00C359A0"/>
    <w:rsid w:val="00C36026"/>
    <w:rsid w:val="00C364F9"/>
    <w:rsid w:val="00C36A0F"/>
    <w:rsid w:val="00C37296"/>
    <w:rsid w:val="00C378CB"/>
    <w:rsid w:val="00C40620"/>
    <w:rsid w:val="00C409E5"/>
    <w:rsid w:val="00C40B54"/>
    <w:rsid w:val="00C41148"/>
    <w:rsid w:val="00C41557"/>
    <w:rsid w:val="00C41DFE"/>
    <w:rsid w:val="00C41E82"/>
    <w:rsid w:val="00C41F7A"/>
    <w:rsid w:val="00C43045"/>
    <w:rsid w:val="00C44F68"/>
    <w:rsid w:val="00C462FA"/>
    <w:rsid w:val="00C46323"/>
    <w:rsid w:val="00C47A58"/>
    <w:rsid w:val="00C47B73"/>
    <w:rsid w:val="00C55E68"/>
    <w:rsid w:val="00C56138"/>
    <w:rsid w:val="00C564F3"/>
    <w:rsid w:val="00C56B65"/>
    <w:rsid w:val="00C57245"/>
    <w:rsid w:val="00C57D50"/>
    <w:rsid w:val="00C60396"/>
    <w:rsid w:val="00C61157"/>
    <w:rsid w:val="00C6122E"/>
    <w:rsid w:val="00C618BB"/>
    <w:rsid w:val="00C62DB9"/>
    <w:rsid w:val="00C645A8"/>
    <w:rsid w:val="00C65233"/>
    <w:rsid w:val="00C6579A"/>
    <w:rsid w:val="00C65983"/>
    <w:rsid w:val="00C6604D"/>
    <w:rsid w:val="00C66BC1"/>
    <w:rsid w:val="00C7004C"/>
    <w:rsid w:val="00C70916"/>
    <w:rsid w:val="00C7101D"/>
    <w:rsid w:val="00C71A60"/>
    <w:rsid w:val="00C77F0A"/>
    <w:rsid w:val="00C809EC"/>
    <w:rsid w:val="00C8131F"/>
    <w:rsid w:val="00C813F6"/>
    <w:rsid w:val="00C81476"/>
    <w:rsid w:val="00C81736"/>
    <w:rsid w:val="00C818EC"/>
    <w:rsid w:val="00C82741"/>
    <w:rsid w:val="00C8307E"/>
    <w:rsid w:val="00C840B2"/>
    <w:rsid w:val="00C860A4"/>
    <w:rsid w:val="00C86F04"/>
    <w:rsid w:val="00C87414"/>
    <w:rsid w:val="00C874DD"/>
    <w:rsid w:val="00C901E1"/>
    <w:rsid w:val="00C9035F"/>
    <w:rsid w:val="00C90448"/>
    <w:rsid w:val="00C907E1"/>
    <w:rsid w:val="00C91978"/>
    <w:rsid w:val="00C91DAE"/>
    <w:rsid w:val="00C93170"/>
    <w:rsid w:val="00C933C8"/>
    <w:rsid w:val="00C93943"/>
    <w:rsid w:val="00C94391"/>
    <w:rsid w:val="00C945C4"/>
    <w:rsid w:val="00C947E3"/>
    <w:rsid w:val="00C94D7E"/>
    <w:rsid w:val="00C95EAB"/>
    <w:rsid w:val="00C962EB"/>
    <w:rsid w:val="00C96D95"/>
    <w:rsid w:val="00C96EB0"/>
    <w:rsid w:val="00CA0A66"/>
    <w:rsid w:val="00CA1124"/>
    <w:rsid w:val="00CA14A3"/>
    <w:rsid w:val="00CA190F"/>
    <w:rsid w:val="00CA1B13"/>
    <w:rsid w:val="00CA27EF"/>
    <w:rsid w:val="00CA2F9F"/>
    <w:rsid w:val="00CA53E3"/>
    <w:rsid w:val="00CA6BED"/>
    <w:rsid w:val="00CA6E28"/>
    <w:rsid w:val="00CA72BB"/>
    <w:rsid w:val="00CA74F1"/>
    <w:rsid w:val="00CA7598"/>
    <w:rsid w:val="00CA7991"/>
    <w:rsid w:val="00CB0B1D"/>
    <w:rsid w:val="00CB1361"/>
    <w:rsid w:val="00CB1BF4"/>
    <w:rsid w:val="00CB204E"/>
    <w:rsid w:val="00CB27CF"/>
    <w:rsid w:val="00CB28A4"/>
    <w:rsid w:val="00CB2CF4"/>
    <w:rsid w:val="00CB2FAA"/>
    <w:rsid w:val="00CB30A4"/>
    <w:rsid w:val="00CB4348"/>
    <w:rsid w:val="00CB4552"/>
    <w:rsid w:val="00CB58B7"/>
    <w:rsid w:val="00CB58B8"/>
    <w:rsid w:val="00CB5B3E"/>
    <w:rsid w:val="00CB5EEC"/>
    <w:rsid w:val="00CC1E8F"/>
    <w:rsid w:val="00CC26AD"/>
    <w:rsid w:val="00CC3160"/>
    <w:rsid w:val="00CC3D0C"/>
    <w:rsid w:val="00CC6141"/>
    <w:rsid w:val="00CC62B6"/>
    <w:rsid w:val="00CC6619"/>
    <w:rsid w:val="00CC7C03"/>
    <w:rsid w:val="00CD12AF"/>
    <w:rsid w:val="00CD1712"/>
    <w:rsid w:val="00CD180E"/>
    <w:rsid w:val="00CD1A39"/>
    <w:rsid w:val="00CD2284"/>
    <w:rsid w:val="00CD293C"/>
    <w:rsid w:val="00CD300F"/>
    <w:rsid w:val="00CD3548"/>
    <w:rsid w:val="00CD36E5"/>
    <w:rsid w:val="00CD49B6"/>
    <w:rsid w:val="00CD728A"/>
    <w:rsid w:val="00CD7588"/>
    <w:rsid w:val="00CE0E9B"/>
    <w:rsid w:val="00CE112A"/>
    <w:rsid w:val="00CE1323"/>
    <w:rsid w:val="00CE150F"/>
    <w:rsid w:val="00CE2100"/>
    <w:rsid w:val="00CE4B35"/>
    <w:rsid w:val="00CE52B1"/>
    <w:rsid w:val="00CE6204"/>
    <w:rsid w:val="00CE7BF9"/>
    <w:rsid w:val="00CF018B"/>
    <w:rsid w:val="00CF021C"/>
    <w:rsid w:val="00CF38F0"/>
    <w:rsid w:val="00CF4A60"/>
    <w:rsid w:val="00CF4FE6"/>
    <w:rsid w:val="00CF534C"/>
    <w:rsid w:val="00CF729B"/>
    <w:rsid w:val="00D00516"/>
    <w:rsid w:val="00D00748"/>
    <w:rsid w:val="00D007A0"/>
    <w:rsid w:val="00D02743"/>
    <w:rsid w:val="00D03C94"/>
    <w:rsid w:val="00D0495D"/>
    <w:rsid w:val="00D066BD"/>
    <w:rsid w:val="00D06E7F"/>
    <w:rsid w:val="00D077F3"/>
    <w:rsid w:val="00D11E5A"/>
    <w:rsid w:val="00D12793"/>
    <w:rsid w:val="00D13C79"/>
    <w:rsid w:val="00D14D7B"/>
    <w:rsid w:val="00D17971"/>
    <w:rsid w:val="00D21FAC"/>
    <w:rsid w:val="00D268FD"/>
    <w:rsid w:val="00D26D97"/>
    <w:rsid w:val="00D2717A"/>
    <w:rsid w:val="00D272BF"/>
    <w:rsid w:val="00D27D69"/>
    <w:rsid w:val="00D31BAA"/>
    <w:rsid w:val="00D31C5F"/>
    <w:rsid w:val="00D3303D"/>
    <w:rsid w:val="00D33B04"/>
    <w:rsid w:val="00D34263"/>
    <w:rsid w:val="00D35AC8"/>
    <w:rsid w:val="00D35D00"/>
    <w:rsid w:val="00D37537"/>
    <w:rsid w:val="00D37FE5"/>
    <w:rsid w:val="00D42D86"/>
    <w:rsid w:val="00D44341"/>
    <w:rsid w:val="00D4526F"/>
    <w:rsid w:val="00D45C24"/>
    <w:rsid w:val="00D461DA"/>
    <w:rsid w:val="00D46E1E"/>
    <w:rsid w:val="00D47035"/>
    <w:rsid w:val="00D47326"/>
    <w:rsid w:val="00D473F7"/>
    <w:rsid w:val="00D50839"/>
    <w:rsid w:val="00D50C1A"/>
    <w:rsid w:val="00D51D8B"/>
    <w:rsid w:val="00D52459"/>
    <w:rsid w:val="00D5403C"/>
    <w:rsid w:val="00D540C8"/>
    <w:rsid w:val="00D54140"/>
    <w:rsid w:val="00D54ED0"/>
    <w:rsid w:val="00D5574B"/>
    <w:rsid w:val="00D57F47"/>
    <w:rsid w:val="00D6046F"/>
    <w:rsid w:val="00D60597"/>
    <w:rsid w:val="00D60B58"/>
    <w:rsid w:val="00D617BD"/>
    <w:rsid w:val="00D62546"/>
    <w:rsid w:val="00D63A30"/>
    <w:rsid w:val="00D6464A"/>
    <w:rsid w:val="00D658AA"/>
    <w:rsid w:val="00D71267"/>
    <w:rsid w:val="00D714E0"/>
    <w:rsid w:val="00D7584F"/>
    <w:rsid w:val="00D77768"/>
    <w:rsid w:val="00D82636"/>
    <w:rsid w:val="00D85F1D"/>
    <w:rsid w:val="00D86964"/>
    <w:rsid w:val="00D873C5"/>
    <w:rsid w:val="00D91BAB"/>
    <w:rsid w:val="00D91E7E"/>
    <w:rsid w:val="00D92624"/>
    <w:rsid w:val="00D93644"/>
    <w:rsid w:val="00D94F42"/>
    <w:rsid w:val="00D95984"/>
    <w:rsid w:val="00D9598F"/>
    <w:rsid w:val="00D95FA4"/>
    <w:rsid w:val="00D979F5"/>
    <w:rsid w:val="00D97C8F"/>
    <w:rsid w:val="00DA211F"/>
    <w:rsid w:val="00DA329A"/>
    <w:rsid w:val="00DA352B"/>
    <w:rsid w:val="00DA561B"/>
    <w:rsid w:val="00DA5761"/>
    <w:rsid w:val="00DA5BF1"/>
    <w:rsid w:val="00DA7666"/>
    <w:rsid w:val="00DA7C17"/>
    <w:rsid w:val="00DA7E17"/>
    <w:rsid w:val="00DB08E9"/>
    <w:rsid w:val="00DB0F27"/>
    <w:rsid w:val="00DB161C"/>
    <w:rsid w:val="00DB2B08"/>
    <w:rsid w:val="00DB3C46"/>
    <w:rsid w:val="00DB3EA8"/>
    <w:rsid w:val="00DB48B5"/>
    <w:rsid w:val="00DB4A78"/>
    <w:rsid w:val="00DB5C15"/>
    <w:rsid w:val="00DB758B"/>
    <w:rsid w:val="00DC1551"/>
    <w:rsid w:val="00DC1A70"/>
    <w:rsid w:val="00DC1A9E"/>
    <w:rsid w:val="00DC2492"/>
    <w:rsid w:val="00DC3EAE"/>
    <w:rsid w:val="00DC3FF8"/>
    <w:rsid w:val="00DC4DEA"/>
    <w:rsid w:val="00DC6991"/>
    <w:rsid w:val="00DD054C"/>
    <w:rsid w:val="00DD0566"/>
    <w:rsid w:val="00DD09D0"/>
    <w:rsid w:val="00DD0FB7"/>
    <w:rsid w:val="00DD2439"/>
    <w:rsid w:val="00DD44D4"/>
    <w:rsid w:val="00DD4C30"/>
    <w:rsid w:val="00DD789B"/>
    <w:rsid w:val="00DE07DD"/>
    <w:rsid w:val="00DE08AD"/>
    <w:rsid w:val="00DE16BB"/>
    <w:rsid w:val="00DE261B"/>
    <w:rsid w:val="00DE2F7E"/>
    <w:rsid w:val="00DE3E0E"/>
    <w:rsid w:val="00DE539F"/>
    <w:rsid w:val="00DE5991"/>
    <w:rsid w:val="00DE5EBF"/>
    <w:rsid w:val="00DE68BB"/>
    <w:rsid w:val="00DE758E"/>
    <w:rsid w:val="00DF191F"/>
    <w:rsid w:val="00DF2648"/>
    <w:rsid w:val="00DF3767"/>
    <w:rsid w:val="00DF61A5"/>
    <w:rsid w:val="00DF6C1B"/>
    <w:rsid w:val="00DF7215"/>
    <w:rsid w:val="00E00700"/>
    <w:rsid w:val="00E013CA"/>
    <w:rsid w:val="00E0202C"/>
    <w:rsid w:val="00E03405"/>
    <w:rsid w:val="00E03D23"/>
    <w:rsid w:val="00E04393"/>
    <w:rsid w:val="00E04FAD"/>
    <w:rsid w:val="00E05489"/>
    <w:rsid w:val="00E07759"/>
    <w:rsid w:val="00E105C6"/>
    <w:rsid w:val="00E11A48"/>
    <w:rsid w:val="00E131FA"/>
    <w:rsid w:val="00E161C2"/>
    <w:rsid w:val="00E2073B"/>
    <w:rsid w:val="00E21732"/>
    <w:rsid w:val="00E21E2F"/>
    <w:rsid w:val="00E23FDE"/>
    <w:rsid w:val="00E240F8"/>
    <w:rsid w:val="00E2510F"/>
    <w:rsid w:val="00E2674B"/>
    <w:rsid w:val="00E26799"/>
    <w:rsid w:val="00E267C6"/>
    <w:rsid w:val="00E26B6E"/>
    <w:rsid w:val="00E27192"/>
    <w:rsid w:val="00E277B7"/>
    <w:rsid w:val="00E318D7"/>
    <w:rsid w:val="00E318E0"/>
    <w:rsid w:val="00E31B04"/>
    <w:rsid w:val="00E31B5A"/>
    <w:rsid w:val="00E31CE5"/>
    <w:rsid w:val="00E32D77"/>
    <w:rsid w:val="00E3365A"/>
    <w:rsid w:val="00E33F73"/>
    <w:rsid w:val="00E36488"/>
    <w:rsid w:val="00E36546"/>
    <w:rsid w:val="00E36FE5"/>
    <w:rsid w:val="00E3709B"/>
    <w:rsid w:val="00E40A06"/>
    <w:rsid w:val="00E42A94"/>
    <w:rsid w:val="00E42F73"/>
    <w:rsid w:val="00E433BF"/>
    <w:rsid w:val="00E43F17"/>
    <w:rsid w:val="00E4427D"/>
    <w:rsid w:val="00E45451"/>
    <w:rsid w:val="00E462AB"/>
    <w:rsid w:val="00E46736"/>
    <w:rsid w:val="00E472CB"/>
    <w:rsid w:val="00E47FA2"/>
    <w:rsid w:val="00E504B5"/>
    <w:rsid w:val="00E50F1D"/>
    <w:rsid w:val="00E51210"/>
    <w:rsid w:val="00E512AA"/>
    <w:rsid w:val="00E51A0B"/>
    <w:rsid w:val="00E51CF7"/>
    <w:rsid w:val="00E54223"/>
    <w:rsid w:val="00E55455"/>
    <w:rsid w:val="00E55E49"/>
    <w:rsid w:val="00E56B55"/>
    <w:rsid w:val="00E572F5"/>
    <w:rsid w:val="00E60D1A"/>
    <w:rsid w:val="00E63D0B"/>
    <w:rsid w:val="00E65413"/>
    <w:rsid w:val="00E66911"/>
    <w:rsid w:val="00E66FFF"/>
    <w:rsid w:val="00E67B37"/>
    <w:rsid w:val="00E7046D"/>
    <w:rsid w:val="00E70E19"/>
    <w:rsid w:val="00E7233B"/>
    <w:rsid w:val="00E74AD2"/>
    <w:rsid w:val="00E75887"/>
    <w:rsid w:val="00E761B4"/>
    <w:rsid w:val="00E763D0"/>
    <w:rsid w:val="00E77D57"/>
    <w:rsid w:val="00E808CF"/>
    <w:rsid w:val="00E81B9C"/>
    <w:rsid w:val="00E83475"/>
    <w:rsid w:val="00E841C3"/>
    <w:rsid w:val="00E90F0F"/>
    <w:rsid w:val="00E90F8D"/>
    <w:rsid w:val="00E92550"/>
    <w:rsid w:val="00E97FD3"/>
    <w:rsid w:val="00EA028D"/>
    <w:rsid w:val="00EA0549"/>
    <w:rsid w:val="00EA1BFA"/>
    <w:rsid w:val="00EA1FF2"/>
    <w:rsid w:val="00EA2368"/>
    <w:rsid w:val="00EA27B7"/>
    <w:rsid w:val="00EA27C1"/>
    <w:rsid w:val="00EA3720"/>
    <w:rsid w:val="00EA3B0E"/>
    <w:rsid w:val="00EA3D91"/>
    <w:rsid w:val="00EA59E4"/>
    <w:rsid w:val="00EA606F"/>
    <w:rsid w:val="00EA6868"/>
    <w:rsid w:val="00EA68A1"/>
    <w:rsid w:val="00EA6B25"/>
    <w:rsid w:val="00EA6B3E"/>
    <w:rsid w:val="00EB1AE4"/>
    <w:rsid w:val="00EB1CBA"/>
    <w:rsid w:val="00EB57B8"/>
    <w:rsid w:val="00EB57D7"/>
    <w:rsid w:val="00EB6B89"/>
    <w:rsid w:val="00EB78AE"/>
    <w:rsid w:val="00EC219A"/>
    <w:rsid w:val="00EC5106"/>
    <w:rsid w:val="00EC5B0E"/>
    <w:rsid w:val="00EC609E"/>
    <w:rsid w:val="00EC622F"/>
    <w:rsid w:val="00EC66B9"/>
    <w:rsid w:val="00EC6772"/>
    <w:rsid w:val="00EC694D"/>
    <w:rsid w:val="00EC6E84"/>
    <w:rsid w:val="00EC714C"/>
    <w:rsid w:val="00EC7BEF"/>
    <w:rsid w:val="00ED043E"/>
    <w:rsid w:val="00ED04D0"/>
    <w:rsid w:val="00ED055B"/>
    <w:rsid w:val="00ED0AB9"/>
    <w:rsid w:val="00ED1A09"/>
    <w:rsid w:val="00ED2DF9"/>
    <w:rsid w:val="00ED62B1"/>
    <w:rsid w:val="00ED7478"/>
    <w:rsid w:val="00EE2736"/>
    <w:rsid w:val="00EE2CF2"/>
    <w:rsid w:val="00EE4070"/>
    <w:rsid w:val="00EE4797"/>
    <w:rsid w:val="00EE51F2"/>
    <w:rsid w:val="00EE5EB2"/>
    <w:rsid w:val="00EE65A3"/>
    <w:rsid w:val="00EE6BDF"/>
    <w:rsid w:val="00EE6F6D"/>
    <w:rsid w:val="00EE735E"/>
    <w:rsid w:val="00EE7619"/>
    <w:rsid w:val="00EF122C"/>
    <w:rsid w:val="00EF2062"/>
    <w:rsid w:val="00EF4A8B"/>
    <w:rsid w:val="00EF4C9E"/>
    <w:rsid w:val="00EF5566"/>
    <w:rsid w:val="00EF5ABB"/>
    <w:rsid w:val="00F00B28"/>
    <w:rsid w:val="00F01107"/>
    <w:rsid w:val="00F018BA"/>
    <w:rsid w:val="00F01A90"/>
    <w:rsid w:val="00F02EC2"/>
    <w:rsid w:val="00F03908"/>
    <w:rsid w:val="00F0660E"/>
    <w:rsid w:val="00F07615"/>
    <w:rsid w:val="00F10015"/>
    <w:rsid w:val="00F101BE"/>
    <w:rsid w:val="00F1473C"/>
    <w:rsid w:val="00F14786"/>
    <w:rsid w:val="00F148D9"/>
    <w:rsid w:val="00F15206"/>
    <w:rsid w:val="00F154EB"/>
    <w:rsid w:val="00F1655A"/>
    <w:rsid w:val="00F17DE6"/>
    <w:rsid w:val="00F2254B"/>
    <w:rsid w:val="00F24187"/>
    <w:rsid w:val="00F2446E"/>
    <w:rsid w:val="00F24BE0"/>
    <w:rsid w:val="00F26442"/>
    <w:rsid w:val="00F27717"/>
    <w:rsid w:val="00F31048"/>
    <w:rsid w:val="00F3108B"/>
    <w:rsid w:val="00F312BF"/>
    <w:rsid w:val="00F31E2F"/>
    <w:rsid w:val="00F33031"/>
    <w:rsid w:val="00F34E84"/>
    <w:rsid w:val="00F35730"/>
    <w:rsid w:val="00F35768"/>
    <w:rsid w:val="00F3665E"/>
    <w:rsid w:val="00F40264"/>
    <w:rsid w:val="00F4166C"/>
    <w:rsid w:val="00F41F67"/>
    <w:rsid w:val="00F44441"/>
    <w:rsid w:val="00F447E1"/>
    <w:rsid w:val="00F44EA2"/>
    <w:rsid w:val="00F452BD"/>
    <w:rsid w:val="00F471F1"/>
    <w:rsid w:val="00F47AA4"/>
    <w:rsid w:val="00F520B0"/>
    <w:rsid w:val="00F5252C"/>
    <w:rsid w:val="00F53288"/>
    <w:rsid w:val="00F56700"/>
    <w:rsid w:val="00F60044"/>
    <w:rsid w:val="00F627E1"/>
    <w:rsid w:val="00F63597"/>
    <w:rsid w:val="00F64274"/>
    <w:rsid w:val="00F648E9"/>
    <w:rsid w:val="00F65E0F"/>
    <w:rsid w:val="00F65E94"/>
    <w:rsid w:val="00F66408"/>
    <w:rsid w:val="00F666CC"/>
    <w:rsid w:val="00F66798"/>
    <w:rsid w:val="00F66AD3"/>
    <w:rsid w:val="00F71174"/>
    <w:rsid w:val="00F71EF5"/>
    <w:rsid w:val="00F7224E"/>
    <w:rsid w:val="00F73191"/>
    <w:rsid w:val="00F73BFB"/>
    <w:rsid w:val="00F744AD"/>
    <w:rsid w:val="00F746DB"/>
    <w:rsid w:val="00F75F62"/>
    <w:rsid w:val="00F76176"/>
    <w:rsid w:val="00F763B1"/>
    <w:rsid w:val="00F767D3"/>
    <w:rsid w:val="00F77EB8"/>
    <w:rsid w:val="00F804E6"/>
    <w:rsid w:val="00F807E0"/>
    <w:rsid w:val="00F8096D"/>
    <w:rsid w:val="00F80D87"/>
    <w:rsid w:val="00F810F3"/>
    <w:rsid w:val="00F81158"/>
    <w:rsid w:val="00F815D0"/>
    <w:rsid w:val="00F81992"/>
    <w:rsid w:val="00F81AF2"/>
    <w:rsid w:val="00F823AA"/>
    <w:rsid w:val="00F8321F"/>
    <w:rsid w:val="00F836F4"/>
    <w:rsid w:val="00F83D32"/>
    <w:rsid w:val="00F85163"/>
    <w:rsid w:val="00F85D7C"/>
    <w:rsid w:val="00F86D00"/>
    <w:rsid w:val="00F87521"/>
    <w:rsid w:val="00F8798F"/>
    <w:rsid w:val="00F9054A"/>
    <w:rsid w:val="00F91F57"/>
    <w:rsid w:val="00F922FB"/>
    <w:rsid w:val="00F933E1"/>
    <w:rsid w:val="00F948D3"/>
    <w:rsid w:val="00F94F3B"/>
    <w:rsid w:val="00F9549F"/>
    <w:rsid w:val="00F9591C"/>
    <w:rsid w:val="00F96297"/>
    <w:rsid w:val="00F9637C"/>
    <w:rsid w:val="00F972FB"/>
    <w:rsid w:val="00FA011B"/>
    <w:rsid w:val="00FA1D83"/>
    <w:rsid w:val="00FA3BBE"/>
    <w:rsid w:val="00FA4C61"/>
    <w:rsid w:val="00FA4DD6"/>
    <w:rsid w:val="00FA5813"/>
    <w:rsid w:val="00FA5E6E"/>
    <w:rsid w:val="00FA6271"/>
    <w:rsid w:val="00FA69CA"/>
    <w:rsid w:val="00FA6C17"/>
    <w:rsid w:val="00FA6CFC"/>
    <w:rsid w:val="00FA701F"/>
    <w:rsid w:val="00FB02A6"/>
    <w:rsid w:val="00FB073C"/>
    <w:rsid w:val="00FB2102"/>
    <w:rsid w:val="00FB2BE1"/>
    <w:rsid w:val="00FB2DC9"/>
    <w:rsid w:val="00FB4DDA"/>
    <w:rsid w:val="00FB504B"/>
    <w:rsid w:val="00FB693B"/>
    <w:rsid w:val="00FB73E9"/>
    <w:rsid w:val="00FB7ECD"/>
    <w:rsid w:val="00FC0629"/>
    <w:rsid w:val="00FC0B66"/>
    <w:rsid w:val="00FC1236"/>
    <w:rsid w:val="00FC14C9"/>
    <w:rsid w:val="00FC2290"/>
    <w:rsid w:val="00FC2F4B"/>
    <w:rsid w:val="00FC3FA2"/>
    <w:rsid w:val="00FC43CD"/>
    <w:rsid w:val="00FC7555"/>
    <w:rsid w:val="00FC7850"/>
    <w:rsid w:val="00FC7861"/>
    <w:rsid w:val="00FC78FE"/>
    <w:rsid w:val="00FC7A96"/>
    <w:rsid w:val="00FD0284"/>
    <w:rsid w:val="00FD055F"/>
    <w:rsid w:val="00FD0DDA"/>
    <w:rsid w:val="00FD1861"/>
    <w:rsid w:val="00FD2251"/>
    <w:rsid w:val="00FD29E5"/>
    <w:rsid w:val="00FD3959"/>
    <w:rsid w:val="00FD4D19"/>
    <w:rsid w:val="00FD4E25"/>
    <w:rsid w:val="00FD4E6A"/>
    <w:rsid w:val="00FD5351"/>
    <w:rsid w:val="00FD589D"/>
    <w:rsid w:val="00FD5CF8"/>
    <w:rsid w:val="00FD6BDD"/>
    <w:rsid w:val="00FD77A6"/>
    <w:rsid w:val="00FD7810"/>
    <w:rsid w:val="00FE025B"/>
    <w:rsid w:val="00FE1BCB"/>
    <w:rsid w:val="00FE26C7"/>
    <w:rsid w:val="00FE2E0A"/>
    <w:rsid w:val="00FE2E86"/>
    <w:rsid w:val="00FE2FD3"/>
    <w:rsid w:val="00FE3A85"/>
    <w:rsid w:val="00FE516E"/>
    <w:rsid w:val="00FE627A"/>
    <w:rsid w:val="00FE6C7B"/>
    <w:rsid w:val="00FE7F0A"/>
    <w:rsid w:val="00FF1EFA"/>
    <w:rsid w:val="00FF2B12"/>
    <w:rsid w:val="00FF2DE9"/>
    <w:rsid w:val="00FF2F7B"/>
    <w:rsid w:val="00FF34E4"/>
    <w:rsid w:val="00FF3E15"/>
    <w:rsid w:val="00FF40D4"/>
    <w:rsid w:val="00FF6439"/>
    <w:rsid w:val="00FF678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50A5"/>
    <w:pPr>
      <w:spacing w:before="120"/>
    </w:pPr>
    <w:rPr>
      <w:rFonts w:ascii="Arial" w:hAnsi="Arial"/>
      <w:sz w:val="22"/>
      <w:lang w:eastAsia="en-US"/>
    </w:rPr>
  </w:style>
  <w:style w:type="paragraph" w:styleId="Heading1">
    <w:name w:val="heading 1"/>
    <w:aliases w:val="ESPON Heading 1"/>
    <w:basedOn w:val="Normal"/>
    <w:next w:val="Normal"/>
    <w:link w:val="Heading1Char"/>
    <w:qFormat/>
    <w:rsid w:val="00637487"/>
    <w:pPr>
      <w:keepNext/>
      <w:numPr>
        <w:numId w:val="1"/>
      </w:numPr>
      <w:spacing w:before="480" w:after="120"/>
      <w:outlineLvl w:val="0"/>
    </w:pPr>
    <w:rPr>
      <w:b/>
      <w:kern w:val="28"/>
      <w:sz w:val="28"/>
    </w:rPr>
  </w:style>
  <w:style w:type="paragraph" w:styleId="Heading2">
    <w:name w:val="heading 2"/>
    <w:aliases w:val="ESPON Heading 2"/>
    <w:basedOn w:val="Normal"/>
    <w:next w:val="Normal"/>
    <w:qFormat/>
    <w:rsid w:val="00AE5E68"/>
    <w:pPr>
      <w:keepNext/>
      <w:numPr>
        <w:ilvl w:val="1"/>
        <w:numId w:val="1"/>
      </w:numPr>
      <w:tabs>
        <w:tab w:val="clear" w:pos="5274"/>
      </w:tabs>
      <w:spacing w:after="120"/>
      <w:ind w:left="737"/>
      <w:outlineLvl w:val="1"/>
    </w:pPr>
    <w:rPr>
      <w:b/>
      <w:sz w:val="24"/>
    </w:rPr>
  </w:style>
  <w:style w:type="paragraph" w:styleId="Heading3">
    <w:name w:val="heading 3"/>
    <w:aliases w:val="ESPON Heading 3"/>
    <w:basedOn w:val="Normal"/>
    <w:next w:val="Normal"/>
    <w:qFormat/>
    <w:rsid w:val="00AF6C49"/>
    <w:pPr>
      <w:keepNext/>
      <w:numPr>
        <w:ilvl w:val="2"/>
        <w:numId w:val="1"/>
      </w:numPr>
      <w:spacing w:after="120"/>
      <w:outlineLvl w:val="2"/>
    </w:pPr>
    <w:rPr>
      <w:b/>
    </w:rPr>
  </w:style>
  <w:style w:type="paragraph" w:styleId="Heading4">
    <w:name w:val="heading 4"/>
    <w:aliases w:val="ESPON Heading 4"/>
    <w:basedOn w:val="Normal"/>
    <w:next w:val="Normal"/>
    <w:qFormat/>
    <w:rsid w:val="00AF6C49"/>
    <w:pPr>
      <w:keepNext/>
      <w:numPr>
        <w:ilvl w:val="3"/>
        <w:numId w:val="1"/>
      </w:numPr>
      <w:spacing w:after="120"/>
      <w:outlineLvl w:val="3"/>
    </w:pPr>
    <w:rPr>
      <w:b/>
      <w:sz w:val="24"/>
    </w:rPr>
  </w:style>
  <w:style w:type="paragraph" w:styleId="Heading5">
    <w:name w:val="heading 5"/>
    <w:aliases w:val="ESPON Heading 5"/>
    <w:basedOn w:val="Normal"/>
    <w:next w:val="Normal"/>
    <w:qFormat/>
    <w:rsid w:val="00AF6C49"/>
    <w:pPr>
      <w:numPr>
        <w:ilvl w:val="4"/>
        <w:numId w:val="1"/>
      </w:numPr>
      <w:spacing w:after="120"/>
      <w:outlineLvl w:val="4"/>
    </w:pPr>
    <w:rPr>
      <w:b/>
      <w:sz w:val="24"/>
    </w:rPr>
  </w:style>
  <w:style w:type="paragraph" w:styleId="Heading6">
    <w:name w:val="heading 6"/>
    <w:basedOn w:val="Normal"/>
    <w:next w:val="Normal"/>
    <w:qFormat/>
    <w:rsid w:val="00AF6C49"/>
    <w:pPr>
      <w:numPr>
        <w:ilvl w:val="5"/>
        <w:numId w:val="1"/>
      </w:numPr>
      <w:spacing w:before="240" w:after="60"/>
      <w:outlineLvl w:val="5"/>
    </w:pPr>
    <w:rPr>
      <w:i/>
    </w:rPr>
  </w:style>
  <w:style w:type="paragraph" w:styleId="Heading7">
    <w:name w:val="heading 7"/>
    <w:basedOn w:val="Normal"/>
    <w:next w:val="Normal"/>
    <w:qFormat/>
    <w:rsid w:val="00CF018B"/>
    <w:pPr>
      <w:numPr>
        <w:ilvl w:val="6"/>
        <w:numId w:val="1"/>
      </w:numPr>
      <w:spacing w:before="240" w:after="60"/>
      <w:outlineLvl w:val="6"/>
    </w:pPr>
  </w:style>
  <w:style w:type="paragraph" w:styleId="Heading8">
    <w:name w:val="heading 8"/>
    <w:basedOn w:val="Normal"/>
    <w:next w:val="Normal"/>
    <w:qFormat/>
    <w:rsid w:val="00CF018B"/>
    <w:pPr>
      <w:numPr>
        <w:ilvl w:val="7"/>
        <w:numId w:val="1"/>
      </w:numPr>
      <w:spacing w:before="240" w:after="60"/>
      <w:outlineLvl w:val="7"/>
    </w:pPr>
    <w:rPr>
      <w:i/>
    </w:rPr>
  </w:style>
  <w:style w:type="paragraph" w:styleId="Heading9">
    <w:name w:val="heading 9"/>
    <w:basedOn w:val="Normal"/>
    <w:next w:val="Normal"/>
    <w:qFormat/>
    <w:rsid w:val="00CF018B"/>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ESPON Index 1"/>
    <w:basedOn w:val="Normal"/>
    <w:next w:val="Normal"/>
    <w:autoRedefine/>
    <w:uiPriority w:val="39"/>
    <w:rsid w:val="00B22FBB"/>
    <w:pPr>
      <w:tabs>
        <w:tab w:val="right" w:leader="dot" w:pos="9356"/>
      </w:tabs>
      <w:spacing w:after="120" w:line="276" w:lineRule="auto"/>
      <w:ind w:left="907" w:right="1134" w:hanging="907"/>
      <w:jc w:val="left"/>
    </w:pPr>
    <w:rPr>
      <w:noProof/>
    </w:rPr>
  </w:style>
  <w:style w:type="paragraph" w:styleId="TOC5">
    <w:name w:val="toc 5"/>
    <w:aliases w:val="ESPON Index 5"/>
    <w:basedOn w:val="Normal"/>
    <w:next w:val="Normal"/>
    <w:autoRedefine/>
    <w:semiHidden/>
    <w:rsid w:val="00CF018B"/>
    <w:pPr>
      <w:tabs>
        <w:tab w:val="right" w:leader="dot" w:pos="9356"/>
      </w:tabs>
      <w:spacing w:line="240" w:lineRule="auto"/>
      <w:ind w:left="1134" w:right="1134" w:hanging="1134"/>
    </w:pPr>
    <w:rPr>
      <w:rFonts w:ascii="Verdana" w:hAnsi="Verdana"/>
      <w:noProof/>
    </w:rPr>
  </w:style>
  <w:style w:type="paragraph" w:styleId="Header">
    <w:name w:val="header"/>
    <w:basedOn w:val="Normal"/>
    <w:rsid w:val="00CF018B"/>
    <w:pPr>
      <w:tabs>
        <w:tab w:val="center" w:pos="4536"/>
        <w:tab w:val="right" w:pos="9072"/>
      </w:tabs>
    </w:pPr>
  </w:style>
  <w:style w:type="paragraph" w:styleId="TOC2">
    <w:name w:val="toc 2"/>
    <w:aliases w:val="ESPON Index 2"/>
    <w:basedOn w:val="Normal"/>
    <w:next w:val="Normal"/>
    <w:autoRedefine/>
    <w:uiPriority w:val="39"/>
    <w:rsid w:val="00BB5A9A"/>
    <w:pPr>
      <w:tabs>
        <w:tab w:val="right" w:leader="dot" w:pos="9356"/>
      </w:tabs>
      <w:spacing w:line="360" w:lineRule="auto"/>
      <w:ind w:left="1191" w:right="1134" w:hanging="907"/>
    </w:pPr>
  </w:style>
  <w:style w:type="paragraph" w:styleId="TOC3">
    <w:name w:val="toc 3"/>
    <w:aliases w:val="ESPON Index 3"/>
    <w:basedOn w:val="Normal"/>
    <w:next w:val="Normal"/>
    <w:autoRedefine/>
    <w:semiHidden/>
    <w:rsid w:val="00CF018B"/>
    <w:pPr>
      <w:tabs>
        <w:tab w:val="right" w:leader="dot" w:pos="9356"/>
      </w:tabs>
      <w:spacing w:line="240" w:lineRule="auto"/>
      <w:ind w:left="907" w:right="1134" w:hanging="907"/>
    </w:pPr>
  </w:style>
  <w:style w:type="paragraph" w:styleId="TOC4">
    <w:name w:val="toc 4"/>
    <w:aliases w:val="ESPON Index 4"/>
    <w:basedOn w:val="Normal"/>
    <w:next w:val="Normal"/>
    <w:autoRedefine/>
    <w:semiHidden/>
    <w:rsid w:val="00CF018B"/>
    <w:pPr>
      <w:tabs>
        <w:tab w:val="right" w:leader="dot" w:pos="9356"/>
      </w:tabs>
      <w:spacing w:line="240" w:lineRule="auto"/>
      <w:ind w:left="1021" w:right="1134" w:hanging="1021"/>
    </w:pPr>
    <w:rPr>
      <w:rFonts w:ascii="Verdana" w:hAnsi="Verdana"/>
      <w:noProof/>
    </w:rPr>
  </w:style>
  <w:style w:type="paragraph" w:styleId="TOC6">
    <w:name w:val="toc 6"/>
    <w:aliases w:val="ESPON Index 6"/>
    <w:basedOn w:val="Normal"/>
    <w:next w:val="Normal"/>
    <w:autoRedefine/>
    <w:semiHidden/>
    <w:rsid w:val="00CF018B"/>
    <w:pPr>
      <w:tabs>
        <w:tab w:val="right" w:leader="dot" w:pos="9356"/>
      </w:tabs>
      <w:spacing w:line="240" w:lineRule="auto"/>
      <w:ind w:left="907" w:right="1134" w:hanging="907"/>
    </w:pPr>
    <w:rPr>
      <w:rFonts w:ascii="Verdana" w:hAnsi="Verdana"/>
      <w:b/>
      <w:noProof/>
    </w:rPr>
  </w:style>
  <w:style w:type="paragraph" w:styleId="TOC7">
    <w:name w:val="toc 7"/>
    <w:aliases w:val="ESPON Index 7"/>
    <w:basedOn w:val="Normal"/>
    <w:next w:val="Normal"/>
    <w:autoRedefine/>
    <w:semiHidden/>
    <w:rsid w:val="00CF018B"/>
    <w:pPr>
      <w:tabs>
        <w:tab w:val="right" w:leader="dot" w:pos="9356"/>
      </w:tabs>
      <w:spacing w:line="240" w:lineRule="auto"/>
      <w:ind w:left="907" w:right="1134" w:hanging="907"/>
    </w:pPr>
    <w:rPr>
      <w:rFonts w:ascii="Verdana" w:hAnsi="Verdana"/>
    </w:rPr>
  </w:style>
  <w:style w:type="paragraph" w:styleId="TOC8">
    <w:name w:val="toc 8"/>
    <w:basedOn w:val="Normal"/>
    <w:next w:val="Normal"/>
    <w:autoRedefine/>
    <w:semiHidden/>
    <w:rsid w:val="00CF018B"/>
    <w:pPr>
      <w:ind w:left="1400"/>
    </w:pPr>
  </w:style>
  <w:style w:type="paragraph" w:styleId="TOC9">
    <w:name w:val="toc 9"/>
    <w:basedOn w:val="Normal"/>
    <w:next w:val="Normal"/>
    <w:autoRedefine/>
    <w:semiHidden/>
    <w:rsid w:val="00CF018B"/>
    <w:pPr>
      <w:ind w:left="1600"/>
    </w:pPr>
  </w:style>
  <w:style w:type="paragraph" w:styleId="Footer">
    <w:name w:val="footer"/>
    <w:basedOn w:val="Normal"/>
    <w:link w:val="FooterChar"/>
    <w:uiPriority w:val="99"/>
    <w:rsid w:val="00CF018B"/>
    <w:pPr>
      <w:tabs>
        <w:tab w:val="center" w:pos="4536"/>
        <w:tab w:val="right" w:pos="9072"/>
      </w:tabs>
    </w:pPr>
  </w:style>
  <w:style w:type="character" w:customStyle="1" w:styleId="Heading1Char">
    <w:name w:val="Heading 1 Char"/>
    <w:aliases w:val="ESPON Heading 1 Char"/>
    <w:basedOn w:val="DefaultParagraphFont"/>
    <w:link w:val="Heading1"/>
    <w:rsid w:val="00056948"/>
    <w:rPr>
      <w:rFonts w:ascii="Arial" w:hAnsi="Arial"/>
      <w:b/>
      <w:kern w:val="28"/>
      <w:sz w:val="28"/>
      <w:lang w:eastAsia="en-US"/>
    </w:rPr>
  </w:style>
  <w:style w:type="paragraph" w:styleId="Caption">
    <w:name w:val="caption"/>
    <w:basedOn w:val="Normal"/>
    <w:next w:val="Normal"/>
    <w:qFormat/>
    <w:rsid w:val="00D95FA4"/>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2741"/>
    <w:rPr>
      <w:color w:val="0000FF"/>
      <w:u w:val="single"/>
    </w:rPr>
  </w:style>
  <w:style w:type="paragraph" w:styleId="DocumentMap">
    <w:name w:val="Document Map"/>
    <w:basedOn w:val="Normal"/>
    <w:semiHidden/>
    <w:rsid w:val="003630B0"/>
    <w:rPr>
      <w:rFonts w:cs="Tahoma"/>
    </w:rPr>
  </w:style>
  <w:style w:type="paragraph" w:styleId="NormalWeb">
    <w:name w:val="Normal (Web)"/>
    <w:basedOn w:val="Normal"/>
    <w:rsid w:val="00AF6C49"/>
    <w:pPr>
      <w:spacing w:before="100" w:beforeAutospacing="1" w:after="100" w:afterAutospacing="1" w:line="240" w:lineRule="auto"/>
      <w:jc w:val="left"/>
    </w:pPr>
    <w:rPr>
      <w:sz w:val="24"/>
      <w:szCs w:val="24"/>
      <w:lang w:val="de-DE" w:eastAsia="de-DE"/>
    </w:rPr>
  </w:style>
  <w:style w:type="character" w:styleId="FollowedHyperlink">
    <w:name w:val="FollowedHyperlink"/>
    <w:basedOn w:val="DefaultParagraphFont"/>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basedOn w:val="DefaultParagraphFont"/>
    <w:semiHidden/>
    <w:rsid w:val="004E266B"/>
    <w:rPr>
      <w:sz w:val="16"/>
      <w:szCs w:val="16"/>
    </w:rPr>
  </w:style>
  <w:style w:type="paragraph" w:styleId="CommentText">
    <w:name w:val="annotation text"/>
    <w:basedOn w:val="Normal"/>
    <w:semiHidden/>
    <w:rsid w:val="004E266B"/>
  </w:style>
  <w:style w:type="paragraph" w:styleId="CommentSubject">
    <w:name w:val="annotation subject"/>
    <w:basedOn w:val="CommentText"/>
    <w:next w:val="CommentText"/>
    <w:semiHidden/>
    <w:rsid w:val="004E266B"/>
    <w:rPr>
      <w:b/>
      <w:bCs/>
    </w:rPr>
  </w:style>
  <w:style w:type="paragraph" w:styleId="BalloonText">
    <w:name w:val="Balloon Text"/>
    <w:basedOn w:val="Normal"/>
    <w:semiHidden/>
    <w:rsid w:val="001B06C0"/>
    <w:rPr>
      <w:rFonts w:ascii="Tahoma" w:hAnsi="Tahoma" w:cs="Tahoma"/>
      <w:sz w:val="16"/>
      <w:szCs w:val="16"/>
    </w:rPr>
  </w:style>
  <w:style w:type="character" w:styleId="FootnoteReference">
    <w:name w:val="footnote reference"/>
    <w:aliases w:val="Footnote symbol,Times 10 Point,Exposant 3 Point"/>
    <w:basedOn w:val="DefaultParagraphFont"/>
    <w:unhideWhenUsed/>
    <w:rsid w:val="00AF6C49"/>
    <w:rPr>
      <w:rFonts w:ascii="Arial" w:hAnsi="Arial"/>
      <w:vertAlign w:val="superscript"/>
    </w:rPr>
  </w:style>
  <w:style w:type="character" w:customStyle="1" w:styleId="FooterChar">
    <w:name w:val="Footer Char"/>
    <w:basedOn w:val="DefaultParagraphFont"/>
    <w:link w:val="Footer"/>
    <w:uiPriority w:val="99"/>
    <w:rsid w:val="004929E9"/>
    <w:rPr>
      <w:rFonts w:ascii="Arial" w:hAnsi="Arial"/>
      <w:sz w:val="22"/>
      <w:lang w:eastAsia="en-US"/>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basedOn w:val="DefaultParagraphFont"/>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12683A"/>
    <w:rPr>
      <w:rFonts w:ascii="Arial" w:hAnsi="Arial"/>
      <w:lang w:eastAsia="en-US"/>
    </w:rPr>
  </w:style>
  <w:style w:type="table" w:customStyle="1" w:styleId="LightGrid1">
    <w:name w:val="Light Grid1"/>
    <w:basedOn w:val="TableNormal"/>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1">
    <w:name w:val="Παράγραφος λίστας1"/>
    <w:basedOn w:val="Normal"/>
    <w:qFormat/>
    <w:rsid w:val="009817D0"/>
    <w:pPr>
      <w:widowControl w:val="0"/>
      <w:tabs>
        <w:tab w:val="left" w:pos="1429"/>
      </w:tabs>
      <w:suppressAutoHyphens/>
      <w:spacing w:before="0" w:after="200" w:line="276" w:lineRule="auto"/>
      <w:ind w:left="720"/>
      <w:jc w:val="left"/>
    </w:pPr>
    <w:rPr>
      <w:rFonts w:ascii="Liberation Serif" w:eastAsia="WenQuanYi Micro Hei" w:hAnsi="Liberation Serif" w:cs="Lohit Hindi"/>
      <w:kern w:val="16"/>
      <w:sz w:val="24"/>
      <w:szCs w:val="24"/>
      <w:lang w:val="en-US" w:eastAsia="zh-CN" w:bidi="hi-IN"/>
    </w:rPr>
  </w:style>
  <w:style w:type="paragraph" w:customStyle="1" w:styleId="a">
    <w:name w:val="Περιεχόμενα πίνακα"/>
    <w:basedOn w:val="Normal"/>
    <w:rsid w:val="00C90448"/>
    <w:pPr>
      <w:widowControl w:val="0"/>
      <w:suppressLineNumbers/>
      <w:suppressAutoHyphens/>
      <w:spacing w:before="0" w:line="240" w:lineRule="auto"/>
      <w:jc w:val="left"/>
    </w:pPr>
    <w:rPr>
      <w:rFonts w:ascii="Liberation Serif" w:eastAsia="DejaVu Sans" w:hAnsi="Liberation Serif" w:cs="DejaVu Sans"/>
      <w:kern w:val="1"/>
      <w:sz w:val="24"/>
      <w:szCs w:val="24"/>
      <w:lang w:val="el-GR" w:eastAsia="hi-IN" w:bidi="hi-IN"/>
    </w:rPr>
  </w:style>
  <w:style w:type="character" w:customStyle="1" w:styleId="a0">
    <w:name w:val="Σύμβολο υποσημείωσης"/>
    <w:rsid w:val="00F7224E"/>
  </w:style>
  <w:style w:type="paragraph" w:customStyle="1" w:styleId="2">
    <w:name w:val="Παράγραφος λίστας2"/>
    <w:basedOn w:val="Normal"/>
    <w:rsid w:val="00F7224E"/>
    <w:pPr>
      <w:widowControl w:val="0"/>
      <w:tabs>
        <w:tab w:val="left" w:pos="709"/>
      </w:tabs>
      <w:suppressAutoHyphens/>
      <w:spacing w:before="0" w:after="200" w:line="276" w:lineRule="auto"/>
      <w:ind w:left="720"/>
      <w:jc w:val="left"/>
    </w:pPr>
    <w:rPr>
      <w:rFonts w:ascii="Liberation Serif" w:eastAsia="DejaVu Sans" w:hAnsi="Liberation Serif" w:cs="DejaVu Sans"/>
      <w:kern w:val="1"/>
      <w:sz w:val="24"/>
      <w:szCs w:val="24"/>
      <w:lang w:val="el-GR" w:eastAsia="zh-CN" w:bidi="hi-IN"/>
    </w:rPr>
  </w:style>
  <w:style w:type="paragraph" w:customStyle="1" w:styleId="3">
    <w:name w:val="Παράγραφος λίστας3"/>
    <w:basedOn w:val="Normal"/>
    <w:rsid w:val="00101107"/>
    <w:pPr>
      <w:widowControl w:val="0"/>
      <w:tabs>
        <w:tab w:val="left" w:pos="709"/>
      </w:tabs>
      <w:suppressAutoHyphens/>
      <w:spacing w:before="0" w:after="200" w:line="276" w:lineRule="auto"/>
      <w:ind w:left="720"/>
      <w:jc w:val="left"/>
    </w:pPr>
    <w:rPr>
      <w:rFonts w:ascii="Liberation Serif" w:eastAsia="DejaVu Sans" w:hAnsi="Liberation Serif" w:cs="DejaVu Sans"/>
      <w:kern w:val="1"/>
      <w:sz w:val="24"/>
      <w:szCs w:val="24"/>
      <w:lang w:val="el-GR" w:eastAsia="zh-CN" w:bidi="hi-IN"/>
    </w:rPr>
  </w:style>
  <w:style w:type="character" w:customStyle="1" w:styleId="style7">
    <w:name w:val="style7"/>
    <w:basedOn w:val="DefaultParagraphFont"/>
    <w:rsid w:val="00360468"/>
  </w:style>
  <w:style w:type="character" w:customStyle="1" w:styleId="c22">
    <w:name w:val="c22"/>
    <w:basedOn w:val="DefaultParagraphFont"/>
    <w:rsid w:val="00834D9C"/>
  </w:style>
  <w:style w:type="character" w:styleId="Strong">
    <w:name w:val="Strong"/>
    <w:basedOn w:val="DefaultParagraphFont"/>
    <w:uiPriority w:val="22"/>
    <w:qFormat/>
    <w:rsid w:val="00A66F8B"/>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50A5"/>
    <w:pPr>
      <w:spacing w:before="120"/>
    </w:pPr>
    <w:rPr>
      <w:rFonts w:ascii="Arial" w:hAnsi="Arial"/>
      <w:sz w:val="22"/>
      <w:lang w:eastAsia="en-US"/>
    </w:rPr>
  </w:style>
  <w:style w:type="paragraph" w:styleId="Heading1">
    <w:name w:val="heading 1"/>
    <w:aliases w:val="ESPON Heading 1"/>
    <w:basedOn w:val="Normal"/>
    <w:next w:val="Normal"/>
    <w:link w:val="Heading1Char"/>
    <w:qFormat/>
    <w:rsid w:val="00637487"/>
    <w:pPr>
      <w:keepNext/>
      <w:numPr>
        <w:numId w:val="1"/>
      </w:numPr>
      <w:spacing w:before="480" w:after="120"/>
      <w:outlineLvl w:val="0"/>
    </w:pPr>
    <w:rPr>
      <w:b/>
      <w:kern w:val="28"/>
      <w:sz w:val="28"/>
    </w:rPr>
  </w:style>
  <w:style w:type="paragraph" w:styleId="Heading2">
    <w:name w:val="heading 2"/>
    <w:aliases w:val="ESPON Heading 2"/>
    <w:basedOn w:val="Normal"/>
    <w:next w:val="Normal"/>
    <w:qFormat/>
    <w:rsid w:val="00AE5E68"/>
    <w:pPr>
      <w:keepNext/>
      <w:numPr>
        <w:ilvl w:val="1"/>
        <w:numId w:val="1"/>
      </w:numPr>
      <w:tabs>
        <w:tab w:val="clear" w:pos="5274"/>
      </w:tabs>
      <w:spacing w:after="120"/>
      <w:ind w:left="737"/>
      <w:outlineLvl w:val="1"/>
    </w:pPr>
    <w:rPr>
      <w:b/>
      <w:sz w:val="24"/>
    </w:rPr>
  </w:style>
  <w:style w:type="paragraph" w:styleId="Heading3">
    <w:name w:val="heading 3"/>
    <w:aliases w:val="ESPON Heading 3"/>
    <w:basedOn w:val="Normal"/>
    <w:next w:val="Normal"/>
    <w:qFormat/>
    <w:rsid w:val="00AF6C49"/>
    <w:pPr>
      <w:keepNext/>
      <w:numPr>
        <w:ilvl w:val="2"/>
        <w:numId w:val="1"/>
      </w:numPr>
      <w:spacing w:after="120"/>
      <w:outlineLvl w:val="2"/>
    </w:pPr>
    <w:rPr>
      <w:b/>
    </w:rPr>
  </w:style>
  <w:style w:type="paragraph" w:styleId="Heading4">
    <w:name w:val="heading 4"/>
    <w:aliases w:val="ESPON Heading 4"/>
    <w:basedOn w:val="Normal"/>
    <w:next w:val="Normal"/>
    <w:qFormat/>
    <w:rsid w:val="00AF6C49"/>
    <w:pPr>
      <w:keepNext/>
      <w:numPr>
        <w:ilvl w:val="3"/>
        <w:numId w:val="1"/>
      </w:numPr>
      <w:spacing w:after="120"/>
      <w:outlineLvl w:val="3"/>
    </w:pPr>
    <w:rPr>
      <w:b/>
      <w:sz w:val="24"/>
    </w:rPr>
  </w:style>
  <w:style w:type="paragraph" w:styleId="Heading5">
    <w:name w:val="heading 5"/>
    <w:aliases w:val="ESPON Heading 5"/>
    <w:basedOn w:val="Normal"/>
    <w:next w:val="Normal"/>
    <w:qFormat/>
    <w:rsid w:val="00AF6C49"/>
    <w:pPr>
      <w:numPr>
        <w:ilvl w:val="4"/>
        <w:numId w:val="1"/>
      </w:numPr>
      <w:spacing w:after="120"/>
      <w:outlineLvl w:val="4"/>
    </w:pPr>
    <w:rPr>
      <w:b/>
      <w:sz w:val="24"/>
    </w:rPr>
  </w:style>
  <w:style w:type="paragraph" w:styleId="Heading6">
    <w:name w:val="heading 6"/>
    <w:basedOn w:val="Normal"/>
    <w:next w:val="Normal"/>
    <w:qFormat/>
    <w:rsid w:val="00AF6C49"/>
    <w:pPr>
      <w:numPr>
        <w:ilvl w:val="5"/>
        <w:numId w:val="1"/>
      </w:numPr>
      <w:spacing w:before="240" w:after="60"/>
      <w:outlineLvl w:val="5"/>
    </w:pPr>
    <w:rPr>
      <w:i/>
    </w:rPr>
  </w:style>
  <w:style w:type="paragraph" w:styleId="Heading7">
    <w:name w:val="heading 7"/>
    <w:basedOn w:val="Normal"/>
    <w:next w:val="Normal"/>
    <w:qFormat/>
    <w:rsid w:val="00CF018B"/>
    <w:pPr>
      <w:numPr>
        <w:ilvl w:val="6"/>
        <w:numId w:val="1"/>
      </w:numPr>
      <w:spacing w:before="240" w:after="60"/>
      <w:outlineLvl w:val="6"/>
    </w:pPr>
  </w:style>
  <w:style w:type="paragraph" w:styleId="Heading8">
    <w:name w:val="heading 8"/>
    <w:basedOn w:val="Normal"/>
    <w:next w:val="Normal"/>
    <w:qFormat/>
    <w:rsid w:val="00CF018B"/>
    <w:pPr>
      <w:numPr>
        <w:ilvl w:val="7"/>
        <w:numId w:val="1"/>
      </w:numPr>
      <w:spacing w:before="240" w:after="60"/>
      <w:outlineLvl w:val="7"/>
    </w:pPr>
    <w:rPr>
      <w:i/>
    </w:rPr>
  </w:style>
  <w:style w:type="paragraph" w:styleId="Heading9">
    <w:name w:val="heading 9"/>
    <w:basedOn w:val="Normal"/>
    <w:next w:val="Normal"/>
    <w:qFormat/>
    <w:rsid w:val="00CF018B"/>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ESPON Index 1"/>
    <w:basedOn w:val="Normal"/>
    <w:next w:val="Normal"/>
    <w:autoRedefine/>
    <w:uiPriority w:val="39"/>
    <w:rsid w:val="00B22FBB"/>
    <w:pPr>
      <w:tabs>
        <w:tab w:val="right" w:leader="dot" w:pos="9356"/>
      </w:tabs>
      <w:spacing w:after="120" w:line="276" w:lineRule="auto"/>
      <w:ind w:left="907" w:right="1134" w:hanging="907"/>
      <w:jc w:val="left"/>
    </w:pPr>
    <w:rPr>
      <w:noProof/>
    </w:rPr>
  </w:style>
  <w:style w:type="paragraph" w:styleId="TOC5">
    <w:name w:val="toc 5"/>
    <w:aliases w:val="ESPON Index 5"/>
    <w:basedOn w:val="Normal"/>
    <w:next w:val="Normal"/>
    <w:autoRedefine/>
    <w:semiHidden/>
    <w:rsid w:val="00CF018B"/>
    <w:pPr>
      <w:tabs>
        <w:tab w:val="right" w:leader="dot" w:pos="9356"/>
      </w:tabs>
      <w:spacing w:line="240" w:lineRule="auto"/>
      <w:ind w:left="1134" w:right="1134" w:hanging="1134"/>
    </w:pPr>
    <w:rPr>
      <w:rFonts w:ascii="Verdana" w:hAnsi="Verdana"/>
      <w:noProof/>
    </w:rPr>
  </w:style>
  <w:style w:type="paragraph" w:styleId="Header">
    <w:name w:val="header"/>
    <w:basedOn w:val="Normal"/>
    <w:rsid w:val="00CF018B"/>
    <w:pPr>
      <w:tabs>
        <w:tab w:val="center" w:pos="4536"/>
        <w:tab w:val="right" w:pos="9072"/>
      </w:tabs>
    </w:pPr>
  </w:style>
  <w:style w:type="paragraph" w:styleId="TOC2">
    <w:name w:val="toc 2"/>
    <w:aliases w:val="ESPON Index 2"/>
    <w:basedOn w:val="Normal"/>
    <w:next w:val="Normal"/>
    <w:autoRedefine/>
    <w:uiPriority w:val="39"/>
    <w:rsid w:val="00BB5A9A"/>
    <w:pPr>
      <w:tabs>
        <w:tab w:val="right" w:leader="dot" w:pos="9356"/>
      </w:tabs>
      <w:spacing w:line="360" w:lineRule="auto"/>
      <w:ind w:left="1191" w:right="1134" w:hanging="907"/>
    </w:pPr>
  </w:style>
  <w:style w:type="paragraph" w:styleId="TOC3">
    <w:name w:val="toc 3"/>
    <w:aliases w:val="ESPON Index 3"/>
    <w:basedOn w:val="Normal"/>
    <w:next w:val="Normal"/>
    <w:autoRedefine/>
    <w:semiHidden/>
    <w:rsid w:val="00CF018B"/>
    <w:pPr>
      <w:tabs>
        <w:tab w:val="right" w:leader="dot" w:pos="9356"/>
      </w:tabs>
      <w:spacing w:line="240" w:lineRule="auto"/>
      <w:ind w:left="907" w:right="1134" w:hanging="907"/>
    </w:pPr>
  </w:style>
  <w:style w:type="paragraph" w:styleId="TOC4">
    <w:name w:val="toc 4"/>
    <w:aliases w:val="ESPON Index 4"/>
    <w:basedOn w:val="Normal"/>
    <w:next w:val="Normal"/>
    <w:autoRedefine/>
    <w:semiHidden/>
    <w:rsid w:val="00CF018B"/>
    <w:pPr>
      <w:tabs>
        <w:tab w:val="right" w:leader="dot" w:pos="9356"/>
      </w:tabs>
      <w:spacing w:line="240" w:lineRule="auto"/>
      <w:ind w:left="1021" w:right="1134" w:hanging="1021"/>
    </w:pPr>
    <w:rPr>
      <w:rFonts w:ascii="Verdana" w:hAnsi="Verdana"/>
      <w:noProof/>
    </w:rPr>
  </w:style>
  <w:style w:type="paragraph" w:styleId="TOC6">
    <w:name w:val="toc 6"/>
    <w:aliases w:val="ESPON Index 6"/>
    <w:basedOn w:val="Normal"/>
    <w:next w:val="Normal"/>
    <w:autoRedefine/>
    <w:semiHidden/>
    <w:rsid w:val="00CF018B"/>
    <w:pPr>
      <w:tabs>
        <w:tab w:val="right" w:leader="dot" w:pos="9356"/>
      </w:tabs>
      <w:spacing w:line="240" w:lineRule="auto"/>
      <w:ind w:left="907" w:right="1134" w:hanging="907"/>
    </w:pPr>
    <w:rPr>
      <w:rFonts w:ascii="Verdana" w:hAnsi="Verdana"/>
      <w:b/>
      <w:noProof/>
    </w:rPr>
  </w:style>
  <w:style w:type="paragraph" w:styleId="TOC7">
    <w:name w:val="toc 7"/>
    <w:aliases w:val="ESPON Index 7"/>
    <w:basedOn w:val="Normal"/>
    <w:next w:val="Normal"/>
    <w:autoRedefine/>
    <w:semiHidden/>
    <w:rsid w:val="00CF018B"/>
    <w:pPr>
      <w:tabs>
        <w:tab w:val="right" w:leader="dot" w:pos="9356"/>
      </w:tabs>
      <w:spacing w:line="240" w:lineRule="auto"/>
      <w:ind w:left="907" w:right="1134" w:hanging="907"/>
    </w:pPr>
    <w:rPr>
      <w:rFonts w:ascii="Verdana" w:hAnsi="Verdana"/>
    </w:rPr>
  </w:style>
  <w:style w:type="paragraph" w:styleId="TOC8">
    <w:name w:val="toc 8"/>
    <w:basedOn w:val="Normal"/>
    <w:next w:val="Normal"/>
    <w:autoRedefine/>
    <w:semiHidden/>
    <w:rsid w:val="00CF018B"/>
    <w:pPr>
      <w:ind w:left="1400"/>
    </w:pPr>
  </w:style>
  <w:style w:type="paragraph" w:styleId="TOC9">
    <w:name w:val="toc 9"/>
    <w:basedOn w:val="Normal"/>
    <w:next w:val="Normal"/>
    <w:autoRedefine/>
    <w:semiHidden/>
    <w:rsid w:val="00CF018B"/>
    <w:pPr>
      <w:ind w:left="1600"/>
    </w:pPr>
  </w:style>
  <w:style w:type="paragraph" w:styleId="Footer">
    <w:name w:val="footer"/>
    <w:basedOn w:val="Normal"/>
    <w:link w:val="FooterChar"/>
    <w:uiPriority w:val="99"/>
    <w:rsid w:val="00CF018B"/>
    <w:pPr>
      <w:tabs>
        <w:tab w:val="center" w:pos="4536"/>
        <w:tab w:val="right" w:pos="9072"/>
      </w:tabs>
    </w:pPr>
  </w:style>
  <w:style w:type="character" w:customStyle="1" w:styleId="Heading1Char">
    <w:name w:val="Heading 1 Char"/>
    <w:aliases w:val="ESPON Heading 1 Char"/>
    <w:basedOn w:val="DefaultParagraphFont"/>
    <w:link w:val="Heading1"/>
    <w:rsid w:val="00056948"/>
    <w:rPr>
      <w:rFonts w:ascii="Arial" w:hAnsi="Arial"/>
      <w:b/>
      <w:kern w:val="28"/>
      <w:sz w:val="28"/>
      <w:lang w:eastAsia="en-US"/>
    </w:rPr>
  </w:style>
  <w:style w:type="paragraph" w:styleId="Caption">
    <w:name w:val="caption"/>
    <w:basedOn w:val="Normal"/>
    <w:next w:val="Normal"/>
    <w:qFormat/>
    <w:rsid w:val="00D95FA4"/>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2741"/>
    <w:rPr>
      <w:color w:val="0000FF"/>
      <w:u w:val="single"/>
    </w:rPr>
  </w:style>
  <w:style w:type="paragraph" w:styleId="DocumentMap">
    <w:name w:val="Document Map"/>
    <w:basedOn w:val="Normal"/>
    <w:semiHidden/>
    <w:rsid w:val="003630B0"/>
    <w:rPr>
      <w:rFonts w:cs="Tahoma"/>
    </w:rPr>
  </w:style>
  <w:style w:type="paragraph" w:styleId="NormalWeb">
    <w:name w:val="Normal (Web)"/>
    <w:basedOn w:val="Normal"/>
    <w:rsid w:val="00AF6C49"/>
    <w:pPr>
      <w:spacing w:before="100" w:beforeAutospacing="1" w:after="100" w:afterAutospacing="1" w:line="240" w:lineRule="auto"/>
      <w:jc w:val="left"/>
    </w:pPr>
    <w:rPr>
      <w:sz w:val="24"/>
      <w:szCs w:val="24"/>
      <w:lang w:val="de-DE" w:eastAsia="de-DE"/>
    </w:rPr>
  </w:style>
  <w:style w:type="character" w:styleId="FollowedHyperlink">
    <w:name w:val="FollowedHyperlink"/>
    <w:basedOn w:val="DefaultParagraphFont"/>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basedOn w:val="DefaultParagraphFont"/>
    <w:semiHidden/>
    <w:rsid w:val="004E266B"/>
    <w:rPr>
      <w:sz w:val="16"/>
      <w:szCs w:val="16"/>
    </w:rPr>
  </w:style>
  <w:style w:type="paragraph" w:styleId="CommentText">
    <w:name w:val="annotation text"/>
    <w:basedOn w:val="Normal"/>
    <w:semiHidden/>
    <w:rsid w:val="004E266B"/>
  </w:style>
  <w:style w:type="paragraph" w:styleId="CommentSubject">
    <w:name w:val="annotation subject"/>
    <w:basedOn w:val="CommentText"/>
    <w:next w:val="CommentText"/>
    <w:semiHidden/>
    <w:rsid w:val="004E266B"/>
    <w:rPr>
      <w:b/>
      <w:bCs/>
    </w:rPr>
  </w:style>
  <w:style w:type="paragraph" w:styleId="BalloonText">
    <w:name w:val="Balloon Text"/>
    <w:basedOn w:val="Normal"/>
    <w:semiHidden/>
    <w:rsid w:val="001B06C0"/>
    <w:rPr>
      <w:rFonts w:ascii="Tahoma" w:hAnsi="Tahoma" w:cs="Tahoma"/>
      <w:sz w:val="16"/>
      <w:szCs w:val="16"/>
    </w:rPr>
  </w:style>
  <w:style w:type="character" w:styleId="FootnoteReference">
    <w:name w:val="footnote reference"/>
    <w:aliases w:val="Footnote symbol,Times 10 Point,Exposant 3 Point"/>
    <w:basedOn w:val="DefaultParagraphFont"/>
    <w:unhideWhenUsed/>
    <w:rsid w:val="00AF6C49"/>
    <w:rPr>
      <w:rFonts w:ascii="Arial" w:hAnsi="Arial"/>
      <w:vertAlign w:val="superscript"/>
    </w:rPr>
  </w:style>
  <w:style w:type="character" w:customStyle="1" w:styleId="FooterChar">
    <w:name w:val="Footer Char"/>
    <w:basedOn w:val="DefaultParagraphFont"/>
    <w:link w:val="Footer"/>
    <w:uiPriority w:val="99"/>
    <w:rsid w:val="004929E9"/>
    <w:rPr>
      <w:rFonts w:ascii="Arial" w:hAnsi="Arial"/>
      <w:sz w:val="22"/>
      <w:lang w:eastAsia="en-US"/>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basedOn w:val="DefaultParagraphFont"/>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12683A"/>
    <w:rPr>
      <w:rFonts w:ascii="Arial" w:hAnsi="Arial"/>
      <w:lang w:eastAsia="en-US"/>
    </w:rPr>
  </w:style>
  <w:style w:type="table" w:customStyle="1" w:styleId="LightGrid1">
    <w:name w:val="Light Grid1"/>
    <w:basedOn w:val="TableNormal"/>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1">
    <w:name w:val="Παράγραφος λίστας1"/>
    <w:basedOn w:val="Normal"/>
    <w:qFormat/>
    <w:rsid w:val="009817D0"/>
    <w:pPr>
      <w:widowControl w:val="0"/>
      <w:tabs>
        <w:tab w:val="left" w:pos="1429"/>
      </w:tabs>
      <w:suppressAutoHyphens/>
      <w:spacing w:before="0" w:after="200" w:line="276" w:lineRule="auto"/>
      <w:ind w:left="720"/>
      <w:jc w:val="left"/>
    </w:pPr>
    <w:rPr>
      <w:rFonts w:ascii="Liberation Serif" w:eastAsia="WenQuanYi Micro Hei" w:hAnsi="Liberation Serif" w:cs="Lohit Hindi"/>
      <w:kern w:val="16"/>
      <w:sz w:val="24"/>
      <w:szCs w:val="24"/>
      <w:lang w:val="en-US" w:eastAsia="zh-CN" w:bidi="hi-IN"/>
    </w:rPr>
  </w:style>
  <w:style w:type="paragraph" w:customStyle="1" w:styleId="a">
    <w:name w:val="Περιεχόμενα πίνακα"/>
    <w:basedOn w:val="Normal"/>
    <w:rsid w:val="00C90448"/>
    <w:pPr>
      <w:widowControl w:val="0"/>
      <w:suppressLineNumbers/>
      <w:suppressAutoHyphens/>
      <w:spacing w:before="0" w:line="240" w:lineRule="auto"/>
      <w:jc w:val="left"/>
    </w:pPr>
    <w:rPr>
      <w:rFonts w:ascii="Liberation Serif" w:eastAsia="DejaVu Sans" w:hAnsi="Liberation Serif" w:cs="DejaVu Sans"/>
      <w:kern w:val="1"/>
      <w:sz w:val="24"/>
      <w:szCs w:val="24"/>
      <w:lang w:val="el-GR" w:eastAsia="hi-IN" w:bidi="hi-IN"/>
    </w:rPr>
  </w:style>
  <w:style w:type="character" w:customStyle="1" w:styleId="a0">
    <w:name w:val="Σύμβολο υποσημείωσης"/>
    <w:rsid w:val="00F7224E"/>
  </w:style>
  <w:style w:type="paragraph" w:customStyle="1" w:styleId="2">
    <w:name w:val="Παράγραφος λίστας2"/>
    <w:basedOn w:val="Normal"/>
    <w:rsid w:val="00F7224E"/>
    <w:pPr>
      <w:widowControl w:val="0"/>
      <w:tabs>
        <w:tab w:val="left" w:pos="709"/>
      </w:tabs>
      <w:suppressAutoHyphens/>
      <w:spacing w:before="0" w:after="200" w:line="276" w:lineRule="auto"/>
      <w:ind w:left="720"/>
      <w:jc w:val="left"/>
    </w:pPr>
    <w:rPr>
      <w:rFonts w:ascii="Liberation Serif" w:eastAsia="DejaVu Sans" w:hAnsi="Liberation Serif" w:cs="DejaVu Sans"/>
      <w:kern w:val="1"/>
      <w:sz w:val="24"/>
      <w:szCs w:val="24"/>
      <w:lang w:val="el-GR" w:eastAsia="zh-CN" w:bidi="hi-IN"/>
    </w:rPr>
  </w:style>
  <w:style w:type="paragraph" w:customStyle="1" w:styleId="3">
    <w:name w:val="Παράγραφος λίστας3"/>
    <w:basedOn w:val="Normal"/>
    <w:rsid w:val="00101107"/>
    <w:pPr>
      <w:widowControl w:val="0"/>
      <w:tabs>
        <w:tab w:val="left" w:pos="709"/>
      </w:tabs>
      <w:suppressAutoHyphens/>
      <w:spacing w:before="0" w:after="200" w:line="276" w:lineRule="auto"/>
      <w:ind w:left="720"/>
      <w:jc w:val="left"/>
    </w:pPr>
    <w:rPr>
      <w:rFonts w:ascii="Liberation Serif" w:eastAsia="DejaVu Sans" w:hAnsi="Liberation Serif" w:cs="DejaVu Sans"/>
      <w:kern w:val="1"/>
      <w:sz w:val="24"/>
      <w:szCs w:val="24"/>
      <w:lang w:val="el-GR" w:eastAsia="zh-CN" w:bidi="hi-IN"/>
    </w:rPr>
  </w:style>
  <w:style w:type="character" w:customStyle="1" w:styleId="style7">
    <w:name w:val="style7"/>
    <w:basedOn w:val="DefaultParagraphFont"/>
    <w:rsid w:val="00360468"/>
  </w:style>
  <w:style w:type="character" w:customStyle="1" w:styleId="c22">
    <w:name w:val="c22"/>
    <w:basedOn w:val="DefaultParagraphFont"/>
    <w:rsid w:val="00834D9C"/>
  </w:style>
  <w:style w:type="character" w:styleId="Strong">
    <w:name w:val="Strong"/>
    <w:basedOn w:val="DefaultParagraphFont"/>
    <w:uiPriority w:val="22"/>
    <w:qFormat/>
    <w:rsid w:val="00A66F8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4260">
      <w:bodyDiv w:val="1"/>
      <w:marLeft w:val="0"/>
      <w:marRight w:val="0"/>
      <w:marTop w:val="0"/>
      <w:marBottom w:val="0"/>
      <w:divBdr>
        <w:top w:val="none" w:sz="0" w:space="0" w:color="auto"/>
        <w:left w:val="none" w:sz="0" w:space="0" w:color="auto"/>
        <w:bottom w:val="none" w:sz="0" w:space="0" w:color="auto"/>
        <w:right w:val="none" w:sz="0" w:space="0" w:color="auto"/>
      </w:divBdr>
    </w:div>
    <w:div w:id="412357200">
      <w:bodyDiv w:val="1"/>
      <w:marLeft w:val="0"/>
      <w:marRight w:val="0"/>
      <w:marTop w:val="0"/>
      <w:marBottom w:val="0"/>
      <w:divBdr>
        <w:top w:val="none" w:sz="0" w:space="0" w:color="auto"/>
        <w:left w:val="none" w:sz="0" w:space="0" w:color="auto"/>
        <w:bottom w:val="none" w:sz="0" w:space="0" w:color="auto"/>
        <w:right w:val="none" w:sz="0" w:space="0" w:color="auto"/>
      </w:divBdr>
    </w:div>
    <w:div w:id="505171505">
      <w:bodyDiv w:val="1"/>
      <w:marLeft w:val="0"/>
      <w:marRight w:val="0"/>
      <w:marTop w:val="0"/>
      <w:marBottom w:val="0"/>
      <w:divBdr>
        <w:top w:val="none" w:sz="0" w:space="0" w:color="auto"/>
        <w:left w:val="none" w:sz="0" w:space="0" w:color="auto"/>
        <w:bottom w:val="none" w:sz="0" w:space="0" w:color="auto"/>
        <w:right w:val="none" w:sz="0" w:space="0" w:color="auto"/>
      </w:divBdr>
    </w:div>
    <w:div w:id="603539063">
      <w:bodyDiv w:val="1"/>
      <w:marLeft w:val="0"/>
      <w:marRight w:val="0"/>
      <w:marTop w:val="0"/>
      <w:marBottom w:val="0"/>
      <w:divBdr>
        <w:top w:val="none" w:sz="0" w:space="0" w:color="auto"/>
        <w:left w:val="none" w:sz="0" w:space="0" w:color="auto"/>
        <w:bottom w:val="none" w:sz="0" w:space="0" w:color="auto"/>
        <w:right w:val="none" w:sz="0" w:space="0" w:color="auto"/>
      </w:divBdr>
    </w:div>
    <w:div w:id="856699746">
      <w:bodyDiv w:val="1"/>
      <w:marLeft w:val="0"/>
      <w:marRight w:val="0"/>
      <w:marTop w:val="0"/>
      <w:marBottom w:val="0"/>
      <w:divBdr>
        <w:top w:val="none" w:sz="0" w:space="0" w:color="auto"/>
        <w:left w:val="none" w:sz="0" w:space="0" w:color="auto"/>
        <w:bottom w:val="none" w:sz="0" w:space="0" w:color="auto"/>
        <w:right w:val="none" w:sz="0" w:space="0" w:color="auto"/>
      </w:divBdr>
    </w:div>
    <w:div w:id="1257787801">
      <w:bodyDiv w:val="1"/>
      <w:marLeft w:val="0"/>
      <w:marRight w:val="0"/>
      <w:marTop w:val="0"/>
      <w:marBottom w:val="0"/>
      <w:divBdr>
        <w:top w:val="none" w:sz="0" w:space="0" w:color="auto"/>
        <w:left w:val="none" w:sz="0" w:space="0" w:color="auto"/>
        <w:bottom w:val="none" w:sz="0" w:space="0" w:color="auto"/>
        <w:right w:val="none" w:sz="0" w:space="0" w:color="auto"/>
      </w:divBdr>
    </w:div>
    <w:div w:id="1375158978">
      <w:bodyDiv w:val="1"/>
      <w:marLeft w:val="0"/>
      <w:marRight w:val="0"/>
      <w:marTop w:val="0"/>
      <w:marBottom w:val="0"/>
      <w:divBdr>
        <w:top w:val="none" w:sz="0" w:space="0" w:color="auto"/>
        <w:left w:val="none" w:sz="0" w:space="0" w:color="auto"/>
        <w:bottom w:val="none" w:sz="0" w:space="0" w:color="auto"/>
        <w:right w:val="none" w:sz="0" w:space="0" w:color="auto"/>
      </w:divBdr>
    </w:div>
    <w:div w:id="1425766225">
      <w:bodyDiv w:val="1"/>
      <w:marLeft w:val="0"/>
      <w:marRight w:val="0"/>
      <w:marTop w:val="0"/>
      <w:marBottom w:val="0"/>
      <w:divBdr>
        <w:top w:val="none" w:sz="0" w:space="0" w:color="auto"/>
        <w:left w:val="none" w:sz="0" w:space="0" w:color="auto"/>
        <w:bottom w:val="none" w:sz="0" w:space="0" w:color="auto"/>
        <w:right w:val="none" w:sz="0" w:space="0" w:color="auto"/>
      </w:divBdr>
    </w:div>
    <w:div w:id="1440294389">
      <w:bodyDiv w:val="1"/>
      <w:marLeft w:val="0"/>
      <w:marRight w:val="0"/>
      <w:marTop w:val="0"/>
      <w:marBottom w:val="0"/>
      <w:divBdr>
        <w:top w:val="none" w:sz="0" w:space="0" w:color="auto"/>
        <w:left w:val="none" w:sz="0" w:space="0" w:color="auto"/>
        <w:bottom w:val="none" w:sz="0" w:space="0" w:color="auto"/>
        <w:right w:val="none" w:sz="0" w:space="0" w:color="auto"/>
      </w:divBdr>
    </w:div>
    <w:div w:id="1451822145">
      <w:bodyDiv w:val="1"/>
      <w:marLeft w:val="0"/>
      <w:marRight w:val="0"/>
      <w:marTop w:val="0"/>
      <w:marBottom w:val="0"/>
      <w:divBdr>
        <w:top w:val="none" w:sz="0" w:space="0" w:color="auto"/>
        <w:left w:val="none" w:sz="0" w:space="0" w:color="auto"/>
        <w:bottom w:val="none" w:sz="0" w:space="0" w:color="auto"/>
        <w:right w:val="none" w:sz="0" w:space="0" w:color="auto"/>
      </w:divBdr>
    </w:div>
    <w:div w:id="1862543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file:///P:\FF%204_Projekte\ESPON%20TiPSE\Reports\Final%20Report\Case%20Study%20Reports_final%20version\fertig%20formatiert\TiPSE%20Case%20Study%20Report%20Izmir_final._neudocx.docx" TargetMode="External"/><Relationship Id="rId26"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hyperlink" Target="file:///P:\FF%204_Projekte\ESPON%20TiPSE\Reports\Final%20Report\Case%20Study%20Reports_final%20version\fertig%20formatiert\TiPSE%20Case%20Study%20Report%20Izmir_final._neudocx.docx" TargetMode="External"/><Relationship Id="rId34" Type="http://schemas.openxmlformats.org/officeDocument/2006/relationships/header" Target="header1.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yperlink" Target="file:///P:\FF%204_Projekte\ESPON%20TiPSE\Reports\Final%20Report\Case%20Study%20Reports_final%20version\fertig%20formatiert\TiPSE%20Case%20Study%20Report%20Izmir_final._neudocx.docx" TargetMode="External"/><Relationship Id="rId25" Type="http://schemas.openxmlformats.org/officeDocument/2006/relationships/image" Target="media/image4.jpeg"/><Relationship Id="rId33" Type="http://schemas.openxmlformats.org/officeDocument/2006/relationships/image" Target="media/image12.jpeg"/><Relationship Id="rId2" Type="http://schemas.openxmlformats.org/officeDocument/2006/relationships/customXml" Target="../customXml/item2.xml"/><Relationship Id="rId16" Type="http://schemas.openxmlformats.org/officeDocument/2006/relationships/hyperlink" Target="file:///P:\FF%204_Projekte\ESPON%20TiPSE\Reports\Final%20Report\Case%20Study%20Reports_final%20version\fertig%20formatiert\TiPSE%20Case%20Study%20Report%20Izmir_final._neudocx.docx" TargetMode="External"/><Relationship Id="rId20" Type="http://schemas.openxmlformats.org/officeDocument/2006/relationships/hyperlink" Target="file:///P:\FF%204_Projekte\ESPON%20TiPSE\Reports\Final%20Report\Case%20Study%20Reports_final%20version\fertig%20formatiert\TiPSE%20Case%20Study%20Report%20Izmir_final._neudocx.docx" TargetMode="Externa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hyperlink" Target="http://www.espon.eu" TargetMode="External"/><Relationship Id="rId23" Type="http://schemas.openxmlformats.org/officeDocument/2006/relationships/image" Target="media/image2.tiff"/><Relationship Id="rId28" Type="http://schemas.openxmlformats.org/officeDocument/2006/relationships/image" Target="media/image7.jpeg"/><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file:///P:\FF%204_Projekte\ESPON%20TiPSE\Reports\Final%20Report\Case%20Study%20Reports_final%20version\fertig%20formatiert\TiPSE%20Case%20Study%20Report%20Izmir_final._neudocx.docx" TargetMode="External"/><Relationship Id="rId31"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file:///P:\FF%204_Projekte\ESPON%20TiPSE\Reports\Final%20Report\Case%20Study%20Reports_final%20version\fertig%20formatiert\TiPSE%20Case%20Study%20Report%20Izmir_final._neudocx.docx" TargetMode="External"/><Relationship Id="rId27" Type="http://schemas.openxmlformats.org/officeDocument/2006/relationships/image" Target="media/image6.jpeg"/><Relationship Id="rId30" Type="http://schemas.openxmlformats.org/officeDocument/2006/relationships/image" Target="media/image9.emf"/><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FE4FE3-1031-48E6-82B9-B8E73FB97E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B52304C2-920D-494F-A993-C09157E6FC11}">
  <ds:schemaRefs>
    <ds:schemaRef ds:uri="http://schemas.microsoft.com/sharepoint/v3/contenttype/forms"/>
  </ds:schemaRefs>
</ds:datastoreItem>
</file>

<file path=customXml/itemProps3.xml><?xml version="1.0" encoding="utf-8"?>
<ds:datastoreItem xmlns:ds="http://schemas.openxmlformats.org/officeDocument/2006/customXml" ds:itemID="{C3AE09CE-C9B8-4FE0-B948-993015FFA8B2}">
  <ds:schemaRefs>
    <ds:schemaRef ds:uri="http://schemas.microsoft.com/office/2006/metadata/properties"/>
  </ds:schemaRefs>
</ds:datastoreItem>
</file>

<file path=customXml/itemProps4.xml><?xml version="1.0" encoding="utf-8"?>
<ds:datastoreItem xmlns:ds="http://schemas.openxmlformats.org/officeDocument/2006/customXml" ds:itemID="{1519E58D-4934-4928-9EF6-1261290807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8449</Words>
  <Characters>68445</Characters>
  <Application>Microsoft Office Word</Application>
  <DocSecurity>0</DocSecurity>
  <Lines>570</Lines>
  <Paragraphs>153</Paragraphs>
  <ScaleCrop>false</ScaleCrop>
  <HeadingPairs>
    <vt:vector size="8" baseType="variant">
      <vt:variant>
        <vt:lpstr>Title</vt:lpstr>
      </vt:variant>
      <vt:variant>
        <vt:i4>1</vt:i4>
      </vt:variant>
      <vt:variant>
        <vt:lpstr>Otsikko</vt:lpstr>
      </vt:variant>
      <vt:variant>
        <vt:i4>1</vt:i4>
      </vt:variant>
      <vt:variant>
        <vt:lpstr>Titel</vt:lpstr>
      </vt:variant>
      <vt:variant>
        <vt:i4>1</vt:i4>
      </vt:variant>
      <vt:variant>
        <vt:lpstr>Τίτλος</vt:lpstr>
      </vt:variant>
      <vt:variant>
        <vt:i4>1</vt:i4>
      </vt:variant>
    </vt:vector>
  </HeadingPairs>
  <TitlesOfParts>
    <vt:vector size="4" baseType="lpstr">
      <vt:lpstr>Version 1 22/09/2008</vt:lpstr>
      <vt:lpstr>Version 1 22/09/2008</vt:lpstr>
      <vt:lpstr>Version 1 22/09/2008</vt:lpstr>
      <vt:lpstr>Version 1 22/09/2008</vt:lpstr>
    </vt:vector>
  </TitlesOfParts>
  <Company>BBR</Company>
  <LinksUpToDate>false</LinksUpToDate>
  <CharactersWithSpaces>76741</CharactersWithSpaces>
  <SharedDoc>false</SharedDoc>
  <HLinks>
    <vt:vector size="408" baseType="variant">
      <vt:variant>
        <vt:i4>1835105</vt:i4>
      </vt:variant>
      <vt:variant>
        <vt:i4>531</vt:i4>
      </vt:variant>
      <vt:variant>
        <vt:i4>0</vt:i4>
      </vt:variant>
      <vt:variant>
        <vt:i4>5</vt:i4>
      </vt:variant>
      <vt:variant>
        <vt:lpwstr>http://www.espon.eu/main/Menu_Projects/Menu_ESPON2006Projects/Menu_StudiesScientificSupportProjects/smallandmediumcities.html</vt:lpwstr>
      </vt:variant>
      <vt:variant>
        <vt:lpwstr/>
      </vt:variant>
      <vt:variant>
        <vt:i4>6029340</vt:i4>
      </vt:variant>
      <vt:variant>
        <vt:i4>528</vt:i4>
      </vt:variant>
      <vt:variant>
        <vt:i4>0</vt:i4>
      </vt:variant>
      <vt:variant>
        <vt:i4>5</vt:i4>
      </vt:variant>
      <vt:variant>
        <vt:lpwstr>http://www.abdn.ac.uk/irr/arkleton/conf2000/papers.shtml</vt:lpwstr>
      </vt:variant>
      <vt:variant>
        <vt:lpwstr/>
      </vt:variant>
      <vt:variant>
        <vt:i4>4063279</vt:i4>
      </vt:variant>
      <vt:variant>
        <vt:i4>525</vt:i4>
      </vt:variant>
      <vt:variant>
        <vt:i4>0</vt:i4>
      </vt:variant>
      <vt:variant>
        <vt:i4>5</vt:i4>
      </vt:variant>
      <vt:variant>
        <vt:lpwstr>http://ec.europa.eu/regional_policy/sources/docoffic/official/reports/cohesion5/index_en.cfm</vt:lpwstr>
      </vt:variant>
      <vt:variant>
        <vt:lpwstr/>
      </vt:variant>
      <vt:variant>
        <vt:i4>8126554</vt:i4>
      </vt:variant>
      <vt:variant>
        <vt:i4>522</vt:i4>
      </vt:variant>
      <vt:variant>
        <vt:i4>0</vt:i4>
      </vt:variant>
      <vt:variant>
        <vt:i4>5</vt:i4>
      </vt:variant>
      <vt:variant>
        <vt:lpwstr>http://ec.europa.eu/agriculture/cap-post-2013/communication/index_en.htm</vt:lpwstr>
      </vt:variant>
      <vt:variant>
        <vt:lpwstr/>
      </vt:variant>
      <vt:variant>
        <vt:i4>2883679</vt:i4>
      </vt:variant>
      <vt:variant>
        <vt:i4>519</vt:i4>
      </vt:variant>
      <vt:variant>
        <vt:i4>0</vt:i4>
      </vt:variant>
      <vt:variant>
        <vt:i4>5</vt:i4>
      </vt:variant>
      <vt:variant>
        <vt:lpwstr>http://ec.europa.eu/regional_policy/sources/docgener/focus/2008_01_rural.pdf</vt:lpwstr>
      </vt:variant>
      <vt:variant>
        <vt:lpwstr/>
      </vt:variant>
      <vt:variant>
        <vt:i4>1507331</vt:i4>
      </vt:variant>
      <vt:variant>
        <vt:i4>516</vt:i4>
      </vt:variant>
      <vt:variant>
        <vt:i4>0</vt:i4>
      </vt:variant>
      <vt:variant>
        <vt:i4>5</vt:i4>
      </vt:variant>
      <vt:variant>
        <vt:lpwstr>http://www.espon.eu/main/Menu_Projects/Menu_AppliedResearch/demifer.html</vt:lpwstr>
      </vt:variant>
      <vt:variant>
        <vt:lpwstr/>
      </vt:variant>
      <vt:variant>
        <vt:i4>7995501</vt:i4>
      </vt:variant>
      <vt:variant>
        <vt:i4>513</vt:i4>
      </vt:variant>
      <vt:variant>
        <vt:i4>0</vt:i4>
      </vt:variant>
      <vt:variant>
        <vt:i4>5</vt:i4>
      </vt:variant>
      <vt:variant>
        <vt:lpwstr>http://www.eu-territorial-agenda.eu/Pages/Default.aspx</vt:lpwstr>
      </vt:variant>
      <vt:variant>
        <vt:lpwstr/>
      </vt:variant>
      <vt:variant>
        <vt:i4>2097188</vt:i4>
      </vt:variant>
      <vt:variant>
        <vt:i4>510</vt:i4>
      </vt:variant>
      <vt:variant>
        <vt:i4>0</vt:i4>
      </vt:variant>
      <vt:variant>
        <vt:i4>5</vt:i4>
      </vt:variant>
      <vt:variant>
        <vt:lpwstr>http://www.espon.eu/main/Menu_Projects/Menu_AppliedResearch/tiptap.html</vt:lpwstr>
      </vt:variant>
      <vt:variant>
        <vt:lpwstr/>
      </vt:variant>
      <vt:variant>
        <vt:i4>8061041</vt:i4>
      </vt:variant>
      <vt:variant>
        <vt:i4>507</vt:i4>
      </vt:variant>
      <vt:variant>
        <vt:i4>0</vt:i4>
      </vt:variant>
      <vt:variant>
        <vt:i4>5</vt:i4>
      </vt:variant>
      <vt:variant>
        <vt:lpwstr>http://www.espon.eu/main/Menu_Projects/Menu_ScientificPlatform/typologycompilation.html</vt:lpwstr>
      </vt:variant>
      <vt:variant>
        <vt:lpwstr/>
      </vt:variant>
      <vt:variant>
        <vt:i4>7340057</vt:i4>
      </vt:variant>
      <vt:variant>
        <vt:i4>504</vt:i4>
      </vt:variant>
      <vt:variant>
        <vt:i4>0</vt:i4>
      </vt:variant>
      <vt:variant>
        <vt:i4>5</vt:i4>
      </vt:variant>
      <vt:variant>
        <vt:lpwstr>http://www.espon.eu/main/Menu_Projects/Menu_ESPON2006Projects/Menu_ThematicProjects/urbanrural.html</vt:lpwstr>
      </vt:variant>
      <vt:variant>
        <vt:lpwstr/>
      </vt:variant>
      <vt:variant>
        <vt:i4>1441845</vt:i4>
      </vt:variant>
      <vt:variant>
        <vt:i4>350</vt:i4>
      </vt:variant>
      <vt:variant>
        <vt:i4>0</vt:i4>
      </vt:variant>
      <vt:variant>
        <vt:i4>5</vt:i4>
      </vt:variant>
      <vt:variant>
        <vt:lpwstr/>
      </vt:variant>
      <vt:variant>
        <vt:lpwstr>_Toc287882830</vt:lpwstr>
      </vt:variant>
      <vt:variant>
        <vt:i4>1507381</vt:i4>
      </vt:variant>
      <vt:variant>
        <vt:i4>344</vt:i4>
      </vt:variant>
      <vt:variant>
        <vt:i4>0</vt:i4>
      </vt:variant>
      <vt:variant>
        <vt:i4>5</vt:i4>
      </vt:variant>
      <vt:variant>
        <vt:lpwstr/>
      </vt:variant>
      <vt:variant>
        <vt:lpwstr>_Toc287882829</vt:lpwstr>
      </vt:variant>
      <vt:variant>
        <vt:i4>1507381</vt:i4>
      </vt:variant>
      <vt:variant>
        <vt:i4>338</vt:i4>
      </vt:variant>
      <vt:variant>
        <vt:i4>0</vt:i4>
      </vt:variant>
      <vt:variant>
        <vt:i4>5</vt:i4>
      </vt:variant>
      <vt:variant>
        <vt:lpwstr/>
      </vt:variant>
      <vt:variant>
        <vt:lpwstr>_Toc287882828</vt:lpwstr>
      </vt:variant>
      <vt:variant>
        <vt:i4>1507381</vt:i4>
      </vt:variant>
      <vt:variant>
        <vt:i4>332</vt:i4>
      </vt:variant>
      <vt:variant>
        <vt:i4>0</vt:i4>
      </vt:variant>
      <vt:variant>
        <vt:i4>5</vt:i4>
      </vt:variant>
      <vt:variant>
        <vt:lpwstr/>
      </vt:variant>
      <vt:variant>
        <vt:lpwstr>_Toc287882827</vt:lpwstr>
      </vt:variant>
      <vt:variant>
        <vt:i4>1507381</vt:i4>
      </vt:variant>
      <vt:variant>
        <vt:i4>323</vt:i4>
      </vt:variant>
      <vt:variant>
        <vt:i4>0</vt:i4>
      </vt:variant>
      <vt:variant>
        <vt:i4>5</vt:i4>
      </vt:variant>
      <vt:variant>
        <vt:lpwstr/>
      </vt:variant>
      <vt:variant>
        <vt:lpwstr>_Toc287882826</vt:lpwstr>
      </vt:variant>
      <vt:variant>
        <vt:i4>1507381</vt:i4>
      </vt:variant>
      <vt:variant>
        <vt:i4>317</vt:i4>
      </vt:variant>
      <vt:variant>
        <vt:i4>0</vt:i4>
      </vt:variant>
      <vt:variant>
        <vt:i4>5</vt:i4>
      </vt:variant>
      <vt:variant>
        <vt:lpwstr/>
      </vt:variant>
      <vt:variant>
        <vt:lpwstr>_Toc287882825</vt:lpwstr>
      </vt:variant>
      <vt:variant>
        <vt:i4>1507381</vt:i4>
      </vt:variant>
      <vt:variant>
        <vt:i4>311</vt:i4>
      </vt:variant>
      <vt:variant>
        <vt:i4>0</vt:i4>
      </vt:variant>
      <vt:variant>
        <vt:i4>5</vt:i4>
      </vt:variant>
      <vt:variant>
        <vt:lpwstr/>
      </vt:variant>
      <vt:variant>
        <vt:lpwstr>_Toc287882824</vt:lpwstr>
      </vt:variant>
      <vt:variant>
        <vt:i4>1507381</vt:i4>
      </vt:variant>
      <vt:variant>
        <vt:i4>305</vt:i4>
      </vt:variant>
      <vt:variant>
        <vt:i4>0</vt:i4>
      </vt:variant>
      <vt:variant>
        <vt:i4>5</vt:i4>
      </vt:variant>
      <vt:variant>
        <vt:lpwstr/>
      </vt:variant>
      <vt:variant>
        <vt:lpwstr>_Toc287882823</vt:lpwstr>
      </vt:variant>
      <vt:variant>
        <vt:i4>1507381</vt:i4>
      </vt:variant>
      <vt:variant>
        <vt:i4>299</vt:i4>
      </vt:variant>
      <vt:variant>
        <vt:i4>0</vt:i4>
      </vt:variant>
      <vt:variant>
        <vt:i4>5</vt:i4>
      </vt:variant>
      <vt:variant>
        <vt:lpwstr/>
      </vt:variant>
      <vt:variant>
        <vt:lpwstr>_Toc287882822</vt:lpwstr>
      </vt:variant>
      <vt:variant>
        <vt:i4>1507381</vt:i4>
      </vt:variant>
      <vt:variant>
        <vt:i4>293</vt:i4>
      </vt:variant>
      <vt:variant>
        <vt:i4>0</vt:i4>
      </vt:variant>
      <vt:variant>
        <vt:i4>5</vt:i4>
      </vt:variant>
      <vt:variant>
        <vt:lpwstr/>
      </vt:variant>
      <vt:variant>
        <vt:lpwstr>_Toc287882821</vt:lpwstr>
      </vt:variant>
      <vt:variant>
        <vt:i4>1507381</vt:i4>
      </vt:variant>
      <vt:variant>
        <vt:i4>287</vt:i4>
      </vt:variant>
      <vt:variant>
        <vt:i4>0</vt:i4>
      </vt:variant>
      <vt:variant>
        <vt:i4>5</vt:i4>
      </vt:variant>
      <vt:variant>
        <vt:lpwstr/>
      </vt:variant>
      <vt:variant>
        <vt:lpwstr>_Toc287882820</vt:lpwstr>
      </vt:variant>
      <vt:variant>
        <vt:i4>1310773</vt:i4>
      </vt:variant>
      <vt:variant>
        <vt:i4>281</vt:i4>
      </vt:variant>
      <vt:variant>
        <vt:i4>0</vt:i4>
      </vt:variant>
      <vt:variant>
        <vt:i4>5</vt:i4>
      </vt:variant>
      <vt:variant>
        <vt:lpwstr/>
      </vt:variant>
      <vt:variant>
        <vt:lpwstr>_Toc287882819</vt:lpwstr>
      </vt:variant>
      <vt:variant>
        <vt:i4>1310773</vt:i4>
      </vt:variant>
      <vt:variant>
        <vt:i4>275</vt:i4>
      </vt:variant>
      <vt:variant>
        <vt:i4>0</vt:i4>
      </vt:variant>
      <vt:variant>
        <vt:i4>5</vt:i4>
      </vt:variant>
      <vt:variant>
        <vt:lpwstr/>
      </vt:variant>
      <vt:variant>
        <vt:lpwstr>_Toc287882818</vt:lpwstr>
      </vt:variant>
      <vt:variant>
        <vt:i4>1310773</vt:i4>
      </vt:variant>
      <vt:variant>
        <vt:i4>269</vt:i4>
      </vt:variant>
      <vt:variant>
        <vt:i4>0</vt:i4>
      </vt:variant>
      <vt:variant>
        <vt:i4>5</vt:i4>
      </vt:variant>
      <vt:variant>
        <vt:lpwstr/>
      </vt:variant>
      <vt:variant>
        <vt:lpwstr>_Toc287882817</vt:lpwstr>
      </vt:variant>
      <vt:variant>
        <vt:i4>1310773</vt:i4>
      </vt:variant>
      <vt:variant>
        <vt:i4>263</vt:i4>
      </vt:variant>
      <vt:variant>
        <vt:i4>0</vt:i4>
      </vt:variant>
      <vt:variant>
        <vt:i4>5</vt:i4>
      </vt:variant>
      <vt:variant>
        <vt:lpwstr/>
      </vt:variant>
      <vt:variant>
        <vt:lpwstr>_Toc287882816</vt:lpwstr>
      </vt:variant>
      <vt:variant>
        <vt:i4>1310773</vt:i4>
      </vt:variant>
      <vt:variant>
        <vt:i4>254</vt:i4>
      </vt:variant>
      <vt:variant>
        <vt:i4>0</vt:i4>
      </vt:variant>
      <vt:variant>
        <vt:i4>5</vt:i4>
      </vt:variant>
      <vt:variant>
        <vt:lpwstr/>
      </vt:variant>
      <vt:variant>
        <vt:lpwstr>_Toc287882810</vt:lpwstr>
      </vt:variant>
      <vt:variant>
        <vt:i4>1114169</vt:i4>
      </vt:variant>
      <vt:variant>
        <vt:i4>245</vt:i4>
      </vt:variant>
      <vt:variant>
        <vt:i4>0</vt:i4>
      </vt:variant>
      <vt:variant>
        <vt:i4>5</vt:i4>
      </vt:variant>
      <vt:variant>
        <vt:lpwstr/>
      </vt:variant>
      <vt:variant>
        <vt:lpwstr>_Toc287882440</vt:lpwstr>
      </vt:variant>
      <vt:variant>
        <vt:i4>1441849</vt:i4>
      </vt:variant>
      <vt:variant>
        <vt:i4>239</vt:i4>
      </vt:variant>
      <vt:variant>
        <vt:i4>0</vt:i4>
      </vt:variant>
      <vt:variant>
        <vt:i4>5</vt:i4>
      </vt:variant>
      <vt:variant>
        <vt:lpwstr/>
      </vt:variant>
      <vt:variant>
        <vt:lpwstr>_Toc287882439</vt:lpwstr>
      </vt:variant>
      <vt:variant>
        <vt:i4>1441849</vt:i4>
      </vt:variant>
      <vt:variant>
        <vt:i4>233</vt:i4>
      </vt:variant>
      <vt:variant>
        <vt:i4>0</vt:i4>
      </vt:variant>
      <vt:variant>
        <vt:i4>5</vt:i4>
      </vt:variant>
      <vt:variant>
        <vt:lpwstr/>
      </vt:variant>
      <vt:variant>
        <vt:lpwstr>_Toc287882438</vt:lpwstr>
      </vt:variant>
      <vt:variant>
        <vt:i4>1441849</vt:i4>
      </vt:variant>
      <vt:variant>
        <vt:i4>227</vt:i4>
      </vt:variant>
      <vt:variant>
        <vt:i4>0</vt:i4>
      </vt:variant>
      <vt:variant>
        <vt:i4>5</vt:i4>
      </vt:variant>
      <vt:variant>
        <vt:lpwstr/>
      </vt:variant>
      <vt:variant>
        <vt:lpwstr>_Toc287882437</vt:lpwstr>
      </vt:variant>
      <vt:variant>
        <vt:i4>1441849</vt:i4>
      </vt:variant>
      <vt:variant>
        <vt:i4>221</vt:i4>
      </vt:variant>
      <vt:variant>
        <vt:i4>0</vt:i4>
      </vt:variant>
      <vt:variant>
        <vt:i4>5</vt:i4>
      </vt:variant>
      <vt:variant>
        <vt:lpwstr/>
      </vt:variant>
      <vt:variant>
        <vt:lpwstr>_Toc287882436</vt:lpwstr>
      </vt:variant>
      <vt:variant>
        <vt:i4>1441849</vt:i4>
      </vt:variant>
      <vt:variant>
        <vt:i4>215</vt:i4>
      </vt:variant>
      <vt:variant>
        <vt:i4>0</vt:i4>
      </vt:variant>
      <vt:variant>
        <vt:i4>5</vt:i4>
      </vt:variant>
      <vt:variant>
        <vt:lpwstr/>
      </vt:variant>
      <vt:variant>
        <vt:lpwstr>_Toc287882435</vt:lpwstr>
      </vt:variant>
      <vt:variant>
        <vt:i4>1441849</vt:i4>
      </vt:variant>
      <vt:variant>
        <vt:i4>209</vt:i4>
      </vt:variant>
      <vt:variant>
        <vt:i4>0</vt:i4>
      </vt:variant>
      <vt:variant>
        <vt:i4>5</vt:i4>
      </vt:variant>
      <vt:variant>
        <vt:lpwstr/>
      </vt:variant>
      <vt:variant>
        <vt:lpwstr>_Toc287882434</vt:lpwstr>
      </vt:variant>
      <vt:variant>
        <vt:i4>1441849</vt:i4>
      </vt:variant>
      <vt:variant>
        <vt:i4>203</vt:i4>
      </vt:variant>
      <vt:variant>
        <vt:i4>0</vt:i4>
      </vt:variant>
      <vt:variant>
        <vt:i4>5</vt:i4>
      </vt:variant>
      <vt:variant>
        <vt:lpwstr/>
      </vt:variant>
      <vt:variant>
        <vt:lpwstr>_Toc287882433</vt:lpwstr>
      </vt:variant>
      <vt:variant>
        <vt:i4>1441849</vt:i4>
      </vt:variant>
      <vt:variant>
        <vt:i4>197</vt:i4>
      </vt:variant>
      <vt:variant>
        <vt:i4>0</vt:i4>
      </vt:variant>
      <vt:variant>
        <vt:i4>5</vt:i4>
      </vt:variant>
      <vt:variant>
        <vt:lpwstr/>
      </vt:variant>
      <vt:variant>
        <vt:lpwstr>_Toc287882432</vt:lpwstr>
      </vt:variant>
      <vt:variant>
        <vt:i4>1441849</vt:i4>
      </vt:variant>
      <vt:variant>
        <vt:i4>191</vt:i4>
      </vt:variant>
      <vt:variant>
        <vt:i4>0</vt:i4>
      </vt:variant>
      <vt:variant>
        <vt:i4>5</vt:i4>
      </vt:variant>
      <vt:variant>
        <vt:lpwstr/>
      </vt:variant>
      <vt:variant>
        <vt:lpwstr>_Toc287882431</vt:lpwstr>
      </vt:variant>
      <vt:variant>
        <vt:i4>1441849</vt:i4>
      </vt:variant>
      <vt:variant>
        <vt:i4>185</vt:i4>
      </vt:variant>
      <vt:variant>
        <vt:i4>0</vt:i4>
      </vt:variant>
      <vt:variant>
        <vt:i4>5</vt:i4>
      </vt:variant>
      <vt:variant>
        <vt:lpwstr/>
      </vt:variant>
      <vt:variant>
        <vt:lpwstr>_Toc287882430</vt:lpwstr>
      </vt:variant>
      <vt:variant>
        <vt:i4>1507385</vt:i4>
      </vt:variant>
      <vt:variant>
        <vt:i4>179</vt:i4>
      </vt:variant>
      <vt:variant>
        <vt:i4>0</vt:i4>
      </vt:variant>
      <vt:variant>
        <vt:i4>5</vt:i4>
      </vt:variant>
      <vt:variant>
        <vt:lpwstr/>
      </vt:variant>
      <vt:variant>
        <vt:lpwstr>_Toc287882429</vt:lpwstr>
      </vt:variant>
      <vt:variant>
        <vt:i4>1507385</vt:i4>
      </vt:variant>
      <vt:variant>
        <vt:i4>173</vt:i4>
      </vt:variant>
      <vt:variant>
        <vt:i4>0</vt:i4>
      </vt:variant>
      <vt:variant>
        <vt:i4>5</vt:i4>
      </vt:variant>
      <vt:variant>
        <vt:lpwstr/>
      </vt:variant>
      <vt:variant>
        <vt:lpwstr>_Toc287882428</vt:lpwstr>
      </vt:variant>
      <vt:variant>
        <vt:i4>1507385</vt:i4>
      </vt:variant>
      <vt:variant>
        <vt:i4>167</vt:i4>
      </vt:variant>
      <vt:variant>
        <vt:i4>0</vt:i4>
      </vt:variant>
      <vt:variant>
        <vt:i4>5</vt:i4>
      </vt:variant>
      <vt:variant>
        <vt:lpwstr/>
      </vt:variant>
      <vt:variant>
        <vt:lpwstr>_Toc287882427</vt:lpwstr>
      </vt:variant>
      <vt:variant>
        <vt:i4>1507385</vt:i4>
      </vt:variant>
      <vt:variant>
        <vt:i4>161</vt:i4>
      </vt:variant>
      <vt:variant>
        <vt:i4>0</vt:i4>
      </vt:variant>
      <vt:variant>
        <vt:i4>5</vt:i4>
      </vt:variant>
      <vt:variant>
        <vt:lpwstr/>
      </vt:variant>
      <vt:variant>
        <vt:lpwstr>_Toc287882426</vt:lpwstr>
      </vt:variant>
      <vt:variant>
        <vt:i4>1507385</vt:i4>
      </vt:variant>
      <vt:variant>
        <vt:i4>155</vt:i4>
      </vt:variant>
      <vt:variant>
        <vt:i4>0</vt:i4>
      </vt:variant>
      <vt:variant>
        <vt:i4>5</vt:i4>
      </vt:variant>
      <vt:variant>
        <vt:lpwstr/>
      </vt:variant>
      <vt:variant>
        <vt:lpwstr>_Toc287882425</vt:lpwstr>
      </vt:variant>
      <vt:variant>
        <vt:i4>1507385</vt:i4>
      </vt:variant>
      <vt:variant>
        <vt:i4>149</vt:i4>
      </vt:variant>
      <vt:variant>
        <vt:i4>0</vt:i4>
      </vt:variant>
      <vt:variant>
        <vt:i4>5</vt:i4>
      </vt:variant>
      <vt:variant>
        <vt:lpwstr/>
      </vt:variant>
      <vt:variant>
        <vt:lpwstr>_Toc287882424</vt:lpwstr>
      </vt:variant>
      <vt:variant>
        <vt:i4>1507385</vt:i4>
      </vt:variant>
      <vt:variant>
        <vt:i4>143</vt:i4>
      </vt:variant>
      <vt:variant>
        <vt:i4>0</vt:i4>
      </vt:variant>
      <vt:variant>
        <vt:i4>5</vt:i4>
      </vt:variant>
      <vt:variant>
        <vt:lpwstr/>
      </vt:variant>
      <vt:variant>
        <vt:lpwstr>_Toc287882423</vt:lpwstr>
      </vt:variant>
      <vt:variant>
        <vt:i4>1507385</vt:i4>
      </vt:variant>
      <vt:variant>
        <vt:i4>137</vt:i4>
      </vt:variant>
      <vt:variant>
        <vt:i4>0</vt:i4>
      </vt:variant>
      <vt:variant>
        <vt:i4>5</vt:i4>
      </vt:variant>
      <vt:variant>
        <vt:lpwstr/>
      </vt:variant>
      <vt:variant>
        <vt:lpwstr>_Toc287882422</vt:lpwstr>
      </vt:variant>
      <vt:variant>
        <vt:i4>1507385</vt:i4>
      </vt:variant>
      <vt:variant>
        <vt:i4>131</vt:i4>
      </vt:variant>
      <vt:variant>
        <vt:i4>0</vt:i4>
      </vt:variant>
      <vt:variant>
        <vt:i4>5</vt:i4>
      </vt:variant>
      <vt:variant>
        <vt:lpwstr/>
      </vt:variant>
      <vt:variant>
        <vt:lpwstr>_Toc287882421</vt:lpwstr>
      </vt:variant>
      <vt:variant>
        <vt:i4>1507385</vt:i4>
      </vt:variant>
      <vt:variant>
        <vt:i4>125</vt:i4>
      </vt:variant>
      <vt:variant>
        <vt:i4>0</vt:i4>
      </vt:variant>
      <vt:variant>
        <vt:i4>5</vt:i4>
      </vt:variant>
      <vt:variant>
        <vt:lpwstr/>
      </vt:variant>
      <vt:variant>
        <vt:lpwstr>_Toc287882420</vt:lpwstr>
      </vt:variant>
      <vt:variant>
        <vt:i4>1310777</vt:i4>
      </vt:variant>
      <vt:variant>
        <vt:i4>119</vt:i4>
      </vt:variant>
      <vt:variant>
        <vt:i4>0</vt:i4>
      </vt:variant>
      <vt:variant>
        <vt:i4>5</vt:i4>
      </vt:variant>
      <vt:variant>
        <vt:lpwstr/>
      </vt:variant>
      <vt:variant>
        <vt:lpwstr>_Toc287882419</vt:lpwstr>
      </vt:variant>
      <vt:variant>
        <vt:i4>1310777</vt:i4>
      </vt:variant>
      <vt:variant>
        <vt:i4>113</vt:i4>
      </vt:variant>
      <vt:variant>
        <vt:i4>0</vt:i4>
      </vt:variant>
      <vt:variant>
        <vt:i4>5</vt:i4>
      </vt:variant>
      <vt:variant>
        <vt:lpwstr/>
      </vt:variant>
      <vt:variant>
        <vt:lpwstr>_Toc287882418</vt:lpwstr>
      </vt:variant>
      <vt:variant>
        <vt:i4>1310777</vt:i4>
      </vt:variant>
      <vt:variant>
        <vt:i4>107</vt:i4>
      </vt:variant>
      <vt:variant>
        <vt:i4>0</vt:i4>
      </vt:variant>
      <vt:variant>
        <vt:i4>5</vt:i4>
      </vt:variant>
      <vt:variant>
        <vt:lpwstr/>
      </vt:variant>
      <vt:variant>
        <vt:lpwstr>_Toc287882417</vt:lpwstr>
      </vt:variant>
      <vt:variant>
        <vt:i4>1310777</vt:i4>
      </vt:variant>
      <vt:variant>
        <vt:i4>101</vt:i4>
      </vt:variant>
      <vt:variant>
        <vt:i4>0</vt:i4>
      </vt:variant>
      <vt:variant>
        <vt:i4>5</vt:i4>
      </vt:variant>
      <vt:variant>
        <vt:lpwstr/>
      </vt:variant>
      <vt:variant>
        <vt:lpwstr>_Toc287882416</vt:lpwstr>
      </vt:variant>
      <vt:variant>
        <vt:i4>1310777</vt:i4>
      </vt:variant>
      <vt:variant>
        <vt:i4>95</vt:i4>
      </vt:variant>
      <vt:variant>
        <vt:i4>0</vt:i4>
      </vt:variant>
      <vt:variant>
        <vt:i4>5</vt:i4>
      </vt:variant>
      <vt:variant>
        <vt:lpwstr/>
      </vt:variant>
      <vt:variant>
        <vt:lpwstr>_Toc287882415</vt:lpwstr>
      </vt:variant>
      <vt:variant>
        <vt:i4>1310777</vt:i4>
      </vt:variant>
      <vt:variant>
        <vt:i4>89</vt:i4>
      </vt:variant>
      <vt:variant>
        <vt:i4>0</vt:i4>
      </vt:variant>
      <vt:variant>
        <vt:i4>5</vt:i4>
      </vt:variant>
      <vt:variant>
        <vt:lpwstr/>
      </vt:variant>
      <vt:variant>
        <vt:lpwstr>_Toc287882414</vt:lpwstr>
      </vt:variant>
      <vt:variant>
        <vt:i4>1310777</vt:i4>
      </vt:variant>
      <vt:variant>
        <vt:i4>83</vt:i4>
      </vt:variant>
      <vt:variant>
        <vt:i4>0</vt:i4>
      </vt:variant>
      <vt:variant>
        <vt:i4>5</vt:i4>
      </vt:variant>
      <vt:variant>
        <vt:lpwstr/>
      </vt:variant>
      <vt:variant>
        <vt:lpwstr>_Toc287882413</vt:lpwstr>
      </vt:variant>
      <vt:variant>
        <vt:i4>1310777</vt:i4>
      </vt:variant>
      <vt:variant>
        <vt:i4>77</vt:i4>
      </vt:variant>
      <vt:variant>
        <vt:i4>0</vt:i4>
      </vt:variant>
      <vt:variant>
        <vt:i4>5</vt:i4>
      </vt:variant>
      <vt:variant>
        <vt:lpwstr/>
      </vt:variant>
      <vt:variant>
        <vt:lpwstr>_Toc287882412</vt:lpwstr>
      </vt:variant>
      <vt:variant>
        <vt:i4>1310777</vt:i4>
      </vt:variant>
      <vt:variant>
        <vt:i4>71</vt:i4>
      </vt:variant>
      <vt:variant>
        <vt:i4>0</vt:i4>
      </vt:variant>
      <vt:variant>
        <vt:i4>5</vt:i4>
      </vt:variant>
      <vt:variant>
        <vt:lpwstr/>
      </vt:variant>
      <vt:variant>
        <vt:lpwstr>_Toc287882411</vt:lpwstr>
      </vt:variant>
      <vt:variant>
        <vt:i4>1310777</vt:i4>
      </vt:variant>
      <vt:variant>
        <vt:i4>65</vt:i4>
      </vt:variant>
      <vt:variant>
        <vt:i4>0</vt:i4>
      </vt:variant>
      <vt:variant>
        <vt:i4>5</vt:i4>
      </vt:variant>
      <vt:variant>
        <vt:lpwstr/>
      </vt:variant>
      <vt:variant>
        <vt:lpwstr>_Toc287882410</vt:lpwstr>
      </vt:variant>
      <vt:variant>
        <vt:i4>1376313</vt:i4>
      </vt:variant>
      <vt:variant>
        <vt:i4>59</vt:i4>
      </vt:variant>
      <vt:variant>
        <vt:i4>0</vt:i4>
      </vt:variant>
      <vt:variant>
        <vt:i4>5</vt:i4>
      </vt:variant>
      <vt:variant>
        <vt:lpwstr/>
      </vt:variant>
      <vt:variant>
        <vt:lpwstr>_Toc287882409</vt:lpwstr>
      </vt:variant>
      <vt:variant>
        <vt:i4>1376313</vt:i4>
      </vt:variant>
      <vt:variant>
        <vt:i4>53</vt:i4>
      </vt:variant>
      <vt:variant>
        <vt:i4>0</vt:i4>
      </vt:variant>
      <vt:variant>
        <vt:i4>5</vt:i4>
      </vt:variant>
      <vt:variant>
        <vt:lpwstr/>
      </vt:variant>
      <vt:variant>
        <vt:lpwstr>_Toc287882408</vt:lpwstr>
      </vt:variant>
      <vt:variant>
        <vt:i4>1376313</vt:i4>
      </vt:variant>
      <vt:variant>
        <vt:i4>47</vt:i4>
      </vt:variant>
      <vt:variant>
        <vt:i4>0</vt:i4>
      </vt:variant>
      <vt:variant>
        <vt:i4>5</vt:i4>
      </vt:variant>
      <vt:variant>
        <vt:lpwstr/>
      </vt:variant>
      <vt:variant>
        <vt:lpwstr>_Toc287882407</vt:lpwstr>
      </vt:variant>
      <vt:variant>
        <vt:i4>1376313</vt:i4>
      </vt:variant>
      <vt:variant>
        <vt:i4>41</vt:i4>
      </vt:variant>
      <vt:variant>
        <vt:i4>0</vt:i4>
      </vt:variant>
      <vt:variant>
        <vt:i4>5</vt:i4>
      </vt:variant>
      <vt:variant>
        <vt:lpwstr/>
      </vt:variant>
      <vt:variant>
        <vt:lpwstr>_Toc287882406</vt:lpwstr>
      </vt:variant>
      <vt:variant>
        <vt:i4>1376313</vt:i4>
      </vt:variant>
      <vt:variant>
        <vt:i4>35</vt:i4>
      </vt:variant>
      <vt:variant>
        <vt:i4>0</vt:i4>
      </vt:variant>
      <vt:variant>
        <vt:i4>5</vt:i4>
      </vt:variant>
      <vt:variant>
        <vt:lpwstr/>
      </vt:variant>
      <vt:variant>
        <vt:lpwstr>_Toc287882405</vt:lpwstr>
      </vt:variant>
      <vt:variant>
        <vt:i4>1376313</vt:i4>
      </vt:variant>
      <vt:variant>
        <vt:i4>29</vt:i4>
      </vt:variant>
      <vt:variant>
        <vt:i4>0</vt:i4>
      </vt:variant>
      <vt:variant>
        <vt:i4>5</vt:i4>
      </vt:variant>
      <vt:variant>
        <vt:lpwstr/>
      </vt:variant>
      <vt:variant>
        <vt:lpwstr>_Toc287882404</vt:lpwstr>
      </vt:variant>
      <vt:variant>
        <vt:i4>1376313</vt:i4>
      </vt:variant>
      <vt:variant>
        <vt:i4>23</vt:i4>
      </vt:variant>
      <vt:variant>
        <vt:i4>0</vt:i4>
      </vt:variant>
      <vt:variant>
        <vt:i4>5</vt:i4>
      </vt:variant>
      <vt:variant>
        <vt:lpwstr/>
      </vt:variant>
      <vt:variant>
        <vt:lpwstr>_Toc287882403</vt:lpwstr>
      </vt:variant>
      <vt:variant>
        <vt:i4>1376313</vt:i4>
      </vt:variant>
      <vt:variant>
        <vt:i4>17</vt:i4>
      </vt:variant>
      <vt:variant>
        <vt:i4>0</vt:i4>
      </vt:variant>
      <vt:variant>
        <vt:i4>5</vt:i4>
      </vt:variant>
      <vt:variant>
        <vt:lpwstr/>
      </vt:variant>
      <vt:variant>
        <vt:lpwstr>_Toc287882402</vt:lpwstr>
      </vt:variant>
      <vt:variant>
        <vt:i4>1376313</vt:i4>
      </vt:variant>
      <vt:variant>
        <vt:i4>11</vt:i4>
      </vt:variant>
      <vt:variant>
        <vt:i4>0</vt:i4>
      </vt:variant>
      <vt:variant>
        <vt:i4>5</vt:i4>
      </vt:variant>
      <vt:variant>
        <vt:lpwstr/>
      </vt:variant>
      <vt:variant>
        <vt:lpwstr>_Toc287882401</vt:lpwstr>
      </vt:variant>
      <vt:variant>
        <vt:i4>1376313</vt:i4>
      </vt:variant>
      <vt:variant>
        <vt:i4>5</vt:i4>
      </vt:variant>
      <vt:variant>
        <vt:i4>0</vt:i4>
      </vt:variant>
      <vt:variant>
        <vt:i4>5</vt:i4>
      </vt:variant>
      <vt:variant>
        <vt:lpwstr/>
      </vt:variant>
      <vt:variant>
        <vt:lpwstr>_Toc287882400</vt:lpwstr>
      </vt:variant>
      <vt:variant>
        <vt:i4>1703959</vt:i4>
      </vt:variant>
      <vt:variant>
        <vt:i4>0</vt:i4>
      </vt:variant>
      <vt:variant>
        <vt:i4>0</vt:i4>
      </vt:variant>
      <vt:variant>
        <vt:i4>5</vt:i4>
      </vt:variant>
      <vt:variant>
        <vt:lpwstr>http://www.espon.eu/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mehlbye</dc:creator>
  <cp:lastModifiedBy>Petri Kahila</cp:lastModifiedBy>
  <cp:revision>2</cp:revision>
  <cp:lastPrinted>2014-10-07T06:54:00Z</cp:lastPrinted>
  <dcterms:created xsi:type="dcterms:W3CDTF">2014-10-17T12:55:00Z</dcterms:created>
  <dcterms:modified xsi:type="dcterms:W3CDTF">2014-10-17T12:55:00Z</dcterms:modified>
</cp:coreProperties>
</file>