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 ContentType="image/tiff"/>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30686" w:rsidRPr="00C36DAF" w:rsidRDefault="00AB0F53" w:rsidP="00430686">
      <w:pPr>
        <w:spacing w:before="0"/>
        <w:ind w:left="-1701"/>
        <w:rPr>
          <w:iCs/>
        </w:rPr>
      </w:pPr>
      <w:bookmarkStart w:id="0" w:name="_Toc221439757"/>
      <w:r>
        <w:rPr>
          <w:noProof/>
          <w:lang w:val="fi-FI" w:eastAsia="fi-FI"/>
        </w:rPr>
        <mc:AlternateContent>
          <mc:Choice Requires="wps">
            <w:drawing>
              <wp:anchor distT="0" distB="0" distL="114300" distR="114300" simplePos="0" relativeHeight="251656192" behindDoc="0" locked="0" layoutInCell="1" allowOverlap="1">
                <wp:simplePos x="0" y="0"/>
                <wp:positionH relativeFrom="column">
                  <wp:posOffset>-813435</wp:posOffset>
                </wp:positionH>
                <wp:positionV relativeFrom="paragraph">
                  <wp:posOffset>3930650</wp:posOffset>
                </wp:positionV>
                <wp:extent cx="7035800" cy="1835150"/>
                <wp:effectExtent l="0" t="0" r="0" b="0"/>
                <wp:wrapNone/>
                <wp:docPr id="7" name="Text 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35800" cy="183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5181" w:rsidRDefault="00925181" w:rsidP="00430686">
                            <w:pPr>
                              <w:ind w:left="426" w:right="530"/>
                              <w:jc w:val="center"/>
                              <w:rPr>
                                <w:rFonts w:cs="Arial"/>
                                <w:sz w:val="60"/>
                                <w:szCs w:val="60"/>
                              </w:rPr>
                            </w:pPr>
                            <w:r>
                              <w:rPr>
                                <w:rFonts w:cs="Arial"/>
                                <w:sz w:val="60"/>
                                <w:szCs w:val="60"/>
                              </w:rPr>
                              <w:t>TiPSE</w:t>
                            </w:r>
                          </w:p>
                          <w:p w:rsidR="00925181" w:rsidRPr="00721B03" w:rsidRDefault="00925181" w:rsidP="00430686">
                            <w:pPr>
                              <w:ind w:left="426" w:right="530"/>
                              <w:jc w:val="center"/>
                              <w:rPr>
                                <w:rFonts w:cs="Arial"/>
                                <w:sz w:val="60"/>
                                <w:szCs w:val="60"/>
                              </w:rPr>
                            </w:pPr>
                            <w:r w:rsidRPr="00377F72">
                              <w:rPr>
                                <w:rFonts w:cs="Arial"/>
                                <w:sz w:val="60"/>
                                <w:szCs w:val="60"/>
                              </w:rPr>
                              <w:t xml:space="preserve">The </w:t>
                            </w:r>
                            <w:r>
                              <w:rPr>
                                <w:rFonts w:cs="Arial"/>
                                <w:color w:val="FF0000"/>
                                <w:sz w:val="60"/>
                                <w:szCs w:val="60"/>
                              </w:rPr>
                              <w:t>T</w:t>
                            </w:r>
                            <w:r>
                              <w:rPr>
                                <w:rFonts w:cs="Arial"/>
                                <w:sz w:val="60"/>
                                <w:szCs w:val="60"/>
                              </w:rPr>
                              <w:t>erritorial D</w:t>
                            </w:r>
                            <w:r w:rsidRPr="00377F72">
                              <w:rPr>
                                <w:rFonts w:cs="Arial"/>
                                <w:color w:val="FF0000"/>
                                <w:sz w:val="60"/>
                                <w:szCs w:val="60"/>
                              </w:rPr>
                              <w:t>i</w:t>
                            </w:r>
                            <w:r>
                              <w:rPr>
                                <w:rFonts w:cs="Arial"/>
                                <w:sz w:val="60"/>
                                <w:szCs w:val="60"/>
                              </w:rPr>
                              <w:t xml:space="preserve">mension of </w:t>
                            </w:r>
                            <w:r>
                              <w:rPr>
                                <w:rFonts w:cs="Arial"/>
                                <w:color w:val="FF0000"/>
                                <w:sz w:val="60"/>
                                <w:szCs w:val="60"/>
                              </w:rPr>
                              <w:t>P</w:t>
                            </w:r>
                            <w:r>
                              <w:rPr>
                                <w:rFonts w:cs="Arial"/>
                                <w:sz w:val="60"/>
                                <w:szCs w:val="60"/>
                              </w:rPr>
                              <w:t xml:space="preserve">overty and </w:t>
                            </w:r>
                            <w:r>
                              <w:rPr>
                                <w:rFonts w:cs="Arial"/>
                                <w:color w:val="FF0000"/>
                                <w:sz w:val="60"/>
                                <w:szCs w:val="60"/>
                              </w:rPr>
                              <w:t>S</w:t>
                            </w:r>
                            <w:r>
                              <w:rPr>
                                <w:rFonts w:cs="Arial"/>
                                <w:sz w:val="60"/>
                                <w:szCs w:val="60"/>
                              </w:rPr>
                              <w:t xml:space="preserve">ocial </w:t>
                            </w:r>
                            <w:r>
                              <w:rPr>
                                <w:rFonts w:cs="Arial"/>
                                <w:color w:val="FF0000"/>
                                <w:sz w:val="60"/>
                                <w:szCs w:val="60"/>
                              </w:rPr>
                              <w:t>E</w:t>
                            </w:r>
                            <w:r>
                              <w:rPr>
                                <w:rFonts w:cs="Arial"/>
                                <w:sz w:val="60"/>
                                <w:szCs w:val="60"/>
                              </w:rPr>
                              <w:t>xclusion in Europe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01" o:spid="_x0000_s1026" type="#_x0000_t202" style="position:absolute;left:0;text-align:left;margin-left:-64.05pt;margin-top:309.5pt;width:554pt;height:14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" filled="f" stroked="f">
                <v:textbox>
                  <w:txbxContent>
                    <w:p w:rsidR="00925181" w:rsidRDefault="00925181" w:rsidP="00430686">
                      <w:pPr>
                        <w:ind w:left="426" w:right="530"/>
                        <w:jc w:val="center"/>
                        <w:rPr>
                          <w:rFonts w:cs="Arial"/>
                          <w:sz w:val="60"/>
                          <w:szCs w:val="60"/>
                        </w:rPr>
                      </w:pPr>
                      <w:r>
                        <w:rPr>
                          <w:rFonts w:cs="Arial"/>
                          <w:sz w:val="60"/>
                          <w:szCs w:val="60"/>
                        </w:rPr>
                        <w:t>TiPSE</w:t>
                      </w:r>
                    </w:p>
                    <w:p w:rsidR="00925181" w:rsidRPr="00721B03" w:rsidRDefault="00925181" w:rsidP="00430686">
                      <w:pPr>
                        <w:ind w:left="426" w:right="530"/>
                        <w:jc w:val="center"/>
                        <w:rPr>
                          <w:rFonts w:cs="Arial"/>
                          <w:sz w:val="60"/>
                          <w:szCs w:val="60"/>
                        </w:rPr>
                      </w:pPr>
                      <w:r w:rsidRPr="00377F72">
                        <w:rPr>
                          <w:rFonts w:cs="Arial"/>
                          <w:sz w:val="60"/>
                          <w:szCs w:val="60"/>
                        </w:rPr>
                        <w:t xml:space="preserve">The </w:t>
                      </w:r>
                      <w:r>
                        <w:rPr>
                          <w:rFonts w:cs="Arial"/>
                          <w:color w:val="FF0000"/>
                          <w:sz w:val="60"/>
                          <w:szCs w:val="60"/>
                        </w:rPr>
                        <w:t>T</w:t>
                      </w:r>
                      <w:r>
                        <w:rPr>
                          <w:rFonts w:cs="Arial"/>
                          <w:sz w:val="60"/>
                          <w:szCs w:val="60"/>
                        </w:rPr>
                        <w:t>erritorial D</w:t>
                      </w:r>
                      <w:r w:rsidRPr="00377F72">
                        <w:rPr>
                          <w:rFonts w:cs="Arial"/>
                          <w:color w:val="FF0000"/>
                          <w:sz w:val="60"/>
                          <w:szCs w:val="60"/>
                        </w:rPr>
                        <w:t>i</w:t>
                      </w:r>
                      <w:r>
                        <w:rPr>
                          <w:rFonts w:cs="Arial"/>
                          <w:sz w:val="60"/>
                          <w:szCs w:val="60"/>
                        </w:rPr>
                        <w:t xml:space="preserve">mension of </w:t>
                      </w:r>
                      <w:r>
                        <w:rPr>
                          <w:rFonts w:cs="Arial"/>
                          <w:color w:val="FF0000"/>
                          <w:sz w:val="60"/>
                          <w:szCs w:val="60"/>
                        </w:rPr>
                        <w:t>P</w:t>
                      </w:r>
                      <w:r>
                        <w:rPr>
                          <w:rFonts w:cs="Arial"/>
                          <w:sz w:val="60"/>
                          <w:szCs w:val="60"/>
                        </w:rPr>
                        <w:t xml:space="preserve">overty and </w:t>
                      </w:r>
                      <w:r>
                        <w:rPr>
                          <w:rFonts w:cs="Arial"/>
                          <w:color w:val="FF0000"/>
                          <w:sz w:val="60"/>
                          <w:szCs w:val="60"/>
                        </w:rPr>
                        <w:t>S</w:t>
                      </w:r>
                      <w:r>
                        <w:rPr>
                          <w:rFonts w:cs="Arial"/>
                          <w:sz w:val="60"/>
                          <w:szCs w:val="60"/>
                        </w:rPr>
                        <w:t xml:space="preserve">ocial </w:t>
                      </w:r>
                      <w:r>
                        <w:rPr>
                          <w:rFonts w:cs="Arial"/>
                          <w:color w:val="FF0000"/>
                          <w:sz w:val="60"/>
                          <w:szCs w:val="60"/>
                        </w:rPr>
                        <w:t>E</w:t>
                      </w:r>
                      <w:r>
                        <w:rPr>
                          <w:rFonts w:cs="Arial"/>
                          <w:sz w:val="60"/>
                          <w:szCs w:val="60"/>
                        </w:rPr>
                        <w:t>xclusion in Europe</w:t>
                      </w:r>
                    </w:p>
                  </w:txbxContent>
                </v:textbox>
              </v:shape>
            </w:pict>
          </mc:Fallback>
        </mc:AlternateContent>
      </w:r>
      <w:r>
        <w:rPr>
          <w:noProof/>
          <w:lang w:val="fi-FI" w:eastAsia="fi-FI"/>
        </w:rPr>
        <mc:AlternateContent>
          <mc:Choice Requires="wps">
            <w:drawing>
              <wp:anchor distT="0" distB="0" distL="114300" distR="114300" simplePos="0" relativeHeight="251658240" behindDoc="0" locked="0" layoutInCell="1" allowOverlap="1">
                <wp:simplePos x="0" y="0"/>
                <wp:positionH relativeFrom="column">
                  <wp:posOffset>-813435</wp:posOffset>
                </wp:positionH>
                <wp:positionV relativeFrom="paragraph">
                  <wp:posOffset>6451600</wp:posOffset>
                </wp:positionV>
                <wp:extent cx="7035800" cy="1950720"/>
                <wp:effectExtent l="0" t="0" r="0" b="0"/>
                <wp:wrapNone/>
                <wp:docPr id="5" name="Text Box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35800" cy="1950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5181" w:rsidRDefault="00925181" w:rsidP="006A7D86">
                            <w:pPr>
                              <w:jc w:val="center"/>
                              <w:rPr>
                                <w:rFonts w:cs="Arial"/>
                                <w:sz w:val="32"/>
                                <w:szCs w:val="32"/>
                                <w:lang w:val="en-US"/>
                              </w:rPr>
                            </w:pPr>
                            <w:r>
                              <w:rPr>
                                <w:rFonts w:cs="Arial"/>
                                <w:sz w:val="32"/>
                                <w:szCs w:val="32"/>
                                <w:lang w:val="en-US"/>
                              </w:rPr>
                              <w:t>Final Report</w:t>
                            </w:r>
                          </w:p>
                          <w:p w:rsidR="00925181" w:rsidRDefault="00925181" w:rsidP="006A7D86">
                            <w:pPr>
                              <w:jc w:val="center"/>
                              <w:rPr>
                                <w:rFonts w:cs="Arial"/>
                                <w:sz w:val="32"/>
                                <w:szCs w:val="32"/>
                                <w:lang w:val="en-US"/>
                              </w:rPr>
                            </w:pPr>
                          </w:p>
                          <w:p w:rsidR="00925181" w:rsidRDefault="00925181" w:rsidP="006A7D86">
                            <w:pPr>
                              <w:jc w:val="center"/>
                              <w:rPr>
                                <w:rFonts w:cs="Arial"/>
                                <w:color w:val="17365D" w:themeColor="text2" w:themeShade="BF"/>
                                <w:sz w:val="32"/>
                                <w:szCs w:val="32"/>
                                <w:lang w:val="en-US"/>
                              </w:rPr>
                            </w:pPr>
                            <w:r>
                              <w:rPr>
                                <w:rFonts w:cs="Arial"/>
                                <w:color w:val="17365D" w:themeColor="text2" w:themeShade="BF"/>
                                <w:sz w:val="32"/>
                                <w:szCs w:val="32"/>
                                <w:lang w:val="en-US"/>
                              </w:rPr>
                              <w:t>Annex</w:t>
                            </w:r>
                            <w:r w:rsidRPr="00446288">
                              <w:rPr>
                                <w:rFonts w:cs="Arial"/>
                                <w:color w:val="17365D" w:themeColor="text2" w:themeShade="BF"/>
                                <w:sz w:val="32"/>
                                <w:szCs w:val="32"/>
                                <w:lang w:val="en-US"/>
                              </w:rPr>
                              <w:t xml:space="preserve"> </w:t>
                            </w:r>
                            <w:r>
                              <w:rPr>
                                <w:rFonts w:cs="Arial"/>
                                <w:color w:val="17365D" w:themeColor="text2" w:themeShade="BF"/>
                                <w:sz w:val="32"/>
                                <w:szCs w:val="32"/>
                                <w:lang w:val="en-US"/>
                              </w:rPr>
                              <w:t>5</w:t>
                            </w:r>
                          </w:p>
                          <w:p w:rsidR="00925181" w:rsidRPr="002D0318" w:rsidRDefault="00925181" w:rsidP="006A7D86">
                            <w:pPr>
                              <w:jc w:val="center"/>
                              <w:rPr>
                                <w:rFonts w:cs="Arial"/>
                                <w:b/>
                                <w:color w:val="17365D" w:themeColor="text2" w:themeShade="BF"/>
                                <w:sz w:val="32"/>
                                <w:szCs w:val="32"/>
                                <w:lang w:val="en-US"/>
                              </w:rPr>
                            </w:pPr>
                            <w:r w:rsidRPr="002D0318">
                              <w:rPr>
                                <w:rFonts w:cs="Arial"/>
                                <w:b/>
                                <w:color w:val="17365D" w:themeColor="text2" w:themeShade="BF"/>
                                <w:sz w:val="56"/>
                                <w:szCs w:val="32"/>
                                <w:lang w:val="en-US"/>
                              </w:rPr>
                              <w:t>Implementation of Poverty Mapping</w:t>
                            </w:r>
                          </w:p>
                          <w:p w:rsidR="00925181" w:rsidRDefault="00925181" w:rsidP="006A7D86">
                            <w:pPr>
                              <w:jc w:val="center"/>
                              <w:rPr>
                                <w:rFonts w:cs="Arial"/>
                                <w:color w:val="17365D" w:themeColor="text2" w:themeShade="BF"/>
                                <w:sz w:val="32"/>
                                <w:szCs w:val="32"/>
                                <w:lang w:val="de-DE"/>
                              </w:rPr>
                            </w:pPr>
                            <w:r>
                              <w:rPr>
                                <w:rFonts w:cs="Arial"/>
                                <w:color w:val="17365D" w:themeColor="text2" w:themeShade="BF"/>
                                <w:sz w:val="32"/>
                                <w:szCs w:val="32"/>
                                <w:lang w:val="de-DE"/>
                              </w:rPr>
                              <w:t>Patricia Melo and Andrew Copus</w:t>
                            </w:r>
                          </w:p>
                          <w:p w:rsidR="00925181" w:rsidRDefault="00925181" w:rsidP="006A7D86">
                            <w:pPr>
                              <w:jc w:val="center"/>
                              <w:rPr>
                                <w:rFonts w:cs="Arial"/>
                                <w:color w:val="17365D" w:themeColor="text2" w:themeShade="BF"/>
                                <w:sz w:val="32"/>
                                <w:szCs w:val="32"/>
                                <w:lang w:val="de-DE"/>
                              </w:rPr>
                            </w:pPr>
                            <w:r>
                              <w:rPr>
                                <w:rFonts w:cs="Arial"/>
                                <w:color w:val="17365D" w:themeColor="text2" w:themeShade="BF"/>
                                <w:sz w:val="32"/>
                                <w:szCs w:val="32"/>
                                <w:lang w:val="de-DE"/>
                              </w:rPr>
                              <w:t>The James Hutton Institute, Aberdeen</w:t>
                            </w:r>
                          </w:p>
                          <w:p w:rsidR="00925181" w:rsidRDefault="00925181" w:rsidP="006A7D86">
                            <w:pPr>
                              <w:jc w:val="center"/>
                              <w:rPr>
                                <w:rFonts w:cs="Arial"/>
                                <w:color w:val="17365D" w:themeColor="text2" w:themeShade="BF"/>
                                <w:sz w:val="32"/>
                                <w:szCs w:val="32"/>
                                <w:lang w:val="de-DE"/>
                              </w:rPr>
                            </w:pPr>
                          </w:p>
                          <w:p w:rsidR="00925181" w:rsidRDefault="00925181" w:rsidP="006A7D86">
                            <w:pPr>
                              <w:jc w:val="center"/>
                              <w:rPr>
                                <w:rFonts w:cs="Arial"/>
                                <w:color w:val="17365D" w:themeColor="text2" w:themeShade="BF"/>
                                <w:sz w:val="32"/>
                                <w:szCs w:val="32"/>
                                <w:lang w:val="de-DE"/>
                              </w:rPr>
                            </w:pPr>
                          </w:p>
                          <w:p w:rsidR="00925181" w:rsidRPr="006A7D86" w:rsidRDefault="00925181" w:rsidP="00430686">
                            <w:pPr>
                              <w:jc w:val="center"/>
                              <w:rPr>
                                <w:rFonts w:cs="Arial"/>
                                <w:sz w:val="32"/>
                                <w:szCs w:val="32"/>
                                <w:lang w:val="de-DE"/>
                              </w:rPr>
                            </w:pPr>
                            <w:r>
                              <w:rPr>
                                <w:rFonts w:cs="Arial"/>
                                <w:sz w:val="32"/>
                                <w:szCs w:val="32"/>
                                <w:lang w:val="de-DE"/>
                              </w:rPr>
                              <w:t>July 2014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03" o:spid="_x0000_s1027" type="#_x0000_t202" style="position:absolute;left:0;text-align:left;margin-left:-64.05pt;margin-top:508pt;width:554pt;height:153.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" filled="f" stroked="f">
                <v:textbox style="mso-fit-shape-to-text:t">
                  <w:txbxContent>
                    <w:p w:rsidR="00925181" w:rsidRDefault="00925181" w:rsidP="006A7D86">
                      <w:pPr>
                        <w:jc w:val="center"/>
                        <w:rPr>
                          <w:rFonts w:cs="Arial"/>
                          <w:sz w:val="32"/>
                          <w:szCs w:val="32"/>
                          <w:lang w:val="en-US"/>
                        </w:rPr>
                      </w:pPr>
                      <w:r>
                        <w:rPr>
                          <w:rFonts w:cs="Arial"/>
                          <w:sz w:val="32"/>
                          <w:szCs w:val="32"/>
                          <w:lang w:val="en-US"/>
                        </w:rPr>
                        <w:t>Final Report</w:t>
                      </w:r>
                    </w:p>
                    <w:p w:rsidR="00925181" w:rsidRDefault="00925181" w:rsidP="006A7D86">
                      <w:pPr>
                        <w:jc w:val="center"/>
                        <w:rPr>
                          <w:rFonts w:cs="Arial"/>
                          <w:sz w:val="32"/>
                          <w:szCs w:val="32"/>
                          <w:lang w:val="en-US"/>
                        </w:rPr>
                      </w:pPr>
                    </w:p>
                    <w:p w:rsidR="00925181" w:rsidRDefault="00925181" w:rsidP="006A7D86">
                      <w:pPr>
                        <w:jc w:val="center"/>
                        <w:rPr>
                          <w:rFonts w:cs="Arial"/>
                          <w:color w:val="17365D" w:themeColor="text2" w:themeShade="BF"/>
                          <w:sz w:val="32"/>
                          <w:szCs w:val="32"/>
                          <w:lang w:val="en-US"/>
                        </w:rPr>
                      </w:pPr>
                      <w:r>
                        <w:rPr>
                          <w:rFonts w:cs="Arial"/>
                          <w:color w:val="17365D" w:themeColor="text2" w:themeShade="BF"/>
                          <w:sz w:val="32"/>
                          <w:szCs w:val="32"/>
                          <w:lang w:val="en-US"/>
                        </w:rPr>
                        <w:t>Annex</w:t>
                      </w:r>
                      <w:r w:rsidRPr="00446288">
                        <w:rPr>
                          <w:rFonts w:cs="Arial"/>
                          <w:color w:val="17365D" w:themeColor="text2" w:themeShade="BF"/>
                          <w:sz w:val="32"/>
                          <w:szCs w:val="32"/>
                          <w:lang w:val="en-US"/>
                        </w:rPr>
                        <w:t xml:space="preserve"> </w:t>
                      </w:r>
                      <w:r>
                        <w:rPr>
                          <w:rFonts w:cs="Arial"/>
                          <w:color w:val="17365D" w:themeColor="text2" w:themeShade="BF"/>
                          <w:sz w:val="32"/>
                          <w:szCs w:val="32"/>
                          <w:lang w:val="en-US"/>
                        </w:rPr>
                        <w:t>5</w:t>
                      </w:r>
                    </w:p>
                    <w:p w:rsidR="00925181" w:rsidRPr="002D0318" w:rsidRDefault="00925181" w:rsidP="006A7D86">
                      <w:pPr>
                        <w:jc w:val="center"/>
                        <w:rPr>
                          <w:rFonts w:cs="Arial"/>
                          <w:b/>
                          <w:color w:val="17365D" w:themeColor="text2" w:themeShade="BF"/>
                          <w:sz w:val="32"/>
                          <w:szCs w:val="32"/>
                          <w:lang w:val="en-US"/>
                        </w:rPr>
                      </w:pPr>
                      <w:r w:rsidRPr="002D0318">
                        <w:rPr>
                          <w:rFonts w:cs="Arial"/>
                          <w:b/>
                          <w:color w:val="17365D" w:themeColor="text2" w:themeShade="BF"/>
                          <w:sz w:val="56"/>
                          <w:szCs w:val="32"/>
                          <w:lang w:val="en-US"/>
                        </w:rPr>
                        <w:t>Implementation of Poverty Mapping</w:t>
                      </w:r>
                    </w:p>
                    <w:p w:rsidR="00925181" w:rsidRDefault="00925181" w:rsidP="006A7D86">
                      <w:pPr>
                        <w:jc w:val="center"/>
                        <w:rPr>
                          <w:rFonts w:cs="Arial"/>
                          <w:color w:val="17365D" w:themeColor="text2" w:themeShade="BF"/>
                          <w:sz w:val="32"/>
                          <w:szCs w:val="32"/>
                          <w:lang w:val="de-DE"/>
                        </w:rPr>
                      </w:pPr>
                      <w:r>
                        <w:rPr>
                          <w:rFonts w:cs="Arial"/>
                          <w:color w:val="17365D" w:themeColor="text2" w:themeShade="BF"/>
                          <w:sz w:val="32"/>
                          <w:szCs w:val="32"/>
                          <w:lang w:val="de-DE"/>
                        </w:rPr>
                        <w:t>Patricia Melo and Andrew Copus</w:t>
                      </w:r>
                    </w:p>
                    <w:p w:rsidR="00925181" w:rsidRDefault="00925181" w:rsidP="006A7D86">
                      <w:pPr>
                        <w:jc w:val="center"/>
                        <w:rPr>
                          <w:rFonts w:cs="Arial"/>
                          <w:color w:val="17365D" w:themeColor="text2" w:themeShade="BF"/>
                          <w:sz w:val="32"/>
                          <w:szCs w:val="32"/>
                          <w:lang w:val="de-DE"/>
                        </w:rPr>
                      </w:pPr>
                      <w:r>
                        <w:rPr>
                          <w:rFonts w:cs="Arial"/>
                          <w:color w:val="17365D" w:themeColor="text2" w:themeShade="BF"/>
                          <w:sz w:val="32"/>
                          <w:szCs w:val="32"/>
                          <w:lang w:val="de-DE"/>
                        </w:rPr>
                        <w:t>The James Hutton Institute, Aberdeen</w:t>
                      </w:r>
                    </w:p>
                    <w:p w:rsidR="00925181" w:rsidRDefault="00925181" w:rsidP="006A7D86">
                      <w:pPr>
                        <w:jc w:val="center"/>
                        <w:rPr>
                          <w:rFonts w:cs="Arial"/>
                          <w:color w:val="17365D" w:themeColor="text2" w:themeShade="BF"/>
                          <w:sz w:val="32"/>
                          <w:szCs w:val="32"/>
                          <w:lang w:val="de-DE"/>
                        </w:rPr>
                      </w:pPr>
                    </w:p>
                    <w:p w:rsidR="00925181" w:rsidRDefault="00925181" w:rsidP="006A7D86">
                      <w:pPr>
                        <w:jc w:val="center"/>
                        <w:rPr>
                          <w:rFonts w:cs="Arial"/>
                          <w:color w:val="17365D" w:themeColor="text2" w:themeShade="BF"/>
                          <w:sz w:val="32"/>
                          <w:szCs w:val="32"/>
                          <w:lang w:val="de-DE"/>
                        </w:rPr>
                      </w:pPr>
                    </w:p>
                    <w:p w:rsidR="00925181" w:rsidRPr="006A7D86" w:rsidRDefault="00925181" w:rsidP="00430686">
                      <w:pPr>
                        <w:jc w:val="center"/>
                        <w:rPr>
                          <w:rFonts w:cs="Arial"/>
                          <w:sz w:val="32"/>
                          <w:szCs w:val="32"/>
                          <w:lang w:val="de-DE"/>
                        </w:rPr>
                      </w:pPr>
                      <w:r>
                        <w:rPr>
                          <w:rFonts w:cs="Arial"/>
                          <w:sz w:val="32"/>
                          <w:szCs w:val="32"/>
                          <w:lang w:val="de-DE"/>
                        </w:rPr>
                        <w:t>July 2014</w:t>
                      </w:r>
                    </w:p>
                  </w:txbxContent>
                </v:textbox>
              </v:shape>
            </w:pict>
          </mc:Fallback>
        </mc:AlternateContent>
      </w:r>
      <w:r>
        <w:rPr>
          <w:noProof/>
          <w:lang w:val="fi-FI" w:eastAsia="fi-FI"/>
        </w:rPr>
        <mc:AlternateContent>
          <mc:Choice Requires="wps">
            <w:drawing>
              <wp:anchor distT="0" distB="0" distL="114300" distR="114300" simplePos="0" relativeHeight="251657216" behindDoc="0" locked="0" layoutInCell="1" allowOverlap="1">
                <wp:simplePos x="0" y="0"/>
                <wp:positionH relativeFrom="column">
                  <wp:posOffset>-813435</wp:posOffset>
                </wp:positionH>
                <wp:positionV relativeFrom="paragraph">
                  <wp:posOffset>5969000</wp:posOffset>
                </wp:positionV>
                <wp:extent cx="7035800" cy="401320"/>
                <wp:effectExtent l="0" t="0" r="0" b="0"/>
                <wp:wrapNone/>
                <wp:docPr id="3" name="Text Box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35800" cy="401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5181" w:rsidRPr="00DC3CE6" w:rsidRDefault="00925181" w:rsidP="00430686">
                            <w:pPr>
                              <w:jc w:val="center"/>
                              <w:rPr>
                                <w:rFonts w:cs="Arial"/>
                                <w:sz w:val="32"/>
                                <w:szCs w:val="32"/>
                                <w:lang w:val="en-US"/>
                              </w:rPr>
                            </w:pPr>
                            <w:r>
                              <w:rPr>
                                <w:rFonts w:cs="Arial"/>
                                <w:sz w:val="32"/>
                                <w:szCs w:val="32"/>
                                <w:lang w:val="en-US"/>
                              </w:rPr>
                              <w:t>Applied Research</w:t>
                            </w:r>
                            <w:r w:rsidRPr="00DC3CE6">
                              <w:rPr>
                                <w:rFonts w:cs="Arial"/>
                                <w:sz w:val="32"/>
                                <w:szCs w:val="32"/>
                                <w:lang w:val="en-US"/>
                              </w:rPr>
                              <w:t xml:space="preserve"> 2013/</w:t>
                            </w:r>
                            <w:r>
                              <w:rPr>
                                <w:rFonts w:cs="Arial"/>
                                <w:sz w:val="32"/>
                                <w:szCs w:val="32"/>
                                <w:lang w:val="en-US"/>
                              </w:rPr>
                              <w:t>1</w:t>
                            </w:r>
                            <w:r w:rsidRPr="00DC3CE6">
                              <w:rPr>
                                <w:rFonts w:cs="Arial"/>
                                <w:sz w:val="32"/>
                                <w:szCs w:val="32"/>
                                <w:lang w:val="en-US"/>
                              </w:rPr>
                              <w:t>/</w:t>
                            </w:r>
                            <w:r>
                              <w:rPr>
                                <w:rFonts w:cs="Arial"/>
                                <w:sz w:val="32"/>
                                <w:szCs w:val="32"/>
                                <w:lang w:val="en-US"/>
                              </w:rPr>
                              <w:t>24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02" o:spid="_x0000_s1028" type="#_x0000_t202" style="position:absolute;left:0;text-align:left;margin-left:-64.05pt;margin-top:470pt;width:554pt;height:31.6pt;z-index:2516572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" filled="f" stroked="f">
                <v:textbox style="mso-fit-shape-to-text:t">
                  <w:txbxContent>
                    <w:p w:rsidR="00925181" w:rsidRPr="00DC3CE6" w:rsidRDefault="00925181" w:rsidP="00430686">
                      <w:pPr>
                        <w:jc w:val="center"/>
                        <w:rPr>
                          <w:rFonts w:cs="Arial"/>
                          <w:sz w:val="32"/>
                          <w:szCs w:val="32"/>
                          <w:lang w:val="en-US"/>
                        </w:rPr>
                      </w:pPr>
                      <w:r>
                        <w:rPr>
                          <w:rFonts w:cs="Arial"/>
                          <w:sz w:val="32"/>
                          <w:szCs w:val="32"/>
                          <w:lang w:val="en-US"/>
                        </w:rPr>
                        <w:t>Applied Research</w:t>
                      </w:r>
                      <w:r w:rsidRPr="00DC3CE6">
                        <w:rPr>
                          <w:rFonts w:cs="Arial"/>
                          <w:sz w:val="32"/>
                          <w:szCs w:val="32"/>
                          <w:lang w:val="en-US"/>
                        </w:rPr>
                        <w:t xml:space="preserve"> 2013/</w:t>
                      </w:r>
                      <w:r>
                        <w:rPr>
                          <w:rFonts w:cs="Arial"/>
                          <w:sz w:val="32"/>
                          <w:szCs w:val="32"/>
                          <w:lang w:val="en-US"/>
                        </w:rPr>
                        <w:t>1</w:t>
                      </w:r>
                      <w:r w:rsidRPr="00DC3CE6">
                        <w:rPr>
                          <w:rFonts w:cs="Arial"/>
                          <w:sz w:val="32"/>
                          <w:szCs w:val="32"/>
                          <w:lang w:val="en-US"/>
                        </w:rPr>
                        <w:t>/</w:t>
                      </w:r>
                      <w:r>
                        <w:rPr>
                          <w:rFonts w:cs="Arial"/>
                          <w:sz w:val="32"/>
                          <w:szCs w:val="32"/>
                          <w:lang w:val="en-US"/>
                        </w:rPr>
                        <w:t>24</w:t>
                      </w:r>
                    </w:p>
                  </w:txbxContent>
                </v:textbox>
              </v:shape>
            </w:pict>
          </mc:Fallback>
        </mc:AlternateContent>
      </w:r>
      <w:r w:rsidR="004929E9" w:rsidRPr="00C36DAF">
        <w:rPr>
          <w:noProof/>
          <w:lang w:val="fi-FI" w:eastAsia="fi-FI"/>
        </w:rPr>
        <w:drawing>
          <wp:inline distT="0" distB="0" distL="0" distR="0">
            <wp:extent cx="7572375" cy="13944600"/>
            <wp:effectExtent l="19050" t="0" r="9525" b="0"/>
            <wp:docPr id="1" name="Picture 1" descr="Cover-TPG-Whi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over-TPG-White"/>
                    <pic:cNvPicPr preferRelativeResize="0">
                      <a:picLocks noChangeArrowheads="1"/>
                    </pic:cNvPicPr>
                  </pic:nvPicPr>
                  <pic:blipFill>
                    <a:blip r:embed="rId11"/>
                    <a:srcRect l="51128"/>
                    <a:stretch>
                      <a:fillRect/>
                    </a:stretch>
                  </pic:blipFill>
                  <pic:spPr bwMode="auto">
                    <a:xfrm>
                      <a:off x="0" y="0"/>
                      <a:ext cx="7572375" cy="13944600"/>
                    </a:xfrm>
                    <a:prstGeom prst="rect">
                      <a:avLst/>
                    </a:prstGeom>
                    <a:noFill/>
                    <a:ln w="9525">
                      <a:noFill/>
                      <a:miter lim="800000"/>
                      <a:headEnd/>
                      <a:tailEnd/>
                    </a:ln>
                  </pic:spPr>
                </pic:pic>
              </a:graphicData>
            </a:graphic>
          </wp:inline>
        </w:drawing>
      </w:r>
    </w:p>
    <w:bookmarkEnd w:id="0"/>
    <w:p w:rsidR="00956CB4" w:rsidRPr="00C36DAF" w:rsidRDefault="00956CB4" w:rsidP="00006BE0">
      <w:pPr>
        <w:pStyle w:val="ESPONText"/>
      </w:pPr>
    </w:p>
    <w:p w:rsidR="00390969" w:rsidRPr="00C36DAF" w:rsidRDefault="00390969" w:rsidP="00ED043E">
      <w:pPr>
        <w:pStyle w:val="ESPONColophon"/>
        <w:ind w:left="810"/>
        <w:sectPr w:rsidR="00390969" w:rsidRPr="00C36DAF" w:rsidSect="000858C8">
          <w:footerReference w:type="even" r:id="rId12"/>
          <w:footerReference w:type="default" r:id="rId13"/>
          <w:pgSz w:w="11906" w:h="16838" w:code="9"/>
          <w:pgMar w:top="0" w:right="851" w:bottom="0" w:left="1701" w:header="720" w:footer="720" w:gutter="0"/>
          <w:pgNumType w:fmt="lowerRoman" w:start="1"/>
          <w:cols w:space="720"/>
          <w:titlePg/>
        </w:sectPr>
      </w:pPr>
    </w:p>
    <w:p w:rsidR="00ED043E" w:rsidRPr="00C36DAF" w:rsidRDefault="00ED043E" w:rsidP="00AF6C49">
      <w:pPr>
        <w:pStyle w:val="ESPONColophon"/>
      </w:pPr>
    </w:p>
    <w:p w:rsidR="00ED043E" w:rsidRPr="00C36DAF" w:rsidRDefault="00560F65" w:rsidP="00560F65">
      <w:pPr>
        <w:pStyle w:val="ESPONColophon"/>
        <w:ind w:left="810"/>
      </w:pPr>
      <w:r w:rsidRPr="00C36DAF">
        <w:t xml:space="preserve">This report presents </w:t>
      </w:r>
      <w:r w:rsidR="00EE30EE">
        <w:t>an account of the implementation of Poverty Mapping, within Task 2.5 of the TiPSE project</w:t>
      </w:r>
      <w:r w:rsidRPr="00C36DAF">
        <w:t>. This Applied Research Project is conducted within the framework of the ESPON 2013 Programme, partly financed by the European Regional Development Fund.</w:t>
      </w:r>
    </w:p>
    <w:p w:rsidR="00560F65" w:rsidRPr="00C36DAF" w:rsidRDefault="00560F65" w:rsidP="00560F65">
      <w:pPr>
        <w:pStyle w:val="ESPONColophon"/>
        <w:ind w:left="810"/>
      </w:pPr>
    </w:p>
    <w:p w:rsidR="00ED043E" w:rsidRPr="00C36DAF" w:rsidRDefault="00ED043E" w:rsidP="00ED043E">
      <w:pPr>
        <w:pStyle w:val="ESPONColophon"/>
        <w:ind w:left="810"/>
      </w:pPr>
      <w:r w:rsidRPr="00C36DAF">
        <w:t>The partnership behind the ESPON Programme consists of the EU Commission and the Member States of the EU27, plus Iceland, Liechtenstein, Norway and Switzerland. Each partner is represented in the ESPON Monitoring Committee.</w:t>
      </w:r>
    </w:p>
    <w:p w:rsidR="00ED043E" w:rsidRPr="00C36DAF" w:rsidRDefault="00ED043E" w:rsidP="00ED043E">
      <w:pPr>
        <w:pStyle w:val="ESPONColophon"/>
        <w:ind w:left="810"/>
      </w:pPr>
    </w:p>
    <w:p w:rsidR="00ED043E" w:rsidRPr="00C36DAF" w:rsidRDefault="00ED043E" w:rsidP="00ED043E">
      <w:pPr>
        <w:pStyle w:val="ESPONColophon"/>
        <w:ind w:left="810"/>
      </w:pPr>
      <w:r w:rsidRPr="00C36DAF">
        <w:t>This report does not necessarily reflect the opinion of the members of the Monitoring Committee.</w:t>
      </w:r>
    </w:p>
    <w:p w:rsidR="00ED043E" w:rsidRPr="00C36DAF" w:rsidRDefault="00ED043E" w:rsidP="00ED043E">
      <w:pPr>
        <w:pStyle w:val="ESPONColophon"/>
        <w:ind w:left="810"/>
      </w:pPr>
    </w:p>
    <w:p w:rsidR="00ED043E" w:rsidRPr="00C36DAF" w:rsidRDefault="00ED043E" w:rsidP="00ED043E">
      <w:pPr>
        <w:pStyle w:val="ESPONColophon"/>
        <w:ind w:left="810"/>
      </w:pPr>
      <w:r w:rsidRPr="00C36DAF">
        <w:t xml:space="preserve">Information on the ESPON Programme and projects can be found on </w:t>
      </w:r>
      <w:hyperlink r:id="rId14" w:history="1">
        <w:r w:rsidRPr="00C36DAF">
          <w:rPr>
            <w:rStyle w:val="Hyperlinkki"/>
          </w:rPr>
          <w:t>www.espon.eu</w:t>
        </w:r>
      </w:hyperlink>
    </w:p>
    <w:p w:rsidR="00ED043E" w:rsidRPr="00C36DAF" w:rsidRDefault="00ED043E" w:rsidP="00ED043E">
      <w:pPr>
        <w:pStyle w:val="ESPONColophon"/>
        <w:ind w:left="810"/>
      </w:pPr>
    </w:p>
    <w:p w:rsidR="00ED043E" w:rsidRPr="00C36DAF" w:rsidRDefault="00ED043E" w:rsidP="00ED043E">
      <w:pPr>
        <w:pStyle w:val="ESPONColophon"/>
        <w:ind w:left="810"/>
      </w:pPr>
      <w:r w:rsidRPr="00C36DAF">
        <w:t>The web site provides the possibility to download and examine the most recent documents produced by finalised and ongoing ESPON projects.</w:t>
      </w:r>
    </w:p>
    <w:p w:rsidR="00ED043E" w:rsidRPr="00C36DAF" w:rsidRDefault="00ED043E" w:rsidP="00ED043E">
      <w:pPr>
        <w:pStyle w:val="ESPONColophon"/>
        <w:ind w:left="810"/>
      </w:pPr>
    </w:p>
    <w:p w:rsidR="00ED043E" w:rsidRPr="00C36DAF" w:rsidRDefault="00ED043E" w:rsidP="00ED043E">
      <w:pPr>
        <w:pStyle w:val="ESPONColophon"/>
        <w:ind w:left="810"/>
      </w:pPr>
      <w:r w:rsidRPr="00C36DAF">
        <w:t>This basic report exists only in an electronic version.</w:t>
      </w:r>
    </w:p>
    <w:p w:rsidR="00ED043E" w:rsidRPr="00C36DAF" w:rsidRDefault="00ED043E" w:rsidP="00ED043E">
      <w:pPr>
        <w:pStyle w:val="ESPONColophon"/>
        <w:ind w:left="810"/>
      </w:pPr>
    </w:p>
    <w:p w:rsidR="000966E6" w:rsidRDefault="000966E6" w:rsidP="000966E6">
      <w:pPr>
        <w:pStyle w:val="ESPONColophon"/>
        <w:ind w:left="810" w:right="4484"/>
      </w:pPr>
      <w:r>
        <w:t>ISBN number – 987-2-919777-42-6</w:t>
      </w:r>
    </w:p>
    <w:p w:rsidR="00895002" w:rsidRPr="00C36DAF" w:rsidRDefault="00895002" w:rsidP="00ED043E">
      <w:pPr>
        <w:pStyle w:val="ESPONColophon"/>
        <w:ind w:left="810"/>
      </w:pPr>
    </w:p>
    <w:p w:rsidR="00ED043E" w:rsidRPr="00C36DAF" w:rsidRDefault="00ED043E" w:rsidP="00ED043E">
      <w:pPr>
        <w:pStyle w:val="ESPONColophon"/>
        <w:ind w:left="810"/>
      </w:pPr>
      <w:r w:rsidRPr="00C36DAF">
        <w:t>© ESPON &amp;</w:t>
      </w:r>
      <w:r w:rsidR="002D0318">
        <w:t xml:space="preserve"> James Hutton Institute</w:t>
      </w:r>
      <w:r w:rsidRPr="00C36DAF">
        <w:t>, 201</w:t>
      </w:r>
      <w:r w:rsidR="002D0318">
        <w:t>4</w:t>
      </w:r>
      <w:r w:rsidRPr="00C36DAF">
        <w:t>.</w:t>
      </w:r>
    </w:p>
    <w:p w:rsidR="00ED043E" w:rsidRPr="00C36DAF" w:rsidRDefault="00ED043E" w:rsidP="00ED043E">
      <w:pPr>
        <w:pStyle w:val="ESPONColophon"/>
        <w:ind w:left="810"/>
      </w:pPr>
    </w:p>
    <w:p w:rsidR="00ED043E" w:rsidRPr="00C36DAF" w:rsidRDefault="00ED043E" w:rsidP="00ED043E">
      <w:pPr>
        <w:pStyle w:val="ESPONColophon"/>
        <w:ind w:left="810"/>
      </w:pPr>
      <w:r w:rsidRPr="00C36DAF">
        <w:t>Printing, reproduction or quotation is authorised provided the source is acknowledged and a copy is forwarded to the ESPON Coordination Unit in Luxembourg.</w:t>
      </w:r>
    </w:p>
    <w:p w:rsidR="00ED043E" w:rsidRPr="00C36DAF" w:rsidRDefault="00ED043E" w:rsidP="00ED043E">
      <w:pPr>
        <w:pStyle w:val="ESPONColophon"/>
        <w:ind w:left="810"/>
      </w:pPr>
    </w:p>
    <w:p w:rsidR="005703AA" w:rsidRPr="00C36DAF" w:rsidRDefault="005703AA" w:rsidP="00A9269D">
      <w:pPr>
        <w:pStyle w:val="ESPONText"/>
      </w:pPr>
    </w:p>
    <w:p w:rsidR="005703AA" w:rsidRPr="00C36DAF" w:rsidRDefault="005703AA" w:rsidP="00AA149B">
      <w:pPr>
        <w:pStyle w:val="ESPONText"/>
        <w:rPr>
          <w:sz w:val="32"/>
          <w:szCs w:val="32"/>
        </w:rPr>
      </w:pPr>
      <w:r w:rsidRPr="00C36DAF">
        <w:br w:type="column"/>
      </w:r>
      <w:r w:rsidRPr="00C36DAF">
        <w:rPr>
          <w:sz w:val="32"/>
          <w:szCs w:val="32"/>
        </w:rPr>
        <w:lastRenderedPageBreak/>
        <w:t>LIST OF ABBREVIATIONS</w:t>
      </w:r>
    </w:p>
    <w:p w:rsidR="00AA1FC7" w:rsidRDefault="00AA1FC7" w:rsidP="005703AA">
      <w:pPr>
        <w:pStyle w:val="ESPONText"/>
        <w:spacing w:after="0"/>
      </w:pPr>
      <w:r>
        <w:t>EC</w:t>
      </w:r>
      <w:r>
        <w:tab/>
        <w:t>European Commission</w:t>
      </w:r>
    </w:p>
    <w:p w:rsidR="00AA1FC7" w:rsidRDefault="00AA1FC7" w:rsidP="005703AA">
      <w:pPr>
        <w:pStyle w:val="ESPONText"/>
        <w:spacing w:after="0"/>
      </w:pPr>
      <w:r>
        <w:t xml:space="preserve">ECB </w:t>
      </w:r>
      <w:r>
        <w:tab/>
      </w:r>
      <w:r w:rsidRPr="00BC1049">
        <w:t xml:space="preserve">European Central Bank </w:t>
      </w:r>
    </w:p>
    <w:p w:rsidR="00AA1FC7" w:rsidRDefault="00AA1FC7" w:rsidP="005703AA">
      <w:pPr>
        <w:pStyle w:val="ESPONText"/>
        <w:spacing w:after="0"/>
      </w:pPr>
      <w:r>
        <w:t>IMF</w:t>
      </w:r>
      <w:r>
        <w:tab/>
      </w:r>
      <w:r w:rsidRPr="00BC1049">
        <w:t>International Monetary Fund</w:t>
      </w:r>
    </w:p>
    <w:p w:rsidR="005703AA" w:rsidRPr="00C36DAF" w:rsidRDefault="00E32D77" w:rsidP="005703AA">
      <w:pPr>
        <w:pStyle w:val="ESPONText"/>
        <w:spacing w:after="0"/>
      </w:pPr>
      <w:r w:rsidRPr="00C36DAF">
        <w:t>MS</w:t>
      </w:r>
      <w:r w:rsidRPr="00C36DAF">
        <w:tab/>
        <w:t>Member State</w:t>
      </w:r>
    </w:p>
    <w:p w:rsidR="00E32D77" w:rsidRPr="00C36DAF" w:rsidRDefault="00E32D77" w:rsidP="005703AA">
      <w:pPr>
        <w:pStyle w:val="ESPONText"/>
        <w:spacing w:after="0"/>
      </w:pPr>
      <w:r w:rsidRPr="00C36DAF">
        <w:t>NMS</w:t>
      </w:r>
      <w:r w:rsidRPr="00C36DAF">
        <w:tab/>
        <w:t>New Member States</w:t>
      </w:r>
    </w:p>
    <w:p w:rsidR="008E697F" w:rsidRPr="00C36DAF" w:rsidRDefault="008E697F" w:rsidP="005703AA">
      <w:pPr>
        <w:pStyle w:val="ESPONText"/>
        <w:spacing w:after="0"/>
      </w:pPr>
      <w:r w:rsidRPr="00C36DAF">
        <w:t>NSI</w:t>
      </w:r>
      <w:r w:rsidRPr="00C36DAF">
        <w:tab/>
        <w:t>National Statistical Institute</w:t>
      </w:r>
    </w:p>
    <w:p w:rsidR="00E32D77" w:rsidRPr="00C36DAF" w:rsidRDefault="00E32D77" w:rsidP="005703AA">
      <w:pPr>
        <w:pStyle w:val="ESPONText"/>
        <w:spacing w:after="0"/>
      </w:pPr>
      <w:r w:rsidRPr="00C36DAF">
        <w:t>OMC</w:t>
      </w:r>
      <w:r w:rsidRPr="00C36DAF">
        <w:tab/>
        <w:t>Open Method of Coordination</w:t>
      </w:r>
    </w:p>
    <w:p w:rsidR="007D30CA" w:rsidRPr="00C36DAF" w:rsidRDefault="007D30CA" w:rsidP="005703AA">
      <w:pPr>
        <w:pStyle w:val="ESPONText"/>
        <w:spacing w:after="0"/>
      </w:pPr>
      <w:r w:rsidRPr="00C36DAF">
        <w:t>TPG</w:t>
      </w:r>
      <w:r w:rsidRPr="00C36DAF">
        <w:tab/>
        <w:t>Transnational Project Group</w:t>
      </w:r>
    </w:p>
    <w:p w:rsidR="0061373E" w:rsidRPr="00C36DAF" w:rsidRDefault="00E32D77" w:rsidP="005703AA">
      <w:pPr>
        <w:pStyle w:val="ESPONText"/>
        <w:spacing w:after="0"/>
      </w:pPr>
      <w:r w:rsidRPr="00C36DAF">
        <w:t>WB</w:t>
      </w:r>
      <w:r w:rsidRPr="00C36DAF">
        <w:tab/>
        <w:t>World Bank</w:t>
      </w:r>
    </w:p>
    <w:p w:rsidR="0061373E" w:rsidRPr="00C36DAF" w:rsidRDefault="0061373E" w:rsidP="005703AA">
      <w:pPr>
        <w:pStyle w:val="ESPONText"/>
        <w:spacing w:after="0"/>
      </w:pPr>
    </w:p>
    <w:p w:rsidR="005703AA" w:rsidRPr="00C36DAF" w:rsidRDefault="005703AA" w:rsidP="005703AA">
      <w:pPr>
        <w:pStyle w:val="ESPONText"/>
        <w:spacing w:after="0"/>
        <w:rPr>
          <w:szCs w:val="22"/>
        </w:rPr>
      </w:pPr>
      <w:r w:rsidRPr="00C36DAF">
        <w:rPr>
          <w:sz w:val="32"/>
          <w:szCs w:val="32"/>
        </w:rPr>
        <w:t>Standard Abbreviations for Country Names:</w:t>
      </w:r>
    </w:p>
    <w:p w:rsidR="00AF6C49" w:rsidRPr="00C36DAF" w:rsidRDefault="00AF6C49" w:rsidP="005703AA">
      <w:pPr>
        <w:pStyle w:val="ESPONText"/>
        <w:spacing w:after="0"/>
        <w:rPr>
          <w:sz w:val="32"/>
          <w:szCs w:val="32"/>
        </w:rPr>
        <w:sectPr w:rsidR="00AF6C49" w:rsidRPr="00C36DAF" w:rsidSect="005703AA">
          <w:type w:val="continuous"/>
          <w:pgSz w:w="11906" w:h="16838"/>
          <w:pgMar w:top="1644" w:right="851" w:bottom="1644" w:left="1701" w:header="720" w:footer="720" w:gutter="0"/>
          <w:pgNumType w:fmt="lowerRoman" w:start="1"/>
          <w:cols w:space="720"/>
        </w:sectPr>
      </w:pPr>
    </w:p>
    <w:p w:rsidR="007D30CA" w:rsidRPr="00C36DAF" w:rsidRDefault="007D30CA" w:rsidP="008544A4">
      <w:pPr>
        <w:pStyle w:val="ESPONText"/>
        <w:spacing w:after="0" w:line="240" w:lineRule="auto"/>
      </w:pPr>
      <w:r w:rsidRPr="00C36DAF">
        <w:lastRenderedPageBreak/>
        <w:t>AL</w:t>
      </w:r>
      <w:r w:rsidRPr="00C36DAF">
        <w:tab/>
        <w:t>Albania</w:t>
      </w:r>
    </w:p>
    <w:p w:rsidR="005703AA" w:rsidRPr="00C36DAF" w:rsidRDefault="005703AA" w:rsidP="008544A4">
      <w:pPr>
        <w:pStyle w:val="ESPONText"/>
        <w:spacing w:after="0" w:line="240" w:lineRule="auto"/>
      </w:pPr>
      <w:r w:rsidRPr="00C36DAF">
        <w:t>AT</w:t>
      </w:r>
      <w:r w:rsidRPr="00C36DAF">
        <w:tab/>
        <w:t>Austria</w:t>
      </w:r>
    </w:p>
    <w:p w:rsidR="005703AA" w:rsidRPr="00C36DAF" w:rsidRDefault="005703AA" w:rsidP="008544A4">
      <w:pPr>
        <w:pStyle w:val="ESPONText"/>
        <w:spacing w:after="0" w:line="240" w:lineRule="auto"/>
      </w:pPr>
      <w:r w:rsidRPr="00C36DAF">
        <w:t>BE</w:t>
      </w:r>
      <w:r w:rsidRPr="00C36DAF">
        <w:tab/>
        <w:t>Belgium</w:t>
      </w:r>
    </w:p>
    <w:p w:rsidR="005703AA" w:rsidRPr="00C36DAF" w:rsidRDefault="005703AA" w:rsidP="008544A4">
      <w:pPr>
        <w:pStyle w:val="ESPONText"/>
        <w:spacing w:after="0" w:line="240" w:lineRule="auto"/>
      </w:pPr>
      <w:r w:rsidRPr="00C36DAF">
        <w:t>BG</w:t>
      </w:r>
      <w:r w:rsidRPr="00C36DAF">
        <w:tab/>
        <w:t>Bulgaria</w:t>
      </w:r>
    </w:p>
    <w:p w:rsidR="005703AA" w:rsidRPr="00C36DAF" w:rsidRDefault="005703AA" w:rsidP="008544A4">
      <w:pPr>
        <w:pStyle w:val="ESPONText"/>
        <w:spacing w:after="0" w:line="240" w:lineRule="auto"/>
      </w:pPr>
      <w:r w:rsidRPr="00C36DAF">
        <w:t>CH</w:t>
      </w:r>
      <w:r w:rsidRPr="00C36DAF">
        <w:tab/>
        <w:t>Switzerland</w:t>
      </w:r>
    </w:p>
    <w:p w:rsidR="007D30CA" w:rsidRPr="00C36DAF" w:rsidRDefault="007D30CA" w:rsidP="008544A4">
      <w:pPr>
        <w:pStyle w:val="ESPONText"/>
        <w:spacing w:after="0" w:line="240" w:lineRule="auto"/>
      </w:pPr>
      <w:r w:rsidRPr="00C36DAF">
        <w:t>CR</w:t>
      </w:r>
      <w:r w:rsidRPr="00C36DAF">
        <w:tab/>
        <w:t>Croatia</w:t>
      </w:r>
    </w:p>
    <w:p w:rsidR="005703AA" w:rsidRPr="00C36DAF" w:rsidRDefault="005703AA" w:rsidP="008544A4">
      <w:pPr>
        <w:pStyle w:val="ESPONText"/>
        <w:spacing w:after="0" w:line="240" w:lineRule="auto"/>
      </w:pPr>
      <w:r w:rsidRPr="00C36DAF">
        <w:t>CY</w:t>
      </w:r>
      <w:r w:rsidRPr="00C36DAF">
        <w:tab/>
        <w:t>Cyprus</w:t>
      </w:r>
    </w:p>
    <w:p w:rsidR="005703AA" w:rsidRPr="00C36DAF" w:rsidRDefault="005703AA" w:rsidP="008544A4">
      <w:pPr>
        <w:pStyle w:val="ESPONText"/>
        <w:spacing w:after="0" w:line="240" w:lineRule="auto"/>
      </w:pPr>
      <w:r w:rsidRPr="00C36DAF">
        <w:t>CZ</w:t>
      </w:r>
      <w:r w:rsidRPr="00C36DAF">
        <w:tab/>
        <w:t>Czech Republic</w:t>
      </w:r>
    </w:p>
    <w:p w:rsidR="005703AA" w:rsidRPr="0019589D" w:rsidRDefault="005703AA" w:rsidP="008544A4">
      <w:pPr>
        <w:pStyle w:val="ESPONText"/>
        <w:spacing w:after="0" w:line="240" w:lineRule="auto"/>
        <w:rPr>
          <w:lang w:val="en-US"/>
        </w:rPr>
      </w:pPr>
      <w:r w:rsidRPr="0019589D">
        <w:rPr>
          <w:lang w:val="en-US"/>
        </w:rPr>
        <w:t>DE</w:t>
      </w:r>
      <w:r w:rsidRPr="0019589D">
        <w:rPr>
          <w:lang w:val="en-US"/>
        </w:rPr>
        <w:tab/>
        <w:t>Germany</w:t>
      </w:r>
    </w:p>
    <w:p w:rsidR="005703AA" w:rsidRPr="00A260D4" w:rsidRDefault="005703AA" w:rsidP="008544A4">
      <w:pPr>
        <w:pStyle w:val="ESPONText"/>
        <w:spacing w:after="0" w:line="240" w:lineRule="auto"/>
        <w:rPr>
          <w:lang w:val="fi-FI"/>
        </w:rPr>
      </w:pPr>
      <w:r w:rsidRPr="00A260D4">
        <w:rPr>
          <w:lang w:val="fi-FI"/>
        </w:rPr>
        <w:t>DK</w:t>
      </w:r>
      <w:r w:rsidRPr="00A260D4">
        <w:rPr>
          <w:lang w:val="fi-FI"/>
        </w:rPr>
        <w:tab/>
        <w:t>Denmark</w:t>
      </w:r>
    </w:p>
    <w:p w:rsidR="005703AA" w:rsidRPr="00A260D4" w:rsidRDefault="005703AA" w:rsidP="008544A4">
      <w:pPr>
        <w:pStyle w:val="ESPONText"/>
        <w:spacing w:after="0" w:line="240" w:lineRule="auto"/>
        <w:rPr>
          <w:lang w:val="fi-FI"/>
        </w:rPr>
      </w:pPr>
      <w:r w:rsidRPr="00A260D4">
        <w:rPr>
          <w:lang w:val="fi-FI"/>
        </w:rPr>
        <w:t>EE</w:t>
      </w:r>
      <w:r w:rsidRPr="00A260D4">
        <w:rPr>
          <w:lang w:val="fi-FI"/>
        </w:rPr>
        <w:tab/>
        <w:t>Estonia</w:t>
      </w:r>
    </w:p>
    <w:p w:rsidR="005703AA" w:rsidRPr="002E52A6" w:rsidRDefault="005703AA" w:rsidP="008544A4">
      <w:pPr>
        <w:pStyle w:val="ESPONText"/>
        <w:spacing w:after="0" w:line="240" w:lineRule="auto"/>
        <w:rPr>
          <w:lang w:val="de-DE"/>
        </w:rPr>
      </w:pPr>
      <w:r w:rsidRPr="002E52A6">
        <w:rPr>
          <w:lang w:val="de-DE"/>
        </w:rPr>
        <w:t>ES</w:t>
      </w:r>
      <w:r w:rsidRPr="002E52A6">
        <w:rPr>
          <w:lang w:val="de-DE"/>
        </w:rPr>
        <w:tab/>
        <w:t>Spain</w:t>
      </w:r>
    </w:p>
    <w:p w:rsidR="005703AA" w:rsidRPr="0019589D" w:rsidRDefault="005703AA" w:rsidP="008544A4">
      <w:pPr>
        <w:pStyle w:val="ESPONText"/>
        <w:spacing w:after="0" w:line="240" w:lineRule="auto"/>
        <w:rPr>
          <w:lang w:val="de-DE"/>
        </w:rPr>
      </w:pPr>
      <w:r w:rsidRPr="0019589D">
        <w:rPr>
          <w:lang w:val="de-DE"/>
        </w:rPr>
        <w:t>FI</w:t>
      </w:r>
      <w:r w:rsidRPr="0019589D">
        <w:rPr>
          <w:lang w:val="de-DE"/>
        </w:rPr>
        <w:tab/>
        <w:t>Finland</w:t>
      </w:r>
    </w:p>
    <w:p w:rsidR="005703AA" w:rsidRPr="0019589D" w:rsidRDefault="005703AA" w:rsidP="008544A4">
      <w:pPr>
        <w:pStyle w:val="ESPONText"/>
        <w:spacing w:after="0" w:line="240" w:lineRule="auto"/>
        <w:rPr>
          <w:lang w:val="de-DE"/>
        </w:rPr>
      </w:pPr>
      <w:r w:rsidRPr="0019589D">
        <w:rPr>
          <w:lang w:val="de-DE"/>
        </w:rPr>
        <w:t>FR</w:t>
      </w:r>
      <w:r w:rsidRPr="0019589D">
        <w:rPr>
          <w:lang w:val="de-DE"/>
        </w:rPr>
        <w:tab/>
        <w:t>France</w:t>
      </w:r>
    </w:p>
    <w:p w:rsidR="008251CD" w:rsidRPr="00A260D4" w:rsidRDefault="007D30CA" w:rsidP="008544A4">
      <w:pPr>
        <w:pStyle w:val="ESPONText"/>
        <w:spacing w:after="0" w:line="240" w:lineRule="auto"/>
        <w:rPr>
          <w:lang w:val="sv-SE"/>
        </w:rPr>
      </w:pPr>
      <w:r w:rsidRPr="00A260D4">
        <w:rPr>
          <w:lang w:val="sv-SE"/>
        </w:rPr>
        <w:t>FY</w:t>
      </w:r>
      <w:r w:rsidRPr="00A260D4">
        <w:rPr>
          <w:lang w:val="sv-SE"/>
        </w:rPr>
        <w:tab/>
        <w:t>FYROM</w:t>
      </w:r>
    </w:p>
    <w:p w:rsidR="005703AA" w:rsidRPr="00C36DAF" w:rsidRDefault="007D30CA" w:rsidP="008544A4">
      <w:pPr>
        <w:pStyle w:val="ESPONText"/>
        <w:spacing w:after="0" w:line="240" w:lineRule="auto"/>
      </w:pPr>
      <w:r w:rsidRPr="00C36DAF">
        <w:t>EL</w:t>
      </w:r>
      <w:r w:rsidR="005703AA" w:rsidRPr="00C36DAF">
        <w:tab/>
        <w:t>Greece</w:t>
      </w:r>
    </w:p>
    <w:p w:rsidR="005703AA" w:rsidRPr="00C36DAF" w:rsidRDefault="005703AA" w:rsidP="008544A4">
      <w:pPr>
        <w:pStyle w:val="ESPONText"/>
        <w:spacing w:after="0" w:line="240" w:lineRule="auto"/>
      </w:pPr>
      <w:r w:rsidRPr="00C36DAF">
        <w:t>HU</w:t>
      </w:r>
      <w:r w:rsidRPr="00C36DAF">
        <w:tab/>
        <w:t>Hungary</w:t>
      </w:r>
    </w:p>
    <w:p w:rsidR="005703AA" w:rsidRPr="00C36DAF" w:rsidRDefault="005703AA" w:rsidP="008544A4">
      <w:pPr>
        <w:pStyle w:val="ESPONText"/>
        <w:spacing w:after="0" w:line="240" w:lineRule="auto"/>
      </w:pPr>
      <w:r w:rsidRPr="00C36DAF">
        <w:t>IE</w:t>
      </w:r>
      <w:r w:rsidRPr="00C36DAF">
        <w:tab/>
        <w:t>Ireland</w:t>
      </w:r>
    </w:p>
    <w:p w:rsidR="007D30CA" w:rsidRPr="00C36DAF" w:rsidRDefault="007D30CA" w:rsidP="008544A4">
      <w:pPr>
        <w:pStyle w:val="ESPONText"/>
        <w:spacing w:after="0" w:line="240" w:lineRule="auto"/>
      </w:pPr>
      <w:r w:rsidRPr="00C36DAF">
        <w:t>IS</w:t>
      </w:r>
      <w:r w:rsidRPr="00C36DAF">
        <w:tab/>
        <w:t>Iceland</w:t>
      </w:r>
    </w:p>
    <w:p w:rsidR="005703AA" w:rsidRPr="0019589D" w:rsidRDefault="005703AA" w:rsidP="008544A4">
      <w:pPr>
        <w:pStyle w:val="ESPONText"/>
        <w:spacing w:after="0" w:line="240" w:lineRule="auto"/>
        <w:rPr>
          <w:lang w:val="en-US"/>
        </w:rPr>
      </w:pPr>
      <w:r w:rsidRPr="0019589D">
        <w:rPr>
          <w:lang w:val="en-US"/>
        </w:rPr>
        <w:t>IT</w:t>
      </w:r>
      <w:r w:rsidRPr="0019589D">
        <w:rPr>
          <w:lang w:val="en-US"/>
        </w:rPr>
        <w:tab/>
        <w:t>Italy</w:t>
      </w:r>
      <w:r w:rsidR="008544A4">
        <w:rPr>
          <w:lang w:val="en-US"/>
        </w:rPr>
        <w:br w:type="column"/>
      </w:r>
    </w:p>
    <w:p w:rsidR="007D30CA" w:rsidRPr="00022713" w:rsidRDefault="007D30CA" w:rsidP="008544A4">
      <w:pPr>
        <w:pStyle w:val="ESPONText"/>
        <w:spacing w:after="0" w:line="240" w:lineRule="auto"/>
        <w:rPr>
          <w:lang w:val="en-US"/>
        </w:rPr>
      </w:pPr>
      <w:r w:rsidRPr="00022713">
        <w:rPr>
          <w:lang w:val="en-US"/>
        </w:rPr>
        <w:t>KO</w:t>
      </w:r>
      <w:r w:rsidRPr="00022713">
        <w:rPr>
          <w:lang w:val="en-US"/>
        </w:rPr>
        <w:tab/>
        <w:t>Kosovo</w:t>
      </w:r>
    </w:p>
    <w:p w:rsidR="005703AA" w:rsidRPr="002E52A6" w:rsidRDefault="005703AA" w:rsidP="008544A4">
      <w:pPr>
        <w:pStyle w:val="ESPONText"/>
        <w:spacing w:after="0" w:line="240" w:lineRule="auto"/>
        <w:rPr>
          <w:lang w:val="de-DE"/>
        </w:rPr>
      </w:pPr>
      <w:r w:rsidRPr="002E52A6">
        <w:rPr>
          <w:lang w:val="de-DE"/>
        </w:rPr>
        <w:t>LI</w:t>
      </w:r>
      <w:r w:rsidRPr="002E52A6">
        <w:rPr>
          <w:lang w:val="de-DE"/>
        </w:rPr>
        <w:tab/>
        <w:t>Liechtenstein</w:t>
      </w:r>
    </w:p>
    <w:p w:rsidR="005703AA" w:rsidRPr="002E52A6" w:rsidRDefault="005703AA" w:rsidP="008544A4">
      <w:pPr>
        <w:pStyle w:val="ESPONText"/>
        <w:spacing w:after="0" w:line="240" w:lineRule="auto"/>
        <w:rPr>
          <w:lang w:val="pt-PT"/>
        </w:rPr>
      </w:pPr>
      <w:r w:rsidRPr="002E52A6">
        <w:rPr>
          <w:lang w:val="pt-PT"/>
        </w:rPr>
        <w:t>LT</w:t>
      </w:r>
      <w:r w:rsidRPr="002E52A6">
        <w:rPr>
          <w:lang w:val="pt-PT"/>
        </w:rPr>
        <w:tab/>
        <w:t>Lithuania</w:t>
      </w:r>
    </w:p>
    <w:p w:rsidR="005703AA" w:rsidRPr="002E52A6" w:rsidRDefault="005703AA" w:rsidP="008544A4">
      <w:pPr>
        <w:pStyle w:val="ESPONText"/>
        <w:spacing w:after="0" w:line="240" w:lineRule="auto"/>
        <w:rPr>
          <w:lang w:val="pt-PT"/>
        </w:rPr>
      </w:pPr>
      <w:r w:rsidRPr="002E52A6">
        <w:rPr>
          <w:lang w:val="pt-PT"/>
        </w:rPr>
        <w:t>LU</w:t>
      </w:r>
      <w:r w:rsidRPr="002E52A6">
        <w:rPr>
          <w:lang w:val="pt-PT"/>
        </w:rPr>
        <w:tab/>
        <w:t>Luxemburg</w:t>
      </w:r>
    </w:p>
    <w:p w:rsidR="005703AA" w:rsidRPr="002E52A6" w:rsidRDefault="005703AA" w:rsidP="008544A4">
      <w:pPr>
        <w:pStyle w:val="ESPONText"/>
        <w:spacing w:after="0" w:line="240" w:lineRule="auto"/>
        <w:rPr>
          <w:lang w:val="pt-PT"/>
        </w:rPr>
      </w:pPr>
      <w:r w:rsidRPr="002E52A6">
        <w:rPr>
          <w:lang w:val="pt-PT"/>
        </w:rPr>
        <w:t>LV</w:t>
      </w:r>
      <w:r w:rsidRPr="002E52A6">
        <w:rPr>
          <w:lang w:val="pt-PT"/>
        </w:rPr>
        <w:tab/>
        <w:t>Latvia</w:t>
      </w:r>
    </w:p>
    <w:p w:rsidR="007D30CA" w:rsidRPr="002E52A6" w:rsidRDefault="007D30CA" w:rsidP="008544A4">
      <w:pPr>
        <w:pStyle w:val="ESPONText"/>
        <w:spacing w:after="0" w:line="240" w:lineRule="auto"/>
        <w:rPr>
          <w:lang w:val="pt-PT"/>
        </w:rPr>
      </w:pPr>
      <w:r w:rsidRPr="002E52A6">
        <w:rPr>
          <w:lang w:val="pt-PT"/>
        </w:rPr>
        <w:t>MO</w:t>
      </w:r>
      <w:r w:rsidRPr="002E52A6">
        <w:rPr>
          <w:lang w:val="pt-PT"/>
        </w:rPr>
        <w:tab/>
        <w:t>Montenegro</w:t>
      </w:r>
    </w:p>
    <w:p w:rsidR="005703AA" w:rsidRPr="002E52A6" w:rsidRDefault="005703AA" w:rsidP="008544A4">
      <w:pPr>
        <w:pStyle w:val="ESPONText"/>
        <w:spacing w:after="0" w:line="240" w:lineRule="auto"/>
        <w:rPr>
          <w:lang w:val="pt-PT"/>
        </w:rPr>
      </w:pPr>
      <w:r w:rsidRPr="002E52A6">
        <w:rPr>
          <w:lang w:val="pt-PT"/>
        </w:rPr>
        <w:t>MT</w:t>
      </w:r>
      <w:r w:rsidRPr="002E52A6">
        <w:rPr>
          <w:lang w:val="pt-PT"/>
        </w:rPr>
        <w:tab/>
        <w:t>Malta</w:t>
      </w:r>
    </w:p>
    <w:p w:rsidR="005703AA" w:rsidRPr="002E52A6" w:rsidRDefault="005703AA" w:rsidP="008544A4">
      <w:pPr>
        <w:pStyle w:val="ESPONText"/>
        <w:spacing w:after="0" w:line="240" w:lineRule="auto"/>
        <w:rPr>
          <w:lang w:val="pt-PT"/>
        </w:rPr>
      </w:pPr>
      <w:r w:rsidRPr="002E52A6">
        <w:rPr>
          <w:lang w:val="pt-PT"/>
        </w:rPr>
        <w:t>NO</w:t>
      </w:r>
      <w:r w:rsidRPr="002E52A6">
        <w:rPr>
          <w:lang w:val="pt-PT"/>
        </w:rPr>
        <w:tab/>
        <w:t>Norway</w:t>
      </w:r>
    </w:p>
    <w:p w:rsidR="005703AA" w:rsidRPr="002E52A6" w:rsidRDefault="005703AA" w:rsidP="008544A4">
      <w:pPr>
        <w:pStyle w:val="ESPONText"/>
        <w:spacing w:after="0" w:line="240" w:lineRule="auto"/>
        <w:rPr>
          <w:lang w:val="pt-PT"/>
        </w:rPr>
      </w:pPr>
      <w:r w:rsidRPr="002E52A6">
        <w:rPr>
          <w:lang w:val="pt-PT"/>
        </w:rPr>
        <w:t>NL</w:t>
      </w:r>
      <w:r w:rsidRPr="002E52A6">
        <w:rPr>
          <w:lang w:val="pt-PT"/>
        </w:rPr>
        <w:tab/>
        <w:t>Netherlands</w:t>
      </w:r>
    </w:p>
    <w:p w:rsidR="005703AA" w:rsidRPr="002E52A6" w:rsidRDefault="005703AA" w:rsidP="008544A4">
      <w:pPr>
        <w:pStyle w:val="ESPONText"/>
        <w:spacing w:after="0" w:line="240" w:lineRule="auto"/>
        <w:rPr>
          <w:lang w:val="pt-PT"/>
        </w:rPr>
      </w:pPr>
      <w:r w:rsidRPr="002E52A6">
        <w:rPr>
          <w:lang w:val="pt-PT"/>
        </w:rPr>
        <w:t>PL</w:t>
      </w:r>
      <w:r w:rsidRPr="002E52A6">
        <w:rPr>
          <w:lang w:val="pt-PT"/>
        </w:rPr>
        <w:tab/>
        <w:t>Poland</w:t>
      </w:r>
    </w:p>
    <w:p w:rsidR="005703AA" w:rsidRPr="002E52A6" w:rsidRDefault="005703AA" w:rsidP="008544A4">
      <w:pPr>
        <w:pStyle w:val="ESPONText"/>
        <w:spacing w:after="0" w:line="240" w:lineRule="auto"/>
        <w:rPr>
          <w:lang w:val="pt-PT"/>
        </w:rPr>
      </w:pPr>
      <w:r w:rsidRPr="002E52A6">
        <w:rPr>
          <w:lang w:val="pt-PT"/>
        </w:rPr>
        <w:t>PT</w:t>
      </w:r>
      <w:r w:rsidRPr="002E52A6">
        <w:rPr>
          <w:lang w:val="pt-PT"/>
        </w:rPr>
        <w:tab/>
        <w:t>Portugal</w:t>
      </w:r>
    </w:p>
    <w:p w:rsidR="005703AA" w:rsidRPr="002E52A6" w:rsidRDefault="005703AA" w:rsidP="008544A4">
      <w:pPr>
        <w:pStyle w:val="ESPONText"/>
        <w:spacing w:after="0" w:line="240" w:lineRule="auto"/>
        <w:rPr>
          <w:lang w:val="pt-PT"/>
        </w:rPr>
      </w:pPr>
      <w:r w:rsidRPr="002E52A6">
        <w:rPr>
          <w:lang w:val="pt-PT"/>
        </w:rPr>
        <w:t>RO</w:t>
      </w:r>
      <w:r w:rsidRPr="002E52A6">
        <w:rPr>
          <w:lang w:val="pt-PT"/>
        </w:rPr>
        <w:tab/>
        <w:t>Romania</w:t>
      </w:r>
    </w:p>
    <w:p w:rsidR="007D30CA" w:rsidRPr="002E52A6" w:rsidRDefault="007D30CA" w:rsidP="008544A4">
      <w:pPr>
        <w:pStyle w:val="ESPONText"/>
        <w:spacing w:after="0" w:line="240" w:lineRule="auto"/>
        <w:rPr>
          <w:lang w:val="pt-PT"/>
        </w:rPr>
      </w:pPr>
      <w:r w:rsidRPr="002E52A6">
        <w:rPr>
          <w:lang w:val="pt-PT"/>
        </w:rPr>
        <w:t>SB</w:t>
      </w:r>
      <w:r w:rsidRPr="002E52A6">
        <w:rPr>
          <w:lang w:val="pt-PT"/>
        </w:rPr>
        <w:tab/>
        <w:t>Serbia</w:t>
      </w:r>
    </w:p>
    <w:p w:rsidR="005703AA" w:rsidRPr="002E52A6" w:rsidRDefault="005703AA" w:rsidP="008544A4">
      <w:pPr>
        <w:pStyle w:val="ESPONText"/>
        <w:spacing w:after="0" w:line="240" w:lineRule="auto"/>
        <w:rPr>
          <w:lang w:val="pt-PT"/>
        </w:rPr>
      </w:pPr>
      <w:r w:rsidRPr="002E52A6">
        <w:rPr>
          <w:lang w:val="pt-PT"/>
        </w:rPr>
        <w:t>SE</w:t>
      </w:r>
      <w:r w:rsidRPr="002E52A6">
        <w:rPr>
          <w:lang w:val="pt-PT"/>
        </w:rPr>
        <w:tab/>
        <w:t>Sweden</w:t>
      </w:r>
    </w:p>
    <w:p w:rsidR="005703AA" w:rsidRPr="002E52A6" w:rsidRDefault="005703AA" w:rsidP="008544A4">
      <w:pPr>
        <w:pStyle w:val="ESPONText"/>
        <w:spacing w:after="0" w:line="240" w:lineRule="auto"/>
        <w:rPr>
          <w:lang w:val="pt-PT"/>
        </w:rPr>
      </w:pPr>
      <w:r w:rsidRPr="002E52A6">
        <w:rPr>
          <w:lang w:val="pt-PT"/>
        </w:rPr>
        <w:t>SI</w:t>
      </w:r>
      <w:r w:rsidRPr="002E52A6">
        <w:rPr>
          <w:lang w:val="pt-PT"/>
        </w:rPr>
        <w:tab/>
        <w:t>Slovenia</w:t>
      </w:r>
    </w:p>
    <w:p w:rsidR="005703AA" w:rsidRPr="002E52A6" w:rsidRDefault="005703AA" w:rsidP="008544A4">
      <w:pPr>
        <w:pStyle w:val="ESPONText"/>
        <w:spacing w:after="0" w:line="240" w:lineRule="auto"/>
        <w:rPr>
          <w:lang w:val="pt-PT"/>
        </w:rPr>
      </w:pPr>
      <w:r w:rsidRPr="002E52A6">
        <w:rPr>
          <w:lang w:val="pt-PT"/>
        </w:rPr>
        <w:t>SK</w:t>
      </w:r>
      <w:r w:rsidRPr="002E52A6">
        <w:rPr>
          <w:lang w:val="pt-PT"/>
        </w:rPr>
        <w:tab/>
        <w:t>Slovakia</w:t>
      </w:r>
    </w:p>
    <w:p w:rsidR="005703AA" w:rsidRPr="00C36DAF" w:rsidRDefault="005703AA" w:rsidP="008544A4">
      <w:pPr>
        <w:pStyle w:val="ESPONText"/>
        <w:spacing w:after="0" w:line="240" w:lineRule="auto"/>
      </w:pPr>
      <w:r w:rsidRPr="00C36DAF">
        <w:t>TR</w:t>
      </w:r>
      <w:r w:rsidRPr="00C36DAF">
        <w:tab/>
        <w:t>Turkey</w:t>
      </w:r>
    </w:p>
    <w:p w:rsidR="005703AA" w:rsidRPr="00C36DAF" w:rsidRDefault="005703AA" w:rsidP="008544A4">
      <w:pPr>
        <w:pStyle w:val="ESPONText"/>
        <w:spacing w:after="0" w:line="240" w:lineRule="auto"/>
      </w:pPr>
      <w:r w:rsidRPr="00C36DAF">
        <w:t>UK</w:t>
      </w:r>
      <w:r w:rsidRPr="00C36DAF">
        <w:tab/>
        <w:t>United Kingdom</w:t>
      </w:r>
    </w:p>
    <w:p w:rsidR="008544A4" w:rsidRDefault="008544A4" w:rsidP="005703AA">
      <w:pPr>
        <w:pStyle w:val="ESPONText"/>
        <w:spacing w:after="0"/>
        <w:sectPr w:rsidR="008544A4" w:rsidSect="00164958">
          <w:type w:val="continuous"/>
          <w:pgSz w:w="11906" w:h="16838"/>
          <w:pgMar w:top="1644" w:right="851" w:bottom="1644" w:left="1701" w:header="720" w:footer="720" w:gutter="0"/>
          <w:pgNumType w:fmt="lowerRoman" w:start="1"/>
          <w:cols w:num="2" w:space="720"/>
        </w:sectPr>
      </w:pPr>
    </w:p>
    <w:p w:rsidR="008544A4" w:rsidRDefault="008544A4" w:rsidP="008544A4">
      <w:pPr>
        <w:pStyle w:val="ESPONText"/>
      </w:pPr>
    </w:p>
    <w:p w:rsidR="008544A4" w:rsidRDefault="008544A4" w:rsidP="008544A4">
      <w:pPr>
        <w:pStyle w:val="ESPONText"/>
      </w:pPr>
    </w:p>
    <w:p w:rsidR="008544A4" w:rsidRPr="00C36DAF" w:rsidRDefault="008544A4" w:rsidP="008544A4">
      <w:pPr>
        <w:pStyle w:val="ESPONText"/>
      </w:pPr>
      <w:r w:rsidRPr="00C36DAF">
        <w:t xml:space="preserve">The TiPSE research team comprises </w:t>
      </w:r>
      <w:r>
        <w:t>7</w:t>
      </w:r>
      <w:r w:rsidRPr="00C36DAF">
        <w:t xml:space="preserve"> partners from 5 EU Member States:</w:t>
      </w:r>
    </w:p>
    <w:tbl>
      <w:tblPr>
        <w:tblW w:w="9009" w:type="dxa"/>
        <w:tblInd w:w="10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539"/>
        <w:gridCol w:w="5635"/>
        <w:gridCol w:w="567"/>
        <w:gridCol w:w="2268"/>
      </w:tblGrid>
      <w:tr w:rsidR="008544A4" w:rsidRPr="00C36DAF" w:rsidTr="008544A4">
        <w:trPr>
          <w:trHeight w:val="255"/>
        </w:trPr>
        <w:tc>
          <w:tcPr>
            <w:tcW w:w="539"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rsidR="008544A4" w:rsidRPr="00C36DAF" w:rsidRDefault="008544A4" w:rsidP="008544A4">
            <w:pPr>
              <w:spacing w:before="0" w:line="240" w:lineRule="auto"/>
              <w:jc w:val="right"/>
              <w:rPr>
                <w:rFonts w:cs="Arial"/>
                <w:b/>
                <w:bCs/>
                <w:sz w:val="20"/>
                <w:lang w:eastAsia="en-GB"/>
              </w:rPr>
            </w:pPr>
            <w:r w:rsidRPr="00C36DAF">
              <w:rPr>
                <w:rFonts w:cs="Arial"/>
                <w:b/>
                <w:bCs/>
                <w:sz w:val="20"/>
                <w:lang w:eastAsia="en-GB"/>
              </w:rPr>
              <w:t>No.</w:t>
            </w:r>
          </w:p>
        </w:tc>
        <w:tc>
          <w:tcPr>
            <w:tcW w:w="5635"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rsidR="008544A4" w:rsidRPr="00C36DAF" w:rsidRDefault="008544A4" w:rsidP="008544A4">
            <w:pPr>
              <w:spacing w:before="0" w:line="240" w:lineRule="auto"/>
              <w:jc w:val="left"/>
              <w:rPr>
                <w:rFonts w:cs="Arial"/>
                <w:b/>
                <w:bCs/>
                <w:sz w:val="20"/>
                <w:lang w:eastAsia="en-GB"/>
              </w:rPr>
            </w:pPr>
            <w:r w:rsidRPr="00C36DAF">
              <w:rPr>
                <w:rFonts w:cs="Arial"/>
                <w:b/>
                <w:bCs/>
                <w:sz w:val="20"/>
                <w:lang w:eastAsia="en-GB"/>
              </w:rPr>
              <w:t>Partner</w:t>
            </w:r>
          </w:p>
        </w:tc>
        <w:tc>
          <w:tcPr>
            <w:tcW w:w="567"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rsidR="008544A4" w:rsidRPr="00C36DAF" w:rsidRDefault="008544A4" w:rsidP="008544A4">
            <w:pPr>
              <w:spacing w:before="0" w:line="240" w:lineRule="auto"/>
              <w:jc w:val="left"/>
              <w:rPr>
                <w:rFonts w:cs="Arial"/>
                <w:b/>
                <w:bCs/>
                <w:sz w:val="20"/>
                <w:lang w:eastAsia="en-GB"/>
              </w:rPr>
            </w:pPr>
            <w:r w:rsidRPr="00C36DAF">
              <w:rPr>
                <w:rFonts w:cs="Arial"/>
                <w:b/>
                <w:bCs/>
                <w:sz w:val="20"/>
                <w:lang w:eastAsia="en-GB"/>
              </w:rPr>
              <w:t>MS</w:t>
            </w:r>
          </w:p>
        </w:tc>
        <w:tc>
          <w:tcPr>
            <w:tcW w:w="2268" w:type="dxa"/>
            <w:tcBorders>
              <w:top w:val="single" w:sz="4" w:space="0" w:color="auto"/>
              <w:bottom w:val="single" w:sz="4" w:space="0" w:color="auto"/>
            </w:tcBorders>
            <w:tcMar>
              <w:top w:w="0" w:type="dxa"/>
              <w:left w:w="40" w:type="dxa"/>
              <w:bottom w:w="0" w:type="dxa"/>
              <w:right w:w="40" w:type="dxa"/>
            </w:tcMar>
            <w:vAlign w:val="center"/>
          </w:tcPr>
          <w:p w:rsidR="008544A4" w:rsidRPr="00C36DAF" w:rsidRDefault="008544A4" w:rsidP="008544A4">
            <w:pPr>
              <w:spacing w:before="0" w:line="240" w:lineRule="auto"/>
              <w:jc w:val="left"/>
              <w:rPr>
                <w:rFonts w:cs="Arial"/>
                <w:b/>
                <w:bCs/>
                <w:sz w:val="20"/>
                <w:lang w:eastAsia="en-GB"/>
              </w:rPr>
            </w:pPr>
            <w:r w:rsidRPr="00C36DAF">
              <w:rPr>
                <w:rFonts w:cs="Arial"/>
                <w:b/>
                <w:bCs/>
                <w:sz w:val="20"/>
                <w:lang w:eastAsia="en-GB"/>
              </w:rPr>
              <w:t>Principal Researchers</w:t>
            </w:r>
          </w:p>
        </w:tc>
      </w:tr>
      <w:tr w:rsidR="008544A4" w:rsidRPr="00C36DAF" w:rsidTr="008544A4">
        <w:trPr>
          <w:trHeight w:val="255"/>
        </w:trPr>
        <w:tc>
          <w:tcPr>
            <w:tcW w:w="539" w:type="dxa"/>
            <w:tcBorders>
              <w:top w:val="single" w:sz="4" w:space="0" w:color="auto"/>
            </w:tcBorders>
            <w:shd w:val="clear" w:color="auto" w:fill="auto"/>
            <w:tcMar>
              <w:top w:w="0" w:type="dxa"/>
              <w:left w:w="40" w:type="dxa"/>
              <w:bottom w:w="0" w:type="dxa"/>
              <w:right w:w="40" w:type="dxa"/>
            </w:tcMar>
            <w:vAlign w:val="center"/>
          </w:tcPr>
          <w:p w:rsidR="008544A4" w:rsidRPr="00C36DAF" w:rsidRDefault="008544A4" w:rsidP="008544A4">
            <w:pPr>
              <w:spacing w:before="0" w:line="240" w:lineRule="auto"/>
              <w:jc w:val="center"/>
              <w:rPr>
                <w:rFonts w:cs="Arial"/>
                <w:color w:val="000000"/>
                <w:sz w:val="20"/>
                <w:lang w:eastAsia="en-GB"/>
              </w:rPr>
            </w:pPr>
            <w:r w:rsidRPr="00C36DAF">
              <w:rPr>
                <w:rFonts w:cs="Arial"/>
                <w:color w:val="000000"/>
                <w:sz w:val="20"/>
                <w:lang w:eastAsia="en-GB"/>
              </w:rPr>
              <w:t>LP</w:t>
            </w:r>
          </w:p>
        </w:tc>
        <w:tc>
          <w:tcPr>
            <w:tcW w:w="5635" w:type="dxa"/>
            <w:tcBorders>
              <w:top w:val="single" w:sz="4" w:space="0" w:color="auto"/>
            </w:tcBorders>
            <w:shd w:val="clear" w:color="auto" w:fill="auto"/>
            <w:tcMar>
              <w:top w:w="0" w:type="dxa"/>
              <w:left w:w="40" w:type="dxa"/>
              <w:bottom w:w="0" w:type="dxa"/>
              <w:right w:w="40" w:type="dxa"/>
            </w:tcMar>
            <w:vAlign w:val="center"/>
          </w:tcPr>
          <w:p w:rsidR="008544A4" w:rsidRPr="00C36DAF" w:rsidRDefault="008544A4" w:rsidP="008544A4">
            <w:pPr>
              <w:spacing w:before="0" w:line="240" w:lineRule="auto"/>
              <w:jc w:val="left"/>
              <w:rPr>
                <w:rFonts w:cs="Arial"/>
                <w:color w:val="000000"/>
                <w:sz w:val="20"/>
                <w:lang w:eastAsia="en-GB"/>
              </w:rPr>
            </w:pPr>
            <w:r w:rsidRPr="00C36DAF">
              <w:rPr>
                <w:rFonts w:cs="Arial"/>
                <w:color w:val="000000"/>
                <w:sz w:val="20"/>
                <w:lang w:eastAsia="en-GB"/>
              </w:rPr>
              <w:t>Nordregio - Nordic Centre for Spatial Development</w:t>
            </w:r>
          </w:p>
        </w:tc>
        <w:tc>
          <w:tcPr>
            <w:tcW w:w="567" w:type="dxa"/>
            <w:tcBorders>
              <w:top w:val="single" w:sz="4" w:space="0" w:color="auto"/>
            </w:tcBorders>
            <w:shd w:val="clear" w:color="auto" w:fill="auto"/>
            <w:noWrap/>
            <w:tcMar>
              <w:top w:w="0" w:type="dxa"/>
              <w:left w:w="40" w:type="dxa"/>
              <w:bottom w:w="0" w:type="dxa"/>
              <w:right w:w="40" w:type="dxa"/>
            </w:tcMar>
            <w:vAlign w:val="center"/>
          </w:tcPr>
          <w:p w:rsidR="008544A4" w:rsidRPr="00C36DAF" w:rsidRDefault="008544A4" w:rsidP="008544A4">
            <w:pPr>
              <w:spacing w:before="0" w:line="240" w:lineRule="auto"/>
              <w:jc w:val="left"/>
              <w:rPr>
                <w:rFonts w:cs="Arial"/>
                <w:sz w:val="20"/>
                <w:lang w:eastAsia="en-GB"/>
              </w:rPr>
            </w:pPr>
            <w:r w:rsidRPr="00C36DAF">
              <w:rPr>
                <w:rFonts w:cs="Arial"/>
                <w:sz w:val="20"/>
                <w:lang w:eastAsia="en-GB"/>
              </w:rPr>
              <w:t>SE</w:t>
            </w:r>
          </w:p>
        </w:tc>
        <w:tc>
          <w:tcPr>
            <w:tcW w:w="2268" w:type="dxa"/>
            <w:tcBorders>
              <w:top w:val="single" w:sz="4" w:space="0" w:color="auto"/>
            </w:tcBorders>
            <w:tcMar>
              <w:top w:w="0" w:type="dxa"/>
              <w:left w:w="40" w:type="dxa"/>
              <w:bottom w:w="0" w:type="dxa"/>
              <w:right w:w="40" w:type="dxa"/>
            </w:tcMar>
            <w:vAlign w:val="center"/>
          </w:tcPr>
          <w:p w:rsidR="008544A4" w:rsidRPr="00C36DAF" w:rsidRDefault="008544A4" w:rsidP="008544A4">
            <w:pPr>
              <w:spacing w:before="0" w:line="240" w:lineRule="auto"/>
              <w:jc w:val="left"/>
              <w:rPr>
                <w:rFonts w:cs="Arial"/>
                <w:sz w:val="20"/>
                <w:lang w:eastAsia="en-GB"/>
              </w:rPr>
            </w:pPr>
            <w:r w:rsidRPr="00C36DAF">
              <w:rPr>
                <w:rFonts w:cs="Arial"/>
                <w:sz w:val="20"/>
                <w:lang w:eastAsia="en-GB"/>
              </w:rPr>
              <w:t>Petri Kahila</w:t>
            </w:r>
          </w:p>
        </w:tc>
      </w:tr>
      <w:tr w:rsidR="008544A4" w:rsidRPr="00C36DAF" w:rsidTr="008544A4">
        <w:trPr>
          <w:trHeight w:val="255"/>
        </w:trPr>
        <w:tc>
          <w:tcPr>
            <w:tcW w:w="539" w:type="dxa"/>
            <w:shd w:val="clear" w:color="auto" w:fill="auto"/>
            <w:tcMar>
              <w:top w:w="0" w:type="dxa"/>
              <w:left w:w="40" w:type="dxa"/>
              <w:bottom w:w="0" w:type="dxa"/>
              <w:right w:w="40" w:type="dxa"/>
            </w:tcMar>
            <w:vAlign w:val="center"/>
          </w:tcPr>
          <w:p w:rsidR="008544A4" w:rsidRPr="00C36DAF" w:rsidRDefault="008544A4" w:rsidP="008544A4">
            <w:pPr>
              <w:spacing w:before="0" w:line="240" w:lineRule="auto"/>
              <w:jc w:val="center"/>
              <w:rPr>
                <w:rFonts w:cs="Arial"/>
                <w:bCs/>
                <w:color w:val="000000"/>
                <w:sz w:val="20"/>
                <w:lang w:eastAsia="en-GB"/>
              </w:rPr>
            </w:pPr>
            <w:r w:rsidRPr="00C36DAF">
              <w:rPr>
                <w:rFonts w:cs="Arial"/>
                <w:bCs/>
                <w:color w:val="000000"/>
                <w:sz w:val="20"/>
                <w:lang w:eastAsia="en-GB"/>
              </w:rPr>
              <w:t>2</w:t>
            </w:r>
          </w:p>
        </w:tc>
        <w:tc>
          <w:tcPr>
            <w:tcW w:w="5635" w:type="dxa"/>
            <w:shd w:val="clear" w:color="auto" w:fill="auto"/>
            <w:tcMar>
              <w:top w:w="0" w:type="dxa"/>
              <w:left w:w="40" w:type="dxa"/>
              <w:bottom w:w="0" w:type="dxa"/>
              <w:right w:w="40" w:type="dxa"/>
            </w:tcMar>
            <w:vAlign w:val="center"/>
          </w:tcPr>
          <w:p w:rsidR="008544A4" w:rsidRPr="00C36DAF" w:rsidRDefault="008544A4" w:rsidP="008544A4">
            <w:pPr>
              <w:spacing w:before="0" w:line="240" w:lineRule="auto"/>
              <w:jc w:val="left"/>
              <w:rPr>
                <w:rFonts w:cs="Arial"/>
                <w:bCs/>
                <w:color w:val="000000"/>
                <w:sz w:val="20"/>
                <w:lang w:eastAsia="en-GB"/>
              </w:rPr>
            </w:pPr>
            <w:r w:rsidRPr="00C36DAF">
              <w:rPr>
                <w:rFonts w:cs="Arial"/>
                <w:bCs/>
                <w:color w:val="000000"/>
                <w:sz w:val="20"/>
                <w:lang w:eastAsia="en-GB"/>
              </w:rPr>
              <w:t>UHI Millennium Institute</w:t>
            </w:r>
          </w:p>
        </w:tc>
        <w:tc>
          <w:tcPr>
            <w:tcW w:w="567" w:type="dxa"/>
            <w:shd w:val="clear" w:color="auto" w:fill="auto"/>
            <w:noWrap/>
            <w:tcMar>
              <w:top w:w="0" w:type="dxa"/>
              <w:left w:w="40" w:type="dxa"/>
              <w:bottom w:w="0" w:type="dxa"/>
              <w:right w:w="40" w:type="dxa"/>
            </w:tcMar>
            <w:vAlign w:val="center"/>
          </w:tcPr>
          <w:p w:rsidR="008544A4" w:rsidRPr="00C36DAF" w:rsidRDefault="008544A4" w:rsidP="008544A4">
            <w:pPr>
              <w:spacing w:before="0" w:line="240" w:lineRule="auto"/>
              <w:jc w:val="left"/>
              <w:rPr>
                <w:rFonts w:cs="Arial"/>
                <w:bCs/>
                <w:sz w:val="20"/>
                <w:lang w:eastAsia="en-GB"/>
              </w:rPr>
            </w:pPr>
            <w:r w:rsidRPr="00C36DAF">
              <w:rPr>
                <w:rFonts w:cs="Arial"/>
                <w:bCs/>
                <w:sz w:val="20"/>
                <w:lang w:eastAsia="en-GB"/>
              </w:rPr>
              <w:t>UK</w:t>
            </w:r>
          </w:p>
        </w:tc>
        <w:tc>
          <w:tcPr>
            <w:tcW w:w="2268" w:type="dxa"/>
            <w:tcMar>
              <w:top w:w="0" w:type="dxa"/>
              <w:left w:w="40" w:type="dxa"/>
              <w:bottom w:w="0" w:type="dxa"/>
              <w:right w:w="40" w:type="dxa"/>
            </w:tcMar>
            <w:vAlign w:val="center"/>
          </w:tcPr>
          <w:p w:rsidR="008544A4" w:rsidRPr="00C36DAF" w:rsidRDefault="008544A4" w:rsidP="008544A4">
            <w:pPr>
              <w:spacing w:before="0" w:line="240" w:lineRule="auto"/>
              <w:jc w:val="left"/>
              <w:rPr>
                <w:rFonts w:cs="Arial"/>
                <w:bCs/>
                <w:sz w:val="20"/>
                <w:lang w:eastAsia="en-GB"/>
              </w:rPr>
            </w:pPr>
            <w:r>
              <w:rPr>
                <w:rFonts w:cs="Arial"/>
                <w:bCs/>
                <w:sz w:val="20"/>
                <w:lang w:eastAsia="en-GB"/>
              </w:rPr>
              <w:t>Philomena de Lima</w:t>
            </w:r>
          </w:p>
        </w:tc>
      </w:tr>
      <w:tr w:rsidR="008544A4" w:rsidRPr="00C36DAF" w:rsidTr="008544A4">
        <w:trPr>
          <w:trHeight w:val="285"/>
        </w:trPr>
        <w:tc>
          <w:tcPr>
            <w:tcW w:w="539" w:type="dxa"/>
            <w:shd w:val="clear" w:color="auto" w:fill="auto"/>
            <w:tcMar>
              <w:top w:w="0" w:type="dxa"/>
              <w:left w:w="40" w:type="dxa"/>
              <w:bottom w:w="0" w:type="dxa"/>
              <w:right w:w="40" w:type="dxa"/>
            </w:tcMar>
            <w:vAlign w:val="center"/>
          </w:tcPr>
          <w:p w:rsidR="008544A4" w:rsidRPr="00C36DAF" w:rsidRDefault="008544A4" w:rsidP="008544A4">
            <w:pPr>
              <w:spacing w:before="0" w:line="240" w:lineRule="auto"/>
              <w:jc w:val="center"/>
              <w:rPr>
                <w:rFonts w:cs="Arial"/>
                <w:color w:val="000000"/>
                <w:sz w:val="20"/>
                <w:lang w:eastAsia="en-GB"/>
              </w:rPr>
            </w:pPr>
            <w:r w:rsidRPr="00C36DAF">
              <w:rPr>
                <w:rFonts w:cs="Arial"/>
                <w:color w:val="000000"/>
                <w:sz w:val="20"/>
                <w:lang w:eastAsia="en-GB"/>
              </w:rPr>
              <w:t>3</w:t>
            </w:r>
          </w:p>
        </w:tc>
        <w:tc>
          <w:tcPr>
            <w:tcW w:w="5635" w:type="dxa"/>
            <w:shd w:val="clear" w:color="auto" w:fill="auto"/>
            <w:tcMar>
              <w:top w:w="0" w:type="dxa"/>
              <w:left w:w="40" w:type="dxa"/>
              <w:bottom w:w="0" w:type="dxa"/>
              <w:right w:w="40" w:type="dxa"/>
            </w:tcMar>
            <w:vAlign w:val="center"/>
          </w:tcPr>
          <w:p w:rsidR="008544A4" w:rsidRPr="00C36DAF" w:rsidRDefault="008544A4" w:rsidP="008544A4">
            <w:pPr>
              <w:spacing w:before="0" w:line="240" w:lineRule="auto"/>
              <w:jc w:val="left"/>
              <w:rPr>
                <w:rFonts w:cs="Arial"/>
                <w:color w:val="000000"/>
                <w:sz w:val="20"/>
                <w:lang w:eastAsia="en-GB"/>
              </w:rPr>
            </w:pPr>
            <w:r w:rsidRPr="00C36DAF">
              <w:rPr>
                <w:rFonts w:cs="Arial"/>
                <w:color w:val="000000"/>
                <w:sz w:val="20"/>
                <w:lang w:eastAsia="en-GB"/>
              </w:rPr>
              <w:t>Newcastle University</w:t>
            </w:r>
          </w:p>
        </w:tc>
        <w:tc>
          <w:tcPr>
            <w:tcW w:w="567" w:type="dxa"/>
            <w:shd w:val="clear" w:color="auto" w:fill="auto"/>
            <w:noWrap/>
            <w:tcMar>
              <w:top w:w="0" w:type="dxa"/>
              <w:left w:w="40" w:type="dxa"/>
              <w:bottom w:w="0" w:type="dxa"/>
              <w:right w:w="40" w:type="dxa"/>
            </w:tcMar>
            <w:vAlign w:val="center"/>
          </w:tcPr>
          <w:p w:rsidR="008544A4" w:rsidRPr="00C36DAF" w:rsidRDefault="008544A4" w:rsidP="008544A4">
            <w:pPr>
              <w:spacing w:before="0" w:line="240" w:lineRule="auto"/>
              <w:jc w:val="left"/>
              <w:rPr>
                <w:rFonts w:cs="Arial"/>
                <w:sz w:val="20"/>
                <w:lang w:eastAsia="en-GB"/>
              </w:rPr>
            </w:pPr>
            <w:r w:rsidRPr="00C36DAF">
              <w:rPr>
                <w:rFonts w:cs="Arial"/>
                <w:sz w:val="20"/>
                <w:lang w:eastAsia="en-GB"/>
              </w:rPr>
              <w:t>UK</w:t>
            </w:r>
          </w:p>
        </w:tc>
        <w:tc>
          <w:tcPr>
            <w:tcW w:w="2268" w:type="dxa"/>
            <w:tcMar>
              <w:top w:w="0" w:type="dxa"/>
              <w:left w:w="40" w:type="dxa"/>
              <w:bottom w:w="0" w:type="dxa"/>
              <w:right w:w="40" w:type="dxa"/>
            </w:tcMar>
            <w:vAlign w:val="center"/>
          </w:tcPr>
          <w:p w:rsidR="008544A4" w:rsidRPr="00C36DAF" w:rsidRDefault="008544A4" w:rsidP="008544A4">
            <w:pPr>
              <w:spacing w:before="0" w:line="240" w:lineRule="auto"/>
              <w:jc w:val="left"/>
              <w:rPr>
                <w:rFonts w:cs="Arial"/>
                <w:sz w:val="20"/>
                <w:lang w:eastAsia="en-GB"/>
              </w:rPr>
            </w:pPr>
            <w:r w:rsidRPr="00C36DAF">
              <w:rPr>
                <w:rFonts w:cs="Arial"/>
                <w:sz w:val="20"/>
                <w:lang w:eastAsia="en-GB"/>
              </w:rPr>
              <w:t>Mark Shucksmith</w:t>
            </w:r>
          </w:p>
        </w:tc>
      </w:tr>
      <w:tr w:rsidR="008544A4" w:rsidRPr="00C36DAF" w:rsidTr="008544A4">
        <w:trPr>
          <w:trHeight w:val="255"/>
        </w:trPr>
        <w:tc>
          <w:tcPr>
            <w:tcW w:w="539" w:type="dxa"/>
            <w:shd w:val="clear" w:color="auto" w:fill="auto"/>
            <w:tcMar>
              <w:top w:w="0" w:type="dxa"/>
              <w:left w:w="40" w:type="dxa"/>
              <w:bottom w:w="0" w:type="dxa"/>
              <w:right w:w="40" w:type="dxa"/>
            </w:tcMar>
            <w:vAlign w:val="center"/>
          </w:tcPr>
          <w:p w:rsidR="008544A4" w:rsidRPr="00C36DAF" w:rsidRDefault="008544A4" w:rsidP="008544A4">
            <w:pPr>
              <w:spacing w:before="0" w:line="240" w:lineRule="auto"/>
              <w:jc w:val="center"/>
              <w:rPr>
                <w:rFonts w:cs="Arial"/>
                <w:color w:val="000000"/>
                <w:sz w:val="20"/>
                <w:lang w:eastAsia="en-GB"/>
              </w:rPr>
            </w:pPr>
            <w:r w:rsidRPr="00C36DAF">
              <w:rPr>
                <w:rFonts w:cs="Arial"/>
                <w:color w:val="000000"/>
                <w:sz w:val="20"/>
                <w:lang w:eastAsia="en-GB"/>
              </w:rPr>
              <w:t>4</w:t>
            </w:r>
          </w:p>
        </w:tc>
        <w:tc>
          <w:tcPr>
            <w:tcW w:w="5635" w:type="dxa"/>
            <w:shd w:val="clear" w:color="auto" w:fill="auto"/>
            <w:tcMar>
              <w:top w:w="0" w:type="dxa"/>
              <w:left w:w="40" w:type="dxa"/>
              <w:bottom w:w="0" w:type="dxa"/>
              <w:right w:w="40" w:type="dxa"/>
            </w:tcMar>
            <w:vAlign w:val="center"/>
          </w:tcPr>
          <w:p w:rsidR="008544A4" w:rsidRPr="00C36DAF" w:rsidRDefault="008544A4" w:rsidP="008544A4">
            <w:pPr>
              <w:spacing w:before="0" w:line="240" w:lineRule="auto"/>
              <w:jc w:val="left"/>
              <w:rPr>
                <w:rFonts w:cs="Arial"/>
                <w:color w:val="000000"/>
                <w:sz w:val="20"/>
                <w:lang w:eastAsia="en-GB"/>
              </w:rPr>
            </w:pPr>
            <w:r w:rsidRPr="00C36DAF">
              <w:rPr>
                <w:rFonts w:cs="Arial"/>
                <w:color w:val="000000"/>
                <w:sz w:val="20"/>
                <w:lang w:eastAsia="en-GB"/>
              </w:rPr>
              <w:t>Institute of Economics Hungarian Academy of Sciences</w:t>
            </w:r>
          </w:p>
        </w:tc>
        <w:tc>
          <w:tcPr>
            <w:tcW w:w="567" w:type="dxa"/>
            <w:shd w:val="clear" w:color="auto" w:fill="auto"/>
            <w:noWrap/>
            <w:tcMar>
              <w:top w:w="0" w:type="dxa"/>
              <w:left w:w="40" w:type="dxa"/>
              <w:bottom w:w="0" w:type="dxa"/>
              <w:right w:w="40" w:type="dxa"/>
            </w:tcMar>
            <w:vAlign w:val="center"/>
          </w:tcPr>
          <w:p w:rsidR="008544A4" w:rsidRPr="00C36DAF" w:rsidRDefault="008544A4" w:rsidP="008544A4">
            <w:pPr>
              <w:spacing w:before="0" w:line="240" w:lineRule="auto"/>
              <w:jc w:val="left"/>
              <w:rPr>
                <w:rFonts w:cs="Arial"/>
                <w:sz w:val="20"/>
                <w:lang w:eastAsia="en-GB"/>
              </w:rPr>
            </w:pPr>
            <w:r w:rsidRPr="00C36DAF">
              <w:rPr>
                <w:rFonts w:cs="Arial"/>
                <w:sz w:val="20"/>
                <w:lang w:eastAsia="en-GB"/>
              </w:rPr>
              <w:t>HU</w:t>
            </w:r>
          </w:p>
        </w:tc>
        <w:tc>
          <w:tcPr>
            <w:tcW w:w="2268" w:type="dxa"/>
            <w:tcMar>
              <w:top w:w="0" w:type="dxa"/>
              <w:left w:w="40" w:type="dxa"/>
              <w:bottom w:w="0" w:type="dxa"/>
              <w:right w:w="40" w:type="dxa"/>
            </w:tcMar>
            <w:vAlign w:val="center"/>
          </w:tcPr>
          <w:p w:rsidR="008544A4" w:rsidRPr="00C36DAF" w:rsidRDefault="008544A4" w:rsidP="008544A4">
            <w:pPr>
              <w:spacing w:before="0" w:line="240" w:lineRule="auto"/>
              <w:jc w:val="left"/>
              <w:rPr>
                <w:rFonts w:cs="Arial"/>
                <w:sz w:val="20"/>
                <w:lang w:eastAsia="en-GB"/>
              </w:rPr>
            </w:pPr>
            <w:r w:rsidRPr="00C36DAF">
              <w:rPr>
                <w:rFonts w:cs="Arial"/>
                <w:sz w:val="20"/>
                <w:lang w:eastAsia="en-GB"/>
              </w:rPr>
              <w:t>Katalin Kovács</w:t>
            </w:r>
          </w:p>
        </w:tc>
      </w:tr>
      <w:tr w:rsidR="008544A4" w:rsidRPr="00C36DAF" w:rsidTr="008544A4">
        <w:trPr>
          <w:trHeight w:val="255"/>
        </w:trPr>
        <w:tc>
          <w:tcPr>
            <w:tcW w:w="539" w:type="dxa"/>
            <w:shd w:val="clear" w:color="auto" w:fill="auto"/>
            <w:tcMar>
              <w:top w:w="0" w:type="dxa"/>
              <w:left w:w="40" w:type="dxa"/>
              <w:bottom w:w="0" w:type="dxa"/>
              <w:right w:w="40" w:type="dxa"/>
            </w:tcMar>
            <w:vAlign w:val="center"/>
          </w:tcPr>
          <w:p w:rsidR="008544A4" w:rsidRPr="00C36DAF" w:rsidRDefault="008544A4" w:rsidP="008544A4">
            <w:pPr>
              <w:spacing w:before="0" w:line="240" w:lineRule="auto"/>
              <w:jc w:val="center"/>
              <w:rPr>
                <w:rFonts w:cs="Arial"/>
                <w:color w:val="000000"/>
                <w:sz w:val="20"/>
                <w:lang w:eastAsia="en-GB"/>
              </w:rPr>
            </w:pPr>
            <w:r w:rsidRPr="00C36DAF">
              <w:rPr>
                <w:rFonts w:cs="Arial"/>
                <w:color w:val="000000"/>
                <w:sz w:val="20"/>
                <w:lang w:eastAsia="en-GB"/>
              </w:rPr>
              <w:t>5</w:t>
            </w:r>
          </w:p>
        </w:tc>
        <w:tc>
          <w:tcPr>
            <w:tcW w:w="5635" w:type="dxa"/>
            <w:shd w:val="clear" w:color="auto" w:fill="auto"/>
            <w:tcMar>
              <w:top w:w="0" w:type="dxa"/>
              <w:left w:w="40" w:type="dxa"/>
              <w:bottom w:w="0" w:type="dxa"/>
              <w:right w:w="40" w:type="dxa"/>
            </w:tcMar>
            <w:vAlign w:val="center"/>
          </w:tcPr>
          <w:p w:rsidR="008544A4" w:rsidRPr="00C36DAF" w:rsidRDefault="008544A4" w:rsidP="008544A4">
            <w:pPr>
              <w:spacing w:before="0" w:line="240" w:lineRule="auto"/>
              <w:jc w:val="left"/>
              <w:rPr>
                <w:rFonts w:cs="Arial"/>
                <w:color w:val="000000"/>
                <w:sz w:val="20"/>
                <w:lang w:eastAsia="en-GB"/>
              </w:rPr>
            </w:pPr>
            <w:r w:rsidRPr="00C36DAF">
              <w:rPr>
                <w:rFonts w:cs="Arial"/>
                <w:color w:val="000000"/>
                <w:sz w:val="20"/>
                <w:lang w:eastAsia="en-GB"/>
              </w:rPr>
              <w:t>ILS - Research Institute for Regional and Urban Development</w:t>
            </w:r>
          </w:p>
        </w:tc>
        <w:tc>
          <w:tcPr>
            <w:tcW w:w="567" w:type="dxa"/>
            <w:shd w:val="clear" w:color="auto" w:fill="auto"/>
            <w:noWrap/>
            <w:tcMar>
              <w:top w:w="0" w:type="dxa"/>
              <w:left w:w="40" w:type="dxa"/>
              <w:bottom w:w="0" w:type="dxa"/>
              <w:right w:w="40" w:type="dxa"/>
            </w:tcMar>
            <w:vAlign w:val="center"/>
          </w:tcPr>
          <w:p w:rsidR="008544A4" w:rsidRPr="00C36DAF" w:rsidRDefault="008544A4" w:rsidP="008544A4">
            <w:pPr>
              <w:spacing w:before="0" w:line="240" w:lineRule="auto"/>
              <w:jc w:val="left"/>
              <w:rPr>
                <w:rFonts w:cs="Arial"/>
                <w:sz w:val="20"/>
                <w:lang w:eastAsia="en-GB"/>
              </w:rPr>
            </w:pPr>
            <w:r w:rsidRPr="00C36DAF">
              <w:rPr>
                <w:rFonts w:cs="Arial"/>
                <w:sz w:val="20"/>
                <w:lang w:eastAsia="en-GB"/>
              </w:rPr>
              <w:t>DE</w:t>
            </w:r>
          </w:p>
        </w:tc>
        <w:tc>
          <w:tcPr>
            <w:tcW w:w="2268" w:type="dxa"/>
            <w:tcMar>
              <w:top w:w="0" w:type="dxa"/>
              <w:left w:w="40" w:type="dxa"/>
              <w:bottom w:w="0" w:type="dxa"/>
              <w:right w:w="40" w:type="dxa"/>
            </w:tcMar>
            <w:vAlign w:val="center"/>
          </w:tcPr>
          <w:p w:rsidR="008544A4" w:rsidRPr="00C36DAF" w:rsidRDefault="008544A4" w:rsidP="008544A4">
            <w:pPr>
              <w:spacing w:before="0" w:line="240" w:lineRule="auto"/>
              <w:jc w:val="left"/>
              <w:rPr>
                <w:rFonts w:cs="Arial"/>
                <w:sz w:val="20"/>
                <w:lang w:eastAsia="en-GB"/>
              </w:rPr>
            </w:pPr>
            <w:r w:rsidRPr="00C36DAF">
              <w:rPr>
                <w:rFonts w:cs="Arial"/>
                <w:sz w:val="20"/>
                <w:lang w:eastAsia="en-GB"/>
              </w:rPr>
              <w:t>Sabine Weck</w:t>
            </w:r>
          </w:p>
        </w:tc>
      </w:tr>
      <w:tr w:rsidR="008544A4" w:rsidRPr="00C36DAF" w:rsidTr="008544A4">
        <w:trPr>
          <w:trHeight w:val="285"/>
        </w:trPr>
        <w:tc>
          <w:tcPr>
            <w:tcW w:w="539" w:type="dxa"/>
            <w:shd w:val="clear" w:color="auto" w:fill="auto"/>
            <w:tcMar>
              <w:top w:w="0" w:type="dxa"/>
              <w:left w:w="40" w:type="dxa"/>
              <w:bottom w:w="0" w:type="dxa"/>
              <w:right w:w="40" w:type="dxa"/>
            </w:tcMar>
            <w:vAlign w:val="center"/>
          </w:tcPr>
          <w:p w:rsidR="008544A4" w:rsidRPr="00C36DAF" w:rsidRDefault="008544A4" w:rsidP="008544A4">
            <w:pPr>
              <w:spacing w:before="0" w:line="240" w:lineRule="auto"/>
              <w:jc w:val="center"/>
              <w:rPr>
                <w:rFonts w:cs="Arial"/>
                <w:color w:val="000000"/>
                <w:sz w:val="20"/>
                <w:lang w:eastAsia="en-GB"/>
              </w:rPr>
            </w:pPr>
            <w:r w:rsidRPr="00C36DAF">
              <w:rPr>
                <w:rFonts w:cs="Arial"/>
                <w:color w:val="000000"/>
                <w:sz w:val="20"/>
                <w:lang w:eastAsia="en-GB"/>
              </w:rPr>
              <w:t>6</w:t>
            </w:r>
          </w:p>
        </w:tc>
        <w:tc>
          <w:tcPr>
            <w:tcW w:w="5635" w:type="dxa"/>
            <w:shd w:val="clear" w:color="auto" w:fill="auto"/>
            <w:tcMar>
              <w:top w:w="0" w:type="dxa"/>
              <w:left w:w="40" w:type="dxa"/>
              <w:bottom w:w="0" w:type="dxa"/>
              <w:right w:w="40" w:type="dxa"/>
            </w:tcMar>
            <w:vAlign w:val="center"/>
          </w:tcPr>
          <w:p w:rsidR="008544A4" w:rsidRPr="00C36DAF" w:rsidRDefault="008544A4" w:rsidP="008544A4">
            <w:pPr>
              <w:spacing w:before="0" w:line="240" w:lineRule="auto"/>
              <w:jc w:val="left"/>
              <w:rPr>
                <w:rFonts w:cs="Arial"/>
                <w:color w:val="000000"/>
                <w:sz w:val="20"/>
                <w:lang w:eastAsia="en-GB"/>
              </w:rPr>
            </w:pPr>
            <w:r w:rsidRPr="00C36DAF">
              <w:rPr>
                <w:rFonts w:cs="Arial"/>
                <w:color w:val="000000"/>
                <w:sz w:val="20"/>
                <w:lang w:eastAsia="en-GB"/>
              </w:rPr>
              <w:t xml:space="preserve">EKKE - </w:t>
            </w:r>
            <w:r w:rsidRPr="00C36DAF">
              <w:rPr>
                <w:rFonts w:cs="Arial"/>
                <w:sz w:val="20"/>
              </w:rPr>
              <w:t>National Centre for Social Research</w:t>
            </w:r>
          </w:p>
        </w:tc>
        <w:tc>
          <w:tcPr>
            <w:tcW w:w="567" w:type="dxa"/>
            <w:shd w:val="clear" w:color="auto" w:fill="auto"/>
            <w:noWrap/>
            <w:tcMar>
              <w:top w:w="0" w:type="dxa"/>
              <w:left w:w="40" w:type="dxa"/>
              <w:bottom w:w="0" w:type="dxa"/>
              <w:right w:w="40" w:type="dxa"/>
            </w:tcMar>
            <w:vAlign w:val="center"/>
          </w:tcPr>
          <w:p w:rsidR="008544A4" w:rsidRPr="00C36DAF" w:rsidRDefault="008544A4" w:rsidP="008544A4">
            <w:pPr>
              <w:spacing w:before="0" w:line="240" w:lineRule="auto"/>
              <w:jc w:val="left"/>
              <w:rPr>
                <w:rFonts w:cs="Arial"/>
                <w:sz w:val="20"/>
                <w:lang w:eastAsia="en-GB"/>
              </w:rPr>
            </w:pPr>
            <w:r w:rsidRPr="00C36DAF">
              <w:rPr>
                <w:rFonts w:cs="Arial"/>
                <w:sz w:val="20"/>
                <w:lang w:eastAsia="en-GB"/>
              </w:rPr>
              <w:t>EL</w:t>
            </w:r>
          </w:p>
        </w:tc>
        <w:tc>
          <w:tcPr>
            <w:tcW w:w="2268" w:type="dxa"/>
            <w:tcMar>
              <w:top w:w="0" w:type="dxa"/>
              <w:left w:w="40" w:type="dxa"/>
              <w:bottom w:w="0" w:type="dxa"/>
              <w:right w:w="40" w:type="dxa"/>
            </w:tcMar>
            <w:vAlign w:val="center"/>
          </w:tcPr>
          <w:p w:rsidR="008544A4" w:rsidRPr="00C36DAF" w:rsidRDefault="008544A4" w:rsidP="008544A4">
            <w:pPr>
              <w:spacing w:before="0" w:line="240" w:lineRule="auto"/>
              <w:jc w:val="left"/>
              <w:rPr>
                <w:rFonts w:cs="Arial"/>
                <w:sz w:val="20"/>
                <w:lang w:eastAsia="en-GB"/>
              </w:rPr>
            </w:pPr>
            <w:r w:rsidRPr="00C36DAF">
              <w:rPr>
                <w:rFonts w:cs="Arial"/>
                <w:sz w:val="20"/>
                <w:lang w:eastAsia="en-GB"/>
              </w:rPr>
              <w:t>Thomas Maloutas</w:t>
            </w:r>
          </w:p>
        </w:tc>
      </w:tr>
      <w:tr w:rsidR="008544A4" w:rsidRPr="00C36DAF" w:rsidTr="008544A4">
        <w:trPr>
          <w:trHeight w:val="285"/>
        </w:trPr>
        <w:tc>
          <w:tcPr>
            <w:tcW w:w="539" w:type="dxa"/>
            <w:shd w:val="clear" w:color="auto" w:fill="auto"/>
            <w:tcMar>
              <w:top w:w="0" w:type="dxa"/>
              <w:left w:w="40" w:type="dxa"/>
              <w:bottom w:w="0" w:type="dxa"/>
              <w:right w:w="40" w:type="dxa"/>
            </w:tcMar>
            <w:vAlign w:val="center"/>
          </w:tcPr>
          <w:p w:rsidR="008544A4" w:rsidRPr="00C36DAF" w:rsidRDefault="008544A4" w:rsidP="008544A4">
            <w:pPr>
              <w:spacing w:before="0" w:line="240" w:lineRule="auto"/>
              <w:jc w:val="center"/>
              <w:rPr>
                <w:rFonts w:cs="Arial"/>
                <w:color w:val="000000"/>
                <w:sz w:val="20"/>
                <w:lang w:eastAsia="en-GB"/>
              </w:rPr>
            </w:pPr>
            <w:r>
              <w:rPr>
                <w:rFonts w:cs="Arial"/>
                <w:color w:val="000000"/>
                <w:sz w:val="20"/>
                <w:lang w:eastAsia="en-GB"/>
              </w:rPr>
              <w:t>7</w:t>
            </w:r>
          </w:p>
        </w:tc>
        <w:tc>
          <w:tcPr>
            <w:tcW w:w="5635" w:type="dxa"/>
            <w:shd w:val="clear" w:color="auto" w:fill="auto"/>
            <w:tcMar>
              <w:top w:w="0" w:type="dxa"/>
              <w:left w:w="40" w:type="dxa"/>
              <w:bottom w:w="0" w:type="dxa"/>
              <w:right w:w="40" w:type="dxa"/>
            </w:tcMar>
            <w:vAlign w:val="center"/>
          </w:tcPr>
          <w:p w:rsidR="008544A4" w:rsidRPr="00C36DAF" w:rsidRDefault="008544A4" w:rsidP="008544A4">
            <w:pPr>
              <w:spacing w:before="0" w:line="240" w:lineRule="auto"/>
              <w:jc w:val="left"/>
              <w:rPr>
                <w:rFonts w:cs="Arial"/>
                <w:color w:val="000000"/>
                <w:sz w:val="20"/>
                <w:lang w:eastAsia="en-GB"/>
              </w:rPr>
            </w:pPr>
            <w:r>
              <w:rPr>
                <w:rFonts w:cs="Arial"/>
                <w:color w:val="000000"/>
                <w:sz w:val="20"/>
                <w:lang w:eastAsia="en-GB"/>
              </w:rPr>
              <w:t>JHI – The James Hutton Institute</w:t>
            </w:r>
          </w:p>
        </w:tc>
        <w:tc>
          <w:tcPr>
            <w:tcW w:w="567" w:type="dxa"/>
            <w:shd w:val="clear" w:color="auto" w:fill="auto"/>
            <w:noWrap/>
            <w:tcMar>
              <w:top w:w="0" w:type="dxa"/>
              <w:left w:w="40" w:type="dxa"/>
              <w:bottom w:w="0" w:type="dxa"/>
              <w:right w:w="40" w:type="dxa"/>
            </w:tcMar>
            <w:vAlign w:val="center"/>
          </w:tcPr>
          <w:p w:rsidR="008544A4" w:rsidRPr="00C36DAF" w:rsidRDefault="008544A4" w:rsidP="008544A4">
            <w:pPr>
              <w:spacing w:before="0" w:line="240" w:lineRule="auto"/>
              <w:jc w:val="left"/>
              <w:rPr>
                <w:rFonts w:cs="Arial"/>
                <w:sz w:val="20"/>
                <w:lang w:eastAsia="en-GB"/>
              </w:rPr>
            </w:pPr>
            <w:r>
              <w:rPr>
                <w:rFonts w:cs="Arial"/>
                <w:sz w:val="20"/>
                <w:lang w:eastAsia="en-GB"/>
              </w:rPr>
              <w:t>UK</w:t>
            </w:r>
          </w:p>
        </w:tc>
        <w:tc>
          <w:tcPr>
            <w:tcW w:w="2268" w:type="dxa"/>
            <w:tcMar>
              <w:top w:w="0" w:type="dxa"/>
              <w:left w:w="40" w:type="dxa"/>
              <w:bottom w:w="0" w:type="dxa"/>
              <w:right w:w="40" w:type="dxa"/>
            </w:tcMar>
            <w:vAlign w:val="center"/>
          </w:tcPr>
          <w:p w:rsidR="008544A4" w:rsidRPr="00C36DAF" w:rsidRDefault="008544A4" w:rsidP="008544A4">
            <w:pPr>
              <w:spacing w:before="0" w:line="240" w:lineRule="auto"/>
              <w:jc w:val="left"/>
              <w:rPr>
                <w:rFonts w:cs="Arial"/>
                <w:sz w:val="20"/>
                <w:lang w:eastAsia="en-GB"/>
              </w:rPr>
            </w:pPr>
            <w:r w:rsidRPr="00C36DAF">
              <w:rPr>
                <w:rFonts w:cs="Arial"/>
                <w:bCs/>
                <w:sz w:val="20"/>
                <w:lang w:eastAsia="en-GB"/>
              </w:rPr>
              <w:t>Andrew Copus</w:t>
            </w:r>
          </w:p>
        </w:tc>
      </w:tr>
    </w:tbl>
    <w:p w:rsidR="008544A4" w:rsidRDefault="008544A4" w:rsidP="005703AA">
      <w:pPr>
        <w:pStyle w:val="ESPONText"/>
        <w:spacing w:after="0"/>
      </w:pPr>
    </w:p>
    <w:p w:rsidR="008544A4" w:rsidRPr="00C36DAF" w:rsidRDefault="008544A4" w:rsidP="005703AA">
      <w:pPr>
        <w:pStyle w:val="ESPONText"/>
        <w:spacing w:after="0"/>
        <w:sectPr w:rsidR="008544A4" w:rsidRPr="00C36DAF" w:rsidSect="008544A4">
          <w:type w:val="continuous"/>
          <w:pgSz w:w="11906" w:h="16838"/>
          <w:pgMar w:top="1644" w:right="851" w:bottom="1644" w:left="1701" w:header="720" w:footer="720" w:gutter="0"/>
          <w:pgNumType w:fmt="lowerRoman" w:start="1"/>
          <w:cols w:space="720"/>
        </w:sectPr>
      </w:pPr>
    </w:p>
    <w:p w:rsidR="00D95FA4" w:rsidRPr="00C36DAF" w:rsidRDefault="00C82741" w:rsidP="000775D8">
      <w:pPr>
        <w:pStyle w:val="ESPONSubtitle"/>
        <w:jc w:val="center"/>
      </w:pPr>
      <w:r w:rsidRPr="00C36DAF">
        <w:lastRenderedPageBreak/>
        <w:t>CONTENTS</w:t>
      </w:r>
    </w:p>
    <w:p w:rsidR="00492FC4" w:rsidRDefault="000D4AAA">
      <w:pPr>
        <w:pStyle w:val="Sisluet1"/>
        <w:rPr>
          <w:rFonts w:asciiTheme="minorHAnsi" w:eastAsiaTheme="minorEastAsia" w:hAnsiTheme="minorHAnsi" w:cstheme="minorBidi"/>
          <w:szCs w:val="22"/>
          <w:lang w:eastAsia="en-GB"/>
        </w:rPr>
      </w:pPr>
      <w:r>
        <w:rPr>
          <w:szCs w:val="22"/>
        </w:rPr>
        <w:fldChar w:fldCharType="begin"/>
      </w:r>
      <w:r>
        <w:rPr>
          <w:szCs w:val="22"/>
        </w:rPr>
        <w:instrText xml:space="preserve"> TOC \o "1-2" \h \z \u </w:instrText>
      </w:r>
      <w:r>
        <w:rPr>
          <w:szCs w:val="22"/>
        </w:rPr>
        <w:fldChar w:fldCharType="separate"/>
      </w:r>
      <w:hyperlink w:anchor="_Toc393812330" w:history="1">
        <w:r w:rsidR="00492FC4" w:rsidRPr="00557894">
          <w:rPr>
            <w:rStyle w:val="Hyperlinkki"/>
          </w:rPr>
          <w:t>1</w:t>
        </w:r>
        <w:r w:rsidR="00492FC4">
          <w:rPr>
            <w:rFonts w:asciiTheme="minorHAnsi" w:eastAsiaTheme="minorEastAsia" w:hAnsiTheme="minorHAnsi" w:cstheme="minorBidi"/>
            <w:szCs w:val="22"/>
            <w:lang w:eastAsia="en-GB"/>
          </w:rPr>
          <w:tab/>
        </w:r>
        <w:r w:rsidR="00492FC4" w:rsidRPr="00557894">
          <w:rPr>
            <w:rStyle w:val="Hyperlinkki"/>
          </w:rPr>
          <w:t>Introduction and Background</w:t>
        </w:r>
        <w:r w:rsidR="00492FC4">
          <w:rPr>
            <w:webHidden/>
          </w:rPr>
          <w:tab/>
        </w:r>
        <w:r w:rsidR="00492FC4">
          <w:rPr>
            <w:webHidden/>
          </w:rPr>
          <w:fldChar w:fldCharType="begin"/>
        </w:r>
        <w:r w:rsidR="00492FC4">
          <w:rPr>
            <w:webHidden/>
          </w:rPr>
          <w:instrText xml:space="preserve"> PAGEREF _Toc393812330 \h </w:instrText>
        </w:r>
        <w:r w:rsidR="00492FC4">
          <w:rPr>
            <w:webHidden/>
          </w:rPr>
        </w:r>
        <w:r w:rsidR="00492FC4">
          <w:rPr>
            <w:webHidden/>
          </w:rPr>
          <w:fldChar w:fldCharType="separate"/>
        </w:r>
        <w:r w:rsidR="00492FC4">
          <w:rPr>
            <w:webHidden/>
          </w:rPr>
          <w:t>1</w:t>
        </w:r>
        <w:r w:rsidR="00492FC4">
          <w:rPr>
            <w:webHidden/>
          </w:rPr>
          <w:fldChar w:fldCharType="end"/>
        </w:r>
      </w:hyperlink>
    </w:p>
    <w:p w:rsidR="00492FC4" w:rsidRDefault="00630F69">
      <w:pPr>
        <w:pStyle w:val="Sisluet1"/>
        <w:rPr>
          <w:rFonts w:asciiTheme="minorHAnsi" w:eastAsiaTheme="minorEastAsia" w:hAnsiTheme="minorHAnsi" w:cstheme="minorBidi"/>
          <w:szCs w:val="22"/>
          <w:lang w:eastAsia="en-GB"/>
        </w:rPr>
      </w:pPr>
      <w:hyperlink w:anchor="_Toc393812331" w:history="1">
        <w:r w:rsidR="00492FC4" w:rsidRPr="00557894">
          <w:rPr>
            <w:rStyle w:val="Hyperlinkki"/>
          </w:rPr>
          <w:t>2</w:t>
        </w:r>
        <w:r w:rsidR="00492FC4">
          <w:rPr>
            <w:rFonts w:asciiTheme="minorHAnsi" w:eastAsiaTheme="minorEastAsia" w:hAnsiTheme="minorHAnsi" w:cstheme="minorBidi"/>
            <w:szCs w:val="22"/>
            <w:lang w:eastAsia="en-GB"/>
          </w:rPr>
          <w:tab/>
        </w:r>
        <w:r w:rsidR="00492FC4" w:rsidRPr="00557894">
          <w:rPr>
            <w:rStyle w:val="Hyperlinkki"/>
          </w:rPr>
          <w:t>Data Challenges</w:t>
        </w:r>
        <w:r w:rsidR="00492FC4">
          <w:rPr>
            <w:webHidden/>
          </w:rPr>
          <w:tab/>
        </w:r>
        <w:r w:rsidR="00492FC4">
          <w:rPr>
            <w:webHidden/>
          </w:rPr>
          <w:fldChar w:fldCharType="begin"/>
        </w:r>
        <w:r w:rsidR="00492FC4">
          <w:rPr>
            <w:webHidden/>
          </w:rPr>
          <w:instrText xml:space="preserve"> PAGEREF _Toc393812331 \h </w:instrText>
        </w:r>
        <w:r w:rsidR="00492FC4">
          <w:rPr>
            <w:webHidden/>
          </w:rPr>
        </w:r>
        <w:r w:rsidR="00492FC4">
          <w:rPr>
            <w:webHidden/>
          </w:rPr>
          <w:fldChar w:fldCharType="separate"/>
        </w:r>
        <w:r w:rsidR="00492FC4">
          <w:rPr>
            <w:webHidden/>
          </w:rPr>
          <w:t>3</w:t>
        </w:r>
        <w:r w:rsidR="00492FC4">
          <w:rPr>
            <w:webHidden/>
          </w:rPr>
          <w:fldChar w:fldCharType="end"/>
        </w:r>
      </w:hyperlink>
    </w:p>
    <w:p w:rsidR="00492FC4" w:rsidRDefault="00630F69">
      <w:pPr>
        <w:pStyle w:val="Sisluet2"/>
        <w:rPr>
          <w:rFonts w:asciiTheme="minorHAnsi" w:eastAsiaTheme="minorEastAsia" w:hAnsiTheme="minorHAnsi" w:cstheme="minorBidi"/>
          <w:noProof/>
          <w:szCs w:val="22"/>
          <w:lang w:eastAsia="en-GB"/>
        </w:rPr>
      </w:pPr>
      <w:hyperlink w:anchor="_Toc393812332" w:history="1">
        <w:r w:rsidR="00492FC4" w:rsidRPr="00557894">
          <w:rPr>
            <w:rStyle w:val="Hyperlinkki"/>
            <w:noProof/>
          </w:rPr>
          <w:t>2.1</w:t>
        </w:r>
        <w:r w:rsidR="00492FC4">
          <w:rPr>
            <w:rFonts w:asciiTheme="minorHAnsi" w:eastAsiaTheme="minorEastAsia" w:hAnsiTheme="minorHAnsi" w:cstheme="minorBidi"/>
            <w:noProof/>
            <w:szCs w:val="22"/>
            <w:lang w:eastAsia="en-GB"/>
          </w:rPr>
          <w:tab/>
        </w:r>
        <w:r w:rsidR="00492FC4" w:rsidRPr="00557894">
          <w:rPr>
            <w:rStyle w:val="Hyperlinkki"/>
            <w:noProof/>
          </w:rPr>
          <w:t>Data availability and choice of methodology</w:t>
        </w:r>
        <w:r w:rsidR="00492FC4">
          <w:rPr>
            <w:noProof/>
            <w:webHidden/>
          </w:rPr>
          <w:tab/>
        </w:r>
        <w:r w:rsidR="00492FC4">
          <w:rPr>
            <w:noProof/>
            <w:webHidden/>
          </w:rPr>
          <w:fldChar w:fldCharType="begin"/>
        </w:r>
        <w:r w:rsidR="00492FC4">
          <w:rPr>
            <w:noProof/>
            <w:webHidden/>
          </w:rPr>
          <w:instrText xml:space="preserve"> PAGEREF _Toc393812332 \h </w:instrText>
        </w:r>
        <w:r w:rsidR="00492FC4">
          <w:rPr>
            <w:noProof/>
            <w:webHidden/>
          </w:rPr>
        </w:r>
        <w:r w:rsidR="00492FC4">
          <w:rPr>
            <w:noProof/>
            <w:webHidden/>
          </w:rPr>
          <w:fldChar w:fldCharType="separate"/>
        </w:r>
        <w:r w:rsidR="00492FC4">
          <w:rPr>
            <w:noProof/>
            <w:webHidden/>
          </w:rPr>
          <w:t>3</w:t>
        </w:r>
        <w:r w:rsidR="00492FC4">
          <w:rPr>
            <w:noProof/>
            <w:webHidden/>
          </w:rPr>
          <w:fldChar w:fldCharType="end"/>
        </w:r>
      </w:hyperlink>
    </w:p>
    <w:p w:rsidR="00492FC4" w:rsidRDefault="00630F69">
      <w:pPr>
        <w:pStyle w:val="Sisluet2"/>
        <w:rPr>
          <w:rFonts w:asciiTheme="minorHAnsi" w:eastAsiaTheme="minorEastAsia" w:hAnsiTheme="minorHAnsi" w:cstheme="minorBidi"/>
          <w:noProof/>
          <w:szCs w:val="22"/>
          <w:lang w:eastAsia="en-GB"/>
        </w:rPr>
      </w:pPr>
      <w:hyperlink w:anchor="_Toc393812333" w:history="1">
        <w:r w:rsidR="00492FC4" w:rsidRPr="00557894">
          <w:rPr>
            <w:rStyle w:val="Hyperlinkki"/>
            <w:noProof/>
          </w:rPr>
          <w:t>2.2</w:t>
        </w:r>
        <w:r w:rsidR="00492FC4">
          <w:rPr>
            <w:rFonts w:asciiTheme="minorHAnsi" w:eastAsiaTheme="minorEastAsia" w:hAnsiTheme="minorHAnsi" w:cstheme="minorBidi"/>
            <w:noProof/>
            <w:szCs w:val="22"/>
            <w:lang w:eastAsia="en-GB"/>
          </w:rPr>
          <w:tab/>
        </w:r>
        <w:r w:rsidR="00492FC4" w:rsidRPr="00557894">
          <w:rPr>
            <w:rStyle w:val="Hyperlinkki"/>
            <w:noProof/>
          </w:rPr>
          <w:t>Overview of methodologies</w:t>
        </w:r>
        <w:r w:rsidR="00492FC4">
          <w:rPr>
            <w:noProof/>
            <w:webHidden/>
          </w:rPr>
          <w:tab/>
        </w:r>
        <w:r w:rsidR="00492FC4">
          <w:rPr>
            <w:noProof/>
            <w:webHidden/>
          </w:rPr>
          <w:fldChar w:fldCharType="begin"/>
        </w:r>
        <w:r w:rsidR="00492FC4">
          <w:rPr>
            <w:noProof/>
            <w:webHidden/>
          </w:rPr>
          <w:instrText xml:space="preserve"> PAGEREF _Toc393812333 \h </w:instrText>
        </w:r>
        <w:r w:rsidR="00492FC4">
          <w:rPr>
            <w:noProof/>
            <w:webHidden/>
          </w:rPr>
        </w:r>
        <w:r w:rsidR="00492FC4">
          <w:rPr>
            <w:noProof/>
            <w:webHidden/>
          </w:rPr>
          <w:fldChar w:fldCharType="separate"/>
        </w:r>
        <w:r w:rsidR="00492FC4">
          <w:rPr>
            <w:noProof/>
            <w:webHidden/>
          </w:rPr>
          <w:t>4</w:t>
        </w:r>
        <w:r w:rsidR="00492FC4">
          <w:rPr>
            <w:noProof/>
            <w:webHidden/>
          </w:rPr>
          <w:fldChar w:fldCharType="end"/>
        </w:r>
      </w:hyperlink>
    </w:p>
    <w:p w:rsidR="00492FC4" w:rsidRDefault="00630F69">
      <w:pPr>
        <w:pStyle w:val="Sisluet2"/>
        <w:rPr>
          <w:rFonts w:asciiTheme="minorHAnsi" w:eastAsiaTheme="minorEastAsia" w:hAnsiTheme="minorHAnsi" w:cstheme="minorBidi"/>
          <w:noProof/>
          <w:szCs w:val="22"/>
          <w:lang w:eastAsia="en-GB"/>
        </w:rPr>
      </w:pPr>
      <w:hyperlink w:anchor="_Toc393812334" w:history="1">
        <w:r w:rsidR="00492FC4" w:rsidRPr="00557894">
          <w:rPr>
            <w:rStyle w:val="Hyperlinkki"/>
            <w:noProof/>
          </w:rPr>
          <w:t>2.3</w:t>
        </w:r>
        <w:r w:rsidR="00492FC4">
          <w:rPr>
            <w:rFonts w:asciiTheme="minorHAnsi" w:eastAsiaTheme="minorEastAsia" w:hAnsiTheme="minorHAnsi" w:cstheme="minorBidi"/>
            <w:noProof/>
            <w:szCs w:val="22"/>
            <w:lang w:eastAsia="en-GB"/>
          </w:rPr>
          <w:tab/>
        </w:r>
        <w:r w:rsidR="00492FC4" w:rsidRPr="00557894">
          <w:rPr>
            <w:rStyle w:val="Hyperlinkki"/>
            <w:noProof/>
          </w:rPr>
          <w:t>Countries with data available for at-risk-of-poverty rates</w:t>
        </w:r>
        <w:r w:rsidR="00492FC4">
          <w:rPr>
            <w:noProof/>
            <w:webHidden/>
          </w:rPr>
          <w:tab/>
        </w:r>
        <w:r w:rsidR="00492FC4">
          <w:rPr>
            <w:noProof/>
            <w:webHidden/>
          </w:rPr>
          <w:fldChar w:fldCharType="begin"/>
        </w:r>
        <w:r w:rsidR="00492FC4">
          <w:rPr>
            <w:noProof/>
            <w:webHidden/>
          </w:rPr>
          <w:instrText xml:space="preserve"> PAGEREF _Toc393812334 \h </w:instrText>
        </w:r>
        <w:r w:rsidR="00492FC4">
          <w:rPr>
            <w:noProof/>
            <w:webHidden/>
          </w:rPr>
        </w:r>
        <w:r w:rsidR="00492FC4">
          <w:rPr>
            <w:noProof/>
            <w:webHidden/>
          </w:rPr>
          <w:fldChar w:fldCharType="separate"/>
        </w:r>
        <w:r w:rsidR="00492FC4">
          <w:rPr>
            <w:noProof/>
            <w:webHidden/>
          </w:rPr>
          <w:t>7</w:t>
        </w:r>
        <w:r w:rsidR="00492FC4">
          <w:rPr>
            <w:noProof/>
            <w:webHidden/>
          </w:rPr>
          <w:fldChar w:fldCharType="end"/>
        </w:r>
      </w:hyperlink>
    </w:p>
    <w:p w:rsidR="00492FC4" w:rsidRDefault="00630F69">
      <w:pPr>
        <w:pStyle w:val="Sisluet1"/>
        <w:rPr>
          <w:rFonts w:asciiTheme="minorHAnsi" w:eastAsiaTheme="minorEastAsia" w:hAnsiTheme="minorHAnsi" w:cstheme="minorBidi"/>
          <w:szCs w:val="22"/>
          <w:lang w:eastAsia="en-GB"/>
        </w:rPr>
      </w:pPr>
      <w:hyperlink w:anchor="_Toc393812335" w:history="1">
        <w:r w:rsidR="00492FC4" w:rsidRPr="00557894">
          <w:rPr>
            <w:rStyle w:val="Hyperlinkki"/>
          </w:rPr>
          <w:t>3</w:t>
        </w:r>
        <w:r w:rsidR="00492FC4">
          <w:rPr>
            <w:rFonts w:asciiTheme="minorHAnsi" w:eastAsiaTheme="minorEastAsia" w:hAnsiTheme="minorHAnsi" w:cstheme="minorBidi"/>
            <w:szCs w:val="22"/>
            <w:lang w:eastAsia="en-GB"/>
          </w:rPr>
          <w:tab/>
        </w:r>
        <w:r w:rsidR="00492FC4" w:rsidRPr="00557894">
          <w:rPr>
            <w:rStyle w:val="Hyperlinkki"/>
          </w:rPr>
          <w:t>Poverty Mapping using Register-Based Data</w:t>
        </w:r>
        <w:r w:rsidR="00492FC4">
          <w:rPr>
            <w:webHidden/>
          </w:rPr>
          <w:tab/>
        </w:r>
        <w:r w:rsidR="00492FC4">
          <w:rPr>
            <w:webHidden/>
          </w:rPr>
          <w:fldChar w:fldCharType="begin"/>
        </w:r>
        <w:r w:rsidR="00492FC4">
          <w:rPr>
            <w:webHidden/>
          </w:rPr>
          <w:instrText xml:space="preserve"> PAGEREF _Toc393812335 \h </w:instrText>
        </w:r>
        <w:r w:rsidR="00492FC4">
          <w:rPr>
            <w:webHidden/>
          </w:rPr>
        </w:r>
        <w:r w:rsidR="00492FC4">
          <w:rPr>
            <w:webHidden/>
          </w:rPr>
          <w:fldChar w:fldCharType="separate"/>
        </w:r>
        <w:r w:rsidR="00492FC4">
          <w:rPr>
            <w:webHidden/>
          </w:rPr>
          <w:t>11</w:t>
        </w:r>
        <w:r w:rsidR="00492FC4">
          <w:rPr>
            <w:webHidden/>
          </w:rPr>
          <w:fldChar w:fldCharType="end"/>
        </w:r>
      </w:hyperlink>
    </w:p>
    <w:p w:rsidR="00492FC4" w:rsidRDefault="00630F69">
      <w:pPr>
        <w:pStyle w:val="Sisluet1"/>
        <w:rPr>
          <w:rFonts w:asciiTheme="minorHAnsi" w:eastAsiaTheme="minorEastAsia" w:hAnsiTheme="minorHAnsi" w:cstheme="minorBidi"/>
          <w:szCs w:val="22"/>
          <w:lang w:eastAsia="en-GB"/>
        </w:rPr>
      </w:pPr>
      <w:hyperlink w:anchor="_Toc393812336" w:history="1">
        <w:r w:rsidR="00492FC4" w:rsidRPr="00557894">
          <w:rPr>
            <w:rStyle w:val="Hyperlinkki"/>
          </w:rPr>
          <w:t>4</w:t>
        </w:r>
        <w:r w:rsidR="00492FC4">
          <w:rPr>
            <w:rFonts w:asciiTheme="minorHAnsi" w:eastAsiaTheme="minorEastAsia" w:hAnsiTheme="minorHAnsi" w:cstheme="minorBidi"/>
            <w:szCs w:val="22"/>
            <w:lang w:eastAsia="en-GB"/>
          </w:rPr>
          <w:tab/>
        </w:r>
        <w:r w:rsidR="00492FC4" w:rsidRPr="00557894">
          <w:rPr>
            <w:rStyle w:val="Hyperlinkki"/>
          </w:rPr>
          <w:t>Implementation of WB PovMap</w:t>
        </w:r>
        <w:r w:rsidR="00492FC4">
          <w:rPr>
            <w:webHidden/>
          </w:rPr>
          <w:tab/>
        </w:r>
        <w:r w:rsidR="00492FC4">
          <w:rPr>
            <w:webHidden/>
          </w:rPr>
          <w:fldChar w:fldCharType="begin"/>
        </w:r>
        <w:r w:rsidR="00492FC4">
          <w:rPr>
            <w:webHidden/>
          </w:rPr>
          <w:instrText xml:space="preserve"> PAGEREF _Toc393812336 \h </w:instrText>
        </w:r>
        <w:r w:rsidR="00492FC4">
          <w:rPr>
            <w:webHidden/>
          </w:rPr>
        </w:r>
        <w:r w:rsidR="00492FC4">
          <w:rPr>
            <w:webHidden/>
          </w:rPr>
          <w:fldChar w:fldCharType="separate"/>
        </w:r>
        <w:r w:rsidR="00492FC4">
          <w:rPr>
            <w:webHidden/>
          </w:rPr>
          <w:t>15</w:t>
        </w:r>
        <w:r w:rsidR="00492FC4">
          <w:rPr>
            <w:webHidden/>
          </w:rPr>
          <w:fldChar w:fldCharType="end"/>
        </w:r>
      </w:hyperlink>
    </w:p>
    <w:p w:rsidR="00492FC4" w:rsidRDefault="00630F69">
      <w:pPr>
        <w:pStyle w:val="Sisluet2"/>
        <w:rPr>
          <w:rFonts w:asciiTheme="minorHAnsi" w:eastAsiaTheme="minorEastAsia" w:hAnsiTheme="minorHAnsi" w:cstheme="minorBidi"/>
          <w:noProof/>
          <w:szCs w:val="22"/>
          <w:lang w:eastAsia="en-GB"/>
        </w:rPr>
      </w:pPr>
      <w:hyperlink w:anchor="_Toc393812337" w:history="1">
        <w:r w:rsidR="00492FC4" w:rsidRPr="00557894">
          <w:rPr>
            <w:rStyle w:val="Hyperlinkki"/>
            <w:noProof/>
          </w:rPr>
          <w:t>4.1</w:t>
        </w:r>
        <w:r w:rsidR="00492FC4">
          <w:rPr>
            <w:rFonts w:asciiTheme="minorHAnsi" w:eastAsiaTheme="minorEastAsia" w:hAnsiTheme="minorHAnsi" w:cstheme="minorBidi"/>
            <w:noProof/>
            <w:szCs w:val="22"/>
            <w:lang w:eastAsia="en-GB"/>
          </w:rPr>
          <w:tab/>
        </w:r>
        <w:r w:rsidR="00492FC4" w:rsidRPr="00557894">
          <w:rPr>
            <w:rStyle w:val="Hyperlinkki"/>
            <w:noProof/>
          </w:rPr>
          <w:t>Overview of WB poverty mapping methodology</w:t>
        </w:r>
        <w:r w:rsidR="00492FC4">
          <w:rPr>
            <w:noProof/>
            <w:webHidden/>
          </w:rPr>
          <w:tab/>
        </w:r>
        <w:r w:rsidR="00492FC4">
          <w:rPr>
            <w:noProof/>
            <w:webHidden/>
          </w:rPr>
          <w:fldChar w:fldCharType="begin"/>
        </w:r>
        <w:r w:rsidR="00492FC4">
          <w:rPr>
            <w:noProof/>
            <w:webHidden/>
          </w:rPr>
          <w:instrText xml:space="preserve"> PAGEREF _Toc393812337 \h </w:instrText>
        </w:r>
        <w:r w:rsidR="00492FC4">
          <w:rPr>
            <w:noProof/>
            <w:webHidden/>
          </w:rPr>
        </w:r>
        <w:r w:rsidR="00492FC4">
          <w:rPr>
            <w:noProof/>
            <w:webHidden/>
          </w:rPr>
          <w:fldChar w:fldCharType="separate"/>
        </w:r>
        <w:r w:rsidR="00492FC4">
          <w:rPr>
            <w:noProof/>
            <w:webHidden/>
          </w:rPr>
          <w:t>15</w:t>
        </w:r>
        <w:r w:rsidR="00492FC4">
          <w:rPr>
            <w:noProof/>
            <w:webHidden/>
          </w:rPr>
          <w:fldChar w:fldCharType="end"/>
        </w:r>
      </w:hyperlink>
    </w:p>
    <w:p w:rsidR="00492FC4" w:rsidRDefault="00630F69">
      <w:pPr>
        <w:pStyle w:val="Sisluet2"/>
        <w:rPr>
          <w:rFonts w:asciiTheme="minorHAnsi" w:eastAsiaTheme="minorEastAsia" w:hAnsiTheme="minorHAnsi" w:cstheme="minorBidi"/>
          <w:noProof/>
          <w:szCs w:val="22"/>
          <w:lang w:eastAsia="en-GB"/>
        </w:rPr>
      </w:pPr>
      <w:hyperlink w:anchor="_Toc393812338" w:history="1">
        <w:r w:rsidR="00492FC4" w:rsidRPr="00557894">
          <w:rPr>
            <w:rStyle w:val="Hyperlinkki"/>
            <w:noProof/>
          </w:rPr>
          <w:t>4.2</w:t>
        </w:r>
        <w:r w:rsidR="00492FC4">
          <w:rPr>
            <w:rFonts w:asciiTheme="minorHAnsi" w:eastAsiaTheme="minorEastAsia" w:hAnsiTheme="minorHAnsi" w:cstheme="minorBidi"/>
            <w:noProof/>
            <w:szCs w:val="22"/>
            <w:lang w:eastAsia="en-GB"/>
          </w:rPr>
          <w:tab/>
        </w:r>
        <w:r w:rsidR="00492FC4" w:rsidRPr="00557894">
          <w:rPr>
            <w:rStyle w:val="Hyperlinkki"/>
            <w:noProof/>
          </w:rPr>
          <w:t>Examples of WB PovMap</w:t>
        </w:r>
        <w:r w:rsidR="00492FC4">
          <w:rPr>
            <w:noProof/>
            <w:webHidden/>
          </w:rPr>
          <w:tab/>
        </w:r>
        <w:r w:rsidR="00492FC4">
          <w:rPr>
            <w:noProof/>
            <w:webHidden/>
          </w:rPr>
          <w:fldChar w:fldCharType="begin"/>
        </w:r>
        <w:r w:rsidR="00492FC4">
          <w:rPr>
            <w:noProof/>
            <w:webHidden/>
          </w:rPr>
          <w:instrText xml:space="preserve"> PAGEREF _Toc393812338 \h </w:instrText>
        </w:r>
        <w:r w:rsidR="00492FC4">
          <w:rPr>
            <w:noProof/>
            <w:webHidden/>
          </w:rPr>
        </w:r>
        <w:r w:rsidR="00492FC4">
          <w:rPr>
            <w:noProof/>
            <w:webHidden/>
          </w:rPr>
          <w:fldChar w:fldCharType="separate"/>
        </w:r>
        <w:r w:rsidR="00492FC4">
          <w:rPr>
            <w:noProof/>
            <w:webHidden/>
          </w:rPr>
          <w:t>16</w:t>
        </w:r>
        <w:r w:rsidR="00492FC4">
          <w:rPr>
            <w:noProof/>
            <w:webHidden/>
          </w:rPr>
          <w:fldChar w:fldCharType="end"/>
        </w:r>
      </w:hyperlink>
    </w:p>
    <w:p w:rsidR="00492FC4" w:rsidRDefault="00630F69">
      <w:pPr>
        <w:pStyle w:val="Sisluet2"/>
        <w:rPr>
          <w:rFonts w:asciiTheme="minorHAnsi" w:eastAsiaTheme="minorEastAsia" w:hAnsiTheme="minorHAnsi" w:cstheme="minorBidi"/>
          <w:noProof/>
          <w:szCs w:val="22"/>
          <w:lang w:eastAsia="en-GB"/>
        </w:rPr>
      </w:pPr>
      <w:hyperlink w:anchor="_Toc393812339" w:history="1">
        <w:r w:rsidR="00492FC4" w:rsidRPr="00557894">
          <w:rPr>
            <w:rStyle w:val="Hyperlinkki"/>
            <w:noProof/>
          </w:rPr>
          <w:t>4.3</w:t>
        </w:r>
        <w:r w:rsidR="00492FC4">
          <w:rPr>
            <w:rFonts w:asciiTheme="minorHAnsi" w:eastAsiaTheme="minorEastAsia" w:hAnsiTheme="minorHAnsi" w:cstheme="minorBidi"/>
            <w:noProof/>
            <w:szCs w:val="22"/>
            <w:lang w:eastAsia="en-GB"/>
          </w:rPr>
          <w:tab/>
        </w:r>
        <w:r w:rsidR="00492FC4" w:rsidRPr="00557894">
          <w:rPr>
            <w:rStyle w:val="Hyperlinkki"/>
            <w:noProof/>
          </w:rPr>
          <w:t>Overview of WB PovMap’s strengths and weaknesses</w:t>
        </w:r>
        <w:r w:rsidR="00492FC4">
          <w:rPr>
            <w:noProof/>
            <w:webHidden/>
          </w:rPr>
          <w:tab/>
        </w:r>
        <w:r w:rsidR="00492FC4">
          <w:rPr>
            <w:noProof/>
            <w:webHidden/>
          </w:rPr>
          <w:fldChar w:fldCharType="begin"/>
        </w:r>
        <w:r w:rsidR="00492FC4">
          <w:rPr>
            <w:noProof/>
            <w:webHidden/>
          </w:rPr>
          <w:instrText xml:space="preserve"> PAGEREF _Toc393812339 \h </w:instrText>
        </w:r>
        <w:r w:rsidR="00492FC4">
          <w:rPr>
            <w:noProof/>
            <w:webHidden/>
          </w:rPr>
        </w:r>
        <w:r w:rsidR="00492FC4">
          <w:rPr>
            <w:noProof/>
            <w:webHidden/>
          </w:rPr>
          <w:fldChar w:fldCharType="separate"/>
        </w:r>
        <w:r w:rsidR="00492FC4">
          <w:rPr>
            <w:noProof/>
            <w:webHidden/>
          </w:rPr>
          <w:t>16</w:t>
        </w:r>
        <w:r w:rsidR="00492FC4">
          <w:rPr>
            <w:noProof/>
            <w:webHidden/>
          </w:rPr>
          <w:fldChar w:fldCharType="end"/>
        </w:r>
      </w:hyperlink>
    </w:p>
    <w:p w:rsidR="00492FC4" w:rsidRDefault="00630F69">
      <w:pPr>
        <w:pStyle w:val="Sisluet2"/>
        <w:rPr>
          <w:rFonts w:asciiTheme="minorHAnsi" w:eastAsiaTheme="minorEastAsia" w:hAnsiTheme="minorHAnsi" w:cstheme="minorBidi"/>
          <w:noProof/>
          <w:szCs w:val="22"/>
          <w:lang w:eastAsia="en-GB"/>
        </w:rPr>
      </w:pPr>
      <w:hyperlink w:anchor="_Toc393812340" w:history="1">
        <w:r w:rsidR="00492FC4" w:rsidRPr="00557894">
          <w:rPr>
            <w:rStyle w:val="Hyperlinkki"/>
            <w:noProof/>
          </w:rPr>
          <w:t>4.4</w:t>
        </w:r>
        <w:r w:rsidR="00492FC4">
          <w:rPr>
            <w:rFonts w:asciiTheme="minorHAnsi" w:eastAsiaTheme="minorEastAsia" w:hAnsiTheme="minorHAnsi" w:cstheme="minorBidi"/>
            <w:noProof/>
            <w:szCs w:val="22"/>
            <w:lang w:eastAsia="en-GB"/>
          </w:rPr>
          <w:tab/>
        </w:r>
        <w:r w:rsidR="00492FC4" w:rsidRPr="00557894">
          <w:rPr>
            <w:rStyle w:val="Hyperlinkki"/>
            <w:noProof/>
          </w:rPr>
          <w:t>Step-by-step implementation of WB PovMap</w:t>
        </w:r>
        <w:r w:rsidR="00492FC4">
          <w:rPr>
            <w:noProof/>
            <w:webHidden/>
          </w:rPr>
          <w:tab/>
        </w:r>
        <w:r w:rsidR="00492FC4">
          <w:rPr>
            <w:noProof/>
            <w:webHidden/>
          </w:rPr>
          <w:fldChar w:fldCharType="begin"/>
        </w:r>
        <w:r w:rsidR="00492FC4">
          <w:rPr>
            <w:noProof/>
            <w:webHidden/>
          </w:rPr>
          <w:instrText xml:space="preserve"> PAGEREF _Toc393812340 \h </w:instrText>
        </w:r>
        <w:r w:rsidR="00492FC4">
          <w:rPr>
            <w:noProof/>
            <w:webHidden/>
          </w:rPr>
        </w:r>
        <w:r w:rsidR="00492FC4">
          <w:rPr>
            <w:noProof/>
            <w:webHidden/>
          </w:rPr>
          <w:fldChar w:fldCharType="separate"/>
        </w:r>
        <w:r w:rsidR="00492FC4">
          <w:rPr>
            <w:noProof/>
            <w:webHidden/>
          </w:rPr>
          <w:t>17</w:t>
        </w:r>
        <w:r w:rsidR="00492FC4">
          <w:rPr>
            <w:noProof/>
            <w:webHidden/>
          </w:rPr>
          <w:fldChar w:fldCharType="end"/>
        </w:r>
      </w:hyperlink>
    </w:p>
    <w:p w:rsidR="00492FC4" w:rsidRDefault="00630F69">
      <w:pPr>
        <w:pStyle w:val="Sisluet2"/>
        <w:rPr>
          <w:rFonts w:asciiTheme="minorHAnsi" w:eastAsiaTheme="minorEastAsia" w:hAnsiTheme="minorHAnsi" w:cstheme="minorBidi"/>
          <w:noProof/>
          <w:szCs w:val="22"/>
          <w:lang w:eastAsia="en-GB"/>
        </w:rPr>
      </w:pPr>
      <w:hyperlink w:anchor="_Toc393812341" w:history="1">
        <w:r w:rsidR="00492FC4" w:rsidRPr="00557894">
          <w:rPr>
            <w:rStyle w:val="Hyperlinkki"/>
            <w:noProof/>
          </w:rPr>
          <w:t>4.5</w:t>
        </w:r>
        <w:r w:rsidR="00492FC4">
          <w:rPr>
            <w:rFonts w:asciiTheme="minorHAnsi" w:eastAsiaTheme="minorEastAsia" w:hAnsiTheme="minorHAnsi" w:cstheme="minorBidi"/>
            <w:noProof/>
            <w:szCs w:val="22"/>
            <w:lang w:eastAsia="en-GB"/>
          </w:rPr>
          <w:tab/>
        </w:r>
        <w:r w:rsidR="00492FC4" w:rsidRPr="00557894">
          <w:rPr>
            <w:rStyle w:val="Hyperlinkki"/>
            <w:noProof/>
          </w:rPr>
          <w:t>At-risk-of-poverty rate maps</w:t>
        </w:r>
        <w:r w:rsidR="00492FC4">
          <w:rPr>
            <w:noProof/>
            <w:webHidden/>
          </w:rPr>
          <w:tab/>
        </w:r>
        <w:r w:rsidR="00492FC4">
          <w:rPr>
            <w:noProof/>
            <w:webHidden/>
          </w:rPr>
          <w:fldChar w:fldCharType="begin"/>
        </w:r>
        <w:r w:rsidR="00492FC4">
          <w:rPr>
            <w:noProof/>
            <w:webHidden/>
          </w:rPr>
          <w:instrText xml:space="preserve"> PAGEREF _Toc393812341 \h </w:instrText>
        </w:r>
        <w:r w:rsidR="00492FC4">
          <w:rPr>
            <w:noProof/>
            <w:webHidden/>
          </w:rPr>
        </w:r>
        <w:r w:rsidR="00492FC4">
          <w:rPr>
            <w:noProof/>
            <w:webHidden/>
          </w:rPr>
          <w:fldChar w:fldCharType="separate"/>
        </w:r>
        <w:r w:rsidR="00492FC4">
          <w:rPr>
            <w:noProof/>
            <w:webHidden/>
          </w:rPr>
          <w:t>25</w:t>
        </w:r>
        <w:r w:rsidR="00492FC4">
          <w:rPr>
            <w:noProof/>
            <w:webHidden/>
          </w:rPr>
          <w:fldChar w:fldCharType="end"/>
        </w:r>
      </w:hyperlink>
    </w:p>
    <w:p w:rsidR="00492FC4" w:rsidRDefault="00630F69">
      <w:pPr>
        <w:pStyle w:val="Sisluet1"/>
        <w:rPr>
          <w:rFonts w:asciiTheme="minorHAnsi" w:eastAsiaTheme="minorEastAsia" w:hAnsiTheme="minorHAnsi" w:cstheme="minorBidi"/>
          <w:szCs w:val="22"/>
          <w:lang w:eastAsia="en-GB"/>
        </w:rPr>
      </w:pPr>
      <w:hyperlink w:anchor="_Toc393812342" w:history="1">
        <w:r w:rsidR="00492FC4" w:rsidRPr="00557894">
          <w:rPr>
            <w:rStyle w:val="Hyperlinkki"/>
          </w:rPr>
          <w:t>5</w:t>
        </w:r>
        <w:r w:rsidR="00492FC4">
          <w:rPr>
            <w:rFonts w:asciiTheme="minorHAnsi" w:eastAsiaTheme="minorEastAsia" w:hAnsiTheme="minorHAnsi" w:cstheme="minorBidi"/>
            <w:szCs w:val="22"/>
            <w:lang w:eastAsia="en-GB"/>
          </w:rPr>
          <w:tab/>
        </w:r>
        <w:r w:rsidR="00492FC4" w:rsidRPr="00557894">
          <w:rPr>
            <w:rStyle w:val="Hyperlinkki"/>
          </w:rPr>
          <w:t>Alternative Approaches: Area Based Models and Direct Apportionment</w:t>
        </w:r>
        <w:r w:rsidR="00492FC4">
          <w:rPr>
            <w:webHidden/>
          </w:rPr>
          <w:tab/>
        </w:r>
        <w:r w:rsidR="00492FC4">
          <w:rPr>
            <w:webHidden/>
          </w:rPr>
          <w:fldChar w:fldCharType="begin"/>
        </w:r>
        <w:r w:rsidR="00492FC4">
          <w:rPr>
            <w:webHidden/>
          </w:rPr>
          <w:instrText xml:space="preserve"> PAGEREF _Toc393812342 \h </w:instrText>
        </w:r>
        <w:r w:rsidR="00492FC4">
          <w:rPr>
            <w:webHidden/>
          </w:rPr>
        </w:r>
        <w:r w:rsidR="00492FC4">
          <w:rPr>
            <w:webHidden/>
          </w:rPr>
          <w:fldChar w:fldCharType="separate"/>
        </w:r>
        <w:r w:rsidR="00492FC4">
          <w:rPr>
            <w:webHidden/>
          </w:rPr>
          <w:t>31</w:t>
        </w:r>
        <w:r w:rsidR="00492FC4">
          <w:rPr>
            <w:webHidden/>
          </w:rPr>
          <w:fldChar w:fldCharType="end"/>
        </w:r>
      </w:hyperlink>
    </w:p>
    <w:p w:rsidR="00492FC4" w:rsidRDefault="00630F69">
      <w:pPr>
        <w:pStyle w:val="Sisluet2"/>
        <w:rPr>
          <w:rFonts w:asciiTheme="minorHAnsi" w:eastAsiaTheme="minorEastAsia" w:hAnsiTheme="minorHAnsi" w:cstheme="minorBidi"/>
          <w:noProof/>
          <w:szCs w:val="22"/>
          <w:lang w:eastAsia="en-GB"/>
        </w:rPr>
      </w:pPr>
      <w:hyperlink w:anchor="_Toc393812343" w:history="1">
        <w:r w:rsidR="00492FC4" w:rsidRPr="00557894">
          <w:rPr>
            <w:rStyle w:val="Hyperlinkki"/>
            <w:noProof/>
          </w:rPr>
          <w:t>5.1</w:t>
        </w:r>
        <w:r w:rsidR="00492FC4">
          <w:rPr>
            <w:rFonts w:asciiTheme="minorHAnsi" w:eastAsiaTheme="minorEastAsia" w:hAnsiTheme="minorHAnsi" w:cstheme="minorBidi"/>
            <w:noProof/>
            <w:szCs w:val="22"/>
            <w:lang w:eastAsia="en-GB"/>
          </w:rPr>
          <w:tab/>
        </w:r>
        <w:r w:rsidR="00492FC4" w:rsidRPr="00557894">
          <w:rPr>
            <w:rStyle w:val="Hyperlinkki"/>
            <w:noProof/>
          </w:rPr>
          <w:t>Area based models</w:t>
        </w:r>
        <w:r w:rsidR="00492FC4">
          <w:rPr>
            <w:noProof/>
            <w:webHidden/>
          </w:rPr>
          <w:tab/>
        </w:r>
        <w:r w:rsidR="00492FC4">
          <w:rPr>
            <w:noProof/>
            <w:webHidden/>
          </w:rPr>
          <w:fldChar w:fldCharType="begin"/>
        </w:r>
        <w:r w:rsidR="00492FC4">
          <w:rPr>
            <w:noProof/>
            <w:webHidden/>
          </w:rPr>
          <w:instrText xml:space="preserve"> PAGEREF _Toc393812343 \h </w:instrText>
        </w:r>
        <w:r w:rsidR="00492FC4">
          <w:rPr>
            <w:noProof/>
            <w:webHidden/>
          </w:rPr>
        </w:r>
        <w:r w:rsidR="00492FC4">
          <w:rPr>
            <w:noProof/>
            <w:webHidden/>
          </w:rPr>
          <w:fldChar w:fldCharType="separate"/>
        </w:r>
        <w:r w:rsidR="00492FC4">
          <w:rPr>
            <w:noProof/>
            <w:webHidden/>
          </w:rPr>
          <w:t>31</w:t>
        </w:r>
        <w:r w:rsidR="00492FC4">
          <w:rPr>
            <w:noProof/>
            <w:webHidden/>
          </w:rPr>
          <w:fldChar w:fldCharType="end"/>
        </w:r>
      </w:hyperlink>
    </w:p>
    <w:p w:rsidR="00492FC4" w:rsidRDefault="00630F69">
      <w:pPr>
        <w:pStyle w:val="Sisluet2"/>
        <w:rPr>
          <w:rFonts w:asciiTheme="minorHAnsi" w:eastAsiaTheme="minorEastAsia" w:hAnsiTheme="minorHAnsi" w:cstheme="minorBidi"/>
          <w:noProof/>
          <w:szCs w:val="22"/>
          <w:lang w:eastAsia="en-GB"/>
        </w:rPr>
      </w:pPr>
      <w:hyperlink w:anchor="_Toc393812344" w:history="1">
        <w:r w:rsidR="00492FC4" w:rsidRPr="00557894">
          <w:rPr>
            <w:rStyle w:val="Hyperlinkki"/>
            <w:noProof/>
          </w:rPr>
          <w:t>5.2</w:t>
        </w:r>
        <w:r w:rsidR="00492FC4">
          <w:rPr>
            <w:rFonts w:asciiTheme="minorHAnsi" w:eastAsiaTheme="minorEastAsia" w:hAnsiTheme="minorHAnsi" w:cstheme="minorBidi"/>
            <w:noProof/>
            <w:szCs w:val="22"/>
            <w:lang w:eastAsia="en-GB"/>
          </w:rPr>
          <w:tab/>
        </w:r>
        <w:r w:rsidR="00492FC4" w:rsidRPr="00557894">
          <w:rPr>
            <w:rStyle w:val="Hyperlinkki"/>
            <w:noProof/>
          </w:rPr>
          <w:t>Direct apportionment</w:t>
        </w:r>
        <w:r w:rsidR="00492FC4">
          <w:rPr>
            <w:noProof/>
            <w:webHidden/>
          </w:rPr>
          <w:tab/>
        </w:r>
        <w:r w:rsidR="00492FC4">
          <w:rPr>
            <w:noProof/>
            <w:webHidden/>
          </w:rPr>
          <w:fldChar w:fldCharType="begin"/>
        </w:r>
        <w:r w:rsidR="00492FC4">
          <w:rPr>
            <w:noProof/>
            <w:webHidden/>
          </w:rPr>
          <w:instrText xml:space="preserve"> PAGEREF _Toc393812344 \h </w:instrText>
        </w:r>
        <w:r w:rsidR="00492FC4">
          <w:rPr>
            <w:noProof/>
            <w:webHidden/>
          </w:rPr>
        </w:r>
        <w:r w:rsidR="00492FC4">
          <w:rPr>
            <w:noProof/>
            <w:webHidden/>
          </w:rPr>
          <w:fldChar w:fldCharType="separate"/>
        </w:r>
        <w:r w:rsidR="00492FC4">
          <w:rPr>
            <w:noProof/>
            <w:webHidden/>
          </w:rPr>
          <w:t>34</w:t>
        </w:r>
        <w:r w:rsidR="00492FC4">
          <w:rPr>
            <w:noProof/>
            <w:webHidden/>
          </w:rPr>
          <w:fldChar w:fldCharType="end"/>
        </w:r>
      </w:hyperlink>
    </w:p>
    <w:p w:rsidR="00492FC4" w:rsidRDefault="00630F69">
      <w:pPr>
        <w:pStyle w:val="Sisluet1"/>
        <w:rPr>
          <w:rFonts w:asciiTheme="minorHAnsi" w:eastAsiaTheme="minorEastAsia" w:hAnsiTheme="minorHAnsi" w:cstheme="minorBidi"/>
          <w:szCs w:val="22"/>
          <w:lang w:eastAsia="en-GB"/>
        </w:rPr>
      </w:pPr>
      <w:hyperlink w:anchor="_Toc393812345" w:history="1">
        <w:r w:rsidR="00492FC4" w:rsidRPr="00557894">
          <w:rPr>
            <w:rStyle w:val="Hyperlinkki"/>
          </w:rPr>
          <w:t>6</w:t>
        </w:r>
        <w:r w:rsidR="00492FC4">
          <w:rPr>
            <w:rFonts w:asciiTheme="minorHAnsi" w:eastAsiaTheme="minorEastAsia" w:hAnsiTheme="minorHAnsi" w:cstheme="minorBidi"/>
            <w:szCs w:val="22"/>
            <w:lang w:eastAsia="en-GB"/>
          </w:rPr>
          <w:tab/>
        </w:r>
        <w:r w:rsidR="00492FC4" w:rsidRPr="00557894">
          <w:rPr>
            <w:rStyle w:val="Hyperlinkki"/>
          </w:rPr>
          <w:t>Recommendations for future data collection</w:t>
        </w:r>
        <w:r w:rsidR="00492FC4">
          <w:rPr>
            <w:webHidden/>
          </w:rPr>
          <w:tab/>
        </w:r>
        <w:r w:rsidR="00492FC4">
          <w:rPr>
            <w:webHidden/>
          </w:rPr>
          <w:fldChar w:fldCharType="begin"/>
        </w:r>
        <w:r w:rsidR="00492FC4">
          <w:rPr>
            <w:webHidden/>
          </w:rPr>
          <w:instrText xml:space="preserve"> PAGEREF _Toc393812345 \h </w:instrText>
        </w:r>
        <w:r w:rsidR="00492FC4">
          <w:rPr>
            <w:webHidden/>
          </w:rPr>
        </w:r>
        <w:r w:rsidR="00492FC4">
          <w:rPr>
            <w:webHidden/>
          </w:rPr>
          <w:fldChar w:fldCharType="separate"/>
        </w:r>
        <w:r w:rsidR="00492FC4">
          <w:rPr>
            <w:webHidden/>
          </w:rPr>
          <w:t>38</w:t>
        </w:r>
        <w:r w:rsidR="00492FC4">
          <w:rPr>
            <w:webHidden/>
          </w:rPr>
          <w:fldChar w:fldCharType="end"/>
        </w:r>
      </w:hyperlink>
    </w:p>
    <w:p w:rsidR="00492FC4" w:rsidRDefault="00630F69">
      <w:pPr>
        <w:pStyle w:val="Sisluet1"/>
        <w:rPr>
          <w:rFonts w:asciiTheme="minorHAnsi" w:eastAsiaTheme="minorEastAsia" w:hAnsiTheme="minorHAnsi" w:cstheme="minorBidi"/>
          <w:szCs w:val="22"/>
          <w:lang w:eastAsia="en-GB"/>
        </w:rPr>
      </w:pPr>
      <w:hyperlink w:anchor="_Toc393812346" w:history="1">
        <w:r w:rsidR="00492FC4" w:rsidRPr="00557894">
          <w:rPr>
            <w:rStyle w:val="Hyperlinkki"/>
          </w:rPr>
          <w:t>7</w:t>
        </w:r>
        <w:r w:rsidR="00492FC4">
          <w:rPr>
            <w:rFonts w:asciiTheme="minorHAnsi" w:eastAsiaTheme="minorEastAsia" w:hAnsiTheme="minorHAnsi" w:cstheme="minorBidi"/>
            <w:szCs w:val="22"/>
            <w:lang w:eastAsia="en-GB"/>
          </w:rPr>
          <w:tab/>
        </w:r>
        <w:r w:rsidR="00492FC4" w:rsidRPr="00557894">
          <w:rPr>
            <w:rStyle w:val="Hyperlinkki"/>
          </w:rPr>
          <w:t>References</w:t>
        </w:r>
        <w:r w:rsidR="00492FC4">
          <w:rPr>
            <w:webHidden/>
          </w:rPr>
          <w:tab/>
        </w:r>
        <w:r w:rsidR="00492FC4">
          <w:rPr>
            <w:webHidden/>
          </w:rPr>
          <w:fldChar w:fldCharType="begin"/>
        </w:r>
        <w:r w:rsidR="00492FC4">
          <w:rPr>
            <w:webHidden/>
          </w:rPr>
          <w:instrText xml:space="preserve"> PAGEREF _Toc393812346 \h </w:instrText>
        </w:r>
        <w:r w:rsidR="00492FC4">
          <w:rPr>
            <w:webHidden/>
          </w:rPr>
        </w:r>
        <w:r w:rsidR="00492FC4">
          <w:rPr>
            <w:webHidden/>
          </w:rPr>
          <w:fldChar w:fldCharType="separate"/>
        </w:r>
        <w:r w:rsidR="00492FC4">
          <w:rPr>
            <w:webHidden/>
          </w:rPr>
          <w:t>39</w:t>
        </w:r>
        <w:r w:rsidR="00492FC4">
          <w:rPr>
            <w:webHidden/>
          </w:rPr>
          <w:fldChar w:fldCharType="end"/>
        </w:r>
      </w:hyperlink>
    </w:p>
    <w:p w:rsidR="00492FC4" w:rsidRDefault="00630F69">
      <w:pPr>
        <w:pStyle w:val="Sisluet1"/>
        <w:rPr>
          <w:rFonts w:asciiTheme="minorHAnsi" w:eastAsiaTheme="minorEastAsia" w:hAnsiTheme="minorHAnsi" w:cstheme="minorBidi"/>
          <w:szCs w:val="22"/>
          <w:lang w:eastAsia="en-GB"/>
        </w:rPr>
      </w:pPr>
      <w:hyperlink w:anchor="_Toc393812347" w:history="1">
        <w:r w:rsidR="00492FC4" w:rsidRPr="00557894">
          <w:rPr>
            <w:rStyle w:val="Hyperlinkki"/>
          </w:rPr>
          <w:t>Annex 1: Further Information about the Approaches to Poverty Mapping</w:t>
        </w:r>
        <w:r w:rsidR="00492FC4">
          <w:rPr>
            <w:webHidden/>
          </w:rPr>
          <w:tab/>
        </w:r>
        <w:r w:rsidR="00492FC4">
          <w:rPr>
            <w:webHidden/>
          </w:rPr>
          <w:fldChar w:fldCharType="begin"/>
        </w:r>
        <w:r w:rsidR="00492FC4">
          <w:rPr>
            <w:webHidden/>
          </w:rPr>
          <w:instrText xml:space="preserve"> PAGEREF _Toc393812347 \h </w:instrText>
        </w:r>
        <w:r w:rsidR="00492FC4">
          <w:rPr>
            <w:webHidden/>
          </w:rPr>
        </w:r>
        <w:r w:rsidR="00492FC4">
          <w:rPr>
            <w:webHidden/>
          </w:rPr>
          <w:fldChar w:fldCharType="separate"/>
        </w:r>
        <w:r w:rsidR="00492FC4">
          <w:rPr>
            <w:webHidden/>
          </w:rPr>
          <w:t>41</w:t>
        </w:r>
        <w:r w:rsidR="00492FC4">
          <w:rPr>
            <w:webHidden/>
          </w:rPr>
          <w:fldChar w:fldCharType="end"/>
        </w:r>
      </w:hyperlink>
    </w:p>
    <w:p w:rsidR="00492FC4" w:rsidRDefault="00630F69">
      <w:pPr>
        <w:pStyle w:val="Sisluet1"/>
        <w:rPr>
          <w:rFonts w:asciiTheme="minorHAnsi" w:eastAsiaTheme="minorEastAsia" w:hAnsiTheme="minorHAnsi" w:cstheme="minorBidi"/>
          <w:szCs w:val="22"/>
          <w:lang w:eastAsia="en-GB"/>
        </w:rPr>
      </w:pPr>
      <w:hyperlink w:anchor="_Toc393812348" w:history="1">
        <w:r w:rsidR="00492FC4" w:rsidRPr="00557894">
          <w:rPr>
            <w:rStyle w:val="Hyperlinkki"/>
          </w:rPr>
          <w:t>Annex 2: Summary of the ARoP Rate Indicator</w:t>
        </w:r>
        <w:r w:rsidR="00492FC4">
          <w:rPr>
            <w:webHidden/>
          </w:rPr>
          <w:tab/>
        </w:r>
        <w:r w:rsidR="00492FC4">
          <w:rPr>
            <w:webHidden/>
          </w:rPr>
          <w:fldChar w:fldCharType="begin"/>
        </w:r>
        <w:r w:rsidR="00492FC4">
          <w:rPr>
            <w:webHidden/>
          </w:rPr>
          <w:instrText xml:space="preserve"> PAGEREF _Toc393812348 \h </w:instrText>
        </w:r>
        <w:r w:rsidR="00492FC4">
          <w:rPr>
            <w:webHidden/>
          </w:rPr>
        </w:r>
        <w:r w:rsidR="00492FC4">
          <w:rPr>
            <w:webHidden/>
          </w:rPr>
          <w:fldChar w:fldCharType="separate"/>
        </w:r>
        <w:r w:rsidR="00492FC4">
          <w:rPr>
            <w:webHidden/>
          </w:rPr>
          <w:t>70</w:t>
        </w:r>
        <w:r w:rsidR="00492FC4">
          <w:rPr>
            <w:webHidden/>
          </w:rPr>
          <w:fldChar w:fldCharType="end"/>
        </w:r>
      </w:hyperlink>
    </w:p>
    <w:p w:rsidR="002A7DF8" w:rsidRPr="00C36DAF" w:rsidRDefault="000D4AAA" w:rsidP="00006BE0">
      <w:pPr>
        <w:pStyle w:val="ESPONText"/>
        <w:rPr>
          <w:szCs w:val="22"/>
        </w:rPr>
      </w:pPr>
      <w:r>
        <w:rPr>
          <w:noProof/>
          <w:szCs w:val="22"/>
          <w:lang w:eastAsia="en-US"/>
        </w:rPr>
        <w:fldChar w:fldCharType="end"/>
      </w:r>
      <w:r w:rsidR="007D30CA" w:rsidRPr="00C36DAF">
        <w:rPr>
          <w:szCs w:val="22"/>
        </w:rPr>
        <w:br w:type="column"/>
      </w:r>
    </w:p>
    <w:p w:rsidR="00BF09EE" w:rsidRPr="00C36DAF" w:rsidRDefault="005B346C" w:rsidP="00BF09EE">
      <w:pPr>
        <w:pStyle w:val="ESPONSubtitle"/>
        <w:spacing w:after="0"/>
        <w:jc w:val="center"/>
      </w:pPr>
      <w:r w:rsidRPr="00C36DAF">
        <w:t>TABLES</w:t>
      </w:r>
    </w:p>
    <w:p w:rsidR="00492FC4" w:rsidRDefault="00F61E50">
      <w:pPr>
        <w:pStyle w:val="Kuvaotsikkoluettelo"/>
        <w:tabs>
          <w:tab w:val="right" w:leader="dot" w:pos="8303"/>
        </w:tabs>
        <w:rPr>
          <w:rFonts w:asciiTheme="minorHAnsi" w:eastAsiaTheme="minorEastAsia" w:hAnsiTheme="minorHAnsi" w:cstheme="minorBidi"/>
          <w:noProof/>
          <w:szCs w:val="22"/>
          <w:lang w:eastAsia="en-GB"/>
        </w:rPr>
      </w:pPr>
      <w:r w:rsidRPr="00C36DAF">
        <w:fldChar w:fldCharType="begin"/>
      </w:r>
      <w:r w:rsidR="00EA1FF2" w:rsidRPr="00C36DAF">
        <w:instrText xml:space="preserve"> TOC \h \z \c "Table" </w:instrText>
      </w:r>
      <w:r w:rsidRPr="00C36DAF">
        <w:fldChar w:fldCharType="separate"/>
      </w:r>
      <w:hyperlink w:anchor="_Toc393812385" w:history="1">
        <w:r w:rsidR="00492FC4" w:rsidRPr="00604487">
          <w:rPr>
            <w:rStyle w:val="Hyperlinkki"/>
            <w:noProof/>
          </w:rPr>
          <w:t>Table 1: Overview of data sources and approaches implemented</w:t>
        </w:r>
        <w:r w:rsidR="00492FC4">
          <w:rPr>
            <w:noProof/>
            <w:webHidden/>
          </w:rPr>
          <w:tab/>
        </w:r>
        <w:r w:rsidR="00492FC4">
          <w:rPr>
            <w:noProof/>
            <w:webHidden/>
          </w:rPr>
          <w:fldChar w:fldCharType="begin"/>
        </w:r>
        <w:r w:rsidR="00492FC4">
          <w:rPr>
            <w:noProof/>
            <w:webHidden/>
          </w:rPr>
          <w:instrText xml:space="preserve"> PAGEREF _Toc393812385 \h </w:instrText>
        </w:r>
        <w:r w:rsidR="00492FC4">
          <w:rPr>
            <w:noProof/>
            <w:webHidden/>
          </w:rPr>
        </w:r>
        <w:r w:rsidR="00492FC4">
          <w:rPr>
            <w:noProof/>
            <w:webHidden/>
          </w:rPr>
          <w:fldChar w:fldCharType="separate"/>
        </w:r>
        <w:r w:rsidR="00492FC4">
          <w:rPr>
            <w:noProof/>
            <w:webHidden/>
          </w:rPr>
          <w:t>5</w:t>
        </w:r>
        <w:r w:rsidR="00492FC4">
          <w:rPr>
            <w:noProof/>
            <w:webHidden/>
          </w:rPr>
          <w:fldChar w:fldCharType="end"/>
        </w:r>
      </w:hyperlink>
    </w:p>
    <w:p w:rsidR="00492FC4" w:rsidRDefault="00630F69">
      <w:pPr>
        <w:pStyle w:val="Kuvaotsikkoluettelo"/>
        <w:tabs>
          <w:tab w:val="right" w:leader="dot" w:pos="8303"/>
        </w:tabs>
        <w:rPr>
          <w:rFonts w:asciiTheme="minorHAnsi" w:eastAsiaTheme="minorEastAsia" w:hAnsiTheme="minorHAnsi" w:cstheme="minorBidi"/>
          <w:noProof/>
          <w:szCs w:val="22"/>
          <w:lang w:eastAsia="en-GB"/>
        </w:rPr>
      </w:pPr>
      <w:hyperlink w:anchor="_Toc393812386" w:history="1">
        <w:r w:rsidR="00492FC4" w:rsidRPr="00604487">
          <w:rPr>
            <w:rStyle w:val="Hyperlinkki"/>
            <w:noProof/>
          </w:rPr>
          <w:t>Table 2: Recoding of survey and census variables to be paired in PovMap</w:t>
        </w:r>
        <w:r w:rsidR="00492FC4">
          <w:rPr>
            <w:noProof/>
            <w:webHidden/>
          </w:rPr>
          <w:tab/>
        </w:r>
        <w:r w:rsidR="00492FC4">
          <w:rPr>
            <w:noProof/>
            <w:webHidden/>
          </w:rPr>
          <w:fldChar w:fldCharType="begin"/>
        </w:r>
        <w:r w:rsidR="00492FC4">
          <w:rPr>
            <w:noProof/>
            <w:webHidden/>
          </w:rPr>
          <w:instrText xml:space="preserve"> PAGEREF _Toc393812386 \h </w:instrText>
        </w:r>
        <w:r w:rsidR="00492FC4">
          <w:rPr>
            <w:noProof/>
            <w:webHidden/>
          </w:rPr>
        </w:r>
        <w:r w:rsidR="00492FC4">
          <w:rPr>
            <w:noProof/>
            <w:webHidden/>
          </w:rPr>
          <w:fldChar w:fldCharType="separate"/>
        </w:r>
        <w:r w:rsidR="00492FC4">
          <w:rPr>
            <w:noProof/>
            <w:webHidden/>
          </w:rPr>
          <w:t>20</w:t>
        </w:r>
        <w:r w:rsidR="00492FC4">
          <w:rPr>
            <w:noProof/>
            <w:webHidden/>
          </w:rPr>
          <w:fldChar w:fldCharType="end"/>
        </w:r>
      </w:hyperlink>
    </w:p>
    <w:p w:rsidR="00956CB4" w:rsidRDefault="00F61E50" w:rsidP="00AA149B">
      <w:pPr>
        <w:pStyle w:val="ESPONText"/>
        <w:tabs>
          <w:tab w:val="left" w:pos="9072"/>
        </w:tabs>
        <w:spacing w:after="0"/>
      </w:pPr>
      <w:r w:rsidRPr="00C36DAF">
        <w:fldChar w:fldCharType="end"/>
      </w:r>
    </w:p>
    <w:p w:rsidR="007C5749" w:rsidRPr="00C36DAF" w:rsidRDefault="007C5749" w:rsidP="007C5749">
      <w:pPr>
        <w:pStyle w:val="ESPONSubtitle"/>
        <w:spacing w:after="0"/>
        <w:jc w:val="center"/>
      </w:pPr>
      <w:r>
        <w:t>FIGURES</w:t>
      </w:r>
    </w:p>
    <w:p w:rsidR="00E94831" w:rsidRDefault="00925181" w:rsidP="00EB470C">
      <w:pPr>
        <w:pStyle w:val="ESPONText"/>
        <w:tabs>
          <w:tab w:val="left" w:pos="9072"/>
        </w:tabs>
      </w:pPr>
      <w:r>
        <w:t xml:space="preserve">Figure 1: </w:t>
      </w:r>
      <w:r w:rsidR="00C7051A">
        <w:t>Register-based administrate system in the Nordic countries  .........</w:t>
      </w:r>
      <w:r>
        <w:t>………12</w:t>
      </w:r>
    </w:p>
    <w:p w:rsidR="00E94831" w:rsidRDefault="00C7051A" w:rsidP="00EB470C">
      <w:pPr>
        <w:pStyle w:val="ESPONText"/>
        <w:tabs>
          <w:tab w:val="left" w:pos="9072"/>
        </w:tabs>
      </w:pPr>
      <w:r>
        <w:t xml:space="preserve">Figure 2: </w:t>
      </w:r>
      <w:r w:rsidRPr="00C7051A">
        <w:t>Consumer model, PovMap</w:t>
      </w:r>
      <w:r>
        <w:t xml:space="preserve"> ……………………………………...........………23</w:t>
      </w:r>
    </w:p>
    <w:p w:rsidR="00C7051A" w:rsidRDefault="00C7051A" w:rsidP="00EB470C">
      <w:pPr>
        <w:pStyle w:val="ESPONText"/>
        <w:tabs>
          <w:tab w:val="left" w:pos="9072"/>
        </w:tabs>
      </w:pPr>
      <w:r>
        <w:t xml:space="preserve">Figure 3: </w:t>
      </w:r>
      <w:r w:rsidRPr="00C7051A">
        <w:t>Cluster effect, PovMap</w:t>
      </w:r>
      <w:r>
        <w:t xml:space="preserve"> ………………………………………….</w:t>
      </w:r>
      <w:r w:rsidRPr="00C7051A">
        <w:t>.........………</w:t>
      </w:r>
      <w:r>
        <w:t>24</w:t>
      </w:r>
    </w:p>
    <w:p w:rsidR="00C7051A" w:rsidRDefault="00C7051A" w:rsidP="00EB470C">
      <w:pPr>
        <w:pStyle w:val="ESPONText"/>
        <w:tabs>
          <w:tab w:val="left" w:pos="9072"/>
        </w:tabs>
      </w:pPr>
      <w:r>
        <w:t xml:space="preserve">Figure 4: </w:t>
      </w:r>
      <w:r w:rsidRPr="00C7051A">
        <w:t>Household effect, PovMap</w:t>
      </w:r>
      <w:r>
        <w:t xml:space="preserve"> ……………………………………...........….……24</w:t>
      </w:r>
    </w:p>
    <w:p w:rsidR="00C7051A" w:rsidRPr="00C7051A" w:rsidRDefault="00C7051A" w:rsidP="00EB470C">
      <w:pPr>
        <w:pStyle w:val="ESPONText"/>
        <w:tabs>
          <w:tab w:val="left" w:pos="9072"/>
        </w:tabs>
      </w:pPr>
      <w:r w:rsidRPr="00C7051A">
        <w:t>Figure 5: Simulation, PovMap</w:t>
      </w:r>
      <w:r>
        <w:t xml:space="preserve"> …………………………………………………………….25</w:t>
      </w:r>
    </w:p>
    <w:p w:rsidR="00BF09EE" w:rsidRPr="00C36DAF" w:rsidRDefault="00AD44A0" w:rsidP="00BF09EE">
      <w:pPr>
        <w:pStyle w:val="ESPONSubtitle"/>
        <w:spacing w:after="0"/>
        <w:jc w:val="center"/>
      </w:pPr>
      <w:r>
        <w:t>MAPS</w:t>
      </w:r>
      <w:bookmarkStart w:id="1" w:name="_GoBack"/>
      <w:bookmarkEnd w:id="1"/>
    </w:p>
    <w:p w:rsidR="00C7051A" w:rsidRPr="00C7051A" w:rsidRDefault="00F61E50">
      <w:pPr>
        <w:pStyle w:val="Kuvaotsikkoluettelo"/>
        <w:tabs>
          <w:tab w:val="right" w:leader="dot" w:pos="8303"/>
        </w:tabs>
        <w:rPr>
          <w:rFonts w:asciiTheme="minorHAnsi" w:eastAsiaTheme="minorEastAsia" w:hAnsiTheme="minorHAnsi" w:cstheme="minorBidi"/>
          <w:noProof/>
          <w:szCs w:val="22"/>
          <w:lang w:eastAsia="fi-FI"/>
        </w:rPr>
      </w:pPr>
      <w:r w:rsidRPr="00C36DAF">
        <w:fldChar w:fldCharType="begin"/>
      </w:r>
      <w:r w:rsidR="005B346C" w:rsidRPr="00C36DAF">
        <w:instrText xml:space="preserve"> TOC \h \z \c "Figure" </w:instrText>
      </w:r>
      <w:r w:rsidRPr="00C36DAF">
        <w:fldChar w:fldCharType="separate"/>
      </w:r>
      <w:hyperlink w:anchor="_Toc401272704" w:history="1">
        <w:r w:rsidR="00C7051A" w:rsidRPr="00392B75">
          <w:rPr>
            <w:rStyle w:val="Hyperlinkki"/>
            <w:noProof/>
          </w:rPr>
          <w:t>Map 1: At-risk-of-poverty rates (before housing cost), Albania</w:t>
        </w:r>
        <w:r w:rsidR="00C7051A">
          <w:rPr>
            <w:noProof/>
            <w:webHidden/>
          </w:rPr>
          <w:tab/>
        </w:r>
        <w:r w:rsidR="00C7051A">
          <w:rPr>
            <w:noProof/>
            <w:webHidden/>
          </w:rPr>
          <w:fldChar w:fldCharType="begin"/>
        </w:r>
        <w:r w:rsidR="00C7051A">
          <w:rPr>
            <w:noProof/>
            <w:webHidden/>
          </w:rPr>
          <w:instrText xml:space="preserve"> PAGEREF _Toc401272704 \h </w:instrText>
        </w:r>
        <w:r w:rsidR="00C7051A">
          <w:rPr>
            <w:noProof/>
            <w:webHidden/>
          </w:rPr>
        </w:r>
        <w:r w:rsidR="00C7051A">
          <w:rPr>
            <w:noProof/>
            <w:webHidden/>
          </w:rPr>
          <w:fldChar w:fldCharType="separate"/>
        </w:r>
        <w:r w:rsidR="00C7051A">
          <w:rPr>
            <w:noProof/>
            <w:webHidden/>
          </w:rPr>
          <w:t>7</w:t>
        </w:r>
        <w:r w:rsidR="00C7051A">
          <w:rPr>
            <w:noProof/>
            <w:webHidden/>
          </w:rPr>
          <w:fldChar w:fldCharType="end"/>
        </w:r>
      </w:hyperlink>
    </w:p>
    <w:p w:rsidR="00C7051A" w:rsidRPr="00C7051A" w:rsidRDefault="00630F69">
      <w:pPr>
        <w:pStyle w:val="Kuvaotsikkoluettelo"/>
        <w:tabs>
          <w:tab w:val="right" w:leader="dot" w:pos="8303"/>
        </w:tabs>
        <w:rPr>
          <w:rFonts w:asciiTheme="minorHAnsi" w:eastAsiaTheme="minorEastAsia" w:hAnsiTheme="minorHAnsi" w:cstheme="minorBidi"/>
          <w:noProof/>
          <w:szCs w:val="22"/>
          <w:lang w:eastAsia="fi-FI"/>
        </w:rPr>
      </w:pPr>
      <w:hyperlink w:anchor="_Toc401272705" w:history="1">
        <w:r w:rsidR="00C7051A" w:rsidRPr="00392B75">
          <w:rPr>
            <w:rStyle w:val="Hyperlinkki"/>
            <w:noProof/>
          </w:rPr>
          <w:t>Map 2: At-risk-of-poverty rates (before housing cost), Croatia</w:t>
        </w:r>
        <w:r w:rsidR="00C7051A">
          <w:rPr>
            <w:noProof/>
            <w:webHidden/>
          </w:rPr>
          <w:tab/>
        </w:r>
        <w:r w:rsidR="00C7051A">
          <w:rPr>
            <w:noProof/>
            <w:webHidden/>
          </w:rPr>
          <w:fldChar w:fldCharType="begin"/>
        </w:r>
        <w:r w:rsidR="00C7051A">
          <w:rPr>
            <w:noProof/>
            <w:webHidden/>
          </w:rPr>
          <w:instrText xml:space="preserve"> PAGEREF _Toc401272705 \h </w:instrText>
        </w:r>
        <w:r w:rsidR="00C7051A">
          <w:rPr>
            <w:noProof/>
            <w:webHidden/>
          </w:rPr>
        </w:r>
        <w:r w:rsidR="00C7051A">
          <w:rPr>
            <w:noProof/>
            <w:webHidden/>
          </w:rPr>
          <w:fldChar w:fldCharType="separate"/>
        </w:r>
        <w:r w:rsidR="00C7051A">
          <w:rPr>
            <w:noProof/>
            <w:webHidden/>
          </w:rPr>
          <w:t>8</w:t>
        </w:r>
        <w:r w:rsidR="00C7051A">
          <w:rPr>
            <w:noProof/>
            <w:webHidden/>
          </w:rPr>
          <w:fldChar w:fldCharType="end"/>
        </w:r>
      </w:hyperlink>
    </w:p>
    <w:p w:rsidR="00C7051A" w:rsidRPr="00C7051A" w:rsidRDefault="00630F69">
      <w:pPr>
        <w:pStyle w:val="Kuvaotsikkoluettelo"/>
        <w:tabs>
          <w:tab w:val="right" w:leader="dot" w:pos="8303"/>
        </w:tabs>
        <w:rPr>
          <w:rFonts w:asciiTheme="minorHAnsi" w:eastAsiaTheme="minorEastAsia" w:hAnsiTheme="minorHAnsi" w:cstheme="minorBidi"/>
          <w:noProof/>
          <w:szCs w:val="22"/>
          <w:lang w:eastAsia="fi-FI"/>
        </w:rPr>
      </w:pPr>
      <w:hyperlink w:anchor="_Toc401272706" w:history="1">
        <w:r w:rsidR="00C7051A" w:rsidRPr="00392B75">
          <w:rPr>
            <w:rStyle w:val="Hyperlinkki"/>
            <w:noProof/>
          </w:rPr>
          <w:t>Map 3: At-risk-of-poverty rates (before housing cost), France</w:t>
        </w:r>
        <w:r w:rsidR="00C7051A">
          <w:rPr>
            <w:noProof/>
            <w:webHidden/>
          </w:rPr>
          <w:tab/>
        </w:r>
        <w:r w:rsidR="00C7051A">
          <w:rPr>
            <w:noProof/>
            <w:webHidden/>
          </w:rPr>
          <w:fldChar w:fldCharType="begin"/>
        </w:r>
        <w:r w:rsidR="00C7051A">
          <w:rPr>
            <w:noProof/>
            <w:webHidden/>
          </w:rPr>
          <w:instrText xml:space="preserve"> PAGEREF _Toc401272706 \h </w:instrText>
        </w:r>
        <w:r w:rsidR="00C7051A">
          <w:rPr>
            <w:noProof/>
            <w:webHidden/>
          </w:rPr>
        </w:r>
        <w:r w:rsidR="00C7051A">
          <w:rPr>
            <w:noProof/>
            <w:webHidden/>
          </w:rPr>
          <w:fldChar w:fldCharType="separate"/>
        </w:r>
        <w:r w:rsidR="00C7051A">
          <w:rPr>
            <w:noProof/>
            <w:webHidden/>
          </w:rPr>
          <w:t>8</w:t>
        </w:r>
        <w:r w:rsidR="00C7051A">
          <w:rPr>
            <w:noProof/>
            <w:webHidden/>
          </w:rPr>
          <w:fldChar w:fldCharType="end"/>
        </w:r>
      </w:hyperlink>
    </w:p>
    <w:p w:rsidR="00C7051A" w:rsidRPr="00C7051A" w:rsidRDefault="00630F69">
      <w:pPr>
        <w:pStyle w:val="Kuvaotsikkoluettelo"/>
        <w:tabs>
          <w:tab w:val="right" w:leader="dot" w:pos="8303"/>
        </w:tabs>
        <w:rPr>
          <w:rFonts w:asciiTheme="minorHAnsi" w:eastAsiaTheme="minorEastAsia" w:hAnsiTheme="minorHAnsi" w:cstheme="minorBidi"/>
          <w:noProof/>
          <w:szCs w:val="22"/>
          <w:lang w:eastAsia="fi-FI"/>
        </w:rPr>
      </w:pPr>
      <w:hyperlink w:anchor="_Toc401272707" w:history="1">
        <w:r w:rsidR="00C7051A" w:rsidRPr="00392B75">
          <w:rPr>
            <w:rStyle w:val="Hyperlinkki"/>
            <w:noProof/>
          </w:rPr>
          <w:t>Map 4: At-risk-of-poverty rates (before housing cost), Ireland</w:t>
        </w:r>
        <w:r w:rsidR="00C7051A">
          <w:rPr>
            <w:noProof/>
            <w:webHidden/>
          </w:rPr>
          <w:tab/>
        </w:r>
        <w:r w:rsidR="00C7051A">
          <w:rPr>
            <w:noProof/>
            <w:webHidden/>
          </w:rPr>
          <w:fldChar w:fldCharType="begin"/>
        </w:r>
        <w:r w:rsidR="00C7051A">
          <w:rPr>
            <w:noProof/>
            <w:webHidden/>
          </w:rPr>
          <w:instrText xml:space="preserve"> PAGEREF _Toc401272707 \h </w:instrText>
        </w:r>
        <w:r w:rsidR="00C7051A">
          <w:rPr>
            <w:noProof/>
            <w:webHidden/>
          </w:rPr>
        </w:r>
        <w:r w:rsidR="00C7051A">
          <w:rPr>
            <w:noProof/>
            <w:webHidden/>
          </w:rPr>
          <w:fldChar w:fldCharType="separate"/>
        </w:r>
        <w:r w:rsidR="00C7051A">
          <w:rPr>
            <w:noProof/>
            <w:webHidden/>
          </w:rPr>
          <w:t>9</w:t>
        </w:r>
        <w:r w:rsidR="00C7051A">
          <w:rPr>
            <w:noProof/>
            <w:webHidden/>
          </w:rPr>
          <w:fldChar w:fldCharType="end"/>
        </w:r>
      </w:hyperlink>
    </w:p>
    <w:p w:rsidR="00C7051A" w:rsidRPr="00C7051A" w:rsidRDefault="00630F69">
      <w:pPr>
        <w:pStyle w:val="Kuvaotsikkoluettelo"/>
        <w:tabs>
          <w:tab w:val="right" w:leader="dot" w:pos="8303"/>
        </w:tabs>
        <w:rPr>
          <w:rFonts w:asciiTheme="minorHAnsi" w:eastAsiaTheme="minorEastAsia" w:hAnsiTheme="minorHAnsi" w:cstheme="minorBidi"/>
          <w:noProof/>
          <w:szCs w:val="22"/>
          <w:lang w:eastAsia="fi-FI"/>
        </w:rPr>
      </w:pPr>
      <w:hyperlink w:anchor="_Toc401272708" w:history="1">
        <w:r w:rsidR="00C7051A" w:rsidRPr="00392B75">
          <w:rPr>
            <w:rStyle w:val="Hyperlinkki"/>
            <w:noProof/>
          </w:rPr>
          <w:t>Map 5: At-risk-of-poverty rates (after housing cost), England and Wales update for 2007-2008</w:t>
        </w:r>
        <w:r w:rsidR="00C7051A">
          <w:rPr>
            <w:noProof/>
            <w:webHidden/>
          </w:rPr>
          <w:tab/>
        </w:r>
        <w:r w:rsidR="00C7051A">
          <w:rPr>
            <w:noProof/>
            <w:webHidden/>
          </w:rPr>
          <w:fldChar w:fldCharType="begin"/>
        </w:r>
        <w:r w:rsidR="00C7051A">
          <w:rPr>
            <w:noProof/>
            <w:webHidden/>
          </w:rPr>
          <w:instrText xml:space="preserve"> PAGEREF _Toc401272708 \h </w:instrText>
        </w:r>
        <w:r w:rsidR="00C7051A">
          <w:rPr>
            <w:noProof/>
            <w:webHidden/>
          </w:rPr>
        </w:r>
        <w:r w:rsidR="00C7051A">
          <w:rPr>
            <w:noProof/>
            <w:webHidden/>
          </w:rPr>
          <w:fldChar w:fldCharType="separate"/>
        </w:r>
        <w:r w:rsidR="00C7051A">
          <w:rPr>
            <w:noProof/>
            <w:webHidden/>
          </w:rPr>
          <w:t>9</w:t>
        </w:r>
        <w:r w:rsidR="00C7051A">
          <w:rPr>
            <w:noProof/>
            <w:webHidden/>
          </w:rPr>
          <w:fldChar w:fldCharType="end"/>
        </w:r>
      </w:hyperlink>
    </w:p>
    <w:p w:rsidR="00C7051A" w:rsidRPr="00C7051A" w:rsidRDefault="00630F69">
      <w:pPr>
        <w:pStyle w:val="Kuvaotsikkoluettelo"/>
        <w:tabs>
          <w:tab w:val="right" w:leader="dot" w:pos="8303"/>
        </w:tabs>
        <w:rPr>
          <w:rFonts w:asciiTheme="minorHAnsi" w:eastAsiaTheme="minorEastAsia" w:hAnsiTheme="minorHAnsi" w:cstheme="minorBidi"/>
          <w:noProof/>
          <w:szCs w:val="22"/>
          <w:lang w:eastAsia="fi-FI"/>
        </w:rPr>
      </w:pPr>
      <w:hyperlink w:anchor="_Toc401272709" w:history="1">
        <w:r w:rsidR="00C7051A" w:rsidRPr="00392B75">
          <w:rPr>
            <w:rStyle w:val="Hyperlinkki"/>
            <w:noProof/>
          </w:rPr>
          <w:t>Map 6: At-risk-of-poverty rates (before housing cost), Scotland update for 2005-2008</w:t>
        </w:r>
        <w:r w:rsidR="00C7051A">
          <w:rPr>
            <w:noProof/>
            <w:webHidden/>
          </w:rPr>
          <w:tab/>
        </w:r>
        <w:r w:rsidR="00C7051A">
          <w:rPr>
            <w:noProof/>
            <w:webHidden/>
          </w:rPr>
          <w:fldChar w:fldCharType="begin"/>
        </w:r>
        <w:r w:rsidR="00C7051A">
          <w:rPr>
            <w:noProof/>
            <w:webHidden/>
          </w:rPr>
          <w:instrText xml:space="preserve"> PAGEREF _Toc401272709 \h </w:instrText>
        </w:r>
        <w:r w:rsidR="00C7051A">
          <w:rPr>
            <w:noProof/>
            <w:webHidden/>
          </w:rPr>
        </w:r>
        <w:r w:rsidR="00C7051A">
          <w:rPr>
            <w:noProof/>
            <w:webHidden/>
          </w:rPr>
          <w:fldChar w:fldCharType="separate"/>
        </w:r>
        <w:r w:rsidR="00C7051A">
          <w:rPr>
            <w:noProof/>
            <w:webHidden/>
          </w:rPr>
          <w:t>10</w:t>
        </w:r>
        <w:r w:rsidR="00C7051A">
          <w:rPr>
            <w:noProof/>
            <w:webHidden/>
          </w:rPr>
          <w:fldChar w:fldCharType="end"/>
        </w:r>
      </w:hyperlink>
    </w:p>
    <w:p w:rsidR="00C7051A" w:rsidRPr="00C7051A" w:rsidRDefault="00630F69">
      <w:pPr>
        <w:pStyle w:val="Kuvaotsikkoluettelo"/>
        <w:tabs>
          <w:tab w:val="right" w:leader="dot" w:pos="8303"/>
        </w:tabs>
        <w:rPr>
          <w:rFonts w:asciiTheme="minorHAnsi" w:eastAsiaTheme="minorEastAsia" w:hAnsiTheme="minorHAnsi" w:cstheme="minorBidi"/>
          <w:noProof/>
          <w:szCs w:val="22"/>
          <w:lang w:eastAsia="fi-FI"/>
        </w:rPr>
      </w:pPr>
      <w:hyperlink w:anchor="_Toc401272710" w:history="1">
        <w:r w:rsidR="00C7051A" w:rsidRPr="00392B75">
          <w:rPr>
            <w:rStyle w:val="Hyperlinkki"/>
            <w:noProof/>
          </w:rPr>
          <w:t>Map 7: At-risk-of-poverty rates (before housing cost), Northern Ireland update for 2009/10-2011/12.</w:t>
        </w:r>
        <w:r w:rsidR="00C7051A">
          <w:rPr>
            <w:noProof/>
            <w:webHidden/>
          </w:rPr>
          <w:tab/>
        </w:r>
        <w:r w:rsidR="00C7051A">
          <w:rPr>
            <w:noProof/>
            <w:webHidden/>
          </w:rPr>
          <w:fldChar w:fldCharType="begin"/>
        </w:r>
        <w:r w:rsidR="00C7051A">
          <w:rPr>
            <w:noProof/>
            <w:webHidden/>
          </w:rPr>
          <w:instrText xml:space="preserve"> PAGEREF _Toc401272710 \h </w:instrText>
        </w:r>
        <w:r w:rsidR="00C7051A">
          <w:rPr>
            <w:noProof/>
            <w:webHidden/>
          </w:rPr>
        </w:r>
        <w:r w:rsidR="00C7051A">
          <w:rPr>
            <w:noProof/>
            <w:webHidden/>
          </w:rPr>
          <w:fldChar w:fldCharType="separate"/>
        </w:r>
        <w:r w:rsidR="00C7051A">
          <w:rPr>
            <w:noProof/>
            <w:webHidden/>
          </w:rPr>
          <w:t>10</w:t>
        </w:r>
        <w:r w:rsidR="00C7051A">
          <w:rPr>
            <w:noProof/>
            <w:webHidden/>
          </w:rPr>
          <w:fldChar w:fldCharType="end"/>
        </w:r>
      </w:hyperlink>
    </w:p>
    <w:p w:rsidR="00C7051A" w:rsidRPr="00C7051A" w:rsidRDefault="00630F69">
      <w:pPr>
        <w:pStyle w:val="Kuvaotsikkoluettelo"/>
        <w:tabs>
          <w:tab w:val="right" w:leader="dot" w:pos="8303"/>
        </w:tabs>
        <w:rPr>
          <w:rFonts w:asciiTheme="minorHAnsi" w:eastAsiaTheme="minorEastAsia" w:hAnsiTheme="minorHAnsi" w:cstheme="minorBidi"/>
          <w:noProof/>
          <w:szCs w:val="22"/>
          <w:lang w:eastAsia="fi-FI"/>
        </w:rPr>
      </w:pPr>
      <w:hyperlink w:anchor="_Toc401272711" w:history="1">
        <w:r w:rsidR="00C7051A" w:rsidRPr="00392B75">
          <w:rPr>
            <w:rStyle w:val="Hyperlinkki"/>
            <w:noProof/>
          </w:rPr>
          <w:t>Map 8: At-risk-of-poverty rates (after housing cost), Northern Ireland update for 2009/10-2011/12</w:t>
        </w:r>
        <w:r w:rsidR="00C7051A">
          <w:rPr>
            <w:noProof/>
            <w:webHidden/>
          </w:rPr>
          <w:tab/>
        </w:r>
        <w:r w:rsidR="00C7051A">
          <w:rPr>
            <w:noProof/>
            <w:webHidden/>
          </w:rPr>
          <w:fldChar w:fldCharType="begin"/>
        </w:r>
        <w:r w:rsidR="00C7051A">
          <w:rPr>
            <w:noProof/>
            <w:webHidden/>
          </w:rPr>
          <w:instrText xml:space="preserve"> PAGEREF _Toc401272711 \h </w:instrText>
        </w:r>
        <w:r w:rsidR="00C7051A">
          <w:rPr>
            <w:noProof/>
            <w:webHidden/>
          </w:rPr>
        </w:r>
        <w:r w:rsidR="00C7051A">
          <w:rPr>
            <w:noProof/>
            <w:webHidden/>
          </w:rPr>
          <w:fldChar w:fldCharType="separate"/>
        </w:r>
        <w:r w:rsidR="00C7051A">
          <w:rPr>
            <w:noProof/>
            <w:webHidden/>
          </w:rPr>
          <w:t>11</w:t>
        </w:r>
        <w:r w:rsidR="00C7051A">
          <w:rPr>
            <w:noProof/>
            <w:webHidden/>
          </w:rPr>
          <w:fldChar w:fldCharType="end"/>
        </w:r>
      </w:hyperlink>
    </w:p>
    <w:p w:rsidR="00C7051A" w:rsidRPr="00C7051A" w:rsidRDefault="00630F69">
      <w:pPr>
        <w:pStyle w:val="Kuvaotsikkoluettelo"/>
        <w:tabs>
          <w:tab w:val="right" w:leader="dot" w:pos="8303"/>
        </w:tabs>
        <w:rPr>
          <w:rFonts w:asciiTheme="minorHAnsi" w:eastAsiaTheme="minorEastAsia" w:hAnsiTheme="minorHAnsi" w:cstheme="minorBidi"/>
          <w:noProof/>
          <w:szCs w:val="22"/>
          <w:lang w:eastAsia="fi-FI"/>
        </w:rPr>
      </w:pPr>
      <w:hyperlink w:anchor="_Toc401272712" w:history="1">
        <w:r w:rsidR="00C7051A" w:rsidRPr="00392B75">
          <w:rPr>
            <w:rStyle w:val="Hyperlinkki"/>
            <w:noProof/>
          </w:rPr>
          <w:t>Map 9: At-risk-of-poverty rates (before housing cost), Denmark</w:t>
        </w:r>
        <w:r w:rsidR="00C7051A">
          <w:rPr>
            <w:noProof/>
            <w:webHidden/>
          </w:rPr>
          <w:tab/>
        </w:r>
        <w:r w:rsidR="00C7051A">
          <w:rPr>
            <w:noProof/>
            <w:webHidden/>
          </w:rPr>
          <w:fldChar w:fldCharType="begin"/>
        </w:r>
        <w:r w:rsidR="00C7051A">
          <w:rPr>
            <w:noProof/>
            <w:webHidden/>
          </w:rPr>
          <w:instrText xml:space="preserve"> PAGEREF _Toc401272712 \h </w:instrText>
        </w:r>
        <w:r w:rsidR="00C7051A">
          <w:rPr>
            <w:noProof/>
            <w:webHidden/>
          </w:rPr>
        </w:r>
        <w:r w:rsidR="00C7051A">
          <w:rPr>
            <w:noProof/>
            <w:webHidden/>
          </w:rPr>
          <w:fldChar w:fldCharType="separate"/>
        </w:r>
        <w:r w:rsidR="00C7051A">
          <w:rPr>
            <w:noProof/>
            <w:webHidden/>
          </w:rPr>
          <w:t>13</w:t>
        </w:r>
        <w:r w:rsidR="00C7051A">
          <w:rPr>
            <w:noProof/>
            <w:webHidden/>
          </w:rPr>
          <w:fldChar w:fldCharType="end"/>
        </w:r>
      </w:hyperlink>
    </w:p>
    <w:p w:rsidR="00C7051A" w:rsidRPr="00C7051A" w:rsidRDefault="00630F69">
      <w:pPr>
        <w:pStyle w:val="Kuvaotsikkoluettelo"/>
        <w:tabs>
          <w:tab w:val="right" w:leader="dot" w:pos="8303"/>
        </w:tabs>
        <w:rPr>
          <w:rFonts w:asciiTheme="minorHAnsi" w:eastAsiaTheme="minorEastAsia" w:hAnsiTheme="minorHAnsi" w:cstheme="minorBidi"/>
          <w:noProof/>
          <w:szCs w:val="22"/>
          <w:lang w:eastAsia="fi-FI"/>
        </w:rPr>
      </w:pPr>
      <w:hyperlink w:anchor="_Toc401272713" w:history="1">
        <w:r w:rsidR="00C7051A" w:rsidRPr="00392B75">
          <w:rPr>
            <w:rStyle w:val="Hyperlinkki"/>
            <w:noProof/>
          </w:rPr>
          <w:t>Map 10: At-risk-of-poverty rates (before housing cost), Finland</w:t>
        </w:r>
        <w:r w:rsidR="00C7051A">
          <w:rPr>
            <w:noProof/>
            <w:webHidden/>
          </w:rPr>
          <w:tab/>
        </w:r>
        <w:r w:rsidR="00C7051A">
          <w:rPr>
            <w:noProof/>
            <w:webHidden/>
          </w:rPr>
          <w:fldChar w:fldCharType="begin"/>
        </w:r>
        <w:r w:rsidR="00C7051A">
          <w:rPr>
            <w:noProof/>
            <w:webHidden/>
          </w:rPr>
          <w:instrText xml:space="preserve"> PAGEREF _Toc401272713 \h </w:instrText>
        </w:r>
        <w:r w:rsidR="00C7051A">
          <w:rPr>
            <w:noProof/>
            <w:webHidden/>
          </w:rPr>
        </w:r>
        <w:r w:rsidR="00C7051A">
          <w:rPr>
            <w:noProof/>
            <w:webHidden/>
          </w:rPr>
          <w:fldChar w:fldCharType="separate"/>
        </w:r>
        <w:r w:rsidR="00C7051A">
          <w:rPr>
            <w:noProof/>
            <w:webHidden/>
          </w:rPr>
          <w:t>14</w:t>
        </w:r>
        <w:r w:rsidR="00C7051A">
          <w:rPr>
            <w:noProof/>
            <w:webHidden/>
          </w:rPr>
          <w:fldChar w:fldCharType="end"/>
        </w:r>
      </w:hyperlink>
    </w:p>
    <w:p w:rsidR="00C7051A" w:rsidRDefault="00630F69">
      <w:pPr>
        <w:pStyle w:val="Kuvaotsikkoluettelo"/>
        <w:tabs>
          <w:tab w:val="right" w:leader="dot" w:pos="8303"/>
        </w:tabs>
        <w:rPr>
          <w:rFonts w:asciiTheme="minorHAnsi" w:eastAsiaTheme="minorEastAsia" w:hAnsiTheme="minorHAnsi" w:cstheme="minorBidi"/>
          <w:noProof/>
          <w:szCs w:val="22"/>
          <w:lang w:val="fi-FI" w:eastAsia="fi-FI"/>
        </w:rPr>
      </w:pPr>
      <w:hyperlink w:anchor="_Toc401272714" w:history="1">
        <w:r w:rsidR="00C7051A" w:rsidRPr="00392B75">
          <w:rPr>
            <w:rStyle w:val="Hyperlinkki"/>
            <w:noProof/>
          </w:rPr>
          <w:t>Map 11: At-risk-of-poverty rates (before housing cost), Netherlands</w:t>
        </w:r>
        <w:r w:rsidR="00C7051A">
          <w:rPr>
            <w:noProof/>
            <w:webHidden/>
          </w:rPr>
          <w:tab/>
        </w:r>
        <w:r w:rsidR="00C7051A">
          <w:rPr>
            <w:noProof/>
            <w:webHidden/>
          </w:rPr>
          <w:fldChar w:fldCharType="begin"/>
        </w:r>
        <w:r w:rsidR="00C7051A">
          <w:rPr>
            <w:noProof/>
            <w:webHidden/>
          </w:rPr>
          <w:instrText xml:space="preserve"> PAGEREF _Toc401272714 \h </w:instrText>
        </w:r>
        <w:r w:rsidR="00C7051A">
          <w:rPr>
            <w:noProof/>
            <w:webHidden/>
          </w:rPr>
        </w:r>
        <w:r w:rsidR="00C7051A">
          <w:rPr>
            <w:noProof/>
            <w:webHidden/>
          </w:rPr>
          <w:fldChar w:fldCharType="separate"/>
        </w:r>
        <w:r w:rsidR="00C7051A">
          <w:rPr>
            <w:noProof/>
            <w:webHidden/>
          </w:rPr>
          <w:t>14</w:t>
        </w:r>
        <w:r w:rsidR="00C7051A">
          <w:rPr>
            <w:noProof/>
            <w:webHidden/>
          </w:rPr>
          <w:fldChar w:fldCharType="end"/>
        </w:r>
      </w:hyperlink>
    </w:p>
    <w:p w:rsidR="00C7051A" w:rsidRDefault="00630F69">
      <w:pPr>
        <w:pStyle w:val="Kuvaotsikkoluettelo"/>
        <w:tabs>
          <w:tab w:val="right" w:leader="dot" w:pos="8303"/>
        </w:tabs>
        <w:rPr>
          <w:rFonts w:asciiTheme="minorHAnsi" w:eastAsiaTheme="minorEastAsia" w:hAnsiTheme="minorHAnsi" w:cstheme="minorBidi"/>
          <w:noProof/>
          <w:szCs w:val="22"/>
          <w:lang w:val="fi-FI" w:eastAsia="fi-FI"/>
        </w:rPr>
      </w:pPr>
      <w:hyperlink w:anchor="_Toc401272715" w:history="1">
        <w:r w:rsidR="00C7051A" w:rsidRPr="00392B75">
          <w:rPr>
            <w:rStyle w:val="Hyperlinkki"/>
            <w:noProof/>
          </w:rPr>
          <w:t>Map 12: At-risk-of-poverty rates (before housing cost), Norway</w:t>
        </w:r>
        <w:r w:rsidR="00C7051A">
          <w:rPr>
            <w:noProof/>
            <w:webHidden/>
          </w:rPr>
          <w:tab/>
        </w:r>
        <w:r w:rsidR="00C7051A">
          <w:rPr>
            <w:noProof/>
            <w:webHidden/>
          </w:rPr>
          <w:fldChar w:fldCharType="begin"/>
        </w:r>
        <w:r w:rsidR="00C7051A">
          <w:rPr>
            <w:noProof/>
            <w:webHidden/>
          </w:rPr>
          <w:instrText xml:space="preserve"> PAGEREF _Toc401272715 \h </w:instrText>
        </w:r>
        <w:r w:rsidR="00C7051A">
          <w:rPr>
            <w:noProof/>
            <w:webHidden/>
          </w:rPr>
        </w:r>
        <w:r w:rsidR="00C7051A">
          <w:rPr>
            <w:noProof/>
            <w:webHidden/>
          </w:rPr>
          <w:fldChar w:fldCharType="separate"/>
        </w:r>
        <w:r w:rsidR="00C7051A">
          <w:rPr>
            <w:noProof/>
            <w:webHidden/>
          </w:rPr>
          <w:t>15</w:t>
        </w:r>
        <w:r w:rsidR="00C7051A">
          <w:rPr>
            <w:noProof/>
            <w:webHidden/>
          </w:rPr>
          <w:fldChar w:fldCharType="end"/>
        </w:r>
      </w:hyperlink>
    </w:p>
    <w:p w:rsidR="00C7051A" w:rsidRDefault="00630F69">
      <w:pPr>
        <w:pStyle w:val="Kuvaotsikkoluettelo"/>
        <w:tabs>
          <w:tab w:val="right" w:leader="dot" w:pos="8303"/>
        </w:tabs>
        <w:rPr>
          <w:rFonts w:asciiTheme="minorHAnsi" w:eastAsiaTheme="minorEastAsia" w:hAnsiTheme="minorHAnsi" w:cstheme="minorBidi"/>
          <w:noProof/>
          <w:szCs w:val="22"/>
          <w:lang w:val="fi-FI" w:eastAsia="fi-FI"/>
        </w:rPr>
      </w:pPr>
      <w:hyperlink w:anchor="_Toc401272716" w:history="1">
        <w:r w:rsidR="00C7051A" w:rsidRPr="00392B75">
          <w:rPr>
            <w:rStyle w:val="Hyperlinkki"/>
            <w:noProof/>
          </w:rPr>
          <w:t>Map 13: At-risk-of-poverty rates (before housing cost), Sweden</w:t>
        </w:r>
        <w:r w:rsidR="00C7051A">
          <w:rPr>
            <w:noProof/>
            <w:webHidden/>
          </w:rPr>
          <w:tab/>
        </w:r>
        <w:r w:rsidR="00C7051A">
          <w:rPr>
            <w:noProof/>
            <w:webHidden/>
          </w:rPr>
          <w:fldChar w:fldCharType="begin"/>
        </w:r>
        <w:r w:rsidR="00C7051A">
          <w:rPr>
            <w:noProof/>
            <w:webHidden/>
          </w:rPr>
          <w:instrText xml:space="preserve"> PAGEREF _Toc401272716 \h </w:instrText>
        </w:r>
        <w:r w:rsidR="00C7051A">
          <w:rPr>
            <w:noProof/>
            <w:webHidden/>
          </w:rPr>
        </w:r>
        <w:r w:rsidR="00C7051A">
          <w:rPr>
            <w:noProof/>
            <w:webHidden/>
          </w:rPr>
          <w:fldChar w:fldCharType="separate"/>
        </w:r>
        <w:r w:rsidR="00C7051A">
          <w:rPr>
            <w:noProof/>
            <w:webHidden/>
          </w:rPr>
          <w:t>15</w:t>
        </w:r>
        <w:r w:rsidR="00C7051A">
          <w:rPr>
            <w:noProof/>
            <w:webHidden/>
          </w:rPr>
          <w:fldChar w:fldCharType="end"/>
        </w:r>
      </w:hyperlink>
    </w:p>
    <w:p w:rsidR="00C7051A" w:rsidRDefault="00630F69">
      <w:pPr>
        <w:pStyle w:val="Kuvaotsikkoluettelo"/>
        <w:tabs>
          <w:tab w:val="right" w:leader="dot" w:pos="8303"/>
        </w:tabs>
        <w:rPr>
          <w:rFonts w:asciiTheme="minorHAnsi" w:eastAsiaTheme="minorEastAsia" w:hAnsiTheme="minorHAnsi" w:cstheme="minorBidi"/>
          <w:noProof/>
          <w:szCs w:val="22"/>
          <w:lang w:val="fi-FI" w:eastAsia="fi-FI"/>
        </w:rPr>
      </w:pPr>
      <w:hyperlink w:anchor="_Toc401272717" w:history="1">
        <w:r w:rsidR="00C7051A" w:rsidRPr="00392B75">
          <w:rPr>
            <w:rStyle w:val="Hyperlinkki"/>
            <w:noProof/>
          </w:rPr>
          <w:t>Map 14: At-risk-of-poverty rates (before housing cost), Albania</w:t>
        </w:r>
        <w:r w:rsidR="00C7051A">
          <w:rPr>
            <w:noProof/>
            <w:webHidden/>
          </w:rPr>
          <w:tab/>
        </w:r>
        <w:r w:rsidR="00C7051A">
          <w:rPr>
            <w:noProof/>
            <w:webHidden/>
          </w:rPr>
          <w:fldChar w:fldCharType="begin"/>
        </w:r>
        <w:r w:rsidR="00C7051A">
          <w:rPr>
            <w:noProof/>
            <w:webHidden/>
          </w:rPr>
          <w:instrText xml:space="preserve"> PAGEREF _Toc401272717 \h </w:instrText>
        </w:r>
        <w:r w:rsidR="00C7051A">
          <w:rPr>
            <w:noProof/>
            <w:webHidden/>
          </w:rPr>
        </w:r>
        <w:r w:rsidR="00C7051A">
          <w:rPr>
            <w:noProof/>
            <w:webHidden/>
          </w:rPr>
          <w:fldChar w:fldCharType="separate"/>
        </w:r>
        <w:r w:rsidR="00C7051A">
          <w:rPr>
            <w:noProof/>
            <w:webHidden/>
          </w:rPr>
          <w:t>27</w:t>
        </w:r>
        <w:r w:rsidR="00C7051A">
          <w:rPr>
            <w:noProof/>
            <w:webHidden/>
          </w:rPr>
          <w:fldChar w:fldCharType="end"/>
        </w:r>
      </w:hyperlink>
    </w:p>
    <w:p w:rsidR="00C7051A" w:rsidRDefault="00630F69">
      <w:pPr>
        <w:pStyle w:val="Kuvaotsikkoluettelo"/>
        <w:tabs>
          <w:tab w:val="right" w:leader="dot" w:pos="8303"/>
        </w:tabs>
        <w:rPr>
          <w:rFonts w:asciiTheme="minorHAnsi" w:eastAsiaTheme="minorEastAsia" w:hAnsiTheme="minorHAnsi" w:cstheme="minorBidi"/>
          <w:noProof/>
          <w:szCs w:val="22"/>
          <w:lang w:val="fi-FI" w:eastAsia="fi-FI"/>
        </w:rPr>
      </w:pPr>
      <w:hyperlink w:anchor="_Toc401272718" w:history="1">
        <w:r w:rsidR="00C7051A" w:rsidRPr="00392B75">
          <w:rPr>
            <w:rStyle w:val="Hyperlinkki"/>
            <w:noProof/>
          </w:rPr>
          <w:t>Map 15: At-risk-of-poverty rates (before housing cost), Austria</w:t>
        </w:r>
        <w:r w:rsidR="00C7051A">
          <w:rPr>
            <w:noProof/>
            <w:webHidden/>
          </w:rPr>
          <w:tab/>
        </w:r>
        <w:r w:rsidR="00C7051A">
          <w:rPr>
            <w:noProof/>
            <w:webHidden/>
          </w:rPr>
          <w:fldChar w:fldCharType="begin"/>
        </w:r>
        <w:r w:rsidR="00C7051A">
          <w:rPr>
            <w:noProof/>
            <w:webHidden/>
          </w:rPr>
          <w:instrText xml:space="preserve"> PAGEREF _Toc401272718 \h </w:instrText>
        </w:r>
        <w:r w:rsidR="00C7051A">
          <w:rPr>
            <w:noProof/>
            <w:webHidden/>
          </w:rPr>
        </w:r>
        <w:r w:rsidR="00C7051A">
          <w:rPr>
            <w:noProof/>
            <w:webHidden/>
          </w:rPr>
          <w:fldChar w:fldCharType="separate"/>
        </w:r>
        <w:r w:rsidR="00C7051A">
          <w:rPr>
            <w:noProof/>
            <w:webHidden/>
          </w:rPr>
          <w:t>27</w:t>
        </w:r>
        <w:r w:rsidR="00C7051A">
          <w:rPr>
            <w:noProof/>
            <w:webHidden/>
          </w:rPr>
          <w:fldChar w:fldCharType="end"/>
        </w:r>
      </w:hyperlink>
    </w:p>
    <w:p w:rsidR="00C7051A" w:rsidRDefault="00630F69">
      <w:pPr>
        <w:pStyle w:val="Kuvaotsikkoluettelo"/>
        <w:tabs>
          <w:tab w:val="right" w:leader="dot" w:pos="8303"/>
        </w:tabs>
        <w:rPr>
          <w:rFonts w:asciiTheme="minorHAnsi" w:eastAsiaTheme="minorEastAsia" w:hAnsiTheme="minorHAnsi" w:cstheme="minorBidi"/>
          <w:noProof/>
          <w:szCs w:val="22"/>
          <w:lang w:val="fi-FI" w:eastAsia="fi-FI"/>
        </w:rPr>
      </w:pPr>
      <w:hyperlink w:anchor="_Toc401272719" w:history="1">
        <w:r w:rsidR="00C7051A" w:rsidRPr="00392B75">
          <w:rPr>
            <w:rStyle w:val="Hyperlinkki"/>
            <w:noProof/>
          </w:rPr>
          <w:t>Map 16: At-risk-of-poverty rates (after housing cost), Austria</w:t>
        </w:r>
        <w:r w:rsidR="00C7051A">
          <w:rPr>
            <w:noProof/>
            <w:webHidden/>
          </w:rPr>
          <w:tab/>
        </w:r>
        <w:r w:rsidR="00C7051A">
          <w:rPr>
            <w:noProof/>
            <w:webHidden/>
          </w:rPr>
          <w:fldChar w:fldCharType="begin"/>
        </w:r>
        <w:r w:rsidR="00C7051A">
          <w:rPr>
            <w:noProof/>
            <w:webHidden/>
          </w:rPr>
          <w:instrText xml:space="preserve"> PAGEREF _Toc401272719 \h </w:instrText>
        </w:r>
        <w:r w:rsidR="00C7051A">
          <w:rPr>
            <w:noProof/>
            <w:webHidden/>
          </w:rPr>
        </w:r>
        <w:r w:rsidR="00C7051A">
          <w:rPr>
            <w:noProof/>
            <w:webHidden/>
          </w:rPr>
          <w:fldChar w:fldCharType="separate"/>
        </w:r>
        <w:r w:rsidR="00C7051A">
          <w:rPr>
            <w:noProof/>
            <w:webHidden/>
          </w:rPr>
          <w:t>28</w:t>
        </w:r>
        <w:r w:rsidR="00C7051A">
          <w:rPr>
            <w:noProof/>
            <w:webHidden/>
          </w:rPr>
          <w:fldChar w:fldCharType="end"/>
        </w:r>
      </w:hyperlink>
    </w:p>
    <w:p w:rsidR="00C7051A" w:rsidRDefault="00630F69">
      <w:pPr>
        <w:pStyle w:val="Kuvaotsikkoluettelo"/>
        <w:tabs>
          <w:tab w:val="right" w:leader="dot" w:pos="8303"/>
        </w:tabs>
        <w:rPr>
          <w:rFonts w:asciiTheme="minorHAnsi" w:eastAsiaTheme="minorEastAsia" w:hAnsiTheme="minorHAnsi" w:cstheme="minorBidi"/>
          <w:noProof/>
          <w:szCs w:val="22"/>
          <w:lang w:val="fi-FI" w:eastAsia="fi-FI"/>
        </w:rPr>
      </w:pPr>
      <w:hyperlink w:anchor="_Toc401272720" w:history="1">
        <w:r w:rsidR="00C7051A" w:rsidRPr="00392B75">
          <w:rPr>
            <w:rStyle w:val="Hyperlinkki"/>
            <w:noProof/>
          </w:rPr>
          <w:t>Map 17: At-risk-of-poverty rates (before housing cost), Croatia</w:t>
        </w:r>
        <w:r w:rsidR="00C7051A">
          <w:rPr>
            <w:noProof/>
            <w:webHidden/>
          </w:rPr>
          <w:tab/>
        </w:r>
        <w:r w:rsidR="00C7051A">
          <w:rPr>
            <w:noProof/>
            <w:webHidden/>
          </w:rPr>
          <w:fldChar w:fldCharType="begin"/>
        </w:r>
        <w:r w:rsidR="00C7051A">
          <w:rPr>
            <w:noProof/>
            <w:webHidden/>
          </w:rPr>
          <w:instrText xml:space="preserve"> PAGEREF _Toc401272720 \h </w:instrText>
        </w:r>
        <w:r w:rsidR="00C7051A">
          <w:rPr>
            <w:noProof/>
            <w:webHidden/>
          </w:rPr>
        </w:r>
        <w:r w:rsidR="00C7051A">
          <w:rPr>
            <w:noProof/>
            <w:webHidden/>
          </w:rPr>
          <w:fldChar w:fldCharType="separate"/>
        </w:r>
        <w:r w:rsidR="00C7051A">
          <w:rPr>
            <w:noProof/>
            <w:webHidden/>
          </w:rPr>
          <w:t>28</w:t>
        </w:r>
        <w:r w:rsidR="00C7051A">
          <w:rPr>
            <w:noProof/>
            <w:webHidden/>
          </w:rPr>
          <w:fldChar w:fldCharType="end"/>
        </w:r>
      </w:hyperlink>
    </w:p>
    <w:p w:rsidR="00C7051A" w:rsidRDefault="00630F69">
      <w:pPr>
        <w:pStyle w:val="Kuvaotsikkoluettelo"/>
        <w:tabs>
          <w:tab w:val="right" w:leader="dot" w:pos="8303"/>
        </w:tabs>
        <w:rPr>
          <w:rFonts w:asciiTheme="minorHAnsi" w:eastAsiaTheme="minorEastAsia" w:hAnsiTheme="minorHAnsi" w:cstheme="minorBidi"/>
          <w:noProof/>
          <w:szCs w:val="22"/>
          <w:lang w:val="fi-FI" w:eastAsia="fi-FI"/>
        </w:rPr>
      </w:pPr>
      <w:hyperlink w:anchor="_Toc401272721" w:history="1">
        <w:r w:rsidR="00C7051A" w:rsidRPr="00392B75">
          <w:rPr>
            <w:rStyle w:val="Hyperlinkki"/>
            <w:noProof/>
          </w:rPr>
          <w:t>Map 18: At-risk-of-poverty rates (before housing cost), Greece 2001</w:t>
        </w:r>
        <w:r w:rsidR="00C7051A">
          <w:rPr>
            <w:noProof/>
            <w:webHidden/>
          </w:rPr>
          <w:tab/>
        </w:r>
        <w:r w:rsidR="00C7051A">
          <w:rPr>
            <w:noProof/>
            <w:webHidden/>
          </w:rPr>
          <w:fldChar w:fldCharType="begin"/>
        </w:r>
        <w:r w:rsidR="00C7051A">
          <w:rPr>
            <w:noProof/>
            <w:webHidden/>
          </w:rPr>
          <w:instrText xml:space="preserve"> PAGEREF _Toc401272721 \h </w:instrText>
        </w:r>
        <w:r w:rsidR="00C7051A">
          <w:rPr>
            <w:noProof/>
            <w:webHidden/>
          </w:rPr>
        </w:r>
        <w:r w:rsidR="00C7051A">
          <w:rPr>
            <w:noProof/>
            <w:webHidden/>
          </w:rPr>
          <w:fldChar w:fldCharType="separate"/>
        </w:r>
        <w:r w:rsidR="00C7051A">
          <w:rPr>
            <w:noProof/>
            <w:webHidden/>
          </w:rPr>
          <w:t>29</w:t>
        </w:r>
        <w:r w:rsidR="00C7051A">
          <w:rPr>
            <w:noProof/>
            <w:webHidden/>
          </w:rPr>
          <w:fldChar w:fldCharType="end"/>
        </w:r>
      </w:hyperlink>
    </w:p>
    <w:p w:rsidR="00C7051A" w:rsidRDefault="00630F69">
      <w:pPr>
        <w:pStyle w:val="Kuvaotsikkoluettelo"/>
        <w:tabs>
          <w:tab w:val="right" w:leader="dot" w:pos="8303"/>
        </w:tabs>
        <w:rPr>
          <w:rFonts w:asciiTheme="minorHAnsi" w:eastAsiaTheme="minorEastAsia" w:hAnsiTheme="minorHAnsi" w:cstheme="minorBidi"/>
          <w:noProof/>
          <w:szCs w:val="22"/>
          <w:lang w:val="fi-FI" w:eastAsia="fi-FI"/>
        </w:rPr>
      </w:pPr>
      <w:hyperlink w:anchor="_Toc401272722" w:history="1">
        <w:r w:rsidR="00C7051A" w:rsidRPr="00392B75">
          <w:rPr>
            <w:rStyle w:val="Hyperlinkki"/>
            <w:noProof/>
          </w:rPr>
          <w:t>Map 19: At-risk-of-poverty rates (after housing cost), Greece 2001</w:t>
        </w:r>
        <w:r w:rsidR="00C7051A">
          <w:rPr>
            <w:noProof/>
            <w:webHidden/>
          </w:rPr>
          <w:tab/>
        </w:r>
        <w:r w:rsidR="00C7051A">
          <w:rPr>
            <w:noProof/>
            <w:webHidden/>
          </w:rPr>
          <w:fldChar w:fldCharType="begin"/>
        </w:r>
        <w:r w:rsidR="00C7051A">
          <w:rPr>
            <w:noProof/>
            <w:webHidden/>
          </w:rPr>
          <w:instrText xml:space="preserve"> PAGEREF _Toc401272722 \h </w:instrText>
        </w:r>
        <w:r w:rsidR="00C7051A">
          <w:rPr>
            <w:noProof/>
            <w:webHidden/>
          </w:rPr>
        </w:r>
        <w:r w:rsidR="00C7051A">
          <w:rPr>
            <w:noProof/>
            <w:webHidden/>
          </w:rPr>
          <w:fldChar w:fldCharType="separate"/>
        </w:r>
        <w:r w:rsidR="00C7051A">
          <w:rPr>
            <w:noProof/>
            <w:webHidden/>
          </w:rPr>
          <w:t>29</w:t>
        </w:r>
        <w:r w:rsidR="00C7051A">
          <w:rPr>
            <w:noProof/>
            <w:webHidden/>
          </w:rPr>
          <w:fldChar w:fldCharType="end"/>
        </w:r>
      </w:hyperlink>
    </w:p>
    <w:p w:rsidR="00C7051A" w:rsidRDefault="00630F69">
      <w:pPr>
        <w:pStyle w:val="Kuvaotsikkoluettelo"/>
        <w:tabs>
          <w:tab w:val="right" w:leader="dot" w:pos="8303"/>
        </w:tabs>
        <w:rPr>
          <w:rFonts w:asciiTheme="minorHAnsi" w:eastAsiaTheme="minorEastAsia" w:hAnsiTheme="minorHAnsi" w:cstheme="minorBidi"/>
          <w:noProof/>
          <w:szCs w:val="22"/>
          <w:lang w:val="fi-FI" w:eastAsia="fi-FI"/>
        </w:rPr>
      </w:pPr>
      <w:hyperlink w:anchor="_Toc401272723" w:history="1">
        <w:r w:rsidR="00C7051A" w:rsidRPr="00392B75">
          <w:rPr>
            <w:rStyle w:val="Hyperlinkki"/>
            <w:noProof/>
          </w:rPr>
          <w:t>Map 20: At-risk-of-poverty rates (before housing cost), Greece update for 2011</w:t>
        </w:r>
        <w:r w:rsidR="00C7051A">
          <w:rPr>
            <w:noProof/>
            <w:webHidden/>
          </w:rPr>
          <w:tab/>
        </w:r>
        <w:r w:rsidR="00C7051A">
          <w:rPr>
            <w:noProof/>
            <w:webHidden/>
          </w:rPr>
          <w:fldChar w:fldCharType="begin"/>
        </w:r>
        <w:r w:rsidR="00C7051A">
          <w:rPr>
            <w:noProof/>
            <w:webHidden/>
          </w:rPr>
          <w:instrText xml:space="preserve"> PAGEREF _Toc401272723 \h </w:instrText>
        </w:r>
        <w:r w:rsidR="00C7051A">
          <w:rPr>
            <w:noProof/>
            <w:webHidden/>
          </w:rPr>
        </w:r>
        <w:r w:rsidR="00C7051A">
          <w:rPr>
            <w:noProof/>
            <w:webHidden/>
          </w:rPr>
          <w:fldChar w:fldCharType="separate"/>
        </w:r>
        <w:r w:rsidR="00C7051A">
          <w:rPr>
            <w:noProof/>
            <w:webHidden/>
          </w:rPr>
          <w:t>30</w:t>
        </w:r>
        <w:r w:rsidR="00C7051A">
          <w:rPr>
            <w:noProof/>
            <w:webHidden/>
          </w:rPr>
          <w:fldChar w:fldCharType="end"/>
        </w:r>
      </w:hyperlink>
    </w:p>
    <w:p w:rsidR="00C7051A" w:rsidRDefault="00630F69">
      <w:pPr>
        <w:pStyle w:val="Kuvaotsikkoluettelo"/>
        <w:tabs>
          <w:tab w:val="right" w:leader="dot" w:pos="8303"/>
        </w:tabs>
        <w:rPr>
          <w:rFonts w:asciiTheme="minorHAnsi" w:eastAsiaTheme="minorEastAsia" w:hAnsiTheme="minorHAnsi" w:cstheme="minorBidi"/>
          <w:noProof/>
          <w:szCs w:val="22"/>
          <w:lang w:val="fi-FI" w:eastAsia="fi-FI"/>
        </w:rPr>
      </w:pPr>
      <w:hyperlink w:anchor="_Toc401272724" w:history="1">
        <w:r w:rsidR="00C7051A" w:rsidRPr="00392B75">
          <w:rPr>
            <w:rStyle w:val="Hyperlinkki"/>
            <w:noProof/>
          </w:rPr>
          <w:t>Map 21: At-risk-of-poverty rates (after housing cost), Greece update for 2011</w:t>
        </w:r>
        <w:r w:rsidR="00C7051A">
          <w:rPr>
            <w:noProof/>
            <w:webHidden/>
          </w:rPr>
          <w:tab/>
        </w:r>
        <w:r w:rsidR="00C7051A">
          <w:rPr>
            <w:noProof/>
            <w:webHidden/>
          </w:rPr>
          <w:fldChar w:fldCharType="begin"/>
        </w:r>
        <w:r w:rsidR="00C7051A">
          <w:rPr>
            <w:noProof/>
            <w:webHidden/>
          </w:rPr>
          <w:instrText xml:space="preserve"> PAGEREF _Toc401272724 \h </w:instrText>
        </w:r>
        <w:r w:rsidR="00C7051A">
          <w:rPr>
            <w:noProof/>
            <w:webHidden/>
          </w:rPr>
        </w:r>
        <w:r w:rsidR="00C7051A">
          <w:rPr>
            <w:noProof/>
            <w:webHidden/>
          </w:rPr>
          <w:fldChar w:fldCharType="separate"/>
        </w:r>
        <w:r w:rsidR="00C7051A">
          <w:rPr>
            <w:noProof/>
            <w:webHidden/>
          </w:rPr>
          <w:t>30</w:t>
        </w:r>
        <w:r w:rsidR="00C7051A">
          <w:rPr>
            <w:noProof/>
            <w:webHidden/>
          </w:rPr>
          <w:fldChar w:fldCharType="end"/>
        </w:r>
      </w:hyperlink>
    </w:p>
    <w:p w:rsidR="00C7051A" w:rsidRDefault="00630F69">
      <w:pPr>
        <w:pStyle w:val="Kuvaotsikkoluettelo"/>
        <w:tabs>
          <w:tab w:val="right" w:leader="dot" w:pos="8303"/>
        </w:tabs>
        <w:rPr>
          <w:rFonts w:asciiTheme="minorHAnsi" w:eastAsiaTheme="minorEastAsia" w:hAnsiTheme="minorHAnsi" w:cstheme="minorBidi"/>
          <w:noProof/>
          <w:szCs w:val="22"/>
          <w:lang w:val="fi-FI" w:eastAsia="fi-FI"/>
        </w:rPr>
      </w:pPr>
      <w:hyperlink w:anchor="_Toc401272725" w:history="1">
        <w:r w:rsidR="00C7051A" w:rsidRPr="00392B75">
          <w:rPr>
            <w:rStyle w:val="Hyperlinkki"/>
            <w:noProof/>
          </w:rPr>
          <w:t>Map 22: At-risk-of-poverty rates (before housing cost), United Kingdom</w:t>
        </w:r>
        <w:r w:rsidR="00C7051A">
          <w:rPr>
            <w:noProof/>
            <w:webHidden/>
          </w:rPr>
          <w:tab/>
        </w:r>
        <w:r w:rsidR="00C7051A">
          <w:rPr>
            <w:noProof/>
            <w:webHidden/>
          </w:rPr>
          <w:fldChar w:fldCharType="begin"/>
        </w:r>
        <w:r w:rsidR="00C7051A">
          <w:rPr>
            <w:noProof/>
            <w:webHidden/>
          </w:rPr>
          <w:instrText xml:space="preserve"> PAGEREF _Toc401272725 \h </w:instrText>
        </w:r>
        <w:r w:rsidR="00C7051A">
          <w:rPr>
            <w:noProof/>
            <w:webHidden/>
          </w:rPr>
        </w:r>
        <w:r w:rsidR="00C7051A">
          <w:rPr>
            <w:noProof/>
            <w:webHidden/>
          </w:rPr>
          <w:fldChar w:fldCharType="separate"/>
        </w:r>
        <w:r w:rsidR="00C7051A">
          <w:rPr>
            <w:noProof/>
            <w:webHidden/>
          </w:rPr>
          <w:t>31</w:t>
        </w:r>
        <w:r w:rsidR="00C7051A">
          <w:rPr>
            <w:noProof/>
            <w:webHidden/>
          </w:rPr>
          <w:fldChar w:fldCharType="end"/>
        </w:r>
      </w:hyperlink>
    </w:p>
    <w:p w:rsidR="00C7051A" w:rsidRDefault="00630F69">
      <w:pPr>
        <w:pStyle w:val="Kuvaotsikkoluettelo"/>
        <w:tabs>
          <w:tab w:val="right" w:leader="dot" w:pos="8303"/>
        </w:tabs>
        <w:rPr>
          <w:rFonts w:asciiTheme="minorHAnsi" w:eastAsiaTheme="minorEastAsia" w:hAnsiTheme="minorHAnsi" w:cstheme="minorBidi"/>
          <w:noProof/>
          <w:szCs w:val="22"/>
          <w:lang w:val="fi-FI" w:eastAsia="fi-FI"/>
        </w:rPr>
      </w:pPr>
      <w:hyperlink w:anchor="_Toc401272726" w:history="1">
        <w:r w:rsidR="00C7051A" w:rsidRPr="00392B75">
          <w:rPr>
            <w:rStyle w:val="Hyperlinkki"/>
            <w:noProof/>
          </w:rPr>
          <w:t>Map 23: At-risk-of-poverty rates (after housing cost), United Kingdom</w:t>
        </w:r>
        <w:r w:rsidR="00C7051A">
          <w:rPr>
            <w:noProof/>
            <w:webHidden/>
          </w:rPr>
          <w:tab/>
        </w:r>
        <w:r w:rsidR="00C7051A">
          <w:rPr>
            <w:noProof/>
            <w:webHidden/>
          </w:rPr>
          <w:fldChar w:fldCharType="begin"/>
        </w:r>
        <w:r w:rsidR="00C7051A">
          <w:rPr>
            <w:noProof/>
            <w:webHidden/>
          </w:rPr>
          <w:instrText xml:space="preserve"> PAGEREF _Toc401272726 \h </w:instrText>
        </w:r>
        <w:r w:rsidR="00C7051A">
          <w:rPr>
            <w:noProof/>
            <w:webHidden/>
          </w:rPr>
        </w:r>
        <w:r w:rsidR="00C7051A">
          <w:rPr>
            <w:noProof/>
            <w:webHidden/>
          </w:rPr>
          <w:fldChar w:fldCharType="separate"/>
        </w:r>
        <w:r w:rsidR="00C7051A">
          <w:rPr>
            <w:noProof/>
            <w:webHidden/>
          </w:rPr>
          <w:t>31</w:t>
        </w:r>
        <w:r w:rsidR="00C7051A">
          <w:rPr>
            <w:noProof/>
            <w:webHidden/>
          </w:rPr>
          <w:fldChar w:fldCharType="end"/>
        </w:r>
      </w:hyperlink>
    </w:p>
    <w:p w:rsidR="00C7051A" w:rsidRDefault="00630F69">
      <w:pPr>
        <w:pStyle w:val="Kuvaotsikkoluettelo"/>
        <w:tabs>
          <w:tab w:val="right" w:leader="dot" w:pos="8303"/>
        </w:tabs>
        <w:rPr>
          <w:rFonts w:asciiTheme="minorHAnsi" w:eastAsiaTheme="minorEastAsia" w:hAnsiTheme="minorHAnsi" w:cstheme="minorBidi"/>
          <w:noProof/>
          <w:szCs w:val="22"/>
          <w:lang w:val="fi-FI" w:eastAsia="fi-FI"/>
        </w:rPr>
      </w:pPr>
      <w:hyperlink w:anchor="_Toc401272727" w:history="1">
        <w:r w:rsidR="00C7051A" w:rsidRPr="00392B75">
          <w:rPr>
            <w:rStyle w:val="Hyperlinkki"/>
            <w:noProof/>
          </w:rPr>
          <w:t>Map 24: At-risk-of-poverty rates (before housing cost), Germany</w:t>
        </w:r>
        <w:r w:rsidR="00C7051A">
          <w:rPr>
            <w:noProof/>
            <w:webHidden/>
          </w:rPr>
          <w:tab/>
        </w:r>
        <w:r w:rsidR="00C7051A">
          <w:rPr>
            <w:noProof/>
            <w:webHidden/>
          </w:rPr>
          <w:fldChar w:fldCharType="begin"/>
        </w:r>
        <w:r w:rsidR="00C7051A">
          <w:rPr>
            <w:noProof/>
            <w:webHidden/>
          </w:rPr>
          <w:instrText xml:space="preserve"> PAGEREF _Toc401272727 \h </w:instrText>
        </w:r>
        <w:r w:rsidR="00C7051A">
          <w:rPr>
            <w:noProof/>
            <w:webHidden/>
          </w:rPr>
        </w:r>
        <w:r w:rsidR="00C7051A">
          <w:rPr>
            <w:noProof/>
            <w:webHidden/>
          </w:rPr>
          <w:fldChar w:fldCharType="separate"/>
        </w:r>
        <w:r w:rsidR="00C7051A">
          <w:rPr>
            <w:noProof/>
            <w:webHidden/>
          </w:rPr>
          <w:t>33</w:t>
        </w:r>
        <w:r w:rsidR="00C7051A">
          <w:rPr>
            <w:noProof/>
            <w:webHidden/>
          </w:rPr>
          <w:fldChar w:fldCharType="end"/>
        </w:r>
      </w:hyperlink>
    </w:p>
    <w:p w:rsidR="00C7051A" w:rsidRDefault="00630F69">
      <w:pPr>
        <w:pStyle w:val="Kuvaotsikkoluettelo"/>
        <w:tabs>
          <w:tab w:val="right" w:leader="dot" w:pos="8303"/>
        </w:tabs>
        <w:rPr>
          <w:rFonts w:asciiTheme="minorHAnsi" w:eastAsiaTheme="minorEastAsia" w:hAnsiTheme="minorHAnsi" w:cstheme="minorBidi"/>
          <w:noProof/>
          <w:szCs w:val="22"/>
          <w:lang w:val="fi-FI" w:eastAsia="fi-FI"/>
        </w:rPr>
      </w:pPr>
      <w:hyperlink w:anchor="_Toc401272728" w:history="1">
        <w:r w:rsidR="00C7051A" w:rsidRPr="00392B75">
          <w:rPr>
            <w:rStyle w:val="Hyperlinkki"/>
            <w:noProof/>
          </w:rPr>
          <w:t>Map 25: At-risk-of-poverty rates (before housing cost), Italy</w:t>
        </w:r>
        <w:r w:rsidR="00C7051A">
          <w:rPr>
            <w:noProof/>
            <w:webHidden/>
          </w:rPr>
          <w:tab/>
        </w:r>
        <w:r w:rsidR="00C7051A">
          <w:rPr>
            <w:noProof/>
            <w:webHidden/>
          </w:rPr>
          <w:fldChar w:fldCharType="begin"/>
        </w:r>
        <w:r w:rsidR="00C7051A">
          <w:rPr>
            <w:noProof/>
            <w:webHidden/>
          </w:rPr>
          <w:instrText xml:space="preserve"> PAGEREF _Toc401272728 \h </w:instrText>
        </w:r>
        <w:r w:rsidR="00C7051A">
          <w:rPr>
            <w:noProof/>
            <w:webHidden/>
          </w:rPr>
        </w:r>
        <w:r w:rsidR="00C7051A">
          <w:rPr>
            <w:noProof/>
            <w:webHidden/>
          </w:rPr>
          <w:fldChar w:fldCharType="separate"/>
        </w:r>
        <w:r w:rsidR="00C7051A">
          <w:rPr>
            <w:noProof/>
            <w:webHidden/>
          </w:rPr>
          <w:t>34</w:t>
        </w:r>
        <w:r w:rsidR="00C7051A">
          <w:rPr>
            <w:noProof/>
            <w:webHidden/>
          </w:rPr>
          <w:fldChar w:fldCharType="end"/>
        </w:r>
      </w:hyperlink>
    </w:p>
    <w:p w:rsidR="00C7051A" w:rsidRDefault="00630F69">
      <w:pPr>
        <w:pStyle w:val="Kuvaotsikkoluettelo"/>
        <w:tabs>
          <w:tab w:val="right" w:leader="dot" w:pos="8303"/>
        </w:tabs>
        <w:rPr>
          <w:rFonts w:asciiTheme="minorHAnsi" w:eastAsiaTheme="minorEastAsia" w:hAnsiTheme="minorHAnsi" w:cstheme="minorBidi"/>
          <w:noProof/>
          <w:szCs w:val="22"/>
          <w:lang w:val="fi-FI" w:eastAsia="fi-FI"/>
        </w:rPr>
      </w:pPr>
      <w:hyperlink w:anchor="_Toc401272729" w:history="1">
        <w:r w:rsidR="00C7051A" w:rsidRPr="00392B75">
          <w:rPr>
            <w:rStyle w:val="Hyperlinkki"/>
            <w:noProof/>
          </w:rPr>
          <w:t>Map 26: At-risk-of-poverty rates (before housing cost), Turkey</w:t>
        </w:r>
        <w:r w:rsidR="00C7051A">
          <w:rPr>
            <w:noProof/>
            <w:webHidden/>
          </w:rPr>
          <w:tab/>
        </w:r>
        <w:r w:rsidR="00C7051A">
          <w:rPr>
            <w:noProof/>
            <w:webHidden/>
          </w:rPr>
          <w:fldChar w:fldCharType="begin"/>
        </w:r>
        <w:r w:rsidR="00C7051A">
          <w:rPr>
            <w:noProof/>
            <w:webHidden/>
          </w:rPr>
          <w:instrText xml:space="preserve"> PAGEREF _Toc401272729 \h </w:instrText>
        </w:r>
        <w:r w:rsidR="00C7051A">
          <w:rPr>
            <w:noProof/>
            <w:webHidden/>
          </w:rPr>
        </w:r>
        <w:r w:rsidR="00C7051A">
          <w:rPr>
            <w:noProof/>
            <w:webHidden/>
          </w:rPr>
          <w:fldChar w:fldCharType="separate"/>
        </w:r>
        <w:r w:rsidR="00C7051A">
          <w:rPr>
            <w:noProof/>
            <w:webHidden/>
          </w:rPr>
          <w:t>34</w:t>
        </w:r>
        <w:r w:rsidR="00C7051A">
          <w:rPr>
            <w:noProof/>
            <w:webHidden/>
          </w:rPr>
          <w:fldChar w:fldCharType="end"/>
        </w:r>
      </w:hyperlink>
    </w:p>
    <w:p w:rsidR="00C7051A" w:rsidRDefault="00630F69">
      <w:pPr>
        <w:pStyle w:val="Kuvaotsikkoluettelo"/>
        <w:tabs>
          <w:tab w:val="right" w:leader="dot" w:pos="8303"/>
        </w:tabs>
        <w:rPr>
          <w:rFonts w:asciiTheme="minorHAnsi" w:eastAsiaTheme="minorEastAsia" w:hAnsiTheme="minorHAnsi" w:cstheme="minorBidi"/>
          <w:noProof/>
          <w:szCs w:val="22"/>
          <w:lang w:val="fi-FI" w:eastAsia="fi-FI"/>
        </w:rPr>
      </w:pPr>
      <w:hyperlink w:anchor="_Toc401272730" w:history="1">
        <w:r w:rsidR="00C7051A" w:rsidRPr="00392B75">
          <w:rPr>
            <w:rStyle w:val="Hyperlinkki"/>
            <w:noProof/>
          </w:rPr>
          <w:t>Map 27: At-risk-of-poverty rates (before housing cost), Austria update for 2011</w:t>
        </w:r>
        <w:r w:rsidR="00C7051A">
          <w:rPr>
            <w:noProof/>
            <w:webHidden/>
          </w:rPr>
          <w:tab/>
        </w:r>
        <w:r w:rsidR="00C7051A">
          <w:rPr>
            <w:noProof/>
            <w:webHidden/>
          </w:rPr>
          <w:fldChar w:fldCharType="begin"/>
        </w:r>
        <w:r w:rsidR="00C7051A">
          <w:rPr>
            <w:noProof/>
            <w:webHidden/>
          </w:rPr>
          <w:instrText xml:space="preserve"> PAGEREF _Toc401272730 \h </w:instrText>
        </w:r>
        <w:r w:rsidR="00C7051A">
          <w:rPr>
            <w:noProof/>
            <w:webHidden/>
          </w:rPr>
        </w:r>
        <w:r w:rsidR="00C7051A">
          <w:rPr>
            <w:noProof/>
            <w:webHidden/>
          </w:rPr>
          <w:fldChar w:fldCharType="separate"/>
        </w:r>
        <w:r w:rsidR="00C7051A">
          <w:rPr>
            <w:noProof/>
            <w:webHidden/>
          </w:rPr>
          <w:t>36</w:t>
        </w:r>
        <w:r w:rsidR="00C7051A">
          <w:rPr>
            <w:noProof/>
            <w:webHidden/>
          </w:rPr>
          <w:fldChar w:fldCharType="end"/>
        </w:r>
      </w:hyperlink>
    </w:p>
    <w:p w:rsidR="00C7051A" w:rsidRDefault="00630F69">
      <w:pPr>
        <w:pStyle w:val="Kuvaotsikkoluettelo"/>
        <w:tabs>
          <w:tab w:val="right" w:leader="dot" w:pos="8303"/>
        </w:tabs>
        <w:rPr>
          <w:rFonts w:asciiTheme="minorHAnsi" w:eastAsiaTheme="minorEastAsia" w:hAnsiTheme="minorHAnsi" w:cstheme="minorBidi"/>
          <w:noProof/>
          <w:szCs w:val="22"/>
          <w:lang w:val="fi-FI" w:eastAsia="fi-FI"/>
        </w:rPr>
      </w:pPr>
      <w:hyperlink w:anchor="_Toc401272731" w:history="1">
        <w:r w:rsidR="00C7051A" w:rsidRPr="00392B75">
          <w:rPr>
            <w:rStyle w:val="Hyperlinkki"/>
            <w:noProof/>
          </w:rPr>
          <w:t>Map 28: At-risk-of-poverty rates (before housing cost), Belgium</w:t>
        </w:r>
        <w:r w:rsidR="00C7051A">
          <w:rPr>
            <w:noProof/>
            <w:webHidden/>
          </w:rPr>
          <w:tab/>
        </w:r>
        <w:r w:rsidR="00C7051A">
          <w:rPr>
            <w:noProof/>
            <w:webHidden/>
          </w:rPr>
          <w:fldChar w:fldCharType="begin"/>
        </w:r>
        <w:r w:rsidR="00C7051A">
          <w:rPr>
            <w:noProof/>
            <w:webHidden/>
          </w:rPr>
          <w:instrText xml:space="preserve"> PAGEREF _Toc401272731 \h </w:instrText>
        </w:r>
        <w:r w:rsidR="00C7051A">
          <w:rPr>
            <w:noProof/>
            <w:webHidden/>
          </w:rPr>
        </w:r>
        <w:r w:rsidR="00C7051A">
          <w:rPr>
            <w:noProof/>
            <w:webHidden/>
          </w:rPr>
          <w:fldChar w:fldCharType="separate"/>
        </w:r>
        <w:r w:rsidR="00C7051A">
          <w:rPr>
            <w:noProof/>
            <w:webHidden/>
          </w:rPr>
          <w:t>36</w:t>
        </w:r>
        <w:r w:rsidR="00C7051A">
          <w:rPr>
            <w:noProof/>
            <w:webHidden/>
          </w:rPr>
          <w:fldChar w:fldCharType="end"/>
        </w:r>
      </w:hyperlink>
    </w:p>
    <w:p w:rsidR="00C7051A" w:rsidRDefault="00630F69">
      <w:pPr>
        <w:pStyle w:val="Kuvaotsikkoluettelo"/>
        <w:tabs>
          <w:tab w:val="right" w:leader="dot" w:pos="8303"/>
        </w:tabs>
        <w:rPr>
          <w:rFonts w:asciiTheme="minorHAnsi" w:eastAsiaTheme="minorEastAsia" w:hAnsiTheme="minorHAnsi" w:cstheme="minorBidi"/>
          <w:noProof/>
          <w:szCs w:val="22"/>
          <w:lang w:val="fi-FI" w:eastAsia="fi-FI"/>
        </w:rPr>
      </w:pPr>
      <w:hyperlink w:anchor="_Toc401272732" w:history="1">
        <w:r w:rsidR="00C7051A" w:rsidRPr="00392B75">
          <w:rPr>
            <w:rStyle w:val="Hyperlinkki"/>
            <w:noProof/>
          </w:rPr>
          <w:t>Map 29: At-risk-of-poverty rates (before housing cost), Portugal</w:t>
        </w:r>
        <w:r w:rsidR="00C7051A">
          <w:rPr>
            <w:noProof/>
            <w:webHidden/>
          </w:rPr>
          <w:tab/>
        </w:r>
        <w:r w:rsidR="00C7051A">
          <w:rPr>
            <w:noProof/>
            <w:webHidden/>
          </w:rPr>
          <w:fldChar w:fldCharType="begin"/>
        </w:r>
        <w:r w:rsidR="00C7051A">
          <w:rPr>
            <w:noProof/>
            <w:webHidden/>
          </w:rPr>
          <w:instrText xml:space="preserve"> PAGEREF _Toc401272732 \h </w:instrText>
        </w:r>
        <w:r w:rsidR="00C7051A">
          <w:rPr>
            <w:noProof/>
            <w:webHidden/>
          </w:rPr>
        </w:r>
        <w:r w:rsidR="00C7051A">
          <w:rPr>
            <w:noProof/>
            <w:webHidden/>
          </w:rPr>
          <w:fldChar w:fldCharType="separate"/>
        </w:r>
        <w:r w:rsidR="00C7051A">
          <w:rPr>
            <w:noProof/>
            <w:webHidden/>
          </w:rPr>
          <w:t>37</w:t>
        </w:r>
        <w:r w:rsidR="00C7051A">
          <w:rPr>
            <w:noProof/>
            <w:webHidden/>
          </w:rPr>
          <w:fldChar w:fldCharType="end"/>
        </w:r>
      </w:hyperlink>
    </w:p>
    <w:p w:rsidR="00C7051A" w:rsidRDefault="00630F69">
      <w:pPr>
        <w:pStyle w:val="Kuvaotsikkoluettelo"/>
        <w:tabs>
          <w:tab w:val="right" w:leader="dot" w:pos="8303"/>
        </w:tabs>
        <w:rPr>
          <w:rFonts w:asciiTheme="minorHAnsi" w:eastAsiaTheme="minorEastAsia" w:hAnsiTheme="minorHAnsi" w:cstheme="minorBidi"/>
          <w:noProof/>
          <w:szCs w:val="22"/>
          <w:lang w:val="fi-FI" w:eastAsia="fi-FI"/>
        </w:rPr>
      </w:pPr>
      <w:hyperlink w:anchor="_Toc401272733" w:history="1">
        <w:r w:rsidR="00C7051A" w:rsidRPr="00392B75">
          <w:rPr>
            <w:rStyle w:val="Hyperlinkki"/>
            <w:noProof/>
          </w:rPr>
          <w:t>Map 30: At-risk-of-poverty rates (before housing cost), Spain</w:t>
        </w:r>
        <w:r w:rsidR="00C7051A">
          <w:rPr>
            <w:noProof/>
            <w:webHidden/>
          </w:rPr>
          <w:tab/>
        </w:r>
        <w:r w:rsidR="00C7051A">
          <w:rPr>
            <w:noProof/>
            <w:webHidden/>
          </w:rPr>
          <w:fldChar w:fldCharType="begin"/>
        </w:r>
        <w:r w:rsidR="00C7051A">
          <w:rPr>
            <w:noProof/>
            <w:webHidden/>
          </w:rPr>
          <w:instrText xml:space="preserve"> PAGEREF _Toc401272733 \h </w:instrText>
        </w:r>
        <w:r w:rsidR="00C7051A">
          <w:rPr>
            <w:noProof/>
            <w:webHidden/>
          </w:rPr>
        </w:r>
        <w:r w:rsidR="00C7051A">
          <w:rPr>
            <w:noProof/>
            <w:webHidden/>
          </w:rPr>
          <w:fldChar w:fldCharType="separate"/>
        </w:r>
        <w:r w:rsidR="00C7051A">
          <w:rPr>
            <w:noProof/>
            <w:webHidden/>
          </w:rPr>
          <w:t>37</w:t>
        </w:r>
        <w:r w:rsidR="00C7051A">
          <w:rPr>
            <w:noProof/>
            <w:webHidden/>
          </w:rPr>
          <w:fldChar w:fldCharType="end"/>
        </w:r>
      </w:hyperlink>
    </w:p>
    <w:p w:rsidR="00C7051A" w:rsidRDefault="00630F69">
      <w:pPr>
        <w:pStyle w:val="Kuvaotsikkoluettelo"/>
        <w:tabs>
          <w:tab w:val="right" w:leader="dot" w:pos="8303"/>
        </w:tabs>
        <w:rPr>
          <w:rFonts w:asciiTheme="minorHAnsi" w:eastAsiaTheme="minorEastAsia" w:hAnsiTheme="minorHAnsi" w:cstheme="minorBidi"/>
          <w:noProof/>
          <w:szCs w:val="22"/>
          <w:lang w:val="fi-FI" w:eastAsia="fi-FI"/>
        </w:rPr>
      </w:pPr>
      <w:hyperlink w:anchor="_Toc401272734" w:history="1">
        <w:r w:rsidR="00C7051A" w:rsidRPr="00392B75">
          <w:rPr>
            <w:rStyle w:val="Hyperlinkki"/>
            <w:noProof/>
          </w:rPr>
          <w:t>Map 31: At-risk-of-poverty rates (before housing cost), Switzerland</w:t>
        </w:r>
        <w:r w:rsidR="00C7051A">
          <w:rPr>
            <w:noProof/>
            <w:webHidden/>
          </w:rPr>
          <w:tab/>
        </w:r>
        <w:r w:rsidR="00C7051A">
          <w:rPr>
            <w:noProof/>
            <w:webHidden/>
          </w:rPr>
          <w:fldChar w:fldCharType="begin"/>
        </w:r>
        <w:r w:rsidR="00C7051A">
          <w:rPr>
            <w:noProof/>
            <w:webHidden/>
          </w:rPr>
          <w:instrText xml:space="preserve"> PAGEREF _Toc401272734 \h </w:instrText>
        </w:r>
        <w:r w:rsidR="00C7051A">
          <w:rPr>
            <w:noProof/>
            <w:webHidden/>
          </w:rPr>
        </w:r>
        <w:r w:rsidR="00C7051A">
          <w:rPr>
            <w:noProof/>
            <w:webHidden/>
          </w:rPr>
          <w:fldChar w:fldCharType="separate"/>
        </w:r>
        <w:r w:rsidR="00C7051A">
          <w:rPr>
            <w:noProof/>
            <w:webHidden/>
          </w:rPr>
          <w:t>38</w:t>
        </w:r>
        <w:r w:rsidR="00C7051A">
          <w:rPr>
            <w:noProof/>
            <w:webHidden/>
          </w:rPr>
          <w:fldChar w:fldCharType="end"/>
        </w:r>
      </w:hyperlink>
    </w:p>
    <w:p w:rsidR="00956CB4" w:rsidRPr="00C36DAF" w:rsidRDefault="00F61E50" w:rsidP="00AA149B">
      <w:pPr>
        <w:pStyle w:val="ESPONText"/>
        <w:tabs>
          <w:tab w:val="left" w:pos="9072"/>
        </w:tabs>
        <w:spacing w:after="0"/>
      </w:pPr>
      <w:r w:rsidRPr="00C36DAF">
        <w:fldChar w:fldCharType="end"/>
      </w:r>
    </w:p>
    <w:p w:rsidR="00473821" w:rsidRPr="00C36DAF" w:rsidRDefault="00473821" w:rsidP="00727BDE">
      <w:pPr>
        <w:pStyle w:val="ESPONText"/>
        <w:tabs>
          <w:tab w:val="left" w:pos="9072"/>
        </w:tabs>
      </w:pPr>
    </w:p>
    <w:p w:rsidR="00F0060F" w:rsidRDefault="00F0060F">
      <w:pPr>
        <w:spacing w:before="0"/>
        <w:rPr>
          <w:noProof/>
        </w:rPr>
        <w:sectPr w:rsidR="00F0060F" w:rsidSect="00945940">
          <w:footerReference w:type="default" r:id="rId15"/>
          <w:pgSz w:w="11907" w:h="16840" w:code="9"/>
          <w:pgMar w:top="1440" w:right="1797" w:bottom="1440" w:left="1797" w:header="709" w:footer="709" w:gutter="0"/>
          <w:cols w:space="708"/>
          <w:docGrid w:linePitch="360"/>
        </w:sectPr>
      </w:pPr>
    </w:p>
    <w:p w:rsidR="00007B80" w:rsidRPr="00692B36" w:rsidRDefault="00855D5A" w:rsidP="00007B80">
      <w:pPr>
        <w:pStyle w:val="Otsikko1"/>
        <w:rPr>
          <w:noProof/>
        </w:rPr>
      </w:pPr>
      <w:bookmarkStart w:id="2" w:name="_Toc393812330"/>
      <w:r w:rsidRPr="00692B36">
        <w:rPr>
          <w:noProof/>
        </w:rPr>
        <w:lastRenderedPageBreak/>
        <w:t>Introduction and Background</w:t>
      </w:r>
      <w:bookmarkEnd w:id="2"/>
    </w:p>
    <w:p w:rsidR="00C93921" w:rsidRDefault="00C93921" w:rsidP="00C93921">
      <w:r>
        <w:t xml:space="preserve">This </w:t>
      </w:r>
      <w:r w:rsidR="003D366C">
        <w:t>document</w:t>
      </w:r>
      <w:r>
        <w:t xml:space="preserve"> describes how the TiPSE research team achieved one of the core objectives of the project, to collate At-Risk-of-Poverty (</w:t>
      </w:r>
      <w:r w:rsidR="008632AA">
        <w:t>ARoP</w:t>
      </w:r>
      <w:r>
        <w:t>) rates, at NUTS 3</w:t>
      </w:r>
      <w:r w:rsidR="007C79C2">
        <w:t>,</w:t>
      </w:r>
      <w:r>
        <w:t xml:space="preserve"> for all ESPON space countries </w:t>
      </w:r>
      <w:r w:rsidR="00EB50F1">
        <w:t xml:space="preserve">- </w:t>
      </w:r>
      <w:r>
        <w:t xml:space="preserve">except those covered by </w:t>
      </w:r>
      <w:r w:rsidR="007C79C2">
        <w:t>a</w:t>
      </w:r>
      <w:r>
        <w:t xml:space="preserve"> parallel World Bank project. The latter has been focusing upon the former socialist New Member States of Central and Eastern Europe.</w:t>
      </w:r>
      <w:r w:rsidR="00EB50F1">
        <w:t xml:space="preserve"> This paper will focus on the practicalities of the various methodologies used to estimate regional </w:t>
      </w:r>
      <w:r w:rsidR="008632AA">
        <w:t>AR</w:t>
      </w:r>
      <w:r w:rsidR="00CD058B">
        <w:t>o</w:t>
      </w:r>
      <w:r w:rsidR="008632AA">
        <w:t>P</w:t>
      </w:r>
      <w:r w:rsidR="00EB50F1">
        <w:t xml:space="preserve"> rates. </w:t>
      </w:r>
      <w:r w:rsidR="003D366C">
        <w:t>Annex</w:t>
      </w:r>
      <w:r w:rsidR="00EB50F1">
        <w:t xml:space="preserve"> 7 will review and analyse the geographical patterns revealed by the </w:t>
      </w:r>
      <w:r w:rsidR="008632AA">
        <w:t>ARoP</w:t>
      </w:r>
      <w:r w:rsidR="00EB50F1">
        <w:t xml:space="preserve"> maps.</w:t>
      </w:r>
    </w:p>
    <w:p w:rsidR="006D7FBF" w:rsidRDefault="006D7FBF" w:rsidP="0023324F">
      <w:pPr>
        <w:jc w:val="right"/>
        <w:rPr>
          <w:i/>
        </w:rPr>
      </w:pPr>
    </w:p>
    <w:p w:rsidR="00C93921" w:rsidRPr="00EB50F1" w:rsidRDefault="00EB50F1" w:rsidP="00C93921">
      <w:pPr>
        <w:rPr>
          <w:i/>
        </w:rPr>
      </w:pPr>
      <w:r>
        <w:rPr>
          <w:i/>
        </w:rPr>
        <w:t>How</w:t>
      </w:r>
      <w:r w:rsidRPr="00EB50F1">
        <w:rPr>
          <w:i/>
        </w:rPr>
        <w:t xml:space="preserve"> Income Poverty</w:t>
      </w:r>
      <w:r>
        <w:rPr>
          <w:i/>
        </w:rPr>
        <w:t xml:space="preserve"> differs from Social Exclusion: </w:t>
      </w:r>
    </w:p>
    <w:p w:rsidR="000B0354" w:rsidRDefault="00C93921" w:rsidP="00C93921">
      <w:r>
        <w:t>Poverty is commonly defined in absolute or relative terms: relative poverty is more commonly used in a European context and is usually specified in terms of</w:t>
      </w:r>
      <w:r w:rsidR="00EB50F1">
        <w:t xml:space="preserve"> disposable</w:t>
      </w:r>
      <w:r>
        <w:t xml:space="preserve"> income below a minimum acceptable level.</w:t>
      </w:r>
      <w:r w:rsidR="00EB50F1">
        <w:t xml:space="preserve"> </w:t>
      </w:r>
      <w:r w:rsidR="000B0354">
        <w:t xml:space="preserve">Some have argued that annual income-based measures of poverty are </w:t>
      </w:r>
      <w:r w:rsidR="000B0354" w:rsidRPr="00852538">
        <w:rPr>
          <w:i/>
        </w:rPr>
        <w:t>indirect</w:t>
      </w:r>
      <w:r w:rsidR="000B0354">
        <w:t>, since the impact of low income in any single recording year, will be affected by a variety of household and local environmental fac</w:t>
      </w:r>
      <w:r w:rsidR="007C79C2">
        <w:t xml:space="preserve">tors, including the duration of the period of low income, and the existence of reserves, </w:t>
      </w:r>
      <w:r w:rsidR="00852538">
        <w:t xml:space="preserve">local </w:t>
      </w:r>
      <w:r w:rsidR="007C79C2">
        <w:t>v</w:t>
      </w:r>
      <w:r w:rsidR="000B0354">
        <w:t>ariations in living cost</w:t>
      </w:r>
      <w:r w:rsidR="007C79C2">
        <w:t>, disabilities and illness, and so on</w:t>
      </w:r>
      <w:r w:rsidR="000B0354">
        <w:t>.</w:t>
      </w:r>
      <w:r w:rsidR="007C79C2">
        <w:t xml:space="preserve"> “</w:t>
      </w:r>
      <w:r w:rsidR="007C79C2" w:rsidRPr="00852538">
        <w:rPr>
          <w:i/>
        </w:rPr>
        <w:t>Persistent poverty</w:t>
      </w:r>
      <w:r w:rsidR="007C79C2">
        <w:t>” indicators take duration of the episode into account. A more direct indicator of poverty known as “</w:t>
      </w:r>
      <w:r w:rsidR="007C79C2" w:rsidRPr="00852538">
        <w:rPr>
          <w:i/>
        </w:rPr>
        <w:t>material deprivation</w:t>
      </w:r>
      <w:r w:rsidR="007C79C2">
        <w:t xml:space="preserve">” </w:t>
      </w:r>
      <w:r w:rsidR="00852538">
        <w:t>measures</w:t>
      </w:r>
      <w:r w:rsidR="007C79C2">
        <w:t xml:space="preserve"> access to certain goods or services. The overlap between income poverty and material deprivation is sometimes termed “</w:t>
      </w:r>
      <w:r w:rsidR="007C79C2" w:rsidRPr="00852538">
        <w:rPr>
          <w:i/>
        </w:rPr>
        <w:t>consisten</w:t>
      </w:r>
      <w:r w:rsidR="00852538">
        <w:rPr>
          <w:i/>
        </w:rPr>
        <w:t>t</w:t>
      </w:r>
      <w:r w:rsidR="007C79C2" w:rsidRPr="00852538">
        <w:rPr>
          <w:i/>
        </w:rPr>
        <w:t xml:space="preserve"> poverty</w:t>
      </w:r>
      <w:r w:rsidR="007C79C2">
        <w:t>”.</w:t>
      </w:r>
    </w:p>
    <w:p w:rsidR="00C93921" w:rsidRDefault="00C93921" w:rsidP="00C93921">
      <w:r>
        <w:t xml:space="preserve">Social Exclusion </w:t>
      </w:r>
      <w:r w:rsidR="00EB50F1">
        <w:t>is a distinct, but closely related concept. It concerns</w:t>
      </w:r>
      <w:r>
        <w:t xml:space="preserve"> not only income but also </w:t>
      </w:r>
      <w:r w:rsidR="00EB50F1">
        <w:t>considers, more broadly,</w:t>
      </w:r>
      <w:r>
        <w:t xml:space="preserve"> inclusion within various aspects of society, such as the labour market, administrative systems, association and community, institutions and democracy. </w:t>
      </w:r>
      <w:r w:rsidR="00EB50F1">
        <w:t>Social exclusion</w:t>
      </w:r>
      <w:r>
        <w:t xml:space="preserve"> is essentially relational, multi-dimensional and dynamic.</w:t>
      </w:r>
    </w:p>
    <w:p w:rsidR="006D7FBF" w:rsidRDefault="006D7FBF" w:rsidP="00C93921"/>
    <w:p w:rsidR="00852538" w:rsidRPr="00852538" w:rsidRDefault="00852538" w:rsidP="00C93921">
      <w:pPr>
        <w:rPr>
          <w:i/>
        </w:rPr>
      </w:pPr>
      <w:r w:rsidRPr="00852538">
        <w:rPr>
          <w:i/>
        </w:rPr>
        <w:t>How Income Poverty Indicators are used in a European Policy Context:</w:t>
      </w:r>
    </w:p>
    <w:p w:rsidR="00210BDE" w:rsidRDefault="00EB50F1" w:rsidP="00344710">
      <w:pPr>
        <w:rPr>
          <w:noProof/>
        </w:rPr>
      </w:pPr>
      <w:r>
        <w:t xml:space="preserve">The EU has no specific, dedicated, Community policy to address poverty and social exclusion. Whilst a number of community policies, especially Cohesion policy, undoubtedly have some impact, poverty and social exclusion are mainly tackled through interventions organised at the Member State level. Since 2000 these have been ‘orchestrated’ through a procedure known as the Open Method of Coordination (OMC), within the structures provided first by the Lisbon Objectives (2000-10) and more recently by EU2020 (2010-20). </w:t>
      </w:r>
    </w:p>
    <w:p w:rsidR="00C93921" w:rsidRDefault="00C93921" w:rsidP="00C93921">
      <w:pPr>
        <w:rPr>
          <w:noProof/>
        </w:rPr>
      </w:pPr>
      <w:r>
        <w:rPr>
          <w:noProof/>
        </w:rPr>
        <w:t xml:space="preserve">The EU2020 headline target is to lift 20 million people out of poverty </w:t>
      </w:r>
      <w:r w:rsidR="00852538">
        <w:rPr>
          <w:noProof/>
        </w:rPr>
        <w:t xml:space="preserve">and social exclusion </w:t>
      </w:r>
      <w:r>
        <w:rPr>
          <w:noProof/>
        </w:rPr>
        <w:t xml:space="preserve">by 2020 </w:t>
      </w:r>
      <w:r w:rsidR="00CD058B">
        <w:rPr>
          <w:noProof/>
        </w:rPr>
        <w:fldChar w:fldCharType="begin"/>
      </w:r>
      <w:r w:rsidR="00CD058B">
        <w:rPr>
          <w:noProof/>
        </w:rPr>
        <w:instrText xml:space="preserve"> ADDIN EN.CITE &lt;EndNote&gt;&lt;Cite&gt;&lt;Author&gt;EUROPEAN COMMISSION&lt;/Author&gt;&lt;Year&gt;2010&lt;/Year&gt;&lt;RecNum&gt;32&lt;/RecNum&gt;&lt;DisplayText&gt;(EUROPEAN COMMISSION, 2010)&lt;/DisplayText&gt;&lt;record&gt;&lt;rec-number&gt;32&lt;/rec-number&gt;&lt;foreign-keys&gt;&lt;key app="EN" db-id="25tas95vtezst4e55d1xv0twzf0xa2fpdr02"&gt;32&lt;/key&gt;&lt;/foreign-keys&gt;&lt;ref-type name="Report"&gt;27&lt;/ref-type&gt;&lt;contributors&gt;&lt;authors&gt;&lt;author&gt;EUROPEAN COMMISSION,&lt;/author&gt;&lt;/authors&gt;&lt;/contributors&gt;&lt;titles&gt;&lt;title&gt;Europe 2020: A strategy for smart, sustainable and inclusive growth, Brussels, 3 March 2010, COM(20190)&lt;/title&gt;&lt;/titles&gt;&lt;dates&gt;&lt;year&gt;2010&lt;/year&gt;&lt;/dates&gt;&lt;urls&gt;&lt;/urls&gt;&lt;/record&gt;&lt;/Cite&gt;&lt;/EndNote&gt;</w:instrText>
      </w:r>
      <w:r w:rsidR="00CD058B">
        <w:rPr>
          <w:noProof/>
        </w:rPr>
        <w:fldChar w:fldCharType="separate"/>
      </w:r>
      <w:r w:rsidR="00CD058B">
        <w:rPr>
          <w:noProof/>
        </w:rPr>
        <w:t>(</w:t>
      </w:r>
      <w:hyperlink w:anchor="_ENREF_12" w:tooltip="EUROPEAN COMMISSION, 2010 #32" w:history="1">
        <w:r w:rsidR="00CD058B">
          <w:rPr>
            <w:noProof/>
          </w:rPr>
          <w:t>EUROPEAN COMMISSION, 2010</w:t>
        </w:r>
      </w:hyperlink>
      <w:r w:rsidR="00CD058B">
        <w:rPr>
          <w:noProof/>
        </w:rPr>
        <w:t>)</w:t>
      </w:r>
      <w:r w:rsidR="00CD058B">
        <w:rPr>
          <w:noProof/>
        </w:rPr>
        <w:fldChar w:fldCharType="end"/>
      </w:r>
      <w:r>
        <w:rPr>
          <w:noProof/>
        </w:rPr>
        <w:t xml:space="preserve">. Three indicators were agreed in support of this: </w:t>
      </w:r>
    </w:p>
    <w:p w:rsidR="00C93921" w:rsidRDefault="00C93921" w:rsidP="00A16958">
      <w:pPr>
        <w:pStyle w:val="Luettelokappale"/>
        <w:numPr>
          <w:ilvl w:val="0"/>
          <w:numId w:val="19"/>
        </w:numPr>
        <w:rPr>
          <w:noProof/>
        </w:rPr>
      </w:pPr>
      <w:r>
        <w:rPr>
          <w:noProof/>
        </w:rPr>
        <w:lastRenderedPageBreak/>
        <w:t>The number of persons at risk of poverty.</w:t>
      </w:r>
    </w:p>
    <w:p w:rsidR="00C93921" w:rsidRDefault="00C93921" w:rsidP="00A16958">
      <w:pPr>
        <w:pStyle w:val="Luettelokappale"/>
        <w:numPr>
          <w:ilvl w:val="0"/>
          <w:numId w:val="19"/>
        </w:numPr>
        <w:rPr>
          <w:noProof/>
        </w:rPr>
      </w:pPr>
      <w:r>
        <w:rPr>
          <w:noProof/>
        </w:rPr>
        <w:t>The number of persons not able to afford four of the nine items indicative of material deprivation (see above).</w:t>
      </w:r>
    </w:p>
    <w:p w:rsidR="00C93921" w:rsidRDefault="00C93921" w:rsidP="00A16958">
      <w:pPr>
        <w:pStyle w:val="Luettelokappale"/>
        <w:numPr>
          <w:ilvl w:val="0"/>
          <w:numId w:val="19"/>
        </w:numPr>
        <w:rPr>
          <w:noProof/>
        </w:rPr>
      </w:pPr>
      <w:r>
        <w:rPr>
          <w:noProof/>
        </w:rPr>
        <w:t>The number of persons living in households where adults (together) work less than 20% of a full time year.</w:t>
      </w:r>
    </w:p>
    <w:p w:rsidR="00C93921" w:rsidRDefault="00C93921" w:rsidP="00C93921">
      <w:pPr>
        <w:rPr>
          <w:noProof/>
        </w:rPr>
      </w:pPr>
      <w:r>
        <w:rPr>
          <w:noProof/>
        </w:rPr>
        <w:t xml:space="preserve">The number of persons in each of these categories are added together (but avoiding double counting of individuals), and each Member State has a separate target which, added together, gives the EU total of 20 million </w:t>
      </w:r>
      <w:r w:rsidR="00CD058B">
        <w:rPr>
          <w:noProof/>
        </w:rPr>
        <w:fldChar w:fldCharType="begin">
          <w:fldData xml:space="preserve">PEVuZE5vdGU+PENpdGU+PEF1dGhvcj5FdXJvc3RhdDwvQXV0aG9yPjxZZWFyPjIwMDQ8L1llYXI+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=
</w:fldData>
        </w:fldChar>
      </w:r>
      <w:r w:rsidR="00CD058B">
        <w:rPr>
          <w:noProof/>
        </w:rPr>
        <w:instrText xml:space="preserve"> ADDIN EN.CITE </w:instrText>
      </w:r>
      <w:r w:rsidR="00CD058B">
        <w:rPr>
          <w:noProof/>
        </w:rPr>
        <w:fldChar w:fldCharType="begin">
          <w:fldData xml:space="preserve">PEVuZE5vdGU+PENpdGU+PEF1dGhvcj5FdXJvc3RhdDwvQXV0aG9yPjxZZWFyPjIwMDQ8L1llYXI+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=
</w:fldData>
        </w:fldChar>
      </w:r>
      <w:r w:rsidR="00CD058B">
        <w:rPr>
          <w:noProof/>
        </w:rPr>
        <w:instrText xml:space="preserve"> ADDIN EN.CITE.DATA </w:instrText>
      </w:r>
      <w:r w:rsidR="00CD058B">
        <w:rPr>
          <w:noProof/>
        </w:rPr>
      </w:r>
      <w:r w:rsidR="00CD058B">
        <w:rPr>
          <w:noProof/>
        </w:rPr>
        <w:fldChar w:fldCharType="end"/>
      </w:r>
      <w:r w:rsidR="00CD058B">
        <w:rPr>
          <w:noProof/>
        </w:rPr>
      </w:r>
      <w:r w:rsidR="00CD058B">
        <w:rPr>
          <w:noProof/>
        </w:rPr>
        <w:fldChar w:fldCharType="separate"/>
      </w:r>
      <w:r w:rsidR="00CD058B">
        <w:rPr>
          <w:noProof/>
        </w:rPr>
        <w:t>(</w:t>
      </w:r>
      <w:hyperlink w:anchor="_ENREF_13" w:tooltip="Eurostat, 2004 #31" w:history="1">
        <w:r w:rsidR="00CD058B">
          <w:rPr>
            <w:noProof/>
          </w:rPr>
          <w:t>Eurostat, 2004</w:t>
        </w:r>
      </w:hyperlink>
      <w:r w:rsidR="00CD058B">
        <w:rPr>
          <w:noProof/>
        </w:rPr>
        <w:t xml:space="preserve">, </w:t>
      </w:r>
      <w:hyperlink w:anchor="_ENREF_14" w:tooltip="Eurostat, 2005 #30" w:history="1">
        <w:r w:rsidR="00CD058B">
          <w:rPr>
            <w:noProof/>
          </w:rPr>
          <w:t>2005</w:t>
        </w:r>
      </w:hyperlink>
      <w:r w:rsidR="00CD058B">
        <w:rPr>
          <w:noProof/>
        </w:rPr>
        <w:t xml:space="preserve">, </w:t>
      </w:r>
      <w:hyperlink w:anchor="_ENREF_15" w:tooltip="Eurostat, 2007 #29" w:history="1">
        <w:r w:rsidR="00CD058B">
          <w:rPr>
            <w:noProof/>
          </w:rPr>
          <w:t>2007</w:t>
        </w:r>
      </w:hyperlink>
      <w:r w:rsidR="00CD058B">
        <w:rPr>
          <w:noProof/>
        </w:rPr>
        <w:t xml:space="preserve">, </w:t>
      </w:r>
      <w:hyperlink w:anchor="_ENREF_16" w:tooltip="Eurostat, 2012 #63" w:history="1">
        <w:r w:rsidR="00CD058B">
          <w:rPr>
            <w:noProof/>
          </w:rPr>
          <w:t>2012</w:t>
        </w:r>
      </w:hyperlink>
      <w:r w:rsidR="00CD058B">
        <w:rPr>
          <w:noProof/>
        </w:rPr>
        <w:t>)</w:t>
      </w:r>
      <w:r w:rsidR="00CD058B">
        <w:rPr>
          <w:noProof/>
        </w:rPr>
        <w:fldChar w:fldCharType="end"/>
      </w:r>
      <w:r>
        <w:rPr>
          <w:noProof/>
        </w:rPr>
        <w:t>.</w:t>
      </w:r>
    </w:p>
    <w:p w:rsidR="00852538" w:rsidRDefault="008632AA" w:rsidP="00C93921">
      <w:pPr>
        <w:rPr>
          <w:noProof/>
        </w:rPr>
      </w:pPr>
      <w:r>
        <w:rPr>
          <w:noProof/>
        </w:rPr>
        <w:t>The “at risk of poverty” (ARoP</w:t>
      </w:r>
      <w:r w:rsidR="00C93921">
        <w:rPr>
          <w:noProof/>
        </w:rPr>
        <w:t>) indicator which constitutes the first element of the EU2020 target was adopted by the EU Council as early as 1975. This indicator is defined as the number (or percentage) of people who ha</w:t>
      </w:r>
      <w:r w:rsidR="00852538">
        <w:rPr>
          <w:noProof/>
        </w:rPr>
        <w:t>ve a net income of less than 60</w:t>
      </w:r>
      <w:r w:rsidR="00C93921">
        <w:rPr>
          <w:noProof/>
        </w:rPr>
        <w:t xml:space="preserve">% of the national median equivalised disposable income (after social transfers). This indicator may be considered rather idiosyncratic when used to make comparisons at a continental scale, due to its dependence upon national benchmarks </w:t>
      </w:r>
      <w:r w:rsidR="00CD058B">
        <w:rPr>
          <w:noProof/>
        </w:rPr>
        <w:fldChar w:fldCharType="begin"/>
      </w:r>
      <w:r w:rsidR="00CD058B">
        <w:rPr>
          <w:noProof/>
        </w:rPr>
        <w:instrText xml:space="preserve"> ADDIN EN.CITE &lt;EndNote&gt;&lt;Cite&gt;&lt;Author&gt;Ward&lt;/Author&gt;&lt;Year&gt;2009&lt;/Year&gt;&lt;RecNum&gt;64&lt;/RecNum&gt;&lt;DisplayText&gt;(Ward et al., 2009, Bradshaw and Mayhew, 2010)&lt;/DisplayText&gt;&lt;record&gt;&lt;rec-number&gt;64&lt;/rec-number&gt;&lt;foreign-keys&gt;&lt;key app="EN" db-id="25tas95vtezst4e55d1xv0twzf0xa2fpdr02"&gt;64&lt;/key&gt;&lt;/foreign-keys&gt;&lt;ref-type name="Report"&gt;27&lt;/ref-type&gt;&lt;contributors&gt;&lt;authors&gt;&lt;author&gt;Ward, T.&lt;/author&gt;&lt;author&gt;Lelkes, O.&lt;/author&gt;&lt;author&gt;Sutherland, H.&lt;/author&gt;&lt;author&gt;Tóth, I.&lt;/author&gt;&lt;/authors&gt;&lt;/contributors&gt;&lt;titles&gt;&lt;title&gt;European Inequalities, Social Inclusion and Income Distributions in the European Union&lt;/title&gt;&lt;/titles&gt;&lt;dates&gt;&lt;year&gt;2009&lt;/year&gt;&lt;/dates&gt;&lt;pub-location&gt;Tárki, Budapest&lt;/pub-location&gt;&lt;urls&gt;&lt;/urls&gt;&lt;/record&gt;&lt;/Cite&gt;&lt;Cite&gt;&lt;Author&gt;Bradshaw&lt;/Author&gt;&lt;Year&gt;2010&lt;/Year&gt;&lt;RecNum&gt;58&lt;/RecNum&gt;&lt;record&gt;&lt;rec-number&gt;58&lt;/rec-number&gt;&lt;foreign-keys&gt;&lt;key app="EN" db-id="25tas95vtezst4e55d1xv0twzf0xa2fpdr02"&gt;58&lt;/key&gt;&lt;/foreign-keys&gt;&lt;ref-type name="Report"&gt;27&lt;/ref-type&gt;&lt;contributors&gt;&lt;authors&gt;&lt;author&gt;Bradshaw, J.&lt;/author&gt;&lt;author&gt;Mayhew, E.&lt;/author&gt;&lt;/authors&gt;&lt;/contributors&gt;&lt;titles&gt;&lt;title&gt;The Measurement of Extreme Poverty in the European Union&lt;/title&gt;&lt;/titles&gt;&lt;dates&gt;&lt;year&gt;2010&lt;/year&gt;&lt;/dates&gt;&lt;pub-location&gt;Brussels&lt;/pub-location&gt;&lt;publisher&gt;Directorate-General for Employment, Social Affairs and Inclusion&lt;/publisher&gt;&lt;urls&gt;&lt;/urls&gt;&lt;/record&gt;&lt;/Cite&gt;&lt;/EndNote&gt;</w:instrText>
      </w:r>
      <w:r w:rsidR="00CD058B">
        <w:rPr>
          <w:noProof/>
        </w:rPr>
        <w:fldChar w:fldCharType="separate"/>
      </w:r>
      <w:r w:rsidR="00CD058B">
        <w:rPr>
          <w:noProof/>
        </w:rPr>
        <w:t>(</w:t>
      </w:r>
      <w:hyperlink w:anchor="_ENREF_26" w:tooltip="Ward, 2009 #64" w:history="1">
        <w:r w:rsidR="00CD058B">
          <w:rPr>
            <w:noProof/>
          </w:rPr>
          <w:t>Ward et al., 2009</w:t>
        </w:r>
      </w:hyperlink>
      <w:r w:rsidR="00CD058B">
        <w:rPr>
          <w:noProof/>
        </w:rPr>
        <w:t xml:space="preserve">, </w:t>
      </w:r>
      <w:hyperlink w:anchor="_ENREF_6" w:tooltip="Bradshaw, 2010 #58" w:history="1">
        <w:r w:rsidR="00CD058B">
          <w:rPr>
            <w:noProof/>
          </w:rPr>
          <w:t>Bradshaw and Mayhew, 2010</w:t>
        </w:r>
      </w:hyperlink>
      <w:r w:rsidR="00CD058B">
        <w:rPr>
          <w:noProof/>
        </w:rPr>
        <w:t>)</w:t>
      </w:r>
      <w:r w:rsidR="00CD058B">
        <w:rPr>
          <w:noProof/>
        </w:rPr>
        <w:fldChar w:fldCharType="end"/>
      </w:r>
      <w:r w:rsidR="00C93921">
        <w:rPr>
          <w:noProof/>
        </w:rPr>
        <w:t>. Nevertheless its wide acceptance renders it a key</w:t>
      </w:r>
      <w:r w:rsidR="00852538">
        <w:rPr>
          <w:noProof/>
        </w:rPr>
        <w:t xml:space="preserve"> indicator in a policy context.</w:t>
      </w:r>
    </w:p>
    <w:p w:rsidR="00C93921" w:rsidRDefault="00C93921" w:rsidP="00C93921">
      <w:pPr>
        <w:rPr>
          <w:noProof/>
        </w:rPr>
      </w:pPr>
      <w:r>
        <w:rPr>
          <w:noProof/>
        </w:rPr>
        <w:t>More immediate than the EU2020 goals, the new programming period for the European Structural and Investment (ESI) Funds presents some opportunities for regional policy alleviation strategies. It is important (given the budgetary limitations) that such interventions are carefully targeted on regions where they may have the greatest impact. Regional targeting decisions thus generate a demand for more detailed information on regional and local patterns of poverty.</w:t>
      </w:r>
    </w:p>
    <w:p w:rsidR="00C93921" w:rsidRDefault="00C93921" w:rsidP="00C93921">
      <w:pPr>
        <w:rPr>
          <w:noProof/>
        </w:rPr>
      </w:pPr>
      <w:r>
        <w:rPr>
          <w:noProof/>
        </w:rPr>
        <w:t xml:space="preserve">At present Eurostat publishes </w:t>
      </w:r>
      <w:r w:rsidR="008632AA">
        <w:rPr>
          <w:noProof/>
        </w:rPr>
        <w:t>ARoP</w:t>
      </w:r>
      <w:r>
        <w:rPr>
          <w:noProof/>
        </w:rPr>
        <w:t xml:space="preserve"> rate data for about two-thirds of the countries within the ESPON space at NUTS 2 . The remaining countries provide data at NUTS 1 or NUTS 0 (whole country). These data are derived from the EU-SILC (Survey of Income and Living Conditions). Sample sizes constrain publication of </w:t>
      </w:r>
      <w:r w:rsidR="008632AA">
        <w:rPr>
          <w:noProof/>
        </w:rPr>
        <w:t>ARoP</w:t>
      </w:r>
      <w:r>
        <w:rPr>
          <w:noProof/>
        </w:rPr>
        <w:t xml:space="preserve"> rates at a more detailed regional level based upon this source. A few countries, notably the Nordic countries and the Netherlands, are able to generate </w:t>
      </w:r>
      <w:r w:rsidR="008632AA">
        <w:rPr>
          <w:noProof/>
        </w:rPr>
        <w:t>ARoP</w:t>
      </w:r>
      <w:r>
        <w:rPr>
          <w:noProof/>
        </w:rPr>
        <w:t xml:space="preserve"> rates from administrative registers. </w:t>
      </w:r>
    </w:p>
    <w:p w:rsidR="008F0D22" w:rsidRDefault="001F428F" w:rsidP="00344710">
      <w:pPr>
        <w:rPr>
          <w:noProof/>
        </w:rPr>
      </w:pPr>
      <w:r>
        <w:rPr>
          <w:noProof/>
        </w:rPr>
        <w:t>In order to establish more detailed maps of poverty it was necessary for the project team either to collect information from the Member States, or to estimate NUTS 3 rates using a variety of more or less sophisticated smal</w:t>
      </w:r>
      <w:r w:rsidR="006D7FBF">
        <w:rPr>
          <w:noProof/>
        </w:rPr>
        <w:t>l</w:t>
      </w:r>
      <w:r>
        <w:rPr>
          <w:noProof/>
        </w:rPr>
        <w:t xml:space="preserve"> area estimation methodologies. These are </w:t>
      </w:r>
      <w:r w:rsidR="003D366C">
        <w:rPr>
          <w:noProof/>
        </w:rPr>
        <w:t>described below</w:t>
      </w:r>
      <w:r>
        <w:rPr>
          <w:noProof/>
        </w:rPr>
        <w:t>.</w:t>
      </w:r>
    </w:p>
    <w:p w:rsidR="009C2FF7" w:rsidRDefault="00852538" w:rsidP="009C2FF7">
      <w:pPr>
        <w:pStyle w:val="Otsikko1"/>
        <w:rPr>
          <w:noProof/>
        </w:rPr>
      </w:pPr>
      <w:r>
        <w:br w:type="column"/>
      </w:r>
      <w:bookmarkStart w:id="3" w:name="_Toc393812331"/>
      <w:r w:rsidR="009C2FF7">
        <w:lastRenderedPageBreak/>
        <w:t>Data Challenges</w:t>
      </w:r>
      <w:bookmarkEnd w:id="3"/>
    </w:p>
    <w:p w:rsidR="009F05D2" w:rsidRDefault="009F05D2" w:rsidP="00210BDE">
      <w:pPr>
        <w:rPr>
          <w:color w:val="000000" w:themeColor="text1"/>
        </w:rPr>
      </w:pPr>
      <w:r w:rsidRPr="009F05D2">
        <w:rPr>
          <w:color w:val="000000" w:themeColor="text1"/>
        </w:rPr>
        <w:t>This s</w:t>
      </w:r>
      <w:r>
        <w:rPr>
          <w:color w:val="000000" w:themeColor="text1"/>
        </w:rPr>
        <w:t>e</w:t>
      </w:r>
      <w:r w:rsidRPr="009F05D2">
        <w:rPr>
          <w:color w:val="000000" w:themeColor="text1"/>
        </w:rPr>
        <w:t>ction</w:t>
      </w:r>
      <w:r>
        <w:rPr>
          <w:color w:val="000000" w:themeColor="text1"/>
        </w:rPr>
        <w:t xml:space="preserve"> describes the approach adopted to produce at-risk-of-poverty rates for NUTS 3 regions, and smaller regions where possible, for the various European countries. It discusses the main data challenges faced and how these have constrained the choice of poverty mapping methodology across the different countries.</w:t>
      </w:r>
    </w:p>
    <w:p w:rsidR="009F05D2" w:rsidRPr="009F05D2" w:rsidRDefault="009F05D2" w:rsidP="00210BDE">
      <w:pPr>
        <w:rPr>
          <w:color w:val="000000" w:themeColor="text1"/>
        </w:rPr>
      </w:pPr>
      <w:r>
        <w:rPr>
          <w:color w:val="000000" w:themeColor="text1"/>
        </w:rPr>
        <w:t xml:space="preserve">  </w:t>
      </w:r>
    </w:p>
    <w:p w:rsidR="00B90D9E" w:rsidRDefault="00B90D9E" w:rsidP="00B90D9E">
      <w:pPr>
        <w:pStyle w:val="Otsikko2"/>
      </w:pPr>
      <w:bookmarkStart w:id="4" w:name="_Toc393812332"/>
      <w:r>
        <w:t xml:space="preserve">Data availability and choice of </w:t>
      </w:r>
      <w:r w:rsidR="00D97A21">
        <w:t>methodology</w:t>
      </w:r>
      <w:bookmarkEnd w:id="4"/>
    </w:p>
    <w:p w:rsidR="000D34E9" w:rsidRDefault="009F05D2" w:rsidP="00210BDE">
      <w:r>
        <w:t xml:space="preserve">The first step in the mapping of poverty across European regions consisted of checking the availability of at-risk-of-poverty rates at NUTS 3 level, or smaller regions, for each European country in our analysis. Where the relevant information was available from official sources (i.e. </w:t>
      </w:r>
      <w:r w:rsidR="004A77B5">
        <w:t>N</w:t>
      </w:r>
      <w:r>
        <w:t xml:space="preserve">ational </w:t>
      </w:r>
      <w:r w:rsidR="004A77B5">
        <w:t>S</w:t>
      </w:r>
      <w:r>
        <w:t xml:space="preserve">tatistics </w:t>
      </w:r>
      <w:r w:rsidR="004A77B5">
        <w:t>Institutes (NSI)</w:t>
      </w:r>
      <w:r w:rsidR="007F4312">
        <w:t>, World Bank,</w:t>
      </w:r>
      <w:r>
        <w:t xml:space="preserve"> or similar organisation</w:t>
      </w:r>
      <w:r w:rsidR="007F4312">
        <w:t>s</w:t>
      </w:r>
      <w:r>
        <w:t xml:space="preserve">) we </w:t>
      </w:r>
      <w:r w:rsidR="00375946">
        <w:t xml:space="preserve">either </w:t>
      </w:r>
      <w:r>
        <w:t>obtained the data directly from the relevant source</w:t>
      </w:r>
      <w:r w:rsidR="00375946">
        <w:t xml:space="preserve">’s website or asked for the data to be provided in the appropriate format </w:t>
      </w:r>
      <w:r w:rsidR="0096783E">
        <w:t xml:space="preserve">(e.g. </w:t>
      </w:r>
      <w:r w:rsidR="007F4312">
        <w:t xml:space="preserve">Albania, Croatia, </w:t>
      </w:r>
      <w:r w:rsidR="0096783E">
        <w:t xml:space="preserve">France, Iceland, Ireland, Netherlands, Sweden). In some cases, the data provided by the </w:t>
      </w:r>
      <w:r w:rsidR="004A77B5">
        <w:t>N</w:t>
      </w:r>
      <w:r w:rsidR="0096783E">
        <w:t xml:space="preserve">ational </w:t>
      </w:r>
      <w:r w:rsidR="004A77B5">
        <w:t>S</w:t>
      </w:r>
      <w:r w:rsidR="0096783E">
        <w:t xml:space="preserve">tatistics </w:t>
      </w:r>
      <w:r w:rsidR="004A77B5">
        <w:t>Institutes</w:t>
      </w:r>
      <w:r w:rsidR="0096783E">
        <w:t xml:space="preserve"> had to be ‘adjusted’ from municipal level to NUTS 3 level </w:t>
      </w:r>
      <w:r w:rsidR="00483791">
        <w:t xml:space="preserve">using population weights (e.g. </w:t>
      </w:r>
      <w:r w:rsidR="00692B36">
        <w:t>Finland</w:t>
      </w:r>
      <w:r w:rsidR="00483791" w:rsidRPr="005F4911">
        <w:t xml:space="preserve">, </w:t>
      </w:r>
      <w:r w:rsidR="00375946" w:rsidRPr="005F4911">
        <w:t>Norway</w:t>
      </w:r>
      <w:r w:rsidR="00375946">
        <w:t>).</w:t>
      </w:r>
    </w:p>
    <w:p w:rsidR="00852637" w:rsidRDefault="00852637" w:rsidP="00210BDE">
      <w:r>
        <w:t>For countries</w:t>
      </w:r>
      <w:r w:rsidR="004A77B5" w:rsidRPr="004A77B5">
        <w:t xml:space="preserve"> </w:t>
      </w:r>
      <w:r w:rsidR="004A77B5">
        <w:t>with register-based systems</w:t>
      </w:r>
      <w:r>
        <w:t xml:space="preserve">, mostly Nordic countries, data for at-risk-of-poverty rates could be directly obtained without the need for some form of estimation. </w:t>
      </w:r>
      <w:r w:rsidR="005F33CE">
        <w:t>We present at-risk-of-poverty rates for countries with register</w:t>
      </w:r>
      <w:r w:rsidR="00C15EE3">
        <w:t>-based</w:t>
      </w:r>
      <w:r w:rsidR="005F33CE">
        <w:t xml:space="preserve"> data in section 3 of this report.</w:t>
      </w:r>
    </w:p>
    <w:p w:rsidR="006647B9" w:rsidRDefault="007F4312" w:rsidP="002C2AD4">
      <w:r>
        <w:t xml:space="preserve">Where data for at-risk-of-poverty rates were not available, we </w:t>
      </w:r>
      <w:r w:rsidR="00D05275">
        <w:t>implemented</w:t>
      </w:r>
      <w:r>
        <w:t xml:space="preserve"> empirical methodologies which allow us to produce estimates of at-risk-of-poverty rates for NUTS 3 regions. Our preferred approach is the World Bank (WB) poverty mapping methodology </w:t>
      </w:r>
      <w:r w:rsidR="005D2AB0">
        <w:t xml:space="preserve">and associated </w:t>
      </w:r>
      <w:r>
        <w:t>PovMap</w:t>
      </w:r>
      <w:r w:rsidR="005D2AB0">
        <w:t xml:space="preserve"> software</w:t>
      </w:r>
      <w:r>
        <w:t xml:space="preserve">. </w:t>
      </w:r>
      <w:r w:rsidR="006647B9">
        <w:t xml:space="preserve">This approach is discussed in section 4 of this report. </w:t>
      </w:r>
    </w:p>
    <w:p w:rsidR="00F87D80" w:rsidRDefault="002C2AD4" w:rsidP="002C2AD4">
      <w:r>
        <w:t xml:space="preserve">The implementation of the WB approach requires combining data from the </w:t>
      </w:r>
      <w:r w:rsidRPr="002E0193">
        <w:t>European Union Statistics on Income and Living Conditions (</w:t>
      </w:r>
      <w:r>
        <w:t>EU-SILC</w:t>
      </w:r>
      <w:r w:rsidRPr="002E0193">
        <w:t>)</w:t>
      </w:r>
      <w:r>
        <w:t xml:space="preserve"> with data from national census. In addition, the geographical classification available in the EU-SILC and national census needs to be disaggregate enough to allow for the estimation of regression models compatible across data sources (i.e. allow for matching of record</w:t>
      </w:r>
      <w:r w:rsidR="004A77B5">
        <w:t>s</w:t>
      </w:r>
      <w:r>
        <w:t xml:space="preserve"> between</w:t>
      </w:r>
      <w:r w:rsidR="006D380B">
        <w:t xml:space="preserve"> EU-SILC and national census). </w:t>
      </w:r>
      <w:r>
        <w:t>Failure to meet the</w:t>
      </w:r>
      <w:r w:rsidR="006D380B">
        <w:t>se</w:t>
      </w:r>
      <w:r>
        <w:t xml:space="preserve"> two requirements results in the inability to use the WB poverty mapping approach. In such cases, an alternative method of producing poverty estimates </w:t>
      </w:r>
      <w:r w:rsidR="006647B9">
        <w:t xml:space="preserve">for NUTS 3 regions </w:t>
      </w:r>
      <w:r w:rsidR="004A77B5">
        <w:t>was</w:t>
      </w:r>
      <w:r>
        <w:t xml:space="preserve"> needed. </w:t>
      </w:r>
    </w:p>
    <w:p w:rsidR="00F87D80" w:rsidRDefault="007F4312" w:rsidP="00F87D80">
      <w:r>
        <w:t xml:space="preserve">In alternative to the WB </w:t>
      </w:r>
      <w:r w:rsidR="005D2AB0">
        <w:t xml:space="preserve">poverty mapping </w:t>
      </w:r>
      <w:r>
        <w:t xml:space="preserve">approach, we considered two </w:t>
      </w:r>
      <w:r w:rsidR="00F87D80">
        <w:t>alternative approaches. The first approach consists of developing area based models at NUTS 2 level and applying the estimated model parameters to NUTS 3 data to predict at-risk-of-poverty rates for NUTS 3 regions.</w:t>
      </w:r>
      <w:r w:rsidR="00F87D80" w:rsidRPr="00F87D80">
        <w:t xml:space="preserve"> </w:t>
      </w:r>
      <w:r w:rsidR="00F87D80">
        <w:t xml:space="preserve">The second approach consists of a simple direct apportionment method and was applied to the countries where neither the WB </w:t>
      </w:r>
      <w:r w:rsidR="005541E4">
        <w:t>pov</w:t>
      </w:r>
      <w:r w:rsidR="005541E4">
        <w:lastRenderedPageBreak/>
        <w:t>erty mapping</w:t>
      </w:r>
      <w:r w:rsidR="00F87D80">
        <w:t xml:space="preserve"> approach nor the area based models could be </w:t>
      </w:r>
      <w:r w:rsidR="00D05275">
        <w:t>implemented</w:t>
      </w:r>
      <w:r w:rsidR="00F87D80">
        <w:t xml:space="preserve">. </w:t>
      </w:r>
      <w:r w:rsidR="008E5CC2">
        <w:t>These</w:t>
      </w:r>
      <w:r w:rsidR="00F87D80">
        <w:t xml:space="preserve"> </w:t>
      </w:r>
      <w:r w:rsidR="008E5CC2">
        <w:t xml:space="preserve">alternative </w:t>
      </w:r>
      <w:r w:rsidR="00F87D80">
        <w:t>approach</w:t>
      </w:r>
      <w:r w:rsidR="008E5CC2">
        <w:t>es are</w:t>
      </w:r>
      <w:r w:rsidR="00F87D80">
        <w:t xml:space="preserve"> presented in section 5 of this report. </w:t>
      </w:r>
    </w:p>
    <w:p w:rsidR="007F4312" w:rsidRDefault="007F4312" w:rsidP="00210BDE"/>
    <w:p w:rsidR="00916400" w:rsidRDefault="00916400" w:rsidP="00916400">
      <w:pPr>
        <w:pStyle w:val="Otsikko2"/>
      </w:pPr>
      <w:bookmarkStart w:id="5" w:name="_Toc393812333"/>
      <w:r>
        <w:t>Overview of methodologies</w:t>
      </w:r>
      <w:bookmarkEnd w:id="5"/>
    </w:p>
    <w:p w:rsidR="00C04C28" w:rsidRDefault="00916400" w:rsidP="00916400">
      <w:r>
        <w:t xml:space="preserve">As explained </w:t>
      </w:r>
      <w:r w:rsidR="004A77B5">
        <w:t>above</w:t>
      </w:r>
      <w:r>
        <w:t xml:space="preserve">, </w:t>
      </w:r>
      <w:r w:rsidR="00C04C28">
        <w:t xml:space="preserve">the choice of approach used to estimate at-risk-of-poverty rates for NUTS 3 regions (and smaller regions where possible) was constrained by issues of data availability. </w:t>
      </w:r>
      <w:r w:rsidR="005D2AB0">
        <w:t xml:space="preserve">Ideally, we would like to have used estimates produced by each country’s respective </w:t>
      </w:r>
      <w:r w:rsidR="004A77B5">
        <w:t>NSI</w:t>
      </w:r>
      <w:r w:rsidR="005D2AB0">
        <w:t>, either directly from register</w:t>
      </w:r>
      <w:r w:rsidR="00C15EE3">
        <w:t>-based</w:t>
      </w:r>
      <w:r w:rsidR="005D2AB0">
        <w:t xml:space="preserve"> data or indirectly from national surveys or the combination of national surveys with census data. Where this approach was not possible we had to carry out some form of estimation (in order of preference):</w:t>
      </w:r>
    </w:p>
    <w:p w:rsidR="005D2AB0" w:rsidRDefault="005D2AB0" w:rsidP="00A16958">
      <w:pPr>
        <w:pStyle w:val="Luettelokappale"/>
        <w:numPr>
          <w:ilvl w:val="0"/>
          <w:numId w:val="3"/>
        </w:numPr>
      </w:pPr>
      <w:r>
        <w:t>World Bank poverty mapping methodology (WBPM)</w:t>
      </w:r>
    </w:p>
    <w:p w:rsidR="005D2AB0" w:rsidRDefault="005D2AB0" w:rsidP="00A16958">
      <w:pPr>
        <w:pStyle w:val="Luettelokappale"/>
        <w:numPr>
          <w:ilvl w:val="0"/>
          <w:numId w:val="3"/>
        </w:numPr>
      </w:pPr>
      <w:r>
        <w:t>Area based models (ABM)</w:t>
      </w:r>
    </w:p>
    <w:p w:rsidR="005D2AB0" w:rsidRDefault="005D2AB0" w:rsidP="00A16958">
      <w:pPr>
        <w:pStyle w:val="Luettelokappale"/>
        <w:numPr>
          <w:ilvl w:val="0"/>
          <w:numId w:val="3"/>
        </w:numPr>
      </w:pPr>
      <w:r>
        <w:t xml:space="preserve">Direct </w:t>
      </w:r>
      <w:r w:rsidR="004A77B5">
        <w:t>a</w:t>
      </w:r>
      <w:r>
        <w:t>pportionment (APPT)</w:t>
      </w:r>
    </w:p>
    <w:p w:rsidR="00000E90" w:rsidRDefault="00000E90" w:rsidP="00916400"/>
    <w:p w:rsidR="00916400" w:rsidRDefault="00000E90" w:rsidP="00916400">
      <w:r>
        <w:t xml:space="preserve">Table 1 </w:t>
      </w:r>
      <w:r w:rsidR="00916400">
        <w:t xml:space="preserve">provides a summary of the </w:t>
      </w:r>
      <w:r w:rsidR="006D380B">
        <w:t>approaches</w:t>
      </w:r>
      <w:r w:rsidR="00916400">
        <w:t xml:space="preserve"> used to </w:t>
      </w:r>
      <w:r w:rsidR="006D380B">
        <w:t>obtain</w:t>
      </w:r>
      <w:r w:rsidR="00916400">
        <w:t xml:space="preserve"> at-risk-of-poverty rates for NUTS 3 regions (and smaller regions where possible). The table provides information on the time periods and regions to which the at-risk-of-poverty rate</w:t>
      </w:r>
      <w:r w:rsidR="00D10FA6">
        <w:t>s</w:t>
      </w:r>
      <w:r w:rsidR="00916400">
        <w:t xml:space="preserve"> refer to</w:t>
      </w:r>
      <w:r w:rsidR="00D80513">
        <w:t xml:space="preserve">, and whether the </w:t>
      </w:r>
      <w:r w:rsidR="00122932">
        <w:t>disposable income</w:t>
      </w:r>
      <w:r w:rsidR="004A77B5">
        <w:t xml:space="preserve"> used to calculate </w:t>
      </w:r>
      <w:r w:rsidR="00122932">
        <w:t xml:space="preserve">the </w:t>
      </w:r>
      <w:r w:rsidR="00D80513">
        <w:t xml:space="preserve">poverty line takes </w:t>
      </w:r>
      <w:r w:rsidR="00122932">
        <w:t>account</w:t>
      </w:r>
      <w:r w:rsidR="00D80513">
        <w:t xml:space="preserve"> of housing costs (AHC) or not (BHC)</w:t>
      </w:r>
      <w:r w:rsidR="00916400">
        <w:t>.</w:t>
      </w:r>
    </w:p>
    <w:p w:rsidR="00916400" w:rsidRDefault="00916400" w:rsidP="00916400">
      <w:pPr>
        <w:pStyle w:val="Kuvaotsikko"/>
        <w:keepNext/>
      </w:pPr>
      <w:bookmarkStart w:id="6" w:name="_Ref379989041"/>
      <w:bookmarkStart w:id="7" w:name="_Ref382835337"/>
      <w:bookmarkStart w:id="8" w:name="_Toc380068504"/>
    </w:p>
    <w:p w:rsidR="00C5108F" w:rsidRPr="003C0198" w:rsidRDefault="00C5108F" w:rsidP="00C5108F">
      <w:pPr>
        <w:pStyle w:val="Kuvaotsikko"/>
        <w:keepNext/>
        <w:rPr>
          <w:b w:val="0"/>
          <w:bCs w:val="0"/>
        </w:rPr>
      </w:pPr>
      <w:r w:rsidRPr="003C0198">
        <w:rPr>
          <w:b w:val="0"/>
        </w:rPr>
        <w:t>Annex 1 of this report provides country factsheets for the “TiPSE” countries in</w:t>
      </w:r>
      <w:r>
        <w:rPr>
          <w:b w:val="0"/>
        </w:rPr>
        <w:t xml:space="preserve"> Table 1</w:t>
      </w:r>
      <w:r w:rsidRPr="003C0198">
        <w:rPr>
          <w:b w:val="0"/>
        </w:rPr>
        <w:t>. The factsheets provide information on the following items:</w:t>
      </w:r>
    </w:p>
    <w:p w:rsidR="00C5108F" w:rsidRPr="003C0198" w:rsidRDefault="00C5108F" w:rsidP="00A16958">
      <w:pPr>
        <w:pStyle w:val="Luettelokappale"/>
        <w:numPr>
          <w:ilvl w:val="0"/>
          <w:numId w:val="8"/>
        </w:numPr>
      </w:pPr>
      <w:r w:rsidRPr="003C0198">
        <w:t>Summary of methodology used.</w:t>
      </w:r>
    </w:p>
    <w:p w:rsidR="00C5108F" w:rsidRPr="003C0198" w:rsidRDefault="00C5108F" w:rsidP="00A16958">
      <w:pPr>
        <w:pStyle w:val="Luettelokappale"/>
        <w:numPr>
          <w:ilvl w:val="0"/>
          <w:numId w:val="8"/>
        </w:numPr>
      </w:pPr>
      <w:r w:rsidRPr="003C0198">
        <w:t>Summary of constraints on the choice of methodology.</w:t>
      </w:r>
    </w:p>
    <w:p w:rsidR="00C5108F" w:rsidRPr="003C0198" w:rsidRDefault="00C5108F" w:rsidP="00A16958">
      <w:pPr>
        <w:pStyle w:val="Luettelokappale"/>
        <w:numPr>
          <w:ilvl w:val="0"/>
          <w:numId w:val="8"/>
        </w:numPr>
      </w:pPr>
      <w:r w:rsidRPr="003C0198">
        <w:t>Sources of raw data.</w:t>
      </w:r>
    </w:p>
    <w:p w:rsidR="00C5108F" w:rsidRPr="003C0198" w:rsidRDefault="00C5108F" w:rsidP="00A16958">
      <w:pPr>
        <w:pStyle w:val="Luettelokappale"/>
        <w:numPr>
          <w:ilvl w:val="0"/>
          <w:numId w:val="8"/>
        </w:numPr>
      </w:pPr>
      <w:r w:rsidRPr="003C0198">
        <w:t>Date(s) of raw data.</w:t>
      </w:r>
    </w:p>
    <w:p w:rsidR="00C5108F" w:rsidRPr="003C0198" w:rsidRDefault="00C5108F" w:rsidP="00A16958">
      <w:pPr>
        <w:pStyle w:val="Luettelokappale"/>
        <w:numPr>
          <w:ilvl w:val="0"/>
          <w:numId w:val="8"/>
        </w:numPr>
      </w:pPr>
      <w:r w:rsidRPr="003C0198">
        <w:t xml:space="preserve">Variables used in the estimation of </w:t>
      </w:r>
      <w:r w:rsidR="008632AA">
        <w:t>ARoP</w:t>
      </w:r>
      <w:r w:rsidRPr="003C0198">
        <w:t xml:space="preserve"> rates.</w:t>
      </w:r>
    </w:p>
    <w:p w:rsidR="00C5108F" w:rsidRPr="003C0198" w:rsidRDefault="00C5108F" w:rsidP="00A16958">
      <w:pPr>
        <w:pStyle w:val="Luettelokappale"/>
        <w:numPr>
          <w:ilvl w:val="0"/>
          <w:numId w:val="8"/>
        </w:numPr>
      </w:pPr>
      <w:r w:rsidRPr="003C0198">
        <w:t xml:space="preserve">Whether the </w:t>
      </w:r>
      <w:r w:rsidR="008632AA">
        <w:t>ARoP</w:t>
      </w:r>
      <w:r w:rsidRPr="003C0198">
        <w:t xml:space="preserve"> rate measure is calculated for disposable income before housing cost (BHC) and / or after housing cost (AHC).</w:t>
      </w:r>
    </w:p>
    <w:p w:rsidR="00C5108F" w:rsidRPr="003C0198" w:rsidRDefault="00C5108F" w:rsidP="00A16958">
      <w:pPr>
        <w:pStyle w:val="Luettelokappale"/>
        <w:numPr>
          <w:ilvl w:val="0"/>
          <w:numId w:val="8"/>
        </w:numPr>
      </w:pPr>
      <w:r w:rsidRPr="003C0198">
        <w:t xml:space="preserve">The NUTS level of the </w:t>
      </w:r>
      <w:r w:rsidR="008632AA">
        <w:t>ARoP</w:t>
      </w:r>
      <w:r w:rsidRPr="003C0198">
        <w:t xml:space="preserve"> estimates.</w:t>
      </w:r>
    </w:p>
    <w:p w:rsidR="00C5108F" w:rsidRPr="003C0198" w:rsidRDefault="00C5108F" w:rsidP="00A16958">
      <w:pPr>
        <w:pStyle w:val="Luettelokappale"/>
        <w:numPr>
          <w:ilvl w:val="0"/>
          <w:numId w:val="8"/>
        </w:numPr>
      </w:pPr>
      <w:r w:rsidRPr="003C0198">
        <w:t xml:space="preserve">Whether the data are adjusted to agree with Eurostat published </w:t>
      </w:r>
      <w:r w:rsidR="008632AA">
        <w:t>ARoP</w:t>
      </w:r>
      <w:r w:rsidRPr="003C0198">
        <w:t xml:space="preserve"> rates (for NUTS 2 regions).</w:t>
      </w:r>
    </w:p>
    <w:p w:rsidR="00E83CDF" w:rsidRDefault="004A77B5" w:rsidP="00116375">
      <w:r>
        <w:t>In addition, Annex 2 provides a summary of the at-risk-of-poverty rates for each “TiPSE” country in Table 1. Information is provided for the national poverty line and the minimum and maximum poverty rate for each data quintile.</w:t>
      </w:r>
    </w:p>
    <w:p w:rsidR="00E83CDF" w:rsidRDefault="00E83CDF" w:rsidP="00116375">
      <w:r>
        <w:t>The full dataset is provided in Annex 2.</w:t>
      </w:r>
    </w:p>
    <w:p w:rsidR="00116375" w:rsidRDefault="00116375" w:rsidP="00116375"/>
    <w:p w:rsidR="005F2023" w:rsidRDefault="005F2023" w:rsidP="00916400">
      <w:pPr>
        <w:pStyle w:val="Kuvaotsikko"/>
        <w:keepNext/>
        <w:sectPr w:rsidR="005F2023" w:rsidSect="0023324F">
          <w:footerReference w:type="default" r:id="rId16"/>
          <w:pgSz w:w="11907" w:h="16840" w:code="9"/>
          <w:pgMar w:top="1440" w:right="1797" w:bottom="1440" w:left="1797" w:header="709" w:footer="709" w:gutter="0"/>
          <w:pgNumType w:start="1"/>
          <w:cols w:space="708"/>
          <w:docGrid w:linePitch="360"/>
        </w:sectPr>
      </w:pPr>
    </w:p>
    <w:p w:rsidR="00916400" w:rsidRDefault="00916400" w:rsidP="00916400">
      <w:pPr>
        <w:pStyle w:val="Kuvaotsikko"/>
        <w:keepNext/>
        <w:rPr>
          <w:b w:val="0"/>
        </w:rPr>
      </w:pPr>
      <w:bookmarkStart w:id="9" w:name="_Toc393812385"/>
      <w:r>
        <w:lastRenderedPageBreak/>
        <w:t xml:space="preserve">Table </w:t>
      </w:r>
      <w:r w:rsidR="00630F69">
        <w:fldChar w:fldCharType="begin"/>
      </w:r>
      <w:r w:rsidR="00630F69">
        <w:instrText xml:space="preserve"> SEQ Table \* ARABIC </w:instrText>
      </w:r>
      <w:r w:rsidR="00630F69">
        <w:fldChar w:fldCharType="separate"/>
      </w:r>
      <w:r w:rsidR="00920EB4">
        <w:rPr>
          <w:noProof/>
        </w:rPr>
        <w:t>1</w:t>
      </w:r>
      <w:r w:rsidR="00630F69">
        <w:rPr>
          <w:noProof/>
        </w:rPr>
        <w:fldChar w:fldCharType="end"/>
      </w:r>
      <w:bookmarkEnd w:id="6"/>
      <w:bookmarkEnd w:id="7"/>
      <w:r>
        <w:t xml:space="preserve">: </w:t>
      </w:r>
      <w:bookmarkEnd w:id="8"/>
      <w:r>
        <w:rPr>
          <w:b w:val="0"/>
        </w:rPr>
        <w:t xml:space="preserve">Overview of </w:t>
      </w:r>
      <w:r w:rsidR="00116375">
        <w:rPr>
          <w:b w:val="0"/>
        </w:rPr>
        <w:t>data sources and approaches</w:t>
      </w:r>
      <w:r>
        <w:rPr>
          <w:b w:val="0"/>
        </w:rPr>
        <w:t xml:space="preserve"> implemented</w:t>
      </w:r>
      <w:bookmarkEnd w:id="9"/>
    </w:p>
    <w:tbl>
      <w:tblPr>
        <w:tblStyle w:val="TaulukkoLuettelo3"/>
        <w:tblW w:w="5000" w:type="pct"/>
        <w:tblLook w:val="04A0" w:firstRow="1" w:lastRow="0" w:firstColumn="1" w:lastColumn="0" w:noHBand="0" w:noVBand="1"/>
      </w:tblPr>
      <w:tblGrid>
        <w:gridCol w:w="2436"/>
        <w:gridCol w:w="2209"/>
        <w:gridCol w:w="1795"/>
        <w:gridCol w:w="2832"/>
        <w:gridCol w:w="2126"/>
        <w:gridCol w:w="2778"/>
      </w:tblGrid>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noWrap/>
            <w:vAlign w:val="center"/>
            <w:hideMark/>
          </w:tcPr>
          <w:p w:rsidR="00116375" w:rsidRPr="00037E7F" w:rsidRDefault="00116375" w:rsidP="00735393">
            <w:pPr>
              <w:spacing w:before="0" w:line="240" w:lineRule="auto"/>
              <w:jc w:val="left"/>
              <w:rPr>
                <w:rFonts w:cs="Arial"/>
                <w:color w:val="000000"/>
                <w:sz w:val="20"/>
                <w:lang w:eastAsia="en-GB"/>
              </w:rPr>
            </w:pPr>
            <w:r w:rsidRPr="00037E7F">
              <w:rPr>
                <w:rFonts w:cs="Arial"/>
                <w:color w:val="000000"/>
                <w:sz w:val="20"/>
                <w:lang w:eastAsia="en-GB"/>
              </w:rPr>
              <w:t>Country</w:t>
            </w:r>
          </w:p>
        </w:tc>
        <w:tc>
          <w:tcPr>
            <w:tcW w:w="779" w:type="pct"/>
            <w:noWrap/>
            <w:vAlign w:val="center"/>
            <w:hideMark/>
          </w:tcPr>
          <w:p w:rsidR="00116375" w:rsidRPr="00037E7F" w:rsidRDefault="00116375" w:rsidP="00735393">
            <w:pPr>
              <w:spacing w:before="0" w:line="240" w:lineRule="auto"/>
              <w:jc w:val="left"/>
              <w:rPr>
                <w:rFonts w:cs="Arial"/>
                <w:color w:val="000000"/>
                <w:sz w:val="20"/>
                <w:lang w:eastAsia="en-GB"/>
              </w:rPr>
            </w:pPr>
            <w:r w:rsidRPr="00037E7F">
              <w:rPr>
                <w:rFonts w:cs="Arial"/>
                <w:color w:val="000000"/>
                <w:sz w:val="20"/>
                <w:lang w:eastAsia="en-GB"/>
              </w:rPr>
              <w:t>Source</w:t>
            </w:r>
          </w:p>
        </w:tc>
        <w:tc>
          <w:tcPr>
            <w:tcW w:w="633" w:type="pct"/>
            <w:noWrap/>
            <w:vAlign w:val="center"/>
            <w:hideMark/>
          </w:tcPr>
          <w:p w:rsidR="00116375" w:rsidRPr="00037E7F" w:rsidRDefault="00116375" w:rsidP="00735393">
            <w:pPr>
              <w:spacing w:before="0" w:line="240" w:lineRule="auto"/>
              <w:jc w:val="left"/>
              <w:rPr>
                <w:rFonts w:cs="Arial"/>
                <w:color w:val="000000"/>
                <w:sz w:val="20"/>
                <w:lang w:eastAsia="en-GB"/>
              </w:rPr>
            </w:pPr>
            <w:r w:rsidRPr="00037E7F">
              <w:rPr>
                <w:rFonts w:cs="Arial"/>
                <w:color w:val="000000"/>
                <w:sz w:val="20"/>
                <w:lang w:eastAsia="en-GB"/>
              </w:rPr>
              <w:t>Method</w:t>
            </w:r>
          </w:p>
        </w:tc>
        <w:tc>
          <w:tcPr>
            <w:tcW w:w="999" w:type="pct"/>
            <w:noWrap/>
            <w:vAlign w:val="center"/>
            <w:hideMark/>
          </w:tcPr>
          <w:p w:rsidR="00116375" w:rsidRPr="00037E7F" w:rsidRDefault="00116375" w:rsidP="00735393">
            <w:pPr>
              <w:spacing w:before="0" w:line="240" w:lineRule="auto"/>
              <w:jc w:val="left"/>
              <w:rPr>
                <w:rFonts w:cs="Arial"/>
                <w:color w:val="000000"/>
                <w:sz w:val="20"/>
                <w:lang w:eastAsia="en-GB"/>
              </w:rPr>
            </w:pPr>
            <w:r w:rsidRPr="00037E7F">
              <w:rPr>
                <w:rFonts w:cs="Arial"/>
                <w:color w:val="000000"/>
                <w:sz w:val="20"/>
                <w:lang w:eastAsia="en-GB"/>
              </w:rPr>
              <w:t>Year</w:t>
            </w:r>
          </w:p>
        </w:tc>
        <w:tc>
          <w:tcPr>
            <w:tcW w:w="750" w:type="pct"/>
            <w:noWrap/>
            <w:vAlign w:val="center"/>
            <w:hideMark/>
          </w:tcPr>
          <w:p w:rsidR="00116375" w:rsidRPr="00037E7F" w:rsidRDefault="00116375" w:rsidP="00735393">
            <w:pPr>
              <w:spacing w:before="0" w:line="240" w:lineRule="auto"/>
              <w:jc w:val="left"/>
              <w:rPr>
                <w:rFonts w:cs="Arial"/>
                <w:color w:val="000000"/>
                <w:sz w:val="20"/>
                <w:lang w:eastAsia="en-GB"/>
              </w:rPr>
            </w:pPr>
            <w:r w:rsidRPr="00037E7F">
              <w:rPr>
                <w:rFonts w:cs="Arial"/>
                <w:color w:val="000000"/>
                <w:sz w:val="20"/>
                <w:lang w:eastAsia="en-GB"/>
              </w:rPr>
              <w:t>Region</w:t>
            </w:r>
          </w:p>
        </w:tc>
        <w:tc>
          <w:tcPr>
            <w:tcW w:w="980" w:type="pct"/>
            <w:noWrap/>
            <w:vAlign w:val="center"/>
            <w:hideMark/>
          </w:tcPr>
          <w:p w:rsidR="00116375" w:rsidRPr="00037E7F" w:rsidRDefault="00116375" w:rsidP="00735393">
            <w:pPr>
              <w:spacing w:before="0" w:line="240" w:lineRule="auto"/>
              <w:jc w:val="left"/>
              <w:rPr>
                <w:rFonts w:cs="Arial"/>
                <w:color w:val="000000"/>
                <w:sz w:val="20"/>
                <w:lang w:eastAsia="en-GB"/>
              </w:rPr>
            </w:pPr>
            <w:r w:rsidRPr="00037E7F">
              <w:rPr>
                <w:rFonts w:cs="Arial"/>
                <w:color w:val="000000"/>
                <w:sz w:val="20"/>
                <w:lang w:eastAsia="en-GB"/>
              </w:rPr>
              <w:t>BHC / AHC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single" w:sz="12" w:space="0" w:color="000000"/>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Albania</w:t>
            </w:r>
          </w:p>
        </w:tc>
        <w:tc>
          <w:tcPr>
            <w:tcW w:w="779" w:type="pct"/>
            <w:tcBorders>
              <w:top w:val="single" w:sz="12" w:space="0" w:color="000000"/>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TiPSE (from WB)</w:t>
            </w:r>
          </w:p>
        </w:tc>
        <w:tc>
          <w:tcPr>
            <w:tcW w:w="633" w:type="pct"/>
            <w:tcBorders>
              <w:top w:val="single" w:sz="12" w:space="0" w:color="000000"/>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WBPM</w:t>
            </w:r>
          </w:p>
        </w:tc>
        <w:tc>
          <w:tcPr>
            <w:tcW w:w="999" w:type="pct"/>
            <w:tcBorders>
              <w:top w:val="single" w:sz="12" w:space="0" w:color="000000"/>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2008</w:t>
            </w:r>
          </w:p>
        </w:tc>
        <w:tc>
          <w:tcPr>
            <w:tcW w:w="750" w:type="pct"/>
            <w:tcBorders>
              <w:top w:val="single" w:sz="12" w:space="0" w:color="000000"/>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p>
        </w:tc>
        <w:tc>
          <w:tcPr>
            <w:tcW w:w="980" w:type="pct"/>
            <w:tcBorders>
              <w:top w:val="single" w:sz="12" w:space="0" w:color="000000"/>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BHC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Austria</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TiPSE</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WBPM</w:t>
            </w:r>
            <w:r w:rsidR="00E43478" w:rsidRPr="00037E7F">
              <w:rPr>
                <w:rFonts w:cs="Arial"/>
                <w:b w:val="0"/>
                <w:color w:val="000000"/>
                <w:sz w:val="20"/>
                <w:lang w:eastAsia="en-GB"/>
              </w:rPr>
              <w:t>/APPT</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2001</w:t>
            </w:r>
            <w:r w:rsidR="00E43478" w:rsidRPr="00037E7F">
              <w:rPr>
                <w:rFonts w:cs="Arial"/>
                <w:b w:val="0"/>
                <w:color w:val="000000"/>
                <w:sz w:val="20"/>
                <w:lang w:eastAsia="en-GB"/>
              </w:rPr>
              <w:t>/2011</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r w:rsidR="00E43478" w:rsidRPr="00037E7F">
              <w:rPr>
                <w:rFonts w:cs="Arial"/>
                <w:b w:val="0"/>
                <w:color w:val="000000"/>
                <w:sz w:val="20"/>
                <w:lang w:eastAsia="en-GB"/>
              </w:rPr>
              <w:t>/NUTS 3</w:t>
            </w:r>
          </w:p>
        </w:tc>
        <w:tc>
          <w:tcPr>
            <w:tcW w:w="980" w:type="pct"/>
            <w:tcBorders>
              <w:top w:val="dotted" w:sz="4" w:space="0" w:color="auto"/>
              <w:bottom w:val="dotted" w:sz="4" w:space="0" w:color="auto"/>
            </w:tcBorders>
            <w:noWrap/>
            <w:vAlign w:val="center"/>
            <w:hideMark/>
          </w:tcPr>
          <w:p w:rsidR="00116375" w:rsidRPr="00037E7F" w:rsidRDefault="00E43478" w:rsidP="00920EB4">
            <w:pPr>
              <w:spacing w:before="0" w:line="240" w:lineRule="auto"/>
              <w:jc w:val="left"/>
              <w:rPr>
                <w:rFonts w:cs="Arial"/>
                <w:b w:val="0"/>
                <w:color w:val="000000"/>
                <w:sz w:val="20"/>
                <w:lang w:eastAsia="en-GB"/>
              </w:rPr>
            </w:pPr>
            <w:r w:rsidRPr="00037E7F">
              <w:rPr>
                <w:rFonts w:cs="Arial"/>
                <w:b w:val="0"/>
                <w:color w:val="000000"/>
                <w:sz w:val="20"/>
                <w:lang w:eastAsia="en-GB"/>
              </w:rPr>
              <w:t xml:space="preserve">BHC, </w:t>
            </w:r>
            <w:r w:rsidR="00116375" w:rsidRPr="00037E7F">
              <w:rPr>
                <w:rFonts w:cs="Arial"/>
                <w:b w:val="0"/>
                <w:color w:val="000000"/>
                <w:sz w:val="20"/>
                <w:lang w:eastAsia="en-GB"/>
              </w:rPr>
              <w:t>AHC</w:t>
            </w:r>
            <w:r w:rsidRPr="00037E7F">
              <w:rPr>
                <w:rFonts w:cs="Arial"/>
                <w:b w:val="0"/>
                <w:color w:val="000000"/>
                <w:sz w:val="20"/>
                <w:lang w:eastAsia="en-GB"/>
              </w:rPr>
              <w:t>/BHC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Belgium</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TiPSE</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APPT</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2011</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BHC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BeH</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World Bank</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WBPM</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Bulgaria</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World Bank</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WBPM</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Croatia</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TiPSE (from WB)</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WBPM</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2002-04</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BHC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Cyprus</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TiPSE (from NSI)</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EUSILC</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2010</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BHC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Czech Republic</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World Bank</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WBPM</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Denmark</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TiPSE (from NSI)</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REG</w:t>
            </w:r>
          </w:p>
        </w:tc>
        <w:tc>
          <w:tcPr>
            <w:tcW w:w="999" w:type="pct"/>
            <w:tcBorders>
              <w:top w:val="dotted" w:sz="4" w:space="0" w:color="auto"/>
              <w:bottom w:val="dotted" w:sz="4" w:space="0" w:color="auto"/>
            </w:tcBorders>
            <w:noWrap/>
            <w:vAlign w:val="center"/>
            <w:hideMark/>
          </w:tcPr>
          <w:p w:rsidR="00116375" w:rsidRPr="00037E7F" w:rsidRDefault="00E71EE0" w:rsidP="00920EB4">
            <w:pPr>
              <w:spacing w:before="0" w:line="240" w:lineRule="auto"/>
              <w:jc w:val="left"/>
              <w:rPr>
                <w:rFonts w:cs="Arial"/>
                <w:b w:val="0"/>
                <w:color w:val="FF0000"/>
                <w:sz w:val="20"/>
                <w:lang w:eastAsia="en-GB"/>
              </w:rPr>
            </w:pPr>
            <w:r w:rsidRPr="00037E7F">
              <w:rPr>
                <w:rFonts w:cs="Arial"/>
                <w:b w:val="0"/>
                <w:sz w:val="20"/>
                <w:lang w:eastAsia="en-GB"/>
              </w:rPr>
              <w:t>2010</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BHC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Estonia</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World Bank</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WBPM</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Finland</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TiPSE</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REG</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2010</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BHC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France</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TiPSE (from NSI)</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INSEE</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2011</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BHC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FYROM</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World Bank</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WBPM</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Germany</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TiPSE</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ABM</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2011</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BHC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Greece</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TiPSE</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WBPM</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2001</w:t>
            </w:r>
            <w:r w:rsidR="00E43478" w:rsidRPr="00037E7F">
              <w:rPr>
                <w:rFonts w:cs="Arial"/>
                <w:b w:val="0"/>
                <w:color w:val="000000"/>
                <w:sz w:val="20"/>
                <w:lang w:eastAsia="en-GB"/>
              </w:rPr>
              <w:t>/2011</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p>
        </w:tc>
        <w:tc>
          <w:tcPr>
            <w:tcW w:w="980" w:type="pct"/>
            <w:tcBorders>
              <w:top w:val="dotted" w:sz="4" w:space="0" w:color="auto"/>
              <w:bottom w:val="dotted" w:sz="4" w:space="0" w:color="auto"/>
            </w:tcBorders>
            <w:noWrap/>
            <w:vAlign w:val="center"/>
            <w:hideMark/>
          </w:tcPr>
          <w:p w:rsidR="00116375" w:rsidRPr="00037E7F" w:rsidRDefault="00E43478" w:rsidP="00920EB4">
            <w:pPr>
              <w:spacing w:before="0" w:line="240" w:lineRule="auto"/>
              <w:jc w:val="left"/>
              <w:rPr>
                <w:rFonts w:cs="Arial"/>
                <w:b w:val="0"/>
                <w:color w:val="000000"/>
                <w:sz w:val="20"/>
                <w:lang w:eastAsia="en-GB"/>
              </w:rPr>
            </w:pPr>
            <w:r w:rsidRPr="00037E7F">
              <w:rPr>
                <w:rFonts w:cs="Arial"/>
                <w:b w:val="0"/>
                <w:color w:val="000000"/>
                <w:sz w:val="20"/>
                <w:lang w:eastAsia="en-GB"/>
              </w:rPr>
              <w:t xml:space="preserve">BHC, </w:t>
            </w:r>
            <w:r w:rsidR="00116375" w:rsidRPr="00037E7F">
              <w:rPr>
                <w:rFonts w:cs="Arial"/>
                <w:b w:val="0"/>
                <w:color w:val="000000"/>
                <w:sz w:val="20"/>
                <w:lang w:eastAsia="en-GB"/>
              </w:rPr>
              <w:t>AHC</w:t>
            </w:r>
            <w:r w:rsidRPr="00037E7F">
              <w:rPr>
                <w:rFonts w:cs="Arial"/>
                <w:b w:val="0"/>
                <w:color w:val="000000"/>
                <w:sz w:val="20"/>
                <w:lang w:eastAsia="en-GB"/>
              </w:rPr>
              <w:t>/ BHC, AHC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Hungary</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World Bank</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WBPM</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Iceland</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TiPSE (from NSI)</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EUSILC</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2010</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NUTS 2</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BHC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Ireland</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TiPSE (from NSI)</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EUSILC</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2009</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BHC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Italy</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TiPSE</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ABM</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2011</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BHC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Kosovo</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World Bank</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WBPM</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Latvia</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World Bank</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WBPM</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Liechtenstein</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N/A</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Lithuania</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World Bank</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WBPM</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Luxembourg</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TiPSE (from NSI)</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EUSILC</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2011</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BHC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Malta</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TiPSE (from NSI)</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EUSILC</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2011</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NUTS 2</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BHC</w:t>
            </w:r>
          </w:p>
        </w:tc>
      </w:tr>
      <w:tr w:rsidR="00803C96" w:rsidRPr="00037E7F" w:rsidTr="00282843">
        <w:trPr>
          <w:cnfStyle w:val="100000000000" w:firstRow="1" w:lastRow="0" w:firstColumn="0" w:lastColumn="0" w:oddVBand="0" w:evenVBand="0" w:oddHBand="0" w:evenHBand="0" w:firstRowFirstColumn="0" w:firstRowLastColumn="0" w:lastRowFirstColumn="0" w:lastRowLastColumn="0"/>
          <w:trHeight w:val="283"/>
          <w:tblHeader/>
        </w:trPr>
        <w:tc>
          <w:tcPr>
            <w:tcW w:w="859" w:type="pct"/>
            <w:noWrap/>
            <w:vAlign w:val="center"/>
            <w:hideMark/>
          </w:tcPr>
          <w:p w:rsidR="00803C96" w:rsidRPr="00037E7F" w:rsidRDefault="00803C96" w:rsidP="00282843">
            <w:pPr>
              <w:spacing w:before="0" w:line="240" w:lineRule="auto"/>
              <w:jc w:val="left"/>
              <w:rPr>
                <w:rFonts w:cs="Arial"/>
                <w:color w:val="000000"/>
                <w:sz w:val="20"/>
                <w:lang w:eastAsia="en-GB"/>
              </w:rPr>
            </w:pPr>
            <w:r w:rsidRPr="00037E7F">
              <w:rPr>
                <w:rFonts w:cs="Arial"/>
                <w:color w:val="000000"/>
                <w:sz w:val="20"/>
                <w:lang w:eastAsia="en-GB"/>
              </w:rPr>
              <w:lastRenderedPageBreak/>
              <w:t>Country</w:t>
            </w:r>
          </w:p>
        </w:tc>
        <w:tc>
          <w:tcPr>
            <w:tcW w:w="779" w:type="pct"/>
            <w:noWrap/>
            <w:vAlign w:val="center"/>
            <w:hideMark/>
          </w:tcPr>
          <w:p w:rsidR="00803C96" w:rsidRPr="00037E7F" w:rsidRDefault="00803C96" w:rsidP="00282843">
            <w:pPr>
              <w:spacing w:before="0" w:line="240" w:lineRule="auto"/>
              <w:jc w:val="left"/>
              <w:rPr>
                <w:rFonts w:cs="Arial"/>
                <w:color w:val="000000"/>
                <w:sz w:val="20"/>
                <w:lang w:eastAsia="en-GB"/>
              </w:rPr>
            </w:pPr>
            <w:r w:rsidRPr="00037E7F">
              <w:rPr>
                <w:rFonts w:cs="Arial"/>
                <w:color w:val="000000"/>
                <w:sz w:val="20"/>
                <w:lang w:eastAsia="en-GB"/>
              </w:rPr>
              <w:t>Source</w:t>
            </w:r>
          </w:p>
        </w:tc>
        <w:tc>
          <w:tcPr>
            <w:tcW w:w="633" w:type="pct"/>
            <w:noWrap/>
            <w:vAlign w:val="center"/>
            <w:hideMark/>
          </w:tcPr>
          <w:p w:rsidR="00803C96" w:rsidRPr="00037E7F" w:rsidRDefault="00803C96" w:rsidP="00282843">
            <w:pPr>
              <w:spacing w:before="0" w:line="240" w:lineRule="auto"/>
              <w:jc w:val="left"/>
              <w:rPr>
                <w:rFonts w:cs="Arial"/>
                <w:color w:val="000000"/>
                <w:sz w:val="20"/>
                <w:lang w:eastAsia="en-GB"/>
              </w:rPr>
            </w:pPr>
            <w:r w:rsidRPr="00037E7F">
              <w:rPr>
                <w:rFonts w:cs="Arial"/>
                <w:color w:val="000000"/>
                <w:sz w:val="20"/>
                <w:lang w:eastAsia="en-GB"/>
              </w:rPr>
              <w:t>Method</w:t>
            </w:r>
          </w:p>
        </w:tc>
        <w:tc>
          <w:tcPr>
            <w:tcW w:w="999" w:type="pct"/>
            <w:noWrap/>
            <w:vAlign w:val="center"/>
            <w:hideMark/>
          </w:tcPr>
          <w:p w:rsidR="00803C96" w:rsidRPr="00037E7F" w:rsidRDefault="00803C96" w:rsidP="00282843">
            <w:pPr>
              <w:spacing w:before="0" w:line="240" w:lineRule="auto"/>
              <w:jc w:val="left"/>
              <w:rPr>
                <w:rFonts w:cs="Arial"/>
                <w:color w:val="000000"/>
                <w:sz w:val="20"/>
                <w:lang w:eastAsia="en-GB"/>
              </w:rPr>
            </w:pPr>
            <w:r w:rsidRPr="00037E7F">
              <w:rPr>
                <w:rFonts w:cs="Arial"/>
                <w:color w:val="000000"/>
                <w:sz w:val="20"/>
                <w:lang w:eastAsia="en-GB"/>
              </w:rPr>
              <w:t>Year</w:t>
            </w:r>
          </w:p>
        </w:tc>
        <w:tc>
          <w:tcPr>
            <w:tcW w:w="750" w:type="pct"/>
            <w:noWrap/>
            <w:vAlign w:val="center"/>
            <w:hideMark/>
          </w:tcPr>
          <w:p w:rsidR="00803C96" w:rsidRPr="00037E7F" w:rsidRDefault="00803C96" w:rsidP="00282843">
            <w:pPr>
              <w:spacing w:before="0" w:line="240" w:lineRule="auto"/>
              <w:jc w:val="left"/>
              <w:rPr>
                <w:rFonts w:cs="Arial"/>
                <w:color w:val="000000"/>
                <w:sz w:val="20"/>
                <w:lang w:eastAsia="en-GB"/>
              </w:rPr>
            </w:pPr>
            <w:r w:rsidRPr="00037E7F">
              <w:rPr>
                <w:rFonts w:cs="Arial"/>
                <w:color w:val="000000"/>
                <w:sz w:val="20"/>
                <w:lang w:eastAsia="en-GB"/>
              </w:rPr>
              <w:t>Region</w:t>
            </w:r>
          </w:p>
        </w:tc>
        <w:tc>
          <w:tcPr>
            <w:tcW w:w="980" w:type="pct"/>
            <w:noWrap/>
            <w:vAlign w:val="center"/>
            <w:hideMark/>
          </w:tcPr>
          <w:p w:rsidR="00803C96" w:rsidRPr="00037E7F" w:rsidRDefault="00803C96" w:rsidP="00282843">
            <w:pPr>
              <w:spacing w:before="0" w:line="240" w:lineRule="auto"/>
              <w:jc w:val="left"/>
              <w:rPr>
                <w:rFonts w:cs="Arial"/>
                <w:color w:val="000000"/>
                <w:sz w:val="20"/>
                <w:lang w:eastAsia="en-GB"/>
              </w:rPr>
            </w:pPr>
            <w:r w:rsidRPr="00037E7F">
              <w:rPr>
                <w:rFonts w:cs="Arial"/>
                <w:color w:val="000000"/>
                <w:sz w:val="20"/>
                <w:lang w:eastAsia="en-GB"/>
              </w:rPr>
              <w:t>BHC / AHC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Montenegro</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World Bank</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WBPM</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Netherlands</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TiPSE (from NSI)</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REG</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2010</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BHC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Norway</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TiPSE</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REG</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2010</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BHC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Poland</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World Bank</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WBPM</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Portugal</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TiPSE</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APPT</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2011</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BHC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Romania</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World Bank</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WBPM</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Serbia</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World Bank</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WBPM</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Slovakia</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World Bank</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WBPM</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Slovenia</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World Bank</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WBPM</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Spain</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TiPSE</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APPT</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2010</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BHC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Sweden</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sz w:val="20"/>
                <w:lang w:eastAsia="en-GB"/>
              </w:rPr>
            </w:pPr>
            <w:r w:rsidRPr="00037E7F">
              <w:rPr>
                <w:rFonts w:cs="Arial"/>
                <w:b w:val="0"/>
                <w:sz w:val="20"/>
                <w:lang w:eastAsia="en-GB"/>
              </w:rPr>
              <w:t>TiPSE (from NSI)</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REG</w:t>
            </w:r>
          </w:p>
        </w:tc>
        <w:tc>
          <w:tcPr>
            <w:tcW w:w="999" w:type="pct"/>
            <w:tcBorders>
              <w:top w:val="dotted" w:sz="4" w:space="0" w:color="auto"/>
              <w:bottom w:val="dotted" w:sz="4" w:space="0" w:color="auto"/>
            </w:tcBorders>
            <w:noWrap/>
            <w:vAlign w:val="center"/>
            <w:hideMark/>
          </w:tcPr>
          <w:p w:rsidR="00116375" w:rsidRPr="00037E7F" w:rsidRDefault="005A12A2" w:rsidP="00920EB4">
            <w:pPr>
              <w:spacing w:before="0" w:line="240" w:lineRule="auto"/>
              <w:jc w:val="left"/>
              <w:rPr>
                <w:rFonts w:cs="Arial"/>
                <w:b w:val="0"/>
                <w:color w:val="FF0000"/>
                <w:sz w:val="20"/>
                <w:lang w:eastAsia="en-GB"/>
              </w:rPr>
            </w:pPr>
            <w:r w:rsidRPr="00037E7F">
              <w:rPr>
                <w:rFonts w:cs="Arial"/>
                <w:b w:val="0"/>
                <w:sz w:val="20"/>
                <w:lang w:eastAsia="en-GB"/>
              </w:rPr>
              <w:t>2010</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BHC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Switzerland</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TiPSE</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APPT</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2011</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BHC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Turkey</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TiPSE</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ABM</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2011</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p>
        </w:tc>
        <w:tc>
          <w:tcPr>
            <w:tcW w:w="98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BHC</w:t>
            </w:r>
          </w:p>
        </w:tc>
      </w:tr>
      <w:tr w:rsidR="00E43478"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United Kingdom</w:t>
            </w:r>
          </w:p>
        </w:tc>
        <w:tc>
          <w:tcPr>
            <w:tcW w:w="77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TiPSE</w:t>
            </w:r>
          </w:p>
        </w:tc>
        <w:tc>
          <w:tcPr>
            <w:tcW w:w="633"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WBPM</w:t>
            </w:r>
          </w:p>
        </w:tc>
        <w:tc>
          <w:tcPr>
            <w:tcW w:w="999"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2001</w:t>
            </w:r>
          </w:p>
        </w:tc>
        <w:tc>
          <w:tcPr>
            <w:tcW w:w="750" w:type="pct"/>
            <w:tcBorders>
              <w:top w:val="dotted" w:sz="4" w:space="0" w:color="auto"/>
              <w:bottom w:val="dotted" w:sz="4" w:space="0" w:color="auto"/>
            </w:tcBorders>
            <w:noWrap/>
            <w:vAlign w:val="center"/>
            <w:hideMark/>
          </w:tcPr>
          <w:p w:rsidR="00116375" w:rsidRPr="00037E7F" w:rsidRDefault="00116375" w:rsidP="00920EB4">
            <w:pPr>
              <w:spacing w:before="0" w:line="240" w:lineRule="auto"/>
              <w:jc w:val="left"/>
              <w:rPr>
                <w:rFonts w:cs="Arial"/>
                <w:b w:val="0"/>
                <w:color w:val="000000"/>
                <w:sz w:val="20"/>
                <w:lang w:eastAsia="en-GB"/>
              </w:rPr>
            </w:pPr>
            <w:r w:rsidRPr="00037E7F">
              <w:rPr>
                <w:rFonts w:cs="Arial"/>
                <w:b w:val="0"/>
                <w:color w:val="000000"/>
                <w:sz w:val="20"/>
                <w:lang w:eastAsia="en-GB"/>
              </w:rPr>
              <w:t>NUTS 3 **</w:t>
            </w:r>
          </w:p>
        </w:tc>
        <w:tc>
          <w:tcPr>
            <w:tcW w:w="980" w:type="pct"/>
            <w:tcBorders>
              <w:top w:val="dotted" w:sz="4" w:space="0" w:color="auto"/>
              <w:bottom w:val="dotted" w:sz="4" w:space="0" w:color="auto"/>
            </w:tcBorders>
            <w:noWrap/>
            <w:vAlign w:val="center"/>
            <w:hideMark/>
          </w:tcPr>
          <w:p w:rsidR="00116375" w:rsidRPr="00037E7F" w:rsidRDefault="00E43478" w:rsidP="00920EB4">
            <w:pPr>
              <w:spacing w:before="0" w:line="240" w:lineRule="auto"/>
              <w:jc w:val="left"/>
              <w:rPr>
                <w:rFonts w:cs="Arial"/>
                <w:b w:val="0"/>
                <w:color w:val="000000"/>
                <w:sz w:val="20"/>
                <w:lang w:eastAsia="en-GB"/>
              </w:rPr>
            </w:pPr>
            <w:r w:rsidRPr="00037E7F">
              <w:rPr>
                <w:rFonts w:cs="Arial"/>
                <w:b w:val="0"/>
                <w:color w:val="000000"/>
                <w:sz w:val="20"/>
                <w:lang w:eastAsia="en-GB"/>
              </w:rPr>
              <w:t xml:space="preserve">BHC, </w:t>
            </w:r>
            <w:r w:rsidR="00116375" w:rsidRPr="00037E7F">
              <w:rPr>
                <w:rFonts w:cs="Arial"/>
                <w:b w:val="0"/>
                <w:color w:val="000000"/>
                <w:sz w:val="20"/>
                <w:lang w:eastAsia="en-GB"/>
              </w:rPr>
              <w:t>AHC</w:t>
            </w:r>
          </w:p>
        </w:tc>
      </w:tr>
      <w:tr w:rsidR="005F2023"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tcPr>
          <w:p w:rsidR="00E43478" w:rsidRPr="00037E7F" w:rsidRDefault="00E43478" w:rsidP="00920EB4">
            <w:pPr>
              <w:spacing w:before="0" w:line="240" w:lineRule="auto"/>
              <w:jc w:val="left"/>
              <w:rPr>
                <w:rFonts w:cs="Arial"/>
                <w:b w:val="0"/>
                <w:color w:val="000000"/>
                <w:sz w:val="20"/>
                <w:lang w:eastAsia="en-GB"/>
              </w:rPr>
            </w:pPr>
            <w:r w:rsidRPr="00037E7F">
              <w:rPr>
                <w:rFonts w:cs="Arial"/>
                <w:b w:val="0"/>
                <w:color w:val="000000"/>
                <w:sz w:val="20"/>
                <w:lang w:eastAsia="en-GB"/>
              </w:rPr>
              <w:t>England and Wales</w:t>
            </w:r>
          </w:p>
        </w:tc>
        <w:tc>
          <w:tcPr>
            <w:tcW w:w="779" w:type="pct"/>
            <w:tcBorders>
              <w:top w:val="dotted" w:sz="4" w:space="0" w:color="auto"/>
              <w:bottom w:val="dotted" w:sz="4" w:space="0" w:color="auto"/>
            </w:tcBorders>
            <w:noWrap/>
            <w:vAlign w:val="center"/>
          </w:tcPr>
          <w:p w:rsidR="00E43478" w:rsidRPr="00037E7F" w:rsidRDefault="00E43478" w:rsidP="00920EB4">
            <w:pPr>
              <w:spacing w:before="0" w:line="240" w:lineRule="auto"/>
              <w:jc w:val="left"/>
              <w:rPr>
                <w:rFonts w:cs="Arial"/>
                <w:b w:val="0"/>
                <w:color w:val="000000"/>
                <w:sz w:val="20"/>
                <w:lang w:eastAsia="en-GB"/>
              </w:rPr>
            </w:pPr>
            <w:r w:rsidRPr="00037E7F">
              <w:rPr>
                <w:rFonts w:cs="Arial"/>
                <w:b w:val="0"/>
                <w:color w:val="000000"/>
                <w:sz w:val="20"/>
                <w:lang w:eastAsia="en-GB"/>
              </w:rPr>
              <w:t>TiPSE</w:t>
            </w:r>
          </w:p>
        </w:tc>
        <w:tc>
          <w:tcPr>
            <w:tcW w:w="633" w:type="pct"/>
            <w:tcBorders>
              <w:top w:val="dotted" w:sz="4" w:space="0" w:color="auto"/>
              <w:bottom w:val="dotted" w:sz="4" w:space="0" w:color="auto"/>
            </w:tcBorders>
            <w:noWrap/>
            <w:vAlign w:val="center"/>
          </w:tcPr>
          <w:p w:rsidR="00E43478" w:rsidRPr="00037E7F" w:rsidRDefault="00E43478" w:rsidP="00920EB4">
            <w:pPr>
              <w:spacing w:before="0" w:line="240" w:lineRule="auto"/>
              <w:jc w:val="left"/>
              <w:rPr>
                <w:rFonts w:cs="Arial"/>
                <w:b w:val="0"/>
                <w:color w:val="000000"/>
                <w:sz w:val="20"/>
                <w:lang w:eastAsia="en-GB"/>
              </w:rPr>
            </w:pPr>
            <w:r w:rsidRPr="00037E7F">
              <w:rPr>
                <w:rFonts w:cs="Arial"/>
                <w:b w:val="0"/>
                <w:sz w:val="20"/>
              </w:rPr>
              <w:t>NSI</w:t>
            </w:r>
          </w:p>
        </w:tc>
        <w:tc>
          <w:tcPr>
            <w:tcW w:w="999" w:type="pct"/>
            <w:tcBorders>
              <w:top w:val="dotted" w:sz="4" w:space="0" w:color="auto"/>
              <w:bottom w:val="dotted" w:sz="4" w:space="0" w:color="auto"/>
            </w:tcBorders>
            <w:noWrap/>
            <w:vAlign w:val="center"/>
          </w:tcPr>
          <w:p w:rsidR="00E43478" w:rsidRPr="00037E7F" w:rsidRDefault="00E43478" w:rsidP="00920EB4">
            <w:pPr>
              <w:spacing w:before="0" w:line="240" w:lineRule="auto"/>
              <w:jc w:val="left"/>
              <w:rPr>
                <w:rFonts w:cs="Arial"/>
                <w:b w:val="0"/>
                <w:color w:val="000000"/>
                <w:sz w:val="20"/>
                <w:lang w:eastAsia="en-GB"/>
              </w:rPr>
            </w:pPr>
            <w:r w:rsidRPr="00037E7F">
              <w:rPr>
                <w:rFonts w:cs="Arial"/>
                <w:b w:val="0"/>
                <w:color w:val="000000"/>
                <w:sz w:val="20"/>
                <w:lang w:eastAsia="en-GB"/>
              </w:rPr>
              <w:t>2007-2008</w:t>
            </w:r>
          </w:p>
        </w:tc>
        <w:tc>
          <w:tcPr>
            <w:tcW w:w="750" w:type="pct"/>
            <w:tcBorders>
              <w:top w:val="dotted" w:sz="4" w:space="0" w:color="auto"/>
              <w:bottom w:val="dotted" w:sz="4" w:space="0" w:color="auto"/>
            </w:tcBorders>
            <w:noWrap/>
            <w:vAlign w:val="center"/>
          </w:tcPr>
          <w:p w:rsidR="00E43478" w:rsidRPr="00037E7F" w:rsidRDefault="00E43478"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p>
        </w:tc>
        <w:tc>
          <w:tcPr>
            <w:tcW w:w="980" w:type="pct"/>
            <w:tcBorders>
              <w:top w:val="dotted" w:sz="4" w:space="0" w:color="auto"/>
              <w:bottom w:val="dotted" w:sz="4" w:space="0" w:color="auto"/>
            </w:tcBorders>
            <w:noWrap/>
            <w:vAlign w:val="center"/>
          </w:tcPr>
          <w:p w:rsidR="00E43478" w:rsidRPr="00037E7F" w:rsidRDefault="00E43478" w:rsidP="00920EB4">
            <w:pPr>
              <w:spacing w:before="0" w:line="240" w:lineRule="auto"/>
              <w:jc w:val="left"/>
              <w:rPr>
                <w:rFonts w:cs="Arial"/>
                <w:b w:val="0"/>
                <w:color w:val="000000"/>
                <w:sz w:val="20"/>
                <w:lang w:eastAsia="en-GB"/>
              </w:rPr>
            </w:pPr>
            <w:r w:rsidRPr="00037E7F">
              <w:rPr>
                <w:rFonts w:cs="Arial"/>
                <w:b w:val="0"/>
                <w:color w:val="000000"/>
                <w:sz w:val="20"/>
                <w:lang w:eastAsia="en-GB"/>
              </w:rPr>
              <w:t>AHC</w:t>
            </w:r>
          </w:p>
        </w:tc>
      </w:tr>
      <w:tr w:rsidR="005F2023" w:rsidRPr="00037E7F"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bottom w:val="dotted" w:sz="4" w:space="0" w:color="auto"/>
            </w:tcBorders>
            <w:noWrap/>
            <w:vAlign w:val="center"/>
          </w:tcPr>
          <w:p w:rsidR="00E43478" w:rsidRPr="00037E7F" w:rsidRDefault="00E43478" w:rsidP="00920EB4">
            <w:pPr>
              <w:spacing w:before="0" w:line="240" w:lineRule="auto"/>
              <w:jc w:val="left"/>
              <w:rPr>
                <w:rFonts w:cs="Arial"/>
                <w:b w:val="0"/>
                <w:color w:val="000000"/>
                <w:sz w:val="20"/>
                <w:lang w:eastAsia="en-GB"/>
              </w:rPr>
            </w:pPr>
            <w:r w:rsidRPr="00037E7F">
              <w:rPr>
                <w:rFonts w:cs="Arial"/>
                <w:b w:val="0"/>
                <w:color w:val="000000"/>
                <w:sz w:val="20"/>
                <w:lang w:eastAsia="en-GB"/>
              </w:rPr>
              <w:t xml:space="preserve">Scotland </w:t>
            </w:r>
          </w:p>
        </w:tc>
        <w:tc>
          <w:tcPr>
            <w:tcW w:w="779" w:type="pct"/>
            <w:tcBorders>
              <w:top w:val="dotted" w:sz="4" w:space="0" w:color="auto"/>
              <w:bottom w:val="dotted" w:sz="4" w:space="0" w:color="auto"/>
            </w:tcBorders>
            <w:noWrap/>
            <w:vAlign w:val="center"/>
          </w:tcPr>
          <w:p w:rsidR="00E43478" w:rsidRPr="00037E7F" w:rsidRDefault="00E43478" w:rsidP="00920EB4">
            <w:pPr>
              <w:spacing w:before="0" w:line="240" w:lineRule="auto"/>
              <w:jc w:val="left"/>
              <w:rPr>
                <w:rFonts w:cs="Arial"/>
                <w:b w:val="0"/>
                <w:color w:val="000000"/>
                <w:sz w:val="20"/>
                <w:lang w:eastAsia="en-GB"/>
              </w:rPr>
            </w:pPr>
            <w:r w:rsidRPr="00037E7F">
              <w:rPr>
                <w:rFonts w:cs="Arial"/>
                <w:b w:val="0"/>
                <w:color w:val="000000"/>
                <w:sz w:val="20"/>
                <w:lang w:eastAsia="en-GB"/>
              </w:rPr>
              <w:t>TiPSE</w:t>
            </w:r>
          </w:p>
        </w:tc>
        <w:tc>
          <w:tcPr>
            <w:tcW w:w="633" w:type="pct"/>
            <w:tcBorders>
              <w:top w:val="dotted" w:sz="4" w:space="0" w:color="auto"/>
              <w:bottom w:val="dotted" w:sz="4" w:space="0" w:color="auto"/>
            </w:tcBorders>
            <w:noWrap/>
            <w:vAlign w:val="center"/>
          </w:tcPr>
          <w:p w:rsidR="00E43478" w:rsidRPr="00037E7F" w:rsidRDefault="00E43478" w:rsidP="00920EB4">
            <w:pPr>
              <w:spacing w:before="0" w:line="240" w:lineRule="auto"/>
              <w:jc w:val="left"/>
              <w:rPr>
                <w:rFonts w:cs="Arial"/>
                <w:b w:val="0"/>
                <w:color w:val="000000"/>
                <w:sz w:val="20"/>
                <w:lang w:eastAsia="en-GB"/>
              </w:rPr>
            </w:pPr>
            <w:r w:rsidRPr="00037E7F">
              <w:rPr>
                <w:rFonts w:cs="Arial"/>
                <w:b w:val="0"/>
                <w:sz w:val="20"/>
              </w:rPr>
              <w:t>NSI</w:t>
            </w:r>
          </w:p>
        </w:tc>
        <w:tc>
          <w:tcPr>
            <w:tcW w:w="999" w:type="pct"/>
            <w:tcBorders>
              <w:top w:val="dotted" w:sz="4" w:space="0" w:color="auto"/>
              <w:bottom w:val="dotted" w:sz="4" w:space="0" w:color="auto"/>
            </w:tcBorders>
            <w:noWrap/>
            <w:vAlign w:val="center"/>
          </w:tcPr>
          <w:p w:rsidR="00E43478" w:rsidRPr="00037E7F" w:rsidRDefault="00E43478" w:rsidP="00920EB4">
            <w:pPr>
              <w:spacing w:before="0" w:line="240" w:lineRule="auto"/>
              <w:jc w:val="left"/>
              <w:rPr>
                <w:rFonts w:cs="Arial"/>
                <w:b w:val="0"/>
                <w:color w:val="000000"/>
                <w:sz w:val="20"/>
                <w:lang w:eastAsia="en-GB"/>
              </w:rPr>
            </w:pPr>
            <w:r w:rsidRPr="00037E7F">
              <w:rPr>
                <w:rFonts w:cs="Arial"/>
                <w:b w:val="0"/>
                <w:color w:val="000000"/>
                <w:sz w:val="20"/>
                <w:lang w:eastAsia="en-GB"/>
              </w:rPr>
              <w:t>2005-2008</w:t>
            </w:r>
          </w:p>
          <w:p w:rsidR="00E43478" w:rsidRPr="00037E7F" w:rsidRDefault="00E43478" w:rsidP="00920EB4">
            <w:pPr>
              <w:spacing w:before="0" w:line="240" w:lineRule="auto"/>
              <w:jc w:val="left"/>
              <w:rPr>
                <w:rFonts w:cs="Arial"/>
                <w:b w:val="0"/>
                <w:color w:val="000000"/>
                <w:sz w:val="20"/>
                <w:lang w:eastAsia="en-GB"/>
              </w:rPr>
            </w:pPr>
            <w:r w:rsidRPr="00037E7F">
              <w:rPr>
                <w:rFonts w:cs="Arial"/>
                <w:b w:val="0"/>
                <w:color w:val="000000"/>
                <w:sz w:val="20"/>
                <w:lang w:eastAsia="en-GB"/>
              </w:rPr>
              <w:t>(4-year rolling average)</w:t>
            </w:r>
          </w:p>
        </w:tc>
        <w:tc>
          <w:tcPr>
            <w:tcW w:w="750" w:type="pct"/>
            <w:tcBorders>
              <w:top w:val="dotted" w:sz="4" w:space="0" w:color="auto"/>
              <w:bottom w:val="dotted" w:sz="4" w:space="0" w:color="auto"/>
            </w:tcBorders>
            <w:noWrap/>
            <w:vAlign w:val="center"/>
          </w:tcPr>
          <w:p w:rsidR="00E43478" w:rsidRPr="00037E7F" w:rsidRDefault="00E43478"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p>
        </w:tc>
        <w:tc>
          <w:tcPr>
            <w:tcW w:w="980" w:type="pct"/>
            <w:tcBorders>
              <w:top w:val="dotted" w:sz="4" w:space="0" w:color="auto"/>
              <w:bottom w:val="dotted" w:sz="4" w:space="0" w:color="auto"/>
            </w:tcBorders>
            <w:noWrap/>
            <w:vAlign w:val="center"/>
          </w:tcPr>
          <w:p w:rsidR="00E43478" w:rsidRPr="00037E7F" w:rsidRDefault="00E43478" w:rsidP="00920EB4">
            <w:pPr>
              <w:spacing w:before="0" w:line="240" w:lineRule="auto"/>
              <w:jc w:val="left"/>
              <w:rPr>
                <w:rFonts w:cs="Arial"/>
                <w:b w:val="0"/>
                <w:color w:val="000000"/>
                <w:sz w:val="20"/>
                <w:lang w:eastAsia="en-GB"/>
              </w:rPr>
            </w:pPr>
            <w:r w:rsidRPr="00037E7F">
              <w:rPr>
                <w:rFonts w:cs="Arial"/>
                <w:b w:val="0"/>
                <w:color w:val="000000"/>
                <w:sz w:val="20"/>
                <w:lang w:eastAsia="en-GB"/>
              </w:rPr>
              <w:t>BHC</w:t>
            </w:r>
          </w:p>
        </w:tc>
      </w:tr>
      <w:tr w:rsidR="005F2023" w:rsidRPr="005F2023" w:rsidTr="00803C96">
        <w:trPr>
          <w:cnfStyle w:val="100000000000" w:firstRow="1" w:lastRow="0" w:firstColumn="0" w:lastColumn="0" w:oddVBand="0" w:evenVBand="0" w:oddHBand="0" w:evenHBand="0" w:firstRowFirstColumn="0" w:firstRowLastColumn="0" w:lastRowFirstColumn="0" w:lastRowLastColumn="0"/>
          <w:trHeight w:val="283"/>
          <w:tblHeader/>
        </w:trPr>
        <w:tc>
          <w:tcPr>
            <w:tcW w:w="859" w:type="pct"/>
            <w:tcBorders>
              <w:top w:val="dotted" w:sz="4" w:space="0" w:color="auto"/>
            </w:tcBorders>
            <w:noWrap/>
            <w:vAlign w:val="center"/>
          </w:tcPr>
          <w:p w:rsidR="00E43478" w:rsidRPr="00037E7F" w:rsidRDefault="00E43478" w:rsidP="00920EB4">
            <w:pPr>
              <w:spacing w:before="0" w:line="240" w:lineRule="auto"/>
              <w:jc w:val="left"/>
              <w:rPr>
                <w:rFonts w:cs="Arial"/>
                <w:b w:val="0"/>
                <w:color w:val="000000"/>
                <w:sz w:val="20"/>
                <w:lang w:eastAsia="en-GB"/>
              </w:rPr>
            </w:pPr>
            <w:r w:rsidRPr="00037E7F">
              <w:rPr>
                <w:rFonts w:cs="Arial"/>
                <w:b w:val="0"/>
                <w:color w:val="000000"/>
                <w:sz w:val="20"/>
                <w:lang w:eastAsia="en-GB"/>
              </w:rPr>
              <w:t>Northern Ireland</w:t>
            </w:r>
          </w:p>
        </w:tc>
        <w:tc>
          <w:tcPr>
            <w:tcW w:w="779" w:type="pct"/>
            <w:tcBorders>
              <w:top w:val="dotted" w:sz="4" w:space="0" w:color="auto"/>
            </w:tcBorders>
            <w:noWrap/>
            <w:vAlign w:val="center"/>
          </w:tcPr>
          <w:p w:rsidR="00E43478" w:rsidRPr="00037E7F" w:rsidRDefault="00E43478" w:rsidP="00920EB4">
            <w:pPr>
              <w:spacing w:before="0" w:line="240" w:lineRule="auto"/>
              <w:jc w:val="left"/>
              <w:rPr>
                <w:rFonts w:cs="Arial"/>
                <w:b w:val="0"/>
                <w:color w:val="000000"/>
                <w:sz w:val="20"/>
                <w:lang w:eastAsia="en-GB"/>
              </w:rPr>
            </w:pPr>
            <w:r w:rsidRPr="00037E7F">
              <w:rPr>
                <w:rFonts w:cs="Arial"/>
                <w:b w:val="0"/>
                <w:color w:val="000000"/>
                <w:sz w:val="20"/>
                <w:lang w:eastAsia="en-GB"/>
              </w:rPr>
              <w:t>TiPSE</w:t>
            </w:r>
          </w:p>
        </w:tc>
        <w:tc>
          <w:tcPr>
            <w:tcW w:w="633" w:type="pct"/>
            <w:tcBorders>
              <w:top w:val="dotted" w:sz="4" w:space="0" w:color="auto"/>
            </w:tcBorders>
            <w:noWrap/>
            <w:vAlign w:val="center"/>
          </w:tcPr>
          <w:p w:rsidR="00E43478" w:rsidRPr="00037E7F" w:rsidRDefault="00E43478" w:rsidP="00920EB4">
            <w:pPr>
              <w:spacing w:before="0" w:line="240" w:lineRule="auto"/>
              <w:jc w:val="left"/>
              <w:rPr>
                <w:rFonts w:cs="Arial"/>
                <w:b w:val="0"/>
                <w:color w:val="000000"/>
                <w:sz w:val="20"/>
                <w:lang w:eastAsia="en-GB"/>
              </w:rPr>
            </w:pPr>
            <w:r w:rsidRPr="00037E7F">
              <w:rPr>
                <w:rFonts w:cs="Arial"/>
                <w:b w:val="0"/>
                <w:sz w:val="20"/>
              </w:rPr>
              <w:t>NSI</w:t>
            </w:r>
          </w:p>
        </w:tc>
        <w:tc>
          <w:tcPr>
            <w:tcW w:w="999" w:type="pct"/>
            <w:tcBorders>
              <w:top w:val="dotted" w:sz="4" w:space="0" w:color="auto"/>
            </w:tcBorders>
            <w:noWrap/>
            <w:vAlign w:val="center"/>
          </w:tcPr>
          <w:p w:rsidR="00E43478" w:rsidRPr="00037E7F" w:rsidRDefault="00E43478" w:rsidP="00920EB4">
            <w:pPr>
              <w:spacing w:before="0" w:line="240" w:lineRule="auto"/>
              <w:jc w:val="left"/>
              <w:rPr>
                <w:rFonts w:cs="Arial"/>
                <w:b w:val="0"/>
                <w:color w:val="000000"/>
                <w:sz w:val="20"/>
                <w:lang w:eastAsia="en-GB"/>
              </w:rPr>
            </w:pPr>
            <w:r w:rsidRPr="00037E7F">
              <w:rPr>
                <w:rFonts w:cs="Arial"/>
                <w:b w:val="0"/>
                <w:color w:val="000000"/>
                <w:sz w:val="20"/>
                <w:lang w:eastAsia="en-GB"/>
              </w:rPr>
              <w:t>2009/10-2011/12</w:t>
            </w:r>
          </w:p>
          <w:p w:rsidR="00E43478" w:rsidRPr="00037E7F" w:rsidRDefault="00E43478" w:rsidP="00920EB4">
            <w:pPr>
              <w:spacing w:before="0" w:line="240" w:lineRule="auto"/>
              <w:jc w:val="left"/>
              <w:rPr>
                <w:rFonts w:cs="Arial"/>
                <w:b w:val="0"/>
                <w:color w:val="000000"/>
                <w:sz w:val="20"/>
                <w:lang w:eastAsia="en-GB"/>
              </w:rPr>
            </w:pPr>
            <w:r w:rsidRPr="00037E7F">
              <w:rPr>
                <w:rFonts w:cs="Arial"/>
                <w:b w:val="0"/>
                <w:color w:val="000000"/>
                <w:sz w:val="20"/>
                <w:lang w:eastAsia="en-GB"/>
              </w:rPr>
              <w:t>(3-year average)</w:t>
            </w:r>
          </w:p>
        </w:tc>
        <w:tc>
          <w:tcPr>
            <w:tcW w:w="750" w:type="pct"/>
            <w:tcBorders>
              <w:top w:val="dotted" w:sz="4" w:space="0" w:color="auto"/>
            </w:tcBorders>
            <w:noWrap/>
            <w:vAlign w:val="center"/>
          </w:tcPr>
          <w:p w:rsidR="00E43478" w:rsidRPr="00037E7F" w:rsidRDefault="00E43478" w:rsidP="00920EB4">
            <w:pPr>
              <w:spacing w:before="0" w:line="240" w:lineRule="auto"/>
              <w:jc w:val="left"/>
              <w:rPr>
                <w:rFonts w:cs="Arial"/>
                <w:b w:val="0"/>
                <w:color w:val="000000"/>
                <w:sz w:val="20"/>
                <w:lang w:eastAsia="en-GB"/>
              </w:rPr>
            </w:pPr>
            <w:r w:rsidRPr="00037E7F">
              <w:rPr>
                <w:rFonts w:cs="Arial"/>
                <w:b w:val="0"/>
                <w:color w:val="000000"/>
                <w:sz w:val="20"/>
                <w:lang w:eastAsia="en-GB"/>
              </w:rPr>
              <w:t>NUTS 3</w:t>
            </w:r>
          </w:p>
        </w:tc>
        <w:tc>
          <w:tcPr>
            <w:tcW w:w="980" w:type="pct"/>
            <w:tcBorders>
              <w:top w:val="dotted" w:sz="4" w:space="0" w:color="auto"/>
            </w:tcBorders>
            <w:noWrap/>
            <w:vAlign w:val="center"/>
          </w:tcPr>
          <w:p w:rsidR="00E43478" w:rsidRPr="005F2023" w:rsidRDefault="00E43478" w:rsidP="00920EB4">
            <w:pPr>
              <w:spacing w:before="0" w:line="240" w:lineRule="auto"/>
              <w:jc w:val="left"/>
              <w:rPr>
                <w:rFonts w:cs="Arial"/>
                <w:b w:val="0"/>
                <w:color w:val="000000"/>
                <w:sz w:val="20"/>
                <w:lang w:eastAsia="en-GB"/>
              </w:rPr>
            </w:pPr>
            <w:r w:rsidRPr="00037E7F">
              <w:rPr>
                <w:rFonts w:cs="Arial"/>
                <w:b w:val="0"/>
                <w:color w:val="000000"/>
                <w:sz w:val="20"/>
                <w:lang w:eastAsia="en-GB"/>
              </w:rPr>
              <w:t>BHC, AHC</w:t>
            </w:r>
          </w:p>
        </w:tc>
      </w:tr>
    </w:tbl>
    <w:p w:rsidR="00037E7F" w:rsidRPr="00803C96" w:rsidRDefault="00037E7F" w:rsidP="00037E7F">
      <w:pPr>
        <w:pStyle w:val="Kuvaotsikko"/>
        <w:spacing w:before="0" w:line="240" w:lineRule="auto"/>
        <w:rPr>
          <w:sz w:val="20"/>
        </w:rPr>
      </w:pPr>
      <w:r w:rsidRPr="00803C96">
        <w:rPr>
          <w:sz w:val="20"/>
        </w:rPr>
        <w:t>Legend:</w:t>
      </w:r>
    </w:p>
    <w:tbl>
      <w:tblPr>
        <w:tblStyle w:val="TaulukkoRuudukko"/>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7088"/>
      </w:tblGrid>
      <w:tr w:rsidR="00037E7F" w:rsidTr="00037E7F">
        <w:tc>
          <w:tcPr>
            <w:tcW w:w="7088" w:type="dxa"/>
          </w:tcPr>
          <w:p w:rsidR="00037E7F" w:rsidRPr="00037E7F" w:rsidRDefault="00037E7F" w:rsidP="00037E7F">
            <w:pPr>
              <w:pStyle w:val="Kuvaotsikko"/>
              <w:spacing w:before="0" w:line="240" w:lineRule="auto"/>
              <w:rPr>
                <w:b w:val="0"/>
                <w:sz w:val="20"/>
              </w:rPr>
            </w:pPr>
            <w:r w:rsidRPr="00037E7F">
              <w:rPr>
                <w:b w:val="0"/>
                <w:sz w:val="20"/>
              </w:rPr>
              <w:t>ABM</w:t>
            </w:r>
            <w:r w:rsidRPr="00037E7F">
              <w:rPr>
                <w:b w:val="0"/>
                <w:sz w:val="20"/>
              </w:rPr>
              <w:tab/>
            </w:r>
            <w:r>
              <w:rPr>
                <w:b w:val="0"/>
                <w:sz w:val="20"/>
              </w:rPr>
              <w:t xml:space="preserve">            </w:t>
            </w:r>
            <w:r w:rsidRPr="00037E7F">
              <w:rPr>
                <w:b w:val="0"/>
                <w:sz w:val="20"/>
              </w:rPr>
              <w:t>Area based model</w:t>
            </w:r>
          </w:p>
          <w:p w:rsidR="00037E7F" w:rsidRPr="00037E7F" w:rsidRDefault="00037E7F" w:rsidP="00037E7F">
            <w:pPr>
              <w:pStyle w:val="Kuvaotsikko"/>
              <w:spacing w:before="0" w:line="240" w:lineRule="auto"/>
              <w:rPr>
                <w:b w:val="0"/>
                <w:sz w:val="20"/>
              </w:rPr>
            </w:pPr>
            <w:r w:rsidRPr="00037E7F">
              <w:rPr>
                <w:b w:val="0"/>
                <w:sz w:val="20"/>
              </w:rPr>
              <w:t>AHC</w:t>
            </w:r>
            <w:r w:rsidRPr="00037E7F">
              <w:rPr>
                <w:b w:val="0"/>
                <w:sz w:val="20"/>
              </w:rPr>
              <w:tab/>
            </w:r>
            <w:r>
              <w:rPr>
                <w:b w:val="0"/>
                <w:sz w:val="20"/>
              </w:rPr>
              <w:t xml:space="preserve">            </w:t>
            </w:r>
            <w:r w:rsidRPr="00037E7F">
              <w:rPr>
                <w:b w:val="0"/>
                <w:sz w:val="20"/>
              </w:rPr>
              <w:t>After housing cost</w:t>
            </w:r>
          </w:p>
          <w:p w:rsidR="00037E7F" w:rsidRPr="00037E7F" w:rsidRDefault="00037E7F" w:rsidP="00037E7F">
            <w:pPr>
              <w:pStyle w:val="Kuvaotsikko"/>
              <w:spacing w:before="0" w:line="240" w:lineRule="auto"/>
              <w:rPr>
                <w:b w:val="0"/>
                <w:sz w:val="20"/>
              </w:rPr>
            </w:pPr>
            <w:r w:rsidRPr="00037E7F">
              <w:rPr>
                <w:b w:val="0"/>
                <w:sz w:val="20"/>
              </w:rPr>
              <w:t>APPT</w:t>
            </w:r>
            <w:r w:rsidRPr="00037E7F">
              <w:rPr>
                <w:b w:val="0"/>
                <w:sz w:val="20"/>
              </w:rPr>
              <w:tab/>
            </w:r>
            <w:r>
              <w:rPr>
                <w:b w:val="0"/>
                <w:sz w:val="20"/>
              </w:rPr>
              <w:t xml:space="preserve">            </w:t>
            </w:r>
            <w:r w:rsidRPr="00037E7F">
              <w:rPr>
                <w:b w:val="0"/>
                <w:sz w:val="20"/>
              </w:rPr>
              <w:t>Direct apportionment</w:t>
            </w:r>
          </w:p>
          <w:p w:rsidR="00037E7F" w:rsidRPr="00037E7F" w:rsidRDefault="00037E7F" w:rsidP="00037E7F">
            <w:pPr>
              <w:pStyle w:val="Kuvaotsikko"/>
              <w:spacing w:before="0" w:line="240" w:lineRule="auto"/>
              <w:rPr>
                <w:b w:val="0"/>
                <w:sz w:val="20"/>
              </w:rPr>
            </w:pPr>
            <w:r w:rsidRPr="00037E7F">
              <w:rPr>
                <w:b w:val="0"/>
                <w:sz w:val="20"/>
              </w:rPr>
              <w:t>BHC</w:t>
            </w:r>
            <w:r w:rsidRPr="00037E7F">
              <w:rPr>
                <w:b w:val="0"/>
                <w:sz w:val="20"/>
              </w:rPr>
              <w:tab/>
            </w:r>
            <w:r>
              <w:rPr>
                <w:b w:val="0"/>
                <w:sz w:val="20"/>
              </w:rPr>
              <w:t xml:space="preserve">            </w:t>
            </w:r>
            <w:r w:rsidRPr="00037E7F">
              <w:rPr>
                <w:b w:val="0"/>
                <w:sz w:val="20"/>
              </w:rPr>
              <w:t>Before housing cost</w:t>
            </w:r>
          </w:p>
          <w:p w:rsidR="00037E7F" w:rsidRDefault="00037E7F" w:rsidP="00037E7F">
            <w:pPr>
              <w:pStyle w:val="Kuvaotsikko"/>
              <w:spacing w:before="0" w:line="240" w:lineRule="auto"/>
              <w:rPr>
                <w:b w:val="0"/>
                <w:sz w:val="20"/>
              </w:rPr>
            </w:pPr>
            <w:r w:rsidRPr="00037E7F">
              <w:rPr>
                <w:b w:val="0"/>
                <w:sz w:val="20"/>
              </w:rPr>
              <w:t>EUSILC</w:t>
            </w:r>
            <w:r w:rsidRPr="00037E7F">
              <w:rPr>
                <w:b w:val="0"/>
                <w:sz w:val="20"/>
              </w:rPr>
              <w:tab/>
              <w:t>European Union Statistics o</w:t>
            </w:r>
            <w:r>
              <w:rPr>
                <w:b w:val="0"/>
                <w:sz w:val="20"/>
              </w:rPr>
              <w:t xml:space="preserve">n Income and Living Conditions </w:t>
            </w:r>
          </w:p>
        </w:tc>
        <w:tc>
          <w:tcPr>
            <w:tcW w:w="7088" w:type="dxa"/>
          </w:tcPr>
          <w:p w:rsidR="00037E7F" w:rsidRPr="00037E7F" w:rsidRDefault="00037E7F" w:rsidP="00037E7F">
            <w:pPr>
              <w:pStyle w:val="Kuvaotsikko"/>
              <w:spacing w:before="0" w:line="240" w:lineRule="auto"/>
              <w:rPr>
                <w:b w:val="0"/>
                <w:sz w:val="20"/>
              </w:rPr>
            </w:pPr>
            <w:r w:rsidRPr="00037E7F">
              <w:rPr>
                <w:b w:val="0"/>
                <w:sz w:val="20"/>
              </w:rPr>
              <w:t>N/A</w:t>
            </w:r>
            <w:r w:rsidRPr="00037E7F">
              <w:rPr>
                <w:b w:val="0"/>
                <w:sz w:val="20"/>
              </w:rPr>
              <w:tab/>
            </w:r>
            <w:r>
              <w:rPr>
                <w:b w:val="0"/>
                <w:sz w:val="20"/>
              </w:rPr>
              <w:t xml:space="preserve">          </w:t>
            </w:r>
            <w:r w:rsidRPr="00037E7F">
              <w:rPr>
                <w:b w:val="0"/>
                <w:sz w:val="20"/>
              </w:rPr>
              <w:t>Not Available</w:t>
            </w:r>
          </w:p>
          <w:p w:rsidR="00037E7F" w:rsidRPr="00037E7F" w:rsidRDefault="00037E7F" w:rsidP="00037E7F">
            <w:pPr>
              <w:pStyle w:val="Kuvaotsikko"/>
              <w:spacing w:before="0" w:line="240" w:lineRule="auto"/>
              <w:rPr>
                <w:b w:val="0"/>
                <w:sz w:val="20"/>
              </w:rPr>
            </w:pPr>
            <w:r w:rsidRPr="00037E7F">
              <w:rPr>
                <w:b w:val="0"/>
                <w:sz w:val="20"/>
              </w:rPr>
              <w:t>NSI</w:t>
            </w:r>
            <w:r w:rsidRPr="00037E7F">
              <w:rPr>
                <w:b w:val="0"/>
                <w:sz w:val="20"/>
              </w:rPr>
              <w:tab/>
            </w:r>
            <w:r>
              <w:rPr>
                <w:b w:val="0"/>
                <w:sz w:val="20"/>
              </w:rPr>
              <w:t xml:space="preserve">          </w:t>
            </w:r>
            <w:r w:rsidRPr="00037E7F">
              <w:rPr>
                <w:b w:val="0"/>
                <w:sz w:val="20"/>
              </w:rPr>
              <w:t>National Statistics Institute</w:t>
            </w:r>
          </w:p>
          <w:p w:rsidR="00037E7F" w:rsidRPr="00037E7F" w:rsidRDefault="00037E7F" w:rsidP="00037E7F">
            <w:pPr>
              <w:pStyle w:val="Kuvaotsikko"/>
              <w:spacing w:before="0" w:line="240" w:lineRule="auto"/>
              <w:rPr>
                <w:b w:val="0"/>
                <w:sz w:val="20"/>
              </w:rPr>
            </w:pPr>
            <w:r w:rsidRPr="00037E7F">
              <w:rPr>
                <w:b w:val="0"/>
                <w:sz w:val="20"/>
              </w:rPr>
              <w:t>REG</w:t>
            </w:r>
            <w:r w:rsidRPr="00037E7F">
              <w:rPr>
                <w:b w:val="0"/>
                <w:sz w:val="20"/>
              </w:rPr>
              <w:tab/>
            </w:r>
            <w:r>
              <w:rPr>
                <w:b w:val="0"/>
                <w:sz w:val="20"/>
              </w:rPr>
              <w:t xml:space="preserve">          </w:t>
            </w:r>
            <w:r w:rsidRPr="00037E7F">
              <w:rPr>
                <w:b w:val="0"/>
                <w:sz w:val="20"/>
              </w:rPr>
              <w:t>Register Data</w:t>
            </w:r>
          </w:p>
          <w:p w:rsidR="00037E7F" w:rsidRPr="00037E7F" w:rsidRDefault="00037E7F" w:rsidP="00037E7F">
            <w:pPr>
              <w:pStyle w:val="Kuvaotsikko"/>
              <w:spacing w:before="0" w:line="240" w:lineRule="auto"/>
              <w:rPr>
                <w:b w:val="0"/>
                <w:sz w:val="20"/>
              </w:rPr>
            </w:pPr>
            <w:r w:rsidRPr="00037E7F">
              <w:rPr>
                <w:b w:val="0"/>
                <w:sz w:val="20"/>
              </w:rPr>
              <w:t>WB</w:t>
            </w:r>
            <w:r w:rsidRPr="00037E7F">
              <w:rPr>
                <w:b w:val="0"/>
                <w:sz w:val="20"/>
              </w:rPr>
              <w:tab/>
            </w:r>
            <w:r>
              <w:rPr>
                <w:b w:val="0"/>
                <w:sz w:val="20"/>
              </w:rPr>
              <w:t xml:space="preserve">          </w:t>
            </w:r>
            <w:r w:rsidRPr="00037E7F">
              <w:rPr>
                <w:b w:val="0"/>
                <w:sz w:val="20"/>
              </w:rPr>
              <w:t>World Bank</w:t>
            </w:r>
          </w:p>
          <w:p w:rsidR="00037E7F" w:rsidRDefault="00037E7F" w:rsidP="00037E7F">
            <w:pPr>
              <w:pStyle w:val="Kuvaotsikko"/>
              <w:spacing w:before="0" w:line="240" w:lineRule="auto"/>
              <w:rPr>
                <w:b w:val="0"/>
                <w:sz w:val="20"/>
              </w:rPr>
            </w:pPr>
            <w:r>
              <w:rPr>
                <w:b w:val="0"/>
                <w:sz w:val="20"/>
              </w:rPr>
              <w:t>WBPM</w:t>
            </w:r>
            <w:r>
              <w:rPr>
                <w:b w:val="0"/>
                <w:sz w:val="20"/>
              </w:rPr>
              <w:tab/>
              <w:t xml:space="preserve">          World Bank PovMap </w:t>
            </w:r>
          </w:p>
        </w:tc>
      </w:tr>
    </w:tbl>
    <w:p w:rsidR="00803C96" w:rsidRDefault="00803C96" w:rsidP="00037E7F">
      <w:pPr>
        <w:pStyle w:val="Kuvaotsikko"/>
        <w:spacing w:before="0" w:line="240" w:lineRule="auto"/>
        <w:jc w:val="left"/>
        <w:rPr>
          <w:b w:val="0"/>
          <w:sz w:val="20"/>
        </w:rPr>
      </w:pPr>
    </w:p>
    <w:p w:rsidR="00037E7F" w:rsidRPr="00037E7F" w:rsidRDefault="00037E7F" w:rsidP="00037E7F">
      <w:pPr>
        <w:pStyle w:val="Kuvaotsikko"/>
        <w:spacing w:before="0" w:line="240" w:lineRule="auto"/>
        <w:jc w:val="left"/>
        <w:rPr>
          <w:b w:val="0"/>
          <w:sz w:val="20"/>
        </w:rPr>
      </w:pPr>
      <w:r>
        <w:rPr>
          <w:b w:val="0"/>
          <w:sz w:val="20"/>
        </w:rPr>
        <w:t xml:space="preserve">* </w:t>
      </w:r>
      <w:r w:rsidRPr="00037E7F">
        <w:rPr>
          <w:b w:val="0"/>
          <w:sz w:val="20"/>
        </w:rPr>
        <w:t>Data for Corsica at NUTS 2 only.</w:t>
      </w:r>
      <w:r w:rsidRPr="00037E7F">
        <w:rPr>
          <w:b w:val="0"/>
          <w:sz w:val="20"/>
        </w:rPr>
        <w:tab/>
      </w:r>
    </w:p>
    <w:p w:rsidR="005F2023" w:rsidRPr="00037E7F" w:rsidRDefault="00037E7F" w:rsidP="00037E7F">
      <w:pPr>
        <w:pStyle w:val="Kuvaotsikko"/>
        <w:spacing w:before="0" w:line="240" w:lineRule="auto"/>
        <w:jc w:val="left"/>
        <w:rPr>
          <w:b w:val="0"/>
          <w:sz w:val="20"/>
        </w:rPr>
        <w:sectPr w:rsidR="005F2023" w:rsidRPr="00037E7F" w:rsidSect="00803C96">
          <w:footerReference w:type="default" r:id="rId17"/>
          <w:pgSz w:w="16840" w:h="11907" w:orient="landscape" w:code="9"/>
          <w:pgMar w:top="1797" w:right="1440" w:bottom="1797" w:left="1440" w:header="709" w:footer="709" w:gutter="0"/>
          <w:cols w:space="708"/>
          <w:docGrid w:linePitch="360"/>
        </w:sectPr>
      </w:pPr>
      <w:r>
        <w:rPr>
          <w:b w:val="0"/>
          <w:sz w:val="20"/>
        </w:rPr>
        <w:t xml:space="preserve">** </w:t>
      </w:r>
      <w:r w:rsidRPr="00037E7F">
        <w:rPr>
          <w:b w:val="0"/>
          <w:sz w:val="20"/>
        </w:rPr>
        <w:t>ARoP rates were also estimated for LAU 1 regions (values for Northern Ireland refer t</w:t>
      </w:r>
      <w:r w:rsidR="00443826">
        <w:rPr>
          <w:b w:val="0"/>
          <w:sz w:val="20"/>
        </w:rPr>
        <w:t>o Parliamentary Constituencies).</w:t>
      </w:r>
    </w:p>
    <w:p w:rsidR="00F863A3" w:rsidRDefault="00F863A3" w:rsidP="00443826">
      <w:pPr>
        <w:spacing w:before="0" w:line="240" w:lineRule="auto"/>
        <w:rPr>
          <w:highlight w:val="yellow"/>
        </w:rPr>
      </w:pPr>
    </w:p>
    <w:p w:rsidR="00F863A3" w:rsidRDefault="00F863A3" w:rsidP="00F863A3">
      <w:pPr>
        <w:pStyle w:val="Otsikko2"/>
      </w:pPr>
      <w:bookmarkStart w:id="10" w:name="_Toc393812334"/>
      <w:r>
        <w:t xml:space="preserve">Countries with </w:t>
      </w:r>
      <w:r w:rsidR="004A77B5">
        <w:t xml:space="preserve">data available for </w:t>
      </w:r>
      <w:r>
        <w:t>at-risk-of-poverty rates</w:t>
      </w:r>
      <w:bookmarkEnd w:id="10"/>
    </w:p>
    <w:p w:rsidR="009014F9" w:rsidRDefault="00F863A3" w:rsidP="00F863A3">
      <w:r>
        <w:t xml:space="preserve">We were able to obtain data for </w:t>
      </w:r>
      <w:r w:rsidRPr="00F65332">
        <w:t xml:space="preserve">at-risk-of-poverty rates for NUTS 3 regions directly from some countries’ National </w:t>
      </w:r>
      <w:r w:rsidR="007B2D3C">
        <w:t xml:space="preserve">Statistics Institutes </w:t>
      </w:r>
      <w:r w:rsidRPr="00F65332">
        <w:t>(</w:t>
      </w:r>
      <w:r w:rsidR="00F65332" w:rsidRPr="00F65332">
        <w:t>e.g. France, Ireland</w:t>
      </w:r>
      <w:r w:rsidRPr="00F65332">
        <w:t>) and the World Bank (</w:t>
      </w:r>
      <w:r w:rsidR="00F65332" w:rsidRPr="00F65332">
        <w:t xml:space="preserve">e.g. </w:t>
      </w:r>
      <w:r w:rsidRPr="00F65332">
        <w:t>Albania, Croatia). In such cases, there was no need to carry out any form of direct or indirect estimation of poverty rates. The figures below show the maps of at-risk-of-poverty rates for these countries.</w:t>
      </w:r>
      <w:r w:rsidR="009014F9">
        <w:t xml:space="preserve"> In addition, data for small area poverty rates were also available for the three UK countries England and Wales, Scotland and Northern Ireland for the periods 2007-2008, 2005-2008, and 2009/10-2011/12, respectively. These data were used to produce </w:t>
      </w:r>
      <w:r w:rsidR="009014F9" w:rsidRPr="009014F9">
        <w:t xml:space="preserve">population-weighted averages </w:t>
      </w:r>
      <w:r w:rsidR="009014F9">
        <w:t xml:space="preserve">of ARoP rates </w:t>
      </w:r>
      <w:r w:rsidR="009014F9" w:rsidRPr="009014F9">
        <w:t>for NUTS 3 regions</w:t>
      </w:r>
      <w:r w:rsidR="009014F9">
        <w:t xml:space="preserve"> which are more recent than those estimated using WB PovMap based on 2001 Census data (see section </w:t>
      </w:r>
      <w:r w:rsidR="009014F9">
        <w:fldChar w:fldCharType="begin"/>
      </w:r>
      <w:r w:rsidR="009014F9">
        <w:instrText xml:space="preserve"> REF _Ref393788166 \r \h </w:instrText>
      </w:r>
      <w:r w:rsidR="009014F9">
        <w:fldChar w:fldCharType="separate"/>
      </w:r>
      <w:r w:rsidR="009014F9">
        <w:t>4</w:t>
      </w:r>
      <w:r w:rsidR="009014F9">
        <w:fldChar w:fldCharType="end"/>
      </w:r>
      <w:r w:rsidR="009014F9">
        <w:t xml:space="preserve"> of the report).</w:t>
      </w:r>
      <w:r w:rsidR="00A35487">
        <w:rPr>
          <w:rStyle w:val="Alaviitteenviite"/>
        </w:rPr>
        <w:footnoteReference w:id="1"/>
      </w:r>
    </w:p>
    <w:p w:rsidR="00F863A3" w:rsidRDefault="00F863A3" w:rsidP="00F863A3"/>
    <w:p w:rsidR="00F863A3" w:rsidRDefault="00691FE8" w:rsidP="00F863A3">
      <w:r>
        <w:rPr>
          <w:noProof/>
          <w:lang w:val="fi-FI" w:eastAsia="fi-FI"/>
        </w:rPr>
        <w:drawing>
          <wp:inline distT="0" distB="0" distL="0" distR="0" wp14:anchorId="5E056327" wp14:editId="0FB9C3AF">
            <wp:extent cx="4230000" cy="3880800"/>
            <wp:effectExtent l="0" t="0" r="0" b="5715"/>
            <wp:docPr id="21" name="Kép 2" descr="Austria_PovMap_BH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stria_PovMap_BHC.png"/>
                    <pic:cNvPicPr/>
                  </pic:nvPicPr>
                  <pic:blipFill rotWithShape="1">
                    <a:blip r:embed="rId18" cstate="print"/>
                    <a:srcRect l="3795" t="15908" r="4055" b="24231"/>
                    <a:stretch/>
                  </pic:blipFill>
                  <pic:spPr bwMode="auto">
                    <a:xfrm>
                      <a:off x="0" y="0"/>
                      <a:ext cx="4230000" cy="3880800"/>
                    </a:xfrm>
                    <a:prstGeom prst="rect">
                      <a:avLst/>
                    </a:prstGeom>
                    <a:ln>
                      <a:noFill/>
                    </a:ln>
                    <a:extLst>
                      <a:ext uri="{53640926-AAD7-44D8-BBD7-CCE9431645EC}">
                        <a14:shadowObscured xmlns:a14="http://schemas.microsoft.com/office/drawing/2010/main"/>
                      </a:ext>
                    </a:extLst>
                  </pic:spPr>
                </pic:pic>
              </a:graphicData>
            </a:graphic>
          </wp:inline>
        </w:drawing>
      </w:r>
    </w:p>
    <w:p w:rsidR="00F863A3" w:rsidRDefault="00A260D4" w:rsidP="00F863A3">
      <w:pPr>
        <w:pStyle w:val="Kuvaotsikko"/>
        <w:rPr>
          <w:b w:val="0"/>
        </w:rPr>
      </w:pPr>
      <w:bookmarkStart w:id="11" w:name="_Toc401272704"/>
      <w:r>
        <w:t>Map</w:t>
      </w:r>
      <w:r w:rsidR="00F863A3" w:rsidRPr="00E20D80">
        <w:t xml:space="preserve"> </w:t>
      </w:r>
      <w:r w:rsidR="00630F69">
        <w:fldChar w:fldCharType="begin"/>
      </w:r>
      <w:r w:rsidR="00630F69">
        <w:instrText xml:space="preserve"> SEQ Figure \* ARABIC </w:instrText>
      </w:r>
      <w:r w:rsidR="00630F69">
        <w:fldChar w:fldCharType="separate"/>
      </w:r>
      <w:r w:rsidR="00920EB4">
        <w:rPr>
          <w:noProof/>
        </w:rPr>
        <w:t>1</w:t>
      </w:r>
      <w:r w:rsidR="00630F69">
        <w:rPr>
          <w:noProof/>
        </w:rPr>
        <w:fldChar w:fldCharType="end"/>
      </w:r>
      <w:r w:rsidR="00F863A3" w:rsidRPr="00E20D80">
        <w:t xml:space="preserve">: </w:t>
      </w:r>
      <w:r w:rsidR="00F863A3" w:rsidRPr="00E20D80">
        <w:rPr>
          <w:b w:val="0"/>
        </w:rPr>
        <w:t xml:space="preserve">At-risk-of-poverty rates (before housing cost), </w:t>
      </w:r>
      <w:r w:rsidR="00F863A3">
        <w:rPr>
          <w:b w:val="0"/>
        </w:rPr>
        <w:t>Albania</w:t>
      </w:r>
      <w:bookmarkEnd w:id="11"/>
    </w:p>
    <w:p w:rsidR="00F863A3" w:rsidRDefault="00F863A3" w:rsidP="00F863A3"/>
    <w:p w:rsidR="00691FE8" w:rsidRDefault="00691FE8" w:rsidP="00F863A3">
      <w:r>
        <w:rPr>
          <w:noProof/>
          <w:lang w:val="fi-FI" w:eastAsia="fi-FI"/>
        </w:rPr>
        <w:lastRenderedPageBreak/>
        <w:drawing>
          <wp:inline distT="0" distB="0" distL="0" distR="0" wp14:anchorId="6494D55B" wp14:editId="3CC9FA85">
            <wp:extent cx="4215600" cy="3880800"/>
            <wp:effectExtent l="0" t="0" r="0" b="5715"/>
            <wp:docPr id="22" name="Kép 1" descr="TiPSE_AROP_Switzerl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SE_AROP_Switzerland.png"/>
                    <pic:cNvPicPr/>
                  </pic:nvPicPr>
                  <pic:blipFill rotWithShape="1">
                    <a:blip r:embed="rId19" cstate="print"/>
                    <a:srcRect l="4154" t="15883" r="4094" b="24382"/>
                    <a:stretch/>
                  </pic:blipFill>
                  <pic:spPr bwMode="auto">
                    <a:xfrm>
                      <a:off x="0" y="0"/>
                      <a:ext cx="4215600" cy="3880800"/>
                    </a:xfrm>
                    <a:prstGeom prst="rect">
                      <a:avLst/>
                    </a:prstGeom>
                    <a:ln>
                      <a:noFill/>
                    </a:ln>
                    <a:extLst>
                      <a:ext uri="{53640926-AAD7-44D8-BBD7-CCE9431645EC}">
                        <a14:shadowObscured xmlns:a14="http://schemas.microsoft.com/office/drawing/2010/main"/>
                      </a:ext>
                    </a:extLst>
                  </pic:spPr>
                </pic:pic>
              </a:graphicData>
            </a:graphic>
          </wp:inline>
        </w:drawing>
      </w:r>
    </w:p>
    <w:p w:rsidR="00F863A3" w:rsidRDefault="00AA7BB3" w:rsidP="00F863A3">
      <w:pPr>
        <w:pStyle w:val="Kuvaotsikko"/>
        <w:rPr>
          <w:b w:val="0"/>
        </w:rPr>
      </w:pPr>
      <w:bookmarkStart w:id="12" w:name="_Toc401272705"/>
      <w:r>
        <w:t>Map</w:t>
      </w:r>
      <w:r w:rsidR="00F863A3" w:rsidRPr="00E20D80">
        <w:t xml:space="preserve"> </w:t>
      </w:r>
      <w:r w:rsidR="00630F69">
        <w:fldChar w:fldCharType="begin"/>
      </w:r>
      <w:r w:rsidR="00630F69">
        <w:instrText xml:space="preserve"> SEQ Figure \* ARABIC </w:instrText>
      </w:r>
      <w:r w:rsidR="00630F69">
        <w:fldChar w:fldCharType="separate"/>
      </w:r>
      <w:r w:rsidR="00920EB4">
        <w:rPr>
          <w:noProof/>
        </w:rPr>
        <w:t>2</w:t>
      </w:r>
      <w:r w:rsidR="00630F69">
        <w:rPr>
          <w:noProof/>
        </w:rPr>
        <w:fldChar w:fldCharType="end"/>
      </w:r>
      <w:r w:rsidR="00F863A3" w:rsidRPr="00E20D80">
        <w:t xml:space="preserve">: </w:t>
      </w:r>
      <w:r w:rsidR="00F863A3" w:rsidRPr="00E20D80">
        <w:rPr>
          <w:b w:val="0"/>
        </w:rPr>
        <w:t xml:space="preserve">At-risk-of-poverty rates (before housing cost), </w:t>
      </w:r>
      <w:r w:rsidR="00F863A3">
        <w:rPr>
          <w:b w:val="0"/>
        </w:rPr>
        <w:t>Croatia</w:t>
      </w:r>
      <w:bookmarkEnd w:id="12"/>
    </w:p>
    <w:p w:rsidR="00C5108F" w:rsidRPr="00C5108F" w:rsidRDefault="00C5108F" w:rsidP="00C5108F"/>
    <w:p w:rsidR="00F863A3" w:rsidRDefault="00F863A3" w:rsidP="00F863A3">
      <w:r>
        <w:rPr>
          <w:noProof/>
          <w:lang w:val="fi-FI" w:eastAsia="fi-FI"/>
        </w:rPr>
        <w:drawing>
          <wp:inline distT="0" distB="0" distL="0" distR="0" wp14:anchorId="2B9CA0D3" wp14:editId="32D296B2">
            <wp:extent cx="4276800" cy="3873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nce ARoP 2011.jpg"/>
                    <pic:cNvPicPr/>
                  </pic:nvPicPr>
                  <pic:blipFill rotWithShape="1">
                    <a:blip r:embed="rId20" cstate="print">
                      <a:extLst>
                        <a:ext uri="{28A0092B-C50C-407E-A947-70E740481C1C}">
                          <a14:useLocalDpi xmlns:a14="http://schemas.microsoft.com/office/drawing/2010/main" val="0"/>
                        </a:ext>
                      </a:extLst>
                    </a:blip>
                    <a:srcRect l="4151" t="15966" r="3971" b="25152"/>
                    <a:stretch/>
                  </pic:blipFill>
                  <pic:spPr bwMode="auto">
                    <a:xfrm>
                      <a:off x="0" y="0"/>
                      <a:ext cx="4276800" cy="3873600"/>
                    </a:xfrm>
                    <a:prstGeom prst="rect">
                      <a:avLst/>
                    </a:prstGeom>
                    <a:ln>
                      <a:noFill/>
                    </a:ln>
                    <a:extLst>
                      <a:ext uri="{53640926-AAD7-44D8-BBD7-CCE9431645EC}">
                        <a14:shadowObscured xmlns:a14="http://schemas.microsoft.com/office/drawing/2010/main"/>
                      </a:ext>
                    </a:extLst>
                  </pic:spPr>
                </pic:pic>
              </a:graphicData>
            </a:graphic>
          </wp:inline>
        </w:drawing>
      </w:r>
    </w:p>
    <w:p w:rsidR="00F863A3" w:rsidRDefault="00E94831" w:rsidP="00F863A3">
      <w:pPr>
        <w:pStyle w:val="Kuvaotsikko"/>
        <w:rPr>
          <w:b w:val="0"/>
        </w:rPr>
      </w:pPr>
      <w:bookmarkStart w:id="13" w:name="_Toc401272706"/>
      <w:r>
        <w:t>Map</w:t>
      </w:r>
      <w:r w:rsidR="00F863A3" w:rsidRPr="00E20D80">
        <w:t xml:space="preserve"> </w:t>
      </w:r>
      <w:r w:rsidR="00630F69">
        <w:fldChar w:fldCharType="begin"/>
      </w:r>
      <w:r w:rsidR="00630F69">
        <w:instrText xml:space="preserve"> SEQ Figure \* ARABIC </w:instrText>
      </w:r>
      <w:r w:rsidR="00630F69">
        <w:fldChar w:fldCharType="separate"/>
      </w:r>
      <w:r w:rsidR="00920EB4">
        <w:rPr>
          <w:noProof/>
        </w:rPr>
        <w:t>3</w:t>
      </w:r>
      <w:r w:rsidR="00630F69">
        <w:rPr>
          <w:noProof/>
        </w:rPr>
        <w:fldChar w:fldCharType="end"/>
      </w:r>
      <w:r w:rsidR="00F863A3" w:rsidRPr="00E20D80">
        <w:t xml:space="preserve">: </w:t>
      </w:r>
      <w:r w:rsidR="00F863A3" w:rsidRPr="00E20D80">
        <w:rPr>
          <w:b w:val="0"/>
        </w:rPr>
        <w:t xml:space="preserve">At-risk-of-poverty rates (before housing cost), </w:t>
      </w:r>
      <w:r w:rsidR="00F863A3">
        <w:rPr>
          <w:b w:val="0"/>
        </w:rPr>
        <w:t>France</w:t>
      </w:r>
      <w:bookmarkEnd w:id="13"/>
    </w:p>
    <w:p w:rsidR="00F863A3" w:rsidRPr="00C87341" w:rsidRDefault="00F863A3" w:rsidP="00F863A3">
      <w:r>
        <w:rPr>
          <w:noProof/>
          <w:lang w:val="fi-FI" w:eastAsia="fi-FI"/>
        </w:rPr>
        <w:lastRenderedPageBreak/>
        <w:drawing>
          <wp:inline distT="0" distB="0" distL="0" distR="0" wp14:anchorId="53EBEE8C" wp14:editId="1D2B606E">
            <wp:extent cx="4190400" cy="3794400"/>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E AROP 2009.jpg"/>
                    <pic:cNvPicPr/>
                  </pic:nvPicPr>
                  <pic:blipFill rotWithShape="1">
                    <a:blip r:embed="rId21" cstate="print">
                      <a:extLst>
                        <a:ext uri="{28A0092B-C50C-407E-A947-70E740481C1C}">
                          <a14:useLocalDpi xmlns:a14="http://schemas.microsoft.com/office/drawing/2010/main" val="0"/>
                        </a:ext>
                      </a:extLst>
                    </a:blip>
                    <a:srcRect l="4151" t="15966" r="3971" b="25152"/>
                    <a:stretch/>
                  </pic:blipFill>
                  <pic:spPr bwMode="auto">
                    <a:xfrm>
                      <a:off x="0" y="0"/>
                      <a:ext cx="4190400" cy="3794400"/>
                    </a:xfrm>
                    <a:prstGeom prst="rect">
                      <a:avLst/>
                    </a:prstGeom>
                    <a:ln>
                      <a:noFill/>
                    </a:ln>
                    <a:extLst>
                      <a:ext uri="{53640926-AAD7-44D8-BBD7-CCE9431645EC}">
                        <a14:shadowObscured xmlns:a14="http://schemas.microsoft.com/office/drawing/2010/main"/>
                      </a:ext>
                    </a:extLst>
                  </pic:spPr>
                </pic:pic>
              </a:graphicData>
            </a:graphic>
          </wp:inline>
        </w:drawing>
      </w:r>
    </w:p>
    <w:p w:rsidR="00F863A3" w:rsidRDefault="00E94831" w:rsidP="00F863A3">
      <w:pPr>
        <w:pStyle w:val="Kuvaotsikko"/>
        <w:rPr>
          <w:b w:val="0"/>
        </w:rPr>
      </w:pPr>
      <w:bookmarkStart w:id="14" w:name="_Toc401272707"/>
      <w:r>
        <w:t>Map</w:t>
      </w:r>
      <w:r w:rsidR="00F863A3" w:rsidRPr="00E20D80">
        <w:t xml:space="preserve"> </w:t>
      </w:r>
      <w:r w:rsidR="00630F69">
        <w:fldChar w:fldCharType="begin"/>
      </w:r>
      <w:r w:rsidR="00630F69">
        <w:instrText xml:space="preserve"> SEQ Figure \* ARABIC </w:instrText>
      </w:r>
      <w:r w:rsidR="00630F69">
        <w:fldChar w:fldCharType="separate"/>
      </w:r>
      <w:r w:rsidR="00920EB4">
        <w:rPr>
          <w:noProof/>
        </w:rPr>
        <w:t>4</w:t>
      </w:r>
      <w:r w:rsidR="00630F69">
        <w:rPr>
          <w:noProof/>
        </w:rPr>
        <w:fldChar w:fldCharType="end"/>
      </w:r>
      <w:r w:rsidR="00F863A3" w:rsidRPr="00E20D80">
        <w:t xml:space="preserve">: </w:t>
      </w:r>
      <w:r w:rsidR="00F863A3" w:rsidRPr="00E20D80">
        <w:rPr>
          <w:b w:val="0"/>
        </w:rPr>
        <w:t xml:space="preserve">At-risk-of-poverty rates (before housing cost), </w:t>
      </w:r>
      <w:r w:rsidR="00F863A3">
        <w:rPr>
          <w:b w:val="0"/>
        </w:rPr>
        <w:t>Ireland</w:t>
      </w:r>
      <w:bookmarkEnd w:id="14"/>
    </w:p>
    <w:p w:rsidR="008F6897" w:rsidRDefault="008F6897" w:rsidP="008F6897"/>
    <w:p w:rsidR="006F7EBE" w:rsidRDefault="003F7E5E" w:rsidP="008F6897">
      <w:r>
        <w:rPr>
          <w:noProof/>
          <w:lang w:val="fi-FI" w:eastAsia="fi-FI"/>
        </w:rPr>
        <w:drawing>
          <wp:inline distT="0" distB="0" distL="0" distR="0" wp14:anchorId="241F2132" wp14:editId="59494EB5">
            <wp:extent cx="4309200" cy="38376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SE_PovertyMapping_NUTS3_EW_AHC.tif"/>
                    <pic:cNvPicPr/>
                  </pic:nvPicPr>
                  <pic:blipFill rotWithShape="1">
                    <a:blip r:embed="rId22">
                      <a:extLst>
                        <a:ext uri="{28A0092B-C50C-407E-A947-70E740481C1C}">
                          <a14:useLocalDpi xmlns:a14="http://schemas.microsoft.com/office/drawing/2010/main" val="0"/>
                        </a:ext>
                      </a:extLst>
                    </a:blip>
                    <a:srcRect l="3791" t="16350" r="3971" b="25529"/>
                    <a:stretch/>
                  </pic:blipFill>
                  <pic:spPr bwMode="auto">
                    <a:xfrm>
                      <a:off x="0" y="0"/>
                      <a:ext cx="4309200" cy="3837600"/>
                    </a:xfrm>
                    <a:prstGeom prst="rect">
                      <a:avLst/>
                    </a:prstGeom>
                    <a:ln>
                      <a:noFill/>
                    </a:ln>
                    <a:extLst>
                      <a:ext uri="{53640926-AAD7-44D8-BBD7-CCE9431645EC}">
                        <a14:shadowObscured xmlns:a14="http://schemas.microsoft.com/office/drawing/2010/main"/>
                      </a:ext>
                    </a:extLst>
                  </pic:spPr>
                </pic:pic>
              </a:graphicData>
            </a:graphic>
          </wp:inline>
        </w:drawing>
      </w:r>
    </w:p>
    <w:p w:rsidR="00525D4A" w:rsidRDefault="00E94831" w:rsidP="00525D4A">
      <w:pPr>
        <w:pStyle w:val="Kuvaotsikko"/>
        <w:rPr>
          <w:b w:val="0"/>
        </w:rPr>
      </w:pPr>
      <w:bookmarkStart w:id="15" w:name="_Toc401272708"/>
      <w:r>
        <w:t>Map</w:t>
      </w:r>
      <w:r w:rsidR="00525D4A" w:rsidRPr="00E20D80">
        <w:t xml:space="preserve"> </w:t>
      </w:r>
      <w:r w:rsidR="00630F69">
        <w:fldChar w:fldCharType="begin"/>
      </w:r>
      <w:r w:rsidR="00630F69">
        <w:instrText xml:space="preserve"> SEQ Figure \* ARABIC </w:instrText>
      </w:r>
      <w:r w:rsidR="00630F69">
        <w:fldChar w:fldCharType="separate"/>
      </w:r>
      <w:r w:rsidR="00D42F4D">
        <w:rPr>
          <w:noProof/>
        </w:rPr>
        <w:t>5</w:t>
      </w:r>
      <w:r w:rsidR="00630F69">
        <w:rPr>
          <w:noProof/>
        </w:rPr>
        <w:fldChar w:fldCharType="end"/>
      </w:r>
      <w:r w:rsidR="00525D4A" w:rsidRPr="00E20D80">
        <w:t xml:space="preserve">: </w:t>
      </w:r>
      <w:r w:rsidR="00525D4A" w:rsidRPr="00E20D80">
        <w:rPr>
          <w:b w:val="0"/>
        </w:rPr>
        <w:t>At-risk-of-poverty rates (</w:t>
      </w:r>
      <w:r w:rsidR="00525D4A">
        <w:rPr>
          <w:b w:val="0"/>
        </w:rPr>
        <w:t>after</w:t>
      </w:r>
      <w:r w:rsidR="00525D4A" w:rsidRPr="00E20D80">
        <w:rPr>
          <w:b w:val="0"/>
        </w:rPr>
        <w:t xml:space="preserve"> housing cost), </w:t>
      </w:r>
      <w:r w:rsidR="00525D4A">
        <w:rPr>
          <w:b w:val="0"/>
        </w:rPr>
        <w:t>England and Wales update for 2007-2008</w:t>
      </w:r>
      <w:bookmarkEnd w:id="15"/>
    </w:p>
    <w:p w:rsidR="00282843" w:rsidRDefault="005C6BB2" w:rsidP="00525D4A">
      <w:r>
        <w:rPr>
          <w:noProof/>
          <w:lang w:val="fi-FI" w:eastAsia="fi-FI"/>
        </w:rPr>
        <w:lastRenderedPageBreak/>
        <w:drawing>
          <wp:inline distT="0" distB="0" distL="0" distR="0" wp14:anchorId="6C5D63E5" wp14:editId="55CE48D8">
            <wp:extent cx="4269600" cy="3837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SE_PovertyMapping_NUTS3_SCO_BHC.tif"/>
                    <pic:cNvPicPr/>
                  </pic:nvPicPr>
                  <pic:blipFill rotWithShape="1">
                    <a:blip r:embed="rId23">
                      <a:extLst>
                        <a:ext uri="{28A0092B-C50C-407E-A947-70E740481C1C}">
                          <a14:useLocalDpi xmlns:a14="http://schemas.microsoft.com/office/drawing/2010/main" val="0"/>
                        </a:ext>
                      </a:extLst>
                    </a:blip>
                    <a:srcRect l="4332" t="16478" r="4332" b="25401"/>
                    <a:stretch/>
                  </pic:blipFill>
                  <pic:spPr bwMode="auto">
                    <a:xfrm>
                      <a:off x="0" y="0"/>
                      <a:ext cx="4269600" cy="3837600"/>
                    </a:xfrm>
                    <a:prstGeom prst="rect">
                      <a:avLst/>
                    </a:prstGeom>
                    <a:ln>
                      <a:noFill/>
                    </a:ln>
                    <a:extLst>
                      <a:ext uri="{53640926-AAD7-44D8-BBD7-CCE9431645EC}">
                        <a14:shadowObscured xmlns:a14="http://schemas.microsoft.com/office/drawing/2010/main"/>
                      </a:ext>
                    </a:extLst>
                  </pic:spPr>
                </pic:pic>
              </a:graphicData>
            </a:graphic>
          </wp:inline>
        </w:drawing>
      </w:r>
    </w:p>
    <w:p w:rsidR="00525D4A" w:rsidRDefault="00E94831" w:rsidP="00525D4A">
      <w:pPr>
        <w:pStyle w:val="Kuvaotsikko"/>
        <w:rPr>
          <w:b w:val="0"/>
        </w:rPr>
      </w:pPr>
      <w:bookmarkStart w:id="16" w:name="_Toc401272709"/>
      <w:r>
        <w:t>Map</w:t>
      </w:r>
      <w:r w:rsidR="00525D4A" w:rsidRPr="00E20D80">
        <w:t xml:space="preserve"> </w:t>
      </w:r>
      <w:r w:rsidR="00630F69">
        <w:fldChar w:fldCharType="begin"/>
      </w:r>
      <w:r w:rsidR="00630F69">
        <w:instrText xml:space="preserve"> SEQ Figure \* ARABIC </w:instrText>
      </w:r>
      <w:r w:rsidR="00630F69">
        <w:fldChar w:fldCharType="separate"/>
      </w:r>
      <w:r w:rsidR="00D42F4D">
        <w:rPr>
          <w:noProof/>
        </w:rPr>
        <w:t>6</w:t>
      </w:r>
      <w:r w:rsidR="00630F69">
        <w:rPr>
          <w:noProof/>
        </w:rPr>
        <w:fldChar w:fldCharType="end"/>
      </w:r>
      <w:r w:rsidR="00525D4A" w:rsidRPr="00E20D80">
        <w:t xml:space="preserve">: </w:t>
      </w:r>
      <w:r w:rsidR="00525D4A" w:rsidRPr="00E20D80">
        <w:rPr>
          <w:b w:val="0"/>
        </w:rPr>
        <w:t xml:space="preserve">At-risk-of-poverty rates (before housing cost), </w:t>
      </w:r>
      <w:r w:rsidR="00525D4A">
        <w:rPr>
          <w:b w:val="0"/>
        </w:rPr>
        <w:t>Scotland update for 2005-2008</w:t>
      </w:r>
      <w:bookmarkEnd w:id="16"/>
    </w:p>
    <w:p w:rsidR="00525D4A" w:rsidRDefault="00783B51" w:rsidP="008F6897">
      <w:r>
        <w:rPr>
          <w:noProof/>
          <w:lang w:val="fi-FI" w:eastAsia="fi-FI"/>
        </w:rPr>
        <w:drawing>
          <wp:inline distT="0" distB="0" distL="0" distR="0" wp14:anchorId="65CD5BA9" wp14:editId="12425064">
            <wp:extent cx="4291200" cy="3888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SE_PovertyMapping_NUTS3_NI_BHC.tif"/>
                    <pic:cNvPicPr/>
                  </pic:nvPicPr>
                  <pic:blipFill rotWithShape="1">
                    <a:blip r:embed="rId24">
                      <a:extLst>
                        <a:ext uri="{28A0092B-C50C-407E-A947-70E740481C1C}">
                          <a14:useLocalDpi xmlns:a14="http://schemas.microsoft.com/office/drawing/2010/main" val="0"/>
                        </a:ext>
                      </a:extLst>
                    </a:blip>
                    <a:srcRect l="4152" t="15839" r="3970" b="25273"/>
                    <a:stretch/>
                  </pic:blipFill>
                  <pic:spPr bwMode="auto">
                    <a:xfrm>
                      <a:off x="0" y="0"/>
                      <a:ext cx="4291200" cy="3888000"/>
                    </a:xfrm>
                    <a:prstGeom prst="rect">
                      <a:avLst/>
                    </a:prstGeom>
                    <a:ln>
                      <a:noFill/>
                    </a:ln>
                    <a:extLst>
                      <a:ext uri="{53640926-AAD7-44D8-BBD7-CCE9431645EC}">
                        <a14:shadowObscured xmlns:a14="http://schemas.microsoft.com/office/drawing/2010/main"/>
                      </a:ext>
                    </a:extLst>
                  </pic:spPr>
                </pic:pic>
              </a:graphicData>
            </a:graphic>
          </wp:inline>
        </w:drawing>
      </w:r>
    </w:p>
    <w:p w:rsidR="00525D4A" w:rsidRDefault="00E94831" w:rsidP="00525D4A">
      <w:pPr>
        <w:pStyle w:val="Kuvaotsikko"/>
        <w:rPr>
          <w:b w:val="0"/>
        </w:rPr>
      </w:pPr>
      <w:bookmarkStart w:id="17" w:name="_Toc401272710"/>
      <w:r>
        <w:t>Map</w:t>
      </w:r>
      <w:r w:rsidR="00525D4A" w:rsidRPr="00E20D80">
        <w:t xml:space="preserve"> </w:t>
      </w:r>
      <w:r w:rsidR="00630F69">
        <w:fldChar w:fldCharType="begin"/>
      </w:r>
      <w:r w:rsidR="00630F69">
        <w:instrText xml:space="preserve"> SEQ Figure \* ARABIC </w:instrText>
      </w:r>
      <w:r w:rsidR="00630F69">
        <w:fldChar w:fldCharType="separate"/>
      </w:r>
      <w:r w:rsidR="00D42F4D">
        <w:rPr>
          <w:noProof/>
        </w:rPr>
        <w:t>7</w:t>
      </w:r>
      <w:r w:rsidR="00630F69">
        <w:rPr>
          <w:noProof/>
        </w:rPr>
        <w:fldChar w:fldCharType="end"/>
      </w:r>
      <w:r w:rsidR="00525D4A" w:rsidRPr="00E20D80">
        <w:t xml:space="preserve">: </w:t>
      </w:r>
      <w:r w:rsidR="00525D4A" w:rsidRPr="00E20D80">
        <w:rPr>
          <w:b w:val="0"/>
        </w:rPr>
        <w:t xml:space="preserve">At-risk-of-poverty rates (before housing cost), </w:t>
      </w:r>
      <w:r w:rsidR="00525D4A">
        <w:rPr>
          <w:b w:val="0"/>
        </w:rPr>
        <w:t>Northern Ireland update for 2009/10-2011/12</w:t>
      </w:r>
      <w:r w:rsidR="00783B51">
        <w:rPr>
          <w:b w:val="0"/>
        </w:rPr>
        <w:t>.</w:t>
      </w:r>
      <w:bookmarkEnd w:id="17"/>
      <w:r w:rsidR="00783B51">
        <w:rPr>
          <w:b w:val="0"/>
        </w:rPr>
        <w:t xml:space="preserve"> </w:t>
      </w:r>
    </w:p>
    <w:p w:rsidR="00783B51" w:rsidRDefault="00813E82" w:rsidP="00525D4A">
      <w:pPr>
        <w:pStyle w:val="Kuvaotsikko"/>
      </w:pPr>
      <w:r>
        <w:rPr>
          <w:noProof/>
          <w:lang w:val="fi-FI" w:eastAsia="fi-FI"/>
        </w:rPr>
        <w:lastRenderedPageBreak/>
        <w:drawing>
          <wp:inline distT="0" distB="0" distL="0" distR="0" wp14:anchorId="1512D8AF" wp14:editId="0F0F6893">
            <wp:extent cx="4320000" cy="3898800"/>
            <wp:effectExtent l="0" t="0" r="4445" b="698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SE_PovertyMapping_NUTS3_NI_AHC.tif"/>
                    <pic:cNvPicPr/>
                  </pic:nvPicPr>
                  <pic:blipFill rotWithShape="1">
                    <a:blip r:embed="rId25">
                      <a:extLst>
                        <a:ext uri="{28A0092B-C50C-407E-A947-70E740481C1C}">
                          <a14:useLocalDpi xmlns:a14="http://schemas.microsoft.com/office/drawing/2010/main" val="0"/>
                        </a:ext>
                      </a:extLst>
                    </a:blip>
                    <a:srcRect l="3791" t="15968" r="3791" b="25017"/>
                    <a:stretch/>
                  </pic:blipFill>
                  <pic:spPr bwMode="auto">
                    <a:xfrm>
                      <a:off x="0" y="0"/>
                      <a:ext cx="4320000" cy="3898800"/>
                    </a:xfrm>
                    <a:prstGeom prst="rect">
                      <a:avLst/>
                    </a:prstGeom>
                    <a:ln>
                      <a:noFill/>
                    </a:ln>
                    <a:extLst>
                      <a:ext uri="{53640926-AAD7-44D8-BBD7-CCE9431645EC}">
                        <a14:shadowObscured xmlns:a14="http://schemas.microsoft.com/office/drawing/2010/main"/>
                      </a:ext>
                    </a:extLst>
                  </pic:spPr>
                </pic:pic>
              </a:graphicData>
            </a:graphic>
          </wp:inline>
        </w:drawing>
      </w:r>
    </w:p>
    <w:p w:rsidR="00525D4A" w:rsidRDefault="00E94831" w:rsidP="00525D4A">
      <w:pPr>
        <w:pStyle w:val="Kuvaotsikko"/>
        <w:rPr>
          <w:b w:val="0"/>
        </w:rPr>
      </w:pPr>
      <w:bookmarkStart w:id="18" w:name="_Toc401272711"/>
      <w:r>
        <w:t>Map</w:t>
      </w:r>
      <w:r w:rsidR="00525D4A" w:rsidRPr="00E20D80">
        <w:t xml:space="preserve"> </w:t>
      </w:r>
      <w:r w:rsidR="00630F69">
        <w:fldChar w:fldCharType="begin"/>
      </w:r>
      <w:r w:rsidR="00630F69">
        <w:instrText xml:space="preserve"> SEQ Figure \* ARABIC </w:instrText>
      </w:r>
      <w:r w:rsidR="00630F69">
        <w:fldChar w:fldCharType="separate"/>
      </w:r>
      <w:r w:rsidR="00D42F4D">
        <w:rPr>
          <w:noProof/>
        </w:rPr>
        <w:t>8</w:t>
      </w:r>
      <w:r w:rsidR="00630F69">
        <w:rPr>
          <w:noProof/>
        </w:rPr>
        <w:fldChar w:fldCharType="end"/>
      </w:r>
      <w:r w:rsidR="00525D4A" w:rsidRPr="00E20D80">
        <w:t xml:space="preserve">: </w:t>
      </w:r>
      <w:r w:rsidR="00525D4A" w:rsidRPr="00E20D80">
        <w:rPr>
          <w:b w:val="0"/>
        </w:rPr>
        <w:t>At-risk-of-poverty rates (</w:t>
      </w:r>
      <w:r w:rsidR="00525D4A">
        <w:rPr>
          <w:b w:val="0"/>
        </w:rPr>
        <w:t>after</w:t>
      </w:r>
      <w:r w:rsidR="00525D4A" w:rsidRPr="00E20D80">
        <w:rPr>
          <w:b w:val="0"/>
        </w:rPr>
        <w:t xml:space="preserve"> housing cost), </w:t>
      </w:r>
      <w:r w:rsidR="00525D4A">
        <w:rPr>
          <w:b w:val="0"/>
        </w:rPr>
        <w:t>Northern Ireland</w:t>
      </w:r>
      <w:r w:rsidR="00525D4A" w:rsidRPr="00525D4A">
        <w:rPr>
          <w:b w:val="0"/>
        </w:rPr>
        <w:t xml:space="preserve"> </w:t>
      </w:r>
      <w:r w:rsidR="00525D4A">
        <w:rPr>
          <w:b w:val="0"/>
        </w:rPr>
        <w:t>update for 2009/10-2011/12</w:t>
      </w:r>
      <w:bookmarkEnd w:id="18"/>
    </w:p>
    <w:p w:rsidR="00916400" w:rsidRDefault="00D35390" w:rsidP="00916400">
      <w:pPr>
        <w:pStyle w:val="Otsikko1"/>
      </w:pPr>
      <w:bookmarkStart w:id="19" w:name="_Toc393812335"/>
      <w:r>
        <w:t xml:space="preserve">Poverty Mapping using </w:t>
      </w:r>
      <w:r w:rsidR="00916400">
        <w:t>Register</w:t>
      </w:r>
      <w:r w:rsidR="00C15EE3">
        <w:t>-Based</w:t>
      </w:r>
      <w:r w:rsidR="00916400">
        <w:t xml:space="preserve"> Data</w:t>
      </w:r>
      <w:bookmarkEnd w:id="19"/>
    </w:p>
    <w:p w:rsidR="00DF100D" w:rsidRDefault="00DF100D" w:rsidP="00D4106B">
      <w:pPr>
        <w:rPr>
          <w:color w:val="000000" w:themeColor="text1"/>
        </w:rPr>
      </w:pPr>
      <w:r w:rsidRPr="008C13F0">
        <w:rPr>
          <w:color w:val="000000" w:themeColor="text1"/>
        </w:rPr>
        <w:t xml:space="preserve">This section </w:t>
      </w:r>
      <w:r w:rsidR="00D4106B">
        <w:rPr>
          <w:color w:val="000000" w:themeColor="text1"/>
        </w:rPr>
        <w:t xml:space="preserve">provides a brief overview of </w:t>
      </w:r>
      <w:r w:rsidR="007B2D3C">
        <w:rPr>
          <w:color w:val="000000" w:themeColor="text1"/>
        </w:rPr>
        <w:t xml:space="preserve">the at-risk-of-poverty rates obtained from countries with </w:t>
      </w:r>
      <w:r w:rsidR="00D4106B">
        <w:rPr>
          <w:color w:val="000000" w:themeColor="text1"/>
        </w:rPr>
        <w:t>register-based systems, their main advantages and disadvantages, and the maps of</w:t>
      </w:r>
      <w:r w:rsidR="007E27C4" w:rsidRPr="008C13F0">
        <w:rPr>
          <w:color w:val="000000" w:themeColor="text1"/>
        </w:rPr>
        <w:t xml:space="preserve"> </w:t>
      </w:r>
      <w:r w:rsidR="00D4106B">
        <w:rPr>
          <w:color w:val="000000" w:themeColor="text1"/>
        </w:rPr>
        <w:t>at-risk-of-poverty rates</w:t>
      </w:r>
      <w:r w:rsidR="007E27C4" w:rsidRPr="008C13F0">
        <w:rPr>
          <w:color w:val="000000" w:themeColor="text1"/>
        </w:rPr>
        <w:t xml:space="preserve">. </w:t>
      </w:r>
    </w:p>
    <w:p w:rsidR="00DF100D" w:rsidRPr="00DF100D" w:rsidRDefault="00DF100D" w:rsidP="00DF100D"/>
    <w:p w:rsidR="00DF100D" w:rsidRDefault="00DF100D" w:rsidP="00DF100D">
      <w:pPr>
        <w:pStyle w:val="Otsikko3"/>
      </w:pPr>
      <w:r>
        <w:t>Overview of approach</w:t>
      </w:r>
    </w:p>
    <w:p w:rsidR="005C0145" w:rsidRPr="008C13F0" w:rsidRDefault="00D4106B" w:rsidP="005C0145">
      <w:pPr>
        <w:rPr>
          <w:color w:val="000000" w:themeColor="text1"/>
        </w:rPr>
      </w:pPr>
      <w:r>
        <w:rPr>
          <w:color w:val="000000" w:themeColor="text1"/>
        </w:rPr>
        <w:t xml:space="preserve">All Nordic countries have central population registers, where each person has a unique personal identification number that allows linking data from the population register to other administrative registers (e.g. activity register, business register, real estate register). </w:t>
      </w:r>
      <w:r>
        <w:rPr>
          <w:color w:val="000000" w:themeColor="text1"/>
        </w:rPr>
        <w:fldChar w:fldCharType="begin"/>
      </w:r>
      <w:r>
        <w:rPr>
          <w:color w:val="000000" w:themeColor="text1"/>
        </w:rPr>
        <w:instrText xml:space="preserve"> REF _Ref383499365 \h </w:instrText>
      </w:r>
      <w:r>
        <w:rPr>
          <w:color w:val="000000" w:themeColor="text1"/>
        </w:rPr>
      </w:r>
      <w:r>
        <w:rPr>
          <w:color w:val="000000" w:themeColor="text1"/>
        </w:rPr>
        <w:fldChar w:fldCharType="separate"/>
      </w:r>
      <w:r w:rsidR="00920EB4" w:rsidRPr="00E20D80">
        <w:t xml:space="preserve">Figure </w:t>
      </w:r>
      <w:r w:rsidR="00920EB4">
        <w:rPr>
          <w:noProof/>
        </w:rPr>
        <w:t>5</w:t>
      </w:r>
      <w:r>
        <w:rPr>
          <w:color w:val="000000" w:themeColor="text1"/>
        </w:rPr>
        <w:fldChar w:fldCharType="end"/>
      </w:r>
      <w:r>
        <w:rPr>
          <w:color w:val="000000" w:themeColor="text1"/>
        </w:rPr>
        <w:t xml:space="preserve"> below provides an illustration of the register-based system used in the Nordic countries. </w:t>
      </w:r>
      <w:r w:rsidR="005C0145">
        <w:rPr>
          <w:color w:val="000000" w:themeColor="text1"/>
        </w:rPr>
        <w:t>For more information about register-based systems see the United Nations (UN) report “</w:t>
      </w:r>
      <w:r w:rsidR="005C0145" w:rsidRPr="00D4106B">
        <w:rPr>
          <w:color w:val="000000" w:themeColor="text1"/>
        </w:rPr>
        <w:t>Register-based statistics in the Nordic countries: Review of best practices with focus on population and social statistics</w:t>
      </w:r>
      <w:r w:rsidR="005C0145">
        <w:rPr>
          <w:color w:val="000000" w:themeColor="text1"/>
        </w:rPr>
        <w:t xml:space="preserve">“ </w:t>
      </w:r>
      <w:r w:rsidR="005C0145">
        <w:rPr>
          <w:color w:val="000000" w:themeColor="text1"/>
        </w:rPr>
        <w:fldChar w:fldCharType="begin"/>
      </w:r>
      <w:r w:rsidR="005C0145">
        <w:rPr>
          <w:color w:val="000000" w:themeColor="text1"/>
        </w:rPr>
        <w:instrText xml:space="preserve"> ADDIN EN.CITE &lt;EndNote&gt;&lt;Cite&gt;&lt;Author&gt;United Nations&lt;/Author&gt;&lt;Year&gt;2007&lt;/Year&gt;&lt;RecNum&gt;57&lt;/RecNum&gt;&lt;DisplayText&gt;(United Nations, 2007)&lt;/DisplayText&gt;&lt;record&gt;&lt;rec-number&gt;57&lt;/rec-number&gt;&lt;foreign-keys&gt;&lt;key app="EN" db-id="25tas95vtezst4e55d1xv0twzf0xa2fpdr02"&gt;57&lt;/key&gt;&lt;/foreign-keys&gt;&lt;ref-type name="Report"&gt;27&lt;/ref-type&gt;&lt;contributors&gt;&lt;authors&gt;&lt;author&gt;United Nations,&lt;/author&gt;&lt;/authors&gt;&lt;/contributors&gt;&lt;titles&gt;&lt;title&gt;Register-based statistics in the Nordic countries: Review of best practices with focus on population and social statistics&lt;/title&gt;&lt;/titles&gt;&lt;dates&gt;&lt;year&gt;2007&lt;/year&gt;&lt;/dates&gt;&lt;pub-location&gt;New York, Geneva&lt;/pub-location&gt;&lt;publisher&gt;United Nations Economic Commission for Europe (UNECE)&lt;/publisher&gt;&lt;urls&gt;&lt;/urls&gt;&lt;/record&gt;&lt;/Cite&gt;&lt;/EndNote&gt;</w:instrText>
      </w:r>
      <w:r w:rsidR="005C0145">
        <w:rPr>
          <w:color w:val="000000" w:themeColor="text1"/>
        </w:rPr>
        <w:fldChar w:fldCharType="separate"/>
      </w:r>
      <w:r w:rsidR="005C0145">
        <w:rPr>
          <w:noProof/>
          <w:color w:val="000000" w:themeColor="text1"/>
        </w:rPr>
        <w:t>(</w:t>
      </w:r>
      <w:hyperlink w:anchor="_ENREF_25" w:tooltip="United Nations, 2007 #57" w:history="1">
        <w:r w:rsidR="00CD058B">
          <w:rPr>
            <w:noProof/>
            <w:color w:val="000000" w:themeColor="text1"/>
          </w:rPr>
          <w:t>United Nations, 2007</w:t>
        </w:r>
      </w:hyperlink>
      <w:r w:rsidR="005C0145">
        <w:rPr>
          <w:noProof/>
          <w:color w:val="000000" w:themeColor="text1"/>
        </w:rPr>
        <w:t>)</w:t>
      </w:r>
      <w:r w:rsidR="005C0145">
        <w:rPr>
          <w:color w:val="000000" w:themeColor="text1"/>
        </w:rPr>
        <w:fldChar w:fldCharType="end"/>
      </w:r>
      <w:r w:rsidR="005C0145">
        <w:rPr>
          <w:color w:val="000000" w:themeColor="text1"/>
        </w:rPr>
        <w:t>.</w:t>
      </w:r>
    </w:p>
    <w:p w:rsidR="00D4106B" w:rsidRDefault="00D4106B" w:rsidP="00D4106B">
      <w:pPr>
        <w:rPr>
          <w:color w:val="000000" w:themeColor="text1"/>
          <w:highlight w:val="lightGray"/>
        </w:rPr>
      </w:pPr>
      <w:r>
        <w:rPr>
          <w:noProof/>
          <w:color w:val="000000" w:themeColor="text1"/>
          <w:lang w:val="fi-FI" w:eastAsia="fi-FI"/>
        </w:rPr>
        <w:lastRenderedPageBreak/>
        <w:drawing>
          <wp:inline distT="0" distB="0" distL="0" distR="0" wp14:anchorId="5D2B8F51" wp14:editId="6B25EDF1">
            <wp:extent cx="4321277" cy="2867424"/>
            <wp:effectExtent l="0" t="0" r="317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er_Based_census_Nordic_Countries.jpg"/>
                    <pic:cNvPicPr/>
                  </pic:nvPicPr>
                  <pic:blipFill>
                    <a:blip r:embed="rId26">
                      <a:extLst>
                        <a:ext uri="{28A0092B-C50C-407E-A947-70E740481C1C}">
                          <a14:useLocalDpi xmlns:a14="http://schemas.microsoft.com/office/drawing/2010/main" val="0"/>
                        </a:ext>
                      </a:extLst>
                    </a:blip>
                    <a:stretch>
                      <a:fillRect/>
                    </a:stretch>
                  </pic:blipFill>
                  <pic:spPr>
                    <a:xfrm>
                      <a:off x="0" y="0"/>
                      <a:ext cx="4324127" cy="2869315"/>
                    </a:xfrm>
                    <a:prstGeom prst="rect">
                      <a:avLst/>
                    </a:prstGeom>
                  </pic:spPr>
                </pic:pic>
              </a:graphicData>
            </a:graphic>
          </wp:inline>
        </w:drawing>
      </w:r>
    </w:p>
    <w:p w:rsidR="00D4106B" w:rsidRDefault="00CC5E86" w:rsidP="00C7051A">
      <w:pPr>
        <w:pStyle w:val="Kuvaotsikko"/>
        <w:keepNext/>
        <w:jc w:val="left"/>
        <w:rPr>
          <w:b w:val="0"/>
        </w:rPr>
      </w:pPr>
      <w:bookmarkStart w:id="20" w:name="_Ref383499365"/>
      <w:r>
        <w:t>Figure 1</w:t>
      </w:r>
      <w:bookmarkEnd w:id="20"/>
      <w:r w:rsidR="00D4106B" w:rsidRPr="00E20D80">
        <w:t xml:space="preserve">: </w:t>
      </w:r>
      <w:r w:rsidR="00D4106B">
        <w:rPr>
          <w:b w:val="0"/>
        </w:rPr>
        <w:t>Register-based administrate system in the Nordic countries</w:t>
      </w:r>
    </w:p>
    <w:p w:rsidR="00D4106B" w:rsidRDefault="00D4106B" w:rsidP="00D4106B">
      <w:pPr>
        <w:pStyle w:val="Kuvaotsikko"/>
        <w:jc w:val="left"/>
        <w:rPr>
          <w:b w:val="0"/>
        </w:rPr>
      </w:pPr>
      <w:r>
        <w:rPr>
          <w:b w:val="0"/>
        </w:rPr>
        <w:t>Source:</w:t>
      </w:r>
      <w:r w:rsidRPr="008C13F0">
        <w:t xml:space="preserve"> </w:t>
      </w:r>
      <w:hyperlink r:id="rId27" w:history="1">
        <w:r w:rsidRPr="00F25296">
          <w:rPr>
            <w:rStyle w:val="Hyperlinkki"/>
            <w:b w:val="0"/>
          </w:rPr>
          <w:t>http://www.inegi.org.mx/eventos/2011/registros_admivos/doc/Session_7.pdf</w:t>
        </w:r>
      </w:hyperlink>
    </w:p>
    <w:p w:rsidR="003200D7" w:rsidRDefault="003200D7" w:rsidP="00D4106B">
      <w:pPr>
        <w:rPr>
          <w:color w:val="000000" w:themeColor="text1"/>
          <w:highlight w:val="lightGray"/>
        </w:rPr>
      </w:pPr>
    </w:p>
    <w:p w:rsidR="00D4106B" w:rsidRDefault="00D4106B" w:rsidP="00D4106B">
      <w:pPr>
        <w:pStyle w:val="Otsikko3"/>
      </w:pPr>
      <w:r>
        <w:t>Overview of strengths and weaknesses</w:t>
      </w:r>
    </w:p>
    <w:p w:rsidR="00B879AB" w:rsidRDefault="00B879AB" w:rsidP="00B879AB">
      <w:r>
        <w:t>The main advantages of register-based systems include: (i)</w:t>
      </w:r>
      <w:r w:rsidR="00F12460">
        <w:t xml:space="preserve"> </w:t>
      </w:r>
      <w:r w:rsidR="004528B4">
        <w:t>reduced costs compared to the implementation of national population census, (ii) ability to produce annual statistics (instead of every 10 years), (iii)</w:t>
      </w:r>
      <w:r w:rsidR="007B2D3C">
        <w:t xml:space="preserve"> </w:t>
      </w:r>
      <w:r w:rsidR="004528B4">
        <w:t xml:space="preserve">reduced response burden, (iv) can produce more detailed statistics (e.g. for smaller areas), (v) can support richer analyses through the linking of different registers. The main disadvantages include the following issues: (i) the statistics produced </w:t>
      </w:r>
      <w:r w:rsidR="007B2D3C">
        <w:t>are</w:t>
      </w:r>
      <w:r w:rsidR="004528B4">
        <w:t xml:space="preserve"> limited </w:t>
      </w:r>
      <w:r w:rsidR="007B2D3C">
        <w:t>by</w:t>
      </w:r>
      <w:r w:rsidR="004528B4">
        <w:t xml:space="preserve"> the scope of the register-based systems, and hence the analysis of some specific topics may require additional surveys, (ii) the statistics produced can be constrained by the definitions used in the register-based systems, which may not </w:t>
      </w:r>
      <w:r w:rsidR="007B2D3C">
        <w:t>be</w:t>
      </w:r>
      <w:r w:rsidR="004528B4">
        <w:t xml:space="preserve"> appropriate for some analyses (e.g. definition of household), (iii) the producers of statistics (i.e. administrative authorities) may not have the adequate knowledge about data processing and data quality </w:t>
      </w:r>
      <w:r w:rsidR="007B2D3C">
        <w:t>and hence there needs to be stro</w:t>
      </w:r>
      <w:r w:rsidR="004528B4">
        <w:t xml:space="preserve">ng collaboration with register keepers </w:t>
      </w:r>
      <w:r>
        <w:fldChar w:fldCharType="begin"/>
      </w:r>
      <w:r>
        <w:instrText xml:space="preserve"> ADDIN EN.CITE &lt;EndNote&gt;&lt;Cite&gt;&lt;Author&gt;United Nations&lt;/Author&gt;&lt;Year&gt;2007&lt;/Year&gt;&lt;RecNum&gt;57&lt;/RecNum&gt;&lt;DisplayText&gt;(United Nations, 2007)&lt;/DisplayText&gt;&lt;record&gt;&lt;rec-number&gt;57&lt;/rec-number&gt;&lt;foreign-keys&gt;&lt;key app="EN" db-id="25tas95vtezst4e55d1xv0twzf0xa2fpdr02"&gt;57&lt;/key&gt;&lt;/foreign-keys&gt;&lt;ref-type name="Report"&gt;27&lt;/ref-type&gt;&lt;contributors&gt;&lt;authors&gt;&lt;author&gt;United Nations,&lt;/author&gt;&lt;/authors&gt;&lt;/contributors&gt;&lt;titles&gt;&lt;title&gt;Register-based statistics in the Nordic countries: Review of best practices with focus on population and social statistics&lt;/title&gt;&lt;/titles&gt;&lt;dates&gt;&lt;year&gt;2007&lt;/year&gt;&lt;/dates&gt;&lt;pub-location&gt;New York, Geneva&lt;/pub-location&gt;&lt;publisher&gt;United Nations Economic Commission for Europe (UNECE)&lt;/publisher&gt;&lt;urls&gt;&lt;/urls&gt;&lt;/record&gt;&lt;/Cite&gt;&lt;/EndNote&gt;</w:instrText>
      </w:r>
      <w:r>
        <w:fldChar w:fldCharType="separate"/>
      </w:r>
      <w:r>
        <w:rPr>
          <w:noProof/>
        </w:rPr>
        <w:t>(</w:t>
      </w:r>
      <w:hyperlink w:anchor="_ENREF_25" w:tooltip="United Nations, 2007 #57" w:history="1">
        <w:r w:rsidR="00CD058B">
          <w:rPr>
            <w:noProof/>
          </w:rPr>
          <w:t>United Nations, 2007</w:t>
        </w:r>
      </w:hyperlink>
      <w:r>
        <w:rPr>
          <w:noProof/>
        </w:rPr>
        <w:t>)</w:t>
      </w:r>
      <w:r>
        <w:fldChar w:fldCharType="end"/>
      </w:r>
      <w:r w:rsidR="004528B4">
        <w:t xml:space="preserve">. </w:t>
      </w:r>
    </w:p>
    <w:p w:rsidR="00B879AB" w:rsidRDefault="00B879AB" w:rsidP="00DF100D"/>
    <w:p w:rsidR="00DF100D" w:rsidRDefault="00DF100D" w:rsidP="00DF100D">
      <w:pPr>
        <w:pStyle w:val="Otsikko3"/>
      </w:pPr>
      <w:r>
        <w:t>At-risk-of-poverty rate maps</w:t>
      </w:r>
    </w:p>
    <w:p w:rsidR="00EE615E" w:rsidRPr="00402074" w:rsidRDefault="00DF100D" w:rsidP="00402074">
      <w:pPr>
        <w:pStyle w:val="Kuvaotsikko"/>
        <w:rPr>
          <w:b w:val="0"/>
        </w:rPr>
      </w:pPr>
      <w:r>
        <w:rPr>
          <w:b w:val="0"/>
        </w:rPr>
        <w:t>The estimates of at-risk-of-poverty rates for NUTS 3 regions obtained fo</w:t>
      </w:r>
      <w:r w:rsidR="00C15EE3">
        <w:rPr>
          <w:b w:val="0"/>
        </w:rPr>
        <w:t>r countries with register-based</w:t>
      </w:r>
      <w:r>
        <w:rPr>
          <w:b w:val="0"/>
        </w:rPr>
        <w:t xml:space="preserve"> systems are presented in the figures below</w:t>
      </w:r>
      <w:r w:rsidRPr="00CE6FEC">
        <w:rPr>
          <w:b w:val="0"/>
        </w:rPr>
        <w:t xml:space="preserve">. The figures show the spatial distribution of at-risk-of-poverty rates for </w:t>
      </w:r>
      <w:r>
        <w:rPr>
          <w:b w:val="0"/>
        </w:rPr>
        <w:t xml:space="preserve">Denmark, Finland, Netherlands, </w:t>
      </w:r>
      <w:r w:rsidRPr="005A12A2">
        <w:rPr>
          <w:b w:val="0"/>
        </w:rPr>
        <w:t>Norway and Sweden respectively</w:t>
      </w:r>
      <w:r w:rsidRPr="00CE6FEC">
        <w:rPr>
          <w:b w:val="0"/>
        </w:rPr>
        <w:t>. The values shown in the leg</w:t>
      </w:r>
      <w:r w:rsidR="00047F52">
        <w:rPr>
          <w:b w:val="0"/>
        </w:rPr>
        <w:t xml:space="preserve">end are </w:t>
      </w:r>
      <w:r w:rsidRPr="00CE6FEC">
        <w:rPr>
          <w:b w:val="0"/>
        </w:rPr>
        <w:t xml:space="preserve">quintiles (i.e. five groups </w:t>
      </w:r>
      <w:r w:rsidR="00047F52">
        <w:rPr>
          <w:b w:val="0"/>
        </w:rPr>
        <w:t>each containing 20% of the observations)</w:t>
      </w:r>
      <w:r w:rsidRPr="00CE6FEC">
        <w:rPr>
          <w:b w:val="0"/>
        </w:rPr>
        <w:t>.</w:t>
      </w:r>
      <w:r w:rsidR="00047F52">
        <w:rPr>
          <w:b w:val="0"/>
        </w:rPr>
        <w:t xml:space="preserve"> The first quintile contains the bottom 20%</w:t>
      </w:r>
      <w:r w:rsidR="007B2D3C">
        <w:rPr>
          <w:b w:val="0"/>
        </w:rPr>
        <w:t xml:space="preserve"> </w:t>
      </w:r>
      <w:r w:rsidR="00047F52">
        <w:rPr>
          <w:b w:val="0"/>
        </w:rPr>
        <w:t xml:space="preserve">NUTS 3 regions with lowest </w:t>
      </w:r>
      <w:r w:rsidR="008632AA">
        <w:rPr>
          <w:b w:val="0"/>
        </w:rPr>
        <w:t>ARoP</w:t>
      </w:r>
      <w:r w:rsidR="00047F52">
        <w:rPr>
          <w:b w:val="0"/>
        </w:rPr>
        <w:t xml:space="preserve"> rates, while the fifth quintile contains the top 20% NUTS 3 regions with highest </w:t>
      </w:r>
      <w:r w:rsidR="008632AA">
        <w:rPr>
          <w:b w:val="0"/>
        </w:rPr>
        <w:t>ARoP</w:t>
      </w:r>
      <w:r w:rsidR="00047F52">
        <w:rPr>
          <w:b w:val="0"/>
        </w:rPr>
        <w:t xml:space="preserve"> rates.</w:t>
      </w:r>
    </w:p>
    <w:p w:rsidR="00402074" w:rsidRPr="00402074" w:rsidRDefault="00402074" w:rsidP="00402074">
      <w:pPr>
        <w:pStyle w:val="Kuvaotsikko"/>
      </w:pPr>
      <w:r>
        <w:rPr>
          <w:noProof/>
          <w:lang w:val="fi-FI" w:eastAsia="fi-FI"/>
        </w:rPr>
        <w:lastRenderedPageBreak/>
        <w:drawing>
          <wp:inline distT="0" distB="0" distL="0" distR="0" wp14:anchorId="721272FA" wp14:editId="48D1E61E">
            <wp:extent cx="4273200" cy="3841200"/>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SE_PovertyMappingTemplate_Denmark_ud.jpg"/>
                    <pic:cNvPicPr/>
                  </pic:nvPicPr>
                  <pic:blipFill rotWithShape="1">
                    <a:blip r:embed="rId28" cstate="print">
                      <a:extLst>
                        <a:ext uri="{28A0092B-C50C-407E-A947-70E740481C1C}">
                          <a14:useLocalDpi xmlns:a14="http://schemas.microsoft.com/office/drawing/2010/main" val="0"/>
                        </a:ext>
                      </a:extLst>
                    </a:blip>
                    <a:srcRect t="7693"/>
                    <a:stretch/>
                  </pic:blipFill>
                  <pic:spPr bwMode="auto">
                    <a:xfrm>
                      <a:off x="0" y="0"/>
                      <a:ext cx="4273200" cy="3841200"/>
                    </a:xfrm>
                    <a:prstGeom prst="rect">
                      <a:avLst/>
                    </a:prstGeom>
                    <a:ln>
                      <a:noFill/>
                    </a:ln>
                    <a:extLst>
                      <a:ext uri="{53640926-AAD7-44D8-BBD7-CCE9431645EC}">
                        <a14:shadowObscured xmlns:a14="http://schemas.microsoft.com/office/drawing/2010/main"/>
                      </a:ext>
                    </a:extLst>
                  </pic:spPr>
                </pic:pic>
              </a:graphicData>
            </a:graphic>
          </wp:inline>
        </w:drawing>
      </w:r>
    </w:p>
    <w:p w:rsidR="00B77082" w:rsidRDefault="00E94831" w:rsidP="00B77082">
      <w:pPr>
        <w:pStyle w:val="Kuvaotsikko"/>
        <w:rPr>
          <w:b w:val="0"/>
        </w:rPr>
      </w:pPr>
      <w:bookmarkStart w:id="21" w:name="_Toc401272712"/>
      <w:r>
        <w:t>Map</w:t>
      </w:r>
      <w:r w:rsidR="00B77082" w:rsidRPr="00E20D80">
        <w:t xml:space="preserve"> </w:t>
      </w:r>
      <w:r w:rsidR="00630F69">
        <w:fldChar w:fldCharType="begin"/>
      </w:r>
      <w:r w:rsidR="00630F69">
        <w:instrText xml:space="preserve"> SEQ Figure \* ARABIC </w:instrText>
      </w:r>
      <w:r w:rsidR="00630F69">
        <w:fldChar w:fldCharType="separate"/>
      </w:r>
      <w:r w:rsidR="00CC5E86">
        <w:rPr>
          <w:noProof/>
        </w:rPr>
        <w:t>9</w:t>
      </w:r>
      <w:r w:rsidR="00630F69">
        <w:rPr>
          <w:noProof/>
        </w:rPr>
        <w:fldChar w:fldCharType="end"/>
      </w:r>
      <w:r w:rsidR="00B77082" w:rsidRPr="00E20D80">
        <w:t xml:space="preserve">: </w:t>
      </w:r>
      <w:r w:rsidR="00B77082" w:rsidRPr="00E20D80">
        <w:rPr>
          <w:b w:val="0"/>
        </w:rPr>
        <w:t xml:space="preserve">At-risk-of-poverty rates (before housing cost), </w:t>
      </w:r>
      <w:r w:rsidR="00B77082">
        <w:rPr>
          <w:b w:val="0"/>
        </w:rPr>
        <w:t>Denmark</w:t>
      </w:r>
      <w:bookmarkEnd w:id="21"/>
    </w:p>
    <w:p w:rsidR="00402074" w:rsidRPr="00402074" w:rsidRDefault="00402074" w:rsidP="00402074"/>
    <w:p w:rsidR="002F0B0B" w:rsidRDefault="00402074" w:rsidP="00B77082">
      <w:r>
        <w:rPr>
          <w:noProof/>
          <w:lang w:val="fi-FI" w:eastAsia="fi-FI"/>
        </w:rPr>
        <w:drawing>
          <wp:inline distT="0" distB="0" distL="0" distR="0" wp14:anchorId="3775EC22" wp14:editId="41F0A905">
            <wp:extent cx="4363200" cy="3942000"/>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SE_PovertyMappingTemplate_Finland_ud.jpg"/>
                    <pic:cNvPicPr/>
                  </pic:nvPicPr>
                  <pic:blipFill rotWithShape="1">
                    <a:blip r:embed="rId29" cstate="print">
                      <a:extLst>
                        <a:ext uri="{28A0092B-C50C-407E-A947-70E740481C1C}">
                          <a14:useLocalDpi xmlns:a14="http://schemas.microsoft.com/office/drawing/2010/main" val="0"/>
                        </a:ext>
                      </a:extLst>
                    </a:blip>
                    <a:srcRect t="7163"/>
                    <a:stretch/>
                  </pic:blipFill>
                  <pic:spPr bwMode="auto">
                    <a:xfrm>
                      <a:off x="0" y="0"/>
                      <a:ext cx="4363200" cy="3942000"/>
                    </a:xfrm>
                    <a:prstGeom prst="rect">
                      <a:avLst/>
                    </a:prstGeom>
                    <a:ln>
                      <a:noFill/>
                    </a:ln>
                    <a:extLst>
                      <a:ext uri="{53640926-AAD7-44D8-BBD7-CCE9431645EC}">
                        <a14:shadowObscured xmlns:a14="http://schemas.microsoft.com/office/drawing/2010/main"/>
                      </a:ext>
                    </a:extLst>
                  </pic:spPr>
                </pic:pic>
              </a:graphicData>
            </a:graphic>
          </wp:inline>
        </w:drawing>
      </w:r>
    </w:p>
    <w:p w:rsidR="00B77082" w:rsidRDefault="00E94831" w:rsidP="0066466B">
      <w:pPr>
        <w:pStyle w:val="Kuvaotsikko"/>
        <w:rPr>
          <w:b w:val="0"/>
        </w:rPr>
      </w:pPr>
      <w:bookmarkStart w:id="22" w:name="_Toc401272713"/>
      <w:r>
        <w:t>Map</w:t>
      </w:r>
      <w:r w:rsidR="00B77082" w:rsidRPr="00E20D80">
        <w:t xml:space="preserve"> </w:t>
      </w:r>
      <w:r w:rsidR="00630F69">
        <w:fldChar w:fldCharType="begin"/>
      </w:r>
      <w:r w:rsidR="00630F69">
        <w:instrText xml:space="preserve"> SEQ Figure \* ARABIC </w:instrText>
      </w:r>
      <w:r w:rsidR="00630F69">
        <w:fldChar w:fldCharType="separate"/>
      </w:r>
      <w:r w:rsidR="00CC5E86">
        <w:rPr>
          <w:noProof/>
        </w:rPr>
        <w:t>10</w:t>
      </w:r>
      <w:r w:rsidR="00630F69">
        <w:rPr>
          <w:noProof/>
        </w:rPr>
        <w:fldChar w:fldCharType="end"/>
      </w:r>
      <w:r w:rsidR="00B77082" w:rsidRPr="00E20D80">
        <w:t xml:space="preserve">: </w:t>
      </w:r>
      <w:r w:rsidR="00B77082" w:rsidRPr="00E20D80">
        <w:rPr>
          <w:b w:val="0"/>
        </w:rPr>
        <w:t xml:space="preserve">At-risk-of-poverty rates (before housing cost), </w:t>
      </w:r>
      <w:r w:rsidR="00B77082">
        <w:rPr>
          <w:b w:val="0"/>
        </w:rPr>
        <w:t>Finland</w:t>
      </w:r>
      <w:bookmarkEnd w:id="22"/>
    </w:p>
    <w:p w:rsidR="00C87341" w:rsidRPr="00B77082" w:rsidRDefault="00691FE8" w:rsidP="00B77082">
      <w:r>
        <w:rPr>
          <w:b/>
          <w:noProof/>
          <w:lang w:val="fi-FI" w:eastAsia="fi-FI"/>
        </w:rPr>
        <w:lastRenderedPageBreak/>
        <w:drawing>
          <wp:inline distT="0" distB="0" distL="0" distR="0" wp14:anchorId="48910865" wp14:editId="7EFBF3E3">
            <wp:extent cx="4212115" cy="3807725"/>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OP NL 2010.jpg"/>
                    <pic:cNvPicPr/>
                  </pic:nvPicPr>
                  <pic:blipFill rotWithShape="1">
                    <a:blip r:embed="rId30" cstate="print">
                      <a:extLst>
                        <a:ext uri="{28A0092B-C50C-407E-A947-70E740481C1C}">
                          <a14:useLocalDpi xmlns:a14="http://schemas.microsoft.com/office/drawing/2010/main" val="0"/>
                        </a:ext>
                      </a:extLst>
                    </a:blip>
                    <a:srcRect l="3971" t="15981" r="3971" b="25083"/>
                    <a:stretch/>
                  </pic:blipFill>
                  <pic:spPr bwMode="auto">
                    <a:xfrm>
                      <a:off x="0" y="0"/>
                      <a:ext cx="4212000" cy="3807621"/>
                    </a:xfrm>
                    <a:prstGeom prst="rect">
                      <a:avLst/>
                    </a:prstGeom>
                    <a:ln>
                      <a:noFill/>
                    </a:ln>
                    <a:extLst>
                      <a:ext uri="{53640926-AAD7-44D8-BBD7-CCE9431645EC}">
                        <a14:shadowObscured xmlns:a14="http://schemas.microsoft.com/office/drawing/2010/main"/>
                      </a:ext>
                    </a:extLst>
                  </pic:spPr>
                </pic:pic>
              </a:graphicData>
            </a:graphic>
          </wp:inline>
        </w:drawing>
      </w:r>
    </w:p>
    <w:p w:rsidR="00B77082" w:rsidRDefault="00E94831" w:rsidP="00B77082">
      <w:pPr>
        <w:pStyle w:val="Kuvaotsikko"/>
        <w:rPr>
          <w:b w:val="0"/>
        </w:rPr>
      </w:pPr>
      <w:bookmarkStart w:id="23" w:name="_Toc401272714"/>
      <w:r>
        <w:t>Map</w:t>
      </w:r>
      <w:r w:rsidR="00B77082" w:rsidRPr="00E20D80">
        <w:t xml:space="preserve"> </w:t>
      </w:r>
      <w:r w:rsidR="00630F69">
        <w:fldChar w:fldCharType="begin"/>
      </w:r>
      <w:r w:rsidR="00630F69">
        <w:instrText xml:space="preserve"> SEQ Figure \* ARABIC </w:instrText>
      </w:r>
      <w:r w:rsidR="00630F69">
        <w:fldChar w:fldCharType="separate"/>
      </w:r>
      <w:r w:rsidR="00CC5E86">
        <w:rPr>
          <w:noProof/>
        </w:rPr>
        <w:t>11</w:t>
      </w:r>
      <w:r w:rsidR="00630F69">
        <w:rPr>
          <w:noProof/>
        </w:rPr>
        <w:fldChar w:fldCharType="end"/>
      </w:r>
      <w:r w:rsidR="00B77082" w:rsidRPr="00E20D80">
        <w:t xml:space="preserve">: </w:t>
      </w:r>
      <w:r w:rsidR="00B77082" w:rsidRPr="00E20D80">
        <w:rPr>
          <w:b w:val="0"/>
        </w:rPr>
        <w:t>At-risk-of-poverty rates (before housing cost)</w:t>
      </w:r>
      <w:r w:rsidR="00B77082">
        <w:rPr>
          <w:b w:val="0"/>
        </w:rPr>
        <w:t>, Netherlands</w:t>
      </w:r>
      <w:bookmarkEnd w:id="23"/>
    </w:p>
    <w:p w:rsidR="00B77082" w:rsidRDefault="00B77082" w:rsidP="00B77082">
      <w:pPr>
        <w:pStyle w:val="Kuvaotsikko"/>
      </w:pPr>
    </w:p>
    <w:p w:rsidR="000C2F94" w:rsidRDefault="000C2F94" w:rsidP="00B77082">
      <w:pPr>
        <w:pStyle w:val="Kuvaotsikko"/>
      </w:pPr>
      <w:r>
        <w:rPr>
          <w:noProof/>
          <w:lang w:val="fi-FI" w:eastAsia="fi-FI"/>
        </w:rPr>
        <w:drawing>
          <wp:inline distT="0" distB="0" distL="0" distR="0" wp14:anchorId="22C84C92" wp14:editId="792E2F50">
            <wp:extent cx="4222800" cy="3798000"/>
            <wp:effectExtent l="0" t="0" r="635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SE_PovertyMappingTemplate_Norway_ud.jpg"/>
                    <pic:cNvPicPr/>
                  </pic:nvPicPr>
                  <pic:blipFill rotWithShape="1">
                    <a:blip r:embed="rId31" cstate="print">
                      <a:extLst>
                        <a:ext uri="{28A0092B-C50C-407E-A947-70E740481C1C}">
                          <a14:useLocalDpi xmlns:a14="http://schemas.microsoft.com/office/drawing/2010/main" val="0"/>
                        </a:ext>
                      </a:extLst>
                    </a:blip>
                    <a:srcRect t="6991"/>
                    <a:stretch/>
                  </pic:blipFill>
                  <pic:spPr bwMode="auto">
                    <a:xfrm>
                      <a:off x="0" y="0"/>
                      <a:ext cx="4222800" cy="3798000"/>
                    </a:xfrm>
                    <a:prstGeom prst="rect">
                      <a:avLst/>
                    </a:prstGeom>
                    <a:ln>
                      <a:noFill/>
                    </a:ln>
                    <a:extLst>
                      <a:ext uri="{53640926-AAD7-44D8-BBD7-CCE9431645EC}">
                        <a14:shadowObscured xmlns:a14="http://schemas.microsoft.com/office/drawing/2010/main"/>
                      </a:ext>
                    </a:extLst>
                  </pic:spPr>
                </pic:pic>
              </a:graphicData>
            </a:graphic>
          </wp:inline>
        </w:drawing>
      </w:r>
    </w:p>
    <w:p w:rsidR="00B77082" w:rsidRDefault="00E94831" w:rsidP="009E4FF7">
      <w:pPr>
        <w:pStyle w:val="Kuvaotsikko"/>
      </w:pPr>
      <w:bookmarkStart w:id="24" w:name="_Toc401272715"/>
      <w:r>
        <w:t>Map</w:t>
      </w:r>
      <w:r w:rsidR="00B77082" w:rsidRPr="00E20D80">
        <w:t xml:space="preserve"> </w:t>
      </w:r>
      <w:r w:rsidR="00630F69">
        <w:fldChar w:fldCharType="begin"/>
      </w:r>
      <w:r w:rsidR="00630F69">
        <w:instrText xml:space="preserve"> SEQ Figure \* ARABIC </w:instrText>
      </w:r>
      <w:r w:rsidR="00630F69">
        <w:fldChar w:fldCharType="separate"/>
      </w:r>
      <w:r w:rsidR="00CC5E86">
        <w:rPr>
          <w:noProof/>
        </w:rPr>
        <w:t>12</w:t>
      </w:r>
      <w:r w:rsidR="00630F69">
        <w:rPr>
          <w:noProof/>
        </w:rPr>
        <w:fldChar w:fldCharType="end"/>
      </w:r>
      <w:r w:rsidR="00B77082" w:rsidRPr="00E20D80">
        <w:t xml:space="preserve">: </w:t>
      </w:r>
      <w:r w:rsidR="00B77082" w:rsidRPr="00E20D80">
        <w:rPr>
          <w:b w:val="0"/>
        </w:rPr>
        <w:t xml:space="preserve">At-risk-of-poverty rates (before housing cost), </w:t>
      </w:r>
      <w:r w:rsidR="00B77082">
        <w:rPr>
          <w:b w:val="0"/>
        </w:rPr>
        <w:t>Norway</w:t>
      </w:r>
      <w:bookmarkEnd w:id="24"/>
    </w:p>
    <w:p w:rsidR="00B50477" w:rsidRDefault="005A12A2" w:rsidP="00B77082">
      <w:pPr>
        <w:pStyle w:val="Kuvaotsikko"/>
      </w:pPr>
      <w:r>
        <w:rPr>
          <w:noProof/>
          <w:lang w:val="fi-FI" w:eastAsia="fi-FI"/>
        </w:rPr>
        <w:lastRenderedPageBreak/>
        <w:drawing>
          <wp:inline distT="0" distB="0" distL="0" distR="0" wp14:anchorId="7BDA0BB1" wp14:editId="76FF7A69">
            <wp:extent cx="4341600" cy="3884400"/>
            <wp:effectExtent l="0" t="0" r="1905" b="1905"/>
            <wp:docPr id="34" name="Picture 34" descr="O:\NORDREGIO PROJECTS\ONGOING PROJECTS\1515 ESPON TIPSE\Task 2.5 PovertyMaping\Maps\Data_and_maps_Julien_20140401\TiPSE_PovertyMappingTemplate_Sweden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ORDREGIO PROJECTS\ONGOING PROJECTS\1515 ESPON TIPSE\Task 2.5 PovertyMaping\Maps\Data_and_maps_Julien_20140401\TiPSE_PovertyMappingTemplate_Sweden_2.pn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8083"/>
                    <a:stretch/>
                  </pic:blipFill>
                  <pic:spPr bwMode="auto">
                    <a:xfrm>
                      <a:off x="0" y="0"/>
                      <a:ext cx="4341600" cy="3884400"/>
                    </a:xfrm>
                    <a:prstGeom prst="rect">
                      <a:avLst/>
                    </a:prstGeom>
                    <a:noFill/>
                    <a:ln>
                      <a:noFill/>
                    </a:ln>
                    <a:extLst>
                      <a:ext uri="{53640926-AAD7-44D8-BBD7-CCE9431645EC}">
                        <a14:shadowObscured xmlns:a14="http://schemas.microsoft.com/office/drawing/2010/main"/>
                      </a:ext>
                    </a:extLst>
                  </pic:spPr>
                </pic:pic>
              </a:graphicData>
            </a:graphic>
          </wp:inline>
        </w:drawing>
      </w:r>
    </w:p>
    <w:p w:rsidR="00B77082" w:rsidRPr="00E20D80" w:rsidRDefault="00E94831" w:rsidP="00B77082">
      <w:pPr>
        <w:pStyle w:val="Kuvaotsikko"/>
        <w:rPr>
          <w:b w:val="0"/>
        </w:rPr>
      </w:pPr>
      <w:bookmarkStart w:id="25" w:name="_Toc401272716"/>
      <w:r>
        <w:t>Map</w:t>
      </w:r>
      <w:r w:rsidR="00B77082" w:rsidRPr="00E20D80">
        <w:t xml:space="preserve"> </w:t>
      </w:r>
      <w:r w:rsidR="00630F69">
        <w:fldChar w:fldCharType="begin"/>
      </w:r>
      <w:r w:rsidR="00630F69">
        <w:instrText xml:space="preserve"> SEQ Figure \* ARABIC </w:instrText>
      </w:r>
      <w:r w:rsidR="00630F69">
        <w:fldChar w:fldCharType="separate"/>
      </w:r>
      <w:r w:rsidR="00CC5E86">
        <w:rPr>
          <w:noProof/>
        </w:rPr>
        <w:t>13</w:t>
      </w:r>
      <w:r w:rsidR="00630F69">
        <w:rPr>
          <w:noProof/>
        </w:rPr>
        <w:fldChar w:fldCharType="end"/>
      </w:r>
      <w:r w:rsidR="00B77082" w:rsidRPr="00E20D80">
        <w:t xml:space="preserve">: </w:t>
      </w:r>
      <w:r w:rsidR="00B77082" w:rsidRPr="00E20D80">
        <w:rPr>
          <w:b w:val="0"/>
        </w:rPr>
        <w:t xml:space="preserve">At-risk-of-poverty rates (before housing cost), </w:t>
      </w:r>
      <w:r w:rsidR="00B77082">
        <w:rPr>
          <w:b w:val="0"/>
        </w:rPr>
        <w:t>Sweden</w:t>
      </w:r>
      <w:bookmarkEnd w:id="25"/>
    </w:p>
    <w:p w:rsidR="000D34E9" w:rsidRDefault="000D34E9" w:rsidP="00ED0DF2">
      <w:pPr>
        <w:pStyle w:val="Otsikko1"/>
      </w:pPr>
      <w:bookmarkStart w:id="26" w:name="_Ref393788166"/>
      <w:bookmarkStart w:id="27" w:name="_Ref393788170"/>
      <w:bookmarkStart w:id="28" w:name="_Ref393788172"/>
      <w:bookmarkStart w:id="29" w:name="_Toc393812336"/>
      <w:r>
        <w:t xml:space="preserve">Implementation of </w:t>
      </w:r>
      <w:r w:rsidR="00916400">
        <w:t xml:space="preserve">WB </w:t>
      </w:r>
      <w:r w:rsidR="006E565F">
        <w:t>PovMap</w:t>
      </w:r>
      <w:bookmarkEnd w:id="26"/>
      <w:bookmarkEnd w:id="27"/>
      <w:bookmarkEnd w:id="28"/>
      <w:bookmarkEnd w:id="29"/>
    </w:p>
    <w:p w:rsidR="00D709BC" w:rsidRDefault="00E359E0" w:rsidP="00D709BC">
      <w:pPr>
        <w:rPr>
          <w:color w:val="000000" w:themeColor="text1"/>
        </w:rPr>
      </w:pPr>
      <w:r w:rsidRPr="009F05D2">
        <w:rPr>
          <w:color w:val="000000" w:themeColor="text1"/>
        </w:rPr>
        <w:t>This s</w:t>
      </w:r>
      <w:r>
        <w:rPr>
          <w:color w:val="000000" w:themeColor="text1"/>
        </w:rPr>
        <w:t>e</w:t>
      </w:r>
      <w:r w:rsidRPr="009F05D2">
        <w:rPr>
          <w:color w:val="000000" w:themeColor="text1"/>
        </w:rPr>
        <w:t>ction</w:t>
      </w:r>
      <w:r>
        <w:rPr>
          <w:color w:val="000000" w:themeColor="text1"/>
        </w:rPr>
        <w:t xml:space="preserve"> describes the implementation of the WB poverty mapping methodology. It provides an overview of the methodology, its mains advantages and disadvantages, a detailed account of the various steps in the implementation of the approach</w:t>
      </w:r>
      <w:r w:rsidR="007B2D3C">
        <w:rPr>
          <w:color w:val="000000" w:themeColor="text1"/>
        </w:rPr>
        <w:t>, and the maps of at-risk-of-poverty rates</w:t>
      </w:r>
      <w:r>
        <w:rPr>
          <w:color w:val="000000" w:themeColor="text1"/>
        </w:rPr>
        <w:t>.</w:t>
      </w:r>
    </w:p>
    <w:p w:rsidR="00E359E0" w:rsidRDefault="00E359E0" w:rsidP="00D709BC"/>
    <w:p w:rsidR="00916400" w:rsidRPr="00521FE8" w:rsidRDefault="00916400" w:rsidP="00916400">
      <w:pPr>
        <w:pStyle w:val="Otsikko2"/>
      </w:pPr>
      <w:bookmarkStart w:id="30" w:name="_Ref382558970"/>
      <w:bookmarkStart w:id="31" w:name="_Toc393812337"/>
      <w:r w:rsidRPr="00521FE8">
        <w:t xml:space="preserve">Overview of </w:t>
      </w:r>
      <w:r w:rsidR="000E5A82">
        <w:t xml:space="preserve">WB poverty mapping </w:t>
      </w:r>
      <w:r w:rsidRPr="00521FE8">
        <w:t>methodology</w:t>
      </w:r>
      <w:bookmarkEnd w:id="30"/>
      <w:bookmarkEnd w:id="31"/>
    </w:p>
    <w:p w:rsidR="00916400" w:rsidRDefault="00916400" w:rsidP="00916400">
      <w:r>
        <w:t>Although many household surveys contain detailed information about household income, they generally provide an insufficient representation of income patterns for small geographical areas due to limited sample size and limited spatial coverage. On the other hand, census data can provide both wide and detailed spatial coverage but lack information about household income.</w:t>
      </w:r>
    </w:p>
    <w:p w:rsidR="00916400" w:rsidRDefault="00916400" w:rsidP="00916400">
      <w:r w:rsidRPr="00AE30AC">
        <w:t>The W</w:t>
      </w:r>
      <w:r>
        <w:t xml:space="preserve">orld </w:t>
      </w:r>
      <w:r w:rsidRPr="00AE30AC">
        <w:t>B</w:t>
      </w:r>
      <w:r>
        <w:t>ank</w:t>
      </w:r>
      <w:r w:rsidRPr="00AE30AC">
        <w:t xml:space="preserve"> </w:t>
      </w:r>
      <w:r>
        <w:t xml:space="preserve">(WB) </w:t>
      </w:r>
      <w:r w:rsidRPr="00AE30AC">
        <w:t xml:space="preserve">developed a model-based </w:t>
      </w:r>
      <w:r>
        <w:t>small area estimation (</w:t>
      </w:r>
      <w:r w:rsidRPr="00AE30AC">
        <w:t>SAE</w:t>
      </w:r>
      <w:r>
        <w:t>)</w:t>
      </w:r>
      <w:r w:rsidRPr="00AE30AC">
        <w:t xml:space="preserve"> methodology (and related software) that enables users to estimate measures of poverty and income inequality for small or medium-sized regions</w:t>
      </w:r>
      <w:r>
        <w:t xml:space="preserve"> </w:t>
      </w:r>
      <w:r>
        <w:fldChar w:fldCharType="begin">
          <w:fldData xml:space="preserve">PEVuZE5vdGU+PENpdGU+PEF1dGhvcj5FbGJlcnM8L0F1dGhvcj48WWVhcj4yMDAyPC9ZZWFyPjxS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</w:fldData>
        </w:fldChar>
      </w:r>
      <w:r>
        <w:instrText xml:space="preserve"> ADDIN EN.CITE </w:instrText>
      </w:r>
      <w:r>
        <w:fldChar w:fldCharType="begin">
          <w:fldData xml:space="preserve">PEVuZE5vdGU+PENpdGU+PEF1dGhvcj5FbGJlcnM8L0F1dGhvcj48WWVhcj4yMDAyPC9ZZWFyPjxS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</w:fldData>
        </w:fldChar>
      </w:r>
      <w:r>
        <w:instrText xml:space="preserve"> ADDIN EN.CITE.DATA </w:instrText>
      </w:r>
      <w:r>
        <w:fldChar w:fldCharType="end"/>
      </w:r>
      <w:r>
        <w:fldChar w:fldCharType="separate"/>
      </w:r>
      <w:r>
        <w:rPr>
          <w:noProof/>
        </w:rPr>
        <w:t>(</w:t>
      </w:r>
      <w:hyperlink w:anchor="_ENREF_10" w:tooltip="Elbers, 2002 #4" w:history="1">
        <w:r w:rsidR="00CD058B">
          <w:rPr>
            <w:noProof/>
          </w:rPr>
          <w:t>Elbers et al., 2002</w:t>
        </w:r>
      </w:hyperlink>
      <w:r>
        <w:rPr>
          <w:noProof/>
        </w:rPr>
        <w:t xml:space="preserve">, </w:t>
      </w:r>
      <w:hyperlink w:anchor="_ENREF_23" w:tooltip="Lanjouw, 2003 #17" w:history="1">
        <w:r w:rsidR="00CD058B">
          <w:rPr>
            <w:noProof/>
          </w:rPr>
          <w:t>Lanjouw, 2003</w:t>
        </w:r>
      </w:hyperlink>
      <w:r>
        <w:rPr>
          <w:noProof/>
        </w:rPr>
        <w:t xml:space="preserve">, </w:t>
      </w:r>
      <w:hyperlink w:anchor="_ENREF_11" w:tooltip="Elbers, 2003 #2" w:history="1">
        <w:r w:rsidR="00CD058B">
          <w:rPr>
            <w:noProof/>
          </w:rPr>
          <w:t>Elbers et al., 2003</w:t>
        </w:r>
      </w:hyperlink>
      <w:r>
        <w:rPr>
          <w:noProof/>
        </w:rPr>
        <w:t>)</w:t>
      </w:r>
      <w:r>
        <w:fldChar w:fldCharType="end"/>
      </w:r>
      <w:r w:rsidRPr="00AE30AC">
        <w:t xml:space="preserve">. The methodology </w:t>
      </w:r>
      <w:r>
        <w:t>combines survey and census data with regression modelling and bootstrapping to generate estimates of income and poverty for small geographical areas. Survey data are used to develop a model of household income from which parameters are estimated and applied to compara</w:t>
      </w:r>
      <w:r>
        <w:lastRenderedPageBreak/>
        <w:t>ble census data for which household income data are not available. The predicted income is then used to calculate measures of poverty and/or income inequality for small geographical areas.</w:t>
      </w:r>
    </w:p>
    <w:p w:rsidR="00916400" w:rsidRDefault="00916400" w:rsidP="00916400">
      <w:r>
        <w:t xml:space="preserve">We implemented the methodology developed by the WB to produce small area estimates of relative poverty for the TiPSE project. The regression model of household income is first estimated using EU-SILC income data and a set of covariates correlated with income and which are available both in the survey and the different country national census. By using only the covariates available in both datasets, the estimated model parameters can be used to generate the mean distribution of household income for any sub-population in the census conditional on the sub-population’s observed covariates. The estimated model parameters are applied to the census covariates to predict household income levels for the whole population of small areas and combined with bootstrapping techniques to produce estimates of income poverty. </w:t>
      </w:r>
    </w:p>
    <w:p w:rsidR="00916400" w:rsidRPr="000E5A82" w:rsidRDefault="00916400" w:rsidP="00916400"/>
    <w:p w:rsidR="00916400" w:rsidRDefault="00916400" w:rsidP="00916400">
      <w:pPr>
        <w:pStyle w:val="Otsikko2"/>
      </w:pPr>
      <w:bookmarkStart w:id="32" w:name="_Toc393812338"/>
      <w:r>
        <w:t xml:space="preserve">Examples of </w:t>
      </w:r>
      <w:r w:rsidR="000E5A82">
        <w:t xml:space="preserve">WB </w:t>
      </w:r>
      <w:r>
        <w:t>PovMap</w:t>
      </w:r>
      <w:bookmarkEnd w:id="32"/>
    </w:p>
    <w:p w:rsidR="00916400" w:rsidRDefault="00916400" w:rsidP="00916400">
      <w:r>
        <w:t>The WB poverty mapping methodology has been applied in many countries, particularly developing countries and less developed countries in Africa, Asia, and Latin America, although there are also a few examples for Europe.</w:t>
      </w:r>
      <w:r>
        <w:rPr>
          <w:rStyle w:val="Alaviitteenviite"/>
        </w:rPr>
        <w:footnoteReference w:id="2"/>
      </w:r>
      <w:r>
        <w:t xml:space="preserve"> Examples in Africa include, among other countries, Burkina Faso </w:t>
      </w:r>
      <w:r>
        <w:fldChar w:fldCharType="begin"/>
      </w:r>
      <w:r>
        <w:instrText xml:space="preserve"> ADDIN EN.CITE &lt;EndNote&gt;&lt;Cite&gt;&lt;Author&gt;Bigman&lt;/Author&gt;&lt;Year&gt;2000&lt;/Year&gt;&lt;RecNum&gt;47&lt;/RecNum&gt;&lt;DisplayText&gt;(Bigman et al., 2000)&lt;/DisplayText&gt;&lt;record&gt;&lt;rec-number&gt;47&lt;/rec-number&gt;&lt;foreign-keys&gt;&lt;key app="EN" db-id="25tas95vtezst4e55d1xv0twzf0xa2fpdr02"&gt;47&lt;/key&gt;&lt;/foreign-keys&gt;&lt;ref-type name="Journal Article"&gt;17&lt;/ref-type&gt;&lt;contributors&gt;&lt;authors&gt;&lt;author&gt;D. Bigman&lt;/author&gt;&lt;author&gt;S. Dercon, &lt;/author&gt;&lt;author&gt;D. Guillaume &lt;/author&gt;&lt;author&gt;M. Lambotte&lt;/author&gt;&lt;/authors&gt;&lt;/contributors&gt;&lt;titles&gt;&lt;title&gt;Community Targeting for Poverty Reduction in Burkina Faso&lt;/title&gt;&lt;secondary-title&gt;The World Bank Economic Review&lt;/secondary-title&gt;&lt;/titles&gt;&lt;periodical&gt;&lt;full-title&gt;The World Bank Economic Review&lt;/full-title&gt;&lt;/periodical&gt;&lt;pages&gt;167-193&lt;/pages&gt;&lt;volume&gt;14&lt;/volume&gt;&lt;number&gt;1&lt;/number&gt;&lt;dates&gt;&lt;year&gt;2000&lt;/year&gt;&lt;/dates&gt;&lt;urls&gt;&lt;/urls&gt;&lt;/record&gt;&lt;/Cite&gt;&lt;/EndNote&gt;</w:instrText>
      </w:r>
      <w:r>
        <w:fldChar w:fldCharType="separate"/>
      </w:r>
      <w:r>
        <w:rPr>
          <w:noProof/>
        </w:rPr>
        <w:t>(</w:t>
      </w:r>
      <w:hyperlink w:anchor="_ENREF_4" w:tooltip="Bigman, 2000 #47" w:history="1">
        <w:r w:rsidR="00CD058B">
          <w:rPr>
            <w:noProof/>
          </w:rPr>
          <w:t>Bigman et al., 2000</w:t>
        </w:r>
      </w:hyperlink>
      <w:r>
        <w:rPr>
          <w:noProof/>
        </w:rPr>
        <w:t>)</w:t>
      </w:r>
      <w:r>
        <w:fldChar w:fldCharType="end"/>
      </w:r>
      <w:r>
        <w:t xml:space="preserve">, Ghana </w:t>
      </w:r>
      <w:r>
        <w:fldChar w:fldCharType="begin"/>
      </w:r>
      <w:r>
        <w:instrText xml:space="preserve"> ADDIN EN.CITE &lt;EndNote&gt;&lt;Cite&gt;&lt;Author&gt;Fofack&lt;/Author&gt;&lt;Year&gt;2000&lt;/Year&gt;&lt;RecNum&gt;48&lt;/RecNum&gt;&lt;DisplayText&gt;(Fofack, 2000)&lt;/DisplayText&gt;&lt;record&gt;&lt;rec-number&gt;48&lt;/rec-number&gt;&lt;foreign-keys&gt;&lt;key app="EN" db-id="25tas95vtezst4e55d1xv0twzf0xa2fpdr02"&gt;48&lt;/key&gt;&lt;/foreign-keys&gt;&lt;ref-type name="Journal Article"&gt;17&lt;/ref-type&gt;&lt;contributors&gt;&lt;authors&gt;&lt;author&gt;Fofack, Hippolyte&lt;/author&gt;&lt;/authors&gt;&lt;/contributors&gt;&lt;titles&gt;&lt;title&gt;Combining light monitoring surveys with integrated surveys to improve targeting for poverty reduction: the case of Ghana&lt;/title&gt;&lt;secondary-title&gt;The World Bank Economic Review&lt;/secondary-title&gt;&lt;/titles&gt;&lt;periodical&gt;&lt;full-title&gt;The World Bank Economic Review&lt;/full-title&gt;&lt;/periodical&gt;&lt;pages&gt;195-219&lt;/pages&gt;&lt;volume&gt;14&lt;/volume&gt;&lt;number&gt;1&lt;/number&gt;&lt;dates&gt;&lt;year&gt;2000&lt;/year&gt;&lt;/dates&gt;&lt;urls&gt;&lt;/urls&gt;&lt;/record&gt;&lt;/Cite&gt;&lt;/EndNote&gt;</w:instrText>
      </w:r>
      <w:r>
        <w:fldChar w:fldCharType="separate"/>
      </w:r>
      <w:r>
        <w:rPr>
          <w:noProof/>
        </w:rPr>
        <w:t>(</w:t>
      </w:r>
      <w:hyperlink w:anchor="_ENREF_19" w:tooltip="Fofack, 2000 #48" w:history="1">
        <w:r w:rsidR="00CD058B">
          <w:rPr>
            <w:noProof/>
          </w:rPr>
          <w:t>Fofack, 2000</w:t>
        </w:r>
      </w:hyperlink>
      <w:r>
        <w:rPr>
          <w:noProof/>
        </w:rPr>
        <w:t>)</w:t>
      </w:r>
      <w:r>
        <w:fldChar w:fldCharType="end"/>
      </w:r>
      <w:r>
        <w:t xml:space="preserve">, South Africa </w:t>
      </w:r>
      <w:r>
        <w:fldChar w:fldCharType="begin"/>
      </w:r>
      <w:r>
        <w:instrText xml:space="preserve"> ADDIN EN.CITE &lt;EndNote&gt;&lt;Cite&gt;&lt;Author&gt;Alderman&lt;/Author&gt;&lt;Year&gt;2001&lt;/Year&gt;&lt;RecNum&gt;46&lt;/RecNum&gt;&lt;DisplayText&gt;(Alderman et al., 2001)&lt;/DisplayText&gt;&lt;record&gt;&lt;rec-number&gt;46&lt;/rec-number&gt;&lt;foreign-keys&gt;&lt;key app="EN" db-id="25tas95vtezst4e55d1xv0twzf0xa2fpdr02"&gt;46&lt;/key&gt;&lt;/foreign-keys&gt;&lt;ref-type name="Journal Article"&gt;17&lt;/ref-type&gt;&lt;contributors&gt;&lt;authors&gt;&lt;author&gt;Harold Alderman&lt;/author&gt;&lt;author&gt;Miriam Babita&lt;/author&gt;&lt;author&gt;Gabriel Demombynes&lt;/author&gt;&lt;author&gt;Ntabiseng Makhatha&lt;/author&gt;&lt;author&gt;Berk Özler&lt;/author&gt;&lt;/authors&gt;&lt;/contributors&gt;&lt;titles&gt;&lt;title&gt;How Low Can You Go? Combining Census and Survey Data for Mapping Poverty in South Africa&lt;/title&gt;&lt;secondary-title&gt;Journal of African Economies&lt;/secondary-title&gt;&lt;/titles&gt;&lt;periodical&gt;&lt;full-title&gt;Journal of African Economies&lt;/full-title&gt;&lt;/periodical&gt;&lt;pages&gt;169–200&lt;/pages&gt;&lt;volume&gt;11&lt;/volume&gt;&lt;number&gt;3&lt;/number&gt;&lt;dates&gt;&lt;year&gt;2001&lt;/year&gt;&lt;/dates&gt;&lt;urls&gt;&lt;/urls&gt;&lt;/record&gt;&lt;/Cite&gt;&lt;/EndNote&gt;</w:instrText>
      </w:r>
      <w:r>
        <w:fldChar w:fldCharType="separate"/>
      </w:r>
      <w:r>
        <w:rPr>
          <w:noProof/>
        </w:rPr>
        <w:t>(</w:t>
      </w:r>
      <w:hyperlink w:anchor="_ENREF_1" w:tooltip="Alderman, 2001 #46" w:history="1">
        <w:r w:rsidR="00CD058B">
          <w:rPr>
            <w:noProof/>
          </w:rPr>
          <w:t>Alderman et al., 2001</w:t>
        </w:r>
      </w:hyperlink>
      <w:r>
        <w:rPr>
          <w:noProof/>
        </w:rPr>
        <w:t>)</w:t>
      </w:r>
      <w:r>
        <w:fldChar w:fldCharType="end"/>
      </w:r>
      <w:r w:rsidR="007B2D3C">
        <w:t xml:space="preserve">, </w:t>
      </w:r>
      <w:r>
        <w:t xml:space="preserve">Mozambique </w:t>
      </w:r>
      <w:r>
        <w:fldChar w:fldCharType="begin"/>
      </w:r>
      <w:r>
        <w:instrText xml:space="preserve"> ADDIN EN.CITE &lt;EndNote&gt;&lt;Cite&gt;&lt;Author&gt;Simler&lt;/Author&gt;&lt;Year&gt;2003&lt;/Year&gt;&lt;RecNum&gt;49&lt;/RecNum&gt;&lt;DisplayText&gt;(Simler and Nhate, 2003)&lt;/DisplayText&gt;&lt;record&gt;&lt;rec-number&gt;49&lt;/rec-number&gt;&lt;foreign-keys&gt;&lt;key app="EN" db-id="25tas95vtezst4e55d1xv0twzf0xa2fpdr02"&gt;49&lt;/key&gt;&lt;/foreign-keys&gt;&lt;ref-type name="Report"&gt;27&lt;/ref-type&gt;&lt;contributors&gt;&lt;authors&gt;&lt;author&gt;Ken Simler&lt;/author&gt;&lt;author&gt;Virgulino Nhate&lt;/author&gt;&lt;/authors&gt;&lt;/contributors&gt;&lt;titles&gt;&lt;title&gt;Poverty, inequality, and geographic targeting: Evidence from small-area estimates in Mozambique&lt;/title&gt;&lt;/titles&gt;&lt;dates&gt;&lt;year&gt;2003&lt;/year&gt;&lt;/dates&gt;&lt;pub-location&gt;Maputo, Mozambique&lt;/pub-location&gt;&lt;publisher&gt;International Food Policy Research Institute, Ministry of Planning and Finance&lt;/publisher&gt;&lt;urls&gt;&lt;/urls&gt;&lt;/record&gt;&lt;/Cite&gt;&lt;/EndNote&gt;</w:instrText>
      </w:r>
      <w:r>
        <w:fldChar w:fldCharType="separate"/>
      </w:r>
      <w:r>
        <w:rPr>
          <w:noProof/>
        </w:rPr>
        <w:t>(</w:t>
      </w:r>
      <w:hyperlink w:anchor="_ENREF_24" w:tooltip="Simler, 2003 #49" w:history="1">
        <w:r w:rsidR="00CD058B">
          <w:rPr>
            <w:noProof/>
          </w:rPr>
          <w:t>Simler and Nhate, 2003</w:t>
        </w:r>
      </w:hyperlink>
      <w:r>
        <w:rPr>
          <w:noProof/>
        </w:rPr>
        <w:t>)</w:t>
      </w:r>
      <w:r>
        <w:fldChar w:fldCharType="end"/>
      </w:r>
      <w:r>
        <w:t xml:space="preserve">, and Morocco </w:t>
      </w:r>
      <w:r>
        <w:fldChar w:fldCharType="begin"/>
      </w:r>
      <w:r>
        <w:instrText xml:space="preserve"> ADDIN EN.CITE &lt;EndNote&gt;&lt;Cite&gt;&lt;Author&gt;IBRD / WB&lt;/Author&gt;&lt;Year&gt;2007&lt;/Year&gt;&lt;RecNum&gt;55&lt;/RecNum&gt;&lt;DisplayText&gt;(IBRD / WB, 2007)&lt;/DisplayText&gt;&lt;record&gt;&lt;rec-number&gt;55&lt;/rec-number&gt;&lt;foreign-keys&gt;&lt;key app="EN" db-id="25tas95vtezst4e55d1xv0twzf0xa2fpdr02"&gt;55&lt;/key&gt;&lt;/foreign-keys&gt;&lt;ref-type name="Book"&gt;6&lt;/ref-type&gt;&lt;contributors&gt;&lt;authors&gt;&lt;author&gt;IBRD / WB,&lt;/author&gt;&lt;/authors&gt;&lt;/contributors&gt;&lt;titles&gt;&lt;title&gt;More than a Pretty Picture: Using Poverty Maps to Design Better Policies and Interventions&lt;/title&gt;&lt;/titles&gt;&lt;dates&gt;&lt;year&gt;2007&lt;/year&gt;&lt;/dates&gt;&lt;pub-location&gt;Washington DC&lt;/pub-location&gt;&lt;publisher&gt;International Bank for Reconstruction and Development / The World Bank&lt;/publisher&gt;&lt;urls&gt;&lt;/urls&gt;&lt;/record&gt;&lt;/Cite&gt;&lt;/EndNote&gt;</w:instrText>
      </w:r>
      <w:r>
        <w:fldChar w:fldCharType="separate"/>
      </w:r>
      <w:r>
        <w:rPr>
          <w:noProof/>
        </w:rPr>
        <w:t>(</w:t>
      </w:r>
      <w:hyperlink w:anchor="_ENREF_20" w:tooltip="IBRD / WB, 2007 #55" w:history="1">
        <w:r w:rsidR="00CD058B">
          <w:rPr>
            <w:noProof/>
          </w:rPr>
          <w:t>IBRD / WB, 2007</w:t>
        </w:r>
      </w:hyperlink>
      <w:r>
        <w:rPr>
          <w:noProof/>
        </w:rPr>
        <w:t>)</w:t>
      </w:r>
      <w:r>
        <w:fldChar w:fldCharType="end"/>
      </w:r>
      <w:r>
        <w:t>. Examples in Asia include</w:t>
      </w:r>
      <w:r w:rsidRPr="007E6D3B">
        <w:t xml:space="preserve"> </w:t>
      </w:r>
      <w:r>
        <w:t xml:space="preserve">India </w:t>
      </w:r>
      <w:r>
        <w:fldChar w:fldCharType="begin"/>
      </w:r>
      <w:r>
        <w:instrText xml:space="preserve"> ADDIN EN.CITE &lt;EndNote&gt;&lt;Cite&gt;&lt;Author&gt;Bigman&lt;/Author&gt;&lt;Year&gt;2002&lt;/Year&gt;&lt;RecNum&gt;52&lt;/RecNum&gt;&lt;DisplayText&gt;(Bigman and Srinivasan, 2002)&lt;/DisplayText&gt;&lt;record&gt;&lt;rec-number&gt;52&lt;/rec-number&gt;&lt;foreign-keys&gt;&lt;key app="EN" db-id="25tas95vtezst4e55d1xv0twzf0xa2fpdr02"&gt;52&lt;/key&gt;&lt;/foreign-keys&gt;&lt;ref-type name="Journal Article"&gt;17&lt;/ref-type&gt;&lt;contributors&gt;&lt;authors&gt;&lt;author&gt;David Bigman&lt;/author&gt;&lt;author&gt;P. V. Srinivasan &lt;/author&gt;&lt;/authors&gt;&lt;/contributors&gt;&lt;titles&gt;&lt;title&gt;Geographical targeting of poverty alleviation programs: methodology and applications in rural India&lt;/title&gt;&lt;secondary-title&gt;Journal of Policy Modeling&lt;/secondary-title&gt;&lt;/titles&gt;&lt;periodical&gt;&lt;full-title&gt;Journal of Policy Modeling&lt;/full-title&gt;&lt;/periodical&gt;&lt;pages&gt;237-255&lt;/pages&gt;&lt;volume&gt;24&lt;/volume&gt;&lt;number&gt;3&lt;/number&gt;&lt;dates&gt;&lt;year&gt;2002&lt;/year&gt;&lt;/dates&gt;&lt;urls&gt;&lt;/urls&gt;&lt;/record&gt;&lt;/Cite&gt;&lt;/EndNote&gt;</w:instrText>
      </w:r>
      <w:r>
        <w:fldChar w:fldCharType="separate"/>
      </w:r>
      <w:r>
        <w:rPr>
          <w:noProof/>
        </w:rPr>
        <w:t>(</w:t>
      </w:r>
      <w:hyperlink w:anchor="_ENREF_5" w:tooltip="Bigman, 2002 #52" w:history="1">
        <w:r w:rsidR="00CD058B">
          <w:rPr>
            <w:noProof/>
          </w:rPr>
          <w:t>Bigman and Srinivasan, 2002</w:t>
        </w:r>
      </w:hyperlink>
      <w:r>
        <w:rPr>
          <w:noProof/>
        </w:rPr>
        <w:t>)</w:t>
      </w:r>
      <w:r>
        <w:fldChar w:fldCharType="end"/>
      </w:r>
      <w:r>
        <w:t>,</w:t>
      </w:r>
      <w:r w:rsidRPr="007E6D3B">
        <w:t xml:space="preserve"> </w:t>
      </w:r>
      <w:r>
        <w:t xml:space="preserve">Bangladesh </w:t>
      </w:r>
      <w:r>
        <w:fldChar w:fldCharType="begin"/>
      </w:r>
      <w:r>
        <w:instrText xml:space="preserve"> ADDIN EN.CITE &lt;EndNote&gt;&lt;Cite&gt;&lt;Author&gt;Bangladesh Bureau of Statistics&lt;/Author&gt;&lt;Year&gt;2004&lt;/Year&gt;&lt;RecNum&gt;53&lt;/RecNum&gt;&lt;DisplayText&gt;(Bangladesh Bureau of Statistics, 2004)&lt;/DisplayText&gt;&lt;record&gt;&lt;rec-number&gt;53&lt;/rec-number&gt;&lt;foreign-keys&gt;&lt;key app="EN" db-id="25tas95vtezst4e55d1xv0twzf0xa2fpdr02"&gt;53&lt;/key&gt;&lt;/foreign-keys&gt;&lt;ref-type name="Report"&gt;27&lt;/ref-type&gt;&lt;contributors&gt;&lt;authors&gt;&lt;author&gt;Bangladesh Bureau of Statistics,&lt;/author&gt;&lt;/authors&gt;&lt;/contributors&gt;&lt;titles&gt;&lt;title&gt;Local Estimation of Poverty and Malnutrition in Bangladesh&lt;/title&gt;&lt;/titles&gt;&lt;dates&gt;&lt;year&gt;2004&lt;/year&gt;&lt;/dates&gt;&lt;publisher&gt;Bangladesh Bureau of Statistics and the United Nations World Food Program&lt;/publisher&gt;&lt;urls&gt;&lt;/urls&gt;&lt;/record&gt;&lt;/Cite&gt;&lt;/EndNote&gt;</w:instrText>
      </w:r>
      <w:r>
        <w:fldChar w:fldCharType="separate"/>
      </w:r>
      <w:r>
        <w:rPr>
          <w:noProof/>
        </w:rPr>
        <w:t>(</w:t>
      </w:r>
      <w:hyperlink w:anchor="_ENREF_2" w:tooltip="Bangladesh Bureau of Statistics, 2004 #53" w:history="1">
        <w:r w:rsidR="00CD058B">
          <w:rPr>
            <w:noProof/>
          </w:rPr>
          <w:t>Bangladesh Bureau of Statistics, 2004</w:t>
        </w:r>
      </w:hyperlink>
      <w:r>
        <w:rPr>
          <w:noProof/>
        </w:rPr>
        <w:t>)</w:t>
      </w:r>
      <w:r>
        <w:fldChar w:fldCharType="end"/>
      </w:r>
      <w:r>
        <w:t xml:space="preserve">, Philippines </w:t>
      </w:r>
      <w:r>
        <w:fldChar w:fldCharType="begin"/>
      </w:r>
      <w:r>
        <w:instrText xml:space="preserve"> ADDIN EN.CITE &lt;EndNote&gt;&lt;Cite&gt;&lt;Author&gt;Juan-Albacea&lt;/Author&gt;&lt;Year&gt;2004&lt;/Year&gt;&lt;RecNum&gt;54&lt;/RecNum&gt;&lt;DisplayText&gt;(Juan-Albacea, 2004)&lt;/DisplayText&gt;&lt;record&gt;&lt;rec-number&gt;54&lt;/rec-number&gt;&lt;foreign-keys&gt;&lt;key app="EN" db-id="25tas95vtezst4e55d1xv0twzf0xa2fpdr02"&gt;54&lt;/key&gt;&lt;/foreign-keys&gt;&lt;ref-type name="Conference Paper"&gt;47&lt;/ref-type&gt;&lt;contributors&gt;&lt;authors&gt;&lt;author&gt;Zita Villa Juan-Albacea&lt;/author&gt;&lt;/authors&gt;&lt;/contributors&gt;&lt;titles&gt;&lt;title&gt;Small Area Estimation of Sub-National Poverty Incidence&lt;/title&gt;&lt;secondary-title&gt;ADB-GTZ-CEPA Regional Conference on Poverty Monitoring&lt;/secondary-title&gt;&lt;/titles&gt;&lt;dates&gt;&lt;year&gt;2004&lt;/year&gt;&lt;pub-dates&gt;&lt;date&gt;March 24-26, 2004&lt;/date&gt;&lt;/pub-dates&gt;&lt;/dates&gt;&lt;pub-location&gt;Manila, Philippines&lt;/pub-location&gt;&lt;urls&gt;&lt;/urls&gt;&lt;/record&gt;&lt;/Cite&gt;&lt;/EndNote&gt;</w:instrText>
      </w:r>
      <w:r>
        <w:fldChar w:fldCharType="separate"/>
      </w:r>
      <w:r>
        <w:rPr>
          <w:noProof/>
        </w:rPr>
        <w:t>(</w:t>
      </w:r>
      <w:hyperlink w:anchor="_ENREF_22" w:tooltip="Juan-Albacea, 2004 #54" w:history="1">
        <w:r w:rsidR="00CD058B">
          <w:rPr>
            <w:noProof/>
          </w:rPr>
          <w:t>Juan-Albacea, 2004</w:t>
        </w:r>
      </w:hyperlink>
      <w:r>
        <w:rPr>
          <w:noProof/>
        </w:rPr>
        <w:t>)</w:t>
      </w:r>
      <w:r>
        <w:fldChar w:fldCharType="end"/>
      </w:r>
      <w:r>
        <w:t xml:space="preserve">, China, Cambodia, Indonesia, Sri Lanka, Thailand and Vietnam </w:t>
      </w:r>
      <w:r>
        <w:fldChar w:fldCharType="begin"/>
      </w:r>
      <w:r>
        <w:instrText xml:space="preserve"> ADDIN EN.CITE &lt;EndNote&gt;&lt;Cite&gt;&lt;Author&gt;IBRD / WB&lt;/Author&gt;&lt;Year&gt;2007&lt;/Year&gt;&lt;RecNum&gt;55&lt;/RecNum&gt;&lt;DisplayText&gt;(IBRD / WB, 2007)&lt;/DisplayText&gt;&lt;record&gt;&lt;rec-number&gt;55&lt;/rec-number&gt;&lt;foreign-keys&gt;&lt;key app="EN" db-id="25tas95vtezst4e55d1xv0twzf0xa2fpdr02"&gt;55&lt;/key&gt;&lt;/foreign-keys&gt;&lt;ref-type name="Book"&gt;6&lt;/ref-type&gt;&lt;contributors&gt;&lt;authors&gt;&lt;author&gt;IBRD / WB,&lt;/author&gt;&lt;/authors&gt;&lt;/contributors&gt;&lt;titles&gt;&lt;title&gt;More than a Pretty Picture: Using Poverty Maps to Design Better Policies and Interventions&lt;/title&gt;&lt;/titles&gt;&lt;dates&gt;&lt;year&gt;2007&lt;/year&gt;&lt;/dates&gt;&lt;pub-location&gt;Washington DC&lt;/pub-location&gt;&lt;publisher&gt;International Bank for Reconstruction and Development / The World Bank&lt;/publisher&gt;&lt;urls&gt;&lt;/urls&gt;&lt;/record&gt;&lt;/Cite&gt;&lt;/EndNote&gt;</w:instrText>
      </w:r>
      <w:r>
        <w:fldChar w:fldCharType="separate"/>
      </w:r>
      <w:r>
        <w:rPr>
          <w:noProof/>
        </w:rPr>
        <w:t>(</w:t>
      </w:r>
      <w:hyperlink w:anchor="_ENREF_20" w:tooltip="IBRD / WB, 2007 #55" w:history="1">
        <w:r w:rsidR="00CD058B">
          <w:rPr>
            <w:noProof/>
          </w:rPr>
          <w:t>IBRD / WB, 2007</w:t>
        </w:r>
      </w:hyperlink>
      <w:r>
        <w:rPr>
          <w:noProof/>
        </w:rPr>
        <w:t>)</w:t>
      </w:r>
      <w:r>
        <w:fldChar w:fldCharType="end"/>
      </w:r>
      <w:r>
        <w:t xml:space="preserve">. Examples in Latin America include, for example, Bolivia, Ecuador and Mexico </w:t>
      </w:r>
      <w:r>
        <w:fldChar w:fldCharType="begin"/>
      </w:r>
      <w:r>
        <w:instrText xml:space="preserve"> ADDIN EN.CITE &lt;EndNote&gt;&lt;Cite&gt;&lt;Author&gt;IBRD / WB&lt;/Author&gt;&lt;Year&gt;2007&lt;/Year&gt;&lt;RecNum&gt;55&lt;/RecNum&gt;&lt;DisplayText&gt;(IBRD / WB, 2007)&lt;/DisplayText&gt;&lt;record&gt;&lt;rec-number&gt;55&lt;/rec-number&gt;&lt;foreign-keys&gt;&lt;key app="EN" db-id="25tas95vtezst4e55d1xv0twzf0xa2fpdr02"&gt;55&lt;/key&gt;&lt;/foreign-keys&gt;&lt;ref-type name="Book"&gt;6&lt;/ref-type&gt;&lt;contributors&gt;&lt;authors&gt;&lt;author&gt;IBRD / WB,&lt;/author&gt;&lt;/authors&gt;&lt;/contributors&gt;&lt;titles&gt;&lt;title&gt;More than a Pretty Picture: Using Poverty Maps to Design Better Policies and Interventions&lt;/title&gt;&lt;/titles&gt;&lt;dates&gt;&lt;year&gt;2007&lt;/year&gt;&lt;/dates&gt;&lt;pub-location&gt;Washington DC&lt;/pub-location&gt;&lt;publisher&gt;International Bank for Reconstruction and Development / The World Bank&lt;/publisher&gt;&lt;urls&gt;&lt;/urls&gt;&lt;/record&gt;&lt;/Cite&gt;&lt;/EndNote&gt;</w:instrText>
      </w:r>
      <w:r>
        <w:fldChar w:fldCharType="separate"/>
      </w:r>
      <w:r>
        <w:rPr>
          <w:noProof/>
        </w:rPr>
        <w:t>(</w:t>
      </w:r>
      <w:hyperlink w:anchor="_ENREF_20" w:tooltip="IBRD / WB, 2007 #55" w:history="1">
        <w:r w:rsidR="00CD058B">
          <w:rPr>
            <w:noProof/>
          </w:rPr>
          <w:t>IBRD / WB, 2007</w:t>
        </w:r>
      </w:hyperlink>
      <w:r>
        <w:rPr>
          <w:noProof/>
        </w:rPr>
        <w:t>)</w:t>
      </w:r>
      <w:r>
        <w:fldChar w:fldCharType="end"/>
      </w:r>
      <w:r>
        <w:t xml:space="preserve">. Finally, examples for Europe include Albania </w:t>
      </w:r>
      <w:r>
        <w:fldChar w:fldCharType="begin"/>
      </w:r>
      <w:r>
        <w:instrText xml:space="preserve"> ADDIN EN.CITE &lt;EndNote&gt;&lt;Cite&gt;&lt;Author&gt;IBRD / WB&lt;/Author&gt;&lt;Year&gt;2007&lt;/Year&gt;&lt;RecNum&gt;55&lt;/RecNum&gt;&lt;DisplayText&gt;(IBRD / WB, 2007, Betti et al., 2010)&lt;/DisplayText&gt;&lt;record&gt;&lt;rec-number&gt;55&lt;/rec-number&gt;&lt;foreign-keys&gt;&lt;key app="EN" db-id="25tas95vtezst4e55d1xv0twzf0xa2fpdr02"&gt;55&lt;/key&gt;&lt;/foreign-keys&gt;&lt;ref-type name="Book"&gt;6&lt;/ref-type&gt;&lt;contributors&gt;&lt;authors&gt;&lt;author&gt;IBRD / WB,&lt;/author&gt;&lt;/authors&gt;&lt;/contributors&gt;&lt;titles&gt;&lt;title&gt;More than a Pretty Picture: Using Poverty Maps to Design Better Policies and Interventions&lt;/title&gt;&lt;/titles&gt;&lt;dates&gt;&lt;year&gt;2007&lt;/year&gt;&lt;/dates&gt;&lt;pub-location&gt;Washington DC&lt;/pub-location&gt;&lt;publisher&gt;International Bank for Reconstruction and Development / The World Bank&lt;/publisher&gt;&lt;urls&gt;&lt;/urls&gt;&lt;/record&gt;&lt;/Cite&gt;&lt;Cite&gt;&lt;Author&gt;Betti&lt;/Author&gt;&lt;Year&gt;2010&lt;/Year&gt;&lt;RecNum&gt;50&lt;/RecNum&gt;&lt;record&gt;&lt;rec-number&gt;50&lt;/rec-number&gt;&lt;foreign-keys&gt;&lt;key app="EN" db-id="25tas95vtezst4e55d1xv0twzf0xa2fpdr02"&gt;50&lt;/key&gt;&lt;/foreign-keys&gt;&lt;ref-type name="Conference Paper"&gt;47&lt;/ref-type&gt;&lt;contributors&gt;&lt;authors&gt;&lt;author&gt;Gianni Betti&lt;/author&gt;&lt;author&gt;Andrew Dabalen &lt;/author&gt;&lt;author&gt;Celine Ferrè&lt;/author&gt;&lt;author&gt;Laura Neri&lt;/author&gt;&lt;/authors&gt;&lt;/contributors&gt;&lt;titles&gt;&lt;title&gt;Further Updating Poverty Mapping In Albania&lt;/title&gt;&lt;secondary-title&gt;World Bank International Conference on Poverty and Social Inclusion in the Western Balkans WBalkans 2010&lt;/secondary-title&gt;&lt;/titles&gt;&lt;dates&gt;&lt;year&gt;2010&lt;/year&gt;&lt;pub-dates&gt;&lt;date&gt;December 14-15, 2010&lt;/date&gt;&lt;/pub-dates&gt;&lt;/dates&gt;&lt;pub-location&gt;Brussels, Belgium&lt;/pub-location&gt;&lt;urls&gt;&lt;/urls&gt;&lt;/record&gt;&lt;/Cite&gt;&lt;/EndNote&gt;</w:instrText>
      </w:r>
      <w:r>
        <w:fldChar w:fldCharType="separate"/>
      </w:r>
      <w:r>
        <w:rPr>
          <w:noProof/>
        </w:rPr>
        <w:t>(</w:t>
      </w:r>
      <w:hyperlink w:anchor="_ENREF_20" w:tooltip="IBRD / WB, 2007 #55" w:history="1">
        <w:r w:rsidR="00CD058B">
          <w:rPr>
            <w:noProof/>
          </w:rPr>
          <w:t>IBRD / WB, 2007</w:t>
        </w:r>
      </w:hyperlink>
      <w:r>
        <w:rPr>
          <w:noProof/>
        </w:rPr>
        <w:t xml:space="preserve">, </w:t>
      </w:r>
      <w:hyperlink w:anchor="_ENREF_3" w:tooltip="Betti, 2010 #50" w:history="1">
        <w:r w:rsidR="00CD058B">
          <w:rPr>
            <w:noProof/>
          </w:rPr>
          <w:t>Betti et al., 2010</w:t>
        </w:r>
      </w:hyperlink>
      <w:r>
        <w:rPr>
          <w:noProof/>
        </w:rPr>
        <w:t>)</w:t>
      </w:r>
      <w:r>
        <w:fldChar w:fldCharType="end"/>
      </w:r>
      <w:r>
        <w:t xml:space="preserve"> and Bulgaria </w:t>
      </w:r>
      <w:r>
        <w:fldChar w:fldCharType="begin"/>
      </w:r>
      <w:r>
        <w:instrText xml:space="preserve"> ADDIN EN.CITE &lt;EndNote&gt;&lt;Cite&gt;&lt;Author&gt;Ivaschenko&lt;/Author&gt;&lt;Year&gt;2004&lt;/Year&gt;&lt;RecNum&gt;51&lt;/RecNum&gt;&lt;DisplayText&gt;(Ivaschenko, 2004, IBRD / WB, 2007)&lt;/DisplayText&gt;&lt;record&gt;&lt;rec-number&gt;51&lt;/rec-number&gt;&lt;foreign-keys&gt;&lt;key app="EN" db-id="25tas95vtezst4e55d1xv0twzf0xa2fpdr02"&gt;51&lt;/key&gt;&lt;/foreign-keys&gt;&lt;ref-type name="Report"&gt;27&lt;/ref-type&gt;&lt;contributors&gt;&lt;authors&gt;&lt;author&gt;Ivaschenko, Oleksiy&lt;/author&gt;&lt;/authors&gt;&lt;/contributors&gt;&lt;titles&gt;&lt;title&gt;Poverty and Inequality Mapping in Bulgaria&lt;/title&gt;&lt;/titles&gt;&lt;dates&gt;&lt;year&gt;2004&lt;/year&gt;&lt;/dates&gt;&lt;publisher&gt;World Bank&lt;/publisher&gt;&lt;urls&gt;&lt;/urls&gt;&lt;/record&gt;&lt;/Cite&gt;&lt;Cite&gt;&lt;Author&gt;IBRD / WB&lt;/Author&gt;&lt;Year&gt;2007&lt;/Year&gt;&lt;RecNum&gt;55&lt;/RecNum&gt;&lt;record&gt;&lt;rec-number&gt;55&lt;/rec-number&gt;&lt;foreign-keys&gt;&lt;key app="EN" db-id="25tas95vtezst4e55d1xv0twzf0xa2fpdr02"&gt;55&lt;/key&gt;&lt;/foreign-keys&gt;&lt;ref-type name="Book"&gt;6&lt;/ref-type&gt;&lt;contributors&gt;&lt;authors&gt;&lt;author&gt;IBRD / WB,&lt;/author&gt;&lt;/authors&gt;&lt;/contributors&gt;&lt;titles&gt;&lt;title&gt;More than a Pretty Picture: Using Poverty Maps to Design Better Policies and Interventions&lt;/title&gt;&lt;/titles&gt;&lt;dates&gt;&lt;year&gt;2007&lt;/year&gt;&lt;/dates&gt;&lt;pub-location&gt;Washington DC&lt;/pub-location&gt;&lt;publisher&gt;International Bank for Reconstruction and Development / The World Bank&lt;/publisher&gt;&lt;urls&gt;&lt;/urls&gt;&lt;/record&gt;&lt;/Cite&gt;&lt;/EndNote&gt;</w:instrText>
      </w:r>
      <w:r>
        <w:fldChar w:fldCharType="separate"/>
      </w:r>
      <w:r>
        <w:rPr>
          <w:noProof/>
        </w:rPr>
        <w:t>(</w:t>
      </w:r>
      <w:hyperlink w:anchor="_ENREF_21" w:tooltip="Ivaschenko, 2004 #51" w:history="1">
        <w:r w:rsidR="00CD058B">
          <w:rPr>
            <w:noProof/>
          </w:rPr>
          <w:t>Ivaschenko, 2004</w:t>
        </w:r>
      </w:hyperlink>
      <w:r>
        <w:rPr>
          <w:noProof/>
        </w:rPr>
        <w:t xml:space="preserve">, </w:t>
      </w:r>
      <w:hyperlink w:anchor="_ENREF_20" w:tooltip="IBRD / WB, 2007 #55" w:history="1">
        <w:r w:rsidR="00CD058B">
          <w:rPr>
            <w:noProof/>
          </w:rPr>
          <w:t>IBRD / WB, 2007</w:t>
        </w:r>
      </w:hyperlink>
      <w:r>
        <w:rPr>
          <w:noProof/>
        </w:rPr>
        <w:t>)</w:t>
      </w:r>
      <w:r>
        <w:fldChar w:fldCharType="end"/>
      </w:r>
      <w:r>
        <w:t>.</w:t>
      </w:r>
    </w:p>
    <w:p w:rsidR="00916400" w:rsidRPr="00AE30AC" w:rsidRDefault="00916400" w:rsidP="00916400"/>
    <w:p w:rsidR="00916400" w:rsidRPr="00521FE8" w:rsidRDefault="00916400" w:rsidP="00916400">
      <w:pPr>
        <w:pStyle w:val="Otsikko2"/>
      </w:pPr>
      <w:bookmarkStart w:id="33" w:name="_Toc393812339"/>
      <w:r>
        <w:t xml:space="preserve">Overview of </w:t>
      </w:r>
      <w:r w:rsidR="00D97A21">
        <w:t xml:space="preserve">WB PovMap’s </w:t>
      </w:r>
      <w:r>
        <w:t>strengths and weaknesses</w:t>
      </w:r>
      <w:bookmarkEnd w:id="33"/>
    </w:p>
    <w:p w:rsidR="00916400" w:rsidRDefault="00916400" w:rsidP="00916400">
      <w:r>
        <w:t xml:space="preserve">The WB PovMap methodology uses regression model-based small area estimation techniques (see section </w:t>
      </w:r>
      <w:r>
        <w:fldChar w:fldCharType="begin"/>
      </w:r>
      <w:r>
        <w:instrText xml:space="preserve"> REF _Ref382558970 \r \h </w:instrText>
      </w:r>
      <w:r>
        <w:fldChar w:fldCharType="separate"/>
      </w:r>
      <w:r w:rsidR="00920EB4">
        <w:t>4.1</w:t>
      </w:r>
      <w:r>
        <w:fldChar w:fldCharType="end"/>
      </w:r>
      <w:r>
        <w:t xml:space="preserve"> above) – </w:t>
      </w:r>
      <w:r w:rsidRPr="00963B1A">
        <w:rPr>
          <w:i/>
        </w:rPr>
        <w:t>modelled estimates</w:t>
      </w:r>
      <w:r>
        <w:t xml:space="preserve">. Simpler alternatives to the measurement of poverty at smaller geographical scale use </w:t>
      </w:r>
      <w:r w:rsidRPr="00963B1A">
        <w:rPr>
          <w:i/>
        </w:rPr>
        <w:t xml:space="preserve">proxies </w:t>
      </w:r>
      <w:r>
        <w:t xml:space="preserve">for welfare </w:t>
      </w:r>
      <w:r w:rsidRPr="00963B1A">
        <w:t>(</w:t>
      </w:r>
      <w:r>
        <w:t xml:space="preserve">e.g. </w:t>
      </w:r>
      <w:r w:rsidRPr="00963B1A">
        <w:lastRenderedPageBreak/>
        <w:t>number of people who claim unemployment benefits, number of people who are unemployed, etc.)</w:t>
      </w:r>
      <w:r>
        <w:t xml:space="preserve">, generally available from population census </w:t>
      </w:r>
      <w:r>
        <w:fldChar w:fldCharType="begin"/>
      </w:r>
      <w:r>
        <w:instrText xml:space="preserve"> ADDIN EN.CITE &lt;EndNote&gt;&lt;Cite&gt;&lt;Author&gt;Fenton&lt;/Author&gt;&lt;Year&gt;2013&lt;/Year&gt;&lt;RecNum&gt;6&lt;/RecNum&gt;&lt;DisplayText&gt;(Fenton, 2013)&lt;/DisplayText&gt;&lt;record&gt;&lt;rec-number&gt;6&lt;/rec-number&gt;&lt;foreign-keys&gt;&lt;key app="EN" db-id="25tas95vtezst4e55d1xv0twzf0xa2fpdr02"&gt;6&lt;/key&gt;&lt;/foreign-keys&gt;&lt;ref-type name="Unpublished Work"&gt;34&lt;/ref-type&gt;&lt;contributors&gt;&lt;authors&gt;&lt;author&gt;Alex Fenton&lt;/author&gt;&lt;/authors&gt;&lt;/contributors&gt;&lt;titles&gt;&lt;title&gt;Small-area measures of income poverty&lt;/title&gt;&lt;secondary-title&gt;Working Paper No CASE/173&lt;/secondary-title&gt;&lt;/titles&gt;&lt;dates&gt;&lt;year&gt;2013&lt;/year&gt;&lt;/dates&gt;&lt;publisher&gt;Centre for Analysis of Social Exclusion (CASE), London School of Economics&lt;/publisher&gt;&lt;urls&gt;&lt;/urls&gt;&lt;/record&gt;&lt;/Cite&gt;&lt;/EndNote&gt;</w:instrText>
      </w:r>
      <w:r>
        <w:fldChar w:fldCharType="separate"/>
      </w:r>
      <w:r>
        <w:rPr>
          <w:noProof/>
        </w:rPr>
        <w:t>(</w:t>
      </w:r>
      <w:hyperlink w:anchor="_ENREF_18" w:tooltip="Fenton, 2013 #6" w:history="1">
        <w:r w:rsidR="00CD058B">
          <w:rPr>
            <w:noProof/>
          </w:rPr>
          <w:t>Fenton, 2013</w:t>
        </w:r>
      </w:hyperlink>
      <w:r>
        <w:rPr>
          <w:noProof/>
        </w:rPr>
        <w:t>)</w:t>
      </w:r>
      <w:r>
        <w:fldChar w:fldCharType="end"/>
      </w:r>
      <w:r>
        <w:t xml:space="preserve">. </w:t>
      </w:r>
    </w:p>
    <w:p w:rsidR="00916400" w:rsidRDefault="00916400" w:rsidP="00916400">
      <w:r w:rsidRPr="006D3CE3">
        <w:t>The main strengths of the WB poverty mapping small area estimation meth</w:t>
      </w:r>
      <w:r>
        <w:t xml:space="preserve">od </w:t>
      </w:r>
      <w:r w:rsidRPr="006D3CE3">
        <w:t xml:space="preserve">compared to </w:t>
      </w:r>
      <w:r>
        <w:t xml:space="preserve">simpler </w:t>
      </w:r>
      <w:r w:rsidRPr="006D3CE3">
        <w:t>alternative techniques based on proxy variables</w:t>
      </w:r>
      <w:r>
        <w:t xml:space="preserve"> include:</w:t>
      </w:r>
    </w:p>
    <w:p w:rsidR="00916400" w:rsidRDefault="00916400" w:rsidP="00A16958">
      <w:pPr>
        <w:pStyle w:val="Luettelokappale"/>
        <w:numPr>
          <w:ilvl w:val="0"/>
          <w:numId w:val="2"/>
        </w:numPr>
      </w:pPr>
      <w:r>
        <w:t>Better representation of the multi-dimension nature of poverty through the inclusion of multiple proxy variables (for welfare) simultaneously.</w:t>
      </w:r>
    </w:p>
    <w:p w:rsidR="00916400" w:rsidRDefault="00916400" w:rsidP="00A16958">
      <w:pPr>
        <w:pStyle w:val="Luettelokappale"/>
        <w:numPr>
          <w:ilvl w:val="0"/>
          <w:numId w:val="2"/>
        </w:numPr>
      </w:pPr>
      <w:r>
        <w:t>Availability of measures of the statistical precision (i.e. confidence) of the poverty estimates produced.</w:t>
      </w:r>
    </w:p>
    <w:p w:rsidR="00916400" w:rsidRDefault="00916400" w:rsidP="00A16958">
      <w:pPr>
        <w:pStyle w:val="Luettelokappale"/>
        <w:numPr>
          <w:ilvl w:val="0"/>
          <w:numId w:val="2"/>
        </w:numPr>
      </w:pPr>
      <w:r>
        <w:t xml:space="preserve">Ability to compute different measures of poverty (e.g. </w:t>
      </w:r>
      <w:r w:rsidRPr="00C151FF">
        <w:t>headcount index</w:t>
      </w:r>
      <w:r>
        <w:t xml:space="preserve">, </w:t>
      </w:r>
      <w:r w:rsidRPr="00C151FF">
        <w:t>poverty gap index</w:t>
      </w:r>
      <w:r>
        <w:t xml:space="preserve">, </w:t>
      </w:r>
      <w:r w:rsidRPr="00C151FF">
        <w:t>poverty severity index</w:t>
      </w:r>
      <w:r>
        <w:t>) and inequality (e.g. gini coefficient, g</w:t>
      </w:r>
      <w:r w:rsidRPr="00C151FF">
        <w:t xml:space="preserve">eneralized </w:t>
      </w:r>
      <w:r>
        <w:t>e</w:t>
      </w:r>
      <w:r w:rsidRPr="00C151FF">
        <w:t xml:space="preserve">ntropy </w:t>
      </w:r>
      <w:r>
        <w:t>m</w:t>
      </w:r>
      <w:r w:rsidRPr="00C151FF">
        <w:t>easures</w:t>
      </w:r>
      <w:r>
        <w:t xml:space="preserve">, </w:t>
      </w:r>
      <w:r w:rsidRPr="00C151FF">
        <w:t xml:space="preserve">Atkinson’s </w:t>
      </w:r>
      <w:r>
        <w:t>i</w:t>
      </w:r>
      <w:r w:rsidRPr="00C151FF">
        <w:t xml:space="preserve">nequality </w:t>
      </w:r>
      <w:r>
        <w:t>m</w:t>
      </w:r>
      <w:r w:rsidRPr="00C151FF">
        <w:t>easures</w:t>
      </w:r>
      <w:r>
        <w:t>).</w:t>
      </w:r>
    </w:p>
    <w:p w:rsidR="00916400" w:rsidRDefault="00916400" w:rsidP="00A16958">
      <w:pPr>
        <w:pStyle w:val="Luettelokappale"/>
        <w:numPr>
          <w:ilvl w:val="0"/>
          <w:numId w:val="2"/>
        </w:numPr>
      </w:pPr>
      <w:r>
        <w:t>Easy interpretation of estimates of poverty and inequality.</w:t>
      </w:r>
    </w:p>
    <w:p w:rsidR="00916400" w:rsidRDefault="00916400" w:rsidP="00916400">
      <w:r>
        <w:t xml:space="preserve">The WB PovMap </w:t>
      </w:r>
      <w:r w:rsidR="007B2D3C">
        <w:t>method</w:t>
      </w:r>
      <w:r>
        <w:t xml:space="preserve"> also ha</w:t>
      </w:r>
      <w:r w:rsidR="007B2D3C">
        <w:t>s</w:t>
      </w:r>
      <w:r>
        <w:t xml:space="preserve"> weaknesses, which are common to any technique based on statistical regression models. The main weaknesses of the methodology arise from small sample size, poor model specification, and the inappropriate choice of statistical estimator. All three issues can affect the quality of the parameter estimates obtained from the household income model estimated in PovMap to generate small area estimates of income and poverty. Although not a weakness, one of the difficulties of the WB poverty mapping methodology is its strong data requirement </w:t>
      </w:r>
      <w:r w:rsidR="007B2D3C">
        <w:t xml:space="preserve">nature </w:t>
      </w:r>
      <w:r>
        <w:t>compared to simpler alternatives</w:t>
      </w:r>
      <w:r w:rsidRPr="009B5331">
        <w:t xml:space="preserve"> </w:t>
      </w:r>
      <w:r>
        <w:t>based on proxies.</w:t>
      </w:r>
    </w:p>
    <w:p w:rsidR="00E359E0" w:rsidRDefault="00E359E0" w:rsidP="00916400"/>
    <w:p w:rsidR="000E5A82" w:rsidRPr="00521FE8" w:rsidRDefault="0062191B" w:rsidP="000E5A82">
      <w:pPr>
        <w:pStyle w:val="Otsikko2"/>
      </w:pPr>
      <w:bookmarkStart w:id="34" w:name="_Toc393812340"/>
      <w:r>
        <w:t>Step-by-step i</w:t>
      </w:r>
      <w:r w:rsidR="000E5A82">
        <w:t>mplementation of WB PovMap</w:t>
      </w:r>
      <w:bookmarkEnd w:id="34"/>
    </w:p>
    <w:p w:rsidR="00916400" w:rsidRDefault="00916400" w:rsidP="000E5A82">
      <w:pPr>
        <w:pStyle w:val="Otsikko3"/>
      </w:pPr>
      <w:r>
        <w:t>Data preparation</w:t>
      </w:r>
    </w:p>
    <w:p w:rsidR="003008EC" w:rsidRDefault="000D4C04" w:rsidP="000D4C04">
      <w:r>
        <w:t xml:space="preserve">The first stage of the implementation of </w:t>
      </w:r>
      <w:r w:rsidR="007B2D3C">
        <w:t>WB methodology</w:t>
      </w:r>
      <w:r>
        <w:t xml:space="preserve"> consists of preparing the survey (i.e. EU-SILC) and national census datasets to be imported into the PovMap software and used in the estimation of small area poverty estimates.</w:t>
      </w:r>
      <w:r w:rsidR="0048187E">
        <w:t xml:space="preserve"> </w:t>
      </w:r>
      <w:r>
        <w:t>The data preparation stage consists of the following steps:</w:t>
      </w:r>
    </w:p>
    <w:p w:rsidR="004345B8" w:rsidRDefault="004345B8" w:rsidP="000D4C04"/>
    <w:p w:rsidR="000D4C04" w:rsidRDefault="000D4C04" w:rsidP="00A16958">
      <w:pPr>
        <w:pStyle w:val="Luettelokappale"/>
        <w:numPr>
          <w:ilvl w:val="0"/>
          <w:numId w:val="4"/>
        </w:numPr>
        <w:ind w:left="360"/>
      </w:pPr>
      <w:r w:rsidRPr="009821C8">
        <w:rPr>
          <w:b/>
        </w:rPr>
        <w:t xml:space="preserve">Ensure that the ‘target population’ </w:t>
      </w:r>
      <w:r w:rsidR="009821C8" w:rsidRPr="009821C8">
        <w:rPr>
          <w:b/>
        </w:rPr>
        <w:t xml:space="preserve">is the same </w:t>
      </w:r>
      <w:r w:rsidRPr="009821C8">
        <w:rPr>
          <w:b/>
        </w:rPr>
        <w:t>in both the EU-SILC and the national census</w:t>
      </w:r>
      <w:r>
        <w:t xml:space="preserve">. </w:t>
      </w:r>
    </w:p>
    <w:p w:rsidR="009821C8" w:rsidRDefault="009821C8" w:rsidP="009821C8">
      <w:r>
        <w:t xml:space="preserve">The reference population in the EU-SILC survey consists of all private households and their current members (aged 16 and over). The data available comprise variables both at the household and personal level. On the other hand, the national census data (e.g. UK census Small Area Microdata (SAM) 2001 file) are at the individual level, although some of the variables do effectively reflect household level data (e.g. number of household members, number of rooms, etc.).  </w:t>
      </w:r>
    </w:p>
    <w:p w:rsidR="009821C8" w:rsidRDefault="009821C8" w:rsidP="009821C8">
      <w:r>
        <w:t>The first task performed consists of creating a ‘population’ that is comparable across the two datasets. To do this the following records of the national census datasets need to be deleted:</w:t>
      </w:r>
    </w:p>
    <w:p w:rsidR="009821C8" w:rsidRDefault="009821C8" w:rsidP="00A16958">
      <w:pPr>
        <w:pStyle w:val="Luettelokappale"/>
        <w:numPr>
          <w:ilvl w:val="0"/>
          <w:numId w:val="6"/>
        </w:numPr>
      </w:pPr>
      <w:r>
        <w:lastRenderedPageBreak/>
        <w:t>Records relating to people younger than 16 years old.</w:t>
      </w:r>
    </w:p>
    <w:p w:rsidR="009821C8" w:rsidRDefault="009821C8" w:rsidP="00A16958">
      <w:pPr>
        <w:pStyle w:val="Luettelokappale"/>
        <w:numPr>
          <w:ilvl w:val="0"/>
          <w:numId w:val="6"/>
        </w:numPr>
      </w:pPr>
      <w:r>
        <w:t xml:space="preserve">Records relating to people who do not live in a private household (e.g. communal establishments). </w:t>
      </w:r>
    </w:p>
    <w:p w:rsidR="00E233B6" w:rsidRDefault="00E233B6" w:rsidP="00E233B6"/>
    <w:p w:rsidR="000D4C04" w:rsidRDefault="000D4C04" w:rsidP="00A16958">
      <w:pPr>
        <w:pStyle w:val="Luettelokappale"/>
        <w:numPr>
          <w:ilvl w:val="0"/>
          <w:numId w:val="4"/>
        </w:numPr>
        <w:ind w:left="360"/>
      </w:pPr>
      <w:r w:rsidRPr="009821C8">
        <w:rPr>
          <w:b/>
        </w:rPr>
        <w:t xml:space="preserve">Inspect the list of variables in both datasets in search </w:t>
      </w:r>
      <w:r w:rsidR="009821C8">
        <w:rPr>
          <w:b/>
        </w:rPr>
        <w:t>of</w:t>
      </w:r>
      <w:r w:rsidRPr="009821C8">
        <w:rPr>
          <w:b/>
        </w:rPr>
        <w:t xml:space="preserve"> potential income predictors to be used as explanatory variables in </w:t>
      </w:r>
      <w:r w:rsidR="009821C8" w:rsidRPr="009821C8">
        <w:rPr>
          <w:b/>
        </w:rPr>
        <w:t>PovMap</w:t>
      </w:r>
      <w:r w:rsidR="009821C8">
        <w:rPr>
          <w:b/>
        </w:rPr>
        <w:t>’s</w:t>
      </w:r>
      <w:r w:rsidRPr="009821C8">
        <w:rPr>
          <w:b/>
        </w:rPr>
        <w:t xml:space="preserve"> household income mod</w:t>
      </w:r>
      <w:r w:rsidR="009821C8">
        <w:rPr>
          <w:b/>
        </w:rPr>
        <w:t>el</w:t>
      </w:r>
      <w:r>
        <w:t>.</w:t>
      </w:r>
    </w:p>
    <w:p w:rsidR="0048187E" w:rsidRDefault="0048187E" w:rsidP="0048187E">
      <w:r>
        <w:t xml:space="preserve">The specification of the </w:t>
      </w:r>
      <w:r w:rsidR="00222F0A">
        <w:t xml:space="preserve">PovMap’s </w:t>
      </w:r>
      <w:r>
        <w:t xml:space="preserve">household income model </w:t>
      </w:r>
      <w:r w:rsidR="00222F0A">
        <w:t>(see</w:t>
      </w:r>
      <w:r>
        <w:t xml:space="preserve"> section </w:t>
      </w:r>
      <w:r>
        <w:fldChar w:fldCharType="begin"/>
      </w:r>
      <w:r>
        <w:instrText xml:space="preserve"> REF _Ref382558970 \r \h </w:instrText>
      </w:r>
      <w:r>
        <w:fldChar w:fldCharType="separate"/>
      </w:r>
      <w:r w:rsidR="00920EB4">
        <w:t>4.1</w:t>
      </w:r>
      <w:r>
        <w:fldChar w:fldCharType="end"/>
      </w:r>
      <w:r w:rsidR="00222F0A">
        <w:t xml:space="preserve">) </w:t>
      </w:r>
      <w:r>
        <w:t>is based on a set of variables that can predict income levels (i.e. income predictors)</w:t>
      </w:r>
      <w:r w:rsidRPr="009457B9">
        <w:t xml:space="preserve"> </w:t>
      </w:r>
      <w:r>
        <w:t xml:space="preserve">and </w:t>
      </w:r>
      <w:r w:rsidR="007A25E5">
        <w:t xml:space="preserve">which are </w:t>
      </w:r>
      <w:r>
        <w:t xml:space="preserve">thought to influence </w:t>
      </w:r>
      <w:r w:rsidR="00222F0A">
        <w:t>at-risk-of-poverty rates</w:t>
      </w:r>
      <w:r>
        <w:t xml:space="preserve">. This approach has been used in previous studies </w:t>
      </w:r>
      <w:r>
        <w:fldChar w:fldCharType="begin">
          <w:fldData xml:space="preserve">PEVuZE5vdGU+PENpdGU+PEF1dGhvcj5GYXk8L0F1dGhvcj48WWVhcj4xOTc5PC9ZZWFyPjxSZWNO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</w:fldData>
        </w:fldChar>
      </w:r>
      <w:r>
        <w:instrText xml:space="preserve"> ADDIN EN.CITE </w:instrText>
      </w:r>
      <w:r>
        <w:fldChar w:fldCharType="begin">
          <w:fldData xml:space="preserve">PEVuZE5vdGU+PENpdGU+PEF1dGhvcj5GYXk8L0F1dGhvcj48WWVhcj4xOTc5PC9ZZWFyPjxSZWNO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</w:fldData>
        </w:fldChar>
      </w:r>
      <w:r>
        <w:instrText xml:space="preserve"> ADDIN EN.CITE.DATA </w:instrText>
      </w:r>
      <w:r>
        <w:fldChar w:fldCharType="end"/>
      </w:r>
      <w:r>
        <w:fldChar w:fldCharType="separate"/>
      </w:r>
      <w:r>
        <w:rPr>
          <w:noProof/>
        </w:rPr>
        <w:t xml:space="preserve">(e.g. </w:t>
      </w:r>
      <w:hyperlink w:anchor="_ENREF_17" w:tooltip="Fay, 1979 #10" w:history="1">
        <w:r w:rsidR="00CD058B">
          <w:rPr>
            <w:noProof/>
          </w:rPr>
          <w:t>Fay and Herriot, 1979</w:t>
        </w:r>
      </w:hyperlink>
      <w:r>
        <w:rPr>
          <w:noProof/>
        </w:rPr>
        <w:t xml:space="preserve">, </w:t>
      </w:r>
      <w:hyperlink w:anchor="_ENREF_7" w:tooltip="Bramley, 1998 #8" w:history="1">
        <w:r w:rsidR="00CD058B">
          <w:rPr>
            <w:noProof/>
          </w:rPr>
          <w:t>Bramley and Lancaster, 1998</w:t>
        </w:r>
      </w:hyperlink>
      <w:r>
        <w:rPr>
          <w:noProof/>
        </w:rPr>
        <w:t xml:space="preserve">, </w:t>
      </w:r>
      <w:hyperlink w:anchor="_ENREF_8" w:tooltip="Bramley, 2013 #7" w:history="1">
        <w:r w:rsidR="00CD058B">
          <w:rPr>
            <w:noProof/>
          </w:rPr>
          <w:t>Bramley and Watkins, 2013</w:t>
        </w:r>
      </w:hyperlink>
      <w:r>
        <w:rPr>
          <w:noProof/>
        </w:rPr>
        <w:t>)</w:t>
      </w:r>
      <w:r>
        <w:fldChar w:fldCharType="end"/>
      </w:r>
      <w:r>
        <w:t>.</w:t>
      </w:r>
      <w:r w:rsidR="00222F0A" w:rsidRPr="00222F0A">
        <w:t xml:space="preserve"> </w:t>
      </w:r>
      <w:r w:rsidR="00222F0A">
        <w:t xml:space="preserve">In order to identify the potential income predictor variables for the household income model, we examined the list of questions in the EU-SILC survey and </w:t>
      </w:r>
      <w:r w:rsidR="007A25E5">
        <w:t xml:space="preserve">the </w:t>
      </w:r>
      <w:r w:rsidR="00222F0A">
        <w:t xml:space="preserve">different national census datasets. Only the variables present in both data sources </w:t>
      </w:r>
      <w:r w:rsidR="007A25E5">
        <w:t>were</w:t>
      </w:r>
      <w:r w:rsidR="00222F0A">
        <w:t xml:space="preserve"> selected.</w:t>
      </w:r>
    </w:p>
    <w:p w:rsidR="00E233B6" w:rsidRDefault="00E233B6" w:rsidP="0048187E"/>
    <w:p w:rsidR="0048187E" w:rsidRDefault="000D4C04" w:rsidP="00A16958">
      <w:pPr>
        <w:pStyle w:val="Luettelokappale"/>
        <w:numPr>
          <w:ilvl w:val="0"/>
          <w:numId w:val="4"/>
        </w:numPr>
        <w:ind w:left="360"/>
      </w:pPr>
      <w:r w:rsidRPr="009821C8">
        <w:rPr>
          <w:b/>
        </w:rPr>
        <w:t>Identify the group of variables, from the list of variables identified in step 2, which have compatible definitions and classifications between the EU-SILC and the national census</w:t>
      </w:r>
      <w:r>
        <w:t>.</w:t>
      </w:r>
    </w:p>
    <w:p w:rsidR="00222F0A" w:rsidRDefault="00222F0A" w:rsidP="0048187E">
      <w:r>
        <w:t>The list</w:t>
      </w:r>
      <w:r w:rsidR="0048187E">
        <w:t xml:space="preserve"> of variables to feature in the household income mod</w:t>
      </w:r>
      <w:r>
        <w:t xml:space="preserve">el </w:t>
      </w:r>
      <w:r w:rsidR="0048187E">
        <w:t xml:space="preserve">depends </w:t>
      </w:r>
      <w:r>
        <w:t xml:space="preserve">first </w:t>
      </w:r>
      <w:r w:rsidR="0048187E">
        <w:t>on the</w:t>
      </w:r>
      <w:r>
        <w:t xml:space="preserve"> </w:t>
      </w:r>
      <w:r w:rsidR="0048187E">
        <w:t xml:space="preserve">availability of such variables in both the EU-SILC </w:t>
      </w:r>
      <w:r>
        <w:t xml:space="preserve">survey </w:t>
      </w:r>
      <w:r w:rsidR="0048187E">
        <w:t>and the national cen</w:t>
      </w:r>
      <w:r>
        <w:t>sus dataset (step 2), and secondly on the compatibility of the definitions and classifications used in the two data sources (step 3). The presence of irreconcilable definitional differences limits the number of variables that can be used in the household income model.</w:t>
      </w:r>
    </w:p>
    <w:p w:rsidR="00E460E3" w:rsidRDefault="009D647B" w:rsidP="00E460E3">
      <w:r>
        <w:t xml:space="preserve">To illustrate this step we include an example of data recoding for the UK. </w:t>
      </w:r>
      <w:r w:rsidR="00E460E3">
        <w:fldChar w:fldCharType="begin"/>
      </w:r>
      <w:r w:rsidR="00E460E3">
        <w:instrText xml:space="preserve"> REF _Ref383528708 \h </w:instrText>
      </w:r>
      <w:r w:rsidR="00E460E3">
        <w:fldChar w:fldCharType="separate"/>
      </w:r>
      <w:r w:rsidR="00920EB4">
        <w:br w:type="column"/>
      </w:r>
      <w:r w:rsidR="00920EB4">
        <w:lastRenderedPageBreak/>
        <w:t xml:space="preserve">Table </w:t>
      </w:r>
      <w:r w:rsidR="00920EB4">
        <w:rPr>
          <w:noProof/>
        </w:rPr>
        <w:t>2</w:t>
      </w:r>
      <w:r w:rsidR="00E460E3">
        <w:fldChar w:fldCharType="end"/>
      </w:r>
      <w:r w:rsidR="00E460E3">
        <w:t xml:space="preserve"> </w:t>
      </w:r>
      <w:r w:rsidR="00E460E3" w:rsidRPr="009D647B">
        <w:t>provides an overview of the classification ap</w:t>
      </w:r>
      <w:r w:rsidR="00E460E3">
        <w:t xml:space="preserve">plied to the variables (i) household size, (ii) type of household, (iii) economic activity, and (iv) </w:t>
      </w:r>
      <w:r w:rsidR="00E460E3" w:rsidRPr="00D7761E">
        <w:t>type</w:t>
      </w:r>
      <w:r w:rsidR="00E460E3">
        <w:t xml:space="preserve"> of </w:t>
      </w:r>
      <w:r w:rsidR="00E460E3" w:rsidRPr="00D7761E">
        <w:t>accommoda</w:t>
      </w:r>
      <w:r w:rsidR="00E460E3">
        <w:t>tion. The first column contains the variables</w:t>
      </w:r>
      <w:r w:rsidR="00E460E3" w:rsidRPr="009D647B">
        <w:t xml:space="preserve"> </w:t>
      </w:r>
      <w:r w:rsidR="00E460E3">
        <w:t xml:space="preserve">in the </w:t>
      </w:r>
      <w:r w:rsidR="00E460E3" w:rsidRPr="009D647B">
        <w:t xml:space="preserve">EU-SILC </w:t>
      </w:r>
      <w:r w:rsidR="00E460E3">
        <w:t>while the second column</w:t>
      </w:r>
      <w:r w:rsidR="00E460E3" w:rsidRPr="009D647B">
        <w:t xml:space="preserve"> </w:t>
      </w:r>
      <w:r w:rsidR="00E460E3">
        <w:t>contains the variables in the UK c</w:t>
      </w:r>
      <w:r w:rsidR="00E460E3" w:rsidRPr="009D647B">
        <w:t>ensus</w:t>
      </w:r>
      <w:r w:rsidR="00E460E3">
        <w:t>.</w:t>
      </w:r>
    </w:p>
    <w:p w:rsidR="009D647B" w:rsidRDefault="00E460E3" w:rsidP="009D647B">
      <w:pPr>
        <w:pStyle w:val="Kuvaotsikko"/>
        <w:keepNext/>
      </w:pPr>
      <w:bookmarkStart w:id="35" w:name="_Ref383528708"/>
      <w:r>
        <w:br w:type="column"/>
      </w:r>
      <w:bookmarkStart w:id="36" w:name="_Toc393812386"/>
      <w:r w:rsidR="009D647B">
        <w:lastRenderedPageBreak/>
        <w:t xml:space="preserve">Table </w:t>
      </w:r>
      <w:r w:rsidR="00630F69">
        <w:fldChar w:fldCharType="begin"/>
      </w:r>
      <w:r w:rsidR="00630F69">
        <w:instrText xml:space="preserve"> SEQ Table \* ARABIC </w:instrText>
      </w:r>
      <w:r w:rsidR="00630F69">
        <w:fldChar w:fldCharType="separate"/>
      </w:r>
      <w:r w:rsidR="00920EB4">
        <w:rPr>
          <w:noProof/>
        </w:rPr>
        <w:t>2</w:t>
      </w:r>
      <w:r w:rsidR="00630F69">
        <w:rPr>
          <w:noProof/>
        </w:rPr>
        <w:fldChar w:fldCharType="end"/>
      </w:r>
      <w:bookmarkEnd w:id="35"/>
      <w:r w:rsidR="009D647B">
        <w:t xml:space="preserve">: </w:t>
      </w:r>
      <w:r w:rsidR="00D7761E" w:rsidRPr="00D7761E">
        <w:rPr>
          <w:b w:val="0"/>
        </w:rPr>
        <w:t xml:space="preserve">Recoding of </w:t>
      </w:r>
      <w:r w:rsidR="00D7761E">
        <w:rPr>
          <w:b w:val="0"/>
        </w:rPr>
        <w:t>s</w:t>
      </w:r>
      <w:r w:rsidR="00D7761E" w:rsidRPr="00D7761E">
        <w:rPr>
          <w:b w:val="0"/>
        </w:rPr>
        <w:t xml:space="preserve">urvey and </w:t>
      </w:r>
      <w:r w:rsidR="00D7761E">
        <w:rPr>
          <w:b w:val="0"/>
        </w:rPr>
        <w:t>c</w:t>
      </w:r>
      <w:r w:rsidR="00D7761E" w:rsidRPr="00D7761E">
        <w:rPr>
          <w:b w:val="0"/>
        </w:rPr>
        <w:t>ensus variables to be paired</w:t>
      </w:r>
      <w:r w:rsidR="00D7761E">
        <w:rPr>
          <w:b w:val="0"/>
        </w:rPr>
        <w:t xml:space="preserve"> in PovMap</w:t>
      </w:r>
      <w:bookmarkEnd w:id="3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4"/>
        <w:gridCol w:w="4355"/>
      </w:tblGrid>
      <w:tr w:rsidR="00157086" w:rsidRPr="00DA10FB" w:rsidTr="00E233B6">
        <w:trPr>
          <w:trHeight w:val="397"/>
        </w:trPr>
        <w:tc>
          <w:tcPr>
            <w:tcW w:w="4174" w:type="dxa"/>
            <w:shd w:val="clear" w:color="auto" w:fill="000000" w:themeFill="text1"/>
            <w:vAlign w:val="center"/>
          </w:tcPr>
          <w:p w:rsidR="00157086" w:rsidRPr="00475360" w:rsidRDefault="00157086" w:rsidP="00E233B6">
            <w:pPr>
              <w:spacing w:before="0" w:line="240" w:lineRule="auto"/>
              <w:jc w:val="center"/>
              <w:rPr>
                <w:b/>
              </w:rPr>
            </w:pPr>
            <w:r w:rsidRPr="00475360">
              <w:rPr>
                <w:b/>
              </w:rPr>
              <w:t>EU-SILC Survey</w:t>
            </w:r>
          </w:p>
        </w:tc>
        <w:tc>
          <w:tcPr>
            <w:tcW w:w="4355" w:type="dxa"/>
            <w:shd w:val="clear" w:color="auto" w:fill="000000" w:themeFill="text1"/>
            <w:vAlign w:val="center"/>
          </w:tcPr>
          <w:p w:rsidR="00157086" w:rsidRPr="00475360" w:rsidRDefault="00157086" w:rsidP="00E233B6">
            <w:pPr>
              <w:spacing w:before="0" w:line="240" w:lineRule="auto"/>
              <w:jc w:val="center"/>
              <w:rPr>
                <w:b/>
              </w:rPr>
            </w:pPr>
            <w:r w:rsidRPr="00475360">
              <w:rPr>
                <w:b/>
              </w:rPr>
              <w:t>Census 2001 SAM</w:t>
            </w:r>
          </w:p>
        </w:tc>
      </w:tr>
      <w:tr w:rsidR="00157086" w:rsidRPr="00475360" w:rsidTr="00E233B6">
        <w:trPr>
          <w:trHeight w:val="397"/>
        </w:trPr>
        <w:tc>
          <w:tcPr>
            <w:tcW w:w="0" w:type="auto"/>
            <w:gridSpan w:val="2"/>
            <w:tcBorders>
              <w:top w:val="single" w:sz="4" w:space="0" w:color="auto"/>
            </w:tcBorders>
            <w:shd w:val="clear" w:color="auto" w:fill="D9D9D9" w:themeFill="background1" w:themeFillShade="D9"/>
            <w:vAlign w:val="center"/>
          </w:tcPr>
          <w:p w:rsidR="00157086" w:rsidRPr="00475360" w:rsidRDefault="00157086" w:rsidP="00E233B6">
            <w:pPr>
              <w:spacing w:before="0" w:line="240" w:lineRule="auto"/>
              <w:jc w:val="center"/>
              <w:rPr>
                <w:b/>
              </w:rPr>
            </w:pPr>
            <w:r>
              <w:rPr>
                <w:b/>
              </w:rPr>
              <w:t xml:space="preserve">(i) </w:t>
            </w:r>
            <w:r w:rsidRPr="00475360">
              <w:rPr>
                <w:b/>
              </w:rPr>
              <w:t>Household size</w:t>
            </w:r>
          </w:p>
        </w:tc>
      </w:tr>
      <w:tr w:rsidR="00157086" w:rsidRPr="00DA10FB" w:rsidTr="00E233B6">
        <w:trPr>
          <w:trHeight w:val="397"/>
        </w:trPr>
        <w:tc>
          <w:tcPr>
            <w:tcW w:w="4174" w:type="dxa"/>
            <w:shd w:val="clear" w:color="auto" w:fill="auto"/>
          </w:tcPr>
          <w:p w:rsidR="00157086" w:rsidRPr="00475360" w:rsidRDefault="00157086" w:rsidP="00E233B6">
            <w:pPr>
              <w:spacing w:before="0" w:line="240" w:lineRule="auto"/>
              <w:rPr>
                <w:b/>
              </w:rPr>
            </w:pPr>
            <w:r w:rsidRPr="00475360">
              <w:rPr>
                <w:b/>
              </w:rPr>
              <w:t>hhsizec (HX040)</w:t>
            </w:r>
          </w:p>
          <w:p w:rsidR="00157086" w:rsidRPr="00DA10FB" w:rsidRDefault="00157086" w:rsidP="00E233B6">
            <w:pPr>
              <w:spacing w:before="0" w:line="240" w:lineRule="auto"/>
            </w:pPr>
            <w:r w:rsidRPr="00DA10FB">
              <w:t>1-99 values</w:t>
            </w:r>
          </w:p>
        </w:tc>
        <w:tc>
          <w:tcPr>
            <w:tcW w:w="4355" w:type="dxa"/>
            <w:shd w:val="clear" w:color="auto" w:fill="auto"/>
          </w:tcPr>
          <w:p w:rsidR="00157086" w:rsidRPr="00475360" w:rsidRDefault="00157086" w:rsidP="00E233B6">
            <w:pPr>
              <w:spacing w:before="0" w:line="240" w:lineRule="auto"/>
              <w:rPr>
                <w:b/>
              </w:rPr>
            </w:pPr>
            <w:r w:rsidRPr="00475360">
              <w:rPr>
                <w:b/>
              </w:rPr>
              <w:t>hnresida</w:t>
            </w:r>
          </w:p>
          <w:p w:rsidR="00157086" w:rsidRPr="00DA10FB" w:rsidRDefault="00157086" w:rsidP="00E233B6">
            <w:pPr>
              <w:spacing w:before="0" w:line="240" w:lineRule="auto"/>
            </w:pPr>
            <w:r w:rsidRPr="00DA10FB">
              <w:t>C1=0-1</w:t>
            </w:r>
          </w:p>
          <w:p w:rsidR="00157086" w:rsidRPr="00DA10FB" w:rsidRDefault="00157086" w:rsidP="00E233B6">
            <w:pPr>
              <w:spacing w:before="0" w:line="240" w:lineRule="auto"/>
            </w:pPr>
            <w:r w:rsidRPr="00DA10FB">
              <w:t>C2=2-4</w:t>
            </w:r>
          </w:p>
          <w:p w:rsidR="00157086" w:rsidRPr="00DA10FB" w:rsidRDefault="00157086" w:rsidP="00E233B6">
            <w:pPr>
              <w:spacing w:before="0" w:line="240" w:lineRule="auto"/>
            </w:pPr>
            <w:r w:rsidRPr="00DA10FB">
              <w:t>C3=5+</w:t>
            </w:r>
          </w:p>
        </w:tc>
      </w:tr>
      <w:tr w:rsidR="00157086" w:rsidRPr="00DA10FB" w:rsidTr="00E233B6">
        <w:trPr>
          <w:trHeight w:val="397"/>
        </w:trPr>
        <w:tc>
          <w:tcPr>
            <w:tcW w:w="0" w:type="auto"/>
            <w:gridSpan w:val="2"/>
            <w:tcBorders>
              <w:bottom w:val="single" w:sz="4" w:space="0" w:color="auto"/>
            </w:tcBorders>
            <w:shd w:val="clear" w:color="auto" w:fill="auto"/>
          </w:tcPr>
          <w:p w:rsidR="00157086" w:rsidRPr="00475360" w:rsidRDefault="00B558FE" w:rsidP="00E233B6">
            <w:pPr>
              <w:spacing w:before="0" w:line="240" w:lineRule="auto"/>
              <w:jc w:val="center"/>
              <w:rPr>
                <w:b/>
              </w:rPr>
            </w:pPr>
            <w:r>
              <w:rPr>
                <w:b/>
              </w:rPr>
              <w:t>New (common) v</w:t>
            </w:r>
            <w:r w:rsidR="00157086" w:rsidRPr="00475360">
              <w:rPr>
                <w:b/>
              </w:rPr>
              <w:t>ariable= hhsize (categorical)</w:t>
            </w:r>
          </w:p>
          <w:p w:rsidR="00157086" w:rsidRPr="00DA10FB" w:rsidRDefault="00157086" w:rsidP="00E233B6">
            <w:pPr>
              <w:spacing w:before="0" w:line="240" w:lineRule="auto"/>
              <w:jc w:val="center"/>
            </w:pPr>
            <w:r>
              <w:t xml:space="preserve">Value = </w:t>
            </w:r>
            <w:r w:rsidRPr="00DA10FB">
              <w:t>1</w:t>
            </w:r>
            <w:r>
              <w:t xml:space="preserve"> Label </w:t>
            </w:r>
            <w:r w:rsidRPr="00DA10FB">
              <w:t>=</w:t>
            </w:r>
            <w:r>
              <w:t xml:space="preserve"> </w:t>
            </w:r>
            <w:r w:rsidRPr="00DA10FB">
              <w:t>0-1</w:t>
            </w:r>
            <w:r>
              <w:t xml:space="preserve"> </w:t>
            </w:r>
            <w:r w:rsidRPr="00DA10FB">
              <w:t>=</w:t>
            </w:r>
            <w:r>
              <w:t xml:space="preserve"> </w:t>
            </w:r>
            <w:r w:rsidRPr="00DA10FB">
              <w:t>{C1+S=(0,1)}</w:t>
            </w:r>
          </w:p>
          <w:p w:rsidR="00157086" w:rsidRPr="00DA10FB" w:rsidRDefault="00157086" w:rsidP="00E233B6">
            <w:pPr>
              <w:spacing w:before="0" w:line="240" w:lineRule="auto"/>
              <w:jc w:val="center"/>
            </w:pPr>
            <w:r>
              <w:t xml:space="preserve">Value = </w:t>
            </w:r>
            <w:r w:rsidRPr="00DA10FB">
              <w:t>2</w:t>
            </w:r>
            <w:r>
              <w:t xml:space="preserve"> Label </w:t>
            </w:r>
            <w:r w:rsidRPr="00DA10FB">
              <w:t>=</w:t>
            </w:r>
            <w:r>
              <w:t xml:space="preserve"> </w:t>
            </w:r>
            <w:r w:rsidRPr="00DA10FB">
              <w:t>2-4</w:t>
            </w:r>
            <w:r>
              <w:t xml:space="preserve"> </w:t>
            </w:r>
            <w:r w:rsidRPr="00DA10FB">
              <w:t>=</w:t>
            </w:r>
            <w:r>
              <w:t xml:space="preserve"> </w:t>
            </w:r>
            <w:r w:rsidRPr="00DA10FB">
              <w:t>{C2+S=(2,3,4)}</w:t>
            </w:r>
          </w:p>
          <w:p w:rsidR="00157086" w:rsidRPr="00DA10FB" w:rsidRDefault="00157086" w:rsidP="00E233B6">
            <w:pPr>
              <w:spacing w:before="0" w:line="240" w:lineRule="auto"/>
              <w:jc w:val="center"/>
            </w:pPr>
            <w:r>
              <w:t xml:space="preserve">Value = </w:t>
            </w:r>
            <w:r w:rsidRPr="00DA10FB">
              <w:t>3</w:t>
            </w:r>
            <w:r>
              <w:t xml:space="preserve"> Label </w:t>
            </w:r>
            <w:r w:rsidRPr="00DA10FB">
              <w:t>=</w:t>
            </w:r>
            <w:r>
              <w:t xml:space="preserve"> </w:t>
            </w:r>
            <w:r w:rsidRPr="00DA10FB">
              <w:t>5+</w:t>
            </w:r>
            <w:r>
              <w:t xml:space="preserve"> </w:t>
            </w:r>
            <w:r w:rsidRPr="00DA10FB">
              <w:t>=</w:t>
            </w:r>
            <w:r>
              <w:t xml:space="preserve"> </w:t>
            </w:r>
            <w:r w:rsidRPr="00DA10FB">
              <w:t>{C3+S=(5,…,99)}</w:t>
            </w:r>
          </w:p>
        </w:tc>
      </w:tr>
      <w:tr w:rsidR="00157086" w:rsidRPr="00475360" w:rsidTr="00E233B6">
        <w:trPr>
          <w:trHeight w:val="397"/>
        </w:trPr>
        <w:tc>
          <w:tcPr>
            <w:tcW w:w="0" w:type="auto"/>
            <w:gridSpan w:val="2"/>
            <w:tcBorders>
              <w:top w:val="single" w:sz="4" w:space="0" w:color="auto"/>
            </w:tcBorders>
            <w:shd w:val="clear" w:color="auto" w:fill="D9D9D9" w:themeFill="background1" w:themeFillShade="D9"/>
            <w:vAlign w:val="center"/>
          </w:tcPr>
          <w:p w:rsidR="00157086" w:rsidRPr="00475360" w:rsidRDefault="00157086" w:rsidP="00E233B6">
            <w:pPr>
              <w:spacing w:before="0" w:line="240" w:lineRule="auto"/>
              <w:jc w:val="center"/>
              <w:rPr>
                <w:b/>
              </w:rPr>
            </w:pPr>
            <w:r>
              <w:rPr>
                <w:b/>
              </w:rPr>
              <w:t>(ii) Type of household</w:t>
            </w:r>
          </w:p>
        </w:tc>
      </w:tr>
      <w:tr w:rsidR="00157086" w:rsidTr="00E233B6">
        <w:trPr>
          <w:trHeight w:val="397"/>
        </w:trPr>
        <w:tc>
          <w:tcPr>
            <w:tcW w:w="4174" w:type="dxa"/>
            <w:shd w:val="clear" w:color="auto" w:fill="auto"/>
          </w:tcPr>
          <w:p w:rsidR="00157086" w:rsidRPr="00475360" w:rsidRDefault="00157086" w:rsidP="00E233B6">
            <w:pPr>
              <w:spacing w:before="0" w:line="240" w:lineRule="auto"/>
              <w:rPr>
                <w:b/>
              </w:rPr>
            </w:pPr>
            <w:r w:rsidRPr="00475360">
              <w:rPr>
                <w:b/>
              </w:rPr>
              <w:t>hhtype (HX060)</w:t>
            </w:r>
          </w:p>
          <w:p w:rsidR="00157086" w:rsidRDefault="00157086" w:rsidP="00E233B6">
            <w:pPr>
              <w:spacing w:before="0" w:line="240" w:lineRule="auto"/>
            </w:pPr>
            <w:r>
              <w:t>S5=1 person hh</w:t>
            </w:r>
          </w:p>
          <w:p w:rsidR="00157086" w:rsidRDefault="00157086" w:rsidP="00E233B6">
            <w:pPr>
              <w:spacing w:before="0" w:line="240" w:lineRule="auto"/>
            </w:pPr>
            <w:r>
              <w:t>S6=2 adults &lt;65 – no children</w:t>
            </w:r>
          </w:p>
          <w:p w:rsidR="00157086" w:rsidRDefault="00157086" w:rsidP="00E233B6">
            <w:pPr>
              <w:spacing w:before="0" w:line="240" w:lineRule="auto"/>
            </w:pPr>
            <w:r>
              <w:t xml:space="preserve">S7= 2 adults, at least one &lt;65 – no children </w:t>
            </w:r>
          </w:p>
          <w:p w:rsidR="00157086" w:rsidRDefault="00157086" w:rsidP="00E233B6">
            <w:pPr>
              <w:spacing w:before="0" w:line="240" w:lineRule="auto"/>
            </w:pPr>
            <w:r>
              <w:t>S8= other hh, no children</w:t>
            </w:r>
          </w:p>
          <w:p w:rsidR="00157086" w:rsidRDefault="00157086" w:rsidP="00E233B6">
            <w:pPr>
              <w:spacing w:before="0" w:line="240" w:lineRule="auto"/>
            </w:pPr>
            <w:r>
              <w:t>S9= single parent</w:t>
            </w:r>
          </w:p>
          <w:p w:rsidR="00157086" w:rsidRDefault="00157086" w:rsidP="00E233B6">
            <w:pPr>
              <w:spacing w:before="0" w:line="240" w:lineRule="auto"/>
            </w:pPr>
            <w:r>
              <w:t>S10= 2 adults – 1 children</w:t>
            </w:r>
          </w:p>
          <w:p w:rsidR="00157086" w:rsidRDefault="00157086" w:rsidP="00E233B6">
            <w:pPr>
              <w:spacing w:before="0" w:line="240" w:lineRule="auto"/>
            </w:pPr>
            <w:r>
              <w:t>S11=2 adults – 2 children</w:t>
            </w:r>
          </w:p>
          <w:p w:rsidR="00157086" w:rsidRDefault="00157086" w:rsidP="00E233B6">
            <w:pPr>
              <w:spacing w:before="0" w:line="240" w:lineRule="auto"/>
            </w:pPr>
            <w:r>
              <w:t>S12= 2 adults – 3+ children</w:t>
            </w:r>
          </w:p>
          <w:p w:rsidR="00157086" w:rsidRDefault="00157086" w:rsidP="00E233B6">
            <w:pPr>
              <w:spacing w:before="0" w:line="240" w:lineRule="auto"/>
            </w:pPr>
            <w:r>
              <w:t>S13=other hh with dependent children</w:t>
            </w:r>
          </w:p>
          <w:p w:rsidR="00157086" w:rsidRDefault="00157086" w:rsidP="00E233B6">
            <w:pPr>
              <w:spacing w:before="0" w:line="240" w:lineRule="auto"/>
            </w:pPr>
            <w:r>
              <w:t>S16= o</w:t>
            </w:r>
            <w:r w:rsidRPr="00335479">
              <w:t>ther ( these household</w:t>
            </w:r>
            <w:r>
              <w:t>s</w:t>
            </w:r>
            <w:r w:rsidRPr="00335479">
              <w:t xml:space="preserve"> are excluded from Laeken indicators calculation)</w:t>
            </w:r>
          </w:p>
        </w:tc>
        <w:tc>
          <w:tcPr>
            <w:tcW w:w="4355" w:type="dxa"/>
            <w:shd w:val="clear" w:color="auto" w:fill="auto"/>
          </w:tcPr>
          <w:p w:rsidR="00157086" w:rsidRPr="00475360" w:rsidRDefault="00157086" w:rsidP="00E233B6">
            <w:pPr>
              <w:spacing w:before="0" w:line="240" w:lineRule="auto"/>
              <w:rPr>
                <w:b/>
              </w:rPr>
            </w:pPr>
            <w:r w:rsidRPr="00475360">
              <w:rPr>
                <w:b/>
              </w:rPr>
              <w:t>famtypa</w:t>
            </w:r>
          </w:p>
          <w:p w:rsidR="00157086" w:rsidRDefault="00157086" w:rsidP="00E233B6">
            <w:pPr>
              <w:spacing w:before="0" w:line="240" w:lineRule="auto"/>
            </w:pPr>
            <w:r>
              <w:t>C1=lone parent</w:t>
            </w:r>
          </w:p>
          <w:p w:rsidR="00157086" w:rsidRDefault="00157086" w:rsidP="00E233B6">
            <w:pPr>
              <w:spacing w:before="0" w:line="240" w:lineRule="auto"/>
            </w:pPr>
            <w:r>
              <w:t>C2=married/cohabiting – no children</w:t>
            </w:r>
          </w:p>
          <w:p w:rsidR="00157086" w:rsidRDefault="00157086" w:rsidP="00E233B6">
            <w:pPr>
              <w:spacing w:before="0" w:line="240" w:lineRule="auto"/>
            </w:pPr>
            <w:r>
              <w:t>C3= married/cohabiting – children</w:t>
            </w:r>
          </w:p>
          <w:p w:rsidR="00157086" w:rsidRDefault="00157086" w:rsidP="00E233B6">
            <w:pPr>
              <w:spacing w:before="0" w:line="240" w:lineRule="auto"/>
            </w:pPr>
            <w:r>
              <w:t>C4= ungrouped individual (not in a family)</w:t>
            </w:r>
          </w:p>
          <w:p w:rsidR="00157086" w:rsidRDefault="00157086" w:rsidP="00E233B6">
            <w:pPr>
              <w:spacing w:before="0" w:line="240" w:lineRule="auto"/>
            </w:pPr>
          </w:p>
          <w:p w:rsidR="00157086" w:rsidRDefault="00157086" w:rsidP="00E233B6">
            <w:pPr>
              <w:spacing w:before="0" w:line="240" w:lineRule="auto"/>
            </w:pPr>
          </w:p>
        </w:tc>
      </w:tr>
      <w:tr w:rsidR="00157086" w:rsidTr="00E233B6">
        <w:trPr>
          <w:trHeight w:val="397"/>
        </w:trPr>
        <w:tc>
          <w:tcPr>
            <w:tcW w:w="0" w:type="auto"/>
            <w:gridSpan w:val="2"/>
            <w:tcBorders>
              <w:bottom w:val="single" w:sz="4" w:space="0" w:color="auto"/>
            </w:tcBorders>
            <w:shd w:val="clear" w:color="auto" w:fill="auto"/>
          </w:tcPr>
          <w:p w:rsidR="00157086" w:rsidRPr="00475360" w:rsidRDefault="00B558FE" w:rsidP="00E233B6">
            <w:pPr>
              <w:spacing w:before="0" w:line="240" w:lineRule="auto"/>
              <w:jc w:val="center"/>
              <w:rPr>
                <w:b/>
              </w:rPr>
            </w:pPr>
            <w:r>
              <w:rPr>
                <w:b/>
              </w:rPr>
              <w:t>New (common) v</w:t>
            </w:r>
            <w:r w:rsidRPr="00475360">
              <w:rPr>
                <w:b/>
              </w:rPr>
              <w:t>ariable</w:t>
            </w:r>
            <w:r w:rsidR="00157086" w:rsidRPr="00475360">
              <w:rPr>
                <w:b/>
              </w:rPr>
              <w:t xml:space="preserve"> = famtype (categorical)</w:t>
            </w:r>
          </w:p>
          <w:p w:rsidR="00157086" w:rsidRDefault="00157086" w:rsidP="00E233B6">
            <w:pPr>
              <w:spacing w:before="0" w:line="240" w:lineRule="auto"/>
              <w:jc w:val="center"/>
            </w:pPr>
            <w:r>
              <w:t>Value = 1 Label = single parent = {C1+S9}</w:t>
            </w:r>
          </w:p>
          <w:p w:rsidR="00157086" w:rsidRDefault="00157086" w:rsidP="00E233B6">
            <w:pPr>
              <w:spacing w:before="0" w:line="240" w:lineRule="auto"/>
              <w:jc w:val="center"/>
            </w:pPr>
            <w:r>
              <w:t>Value = 2 Label = married/cohabiting – no children = {C2+S6+S7+S8}</w:t>
            </w:r>
          </w:p>
          <w:p w:rsidR="00157086" w:rsidRDefault="00157086" w:rsidP="00E233B6">
            <w:pPr>
              <w:spacing w:before="0" w:line="240" w:lineRule="auto"/>
              <w:jc w:val="center"/>
            </w:pPr>
            <w:r>
              <w:t>Value = 3 Label = married/cohabiting – children = {C3+S10+S11+S12+S13}</w:t>
            </w:r>
          </w:p>
          <w:p w:rsidR="00157086" w:rsidRDefault="00157086" w:rsidP="00E233B6">
            <w:pPr>
              <w:spacing w:before="0" w:line="240" w:lineRule="auto"/>
              <w:jc w:val="center"/>
            </w:pPr>
            <w:r>
              <w:t>Value = 4 Label = other hh = {C4+S5+S16}</w:t>
            </w:r>
          </w:p>
        </w:tc>
      </w:tr>
      <w:tr w:rsidR="00157086" w:rsidRPr="00475360" w:rsidTr="00E233B6">
        <w:trPr>
          <w:trHeight w:val="397"/>
        </w:trPr>
        <w:tc>
          <w:tcPr>
            <w:tcW w:w="0" w:type="auto"/>
            <w:gridSpan w:val="2"/>
            <w:tcBorders>
              <w:top w:val="single" w:sz="4" w:space="0" w:color="auto"/>
            </w:tcBorders>
            <w:shd w:val="clear" w:color="auto" w:fill="D9D9D9" w:themeFill="background1" w:themeFillShade="D9"/>
            <w:vAlign w:val="center"/>
          </w:tcPr>
          <w:p w:rsidR="00157086" w:rsidRPr="00475360" w:rsidRDefault="00157086" w:rsidP="00E233B6">
            <w:pPr>
              <w:spacing w:before="0" w:line="240" w:lineRule="auto"/>
              <w:jc w:val="center"/>
              <w:rPr>
                <w:b/>
              </w:rPr>
            </w:pPr>
            <w:r>
              <w:rPr>
                <w:b/>
              </w:rPr>
              <w:t xml:space="preserve">(iii) </w:t>
            </w:r>
            <w:r w:rsidRPr="00475360">
              <w:rPr>
                <w:b/>
              </w:rPr>
              <w:t>Economic activity</w:t>
            </w:r>
          </w:p>
        </w:tc>
      </w:tr>
      <w:tr w:rsidR="00157086" w:rsidRPr="00DA10FB" w:rsidTr="00E233B6">
        <w:trPr>
          <w:trHeight w:val="397"/>
        </w:trPr>
        <w:tc>
          <w:tcPr>
            <w:tcW w:w="4174" w:type="dxa"/>
            <w:shd w:val="clear" w:color="auto" w:fill="auto"/>
          </w:tcPr>
          <w:p w:rsidR="00157086" w:rsidRPr="00475360" w:rsidRDefault="00157086" w:rsidP="00E233B6">
            <w:pPr>
              <w:spacing w:before="0" w:line="240" w:lineRule="auto"/>
              <w:rPr>
                <w:b/>
              </w:rPr>
            </w:pPr>
            <w:r w:rsidRPr="00475360">
              <w:rPr>
                <w:b/>
              </w:rPr>
              <w:t>ea3(RB210)</w:t>
            </w:r>
          </w:p>
          <w:p w:rsidR="00157086" w:rsidRPr="00DA10FB" w:rsidRDefault="00157086" w:rsidP="00E233B6">
            <w:pPr>
              <w:spacing w:before="0" w:line="240" w:lineRule="auto"/>
            </w:pPr>
            <w:r w:rsidRPr="00DA10FB">
              <w:t>S1=at work</w:t>
            </w:r>
          </w:p>
          <w:p w:rsidR="00157086" w:rsidRPr="00DA10FB" w:rsidRDefault="00157086" w:rsidP="00E233B6">
            <w:pPr>
              <w:spacing w:before="0" w:line="240" w:lineRule="auto"/>
            </w:pPr>
            <w:r w:rsidRPr="00DA10FB">
              <w:t>S2=unemployed</w:t>
            </w:r>
          </w:p>
          <w:p w:rsidR="00157086" w:rsidRPr="00DA10FB" w:rsidRDefault="00157086" w:rsidP="00E233B6">
            <w:pPr>
              <w:spacing w:before="0" w:line="240" w:lineRule="auto"/>
            </w:pPr>
            <w:r w:rsidRPr="00DA10FB">
              <w:t>S3=retirement</w:t>
            </w:r>
          </w:p>
          <w:p w:rsidR="00157086" w:rsidRPr="00DA10FB" w:rsidRDefault="00157086" w:rsidP="00E233B6">
            <w:pPr>
              <w:spacing w:before="0" w:line="240" w:lineRule="auto"/>
            </w:pPr>
            <w:r w:rsidRPr="00DA10FB">
              <w:t>S4=other inactive</w:t>
            </w:r>
          </w:p>
        </w:tc>
        <w:tc>
          <w:tcPr>
            <w:tcW w:w="4355" w:type="dxa"/>
            <w:shd w:val="clear" w:color="auto" w:fill="auto"/>
          </w:tcPr>
          <w:p w:rsidR="00157086" w:rsidRPr="00475360" w:rsidRDefault="00157086" w:rsidP="00E233B6">
            <w:pPr>
              <w:spacing w:before="0" w:line="240" w:lineRule="auto"/>
              <w:rPr>
                <w:b/>
              </w:rPr>
            </w:pPr>
            <w:r w:rsidRPr="00475360">
              <w:rPr>
                <w:b/>
              </w:rPr>
              <w:t>econach</w:t>
            </w:r>
          </w:p>
          <w:p w:rsidR="00157086" w:rsidRPr="00DA10FB" w:rsidRDefault="00157086" w:rsidP="00E233B6">
            <w:pPr>
              <w:spacing w:before="0" w:line="240" w:lineRule="auto"/>
            </w:pPr>
            <w:r w:rsidRPr="00DA10FB">
              <w:t>C1=in employment</w:t>
            </w:r>
          </w:p>
          <w:p w:rsidR="00157086" w:rsidRPr="00DA10FB" w:rsidRDefault="00157086" w:rsidP="00E233B6">
            <w:pPr>
              <w:spacing w:before="0" w:line="240" w:lineRule="auto"/>
            </w:pPr>
            <w:r w:rsidRPr="00DA10FB">
              <w:t>C2=unemployment</w:t>
            </w:r>
          </w:p>
          <w:p w:rsidR="00157086" w:rsidRPr="00DA10FB" w:rsidRDefault="00157086" w:rsidP="00E233B6">
            <w:pPr>
              <w:spacing w:before="0" w:line="240" w:lineRule="auto"/>
            </w:pPr>
            <w:r w:rsidRPr="00DA10FB">
              <w:t>C3=student not economically active</w:t>
            </w:r>
          </w:p>
          <w:p w:rsidR="00157086" w:rsidRPr="00DA10FB" w:rsidRDefault="00157086" w:rsidP="00E233B6">
            <w:pPr>
              <w:spacing w:before="0" w:line="240" w:lineRule="auto"/>
            </w:pPr>
            <w:r w:rsidRPr="00DA10FB">
              <w:t>C4=other economically inactive</w:t>
            </w:r>
          </w:p>
        </w:tc>
      </w:tr>
      <w:tr w:rsidR="00157086" w:rsidRPr="00DA10FB" w:rsidTr="00E233B6">
        <w:trPr>
          <w:trHeight w:val="397"/>
        </w:trPr>
        <w:tc>
          <w:tcPr>
            <w:tcW w:w="0" w:type="auto"/>
            <w:gridSpan w:val="2"/>
            <w:tcBorders>
              <w:bottom w:val="single" w:sz="4" w:space="0" w:color="auto"/>
            </w:tcBorders>
            <w:shd w:val="clear" w:color="auto" w:fill="auto"/>
          </w:tcPr>
          <w:p w:rsidR="00157086" w:rsidRPr="00475360" w:rsidRDefault="00B558FE" w:rsidP="00E233B6">
            <w:pPr>
              <w:spacing w:before="0" w:line="240" w:lineRule="auto"/>
              <w:jc w:val="center"/>
              <w:rPr>
                <w:b/>
              </w:rPr>
            </w:pPr>
            <w:r>
              <w:rPr>
                <w:b/>
              </w:rPr>
              <w:t>New (common) v</w:t>
            </w:r>
            <w:r w:rsidRPr="00475360">
              <w:rPr>
                <w:b/>
              </w:rPr>
              <w:t xml:space="preserve">ariable </w:t>
            </w:r>
            <w:r w:rsidR="00157086" w:rsidRPr="00475360">
              <w:rPr>
                <w:b/>
              </w:rPr>
              <w:t>= econach (categorical)</w:t>
            </w:r>
          </w:p>
          <w:p w:rsidR="00157086" w:rsidRPr="00DA10FB" w:rsidRDefault="00157086" w:rsidP="00E233B6">
            <w:pPr>
              <w:spacing w:before="0" w:line="240" w:lineRule="auto"/>
              <w:jc w:val="center"/>
            </w:pPr>
            <w:r>
              <w:t xml:space="preserve">Value = </w:t>
            </w:r>
            <w:r w:rsidRPr="00DA10FB">
              <w:t>1</w:t>
            </w:r>
            <w:r>
              <w:t xml:space="preserve"> Label </w:t>
            </w:r>
            <w:r w:rsidRPr="00DA10FB">
              <w:t>=</w:t>
            </w:r>
            <w:r>
              <w:t xml:space="preserve"> </w:t>
            </w:r>
            <w:r w:rsidRPr="00DA10FB">
              <w:t>working</w:t>
            </w:r>
            <w:r>
              <w:t xml:space="preserve"> </w:t>
            </w:r>
            <w:r w:rsidRPr="00DA10FB">
              <w:t>=</w:t>
            </w:r>
            <w:r>
              <w:t xml:space="preserve"> </w:t>
            </w:r>
            <w:r w:rsidRPr="00DA10FB">
              <w:t>{S1+C1}</w:t>
            </w:r>
          </w:p>
          <w:p w:rsidR="00157086" w:rsidRPr="00DA10FB" w:rsidRDefault="00157086" w:rsidP="00E233B6">
            <w:pPr>
              <w:spacing w:before="0" w:line="240" w:lineRule="auto"/>
              <w:jc w:val="center"/>
            </w:pPr>
            <w:r>
              <w:t xml:space="preserve">Value = </w:t>
            </w:r>
            <w:r w:rsidRPr="00DA10FB">
              <w:t>2</w:t>
            </w:r>
            <w:r>
              <w:t xml:space="preserve"> Label </w:t>
            </w:r>
            <w:r w:rsidRPr="00DA10FB">
              <w:t>=</w:t>
            </w:r>
            <w:r>
              <w:t xml:space="preserve"> </w:t>
            </w:r>
            <w:r w:rsidRPr="00DA10FB">
              <w:t>unemployed</w:t>
            </w:r>
            <w:r>
              <w:t xml:space="preserve"> </w:t>
            </w:r>
            <w:r w:rsidRPr="00DA10FB">
              <w:t>=</w:t>
            </w:r>
            <w:r>
              <w:t xml:space="preserve"> </w:t>
            </w:r>
            <w:r w:rsidRPr="00DA10FB">
              <w:t>{S2+C2}</w:t>
            </w:r>
          </w:p>
          <w:p w:rsidR="00157086" w:rsidRPr="00DA10FB" w:rsidRDefault="00157086" w:rsidP="00E233B6">
            <w:pPr>
              <w:spacing w:before="0" w:line="240" w:lineRule="auto"/>
              <w:jc w:val="center"/>
            </w:pPr>
            <w:r>
              <w:t xml:space="preserve">Value = </w:t>
            </w:r>
            <w:r w:rsidRPr="00DA10FB">
              <w:t>3</w:t>
            </w:r>
            <w:r>
              <w:t xml:space="preserve"> Label </w:t>
            </w:r>
            <w:r w:rsidRPr="00DA10FB">
              <w:t>=</w:t>
            </w:r>
            <w:r>
              <w:t xml:space="preserve"> </w:t>
            </w:r>
            <w:r w:rsidRPr="00DA10FB">
              <w:t>inactive</w:t>
            </w:r>
            <w:r>
              <w:t xml:space="preserve"> </w:t>
            </w:r>
            <w:r w:rsidRPr="00DA10FB">
              <w:t>=</w:t>
            </w:r>
            <w:r>
              <w:t xml:space="preserve"> </w:t>
            </w:r>
            <w:r w:rsidRPr="00DA10FB">
              <w:t>{S3+S4+C3+C4}</w:t>
            </w:r>
          </w:p>
        </w:tc>
      </w:tr>
      <w:tr w:rsidR="00157086" w:rsidRPr="00DA10FB" w:rsidTr="00E233B6">
        <w:trPr>
          <w:trHeight w:val="397"/>
        </w:trPr>
        <w:tc>
          <w:tcPr>
            <w:tcW w:w="0" w:type="auto"/>
            <w:gridSpan w:val="2"/>
            <w:tcBorders>
              <w:top w:val="single" w:sz="4" w:space="0" w:color="auto"/>
            </w:tcBorders>
            <w:shd w:val="clear" w:color="auto" w:fill="D9D9D9" w:themeFill="background1" w:themeFillShade="D9"/>
            <w:vAlign w:val="center"/>
          </w:tcPr>
          <w:p w:rsidR="00157086" w:rsidRPr="00475360" w:rsidRDefault="00157086" w:rsidP="00E233B6">
            <w:pPr>
              <w:spacing w:before="0" w:line="240" w:lineRule="auto"/>
              <w:jc w:val="center"/>
              <w:rPr>
                <w:b/>
              </w:rPr>
            </w:pPr>
            <w:r>
              <w:rPr>
                <w:b/>
              </w:rPr>
              <w:t>(iv) Type of accommodation</w:t>
            </w:r>
          </w:p>
        </w:tc>
      </w:tr>
      <w:tr w:rsidR="00157086" w:rsidRPr="00DA10FB" w:rsidTr="00E233B6">
        <w:trPr>
          <w:trHeight w:val="397"/>
        </w:trPr>
        <w:tc>
          <w:tcPr>
            <w:tcW w:w="4174" w:type="dxa"/>
            <w:tcBorders>
              <w:bottom w:val="single" w:sz="4" w:space="0" w:color="auto"/>
            </w:tcBorders>
            <w:shd w:val="clear" w:color="auto" w:fill="auto"/>
          </w:tcPr>
          <w:p w:rsidR="00157086" w:rsidRPr="00475360" w:rsidRDefault="00157086" w:rsidP="00E233B6">
            <w:pPr>
              <w:spacing w:before="0" w:line="240" w:lineRule="auto"/>
              <w:rPr>
                <w:b/>
              </w:rPr>
            </w:pPr>
            <w:r w:rsidRPr="00475360">
              <w:rPr>
                <w:b/>
              </w:rPr>
              <w:t>dwelling type (HH010)</w:t>
            </w:r>
          </w:p>
          <w:p w:rsidR="00157086" w:rsidRDefault="00157086" w:rsidP="00E233B6">
            <w:pPr>
              <w:spacing w:before="0" w:line="240" w:lineRule="auto"/>
            </w:pPr>
            <w:r>
              <w:t>S1=detached house</w:t>
            </w:r>
          </w:p>
          <w:p w:rsidR="00157086" w:rsidRDefault="00157086" w:rsidP="00E233B6">
            <w:pPr>
              <w:spacing w:before="0" w:line="240" w:lineRule="auto"/>
            </w:pPr>
            <w:r>
              <w:t>S2=semi-detached or terraced house</w:t>
            </w:r>
          </w:p>
          <w:p w:rsidR="00157086" w:rsidRDefault="00157086" w:rsidP="00E233B6">
            <w:pPr>
              <w:spacing w:before="0" w:line="240" w:lineRule="auto"/>
            </w:pPr>
            <w:r>
              <w:t>S3= flat in building with &lt;10 dwellings</w:t>
            </w:r>
          </w:p>
          <w:p w:rsidR="00157086" w:rsidRPr="00DA10FB" w:rsidRDefault="00157086" w:rsidP="00E233B6">
            <w:pPr>
              <w:spacing w:before="0" w:line="240" w:lineRule="auto"/>
            </w:pPr>
            <w:r>
              <w:t>S4 =flat in building with 10+ dwelling</w:t>
            </w:r>
          </w:p>
        </w:tc>
        <w:tc>
          <w:tcPr>
            <w:tcW w:w="4355" w:type="dxa"/>
            <w:tcBorders>
              <w:bottom w:val="single" w:sz="4" w:space="0" w:color="auto"/>
            </w:tcBorders>
            <w:shd w:val="clear" w:color="auto" w:fill="auto"/>
          </w:tcPr>
          <w:p w:rsidR="00157086" w:rsidRPr="00475360" w:rsidRDefault="00157086" w:rsidP="00E233B6">
            <w:pPr>
              <w:spacing w:before="0" w:line="240" w:lineRule="auto"/>
              <w:rPr>
                <w:b/>
              </w:rPr>
            </w:pPr>
            <w:r w:rsidRPr="00475360">
              <w:rPr>
                <w:b/>
              </w:rPr>
              <w:t>acctypa</w:t>
            </w:r>
          </w:p>
          <w:p w:rsidR="00157086" w:rsidRDefault="00157086" w:rsidP="00E233B6">
            <w:pPr>
              <w:spacing w:before="0" w:line="240" w:lineRule="auto"/>
            </w:pPr>
            <w:r>
              <w:t>C1 =detached or semi-detached house</w:t>
            </w:r>
          </w:p>
          <w:p w:rsidR="00157086" w:rsidRDefault="00157086" w:rsidP="00E233B6">
            <w:pPr>
              <w:spacing w:before="0" w:line="240" w:lineRule="auto"/>
            </w:pPr>
            <w:r>
              <w:t>C2 =terraced house</w:t>
            </w:r>
          </w:p>
          <w:p w:rsidR="00157086" w:rsidRPr="00DA10FB" w:rsidRDefault="00157086" w:rsidP="00E233B6">
            <w:pPr>
              <w:spacing w:before="0" w:line="240" w:lineRule="auto"/>
            </w:pPr>
            <w:r>
              <w:t>C3 =flats</w:t>
            </w:r>
          </w:p>
        </w:tc>
      </w:tr>
      <w:tr w:rsidR="00157086" w:rsidRPr="00DA10FB" w:rsidTr="00E233B6">
        <w:trPr>
          <w:trHeight w:val="397"/>
        </w:trPr>
        <w:tc>
          <w:tcPr>
            <w:tcW w:w="0" w:type="auto"/>
            <w:gridSpan w:val="2"/>
            <w:tcBorders>
              <w:bottom w:val="single" w:sz="4" w:space="0" w:color="auto"/>
            </w:tcBorders>
            <w:shd w:val="clear" w:color="auto" w:fill="auto"/>
          </w:tcPr>
          <w:p w:rsidR="00157086" w:rsidRPr="00475360" w:rsidRDefault="00B558FE" w:rsidP="00E233B6">
            <w:pPr>
              <w:spacing w:before="0" w:line="240" w:lineRule="auto"/>
              <w:jc w:val="center"/>
              <w:rPr>
                <w:b/>
              </w:rPr>
            </w:pPr>
            <w:r>
              <w:rPr>
                <w:b/>
              </w:rPr>
              <w:t>New (common) v</w:t>
            </w:r>
            <w:r w:rsidRPr="00475360">
              <w:rPr>
                <w:b/>
              </w:rPr>
              <w:t>ariable</w:t>
            </w:r>
            <w:r w:rsidR="00157086" w:rsidRPr="00475360">
              <w:rPr>
                <w:b/>
              </w:rPr>
              <w:t xml:space="preserve"> = acctypa (categorical)</w:t>
            </w:r>
          </w:p>
          <w:p w:rsidR="00157086" w:rsidRDefault="00157086" w:rsidP="00E233B6">
            <w:pPr>
              <w:spacing w:before="0" w:line="240" w:lineRule="auto"/>
              <w:jc w:val="center"/>
            </w:pPr>
            <w:r>
              <w:t>Value = 1 Label = detached, semi-detached or terraced house = {S1+S2+C1+C2}</w:t>
            </w:r>
          </w:p>
          <w:p w:rsidR="00157086" w:rsidRPr="00DA10FB" w:rsidRDefault="00157086" w:rsidP="00E233B6">
            <w:pPr>
              <w:spacing w:before="0" w:line="240" w:lineRule="auto"/>
              <w:jc w:val="center"/>
            </w:pPr>
            <w:r>
              <w:t>Value = 2 Label = flat = {S3+S4+C3}</w:t>
            </w:r>
          </w:p>
        </w:tc>
      </w:tr>
    </w:tbl>
    <w:p w:rsidR="000D4C04" w:rsidRDefault="000D4C04" w:rsidP="00A16958">
      <w:pPr>
        <w:pStyle w:val="Luettelokappale"/>
        <w:numPr>
          <w:ilvl w:val="0"/>
          <w:numId w:val="4"/>
        </w:numPr>
        <w:ind w:left="360"/>
      </w:pPr>
      <w:r w:rsidRPr="009821C8">
        <w:rPr>
          <w:b/>
        </w:rPr>
        <w:lastRenderedPageBreak/>
        <w:t>Evaluate whether the relative distribution of the variables identified in step 3 is similar between the EU-SILC and the national census, and where possible match the survey and census variables</w:t>
      </w:r>
      <w:r>
        <w:t xml:space="preserve">. </w:t>
      </w:r>
    </w:p>
    <w:p w:rsidR="0048187E" w:rsidRDefault="0048187E" w:rsidP="0048187E">
      <w:r>
        <w:t xml:space="preserve">After identifying </w:t>
      </w:r>
      <w:r w:rsidR="00CE1941">
        <w:t>the list of potential candidate variables,</w:t>
      </w:r>
      <w:r>
        <w:t xml:space="preserve"> </w:t>
      </w:r>
      <w:r w:rsidR="00CE1941">
        <w:t xml:space="preserve">and where necessary recoded the variables to create a comparable classification between survey and national census, we evaluated whether the relative distribution of the candidate variables is similar between the two data sources (i.e. EU-SILC and national census). </w:t>
      </w:r>
      <w:r w:rsidR="007A25E5">
        <w:t>Only the variables with</w:t>
      </w:r>
      <w:r>
        <w:t xml:space="preserve"> similar enough </w:t>
      </w:r>
      <w:r w:rsidR="00CE1941">
        <w:t xml:space="preserve">relative </w:t>
      </w:r>
      <w:r>
        <w:t>distribution</w:t>
      </w:r>
      <w:r w:rsidR="00CE1941">
        <w:t>s</w:t>
      </w:r>
      <w:r>
        <w:t xml:space="preserve"> </w:t>
      </w:r>
      <w:r w:rsidR="00CE1941">
        <w:t>are selected</w:t>
      </w:r>
      <w:r>
        <w:t xml:space="preserve"> for the subsequent analysis.</w:t>
      </w:r>
      <w:r w:rsidR="00FF2665">
        <w:t xml:space="preserve"> This is </w:t>
      </w:r>
      <w:r w:rsidR="006738B4">
        <w:t xml:space="preserve">the first </w:t>
      </w:r>
      <w:r w:rsidR="007B2D3C">
        <w:t xml:space="preserve">part </w:t>
      </w:r>
      <w:r w:rsidR="006738B4">
        <w:t xml:space="preserve">of the analysis </w:t>
      </w:r>
      <w:r w:rsidR="00FF2665">
        <w:t>to be carried out in the PovMap software</w:t>
      </w:r>
      <w:r w:rsidR="003C753A">
        <w:t xml:space="preserve"> (under the menu “Checker”)</w:t>
      </w:r>
      <w:r w:rsidR="00FF2665">
        <w:t>.</w:t>
      </w:r>
    </w:p>
    <w:p w:rsidR="0048187E" w:rsidRDefault="0048187E" w:rsidP="0048187E">
      <w:r>
        <w:t xml:space="preserve">The list of variables included in the income models </w:t>
      </w:r>
      <w:r w:rsidR="00CE1941">
        <w:t>developed across the EU member states w</w:t>
      </w:r>
      <w:r w:rsidR="007B2D3C">
        <w:t>here we</w:t>
      </w:r>
      <w:r w:rsidR="00CE1941">
        <w:t xml:space="preserve"> were able to implement PovMap </w:t>
      </w:r>
      <w:r>
        <w:t>are summarised below</w:t>
      </w:r>
      <w:r w:rsidR="007B2D3C">
        <w:t xml:space="preserve">, although the </w:t>
      </w:r>
      <w:r>
        <w:t>exact combination of variables differ</w:t>
      </w:r>
      <w:r w:rsidR="007B2D3C">
        <w:t>s</w:t>
      </w:r>
      <w:r>
        <w:t xml:space="preserve"> across </w:t>
      </w:r>
      <w:r w:rsidR="007A25E5">
        <w:t>country</w:t>
      </w:r>
      <w:r>
        <w:t xml:space="preserve"> </w:t>
      </w:r>
      <w:r w:rsidR="00CE1941">
        <w:t xml:space="preserve">due to </w:t>
      </w:r>
      <w:r w:rsidR="003F1E76">
        <w:t>data</w:t>
      </w:r>
      <w:r w:rsidR="008142D3">
        <w:t xml:space="preserve"> constraints in the </w:t>
      </w:r>
      <w:r w:rsidR="003F1E76">
        <w:t xml:space="preserve">different </w:t>
      </w:r>
      <w:r w:rsidR="008142D3">
        <w:t xml:space="preserve">national </w:t>
      </w:r>
      <w:r>
        <w:t>census.</w:t>
      </w:r>
    </w:p>
    <w:p w:rsidR="0048187E" w:rsidRDefault="008142D3" w:rsidP="00A16958">
      <w:pPr>
        <w:pStyle w:val="Luettelokappale"/>
        <w:numPr>
          <w:ilvl w:val="0"/>
          <w:numId w:val="5"/>
        </w:numPr>
        <w:jc w:val="left"/>
      </w:pPr>
      <w:r>
        <w:t>Personal and h</w:t>
      </w:r>
      <w:r w:rsidR="0048187E">
        <w:t xml:space="preserve">ousehold demographic characteristics (e.g. household size, family type, age group, </w:t>
      </w:r>
      <w:r>
        <w:t xml:space="preserve">gender, nationality, </w:t>
      </w:r>
      <w:r w:rsidR="0048187E">
        <w:t>marital status).</w:t>
      </w:r>
    </w:p>
    <w:p w:rsidR="0048187E" w:rsidRDefault="008142D3" w:rsidP="00A16958">
      <w:pPr>
        <w:pStyle w:val="Luettelokappale"/>
        <w:numPr>
          <w:ilvl w:val="0"/>
          <w:numId w:val="5"/>
        </w:numPr>
        <w:jc w:val="left"/>
      </w:pPr>
      <w:r>
        <w:t>Personal and h</w:t>
      </w:r>
      <w:r w:rsidR="0048187E">
        <w:t xml:space="preserve">ousehold socio-economic characteristics (e.g. </w:t>
      </w:r>
      <w:r w:rsidR="0048187E" w:rsidRPr="008142D3">
        <w:t>education, qualifications, employment status, o</w:t>
      </w:r>
      <w:r w:rsidR="0048187E">
        <w:t xml:space="preserve">ccupation, </w:t>
      </w:r>
      <w:r>
        <w:t xml:space="preserve">industry sector, </w:t>
      </w:r>
      <w:r w:rsidR="0048187E">
        <w:t>car ownership).</w:t>
      </w:r>
    </w:p>
    <w:p w:rsidR="0048187E" w:rsidRDefault="0048187E" w:rsidP="00A16958">
      <w:pPr>
        <w:pStyle w:val="Luettelokappale"/>
        <w:numPr>
          <w:ilvl w:val="0"/>
          <w:numId w:val="5"/>
        </w:numPr>
        <w:jc w:val="left"/>
      </w:pPr>
      <w:r>
        <w:t>Housing characteristics (e.g. type of property, property tenure, number of rooms, presence of shared/separate bathroom, presence of central heating).</w:t>
      </w:r>
    </w:p>
    <w:p w:rsidR="0048187E" w:rsidRDefault="0034507A" w:rsidP="00A16958">
      <w:pPr>
        <w:pStyle w:val="Luettelokappale"/>
        <w:numPr>
          <w:ilvl w:val="0"/>
          <w:numId w:val="5"/>
        </w:numPr>
        <w:jc w:val="left"/>
      </w:pPr>
      <w:r>
        <w:t>Individual and h</w:t>
      </w:r>
      <w:r w:rsidR="0048187E">
        <w:t>ousehold health conditions (e.g. long-standing illness limiting activities).</w:t>
      </w:r>
    </w:p>
    <w:p w:rsidR="003008EC" w:rsidRDefault="003008EC" w:rsidP="003008EC">
      <w:pPr>
        <w:jc w:val="left"/>
      </w:pPr>
    </w:p>
    <w:p w:rsidR="000D4C04" w:rsidRPr="00A713D8" w:rsidRDefault="00A713D8" w:rsidP="00A16958">
      <w:pPr>
        <w:pStyle w:val="Luettelokappale"/>
        <w:numPr>
          <w:ilvl w:val="0"/>
          <w:numId w:val="4"/>
        </w:numPr>
        <w:ind w:left="360"/>
        <w:rPr>
          <w:b/>
        </w:rPr>
      </w:pPr>
      <w:r w:rsidRPr="00A713D8">
        <w:rPr>
          <w:b/>
        </w:rPr>
        <w:t>Create</w:t>
      </w:r>
      <w:r w:rsidR="000D4C04" w:rsidRPr="00A713D8">
        <w:rPr>
          <w:b/>
        </w:rPr>
        <w:t xml:space="preserve"> </w:t>
      </w:r>
      <w:r w:rsidRPr="00A713D8">
        <w:rPr>
          <w:b/>
        </w:rPr>
        <w:t>hierarchical identifiers (</w:t>
      </w:r>
      <w:r w:rsidR="000D4C04" w:rsidRPr="00A713D8">
        <w:rPr>
          <w:b/>
        </w:rPr>
        <w:t>HID</w:t>
      </w:r>
      <w:r w:rsidRPr="00A713D8">
        <w:rPr>
          <w:b/>
        </w:rPr>
        <w:t xml:space="preserve">) in the </w:t>
      </w:r>
      <w:r>
        <w:rPr>
          <w:b/>
        </w:rPr>
        <w:t xml:space="preserve">EU-SILC </w:t>
      </w:r>
      <w:r w:rsidRPr="00A713D8">
        <w:rPr>
          <w:b/>
        </w:rPr>
        <w:t xml:space="preserve">survey and national census </w:t>
      </w:r>
    </w:p>
    <w:p w:rsidR="003F5E85" w:rsidRDefault="009821C8" w:rsidP="009821C8">
      <w:r>
        <w:t xml:space="preserve">In order to link information at the household level with information </w:t>
      </w:r>
      <w:r w:rsidR="003F5E85">
        <w:t>at more aggregate levels (e.g. NUTS 3</w:t>
      </w:r>
      <w:r>
        <w:t>) it is important to define unique identifier varia</w:t>
      </w:r>
      <w:r w:rsidR="003F5E85">
        <w:t xml:space="preserve">bles which contain the several consecutive levels of geographical aggregation, </w:t>
      </w:r>
      <w:r>
        <w:t xml:space="preserve">from </w:t>
      </w:r>
      <w:r w:rsidR="003F5E85">
        <w:t xml:space="preserve">the </w:t>
      </w:r>
      <w:r>
        <w:t xml:space="preserve">more aggregate to </w:t>
      </w:r>
      <w:r w:rsidR="003F5E85">
        <w:t xml:space="preserve">the </w:t>
      </w:r>
      <w:r>
        <w:t xml:space="preserve">less aggregate level. </w:t>
      </w:r>
      <w:r w:rsidR="003F5E85">
        <w:t>These</w:t>
      </w:r>
      <w:r>
        <w:t xml:space="preserve"> variables </w:t>
      </w:r>
      <w:r w:rsidR="003F5E85">
        <w:t>are used in</w:t>
      </w:r>
      <w:r>
        <w:t xml:space="preserve"> the aggregation, or clustering, of individual </w:t>
      </w:r>
      <w:r w:rsidR="003F5E85">
        <w:t xml:space="preserve">household </w:t>
      </w:r>
      <w:r>
        <w:t xml:space="preserve">data. </w:t>
      </w:r>
      <w:r w:rsidR="003F5E85">
        <w:t>We call t</w:t>
      </w:r>
      <w:r>
        <w:t xml:space="preserve">hese variables </w:t>
      </w:r>
      <w:r w:rsidR="003F5E85">
        <w:t>‘</w:t>
      </w:r>
      <w:r>
        <w:t>hierarchical identifiers (HID)</w:t>
      </w:r>
      <w:r w:rsidR="003F5E85">
        <w:t>’</w:t>
      </w:r>
      <w:r>
        <w:t xml:space="preserve"> because they identify in a logical way the different geographies for which data are available in the EU-SILC </w:t>
      </w:r>
      <w:r w:rsidR="003F5E85">
        <w:t>s</w:t>
      </w:r>
      <w:r>
        <w:t xml:space="preserve">urvey and in the </w:t>
      </w:r>
      <w:r w:rsidR="003F5E85">
        <w:t>national c</w:t>
      </w:r>
      <w:r>
        <w:t xml:space="preserve">ensus </w:t>
      </w:r>
      <w:r w:rsidR="003F5E85">
        <w:t>datase</w:t>
      </w:r>
      <w:r>
        <w:t>t.</w:t>
      </w:r>
      <w:r w:rsidR="003F5E85">
        <w:t xml:space="preserve"> </w:t>
      </w:r>
    </w:p>
    <w:p w:rsidR="009821C8" w:rsidRDefault="003F5E85" w:rsidP="009821C8">
      <w:r>
        <w:t xml:space="preserve">We illustrate the creation of HID for the UK. </w:t>
      </w:r>
      <w:r w:rsidR="009821C8">
        <w:t xml:space="preserve">The EU-SILC </w:t>
      </w:r>
      <w:r>
        <w:t>s</w:t>
      </w:r>
      <w:r w:rsidR="009821C8">
        <w:t>urvey contains information for households (H), NUTS 2 regions (N) and countries (C)</w:t>
      </w:r>
      <w:r w:rsidR="00D54BDB">
        <w:t xml:space="preserve"> for the UK</w:t>
      </w:r>
      <w:r w:rsidR="009821C8">
        <w:t xml:space="preserve">. The </w:t>
      </w:r>
      <w:r w:rsidR="00D54BDB">
        <w:t xml:space="preserve">survey </w:t>
      </w:r>
      <w:r w:rsidR="009821C8">
        <w:t>HID variable will therefore be defined as follows: HID = CNNHHHHH</w:t>
      </w:r>
      <w:r w:rsidR="00D54BDB">
        <w:t>, where</w:t>
      </w:r>
      <w:r w:rsidR="009821C8">
        <w:t>:</w:t>
      </w:r>
    </w:p>
    <w:p w:rsidR="009821C8" w:rsidRDefault="009821C8" w:rsidP="00D54BDB">
      <w:pPr>
        <w:ind w:left="709"/>
      </w:pPr>
      <w:r>
        <w:t xml:space="preserve">C=country (1 digit)                    </w:t>
      </w:r>
      <w:r>
        <w:tab/>
        <w:t xml:space="preserve"> </w:t>
      </w:r>
    </w:p>
    <w:p w:rsidR="009821C8" w:rsidRDefault="009821C8" w:rsidP="00D54BDB">
      <w:pPr>
        <w:ind w:left="709"/>
      </w:pPr>
      <w:r>
        <w:t xml:space="preserve">N=NUTS 2 (2 digits)                   </w:t>
      </w:r>
      <w:r>
        <w:tab/>
      </w:r>
    </w:p>
    <w:p w:rsidR="009821C8" w:rsidRDefault="009821C8" w:rsidP="00D54BDB">
      <w:pPr>
        <w:ind w:left="709"/>
      </w:pPr>
      <w:r>
        <w:t xml:space="preserve">H=Household ID (5 digits)       </w:t>
      </w:r>
      <w:r>
        <w:tab/>
        <w:t xml:space="preserve"> </w:t>
      </w:r>
    </w:p>
    <w:p w:rsidR="009821C8" w:rsidRDefault="009821C8" w:rsidP="009821C8">
      <w:r>
        <w:lastRenderedPageBreak/>
        <w:t xml:space="preserve">The </w:t>
      </w:r>
      <w:r w:rsidR="00D54BDB">
        <w:t>UK c</w:t>
      </w:r>
      <w:r>
        <w:t xml:space="preserve">ensus 2001 SAM </w:t>
      </w:r>
      <w:r w:rsidR="00D54BDB">
        <w:t xml:space="preserve">dataset </w:t>
      </w:r>
      <w:r>
        <w:t xml:space="preserve">contains information for household persons (P), local authorities (L), NUTS 3 regions (M), NUTS 2 regions (N) and countries (C). The </w:t>
      </w:r>
      <w:r w:rsidR="00D54BDB">
        <w:t xml:space="preserve">census </w:t>
      </w:r>
      <w:r>
        <w:t>HID variable will therefore be defined as follows: HID = CNN</w:t>
      </w:r>
      <w:r w:rsidR="00D54BDB">
        <w:t>MMMLLLPPPPPPP, where</w:t>
      </w:r>
      <w:r>
        <w:t>:</w:t>
      </w:r>
    </w:p>
    <w:p w:rsidR="009821C8" w:rsidRDefault="009821C8" w:rsidP="00D54BDB">
      <w:pPr>
        <w:ind w:left="709"/>
      </w:pPr>
      <w:r>
        <w:t xml:space="preserve">C=country (1 digit)                    </w:t>
      </w:r>
      <w:r>
        <w:tab/>
      </w:r>
    </w:p>
    <w:p w:rsidR="009821C8" w:rsidRDefault="009821C8" w:rsidP="00D54BDB">
      <w:pPr>
        <w:ind w:left="709"/>
      </w:pPr>
      <w:r>
        <w:t>N=NUTS</w:t>
      </w:r>
      <w:r w:rsidR="00484305">
        <w:t xml:space="preserve"> </w:t>
      </w:r>
      <w:r>
        <w:t xml:space="preserve">2 (2 digits)                  </w:t>
      </w:r>
      <w:r>
        <w:tab/>
      </w:r>
    </w:p>
    <w:p w:rsidR="009821C8" w:rsidRDefault="009821C8" w:rsidP="00D54BDB">
      <w:pPr>
        <w:ind w:left="709"/>
      </w:pPr>
      <w:r>
        <w:t>M=NUTS</w:t>
      </w:r>
      <w:r w:rsidR="00484305">
        <w:t xml:space="preserve"> </w:t>
      </w:r>
      <w:r>
        <w:t xml:space="preserve">3 (3 digits) </w:t>
      </w:r>
      <w:r>
        <w:tab/>
        <w:t xml:space="preserve">         </w:t>
      </w:r>
      <w:r>
        <w:tab/>
      </w:r>
      <w:r>
        <w:tab/>
      </w:r>
    </w:p>
    <w:p w:rsidR="009821C8" w:rsidRDefault="009821C8" w:rsidP="00D54BDB">
      <w:pPr>
        <w:ind w:left="709"/>
      </w:pPr>
      <w:r>
        <w:t xml:space="preserve">L=LAU (3 digits)                       </w:t>
      </w:r>
      <w:r>
        <w:tab/>
      </w:r>
    </w:p>
    <w:p w:rsidR="009821C8" w:rsidRDefault="009821C8" w:rsidP="00D54BDB">
      <w:pPr>
        <w:ind w:left="709"/>
      </w:pPr>
      <w:r>
        <w:t>P=Person ID (7 digits)</w:t>
      </w:r>
      <w:r>
        <w:tab/>
        <w:t xml:space="preserve">          </w:t>
      </w:r>
      <w:r>
        <w:tab/>
      </w:r>
      <w:r>
        <w:tab/>
      </w:r>
    </w:p>
    <w:p w:rsidR="0048187E" w:rsidRDefault="009821C8" w:rsidP="009821C8">
      <w:r>
        <w:t xml:space="preserve">By defining the HID variables in this </w:t>
      </w:r>
      <w:r w:rsidR="00D54BDB">
        <w:t xml:space="preserve">way we can easily estimate the income </w:t>
      </w:r>
      <w:r>
        <w:t xml:space="preserve">models in PovMap at the (common) level of NUTS 2 regions. This is done by shifting-to-right the EU-SILC </w:t>
      </w:r>
      <w:r w:rsidR="00D54BDB">
        <w:t>s</w:t>
      </w:r>
      <w:r>
        <w:t xml:space="preserve">urvey HID and the </w:t>
      </w:r>
      <w:r w:rsidR="00D54BDB">
        <w:t>UK c</w:t>
      </w:r>
      <w:r>
        <w:t xml:space="preserve">ensus 2001 SAM </w:t>
      </w:r>
      <w:r w:rsidR="00D54BDB">
        <w:t xml:space="preserve">dataset </w:t>
      </w:r>
      <w:r>
        <w:t>HID by 5 digits and 13 digits respectively.</w:t>
      </w:r>
    </w:p>
    <w:p w:rsidR="002F0B0B" w:rsidRDefault="002F0B0B" w:rsidP="009457B9"/>
    <w:p w:rsidR="006606D5" w:rsidRPr="004345B8" w:rsidRDefault="004345B8" w:rsidP="000E5A82">
      <w:pPr>
        <w:pStyle w:val="Otsikko3"/>
      </w:pPr>
      <w:r w:rsidRPr="004345B8">
        <w:t>Statistical models and simulation</w:t>
      </w:r>
    </w:p>
    <w:p w:rsidR="000D4C04" w:rsidRDefault="000D4C04" w:rsidP="00922324">
      <w:r>
        <w:t xml:space="preserve">The </w:t>
      </w:r>
      <w:r w:rsidR="00F15C0A">
        <w:t xml:space="preserve">estimation and simulation </w:t>
      </w:r>
      <w:r w:rsidR="003A1836">
        <w:t>components</w:t>
      </w:r>
      <w:r w:rsidR="00F15C0A">
        <w:t xml:space="preserve"> of PovMap include the following steps:</w:t>
      </w:r>
    </w:p>
    <w:p w:rsidR="002F0B0B" w:rsidRDefault="003F1E76" w:rsidP="00A16958">
      <w:pPr>
        <w:pStyle w:val="Luettelokappale"/>
        <w:numPr>
          <w:ilvl w:val="0"/>
          <w:numId w:val="7"/>
        </w:numPr>
      </w:pPr>
      <w:r>
        <w:t>Estimation of</w:t>
      </w:r>
      <w:r w:rsidR="00634EB5">
        <w:t xml:space="preserve"> the household income model </w:t>
      </w:r>
      <w:r w:rsidR="005C37AF">
        <w:t xml:space="preserve">(“consumption model” in the PovMap menu) </w:t>
      </w:r>
      <w:r w:rsidR="00634EB5">
        <w:t>using EU-SILC survey data restricted to the set of variables that can be inked to households in the survey and census</w:t>
      </w:r>
      <w:r w:rsidR="005C37AF">
        <w:t>.</w:t>
      </w:r>
    </w:p>
    <w:p w:rsidR="0069718B" w:rsidRDefault="0069718B" w:rsidP="003F1E76"/>
    <w:p w:rsidR="003F1E76" w:rsidRDefault="003F1E76" w:rsidP="003F1E76">
      <w:r>
        <w:t xml:space="preserve">As with any statistical regression model, it is important to evaluate the goodness of fit of alternative income models and choose the one that achieves the highest level of explanatory power (that is, the model that can explain the largest proportion of the variation in observed household income levels). The same care is needed when specifying the model for the household effect, which allows for </w:t>
      </w:r>
      <w:r w:rsidRPr="0001452A">
        <w:t>heteroskedasticity</w:t>
      </w:r>
      <w:r>
        <w:t xml:space="preserve"> (i.e. variance of household error term is not constant).</w:t>
      </w:r>
    </w:p>
    <w:p w:rsidR="0069718B" w:rsidRDefault="0069718B" w:rsidP="002F0B0B">
      <w:pPr>
        <w:pStyle w:val="Luettelokappale"/>
        <w:ind w:left="360"/>
      </w:pPr>
    </w:p>
    <w:p w:rsidR="002F0B0B" w:rsidRDefault="002F0B0B" w:rsidP="0069718B">
      <w:r w:rsidRPr="002551D7">
        <w:rPr>
          <w:noProof/>
          <w:lang w:val="fi-FI" w:eastAsia="fi-FI"/>
        </w:rPr>
        <w:lastRenderedPageBreak/>
        <w:drawing>
          <wp:inline distT="0" distB="0" distL="0" distR="0" wp14:anchorId="42080AC0" wp14:editId="49914449">
            <wp:extent cx="5430520" cy="37388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rotWithShape="1">
                    <a:blip r:embed="rId33">
                      <a:extLst>
                        <a:ext uri="{28A0092B-C50C-407E-A947-70E740481C1C}">
                          <a14:useLocalDpi xmlns:a14="http://schemas.microsoft.com/office/drawing/2010/main" val="0"/>
                        </a:ext>
                      </a:extLst>
                    </a:blip>
                    <a:srcRect l="817" t="-476" r="30668" b="6275"/>
                    <a:stretch/>
                  </pic:blipFill>
                  <pic:spPr bwMode="auto">
                    <a:xfrm>
                      <a:off x="0" y="0"/>
                      <a:ext cx="5430520" cy="3738880"/>
                    </a:xfrm>
                    <a:prstGeom prst="rect">
                      <a:avLst/>
                    </a:prstGeom>
                    <a:ln>
                      <a:noFill/>
                    </a:ln>
                    <a:extLst>
                      <a:ext uri="{53640926-AAD7-44D8-BBD7-CCE9431645EC}">
                        <a14:shadowObscured xmlns:a14="http://schemas.microsoft.com/office/drawing/2010/main"/>
                      </a:ext>
                    </a:extLst>
                  </pic:spPr>
                </pic:pic>
              </a:graphicData>
            </a:graphic>
          </wp:inline>
        </w:drawing>
      </w:r>
    </w:p>
    <w:p w:rsidR="00611230" w:rsidRDefault="00CC5E86" w:rsidP="00611230">
      <w:pPr>
        <w:pStyle w:val="Kuvaotsikko"/>
        <w:rPr>
          <w:b w:val="0"/>
        </w:rPr>
      </w:pPr>
      <w:r>
        <w:t>Figure</w:t>
      </w:r>
      <w:r w:rsidR="00611230" w:rsidRPr="00E20D80">
        <w:t xml:space="preserve"> </w:t>
      </w:r>
      <w:r w:rsidR="00BF213C">
        <w:t>2</w:t>
      </w:r>
      <w:r w:rsidR="00611230" w:rsidRPr="00E20D80">
        <w:t>:</w:t>
      </w:r>
      <w:r w:rsidR="00611230">
        <w:t xml:space="preserve"> </w:t>
      </w:r>
      <w:r w:rsidR="00611230">
        <w:rPr>
          <w:b w:val="0"/>
        </w:rPr>
        <w:t>Consumer model</w:t>
      </w:r>
      <w:r w:rsidR="00611230" w:rsidRPr="005C37AF">
        <w:rPr>
          <w:b w:val="0"/>
        </w:rPr>
        <w:t>, PovMap</w:t>
      </w:r>
    </w:p>
    <w:p w:rsidR="002F0B0B" w:rsidRPr="002F0B0B" w:rsidRDefault="002F0B0B" w:rsidP="002F0B0B"/>
    <w:p w:rsidR="00634EB5" w:rsidRDefault="003F1E76" w:rsidP="00A16958">
      <w:pPr>
        <w:pStyle w:val="Luettelokappale"/>
        <w:numPr>
          <w:ilvl w:val="0"/>
          <w:numId w:val="7"/>
        </w:numPr>
      </w:pPr>
      <w:r>
        <w:t>Application of</w:t>
      </w:r>
      <w:r w:rsidR="00634EB5">
        <w:t xml:space="preserve"> the income model parameters, and associated cluster</w:t>
      </w:r>
      <w:r w:rsidR="003275A6">
        <w:t xml:space="preserve"> effect</w:t>
      </w:r>
      <w:r w:rsidR="00E459DA">
        <w:t xml:space="preserve"> </w:t>
      </w:r>
      <w:r w:rsidR="00634EB5">
        <w:t>and household ef</w:t>
      </w:r>
      <w:r w:rsidR="003275A6">
        <w:t>fect (obtained from the “idiosyncratic model”)</w:t>
      </w:r>
      <w:r w:rsidR="00634EB5">
        <w:t>, to predict household income levels for each household in the census dataset.</w:t>
      </w:r>
    </w:p>
    <w:p w:rsidR="0069718B" w:rsidRDefault="0069718B" w:rsidP="0069718B"/>
    <w:p w:rsidR="005F142A" w:rsidRDefault="00CC4CB6" w:rsidP="005F142A">
      <w:r>
        <w:rPr>
          <w:noProof/>
          <w:lang w:val="fi-FI" w:eastAsia="fi-FI"/>
        </w:rPr>
        <w:lastRenderedPageBreak/>
        <w:drawing>
          <wp:inline distT="0" distB="0" distL="0" distR="0" wp14:anchorId="64F58ADF" wp14:editId="3ADD6B7F">
            <wp:extent cx="4784400" cy="3556800"/>
            <wp:effectExtent l="0" t="0" r="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b="6998"/>
                    <a:stretch/>
                  </pic:blipFill>
                  <pic:spPr bwMode="auto">
                    <a:xfrm>
                      <a:off x="0" y="0"/>
                      <a:ext cx="4784400" cy="3556800"/>
                    </a:xfrm>
                    <a:prstGeom prst="rect">
                      <a:avLst/>
                    </a:prstGeom>
                    <a:ln>
                      <a:noFill/>
                    </a:ln>
                    <a:extLst>
                      <a:ext uri="{53640926-AAD7-44D8-BBD7-CCE9431645EC}">
                        <a14:shadowObscured xmlns:a14="http://schemas.microsoft.com/office/drawing/2010/main"/>
                      </a:ext>
                    </a:extLst>
                  </pic:spPr>
                </pic:pic>
              </a:graphicData>
            </a:graphic>
          </wp:inline>
        </w:drawing>
      </w:r>
    </w:p>
    <w:p w:rsidR="00CC4CB6" w:rsidRDefault="00BF213C" w:rsidP="00CC4CB6">
      <w:pPr>
        <w:pStyle w:val="Kuvaotsikko"/>
        <w:rPr>
          <w:b w:val="0"/>
        </w:rPr>
      </w:pPr>
      <w:r>
        <w:t>Figure 3</w:t>
      </w:r>
      <w:r w:rsidR="00CC4CB6" w:rsidRPr="00E20D80">
        <w:t>:</w:t>
      </w:r>
      <w:r w:rsidR="00CC4CB6">
        <w:t xml:space="preserve"> </w:t>
      </w:r>
      <w:r w:rsidR="00CC4CB6">
        <w:rPr>
          <w:b w:val="0"/>
        </w:rPr>
        <w:t>Cluster</w:t>
      </w:r>
      <w:r w:rsidR="00CC4CB6" w:rsidRPr="005C37AF">
        <w:rPr>
          <w:b w:val="0"/>
        </w:rPr>
        <w:t xml:space="preserve"> </w:t>
      </w:r>
      <w:r w:rsidR="00CC4CB6">
        <w:rPr>
          <w:b w:val="0"/>
        </w:rPr>
        <w:t>effect</w:t>
      </w:r>
      <w:r w:rsidR="00CC4CB6" w:rsidRPr="005C37AF">
        <w:rPr>
          <w:b w:val="0"/>
        </w:rPr>
        <w:t>, PovMap</w:t>
      </w:r>
    </w:p>
    <w:p w:rsidR="00F323FB" w:rsidRPr="00F323FB" w:rsidRDefault="00F323FB" w:rsidP="00F323FB"/>
    <w:p w:rsidR="00CC4CB6" w:rsidRDefault="00CC4CB6" w:rsidP="005F142A">
      <w:r>
        <w:rPr>
          <w:noProof/>
          <w:lang w:val="fi-FI" w:eastAsia="fi-FI"/>
        </w:rPr>
        <w:drawing>
          <wp:inline distT="0" distB="0" distL="0" distR="0" wp14:anchorId="5B71C2D9" wp14:editId="364CE543">
            <wp:extent cx="4784400" cy="3542400"/>
            <wp:effectExtent l="0" t="0" r="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7449"/>
                    <a:stretch/>
                  </pic:blipFill>
                  <pic:spPr bwMode="auto">
                    <a:xfrm>
                      <a:off x="0" y="0"/>
                      <a:ext cx="4784400" cy="3542400"/>
                    </a:xfrm>
                    <a:prstGeom prst="rect">
                      <a:avLst/>
                    </a:prstGeom>
                    <a:ln>
                      <a:noFill/>
                    </a:ln>
                    <a:extLst>
                      <a:ext uri="{53640926-AAD7-44D8-BBD7-CCE9431645EC}">
                        <a14:shadowObscured xmlns:a14="http://schemas.microsoft.com/office/drawing/2010/main"/>
                      </a:ext>
                    </a:extLst>
                  </pic:spPr>
                </pic:pic>
              </a:graphicData>
            </a:graphic>
          </wp:inline>
        </w:drawing>
      </w:r>
    </w:p>
    <w:p w:rsidR="005F142A" w:rsidRDefault="00BF213C" w:rsidP="00CC4CB6">
      <w:pPr>
        <w:pStyle w:val="Kuvaotsikko"/>
        <w:rPr>
          <w:b w:val="0"/>
        </w:rPr>
      </w:pPr>
      <w:r>
        <w:t>Figure 4</w:t>
      </w:r>
      <w:r w:rsidR="00CC4CB6" w:rsidRPr="00E20D80">
        <w:t>:</w:t>
      </w:r>
      <w:r w:rsidR="00CC4CB6">
        <w:t xml:space="preserve"> </w:t>
      </w:r>
      <w:r w:rsidR="00CC4CB6">
        <w:rPr>
          <w:b w:val="0"/>
        </w:rPr>
        <w:t>Household</w:t>
      </w:r>
      <w:r w:rsidR="00CC4CB6" w:rsidRPr="005C37AF">
        <w:rPr>
          <w:b w:val="0"/>
        </w:rPr>
        <w:t xml:space="preserve"> </w:t>
      </w:r>
      <w:r w:rsidR="00CC4CB6">
        <w:rPr>
          <w:b w:val="0"/>
        </w:rPr>
        <w:t>effect</w:t>
      </w:r>
      <w:r w:rsidR="00CC4CB6" w:rsidRPr="005C37AF">
        <w:rPr>
          <w:b w:val="0"/>
        </w:rPr>
        <w:t>, PovMap</w:t>
      </w:r>
    </w:p>
    <w:p w:rsidR="002F0B0B" w:rsidRDefault="002F0B0B" w:rsidP="002F0B0B"/>
    <w:p w:rsidR="002F0B0B" w:rsidRPr="002F0B0B" w:rsidRDefault="002F0B0B" w:rsidP="002F0B0B"/>
    <w:p w:rsidR="00634EB5" w:rsidRDefault="003F1E76" w:rsidP="00A16958">
      <w:pPr>
        <w:pStyle w:val="Luettelokappale"/>
        <w:numPr>
          <w:ilvl w:val="0"/>
          <w:numId w:val="7"/>
        </w:numPr>
      </w:pPr>
      <w:r>
        <w:lastRenderedPageBreak/>
        <w:t>Development of</w:t>
      </w:r>
      <w:r w:rsidR="00E459DA">
        <w:t xml:space="preserve"> </w:t>
      </w:r>
      <w:r w:rsidR="00634EB5">
        <w:t>bootstrapping sim</w:t>
      </w:r>
      <w:r w:rsidR="00E459DA">
        <w:t xml:space="preserve">ulation techniques using the parameters in step 2 to </w:t>
      </w:r>
      <w:r w:rsidR="00E2167F">
        <w:t>produce</w:t>
      </w:r>
      <w:r w:rsidR="00634EB5">
        <w:t xml:space="preserve"> estimate</w:t>
      </w:r>
      <w:r w:rsidR="00E2167F">
        <w:t>s</w:t>
      </w:r>
      <w:r w:rsidR="00634EB5">
        <w:t xml:space="preserve"> of </w:t>
      </w:r>
      <w:r w:rsidR="00E2167F">
        <w:t xml:space="preserve">the </w:t>
      </w:r>
      <w:r w:rsidR="00634EB5">
        <w:t>at-risk-of-poverty rate (i.e. relative poverty) and a confidence interval around that estimate.</w:t>
      </w:r>
      <w:r w:rsidR="00E459DA">
        <w:t xml:space="preserve"> This requires providing additional information, namely, the poverty line to be used (e.g. 60% of national median disposable income) and the aggregation level (e.g. NUTS 3) for which the poverty estimates are to be generated.</w:t>
      </w:r>
    </w:p>
    <w:p w:rsidR="009A7160" w:rsidRDefault="009A7160" w:rsidP="009A7160"/>
    <w:p w:rsidR="00F323FB" w:rsidRDefault="00F323FB" w:rsidP="00CC4CB6">
      <w:pPr>
        <w:pStyle w:val="Kuvaotsikko"/>
      </w:pPr>
      <w:r>
        <w:rPr>
          <w:noProof/>
          <w:lang w:val="fi-FI" w:eastAsia="fi-FI"/>
        </w:rPr>
        <w:drawing>
          <wp:inline distT="0" distB="0" distL="0" distR="0" wp14:anchorId="3F03FA6E" wp14:editId="16AB258E">
            <wp:extent cx="5184000" cy="3567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extLst>
                        <a:ext uri="{28A0092B-C50C-407E-A947-70E740481C1C}">
                          <a14:useLocalDpi xmlns:a14="http://schemas.microsoft.com/office/drawing/2010/main" val="0"/>
                        </a:ext>
                      </a:extLst>
                    </a:blip>
                    <a:srcRect l="338" t="1066" r="15283" b="26322"/>
                    <a:stretch/>
                  </pic:blipFill>
                  <pic:spPr bwMode="auto">
                    <a:xfrm>
                      <a:off x="0" y="0"/>
                      <a:ext cx="5184000" cy="3567600"/>
                    </a:xfrm>
                    <a:prstGeom prst="rect">
                      <a:avLst/>
                    </a:prstGeom>
                    <a:ln>
                      <a:noFill/>
                    </a:ln>
                    <a:extLst>
                      <a:ext uri="{53640926-AAD7-44D8-BBD7-CCE9431645EC}">
                        <a14:shadowObscured xmlns:a14="http://schemas.microsoft.com/office/drawing/2010/main"/>
                      </a:ext>
                    </a:extLst>
                  </pic:spPr>
                </pic:pic>
              </a:graphicData>
            </a:graphic>
          </wp:inline>
        </w:drawing>
      </w:r>
    </w:p>
    <w:p w:rsidR="00CC4CB6" w:rsidRDefault="00AC3DA5" w:rsidP="00CC4CB6">
      <w:pPr>
        <w:pStyle w:val="Kuvaotsikko"/>
        <w:rPr>
          <w:b w:val="0"/>
        </w:rPr>
      </w:pPr>
      <w:r>
        <w:t>Figure 5</w:t>
      </w:r>
      <w:r w:rsidR="00CC4CB6" w:rsidRPr="00E20D80">
        <w:t>:</w:t>
      </w:r>
      <w:r w:rsidR="00CC4CB6">
        <w:t xml:space="preserve"> </w:t>
      </w:r>
      <w:r w:rsidR="00CC4CB6">
        <w:rPr>
          <w:b w:val="0"/>
        </w:rPr>
        <w:t>Simulation</w:t>
      </w:r>
      <w:r w:rsidR="00CC4CB6" w:rsidRPr="005C37AF">
        <w:rPr>
          <w:b w:val="0"/>
        </w:rPr>
        <w:t>, PovMap</w:t>
      </w:r>
    </w:p>
    <w:p w:rsidR="00A93094" w:rsidRDefault="00A93094" w:rsidP="00E459DA"/>
    <w:p w:rsidR="006606D5" w:rsidRDefault="006606D5" w:rsidP="006606D5">
      <w:pPr>
        <w:pStyle w:val="Otsikko2"/>
      </w:pPr>
      <w:bookmarkStart w:id="37" w:name="_Toc393812341"/>
      <w:r>
        <w:t>At-risk-of-poverty rate maps</w:t>
      </w:r>
      <w:bookmarkEnd w:id="37"/>
    </w:p>
    <w:p w:rsidR="003271AE" w:rsidRDefault="003271AE" w:rsidP="00CE6FEC">
      <w:pPr>
        <w:pStyle w:val="Kuvaotsikko"/>
        <w:rPr>
          <w:b w:val="0"/>
        </w:rPr>
      </w:pPr>
      <w:r w:rsidRPr="00CE6FEC">
        <w:rPr>
          <w:b w:val="0"/>
        </w:rPr>
        <w:t>The figures below show the spatial distribution of at-risk-of-poverty rates for Alb</w:t>
      </w:r>
      <w:r w:rsidR="00916400">
        <w:rPr>
          <w:b w:val="0"/>
        </w:rPr>
        <w:t>ania, Austria, Croatia, Greece</w:t>
      </w:r>
      <w:r w:rsidRPr="00CE6FEC">
        <w:rPr>
          <w:b w:val="0"/>
        </w:rPr>
        <w:t>, and the United Kingdom respectively.</w:t>
      </w:r>
      <w:r w:rsidR="00AE0730" w:rsidRPr="00CE6FEC">
        <w:rPr>
          <w:b w:val="0"/>
        </w:rPr>
        <w:t xml:space="preserve"> </w:t>
      </w:r>
      <w:r w:rsidR="00EE615E">
        <w:rPr>
          <w:b w:val="0"/>
        </w:rPr>
        <w:t xml:space="preserve">Similarly to the previous figures, </w:t>
      </w:r>
      <w:r w:rsidR="008632AA">
        <w:rPr>
          <w:b w:val="0"/>
        </w:rPr>
        <w:t>ARoP</w:t>
      </w:r>
      <w:r w:rsidR="00EE615E">
        <w:rPr>
          <w:b w:val="0"/>
        </w:rPr>
        <w:t xml:space="preserve"> rates are grouped using </w:t>
      </w:r>
      <w:r w:rsidR="00EE615E" w:rsidRPr="00CE6FEC">
        <w:rPr>
          <w:b w:val="0"/>
        </w:rPr>
        <w:t>quin</w:t>
      </w:r>
      <w:r w:rsidR="00EE615E">
        <w:rPr>
          <w:b w:val="0"/>
        </w:rPr>
        <w:t>tiles.</w:t>
      </w:r>
    </w:p>
    <w:p w:rsidR="00B118AB" w:rsidRDefault="00E20D80" w:rsidP="008F0D22">
      <w:pPr>
        <w:pStyle w:val="Kuvaotsikko"/>
      </w:pPr>
      <w:r>
        <w:rPr>
          <w:noProof/>
          <w:lang w:val="fi-FI" w:eastAsia="fi-FI"/>
        </w:rPr>
        <w:lastRenderedPageBreak/>
        <w:drawing>
          <wp:inline distT="0" distB="0" distL="0" distR="0" wp14:anchorId="3ECC7906" wp14:editId="454BBD1C">
            <wp:extent cx="4316400" cy="3967200"/>
            <wp:effectExtent l="0" t="0" r="8255" b="0"/>
            <wp:docPr id="14" name="Kép 2" descr="Austria_PovMap_BH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stria_PovMap_BHC.png"/>
                    <pic:cNvPicPr/>
                  </pic:nvPicPr>
                  <pic:blipFill rotWithShape="1">
                    <a:blip r:embed="rId18" cstate="print"/>
                    <a:srcRect l="3975" t="15653" r="3694" b="24231"/>
                    <a:stretch/>
                  </pic:blipFill>
                  <pic:spPr bwMode="auto">
                    <a:xfrm>
                      <a:off x="0" y="0"/>
                      <a:ext cx="4316400" cy="3967200"/>
                    </a:xfrm>
                    <a:prstGeom prst="rect">
                      <a:avLst/>
                    </a:prstGeom>
                    <a:ln>
                      <a:noFill/>
                    </a:ln>
                    <a:extLst>
                      <a:ext uri="{53640926-AAD7-44D8-BBD7-CCE9431645EC}">
                        <a14:shadowObscured xmlns:a14="http://schemas.microsoft.com/office/drawing/2010/main"/>
                      </a:ext>
                    </a:extLst>
                  </pic:spPr>
                </pic:pic>
              </a:graphicData>
            </a:graphic>
          </wp:inline>
        </w:drawing>
      </w:r>
    </w:p>
    <w:p w:rsidR="008F0D22" w:rsidRPr="00E20D80" w:rsidRDefault="00E94831" w:rsidP="008F0D22">
      <w:pPr>
        <w:pStyle w:val="Kuvaotsikko"/>
        <w:rPr>
          <w:b w:val="0"/>
        </w:rPr>
      </w:pPr>
      <w:bookmarkStart w:id="38" w:name="_Toc401272717"/>
      <w:r>
        <w:t>Map</w:t>
      </w:r>
      <w:r w:rsidR="006606D5" w:rsidRPr="00E20D80">
        <w:t xml:space="preserve"> </w:t>
      </w:r>
      <w:r w:rsidR="00630F69">
        <w:fldChar w:fldCharType="begin"/>
      </w:r>
      <w:r w:rsidR="00630F69">
        <w:instrText xml:space="preserve"> SEQ Figure \* ARABIC </w:instrText>
      </w:r>
      <w:r w:rsidR="00630F69">
        <w:fldChar w:fldCharType="separate"/>
      </w:r>
      <w:r w:rsidR="00AC3DA5">
        <w:rPr>
          <w:noProof/>
        </w:rPr>
        <w:t>14</w:t>
      </w:r>
      <w:r w:rsidR="00630F69">
        <w:rPr>
          <w:noProof/>
        </w:rPr>
        <w:fldChar w:fldCharType="end"/>
      </w:r>
      <w:r w:rsidR="006606D5" w:rsidRPr="00E20D80">
        <w:t xml:space="preserve">: </w:t>
      </w:r>
      <w:r w:rsidR="008F0D22" w:rsidRPr="00E20D80">
        <w:rPr>
          <w:b w:val="0"/>
        </w:rPr>
        <w:t>At-risk-of-poverty rates</w:t>
      </w:r>
      <w:r w:rsidR="00C60829" w:rsidRPr="00E20D80">
        <w:rPr>
          <w:b w:val="0"/>
        </w:rPr>
        <w:t xml:space="preserve"> (before housing cost)</w:t>
      </w:r>
      <w:r w:rsidR="008F0D22" w:rsidRPr="00E20D80">
        <w:rPr>
          <w:b w:val="0"/>
        </w:rPr>
        <w:t>, Albania</w:t>
      </w:r>
      <w:bookmarkEnd w:id="38"/>
    </w:p>
    <w:p w:rsidR="00B118AB" w:rsidRDefault="00B118AB" w:rsidP="00B118AB"/>
    <w:p w:rsidR="003271AE" w:rsidRPr="003271AE" w:rsidRDefault="004A31C6" w:rsidP="003271AE">
      <w:r>
        <w:rPr>
          <w:noProof/>
          <w:lang w:val="fi-FI" w:eastAsia="fi-FI"/>
        </w:rPr>
        <w:drawing>
          <wp:inline distT="0" distB="0" distL="0" distR="0" wp14:anchorId="05A2C486" wp14:editId="505A0AFE">
            <wp:extent cx="4330800" cy="3888000"/>
            <wp:effectExtent l="0" t="0" r="0" b="0"/>
            <wp:docPr id="15" name="Kép 2" descr="Austria_PovMap_BH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stria_PovMap_BHC.png"/>
                    <pic:cNvPicPr/>
                  </pic:nvPicPr>
                  <pic:blipFill rotWithShape="1">
                    <a:blip r:embed="rId37" cstate="print"/>
                    <a:srcRect l="3790" t="16164" r="3610" b="24956"/>
                    <a:stretch/>
                  </pic:blipFill>
                  <pic:spPr bwMode="auto">
                    <a:xfrm>
                      <a:off x="0" y="0"/>
                      <a:ext cx="4330800" cy="3888000"/>
                    </a:xfrm>
                    <a:prstGeom prst="rect">
                      <a:avLst/>
                    </a:prstGeom>
                    <a:ln>
                      <a:noFill/>
                    </a:ln>
                    <a:extLst>
                      <a:ext uri="{53640926-AAD7-44D8-BBD7-CCE9431645EC}">
                        <a14:shadowObscured xmlns:a14="http://schemas.microsoft.com/office/drawing/2010/main"/>
                      </a:ext>
                    </a:extLst>
                  </pic:spPr>
                </pic:pic>
              </a:graphicData>
            </a:graphic>
          </wp:inline>
        </w:drawing>
      </w:r>
    </w:p>
    <w:p w:rsidR="003271AE" w:rsidRDefault="00E94831" w:rsidP="00B118AB">
      <w:pPr>
        <w:pStyle w:val="Kuvaotsikko"/>
        <w:rPr>
          <w:b w:val="0"/>
        </w:rPr>
      </w:pPr>
      <w:bookmarkStart w:id="39" w:name="_Toc401272718"/>
      <w:r>
        <w:t>Map</w:t>
      </w:r>
      <w:r w:rsidR="008F0D22" w:rsidRPr="004A31C6">
        <w:t xml:space="preserve"> </w:t>
      </w:r>
      <w:r w:rsidR="00630F69">
        <w:fldChar w:fldCharType="begin"/>
      </w:r>
      <w:r w:rsidR="00630F69">
        <w:instrText xml:space="preserve"> SEQ Figure \* ARABIC </w:instrText>
      </w:r>
      <w:r w:rsidR="00630F69">
        <w:fldChar w:fldCharType="separate"/>
      </w:r>
      <w:r w:rsidR="00AC3DA5">
        <w:rPr>
          <w:noProof/>
        </w:rPr>
        <w:t>15</w:t>
      </w:r>
      <w:r w:rsidR="00630F69">
        <w:rPr>
          <w:noProof/>
        </w:rPr>
        <w:fldChar w:fldCharType="end"/>
      </w:r>
      <w:r w:rsidR="008F0D22" w:rsidRPr="004A31C6">
        <w:t xml:space="preserve">: </w:t>
      </w:r>
      <w:r w:rsidR="008F0D22" w:rsidRPr="004A31C6">
        <w:rPr>
          <w:b w:val="0"/>
        </w:rPr>
        <w:t>At-risk-of-poverty rates</w:t>
      </w:r>
      <w:r w:rsidR="00C60829" w:rsidRPr="004A31C6">
        <w:rPr>
          <w:b w:val="0"/>
        </w:rPr>
        <w:t xml:space="preserve"> (before housing cost)</w:t>
      </w:r>
      <w:r w:rsidR="008F0D22" w:rsidRPr="004A31C6">
        <w:rPr>
          <w:b w:val="0"/>
        </w:rPr>
        <w:t>, Austria</w:t>
      </w:r>
      <w:bookmarkEnd w:id="39"/>
    </w:p>
    <w:p w:rsidR="004A31C6" w:rsidRDefault="004A31C6" w:rsidP="00C60829">
      <w:r>
        <w:rPr>
          <w:noProof/>
          <w:lang w:val="fi-FI" w:eastAsia="fi-FI"/>
        </w:rPr>
        <w:lastRenderedPageBreak/>
        <w:drawing>
          <wp:inline distT="0" distB="0" distL="0" distR="0" wp14:anchorId="29648299" wp14:editId="0FF2F6A2">
            <wp:extent cx="4330800" cy="3891600"/>
            <wp:effectExtent l="0" t="0" r="0" b="0"/>
            <wp:docPr id="4" name="Kép 3" descr="Austria_PovMap_AH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stria_PovMap_AHC.png"/>
                    <pic:cNvPicPr/>
                  </pic:nvPicPr>
                  <pic:blipFill rotWithShape="1">
                    <a:blip r:embed="rId38" cstate="print"/>
                    <a:srcRect l="3612" t="16002" r="3744" b="25045"/>
                    <a:stretch/>
                  </pic:blipFill>
                  <pic:spPr bwMode="auto">
                    <a:xfrm>
                      <a:off x="0" y="0"/>
                      <a:ext cx="4330800" cy="3891600"/>
                    </a:xfrm>
                    <a:prstGeom prst="rect">
                      <a:avLst/>
                    </a:prstGeom>
                    <a:ln>
                      <a:noFill/>
                    </a:ln>
                    <a:extLst>
                      <a:ext uri="{53640926-AAD7-44D8-BBD7-CCE9431645EC}">
                        <a14:shadowObscured xmlns:a14="http://schemas.microsoft.com/office/drawing/2010/main"/>
                      </a:ext>
                    </a:extLst>
                  </pic:spPr>
                </pic:pic>
              </a:graphicData>
            </a:graphic>
          </wp:inline>
        </w:drawing>
      </w:r>
    </w:p>
    <w:p w:rsidR="00C60829" w:rsidRDefault="00E94831" w:rsidP="004A31C6">
      <w:pPr>
        <w:pStyle w:val="Kuvaotsikko"/>
        <w:rPr>
          <w:b w:val="0"/>
        </w:rPr>
      </w:pPr>
      <w:bookmarkStart w:id="40" w:name="_Toc401272719"/>
      <w:r>
        <w:t>Map</w:t>
      </w:r>
      <w:r w:rsidR="00C60829" w:rsidRPr="004A31C6">
        <w:t xml:space="preserve"> </w:t>
      </w:r>
      <w:r w:rsidR="00630F69">
        <w:fldChar w:fldCharType="begin"/>
      </w:r>
      <w:r w:rsidR="00630F69">
        <w:instrText xml:space="preserve"> SEQ Figure \* ARABIC </w:instrText>
      </w:r>
      <w:r w:rsidR="00630F69">
        <w:fldChar w:fldCharType="separate"/>
      </w:r>
      <w:r w:rsidR="00AC3DA5">
        <w:rPr>
          <w:noProof/>
        </w:rPr>
        <w:t>16</w:t>
      </w:r>
      <w:r w:rsidR="00630F69">
        <w:rPr>
          <w:noProof/>
        </w:rPr>
        <w:fldChar w:fldCharType="end"/>
      </w:r>
      <w:r w:rsidR="00C60829" w:rsidRPr="004A31C6">
        <w:t xml:space="preserve">: </w:t>
      </w:r>
      <w:r w:rsidR="00C60829" w:rsidRPr="004A31C6">
        <w:rPr>
          <w:b w:val="0"/>
        </w:rPr>
        <w:t>At-risk-of-poverty rates (after housing cost), Austria</w:t>
      </w:r>
      <w:bookmarkEnd w:id="40"/>
    </w:p>
    <w:p w:rsidR="004A31C6" w:rsidRPr="004A31C6" w:rsidRDefault="004A31C6" w:rsidP="004A31C6"/>
    <w:p w:rsidR="00B118AB" w:rsidRDefault="004A31C6" w:rsidP="00AE0730">
      <w:r>
        <w:rPr>
          <w:noProof/>
          <w:lang w:val="fi-FI" w:eastAsia="fi-FI"/>
        </w:rPr>
        <w:drawing>
          <wp:inline distT="0" distB="0" distL="0" distR="0" wp14:anchorId="76EC7087" wp14:editId="67A5D66A">
            <wp:extent cx="4302000" cy="3949200"/>
            <wp:effectExtent l="0" t="0" r="3810" b="0"/>
            <wp:docPr id="2" name="Kép 1" descr="TiPSE_AROP_Switzerl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SE_AROP_Switzerland.png"/>
                    <pic:cNvPicPr/>
                  </pic:nvPicPr>
                  <pic:blipFill rotWithShape="1">
                    <a:blip r:embed="rId19" cstate="print"/>
                    <a:srcRect l="3973" t="15883" r="3912" b="24382"/>
                    <a:stretch/>
                  </pic:blipFill>
                  <pic:spPr bwMode="auto">
                    <a:xfrm>
                      <a:off x="0" y="0"/>
                      <a:ext cx="4302000" cy="3949200"/>
                    </a:xfrm>
                    <a:prstGeom prst="rect">
                      <a:avLst/>
                    </a:prstGeom>
                    <a:ln>
                      <a:noFill/>
                    </a:ln>
                    <a:extLst>
                      <a:ext uri="{53640926-AAD7-44D8-BBD7-CCE9431645EC}">
                        <a14:shadowObscured xmlns:a14="http://schemas.microsoft.com/office/drawing/2010/main"/>
                      </a:ext>
                    </a:extLst>
                  </pic:spPr>
                </pic:pic>
              </a:graphicData>
            </a:graphic>
          </wp:inline>
        </w:drawing>
      </w:r>
    </w:p>
    <w:p w:rsidR="008F0D22" w:rsidRPr="004A31C6" w:rsidRDefault="00E94831" w:rsidP="008F0D22">
      <w:pPr>
        <w:pStyle w:val="Kuvaotsikko"/>
        <w:rPr>
          <w:b w:val="0"/>
        </w:rPr>
      </w:pPr>
      <w:bookmarkStart w:id="41" w:name="_Toc401272720"/>
      <w:r>
        <w:t>Map</w:t>
      </w:r>
      <w:r w:rsidR="008F0D22" w:rsidRPr="004A31C6">
        <w:t xml:space="preserve"> </w:t>
      </w:r>
      <w:r w:rsidR="00630F69">
        <w:fldChar w:fldCharType="begin"/>
      </w:r>
      <w:r w:rsidR="00630F69">
        <w:instrText xml:space="preserve"> SEQ Figure \* ARABIC </w:instrText>
      </w:r>
      <w:r w:rsidR="00630F69">
        <w:fldChar w:fldCharType="separate"/>
      </w:r>
      <w:r w:rsidR="00AC3DA5">
        <w:rPr>
          <w:noProof/>
        </w:rPr>
        <w:t>17</w:t>
      </w:r>
      <w:r w:rsidR="00630F69">
        <w:rPr>
          <w:noProof/>
        </w:rPr>
        <w:fldChar w:fldCharType="end"/>
      </w:r>
      <w:r w:rsidR="008F0D22" w:rsidRPr="004A31C6">
        <w:t xml:space="preserve">: </w:t>
      </w:r>
      <w:r w:rsidR="008F0D22" w:rsidRPr="004A31C6">
        <w:rPr>
          <w:b w:val="0"/>
        </w:rPr>
        <w:t>At-risk-of-poverty rates</w:t>
      </w:r>
      <w:r w:rsidR="00C60829" w:rsidRPr="004A31C6">
        <w:rPr>
          <w:b w:val="0"/>
        </w:rPr>
        <w:t xml:space="preserve"> (before housing cost)</w:t>
      </w:r>
      <w:r w:rsidR="008F0D22" w:rsidRPr="004A31C6">
        <w:rPr>
          <w:b w:val="0"/>
        </w:rPr>
        <w:t>, Croatia</w:t>
      </w:r>
      <w:bookmarkEnd w:id="41"/>
    </w:p>
    <w:p w:rsidR="004A31C6" w:rsidRPr="00B118AB" w:rsidRDefault="00492C1B" w:rsidP="00B118AB">
      <w:r w:rsidRPr="003566C7">
        <w:rPr>
          <w:noProof/>
          <w:lang w:val="fi-FI" w:eastAsia="fi-FI"/>
        </w:rPr>
        <w:lastRenderedPageBreak/>
        <w:drawing>
          <wp:inline distT="0" distB="0" distL="0" distR="0" wp14:anchorId="601F8596" wp14:editId="3454A69B">
            <wp:extent cx="4291200" cy="3870000"/>
            <wp:effectExtent l="0" t="0" r="0" b="0"/>
            <wp:docPr id="6" name="Εικόνα 1" descr="C:\Users\csofian\Desktop\MAPS_24_3_2014\NEW_JPGs_26_3_2014\TIPSE_24_3_2014_EL1Bef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sofian\Desktop\MAPS_24_3_2014\NEW_JPGs_26_3_2014\TIPSE_24_3_2014_EL1Before.jpg"/>
                    <pic:cNvPicPr>
                      <a:picLocks noChangeAspect="1" noChangeArrowheads="1"/>
                    </pic:cNvPicPr>
                  </pic:nvPicPr>
                  <pic:blipFill rotWithShape="1">
                    <a:blip r:embed="rId39" cstate="print"/>
                    <a:srcRect l="4063" t="15949" r="3837" b="25252"/>
                    <a:stretch/>
                  </pic:blipFill>
                  <pic:spPr bwMode="auto">
                    <a:xfrm>
                      <a:off x="0" y="0"/>
                      <a:ext cx="4291200" cy="3870000"/>
                    </a:xfrm>
                    <a:prstGeom prst="rect">
                      <a:avLst/>
                    </a:prstGeom>
                    <a:noFill/>
                    <a:ln>
                      <a:noFill/>
                    </a:ln>
                    <a:extLst>
                      <a:ext uri="{53640926-AAD7-44D8-BBD7-CCE9431645EC}">
                        <a14:shadowObscured xmlns:a14="http://schemas.microsoft.com/office/drawing/2010/main"/>
                      </a:ext>
                    </a:extLst>
                  </pic:spPr>
                </pic:pic>
              </a:graphicData>
            </a:graphic>
          </wp:inline>
        </w:drawing>
      </w:r>
    </w:p>
    <w:p w:rsidR="008F0D22" w:rsidRPr="00492C1B" w:rsidRDefault="00E94831" w:rsidP="008F0D22">
      <w:pPr>
        <w:pStyle w:val="Kuvaotsikko"/>
        <w:rPr>
          <w:b w:val="0"/>
        </w:rPr>
      </w:pPr>
      <w:bookmarkStart w:id="42" w:name="_Toc401272721"/>
      <w:r>
        <w:t>Map</w:t>
      </w:r>
      <w:r w:rsidR="008F0D22" w:rsidRPr="00492C1B">
        <w:t xml:space="preserve"> </w:t>
      </w:r>
      <w:r w:rsidR="00630F69">
        <w:fldChar w:fldCharType="begin"/>
      </w:r>
      <w:r w:rsidR="00630F69">
        <w:instrText xml:space="preserve"> SEQ Figure \* ARABIC </w:instrText>
      </w:r>
      <w:r w:rsidR="00630F69">
        <w:fldChar w:fldCharType="separate"/>
      </w:r>
      <w:r w:rsidR="00AC3DA5">
        <w:rPr>
          <w:noProof/>
        </w:rPr>
        <w:t>18</w:t>
      </w:r>
      <w:r w:rsidR="00630F69">
        <w:rPr>
          <w:noProof/>
        </w:rPr>
        <w:fldChar w:fldCharType="end"/>
      </w:r>
      <w:r w:rsidR="008F0D22" w:rsidRPr="00492C1B">
        <w:t xml:space="preserve">: </w:t>
      </w:r>
      <w:r w:rsidR="008F0D22" w:rsidRPr="00492C1B">
        <w:rPr>
          <w:b w:val="0"/>
        </w:rPr>
        <w:t>At-risk-of-poverty rates</w:t>
      </w:r>
      <w:r w:rsidR="00C60829" w:rsidRPr="00492C1B">
        <w:rPr>
          <w:b w:val="0"/>
        </w:rPr>
        <w:t xml:space="preserve"> (before housing cost)</w:t>
      </w:r>
      <w:r w:rsidR="008F0D22" w:rsidRPr="00492C1B">
        <w:rPr>
          <w:b w:val="0"/>
        </w:rPr>
        <w:t>, Greece</w:t>
      </w:r>
      <w:r w:rsidR="00D159E4">
        <w:rPr>
          <w:b w:val="0"/>
        </w:rPr>
        <w:t xml:space="preserve"> 2001</w:t>
      </w:r>
      <w:bookmarkEnd w:id="42"/>
    </w:p>
    <w:p w:rsidR="004A31C6" w:rsidRDefault="004A31C6" w:rsidP="008F0D22"/>
    <w:p w:rsidR="004A31C6" w:rsidRDefault="00492C1B" w:rsidP="008F0D22">
      <w:r w:rsidRPr="003566C7">
        <w:rPr>
          <w:b/>
          <w:bCs/>
          <w:noProof/>
          <w:lang w:val="fi-FI" w:eastAsia="fi-FI"/>
        </w:rPr>
        <w:drawing>
          <wp:inline distT="0" distB="0" distL="0" distR="0" wp14:anchorId="2E885D5B" wp14:editId="407225C1">
            <wp:extent cx="4338000" cy="3938400"/>
            <wp:effectExtent l="0" t="0" r="5715" b="5080"/>
            <wp:docPr id="17" name="Εικόνα 2" descr="C:\Users\csofian\Desktop\MAPS_24_3_2014\NEW_JPGs_26_3_2014\TIPSE_24_3_2014_EL1_Af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sofian\Desktop\MAPS_24_3_2014\NEW_JPGs_26_3_2014\TIPSE_24_3_2014_EL1_After.jpg"/>
                    <pic:cNvPicPr>
                      <a:picLocks noChangeAspect="1" noChangeArrowheads="1"/>
                    </pic:cNvPicPr>
                  </pic:nvPicPr>
                  <pic:blipFill rotWithShape="1">
                    <a:blip r:embed="rId40" cstate="print"/>
                    <a:srcRect l="4515" t="16095" r="3837" b="25044"/>
                    <a:stretch/>
                  </pic:blipFill>
                  <pic:spPr bwMode="auto">
                    <a:xfrm>
                      <a:off x="0" y="0"/>
                      <a:ext cx="4338000" cy="3938400"/>
                    </a:xfrm>
                    <a:prstGeom prst="rect">
                      <a:avLst/>
                    </a:prstGeom>
                    <a:noFill/>
                    <a:ln>
                      <a:noFill/>
                    </a:ln>
                    <a:extLst>
                      <a:ext uri="{53640926-AAD7-44D8-BBD7-CCE9431645EC}">
                        <a14:shadowObscured xmlns:a14="http://schemas.microsoft.com/office/drawing/2010/main"/>
                      </a:ext>
                    </a:extLst>
                  </pic:spPr>
                </pic:pic>
              </a:graphicData>
            </a:graphic>
          </wp:inline>
        </w:drawing>
      </w:r>
    </w:p>
    <w:p w:rsidR="00C60829" w:rsidRDefault="00E94831" w:rsidP="00C60829">
      <w:pPr>
        <w:pStyle w:val="Kuvaotsikko"/>
        <w:rPr>
          <w:b w:val="0"/>
        </w:rPr>
      </w:pPr>
      <w:bookmarkStart w:id="43" w:name="_Toc401272722"/>
      <w:r>
        <w:t>Map</w:t>
      </w:r>
      <w:r w:rsidR="00C60829" w:rsidRPr="00492C1B">
        <w:t xml:space="preserve"> </w:t>
      </w:r>
      <w:r w:rsidR="00630F69">
        <w:fldChar w:fldCharType="begin"/>
      </w:r>
      <w:r w:rsidR="00630F69">
        <w:instrText xml:space="preserve"> SEQ Figure \* ARABIC </w:instrText>
      </w:r>
      <w:r w:rsidR="00630F69">
        <w:fldChar w:fldCharType="separate"/>
      </w:r>
      <w:r w:rsidR="00AC3DA5">
        <w:rPr>
          <w:noProof/>
        </w:rPr>
        <w:t>19</w:t>
      </w:r>
      <w:r w:rsidR="00630F69">
        <w:rPr>
          <w:noProof/>
        </w:rPr>
        <w:fldChar w:fldCharType="end"/>
      </w:r>
      <w:r w:rsidR="00C60829" w:rsidRPr="00492C1B">
        <w:t xml:space="preserve">: </w:t>
      </w:r>
      <w:r w:rsidR="00C60829" w:rsidRPr="00492C1B">
        <w:rPr>
          <w:b w:val="0"/>
        </w:rPr>
        <w:t>At-risk-of-poverty rates (</w:t>
      </w:r>
      <w:r w:rsidR="00994A2F">
        <w:rPr>
          <w:b w:val="0"/>
        </w:rPr>
        <w:t>after</w:t>
      </w:r>
      <w:r w:rsidR="00C60829" w:rsidRPr="00492C1B">
        <w:rPr>
          <w:b w:val="0"/>
        </w:rPr>
        <w:t xml:space="preserve"> housing cost), Greece</w:t>
      </w:r>
      <w:r w:rsidR="00D159E4">
        <w:rPr>
          <w:b w:val="0"/>
        </w:rPr>
        <w:t xml:space="preserve"> 2001</w:t>
      </w:r>
      <w:bookmarkEnd w:id="43"/>
    </w:p>
    <w:p w:rsidR="00D159E4" w:rsidRDefault="00D159E4" w:rsidP="00D159E4">
      <w:pPr>
        <w:pStyle w:val="Kuvaotsikko"/>
      </w:pPr>
      <w:r>
        <w:rPr>
          <w:rFonts w:cs="Arial"/>
          <w:noProof/>
          <w:lang w:val="fi-FI" w:eastAsia="fi-FI"/>
        </w:rPr>
        <w:lastRenderedPageBreak/>
        <w:drawing>
          <wp:anchor distT="0" distB="0" distL="114300" distR="114300" simplePos="0" relativeHeight="251655168" behindDoc="1" locked="0" layoutInCell="1" allowOverlap="1" wp14:anchorId="761F31B4" wp14:editId="25C2C95E">
            <wp:simplePos x="0" y="0"/>
            <wp:positionH relativeFrom="column">
              <wp:posOffset>4445</wp:posOffset>
            </wp:positionH>
            <wp:positionV relativeFrom="paragraph">
              <wp:posOffset>-206375</wp:posOffset>
            </wp:positionV>
            <wp:extent cx="4406265" cy="3952240"/>
            <wp:effectExtent l="0" t="0" r="0" b="0"/>
            <wp:wrapTight wrapText="bothSides">
              <wp:wrapPolygon edited="0">
                <wp:start x="0" y="0"/>
                <wp:lineTo x="0" y="21447"/>
                <wp:lineTo x="21479" y="21447"/>
                <wp:lineTo x="21479" y="0"/>
                <wp:lineTo x="0" y="0"/>
              </wp:wrapPolygon>
            </wp:wrapTight>
            <wp:docPr id="29" name="Picture 29" descr="C:\Users\Takis\Desktop\MAPS_24_3_2014\TIPSE_13_4_2014_EL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akis\Desktop\MAPS_24_3_2014\TIPSE_13_4_2014_EL11.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3612" t="15709" r="3545" b="25415"/>
                    <a:stretch/>
                  </pic:blipFill>
                  <pic:spPr bwMode="auto">
                    <a:xfrm>
                      <a:off x="0" y="0"/>
                      <a:ext cx="4406265" cy="39522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159E4" w:rsidRDefault="00D159E4" w:rsidP="00D159E4">
      <w:pPr>
        <w:pStyle w:val="Kuvaotsikko"/>
      </w:pPr>
    </w:p>
    <w:p w:rsidR="00D159E4" w:rsidRDefault="00D159E4" w:rsidP="00D159E4">
      <w:pPr>
        <w:pStyle w:val="Kuvaotsikko"/>
      </w:pPr>
    </w:p>
    <w:p w:rsidR="00D159E4" w:rsidRDefault="00D159E4" w:rsidP="00D159E4">
      <w:pPr>
        <w:pStyle w:val="Kuvaotsikko"/>
      </w:pPr>
    </w:p>
    <w:p w:rsidR="00D159E4" w:rsidRDefault="00D159E4" w:rsidP="00D159E4">
      <w:pPr>
        <w:pStyle w:val="Kuvaotsikko"/>
      </w:pPr>
    </w:p>
    <w:p w:rsidR="00D159E4" w:rsidRDefault="00D159E4" w:rsidP="00D159E4"/>
    <w:p w:rsidR="00D159E4" w:rsidRDefault="00D159E4" w:rsidP="00D159E4"/>
    <w:p w:rsidR="00D159E4" w:rsidRDefault="00D159E4" w:rsidP="00D159E4"/>
    <w:p w:rsidR="00D159E4" w:rsidRDefault="00D159E4" w:rsidP="00D159E4"/>
    <w:p w:rsidR="00D159E4" w:rsidRDefault="00D159E4" w:rsidP="00D159E4"/>
    <w:p w:rsidR="00D159E4" w:rsidRDefault="00D159E4" w:rsidP="00D159E4"/>
    <w:p w:rsidR="00D159E4" w:rsidRDefault="00D159E4" w:rsidP="00D159E4"/>
    <w:p w:rsidR="00D159E4" w:rsidRPr="00D159E4" w:rsidRDefault="00D159E4" w:rsidP="00D159E4"/>
    <w:p w:rsidR="00D159E4" w:rsidRPr="00492C1B" w:rsidRDefault="00E94831" w:rsidP="00D159E4">
      <w:pPr>
        <w:pStyle w:val="Kuvaotsikko"/>
        <w:rPr>
          <w:b w:val="0"/>
        </w:rPr>
      </w:pPr>
      <w:bookmarkStart w:id="44" w:name="_Toc401272723"/>
      <w:r>
        <w:t>Map</w:t>
      </w:r>
      <w:r w:rsidR="00D159E4" w:rsidRPr="00492C1B">
        <w:t xml:space="preserve"> </w:t>
      </w:r>
      <w:r w:rsidR="00630F69">
        <w:fldChar w:fldCharType="begin"/>
      </w:r>
      <w:r w:rsidR="00630F69">
        <w:instrText xml:space="preserve"> SEQ Figure \* ARABIC </w:instrText>
      </w:r>
      <w:r w:rsidR="00630F69">
        <w:fldChar w:fldCharType="separate"/>
      </w:r>
      <w:r w:rsidR="00AC3DA5">
        <w:rPr>
          <w:noProof/>
        </w:rPr>
        <w:t>20</w:t>
      </w:r>
      <w:r w:rsidR="00630F69">
        <w:rPr>
          <w:noProof/>
        </w:rPr>
        <w:fldChar w:fldCharType="end"/>
      </w:r>
      <w:r w:rsidR="00D159E4" w:rsidRPr="00492C1B">
        <w:t xml:space="preserve">: </w:t>
      </w:r>
      <w:r w:rsidR="00D159E4" w:rsidRPr="00492C1B">
        <w:rPr>
          <w:b w:val="0"/>
        </w:rPr>
        <w:t>At-risk-of-poverty rates (before housing cost), Greece</w:t>
      </w:r>
      <w:r w:rsidR="00D159E4">
        <w:rPr>
          <w:b w:val="0"/>
        </w:rPr>
        <w:t xml:space="preserve"> update for 2011</w:t>
      </w:r>
      <w:bookmarkEnd w:id="44"/>
    </w:p>
    <w:p w:rsidR="00D159E4" w:rsidRDefault="00D159E4" w:rsidP="00D159E4"/>
    <w:p w:rsidR="00D159E4" w:rsidRDefault="00D159E4" w:rsidP="00D159E4">
      <w:r>
        <w:rPr>
          <w:b/>
          <w:bCs/>
          <w:noProof/>
          <w:lang w:val="fi-FI" w:eastAsia="fi-FI"/>
        </w:rPr>
        <w:drawing>
          <wp:anchor distT="0" distB="0" distL="114300" distR="114300" simplePos="0" relativeHeight="251659264" behindDoc="1" locked="0" layoutInCell="1" allowOverlap="1" wp14:anchorId="3CB3E21B" wp14:editId="5BF6002C">
            <wp:simplePos x="0" y="0"/>
            <wp:positionH relativeFrom="column">
              <wp:posOffset>34290</wp:posOffset>
            </wp:positionH>
            <wp:positionV relativeFrom="paragraph">
              <wp:posOffset>22225</wp:posOffset>
            </wp:positionV>
            <wp:extent cx="4380865" cy="3984625"/>
            <wp:effectExtent l="0" t="0" r="635" b="0"/>
            <wp:wrapTight wrapText="bothSides">
              <wp:wrapPolygon edited="0">
                <wp:start x="0" y="0"/>
                <wp:lineTo x="0" y="21480"/>
                <wp:lineTo x="21509" y="21480"/>
                <wp:lineTo x="21509" y="0"/>
                <wp:lineTo x="0" y="0"/>
              </wp:wrapPolygon>
            </wp:wrapTight>
            <wp:docPr id="35" name="Picture 3" descr="C:\Users\Takis\Desktop\MAPS_24_3_2014\TIPSE_13_7_2014_EL11_af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akis\Desktop\MAPS_24_3_2014\TIPSE_13_7_2014_EL11_after.jp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3973" t="16092" r="3726" b="24521"/>
                    <a:stretch/>
                  </pic:blipFill>
                  <pic:spPr bwMode="auto">
                    <a:xfrm>
                      <a:off x="0" y="0"/>
                      <a:ext cx="4380865" cy="39846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159E4" w:rsidRDefault="00D159E4" w:rsidP="00D159E4"/>
    <w:p w:rsidR="00D159E4" w:rsidRDefault="00D159E4" w:rsidP="00D159E4"/>
    <w:p w:rsidR="00D159E4" w:rsidRDefault="00D159E4" w:rsidP="00D159E4"/>
    <w:p w:rsidR="00D159E4" w:rsidRDefault="00D159E4" w:rsidP="00D159E4"/>
    <w:p w:rsidR="00D159E4" w:rsidRDefault="00D159E4" w:rsidP="00D159E4"/>
    <w:p w:rsidR="00D159E4" w:rsidRDefault="00D159E4" w:rsidP="00D159E4"/>
    <w:p w:rsidR="00D159E4" w:rsidRDefault="00D159E4" w:rsidP="00D159E4"/>
    <w:p w:rsidR="00D159E4" w:rsidRDefault="00D159E4" w:rsidP="00D159E4"/>
    <w:p w:rsidR="00D159E4" w:rsidRDefault="00D159E4" w:rsidP="00D159E4"/>
    <w:p w:rsidR="00D159E4" w:rsidRDefault="00D159E4" w:rsidP="00D159E4"/>
    <w:p w:rsidR="00D159E4" w:rsidRDefault="00D159E4" w:rsidP="00D159E4"/>
    <w:p w:rsidR="00D159E4" w:rsidRDefault="00D159E4" w:rsidP="00D159E4"/>
    <w:p w:rsidR="00D159E4" w:rsidRDefault="00D159E4" w:rsidP="00D159E4"/>
    <w:p w:rsidR="00D159E4" w:rsidRDefault="00E94831" w:rsidP="00D159E4">
      <w:pPr>
        <w:pStyle w:val="Kuvaotsikko"/>
        <w:rPr>
          <w:b w:val="0"/>
        </w:rPr>
      </w:pPr>
      <w:bookmarkStart w:id="45" w:name="_Toc401272724"/>
      <w:r>
        <w:t>Map</w:t>
      </w:r>
      <w:r w:rsidR="00D159E4" w:rsidRPr="00492C1B">
        <w:t xml:space="preserve"> </w:t>
      </w:r>
      <w:r w:rsidR="00630F69">
        <w:fldChar w:fldCharType="begin"/>
      </w:r>
      <w:r w:rsidR="00630F69">
        <w:instrText xml:space="preserve"> SEQ Figure \* ARABIC </w:instrText>
      </w:r>
      <w:r w:rsidR="00630F69">
        <w:fldChar w:fldCharType="separate"/>
      </w:r>
      <w:r w:rsidR="00AC3DA5">
        <w:rPr>
          <w:noProof/>
        </w:rPr>
        <w:t>21</w:t>
      </w:r>
      <w:r w:rsidR="00630F69">
        <w:rPr>
          <w:noProof/>
        </w:rPr>
        <w:fldChar w:fldCharType="end"/>
      </w:r>
      <w:r w:rsidR="00D159E4" w:rsidRPr="00492C1B">
        <w:t xml:space="preserve">: </w:t>
      </w:r>
      <w:r w:rsidR="00D159E4" w:rsidRPr="00492C1B">
        <w:rPr>
          <w:b w:val="0"/>
        </w:rPr>
        <w:t>At-risk-of-poverty rates (</w:t>
      </w:r>
      <w:r w:rsidR="00994A2F">
        <w:rPr>
          <w:b w:val="0"/>
        </w:rPr>
        <w:t>after</w:t>
      </w:r>
      <w:r w:rsidR="00D159E4" w:rsidRPr="00492C1B">
        <w:rPr>
          <w:b w:val="0"/>
        </w:rPr>
        <w:t xml:space="preserve"> housing cost), Greece</w:t>
      </w:r>
      <w:r w:rsidR="00D159E4">
        <w:rPr>
          <w:b w:val="0"/>
        </w:rPr>
        <w:t xml:space="preserve"> update for 2011</w:t>
      </w:r>
      <w:bookmarkEnd w:id="45"/>
    </w:p>
    <w:p w:rsidR="00D159E4" w:rsidRPr="00D159E4" w:rsidRDefault="00D159E4" w:rsidP="00D159E4"/>
    <w:p w:rsidR="00FB3001" w:rsidRDefault="00FB3001" w:rsidP="008F0D22">
      <w:r>
        <w:rPr>
          <w:noProof/>
          <w:lang w:val="fi-FI" w:eastAsia="fi-FI"/>
        </w:rPr>
        <w:lastRenderedPageBreak/>
        <w:drawing>
          <wp:inline distT="0" distB="0" distL="0" distR="0" wp14:anchorId="07717413" wp14:editId="267EB972">
            <wp:extent cx="4334400" cy="3902400"/>
            <wp:effectExtent l="0" t="0" r="9525"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K_NUTS3_BeforeHousingCost.tif"/>
                    <pic:cNvPicPr/>
                  </pic:nvPicPr>
                  <pic:blipFill rotWithShape="1">
                    <a:blip r:embed="rId43">
                      <a:extLst>
                        <a:ext uri="{28A0092B-C50C-407E-A947-70E740481C1C}">
                          <a14:useLocalDpi xmlns:a14="http://schemas.microsoft.com/office/drawing/2010/main" val="0"/>
                        </a:ext>
                      </a:extLst>
                    </a:blip>
                    <a:srcRect l="3822" t="16072" r="3550" b="24903"/>
                    <a:stretch/>
                  </pic:blipFill>
                  <pic:spPr bwMode="auto">
                    <a:xfrm>
                      <a:off x="0" y="0"/>
                      <a:ext cx="4334400" cy="3902400"/>
                    </a:xfrm>
                    <a:prstGeom prst="rect">
                      <a:avLst/>
                    </a:prstGeom>
                    <a:ln>
                      <a:noFill/>
                    </a:ln>
                    <a:extLst>
                      <a:ext uri="{53640926-AAD7-44D8-BBD7-CCE9431645EC}">
                        <a14:shadowObscured xmlns:a14="http://schemas.microsoft.com/office/drawing/2010/main"/>
                      </a:ext>
                    </a:extLst>
                  </pic:spPr>
                </pic:pic>
              </a:graphicData>
            </a:graphic>
          </wp:inline>
        </w:drawing>
      </w:r>
    </w:p>
    <w:p w:rsidR="008F0D22" w:rsidRDefault="00E94831" w:rsidP="008F0D22">
      <w:pPr>
        <w:pStyle w:val="Kuvaotsikko"/>
        <w:rPr>
          <w:b w:val="0"/>
        </w:rPr>
      </w:pPr>
      <w:bookmarkStart w:id="46" w:name="_Toc401272725"/>
      <w:r>
        <w:t>Map</w:t>
      </w:r>
      <w:r w:rsidR="008F0D22" w:rsidRPr="008F0D22">
        <w:t xml:space="preserve"> </w:t>
      </w:r>
      <w:r w:rsidR="00630F69">
        <w:fldChar w:fldCharType="begin"/>
      </w:r>
      <w:r w:rsidR="00630F69">
        <w:instrText xml:space="preserve"> SEQ Figure \* ARABIC </w:instrText>
      </w:r>
      <w:r w:rsidR="00630F69">
        <w:fldChar w:fldCharType="separate"/>
      </w:r>
      <w:r w:rsidR="00AC3DA5">
        <w:rPr>
          <w:noProof/>
        </w:rPr>
        <w:t>22</w:t>
      </w:r>
      <w:r w:rsidR="00630F69">
        <w:rPr>
          <w:noProof/>
        </w:rPr>
        <w:fldChar w:fldCharType="end"/>
      </w:r>
      <w:r w:rsidR="008F0D22" w:rsidRPr="008F0D22">
        <w:t xml:space="preserve">: </w:t>
      </w:r>
      <w:r w:rsidR="00C60829">
        <w:rPr>
          <w:b w:val="0"/>
        </w:rPr>
        <w:t xml:space="preserve">At-risk-of-poverty rates (before housing cost), </w:t>
      </w:r>
      <w:r w:rsidR="008F0D22" w:rsidRPr="008F0D22">
        <w:rPr>
          <w:b w:val="0"/>
        </w:rPr>
        <w:t>United Kingdom</w:t>
      </w:r>
      <w:bookmarkEnd w:id="46"/>
    </w:p>
    <w:p w:rsidR="004A31C6" w:rsidRPr="004A31C6" w:rsidRDefault="004A31C6" w:rsidP="004A31C6"/>
    <w:p w:rsidR="00A2520F" w:rsidRPr="008F0D22" w:rsidRDefault="00A2520F" w:rsidP="008F0D22">
      <w:r>
        <w:rPr>
          <w:noProof/>
          <w:lang w:val="fi-FI" w:eastAsia="fi-FI"/>
        </w:rPr>
        <w:drawing>
          <wp:inline distT="0" distB="0" distL="0" distR="0" wp14:anchorId="669D1B42" wp14:editId="342BB2CE">
            <wp:extent cx="4345200" cy="3895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K_NUTS3_AfterHousingCost_Revised.tif"/>
                    <pic:cNvPicPr/>
                  </pic:nvPicPr>
                  <pic:blipFill rotWithShape="1">
                    <a:blip r:embed="rId44">
                      <a:extLst>
                        <a:ext uri="{28A0092B-C50C-407E-A947-70E740481C1C}">
                          <a14:useLocalDpi xmlns:a14="http://schemas.microsoft.com/office/drawing/2010/main" val="0"/>
                        </a:ext>
                      </a:extLst>
                    </a:blip>
                    <a:srcRect l="3610" t="16377" r="3430" b="24639"/>
                    <a:stretch/>
                  </pic:blipFill>
                  <pic:spPr bwMode="auto">
                    <a:xfrm>
                      <a:off x="0" y="0"/>
                      <a:ext cx="4345200" cy="3895200"/>
                    </a:xfrm>
                    <a:prstGeom prst="rect">
                      <a:avLst/>
                    </a:prstGeom>
                    <a:ln>
                      <a:noFill/>
                    </a:ln>
                    <a:extLst>
                      <a:ext uri="{53640926-AAD7-44D8-BBD7-CCE9431645EC}">
                        <a14:shadowObscured xmlns:a14="http://schemas.microsoft.com/office/drawing/2010/main"/>
                      </a:ext>
                    </a:extLst>
                  </pic:spPr>
                </pic:pic>
              </a:graphicData>
            </a:graphic>
          </wp:inline>
        </w:drawing>
      </w:r>
    </w:p>
    <w:p w:rsidR="00C60829" w:rsidRDefault="00E94831" w:rsidP="00C60829">
      <w:pPr>
        <w:pStyle w:val="Kuvaotsikko"/>
        <w:rPr>
          <w:b w:val="0"/>
        </w:rPr>
      </w:pPr>
      <w:bookmarkStart w:id="47" w:name="_Toc401272726"/>
      <w:r>
        <w:t>Map</w:t>
      </w:r>
      <w:r w:rsidR="00C60829" w:rsidRPr="008F0D22">
        <w:t xml:space="preserve"> </w:t>
      </w:r>
      <w:r w:rsidR="00630F69">
        <w:fldChar w:fldCharType="begin"/>
      </w:r>
      <w:r w:rsidR="00630F69">
        <w:instrText xml:space="preserve"> SEQ Figure \* ARABIC </w:instrText>
      </w:r>
      <w:r w:rsidR="00630F69">
        <w:fldChar w:fldCharType="separate"/>
      </w:r>
      <w:r w:rsidR="00AC3DA5">
        <w:rPr>
          <w:noProof/>
        </w:rPr>
        <w:t>23</w:t>
      </w:r>
      <w:r w:rsidR="00630F69">
        <w:rPr>
          <w:noProof/>
        </w:rPr>
        <w:fldChar w:fldCharType="end"/>
      </w:r>
      <w:r w:rsidR="00C60829" w:rsidRPr="008F0D22">
        <w:t xml:space="preserve">: </w:t>
      </w:r>
      <w:r w:rsidR="00C60829">
        <w:rPr>
          <w:b w:val="0"/>
        </w:rPr>
        <w:t xml:space="preserve">At-risk-of-poverty rates (after housing cost), </w:t>
      </w:r>
      <w:r w:rsidR="00C60829" w:rsidRPr="008F0D22">
        <w:rPr>
          <w:b w:val="0"/>
        </w:rPr>
        <w:t>United Kingdom</w:t>
      </w:r>
      <w:bookmarkEnd w:id="47"/>
    </w:p>
    <w:p w:rsidR="00FE13D1" w:rsidRDefault="00FE13D1" w:rsidP="008F0D22">
      <w:pPr>
        <w:pStyle w:val="Otsikko1"/>
      </w:pPr>
      <w:r>
        <w:br w:type="column"/>
      </w:r>
      <w:bookmarkStart w:id="48" w:name="_Ref382835260"/>
      <w:bookmarkStart w:id="49" w:name="_Toc393812342"/>
      <w:r>
        <w:lastRenderedPageBreak/>
        <w:t>Alternative A</w:t>
      </w:r>
      <w:r w:rsidR="00595F3B">
        <w:t xml:space="preserve">pproaches: </w:t>
      </w:r>
      <w:r w:rsidR="00916400">
        <w:t xml:space="preserve">Area Based Models and </w:t>
      </w:r>
      <w:r>
        <w:t>Direct Apportionment</w:t>
      </w:r>
      <w:bookmarkEnd w:id="48"/>
      <w:bookmarkEnd w:id="49"/>
    </w:p>
    <w:p w:rsidR="00FE13D1" w:rsidRDefault="00B35F0F" w:rsidP="00FE13D1">
      <w:r>
        <w:t xml:space="preserve">Where neither register data, nor the microdata required for implementing PovMap were available other options were considered. Two alternative approaches to estimating </w:t>
      </w:r>
      <w:r w:rsidR="008632AA">
        <w:t>ARoP</w:t>
      </w:r>
      <w:r>
        <w:t xml:space="preserve"> rates were used:</w:t>
      </w:r>
    </w:p>
    <w:p w:rsidR="00B35F0F" w:rsidRDefault="00B35F0F" w:rsidP="00A16958">
      <w:pPr>
        <w:pStyle w:val="Luettelokappale"/>
        <w:numPr>
          <w:ilvl w:val="0"/>
          <w:numId w:val="20"/>
        </w:numPr>
      </w:pPr>
      <w:r>
        <w:t xml:space="preserve">Area-based regression </w:t>
      </w:r>
      <w:r w:rsidR="00FF2EE9">
        <w:t>models -</w:t>
      </w:r>
      <w:r>
        <w:t xml:space="preserve"> these were used in Germany, Italy and Turkey, </w:t>
      </w:r>
      <w:r w:rsidR="00CD058B">
        <w:t xml:space="preserve">after pilot analysis in the UK </w:t>
      </w:r>
      <w:r w:rsidR="00CD058B">
        <w:fldChar w:fldCharType="begin"/>
      </w:r>
      <w:r w:rsidR="00CD058B">
        <w:instrText xml:space="preserve"> ADDIN EN.CITE &lt;EndNote&gt;&lt;Cite&gt;&lt;Author&gt;Copus&lt;/Author&gt;&lt;Year&gt;2014&lt;/Year&gt;&lt;RecNum&gt;65&lt;/RecNum&gt;&lt;DisplayText&gt;(Copus and Coombes, 2014)&lt;/DisplayText&gt;&lt;record&gt;&lt;rec-number&gt;65&lt;/rec-number&gt;&lt;foreign-keys&gt;&lt;key app="EN" db-id="25tas95vtezst4e55d1xv0twzf0xa2fpdr02"&gt;65&lt;/key&gt;&lt;/foreign-keys&gt;&lt;ref-type name="Report"&gt;27&lt;/ref-type&gt;&lt;contributors&gt;&lt;authors&gt;&lt;author&gt;Copus, A. K.&lt;/author&gt;&lt;author&gt;Coombes, M.  &lt;/author&gt;&lt;/authors&gt;&lt;/contributors&gt;&lt;titles&gt;&lt;title&gt;Small Area Estimation of At Risk of Poverty Rates&lt;/title&gt;&lt;secondary-title&gt;Second ESPON 2013 Scientific Report&lt;/secondary-title&gt;&lt;/titles&gt;&lt;dates&gt;&lt;year&gt;2014&lt;/year&gt;&lt;/dates&gt;&lt;pub-location&gt;Luxemburg&lt;/pub-location&gt;&lt;publisher&gt;ESPON 2013 Coordination Unit&lt;/publisher&gt;&lt;urls&gt;&lt;/urls&gt;&lt;/record&gt;&lt;/Cite&gt;&lt;/EndNote&gt;</w:instrText>
      </w:r>
      <w:r w:rsidR="00CD058B">
        <w:fldChar w:fldCharType="separate"/>
      </w:r>
      <w:r w:rsidR="00CD058B">
        <w:rPr>
          <w:noProof/>
        </w:rPr>
        <w:t>(</w:t>
      </w:r>
      <w:hyperlink w:anchor="_ENREF_9" w:tooltip="Copus, 2014 #65" w:history="1">
        <w:r w:rsidR="00CD058B">
          <w:rPr>
            <w:noProof/>
          </w:rPr>
          <w:t>Copus and Coombes, 2014</w:t>
        </w:r>
      </w:hyperlink>
      <w:r w:rsidR="00CD058B">
        <w:rPr>
          <w:noProof/>
        </w:rPr>
        <w:t>)</w:t>
      </w:r>
      <w:r w:rsidR="00CD058B">
        <w:fldChar w:fldCharType="end"/>
      </w:r>
      <w:r>
        <w:t>.</w:t>
      </w:r>
    </w:p>
    <w:p w:rsidR="00B35F0F" w:rsidRDefault="00B35F0F" w:rsidP="00A16958">
      <w:pPr>
        <w:pStyle w:val="Luettelokappale"/>
        <w:numPr>
          <w:ilvl w:val="0"/>
          <w:numId w:val="20"/>
        </w:numPr>
      </w:pPr>
      <w:r>
        <w:t>Direct apportionment – this was used in Belgium, Portugal, Spain and Switzerland.</w:t>
      </w:r>
    </w:p>
    <w:p w:rsidR="00B35F0F" w:rsidRDefault="00B35F0F" w:rsidP="00FE13D1"/>
    <w:p w:rsidR="00D97A21" w:rsidRDefault="00D97A21" w:rsidP="00D97A21">
      <w:pPr>
        <w:pStyle w:val="Otsikko2"/>
      </w:pPr>
      <w:bookmarkStart w:id="50" w:name="_Toc393812343"/>
      <w:r>
        <w:t>Area based models</w:t>
      </w:r>
      <w:bookmarkEnd w:id="50"/>
    </w:p>
    <w:p w:rsidR="001D0257" w:rsidRDefault="001D0257" w:rsidP="001D0257">
      <w:pPr>
        <w:rPr>
          <w:color w:val="000000" w:themeColor="text1"/>
        </w:rPr>
      </w:pPr>
      <w:r w:rsidRPr="009F05D2">
        <w:rPr>
          <w:color w:val="000000" w:themeColor="text1"/>
        </w:rPr>
        <w:t>This s</w:t>
      </w:r>
      <w:r>
        <w:rPr>
          <w:color w:val="000000" w:themeColor="text1"/>
        </w:rPr>
        <w:t>e</w:t>
      </w:r>
      <w:r w:rsidRPr="009F05D2">
        <w:rPr>
          <w:color w:val="000000" w:themeColor="text1"/>
        </w:rPr>
        <w:t>ction</w:t>
      </w:r>
      <w:r>
        <w:rPr>
          <w:color w:val="000000" w:themeColor="text1"/>
        </w:rPr>
        <w:t xml:space="preserve"> describes the implementation of area based models as an </w:t>
      </w:r>
      <w:r w:rsidR="003F1E76">
        <w:rPr>
          <w:color w:val="000000" w:themeColor="text1"/>
        </w:rPr>
        <w:t xml:space="preserve">alternative </w:t>
      </w:r>
      <w:r>
        <w:rPr>
          <w:color w:val="000000" w:themeColor="text1"/>
        </w:rPr>
        <w:t>approach to generate estimates of at-risk-of-poverty rates</w:t>
      </w:r>
      <w:r w:rsidR="004B6625">
        <w:rPr>
          <w:color w:val="000000" w:themeColor="text1"/>
        </w:rPr>
        <w:t xml:space="preserve"> for NUTS 3 regions</w:t>
      </w:r>
      <w:r>
        <w:rPr>
          <w:color w:val="000000" w:themeColor="text1"/>
        </w:rPr>
        <w:t xml:space="preserve">. It provides an overview of the methodology, its main advantages and disadvantages, and the maps of </w:t>
      </w:r>
      <w:r w:rsidR="00BC4F19">
        <w:rPr>
          <w:color w:val="000000" w:themeColor="text1"/>
        </w:rPr>
        <w:t>at-risk-of-poverty</w:t>
      </w:r>
      <w:r>
        <w:rPr>
          <w:color w:val="000000" w:themeColor="text1"/>
        </w:rPr>
        <w:t xml:space="preserve"> rates for the relevant countries.</w:t>
      </w:r>
    </w:p>
    <w:p w:rsidR="00AF42BB" w:rsidRPr="00AF42BB" w:rsidRDefault="00AF42BB" w:rsidP="00AF42BB"/>
    <w:p w:rsidR="00AF42BB" w:rsidRPr="002F0B0B" w:rsidRDefault="00AF42BB" w:rsidP="00AF42BB">
      <w:pPr>
        <w:pStyle w:val="Otsikko3"/>
      </w:pPr>
      <w:r w:rsidRPr="002F0B0B">
        <w:t>Overview of approach</w:t>
      </w:r>
    </w:p>
    <w:p w:rsidR="00FF2EE9" w:rsidRDefault="00FF2EE9" w:rsidP="00FF2EE9">
      <w:r>
        <w:t>This approach could be considered as a greatly simplified version of the World Bank PovMap methodology. It is very much less demanding in terms of data</w:t>
      </w:r>
      <w:r w:rsidR="00EF787A">
        <w:t>; no microdata is involved.</w:t>
      </w:r>
      <w:r w:rsidR="008E3D80">
        <w:t xml:space="preserve"> Instead t</w:t>
      </w:r>
      <w:r>
        <w:t xml:space="preserve">wo </w:t>
      </w:r>
      <w:r w:rsidR="00EF787A">
        <w:t xml:space="preserve">regional </w:t>
      </w:r>
      <w:r>
        <w:t xml:space="preserve">datasets are required: a NUTS 2 database which includes </w:t>
      </w:r>
      <w:r w:rsidR="008632AA">
        <w:t>ARoP</w:t>
      </w:r>
      <w:r>
        <w:t xml:space="preserve"> rates, </w:t>
      </w:r>
      <w:r w:rsidR="00EF787A">
        <w:t>together with</w:t>
      </w:r>
      <w:r>
        <w:t xml:space="preserve"> a number of socio-economic “covariates”; and a NUTS 3 dataset which comprises only the</w:t>
      </w:r>
      <w:r w:rsidR="00EF787A">
        <w:t xml:space="preserve"> </w:t>
      </w:r>
      <w:r>
        <w:t>covariates. The procedure involves 2 stages:</w:t>
      </w:r>
    </w:p>
    <w:p w:rsidR="00FF2EE9" w:rsidRDefault="00FF2EE9" w:rsidP="00FF2EE9">
      <w:r>
        <w:t>a)</w:t>
      </w:r>
      <w:r>
        <w:tab/>
        <w:t>E</w:t>
      </w:r>
      <w:r w:rsidR="008632AA">
        <w:t>stimate relationship between ARoP</w:t>
      </w:r>
      <w:r>
        <w:t xml:space="preserve"> rates and a selection of socio-economic indicators at NUTS 2 using basic OLS regression.</w:t>
      </w:r>
    </w:p>
    <w:p w:rsidR="001D0257" w:rsidRDefault="008632AA" w:rsidP="00FF2EE9">
      <w:r>
        <w:t>b)</w:t>
      </w:r>
      <w:r>
        <w:tab/>
        <w:t>Estimate NUTS 3 ARoP</w:t>
      </w:r>
      <w:r w:rsidR="00FF2EE9">
        <w:t xml:space="preserve"> rates by applying coefficients to NUTS 3 data for the same independent variables.</w:t>
      </w:r>
    </w:p>
    <w:p w:rsidR="00EF787A" w:rsidRPr="002F0B0B" w:rsidRDefault="00EF787A" w:rsidP="00FF2EE9"/>
    <w:p w:rsidR="001D0257" w:rsidRPr="002F0B0B" w:rsidRDefault="001D0257" w:rsidP="001D0257">
      <w:pPr>
        <w:pStyle w:val="Otsikko3"/>
      </w:pPr>
      <w:r w:rsidRPr="002F0B0B">
        <w:t>Overview of strengths and weaknesses</w:t>
      </w:r>
    </w:p>
    <w:p w:rsidR="00D97A21" w:rsidRDefault="00BC0693" w:rsidP="00D97A21">
      <w:r>
        <w:t>The principal reason for using an area-based regression model procedure, rather than the full World Bank PovMap approach, would be the non-availability of appropriate microdata. Even if Census microdata does exist, the challenges involved in reconciling the census microdata variables with the EU-SIL</w:t>
      </w:r>
      <w:r w:rsidR="00545E77">
        <w:t>C</w:t>
      </w:r>
      <w:r>
        <w:t xml:space="preserve"> microdata variables may be too great. With the area based approach the covariates at NUTS 2 and NUTS 3 may both be derived from the Census, and the problem of matching their definitions does not arise</w:t>
      </w:r>
      <w:r w:rsidR="00545E77">
        <w:t>.</w:t>
      </w:r>
    </w:p>
    <w:p w:rsidR="00545E77" w:rsidRDefault="00545E77" w:rsidP="00D97A21">
      <w:r>
        <w:lastRenderedPageBreak/>
        <w:t>On the down side the area based approach is vulnerable to the ecological fallacy. In other words, instead of estimating relationships between disposable income and socio-economic covariates at a household level, it does so on the basis of NUTS 2 regional averages. The latter may mask substantial (NUTS 2) intra-regional differences, which could potentially distort the estimates at NUTS 3.</w:t>
      </w:r>
    </w:p>
    <w:p w:rsidR="00545E77" w:rsidRDefault="00545E77" w:rsidP="00D97A21">
      <w:r>
        <w:t xml:space="preserve">A further disadvantage (shared with direct apportionment below) is that the definition of the </w:t>
      </w:r>
      <w:r w:rsidR="008632AA">
        <w:t>ARoP</w:t>
      </w:r>
      <w:r>
        <w:t xml:space="preserve"> rate, especially in terms of the poverty line (60%</w:t>
      </w:r>
      <w:r w:rsidR="004B2E41">
        <w:t xml:space="preserve"> of the national median) becomes fixed by the rates available at NUTS 2. It is not possible (as in the case of the WB PovMap approach) to carry out sensitivity analysis with different poverty lines.</w:t>
      </w:r>
    </w:p>
    <w:p w:rsidR="00545E77" w:rsidRDefault="00545E77" w:rsidP="00D97A21"/>
    <w:p w:rsidR="00AF42BB" w:rsidRDefault="00AF42BB" w:rsidP="00AF42BB">
      <w:pPr>
        <w:pStyle w:val="Otsikko3"/>
      </w:pPr>
      <w:r>
        <w:t>At-risk-of-poverty rate maps</w:t>
      </w:r>
    </w:p>
    <w:p w:rsidR="00715983" w:rsidRDefault="00715983" w:rsidP="00715983">
      <w:pPr>
        <w:pStyle w:val="Kuvaotsikko"/>
      </w:pPr>
      <w:r>
        <w:rPr>
          <w:b w:val="0"/>
        </w:rPr>
        <w:t>The estimates of at-risk-of-poverty rates for NUTS 3 regions obtained from the area based models are presented below</w:t>
      </w:r>
      <w:r w:rsidRPr="00CE6FEC">
        <w:rPr>
          <w:b w:val="0"/>
        </w:rPr>
        <w:t xml:space="preserve">. The figures show the spatial distribution of at-risk-of-poverty rates for </w:t>
      </w:r>
      <w:r>
        <w:rPr>
          <w:b w:val="0"/>
        </w:rPr>
        <w:t>Germany, Italy and Turkey</w:t>
      </w:r>
      <w:r w:rsidRPr="00CE6FEC">
        <w:rPr>
          <w:b w:val="0"/>
        </w:rPr>
        <w:t xml:space="preserve"> respectively. </w:t>
      </w:r>
      <w:r>
        <w:rPr>
          <w:b w:val="0"/>
        </w:rPr>
        <w:t xml:space="preserve">Similarly to the previous figures, </w:t>
      </w:r>
      <w:r w:rsidR="008632AA">
        <w:rPr>
          <w:b w:val="0"/>
        </w:rPr>
        <w:t>ARoP</w:t>
      </w:r>
      <w:r>
        <w:rPr>
          <w:b w:val="0"/>
        </w:rPr>
        <w:t xml:space="preserve"> rates are grouped using </w:t>
      </w:r>
      <w:r w:rsidRPr="00CE6FEC">
        <w:rPr>
          <w:b w:val="0"/>
        </w:rPr>
        <w:t>quin</w:t>
      </w:r>
      <w:r>
        <w:rPr>
          <w:b w:val="0"/>
        </w:rPr>
        <w:t>tiles.</w:t>
      </w:r>
    </w:p>
    <w:p w:rsidR="003E3B09" w:rsidRDefault="003E3B09" w:rsidP="00D97A21"/>
    <w:p w:rsidR="003E3B09" w:rsidRDefault="003E3B09" w:rsidP="00D97A21">
      <w:r>
        <w:rPr>
          <w:noProof/>
          <w:lang w:val="fi-FI" w:eastAsia="fi-FI"/>
        </w:rPr>
        <w:drawing>
          <wp:inline distT="0" distB="0" distL="0" distR="0" wp14:anchorId="0B775E08" wp14:editId="7D5F2089">
            <wp:extent cx="4300695" cy="3893873"/>
            <wp:effectExtent l="0" t="0" r="508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SE_PovertyMapping Germany 2014-03-21.tif"/>
                    <pic:cNvPicPr/>
                  </pic:nvPicPr>
                  <pic:blipFill rotWithShape="1">
                    <a:blip r:embed="rId45" cstate="print">
                      <a:extLst>
                        <a:ext uri="{28A0092B-C50C-407E-A947-70E740481C1C}">
                          <a14:useLocalDpi xmlns:a14="http://schemas.microsoft.com/office/drawing/2010/main" val="0"/>
                        </a:ext>
                      </a:extLst>
                    </a:blip>
                    <a:srcRect t="8115"/>
                    <a:stretch/>
                  </pic:blipFill>
                  <pic:spPr bwMode="auto">
                    <a:xfrm>
                      <a:off x="0" y="0"/>
                      <a:ext cx="4301401" cy="3894512"/>
                    </a:xfrm>
                    <a:prstGeom prst="rect">
                      <a:avLst/>
                    </a:prstGeom>
                    <a:ln>
                      <a:noFill/>
                    </a:ln>
                    <a:extLst>
                      <a:ext uri="{53640926-AAD7-44D8-BBD7-CCE9431645EC}">
                        <a14:shadowObscured xmlns:a14="http://schemas.microsoft.com/office/drawing/2010/main"/>
                      </a:ext>
                    </a:extLst>
                  </pic:spPr>
                </pic:pic>
              </a:graphicData>
            </a:graphic>
          </wp:inline>
        </w:drawing>
      </w:r>
    </w:p>
    <w:p w:rsidR="00DB4585" w:rsidRDefault="00E94831" w:rsidP="00DB4585">
      <w:pPr>
        <w:pStyle w:val="Kuvaotsikko"/>
        <w:rPr>
          <w:b w:val="0"/>
        </w:rPr>
      </w:pPr>
      <w:bookmarkStart w:id="51" w:name="_Toc401272727"/>
      <w:r>
        <w:t>Map</w:t>
      </w:r>
      <w:r w:rsidR="00DB4585" w:rsidRPr="008F0D22">
        <w:t xml:space="preserve"> </w:t>
      </w:r>
      <w:r w:rsidR="00630F69">
        <w:fldChar w:fldCharType="begin"/>
      </w:r>
      <w:r w:rsidR="00630F69">
        <w:instrText xml:space="preserve"> SEQ Figure \* ARABIC </w:instrText>
      </w:r>
      <w:r w:rsidR="00630F69">
        <w:fldChar w:fldCharType="separate"/>
      </w:r>
      <w:r w:rsidR="00AC3DA5">
        <w:rPr>
          <w:noProof/>
        </w:rPr>
        <w:t>24</w:t>
      </w:r>
      <w:r w:rsidR="00630F69">
        <w:rPr>
          <w:noProof/>
        </w:rPr>
        <w:fldChar w:fldCharType="end"/>
      </w:r>
      <w:r w:rsidR="00DB4585" w:rsidRPr="008F0D22">
        <w:t xml:space="preserve">: </w:t>
      </w:r>
      <w:r w:rsidR="00DB4585">
        <w:rPr>
          <w:b w:val="0"/>
        </w:rPr>
        <w:t>At-risk-of-poverty rates (</w:t>
      </w:r>
      <w:r w:rsidR="00525D4A">
        <w:rPr>
          <w:b w:val="0"/>
        </w:rPr>
        <w:t>before</w:t>
      </w:r>
      <w:r w:rsidR="00DB4585">
        <w:rPr>
          <w:b w:val="0"/>
        </w:rPr>
        <w:t xml:space="preserve"> housing cost), Germany</w:t>
      </w:r>
      <w:bookmarkEnd w:id="51"/>
    </w:p>
    <w:p w:rsidR="00B50477" w:rsidRDefault="00B50477" w:rsidP="00DB4585"/>
    <w:p w:rsidR="00B50477" w:rsidRPr="00DB4585" w:rsidRDefault="005628AD" w:rsidP="00DB4585">
      <w:r w:rsidRPr="00133B41">
        <w:rPr>
          <w:noProof/>
          <w:lang w:val="fi-FI" w:eastAsia="fi-FI"/>
        </w:rPr>
        <w:lastRenderedPageBreak/>
        <w:drawing>
          <wp:inline distT="0" distB="0" distL="0" distR="0" wp14:anchorId="45701A7C" wp14:editId="78B4E47B">
            <wp:extent cx="4287600" cy="3888000"/>
            <wp:effectExtent l="0" t="0" r="0" b="0"/>
            <wp:docPr id="28" name="Εικόνα 1" descr="C:\Users\csofian\Desktop\MAPS_24_3_2014\NEW_JPGs_26_3_2014\TIPSE_24_3_2014_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sofian\Desktop\MAPS_24_3_2014\NEW_JPGs_26_3_2014\TIPSE_24_3_2014_IT.jpg"/>
                    <pic:cNvPicPr>
                      <a:picLocks noChangeAspect="1" noChangeArrowheads="1"/>
                    </pic:cNvPicPr>
                  </pic:nvPicPr>
                  <pic:blipFill rotWithShape="1">
                    <a:blip r:embed="rId46" cstate="print"/>
                    <a:srcRect l="4054" t="15935" r="4054" b="25104"/>
                    <a:stretch/>
                  </pic:blipFill>
                  <pic:spPr bwMode="auto">
                    <a:xfrm>
                      <a:off x="0" y="0"/>
                      <a:ext cx="4287600" cy="3888000"/>
                    </a:xfrm>
                    <a:prstGeom prst="rect">
                      <a:avLst/>
                    </a:prstGeom>
                    <a:noFill/>
                    <a:ln>
                      <a:noFill/>
                    </a:ln>
                    <a:extLst>
                      <a:ext uri="{53640926-AAD7-44D8-BBD7-CCE9431645EC}">
                        <a14:shadowObscured xmlns:a14="http://schemas.microsoft.com/office/drawing/2010/main"/>
                      </a:ext>
                    </a:extLst>
                  </pic:spPr>
                </pic:pic>
              </a:graphicData>
            </a:graphic>
          </wp:inline>
        </w:drawing>
      </w:r>
    </w:p>
    <w:p w:rsidR="00DB4585" w:rsidRDefault="00E94831" w:rsidP="00DB4585">
      <w:pPr>
        <w:pStyle w:val="Kuvaotsikko"/>
        <w:rPr>
          <w:b w:val="0"/>
        </w:rPr>
      </w:pPr>
      <w:bookmarkStart w:id="52" w:name="_Toc401272728"/>
      <w:r>
        <w:t>Map</w:t>
      </w:r>
      <w:r w:rsidR="00DB4585" w:rsidRPr="008F0D22">
        <w:t xml:space="preserve"> </w:t>
      </w:r>
      <w:r w:rsidR="00630F69">
        <w:fldChar w:fldCharType="begin"/>
      </w:r>
      <w:r w:rsidR="00630F69">
        <w:instrText xml:space="preserve"> SEQ Figure \* ARABIC </w:instrText>
      </w:r>
      <w:r w:rsidR="00630F69">
        <w:fldChar w:fldCharType="separate"/>
      </w:r>
      <w:r w:rsidR="00AC3DA5">
        <w:rPr>
          <w:noProof/>
        </w:rPr>
        <w:t>25</w:t>
      </w:r>
      <w:r w:rsidR="00630F69">
        <w:rPr>
          <w:noProof/>
        </w:rPr>
        <w:fldChar w:fldCharType="end"/>
      </w:r>
      <w:r w:rsidR="00DB4585" w:rsidRPr="008F0D22">
        <w:t xml:space="preserve">: </w:t>
      </w:r>
      <w:r w:rsidR="00DB4585">
        <w:rPr>
          <w:b w:val="0"/>
        </w:rPr>
        <w:t>At-risk-of-poverty rates (</w:t>
      </w:r>
      <w:r w:rsidR="00525D4A">
        <w:rPr>
          <w:b w:val="0"/>
        </w:rPr>
        <w:t>before</w:t>
      </w:r>
      <w:r w:rsidR="00DB4585">
        <w:rPr>
          <w:b w:val="0"/>
        </w:rPr>
        <w:t xml:space="preserve"> housing cost), Italy</w:t>
      </w:r>
      <w:bookmarkEnd w:id="52"/>
    </w:p>
    <w:p w:rsidR="00525D4A" w:rsidRPr="00525D4A" w:rsidRDefault="00525D4A" w:rsidP="00525D4A"/>
    <w:p w:rsidR="00B50477" w:rsidRPr="00DB4585" w:rsidRDefault="002E4904" w:rsidP="00DB4585">
      <w:r>
        <w:rPr>
          <w:noProof/>
          <w:lang w:val="fi-FI" w:eastAsia="fi-FI"/>
        </w:rPr>
        <w:drawing>
          <wp:inline distT="0" distB="0" distL="0" distR="0" wp14:anchorId="4EAE2FEE" wp14:editId="0B719102">
            <wp:extent cx="4294800" cy="3880800"/>
            <wp:effectExtent l="0" t="0" r="0" b="5715"/>
            <wp:docPr id="33" name="Picture 1" descr="H:\ \RESEARCH_PROJECTS\TIPSE\POVMAP_NEW\POVMAP_TURKEY\New_analysis_31_3_2014\MAPS_24_3_2014\TIPSE_24_3_2014_T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 \RESEARCH_PROJECTS\TIPSE\POVMAP_NEW\POVMAP_TURKEY\New_analysis_31_3_2014\MAPS_24_3_2014\TIPSE_24_3_2014_TR2.jpg"/>
                    <pic:cNvPicPr>
                      <a:picLocks noChangeAspect="1" noChangeArrowheads="1"/>
                    </pic:cNvPicPr>
                  </pic:nvPicPr>
                  <pic:blipFill rotWithShape="1">
                    <a:blip r:embed="rId47"/>
                    <a:srcRect l="4154" t="16092" r="3907" b="25160"/>
                    <a:stretch/>
                  </pic:blipFill>
                  <pic:spPr bwMode="auto">
                    <a:xfrm>
                      <a:off x="0" y="0"/>
                      <a:ext cx="4294800" cy="3880800"/>
                    </a:xfrm>
                    <a:prstGeom prst="rect">
                      <a:avLst/>
                    </a:prstGeom>
                    <a:noFill/>
                    <a:ln>
                      <a:noFill/>
                    </a:ln>
                    <a:extLst>
                      <a:ext uri="{53640926-AAD7-44D8-BBD7-CCE9431645EC}">
                        <a14:shadowObscured xmlns:a14="http://schemas.microsoft.com/office/drawing/2010/main"/>
                      </a:ext>
                    </a:extLst>
                  </pic:spPr>
                </pic:pic>
              </a:graphicData>
            </a:graphic>
          </wp:inline>
        </w:drawing>
      </w:r>
    </w:p>
    <w:p w:rsidR="00DB4585" w:rsidRDefault="00E94831" w:rsidP="00DB4585">
      <w:pPr>
        <w:pStyle w:val="Kuvaotsikko"/>
        <w:rPr>
          <w:b w:val="0"/>
        </w:rPr>
      </w:pPr>
      <w:bookmarkStart w:id="53" w:name="_Toc401272729"/>
      <w:r>
        <w:t>Map</w:t>
      </w:r>
      <w:r w:rsidR="00DB4585" w:rsidRPr="008F0D22">
        <w:t xml:space="preserve"> </w:t>
      </w:r>
      <w:r w:rsidR="00630F69">
        <w:fldChar w:fldCharType="begin"/>
      </w:r>
      <w:r w:rsidR="00630F69">
        <w:instrText xml:space="preserve"> SEQ Figure \* ARABIC </w:instrText>
      </w:r>
      <w:r w:rsidR="00630F69">
        <w:fldChar w:fldCharType="separate"/>
      </w:r>
      <w:r w:rsidR="00AC3DA5">
        <w:rPr>
          <w:noProof/>
        </w:rPr>
        <w:t>26</w:t>
      </w:r>
      <w:r w:rsidR="00630F69">
        <w:rPr>
          <w:noProof/>
        </w:rPr>
        <w:fldChar w:fldCharType="end"/>
      </w:r>
      <w:r w:rsidR="00DB4585" w:rsidRPr="008F0D22">
        <w:t xml:space="preserve">: </w:t>
      </w:r>
      <w:r w:rsidR="00DB4585">
        <w:rPr>
          <w:b w:val="0"/>
        </w:rPr>
        <w:t>At-risk-of-poverty rates (</w:t>
      </w:r>
      <w:r w:rsidR="00525D4A">
        <w:rPr>
          <w:b w:val="0"/>
        </w:rPr>
        <w:t>before</w:t>
      </w:r>
      <w:r w:rsidR="00DB4585">
        <w:rPr>
          <w:b w:val="0"/>
        </w:rPr>
        <w:t xml:space="preserve"> housing cost), Turkey</w:t>
      </w:r>
      <w:bookmarkEnd w:id="53"/>
    </w:p>
    <w:p w:rsidR="008564B4" w:rsidRDefault="008564B4" w:rsidP="00D97A21"/>
    <w:p w:rsidR="00D97A21" w:rsidRDefault="00D97A21" w:rsidP="00D97A21">
      <w:pPr>
        <w:pStyle w:val="Otsikko2"/>
      </w:pPr>
      <w:bookmarkStart w:id="54" w:name="_Toc393812344"/>
      <w:r>
        <w:t>Direct apportionment</w:t>
      </w:r>
      <w:bookmarkEnd w:id="54"/>
    </w:p>
    <w:p w:rsidR="001D0257" w:rsidRDefault="001D0257" w:rsidP="001D0257">
      <w:pPr>
        <w:rPr>
          <w:color w:val="000000" w:themeColor="text1"/>
        </w:rPr>
      </w:pPr>
      <w:r w:rsidRPr="009F05D2">
        <w:rPr>
          <w:color w:val="000000" w:themeColor="text1"/>
        </w:rPr>
        <w:t>This s</w:t>
      </w:r>
      <w:r>
        <w:rPr>
          <w:color w:val="000000" w:themeColor="text1"/>
        </w:rPr>
        <w:t>e</w:t>
      </w:r>
      <w:r w:rsidRPr="009F05D2">
        <w:rPr>
          <w:color w:val="000000" w:themeColor="text1"/>
        </w:rPr>
        <w:t>ction</w:t>
      </w:r>
      <w:r>
        <w:rPr>
          <w:color w:val="000000" w:themeColor="text1"/>
        </w:rPr>
        <w:t xml:space="preserve"> describes the implementation of the direct apportionment method as an</w:t>
      </w:r>
      <w:r w:rsidR="003F1E76">
        <w:rPr>
          <w:color w:val="000000" w:themeColor="text1"/>
        </w:rPr>
        <w:t xml:space="preserve"> Alternative</w:t>
      </w:r>
      <w:r>
        <w:rPr>
          <w:color w:val="000000" w:themeColor="text1"/>
        </w:rPr>
        <w:t xml:space="preserve"> approach to produce estimates of at-risk-of-poverty rates</w:t>
      </w:r>
      <w:r w:rsidR="004B6625">
        <w:rPr>
          <w:color w:val="000000" w:themeColor="text1"/>
        </w:rPr>
        <w:t xml:space="preserve"> for NUTS 3</w:t>
      </w:r>
      <w:r w:rsidR="003F1E76">
        <w:rPr>
          <w:color w:val="000000" w:themeColor="text1"/>
        </w:rPr>
        <w:t xml:space="preserve"> </w:t>
      </w:r>
      <w:r w:rsidR="00932A6A">
        <w:rPr>
          <w:color w:val="000000" w:themeColor="text1"/>
        </w:rPr>
        <w:t>regions</w:t>
      </w:r>
      <w:r>
        <w:rPr>
          <w:color w:val="000000" w:themeColor="text1"/>
        </w:rPr>
        <w:t xml:space="preserve">. It provides an overview of the methodology, its mains advantages and disadvantages, and the maps of </w:t>
      </w:r>
      <w:r w:rsidR="008632AA">
        <w:rPr>
          <w:color w:val="000000" w:themeColor="text1"/>
        </w:rPr>
        <w:t>ARoP</w:t>
      </w:r>
      <w:r>
        <w:rPr>
          <w:color w:val="000000" w:themeColor="text1"/>
        </w:rPr>
        <w:t xml:space="preserve"> rates for the relevant countries.</w:t>
      </w:r>
    </w:p>
    <w:p w:rsidR="00DB4585" w:rsidRDefault="00DB4585" w:rsidP="00DB4585">
      <w:pPr>
        <w:pStyle w:val="Kuvaotsikko"/>
      </w:pPr>
    </w:p>
    <w:p w:rsidR="00AF42BB" w:rsidRPr="008F0DE9" w:rsidRDefault="00AF42BB" w:rsidP="00AF42BB">
      <w:pPr>
        <w:pStyle w:val="Otsikko3"/>
      </w:pPr>
      <w:r w:rsidRPr="008F0DE9">
        <w:t>Overview of approach</w:t>
      </w:r>
    </w:p>
    <w:p w:rsidR="001D0257" w:rsidRDefault="008F0DE9" w:rsidP="001D0257">
      <w:r>
        <w:t xml:space="preserve">This approach consists of using poverty-related covariates as weights to apportion NUTS 2 level poverty rates to the desired NUTS 3 level. On example is to use the ratio of average income levels between NUTS 3 and NUTS 2 regions as the weight to apportion NUTS 2 </w:t>
      </w:r>
      <w:r w:rsidR="008632AA">
        <w:t>ARoP</w:t>
      </w:r>
      <w:r>
        <w:t xml:space="preserve"> rates to NUTS 3 </w:t>
      </w:r>
      <w:r w:rsidR="008632AA">
        <w:t>ARoP</w:t>
      </w:r>
      <w:r>
        <w:t xml:space="preserve"> rates.</w:t>
      </w:r>
      <w:r w:rsidR="003F1E76">
        <w:t xml:space="preserve"> The exact approach used differs according to country and is explained in Annex 1.</w:t>
      </w:r>
    </w:p>
    <w:p w:rsidR="008F0DE9" w:rsidRPr="001D0257" w:rsidRDefault="008F0DE9" w:rsidP="001D0257"/>
    <w:p w:rsidR="001D0257" w:rsidRPr="009548CA" w:rsidRDefault="001D0257" w:rsidP="001D0257">
      <w:pPr>
        <w:pStyle w:val="Otsikko3"/>
      </w:pPr>
      <w:r w:rsidRPr="009548CA">
        <w:t>Overview of strengths and weaknesses</w:t>
      </w:r>
    </w:p>
    <w:p w:rsidR="00AF42BB" w:rsidRDefault="009548CA" w:rsidP="00AF42BB">
      <w:r>
        <w:t xml:space="preserve">The main advantage of this approach is its simplicity. The main disadvantage is that the weights used in the apportionment may not correlate well with the distribution of poverty rates </w:t>
      </w:r>
      <w:r w:rsidR="008F0DE9">
        <w:t xml:space="preserve">within the sub-populations of interest (e.g. NUTS 3 regions) </w:t>
      </w:r>
      <w:r>
        <w:t>giving rise to measurement error in the estimates of at-risk-of-poverty rate.</w:t>
      </w:r>
    </w:p>
    <w:p w:rsidR="004B2E41" w:rsidRDefault="004B2E41" w:rsidP="004B2E41">
      <w:r>
        <w:t>As with the area based approach (above), it is not possible to carry out sensitivity analysis with different poverty lines.</w:t>
      </w:r>
    </w:p>
    <w:p w:rsidR="004B2E41" w:rsidRDefault="004B2E41" w:rsidP="00AF42BB"/>
    <w:p w:rsidR="00AF42BB" w:rsidRDefault="00AF42BB" w:rsidP="00AF42BB">
      <w:pPr>
        <w:pStyle w:val="Otsikko3"/>
      </w:pPr>
      <w:r>
        <w:t>At-risk-of-poverty rate maps</w:t>
      </w:r>
    </w:p>
    <w:p w:rsidR="00715983" w:rsidRDefault="00715983" w:rsidP="00715983">
      <w:pPr>
        <w:pStyle w:val="Kuvaotsikko"/>
      </w:pPr>
      <w:r>
        <w:rPr>
          <w:b w:val="0"/>
        </w:rPr>
        <w:t>The estimates of at-risk-of-poverty rates for NUTS 3 regions obtained using the direct apportionment methods are presented here</w:t>
      </w:r>
      <w:r w:rsidRPr="00CE6FEC">
        <w:rPr>
          <w:b w:val="0"/>
        </w:rPr>
        <w:t xml:space="preserve">. The figures show the spatial distribution of at-risk-of-poverty rates for </w:t>
      </w:r>
      <w:r>
        <w:rPr>
          <w:b w:val="0"/>
        </w:rPr>
        <w:t>Belgium, Portugal, Spain and Switzerland</w:t>
      </w:r>
      <w:r w:rsidRPr="00CE6FEC">
        <w:rPr>
          <w:b w:val="0"/>
        </w:rPr>
        <w:t xml:space="preserve"> respectively. </w:t>
      </w:r>
      <w:r>
        <w:rPr>
          <w:b w:val="0"/>
        </w:rPr>
        <w:t xml:space="preserve">Similarly to the previous figures, </w:t>
      </w:r>
      <w:r w:rsidR="008632AA">
        <w:rPr>
          <w:b w:val="0"/>
        </w:rPr>
        <w:t>ARoP</w:t>
      </w:r>
      <w:r>
        <w:rPr>
          <w:b w:val="0"/>
        </w:rPr>
        <w:t xml:space="preserve"> rates are grouped using </w:t>
      </w:r>
      <w:r w:rsidRPr="00CE6FEC">
        <w:rPr>
          <w:b w:val="0"/>
        </w:rPr>
        <w:t>quin</w:t>
      </w:r>
      <w:r>
        <w:rPr>
          <w:b w:val="0"/>
        </w:rPr>
        <w:t>tiles.</w:t>
      </w:r>
    </w:p>
    <w:p w:rsidR="00AF42BB" w:rsidRDefault="00AF42BB" w:rsidP="00AF42BB"/>
    <w:p w:rsidR="00C409B6" w:rsidRDefault="00C409B6" w:rsidP="00AF42BB"/>
    <w:p w:rsidR="00C409B6" w:rsidRDefault="00C409B6" w:rsidP="00AF42BB"/>
    <w:p w:rsidR="00C409B6" w:rsidRDefault="00C409B6" w:rsidP="00AF42BB"/>
    <w:p w:rsidR="00C409B6" w:rsidRDefault="00C409B6" w:rsidP="00AF42BB"/>
    <w:p w:rsidR="00C409B6" w:rsidRDefault="00C409B6" w:rsidP="00AF42BB"/>
    <w:p w:rsidR="00C409B6" w:rsidRDefault="00C409B6" w:rsidP="00AF42BB"/>
    <w:p w:rsidR="00C409B6" w:rsidRDefault="00C409B6" w:rsidP="00AF42BB"/>
    <w:p w:rsidR="00C409B6" w:rsidRDefault="00C409B6" w:rsidP="00AF42BB">
      <w:r>
        <w:rPr>
          <w:noProof/>
          <w:lang w:val="fi-FI" w:eastAsia="fi-FI"/>
        </w:rPr>
        <w:lastRenderedPageBreak/>
        <w:drawing>
          <wp:anchor distT="0" distB="0" distL="114300" distR="114300" simplePos="0" relativeHeight="251660288" behindDoc="1" locked="0" layoutInCell="1" allowOverlap="1" wp14:anchorId="1ED4C183" wp14:editId="63107283">
            <wp:simplePos x="0" y="0"/>
            <wp:positionH relativeFrom="column">
              <wp:posOffset>4445</wp:posOffset>
            </wp:positionH>
            <wp:positionV relativeFrom="paragraph">
              <wp:posOffset>-101600</wp:posOffset>
            </wp:positionV>
            <wp:extent cx="4402455" cy="3938270"/>
            <wp:effectExtent l="0" t="0" r="0" b="5080"/>
            <wp:wrapTight wrapText="bothSides">
              <wp:wrapPolygon edited="0">
                <wp:start x="0" y="0"/>
                <wp:lineTo x="0" y="21523"/>
                <wp:lineTo x="21497" y="21523"/>
                <wp:lineTo x="21497" y="0"/>
                <wp:lineTo x="0" y="0"/>
              </wp:wrapPolygon>
            </wp:wrapTight>
            <wp:docPr id="36"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stria_PovMap_BHC.png"/>
                    <pic:cNvPicPr/>
                  </pic:nvPicPr>
                  <pic:blipFill rotWithShape="1">
                    <a:blip r:embed="rId48" cstate="print">
                      <a:extLst>
                        <a:ext uri="{28A0092B-C50C-407E-A947-70E740481C1C}">
                          <a14:useLocalDpi xmlns:a14="http://schemas.microsoft.com/office/drawing/2010/main" val="0"/>
                        </a:ext>
                      </a:extLst>
                    </a:blip>
                    <a:srcRect l="2888" t="16006" r="2873" b="24275"/>
                    <a:stretch/>
                  </pic:blipFill>
                  <pic:spPr bwMode="auto">
                    <a:xfrm>
                      <a:off x="0" y="0"/>
                      <a:ext cx="4402455" cy="39382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409B6" w:rsidRDefault="00C409B6" w:rsidP="00AF42BB"/>
    <w:p w:rsidR="00C409B6" w:rsidRDefault="00C409B6" w:rsidP="00AF42BB"/>
    <w:p w:rsidR="00C409B6" w:rsidRDefault="00C409B6" w:rsidP="00AF42BB"/>
    <w:p w:rsidR="00C409B6" w:rsidRDefault="00C409B6" w:rsidP="00AF42BB"/>
    <w:p w:rsidR="00C409B6" w:rsidRDefault="00C409B6" w:rsidP="00AF42BB"/>
    <w:p w:rsidR="00C409B6" w:rsidRDefault="00C409B6" w:rsidP="00AF42BB"/>
    <w:p w:rsidR="00C409B6" w:rsidRDefault="00C409B6" w:rsidP="00AF42BB"/>
    <w:p w:rsidR="00C409B6" w:rsidRDefault="00C409B6" w:rsidP="00AF42BB"/>
    <w:p w:rsidR="00C409B6" w:rsidRDefault="00C409B6" w:rsidP="00AF42BB"/>
    <w:p w:rsidR="00C409B6" w:rsidRDefault="00C409B6" w:rsidP="00AF42BB"/>
    <w:p w:rsidR="00C409B6" w:rsidRDefault="00C409B6" w:rsidP="00AF42BB"/>
    <w:p w:rsidR="00C409B6" w:rsidRDefault="00C409B6" w:rsidP="00AF42BB"/>
    <w:p w:rsidR="00C409B6" w:rsidRDefault="00C409B6" w:rsidP="00AF42BB"/>
    <w:p w:rsidR="00C409B6" w:rsidRDefault="00E94831" w:rsidP="00C409B6">
      <w:pPr>
        <w:pStyle w:val="Kuvaotsikko"/>
        <w:rPr>
          <w:b w:val="0"/>
        </w:rPr>
      </w:pPr>
      <w:bookmarkStart w:id="55" w:name="_Toc401272730"/>
      <w:r>
        <w:t>Map</w:t>
      </w:r>
      <w:r w:rsidR="00C409B6" w:rsidRPr="008F0D22">
        <w:t xml:space="preserve"> </w:t>
      </w:r>
      <w:r w:rsidR="00630F69">
        <w:fldChar w:fldCharType="begin"/>
      </w:r>
      <w:r w:rsidR="00630F69">
        <w:instrText xml:space="preserve"> SEQ Figure \* ARABIC </w:instrText>
      </w:r>
      <w:r w:rsidR="00630F69">
        <w:fldChar w:fldCharType="separate"/>
      </w:r>
      <w:r w:rsidR="00AC3DA5">
        <w:rPr>
          <w:noProof/>
        </w:rPr>
        <w:t>27</w:t>
      </w:r>
      <w:r w:rsidR="00630F69">
        <w:rPr>
          <w:noProof/>
        </w:rPr>
        <w:fldChar w:fldCharType="end"/>
      </w:r>
      <w:r w:rsidR="00C409B6" w:rsidRPr="008F0D22">
        <w:t xml:space="preserve">: </w:t>
      </w:r>
      <w:r w:rsidR="00C409B6">
        <w:rPr>
          <w:b w:val="0"/>
        </w:rPr>
        <w:t>At-risk-of-poverty rates (before housing cost), Austria update for 2011</w:t>
      </w:r>
      <w:bookmarkEnd w:id="55"/>
    </w:p>
    <w:p w:rsidR="00C409B6" w:rsidRPr="00AF42BB" w:rsidRDefault="00C409B6" w:rsidP="00AF42BB"/>
    <w:p w:rsidR="003E3B09" w:rsidRDefault="003E3B09" w:rsidP="00DB4585">
      <w:pPr>
        <w:pStyle w:val="Kuvaotsikko"/>
      </w:pPr>
      <w:r>
        <w:rPr>
          <w:noProof/>
          <w:lang w:val="fi-FI" w:eastAsia="fi-FI"/>
        </w:rPr>
        <w:drawing>
          <wp:inline distT="0" distB="0" distL="0" distR="0" wp14:anchorId="09060713" wp14:editId="474A2491">
            <wp:extent cx="4298400" cy="3927600"/>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_NUTS3_BeforeHousingCost.tif"/>
                    <pic:cNvPicPr/>
                  </pic:nvPicPr>
                  <pic:blipFill rotWithShape="1">
                    <a:blip r:embed="rId49">
                      <a:extLst>
                        <a:ext uri="{28A0092B-C50C-407E-A947-70E740481C1C}">
                          <a14:useLocalDpi xmlns:a14="http://schemas.microsoft.com/office/drawing/2010/main" val="0"/>
                        </a:ext>
                      </a:extLst>
                    </a:blip>
                    <a:srcRect l="4003" t="15610" r="3817" b="24769"/>
                    <a:stretch/>
                  </pic:blipFill>
                  <pic:spPr bwMode="auto">
                    <a:xfrm>
                      <a:off x="0" y="0"/>
                      <a:ext cx="4298400" cy="3927600"/>
                    </a:xfrm>
                    <a:prstGeom prst="rect">
                      <a:avLst/>
                    </a:prstGeom>
                    <a:ln>
                      <a:noFill/>
                    </a:ln>
                    <a:extLst>
                      <a:ext uri="{53640926-AAD7-44D8-BBD7-CCE9431645EC}">
                        <a14:shadowObscured xmlns:a14="http://schemas.microsoft.com/office/drawing/2010/main"/>
                      </a:ext>
                    </a:extLst>
                  </pic:spPr>
                </pic:pic>
              </a:graphicData>
            </a:graphic>
          </wp:inline>
        </w:drawing>
      </w:r>
    </w:p>
    <w:p w:rsidR="00DB4585" w:rsidRDefault="00E94831" w:rsidP="00DB4585">
      <w:pPr>
        <w:pStyle w:val="Kuvaotsikko"/>
        <w:rPr>
          <w:b w:val="0"/>
        </w:rPr>
      </w:pPr>
      <w:bookmarkStart w:id="56" w:name="_Toc401272731"/>
      <w:r>
        <w:t>Map</w:t>
      </w:r>
      <w:r w:rsidR="00DB4585" w:rsidRPr="008F0D22">
        <w:t xml:space="preserve"> </w:t>
      </w:r>
      <w:r w:rsidR="00630F69">
        <w:fldChar w:fldCharType="begin"/>
      </w:r>
      <w:r w:rsidR="00630F69">
        <w:instrText xml:space="preserve"> SEQ Figure \* ARABIC </w:instrText>
      </w:r>
      <w:r w:rsidR="00630F69">
        <w:fldChar w:fldCharType="separate"/>
      </w:r>
      <w:r w:rsidR="00AC3DA5">
        <w:rPr>
          <w:noProof/>
        </w:rPr>
        <w:t>28</w:t>
      </w:r>
      <w:r w:rsidR="00630F69">
        <w:rPr>
          <w:noProof/>
        </w:rPr>
        <w:fldChar w:fldCharType="end"/>
      </w:r>
      <w:r w:rsidR="00DB4585" w:rsidRPr="008F0D22">
        <w:t xml:space="preserve">: </w:t>
      </w:r>
      <w:r w:rsidR="00DB4585">
        <w:rPr>
          <w:b w:val="0"/>
        </w:rPr>
        <w:t>At-risk-of-poverty rates (</w:t>
      </w:r>
      <w:r w:rsidR="00525D4A">
        <w:rPr>
          <w:b w:val="0"/>
        </w:rPr>
        <w:t>before</w:t>
      </w:r>
      <w:r w:rsidR="00DB4585">
        <w:rPr>
          <w:b w:val="0"/>
        </w:rPr>
        <w:t xml:space="preserve"> housing cost), Belgium</w:t>
      </w:r>
      <w:bookmarkEnd w:id="56"/>
    </w:p>
    <w:p w:rsidR="003E3B09" w:rsidRPr="00DB4585" w:rsidRDefault="003E3B09" w:rsidP="00DB4585">
      <w:r>
        <w:rPr>
          <w:noProof/>
          <w:lang w:val="fi-FI" w:eastAsia="fi-FI"/>
        </w:rPr>
        <w:lastRenderedPageBreak/>
        <w:drawing>
          <wp:inline distT="0" distB="0" distL="0" distR="0" wp14:anchorId="02699F27" wp14:editId="290B51CB">
            <wp:extent cx="4273200" cy="3880800"/>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SE_PovertyMapping Portugal 2014-03-24 no data.tif"/>
                    <pic:cNvPicPr/>
                  </pic:nvPicPr>
                  <pic:blipFill rotWithShape="1">
                    <a:blip r:embed="rId50" cstate="print">
                      <a:extLst>
                        <a:ext uri="{28A0092B-C50C-407E-A947-70E740481C1C}">
                          <a14:useLocalDpi xmlns:a14="http://schemas.microsoft.com/office/drawing/2010/main" val="0"/>
                        </a:ext>
                      </a:extLst>
                    </a:blip>
                    <a:srcRect t="7922"/>
                    <a:stretch/>
                  </pic:blipFill>
                  <pic:spPr bwMode="auto">
                    <a:xfrm>
                      <a:off x="0" y="0"/>
                      <a:ext cx="4273200" cy="3880800"/>
                    </a:xfrm>
                    <a:prstGeom prst="rect">
                      <a:avLst/>
                    </a:prstGeom>
                    <a:ln>
                      <a:noFill/>
                    </a:ln>
                    <a:extLst>
                      <a:ext uri="{53640926-AAD7-44D8-BBD7-CCE9431645EC}">
                        <a14:shadowObscured xmlns:a14="http://schemas.microsoft.com/office/drawing/2010/main"/>
                      </a:ext>
                    </a:extLst>
                  </pic:spPr>
                </pic:pic>
              </a:graphicData>
            </a:graphic>
          </wp:inline>
        </w:drawing>
      </w:r>
    </w:p>
    <w:p w:rsidR="00DB4585" w:rsidRDefault="00E94831" w:rsidP="00DB4585">
      <w:pPr>
        <w:pStyle w:val="Kuvaotsikko"/>
        <w:rPr>
          <w:b w:val="0"/>
        </w:rPr>
      </w:pPr>
      <w:bookmarkStart w:id="57" w:name="_Toc401272732"/>
      <w:r>
        <w:t>Map</w:t>
      </w:r>
      <w:r w:rsidR="00DB4585" w:rsidRPr="008F0D22">
        <w:t xml:space="preserve"> </w:t>
      </w:r>
      <w:r w:rsidR="00630F69">
        <w:fldChar w:fldCharType="begin"/>
      </w:r>
      <w:r w:rsidR="00630F69">
        <w:instrText xml:space="preserve"> SEQ Figure \* ARABIC </w:instrText>
      </w:r>
      <w:r w:rsidR="00630F69">
        <w:fldChar w:fldCharType="separate"/>
      </w:r>
      <w:r w:rsidR="00AC3DA5">
        <w:rPr>
          <w:noProof/>
        </w:rPr>
        <w:t>29</w:t>
      </w:r>
      <w:r w:rsidR="00630F69">
        <w:rPr>
          <w:noProof/>
        </w:rPr>
        <w:fldChar w:fldCharType="end"/>
      </w:r>
      <w:r w:rsidR="00DB4585" w:rsidRPr="008F0D22">
        <w:t xml:space="preserve">: </w:t>
      </w:r>
      <w:r w:rsidR="00DB4585">
        <w:rPr>
          <w:b w:val="0"/>
        </w:rPr>
        <w:t>At-risk-of-poverty rates (</w:t>
      </w:r>
      <w:r w:rsidR="00525D4A">
        <w:rPr>
          <w:b w:val="0"/>
        </w:rPr>
        <w:t>before</w:t>
      </w:r>
      <w:r w:rsidR="00DB4585">
        <w:rPr>
          <w:b w:val="0"/>
        </w:rPr>
        <w:t xml:space="preserve"> housing cost), Portugal</w:t>
      </w:r>
      <w:bookmarkEnd w:id="57"/>
    </w:p>
    <w:p w:rsidR="002F0B0B" w:rsidRPr="002F0B0B" w:rsidRDefault="002F0B0B" w:rsidP="002F0B0B"/>
    <w:p w:rsidR="00DB4585" w:rsidRPr="00DB4585" w:rsidRDefault="003E3B09" w:rsidP="00DB4585">
      <w:r>
        <w:rPr>
          <w:noProof/>
          <w:lang w:val="fi-FI" w:eastAsia="fi-FI"/>
        </w:rPr>
        <w:drawing>
          <wp:inline distT="0" distB="0" distL="0" distR="0" wp14:anchorId="324D9C2F" wp14:editId="666D93D5">
            <wp:extent cx="4298400" cy="3895200"/>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SE_PovertyMapping Spain 2010 2014-03-21.tif"/>
                    <pic:cNvPicPr/>
                  </pic:nvPicPr>
                  <pic:blipFill rotWithShape="1">
                    <a:blip r:embed="rId51" cstate="print">
                      <a:extLst>
                        <a:ext uri="{28A0092B-C50C-407E-A947-70E740481C1C}">
                          <a14:useLocalDpi xmlns:a14="http://schemas.microsoft.com/office/drawing/2010/main" val="0"/>
                        </a:ext>
                      </a:extLst>
                    </a:blip>
                    <a:srcRect t="8115"/>
                    <a:stretch/>
                  </pic:blipFill>
                  <pic:spPr bwMode="auto">
                    <a:xfrm>
                      <a:off x="0" y="0"/>
                      <a:ext cx="4298400" cy="3895200"/>
                    </a:xfrm>
                    <a:prstGeom prst="rect">
                      <a:avLst/>
                    </a:prstGeom>
                    <a:ln>
                      <a:noFill/>
                    </a:ln>
                    <a:extLst>
                      <a:ext uri="{53640926-AAD7-44D8-BBD7-CCE9431645EC}">
                        <a14:shadowObscured xmlns:a14="http://schemas.microsoft.com/office/drawing/2010/main"/>
                      </a:ext>
                    </a:extLst>
                  </pic:spPr>
                </pic:pic>
              </a:graphicData>
            </a:graphic>
          </wp:inline>
        </w:drawing>
      </w:r>
    </w:p>
    <w:p w:rsidR="00C35DCF" w:rsidRPr="002F0B0B" w:rsidRDefault="00E94831" w:rsidP="002F0B0B">
      <w:pPr>
        <w:pStyle w:val="Kuvaotsikko"/>
        <w:rPr>
          <w:b w:val="0"/>
        </w:rPr>
      </w:pPr>
      <w:bookmarkStart w:id="58" w:name="_Toc401272733"/>
      <w:r>
        <w:t>Map</w:t>
      </w:r>
      <w:r w:rsidR="00DB4585" w:rsidRPr="008F0D22">
        <w:t xml:space="preserve"> </w:t>
      </w:r>
      <w:r w:rsidR="00630F69">
        <w:fldChar w:fldCharType="begin"/>
      </w:r>
      <w:r w:rsidR="00630F69">
        <w:instrText xml:space="preserve"> SEQ Figure \* ARABIC </w:instrText>
      </w:r>
      <w:r w:rsidR="00630F69">
        <w:fldChar w:fldCharType="separate"/>
      </w:r>
      <w:r w:rsidR="00AC3DA5">
        <w:rPr>
          <w:noProof/>
        </w:rPr>
        <w:t>30</w:t>
      </w:r>
      <w:r w:rsidR="00630F69">
        <w:rPr>
          <w:noProof/>
        </w:rPr>
        <w:fldChar w:fldCharType="end"/>
      </w:r>
      <w:r w:rsidR="00DB4585" w:rsidRPr="008F0D22">
        <w:t xml:space="preserve">: </w:t>
      </w:r>
      <w:r w:rsidR="00DB4585">
        <w:rPr>
          <w:b w:val="0"/>
        </w:rPr>
        <w:t>At-risk-of-poverty rates (</w:t>
      </w:r>
      <w:r w:rsidR="00525D4A">
        <w:rPr>
          <w:b w:val="0"/>
        </w:rPr>
        <w:t>before</w:t>
      </w:r>
      <w:r w:rsidR="00DB4585">
        <w:rPr>
          <w:b w:val="0"/>
        </w:rPr>
        <w:t xml:space="preserve"> housing cost), Spain</w:t>
      </w:r>
      <w:bookmarkEnd w:id="58"/>
    </w:p>
    <w:p w:rsidR="003E3B09" w:rsidRPr="00DB4585" w:rsidRDefault="003E3B09" w:rsidP="00DB4585">
      <w:r>
        <w:rPr>
          <w:noProof/>
          <w:lang w:val="fi-FI" w:eastAsia="fi-FI"/>
        </w:rPr>
        <w:lastRenderedPageBreak/>
        <w:drawing>
          <wp:inline distT="0" distB="0" distL="0" distR="0" wp14:anchorId="14CD4DA4" wp14:editId="23283857">
            <wp:extent cx="4302000" cy="3895200"/>
            <wp:effectExtent l="0" t="0" r="3810" b="0"/>
            <wp:docPr id="12" name="Kép 1" descr="TiPSE_AROP_Switzerl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SE_AROP_Switzerland.png"/>
                    <pic:cNvPicPr/>
                  </pic:nvPicPr>
                  <pic:blipFill rotWithShape="1">
                    <a:blip r:embed="rId52" cstate="print"/>
                    <a:srcRect l="4005" t="16039" r="3817" b="24819"/>
                    <a:stretch/>
                  </pic:blipFill>
                  <pic:spPr bwMode="auto">
                    <a:xfrm>
                      <a:off x="0" y="0"/>
                      <a:ext cx="4302000" cy="3895200"/>
                    </a:xfrm>
                    <a:prstGeom prst="rect">
                      <a:avLst/>
                    </a:prstGeom>
                    <a:ln>
                      <a:noFill/>
                    </a:ln>
                    <a:extLst>
                      <a:ext uri="{53640926-AAD7-44D8-BBD7-CCE9431645EC}">
                        <a14:shadowObscured xmlns:a14="http://schemas.microsoft.com/office/drawing/2010/main"/>
                      </a:ext>
                    </a:extLst>
                  </pic:spPr>
                </pic:pic>
              </a:graphicData>
            </a:graphic>
          </wp:inline>
        </w:drawing>
      </w:r>
    </w:p>
    <w:p w:rsidR="00DB4585" w:rsidRDefault="00E94831" w:rsidP="00DB4585">
      <w:pPr>
        <w:pStyle w:val="Kuvaotsikko"/>
        <w:rPr>
          <w:b w:val="0"/>
        </w:rPr>
      </w:pPr>
      <w:bookmarkStart w:id="59" w:name="_Toc401272734"/>
      <w:r>
        <w:t>Map</w:t>
      </w:r>
      <w:r w:rsidR="00DB4585" w:rsidRPr="008F0D22">
        <w:t xml:space="preserve"> </w:t>
      </w:r>
      <w:r w:rsidR="00630F69">
        <w:fldChar w:fldCharType="begin"/>
      </w:r>
      <w:r w:rsidR="00630F69">
        <w:instrText xml:space="preserve"> SEQ Figure \* ARABIC </w:instrText>
      </w:r>
      <w:r w:rsidR="00630F69">
        <w:fldChar w:fldCharType="separate"/>
      </w:r>
      <w:r w:rsidR="00AC3DA5">
        <w:rPr>
          <w:noProof/>
        </w:rPr>
        <w:t>31</w:t>
      </w:r>
      <w:r w:rsidR="00630F69">
        <w:rPr>
          <w:noProof/>
        </w:rPr>
        <w:fldChar w:fldCharType="end"/>
      </w:r>
      <w:r w:rsidR="00DB4585" w:rsidRPr="008F0D22">
        <w:t xml:space="preserve">: </w:t>
      </w:r>
      <w:r w:rsidR="00DB4585">
        <w:rPr>
          <w:b w:val="0"/>
        </w:rPr>
        <w:t>At-risk-of-poverty rates (</w:t>
      </w:r>
      <w:r w:rsidR="00525D4A">
        <w:rPr>
          <w:b w:val="0"/>
        </w:rPr>
        <w:t>before</w:t>
      </w:r>
      <w:r w:rsidR="00DB4585">
        <w:rPr>
          <w:b w:val="0"/>
        </w:rPr>
        <w:t xml:space="preserve"> housing cost), Switzerland</w:t>
      </w:r>
      <w:bookmarkEnd w:id="59"/>
    </w:p>
    <w:p w:rsidR="005F50FC" w:rsidRDefault="006C2617" w:rsidP="005F50FC">
      <w:pPr>
        <w:pStyle w:val="Otsikko1"/>
      </w:pPr>
      <w:r>
        <w:br w:type="column"/>
      </w:r>
      <w:bookmarkStart w:id="60" w:name="_Toc393812345"/>
      <w:r w:rsidR="003511C9" w:rsidRPr="00D86B21">
        <w:lastRenderedPageBreak/>
        <w:t>Recommendations for future data collection</w:t>
      </w:r>
      <w:bookmarkEnd w:id="60"/>
    </w:p>
    <w:p w:rsidR="004E0ACE" w:rsidRDefault="00FC6BEF" w:rsidP="004E0ACE">
      <w:r>
        <w:t>In theory</w:t>
      </w:r>
      <w:r w:rsidR="004E0ACE">
        <w:t xml:space="preserve"> each individual country should be able to produce its own small area estimates of at-risk-of-poverty rates, using one of the following approaches:</w:t>
      </w:r>
    </w:p>
    <w:p w:rsidR="004E0ACE" w:rsidRDefault="00D86B21" w:rsidP="00A16958">
      <w:pPr>
        <w:pStyle w:val="Luettelokappale"/>
        <w:numPr>
          <w:ilvl w:val="0"/>
          <w:numId w:val="6"/>
        </w:numPr>
      </w:pPr>
      <w:r>
        <w:t>Direct measures of p</w:t>
      </w:r>
      <w:r w:rsidR="004E0ACE">
        <w:t>opulation and income statistics from register-based systems (e.g. Nordic countries).</w:t>
      </w:r>
    </w:p>
    <w:p w:rsidR="004E0ACE" w:rsidRDefault="004E0ACE" w:rsidP="00A16958">
      <w:pPr>
        <w:pStyle w:val="Luettelokappale"/>
        <w:numPr>
          <w:ilvl w:val="0"/>
          <w:numId w:val="6"/>
        </w:numPr>
      </w:pPr>
      <w:r>
        <w:t>Combination of national or EU-SILC survey data with national census data using some form of small area estimation (SAE) techniques.</w:t>
      </w:r>
    </w:p>
    <w:p w:rsidR="004E0ACE" w:rsidRDefault="004E0ACE" w:rsidP="00A16958">
      <w:pPr>
        <w:pStyle w:val="Luettelokappale"/>
        <w:numPr>
          <w:ilvl w:val="0"/>
          <w:numId w:val="6"/>
        </w:numPr>
      </w:pPr>
      <w:r>
        <w:t>Direct estimation from national survey data, although issues of small sample size and incomplete spatial coverage are likely to require some form of SAE (see previous point).</w:t>
      </w:r>
    </w:p>
    <w:p w:rsidR="003511C9" w:rsidRDefault="003511C9" w:rsidP="003511C9">
      <w:r>
        <w:t>Where none of these approaches is followed by the national statistics agency</w:t>
      </w:r>
      <w:r w:rsidR="00391969">
        <w:t>, and where data availability was insufficient to allow PovMap to be implemented,</w:t>
      </w:r>
      <w:r>
        <w:t xml:space="preserve"> it was necessary to use less robust, empirical approaches to produce at-risk-of-poverty rates for NUTS 3 regions. The main data obstacles were (either):</w:t>
      </w:r>
    </w:p>
    <w:p w:rsidR="003511C9" w:rsidRDefault="003511C9" w:rsidP="00A16958">
      <w:pPr>
        <w:pStyle w:val="Luettelokappale"/>
        <w:numPr>
          <w:ilvl w:val="0"/>
          <w:numId w:val="21"/>
        </w:numPr>
        <w:spacing w:before="0"/>
      </w:pPr>
      <w:r>
        <w:t>insufficiently detailed regional classification in the EU-SILC microdata,</w:t>
      </w:r>
    </w:p>
    <w:p w:rsidR="003511C9" w:rsidRDefault="003511C9" w:rsidP="00A16958">
      <w:pPr>
        <w:pStyle w:val="Luettelokappale"/>
        <w:numPr>
          <w:ilvl w:val="0"/>
          <w:numId w:val="21"/>
        </w:numPr>
        <w:spacing w:before="0"/>
      </w:pPr>
      <w:r>
        <w:t>a poor match with covariates in the national census microdata, or</w:t>
      </w:r>
    </w:p>
    <w:p w:rsidR="003511C9" w:rsidRDefault="003511C9" w:rsidP="00A16958">
      <w:pPr>
        <w:pStyle w:val="Luettelokappale"/>
        <w:numPr>
          <w:ilvl w:val="0"/>
          <w:numId w:val="21"/>
        </w:numPr>
        <w:spacing w:before="0" w:after="240"/>
      </w:pPr>
      <w:r>
        <w:t xml:space="preserve">non-availability of census microdata. </w:t>
      </w:r>
    </w:p>
    <w:p w:rsidR="004E0ACE" w:rsidRPr="008A307D" w:rsidRDefault="00FC6BEF" w:rsidP="00391969">
      <w:pPr>
        <w:spacing w:after="240"/>
      </w:pPr>
      <w:r>
        <w:t>A key point is that only with full register data or PovMap is it possible to experiment with different poverty lines. With the simpler approaches the poverty line becomes “locked in” at an early stage. This is a crucial point when it comes to collating the individual poverty maps and studying patterns at a continental scale. The incorporation of area based, and direct apportionment maps, in our collection drastically reduces our options for adjusting the maps to a European poverty line.</w:t>
      </w:r>
    </w:p>
    <w:p w:rsidR="00153949" w:rsidRDefault="00391969" w:rsidP="00153949">
      <w:pPr>
        <w:spacing w:before="0"/>
      </w:pPr>
      <w:r>
        <w:t>In the light of our experience we would recommend:</w:t>
      </w:r>
    </w:p>
    <w:p w:rsidR="00D86B21" w:rsidRDefault="00391969" w:rsidP="00A16958">
      <w:pPr>
        <w:pStyle w:val="Luettelokappale"/>
        <w:numPr>
          <w:ilvl w:val="0"/>
          <w:numId w:val="22"/>
        </w:numPr>
        <w:spacing w:before="0"/>
      </w:pPr>
      <w:r>
        <w:t>T</w:t>
      </w:r>
      <w:r w:rsidR="00D86B21">
        <w:t xml:space="preserve">hat </w:t>
      </w:r>
      <w:r w:rsidR="008544A4">
        <w:t xml:space="preserve">(in the short term) </w:t>
      </w:r>
      <w:r>
        <w:t>NUTS 2</w:t>
      </w:r>
      <w:r w:rsidR="00D86B21">
        <w:t xml:space="preserve"> identifiers be included in the</w:t>
      </w:r>
      <w:r w:rsidR="00D86B21" w:rsidRPr="00D86B21">
        <w:t xml:space="preserve"> </w:t>
      </w:r>
      <w:r w:rsidR="00D86B21">
        <w:t xml:space="preserve">EU-SILC </w:t>
      </w:r>
      <w:r>
        <w:t>microdata for all countries.</w:t>
      </w:r>
    </w:p>
    <w:p w:rsidR="00391969" w:rsidRDefault="00391969" w:rsidP="00A16958">
      <w:pPr>
        <w:pStyle w:val="Luettelokappale"/>
        <w:numPr>
          <w:ilvl w:val="0"/>
          <w:numId w:val="22"/>
        </w:numPr>
        <w:spacing w:before="0"/>
      </w:pPr>
      <w:r>
        <w:t xml:space="preserve">That </w:t>
      </w:r>
      <w:r w:rsidR="008544A4">
        <w:t xml:space="preserve">(in the medium term) </w:t>
      </w:r>
      <w:r>
        <w:t>consideration be given to aligning EU-SILC covariates with the variables of the hyper-tables of the new Eurostat Census Hub.</w:t>
      </w:r>
    </w:p>
    <w:p w:rsidR="00391969" w:rsidRDefault="008544A4" w:rsidP="00A16958">
      <w:pPr>
        <w:pStyle w:val="Luettelokappale"/>
        <w:numPr>
          <w:ilvl w:val="0"/>
          <w:numId w:val="22"/>
        </w:numPr>
        <w:spacing w:before="0"/>
      </w:pPr>
      <w:r>
        <w:t>In the longer term, s</w:t>
      </w:r>
      <w:r w:rsidR="00391969">
        <w:t xml:space="preserve">ince the trend seems to be increasingly towards register/survey-based systems and away from the conventional census, consideration should be given to specifying regional </w:t>
      </w:r>
      <w:r w:rsidR="008632AA">
        <w:t>ARoP</w:t>
      </w:r>
      <w:r w:rsidR="00391969">
        <w:t xml:space="preserve"> rates as an element of the Census Hub </w:t>
      </w:r>
      <w:r w:rsidR="009E4FF7">
        <w:t>hyper tables</w:t>
      </w:r>
      <w:r w:rsidR="00391969">
        <w:t xml:space="preserve">. These should be expressed both in terms of national poverty lines </w:t>
      </w:r>
      <w:r w:rsidR="00391969" w:rsidRPr="009E4FF7">
        <w:t>and</w:t>
      </w:r>
      <w:r w:rsidR="00391969">
        <w:t xml:space="preserve"> an EU-28 poverty line, adjusted for Purchasing Power Parity.</w:t>
      </w:r>
    </w:p>
    <w:p w:rsidR="00CD058B" w:rsidRPr="00CD058B" w:rsidRDefault="008544A4" w:rsidP="00CD058B">
      <w:pPr>
        <w:pStyle w:val="Otsikko1"/>
        <w:spacing w:before="0" w:after="0"/>
        <w:ind w:hanging="624"/>
      </w:pPr>
      <w:r>
        <w:br w:type="column"/>
      </w:r>
      <w:bookmarkStart w:id="61" w:name="_Toc393812346"/>
      <w:r w:rsidR="00CD058B" w:rsidRPr="00D86B21">
        <w:lastRenderedPageBreak/>
        <w:t>R</w:t>
      </w:r>
      <w:r w:rsidR="00CD058B">
        <w:t>eferences</w:t>
      </w:r>
      <w:bookmarkEnd w:id="61"/>
      <w:r w:rsidR="0097111F">
        <w:rPr>
          <w:noProof/>
        </w:rPr>
        <w:fldChar w:fldCharType="begin"/>
      </w:r>
      <w:r w:rsidR="0097111F" w:rsidRPr="0097111F">
        <w:rPr>
          <w:noProof/>
        </w:rPr>
        <w:instrText xml:space="preserve"> ADDIN EN.REFLIST </w:instrText>
      </w:r>
      <w:r w:rsidR="0097111F">
        <w:rPr>
          <w:noProof/>
        </w:rPr>
        <w:fldChar w:fldCharType="separate"/>
      </w:r>
    </w:p>
    <w:p w:rsidR="00CD058B" w:rsidRPr="00CD058B" w:rsidRDefault="00CD058B" w:rsidP="00CD058B">
      <w:pPr>
        <w:spacing w:before="0"/>
        <w:ind w:left="624" w:hanging="624"/>
        <w:rPr>
          <w:noProof/>
        </w:rPr>
      </w:pPr>
      <w:bookmarkStart w:id="62" w:name="_ENREF_1"/>
      <w:r w:rsidRPr="00A260D4">
        <w:rPr>
          <w:noProof/>
          <w:lang w:val="sv-SE"/>
        </w:rPr>
        <w:t xml:space="preserve">ALDERMAN, H., BABITA, M., DEMOMBYNES, G., MAKHATHA, N. &amp; ÖZLER, B. 2001. </w:t>
      </w:r>
      <w:r w:rsidRPr="00CD058B">
        <w:rPr>
          <w:noProof/>
        </w:rPr>
        <w:t xml:space="preserve">How Low Can You Go? Combining Census and Survey Data for Mapping Poverty in South Africa. </w:t>
      </w:r>
      <w:r w:rsidRPr="00CD058B">
        <w:rPr>
          <w:i/>
          <w:noProof/>
        </w:rPr>
        <w:t>Journal of African Economies,</w:t>
      </w:r>
      <w:r w:rsidRPr="00CD058B">
        <w:rPr>
          <w:noProof/>
        </w:rPr>
        <w:t xml:space="preserve"> 11, 169–200.</w:t>
      </w:r>
      <w:bookmarkEnd w:id="62"/>
    </w:p>
    <w:p w:rsidR="00CD058B" w:rsidRPr="00CD058B" w:rsidRDefault="00CD058B" w:rsidP="00CD058B">
      <w:pPr>
        <w:spacing w:before="0"/>
        <w:ind w:left="624" w:hanging="624"/>
        <w:rPr>
          <w:noProof/>
        </w:rPr>
      </w:pPr>
      <w:bookmarkStart w:id="63" w:name="_ENREF_2"/>
      <w:r w:rsidRPr="00CD058B">
        <w:rPr>
          <w:noProof/>
        </w:rPr>
        <w:t>BANGLADESH BUREAU OF STATISTICS 2004. Local Estimation of Poverty and Malnutrition in Bangladesh. Bangladesh Bureau of Statistics and the United Nations World Food Program.</w:t>
      </w:r>
      <w:bookmarkEnd w:id="63"/>
    </w:p>
    <w:p w:rsidR="00CD058B" w:rsidRPr="00CD058B" w:rsidRDefault="00CD058B" w:rsidP="00CD058B">
      <w:pPr>
        <w:spacing w:before="0"/>
        <w:ind w:left="624" w:hanging="624"/>
        <w:rPr>
          <w:noProof/>
        </w:rPr>
      </w:pPr>
      <w:bookmarkStart w:id="64" w:name="_ENREF_3"/>
      <w:r w:rsidRPr="00A260D4">
        <w:rPr>
          <w:noProof/>
          <w:lang w:val="sv-SE"/>
        </w:rPr>
        <w:t xml:space="preserve">BETTI, G., DABALEN, A., FERRÈ, C. &amp; NERI, L. 2010. </w:t>
      </w:r>
      <w:r w:rsidRPr="00CD058B">
        <w:rPr>
          <w:noProof/>
        </w:rPr>
        <w:t xml:space="preserve">Further Updating Poverty Mapping In Albania. </w:t>
      </w:r>
      <w:r w:rsidRPr="00CD058B">
        <w:rPr>
          <w:i/>
          <w:noProof/>
        </w:rPr>
        <w:t>World Bank International Conference on Poverty and Social Inclusion in the Western Balkans WBalkans 2010.</w:t>
      </w:r>
      <w:r w:rsidRPr="00CD058B">
        <w:rPr>
          <w:noProof/>
        </w:rPr>
        <w:t xml:space="preserve"> Brussels, Belgium.</w:t>
      </w:r>
      <w:bookmarkEnd w:id="64"/>
    </w:p>
    <w:p w:rsidR="00CD058B" w:rsidRPr="00CD058B" w:rsidRDefault="00CD058B" w:rsidP="00CD058B">
      <w:pPr>
        <w:spacing w:before="0"/>
        <w:ind w:left="624" w:hanging="624"/>
        <w:rPr>
          <w:noProof/>
        </w:rPr>
      </w:pPr>
      <w:bookmarkStart w:id="65" w:name="_ENREF_4"/>
      <w:r w:rsidRPr="00CD058B">
        <w:rPr>
          <w:noProof/>
        </w:rPr>
        <w:t xml:space="preserve">BIGMAN, D., S. DERCON, GUILLAUME, D. &amp; LAMBOTTE, M. 2000. Community Targeting for Poverty Reduction in Burkina Faso. </w:t>
      </w:r>
      <w:r w:rsidRPr="00CD058B">
        <w:rPr>
          <w:i/>
          <w:noProof/>
        </w:rPr>
        <w:t>The World Bank Economic Review,</w:t>
      </w:r>
      <w:r w:rsidRPr="00CD058B">
        <w:rPr>
          <w:noProof/>
        </w:rPr>
        <w:t xml:space="preserve"> 14, 167-193.</w:t>
      </w:r>
      <w:bookmarkEnd w:id="65"/>
    </w:p>
    <w:p w:rsidR="00CD058B" w:rsidRPr="00CD058B" w:rsidRDefault="00CD058B" w:rsidP="00CD058B">
      <w:pPr>
        <w:spacing w:before="0"/>
        <w:ind w:left="624" w:hanging="624"/>
        <w:rPr>
          <w:noProof/>
        </w:rPr>
      </w:pPr>
      <w:bookmarkStart w:id="66" w:name="_ENREF_5"/>
      <w:r w:rsidRPr="00CD058B">
        <w:rPr>
          <w:noProof/>
        </w:rPr>
        <w:t xml:space="preserve">BIGMAN, D. &amp; SRINIVASAN, P. V. 2002. Geographical targeting of poverty alleviation programs: methodology and applications in rural India. </w:t>
      </w:r>
      <w:r w:rsidRPr="00CD058B">
        <w:rPr>
          <w:i/>
          <w:noProof/>
        </w:rPr>
        <w:t>Journal of Policy Modeling,</w:t>
      </w:r>
      <w:r w:rsidRPr="00CD058B">
        <w:rPr>
          <w:noProof/>
        </w:rPr>
        <w:t xml:space="preserve"> 24, 237-255.</w:t>
      </w:r>
      <w:bookmarkEnd w:id="66"/>
    </w:p>
    <w:p w:rsidR="00CD058B" w:rsidRPr="00CD058B" w:rsidRDefault="00CD058B" w:rsidP="00CD058B">
      <w:pPr>
        <w:spacing w:before="0"/>
        <w:ind w:left="624" w:hanging="624"/>
        <w:rPr>
          <w:noProof/>
        </w:rPr>
      </w:pPr>
      <w:bookmarkStart w:id="67" w:name="_ENREF_6"/>
      <w:r w:rsidRPr="00CD058B">
        <w:rPr>
          <w:noProof/>
        </w:rPr>
        <w:t>BRADSHAW, J. &amp; MAYHEW, E. 2010. The Measurement of Extreme Poverty in the European Union. Brussels: Directorate-General for Employment, Social Affairs and Inclusion.</w:t>
      </w:r>
      <w:bookmarkEnd w:id="67"/>
    </w:p>
    <w:p w:rsidR="00CD058B" w:rsidRPr="00CD058B" w:rsidRDefault="00CD058B" w:rsidP="00CD058B">
      <w:pPr>
        <w:spacing w:before="0"/>
        <w:ind w:left="624" w:hanging="624"/>
        <w:rPr>
          <w:noProof/>
        </w:rPr>
      </w:pPr>
      <w:bookmarkStart w:id="68" w:name="_ENREF_7"/>
      <w:r w:rsidRPr="00CD058B">
        <w:rPr>
          <w:noProof/>
        </w:rPr>
        <w:t xml:space="preserve">BRAMLEY, G. &amp; LANCASTER, S. 1998. Modelling local and small area income distributions in Scotland. </w:t>
      </w:r>
      <w:r w:rsidRPr="00CD058B">
        <w:rPr>
          <w:i/>
          <w:noProof/>
        </w:rPr>
        <w:t>Environment &amp; Planning C: Government and Policy,</w:t>
      </w:r>
      <w:r w:rsidRPr="00CD058B">
        <w:rPr>
          <w:noProof/>
        </w:rPr>
        <w:t xml:space="preserve"> 16, 681-706.</w:t>
      </w:r>
      <w:bookmarkEnd w:id="68"/>
    </w:p>
    <w:p w:rsidR="00CD058B" w:rsidRPr="00CD058B" w:rsidRDefault="00CD058B" w:rsidP="00CD058B">
      <w:pPr>
        <w:spacing w:before="0"/>
        <w:ind w:left="624" w:hanging="624"/>
        <w:rPr>
          <w:noProof/>
        </w:rPr>
      </w:pPr>
      <w:bookmarkStart w:id="69" w:name="_ENREF_8"/>
      <w:r w:rsidRPr="00CD058B">
        <w:rPr>
          <w:noProof/>
        </w:rPr>
        <w:t>BRAMLEY, G. &amp; WATKINS, D. 2013. Local Incomes and Poverty in Scotland: Developing Local and Small Area Estimates and Exploring Patterns of Income Distribution, Poverty and Deprivation. Research Report for the Improvement Service on behalf of four Local Authorities (Edinburgh, Falkirk, Fife and Highland) and the Scottish Government.</w:t>
      </w:r>
      <w:bookmarkEnd w:id="69"/>
    </w:p>
    <w:p w:rsidR="00CD058B" w:rsidRPr="00CD058B" w:rsidRDefault="00CD058B" w:rsidP="00CD058B">
      <w:pPr>
        <w:spacing w:before="0"/>
        <w:ind w:left="624" w:hanging="624"/>
        <w:rPr>
          <w:noProof/>
        </w:rPr>
      </w:pPr>
      <w:bookmarkStart w:id="70" w:name="_ENREF_9"/>
      <w:r w:rsidRPr="00CD058B">
        <w:rPr>
          <w:noProof/>
        </w:rPr>
        <w:t xml:space="preserve">COPUS, A. K. &amp; COOMBES, M. 2014. Small Area Estimation of At Risk of Poverty Rates. </w:t>
      </w:r>
      <w:r w:rsidRPr="00CD058B">
        <w:rPr>
          <w:i/>
          <w:noProof/>
        </w:rPr>
        <w:t>Second ESPON 2013 Scientific Report.</w:t>
      </w:r>
      <w:r w:rsidRPr="00CD058B">
        <w:rPr>
          <w:noProof/>
        </w:rPr>
        <w:t xml:space="preserve"> Luxemburg: ESPON 2013 Coordination Unit.</w:t>
      </w:r>
      <w:bookmarkEnd w:id="70"/>
    </w:p>
    <w:p w:rsidR="00CD058B" w:rsidRPr="00CD058B" w:rsidRDefault="00CD058B" w:rsidP="00CD058B">
      <w:pPr>
        <w:spacing w:before="0"/>
        <w:ind w:left="624" w:hanging="624"/>
        <w:rPr>
          <w:noProof/>
        </w:rPr>
      </w:pPr>
      <w:bookmarkStart w:id="71" w:name="_ENREF_10"/>
      <w:r w:rsidRPr="00CD058B">
        <w:rPr>
          <w:noProof/>
        </w:rPr>
        <w:t xml:space="preserve">ELBERS, C., LANJOUW, J. O. &amp; LANJOUW, P. 2002. Micro-level estimation of welfare. </w:t>
      </w:r>
      <w:r w:rsidRPr="00CD058B">
        <w:rPr>
          <w:i/>
          <w:noProof/>
        </w:rPr>
        <w:t>Policy Research Working Paper Series 2911.</w:t>
      </w:r>
      <w:r w:rsidRPr="00CD058B">
        <w:rPr>
          <w:noProof/>
        </w:rPr>
        <w:t xml:space="preserve"> The World Bank.</w:t>
      </w:r>
      <w:bookmarkEnd w:id="71"/>
    </w:p>
    <w:p w:rsidR="00CD058B" w:rsidRPr="00CD058B" w:rsidRDefault="00CD058B" w:rsidP="00CD058B">
      <w:pPr>
        <w:spacing w:before="0"/>
        <w:ind w:left="624" w:hanging="624"/>
        <w:rPr>
          <w:noProof/>
        </w:rPr>
      </w:pPr>
      <w:bookmarkStart w:id="72" w:name="_ENREF_11"/>
      <w:r w:rsidRPr="00CD058B">
        <w:rPr>
          <w:noProof/>
        </w:rPr>
        <w:t xml:space="preserve">ELBERS, C., LANJOUW, J. O. &amp; LANJOUW, P. 2003. Micro-Level Estimation of Poverty and Inequality. </w:t>
      </w:r>
      <w:r w:rsidRPr="00CD058B">
        <w:rPr>
          <w:i/>
          <w:noProof/>
        </w:rPr>
        <w:t>Econometrica,</w:t>
      </w:r>
      <w:r w:rsidRPr="00CD058B">
        <w:rPr>
          <w:noProof/>
        </w:rPr>
        <w:t xml:space="preserve"> 71, 355-64.</w:t>
      </w:r>
      <w:bookmarkEnd w:id="72"/>
    </w:p>
    <w:p w:rsidR="00CD058B" w:rsidRPr="00CD058B" w:rsidRDefault="00CD058B" w:rsidP="00CD058B">
      <w:pPr>
        <w:spacing w:before="0"/>
        <w:ind w:left="624" w:hanging="624"/>
        <w:rPr>
          <w:noProof/>
        </w:rPr>
      </w:pPr>
      <w:bookmarkStart w:id="73" w:name="_ENREF_12"/>
      <w:r w:rsidRPr="00CD058B">
        <w:rPr>
          <w:noProof/>
        </w:rPr>
        <w:t>EUROPEAN COMMISSION 2010. Europe 2020: A strategy for smart, sustainable and inclusive growth, Brussels, 3 March 2010, COM(20190).</w:t>
      </w:r>
      <w:bookmarkEnd w:id="73"/>
    </w:p>
    <w:p w:rsidR="00CD058B" w:rsidRPr="00CD058B" w:rsidRDefault="00CD058B" w:rsidP="00CD058B">
      <w:pPr>
        <w:spacing w:before="0"/>
        <w:ind w:left="624" w:hanging="624"/>
        <w:rPr>
          <w:noProof/>
        </w:rPr>
      </w:pPr>
      <w:bookmarkStart w:id="74" w:name="_ENREF_13"/>
      <w:r w:rsidRPr="00CD058B">
        <w:rPr>
          <w:noProof/>
        </w:rPr>
        <w:t>EUROSTAT 2004. Poverty and Social Exclusion in the EU, Statistics in Focus 16. Luxembourg: Eurostat.</w:t>
      </w:r>
      <w:bookmarkEnd w:id="74"/>
    </w:p>
    <w:p w:rsidR="00CD058B" w:rsidRPr="00CD058B" w:rsidRDefault="00CD058B" w:rsidP="00CD058B">
      <w:pPr>
        <w:spacing w:before="0"/>
        <w:ind w:left="624" w:hanging="624"/>
        <w:rPr>
          <w:noProof/>
        </w:rPr>
      </w:pPr>
      <w:bookmarkStart w:id="75" w:name="_ENREF_14"/>
      <w:r w:rsidRPr="00CD058B">
        <w:rPr>
          <w:noProof/>
        </w:rPr>
        <w:t>EUROSTAT 2005. Income Poverty and Social Exclusion in the EU25, Statistics in Focus 13. Luxembourg: Eurostat.</w:t>
      </w:r>
      <w:bookmarkEnd w:id="75"/>
    </w:p>
    <w:p w:rsidR="00CD058B" w:rsidRPr="00CD058B" w:rsidRDefault="00CD058B" w:rsidP="00CD058B">
      <w:pPr>
        <w:spacing w:before="0"/>
        <w:ind w:left="624" w:hanging="624"/>
        <w:rPr>
          <w:noProof/>
        </w:rPr>
      </w:pPr>
      <w:bookmarkStart w:id="76" w:name="_ENREF_15"/>
      <w:r w:rsidRPr="00CD058B">
        <w:rPr>
          <w:noProof/>
        </w:rPr>
        <w:t>EUROSTAT 2007. Measuring progress towards a more sustainable Europe. Luxembourg: Eurostat.</w:t>
      </w:r>
      <w:bookmarkEnd w:id="76"/>
    </w:p>
    <w:p w:rsidR="00CD058B" w:rsidRPr="00CD058B" w:rsidRDefault="00CD058B" w:rsidP="00CD058B">
      <w:pPr>
        <w:spacing w:before="0"/>
        <w:ind w:left="624" w:hanging="624"/>
        <w:rPr>
          <w:noProof/>
        </w:rPr>
      </w:pPr>
      <w:bookmarkStart w:id="77" w:name="_ENREF_16"/>
      <w:r w:rsidRPr="00CD058B">
        <w:rPr>
          <w:noProof/>
        </w:rPr>
        <w:lastRenderedPageBreak/>
        <w:t xml:space="preserve">EUROSTAT 2012. 23 % of EU citizens were at risk of poverty or social exclusion in 2010. </w:t>
      </w:r>
      <w:r w:rsidRPr="00CD058B">
        <w:rPr>
          <w:i/>
          <w:noProof/>
        </w:rPr>
        <w:t>Statistics in Focus 9.</w:t>
      </w:r>
      <w:r w:rsidRPr="00CD058B">
        <w:rPr>
          <w:noProof/>
        </w:rPr>
        <w:t xml:space="preserve"> Luxembourg: Eurostat.</w:t>
      </w:r>
      <w:bookmarkEnd w:id="77"/>
    </w:p>
    <w:p w:rsidR="00CD058B" w:rsidRPr="00CD058B" w:rsidRDefault="00CD058B" w:rsidP="00CD058B">
      <w:pPr>
        <w:spacing w:before="0"/>
        <w:ind w:left="624" w:hanging="624"/>
        <w:rPr>
          <w:noProof/>
        </w:rPr>
      </w:pPr>
      <w:bookmarkStart w:id="78" w:name="_ENREF_17"/>
      <w:r w:rsidRPr="00CD058B">
        <w:rPr>
          <w:noProof/>
        </w:rPr>
        <w:t xml:space="preserve">FAY, R. E. &amp; HERRIOT, R. A. 1979. Estimation of income from small places: An application of James-Stein procedures to census data. </w:t>
      </w:r>
      <w:r w:rsidRPr="00CD058B">
        <w:rPr>
          <w:i/>
          <w:noProof/>
        </w:rPr>
        <w:t>Journal of the American Statistical Association,</w:t>
      </w:r>
      <w:r w:rsidRPr="00CD058B">
        <w:rPr>
          <w:noProof/>
        </w:rPr>
        <w:t xml:space="preserve"> 74, 269-277.</w:t>
      </w:r>
      <w:bookmarkEnd w:id="78"/>
    </w:p>
    <w:p w:rsidR="00CD058B" w:rsidRPr="00CD058B" w:rsidRDefault="00CD058B" w:rsidP="00CD058B">
      <w:pPr>
        <w:spacing w:before="0"/>
        <w:ind w:left="624" w:hanging="624"/>
        <w:rPr>
          <w:noProof/>
        </w:rPr>
      </w:pPr>
      <w:bookmarkStart w:id="79" w:name="_ENREF_18"/>
      <w:r w:rsidRPr="00CD058B">
        <w:rPr>
          <w:noProof/>
        </w:rPr>
        <w:t xml:space="preserve">FENTON, A. 2013. Small-area measures of income poverty. </w:t>
      </w:r>
      <w:r w:rsidRPr="00CD058B">
        <w:rPr>
          <w:i/>
          <w:noProof/>
        </w:rPr>
        <w:t>Working Paper No CASE/173.</w:t>
      </w:r>
      <w:r w:rsidRPr="00CD058B">
        <w:rPr>
          <w:noProof/>
        </w:rPr>
        <w:t xml:space="preserve"> Centre for Analysis of Social Exclusion (CASE), London School of Economics.</w:t>
      </w:r>
      <w:bookmarkEnd w:id="79"/>
    </w:p>
    <w:p w:rsidR="00CD058B" w:rsidRPr="00CD058B" w:rsidRDefault="00CD058B" w:rsidP="00CD058B">
      <w:pPr>
        <w:spacing w:before="0"/>
        <w:ind w:left="624" w:hanging="624"/>
        <w:rPr>
          <w:noProof/>
        </w:rPr>
      </w:pPr>
      <w:bookmarkStart w:id="80" w:name="_ENREF_19"/>
      <w:r w:rsidRPr="00CD058B">
        <w:rPr>
          <w:noProof/>
        </w:rPr>
        <w:t xml:space="preserve">FOFACK, H. 2000. Combining light monitoring surveys with integrated surveys to improve targeting for poverty reduction: the case of Ghana. </w:t>
      </w:r>
      <w:r w:rsidRPr="00CD058B">
        <w:rPr>
          <w:i/>
          <w:noProof/>
        </w:rPr>
        <w:t>The World Bank Economic Review,</w:t>
      </w:r>
      <w:r w:rsidRPr="00CD058B">
        <w:rPr>
          <w:noProof/>
        </w:rPr>
        <w:t xml:space="preserve"> 14, 195-219.</w:t>
      </w:r>
      <w:bookmarkEnd w:id="80"/>
    </w:p>
    <w:p w:rsidR="00CD058B" w:rsidRPr="00CD058B" w:rsidRDefault="00CD058B" w:rsidP="00CD058B">
      <w:pPr>
        <w:spacing w:before="0"/>
        <w:ind w:left="624" w:hanging="624"/>
        <w:rPr>
          <w:noProof/>
        </w:rPr>
      </w:pPr>
      <w:bookmarkStart w:id="81" w:name="_ENREF_20"/>
      <w:r w:rsidRPr="00CD058B">
        <w:rPr>
          <w:noProof/>
        </w:rPr>
        <w:t xml:space="preserve">IBRD / WB 2007. </w:t>
      </w:r>
      <w:r w:rsidRPr="00CD058B">
        <w:rPr>
          <w:i/>
          <w:noProof/>
        </w:rPr>
        <w:t xml:space="preserve">More than a Pretty Picture: Using Poverty Maps to Design Better Policies and Interventions, </w:t>
      </w:r>
      <w:r w:rsidRPr="00CD058B">
        <w:rPr>
          <w:noProof/>
        </w:rPr>
        <w:t>Washington DC, International Bank for Reconstruction and Development / The World Bank.</w:t>
      </w:r>
      <w:bookmarkEnd w:id="81"/>
    </w:p>
    <w:p w:rsidR="00CD058B" w:rsidRPr="00CD058B" w:rsidRDefault="00CD058B" w:rsidP="00CD058B">
      <w:pPr>
        <w:spacing w:before="0"/>
        <w:ind w:left="624" w:hanging="624"/>
        <w:rPr>
          <w:noProof/>
        </w:rPr>
      </w:pPr>
      <w:bookmarkStart w:id="82" w:name="_ENREF_21"/>
      <w:r w:rsidRPr="00CD058B">
        <w:rPr>
          <w:noProof/>
        </w:rPr>
        <w:t>IVASCHENKO, O. 2004. Poverty and Inequality Mapping in Bulgaria. World Bank.</w:t>
      </w:r>
      <w:bookmarkEnd w:id="82"/>
    </w:p>
    <w:p w:rsidR="00CD058B" w:rsidRPr="00CD058B" w:rsidRDefault="00CD058B" w:rsidP="00CD058B">
      <w:pPr>
        <w:spacing w:before="0"/>
        <w:ind w:left="624" w:hanging="624"/>
        <w:rPr>
          <w:noProof/>
        </w:rPr>
      </w:pPr>
      <w:bookmarkStart w:id="83" w:name="_ENREF_22"/>
      <w:r w:rsidRPr="00CD058B">
        <w:rPr>
          <w:noProof/>
        </w:rPr>
        <w:t xml:space="preserve">JUAN-ALBACEA, Z. V. 2004. Small Area Estimation of Sub-National Poverty Incidence. </w:t>
      </w:r>
      <w:r w:rsidRPr="00CD058B">
        <w:rPr>
          <w:i/>
          <w:noProof/>
        </w:rPr>
        <w:t>ADB-GTZ-CEPA Regional Conference on Poverty Monitoring.</w:t>
      </w:r>
      <w:r w:rsidRPr="00CD058B">
        <w:rPr>
          <w:noProof/>
        </w:rPr>
        <w:t xml:space="preserve"> Manila, Philippines.</w:t>
      </w:r>
      <w:bookmarkEnd w:id="83"/>
    </w:p>
    <w:p w:rsidR="00CD058B" w:rsidRPr="00CD058B" w:rsidRDefault="00CD058B" w:rsidP="00CD058B">
      <w:pPr>
        <w:spacing w:before="0"/>
        <w:ind w:left="624" w:hanging="624"/>
        <w:rPr>
          <w:noProof/>
        </w:rPr>
      </w:pPr>
      <w:bookmarkStart w:id="84" w:name="_ENREF_23"/>
      <w:r w:rsidRPr="00CD058B">
        <w:rPr>
          <w:noProof/>
        </w:rPr>
        <w:t xml:space="preserve">LANJOUW, P. 2003. Estimating Geographically Disaggregated Welfare Levels and Changes. </w:t>
      </w:r>
      <w:r w:rsidRPr="00CD058B">
        <w:rPr>
          <w:i/>
          <w:noProof/>
        </w:rPr>
        <w:t>In:</w:t>
      </w:r>
      <w:r w:rsidRPr="00CD058B">
        <w:rPr>
          <w:noProof/>
        </w:rPr>
        <w:t xml:space="preserve"> SILVA, L. P. D. &amp; BOURGUIGNON, F. (eds.) </w:t>
      </w:r>
      <w:r w:rsidRPr="00CD058B">
        <w:rPr>
          <w:i/>
          <w:noProof/>
        </w:rPr>
        <w:t>The Impact of Economic Policies on Poverty and Income Distribution: Evaluation Techniques and Tools.</w:t>
      </w:r>
      <w:r w:rsidRPr="00CD058B">
        <w:rPr>
          <w:noProof/>
        </w:rPr>
        <w:t xml:space="preserve"> New York: Oxford University Press.</w:t>
      </w:r>
      <w:bookmarkEnd w:id="84"/>
    </w:p>
    <w:p w:rsidR="00CD058B" w:rsidRPr="00CD058B" w:rsidRDefault="00CD058B" w:rsidP="00CD058B">
      <w:pPr>
        <w:spacing w:before="0"/>
        <w:ind w:left="624" w:hanging="624"/>
        <w:rPr>
          <w:noProof/>
        </w:rPr>
      </w:pPr>
      <w:bookmarkStart w:id="85" w:name="_ENREF_24"/>
      <w:r w:rsidRPr="00CD058B">
        <w:rPr>
          <w:noProof/>
        </w:rPr>
        <w:t>SIMLER, K. &amp; NHATE, V. 2003. Poverty, inequality, and geographic targeting: Evidence from small-area estimates in Mozambique. Maputo, Mozambique: International Food Policy Research Institute, Ministry of Planning and Finance.</w:t>
      </w:r>
      <w:bookmarkEnd w:id="85"/>
    </w:p>
    <w:p w:rsidR="00CD058B" w:rsidRPr="00CD058B" w:rsidRDefault="00CD058B" w:rsidP="00CD058B">
      <w:pPr>
        <w:spacing w:before="0"/>
        <w:ind w:left="624" w:hanging="624"/>
        <w:rPr>
          <w:noProof/>
        </w:rPr>
      </w:pPr>
      <w:bookmarkStart w:id="86" w:name="_ENREF_25"/>
      <w:r w:rsidRPr="00CD058B">
        <w:rPr>
          <w:noProof/>
        </w:rPr>
        <w:t>UNITED NATIONS 2007. Register-based statistics in the Nordic countries: Review of best practices with focus on population and social statistics. New York, Geneva: United Nations Economic Commission for Europe (UNECE).</w:t>
      </w:r>
      <w:bookmarkEnd w:id="86"/>
    </w:p>
    <w:p w:rsidR="00CD058B" w:rsidRPr="00CD058B" w:rsidRDefault="00CD058B" w:rsidP="00CD058B">
      <w:pPr>
        <w:spacing w:before="0"/>
        <w:ind w:left="624" w:hanging="624"/>
        <w:rPr>
          <w:noProof/>
        </w:rPr>
      </w:pPr>
      <w:bookmarkStart w:id="87" w:name="_ENREF_26"/>
      <w:r w:rsidRPr="00CD058B">
        <w:rPr>
          <w:noProof/>
        </w:rPr>
        <w:t>WARD, T., LELKES, O., SUTHERLAND, H. &amp; TÓTH, I. 2009. European Inequalities, Social Inclusion and Income Distributions in the European Union. Tárki, Budapest.</w:t>
      </w:r>
      <w:bookmarkEnd w:id="87"/>
    </w:p>
    <w:p w:rsidR="00CD058B" w:rsidRPr="00CD058B" w:rsidRDefault="00CD058B" w:rsidP="00CD058B">
      <w:pPr>
        <w:spacing w:before="0"/>
        <w:ind w:left="624" w:hanging="624"/>
        <w:rPr>
          <w:noProof/>
          <w:color w:val="000000" w:themeColor="text1"/>
        </w:rPr>
      </w:pPr>
    </w:p>
    <w:p w:rsidR="00210BDE" w:rsidRPr="0097111F" w:rsidRDefault="0097111F" w:rsidP="0097111F">
      <w:pPr>
        <w:pStyle w:val="Otsikko1"/>
        <w:numPr>
          <w:ilvl w:val="0"/>
          <w:numId w:val="0"/>
        </w:numPr>
        <w:spacing w:after="0"/>
        <w:jc w:val="left"/>
        <w:rPr>
          <w:rFonts w:cs="Arial"/>
          <w:noProof/>
          <w:color w:val="000000" w:themeColor="text1"/>
          <w:sz w:val="22"/>
        </w:rPr>
      </w:pPr>
      <w:r>
        <w:rPr>
          <w:noProof/>
          <w:color w:val="000000" w:themeColor="text1"/>
        </w:rPr>
        <w:fldChar w:fldCharType="end"/>
      </w:r>
      <w:r w:rsidR="002D0318">
        <w:rPr>
          <w:noProof/>
        </w:rPr>
        <w:br w:type="column"/>
      </w:r>
      <w:bookmarkStart w:id="88" w:name="_Toc393812347"/>
      <w:r w:rsidR="00B01E5B">
        <w:rPr>
          <w:noProof/>
        </w:rPr>
        <w:lastRenderedPageBreak/>
        <w:t>Annex 1: Further Information about</w:t>
      </w:r>
      <w:r w:rsidR="006C2617">
        <w:rPr>
          <w:noProof/>
        </w:rPr>
        <w:t xml:space="preserve"> the </w:t>
      </w:r>
      <w:r w:rsidR="00B01E5B">
        <w:rPr>
          <w:noProof/>
        </w:rPr>
        <w:t>Approaches to Poverty Mapping</w:t>
      </w:r>
      <w:bookmarkEnd w:id="88"/>
    </w:p>
    <w:p w:rsidR="00407633" w:rsidRDefault="00407633" w:rsidP="00344710">
      <w:pPr>
        <w:rPr>
          <w:noProof/>
        </w:rPr>
      </w:pPr>
    </w:p>
    <w:p w:rsidR="00CC7C09" w:rsidRPr="00DD6902" w:rsidRDefault="00CC7C09" w:rsidP="00A16958">
      <w:pPr>
        <w:spacing w:before="0" w:line="276" w:lineRule="auto"/>
      </w:pPr>
      <w:r w:rsidRPr="00DD6902">
        <w:rPr>
          <w:b/>
        </w:rPr>
        <w:t>Country:</w:t>
      </w:r>
      <w:r w:rsidRPr="00DD6902">
        <w:t xml:space="preserve"> </w:t>
      </w:r>
      <w:r>
        <w:t>Albania</w:t>
      </w:r>
    </w:p>
    <w:p w:rsidR="00A16958" w:rsidRDefault="00A16958" w:rsidP="00A16958">
      <w:pPr>
        <w:spacing w:before="0" w:line="276" w:lineRule="auto"/>
        <w:rPr>
          <w:b/>
        </w:rPr>
      </w:pPr>
    </w:p>
    <w:p w:rsidR="00CC7C09" w:rsidRPr="00DD6902" w:rsidRDefault="00CC7C09" w:rsidP="00A16958">
      <w:pPr>
        <w:spacing w:before="0" w:line="276" w:lineRule="auto"/>
      </w:pPr>
      <w:r w:rsidRPr="00DD6902">
        <w:rPr>
          <w:b/>
        </w:rPr>
        <w:t>Partner responsible</w:t>
      </w:r>
      <w:r w:rsidRPr="00DD6902">
        <w:t>: Hungarian Academy of Sciences (HAS), Budapest</w:t>
      </w:r>
    </w:p>
    <w:p w:rsidR="00CC7C09" w:rsidRPr="00DD6902" w:rsidRDefault="00CC7C09" w:rsidP="00A16958">
      <w:pPr>
        <w:spacing w:before="0" w:line="276" w:lineRule="auto"/>
      </w:pPr>
      <w:r w:rsidRPr="00DD6902">
        <w:rPr>
          <w:b/>
        </w:rPr>
        <w:t>Contact Person:</w:t>
      </w:r>
      <w:r w:rsidRPr="00DD6902">
        <w:t xml:space="preserve"> Gergely Tagai</w:t>
      </w:r>
      <w:r w:rsidR="00F75DF0">
        <w:t xml:space="preserve"> (</w:t>
      </w:r>
      <w:hyperlink r:id="rId53" w:history="1">
        <w:r w:rsidR="00F75DF0" w:rsidRPr="00C53EC4">
          <w:rPr>
            <w:rStyle w:val="Hyperlinkki"/>
          </w:rPr>
          <w:t>tagai@rkk.hu</w:t>
        </w:r>
      </w:hyperlink>
      <w:r w:rsidR="00F75DF0">
        <w:t>)</w:t>
      </w:r>
    </w:p>
    <w:p w:rsidR="00CC7C09" w:rsidRPr="00DD6902" w:rsidRDefault="00CC7C09" w:rsidP="00A16958">
      <w:pPr>
        <w:spacing w:before="0" w:line="276" w:lineRule="auto"/>
      </w:pPr>
      <w:r w:rsidRPr="00DD6902">
        <w:rPr>
          <w:b/>
        </w:rPr>
        <w:t>Date:</w:t>
      </w:r>
      <w:r w:rsidRPr="00DD6902">
        <w:t xml:space="preserve"> </w:t>
      </w:r>
      <w:r>
        <w:t>21</w:t>
      </w:r>
      <w:r w:rsidRPr="00DD6902">
        <w:t>/</w:t>
      </w:r>
      <w:r>
        <w:t>03</w:t>
      </w:r>
      <w:r w:rsidRPr="00DD6902">
        <w:t>/1</w:t>
      </w:r>
      <w:r>
        <w:t>4</w:t>
      </w:r>
    </w:p>
    <w:p w:rsidR="00CC7C09" w:rsidRPr="00DD6902" w:rsidRDefault="00CC7C09" w:rsidP="00A16958">
      <w:pPr>
        <w:spacing w:before="0" w:line="276" w:lineRule="auto"/>
      </w:pPr>
      <w:r w:rsidRPr="00DD6902">
        <w:rPr>
          <w:b/>
        </w:rPr>
        <w:t>Methodology Used:</w:t>
      </w:r>
      <w:r w:rsidRPr="00DD6902">
        <w:t xml:space="preserve"> </w:t>
      </w:r>
      <w:r w:rsidR="00F75DF0">
        <w:t>Derivation from World Bank PovMap</w:t>
      </w:r>
    </w:p>
    <w:p w:rsidR="00CC7C09" w:rsidRDefault="00CC7C09" w:rsidP="00A16958">
      <w:pPr>
        <w:spacing w:before="0" w:line="276" w:lineRule="auto"/>
      </w:pPr>
      <w:r w:rsidRPr="00DD6902">
        <w:rPr>
          <w:b/>
        </w:rPr>
        <w:t>Constraints on Choice of Methodology:</w:t>
      </w:r>
      <w:r>
        <w:rPr>
          <w:b/>
        </w:rPr>
        <w:t xml:space="preserve"> </w:t>
      </w:r>
      <w:r w:rsidR="00F75DF0">
        <w:t>N</w:t>
      </w:r>
      <w:r w:rsidR="003D13BD">
        <w:t>ot applicable</w:t>
      </w:r>
    </w:p>
    <w:p w:rsidR="00F75DF0" w:rsidRPr="00CC7C09" w:rsidRDefault="00CC7C09" w:rsidP="00A16958">
      <w:pPr>
        <w:spacing w:before="0" w:line="276" w:lineRule="auto"/>
        <w:rPr>
          <w:b/>
        </w:rPr>
      </w:pPr>
      <w:r w:rsidRPr="00DD6902">
        <w:rPr>
          <w:b/>
        </w:rPr>
        <w:t>Source(s) of raw data:</w:t>
      </w:r>
      <w:r>
        <w:t xml:space="preserve"> </w:t>
      </w:r>
      <w:r w:rsidR="00F75DF0">
        <w:t>Poverty headcount index estimations and poverty mapping on Albania are carried out in every three years since 2003 by the researchers of World Bank and University of Siena. They follow the methodology fully described in Elbers, Lanjouw and Lanjouw (2003).</w:t>
      </w:r>
    </w:p>
    <w:p w:rsidR="00F75DF0" w:rsidRDefault="00630F69" w:rsidP="00A16958">
      <w:pPr>
        <w:spacing w:before="0" w:line="276" w:lineRule="auto"/>
        <w:jc w:val="left"/>
        <w:rPr>
          <w:rStyle w:val="Hyperlinkki"/>
        </w:rPr>
      </w:pPr>
      <w:hyperlink r:id="rId54" w:history="1">
        <w:r w:rsidR="00F75DF0" w:rsidRPr="00351DDB">
          <w:rPr>
            <w:rStyle w:val="Hyperlinkki"/>
          </w:rPr>
          <w:t>http://siteresources.worldbank.org/INTECAREGTOPPOVRED/Resources/GianniBETTI.pdf</w:t>
        </w:r>
      </w:hyperlink>
    </w:p>
    <w:p w:rsidR="00CC7C09" w:rsidRDefault="00CC7C09" w:rsidP="00A16958">
      <w:pPr>
        <w:spacing w:before="0" w:line="276" w:lineRule="auto"/>
        <w:jc w:val="left"/>
      </w:pPr>
      <w:r>
        <w:t xml:space="preserve">Betti et al. (2010): Further updating poverty mapping in Albania. Paper prepared for presentation at the World Bank International Conference on Poverty and Social Inclusion in the Western Balkans, Brussels, Belgium, 14-15, December 2010. pp. 19-20. Available at: </w:t>
      </w:r>
      <w:hyperlink r:id="rId55" w:history="1">
        <w:r w:rsidRPr="00351DDB">
          <w:rPr>
            <w:rStyle w:val="Hyperlinkki"/>
          </w:rPr>
          <w:t>http://siteresources.worldbank.org/INTECAREGTOPPOVRED/Resources/GianniBETTI.pdf</w:t>
        </w:r>
      </w:hyperlink>
    </w:p>
    <w:p w:rsidR="00CC7C09" w:rsidRDefault="00CC7C09" w:rsidP="00A16958">
      <w:pPr>
        <w:spacing w:before="0" w:line="276" w:lineRule="auto"/>
        <w:jc w:val="left"/>
      </w:pPr>
      <w:r>
        <w:t>World Bank</w:t>
      </w:r>
      <w:r w:rsidRPr="00DD6902">
        <w:t xml:space="preserve">, </w:t>
      </w:r>
      <w:r>
        <w:t>Living Standard Measurement Study</w:t>
      </w:r>
      <w:r w:rsidRPr="00A726C3">
        <w:t xml:space="preserve">, </w:t>
      </w:r>
      <w:hyperlink r:id="rId56" w:history="1">
        <w:r w:rsidRPr="00351DDB">
          <w:rPr>
            <w:rStyle w:val="Hyperlinkki"/>
          </w:rPr>
          <w:t>http://econ.worldbank.org/WBSITE/EXTERNAL/EXTDEC/EXTRESEARCH/EXTLSMS/0,,contentMDK:21610833~pagePK:64168427~piPK:64168435~theSitePK:3358997,00.html</w:t>
        </w:r>
      </w:hyperlink>
    </w:p>
    <w:p w:rsidR="00CC7C09" w:rsidRDefault="00CC7C09" w:rsidP="00A16958">
      <w:pPr>
        <w:spacing w:before="0" w:line="276" w:lineRule="auto"/>
        <w:jc w:val="left"/>
      </w:pPr>
      <w:r>
        <w:t>Albanian Census microdata from INSTAT – Institute of Statistics, Albania,</w:t>
      </w:r>
      <w:r w:rsidRPr="00DD6902">
        <w:t xml:space="preserve"> </w:t>
      </w:r>
      <w:hyperlink r:id="rId57" w:history="1">
        <w:r w:rsidRPr="00351DDB">
          <w:rPr>
            <w:rStyle w:val="Hyperlinkki"/>
          </w:rPr>
          <w:t>http://www.instat.gov.al/en/Home.aspx</w:t>
        </w:r>
      </w:hyperlink>
    </w:p>
    <w:p w:rsidR="00CC7C09" w:rsidRPr="00CC7C09" w:rsidRDefault="00CC7C09" w:rsidP="00A16958">
      <w:pPr>
        <w:spacing w:before="0" w:line="276" w:lineRule="auto"/>
      </w:pPr>
      <w:r w:rsidRPr="00DD6902">
        <w:rPr>
          <w:b/>
        </w:rPr>
        <w:t xml:space="preserve">Date(s) of raw data: </w:t>
      </w:r>
      <w:r>
        <w:t>LSMS,</w:t>
      </w:r>
      <w:r w:rsidRPr="00DD6902">
        <w:t xml:space="preserve"> A</w:t>
      </w:r>
      <w:r>
        <w:t xml:space="preserve">lbanian microdata from World Bank refers to </w:t>
      </w:r>
      <w:r w:rsidRPr="00DD6902">
        <w:t>20</w:t>
      </w:r>
      <w:r>
        <w:t xml:space="preserve">08; Albanian Census microdata refer to </w:t>
      </w:r>
      <w:r w:rsidRPr="00DD6902">
        <w:t>20</w:t>
      </w:r>
      <w:r>
        <w:t>0</w:t>
      </w:r>
      <w:r w:rsidRPr="00DD6902">
        <w:t>1.</w:t>
      </w:r>
    </w:p>
    <w:p w:rsidR="00CC7C09" w:rsidRDefault="00CC7C09" w:rsidP="00A16958">
      <w:pPr>
        <w:spacing w:before="0" w:line="276" w:lineRule="auto"/>
        <w:rPr>
          <w:b/>
        </w:rPr>
      </w:pPr>
      <w:r w:rsidRPr="00DD6902">
        <w:rPr>
          <w:b/>
        </w:rPr>
        <w:t>Variables used:</w:t>
      </w:r>
      <w:r w:rsidR="00133DA4">
        <w:rPr>
          <w:b/>
        </w:rPr>
        <w:t xml:space="preserve"> </w:t>
      </w:r>
      <w:r w:rsidR="00133DA4">
        <w:t>Poverty headcount index</w:t>
      </w:r>
    </w:p>
    <w:p w:rsidR="00CC7C09" w:rsidRPr="00DD6902" w:rsidRDefault="00CC7C09" w:rsidP="00A16958">
      <w:pPr>
        <w:spacing w:before="0" w:line="276" w:lineRule="auto"/>
      </w:pPr>
      <w:r w:rsidRPr="00DD6902">
        <w:rPr>
          <w:b/>
        </w:rPr>
        <w:t>Before or after Housing Costs?</w:t>
      </w:r>
      <w:r w:rsidRPr="00DD6902">
        <w:t xml:space="preserve"> </w:t>
      </w:r>
      <w:r>
        <w:t>Before</w:t>
      </w:r>
    </w:p>
    <w:p w:rsidR="00CC7C09" w:rsidRPr="00DD6902" w:rsidRDefault="00CC7C09" w:rsidP="00A16958">
      <w:pPr>
        <w:spacing w:before="0" w:line="276" w:lineRule="auto"/>
      </w:pPr>
      <w:r w:rsidRPr="00DD6902">
        <w:rPr>
          <w:b/>
        </w:rPr>
        <w:t>NUTS Level of estimates:</w:t>
      </w:r>
      <w:r w:rsidRPr="00DD6902">
        <w:t xml:space="preserve"> NUTS 3</w:t>
      </w:r>
    </w:p>
    <w:p w:rsidR="00CC7C09" w:rsidRPr="00DD6902" w:rsidRDefault="00CC7C09" w:rsidP="00A16958">
      <w:pPr>
        <w:spacing w:before="0" w:line="276" w:lineRule="auto"/>
      </w:pPr>
      <w:r w:rsidRPr="00DD6902">
        <w:rPr>
          <w:b/>
        </w:rPr>
        <w:t xml:space="preserve">Adjusted to agree with Eurostat published </w:t>
      </w:r>
      <w:r w:rsidR="008632AA">
        <w:rPr>
          <w:b/>
        </w:rPr>
        <w:t>ARoP</w:t>
      </w:r>
      <w:r w:rsidRPr="00DD6902">
        <w:rPr>
          <w:b/>
        </w:rPr>
        <w:t xml:space="preserve"> rates?</w:t>
      </w:r>
      <w:r w:rsidRPr="00DD6902">
        <w:t xml:space="preserve"> No</w:t>
      </w:r>
    </w:p>
    <w:p w:rsidR="00CC7C09" w:rsidRPr="005E58FD" w:rsidRDefault="00CC7C09" w:rsidP="00A16958">
      <w:pPr>
        <w:spacing w:before="0" w:line="276" w:lineRule="auto"/>
      </w:pPr>
      <w:r w:rsidRPr="00DD6902">
        <w:rPr>
          <w:b/>
        </w:rPr>
        <w:t>Comments:</w:t>
      </w:r>
      <w:r>
        <w:rPr>
          <w:b/>
        </w:rPr>
        <w:t xml:space="preserve"> </w:t>
      </w:r>
    </w:p>
    <w:p w:rsidR="00133DA4" w:rsidRDefault="00133DA4" w:rsidP="00A16958">
      <w:pPr>
        <w:spacing w:before="0" w:line="276" w:lineRule="auto"/>
        <w:rPr>
          <w:b/>
        </w:rPr>
      </w:pPr>
      <w:r>
        <w:rPr>
          <w:b/>
        </w:rPr>
        <w:br w:type="page"/>
      </w:r>
    </w:p>
    <w:p w:rsidR="00CC7C09" w:rsidRPr="00DD6902" w:rsidRDefault="00CC7C09" w:rsidP="00A16958">
      <w:pPr>
        <w:spacing w:before="0" w:line="276" w:lineRule="auto"/>
      </w:pPr>
      <w:r w:rsidRPr="00DD6902">
        <w:rPr>
          <w:b/>
        </w:rPr>
        <w:lastRenderedPageBreak/>
        <w:t>Country:</w:t>
      </w:r>
      <w:r w:rsidRPr="00DD6902">
        <w:t xml:space="preserve"> </w:t>
      </w:r>
      <w:r>
        <w:t>Austria</w:t>
      </w:r>
    </w:p>
    <w:p w:rsidR="00A16958" w:rsidRDefault="00A16958" w:rsidP="00A16958">
      <w:pPr>
        <w:spacing w:before="0" w:line="276" w:lineRule="auto"/>
        <w:rPr>
          <w:b/>
        </w:rPr>
      </w:pPr>
    </w:p>
    <w:p w:rsidR="00CC7C09" w:rsidRPr="00DD6902" w:rsidRDefault="00CC7C09" w:rsidP="00A16958">
      <w:pPr>
        <w:spacing w:before="0" w:line="276" w:lineRule="auto"/>
      </w:pPr>
      <w:r w:rsidRPr="00DD6902">
        <w:rPr>
          <w:b/>
        </w:rPr>
        <w:t>Partner responsible</w:t>
      </w:r>
      <w:r w:rsidRPr="00DD6902">
        <w:t>: Hungarian Academy of Sciences (HAS), Budapest</w:t>
      </w:r>
    </w:p>
    <w:p w:rsidR="00CC7C09" w:rsidRPr="00DD6902" w:rsidRDefault="00CC7C09" w:rsidP="00A16958">
      <w:pPr>
        <w:spacing w:before="0" w:line="276" w:lineRule="auto"/>
      </w:pPr>
      <w:r w:rsidRPr="00DD6902">
        <w:rPr>
          <w:b/>
        </w:rPr>
        <w:t>Contact Person:</w:t>
      </w:r>
      <w:r w:rsidRPr="00DD6902">
        <w:t xml:space="preserve"> Gergely Tagai</w:t>
      </w:r>
      <w:r w:rsidR="00F75DF0">
        <w:t xml:space="preserve"> (</w:t>
      </w:r>
      <w:hyperlink r:id="rId58" w:history="1">
        <w:r w:rsidR="00F75DF0" w:rsidRPr="00C53EC4">
          <w:rPr>
            <w:rStyle w:val="Hyperlinkki"/>
          </w:rPr>
          <w:t>tagai@rkk.hu</w:t>
        </w:r>
      </w:hyperlink>
      <w:r w:rsidR="00F75DF0">
        <w:t>)</w:t>
      </w:r>
    </w:p>
    <w:p w:rsidR="00CC7C09" w:rsidRPr="00DD6902" w:rsidRDefault="00CC7C09" w:rsidP="00A16958">
      <w:pPr>
        <w:spacing w:before="0" w:line="276" w:lineRule="auto"/>
      </w:pPr>
      <w:r w:rsidRPr="00DD6902">
        <w:rPr>
          <w:b/>
        </w:rPr>
        <w:t>Date:</w:t>
      </w:r>
      <w:r w:rsidRPr="00DD6902">
        <w:t xml:space="preserve"> </w:t>
      </w:r>
      <w:r>
        <w:t>21</w:t>
      </w:r>
      <w:r w:rsidRPr="00DD6902">
        <w:t>/</w:t>
      </w:r>
      <w:r>
        <w:t>03</w:t>
      </w:r>
      <w:r w:rsidRPr="00DD6902">
        <w:t>/1</w:t>
      </w:r>
      <w:r>
        <w:t>4</w:t>
      </w:r>
    </w:p>
    <w:p w:rsidR="00CC7C09" w:rsidRPr="00DD6902" w:rsidRDefault="00CC7C09" w:rsidP="00A16958">
      <w:pPr>
        <w:spacing w:before="0" w:line="276" w:lineRule="auto"/>
      </w:pPr>
      <w:r w:rsidRPr="00DD6902">
        <w:rPr>
          <w:b/>
        </w:rPr>
        <w:t>Methodology Used:</w:t>
      </w:r>
      <w:r w:rsidRPr="00DD6902">
        <w:t xml:space="preserve"> </w:t>
      </w:r>
      <w:r>
        <w:t>World Bank PovMap</w:t>
      </w:r>
    </w:p>
    <w:p w:rsidR="00CC7C09" w:rsidRPr="00CC7C09" w:rsidRDefault="00CC7C09" w:rsidP="00A16958">
      <w:pPr>
        <w:spacing w:before="0" w:line="276" w:lineRule="auto"/>
        <w:rPr>
          <w:b/>
        </w:rPr>
      </w:pPr>
      <w:r w:rsidRPr="00DD6902">
        <w:rPr>
          <w:b/>
        </w:rPr>
        <w:t>Constraints on Choice of Methodology:</w:t>
      </w:r>
      <w:r>
        <w:rPr>
          <w:b/>
        </w:rPr>
        <w:t xml:space="preserve"> </w:t>
      </w:r>
      <w:r w:rsidRPr="00DD6902">
        <w:t>World Bank PovMap was possible due to availability of EU-SILC data for 200</w:t>
      </w:r>
      <w:r>
        <w:t>5 (DB040 at NUTS 1 level)</w:t>
      </w:r>
      <w:r w:rsidRPr="00DD6902">
        <w:t xml:space="preserve">, while census microdata </w:t>
      </w:r>
      <w:r>
        <w:t>was available for 2001. Census 2011 microdata are not yet available, thus the year of estimation is 2001.</w:t>
      </w:r>
    </w:p>
    <w:p w:rsidR="00CC7C09" w:rsidRDefault="00CC7C09" w:rsidP="00A16958">
      <w:pPr>
        <w:spacing w:before="0" w:line="276" w:lineRule="auto"/>
        <w:jc w:val="left"/>
      </w:pPr>
      <w:r w:rsidRPr="00DD6902">
        <w:rPr>
          <w:b/>
        </w:rPr>
        <w:t>Source(s) of raw data:</w:t>
      </w:r>
      <w:r>
        <w:t xml:space="preserve"> </w:t>
      </w:r>
      <w:r w:rsidRPr="00DD6902">
        <w:t xml:space="preserve">Eurostat, EU </w:t>
      </w:r>
      <w:r w:rsidRPr="00A726C3">
        <w:t xml:space="preserve">European Union Statistics on Income and Living Conditions (EU SILC), </w:t>
      </w:r>
      <w:hyperlink r:id="rId59" w:history="1">
        <w:r w:rsidRPr="00646C6C">
          <w:rPr>
            <w:rStyle w:val="Hyperlinkki"/>
          </w:rPr>
          <w:t>http://epp.eurostat.ec.europa.eu/portal/page/portal/microdata/eu_silc</w:t>
        </w:r>
      </w:hyperlink>
    </w:p>
    <w:p w:rsidR="00CC7C09" w:rsidRDefault="00CC7C09" w:rsidP="00A16958">
      <w:pPr>
        <w:spacing w:before="0" w:line="276" w:lineRule="auto"/>
        <w:jc w:val="left"/>
      </w:pPr>
      <w:r>
        <w:t xml:space="preserve">Austrian Census microdata from IPUMS (Integrated Public Use Microdata Series) International database, </w:t>
      </w:r>
      <w:hyperlink r:id="rId60" w:history="1">
        <w:r w:rsidRPr="00646C6C">
          <w:rPr>
            <w:rStyle w:val="Hyperlinkki"/>
          </w:rPr>
          <w:t>https://international.ipums.org/international/sample_designs/sample_designs_at.shtml</w:t>
        </w:r>
      </w:hyperlink>
    </w:p>
    <w:p w:rsidR="00CC7C09" w:rsidRPr="00DD6902" w:rsidRDefault="00CC7C09" w:rsidP="00A16958">
      <w:pPr>
        <w:spacing w:before="0" w:line="276" w:lineRule="auto"/>
      </w:pPr>
      <w:r w:rsidRPr="00DD6902">
        <w:rPr>
          <w:b/>
        </w:rPr>
        <w:t xml:space="preserve">Date(s) of raw data: </w:t>
      </w:r>
      <w:r w:rsidRPr="00DD6902">
        <w:t>EU-SILC</w:t>
      </w:r>
      <w:r>
        <w:t>,</w:t>
      </w:r>
      <w:r w:rsidRPr="00DD6902">
        <w:t xml:space="preserve"> A</w:t>
      </w:r>
      <w:r>
        <w:t xml:space="preserve">ustrian microdata from UDB refers to </w:t>
      </w:r>
      <w:r w:rsidRPr="00DD6902">
        <w:t>20</w:t>
      </w:r>
      <w:r>
        <w:t>05;</w:t>
      </w:r>
      <w:r w:rsidRPr="00DD6902">
        <w:t xml:space="preserve"> </w:t>
      </w:r>
      <w:r>
        <w:t xml:space="preserve">IPUMS, Austrian Census microdata refer to </w:t>
      </w:r>
      <w:r w:rsidRPr="00DD6902">
        <w:t>20</w:t>
      </w:r>
      <w:r>
        <w:t>0</w:t>
      </w:r>
      <w:r w:rsidRPr="00DD6902">
        <w:t>1.</w:t>
      </w:r>
    </w:p>
    <w:p w:rsidR="00CC7C09" w:rsidRDefault="00CC7C09" w:rsidP="00CC7C09">
      <w:pPr>
        <w:spacing w:before="240" w:line="240" w:lineRule="auto"/>
        <w:rPr>
          <w:b/>
        </w:rPr>
      </w:pPr>
      <w:r w:rsidRPr="00DD6902">
        <w:rPr>
          <w:b/>
        </w:rPr>
        <w:t>Variab</w:t>
      </w:r>
      <w:r w:rsidRPr="00694FEF">
        <w:rPr>
          <w:b/>
        </w:rPr>
        <w:t>l</w:t>
      </w:r>
      <w:r w:rsidRPr="00DD6902">
        <w:rPr>
          <w:b/>
        </w:rPr>
        <w:t>es used:</w:t>
      </w:r>
    </w:p>
    <w:tbl>
      <w:tblPr>
        <w:tblStyle w:val="TaulukkoPerinteinen1"/>
        <w:tblW w:w="5000" w:type="pct"/>
        <w:tblLook w:val="04A0" w:firstRow="1" w:lastRow="0" w:firstColumn="1" w:lastColumn="0" w:noHBand="0" w:noVBand="1"/>
      </w:tblPr>
      <w:tblGrid>
        <w:gridCol w:w="2773"/>
        <w:gridCol w:w="2849"/>
        <w:gridCol w:w="2907"/>
      </w:tblGrid>
      <w:tr w:rsidR="00EE2EB0" w:rsidRPr="00EE2EB0" w:rsidTr="00133DA4">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626" w:type="pct"/>
          </w:tcPr>
          <w:p w:rsidR="00EE2EB0" w:rsidRPr="00EE2EB0" w:rsidRDefault="00EE2EB0" w:rsidP="00EE2EB0">
            <w:pPr>
              <w:spacing w:before="0"/>
              <w:rPr>
                <w:rFonts w:cs="Arial"/>
                <w:b/>
                <w:sz w:val="20"/>
              </w:rPr>
            </w:pPr>
            <w:r w:rsidRPr="00EE2EB0">
              <w:rPr>
                <w:rFonts w:cs="Arial"/>
                <w:b/>
                <w:sz w:val="20"/>
              </w:rPr>
              <w:t>Variable name</w:t>
            </w:r>
          </w:p>
        </w:tc>
        <w:tc>
          <w:tcPr>
            <w:tcW w:w="1670" w:type="pct"/>
          </w:tcPr>
          <w:p w:rsidR="00EE2EB0" w:rsidRPr="00EE2EB0" w:rsidRDefault="00EE2EB0" w:rsidP="00EE2EB0">
            <w:pPr>
              <w:spacing w:before="0"/>
              <w:cnfStyle w:val="100000000000" w:firstRow="1" w:lastRow="0" w:firstColumn="0" w:lastColumn="0" w:oddVBand="0" w:evenVBand="0" w:oddHBand="0" w:evenHBand="0" w:firstRowFirstColumn="0" w:firstRowLastColumn="0" w:lastRowFirstColumn="0" w:lastRowLastColumn="0"/>
              <w:rPr>
                <w:rFonts w:cs="Arial"/>
                <w:b/>
                <w:sz w:val="20"/>
              </w:rPr>
            </w:pPr>
            <w:r w:rsidRPr="00EE2EB0">
              <w:rPr>
                <w:rFonts w:cs="Arial"/>
                <w:b/>
                <w:sz w:val="20"/>
              </w:rPr>
              <w:t>EU-SILC microdata</w:t>
            </w:r>
          </w:p>
        </w:tc>
        <w:tc>
          <w:tcPr>
            <w:tcW w:w="1704" w:type="pct"/>
          </w:tcPr>
          <w:p w:rsidR="00EE2EB0" w:rsidRPr="00EE2EB0" w:rsidRDefault="00EE2EB0" w:rsidP="00EE2EB0">
            <w:pPr>
              <w:spacing w:before="0"/>
              <w:cnfStyle w:val="100000000000" w:firstRow="1" w:lastRow="0" w:firstColumn="0" w:lastColumn="0" w:oddVBand="0" w:evenVBand="0" w:oddHBand="0" w:evenHBand="0" w:firstRowFirstColumn="0" w:firstRowLastColumn="0" w:lastRowFirstColumn="0" w:lastRowLastColumn="0"/>
              <w:rPr>
                <w:rFonts w:cs="Arial"/>
                <w:b/>
                <w:sz w:val="20"/>
              </w:rPr>
            </w:pPr>
            <w:r w:rsidRPr="00EE2EB0">
              <w:rPr>
                <w:rFonts w:cs="Arial"/>
                <w:b/>
                <w:sz w:val="20"/>
              </w:rPr>
              <w:t>Austrian Census microdata</w:t>
            </w: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Borders>
              <w:top w:val="single" w:sz="6" w:space="0" w:color="000000"/>
              <w:bottom w:val="single" w:sz="4" w:space="0" w:color="auto"/>
            </w:tcBorders>
          </w:tcPr>
          <w:p w:rsidR="00EE2EB0" w:rsidRPr="00EE2EB0" w:rsidRDefault="00EE2EB0" w:rsidP="00EE2EB0">
            <w:pPr>
              <w:spacing w:before="0"/>
              <w:rPr>
                <w:rFonts w:cs="Arial"/>
                <w:b/>
                <w:i/>
                <w:sz w:val="20"/>
              </w:rPr>
            </w:pPr>
            <w:r w:rsidRPr="00EE2EB0">
              <w:rPr>
                <w:rFonts w:cs="Arial"/>
                <w:b/>
                <w:i/>
                <w:sz w:val="20"/>
              </w:rPr>
              <w:t>Income</w:t>
            </w:r>
          </w:p>
        </w:tc>
        <w:tc>
          <w:tcPr>
            <w:tcW w:w="1670" w:type="pct"/>
            <w:tcBorders>
              <w:top w:val="single" w:sz="6" w:space="0" w:color="000000"/>
              <w:bottom w:val="single" w:sz="4" w:space="0" w:color="auto"/>
            </w:tcBorders>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b/>
                <w:sz w:val="20"/>
              </w:rPr>
            </w:pPr>
          </w:p>
        </w:tc>
        <w:tc>
          <w:tcPr>
            <w:tcW w:w="1704" w:type="pct"/>
            <w:tcBorders>
              <w:top w:val="single" w:sz="6" w:space="0" w:color="000000"/>
              <w:bottom w:val="single" w:sz="4" w:space="0" w:color="auto"/>
            </w:tcBorders>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b/>
                <w:sz w:val="20"/>
              </w:rPr>
            </w:pP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Borders>
              <w:top w:val="single" w:sz="4" w:space="0" w:color="auto"/>
            </w:tcBorders>
          </w:tcPr>
          <w:p w:rsidR="00EE2EB0" w:rsidRPr="00EE2EB0" w:rsidRDefault="00EE2EB0" w:rsidP="00EE2EB0">
            <w:pPr>
              <w:spacing w:before="0"/>
              <w:rPr>
                <w:rFonts w:cs="Arial"/>
                <w:sz w:val="20"/>
              </w:rPr>
            </w:pPr>
            <w:r w:rsidRPr="00EE2EB0">
              <w:rPr>
                <w:rFonts w:cs="Arial"/>
                <w:sz w:val="20"/>
              </w:rPr>
              <w:t>Equivalised disposable income before housing costs</w:t>
            </w:r>
          </w:p>
        </w:tc>
        <w:tc>
          <w:tcPr>
            <w:tcW w:w="1670" w:type="pct"/>
            <w:tcBorders>
              <w:top w:val="single" w:sz="4" w:space="0" w:color="auto"/>
            </w:tcBorders>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HX090 =(HY020*HY025) / HX050</w:t>
            </w:r>
          </w:p>
        </w:tc>
        <w:tc>
          <w:tcPr>
            <w:tcW w:w="1704" w:type="pct"/>
            <w:tcBorders>
              <w:top w:val="single" w:sz="4" w:space="0" w:color="auto"/>
            </w:tcBorders>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N/A</w:t>
            </w: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Borders>
              <w:bottom w:val="single" w:sz="4" w:space="0" w:color="auto"/>
            </w:tcBorders>
          </w:tcPr>
          <w:p w:rsidR="00EE2EB0" w:rsidRPr="00EE2EB0" w:rsidRDefault="00EE2EB0" w:rsidP="00EE2EB0">
            <w:pPr>
              <w:spacing w:before="0"/>
              <w:rPr>
                <w:rFonts w:cs="Arial"/>
                <w:sz w:val="20"/>
              </w:rPr>
            </w:pPr>
            <w:r w:rsidRPr="00EE2EB0">
              <w:rPr>
                <w:rFonts w:cs="Arial"/>
                <w:sz w:val="20"/>
              </w:rPr>
              <w:t>Equivalised disposable income after housing costs</w:t>
            </w:r>
          </w:p>
        </w:tc>
        <w:tc>
          <w:tcPr>
            <w:tcW w:w="1670" w:type="pct"/>
            <w:tcBorders>
              <w:bottom w:val="single" w:sz="4" w:space="0" w:color="auto"/>
            </w:tcBorders>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HX090’= ((HY020- HH070)*HY025) / HX050</w:t>
            </w:r>
          </w:p>
        </w:tc>
        <w:tc>
          <w:tcPr>
            <w:tcW w:w="1704" w:type="pct"/>
            <w:tcBorders>
              <w:bottom w:val="single" w:sz="4" w:space="0" w:color="auto"/>
            </w:tcBorders>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N/A</w:t>
            </w: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5000" w:type="pct"/>
            <w:gridSpan w:val="3"/>
            <w:tcBorders>
              <w:top w:val="single" w:sz="4" w:space="0" w:color="auto"/>
              <w:bottom w:val="single" w:sz="4" w:space="0" w:color="auto"/>
              <w:right w:val="nil"/>
            </w:tcBorders>
          </w:tcPr>
          <w:p w:rsidR="00EE2EB0" w:rsidRPr="00EE2EB0" w:rsidRDefault="00EE2EB0" w:rsidP="00EE2EB0">
            <w:pPr>
              <w:spacing w:before="0"/>
              <w:rPr>
                <w:rFonts w:cs="Arial"/>
                <w:b/>
                <w:sz w:val="20"/>
              </w:rPr>
            </w:pPr>
            <w:r w:rsidRPr="00EE2EB0">
              <w:rPr>
                <w:rFonts w:cs="Arial"/>
                <w:b/>
                <w:i/>
                <w:sz w:val="20"/>
              </w:rPr>
              <w:t>Demographic characteristics</w:t>
            </w: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Borders>
              <w:top w:val="single" w:sz="4" w:space="0" w:color="auto"/>
            </w:tcBorders>
          </w:tcPr>
          <w:p w:rsidR="00EE2EB0" w:rsidRPr="00EE2EB0" w:rsidRDefault="00EE2EB0" w:rsidP="00EE2EB0">
            <w:pPr>
              <w:spacing w:before="0"/>
              <w:rPr>
                <w:rFonts w:cs="Arial"/>
                <w:sz w:val="20"/>
              </w:rPr>
            </w:pPr>
            <w:r w:rsidRPr="00EE2EB0">
              <w:rPr>
                <w:rFonts w:cs="Arial"/>
                <w:sz w:val="20"/>
              </w:rPr>
              <w:t>Age</w:t>
            </w:r>
          </w:p>
        </w:tc>
        <w:tc>
          <w:tcPr>
            <w:tcW w:w="1670" w:type="pct"/>
            <w:tcBorders>
              <w:top w:val="single" w:sz="4" w:space="0" w:color="auto"/>
            </w:tcBorders>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Age at the date of interview (RX010)</w:t>
            </w:r>
          </w:p>
        </w:tc>
        <w:tc>
          <w:tcPr>
            <w:tcW w:w="1704" w:type="pct"/>
            <w:tcBorders>
              <w:top w:val="single" w:sz="4" w:space="0" w:color="auto"/>
            </w:tcBorders>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Age (AT01A_AGE)</w:t>
            </w: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Pr>
          <w:p w:rsidR="00EE2EB0" w:rsidRPr="00EE2EB0" w:rsidRDefault="00EE2EB0" w:rsidP="00EE2EB0">
            <w:pPr>
              <w:spacing w:before="0"/>
              <w:rPr>
                <w:rFonts w:cs="Arial"/>
                <w:sz w:val="20"/>
              </w:rPr>
            </w:pPr>
            <w:r w:rsidRPr="00EE2EB0">
              <w:rPr>
                <w:rFonts w:cs="Arial"/>
                <w:sz w:val="20"/>
              </w:rPr>
              <w:t>Sex</w:t>
            </w:r>
          </w:p>
        </w:tc>
        <w:tc>
          <w:tcPr>
            <w:tcW w:w="1670" w:type="pct"/>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Sex (RB090)</w:t>
            </w:r>
          </w:p>
        </w:tc>
        <w:tc>
          <w:tcPr>
            <w:tcW w:w="1704" w:type="pct"/>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Sex (RB090)</w:t>
            </w: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Pr>
          <w:p w:rsidR="00EE2EB0" w:rsidRPr="00EE2EB0" w:rsidRDefault="00EE2EB0" w:rsidP="00EE2EB0">
            <w:pPr>
              <w:spacing w:before="0"/>
              <w:rPr>
                <w:rFonts w:cs="Arial"/>
                <w:sz w:val="20"/>
              </w:rPr>
            </w:pPr>
            <w:r w:rsidRPr="00EE2EB0">
              <w:rPr>
                <w:rFonts w:cs="Arial"/>
                <w:sz w:val="20"/>
              </w:rPr>
              <w:t>Citizenship</w:t>
            </w:r>
          </w:p>
        </w:tc>
        <w:tc>
          <w:tcPr>
            <w:tcW w:w="1670" w:type="pct"/>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Citizenship 1 (PB220A)</w:t>
            </w:r>
          </w:p>
        </w:tc>
        <w:tc>
          <w:tcPr>
            <w:tcW w:w="1704" w:type="pct"/>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Citizenship (AT01A_CITIZ)</w:t>
            </w: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Borders>
              <w:bottom w:val="single" w:sz="4" w:space="0" w:color="auto"/>
            </w:tcBorders>
          </w:tcPr>
          <w:p w:rsidR="00EE2EB0" w:rsidRPr="00EE2EB0" w:rsidRDefault="00EE2EB0" w:rsidP="00EE2EB0">
            <w:pPr>
              <w:spacing w:before="0"/>
              <w:rPr>
                <w:rFonts w:cs="Arial"/>
                <w:sz w:val="20"/>
              </w:rPr>
            </w:pPr>
            <w:r w:rsidRPr="00EE2EB0">
              <w:rPr>
                <w:rFonts w:cs="Arial"/>
                <w:sz w:val="20"/>
              </w:rPr>
              <w:t>Marital status</w:t>
            </w:r>
          </w:p>
        </w:tc>
        <w:tc>
          <w:tcPr>
            <w:tcW w:w="1670" w:type="pct"/>
            <w:tcBorders>
              <w:bottom w:val="single" w:sz="4" w:space="0" w:color="auto"/>
            </w:tcBorders>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Marital status (PB190)</w:t>
            </w:r>
          </w:p>
        </w:tc>
        <w:tc>
          <w:tcPr>
            <w:tcW w:w="1704" w:type="pct"/>
            <w:tcBorders>
              <w:bottom w:val="single" w:sz="4" w:space="0" w:color="auto"/>
            </w:tcBorders>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Marital status (AT01A_MARST)</w:t>
            </w: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5000" w:type="pct"/>
            <w:gridSpan w:val="3"/>
            <w:tcBorders>
              <w:top w:val="single" w:sz="4" w:space="0" w:color="auto"/>
              <w:bottom w:val="single" w:sz="4" w:space="0" w:color="auto"/>
              <w:right w:val="nil"/>
            </w:tcBorders>
          </w:tcPr>
          <w:p w:rsidR="00EE2EB0" w:rsidRPr="00EE2EB0" w:rsidRDefault="00EE2EB0" w:rsidP="00EE2EB0">
            <w:pPr>
              <w:spacing w:before="0"/>
              <w:rPr>
                <w:rFonts w:cs="Arial"/>
                <w:b/>
                <w:sz w:val="20"/>
              </w:rPr>
            </w:pPr>
            <w:r w:rsidRPr="00EE2EB0">
              <w:rPr>
                <w:rFonts w:cs="Arial"/>
                <w:b/>
                <w:i/>
                <w:sz w:val="20"/>
              </w:rPr>
              <w:t>Socio-economic characteristics</w:t>
            </w: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Borders>
              <w:top w:val="single" w:sz="4" w:space="0" w:color="auto"/>
            </w:tcBorders>
          </w:tcPr>
          <w:p w:rsidR="00EE2EB0" w:rsidRPr="00EE2EB0" w:rsidRDefault="00EE2EB0" w:rsidP="00EE2EB0">
            <w:pPr>
              <w:spacing w:before="0"/>
              <w:rPr>
                <w:rFonts w:cs="Arial"/>
                <w:sz w:val="20"/>
              </w:rPr>
            </w:pPr>
            <w:r w:rsidRPr="00EE2EB0">
              <w:rPr>
                <w:rFonts w:cs="Arial"/>
                <w:sz w:val="20"/>
              </w:rPr>
              <w:t>Status in employment</w:t>
            </w:r>
          </w:p>
        </w:tc>
        <w:tc>
          <w:tcPr>
            <w:tcW w:w="1670" w:type="pct"/>
            <w:tcBorders>
              <w:top w:val="single" w:sz="4" w:space="0" w:color="auto"/>
            </w:tcBorders>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Status in employment (PL040)</w:t>
            </w:r>
          </w:p>
        </w:tc>
        <w:tc>
          <w:tcPr>
            <w:tcW w:w="1704" w:type="pct"/>
            <w:tcBorders>
              <w:top w:val="single" w:sz="4" w:space="0" w:color="auto"/>
            </w:tcBorders>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Status in employment (of supporter) (AT01A_CLWK1)</w:t>
            </w: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Pr>
          <w:p w:rsidR="00EE2EB0" w:rsidRPr="00EE2EB0" w:rsidRDefault="00EE2EB0" w:rsidP="00EE2EB0">
            <w:pPr>
              <w:spacing w:before="0"/>
              <w:rPr>
                <w:rFonts w:cs="Arial"/>
                <w:sz w:val="20"/>
              </w:rPr>
            </w:pPr>
            <w:r w:rsidRPr="00EE2EB0">
              <w:rPr>
                <w:rFonts w:cs="Arial"/>
                <w:sz w:val="20"/>
              </w:rPr>
              <w:t>Educational attainment</w:t>
            </w:r>
          </w:p>
        </w:tc>
        <w:tc>
          <w:tcPr>
            <w:tcW w:w="1670" w:type="pct"/>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Highest ISCED level attended (PE040)</w:t>
            </w:r>
          </w:p>
        </w:tc>
        <w:tc>
          <w:tcPr>
            <w:tcW w:w="1704" w:type="pct"/>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Highest education completed (ISCED-97) (AT01A_EDATTAN3)</w:t>
            </w: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Pr>
          <w:p w:rsidR="00EE2EB0" w:rsidRPr="00EE2EB0" w:rsidRDefault="00EE2EB0" w:rsidP="00EE2EB0">
            <w:pPr>
              <w:spacing w:before="0"/>
              <w:rPr>
                <w:rFonts w:cs="Arial"/>
                <w:sz w:val="20"/>
              </w:rPr>
            </w:pPr>
            <w:r w:rsidRPr="00EE2EB0">
              <w:rPr>
                <w:rFonts w:cs="Arial"/>
                <w:sz w:val="20"/>
              </w:rPr>
              <w:t>Occupation</w:t>
            </w:r>
          </w:p>
        </w:tc>
        <w:tc>
          <w:tcPr>
            <w:tcW w:w="1670" w:type="pct"/>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Occupation (ISCO-88 (COM) (PL050)</w:t>
            </w:r>
          </w:p>
        </w:tc>
        <w:tc>
          <w:tcPr>
            <w:tcW w:w="1704" w:type="pct"/>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Occupation of supporter: ISCO sub-major groups (AT01A_OCCISM)</w:t>
            </w: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Borders>
              <w:bottom w:val="single" w:sz="4" w:space="0" w:color="auto"/>
            </w:tcBorders>
          </w:tcPr>
          <w:p w:rsidR="00EE2EB0" w:rsidRPr="00EE2EB0" w:rsidRDefault="00EE2EB0" w:rsidP="00EE2EB0">
            <w:pPr>
              <w:spacing w:before="0"/>
              <w:rPr>
                <w:rFonts w:cs="Arial"/>
                <w:sz w:val="20"/>
              </w:rPr>
            </w:pPr>
            <w:r w:rsidRPr="00EE2EB0">
              <w:rPr>
                <w:rFonts w:cs="Arial"/>
                <w:sz w:val="20"/>
              </w:rPr>
              <w:t>Economic activity by section</w:t>
            </w:r>
          </w:p>
        </w:tc>
        <w:tc>
          <w:tcPr>
            <w:tcW w:w="1670" w:type="pct"/>
            <w:tcBorders>
              <w:bottom w:val="single" w:sz="4" w:space="0" w:color="auto"/>
            </w:tcBorders>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NACE (Rev 1.1) (PL110)</w:t>
            </w:r>
          </w:p>
        </w:tc>
        <w:tc>
          <w:tcPr>
            <w:tcW w:w="1704" w:type="pct"/>
            <w:tcBorders>
              <w:bottom w:val="single" w:sz="4" w:space="0" w:color="auto"/>
            </w:tcBorders>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 xml:space="preserve">Economic activity of supporter: ONACE section </w:t>
            </w:r>
            <w:r w:rsidRPr="00EE2EB0">
              <w:rPr>
                <w:rFonts w:cs="Arial"/>
                <w:sz w:val="20"/>
              </w:rPr>
              <w:lastRenderedPageBreak/>
              <w:t>(AT01A_INDS)</w:t>
            </w: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5000" w:type="pct"/>
            <w:gridSpan w:val="3"/>
            <w:tcBorders>
              <w:top w:val="single" w:sz="4" w:space="0" w:color="auto"/>
              <w:bottom w:val="single" w:sz="4" w:space="0" w:color="auto"/>
              <w:right w:val="nil"/>
            </w:tcBorders>
          </w:tcPr>
          <w:p w:rsidR="00EE2EB0" w:rsidRPr="00EE2EB0" w:rsidRDefault="00EE2EB0" w:rsidP="00EE2EB0">
            <w:pPr>
              <w:spacing w:before="0"/>
              <w:rPr>
                <w:rFonts w:cs="Arial"/>
                <w:b/>
                <w:sz w:val="20"/>
              </w:rPr>
            </w:pPr>
            <w:r w:rsidRPr="00EE2EB0">
              <w:rPr>
                <w:rFonts w:cs="Arial"/>
                <w:b/>
                <w:i/>
                <w:sz w:val="20"/>
              </w:rPr>
              <w:lastRenderedPageBreak/>
              <w:t>Household characteristics</w:t>
            </w: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Borders>
              <w:top w:val="single" w:sz="4" w:space="0" w:color="auto"/>
            </w:tcBorders>
          </w:tcPr>
          <w:p w:rsidR="00EE2EB0" w:rsidRPr="00EE2EB0" w:rsidRDefault="00EE2EB0" w:rsidP="00EE2EB0">
            <w:pPr>
              <w:spacing w:before="0"/>
              <w:rPr>
                <w:rFonts w:cs="Arial"/>
                <w:sz w:val="20"/>
              </w:rPr>
            </w:pPr>
            <w:r w:rsidRPr="00EE2EB0">
              <w:rPr>
                <w:rFonts w:cs="Arial"/>
                <w:sz w:val="20"/>
              </w:rPr>
              <w:t>Household type</w:t>
            </w:r>
          </w:p>
        </w:tc>
        <w:tc>
          <w:tcPr>
            <w:tcW w:w="1670" w:type="pct"/>
            <w:tcBorders>
              <w:top w:val="single" w:sz="4" w:space="0" w:color="auto"/>
            </w:tcBorders>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Household type</w:t>
            </w:r>
            <w:r w:rsidRPr="00EE2EB0">
              <w:rPr>
                <w:rFonts w:cs="Arial"/>
                <w:sz w:val="20"/>
              </w:rPr>
              <w:tab/>
              <w:t xml:space="preserve"> (HX060)</w:t>
            </w:r>
          </w:p>
        </w:tc>
        <w:tc>
          <w:tcPr>
            <w:tcW w:w="1704" w:type="pct"/>
            <w:tcBorders>
              <w:top w:val="single" w:sz="4" w:space="0" w:color="auto"/>
            </w:tcBorders>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Type of household 6 (AT01A_HHTY6)</w:t>
            </w: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Pr>
          <w:p w:rsidR="00EE2EB0" w:rsidRPr="00EE2EB0" w:rsidRDefault="00EE2EB0" w:rsidP="00EE2EB0">
            <w:pPr>
              <w:spacing w:before="0"/>
              <w:rPr>
                <w:rFonts w:cs="Arial"/>
                <w:sz w:val="20"/>
              </w:rPr>
            </w:pPr>
            <w:r w:rsidRPr="00EE2EB0">
              <w:rPr>
                <w:rFonts w:cs="Arial"/>
                <w:sz w:val="20"/>
              </w:rPr>
              <w:t>Number of children (15-) in household</w:t>
            </w:r>
          </w:p>
        </w:tc>
        <w:tc>
          <w:tcPr>
            <w:tcW w:w="1670" w:type="pct"/>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Age at the date of interview (RX010)</w:t>
            </w:r>
          </w:p>
        </w:tc>
        <w:tc>
          <w:tcPr>
            <w:tcW w:w="1704" w:type="pct"/>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Age (AT01A_AGE)</w:t>
            </w: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Pr>
          <w:p w:rsidR="00EE2EB0" w:rsidRPr="00EE2EB0" w:rsidRDefault="00EE2EB0" w:rsidP="00EE2EB0">
            <w:pPr>
              <w:spacing w:before="0"/>
              <w:rPr>
                <w:rFonts w:cs="Arial"/>
                <w:sz w:val="20"/>
              </w:rPr>
            </w:pPr>
            <w:r w:rsidRPr="00EE2EB0">
              <w:rPr>
                <w:rFonts w:cs="Arial"/>
                <w:sz w:val="20"/>
              </w:rPr>
              <w:t>Number of persons in employment in household</w:t>
            </w:r>
          </w:p>
        </w:tc>
        <w:tc>
          <w:tcPr>
            <w:tcW w:w="1670" w:type="pct"/>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Basic activity status (RB210)</w:t>
            </w:r>
          </w:p>
        </w:tc>
        <w:tc>
          <w:tcPr>
            <w:tcW w:w="1704" w:type="pct"/>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Activity status (labour force concept) (AT01A_EMPST)</w:t>
            </w: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Pr>
          <w:p w:rsidR="00EE2EB0" w:rsidRPr="00EE2EB0" w:rsidRDefault="00EE2EB0" w:rsidP="00EE2EB0">
            <w:pPr>
              <w:spacing w:before="0"/>
              <w:rPr>
                <w:rFonts w:cs="Arial"/>
                <w:sz w:val="20"/>
              </w:rPr>
            </w:pPr>
            <w:r w:rsidRPr="00EE2EB0">
              <w:rPr>
                <w:rFonts w:cs="Arial"/>
                <w:sz w:val="20"/>
              </w:rPr>
              <w:t>Number of persons with high (ISCED 5-6) qualification in household</w:t>
            </w:r>
          </w:p>
        </w:tc>
        <w:tc>
          <w:tcPr>
            <w:tcW w:w="1670" w:type="pct"/>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Highest ISCED level attended (PE040)</w:t>
            </w:r>
          </w:p>
        </w:tc>
        <w:tc>
          <w:tcPr>
            <w:tcW w:w="1704" w:type="pct"/>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Highest education completed (ISCED-97) (AT01A_EDATTAN3)</w:t>
            </w: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Borders>
              <w:bottom w:val="single" w:sz="4" w:space="0" w:color="auto"/>
            </w:tcBorders>
          </w:tcPr>
          <w:p w:rsidR="00EE2EB0" w:rsidRPr="00EE2EB0" w:rsidRDefault="00EE2EB0" w:rsidP="00EE2EB0">
            <w:pPr>
              <w:spacing w:before="0"/>
              <w:rPr>
                <w:rFonts w:cs="Arial"/>
                <w:sz w:val="20"/>
              </w:rPr>
            </w:pPr>
            <w:r w:rsidRPr="00EE2EB0">
              <w:rPr>
                <w:rFonts w:cs="Arial"/>
                <w:sz w:val="20"/>
              </w:rPr>
              <w:t>Children in low work intensity household</w:t>
            </w:r>
          </w:p>
        </w:tc>
        <w:tc>
          <w:tcPr>
            <w:tcW w:w="1670" w:type="pct"/>
            <w:tcBorders>
              <w:bottom w:val="single" w:sz="4" w:space="0" w:color="auto"/>
            </w:tcBorders>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Age at the date of interview (RX010) and Basic activity status (RB210)</w:t>
            </w:r>
          </w:p>
        </w:tc>
        <w:tc>
          <w:tcPr>
            <w:tcW w:w="1704" w:type="pct"/>
            <w:tcBorders>
              <w:bottom w:val="single" w:sz="4" w:space="0" w:color="auto"/>
            </w:tcBorders>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Age (AT01A_AGE) and Activity status (labour force concept) (AT01A_EMPST)</w:t>
            </w: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5000" w:type="pct"/>
            <w:gridSpan w:val="3"/>
            <w:tcBorders>
              <w:top w:val="single" w:sz="4" w:space="0" w:color="auto"/>
              <w:bottom w:val="single" w:sz="4" w:space="0" w:color="auto"/>
              <w:right w:val="nil"/>
            </w:tcBorders>
          </w:tcPr>
          <w:p w:rsidR="00EE2EB0" w:rsidRPr="00EE2EB0" w:rsidRDefault="00EE2EB0" w:rsidP="00EE2EB0">
            <w:pPr>
              <w:spacing w:before="0"/>
              <w:rPr>
                <w:rFonts w:cs="Arial"/>
                <w:b/>
                <w:sz w:val="20"/>
              </w:rPr>
            </w:pPr>
            <w:r w:rsidRPr="00EE2EB0">
              <w:rPr>
                <w:rFonts w:cs="Arial"/>
                <w:b/>
                <w:i/>
                <w:sz w:val="20"/>
              </w:rPr>
              <w:t>Housing characteristics</w:t>
            </w: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Borders>
              <w:top w:val="single" w:sz="4" w:space="0" w:color="auto"/>
            </w:tcBorders>
          </w:tcPr>
          <w:p w:rsidR="00EE2EB0" w:rsidRPr="00EE2EB0" w:rsidRDefault="00EE2EB0" w:rsidP="00EE2EB0">
            <w:pPr>
              <w:spacing w:before="0"/>
              <w:rPr>
                <w:rFonts w:cs="Arial"/>
                <w:sz w:val="20"/>
              </w:rPr>
            </w:pPr>
            <w:r w:rsidRPr="00EE2EB0">
              <w:rPr>
                <w:rFonts w:cs="Arial"/>
                <w:sz w:val="20"/>
              </w:rPr>
              <w:t xml:space="preserve">Room number </w:t>
            </w:r>
          </w:p>
        </w:tc>
        <w:tc>
          <w:tcPr>
            <w:tcW w:w="1670" w:type="pct"/>
            <w:tcBorders>
              <w:top w:val="single" w:sz="4" w:space="0" w:color="auto"/>
            </w:tcBorders>
          </w:tcPr>
          <w:p w:rsidR="00EE2EB0" w:rsidRPr="00EE2EB0" w:rsidRDefault="00EE2EB0" w:rsidP="00AF173E">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Number of rooms (HH030)</w:t>
            </w:r>
          </w:p>
        </w:tc>
        <w:tc>
          <w:tcPr>
            <w:tcW w:w="1704" w:type="pct"/>
            <w:tcBorders>
              <w:top w:val="single" w:sz="4" w:space="0" w:color="auto"/>
            </w:tcBorders>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Number of rooms in dwelling (AT01A_ROOMDW)</w:t>
            </w: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Pr>
          <w:p w:rsidR="00EE2EB0" w:rsidRPr="00EE2EB0" w:rsidRDefault="00EE2EB0" w:rsidP="00EE2EB0">
            <w:pPr>
              <w:spacing w:before="0"/>
              <w:rPr>
                <w:rFonts w:cs="Arial"/>
                <w:sz w:val="20"/>
              </w:rPr>
            </w:pPr>
            <w:r w:rsidRPr="00EE2EB0">
              <w:rPr>
                <w:rFonts w:cs="Arial"/>
                <w:sz w:val="20"/>
              </w:rPr>
              <w:t>Bathing facility</w:t>
            </w:r>
          </w:p>
        </w:tc>
        <w:tc>
          <w:tcPr>
            <w:tcW w:w="1670" w:type="pct"/>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Bath or shower in dwelling (HH080)</w:t>
            </w:r>
          </w:p>
        </w:tc>
        <w:tc>
          <w:tcPr>
            <w:tcW w:w="1704" w:type="pct"/>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Equipment standard of dwelling (AT01A_FACIL)</w:t>
            </w:r>
          </w:p>
        </w:tc>
      </w:tr>
      <w:tr w:rsidR="00EE2EB0" w:rsidRPr="00EE2EB0"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Pr>
          <w:p w:rsidR="00EE2EB0" w:rsidRPr="00EE2EB0" w:rsidRDefault="00EE2EB0" w:rsidP="00EE2EB0">
            <w:pPr>
              <w:spacing w:before="0"/>
              <w:rPr>
                <w:rFonts w:cs="Arial"/>
                <w:sz w:val="20"/>
              </w:rPr>
            </w:pPr>
            <w:r w:rsidRPr="00EE2EB0">
              <w:rPr>
                <w:rFonts w:cs="Arial"/>
                <w:sz w:val="20"/>
              </w:rPr>
              <w:t>Toilet facility</w:t>
            </w:r>
          </w:p>
        </w:tc>
        <w:tc>
          <w:tcPr>
            <w:tcW w:w="1670" w:type="pct"/>
          </w:tcPr>
          <w:p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Indoor flushing toilet for sole use of household (HH090)</w:t>
            </w:r>
          </w:p>
        </w:tc>
        <w:tc>
          <w:tcPr>
            <w:tcW w:w="1704" w:type="pct"/>
          </w:tcPr>
          <w:p w:rsidR="00EE2EB0" w:rsidRPr="00EE2EB0" w:rsidRDefault="00EE2EB0" w:rsidP="00AF173E">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Toilet fa</w:t>
            </w:r>
            <w:r w:rsidR="00AF173E">
              <w:rPr>
                <w:rFonts w:cs="Arial"/>
                <w:sz w:val="20"/>
              </w:rPr>
              <w:t xml:space="preserve">cility </w:t>
            </w:r>
            <w:r w:rsidRPr="00EE2EB0">
              <w:rPr>
                <w:rFonts w:cs="Arial"/>
                <w:sz w:val="20"/>
              </w:rPr>
              <w:t>(AT01A_TOILET)</w:t>
            </w:r>
          </w:p>
        </w:tc>
      </w:tr>
    </w:tbl>
    <w:p w:rsidR="00A16958" w:rsidRDefault="00A16958" w:rsidP="00A16958">
      <w:pPr>
        <w:spacing w:before="0" w:line="276" w:lineRule="auto"/>
        <w:rPr>
          <w:b/>
        </w:rPr>
      </w:pPr>
    </w:p>
    <w:p w:rsidR="00CC7C09" w:rsidRDefault="00CC7C09" w:rsidP="00A16958">
      <w:pPr>
        <w:spacing w:before="0" w:line="276" w:lineRule="auto"/>
      </w:pPr>
      <w:r w:rsidRPr="00DD6902">
        <w:rPr>
          <w:b/>
        </w:rPr>
        <w:t>Before or after Housing Costs?</w:t>
      </w:r>
      <w:r w:rsidRPr="00DD6902">
        <w:t xml:space="preserve"> </w:t>
      </w:r>
      <w:r>
        <w:t xml:space="preserve">Both. The measure of equivalised disposable income after housing costs was calculated as follows: HX090’= </w:t>
      </w:r>
      <w:r w:rsidR="00F75DF0">
        <w:t xml:space="preserve">((HY020- HH070)*HY025) / HX050. </w:t>
      </w:r>
      <w:r>
        <w:t xml:space="preserve">Where: </w:t>
      </w:r>
    </w:p>
    <w:p w:rsidR="00CC7C09" w:rsidRDefault="00CC7C09" w:rsidP="00A16958">
      <w:pPr>
        <w:pStyle w:val="Luettelokappale"/>
        <w:numPr>
          <w:ilvl w:val="0"/>
          <w:numId w:val="9"/>
        </w:numPr>
        <w:spacing w:before="0" w:line="276" w:lineRule="auto"/>
      </w:pPr>
      <w:r>
        <w:t>HX090 - Equivalised disposable income, where HX090 =(HY020*HY025) / HX050</w:t>
      </w:r>
    </w:p>
    <w:p w:rsidR="00CC7C09" w:rsidRDefault="00CC7C09" w:rsidP="00A16958">
      <w:pPr>
        <w:pStyle w:val="Luettelokappale"/>
        <w:numPr>
          <w:ilvl w:val="0"/>
          <w:numId w:val="9"/>
        </w:numPr>
        <w:spacing w:before="0" w:line="276" w:lineRule="auto"/>
      </w:pPr>
      <w:r>
        <w:t>HH070 - Total housing cost</w:t>
      </w:r>
    </w:p>
    <w:p w:rsidR="00CC7C09" w:rsidRDefault="00CC7C09" w:rsidP="00A16958">
      <w:pPr>
        <w:pStyle w:val="Luettelokappale"/>
        <w:numPr>
          <w:ilvl w:val="0"/>
          <w:numId w:val="9"/>
        </w:numPr>
        <w:spacing w:before="0" w:line="276" w:lineRule="auto"/>
      </w:pPr>
      <w:r>
        <w:t>HY020 - Total disposable household income</w:t>
      </w:r>
    </w:p>
    <w:p w:rsidR="00CC7C09" w:rsidRDefault="00CC7C09" w:rsidP="00A16958">
      <w:pPr>
        <w:pStyle w:val="Luettelokappale"/>
        <w:numPr>
          <w:ilvl w:val="0"/>
          <w:numId w:val="9"/>
        </w:numPr>
        <w:spacing w:before="0" w:line="276" w:lineRule="auto"/>
      </w:pPr>
      <w:r>
        <w:t>HY025 - Within-household non-response inflation factor</w:t>
      </w:r>
    </w:p>
    <w:p w:rsidR="00CC7C09" w:rsidRPr="00DD6902" w:rsidRDefault="00CC7C09" w:rsidP="00A16958">
      <w:pPr>
        <w:pStyle w:val="Luettelokappale"/>
        <w:numPr>
          <w:ilvl w:val="0"/>
          <w:numId w:val="9"/>
        </w:numPr>
        <w:spacing w:before="0" w:line="276" w:lineRule="auto"/>
      </w:pPr>
      <w:r>
        <w:t>HX050 - Equivalised household size</w:t>
      </w:r>
    </w:p>
    <w:p w:rsidR="00CC7C09" w:rsidRPr="00DD6902" w:rsidRDefault="00CC7C09" w:rsidP="00A16958">
      <w:pPr>
        <w:spacing w:before="0" w:line="276" w:lineRule="auto"/>
      </w:pPr>
      <w:r w:rsidRPr="00DD6902">
        <w:rPr>
          <w:b/>
        </w:rPr>
        <w:t>NUTS Level of estimates:</w:t>
      </w:r>
      <w:r w:rsidRPr="00DD6902">
        <w:t xml:space="preserve"> NUTS 3</w:t>
      </w:r>
    </w:p>
    <w:p w:rsidR="00CC7C09" w:rsidRPr="00DD6902" w:rsidRDefault="00CC7C09" w:rsidP="00A16958">
      <w:pPr>
        <w:spacing w:before="0" w:line="276" w:lineRule="auto"/>
      </w:pPr>
      <w:r w:rsidRPr="00DD6902">
        <w:rPr>
          <w:b/>
        </w:rPr>
        <w:t xml:space="preserve">Adjusted to agree with Eurostat published </w:t>
      </w:r>
      <w:r w:rsidR="008632AA">
        <w:rPr>
          <w:b/>
        </w:rPr>
        <w:t>ARoP</w:t>
      </w:r>
      <w:r w:rsidRPr="00DD6902">
        <w:rPr>
          <w:b/>
        </w:rPr>
        <w:t xml:space="preserve"> rates?</w:t>
      </w:r>
      <w:r w:rsidRPr="00DD6902">
        <w:t xml:space="preserve"> No</w:t>
      </w:r>
    </w:p>
    <w:p w:rsidR="00CC7C09" w:rsidRDefault="00CC7C09" w:rsidP="00A16958">
      <w:pPr>
        <w:spacing w:before="0" w:line="276" w:lineRule="auto"/>
      </w:pPr>
      <w:r w:rsidRPr="00DD6902">
        <w:rPr>
          <w:b/>
        </w:rPr>
        <w:t>Comments:</w:t>
      </w:r>
      <w:r>
        <w:t xml:space="preserve"> </w:t>
      </w:r>
      <w:r w:rsidR="00F71949">
        <w:t>S</w:t>
      </w:r>
      <w:r>
        <w:t xml:space="preserve">ome NUTS 3 </w:t>
      </w:r>
      <w:r w:rsidR="00F71949">
        <w:t>regions in the Austrian Census were aggregated:</w:t>
      </w:r>
      <w:r>
        <w:t xml:space="preserve"> </w:t>
      </w:r>
      <w:r w:rsidRPr="00F21AED">
        <w:t xml:space="preserve">Mittelburgenland </w:t>
      </w:r>
      <w:r>
        <w:t xml:space="preserve">(AT111) </w:t>
      </w:r>
      <w:r w:rsidRPr="00F21AED">
        <w:t>and Südburgenland</w:t>
      </w:r>
      <w:r>
        <w:t xml:space="preserve"> (AT113), </w:t>
      </w:r>
      <w:r w:rsidRPr="00F21AED">
        <w:t xml:space="preserve">Lungau </w:t>
      </w:r>
      <w:r>
        <w:t xml:space="preserve">(AT321) </w:t>
      </w:r>
      <w:r w:rsidRPr="00F21AED">
        <w:t>and Pinzgau-Pongau</w:t>
      </w:r>
      <w:r>
        <w:t xml:space="preserve"> (AT322), </w:t>
      </w:r>
      <w:r w:rsidRPr="00F21AED">
        <w:t xml:space="preserve">Außerfern </w:t>
      </w:r>
      <w:r>
        <w:t xml:space="preserve">(AT331) </w:t>
      </w:r>
      <w:r w:rsidRPr="00F21AED">
        <w:t>and Tiroler Oberland</w:t>
      </w:r>
      <w:r>
        <w:t xml:space="preserve"> (AT334), </w:t>
      </w:r>
      <w:r w:rsidRPr="00F21AED">
        <w:t xml:space="preserve">Osttirol </w:t>
      </w:r>
      <w:r>
        <w:t xml:space="preserve">(AT333) </w:t>
      </w:r>
      <w:r w:rsidRPr="00F21AED">
        <w:t>and Tiroler Unterland</w:t>
      </w:r>
      <w:r>
        <w:t xml:space="preserve"> (AT335) – so PovMap modelling covers 31 NUTS 3 regions and aggregated regions instead 35 NUTS 3 units. </w:t>
      </w:r>
      <w:r w:rsidR="00F71949">
        <w:t>T</w:t>
      </w:r>
      <w:r>
        <w:t>hese aggregated cases were mapped separately, but always grouped in the same quintiles.</w:t>
      </w:r>
    </w:p>
    <w:p w:rsidR="00A16958" w:rsidRPr="00DD6902" w:rsidRDefault="00CC7C09" w:rsidP="00A16958">
      <w:pPr>
        <w:spacing w:before="0" w:line="276" w:lineRule="auto"/>
      </w:pPr>
      <w:r>
        <w:rPr>
          <w:noProof/>
        </w:rPr>
        <w:br w:type="page"/>
      </w:r>
      <w:r w:rsidR="00A16958" w:rsidRPr="00DD6902">
        <w:rPr>
          <w:b/>
        </w:rPr>
        <w:lastRenderedPageBreak/>
        <w:t>Country:</w:t>
      </w:r>
      <w:r w:rsidR="00A16958" w:rsidRPr="00DD6902">
        <w:t xml:space="preserve"> </w:t>
      </w:r>
      <w:r w:rsidR="00A16958">
        <w:t>Austria - Update</w:t>
      </w:r>
    </w:p>
    <w:p w:rsidR="00A16958" w:rsidRDefault="00A16958" w:rsidP="00A16958">
      <w:pPr>
        <w:spacing w:before="0" w:line="276" w:lineRule="auto"/>
        <w:rPr>
          <w:b/>
        </w:rPr>
      </w:pPr>
    </w:p>
    <w:p w:rsidR="00A16958" w:rsidRPr="00DD6902" w:rsidRDefault="00A16958" w:rsidP="00A16958">
      <w:pPr>
        <w:spacing w:before="0" w:line="276" w:lineRule="auto"/>
      </w:pPr>
      <w:r w:rsidRPr="00DD6902">
        <w:rPr>
          <w:b/>
        </w:rPr>
        <w:t>Partner responsible</w:t>
      </w:r>
      <w:r w:rsidRPr="00DD6902">
        <w:t>: Hungarian Academy of Sciences (HAS), Budapest</w:t>
      </w:r>
    </w:p>
    <w:p w:rsidR="00A16958" w:rsidRPr="00DD6902" w:rsidRDefault="00A16958" w:rsidP="00A16958">
      <w:pPr>
        <w:spacing w:before="0" w:line="276" w:lineRule="auto"/>
      </w:pPr>
      <w:r w:rsidRPr="00DD6902">
        <w:rPr>
          <w:b/>
        </w:rPr>
        <w:t>Contact Person:</w:t>
      </w:r>
      <w:r w:rsidRPr="00DD6902">
        <w:t xml:space="preserve"> Gergely Tagai</w:t>
      </w:r>
    </w:p>
    <w:p w:rsidR="00A16958" w:rsidRPr="00DD6902" w:rsidRDefault="00A16958" w:rsidP="00A16958">
      <w:pPr>
        <w:spacing w:before="0" w:line="276" w:lineRule="auto"/>
      </w:pPr>
      <w:r w:rsidRPr="00DD6902">
        <w:rPr>
          <w:b/>
        </w:rPr>
        <w:t>Date:</w:t>
      </w:r>
      <w:r w:rsidRPr="00DD6902">
        <w:t xml:space="preserve"> </w:t>
      </w:r>
      <w:r>
        <w:t>24</w:t>
      </w:r>
      <w:r w:rsidRPr="00DD6902">
        <w:t>/</w:t>
      </w:r>
      <w:r>
        <w:t>06</w:t>
      </w:r>
      <w:r w:rsidRPr="00DD6902">
        <w:t>/1</w:t>
      </w:r>
      <w:r>
        <w:t>4</w:t>
      </w:r>
    </w:p>
    <w:p w:rsidR="00A16958" w:rsidRPr="00DD6902" w:rsidRDefault="00A16958" w:rsidP="00A16958">
      <w:pPr>
        <w:spacing w:before="0" w:line="276" w:lineRule="auto"/>
      </w:pPr>
      <w:r w:rsidRPr="00DD6902">
        <w:rPr>
          <w:b/>
        </w:rPr>
        <w:t>Methodology Used:</w:t>
      </w:r>
      <w:r w:rsidRPr="00DD6902">
        <w:t xml:space="preserve"> </w:t>
      </w:r>
      <w:r w:rsidRPr="00133DA4">
        <w:rPr>
          <w:color w:val="000000" w:themeColor="text1"/>
        </w:rPr>
        <w:t>Direct Apportionment</w:t>
      </w:r>
    </w:p>
    <w:p w:rsidR="00A16958" w:rsidRDefault="00A16958" w:rsidP="00A16958">
      <w:pPr>
        <w:spacing w:before="0" w:line="276" w:lineRule="auto"/>
        <w:rPr>
          <w:b/>
        </w:rPr>
      </w:pPr>
      <w:r w:rsidRPr="00DD6902">
        <w:rPr>
          <w:b/>
        </w:rPr>
        <w:t>Constraints on Choice of Methodology:</w:t>
      </w:r>
    </w:p>
    <w:p w:rsidR="00A16958" w:rsidRDefault="00A16958" w:rsidP="00A16958">
      <w:pPr>
        <w:spacing w:before="0" w:line="276" w:lineRule="auto"/>
      </w:pPr>
      <w:r w:rsidRPr="00DD6902">
        <w:t>World Bank PovMap was</w:t>
      </w:r>
      <w:r>
        <w:t xml:space="preserve"> not</w:t>
      </w:r>
      <w:r w:rsidRPr="00DD6902">
        <w:t xml:space="preserve"> possible due to </w:t>
      </w:r>
      <w:r>
        <w:t>un</w:t>
      </w:r>
      <w:r w:rsidRPr="00DD6902">
        <w:t xml:space="preserve">availability of </w:t>
      </w:r>
      <w:r>
        <w:t>NUTS3 regional identifiers in Census 2011 microdata, which moreover is just under publication. An area based regression model was unable to carry out by using NUTS2 aggregates from EU-SILC and NUTS3 indicators from Census 2011 because Austria has only 9 NUTS2 regions, and it far below the accepted minimum number of sample units for running a regression model. Statistik Austria publishes data on the number of population classified by income levels which might be an appropriate basis of making an apportionment on poverty level.</w:t>
      </w:r>
    </w:p>
    <w:p w:rsidR="00A16958" w:rsidRPr="00DD6902" w:rsidRDefault="00A16958" w:rsidP="00A16958">
      <w:pPr>
        <w:spacing w:before="0" w:line="276" w:lineRule="auto"/>
      </w:pPr>
      <w:r w:rsidRPr="00DD6902">
        <w:rPr>
          <w:b/>
        </w:rPr>
        <w:t>Source(s) of raw data:</w:t>
      </w:r>
    </w:p>
    <w:p w:rsidR="00A16958" w:rsidRDefault="00A16958" w:rsidP="00A16958">
      <w:pPr>
        <w:spacing w:before="0" w:line="276" w:lineRule="auto"/>
      </w:pPr>
      <w:r>
        <w:t xml:space="preserve">Statistik Austria, </w:t>
      </w:r>
      <w:r w:rsidRPr="005C39EC">
        <w:t>STATcube, Integrated Wage and Income Tax Statistics</w:t>
      </w:r>
      <w:r>
        <w:t xml:space="preserve">, </w:t>
      </w:r>
      <w:hyperlink r:id="rId61" w:history="1">
        <w:r w:rsidRPr="00195093">
          <w:rPr>
            <w:rStyle w:val="Hyperlinkki"/>
          </w:rPr>
          <w:t>http://statcube.at/superwebguest/login.do?guest=guest&amp;db=de_steuer_lue_2011_1a</w:t>
        </w:r>
      </w:hyperlink>
    </w:p>
    <w:p w:rsidR="00A16958" w:rsidRPr="00DD6902" w:rsidRDefault="00A16958" w:rsidP="00A16958">
      <w:pPr>
        <w:spacing w:before="0" w:line="276" w:lineRule="auto"/>
      </w:pPr>
      <w:r w:rsidRPr="00DD6902">
        <w:rPr>
          <w:b/>
        </w:rPr>
        <w:t>Date(s) of raw data:</w:t>
      </w:r>
      <w:r w:rsidRPr="005C39EC">
        <w:t xml:space="preserve"> Integrated Wage and Income Tax Statistics</w:t>
      </w:r>
      <w:r>
        <w:t xml:space="preserve"> refers to </w:t>
      </w:r>
      <w:r w:rsidRPr="00DD6902">
        <w:t>20</w:t>
      </w:r>
      <w:r>
        <w:t>11</w:t>
      </w:r>
      <w:r w:rsidRPr="00DD6902">
        <w:t>.</w:t>
      </w:r>
    </w:p>
    <w:p w:rsidR="00A16958" w:rsidRPr="000D6916" w:rsidRDefault="00A16958" w:rsidP="00A16958">
      <w:pPr>
        <w:spacing w:before="0" w:line="276" w:lineRule="auto"/>
      </w:pPr>
      <w:r w:rsidRPr="00DD6902">
        <w:rPr>
          <w:b/>
        </w:rPr>
        <w:t>Variables used:</w:t>
      </w:r>
      <w:r>
        <w:t xml:space="preserve"> Population by levels of total income</w:t>
      </w:r>
    </w:p>
    <w:p w:rsidR="00A16958" w:rsidRPr="00DD6902" w:rsidRDefault="00A16958" w:rsidP="00A16958">
      <w:pPr>
        <w:spacing w:before="0" w:line="276" w:lineRule="auto"/>
      </w:pPr>
      <w:r w:rsidRPr="00DD6902">
        <w:rPr>
          <w:b/>
        </w:rPr>
        <w:t>Before or after Housing Costs?</w:t>
      </w:r>
      <w:r w:rsidRPr="00DD6902">
        <w:t xml:space="preserve"> </w:t>
      </w:r>
      <w:r>
        <w:t>Before</w:t>
      </w:r>
    </w:p>
    <w:p w:rsidR="00A16958" w:rsidRPr="00DD6902" w:rsidRDefault="00A16958" w:rsidP="00A16958">
      <w:pPr>
        <w:spacing w:before="0" w:line="276" w:lineRule="auto"/>
      </w:pPr>
      <w:r w:rsidRPr="00DD6902">
        <w:rPr>
          <w:b/>
        </w:rPr>
        <w:t>NUTS Level of estimates:</w:t>
      </w:r>
      <w:r w:rsidRPr="00DD6902">
        <w:t xml:space="preserve"> NUTS 3</w:t>
      </w:r>
    </w:p>
    <w:p w:rsidR="00A16958" w:rsidRPr="00DD6902" w:rsidRDefault="00A16958" w:rsidP="00A16958">
      <w:pPr>
        <w:spacing w:before="0" w:line="276" w:lineRule="auto"/>
      </w:pPr>
      <w:r w:rsidRPr="00DD6902">
        <w:rPr>
          <w:b/>
        </w:rPr>
        <w:t>Adjusted to agree with Eurostat published AR</w:t>
      </w:r>
      <w:r>
        <w:rPr>
          <w:b/>
        </w:rPr>
        <w:t>o</w:t>
      </w:r>
      <w:r w:rsidRPr="00DD6902">
        <w:rPr>
          <w:b/>
        </w:rPr>
        <w:t>P rates?</w:t>
      </w:r>
      <w:r w:rsidRPr="00DD6902">
        <w:t xml:space="preserve"> </w:t>
      </w:r>
      <w:r>
        <w:t>Yes</w:t>
      </w:r>
    </w:p>
    <w:p w:rsidR="00A16958" w:rsidRPr="005E58FD" w:rsidRDefault="00A16958" w:rsidP="00A16958">
      <w:pPr>
        <w:spacing w:before="0" w:line="276" w:lineRule="auto"/>
      </w:pPr>
      <w:r w:rsidRPr="00DD6902">
        <w:rPr>
          <w:b/>
        </w:rPr>
        <w:t>Comments:</w:t>
      </w:r>
    </w:p>
    <w:p w:rsidR="00A16958" w:rsidRDefault="00A16958" w:rsidP="00A16958">
      <w:pPr>
        <w:spacing w:before="0" w:line="276" w:lineRule="auto"/>
        <w:rPr>
          <w:rStyle w:val="leaf"/>
        </w:rPr>
      </w:pPr>
      <w:r w:rsidRPr="005C39EC">
        <w:t>Integrated Wage and Income Tax Statistics</w:t>
      </w:r>
      <w:r>
        <w:t xml:space="preserve"> refers only to income receiver population (employees, pensioners, people receiving income from other sources), and it covers only 6,8 million inhabitants of Austria (total population in 2011 – 8,4 million). Unfortunately, this income data cannot be linked to households, so a traditional ARoP rate was not possible to calculate. The lack of data on population without income affects the provided information too, for instance Vienna (AT130) has a notably lower ARoP value estimated in this way than the published one is (19.2 % in 2011 – Eurostat, </w:t>
      </w:r>
      <w:r>
        <w:rPr>
          <w:rStyle w:val="leaf"/>
        </w:rPr>
        <w:t>ilc_li41).</w:t>
      </w:r>
    </w:p>
    <w:p w:rsidR="00A16958" w:rsidRDefault="00A16958" w:rsidP="00A16958">
      <w:pPr>
        <w:spacing w:before="0" w:line="276" w:lineRule="auto"/>
        <w:rPr>
          <w:rStyle w:val="leaf"/>
        </w:rPr>
      </w:pPr>
      <w:r w:rsidRPr="005C39EC">
        <w:t>Integrated Wage and Income Tax Statistics</w:t>
      </w:r>
      <w:r>
        <w:rPr>
          <w:rStyle w:val="leaf"/>
        </w:rPr>
        <w:t xml:space="preserve"> provided the possibility of calculating the proportions of income receiver population below a given income threshold. By using the value of the officially published ARoP rate in 2011 (12,6 %) and the calculated proportions, regional ARoP rates were estimated at different income levels. The variance of regional distributions of population according to different income levels (below 4000 €, 6000 €, 8000 € and 10000 €) – such us that of estimated ARoP rates – is quite low, so an average ARoP rate value was reasonable to estimate in every region.</w:t>
      </w:r>
    </w:p>
    <w:p w:rsidR="00A16958" w:rsidRDefault="00A16958" w:rsidP="00A16958">
      <w:pPr>
        <w:spacing w:before="0" w:line="276" w:lineRule="auto"/>
        <w:rPr>
          <w:b/>
          <w:color w:val="000000" w:themeColor="text1"/>
        </w:rPr>
      </w:pPr>
      <w:r>
        <w:rPr>
          <w:b/>
          <w:color w:val="000000" w:themeColor="text1"/>
        </w:rPr>
        <w:br w:type="page"/>
      </w:r>
    </w:p>
    <w:p w:rsidR="00CC7C09" w:rsidRPr="00133DA4" w:rsidRDefault="00CC7C09" w:rsidP="00A16958">
      <w:pPr>
        <w:spacing w:before="0" w:line="276" w:lineRule="auto"/>
        <w:rPr>
          <w:color w:val="000000" w:themeColor="text1"/>
        </w:rPr>
      </w:pPr>
      <w:r w:rsidRPr="00133DA4">
        <w:rPr>
          <w:b/>
          <w:color w:val="000000" w:themeColor="text1"/>
        </w:rPr>
        <w:lastRenderedPageBreak/>
        <w:t>Country:</w:t>
      </w:r>
      <w:r w:rsidRPr="00133DA4">
        <w:rPr>
          <w:color w:val="000000" w:themeColor="text1"/>
        </w:rPr>
        <w:t xml:space="preserve"> Belgium</w:t>
      </w:r>
    </w:p>
    <w:p w:rsidR="00A16958" w:rsidRDefault="00A16958" w:rsidP="00A16958">
      <w:pPr>
        <w:spacing w:before="0" w:line="276" w:lineRule="auto"/>
        <w:rPr>
          <w:b/>
          <w:color w:val="000000" w:themeColor="text1"/>
        </w:rPr>
      </w:pPr>
    </w:p>
    <w:p w:rsidR="00CC7C09" w:rsidRPr="00133DA4" w:rsidRDefault="00CC7C09" w:rsidP="00A16958">
      <w:pPr>
        <w:spacing w:before="0" w:line="276" w:lineRule="auto"/>
        <w:rPr>
          <w:color w:val="000000" w:themeColor="text1"/>
        </w:rPr>
      </w:pPr>
      <w:r w:rsidRPr="00133DA4">
        <w:rPr>
          <w:b/>
          <w:color w:val="000000" w:themeColor="text1"/>
        </w:rPr>
        <w:t>Partner responsible</w:t>
      </w:r>
      <w:r w:rsidRPr="00133DA4">
        <w:rPr>
          <w:color w:val="000000" w:themeColor="text1"/>
        </w:rPr>
        <w:t>: James Hutton Institute (JHI) Aberdeen</w:t>
      </w:r>
    </w:p>
    <w:p w:rsidR="00CC7C09" w:rsidRDefault="00CC7C09" w:rsidP="00A16958">
      <w:pPr>
        <w:spacing w:before="0" w:line="276" w:lineRule="auto"/>
      </w:pPr>
      <w:r w:rsidRPr="00236856">
        <w:rPr>
          <w:b/>
        </w:rPr>
        <w:t>Contact Person:</w:t>
      </w:r>
      <w:r w:rsidRPr="00236856">
        <w:t xml:space="preserve"> </w:t>
      </w:r>
      <w:r w:rsidRPr="00133DA4">
        <w:rPr>
          <w:color w:val="000000" w:themeColor="text1"/>
        </w:rPr>
        <w:t xml:space="preserve">Patricia Melo </w:t>
      </w:r>
      <w:r>
        <w:rPr>
          <w:color w:val="002060"/>
        </w:rPr>
        <w:t>(</w:t>
      </w:r>
      <w:hyperlink r:id="rId62" w:history="1">
        <w:r w:rsidRPr="003F49CC">
          <w:rPr>
            <w:rStyle w:val="Hyperlinkki"/>
          </w:rPr>
          <w:t>patricia.melo@hutton.ac.uk</w:t>
        </w:r>
      </w:hyperlink>
      <w:r>
        <w:rPr>
          <w:color w:val="002060"/>
        </w:rPr>
        <w:t>)</w:t>
      </w:r>
    </w:p>
    <w:p w:rsidR="00CC7C09" w:rsidRPr="00133DA4" w:rsidRDefault="00CC7C09" w:rsidP="00A16958">
      <w:pPr>
        <w:spacing w:before="0" w:line="276" w:lineRule="auto"/>
        <w:rPr>
          <w:color w:val="000000" w:themeColor="text1"/>
        </w:rPr>
      </w:pPr>
      <w:r w:rsidRPr="00133DA4">
        <w:rPr>
          <w:b/>
          <w:color w:val="000000" w:themeColor="text1"/>
        </w:rPr>
        <w:t>Date:</w:t>
      </w:r>
      <w:r w:rsidRPr="00133DA4">
        <w:rPr>
          <w:color w:val="000000" w:themeColor="text1"/>
        </w:rPr>
        <w:t xml:space="preserve"> 09/12/13</w:t>
      </w:r>
    </w:p>
    <w:p w:rsidR="00CC7C09" w:rsidRPr="00133DA4" w:rsidRDefault="00CC7C09" w:rsidP="00A16958">
      <w:pPr>
        <w:spacing w:before="0" w:line="276" w:lineRule="auto"/>
        <w:rPr>
          <w:color w:val="000000" w:themeColor="text1"/>
        </w:rPr>
      </w:pPr>
      <w:r w:rsidRPr="00133DA4">
        <w:rPr>
          <w:b/>
          <w:color w:val="000000" w:themeColor="text1"/>
        </w:rPr>
        <w:t>Methodology Used:</w:t>
      </w:r>
      <w:r w:rsidRPr="00133DA4">
        <w:rPr>
          <w:color w:val="000000" w:themeColor="text1"/>
        </w:rPr>
        <w:t xml:space="preserve"> </w:t>
      </w:r>
      <w:r w:rsidR="003D13BD" w:rsidRPr="00133DA4">
        <w:rPr>
          <w:color w:val="000000" w:themeColor="text1"/>
        </w:rPr>
        <w:t xml:space="preserve">Direct </w:t>
      </w:r>
      <w:r w:rsidR="00133DA4" w:rsidRPr="00133DA4">
        <w:rPr>
          <w:color w:val="000000" w:themeColor="text1"/>
        </w:rPr>
        <w:t>A</w:t>
      </w:r>
      <w:r w:rsidR="003D13BD" w:rsidRPr="00133DA4">
        <w:rPr>
          <w:color w:val="000000" w:themeColor="text1"/>
        </w:rPr>
        <w:t>pportionment</w:t>
      </w:r>
    </w:p>
    <w:p w:rsidR="00CC7C09" w:rsidRDefault="00CC7C09" w:rsidP="00A16958">
      <w:pPr>
        <w:spacing w:before="0" w:line="276" w:lineRule="auto"/>
        <w:rPr>
          <w:b/>
        </w:rPr>
      </w:pPr>
      <w:r>
        <w:rPr>
          <w:b/>
        </w:rPr>
        <w:t>Constraints on</w:t>
      </w:r>
      <w:r w:rsidRPr="00B24721">
        <w:rPr>
          <w:b/>
        </w:rPr>
        <w:t xml:space="preserve"> Choice of Methodology: </w:t>
      </w:r>
    </w:p>
    <w:p w:rsidR="00CC7C09" w:rsidRPr="006B69A9" w:rsidRDefault="00CC7C09" w:rsidP="00A16958">
      <w:pPr>
        <w:pStyle w:val="Luettelokappale"/>
        <w:numPr>
          <w:ilvl w:val="0"/>
          <w:numId w:val="13"/>
        </w:numPr>
        <w:spacing w:before="0" w:line="276" w:lineRule="auto"/>
      </w:pPr>
      <w:r w:rsidRPr="006B69A9">
        <w:t xml:space="preserve">World Bank PovMap was not possible to use due to lack of Census data with the information required for household level attributes to be matched with similar information in EU-SILC. It should also be noted that EU-SILC data are only available for NUTS 1 regions. </w:t>
      </w:r>
    </w:p>
    <w:p w:rsidR="00CC7C09" w:rsidRPr="006B69A9" w:rsidRDefault="00CC7C09" w:rsidP="00A16958">
      <w:pPr>
        <w:pStyle w:val="Luettelokappale"/>
        <w:numPr>
          <w:ilvl w:val="0"/>
          <w:numId w:val="13"/>
        </w:numPr>
        <w:spacing w:before="0" w:line="276" w:lineRule="auto"/>
      </w:pPr>
      <w:r w:rsidRPr="006B69A9">
        <w:t>The area based method approach could not be used as an alternative because of the insufficient number of degrees of freedom to estimate the regression model (that is, only 3 regions).</w:t>
      </w:r>
    </w:p>
    <w:p w:rsidR="00CC7C09" w:rsidRDefault="00CC7C09" w:rsidP="00A16958">
      <w:pPr>
        <w:spacing w:before="0" w:line="276" w:lineRule="auto"/>
      </w:pPr>
      <w:r w:rsidRPr="000311DA">
        <w:rPr>
          <w:b/>
        </w:rPr>
        <w:t>Source(s) of raw data:</w:t>
      </w:r>
      <w:r w:rsidRPr="000311DA">
        <w:t xml:space="preserve"> </w:t>
      </w:r>
    </w:p>
    <w:p w:rsidR="00CC7C09" w:rsidRDefault="00CC7C09" w:rsidP="00A16958">
      <w:pPr>
        <w:pStyle w:val="Luettelokappale"/>
        <w:numPr>
          <w:ilvl w:val="0"/>
          <w:numId w:val="10"/>
        </w:numPr>
        <w:spacing w:before="0" w:line="276" w:lineRule="auto"/>
        <w:jc w:val="left"/>
      </w:pPr>
      <w:r>
        <w:t xml:space="preserve">NUTS 1 </w:t>
      </w:r>
      <w:r w:rsidR="008632AA">
        <w:t>ARoP</w:t>
      </w:r>
      <w:r w:rsidRPr="00D6026A">
        <w:t xml:space="preserve"> rate</w:t>
      </w:r>
      <w:r>
        <w:t>s</w:t>
      </w:r>
      <w:r w:rsidRPr="00D6026A">
        <w:t xml:space="preserve"> </w:t>
      </w:r>
      <w:r>
        <w:t xml:space="preserve">produced by Statistics Belgium (SB) based on </w:t>
      </w:r>
      <w:r w:rsidRPr="00D6026A">
        <w:t xml:space="preserve">EU-SILC </w:t>
      </w:r>
      <w:r>
        <w:t>data. Available from</w:t>
      </w:r>
      <w:r w:rsidRPr="00D6026A">
        <w:t xml:space="preserve">: </w:t>
      </w:r>
      <w:hyperlink r:id="rId63" w:history="1">
        <w:r w:rsidRPr="0051698F">
          <w:rPr>
            <w:rStyle w:val="Hyperlinkki"/>
          </w:rPr>
          <w:t>http://statbel.fgov.be/fr/statistiques/webinterface/?loadDefaultId=53&amp;IDBr=tcm:326-22265-4</w:t>
        </w:r>
      </w:hyperlink>
    </w:p>
    <w:p w:rsidR="00CC7C09" w:rsidRDefault="00CC7C09" w:rsidP="00A16958">
      <w:pPr>
        <w:pStyle w:val="Luettelokappale"/>
        <w:numPr>
          <w:ilvl w:val="0"/>
          <w:numId w:val="10"/>
        </w:numPr>
        <w:spacing w:before="0" w:line="276" w:lineRule="auto"/>
        <w:jc w:val="left"/>
      </w:pPr>
      <w:r w:rsidRPr="00250C3A">
        <w:t xml:space="preserve">Statistiques en ligne / chiffres locaux </w:t>
      </w:r>
      <w:r>
        <w:t xml:space="preserve">obtained from the Datawarehouse marché du travail </w:t>
      </w:r>
      <w:r w:rsidRPr="00250C3A">
        <w:t>et protection sociale</w:t>
      </w:r>
      <w:r>
        <w:t xml:space="preserve">. Available from: </w:t>
      </w:r>
      <w:hyperlink r:id="rId64" w:history="1">
        <w:r w:rsidRPr="0051698F">
          <w:rPr>
            <w:rStyle w:val="Hyperlinkki"/>
          </w:rPr>
          <w:t>http://www.bcss.fgov.be/fr/bcss/page/content/websites/belgium/statistics/statistics_01/statistics_01_03.html</w:t>
        </w:r>
      </w:hyperlink>
    </w:p>
    <w:p w:rsidR="00CC7C09" w:rsidRPr="00AB038B" w:rsidRDefault="00CC7C09" w:rsidP="00A16958">
      <w:pPr>
        <w:spacing w:before="0" w:line="276" w:lineRule="auto"/>
      </w:pPr>
      <w:r w:rsidRPr="00AB038B">
        <w:rPr>
          <w:b/>
        </w:rPr>
        <w:t>Date(s) of raw data:</w:t>
      </w:r>
      <w:r>
        <w:rPr>
          <w:b/>
        </w:rPr>
        <w:t xml:space="preserve"> </w:t>
      </w:r>
      <w:r w:rsidRPr="006B69A9">
        <w:t xml:space="preserve">SB NUTS 1 </w:t>
      </w:r>
      <w:r w:rsidR="008632AA">
        <w:t>ARoP</w:t>
      </w:r>
      <w:r w:rsidRPr="006B69A9">
        <w:t xml:space="preserve"> rates refer to 2011. Local daily earnings data from the Datawarehouse </w:t>
      </w:r>
      <w:r w:rsidR="00133DA4">
        <w:t>“</w:t>
      </w:r>
      <w:r w:rsidRPr="006B69A9">
        <w:t>marché du travail et protection sociale</w:t>
      </w:r>
      <w:r w:rsidR="00133DA4">
        <w:t>”</w:t>
      </w:r>
      <w:r w:rsidRPr="006B69A9">
        <w:t xml:space="preserve"> refer to 2011.</w:t>
      </w:r>
    </w:p>
    <w:p w:rsidR="00CC7C09" w:rsidRDefault="00CC7C09" w:rsidP="00A16958">
      <w:pPr>
        <w:spacing w:before="0" w:line="276" w:lineRule="auto"/>
      </w:pPr>
      <w:r>
        <w:rPr>
          <w:b/>
        </w:rPr>
        <w:t>Variables used:</w:t>
      </w:r>
    </w:p>
    <w:p w:rsidR="00CC7C09" w:rsidRDefault="00CC7C09" w:rsidP="00A16958">
      <w:pPr>
        <w:pStyle w:val="Luettelokappale"/>
        <w:numPr>
          <w:ilvl w:val="0"/>
          <w:numId w:val="11"/>
        </w:numPr>
        <w:spacing w:before="0" w:line="276" w:lineRule="auto"/>
        <w:jc w:val="left"/>
      </w:pPr>
      <w:r>
        <w:t xml:space="preserve">NUTS 1 </w:t>
      </w:r>
      <w:r w:rsidR="008632AA">
        <w:t>ARoP</w:t>
      </w:r>
      <w:r w:rsidRPr="00D6026A">
        <w:t xml:space="preserve"> rate</w:t>
      </w:r>
      <w:r>
        <w:t>s for 2011.</w:t>
      </w:r>
    </w:p>
    <w:p w:rsidR="00CC7C09" w:rsidRDefault="00CC7C09" w:rsidP="00A16958">
      <w:pPr>
        <w:pStyle w:val="Luettelokappale"/>
        <w:numPr>
          <w:ilvl w:val="0"/>
          <w:numId w:val="11"/>
        </w:numPr>
        <w:spacing w:before="0" w:line="276" w:lineRule="auto"/>
        <w:jc w:val="left"/>
      </w:pPr>
      <w:r w:rsidRPr="00250C3A">
        <w:t>Percen</w:t>
      </w:r>
      <w:r>
        <w:t xml:space="preserve">tage of people in a given NUTS 3 area (i.e. Arrondissement) with daily wage </w:t>
      </w:r>
      <w:r w:rsidRPr="00250C3A">
        <w:t>below '</w:t>
      </w:r>
      <w:r>
        <w:t xml:space="preserve">daily' poverty line equivalent (in 2011). The ‘daily’ poverty line is equal to the monthly poverty line published by Statistics Belgium (see: </w:t>
      </w:r>
      <w:hyperlink r:id="rId65" w:history="1">
        <w:r w:rsidRPr="0051698F">
          <w:rPr>
            <w:rStyle w:val="Hyperlinkki"/>
          </w:rPr>
          <w:t>http://statbel.fgov.be/fr/statistiques/chiffres/travailvie/eu-silc/pauvrete/</w:t>
        </w:r>
      </w:hyperlink>
      <w:r>
        <w:t>) divided by the average number of monthly working days (for 2011: €1,000 / 22 days = €45 per day).</w:t>
      </w:r>
    </w:p>
    <w:p w:rsidR="00CC7C09" w:rsidRDefault="00CC7C09" w:rsidP="00A16958">
      <w:pPr>
        <w:spacing w:before="0" w:line="276" w:lineRule="auto"/>
      </w:pPr>
      <w:r w:rsidRPr="0018643B">
        <w:rPr>
          <w:b/>
        </w:rPr>
        <w:t>Before or after Housing Costs?</w:t>
      </w:r>
      <w:r>
        <w:rPr>
          <w:b/>
        </w:rPr>
        <w:t xml:space="preserve"> </w:t>
      </w:r>
      <w:r w:rsidR="003D13BD">
        <w:t>Before housing costs</w:t>
      </w:r>
    </w:p>
    <w:p w:rsidR="00CC7C09" w:rsidRDefault="00CC7C09" w:rsidP="00A16958">
      <w:pPr>
        <w:spacing w:before="0" w:line="276" w:lineRule="auto"/>
      </w:pPr>
      <w:r w:rsidRPr="00CF1CB1">
        <w:rPr>
          <w:b/>
        </w:rPr>
        <w:t>NUTS Level of estimates:</w:t>
      </w:r>
      <w:r w:rsidR="003D13BD">
        <w:t xml:space="preserve"> NUTS 3</w:t>
      </w:r>
    </w:p>
    <w:p w:rsidR="00CC7C09" w:rsidRDefault="00CC7C09" w:rsidP="00A16958">
      <w:pPr>
        <w:spacing w:before="0" w:line="276" w:lineRule="auto"/>
      </w:pPr>
      <w:r w:rsidRPr="00455DC7">
        <w:rPr>
          <w:b/>
        </w:rPr>
        <w:t xml:space="preserve">Adjusted to agree with Eurostat published </w:t>
      </w:r>
      <w:r w:rsidR="008632AA">
        <w:rPr>
          <w:b/>
        </w:rPr>
        <w:t>AROP</w:t>
      </w:r>
      <w:r w:rsidRPr="00455DC7">
        <w:rPr>
          <w:b/>
        </w:rPr>
        <w:t xml:space="preserve"> rates?</w:t>
      </w:r>
      <w:r w:rsidR="003D13BD">
        <w:t xml:space="preserve"> No</w:t>
      </w:r>
    </w:p>
    <w:p w:rsidR="00CC7C09" w:rsidRDefault="00CC7C09" w:rsidP="00A16958">
      <w:pPr>
        <w:spacing w:before="0" w:line="276" w:lineRule="auto"/>
      </w:pPr>
      <w:r w:rsidRPr="00CF1CB1">
        <w:rPr>
          <w:b/>
        </w:rPr>
        <w:t>Comments:</w:t>
      </w:r>
      <w:r w:rsidRPr="00365B69">
        <w:t xml:space="preserve"> The apportionment me</w:t>
      </w:r>
      <w:r>
        <w:t xml:space="preserve">thod used to estimate NUTS 3 level </w:t>
      </w:r>
      <w:r w:rsidR="008632AA">
        <w:t>ARoP</w:t>
      </w:r>
      <w:r>
        <w:t xml:space="preserve"> rates for Belgium is based on </w:t>
      </w:r>
      <w:r w:rsidRPr="001A3789">
        <w:t>gross daily earnings</w:t>
      </w:r>
      <w:r>
        <w:t xml:space="preserve"> data obtained from the Datawarehouse </w:t>
      </w:r>
      <w:r w:rsidR="00133DA4">
        <w:t>“</w:t>
      </w:r>
      <w:r>
        <w:t xml:space="preserve">marché du travail </w:t>
      </w:r>
      <w:r w:rsidRPr="00250C3A">
        <w:t>et protection sociale</w:t>
      </w:r>
      <w:r w:rsidR="00133DA4">
        <w:t>”</w:t>
      </w:r>
      <w:r>
        <w:t xml:space="preserve">, and is applied using the following steps: </w:t>
      </w:r>
    </w:p>
    <w:p w:rsidR="00CC7C09" w:rsidRDefault="00CC7C09" w:rsidP="00A16958">
      <w:pPr>
        <w:pStyle w:val="Luettelokappale"/>
        <w:numPr>
          <w:ilvl w:val="0"/>
          <w:numId w:val="12"/>
        </w:numPr>
        <w:spacing w:before="0" w:line="276" w:lineRule="auto"/>
        <w:jc w:val="left"/>
      </w:pPr>
      <w:r>
        <w:t>Calculate the p</w:t>
      </w:r>
      <w:r w:rsidRPr="00250C3A">
        <w:t>ercen</w:t>
      </w:r>
      <w:r>
        <w:t xml:space="preserve">tage of people in a given NUTS 3 area (i.e. Arrondissement) with daily wage </w:t>
      </w:r>
      <w:r w:rsidRPr="00250C3A">
        <w:t>below '</w:t>
      </w:r>
      <w:r>
        <w:t>daily' poverty line equivalent. Call this the ‘daily_wage_</w:t>
      </w:r>
      <w:r w:rsidR="008632AA">
        <w:t>ARoP</w:t>
      </w:r>
      <w:r>
        <w:t xml:space="preserve">’. This is done by dividing the number of people below the </w:t>
      </w:r>
      <w:r w:rsidRPr="00250C3A">
        <w:t>'</w:t>
      </w:r>
      <w:r>
        <w:t>daily' poverty line by the total number of people leaving in a given NUTS 3 area.</w:t>
      </w:r>
    </w:p>
    <w:p w:rsidR="00CC7C09" w:rsidRDefault="00CC7C09" w:rsidP="00A16958">
      <w:pPr>
        <w:pStyle w:val="Luettelokappale"/>
        <w:numPr>
          <w:ilvl w:val="0"/>
          <w:numId w:val="12"/>
        </w:numPr>
        <w:spacing w:before="0" w:line="276" w:lineRule="auto"/>
        <w:jc w:val="left"/>
      </w:pPr>
      <w:r>
        <w:t>Calculate the average of NUTS 3 ‘daily_wage_</w:t>
      </w:r>
      <w:r w:rsidR="008632AA">
        <w:t>ARoP</w:t>
      </w:r>
      <w:r>
        <w:t>’ for each NUTS 1 region. Call this the ‘Av_daily_wage_</w:t>
      </w:r>
      <w:r w:rsidR="008632AA">
        <w:t>ARoP</w:t>
      </w:r>
      <w:r>
        <w:t xml:space="preserve">’. </w:t>
      </w:r>
    </w:p>
    <w:p w:rsidR="00CC7C09" w:rsidRDefault="00CC7C09" w:rsidP="00A16958">
      <w:pPr>
        <w:pStyle w:val="Luettelokappale"/>
        <w:numPr>
          <w:ilvl w:val="0"/>
          <w:numId w:val="12"/>
        </w:numPr>
        <w:spacing w:before="0" w:line="276" w:lineRule="auto"/>
        <w:jc w:val="left"/>
      </w:pPr>
      <w:r>
        <w:lastRenderedPageBreak/>
        <w:t>Calculate the ratio between ‘daily_wage_</w:t>
      </w:r>
      <w:r w:rsidR="008632AA">
        <w:t>ARoP</w:t>
      </w:r>
      <w:r>
        <w:t>’ and  ‘Av_daily_wage_</w:t>
      </w:r>
      <w:r w:rsidR="008632AA">
        <w:t>ARoP</w:t>
      </w:r>
      <w:r>
        <w:t xml:space="preserve">’ for each NUTS 3 area. This is the weight to be applied to the SB NUTS 1 </w:t>
      </w:r>
      <w:r w:rsidR="008632AA">
        <w:t>ARoP</w:t>
      </w:r>
      <w:r>
        <w:t xml:space="preserve"> rates derived from EU-SILC.</w:t>
      </w:r>
    </w:p>
    <w:p w:rsidR="00CC7C09" w:rsidRDefault="00CC7C09" w:rsidP="00A16958">
      <w:pPr>
        <w:pStyle w:val="Luettelokappale"/>
        <w:numPr>
          <w:ilvl w:val="0"/>
          <w:numId w:val="12"/>
        </w:numPr>
        <w:spacing w:before="0" w:line="276" w:lineRule="auto"/>
        <w:jc w:val="left"/>
      </w:pPr>
      <w:r>
        <w:t xml:space="preserve">To estimate the NUTS 3 level </w:t>
      </w:r>
      <w:r w:rsidR="008632AA">
        <w:t>ARoP</w:t>
      </w:r>
      <w:r>
        <w:t xml:space="preserve"> rates multiply the SB NUTS 1 </w:t>
      </w:r>
      <w:r w:rsidR="008632AA">
        <w:t>ARoP</w:t>
      </w:r>
      <w:r>
        <w:t xml:space="preserve"> rates by the weight calculated in step 3: (daily_wage_</w:t>
      </w:r>
      <w:r w:rsidR="008632AA">
        <w:t>ARoP</w:t>
      </w:r>
      <w:r>
        <w:t>/Av_daily_wage_</w:t>
      </w:r>
      <w:r w:rsidR="008632AA">
        <w:t>ARoP</w:t>
      </w:r>
      <w:r>
        <w:t xml:space="preserve">)*(NUTS 1 </w:t>
      </w:r>
      <w:r w:rsidR="008632AA">
        <w:t>ARoP</w:t>
      </w:r>
      <w:r>
        <w:t>).</w:t>
      </w:r>
    </w:p>
    <w:p w:rsidR="00CC7C09" w:rsidRDefault="00CC7C09" w:rsidP="00A16958">
      <w:pPr>
        <w:spacing w:before="0" w:line="276" w:lineRule="auto"/>
      </w:pPr>
      <w:r w:rsidRPr="00FC53F8">
        <w:rPr>
          <w:b/>
        </w:rPr>
        <w:t>Note</w:t>
      </w:r>
      <w:r>
        <w:t xml:space="preserve">: The </w:t>
      </w:r>
      <w:r w:rsidR="008632AA">
        <w:t>ARoP</w:t>
      </w:r>
      <w:r>
        <w:t xml:space="preserve"> rate for the Brussels region was not available from the SB at risk of poverty statistics derived from the EU-SILC.  We could however obtain this from l’</w:t>
      </w:r>
      <w:r w:rsidRPr="00FC53F8">
        <w:t>Observatoire de la Santé et du Social de Bruxelles-Capitale</w:t>
      </w:r>
      <w:r>
        <w:t xml:space="preserve"> (see: </w:t>
      </w:r>
      <w:hyperlink r:id="rId66" w:history="1">
        <w:r w:rsidRPr="0051698F">
          <w:rPr>
            <w:rStyle w:val="Hyperlinkki"/>
          </w:rPr>
          <w:t>http://www.observatbru.be/documents/indicateurs/pauvrete.xml?lang=fr</w:t>
        </w:r>
      </w:hyperlink>
      <w:r>
        <w:t>).</w:t>
      </w:r>
    </w:p>
    <w:p w:rsidR="00F75DF0" w:rsidRDefault="00F75DF0" w:rsidP="00A16958">
      <w:pPr>
        <w:spacing w:before="0" w:line="276" w:lineRule="auto"/>
        <w:rPr>
          <w:b/>
          <w:noProof/>
          <w:kern w:val="28"/>
          <w:sz w:val="28"/>
        </w:rPr>
      </w:pPr>
      <w:r>
        <w:rPr>
          <w:b/>
          <w:noProof/>
          <w:kern w:val="28"/>
          <w:sz w:val="28"/>
        </w:rPr>
        <w:br w:type="page"/>
      </w:r>
    </w:p>
    <w:p w:rsidR="00F75DF0" w:rsidRPr="00DD6902" w:rsidRDefault="00F75DF0" w:rsidP="00A16958">
      <w:pPr>
        <w:spacing w:before="0" w:line="276" w:lineRule="auto"/>
      </w:pPr>
      <w:r w:rsidRPr="00DD6902">
        <w:rPr>
          <w:b/>
        </w:rPr>
        <w:lastRenderedPageBreak/>
        <w:t>Country:</w:t>
      </w:r>
      <w:r w:rsidRPr="00DD6902">
        <w:t xml:space="preserve"> </w:t>
      </w:r>
      <w:r>
        <w:t>Croatia</w:t>
      </w:r>
    </w:p>
    <w:p w:rsidR="00A16958" w:rsidRDefault="00A16958" w:rsidP="00A16958">
      <w:pPr>
        <w:spacing w:before="0" w:line="276" w:lineRule="auto"/>
        <w:rPr>
          <w:b/>
        </w:rPr>
      </w:pPr>
    </w:p>
    <w:p w:rsidR="00F75DF0" w:rsidRPr="00DD6902" w:rsidRDefault="00F75DF0" w:rsidP="00A16958">
      <w:pPr>
        <w:spacing w:before="0" w:line="276" w:lineRule="auto"/>
      </w:pPr>
      <w:r w:rsidRPr="00DD6902">
        <w:rPr>
          <w:b/>
        </w:rPr>
        <w:t>Partner responsible</w:t>
      </w:r>
      <w:r w:rsidRPr="00DD6902">
        <w:t>: Hungarian Academy of Sciences (HAS), Budapest</w:t>
      </w:r>
    </w:p>
    <w:p w:rsidR="00F75DF0" w:rsidRPr="00DD6902" w:rsidRDefault="00F75DF0" w:rsidP="00A16958">
      <w:pPr>
        <w:spacing w:before="0" w:line="276" w:lineRule="auto"/>
      </w:pPr>
      <w:r w:rsidRPr="00DD6902">
        <w:rPr>
          <w:b/>
        </w:rPr>
        <w:t>Contact Person:</w:t>
      </w:r>
      <w:r w:rsidRPr="00DD6902">
        <w:t xml:space="preserve"> Gergely Tagai</w:t>
      </w:r>
      <w:r>
        <w:t xml:space="preserve"> (</w:t>
      </w:r>
      <w:hyperlink r:id="rId67" w:history="1">
        <w:r w:rsidRPr="00C53EC4">
          <w:rPr>
            <w:rStyle w:val="Hyperlinkki"/>
          </w:rPr>
          <w:t>tagai@rkk.hu</w:t>
        </w:r>
      </w:hyperlink>
      <w:r>
        <w:t>)</w:t>
      </w:r>
    </w:p>
    <w:p w:rsidR="00F75DF0" w:rsidRPr="00DD6902" w:rsidRDefault="00F75DF0" w:rsidP="00A16958">
      <w:pPr>
        <w:spacing w:before="0" w:line="276" w:lineRule="auto"/>
      </w:pPr>
      <w:r w:rsidRPr="00DD6902">
        <w:rPr>
          <w:b/>
        </w:rPr>
        <w:t>Date:</w:t>
      </w:r>
      <w:r w:rsidRPr="00DD6902">
        <w:t xml:space="preserve"> </w:t>
      </w:r>
      <w:r>
        <w:t>21</w:t>
      </w:r>
      <w:r w:rsidRPr="00DD6902">
        <w:t>/</w:t>
      </w:r>
      <w:r>
        <w:t>03</w:t>
      </w:r>
      <w:r w:rsidRPr="00DD6902">
        <w:t>/1</w:t>
      </w:r>
      <w:r>
        <w:t>4</w:t>
      </w:r>
    </w:p>
    <w:p w:rsidR="00F75DF0" w:rsidRPr="00DD6902" w:rsidRDefault="00F75DF0" w:rsidP="00A16958">
      <w:pPr>
        <w:spacing w:before="0" w:line="276" w:lineRule="auto"/>
      </w:pPr>
      <w:r w:rsidRPr="00DD6902">
        <w:rPr>
          <w:b/>
        </w:rPr>
        <w:t>Methodology Used:</w:t>
      </w:r>
      <w:r w:rsidRPr="00DD6902">
        <w:t xml:space="preserve"> </w:t>
      </w:r>
      <w:r>
        <w:t>Derivation from Household Budget Survey series between 2002 and 2004</w:t>
      </w:r>
    </w:p>
    <w:p w:rsidR="00F75DF0" w:rsidRPr="00F75DF0" w:rsidRDefault="00F75DF0" w:rsidP="00A16958">
      <w:pPr>
        <w:spacing w:before="0" w:line="276" w:lineRule="auto"/>
        <w:rPr>
          <w:b/>
        </w:rPr>
      </w:pPr>
      <w:r w:rsidRPr="00DD6902">
        <w:rPr>
          <w:b/>
        </w:rPr>
        <w:t>Constraints on Choice of Methodology:</w:t>
      </w:r>
      <w:r>
        <w:rPr>
          <w:b/>
        </w:rPr>
        <w:t xml:space="preserve"> </w:t>
      </w:r>
      <w:r>
        <w:t>N</w:t>
      </w:r>
      <w:r w:rsidR="003D13BD">
        <w:t>ot applicable</w:t>
      </w:r>
    </w:p>
    <w:p w:rsidR="003D13BD" w:rsidRDefault="00F75DF0" w:rsidP="00A16958">
      <w:pPr>
        <w:spacing w:before="0" w:line="276" w:lineRule="auto"/>
      </w:pPr>
      <w:r w:rsidRPr="00DD6902">
        <w:rPr>
          <w:b/>
        </w:rPr>
        <w:t>Source(s) of raw data:</w:t>
      </w:r>
      <w:r w:rsidR="003D13BD">
        <w:t xml:space="preserve"> </w:t>
      </w:r>
      <w:r>
        <w:t xml:space="preserve">World Bank (2007): Croatia Living Standards Assessment. </w:t>
      </w:r>
      <w:r w:rsidRPr="004147E4">
        <w:t>Volume II: Promoting Social Inclusion and Regional Equity</w:t>
      </w:r>
      <w:r>
        <w:t xml:space="preserve">. World Bank, Poverty Reduction and Economic Management Unit, Europe and Central Asia Region. </w:t>
      </w:r>
      <w:r w:rsidRPr="004147E4">
        <w:t>February 7, 2007</w:t>
      </w:r>
      <w:r>
        <w:t>. p. 36.</w:t>
      </w:r>
      <w:r w:rsidR="003D13BD">
        <w:t xml:space="preserve"> </w:t>
      </w:r>
    </w:p>
    <w:p w:rsidR="00F75DF0" w:rsidRPr="00DD6902" w:rsidRDefault="00F75DF0" w:rsidP="00A16958">
      <w:pPr>
        <w:spacing w:before="0" w:line="276" w:lineRule="auto"/>
      </w:pPr>
      <w:r>
        <w:t xml:space="preserve">Available at: </w:t>
      </w:r>
      <w:hyperlink r:id="rId68" w:history="1">
        <w:r w:rsidRPr="0092681F">
          <w:rPr>
            <w:rStyle w:val="Hyperlinkki"/>
          </w:rPr>
          <w:t>https://openknowledge.worldbank.org/handle/10986/8020</w:t>
        </w:r>
      </w:hyperlink>
    </w:p>
    <w:p w:rsidR="00F75DF0" w:rsidRPr="00DD6902" w:rsidRDefault="00F75DF0" w:rsidP="00A16958">
      <w:pPr>
        <w:spacing w:before="0" w:line="276" w:lineRule="auto"/>
      </w:pPr>
      <w:r w:rsidRPr="00DD6902">
        <w:rPr>
          <w:b/>
        </w:rPr>
        <w:t>Date(s) of raw data:</w:t>
      </w:r>
      <w:r w:rsidRPr="004147E4">
        <w:t xml:space="preserve"> </w:t>
      </w:r>
      <w:r>
        <w:t xml:space="preserve">Poverty Headcount Index from </w:t>
      </w:r>
      <w:r w:rsidRPr="004147E4">
        <w:t>Croatian Household Budget Survey</w:t>
      </w:r>
      <w:r>
        <w:t xml:space="preserve"> refers to the period between 2002 and 2004</w:t>
      </w:r>
    </w:p>
    <w:p w:rsidR="00F75DF0" w:rsidRPr="003D13BD" w:rsidRDefault="00F75DF0" w:rsidP="00A16958">
      <w:pPr>
        <w:spacing w:before="0" w:line="276" w:lineRule="auto"/>
        <w:rPr>
          <w:b/>
        </w:rPr>
      </w:pPr>
      <w:r w:rsidRPr="00DD6902">
        <w:rPr>
          <w:b/>
        </w:rPr>
        <w:t>Variables used:</w:t>
      </w:r>
      <w:r w:rsidR="003D13BD">
        <w:rPr>
          <w:b/>
        </w:rPr>
        <w:t xml:space="preserve"> </w:t>
      </w:r>
      <w:r>
        <w:t>Poverty Headcount Index at National Poverty Line</w:t>
      </w:r>
      <w:r w:rsidRPr="00DD6902">
        <w:t xml:space="preserve">, </w:t>
      </w:r>
      <w:r>
        <w:t>2002-04</w:t>
      </w:r>
    </w:p>
    <w:p w:rsidR="00F75DF0" w:rsidRPr="00DD6902" w:rsidRDefault="00F75DF0" w:rsidP="00A16958">
      <w:pPr>
        <w:spacing w:before="0" w:line="276" w:lineRule="auto"/>
      </w:pPr>
      <w:r w:rsidRPr="00DD6902">
        <w:rPr>
          <w:b/>
        </w:rPr>
        <w:t>Before or after Housing Costs?</w:t>
      </w:r>
      <w:r w:rsidRPr="00DD6902">
        <w:t xml:space="preserve"> Before</w:t>
      </w:r>
    </w:p>
    <w:p w:rsidR="00F75DF0" w:rsidRPr="00DD6902" w:rsidRDefault="00F75DF0" w:rsidP="00A16958">
      <w:pPr>
        <w:spacing w:before="0" w:line="276" w:lineRule="auto"/>
      </w:pPr>
      <w:r w:rsidRPr="00DD6902">
        <w:rPr>
          <w:b/>
        </w:rPr>
        <w:t>NUTS Level of estimates:</w:t>
      </w:r>
      <w:r w:rsidRPr="00DD6902">
        <w:t xml:space="preserve"> NUTS 3</w:t>
      </w:r>
    </w:p>
    <w:p w:rsidR="00F75DF0" w:rsidRPr="00DD6902" w:rsidRDefault="00F75DF0" w:rsidP="00A16958">
      <w:pPr>
        <w:spacing w:before="0" w:line="276" w:lineRule="auto"/>
      </w:pPr>
      <w:r w:rsidRPr="00DD6902">
        <w:rPr>
          <w:b/>
        </w:rPr>
        <w:t xml:space="preserve">Adjusted to agree with Eurostat published </w:t>
      </w:r>
      <w:r w:rsidR="008632AA">
        <w:rPr>
          <w:b/>
        </w:rPr>
        <w:t>ARoP</w:t>
      </w:r>
      <w:r w:rsidRPr="00DD6902">
        <w:rPr>
          <w:b/>
        </w:rPr>
        <w:t xml:space="preserve"> rates?</w:t>
      </w:r>
      <w:r w:rsidRPr="00DD6902">
        <w:t xml:space="preserve"> No</w:t>
      </w:r>
    </w:p>
    <w:p w:rsidR="00F75DF0" w:rsidRPr="00133DA4" w:rsidRDefault="00F75DF0" w:rsidP="00A16958">
      <w:pPr>
        <w:spacing w:before="0" w:line="276" w:lineRule="auto"/>
        <w:rPr>
          <w:b/>
        </w:rPr>
      </w:pPr>
      <w:r w:rsidRPr="00DD6902">
        <w:rPr>
          <w:b/>
        </w:rPr>
        <w:t>Comments:</w:t>
      </w:r>
      <w:r w:rsidR="00133DA4">
        <w:rPr>
          <w:b/>
        </w:rPr>
        <w:t xml:space="preserve"> </w:t>
      </w:r>
      <w:r>
        <w:t>“Poverty estimates at the regional level are based on the pooled data sets from three HBS rounds between 2002 and 2004. Pooling was made in order to increase the sample size and enable deriving of representative statistics at a sub-national level. Nevertheless, county-level estimates are still subject to large standard errors, impeding a reliable statistical inference.”</w:t>
      </w:r>
      <w:r w:rsidR="003D13BD">
        <w:t xml:space="preserve"> </w:t>
      </w:r>
      <w:r w:rsidRPr="009E0107">
        <w:t>World Bank (2007): Croatia Living Standards Assessment. Volume II: Promoting Social Inclusion and Regional Equity.</w:t>
      </w:r>
      <w:r w:rsidR="003D13BD">
        <w:t xml:space="preserve"> p. 21.</w:t>
      </w:r>
    </w:p>
    <w:p w:rsidR="00F75DF0" w:rsidRDefault="00F75DF0" w:rsidP="00A16958">
      <w:pPr>
        <w:spacing w:before="0" w:line="276" w:lineRule="auto"/>
        <w:rPr>
          <w:b/>
          <w:noProof/>
          <w:kern w:val="28"/>
          <w:sz w:val="28"/>
        </w:rPr>
      </w:pPr>
      <w:r>
        <w:rPr>
          <w:b/>
          <w:noProof/>
          <w:kern w:val="28"/>
          <w:sz w:val="28"/>
        </w:rPr>
        <w:br w:type="page"/>
      </w:r>
    </w:p>
    <w:p w:rsidR="00F75DF0" w:rsidRDefault="00F75DF0" w:rsidP="00A16958">
      <w:pPr>
        <w:spacing w:before="0" w:line="276" w:lineRule="auto"/>
      </w:pPr>
      <w:r w:rsidRPr="00AB038B">
        <w:rPr>
          <w:b/>
        </w:rPr>
        <w:lastRenderedPageBreak/>
        <w:t>Country:</w:t>
      </w:r>
      <w:r>
        <w:t xml:space="preserve"> </w:t>
      </w:r>
      <w:r>
        <w:rPr>
          <w:color w:val="002060"/>
        </w:rPr>
        <w:t>Denmark</w:t>
      </w:r>
    </w:p>
    <w:p w:rsidR="00A16958" w:rsidRDefault="00A16958" w:rsidP="00A16958">
      <w:pPr>
        <w:spacing w:before="0" w:line="276" w:lineRule="auto"/>
        <w:rPr>
          <w:b/>
        </w:rPr>
      </w:pPr>
    </w:p>
    <w:p w:rsidR="00F75DF0" w:rsidRDefault="00F75DF0" w:rsidP="00A16958">
      <w:pPr>
        <w:spacing w:before="0" w:line="276" w:lineRule="auto"/>
        <w:rPr>
          <w:color w:val="002060"/>
        </w:rPr>
      </w:pPr>
      <w:r w:rsidRPr="00AB038B">
        <w:rPr>
          <w:b/>
        </w:rPr>
        <w:t>Partner responsible</w:t>
      </w:r>
      <w:r>
        <w:t xml:space="preserve">: </w:t>
      </w:r>
      <w:r>
        <w:rPr>
          <w:color w:val="002060"/>
        </w:rPr>
        <w:t>Nordregio, Stockholm, Sweden</w:t>
      </w:r>
    </w:p>
    <w:p w:rsidR="00F75DF0" w:rsidRDefault="00F75DF0" w:rsidP="00A16958">
      <w:pPr>
        <w:spacing w:before="0" w:line="276" w:lineRule="auto"/>
      </w:pPr>
      <w:r w:rsidRPr="00236856">
        <w:rPr>
          <w:b/>
        </w:rPr>
        <w:t>Contact Person:</w:t>
      </w:r>
      <w:r w:rsidRPr="00236856">
        <w:t xml:space="preserve"> </w:t>
      </w:r>
      <w:r w:rsidRPr="00F75DF0">
        <w:t>Petri Kahila (</w:t>
      </w:r>
      <w:hyperlink r:id="rId69" w:history="1">
        <w:r w:rsidRPr="00C53EC4">
          <w:rPr>
            <w:rStyle w:val="Hyperlinkki"/>
          </w:rPr>
          <w:t>petri.kahila@uef.fi</w:t>
        </w:r>
      </w:hyperlink>
      <w:r w:rsidRPr="00F75DF0">
        <w:t>)</w:t>
      </w:r>
    </w:p>
    <w:p w:rsidR="00F75DF0" w:rsidRDefault="00F75DF0" w:rsidP="00A16958">
      <w:pPr>
        <w:spacing w:before="0" w:line="276" w:lineRule="auto"/>
      </w:pPr>
      <w:r w:rsidRPr="00455DC7">
        <w:rPr>
          <w:b/>
        </w:rPr>
        <w:t>Date:</w:t>
      </w:r>
      <w:r w:rsidRPr="00455DC7">
        <w:t xml:space="preserve"> </w:t>
      </w:r>
      <w:r>
        <w:rPr>
          <w:color w:val="002060"/>
        </w:rPr>
        <w:t>03/30/2014</w:t>
      </w:r>
    </w:p>
    <w:p w:rsidR="00F75DF0" w:rsidRDefault="00F75DF0" w:rsidP="00A16958">
      <w:pPr>
        <w:spacing w:before="0" w:line="276" w:lineRule="auto"/>
        <w:rPr>
          <w:color w:val="002060"/>
        </w:rPr>
      </w:pPr>
      <w:r w:rsidRPr="00AB038B">
        <w:rPr>
          <w:b/>
        </w:rPr>
        <w:t>Methodology Used:</w:t>
      </w:r>
      <w:r>
        <w:t xml:space="preserve"> Register Data</w:t>
      </w:r>
    </w:p>
    <w:p w:rsidR="00F75DF0" w:rsidRDefault="00F75DF0" w:rsidP="00A16958">
      <w:pPr>
        <w:spacing w:before="0" w:line="276" w:lineRule="auto"/>
        <w:rPr>
          <w:b/>
        </w:rPr>
      </w:pPr>
      <w:r>
        <w:rPr>
          <w:b/>
        </w:rPr>
        <w:t>Constraints on</w:t>
      </w:r>
      <w:r w:rsidRPr="00B24721">
        <w:rPr>
          <w:b/>
        </w:rPr>
        <w:t xml:space="preserve"> Choice of Methodology: </w:t>
      </w:r>
      <w:r w:rsidRPr="00F75DF0">
        <w:t>Not applicable</w:t>
      </w:r>
    </w:p>
    <w:p w:rsidR="00F75DF0" w:rsidRDefault="00F75DF0" w:rsidP="00A16958">
      <w:pPr>
        <w:spacing w:before="0" w:line="276" w:lineRule="auto"/>
      </w:pPr>
      <w:r w:rsidRPr="000311DA">
        <w:rPr>
          <w:b/>
        </w:rPr>
        <w:t>Source(s) of raw data:</w:t>
      </w:r>
      <w:r w:rsidRPr="000311DA">
        <w:t xml:space="preserve"> </w:t>
      </w:r>
    </w:p>
    <w:p w:rsidR="00F75DF0" w:rsidRPr="00F636C0" w:rsidRDefault="00F75DF0" w:rsidP="00A16958">
      <w:pPr>
        <w:pStyle w:val="Luettelokappale"/>
        <w:numPr>
          <w:ilvl w:val="0"/>
          <w:numId w:val="10"/>
        </w:numPr>
        <w:spacing w:before="0" w:line="276" w:lineRule="auto"/>
        <w:jc w:val="left"/>
      </w:pPr>
      <w:r>
        <w:t xml:space="preserve">Municipal data produced by Statistics Denmark (DST). General at-risk-of-poverty rate register data at the municipal level was purchased. More information here: </w:t>
      </w:r>
      <w:hyperlink r:id="rId70" w:history="1">
        <w:r w:rsidRPr="00C101AF">
          <w:rPr>
            <w:rStyle w:val="Hyperlinkki"/>
          </w:rPr>
          <w:t>http://www.dst.dk/en/Statistik/dokumentation/Declarations/personal-income-statistics.aspx</w:t>
        </w:r>
      </w:hyperlink>
      <w:r>
        <w:t xml:space="preserve"> </w:t>
      </w:r>
    </w:p>
    <w:p w:rsidR="00F75DF0" w:rsidRPr="00AB038B" w:rsidRDefault="00F75DF0" w:rsidP="00A16958">
      <w:pPr>
        <w:spacing w:before="0" w:line="276" w:lineRule="auto"/>
      </w:pPr>
      <w:r w:rsidRPr="00F636C0">
        <w:rPr>
          <w:b/>
        </w:rPr>
        <w:t xml:space="preserve">Date(s) of raw data: </w:t>
      </w:r>
      <w:r>
        <w:t>Denmark Personal income register (2010) and Population register (December 31</w:t>
      </w:r>
      <w:r w:rsidRPr="00147FEA">
        <w:rPr>
          <w:vertAlign w:val="superscript"/>
        </w:rPr>
        <w:t>st</w:t>
      </w:r>
      <w:r>
        <w:t>, 2010)</w:t>
      </w:r>
    </w:p>
    <w:p w:rsidR="00F75DF0" w:rsidRDefault="00F75DF0" w:rsidP="00A16958">
      <w:pPr>
        <w:spacing w:before="0" w:line="276" w:lineRule="auto"/>
      </w:pPr>
      <w:r>
        <w:rPr>
          <w:b/>
        </w:rPr>
        <w:t>Variables used:</w:t>
      </w:r>
      <w:r w:rsidR="003D13BD">
        <w:t xml:space="preserve"> </w:t>
      </w:r>
      <w:r>
        <w:t>National income register data on disposable income, excluding rent &amp; mortgage interest payments</w:t>
      </w:r>
    </w:p>
    <w:p w:rsidR="00F75DF0" w:rsidRDefault="00F75DF0" w:rsidP="00A16958">
      <w:pPr>
        <w:spacing w:before="0" w:line="276" w:lineRule="auto"/>
      </w:pPr>
      <w:r w:rsidRPr="0018643B">
        <w:rPr>
          <w:b/>
        </w:rPr>
        <w:t>Before or after Housing Costs?</w:t>
      </w:r>
      <w:r>
        <w:rPr>
          <w:b/>
        </w:rPr>
        <w:t xml:space="preserve"> </w:t>
      </w:r>
      <w:r>
        <w:t>Before</w:t>
      </w:r>
    </w:p>
    <w:p w:rsidR="00F75DF0" w:rsidRDefault="00F75DF0" w:rsidP="00A16958">
      <w:pPr>
        <w:spacing w:before="0" w:line="276" w:lineRule="auto"/>
      </w:pPr>
      <w:r w:rsidRPr="00CF1CB1">
        <w:rPr>
          <w:b/>
        </w:rPr>
        <w:t>NUTS Level of estimates:</w:t>
      </w:r>
      <w:r>
        <w:t xml:space="preserve"> NUTS 3</w:t>
      </w:r>
    </w:p>
    <w:p w:rsidR="00F75DF0" w:rsidRDefault="00F75DF0" w:rsidP="00A16958">
      <w:pPr>
        <w:spacing w:before="0" w:line="276" w:lineRule="auto"/>
      </w:pPr>
      <w:r w:rsidRPr="00455DC7">
        <w:rPr>
          <w:b/>
        </w:rPr>
        <w:t xml:space="preserve">Adjusted to agree with Eurostat published </w:t>
      </w:r>
      <w:r w:rsidR="008632AA">
        <w:rPr>
          <w:b/>
        </w:rPr>
        <w:t>AROP</w:t>
      </w:r>
      <w:r w:rsidRPr="00455DC7">
        <w:rPr>
          <w:b/>
        </w:rPr>
        <w:t xml:space="preserve"> rates?</w:t>
      </w:r>
      <w:r w:rsidRPr="00455DC7">
        <w:t xml:space="preserve"> </w:t>
      </w:r>
      <w:r>
        <w:t>Yes</w:t>
      </w:r>
    </w:p>
    <w:p w:rsidR="00F75DF0" w:rsidRDefault="00F75DF0" w:rsidP="00A16958">
      <w:pPr>
        <w:spacing w:before="0" w:line="276" w:lineRule="auto"/>
      </w:pPr>
      <w:r w:rsidRPr="00CF1CB1">
        <w:rPr>
          <w:b/>
        </w:rPr>
        <w:t>Comments:</w:t>
      </w:r>
      <w:r w:rsidRPr="00365B69">
        <w:t xml:space="preserve"> </w:t>
      </w:r>
    </w:p>
    <w:p w:rsidR="00F75DF0" w:rsidRDefault="00F75DF0" w:rsidP="00A16958">
      <w:pPr>
        <w:pStyle w:val="Luettelokappale"/>
        <w:numPr>
          <w:ilvl w:val="0"/>
          <w:numId w:val="11"/>
        </w:numPr>
        <w:spacing w:before="0" w:line="276" w:lineRule="auto"/>
        <w:jc w:val="left"/>
      </w:pPr>
      <w:r w:rsidRPr="00365B69">
        <w:t>The apportionment me</w:t>
      </w:r>
      <w:r>
        <w:t xml:space="preserve">thod used to estimate NUTS 3 level </w:t>
      </w:r>
      <w:r w:rsidR="008632AA">
        <w:t>ARoP</w:t>
      </w:r>
      <w:r>
        <w:t xml:space="preserve"> rates for Denmark is based on disposable income data from Statistics Denmark, adjusted for the OECD scale.</w:t>
      </w:r>
    </w:p>
    <w:p w:rsidR="00F75DF0" w:rsidRDefault="00F75DF0" w:rsidP="00A16958">
      <w:pPr>
        <w:pStyle w:val="Luettelokappale"/>
        <w:numPr>
          <w:ilvl w:val="0"/>
          <w:numId w:val="11"/>
        </w:numPr>
        <w:spacing w:before="0" w:line="276" w:lineRule="auto"/>
        <w:jc w:val="left"/>
      </w:pPr>
      <w:r w:rsidRPr="00DD3B6E">
        <w:t>At-risk-of-poverty rate is the rate of individuals that fall under</w:t>
      </w:r>
      <w:r>
        <w:t xml:space="preserve"> </w:t>
      </w:r>
      <w:r w:rsidRPr="00DD3B6E">
        <w:t>the at-risk-of-poverty threshold. The at-risk-of-poverty threshold is</w:t>
      </w:r>
      <w:r>
        <w:t xml:space="preserve"> </w:t>
      </w:r>
      <w:r w:rsidRPr="00DD3B6E">
        <w:t>defined as 60% of the median equivalised disposable income.</w:t>
      </w:r>
      <w:r>
        <w:t xml:space="preserve"> </w:t>
      </w:r>
    </w:p>
    <w:p w:rsidR="00F75DF0" w:rsidRDefault="00F75DF0" w:rsidP="00A16958">
      <w:pPr>
        <w:pStyle w:val="Luettelokappale"/>
        <w:numPr>
          <w:ilvl w:val="0"/>
          <w:numId w:val="11"/>
        </w:numPr>
        <w:spacing w:before="0" w:line="276" w:lineRule="auto"/>
        <w:jc w:val="left"/>
      </w:pPr>
      <w:r w:rsidRPr="00DD3B6E">
        <w:t>Equivalised disposable income depends on the disposable income of the</w:t>
      </w:r>
      <w:r>
        <w:t xml:space="preserve"> </w:t>
      </w:r>
      <w:r w:rsidRPr="00DD3B6E">
        <w:t>household and how many people are living from that income.</w:t>
      </w:r>
    </w:p>
    <w:p w:rsidR="00F75DF0" w:rsidRDefault="00F75DF0" w:rsidP="00A16958">
      <w:pPr>
        <w:pStyle w:val="Luettelokappale"/>
        <w:numPr>
          <w:ilvl w:val="0"/>
          <w:numId w:val="11"/>
        </w:numPr>
        <w:spacing w:before="0" w:line="276" w:lineRule="auto"/>
        <w:jc w:val="left"/>
      </w:pPr>
      <w:r w:rsidRPr="00147FEA">
        <w:t>Match with Eurostat: In the calibrated EU-SILC sample there are 715.000 persons in ROP(13.0 pct.). Using the full population we got 707.000 (12.8 pct.). The slight deviation is primarily caused by differences in the household compositions, between the register households and the self-defined SILC households.</w:t>
      </w:r>
    </w:p>
    <w:p w:rsidR="00F75DF0" w:rsidRDefault="00F75DF0" w:rsidP="00A16958">
      <w:pPr>
        <w:pStyle w:val="Luettelokappale"/>
        <w:numPr>
          <w:ilvl w:val="0"/>
          <w:numId w:val="11"/>
        </w:numPr>
        <w:spacing w:before="0" w:line="276" w:lineRule="auto"/>
        <w:jc w:val="left"/>
      </w:pPr>
      <w:r>
        <w:t>Municipal data was scaled up to conform with NUTS 3 boundaries and is based is based on disposable income data from Statistics Denmark, adjusted for the EU and OECD scales.</w:t>
      </w:r>
    </w:p>
    <w:p w:rsidR="00F75DF0" w:rsidRPr="003B5F5F" w:rsidRDefault="00F75DF0" w:rsidP="00A16958">
      <w:pPr>
        <w:pStyle w:val="Luettelokappale"/>
        <w:numPr>
          <w:ilvl w:val="1"/>
          <w:numId w:val="11"/>
        </w:numPr>
        <w:spacing w:before="0" w:line="276" w:lineRule="auto"/>
        <w:contextualSpacing w:val="0"/>
        <w:jc w:val="left"/>
      </w:pPr>
      <w:r w:rsidRPr="003B5F5F">
        <w:t xml:space="preserve">Started with percentage of persons </w:t>
      </w:r>
      <w:r w:rsidR="008632AA">
        <w:t>ARoP</w:t>
      </w:r>
      <w:r w:rsidRPr="003B5F5F">
        <w:t xml:space="preserve"> for municipalities in </w:t>
      </w:r>
      <w:r>
        <w:t>Denmark</w:t>
      </w:r>
      <w:r w:rsidRPr="003B5F5F">
        <w:t>.</w:t>
      </w:r>
    </w:p>
    <w:p w:rsidR="00F75DF0" w:rsidRPr="003B5F5F" w:rsidRDefault="00F75DF0" w:rsidP="00A16958">
      <w:pPr>
        <w:pStyle w:val="Luettelokappale"/>
        <w:numPr>
          <w:ilvl w:val="1"/>
          <w:numId w:val="11"/>
        </w:numPr>
        <w:spacing w:before="0" w:line="276" w:lineRule="auto"/>
        <w:contextualSpacing w:val="0"/>
        <w:jc w:val="left"/>
      </w:pPr>
      <w:r w:rsidRPr="003B5F5F">
        <w:t xml:space="preserve">Data on number of inhabitants per municipality in </w:t>
      </w:r>
      <w:r>
        <w:t>Denmark</w:t>
      </w:r>
      <w:r w:rsidRPr="003B5F5F">
        <w:t xml:space="preserve"> used to calculate the number of persons </w:t>
      </w:r>
      <w:r w:rsidR="008632AA">
        <w:t>ARoP</w:t>
      </w:r>
      <w:r w:rsidRPr="003B5F5F">
        <w:t xml:space="preserve"> for each municipality. (Ex: 28.776 inhabitants = 3280 persons </w:t>
      </w:r>
      <w:r w:rsidR="008632AA">
        <w:t>ARoP</w:t>
      </w:r>
      <w:r w:rsidRPr="003B5F5F">
        <w:t>)</w:t>
      </w:r>
      <w:r>
        <w:t xml:space="preserve"> </w:t>
      </w:r>
    </w:p>
    <w:p w:rsidR="00F75DF0" w:rsidRPr="003B5F5F" w:rsidRDefault="00F75DF0" w:rsidP="00A16958">
      <w:pPr>
        <w:pStyle w:val="Luettelokappale"/>
        <w:numPr>
          <w:ilvl w:val="1"/>
          <w:numId w:val="11"/>
        </w:numPr>
        <w:spacing w:before="0" w:line="276" w:lineRule="auto"/>
        <w:contextualSpacing w:val="0"/>
        <w:jc w:val="left"/>
      </w:pPr>
      <w:r w:rsidRPr="003B5F5F">
        <w:t>This number added up for all the municipalities for each NUTS 3 region (Ex: 28.129 in the first NUTS 3 region)</w:t>
      </w:r>
    </w:p>
    <w:p w:rsidR="00CC7C09" w:rsidRPr="00F75DF0" w:rsidRDefault="00F75DF0" w:rsidP="00A16958">
      <w:pPr>
        <w:pStyle w:val="Luettelokappale"/>
        <w:numPr>
          <w:ilvl w:val="1"/>
          <w:numId w:val="11"/>
        </w:numPr>
        <w:spacing w:before="0" w:line="276" w:lineRule="auto"/>
        <w:contextualSpacing w:val="0"/>
        <w:jc w:val="left"/>
      </w:pPr>
      <w:r w:rsidRPr="003B5F5F">
        <w:t xml:space="preserve">Share of persons </w:t>
      </w:r>
      <w:r w:rsidR="008632AA">
        <w:t>ARoP</w:t>
      </w:r>
      <w:r w:rsidRPr="003B5F5F">
        <w:t xml:space="preserve"> by NUTS 3 region calculated by dividing the previous two results (Ex: 10,4)</w:t>
      </w:r>
    </w:p>
    <w:p w:rsidR="00F75DF0" w:rsidRDefault="00F75DF0" w:rsidP="00A16958">
      <w:pPr>
        <w:spacing w:before="0" w:line="276" w:lineRule="auto"/>
        <w:rPr>
          <w:noProof/>
        </w:rPr>
      </w:pPr>
      <w:r>
        <w:rPr>
          <w:noProof/>
        </w:rPr>
        <w:br w:type="page"/>
      </w:r>
    </w:p>
    <w:p w:rsidR="003D13BD" w:rsidRDefault="003D13BD" w:rsidP="00A16958">
      <w:pPr>
        <w:spacing w:before="0" w:line="276" w:lineRule="auto"/>
      </w:pPr>
      <w:r w:rsidRPr="00AB038B">
        <w:rPr>
          <w:b/>
        </w:rPr>
        <w:lastRenderedPageBreak/>
        <w:t>Country:</w:t>
      </w:r>
      <w:r>
        <w:t xml:space="preserve"> </w:t>
      </w:r>
      <w:r w:rsidRPr="00A16958">
        <w:t>Finland</w:t>
      </w:r>
    </w:p>
    <w:p w:rsidR="00A16958" w:rsidRDefault="00A16958" w:rsidP="00A16958">
      <w:pPr>
        <w:spacing w:before="0" w:line="276" w:lineRule="auto"/>
        <w:rPr>
          <w:b/>
        </w:rPr>
      </w:pPr>
    </w:p>
    <w:p w:rsidR="003D13BD" w:rsidRDefault="003D13BD" w:rsidP="00A16958">
      <w:pPr>
        <w:spacing w:before="0" w:line="276" w:lineRule="auto"/>
        <w:rPr>
          <w:color w:val="002060"/>
        </w:rPr>
      </w:pPr>
      <w:r w:rsidRPr="00AB038B">
        <w:rPr>
          <w:b/>
        </w:rPr>
        <w:t>Partner responsible</w:t>
      </w:r>
      <w:r>
        <w:t xml:space="preserve">: </w:t>
      </w:r>
      <w:r w:rsidRPr="00A16958">
        <w:t>Nordregio, Stockholm, Sweden</w:t>
      </w:r>
    </w:p>
    <w:p w:rsidR="003D13BD" w:rsidRDefault="003D13BD" w:rsidP="00A16958">
      <w:pPr>
        <w:spacing w:before="0" w:line="276" w:lineRule="auto"/>
      </w:pPr>
      <w:r w:rsidRPr="00236856">
        <w:rPr>
          <w:b/>
        </w:rPr>
        <w:t>Contact Person:</w:t>
      </w:r>
      <w:r w:rsidRPr="00236856">
        <w:t xml:space="preserve"> </w:t>
      </w:r>
      <w:r w:rsidRPr="00F75DF0">
        <w:t>Petri Kahila (</w:t>
      </w:r>
      <w:hyperlink r:id="rId71" w:history="1">
        <w:r w:rsidRPr="00C53EC4">
          <w:rPr>
            <w:rStyle w:val="Hyperlinkki"/>
          </w:rPr>
          <w:t>petri.kahila@uef.fi</w:t>
        </w:r>
      </w:hyperlink>
      <w:r w:rsidRPr="00F75DF0">
        <w:t>)</w:t>
      </w:r>
    </w:p>
    <w:p w:rsidR="003D13BD" w:rsidRPr="00A16958" w:rsidRDefault="003D13BD" w:rsidP="00A16958">
      <w:pPr>
        <w:spacing w:before="0" w:line="276" w:lineRule="auto"/>
      </w:pPr>
      <w:r w:rsidRPr="00A16958">
        <w:rPr>
          <w:b/>
        </w:rPr>
        <w:t>Date:</w:t>
      </w:r>
      <w:r w:rsidRPr="00A16958">
        <w:t xml:space="preserve"> 03/07/2014</w:t>
      </w:r>
    </w:p>
    <w:p w:rsidR="003D13BD" w:rsidRDefault="003D13BD" w:rsidP="00A16958">
      <w:pPr>
        <w:spacing w:before="0" w:line="276" w:lineRule="auto"/>
        <w:rPr>
          <w:color w:val="002060"/>
        </w:rPr>
      </w:pPr>
      <w:r w:rsidRPr="00AB038B">
        <w:rPr>
          <w:b/>
        </w:rPr>
        <w:t>Methodology Used:</w:t>
      </w:r>
      <w:r>
        <w:t xml:space="preserve"> Register Data</w:t>
      </w:r>
    </w:p>
    <w:p w:rsidR="003D13BD" w:rsidRDefault="003D13BD" w:rsidP="00A16958">
      <w:pPr>
        <w:spacing w:before="0" w:line="276" w:lineRule="auto"/>
        <w:rPr>
          <w:b/>
        </w:rPr>
      </w:pPr>
      <w:r>
        <w:rPr>
          <w:b/>
        </w:rPr>
        <w:t>Constraints on</w:t>
      </w:r>
      <w:r w:rsidRPr="00B24721">
        <w:rPr>
          <w:b/>
        </w:rPr>
        <w:t xml:space="preserve"> Choice of Methodology: </w:t>
      </w:r>
    </w:p>
    <w:p w:rsidR="003D13BD" w:rsidRPr="00F636C0" w:rsidRDefault="003D13BD" w:rsidP="00A16958">
      <w:pPr>
        <w:spacing w:before="0" w:line="276" w:lineRule="auto"/>
      </w:pPr>
      <w:r w:rsidRPr="000311DA">
        <w:rPr>
          <w:b/>
        </w:rPr>
        <w:t>Source(s) of raw data:</w:t>
      </w:r>
      <w:r w:rsidRPr="000311DA">
        <w:t xml:space="preserve"> </w:t>
      </w:r>
      <w:r>
        <w:t xml:space="preserve">Municipal data produced by the National Institute for Health &amp; Welfare (THL). General at-risk-of-poverty rate for the municipality available from: </w:t>
      </w:r>
      <w:hyperlink r:id="rId72" w:history="1">
        <w:r w:rsidRPr="00DA67E2">
          <w:rPr>
            <w:rStyle w:val="Hyperlinkki"/>
          </w:rPr>
          <w:t>http://uusi.sotkanet.fi/taulukko/CQ2/111/3/3A/0/3099/</w:t>
        </w:r>
      </w:hyperlink>
      <w:r>
        <w:t xml:space="preserve"> </w:t>
      </w:r>
    </w:p>
    <w:p w:rsidR="003D13BD" w:rsidRPr="00AB038B" w:rsidRDefault="003D13BD" w:rsidP="00A16958">
      <w:pPr>
        <w:spacing w:before="0" w:line="276" w:lineRule="auto"/>
      </w:pPr>
      <w:r w:rsidRPr="00F636C0">
        <w:rPr>
          <w:b/>
        </w:rPr>
        <w:t xml:space="preserve">Date(s) of raw data: </w:t>
      </w:r>
      <w:r>
        <w:t>Finland municipal data 2010 (2005 – 2013)</w:t>
      </w:r>
    </w:p>
    <w:p w:rsidR="003D13BD" w:rsidRDefault="003D13BD" w:rsidP="00A16958">
      <w:pPr>
        <w:spacing w:before="0" w:line="276" w:lineRule="auto"/>
      </w:pPr>
      <w:r>
        <w:rPr>
          <w:b/>
        </w:rPr>
        <w:t>Variables used:</w:t>
      </w:r>
      <w:r w:rsidR="00133DA4">
        <w:t xml:space="preserve"> </w:t>
      </w:r>
      <w:r>
        <w:t>Municipal data for Disposable income of under 60% of the median for 2010</w:t>
      </w:r>
    </w:p>
    <w:p w:rsidR="003D13BD" w:rsidRDefault="003D13BD" w:rsidP="00A16958">
      <w:pPr>
        <w:spacing w:before="0" w:line="276" w:lineRule="auto"/>
      </w:pPr>
      <w:r w:rsidRPr="0018643B">
        <w:rPr>
          <w:b/>
        </w:rPr>
        <w:t>Before or after Housing Costs?</w:t>
      </w:r>
      <w:r>
        <w:rPr>
          <w:b/>
        </w:rPr>
        <w:t xml:space="preserve"> </w:t>
      </w:r>
      <w:r>
        <w:t>Before</w:t>
      </w:r>
    </w:p>
    <w:p w:rsidR="003D13BD" w:rsidRDefault="003D13BD" w:rsidP="00A16958">
      <w:pPr>
        <w:spacing w:before="0" w:line="276" w:lineRule="auto"/>
      </w:pPr>
      <w:r w:rsidRPr="00CF1CB1">
        <w:rPr>
          <w:b/>
        </w:rPr>
        <w:t>NUTS Level of estimates:</w:t>
      </w:r>
      <w:r>
        <w:t xml:space="preserve"> NUTS 3</w:t>
      </w:r>
    </w:p>
    <w:p w:rsidR="003D13BD" w:rsidRDefault="003D13BD" w:rsidP="00A16958">
      <w:pPr>
        <w:spacing w:before="0" w:line="276" w:lineRule="auto"/>
      </w:pPr>
      <w:r w:rsidRPr="00455DC7">
        <w:rPr>
          <w:b/>
        </w:rPr>
        <w:t xml:space="preserve">Adjusted to agree with Eurostat published </w:t>
      </w:r>
      <w:r w:rsidR="008632AA">
        <w:rPr>
          <w:b/>
        </w:rPr>
        <w:t>AROP</w:t>
      </w:r>
      <w:r w:rsidRPr="00455DC7">
        <w:rPr>
          <w:b/>
        </w:rPr>
        <w:t xml:space="preserve"> rates?</w:t>
      </w:r>
      <w:r w:rsidRPr="00455DC7">
        <w:t xml:space="preserve"> </w:t>
      </w:r>
      <w:r>
        <w:t>No</w:t>
      </w:r>
    </w:p>
    <w:p w:rsidR="003D13BD" w:rsidRDefault="003D13BD" w:rsidP="00A16958">
      <w:pPr>
        <w:spacing w:before="0" w:line="276" w:lineRule="auto"/>
      </w:pPr>
      <w:r w:rsidRPr="00CF1CB1">
        <w:rPr>
          <w:b/>
        </w:rPr>
        <w:t>Comments:</w:t>
      </w:r>
      <w:r w:rsidRPr="00365B69">
        <w:t xml:space="preserve"> </w:t>
      </w:r>
    </w:p>
    <w:p w:rsidR="003D13BD" w:rsidRDefault="003D13BD" w:rsidP="00A16958">
      <w:pPr>
        <w:pStyle w:val="Luettelokappale"/>
        <w:numPr>
          <w:ilvl w:val="0"/>
          <w:numId w:val="11"/>
        </w:numPr>
        <w:spacing w:before="0" w:line="276" w:lineRule="auto"/>
        <w:jc w:val="left"/>
      </w:pPr>
      <w:r>
        <w:t xml:space="preserve">NUTS 3 level </w:t>
      </w:r>
      <w:r w:rsidR="008632AA">
        <w:t>ARoP</w:t>
      </w:r>
      <w:r>
        <w:t xml:space="preserve"> rates for Finland is based on disposable income data from THL, adjusted for the OECD scale.</w:t>
      </w:r>
    </w:p>
    <w:p w:rsidR="003D13BD" w:rsidRDefault="003D13BD" w:rsidP="00A16958">
      <w:pPr>
        <w:pStyle w:val="Luettelokappale"/>
        <w:numPr>
          <w:ilvl w:val="0"/>
          <w:numId w:val="11"/>
        </w:numPr>
        <w:spacing w:before="0" w:line="276" w:lineRule="auto"/>
        <w:jc w:val="left"/>
      </w:pPr>
      <w:r w:rsidRPr="00DD3B6E">
        <w:t>At-risk-of-poverty rate is the rate of individuals that fall under</w:t>
      </w:r>
      <w:r>
        <w:t xml:space="preserve"> </w:t>
      </w:r>
      <w:r w:rsidRPr="00DD3B6E">
        <w:t>the at-risk-of-poverty threshold. The at-risk-of-poverty threshold is</w:t>
      </w:r>
      <w:r>
        <w:t xml:space="preserve"> </w:t>
      </w:r>
      <w:r w:rsidRPr="00DD3B6E">
        <w:t>defined as 60% of the median equivalised disposable income.</w:t>
      </w:r>
      <w:r>
        <w:t xml:space="preserve"> </w:t>
      </w:r>
    </w:p>
    <w:p w:rsidR="003D13BD" w:rsidRDefault="003D13BD" w:rsidP="00A16958">
      <w:pPr>
        <w:pStyle w:val="Luettelokappale"/>
        <w:numPr>
          <w:ilvl w:val="0"/>
          <w:numId w:val="11"/>
        </w:numPr>
        <w:spacing w:before="0" w:line="276" w:lineRule="auto"/>
        <w:jc w:val="left"/>
      </w:pPr>
      <w:r w:rsidRPr="00DD3B6E">
        <w:t>Equivalised disposable income depends on the disposable income of the</w:t>
      </w:r>
      <w:r>
        <w:t xml:space="preserve"> </w:t>
      </w:r>
      <w:r w:rsidRPr="00DD3B6E">
        <w:t>household and how many people are living from that income.</w:t>
      </w:r>
    </w:p>
    <w:p w:rsidR="003D13BD" w:rsidRDefault="003D13BD" w:rsidP="00A16958">
      <w:pPr>
        <w:spacing w:before="0" w:line="276" w:lineRule="auto"/>
        <w:rPr>
          <w:b/>
          <w:noProof/>
          <w:kern w:val="28"/>
          <w:sz w:val="28"/>
        </w:rPr>
      </w:pPr>
    </w:p>
    <w:p w:rsidR="003D13BD" w:rsidRDefault="003D13BD" w:rsidP="00A16958">
      <w:pPr>
        <w:spacing w:before="0" w:line="276" w:lineRule="auto"/>
      </w:pPr>
      <w:r>
        <w:rPr>
          <w:noProof/>
        </w:rPr>
        <w:br w:type="page"/>
      </w:r>
      <w:r w:rsidRPr="00AB038B">
        <w:rPr>
          <w:b/>
        </w:rPr>
        <w:lastRenderedPageBreak/>
        <w:t>Country:</w:t>
      </w:r>
      <w:r>
        <w:t xml:space="preserve"> France</w:t>
      </w:r>
    </w:p>
    <w:p w:rsidR="00A16958" w:rsidRDefault="00A16958" w:rsidP="00A16958">
      <w:pPr>
        <w:spacing w:before="0" w:line="276" w:lineRule="auto"/>
        <w:rPr>
          <w:b/>
        </w:rPr>
      </w:pPr>
    </w:p>
    <w:p w:rsidR="003D13BD" w:rsidRDefault="003D13BD" w:rsidP="00A16958">
      <w:pPr>
        <w:spacing w:before="0" w:line="276" w:lineRule="auto"/>
        <w:rPr>
          <w:color w:val="002060"/>
        </w:rPr>
      </w:pPr>
      <w:r w:rsidRPr="00AB038B">
        <w:rPr>
          <w:b/>
        </w:rPr>
        <w:t>Partner responsible</w:t>
      </w:r>
      <w:r>
        <w:t>: The James Hutton Institute (Aberdeen)</w:t>
      </w:r>
    </w:p>
    <w:p w:rsidR="003D13BD" w:rsidRDefault="003D13BD" w:rsidP="00A16958">
      <w:pPr>
        <w:spacing w:before="0" w:line="276" w:lineRule="auto"/>
      </w:pPr>
      <w:r w:rsidRPr="00236856">
        <w:rPr>
          <w:b/>
        </w:rPr>
        <w:t>Contact Person:</w:t>
      </w:r>
      <w:r w:rsidRPr="00236856">
        <w:t xml:space="preserve"> </w:t>
      </w:r>
      <w:r>
        <w:t>Andrew Copus (</w:t>
      </w:r>
      <w:hyperlink r:id="rId73" w:history="1">
        <w:r w:rsidRPr="00C53EC4">
          <w:rPr>
            <w:rStyle w:val="Hyperlinkki"/>
          </w:rPr>
          <w:t>andrew.copus@hutton.ac.uk</w:t>
        </w:r>
      </w:hyperlink>
      <w:r>
        <w:t>)</w:t>
      </w:r>
    </w:p>
    <w:p w:rsidR="003D13BD" w:rsidRDefault="003D13BD" w:rsidP="00A16958">
      <w:pPr>
        <w:spacing w:before="0" w:line="276" w:lineRule="auto"/>
      </w:pPr>
      <w:r w:rsidRPr="00455DC7">
        <w:rPr>
          <w:b/>
        </w:rPr>
        <w:t>Date:</w:t>
      </w:r>
      <w:r w:rsidRPr="00455DC7">
        <w:t xml:space="preserve"> </w:t>
      </w:r>
      <w:r>
        <w:t>27/02/14</w:t>
      </w:r>
    </w:p>
    <w:p w:rsidR="003D13BD" w:rsidRPr="00133DA4" w:rsidRDefault="003D13BD" w:rsidP="00A16958">
      <w:pPr>
        <w:spacing w:before="0" w:line="276" w:lineRule="auto"/>
        <w:rPr>
          <w:color w:val="000000" w:themeColor="text1"/>
        </w:rPr>
      </w:pPr>
      <w:r w:rsidRPr="00133DA4">
        <w:rPr>
          <w:b/>
          <w:color w:val="000000" w:themeColor="text1"/>
        </w:rPr>
        <w:t>Methodology Used:</w:t>
      </w:r>
      <w:r w:rsidR="00DF5D62" w:rsidRPr="00133DA4">
        <w:rPr>
          <w:color w:val="000000" w:themeColor="text1"/>
        </w:rPr>
        <w:t xml:space="preserve"> </w:t>
      </w:r>
      <w:r w:rsidRPr="00133DA4">
        <w:rPr>
          <w:color w:val="000000" w:themeColor="text1"/>
        </w:rPr>
        <w:t>Official data published by INSEE, based upon administrative tax data – presented in a database known as Revenus disponibles localises (RDL – Local Disposable Income). It appears that these figures are before housing cost.</w:t>
      </w:r>
    </w:p>
    <w:p w:rsidR="003D13BD" w:rsidRPr="00133DA4" w:rsidRDefault="003D13BD" w:rsidP="00A16958">
      <w:pPr>
        <w:spacing w:before="0" w:line="276" w:lineRule="auto"/>
        <w:rPr>
          <w:color w:val="000000" w:themeColor="text1"/>
        </w:rPr>
      </w:pPr>
      <w:r w:rsidRPr="00133DA4">
        <w:rPr>
          <w:b/>
          <w:color w:val="000000" w:themeColor="text1"/>
        </w:rPr>
        <w:t xml:space="preserve">Constraints on Choice of Methodology: </w:t>
      </w:r>
      <w:r w:rsidRPr="00133DA4">
        <w:rPr>
          <w:color w:val="000000" w:themeColor="text1"/>
        </w:rPr>
        <w:t>EU SILC UDB has NUTS 2 identifiers, but we have not identified Census microdata source. In this circumstance the figures generated by INSEE are clearly the best option, although they do not allow an “after housing cost” option to be estimated.</w:t>
      </w:r>
    </w:p>
    <w:p w:rsidR="003D13BD" w:rsidRPr="003917A1" w:rsidRDefault="003D13BD" w:rsidP="00A16958">
      <w:pPr>
        <w:spacing w:before="0" w:line="276" w:lineRule="auto"/>
        <w:jc w:val="left"/>
        <w:rPr>
          <w:color w:val="002060"/>
        </w:rPr>
      </w:pPr>
      <w:r w:rsidRPr="000311DA">
        <w:rPr>
          <w:b/>
        </w:rPr>
        <w:t>Source(s) of raw data:</w:t>
      </w:r>
      <w:r w:rsidRPr="000311DA">
        <w:t xml:space="preserve"> </w:t>
      </w:r>
      <w:hyperlink r:id="rId74" w:history="1">
        <w:r w:rsidRPr="00EA39C7">
          <w:rPr>
            <w:rStyle w:val="Hyperlinkki"/>
          </w:rPr>
          <w:t>http://www.insee.fr/fr/bases-de-donnees/default.asp?page=statistiques-locales/pauvrete.htm</w:t>
        </w:r>
      </w:hyperlink>
      <w:r>
        <w:t xml:space="preserve"> </w:t>
      </w:r>
    </w:p>
    <w:p w:rsidR="003D13BD" w:rsidRPr="00133DA4" w:rsidRDefault="003D13BD" w:rsidP="00A16958">
      <w:pPr>
        <w:spacing w:before="0" w:line="276" w:lineRule="auto"/>
        <w:rPr>
          <w:color w:val="000000" w:themeColor="text1"/>
        </w:rPr>
      </w:pPr>
      <w:r w:rsidRPr="00133DA4">
        <w:rPr>
          <w:b/>
          <w:color w:val="000000" w:themeColor="text1"/>
        </w:rPr>
        <w:t>Date(s) of raw data:</w:t>
      </w:r>
      <w:r w:rsidR="00DF5D62" w:rsidRPr="00133DA4">
        <w:rPr>
          <w:color w:val="000000" w:themeColor="text1"/>
        </w:rPr>
        <w:t xml:space="preserve"> </w:t>
      </w:r>
      <w:r w:rsidRPr="00133DA4">
        <w:rPr>
          <w:color w:val="000000" w:themeColor="text1"/>
        </w:rPr>
        <w:t>2011 (each year from 2006 available).</w:t>
      </w:r>
    </w:p>
    <w:p w:rsidR="003D13BD" w:rsidRPr="008F3EC6" w:rsidRDefault="003D13BD" w:rsidP="00A16958">
      <w:pPr>
        <w:spacing w:before="0" w:line="276" w:lineRule="auto"/>
      </w:pPr>
      <w:r>
        <w:rPr>
          <w:b/>
        </w:rPr>
        <w:t xml:space="preserve">Variables used: </w:t>
      </w:r>
      <w:r w:rsidRPr="008F3EC6">
        <w:t>“Taux de pauvreté- TAUX60” – i.e. Poverty rate using 60% of the median as the benchmark.</w:t>
      </w:r>
    </w:p>
    <w:p w:rsidR="003D13BD" w:rsidRDefault="003D13BD" w:rsidP="00A16958">
      <w:pPr>
        <w:spacing w:before="0" w:line="276" w:lineRule="auto"/>
      </w:pPr>
      <w:r w:rsidRPr="0018643B">
        <w:rPr>
          <w:b/>
        </w:rPr>
        <w:t>Before or after Housing Costs?</w:t>
      </w:r>
      <w:r>
        <w:rPr>
          <w:b/>
        </w:rPr>
        <w:t xml:space="preserve"> </w:t>
      </w:r>
      <w:r w:rsidRPr="00FB6E7B">
        <w:t>Before</w:t>
      </w:r>
    </w:p>
    <w:p w:rsidR="003D13BD" w:rsidRDefault="003D13BD" w:rsidP="00A16958">
      <w:pPr>
        <w:spacing w:before="0" w:line="276" w:lineRule="auto"/>
      </w:pPr>
      <w:r w:rsidRPr="00CF1CB1">
        <w:rPr>
          <w:b/>
        </w:rPr>
        <w:t>NUTS Level of estimates:</w:t>
      </w:r>
      <w:r>
        <w:rPr>
          <w:b/>
        </w:rPr>
        <w:t xml:space="preserve"> </w:t>
      </w:r>
      <w:r w:rsidRPr="00FB6E7B">
        <w:t>NUTS 3 – NUTS 2 also available.</w:t>
      </w:r>
      <w:r>
        <w:t xml:space="preserve"> Data for Corsica at NUTS 2 only, no data for overseas departments.</w:t>
      </w:r>
    </w:p>
    <w:p w:rsidR="003D13BD" w:rsidRDefault="003D13BD" w:rsidP="00A16958">
      <w:pPr>
        <w:spacing w:before="0" w:line="276" w:lineRule="auto"/>
      </w:pPr>
      <w:r w:rsidRPr="00455DC7">
        <w:rPr>
          <w:b/>
        </w:rPr>
        <w:t xml:space="preserve">Adjusted to agree with Eurostat published </w:t>
      </w:r>
      <w:r w:rsidR="008632AA">
        <w:rPr>
          <w:b/>
        </w:rPr>
        <w:t>AROP</w:t>
      </w:r>
      <w:r w:rsidRPr="00455DC7">
        <w:rPr>
          <w:b/>
        </w:rPr>
        <w:t xml:space="preserve"> rates?</w:t>
      </w:r>
      <w:r>
        <w:rPr>
          <w:b/>
        </w:rPr>
        <w:t xml:space="preserve"> </w:t>
      </w:r>
      <w:r w:rsidRPr="00FB6E7B">
        <w:t>No</w:t>
      </w:r>
    </w:p>
    <w:p w:rsidR="003D13BD" w:rsidRPr="00CF1CB1" w:rsidRDefault="003D13BD" w:rsidP="00A16958">
      <w:pPr>
        <w:spacing w:before="0" w:line="276" w:lineRule="auto"/>
        <w:rPr>
          <w:b/>
        </w:rPr>
      </w:pPr>
      <w:r w:rsidRPr="00CF1CB1">
        <w:rPr>
          <w:b/>
        </w:rPr>
        <w:t>Comments:</w:t>
      </w:r>
      <w:r>
        <w:t xml:space="preserve"> Limited metadata and methodological explanation seems available online. A request for further information and clarification regarding housing cost was sent on 27/02/14.</w:t>
      </w:r>
    </w:p>
    <w:p w:rsidR="003D13BD" w:rsidRDefault="003D13BD" w:rsidP="00A16958">
      <w:pPr>
        <w:spacing w:before="0" w:line="276" w:lineRule="auto"/>
        <w:rPr>
          <w:b/>
          <w:noProof/>
          <w:kern w:val="28"/>
          <w:sz w:val="28"/>
        </w:rPr>
      </w:pPr>
    </w:p>
    <w:p w:rsidR="003D13BD" w:rsidRDefault="003D13BD" w:rsidP="00A16958">
      <w:pPr>
        <w:spacing w:before="0" w:line="276" w:lineRule="auto"/>
        <w:rPr>
          <w:noProof/>
        </w:rPr>
      </w:pPr>
      <w:r>
        <w:rPr>
          <w:noProof/>
        </w:rPr>
        <w:br w:type="page"/>
      </w:r>
    </w:p>
    <w:p w:rsidR="003D13BD" w:rsidRPr="00AB58CB" w:rsidRDefault="003D13BD" w:rsidP="00A16958">
      <w:pPr>
        <w:spacing w:before="0" w:line="276" w:lineRule="auto"/>
        <w:rPr>
          <w:color w:val="000000" w:themeColor="text1"/>
        </w:rPr>
      </w:pPr>
      <w:r w:rsidRPr="00AB58CB">
        <w:rPr>
          <w:b/>
          <w:color w:val="000000" w:themeColor="text1"/>
        </w:rPr>
        <w:lastRenderedPageBreak/>
        <w:t>Country:</w:t>
      </w:r>
      <w:r w:rsidRPr="00AB58CB">
        <w:rPr>
          <w:color w:val="000000" w:themeColor="text1"/>
        </w:rPr>
        <w:t xml:space="preserve"> Germany</w:t>
      </w:r>
    </w:p>
    <w:p w:rsidR="00A16958" w:rsidRDefault="00A16958" w:rsidP="00A16958">
      <w:pPr>
        <w:spacing w:before="0" w:line="276" w:lineRule="auto"/>
        <w:rPr>
          <w:b/>
          <w:color w:val="000000" w:themeColor="text1"/>
        </w:rPr>
      </w:pPr>
    </w:p>
    <w:p w:rsidR="003D13BD" w:rsidRPr="00AB58CB" w:rsidRDefault="003D13BD" w:rsidP="00A16958">
      <w:pPr>
        <w:spacing w:before="0" w:line="276" w:lineRule="auto"/>
        <w:rPr>
          <w:color w:val="000000" w:themeColor="text1"/>
        </w:rPr>
      </w:pPr>
      <w:r w:rsidRPr="00AB58CB">
        <w:rPr>
          <w:b/>
          <w:color w:val="000000" w:themeColor="text1"/>
        </w:rPr>
        <w:t>Partner responsible</w:t>
      </w:r>
      <w:r w:rsidRPr="00AB58CB">
        <w:rPr>
          <w:color w:val="000000" w:themeColor="text1"/>
        </w:rPr>
        <w:t>: ILS–Research Institute for Regional and Urban Development, Dortmund</w:t>
      </w:r>
    </w:p>
    <w:p w:rsidR="003D13BD" w:rsidRPr="00AB58CB" w:rsidRDefault="003D13BD" w:rsidP="00A16958">
      <w:pPr>
        <w:spacing w:before="0" w:line="276" w:lineRule="auto"/>
        <w:rPr>
          <w:color w:val="000000" w:themeColor="text1"/>
        </w:rPr>
      </w:pPr>
      <w:r w:rsidRPr="00AB58CB">
        <w:rPr>
          <w:b/>
          <w:color w:val="000000" w:themeColor="text1"/>
        </w:rPr>
        <w:t>Contact Person:</w:t>
      </w:r>
      <w:r w:rsidRPr="00AB58CB">
        <w:rPr>
          <w:color w:val="000000" w:themeColor="text1"/>
        </w:rPr>
        <w:t xml:space="preserve"> Stefan Kaup</w:t>
      </w:r>
      <w:r w:rsidR="00AB58CB">
        <w:rPr>
          <w:color w:val="000000" w:themeColor="text1"/>
        </w:rPr>
        <w:t xml:space="preserve"> (</w:t>
      </w:r>
      <w:hyperlink r:id="rId75" w:history="1">
        <w:r w:rsidR="00AB58CB" w:rsidRPr="00C53EC4">
          <w:rPr>
            <w:rStyle w:val="Hyperlinkki"/>
          </w:rPr>
          <w:t>stefan.kaup@ils-forschung.de</w:t>
        </w:r>
      </w:hyperlink>
      <w:r w:rsidR="00AB58CB">
        <w:rPr>
          <w:color w:val="000000" w:themeColor="text1"/>
        </w:rPr>
        <w:t>)</w:t>
      </w:r>
    </w:p>
    <w:p w:rsidR="003D13BD" w:rsidRPr="00AB58CB" w:rsidRDefault="003D13BD" w:rsidP="00A16958">
      <w:pPr>
        <w:spacing w:before="0" w:line="276" w:lineRule="auto"/>
        <w:rPr>
          <w:color w:val="000000" w:themeColor="text1"/>
        </w:rPr>
      </w:pPr>
      <w:r w:rsidRPr="00AB58CB">
        <w:rPr>
          <w:b/>
          <w:color w:val="000000" w:themeColor="text1"/>
        </w:rPr>
        <w:t>Date:</w:t>
      </w:r>
      <w:r w:rsidRPr="00AB58CB">
        <w:rPr>
          <w:color w:val="000000" w:themeColor="text1"/>
        </w:rPr>
        <w:t xml:space="preserve"> 27/02/14</w:t>
      </w:r>
    </w:p>
    <w:p w:rsidR="003D13BD" w:rsidRPr="00AB58CB" w:rsidRDefault="003D13BD" w:rsidP="00A16958">
      <w:pPr>
        <w:spacing w:before="0" w:line="276" w:lineRule="auto"/>
        <w:rPr>
          <w:color w:val="000000" w:themeColor="text1"/>
        </w:rPr>
      </w:pPr>
      <w:r w:rsidRPr="00AB58CB">
        <w:rPr>
          <w:b/>
          <w:color w:val="000000" w:themeColor="text1"/>
        </w:rPr>
        <w:t>Methodology Used:</w:t>
      </w:r>
      <w:r w:rsidRPr="00AB58CB">
        <w:rPr>
          <w:color w:val="000000" w:themeColor="text1"/>
        </w:rPr>
        <w:t xml:space="preserve"> </w:t>
      </w:r>
      <w:r w:rsidR="00DF5D62">
        <w:rPr>
          <w:color w:val="000000" w:themeColor="text1"/>
        </w:rPr>
        <w:t>Area B</w:t>
      </w:r>
      <w:r w:rsidRPr="00AB58CB">
        <w:rPr>
          <w:color w:val="000000" w:themeColor="text1"/>
        </w:rPr>
        <w:t xml:space="preserve">ased </w:t>
      </w:r>
      <w:r w:rsidR="00DF5D62">
        <w:rPr>
          <w:color w:val="000000" w:themeColor="text1"/>
        </w:rPr>
        <w:t>M</w:t>
      </w:r>
      <w:r w:rsidRPr="00AB58CB">
        <w:rPr>
          <w:color w:val="000000" w:themeColor="text1"/>
        </w:rPr>
        <w:t>odel</w:t>
      </w:r>
    </w:p>
    <w:p w:rsidR="003D13BD" w:rsidRPr="00AB58CB" w:rsidRDefault="003D13BD" w:rsidP="00A16958">
      <w:pPr>
        <w:spacing w:before="0" w:line="276" w:lineRule="auto"/>
        <w:jc w:val="left"/>
        <w:rPr>
          <w:color w:val="000000" w:themeColor="text1"/>
        </w:rPr>
      </w:pPr>
      <w:r w:rsidRPr="00AB58CB">
        <w:rPr>
          <w:b/>
          <w:color w:val="000000" w:themeColor="text1"/>
        </w:rPr>
        <w:t xml:space="preserve">Constraints on Choice of Methodology: </w:t>
      </w:r>
      <w:r w:rsidRPr="00AB58CB">
        <w:rPr>
          <w:color w:val="000000" w:themeColor="text1"/>
        </w:rPr>
        <w:t>Choice of World Bank PovMap was not possible due to lack of Census microdata in Germany. German Microcensus pro</w:t>
      </w:r>
      <w:r w:rsidR="00AB58CB">
        <w:rPr>
          <w:color w:val="000000" w:themeColor="text1"/>
        </w:rPr>
        <w:t>vides</w:t>
      </w:r>
      <w:r w:rsidRPr="00AB58CB">
        <w:rPr>
          <w:color w:val="000000" w:themeColor="text1"/>
        </w:rPr>
        <w:t xml:space="preserve"> </w:t>
      </w:r>
      <w:r w:rsidRPr="00AB58CB">
        <w:rPr>
          <w:i/>
          <w:color w:val="000000" w:themeColor="text1"/>
        </w:rPr>
        <w:t>At risk of poverty rate</w:t>
      </w:r>
      <w:r w:rsidRPr="00AB58CB">
        <w:rPr>
          <w:color w:val="000000" w:themeColor="text1"/>
        </w:rPr>
        <w:t xml:space="preserve"> at NUTS 2 level. Eurostat data and German Census is available at NUTS 2 and NUTS 3 level.</w:t>
      </w:r>
    </w:p>
    <w:p w:rsidR="003D13BD" w:rsidRDefault="003D13BD" w:rsidP="00A16958">
      <w:pPr>
        <w:spacing w:before="0" w:line="276" w:lineRule="auto"/>
        <w:jc w:val="left"/>
        <w:rPr>
          <w:color w:val="002060"/>
        </w:rPr>
      </w:pPr>
      <w:r w:rsidRPr="00AB58CB">
        <w:rPr>
          <w:b/>
          <w:color w:val="000000" w:themeColor="text1"/>
        </w:rPr>
        <w:t xml:space="preserve">Source(s) of raw data: </w:t>
      </w:r>
      <w:r w:rsidRPr="00AB58CB">
        <w:rPr>
          <w:color w:val="000000" w:themeColor="text1"/>
        </w:rPr>
        <w:t xml:space="preserve">Eurostat Database available from: </w:t>
      </w:r>
      <w:hyperlink r:id="rId76" w:history="1">
        <w:r w:rsidRPr="00C139B6">
          <w:rPr>
            <w:rStyle w:val="Hyperlinkki"/>
          </w:rPr>
          <w:t>http://epp.eurostat.ec.europa.eu/portal/page/portal/statistics/search_database</w:t>
        </w:r>
      </w:hyperlink>
      <w:r>
        <w:rPr>
          <w:color w:val="002060"/>
        </w:rPr>
        <w:br/>
      </w:r>
      <w:r w:rsidRPr="00AB58CB">
        <w:rPr>
          <w:color w:val="000000" w:themeColor="text1"/>
        </w:rPr>
        <w:t>German Census data available from:</w:t>
      </w:r>
      <w:r w:rsidRPr="00AB58CB">
        <w:rPr>
          <w:color w:val="000000" w:themeColor="text1"/>
        </w:rPr>
        <w:br/>
      </w:r>
      <w:hyperlink r:id="rId77" w:history="1">
        <w:r w:rsidRPr="00C139B6">
          <w:rPr>
            <w:rStyle w:val="Hyperlinkki"/>
          </w:rPr>
          <w:t>https://ergebnisse.zensus2011.de/?locale=en#</w:t>
        </w:r>
      </w:hyperlink>
      <w:r>
        <w:rPr>
          <w:color w:val="002060"/>
        </w:rPr>
        <w:br/>
      </w:r>
      <w:r w:rsidR="008632AA">
        <w:rPr>
          <w:color w:val="000000" w:themeColor="text1"/>
        </w:rPr>
        <w:t>ARoP</w:t>
      </w:r>
      <w:r w:rsidRPr="00AB58CB">
        <w:rPr>
          <w:color w:val="000000" w:themeColor="text1"/>
        </w:rPr>
        <w:t xml:space="preserve"> rates calculated from German Microcensus available from:</w:t>
      </w:r>
      <w:r w:rsidRPr="00AB58CB">
        <w:rPr>
          <w:color w:val="000000" w:themeColor="text1"/>
        </w:rPr>
        <w:br/>
      </w:r>
      <w:hyperlink r:id="rId78" w:history="1">
        <w:r w:rsidRPr="00C139B6">
          <w:rPr>
            <w:rStyle w:val="Hyperlinkki"/>
          </w:rPr>
          <w:t>http://www.amtliche-sozialberichterstattung.de/index_en.html</w:t>
        </w:r>
      </w:hyperlink>
    </w:p>
    <w:p w:rsidR="003D13BD" w:rsidRPr="00AB58CB" w:rsidRDefault="003D13BD" w:rsidP="00A16958">
      <w:pPr>
        <w:spacing w:before="0" w:line="276" w:lineRule="auto"/>
        <w:rPr>
          <w:color w:val="000000" w:themeColor="text1"/>
        </w:rPr>
      </w:pPr>
      <w:r w:rsidRPr="00AB58CB">
        <w:rPr>
          <w:b/>
          <w:color w:val="000000" w:themeColor="text1"/>
        </w:rPr>
        <w:t xml:space="preserve">Date(s) of raw data: </w:t>
      </w:r>
      <w:r w:rsidRPr="00AB58CB">
        <w:rPr>
          <w:color w:val="000000" w:themeColor="text1"/>
        </w:rPr>
        <w:t>Eurostat 2010, German Census 2011, German Microcensus 2011.</w:t>
      </w:r>
    </w:p>
    <w:p w:rsidR="003D13BD" w:rsidRDefault="003D13BD" w:rsidP="003D13BD">
      <w:pPr>
        <w:spacing w:before="240" w:line="240" w:lineRule="auto"/>
      </w:pPr>
      <w:r>
        <w:rPr>
          <w:b/>
        </w:rPr>
        <w:t>Variables used:</w:t>
      </w:r>
    </w:p>
    <w:tbl>
      <w:tblPr>
        <w:tblStyle w:val="TaulukkoPerinteinen1"/>
        <w:tblW w:w="5001" w:type="pct"/>
        <w:tblLook w:val="04A0" w:firstRow="1" w:lastRow="0" w:firstColumn="1" w:lastColumn="0" w:noHBand="0" w:noVBand="1"/>
      </w:tblPr>
      <w:tblGrid>
        <w:gridCol w:w="8531"/>
      </w:tblGrid>
      <w:tr w:rsidR="003D13BD" w:rsidRPr="00D06229" w:rsidTr="00133DA4">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4999" w:type="pct"/>
            <w:tcBorders>
              <w:right w:val="nil"/>
            </w:tcBorders>
            <w:vAlign w:val="center"/>
          </w:tcPr>
          <w:p w:rsidR="003D13BD" w:rsidRPr="00D06229" w:rsidRDefault="003D13BD" w:rsidP="004F7A81">
            <w:pPr>
              <w:spacing w:before="0" w:line="240" w:lineRule="auto"/>
              <w:jc w:val="left"/>
              <w:rPr>
                <w:b/>
                <w:sz w:val="20"/>
              </w:rPr>
            </w:pPr>
            <w:r w:rsidRPr="00D06229">
              <w:rPr>
                <w:b/>
                <w:sz w:val="20"/>
              </w:rPr>
              <w:t>Eurostat 2010</w:t>
            </w:r>
          </w:p>
        </w:tc>
      </w:tr>
      <w:tr w:rsidR="003D13BD" w:rsidRPr="00133DA4" w:rsidTr="00133DA4">
        <w:trPr>
          <w:trHeight w:val="397"/>
        </w:trPr>
        <w:tc>
          <w:tcPr>
            <w:cnfStyle w:val="001000000000" w:firstRow="0" w:lastRow="0" w:firstColumn="1" w:lastColumn="0" w:oddVBand="0" w:evenVBand="0" w:oddHBand="0" w:evenHBand="0" w:firstRowFirstColumn="0" w:firstRowLastColumn="0" w:lastRowFirstColumn="0" w:lastRowLastColumn="0"/>
            <w:tcW w:w="4999" w:type="pct"/>
            <w:tcBorders>
              <w:top w:val="single" w:sz="6" w:space="0" w:color="000000"/>
              <w:bottom w:val="single" w:sz="4" w:space="0" w:color="auto"/>
              <w:right w:val="nil"/>
            </w:tcBorders>
            <w:vAlign w:val="center"/>
          </w:tcPr>
          <w:p w:rsidR="003D13BD" w:rsidRPr="00133DA4" w:rsidRDefault="003D13BD" w:rsidP="004F7A81">
            <w:pPr>
              <w:spacing w:before="0" w:line="240" w:lineRule="auto"/>
              <w:jc w:val="left"/>
              <w:rPr>
                <w:sz w:val="20"/>
              </w:rPr>
            </w:pPr>
            <w:r w:rsidRPr="00133DA4">
              <w:rPr>
                <w:sz w:val="20"/>
              </w:rPr>
              <w:t>Demographic characteristics</w:t>
            </w:r>
          </w:p>
        </w:tc>
      </w:tr>
      <w:tr w:rsidR="003D13BD" w:rsidRPr="00D06229" w:rsidTr="00133DA4">
        <w:trPr>
          <w:trHeight w:val="397"/>
        </w:trPr>
        <w:tc>
          <w:tcPr>
            <w:cnfStyle w:val="001000000000" w:firstRow="0" w:lastRow="0" w:firstColumn="1" w:lastColumn="0" w:oddVBand="0" w:evenVBand="0" w:oddHBand="0" w:evenHBand="0" w:firstRowFirstColumn="0" w:firstRowLastColumn="0" w:lastRowFirstColumn="0" w:lastRowLastColumn="0"/>
            <w:tcW w:w="4999" w:type="pct"/>
            <w:tcBorders>
              <w:top w:val="single" w:sz="4" w:space="0" w:color="auto"/>
              <w:bottom w:val="single" w:sz="4" w:space="0" w:color="auto"/>
              <w:right w:val="nil"/>
            </w:tcBorders>
            <w:vAlign w:val="center"/>
          </w:tcPr>
          <w:p w:rsidR="003D13BD" w:rsidRPr="00D06229" w:rsidRDefault="00133DA4" w:rsidP="004F7A81">
            <w:pPr>
              <w:spacing w:before="0" w:line="240" w:lineRule="auto"/>
              <w:jc w:val="left"/>
              <w:rPr>
                <w:sz w:val="20"/>
              </w:rPr>
            </w:pPr>
            <w:r>
              <w:rPr>
                <w:sz w:val="20"/>
              </w:rPr>
              <w:t xml:space="preserve">   </w:t>
            </w:r>
            <w:r w:rsidR="003D13BD" w:rsidRPr="00D06229">
              <w:rPr>
                <w:sz w:val="20"/>
              </w:rPr>
              <w:t>Population on 1 January - Less than 15 years [</w:t>
            </w:r>
            <w:r w:rsidR="003D13BD" w:rsidRPr="00D06229">
              <w:rPr>
                <w:rStyle w:val="leaf"/>
                <w:sz w:val="20"/>
              </w:rPr>
              <w:t>demo_r_pjanaggr3]</w:t>
            </w:r>
          </w:p>
          <w:p w:rsidR="003D13BD" w:rsidRPr="00D06229" w:rsidRDefault="00133DA4" w:rsidP="004F7A81">
            <w:pPr>
              <w:spacing w:before="0" w:line="240" w:lineRule="auto"/>
              <w:jc w:val="left"/>
              <w:rPr>
                <w:sz w:val="20"/>
              </w:rPr>
            </w:pPr>
            <w:r>
              <w:rPr>
                <w:sz w:val="20"/>
              </w:rPr>
              <w:t xml:space="preserve">   </w:t>
            </w:r>
            <w:r w:rsidR="003D13BD" w:rsidRPr="00D06229">
              <w:rPr>
                <w:sz w:val="20"/>
              </w:rPr>
              <w:t>Population on 1 January -  From 15 to 64 years [</w:t>
            </w:r>
            <w:r w:rsidR="003D13BD" w:rsidRPr="00D06229">
              <w:rPr>
                <w:rStyle w:val="leaf"/>
                <w:sz w:val="20"/>
              </w:rPr>
              <w:t>demo_r_pjanaggr3]</w:t>
            </w:r>
          </w:p>
          <w:p w:rsidR="003D13BD" w:rsidRPr="00D06229" w:rsidRDefault="00133DA4" w:rsidP="004F7A81">
            <w:pPr>
              <w:spacing w:before="0" w:line="240" w:lineRule="auto"/>
              <w:jc w:val="left"/>
              <w:rPr>
                <w:sz w:val="20"/>
              </w:rPr>
            </w:pPr>
            <w:r>
              <w:rPr>
                <w:sz w:val="20"/>
              </w:rPr>
              <w:t xml:space="preserve">   </w:t>
            </w:r>
            <w:r w:rsidR="003D13BD" w:rsidRPr="00D06229">
              <w:rPr>
                <w:sz w:val="20"/>
              </w:rPr>
              <w:t>Population on 1 January - 65 years or over [</w:t>
            </w:r>
            <w:r w:rsidR="003D13BD" w:rsidRPr="00D06229">
              <w:rPr>
                <w:rStyle w:val="leaf"/>
                <w:sz w:val="20"/>
              </w:rPr>
              <w:t>demo_r_pjanaggr3]</w:t>
            </w:r>
          </w:p>
        </w:tc>
      </w:tr>
      <w:tr w:rsidR="003D13BD" w:rsidRPr="00133DA4" w:rsidTr="00133DA4">
        <w:trPr>
          <w:trHeight w:val="397"/>
        </w:trPr>
        <w:tc>
          <w:tcPr>
            <w:cnfStyle w:val="001000000000" w:firstRow="0" w:lastRow="0" w:firstColumn="1" w:lastColumn="0" w:oddVBand="0" w:evenVBand="0" w:oddHBand="0" w:evenHBand="0" w:firstRowFirstColumn="0" w:firstRowLastColumn="0" w:lastRowFirstColumn="0" w:lastRowLastColumn="0"/>
            <w:tcW w:w="4999" w:type="pct"/>
            <w:tcBorders>
              <w:top w:val="single" w:sz="4" w:space="0" w:color="auto"/>
              <w:bottom w:val="single" w:sz="4" w:space="0" w:color="auto"/>
              <w:right w:val="nil"/>
            </w:tcBorders>
            <w:vAlign w:val="center"/>
          </w:tcPr>
          <w:p w:rsidR="003D13BD" w:rsidRPr="00133DA4" w:rsidRDefault="003D13BD" w:rsidP="004F7A81">
            <w:pPr>
              <w:spacing w:before="0" w:line="240" w:lineRule="auto"/>
              <w:jc w:val="left"/>
              <w:rPr>
                <w:sz w:val="20"/>
              </w:rPr>
            </w:pPr>
            <w:r w:rsidRPr="00133DA4">
              <w:rPr>
                <w:sz w:val="20"/>
              </w:rPr>
              <w:t>Socio- economic characteristics</w:t>
            </w:r>
          </w:p>
        </w:tc>
      </w:tr>
      <w:tr w:rsidR="003D13BD" w:rsidRPr="00D06229" w:rsidTr="00133DA4">
        <w:trPr>
          <w:trHeight w:val="397"/>
        </w:trPr>
        <w:tc>
          <w:tcPr>
            <w:cnfStyle w:val="001000000000" w:firstRow="0" w:lastRow="0" w:firstColumn="1" w:lastColumn="0" w:oddVBand="0" w:evenVBand="0" w:oddHBand="0" w:evenHBand="0" w:firstRowFirstColumn="0" w:firstRowLastColumn="0" w:lastRowFirstColumn="0" w:lastRowLastColumn="0"/>
            <w:tcW w:w="4999" w:type="pct"/>
            <w:tcBorders>
              <w:top w:val="single" w:sz="4" w:space="0" w:color="auto"/>
              <w:bottom w:val="single" w:sz="4" w:space="0" w:color="auto"/>
              <w:right w:val="nil"/>
            </w:tcBorders>
            <w:vAlign w:val="center"/>
          </w:tcPr>
          <w:p w:rsidR="003D13BD" w:rsidRPr="00D06229" w:rsidRDefault="00133DA4" w:rsidP="004F7A81">
            <w:pPr>
              <w:spacing w:before="0" w:line="240" w:lineRule="auto"/>
              <w:jc w:val="left"/>
              <w:rPr>
                <w:sz w:val="20"/>
              </w:rPr>
            </w:pPr>
            <w:r>
              <w:rPr>
                <w:sz w:val="20"/>
              </w:rPr>
              <w:t xml:space="preserve">   </w:t>
            </w:r>
            <w:r w:rsidR="003D13BD" w:rsidRPr="00D06229">
              <w:rPr>
                <w:sz w:val="20"/>
              </w:rPr>
              <w:t>Employment in NACE A - Agriculture, forestry and fishing [nama_r_e3em95r2]</w:t>
            </w:r>
          </w:p>
          <w:p w:rsidR="003D13BD" w:rsidRPr="00D06229" w:rsidRDefault="00133DA4" w:rsidP="004F7A81">
            <w:pPr>
              <w:spacing w:before="0" w:line="240" w:lineRule="auto"/>
              <w:jc w:val="left"/>
              <w:rPr>
                <w:sz w:val="20"/>
              </w:rPr>
            </w:pPr>
            <w:r>
              <w:rPr>
                <w:sz w:val="20"/>
              </w:rPr>
              <w:t xml:space="preserve">   </w:t>
            </w:r>
            <w:r w:rsidR="003D13BD" w:rsidRPr="00D06229">
              <w:rPr>
                <w:sz w:val="20"/>
              </w:rPr>
              <w:t>Employment in NACE B-E - Industry (except construction) [nama_r_e3em95r2]</w:t>
            </w:r>
          </w:p>
          <w:p w:rsidR="003D13BD" w:rsidRPr="00D06229" w:rsidRDefault="00133DA4" w:rsidP="004F7A81">
            <w:pPr>
              <w:spacing w:before="0" w:line="240" w:lineRule="auto"/>
              <w:jc w:val="left"/>
              <w:rPr>
                <w:sz w:val="20"/>
              </w:rPr>
            </w:pPr>
            <w:r>
              <w:rPr>
                <w:sz w:val="20"/>
              </w:rPr>
              <w:t xml:space="preserve">   </w:t>
            </w:r>
            <w:r w:rsidR="003D13BD" w:rsidRPr="00D06229">
              <w:rPr>
                <w:sz w:val="20"/>
              </w:rPr>
              <w:t>Employment in NACE C - Manufacturing [nama_r_e3em95r2]</w:t>
            </w:r>
          </w:p>
        </w:tc>
      </w:tr>
      <w:tr w:rsidR="003D13BD" w:rsidRPr="00D06229" w:rsidTr="00133DA4">
        <w:trPr>
          <w:trHeight w:val="397"/>
        </w:trPr>
        <w:tc>
          <w:tcPr>
            <w:cnfStyle w:val="001000000000" w:firstRow="0" w:lastRow="0" w:firstColumn="1" w:lastColumn="0" w:oddVBand="0" w:evenVBand="0" w:oddHBand="0" w:evenHBand="0" w:firstRowFirstColumn="0" w:firstRowLastColumn="0" w:lastRowFirstColumn="0" w:lastRowLastColumn="0"/>
            <w:tcW w:w="4999" w:type="pct"/>
            <w:tcBorders>
              <w:top w:val="single" w:sz="4" w:space="0" w:color="auto"/>
              <w:bottom w:val="single" w:sz="4" w:space="0" w:color="auto"/>
              <w:right w:val="nil"/>
            </w:tcBorders>
            <w:vAlign w:val="center"/>
          </w:tcPr>
          <w:p w:rsidR="003D13BD" w:rsidRPr="00D06229" w:rsidRDefault="003D13BD" w:rsidP="004F7A81">
            <w:pPr>
              <w:spacing w:before="0" w:line="240" w:lineRule="auto"/>
              <w:jc w:val="left"/>
              <w:rPr>
                <w:sz w:val="20"/>
              </w:rPr>
            </w:pPr>
            <w:r w:rsidRPr="00D06229">
              <w:rPr>
                <w:b/>
                <w:sz w:val="20"/>
              </w:rPr>
              <w:t>German Census 2011</w:t>
            </w:r>
          </w:p>
        </w:tc>
      </w:tr>
      <w:tr w:rsidR="003D13BD" w:rsidRPr="00133DA4" w:rsidTr="00133DA4">
        <w:trPr>
          <w:trHeight w:val="397"/>
        </w:trPr>
        <w:tc>
          <w:tcPr>
            <w:cnfStyle w:val="001000000000" w:firstRow="0" w:lastRow="0" w:firstColumn="1" w:lastColumn="0" w:oddVBand="0" w:evenVBand="0" w:oddHBand="0" w:evenHBand="0" w:firstRowFirstColumn="0" w:firstRowLastColumn="0" w:lastRowFirstColumn="0" w:lastRowLastColumn="0"/>
            <w:tcW w:w="4999" w:type="pct"/>
            <w:tcBorders>
              <w:top w:val="single" w:sz="4" w:space="0" w:color="auto"/>
              <w:bottom w:val="single" w:sz="4" w:space="0" w:color="auto"/>
              <w:right w:val="nil"/>
            </w:tcBorders>
            <w:vAlign w:val="center"/>
          </w:tcPr>
          <w:p w:rsidR="003D13BD" w:rsidRPr="00133DA4" w:rsidRDefault="003D13BD" w:rsidP="004F7A81">
            <w:pPr>
              <w:spacing w:before="0" w:line="240" w:lineRule="auto"/>
              <w:jc w:val="left"/>
              <w:rPr>
                <w:sz w:val="20"/>
              </w:rPr>
            </w:pPr>
            <w:r w:rsidRPr="00133DA4">
              <w:rPr>
                <w:sz w:val="20"/>
              </w:rPr>
              <w:t>Housing characteristics</w:t>
            </w:r>
          </w:p>
        </w:tc>
      </w:tr>
      <w:tr w:rsidR="003D13BD" w:rsidRPr="00D06229" w:rsidTr="00133DA4">
        <w:trPr>
          <w:trHeight w:val="726"/>
        </w:trPr>
        <w:tc>
          <w:tcPr>
            <w:cnfStyle w:val="001000000000" w:firstRow="0" w:lastRow="0" w:firstColumn="1" w:lastColumn="0" w:oddVBand="0" w:evenVBand="0" w:oddHBand="0" w:evenHBand="0" w:firstRowFirstColumn="0" w:firstRowLastColumn="0" w:lastRowFirstColumn="0" w:lastRowLastColumn="0"/>
            <w:tcW w:w="4999" w:type="pct"/>
            <w:tcBorders>
              <w:top w:val="single" w:sz="4" w:space="0" w:color="auto"/>
              <w:bottom w:val="single" w:sz="4" w:space="0" w:color="auto"/>
              <w:right w:val="nil"/>
            </w:tcBorders>
            <w:vAlign w:val="center"/>
          </w:tcPr>
          <w:p w:rsidR="003D13BD" w:rsidRPr="00D06229" w:rsidRDefault="00133DA4" w:rsidP="004F7A81">
            <w:pPr>
              <w:spacing w:before="0" w:line="240" w:lineRule="auto"/>
              <w:jc w:val="left"/>
              <w:rPr>
                <w:sz w:val="20"/>
              </w:rPr>
            </w:pPr>
            <w:r>
              <w:rPr>
                <w:sz w:val="20"/>
              </w:rPr>
              <w:t xml:space="preserve">   </w:t>
            </w:r>
            <w:r w:rsidR="003D13BD" w:rsidRPr="00D06229">
              <w:rPr>
                <w:sz w:val="20"/>
              </w:rPr>
              <w:t>2 dwellings in the building</w:t>
            </w:r>
          </w:p>
          <w:p w:rsidR="003D13BD" w:rsidRPr="00D06229" w:rsidRDefault="00133DA4" w:rsidP="004F7A81">
            <w:pPr>
              <w:spacing w:before="0" w:line="240" w:lineRule="auto"/>
              <w:jc w:val="left"/>
              <w:rPr>
                <w:sz w:val="20"/>
              </w:rPr>
            </w:pPr>
            <w:r>
              <w:rPr>
                <w:sz w:val="20"/>
              </w:rPr>
              <w:t xml:space="preserve">   </w:t>
            </w:r>
            <w:r w:rsidR="003D13BD" w:rsidRPr="00D06229">
              <w:rPr>
                <w:sz w:val="20"/>
              </w:rPr>
              <w:t>Detached house, Semi-detached house, Terraced house, Other type of building</w:t>
            </w:r>
          </w:p>
        </w:tc>
      </w:tr>
      <w:tr w:rsidR="003D13BD" w:rsidRPr="00133DA4" w:rsidTr="00133DA4">
        <w:trPr>
          <w:trHeight w:val="397"/>
        </w:trPr>
        <w:tc>
          <w:tcPr>
            <w:cnfStyle w:val="001000000000" w:firstRow="0" w:lastRow="0" w:firstColumn="1" w:lastColumn="0" w:oddVBand="0" w:evenVBand="0" w:oddHBand="0" w:evenHBand="0" w:firstRowFirstColumn="0" w:firstRowLastColumn="0" w:lastRowFirstColumn="0" w:lastRowLastColumn="0"/>
            <w:tcW w:w="4999" w:type="pct"/>
            <w:tcBorders>
              <w:top w:val="single" w:sz="4" w:space="0" w:color="auto"/>
              <w:bottom w:val="single" w:sz="4" w:space="0" w:color="auto"/>
              <w:right w:val="nil"/>
            </w:tcBorders>
            <w:vAlign w:val="center"/>
          </w:tcPr>
          <w:p w:rsidR="003D13BD" w:rsidRPr="00133DA4" w:rsidRDefault="003D13BD" w:rsidP="004F7A81">
            <w:pPr>
              <w:spacing w:before="0" w:line="240" w:lineRule="auto"/>
              <w:jc w:val="left"/>
              <w:rPr>
                <w:sz w:val="20"/>
              </w:rPr>
            </w:pPr>
            <w:r w:rsidRPr="00133DA4">
              <w:rPr>
                <w:sz w:val="20"/>
              </w:rPr>
              <w:t>Socio- economic characteristics</w:t>
            </w:r>
          </w:p>
        </w:tc>
      </w:tr>
      <w:tr w:rsidR="003D13BD" w:rsidRPr="00D06229" w:rsidTr="00133DA4">
        <w:trPr>
          <w:trHeight w:val="467"/>
        </w:trPr>
        <w:tc>
          <w:tcPr>
            <w:cnfStyle w:val="001000000000" w:firstRow="0" w:lastRow="0" w:firstColumn="1" w:lastColumn="0" w:oddVBand="0" w:evenVBand="0" w:oddHBand="0" w:evenHBand="0" w:firstRowFirstColumn="0" w:firstRowLastColumn="0" w:lastRowFirstColumn="0" w:lastRowLastColumn="0"/>
            <w:tcW w:w="4999" w:type="pct"/>
            <w:tcBorders>
              <w:top w:val="single" w:sz="4" w:space="0" w:color="auto"/>
              <w:bottom w:val="single" w:sz="4" w:space="0" w:color="auto"/>
              <w:right w:val="nil"/>
            </w:tcBorders>
            <w:vAlign w:val="center"/>
          </w:tcPr>
          <w:p w:rsidR="003D13BD" w:rsidRPr="00D06229" w:rsidRDefault="00133DA4" w:rsidP="004F7A81">
            <w:pPr>
              <w:spacing w:before="0" w:line="240" w:lineRule="auto"/>
              <w:jc w:val="left"/>
              <w:rPr>
                <w:sz w:val="20"/>
              </w:rPr>
            </w:pPr>
            <w:r>
              <w:rPr>
                <w:sz w:val="20"/>
              </w:rPr>
              <w:t xml:space="preserve">   </w:t>
            </w:r>
            <w:r w:rsidR="003D13BD" w:rsidRPr="00D06229">
              <w:rPr>
                <w:sz w:val="20"/>
              </w:rPr>
              <w:t>Persons in employment, Unemployed persons</w:t>
            </w:r>
          </w:p>
        </w:tc>
      </w:tr>
      <w:tr w:rsidR="003D13BD" w:rsidRPr="00D06229" w:rsidTr="00133DA4">
        <w:trPr>
          <w:trHeight w:val="397"/>
        </w:trPr>
        <w:tc>
          <w:tcPr>
            <w:cnfStyle w:val="001000000000" w:firstRow="0" w:lastRow="0" w:firstColumn="1" w:lastColumn="0" w:oddVBand="0" w:evenVBand="0" w:oddHBand="0" w:evenHBand="0" w:firstRowFirstColumn="0" w:firstRowLastColumn="0" w:lastRowFirstColumn="0" w:lastRowLastColumn="0"/>
            <w:tcW w:w="4999" w:type="pct"/>
            <w:tcBorders>
              <w:top w:val="single" w:sz="4" w:space="0" w:color="auto"/>
              <w:bottom w:val="single" w:sz="4" w:space="0" w:color="auto"/>
              <w:right w:val="nil"/>
            </w:tcBorders>
            <w:vAlign w:val="center"/>
          </w:tcPr>
          <w:p w:rsidR="003D13BD" w:rsidRPr="00D06229" w:rsidRDefault="003D13BD" w:rsidP="004F7A81">
            <w:pPr>
              <w:spacing w:before="0" w:line="240" w:lineRule="auto"/>
              <w:jc w:val="left"/>
              <w:rPr>
                <w:sz w:val="20"/>
              </w:rPr>
            </w:pPr>
            <w:r w:rsidRPr="00D06229">
              <w:rPr>
                <w:b/>
                <w:sz w:val="20"/>
              </w:rPr>
              <w:t>German Microcensus 2011</w:t>
            </w:r>
          </w:p>
        </w:tc>
      </w:tr>
      <w:tr w:rsidR="003D13BD" w:rsidRPr="00133DA4" w:rsidTr="00133DA4">
        <w:trPr>
          <w:trHeight w:val="397"/>
        </w:trPr>
        <w:tc>
          <w:tcPr>
            <w:cnfStyle w:val="001000000000" w:firstRow="0" w:lastRow="0" w:firstColumn="1" w:lastColumn="0" w:oddVBand="0" w:evenVBand="0" w:oddHBand="0" w:evenHBand="0" w:firstRowFirstColumn="0" w:firstRowLastColumn="0" w:lastRowFirstColumn="0" w:lastRowLastColumn="0"/>
            <w:tcW w:w="4999" w:type="pct"/>
            <w:tcBorders>
              <w:top w:val="single" w:sz="4" w:space="0" w:color="auto"/>
              <w:bottom w:val="single" w:sz="4" w:space="0" w:color="auto"/>
              <w:right w:val="nil"/>
            </w:tcBorders>
            <w:vAlign w:val="center"/>
          </w:tcPr>
          <w:p w:rsidR="003D13BD" w:rsidRPr="00133DA4" w:rsidRDefault="003D13BD" w:rsidP="004F7A81">
            <w:pPr>
              <w:spacing w:before="0" w:line="240" w:lineRule="auto"/>
              <w:jc w:val="left"/>
              <w:rPr>
                <w:sz w:val="20"/>
              </w:rPr>
            </w:pPr>
            <w:r w:rsidRPr="00133DA4">
              <w:rPr>
                <w:sz w:val="20"/>
              </w:rPr>
              <w:t>Socio- economic characteristics</w:t>
            </w:r>
          </w:p>
        </w:tc>
      </w:tr>
      <w:tr w:rsidR="003D13BD" w:rsidRPr="00D06229" w:rsidTr="00133DA4">
        <w:trPr>
          <w:trHeight w:val="397"/>
        </w:trPr>
        <w:tc>
          <w:tcPr>
            <w:cnfStyle w:val="001000000000" w:firstRow="0" w:lastRow="0" w:firstColumn="1" w:lastColumn="0" w:oddVBand="0" w:evenVBand="0" w:oddHBand="0" w:evenHBand="0" w:firstRowFirstColumn="0" w:firstRowLastColumn="0" w:lastRowFirstColumn="0" w:lastRowLastColumn="0"/>
            <w:tcW w:w="5000" w:type="pct"/>
            <w:tcBorders>
              <w:top w:val="single" w:sz="4" w:space="0" w:color="auto"/>
              <w:right w:val="nil"/>
            </w:tcBorders>
            <w:vAlign w:val="center"/>
          </w:tcPr>
          <w:p w:rsidR="003D13BD" w:rsidRPr="00D06229" w:rsidRDefault="00133DA4" w:rsidP="004F7A81">
            <w:pPr>
              <w:spacing w:before="0" w:line="240" w:lineRule="auto"/>
              <w:jc w:val="left"/>
              <w:rPr>
                <w:sz w:val="20"/>
              </w:rPr>
            </w:pPr>
            <w:r>
              <w:rPr>
                <w:sz w:val="20"/>
              </w:rPr>
              <w:t xml:space="preserve">   </w:t>
            </w:r>
            <w:r w:rsidR="003D13BD" w:rsidRPr="00D06229">
              <w:rPr>
                <w:sz w:val="20"/>
              </w:rPr>
              <w:t>At risk of poverty rate (NUTS 2)</w:t>
            </w:r>
          </w:p>
        </w:tc>
      </w:tr>
    </w:tbl>
    <w:p w:rsidR="00A16958" w:rsidRDefault="00A16958" w:rsidP="00A16958">
      <w:pPr>
        <w:spacing w:before="0" w:line="276" w:lineRule="auto"/>
        <w:rPr>
          <w:b/>
        </w:rPr>
      </w:pPr>
    </w:p>
    <w:p w:rsidR="003D13BD" w:rsidRDefault="003D13BD" w:rsidP="00A16958">
      <w:pPr>
        <w:spacing w:before="0" w:line="276" w:lineRule="auto"/>
      </w:pPr>
      <w:r w:rsidRPr="0018643B">
        <w:rPr>
          <w:b/>
        </w:rPr>
        <w:t>Before or after Housing Costs?</w:t>
      </w:r>
      <w:r>
        <w:t xml:space="preserve"> Before</w:t>
      </w:r>
    </w:p>
    <w:p w:rsidR="003D13BD" w:rsidRDefault="003D13BD" w:rsidP="00A16958">
      <w:pPr>
        <w:spacing w:before="0" w:line="276" w:lineRule="auto"/>
      </w:pPr>
      <w:r w:rsidRPr="00CF1CB1">
        <w:rPr>
          <w:b/>
        </w:rPr>
        <w:t>NUTS Level of estimates:</w:t>
      </w:r>
      <w:r>
        <w:t xml:space="preserve"> NUTS 3</w:t>
      </w:r>
    </w:p>
    <w:p w:rsidR="003D13BD" w:rsidRDefault="003D13BD" w:rsidP="00A16958">
      <w:pPr>
        <w:spacing w:before="0" w:line="276" w:lineRule="auto"/>
      </w:pPr>
      <w:r w:rsidRPr="00CF1CB1">
        <w:rPr>
          <w:b/>
        </w:rPr>
        <w:t xml:space="preserve">Adjusted to agree with Eurostat published </w:t>
      </w:r>
      <w:r w:rsidR="008632AA">
        <w:rPr>
          <w:b/>
        </w:rPr>
        <w:t>AROP</w:t>
      </w:r>
      <w:r w:rsidRPr="00CF1CB1">
        <w:rPr>
          <w:b/>
        </w:rPr>
        <w:t xml:space="preserve"> rates?</w:t>
      </w:r>
      <w:r w:rsidR="004F7A81">
        <w:t xml:space="preserve"> No</w:t>
      </w:r>
    </w:p>
    <w:p w:rsidR="003D13BD" w:rsidRDefault="004F7A81" w:rsidP="00A16958">
      <w:pPr>
        <w:spacing w:before="0" w:line="276" w:lineRule="auto"/>
        <w:rPr>
          <w:color w:val="000000" w:themeColor="text1"/>
        </w:rPr>
      </w:pPr>
      <w:r>
        <w:rPr>
          <w:b/>
        </w:rPr>
        <w:lastRenderedPageBreak/>
        <w:t xml:space="preserve">Comments: </w:t>
      </w:r>
      <w:r w:rsidR="003D13BD" w:rsidRPr="004F7A81">
        <w:rPr>
          <w:color w:val="000000" w:themeColor="text1"/>
        </w:rPr>
        <w:t xml:space="preserve">German Microcensus provides a 1% subsample of the population. The System of social reporting in official statistics in Germany calculates </w:t>
      </w:r>
      <w:r w:rsidR="003D13BD" w:rsidRPr="004F7A81">
        <w:rPr>
          <w:i/>
          <w:color w:val="000000" w:themeColor="text1"/>
        </w:rPr>
        <w:t>At risk of poverty rates</w:t>
      </w:r>
      <w:r w:rsidR="003D13BD" w:rsidRPr="004F7A81">
        <w:rPr>
          <w:color w:val="000000" w:themeColor="text1"/>
        </w:rPr>
        <w:t xml:space="preserve"> on NUTS 2 level based on the German Microcensus. The model uses calculated variables from Eurostat database and German Census 2011 for a linear regression model that provides the estimators for NUTS 3 level.</w:t>
      </w:r>
    </w:p>
    <w:p w:rsidR="00D06229" w:rsidRDefault="00D06229" w:rsidP="00A16958">
      <w:pPr>
        <w:spacing w:before="0" w:line="276" w:lineRule="auto"/>
        <w:rPr>
          <w:b/>
        </w:rPr>
      </w:pPr>
      <w:r>
        <w:rPr>
          <w:b/>
        </w:rPr>
        <w:br w:type="page"/>
      </w:r>
    </w:p>
    <w:p w:rsidR="00D06229" w:rsidRPr="00152E8C" w:rsidRDefault="00D06229" w:rsidP="00A16958">
      <w:pPr>
        <w:pStyle w:val="Default"/>
        <w:spacing w:line="276" w:lineRule="auto"/>
        <w:jc w:val="both"/>
        <w:rPr>
          <w:rFonts w:ascii="Arial" w:hAnsi="Arial" w:cs="Arial"/>
          <w:color w:val="000000" w:themeColor="text1"/>
          <w:sz w:val="22"/>
          <w:szCs w:val="22"/>
          <w:lang w:val="en-US"/>
        </w:rPr>
      </w:pPr>
      <w:r w:rsidRPr="00152E8C">
        <w:rPr>
          <w:rFonts w:ascii="Arial" w:hAnsi="Arial" w:cs="Arial"/>
          <w:b/>
          <w:bCs/>
          <w:color w:val="000000" w:themeColor="text1"/>
          <w:sz w:val="22"/>
          <w:szCs w:val="22"/>
          <w:lang w:val="en-US"/>
        </w:rPr>
        <w:lastRenderedPageBreak/>
        <w:t xml:space="preserve">Country: </w:t>
      </w:r>
      <w:r w:rsidRPr="00152E8C">
        <w:rPr>
          <w:rFonts w:ascii="Arial" w:hAnsi="Arial" w:cs="Arial"/>
          <w:color w:val="000000" w:themeColor="text1"/>
          <w:sz w:val="22"/>
          <w:szCs w:val="22"/>
          <w:lang w:val="en-US"/>
        </w:rPr>
        <w:t xml:space="preserve">Greece </w:t>
      </w:r>
    </w:p>
    <w:p w:rsidR="00A16958" w:rsidRDefault="00A16958" w:rsidP="00A16958">
      <w:pPr>
        <w:pStyle w:val="Default"/>
        <w:spacing w:line="276" w:lineRule="auto"/>
        <w:jc w:val="both"/>
        <w:rPr>
          <w:rFonts w:ascii="Arial" w:hAnsi="Arial" w:cs="Arial"/>
          <w:b/>
          <w:bCs/>
          <w:color w:val="000000" w:themeColor="text1"/>
          <w:sz w:val="22"/>
          <w:szCs w:val="22"/>
          <w:lang w:val="en-US"/>
        </w:rPr>
      </w:pPr>
    </w:p>
    <w:p w:rsidR="00D06229" w:rsidRPr="00152E8C" w:rsidRDefault="00D06229" w:rsidP="00A16958">
      <w:pPr>
        <w:pStyle w:val="Default"/>
        <w:spacing w:line="276" w:lineRule="auto"/>
        <w:jc w:val="both"/>
        <w:rPr>
          <w:rFonts w:ascii="Arial" w:hAnsi="Arial" w:cs="Arial"/>
          <w:color w:val="000000" w:themeColor="text1"/>
          <w:sz w:val="22"/>
          <w:szCs w:val="22"/>
          <w:lang w:val="en-US"/>
        </w:rPr>
      </w:pPr>
      <w:r w:rsidRPr="00152E8C">
        <w:rPr>
          <w:rFonts w:ascii="Arial" w:hAnsi="Arial" w:cs="Arial"/>
          <w:b/>
          <w:bCs/>
          <w:color w:val="000000" w:themeColor="text1"/>
          <w:sz w:val="22"/>
          <w:szCs w:val="22"/>
          <w:lang w:val="en-US"/>
        </w:rPr>
        <w:t>Partner responsible</w:t>
      </w:r>
      <w:r w:rsidRPr="00152E8C">
        <w:rPr>
          <w:rFonts w:ascii="Arial" w:hAnsi="Arial" w:cs="Arial"/>
          <w:color w:val="000000" w:themeColor="text1"/>
          <w:sz w:val="22"/>
          <w:szCs w:val="22"/>
          <w:lang w:val="en-US"/>
        </w:rPr>
        <w:t xml:space="preserve">: </w:t>
      </w:r>
      <w:r w:rsidRPr="00152E8C">
        <w:rPr>
          <w:rStyle w:val="st"/>
          <w:rFonts w:ascii="Arial" w:hAnsi="Arial" w:cs="Arial"/>
          <w:color w:val="000000" w:themeColor="text1"/>
          <w:sz w:val="22"/>
          <w:szCs w:val="22"/>
          <w:lang w:val="en-US"/>
        </w:rPr>
        <w:t>National Centre for Social Research (</w:t>
      </w:r>
      <w:r w:rsidRPr="00152E8C">
        <w:rPr>
          <w:rStyle w:val="Korostus"/>
          <w:rFonts w:ascii="Arial" w:hAnsi="Arial" w:cs="Arial"/>
          <w:color w:val="000000" w:themeColor="text1"/>
          <w:sz w:val="22"/>
          <w:szCs w:val="22"/>
          <w:lang w:val="en-US"/>
        </w:rPr>
        <w:t>EKKE</w:t>
      </w:r>
      <w:r w:rsidRPr="00152E8C">
        <w:rPr>
          <w:rStyle w:val="st"/>
          <w:rFonts w:ascii="Arial" w:hAnsi="Arial" w:cs="Arial"/>
          <w:color w:val="000000" w:themeColor="text1"/>
          <w:sz w:val="22"/>
          <w:szCs w:val="22"/>
          <w:lang w:val="en-US"/>
        </w:rPr>
        <w:t>)</w:t>
      </w:r>
      <w:r w:rsidRPr="00152E8C">
        <w:rPr>
          <w:rFonts w:ascii="Arial" w:hAnsi="Arial" w:cs="Arial"/>
          <w:color w:val="000000" w:themeColor="text1"/>
          <w:sz w:val="22"/>
          <w:szCs w:val="22"/>
          <w:lang w:val="en-US"/>
        </w:rPr>
        <w:t xml:space="preserve">, Greece </w:t>
      </w:r>
    </w:p>
    <w:p w:rsidR="00D06229" w:rsidRPr="00D06229" w:rsidRDefault="00D06229" w:rsidP="00A16958">
      <w:pPr>
        <w:pStyle w:val="Default"/>
        <w:spacing w:line="276" w:lineRule="auto"/>
        <w:jc w:val="both"/>
        <w:rPr>
          <w:rFonts w:ascii="Arial" w:hAnsi="Arial" w:cs="Arial"/>
          <w:color w:val="001E5E"/>
          <w:sz w:val="22"/>
          <w:szCs w:val="22"/>
          <w:lang w:val="en-US"/>
        </w:rPr>
      </w:pPr>
      <w:r w:rsidRPr="00D06229">
        <w:rPr>
          <w:rFonts w:ascii="Arial" w:hAnsi="Arial" w:cs="Arial"/>
          <w:b/>
          <w:bCs/>
          <w:sz w:val="22"/>
          <w:szCs w:val="22"/>
          <w:lang w:val="en-US"/>
        </w:rPr>
        <w:t xml:space="preserve">Contact Person: </w:t>
      </w:r>
      <w:r w:rsidRPr="00152E8C">
        <w:rPr>
          <w:rFonts w:ascii="Arial" w:hAnsi="Arial" w:cs="Arial"/>
          <w:color w:val="000000" w:themeColor="text1"/>
          <w:sz w:val="22"/>
          <w:szCs w:val="22"/>
          <w:lang w:val="en-US"/>
        </w:rPr>
        <w:t xml:space="preserve">Panagiotis Artelaris </w:t>
      </w:r>
      <w:r w:rsidRPr="00D06229">
        <w:rPr>
          <w:rFonts w:ascii="Arial" w:hAnsi="Arial" w:cs="Arial"/>
          <w:color w:val="001E5E"/>
          <w:sz w:val="22"/>
          <w:szCs w:val="22"/>
          <w:lang w:val="en-US"/>
        </w:rPr>
        <w:t>(</w:t>
      </w:r>
      <w:r w:rsidRPr="00D06229">
        <w:rPr>
          <w:rFonts w:ascii="Arial" w:hAnsi="Arial" w:cs="Arial"/>
          <w:color w:val="0000FF"/>
          <w:sz w:val="22"/>
          <w:szCs w:val="22"/>
          <w:lang w:val="en-US"/>
        </w:rPr>
        <w:t>partelar@hua.gr</w:t>
      </w:r>
      <w:r w:rsidRPr="00D06229">
        <w:rPr>
          <w:rFonts w:ascii="Arial" w:hAnsi="Arial" w:cs="Arial"/>
          <w:color w:val="001E5E"/>
          <w:sz w:val="22"/>
          <w:szCs w:val="22"/>
          <w:lang w:val="en-US"/>
        </w:rPr>
        <w:t xml:space="preserve">) </w:t>
      </w:r>
    </w:p>
    <w:p w:rsidR="00D06229" w:rsidRPr="00152E8C" w:rsidRDefault="00D06229" w:rsidP="00A16958">
      <w:pPr>
        <w:pStyle w:val="Default"/>
        <w:spacing w:line="276" w:lineRule="auto"/>
        <w:jc w:val="both"/>
        <w:rPr>
          <w:rFonts w:ascii="Arial" w:hAnsi="Arial" w:cs="Arial"/>
          <w:color w:val="000000" w:themeColor="text1"/>
          <w:sz w:val="22"/>
          <w:szCs w:val="22"/>
          <w:lang w:val="en-US"/>
        </w:rPr>
      </w:pPr>
      <w:r w:rsidRPr="00152E8C">
        <w:rPr>
          <w:rFonts w:ascii="Arial" w:hAnsi="Arial" w:cs="Arial"/>
          <w:b/>
          <w:bCs/>
          <w:color w:val="000000" w:themeColor="text1"/>
          <w:sz w:val="22"/>
          <w:szCs w:val="22"/>
          <w:lang w:val="en-US"/>
        </w:rPr>
        <w:t xml:space="preserve">Date: </w:t>
      </w:r>
      <w:r w:rsidRPr="00152E8C">
        <w:rPr>
          <w:rFonts w:ascii="Arial" w:hAnsi="Arial" w:cs="Arial"/>
          <w:color w:val="000000" w:themeColor="text1"/>
          <w:sz w:val="22"/>
          <w:szCs w:val="22"/>
          <w:lang w:val="en-US"/>
        </w:rPr>
        <w:t xml:space="preserve">07/03/14 </w:t>
      </w:r>
    </w:p>
    <w:p w:rsidR="00D06229" w:rsidRPr="00152E8C" w:rsidRDefault="00D06229" w:rsidP="00A16958">
      <w:pPr>
        <w:pStyle w:val="Default"/>
        <w:spacing w:line="276" w:lineRule="auto"/>
        <w:jc w:val="both"/>
        <w:rPr>
          <w:rFonts w:ascii="Arial" w:hAnsi="Arial" w:cs="Arial"/>
          <w:color w:val="000000" w:themeColor="text1"/>
          <w:sz w:val="22"/>
          <w:szCs w:val="22"/>
          <w:lang w:val="en-US"/>
        </w:rPr>
      </w:pPr>
      <w:r w:rsidRPr="00152E8C">
        <w:rPr>
          <w:rFonts w:ascii="Arial" w:hAnsi="Arial" w:cs="Arial"/>
          <w:b/>
          <w:bCs/>
          <w:color w:val="000000" w:themeColor="text1"/>
          <w:sz w:val="22"/>
          <w:szCs w:val="22"/>
          <w:lang w:val="en-US"/>
        </w:rPr>
        <w:t xml:space="preserve">Methodology Used: </w:t>
      </w:r>
      <w:r w:rsidRPr="00152E8C">
        <w:rPr>
          <w:rFonts w:ascii="Arial" w:hAnsi="Arial" w:cs="Arial"/>
          <w:color w:val="000000" w:themeColor="text1"/>
          <w:sz w:val="22"/>
          <w:szCs w:val="22"/>
          <w:lang w:val="en-US"/>
        </w:rPr>
        <w:t>World Bank PovMap</w:t>
      </w:r>
    </w:p>
    <w:p w:rsidR="00D06229" w:rsidRPr="00152E8C" w:rsidRDefault="00D06229" w:rsidP="00A16958">
      <w:pPr>
        <w:spacing w:before="0" w:line="276" w:lineRule="auto"/>
        <w:rPr>
          <w:rFonts w:cs="Arial"/>
          <w:color w:val="000000" w:themeColor="text1"/>
          <w:lang w:val="en-US"/>
        </w:rPr>
      </w:pPr>
      <w:r w:rsidRPr="00152E8C">
        <w:rPr>
          <w:rFonts w:cs="Arial"/>
          <w:b/>
          <w:color w:val="000000" w:themeColor="text1"/>
          <w:lang w:val="en-US"/>
        </w:rPr>
        <w:t xml:space="preserve">Constraints on Choice of Methodology: </w:t>
      </w:r>
      <w:r w:rsidRPr="00152E8C">
        <w:rPr>
          <w:rFonts w:cs="Arial"/>
          <w:color w:val="000000" w:themeColor="text1"/>
          <w:lang w:val="en-US"/>
        </w:rPr>
        <w:t xml:space="preserve">World Bank PovMap was possible due to </w:t>
      </w:r>
      <w:r w:rsidR="00152E8C">
        <w:rPr>
          <w:rFonts w:cs="Arial"/>
          <w:color w:val="000000" w:themeColor="text1"/>
          <w:lang w:val="en-US"/>
        </w:rPr>
        <w:t xml:space="preserve">the </w:t>
      </w:r>
      <w:r w:rsidRPr="00152E8C">
        <w:rPr>
          <w:rFonts w:cs="Arial"/>
          <w:color w:val="000000" w:themeColor="text1"/>
          <w:lang w:val="en-US"/>
        </w:rPr>
        <w:t xml:space="preserve">availability of </w:t>
      </w:r>
      <w:r w:rsidR="00152E8C">
        <w:rPr>
          <w:rFonts w:cs="Arial"/>
          <w:color w:val="000000" w:themeColor="text1"/>
          <w:lang w:val="en-US"/>
        </w:rPr>
        <w:t>EU-</w:t>
      </w:r>
      <w:r w:rsidRPr="00152E8C">
        <w:rPr>
          <w:rFonts w:cs="Arial"/>
          <w:color w:val="000000" w:themeColor="text1"/>
          <w:lang w:val="en-US"/>
        </w:rPr>
        <w:t xml:space="preserve">SILC data (including DB040 at NUTS 1) and Census microdata with sufficient matching variables. </w:t>
      </w:r>
      <w:r w:rsidR="00152E8C">
        <w:rPr>
          <w:rFonts w:cs="Arial"/>
          <w:color w:val="000000" w:themeColor="text1"/>
          <w:lang w:val="en-US"/>
        </w:rPr>
        <w:t>Data for 2001</w:t>
      </w:r>
      <w:r w:rsidRPr="00152E8C">
        <w:rPr>
          <w:rFonts w:cs="Arial"/>
          <w:color w:val="000000" w:themeColor="text1"/>
          <w:lang w:val="en-US"/>
        </w:rPr>
        <w:t xml:space="preserve"> </w:t>
      </w:r>
      <w:r w:rsidR="00152E8C">
        <w:rPr>
          <w:rFonts w:cs="Arial"/>
          <w:color w:val="000000" w:themeColor="text1"/>
          <w:lang w:val="en-US"/>
        </w:rPr>
        <w:t>were</w:t>
      </w:r>
      <w:r w:rsidRPr="00152E8C">
        <w:rPr>
          <w:rFonts w:cs="Arial"/>
          <w:color w:val="000000" w:themeColor="text1"/>
          <w:lang w:val="en-US"/>
        </w:rPr>
        <w:t xml:space="preserve"> used because 2011 Census microdata was not available.</w:t>
      </w:r>
    </w:p>
    <w:p w:rsidR="00D06229" w:rsidRPr="00152E8C" w:rsidRDefault="00D06229" w:rsidP="00A16958">
      <w:pPr>
        <w:spacing w:before="0" w:line="276" w:lineRule="auto"/>
        <w:jc w:val="left"/>
        <w:rPr>
          <w:rFonts w:cs="Arial"/>
          <w:color w:val="000000" w:themeColor="text1"/>
          <w:lang w:val="en-US"/>
        </w:rPr>
      </w:pPr>
      <w:r w:rsidRPr="00152E8C">
        <w:rPr>
          <w:rFonts w:cs="Arial"/>
          <w:b/>
          <w:color w:val="000000" w:themeColor="text1"/>
          <w:lang w:val="en-US"/>
        </w:rPr>
        <w:t xml:space="preserve">Source(s) of raw data: </w:t>
      </w:r>
      <w:r w:rsidRPr="00152E8C">
        <w:rPr>
          <w:rFonts w:cs="Arial"/>
          <w:color w:val="000000" w:themeColor="text1"/>
          <w:lang w:val="en-US"/>
        </w:rPr>
        <w:t xml:space="preserve"> </w:t>
      </w:r>
      <w:r w:rsidR="00152E8C" w:rsidRPr="00152E8C">
        <w:rPr>
          <w:rFonts w:cs="Arial"/>
          <w:color w:val="000000" w:themeColor="text1"/>
          <w:lang w:val="en-US"/>
        </w:rPr>
        <w:t>Greek Census 2001: available from EL.STAT.</w:t>
      </w:r>
      <w:r w:rsidR="00152E8C">
        <w:rPr>
          <w:rFonts w:cs="Arial"/>
          <w:color w:val="000000" w:themeColor="text1"/>
          <w:lang w:val="en-US"/>
        </w:rPr>
        <w:t xml:space="preserve"> </w:t>
      </w:r>
      <w:r w:rsidRPr="00152E8C">
        <w:rPr>
          <w:rFonts w:cs="Arial"/>
          <w:color w:val="000000" w:themeColor="text1"/>
          <w:lang w:val="en-US"/>
        </w:rPr>
        <w:t xml:space="preserve">European Union Statistics on Income and Living Conditions (EU SILC), available from: </w:t>
      </w:r>
      <w:hyperlink r:id="rId79" w:history="1">
        <w:r w:rsidR="00152E8C" w:rsidRPr="00C53EC4">
          <w:rPr>
            <w:rStyle w:val="Hyperlinkki"/>
            <w:rFonts w:cs="Arial"/>
            <w:lang w:val="en-US"/>
          </w:rPr>
          <w:t>http://epp.eurostat.ec.europa.eu/portal/page/portal/microdata/eu_silc</w:t>
        </w:r>
      </w:hyperlink>
      <w:r w:rsidRPr="00D06229">
        <w:rPr>
          <w:rFonts w:cs="Arial"/>
          <w:lang w:val="en-US"/>
        </w:rPr>
        <w:t>;</w:t>
      </w:r>
      <w:r w:rsidRPr="00D06229">
        <w:rPr>
          <w:rFonts w:cs="Arial"/>
          <w:color w:val="002060"/>
          <w:lang w:val="en-US"/>
        </w:rPr>
        <w:t xml:space="preserve"> </w:t>
      </w:r>
    </w:p>
    <w:p w:rsidR="00D06229" w:rsidRPr="00152E8C" w:rsidRDefault="00D06229" w:rsidP="00A16958">
      <w:pPr>
        <w:spacing w:before="0" w:line="276" w:lineRule="auto"/>
        <w:rPr>
          <w:rFonts w:cs="Arial"/>
          <w:color w:val="000000" w:themeColor="text1"/>
          <w:lang w:val="en-US"/>
        </w:rPr>
      </w:pPr>
      <w:r w:rsidRPr="00152E8C">
        <w:rPr>
          <w:rFonts w:cs="Arial"/>
          <w:b/>
          <w:color w:val="000000" w:themeColor="text1"/>
          <w:lang w:val="en-US"/>
        </w:rPr>
        <w:t xml:space="preserve">Date(s) of raw data: </w:t>
      </w:r>
      <w:r w:rsidRPr="00152E8C">
        <w:rPr>
          <w:rFonts w:cs="Arial"/>
          <w:color w:val="000000" w:themeColor="text1"/>
          <w:lang w:val="en-US"/>
        </w:rPr>
        <w:t>SILC 2005, Census 2001.</w:t>
      </w:r>
    </w:p>
    <w:p w:rsidR="00D06229" w:rsidRPr="00D06229" w:rsidRDefault="00D06229" w:rsidP="00D06229">
      <w:pPr>
        <w:spacing w:before="240" w:line="240" w:lineRule="auto"/>
      </w:pPr>
      <w:r>
        <w:rPr>
          <w:b/>
        </w:rPr>
        <w:t>Variables used:</w:t>
      </w:r>
    </w:p>
    <w:tbl>
      <w:tblPr>
        <w:tblStyle w:val="TaulukkoPerinteinen1"/>
        <w:tblW w:w="9439" w:type="dxa"/>
        <w:tblLook w:val="04A0" w:firstRow="1" w:lastRow="0" w:firstColumn="1" w:lastColumn="0" w:noHBand="0" w:noVBand="1"/>
      </w:tblPr>
      <w:tblGrid>
        <w:gridCol w:w="6600"/>
        <w:gridCol w:w="2839"/>
      </w:tblGrid>
      <w:tr w:rsidR="00D06229" w:rsidRPr="00D06229" w:rsidTr="00133DA4">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6600" w:type="dxa"/>
            <w:tcBorders>
              <w:bottom w:val="single" w:sz="4" w:space="0" w:color="auto"/>
            </w:tcBorders>
            <w:vAlign w:val="center"/>
          </w:tcPr>
          <w:p w:rsidR="00D06229" w:rsidRPr="00D06229" w:rsidRDefault="00D06229" w:rsidP="00D06229">
            <w:pPr>
              <w:spacing w:line="240" w:lineRule="auto"/>
              <w:contextualSpacing/>
              <w:jc w:val="left"/>
              <w:rPr>
                <w:b/>
                <w:sz w:val="20"/>
              </w:rPr>
            </w:pPr>
            <w:r w:rsidRPr="00D06229">
              <w:rPr>
                <w:b/>
                <w:sz w:val="20"/>
              </w:rPr>
              <w:t>EU-SILC</w:t>
            </w:r>
          </w:p>
        </w:tc>
        <w:tc>
          <w:tcPr>
            <w:tcW w:w="2839" w:type="dxa"/>
            <w:tcBorders>
              <w:bottom w:val="single" w:sz="4" w:space="0" w:color="auto"/>
            </w:tcBorders>
            <w:vAlign w:val="center"/>
          </w:tcPr>
          <w:p w:rsidR="00D06229" w:rsidRPr="00D06229" w:rsidRDefault="00D06229" w:rsidP="00D06229">
            <w:pPr>
              <w:spacing w:line="240" w:lineRule="auto"/>
              <w:contextualSpacing/>
              <w:jc w:val="left"/>
              <w:cnfStyle w:val="100000000000" w:firstRow="1" w:lastRow="0" w:firstColumn="0" w:lastColumn="0" w:oddVBand="0" w:evenVBand="0" w:oddHBand="0" w:evenHBand="0" w:firstRowFirstColumn="0" w:firstRowLastColumn="0" w:lastRowFirstColumn="0" w:lastRowLastColumn="0"/>
              <w:rPr>
                <w:b/>
                <w:sz w:val="20"/>
                <w:lang w:val="en-US"/>
              </w:rPr>
            </w:pPr>
            <w:r w:rsidRPr="00D06229">
              <w:rPr>
                <w:b/>
                <w:sz w:val="20"/>
              </w:rPr>
              <w:t xml:space="preserve">Census 2001 </w:t>
            </w:r>
          </w:p>
        </w:tc>
      </w:tr>
      <w:tr w:rsidR="00D06229" w:rsidRPr="00D06229" w:rsidTr="00133DA4">
        <w:trPr>
          <w:trHeight w:val="312"/>
        </w:trPr>
        <w:tc>
          <w:tcPr>
            <w:cnfStyle w:val="001000000000" w:firstRow="0" w:lastRow="0" w:firstColumn="1" w:lastColumn="0" w:oddVBand="0" w:evenVBand="0" w:oddHBand="0" w:evenHBand="0" w:firstRowFirstColumn="0" w:firstRowLastColumn="0" w:lastRowFirstColumn="0" w:lastRowLastColumn="0"/>
            <w:tcW w:w="9439" w:type="dxa"/>
            <w:gridSpan w:val="2"/>
            <w:tcBorders>
              <w:top w:val="single" w:sz="4" w:space="0" w:color="auto"/>
              <w:bottom w:val="single" w:sz="4" w:space="0" w:color="auto"/>
              <w:right w:val="nil"/>
            </w:tcBorders>
            <w:vAlign w:val="center"/>
          </w:tcPr>
          <w:p w:rsidR="00D06229" w:rsidRPr="00D06229" w:rsidRDefault="00D06229" w:rsidP="00D06229">
            <w:pPr>
              <w:spacing w:line="240" w:lineRule="auto"/>
              <w:contextualSpacing/>
              <w:jc w:val="left"/>
              <w:rPr>
                <w:b/>
                <w:sz w:val="20"/>
              </w:rPr>
            </w:pPr>
            <w:r w:rsidRPr="00D06229">
              <w:rPr>
                <w:b/>
                <w:sz w:val="20"/>
              </w:rPr>
              <w:t>Equivalised disposable income</w:t>
            </w:r>
          </w:p>
        </w:tc>
      </w:tr>
      <w:tr w:rsidR="00D06229" w:rsidRPr="00D06229"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tcBorders>
              <w:top w:val="single" w:sz="4" w:space="0" w:color="auto"/>
            </w:tcBorders>
            <w:vAlign w:val="center"/>
          </w:tcPr>
          <w:p w:rsidR="00D06229" w:rsidRPr="00D06229" w:rsidRDefault="00D06229" w:rsidP="00D06229">
            <w:pPr>
              <w:spacing w:line="240" w:lineRule="auto"/>
              <w:contextualSpacing/>
              <w:jc w:val="left"/>
              <w:rPr>
                <w:sz w:val="20"/>
                <w:lang w:val="en-US"/>
              </w:rPr>
            </w:pPr>
            <w:r w:rsidRPr="00D06229">
              <w:rPr>
                <w:sz w:val="20"/>
                <w:lang w:val="en-US"/>
              </w:rPr>
              <w:t xml:space="preserve">   Before housing costs (HX090 =(HY020*HY025) / HX050)</w:t>
            </w:r>
          </w:p>
        </w:tc>
        <w:tc>
          <w:tcPr>
            <w:tcW w:w="2839" w:type="dxa"/>
            <w:tcBorders>
              <w:top w:val="single" w:sz="4" w:space="0" w:color="auto"/>
            </w:tcBorders>
            <w:vAlign w:val="center"/>
          </w:tcPr>
          <w:p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rPr>
            </w:pPr>
            <w:r w:rsidRPr="00D06229">
              <w:rPr>
                <w:sz w:val="20"/>
              </w:rPr>
              <w:t>N/A</w:t>
            </w:r>
          </w:p>
        </w:tc>
      </w:tr>
      <w:tr w:rsidR="00D06229" w:rsidRPr="00D06229"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tcBorders>
              <w:bottom w:val="single" w:sz="4" w:space="0" w:color="auto"/>
            </w:tcBorders>
            <w:vAlign w:val="center"/>
          </w:tcPr>
          <w:p w:rsidR="00D06229" w:rsidRPr="00D06229" w:rsidRDefault="00D06229" w:rsidP="00D06229">
            <w:pPr>
              <w:spacing w:line="240" w:lineRule="auto"/>
              <w:contextualSpacing/>
              <w:jc w:val="left"/>
              <w:rPr>
                <w:sz w:val="20"/>
                <w:lang w:val="en-US"/>
              </w:rPr>
            </w:pPr>
            <w:r w:rsidRPr="00D06229">
              <w:rPr>
                <w:sz w:val="20"/>
                <w:lang w:val="en-US"/>
              </w:rPr>
              <w:t xml:space="preserve">   After housing costs (HX090’= ((HY020- HH070)*HY025) / HX050)</w:t>
            </w:r>
          </w:p>
        </w:tc>
        <w:tc>
          <w:tcPr>
            <w:tcW w:w="2839" w:type="dxa"/>
            <w:tcBorders>
              <w:bottom w:val="single" w:sz="4" w:space="0" w:color="auto"/>
            </w:tcBorders>
            <w:vAlign w:val="center"/>
          </w:tcPr>
          <w:p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rPr>
            </w:pPr>
            <w:r w:rsidRPr="00D06229">
              <w:rPr>
                <w:sz w:val="20"/>
              </w:rPr>
              <w:t>N/A</w:t>
            </w:r>
          </w:p>
        </w:tc>
      </w:tr>
      <w:tr w:rsidR="00D06229" w:rsidRPr="00D06229" w:rsidTr="00133DA4">
        <w:trPr>
          <w:trHeight w:val="312"/>
        </w:trPr>
        <w:tc>
          <w:tcPr>
            <w:cnfStyle w:val="001000000000" w:firstRow="0" w:lastRow="0" w:firstColumn="1" w:lastColumn="0" w:oddVBand="0" w:evenVBand="0" w:oddHBand="0" w:evenHBand="0" w:firstRowFirstColumn="0" w:firstRowLastColumn="0" w:lastRowFirstColumn="0" w:lastRowLastColumn="0"/>
            <w:tcW w:w="9439" w:type="dxa"/>
            <w:gridSpan w:val="2"/>
            <w:tcBorders>
              <w:top w:val="single" w:sz="4" w:space="0" w:color="auto"/>
              <w:bottom w:val="single" w:sz="4" w:space="0" w:color="auto"/>
              <w:right w:val="nil"/>
            </w:tcBorders>
            <w:vAlign w:val="center"/>
          </w:tcPr>
          <w:p w:rsidR="00D06229" w:rsidRPr="00D06229" w:rsidRDefault="00D06229" w:rsidP="00D06229">
            <w:pPr>
              <w:spacing w:line="240" w:lineRule="auto"/>
              <w:contextualSpacing/>
              <w:jc w:val="left"/>
              <w:rPr>
                <w:b/>
                <w:sz w:val="20"/>
              </w:rPr>
            </w:pPr>
            <w:r w:rsidRPr="00D06229">
              <w:rPr>
                <w:b/>
                <w:sz w:val="20"/>
              </w:rPr>
              <w:t>Demographic characteristics</w:t>
            </w:r>
          </w:p>
        </w:tc>
      </w:tr>
      <w:tr w:rsidR="00D06229" w:rsidRPr="00D06229"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tcBorders>
              <w:top w:val="single" w:sz="4" w:space="0" w:color="auto"/>
            </w:tcBorders>
            <w:vAlign w:val="center"/>
          </w:tcPr>
          <w:p w:rsidR="00D06229" w:rsidRPr="00D06229" w:rsidRDefault="00D06229" w:rsidP="00D06229">
            <w:pPr>
              <w:spacing w:line="240" w:lineRule="auto"/>
              <w:contextualSpacing/>
              <w:jc w:val="left"/>
              <w:rPr>
                <w:sz w:val="20"/>
              </w:rPr>
            </w:pPr>
            <w:r w:rsidRPr="00D06229">
              <w:rPr>
                <w:sz w:val="20"/>
              </w:rPr>
              <w:t xml:space="preserve">  Household size: (HX040)</w:t>
            </w:r>
          </w:p>
        </w:tc>
        <w:tc>
          <w:tcPr>
            <w:tcW w:w="2839" w:type="dxa"/>
            <w:tcBorders>
              <w:top w:val="single" w:sz="4" w:space="0" w:color="auto"/>
            </w:tcBorders>
            <w:vAlign w:val="center"/>
          </w:tcPr>
          <w:p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lang w:val="en-US"/>
              </w:rPr>
            </w:pPr>
            <w:r w:rsidRPr="00D06229">
              <w:rPr>
                <w:sz w:val="20"/>
                <w:lang w:val="en-US"/>
              </w:rPr>
              <w:t>Hhold Size</w:t>
            </w:r>
          </w:p>
        </w:tc>
      </w:tr>
      <w:tr w:rsidR="00D06229" w:rsidRPr="00D06229"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vAlign w:val="center"/>
          </w:tcPr>
          <w:p w:rsidR="00D06229" w:rsidRPr="00D06229" w:rsidRDefault="00D06229" w:rsidP="00D06229">
            <w:pPr>
              <w:spacing w:line="240" w:lineRule="auto"/>
              <w:contextualSpacing/>
              <w:jc w:val="left"/>
              <w:rPr>
                <w:sz w:val="20"/>
              </w:rPr>
            </w:pPr>
            <w:r w:rsidRPr="00D06229">
              <w:rPr>
                <w:sz w:val="20"/>
              </w:rPr>
              <w:t xml:space="preserve">  Age:  (RX020)</w:t>
            </w:r>
          </w:p>
        </w:tc>
        <w:tc>
          <w:tcPr>
            <w:tcW w:w="2839" w:type="dxa"/>
            <w:vAlign w:val="center"/>
          </w:tcPr>
          <w:p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lang w:val="en-US"/>
              </w:rPr>
            </w:pPr>
            <w:r w:rsidRPr="00D06229">
              <w:rPr>
                <w:sz w:val="20"/>
                <w:lang w:val="en-US"/>
              </w:rPr>
              <w:t xml:space="preserve">Age </w:t>
            </w:r>
          </w:p>
        </w:tc>
      </w:tr>
      <w:tr w:rsidR="00D06229" w:rsidRPr="00D06229"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vAlign w:val="center"/>
          </w:tcPr>
          <w:p w:rsidR="00D06229" w:rsidRPr="00D06229" w:rsidRDefault="00D06229" w:rsidP="00D06229">
            <w:pPr>
              <w:spacing w:line="240" w:lineRule="auto"/>
              <w:contextualSpacing/>
              <w:jc w:val="left"/>
              <w:rPr>
                <w:sz w:val="20"/>
                <w:lang w:val="en-US"/>
              </w:rPr>
            </w:pPr>
            <w:r w:rsidRPr="00D06229">
              <w:rPr>
                <w:sz w:val="20"/>
                <w:lang w:val="en-US"/>
              </w:rPr>
              <w:t xml:space="preserve">  Sex</w:t>
            </w:r>
            <w:r w:rsidRPr="00D06229">
              <w:rPr>
                <w:sz w:val="20"/>
              </w:rPr>
              <w:t xml:space="preserve">: </w:t>
            </w:r>
            <w:r w:rsidRPr="00D06229">
              <w:rPr>
                <w:sz w:val="20"/>
                <w:lang w:val="en-US"/>
              </w:rPr>
              <w:t>(</w:t>
            </w:r>
            <w:r w:rsidRPr="00D06229">
              <w:rPr>
                <w:sz w:val="20"/>
              </w:rPr>
              <w:t>RB090</w:t>
            </w:r>
            <w:r w:rsidRPr="00D06229">
              <w:rPr>
                <w:sz w:val="20"/>
                <w:lang w:val="en-US"/>
              </w:rPr>
              <w:t>)</w:t>
            </w:r>
          </w:p>
        </w:tc>
        <w:tc>
          <w:tcPr>
            <w:tcW w:w="2839" w:type="dxa"/>
            <w:vAlign w:val="center"/>
          </w:tcPr>
          <w:p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lang w:val="en-US"/>
              </w:rPr>
            </w:pPr>
            <w:r w:rsidRPr="00D06229">
              <w:rPr>
                <w:sz w:val="20"/>
                <w:lang w:val="en-US"/>
              </w:rPr>
              <w:t>Sex</w:t>
            </w:r>
          </w:p>
        </w:tc>
      </w:tr>
      <w:tr w:rsidR="00D06229" w:rsidRPr="00D06229"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tcBorders>
              <w:bottom w:val="single" w:sz="4" w:space="0" w:color="auto"/>
            </w:tcBorders>
            <w:vAlign w:val="center"/>
          </w:tcPr>
          <w:p w:rsidR="00D06229" w:rsidRPr="00D06229" w:rsidRDefault="00D06229" w:rsidP="00D06229">
            <w:pPr>
              <w:spacing w:line="240" w:lineRule="auto"/>
              <w:contextualSpacing/>
              <w:jc w:val="left"/>
              <w:rPr>
                <w:sz w:val="20"/>
                <w:lang w:val="en-US"/>
              </w:rPr>
            </w:pPr>
            <w:r w:rsidRPr="00D06229">
              <w:rPr>
                <w:sz w:val="20"/>
                <w:lang w:val="en-US"/>
              </w:rPr>
              <w:t xml:space="preserve">  Citizenship: (PB220A)</w:t>
            </w:r>
          </w:p>
        </w:tc>
        <w:tc>
          <w:tcPr>
            <w:tcW w:w="2839" w:type="dxa"/>
            <w:tcBorders>
              <w:bottom w:val="single" w:sz="4" w:space="0" w:color="auto"/>
            </w:tcBorders>
            <w:vAlign w:val="center"/>
          </w:tcPr>
          <w:p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lang w:val="en-US"/>
              </w:rPr>
            </w:pPr>
            <w:r w:rsidRPr="00D06229">
              <w:rPr>
                <w:sz w:val="20"/>
                <w:lang w:val="en-US"/>
              </w:rPr>
              <w:t>Nationality status</w:t>
            </w:r>
          </w:p>
        </w:tc>
      </w:tr>
      <w:tr w:rsidR="00D06229" w:rsidRPr="00D06229" w:rsidTr="00133DA4">
        <w:trPr>
          <w:trHeight w:val="312"/>
        </w:trPr>
        <w:tc>
          <w:tcPr>
            <w:cnfStyle w:val="001000000000" w:firstRow="0" w:lastRow="0" w:firstColumn="1" w:lastColumn="0" w:oddVBand="0" w:evenVBand="0" w:oddHBand="0" w:evenHBand="0" w:firstRowFirstColumn="0" w:firstRowLastColumn="0" w:lastRowFirstColumn="0" w:lastRowLastColumn="0"/>
            <w:tcW w:w="9439" w:type="dxa"/>
            <w:gridSpan w:val="2"/>
            <w:tcBorders>
              <w:top w:val="single" w:sz="4" w:space="0" w:color="auto"/>
              <w:bottom w:val="single" w:sz="4" w:space="0" w:color="auto"/>
              <w:right w:val="nil"/>
            </w:tcBorders>
            <w:vAlign w:val="center"/>
          </w:tcPr>
          <w:p w:rsidR="00D06229" w:rsidRPr="00D06229" w:rsidRDefault="00D06229" w:rsidP="00D06229">
            <w:pPr>
              <w:spacing w:line="240" w:lineRule="auto"/>
              <w:contextualSpacing/>
              <w:jc w:val="left"/>
              <w:rPr>
                <w:b/>
                <w:sz w:val="20"/>
              </w:rPr>
            </w:pPr>
            <w:r w:rsidRPr="00D06229">
              <w:rPr>
                <w:b/>
                <w:sz w:val="20"/>
              </w:rPr>
              <w:t>Socio- economic characteristics</w:t>
            </w:r>
          </w:p>
        </w:tc>
      </w:tr>
      <w:tr w:rsidR="00D06229" w:rsidRPr="00D06229"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tcBorders>
              <w:top w:val="single" w:sz="4" w:space="0" w:color="auto"/>
            </w:tcBorders>
            <w:vAlign w:val="center"/>
          </w:tcPr>
          <w:p w:rsidR="00D06229" w:rsidRPr="00D06229" w:rsidRDefault="00D06229" w:rsidP="00D06229">
            <w:pPr>
              <w:spacing w:line="240" w:lineRule="auto"/>
              <w:contextualSpacing/>
              <w:jc w:val="left"/>
              <w:rPr>
                <w:sz w:val="20"/>
                <w:lang w:val="en-US"/>
              </w:rPr>
            </w:pPr>
            <w:r w:rsidRPr="00D06229">
              <w:rPr>
                <w:sz w:val="20"/>
                <w:lang w:val="en-US"/>
              </w:rPr>
              <w:t xml:space="preserve">  Basic Economic Activities: (RB210)</w:t>
            </w:r>
          </w:p>
        </w:tc>
        <w:tc>
          <w:tcPr>
            <w:tcW w:w="2839" w:type="dxa"/>
            <w:tcBorders>
              <w:top w:val="single" w:sz="4" w:space="0" w:color="auto"/>
            </w:tcBorders>
            <w:vAlign w:val="center"/>
          </w:tcPr>
          <w:p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rPr>
            </w:pPr>
            <w:r w:rsidRPr="00D06229">
              <w:rPr>
                <w:sz w:val="20"/>
                <w:lang w:val="en-US"/>
              </w:rPr>
              <w:t>O</w:t>
            </w:r>
            <w:r w:rsidRPr="00D06229">
              <w:rPr>
                <w:sz w:val="20"/>
              </w:rPr>
              <w:t>ccupational status</w:t>
            </w:r>
          </w:p>
        </w:tc>
      </w:tr>
      <w:tr w:rsidR="00D06229" w:rsidRPr="00D06229"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vAlign w:val="center"/>
          </w:tcPr>
          <w:p w:rsidR="00D06229" w:rsidRPr="00D06229" w:rsidRDefault="00D06229" w:rsidP="00D06229">
            <w:pPr>
              <w:spacing w:line="240" w:lineRule="auto"/>
              <w:contextualSpacing/>
              <w:jc w:val="left"/>
              <w:rPr>
                <w:sz w:val="20"/>
                <w:lang w:val="en-US"/>
              </w:rPr>
            </w:pPr>
            <w:r w:rsidRPr="00D06229">
              <w:rPr>
                <w:sz w:val="20"/>
                <w:lang w:val="en-US"/>
              </w:rPr>
              <w:t xml:space="preserve">  Highest ISCED level attained: (PE040)</w:t>
            </w:r>
          </w:p>
        </w:tc>
        <w:tc>
          <w:tcPr>
            <w:tcW w:w="2839" w:type="dxa"/>
            <w:vAlign w:val="center"/>
          </w:tcPr>
          <w:p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rPr>
            </w:pPr>
            <w:r w:rsidRPr="00D06229">
              <w:rPr>
                <w:sz w:val="20"/>
                <w:lang w:val="en-US"/>
              </w:rPr>
              <w:t>E</w:t>
            </w:r>
            <w:r w:rsidRPr="00D06229">
              <w:rPr>
                <w:sz w:val="20"/>
              </w:rPr>
              <w:t>ducation level</w:t>
            </w:r>
          </w:p>
        </w:tc>
      </w:tr>
      <w:tr w:rsidR="00D06229" w:rsidRPr="00D06229"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vAlign w:val="center"/>
          </w:tcPr>
          <w:p w:rsidR="00D06229" w:rsidRPr="00D06229" w:rsidRDefault="00D06229" w:rsidP="00D06229">
            <w:pPr>
              <w:spacing w:line="240" w:lineRule="auto"/>
              <w:contextualSpacing/>
              <w:jc w:val="left"/>
              <w:rPr>
                <w:sz w:val="20"/>
              </w:rPr>
            </w:pPr>
            <w:r w:rsidRPr="00D06229">
              <w:rPr>
                <w:sz w:val="20"/>
              </w:rPr>
              <w:t xml:space="preserve">  Tenure: (HH020)</w:t>
            </w:r>
          </w:p>
        </w:tc>
        <w:tc>
          <w:tcPr>
            <w:tcW w:w="2839" w:type="dxa"/>
            <w:vAlign w:val="center"/>
          </w:tcPr>
          <w:p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lang w:val="en-US"/>
              </w:rPr>
            </w:pPr>
            <w:r w:rsidRPr="00D06229">
              <w:rPr>
                <w:sz w:val="20"/>
                <w:lang w:val="en-US"/>
              </w:rPr>
              <w:t>Ostat</w:t>
            </w:r>
          </w:p>
        </w:tc>
      </w:tr>
      <w:tr w:rsidR="00D06229" w:rsidRPr="00D06229"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tcBorders>
              <w:bottom w:val="single" w:sz="4" w:space="0" w:color="auto"/>
            </w:tcBorders>
            <w:vAlign w:val="center"/>
          </w:tcPr>
          <w:p w:rsidR="00D06229" w:rsidRPr="00D06229" w:rsidRDefault="00D06229" w:rsidP="00D06229">
            <w:pPr>
              <w:spacing w:line="240" w:lineRule="auto"/>
              <w:contextualSpacing/>
              <w:jc w:val="left"/>
              <w:rPr>
                <w:sz w:val="20"/>
              </w:rPr>
            </w:pPr>
            <w:r w:rsidRPr="00D06229">
              <w:rPr>
                <w:sz w:val="20"/>
              </w:rPr>
              <w:t xml:space="preserve">   NACE (REV 1.1): (PL110)</w:t>
            </w:r>
          </w:p>
        </w:tc>
        <w:tc>
          <w:tcPr>
            <w:tcW w:w="2839" w:type="dxa"/>
            <w:tcBorders>
              <w:bottom w:val="single" w:sz="4" w:space="0" w:color="auto"/>
            </w:tcBorders>
            <w:vAlign w:val="center"/>
          </w:tcPr>
          <w:p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rPr>
            </w:pPr>
            <w:r w:rsidRPr="00D06229">
              <w:rPr>
                <w:sz w:val="20"/>
              </w:rPr>
              <w:t>Branch</w:t>
            </w:r>
          </w:p>
        </w:tc>
      </w:tr>
      <w:tr w:rsidR="00D06229" w:rsidRPr="00D06229" w:rsidTr="00133DA4">
        <w:trPr>
          <w:trHeight w:val="312"/>
        </w:trPr>
        <w:tc>
          <w:tcPr>
            <w:cnfStyle w:val="001000000000" w:firstRow="0" w:lastRow="0" w:firstColumn="1" w:lastColumn="0" w:oddVBand="0" w:evenVBand="0" w:oddHBand="0" w:evenHBand="0" w:firstRowFirstColumn="0" w:firstRowLastColumn="0" w:lastRowFirstColumn="0" w:lastRowLastColumn="0"/>
            <w:tcW w:w="9439" w:type="dxa"/>
            <w:gridSpan w:val="2"/>
            <w:tcBorders>
              <w:top w:val="single" w:sz="4" w:space="0" w:color="auto"/>
              <w:bottom w:val="single" w:sz="4" w:space="0" w:color="auto"/>
              <w:right w:val="nil"/>
            </w:tcBorders>
            <w:vAlign w:val="center"/>
          </w:tcPr>
          <w:p w:rsidR="00D06229" w:rsidRPr="00D06229" w:rsidRDefault="00D06229" w:rsidP="00D06229">
            <w:pPr>
              <w:spacing w:line="240" w:lineRule="auto"/>
              <w:contextualSpacing/>
              <w:jc w:val="left"/>
              <w:rPr>
                <w:b/>
                <w:sz w:val="20"/>
              </w:rPr>
            </w:pPr>
            <w:r w:rsidRPr="00D06229">
              <w:rPr>
                <w:b/>
                <w:sz w:val="20"/>
              </w:rPr>
              <w:t>Housing characteristics</w:t>
            </w:r>
          </w:p>
        </w:tc>
      </w:tr>
      <w:tr w:rsidR="00D06229" w:rsidRPr="00D06229"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tcBorders>
              <w:top w:val="single" w:sz="4" w:space="0" w:color="auto"/>
            </w:tcBorders>
            <w:vAlign w:val="center"/>
          </w:tcPr>
          <w:p w:rsidR="00D06229" w:rsidRPr="00D06229" w:rsidRDefault="00D06229" w:rsidP="00D06229">
            <w:pPr>
              <w:spacing w:line="240" w:lineRule="auto"/>
              <w:contextualSpacing/>
              <w:jc w:val="left"/>
              <w:rPr>
                <w:sz w:val="20"/>
              </w:rPr>
            </w:pPr>
            <w:r w:rsidRPr="00D06229">
              <w:rPr>
                <w:sz w:val="20"/>
              </w:rPr>
              <w:t xml:space="preserve">  Bathroom/toilet: (HH080)</w:t>
            </w:r>
          </w:p>
        </w:tc>
        <w:tc>
          <w:tcPr>
            <w:tcW w:w="2839" w:type="dxa"/>
            <w:tcBorders>
              <w:top w:val="single" w:sz="4" w:space="0" w:color="auto"/>
            </w:tcBorders>
            <w:vAlign w:val="center"/>
          </w:tcPr>
          <w:p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rPr>
            </w:pPr>
            <w:r w:rsidRPr="00D06229">
              <w:rPr>
                <w:sz w:val="20"/>
                <w:lang w:val="en-US"/>
              </w:rPr>
              <w:t>S</w:t>
            </w:r>
            <w:r w:rsidRPr="00D06229">
              <w:rPr>
                <w:sz w:val="20"/>
              </w:rPr>
              <w:t>hower type</w:t>
            </w:r>
          </w:p>
        </w:tc>
      </w:tr>
      <w:tr w:rsidR="00D06229" w:rsidRPr="00D06229"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vAlign w:val="center"/>
          </w:tcPr>
          <w:p w:rsidR="00D06229" w:rsidRPr="00D06229" w:rsidRDefault="00D06229" w:rsidP="00D06229">
            <w:pPr>
              <w:spacing w:line="240" w:lineRule="auto"/>
              <w:contextualSpacing/>
              <w:jc w:val="left"/>
              <w:rPr>
                <w:sz w:val="20"/>
                <w:lang w:val="en-US"/>
              </w:rPr>
            </w:pPr>
            <w:r w:rsidRPr="00D06229">
              <w:rPr>
                <w:sz w:val="20"/>
                <w:lang w:val="en-US"/>
              </w:rPr>
              <w:t xml:space="preserve">  Indoor flushing toilet for sole use: (HH090)</w:t>
            </w:r>
          </w:p>
        </w:tc>
        <w:tc>
          <w:tcPr>
            <w:tcW w:w="2839" w:type="dxa"/>
            <w:vAlign w:val="center"/>
          </w:tcPr>
          <w:p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rPr>
            </w:pPr>
            <w:r w:rsidRPr="00D06229">
              <w:rPr>
                <w:sz w:val="20"/>
                <w:lang w:val="en-US"/>
              </w:rPr>
              <w:t>T</w:t>
            </w:r>
            <w:r w:rsidRPr="00D06229">
              <w:rPr>
                <w:sz w:val="20"/>
              </w:rPr>
              <w:t>oilet type</w:t>
            </w:r>
          </w:p>
        </w:tc>
      </w:tr>
    </w:tbl>
    <w:p w:rsidR="00D06229" w:rsidRPr="00D06229" w:rsidRDefault="00D06229" w:rsidP="00A16958">
      <w:pPr>
        <w:spacing w:before="0" w:line="276" w:lineRule="auto"/>
        <w:rPr>
          <w:rFonts w:cs="Arial"/>
          <w:lang w:val="en-US"/>
        </w:rPr>
      </w:pPr>
      <w:r w:rsidRPr="00D06229">
        <w:rPr>
          <w:rFonts w:cs="Arial"/>
          <w:b/>
          <w:lang w:val="en-US"/>
        </w:rPr>
        <w:t xml:space="preserve">Before or after Housing Costs? </w:t>
      </w:r>
      <w:r w:rsidRPr="00D06229">
        <w:rPr>
          <w:rFonts w:cs="Arial"/>
          <w:lang w:val="en-US"/>
        </w:rPr>
        <w:t>Both. The measure of equivalised disposable income after housing costs was calculated as follows: HX090’= ((HY020- HH070)*HY025) / HX050.</w:t>
      </w:r>
      <w:r>
        <w:rPr>
          <w:rFonts w:cs="Arial"/>
          <w:lang w:val="en-US"/>
        </w:rPr>
        <w:t xml:space="preserve"> </w:t>
      </w:r>
      <w:r w:rsidRPr="00D06229">
        <w:rPr>
          <w:rFonts w:cs="Arial"/>
        </w:rPr>
        <w:t xml:space="preserve">Where: </w:t>
      </w:r>
    </w:p>
    <w:p w:rsidR="00D06229" w:rsidRPr="00D06229" w:rsidRDefault="00D06229" w:rsidP="00A16958">
      <w:pPr>
        <w:pStyle w:val="Luettelokappale"/>
        <w:numPr>
          <w:ilvl w:val="0"/>
          <w:numId w:val="14"/>
        </w:numPr>
        <w:spacing w:before="0" w:line="276" w:lineRule="auto"/>
        <w:jc w:val="left"/>
        <w:rPr>
          <w:rFonts w:cs="Arial"/>
        </w:rPr>
      </w:pPr>
      <w:r w:rsidRPr="00D06229">
        <w:rPr>
          <w:rFonts w:cs="Arial"/>
        </w:rPr>
        <w:t>HX090 - Equivalised disposable income, where HX090 =(HY020*HY025) / HX050</w:t>
      </w:r>
    </w:p>
    <w:p w:rsidR="00D06229" w:rsidRPr="00D06229" w:rsidRDefault="00D06229" w:rsidP="00A16958">
      <w:pPr>
        <w:pStyle w:val="Luettelokappale"/>
        <w:numPr>
          <w:ilvl w:val="0"/>
          <w:numId w:val="14"/>
        </w:numPr>
        <w:spacing w:before="0" w:line="276" w:lineRule="auto"/>
        <w:jc w:val="left"/>
        <w:rPr>
          <w:rFonts w:cs="Arial"/>
        </w:rPr>
      </w:pPr>
      <w:r w:rsidRPr="00D06229">
        <w:rPr>
          <w:rFonts w:cs="Arial"/>
        </w:rPr>
        <w:t>HH070 - Total housing cost</w:t>
      </w:r>
    </w:p>
    <w:p w:rsidR="00D06229" w:rsidRPr="00D06229" w:rsidRDefault="00D06229" w:rsidP="00A16958">
      <w:pPr>
        <w:pStyle w:val="Luettelokappale"/>
        <w:numPr>
          <w:ilvl w:val="0"/>
          <w:numId w:val="14"/>
        </w:numPr>
        <w:spacing w:before="0" w:line="276" w:lineRule="auto"/>
        <w:jc w:val="left"/>
        <w:rPr>
          <w:rFonts w:cs="Arial"/>
        </w:rPr>
      </w:pPr>
      <w:r w:rsidRPr="00D06229">
        <w:rPr>
          <w:rFonts w:cs="Arial"/>
        </w:rPr>
        <w:t>HY020 - Total disposable household income</w:t>
      </w:r>
    </w:p>
    <w:p w:rsidR="00D06229" w:rsidRPr="00D06229" w:rsidRDefault="00D06229" w:rsidP="00A16958">
      <w:pPr>
        <w:pStyle w:val="Luettelokappale"/>
        <w:numPr>
          <w:ilvl w:val="0"/>
          <w:numId w:val="14"/>
        </w:numPr>
        <w:spacing w:before="0" w:line="276" w:lineRule="auto"/>
        <w:jc w:val="left"/>
        <w:rPr>
          <w:rFonts w:cs="Arial"/>
        </w:rPr>
      </w:pPr>
      <w:r w:rsidRPr="00D06229">
        <w:rPr>
          <w:rFonts w:cs="Arial"/>
        </w:rPr>
        <w:t>HY025 - Within-household non-response inflation factor</w:t>
      </w:r>
    </w:p>
    <w:p w:rsidR="00D06229" w:rsidRPr="00D06229" w:rsidRDefault="00D06229" w:rsidP="00A16958">
      <w:pPr>
        <w:pStyle w:val="Luettelokappale"/>
        <w:numPr>
          <w:ilvl w:val="0"/>
          <w:numId w:val="14"/>
        </w:numPr>
        <w:spacing w:before="0" w:line="276" w:lineRule="auto"/>
        <w:jc w:val="left"/>
        <w:rPr>
          <w:rFonts w:cs="Arial"/>
        </w:rPr>
      </w:pPr>
      <w:r w:rsidRPr="00D06229">
        <w:rPr>
          <w:rFonts w:cs="Arial"/>
        </w:rPr>
        <w:t>HX050 - Equivalised household size</w:t>
      </w:r>
    </w:p>
    <w:p w:rsidR="00D06229" w:rsidRPr="00D06229" w:rsidRDefault="00D06229" w:rsidP="00A16958">
      <w:pPr>
        <w:spacing w:before="0" w:line="276" w:lineRule="auto"/>
        <w:rPr>
          <w:rFonts w:cs="Arial"/>
          <w:lang w:val="en-US"/>
        </w:rPr>
      </w:pPr>
      <w:r w:rsidRPr="00D06229">
        <w:rPr>
          <w:rFonts w:cs="Arial"/>
          <w:b/>
          <w:lang w:val="en-US"/>
        </w:rPr>
        <w:t>NUTS Level of estimates:</w:t>
      </w:r>
      <w:r w:rsidRPr="00D06229">
        <w:rPr>
          <w:rFonts w:cs="Arial"/>
          <w:lang w:val="en-US"/>
        </w:rPr>
        <w:t xml:space="preserve"> NUTS 3</w:t>
      </w:r>
    </w:p>
    <w:p w:rsidR="00D06229" w:rsidRPr="00D06229" w:rsidRDefault="00D06229" w:rsidP="00A16958">
      <w:pPr>
        <w:spacing w:before="0" w:line="276" w:lineRule="auto"/>
        <w:rPr>
          <w:rFonts w:cs="Arial"/>
        </w:rPr>
      </w:pPr>
      <w:r w:rsidRPr="00D06229">
        <w:rPr>
          <w:rFonts w:cs="Arial"/>
          <w:b/>
          <w:lang w:val="en-US"/>
        </w:rPr>
        <w:t xml:space="preserve">Adjusted to agree with Eurostat published </w:t>
      </w:r>
      <w:r w:rsidR="008632AA">
        <w:rPr>
          <w:rFonts w:cs="Arial"/>
          <w:b/>
          <w:lang w:val="en-US"/>
        </w:rPr>
        <w:t>AROP</w:t>
      </w:r>
      <w:r w:rsidRPr="00D06229">
        <w:rPr>
          <w:rFonts w:cs="Arial"/>
          <w:b/>
          <w:lang w:val="en-US"/>
        </w:rPr>
        <w:t xml:space="preserve"> rates?</w:t>
      </w:r>
      <w:r w:rsidRPr="00D06229">
        <w:rPr>
          <w:rFonts w:cs="Arial"/>
          <w:lang w:val="en-US"/>
        </w:rPr>
        <w:t xml:space="preserve"> </w:t>
      </w:r>
      <w:r>
        <w:rPr>
          <w:rFonts w:cs="Arial"/>
        </w:rPr>
        <w:t>No</w:t>
      </w:r>
    </w:p>
    <w:p w:rsidR="00D06229" w:rsidRDefault="00D06229" w:rsidP="00A16958">
      <w:pPr>
        <w:spacing w:before="0" w:line="276" w:lineRule="auto"/>
        <w:rPr>
          <w:rFonts w:cs="Arial"/>
        </w:rPr>
      </w:pPr>
      <w:r w:rsidRPr="00D06229">
        <w:rPr>
          <w:rFonts w:cs="Arial"/>
          <w:b/>
        </w:rPr>
        <w:t xml:space="preserve">Comments: </w:t>
      </w:r>
      <w:r>
        <w:rPr>
          <w:rFonts w:cs="Arial"/>
        </w:rPr>
        <w:t>None</w:t>
      </w:r>
    </w:p>
    <w:p w:rsidR="00A16958" w:rsidRPr="00A16958" w:rsidRDefault="00A16958" w:rsidP="00A16958">
      <w:pPr>
        <w:pStyle w:val="Default"/>
        <w:spacing w:line="276" w:lineRule="auto"/>
        <w:jc w:val="both"/>
        <w:rPr>
          <w:rFonts w:ascii="Arial" w:hAnsi="Arial" w:cs="Arial"/>
          <w:color w:val="auto"/>
          <w:sz w:val="22"/>
          <w:szCs w:val="22"/>
          <w:lang w:val="en-US"/>
        </w:rPr>
      </w:pPr>
      <w:r w:rsidRPr="00A16958">
        <w:rPr>
          <w:rFonts w:ascii="Arial" w:hAnsi="Arial" w:cs="Arial"/>
          <w:b/>
          <w:bCs/>
          <w:color w:val="auto"/>
          <w:sz w:val="22"/>
          <w:szCs w:val="22"/>
          <w:lang w:val="en-US"/>
        </w:rPr>
        <w:lastRenderedPageBreak/>
        <w:t xml:space="preserve">Country: </w:t>
      </w:r>
      <w:r w:rsidRPr="00A16958">
        <w:rPr>
          <w:rFonts w:ascii="Arial" w:hAnsi="Arial" w:cs="Arial"/>
          <w:color w:val="auto"/>
          <w:sz w:val="22"/>
          <w:szCs w:val="22"/>
          <w:lang w:val="en-US"/>
        </w:rPr>
        <w:t>Greece - Update</w:t>
      </w:r>
    </w:p>
    <w:p w:rsidR="00A16958" w:rsidRDefault="00A16958" w:rsidP="00A16958">
      <w:pPr>
        <w:pStyle w:val="Default"/>
        <w:spacing w:line="276" w:lineRule="auto"/>
        <w:jc w:val="both"/>
        <w:rPr>
          <w:rFonts w:ascii="Arial" w:hAnsi="Arial" w:cs="Arial"/>
          <w:b/>
          <w:bCs/>
          <w:color w:val="auto"/>
          <w:sz w:val="22"/>
          <w:szCs w:val="22"/>
          <w:lang w:val="en-US"/>
        </w:rPr>
      </w:pPr>
    </w:p>
    <w:p w:rsidR="00A16958" w:rsidRPr="00A16958" w:rsidRDefault="00A16958" w:rsidP="00A16958">
      <w:pPr>
        <w:pStyle w:val="Default"/>
        <w:spacing w:line="276" w:lineRule="auto"/>
        <w:jc w:val="both"/>
        <w:rPr>
          <w:rFonts w:ascii="Arial" w:hAnsi="Arial" w:cs="Arial"/>
          <w:color w:val="auto"/>
          <w:sz w:val="22"/>
          <w:szCs w:val="22"/>
          <w:lang w:val="en-US"/>
        </w:rPr>
      </w:pPr>
      <w:r w:rsidRPr="00A16958">
        <w:rPr>
          <w:rFonts w:ascii="Arial" w:hAnsi="Arial" w:cs="Arial"/>
          <w:b/>
          <w:bCs/>
          <w:color w:val="auto"/>
          <w:sz w:val="22"/>
          <w:szCs w:val="22"/>
          <w:lang w:val="en-US"/>
        </w:rPr>
        <w:t>Partner responsible</w:t>
      </w:r>
      <w:r w:rsidRPr="00A16958">
        <w:rPr>
          <w:rFonts w:ascii="Arial" w:hAnsi="Arial" w:cs="Arial"/>
          <w:color w:val="auto"/>
          <w:sz w:val="22"/>
          <w:szCs w:val="22"/>
          <w:lang w:val="en-US"/>
        </w:rPr>
        <w:t xml:space="preserve">: </w:t>
      </w:r>
      <w:r w:rsidRPr="00A16958">
        <w:rPr>
          <w:rStyle w:val="st"/>
          <w:rFonts w:ascii="Arial" w:hAnsi="Arial" w:cs="Arial"/>
          <w:color w:val="auto"/>
          <w:sz w:val="22"/>
          <w:szCs w:val="22"/>
          <w:lang w:val="en-US"/>
        </w:rPr>
        <w:t>National Centre for Social Research (</w:t>
      </w:r>
      <w:r w:rsidRPr="00A16958">
        <w:rPr>
          <w:rStyle w:val="Korostus"/>
          <w:rFonts w:ascii="Arial" w:hAnsi="Arial" w:cs="Arial"/>
          <w:color w:val="auto"/>
          <w:sz w:val="22"/>
          <w:szCs w:val="22"/>
          <w:lang w:val="en-US"/>
        </w:rPr>
        <w:t>EKKE</w:t>
      </w:r>
      <w:r w:rsidRPr="00A16958">
        <w:rPr>
          <w:rStyle w:val="st"/>
          <w:rFonts w:ascii="Arial" w:hAnsi="Arial" w:cs="Arial"/>
          <w:color w:val="auto"/>
          <w:sz w:val="22"/>
          <w:szCs w:val="22"/>
          <w:lang w:val="en-US"/>
        </w:rPr>
        <w:t>)</w:t>
      </w:r>
      <w:r w:rsidRPr="00A16958">
        <w:rPr>
          <w:rFonts w:ascii="Arial" w:hAnsi="Arial" w:cs="Arial"/>
          <w:color w:val="auto"/>
          <w:sz w:val="22"/>
          <w:szCs w:val="22"/>
          <w:lang w:val="en-US"/>
        </w:rPr>
        <w:t xml:space="preserve">, Greece </w:t>
      </w:r>
    </w:p>
    <w:p w:rsidR="00A16958" w:rsidRPr="00A16958" w:rsidRDefault="00A16958" w:rsidP="00A16958">
      <w:pPr>
        <w:pStyle w:val="Default"/>
        <w:spacing w:line="276" w:lineRule="auto"/>
        <w:jc w:val="both"/>
        <w:rPr>
          <w:rFonts w:ascii="Arial" w:hAnsi="Arial" w:cs="Arial"/>
          <w:color w:val="001E5E"/>
          <w:sz w:val="22"/>
          <w:szCs w:val="22"/>
          <w:lang w:val="en-US"/>
        </w:rPr>
      </w:pPr>
      <w:r w:rsidRPr="00A16958">
        <w:rPr>
          <w:rFonts w:ascii="Arial" w:hAnsi="Arial" w:cs="Arial"/>
          <w:b/>
          <w:bCs/>
          <w:sz w:val="22"/>
          <w:szCs w:val="22"/>
          <w:lang w:val="en-US"/>
        </w:rPr>
        <w:t xml:space="preserve">Contact Person: </w:t>
      </w:r>
      <w:r w:rsidRPr="00A16958">
        <w:rPr>
          <w:rFonts w:ascii="Arial" w:hAnsi="Arial" w:cs="Arial"/>
          <w:color w:val="001E5E"/>
          <w:sz w:val="22"/>
          <w:szCs w:val="22"/>
          <w:lang w:val="en-US"/>
        </w:rPr>
        <w:t>Panagiotis Artelaris (</w:t>
      </w:r>
      <w:r w:rsidRPr="00A16958">
        <w:rPr>
          <w:rFonts w:ascii="Arial" w:hAnsi="Arial" w:cs="Arial"/>
          <w:color w:val="0000FF"/>
          <w:sz w:val="22"/>
          <w:szCs w:val="22"/>
          <w:lang w:val="en-US"/>
        </w:rPr>
        <w:t>partelar@hua.gr</w:t>
      </w:r>
      <w:r w:rsidRPr="00A16958">
        <w:rPr>
          <w:rFonts w:ascii="Arial" w:hAnsi="Arial" w:cs="Arial"/>
          <w:color w:val="001E5E"/>
          <w:sz w:val="22"/>
          <w:szCs w:val="22"/>
          <w:lang w:val="en-US"/>
        </w:rPr>
        <w:t xml:space="preserve">) </w:t>
      </w:r>
    </w:p>
    <w:p w:rsidR="00A16958" w:rsidRPr="00A16958" w:rsidRDefault="00A16958" w:rsidP="00A16958">
      <w:pPr>
        <w:pStyle w:val="Default"/>
        <w:spacing w:line="276" w:lineRule="auto"/>
        <w:jc w:val="both"/>
        <w:rPr>
          <w:rFonts w:ascii="Arial" w:hAnsi="Arial" w:cs="Arial"/>
          <w:color w:val="auto"/>
          <w:sz w:val="22"/>
          <w:szCs w:val="22"/>
          <w:lang w:val="en-US"/>
        </w:rPr>
      </w:pPr>
      <w:r w:rsidRPr="00A16958">
        <w:rPr>
          <w:rFonts w:ascii="Arial" w:hAnsi="Arial" w:cs="Arial"/>
          <w:b/>
          <w:bCs/>
          <w:color w:val="auto"/>
          <w:sz w:val="22"/>
          <w:szCs w:val="22"/>
          <w:lang w:val="en-US"/>
        </w:rPr>
        <w:t xml:space="preserve">Date: </w:t>
      </w:r>
      <w:r w:rsidRPr="00A16958">
        <w:rPr>
          <w:rFonts w:ascii="Arial" w:hAnsi="Arial" w:cs="Arial"/>
          <w:color w:val="auto"/>
          <w:sz w:val="22"/>
          <w:szCs w:val="22"/>
          <w:lang w:val="en-US"/>
        </w:rPr>
        <w:t xml:space="preserve">14/07/14 </w:t>
      </w:r>
    </w:p>
    <w:p w:rsidR="00A16958" w:rsidRPr="00A16958" w:rsidRDefault="00A16958" w:rsidP="00A16958">
      <w:pPr>
        <w:pStyle w:val="Default"/>
        <w:spacing w:line="276" w:lineRule="auto"/>
        <w:jc w:val="both"/>
        <w:rPr>
          <w:rFonts w:ascii="Arial" w:hAnsi="Arial" w:cs="Arial"/>
          <w:color w:val="auto"/>
          <w:sz w:val="22"/>
          <w:szCs w:val="22"/>
          <w:lang w:val="en-US"/>
        </w:rPr>
      </w:pPr>
      <w:r w:rsidRPr="00A16958">
        <w:rPr>
          <w:rFonts w:ascii="Arial" w:hAnsi="Arial" w:cs="Arial"/>
          <w:b/>
          <w:bCs/>
          <w:color w:val="auto"/>
          <w:sz w:val="22"/>
          <w:szCs w:val="22"/>
          <w:lang w:val="en-US"/>
        </w:rPr>
        <w:t xml:space="preserve">Methodology Used: </w:t>
      </w:r>
      <w:r w:rsidRPr="00A16958">
        <w:rPr>
          <w:rFonts w:ascii="Arial" w:hAnsi="Arial" w:cs="Arial"/>
          <w:color w:val="auto"/>
          <w:sz w:val="22"/>
          <w:szCs w:val="22"/>
          <w:lang w:val="en-US"/>
        </w:rPr>
        <w:t>World Bank PovMap</w:t>
      </w:r>
    </w:p>
    <w:p w:rsidR="00A16958" w:rsidRPr="00A16958" w:rsidRDefault="00A16958" w:rsidP="00A16958">
      <w:pPr>
        <w:spacing w:before="0" w:line="276" w:lineRule="auto"/>
        <w:rPr>
          <w:rFonts w:cs="Arial"/>
          <w:szCs w:val="22"/>
          <w:lang w:val="en-US"/>
        </w:rPr>
      </w:pPr>
      <w:r w:rsidRPr="00A16958">
        <w:rPr>
          <w:rFonts w:cs="Arial"/>
          <w:b/>
          <w:szCs w:val="22"/>
          <w:lang w:val="en-US"/>
        </w:rPr>
        <w:t xml:space="preserve">Constraints on Choice of Methodology: </w:t>
      </w:r>
      <w:r w:rsidRPr="00A16958">
        <w:rPr>
          <w:rFonts w:cs="Arial"/>
          <w:szCs w:val="22"/>
          <w:lang w:val="en-US"/>
        </w:rPr>
        <w:t xml:space="preserve">World Bank PovMap was possible due to availability of SILC data (including DB040 at NUTS 1) and Census microdata with sufficient matching variables. </w:t>
      </w:r>
    </w:p>
    <w:p w:rsidR="00A16958" w:rsidRPr="00A16958" w:rsidRDefault="00A16958" w:rsidP="00A16958">
      <w:pPr>
        <w:spacing w:before="0" w:line="276" w:lineRule="auto"/>
        <w:jc w:val="left"/>
        <w:rPr>
          <w:rFonts w:cs="Arial"/>
          <w:szCs w:val="22"/>
          <w:lang w:val="en-US"/>
        </w:rPr>
      </w:pPr>
      <w:r w:rsidRPr="00A16958">
        <w:rPr>
          <w:rFonts w:cs="Arial"/>
          <w:b/>
          <w:szCs w:val="22"/>
          <w:lang w:val="en-US"/>
        </w:rPr>
        <w:t xml:space="preserve">Source(s) of raw data: </w:t>
      </w:r>
      <w:r w:rsidRPr="00A16958">
        <w:rPr>
          <w:rFonts w:cs="Arial"/>
          <w:szCs w:val="22"/>
          <w:lang w:val="en-US"/>
        </w:rPr>
        <w:t xml:space="preserve"> European Union Statistics on Income and Living Conditions (EU SILC), available from: </w:t>
      </w:r>
      <w:hyperlink r:id="rId80" w:history="1">
        <w:r w:rsidRPr="00A16958">
          <w:rPr>
            <w:rStyle w:val="Hyperlinkki"/>
            <w:rFonts w:cs="Arial"/>
            <w:szCs w:val="22"/>
            <w:lang w:val="en-US"/>
          </w:rPr>
          <w:t>http://epp.eurostat.ec.europa.eu/portal/page/portal/microdata/eu_silc</w:t>
        </w:r>
      </w:hyperlink>
      <w:r w:rsidRPr="00A16958">
        <w:rPr>
          <w:rFonts w:cs="Arial"/>
          <w:szCs w:val="22"/>
          <w:lang w:val="en-US"/>
        </w:rPr>
        <w:t>;</w:t>
      </w:r>
      <w:r w:rsidRPr="00A16958">
        <w:rPr>
          <w:rFonts w:cs="Arial"/>
          <w:color w:val="002060"/>
          <w:szCs w:val="22"/>
          <w:lang w:val="en-US"/>
        </w:rPr>
        <w:t xml:space="preserve"> Greek Census </w:t>
      </w:r>
      <w:r w:rsidRPr="00A16958">
        <w:rPr>
          <w:rFonts w:cs="Arial"/>
          <w:szCs w:val="22"/>
          <w:lang w:val="en-US"/>
        </w:rPr>
        <w:t>2011: available from EL.STAT.</w:t>
      </w:r>
    </w:p>
    <w:p w:rsidR="00A16958" w:rsidRPr="00A16958" w:rsidRDefault="00A16958" w:rsidP="00A16958">
      <w:pPr>
        <w:spacing w:line="360" w:lineRule="auto"/>
        <w:rPr>
          <w:rFonts w:cs="Arial"/>
          <w:szCs w:val="22"/>
          <w:lang w:val="en-US"/>
        </w:rPr>
      </w:pPr>
      <w:r w:rsidRPr="00A16958">
        <w:rPr>
          <w:rFonts w:cs="Arial"/>
          <w:b/>
          <w:szCs w:val="22"/>
          <w:lang w:val="en-US"/>
        </w:rPr>
        <w:t xml:space="preserve">Date(s) of raw data: </w:t>
      </w:r>
      <w:r w:rsidRPr="00A16958">
        <w:rPr>
          <w:rFonts w:cs="Arial"/>
          <w:szCs w:val="22"/>
          <w:lang w:val="en-US"/>
        </w:rPr>
        <w:t>SILC 2011, Census 2011.</w:t>
      </w:r>
    </w:p>
    <w:tbl>
      <w:tblPr>
        <w:tblStyle w:val="TaulukkoPerinteinen1"/>
        <w:tblW w:w="9439" w:type="dxa"/>
        <w:tblLook w:val="04A0" w:firstRow="1" w:lastRow="0" w:firstColumn="1" w:lastColumn="0" w:noHBand="0" w:noVBand="1"/>
      </w:tblPr>
      <w:tblGrid>
        <w:gridCol w:w="6600"/>
        <w:gridCol w:w="2839"/>
      </w:tblGrid>
      <w:tr w:rsidR="00A16958" w:rsidRPr="00A16958" w:rsidTr="00A16958">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6600" w:type="dxa"/>
          </w:tcPr>
          <w:p w:rsidR="00A16958" w:rsidRPr="00A16958" w:rsidRDefault="00A16958" w:rsidP="00A16958">
            <w:pPr>
              <w:spacing w:before="0" w:line="240" w:lineRule="auto"/>
              <w:contextualSpacing/>
              <w:jc w:val="left"/>
              <w:rPr>
                <w:rFonts w:cs="Arial"/>
                <w:b/>
                <w:sz w:val="20"/>
              </w:rPr>
            </w:pPr>
            <w:r w:rsidRPr="00A16958">
              <w:rPr>
                <w:rFonts w:cs="Arial"/>
                <w:b/>
                <w:sz w:val="20"/>
              </w:rPr>
              <w:t>EU-SILC</w:t>
            </w:r>
          </w:p>
        </w:tc>
        <w:tc>
          <w:tcPr>
            <w:tcW w:w="2839" w:type="dxa"/>
          </w:tcPr>
          <w:p w:rsidR="00A16958" w:rsidRPr="00A16958" w:rsidRDefault="00A16958" w:rsidP="00A16958">
            <w:pPr>
              <w:spacing w:before="0" w:line="240" w:lineRule="auto"/>
              <w:contextualSpacing/>
              <w:jc w:val="left"/>
              <w:cnfStyle w:val="100000000000" w:firstRow="1" w:lastRow="0" w:firstColumn="0" w:lastColumn="0" w:oddVBand="0" w:evenVBand="0" w:oddHBand="0" w:evenHBand="0" w:firstRowFirstColumn="0" w:firstRowLastColumn="0" w:lastRowFirstColumn="0" w:lastRowLastColumn="0"/>
              <w:rPr>
                <w:rFonts w:cs="Arial"/>
                <w:b/>
                <w:sz w:val="20"/>
                <w:lang w:val="en-US"/>
              </w:rPr>
            </w:pPr>
            <w:r w:rsidRPr="00A16958">
              <w:rPr>
                <w:rFonts w:cs="Arial"/>
                <w:b/>
                <w:sz w:val="20"/>
              </w:rPr>
              <w:t xml:space="preserve">Census 2001 </w:t>
            </w:r>
          </w:p>
        </w:tc>
      </w:tr>
      <w:tr w:rsidR="00A16958" w:rsidRPr="00A16958" w:rsidTr="00A16958">
        <w:trPr>
          <w:trHeight w:val="340"/>
        </w:trPr>
        <w:tc>
          <w:tcPr>
            <w:cnfStyle w:val="001000000000" w:firstRow="0" w:lastRow="0" w:firstColumn="1" w:lastColumn="0" w:oddVBand="0" w:evenVBand="0" w:oddHBand="0" w:evenHBand="0" w:firstRowFirstColumn="0" w:firstRowLastColumn="0" w:lastRowFirstColumn="0" w:lastRowLastColumn="0"/>
            <w:tcW w:w="9439" w:type="dxa"/>
            <w:gridSpan w:val="2"/>
            <w:tcBorders>
              <w:bottom w:val="single" w:sz="2" w:space="0" w:color="000000"/>
              <w:right w:val="nil"/>
            </w:tcBorders>
          </w:tcPr>
          <w:p w:rsidR="00A16958" w:rsidRPr="00A16958" w:rsidRDefault="00A16958" w:rsidP="00A16958">
            <w:pPr>
              <w:spacing w:before="0" w:line="240" w:lineRule="auto"/>
              <w:contextualSpacing/>
              <w:rPr>
                <w:rFonts w:cs="Arial"/>
                <w:b/>
                <w:sz w:val="20"/>
              </w:rPr>
            </w:pPr>
            <w:r w:rsidRPr="00A16958">
              <w:rPr>
                <w:rFonts w:cs="Arial"/>
                <w:b/>
                <w:sz w:val="20"/>
              </w:rPr>
              <w:t>Equivalised disposable income</w:t>
            </w:r>
          </w:p>
        </w:tc>
      </w:tr>
      <w:tr w:rsidR="00A16958" w:rsidRPr="00A16958" w:rsidTr="00A16958">
        <w:trPr>
          <w:trHeight w:val="340"/>
        </w:trPr>
        <w:tc>
          <w:tcPr>
            <w:cnfStyle w:val="001000000000" w:firstRow="0" w:lastRow="0" w:firstColumn="1" w:lastColumn="0" w:oddVBand="0" w:evenVBand="0" w:oddHBand="0" w:evenHBand="0" w:firstRowFirstColumn="0" w:firstRowLastColumn="0" w:lastRowFirstColumn="0" w:lastRowLastColumn="0"/>
            <w:tcW w:w="6600" w:type="dxa"/>
            <w:tcBorders>
              <w:top w:val="single" w:sz="2" w:space="0" w:color="000000"/>
            </w:tcBorders>
          </w:tcPr>
          <w:p w:rsidR="00A16958" w:rsidRPr="00A16958" w:rsidRDefault="00A16958" w:rsidP="00A16958">
            <w:pPr>
              <w:spacing w:before="0" w:line="240" w:lineRule="auto"/>
              <w:contextualSpacing/>
              <w:rPr>
                <w:rFonts w:cs="Arial"/>
                <w:sz w:val="20"/>
                <w:lang w:val="en-US"/>
              </w:rPr>
            </w:pPr>
            <w:r w:rsidRPr="00A16958">
              <w:rPr>
                <w:rFonts w:cs="Arial"/>
                <w:sz w:val="20"/>
                <w:lang w:val="en-US"/>
              </w:rPr>
              <w:t xml:space="preserve">   Before housing costs (HX090 =(HY020*HY025) / HX050)</w:t>
            </w:r>
          </w:p>
        </w:tc>
        <w:tc>
          <w:tcPr>
            <w:tcW w:w="2839" w:type="dxa"/>
            <w:tcBorders>
              <w:top w:val="single" w:sz="2" w:space="0" w:color="000000"/>
            </w:tcBorders>
          </w:tcPr>
          <w:p w:rsidR="00A16958" w:rsidRPr="00A16958" w:rsidRDefault="00A16958" w:rsidP="00A16958">
            <w:pPr>
              <w:spacing w:before="0" w:line="240" w:lineRule="auto"/>
              <w:contextualSpacing/>
              <w:cnfStyle w:val="000000000000" w:firstRow="0" w:lastRow="0" w:firstColumn="0" w:lastColumn="0" w:oddVBand="0" w:evenVBand="0" w:oddHBand="0" w:evenHBand="0" w:firstRowFirstColumn="0" w:firstRowLastColumn="0" w:lastRowFirstColumn="0" w:lastRowLastColumn="0"/>
              <w:rPr>
                <w:rFonts w:cs="Arial"/>
                <w:sz w:val="20"/>
              </w:rPr>
            </w:pPr>
            <w:r w:rsidRPr="00A16958">
              <w:rPr>
                <w:rFonts w:cs="Arial"/>
                <w:sz w:val="20"/>
              </w:rPr>
              <w:t>N/A</w:t>
            </w:r>
          </w:p>
        </w:tc>
      </w:tr>
      <w:tr w:rsidR="00A16958" w:rsidRPr="00A16958" w:rsidTr="00A16958">
        <w:trPr>
          <w:trHeight w:val="340"/>
        </w:trPr>
        <w:tc>
          <w:tcPr>
            <w:cnfStyle w:val="001000000000" w:firstRow="0" w:lastRow="0" w:firstColumn="1" w:lastColumn="0" w:oddVBand="0" w:evenVBand="0" w:oddHBand="0" w:evenHBand="0" w:firstRowFirstColumn="0" w:firstRowLastColumn="0" w:lastRowFirstColumn="0" w:lastRowLastColumn="0"/>
            <w:tcW w:w="6600" w:type="dxa"/>
            <w:tcBorders>
              <w:bottom w:val="single" w:sz="2" w:space="0" w:color="000000"/>
            </w:tcBorders>
          </w:tcPr>
          <w:p w:rsidR="00A16958" w:rsidRPr="00A16958" w:rsidRDefault="00A16958" w:rsidP="00A16958">
            <w:pPr>
              <w:spacing w:before="0" w:line="240" w:lineRule="auto"/>
              <w:contextualSpacing/>
              <w:rPr>
                <w:rFonts w:cs="Arial"/>
                <w:sz w:val="20"/>
                <w:lang w:val="en-US"/>
              </w:rPr>
            </w:pPr>
            <w:r w:rsidRPr="00A16958">
              <w:rPr>
                <w:rFonts w:cs="Arial"/>
                <w:sz w:val="20"/>
                <w:lang w:val="en-US"/>
              </w:rPr>
              <w:t xml:space="preserve">   After housing costs (HX090’= ((HY020- HH070)*HY025) / HX050)</w:t>
            </w:r>
          </w:p>
        </w:tc>
        <w:tc>
          <w:tcPr>
            <w:tcW w:w="2839" w:type="dxa"/>
            <w:tcBorders>
              <w:bottom w:val="single" w:sz="2" w:space="0" w:color="000000"/>
            </w:tcBorders>
          </w:tcPr>
          <w:p w:rsidR="00A16958" w:rsidRPr="00A16958" w:rsidRDefault="00A16958" w:rsidP="00A16958">
            <w:pPr>
              <w:spacing w:before="0" w:line="240" w:lineRule="auto"/>
              <w:contextualSpacing/>
              <w:cnfStyle w:val="000000000000" w:firstRow="0" w:lastRow="0" w:firstColumn="0" w:lastColumn="0" w:oddVBand="0" w:evenVBand="0" w:oddHBand="0" w:evenHBand="0" w:firstRowFirstColumn="0" w:firstRowLastColumn="0" w:lastRowFirstColumn="0" w:lastRowLastColumn="0"/>
              <w:rPr>
                <w:rFonts w:cs="Arial"/>
                <w:sz w:val="20"/>
              </w:rPr>
            </w:pPr>
            <w:r w:rsidRPr="00A16958">
              <w:rPr>
                <w:rFonts w:cs="Arial"/>
                <w:sz w:val="20"/>
              </w:rPr>
              <w:t>N/A</w:t>
            </w:r>
          </w:p>
        </w:tc>
      </w:tr>
      <w:tr w:rsidR="00A16958" w:rsidRPr="00A16958" w:rsidTr="00A16958">
        <w:trPr>
          <w:trHeight w:val="340"/>
        </w:trPr>
        <w:tc>
          <w:tcPr>
            <w:cnfStyle w:val="001000000000" w:firstRow="0" w:lastRow="0" w:firstColumn="1" w:lastColumn="0" w:oddVBand="0" w:evenVBand="0" w:oddHBand="0" w:evenHBand="0" w:firstRowFirstColumn="0" w:firstRowLastColumn="0" w:lastRowFirstColumn="0" w:lastRowLastColumn="0"/>
            <w:tcW w:w="9439" w:type="dxa"/>
            <w:gridSpan w:val="2"/>
            <w:tcBorders>
              <w:top w:val="single" w:sz="2" w:space="0" w:color="000000"/>
              <w:bottom w:val="single" w:sz="2" w:space="0" w:color="000000"/>
              <w:right w:val="nil"/>
            </w:tcBorders>
          </w:tcPr>
          <w:p w:rsidR="00A16958" w:rsidRPr="00A16958" w:rsidRDefault="00A16958" w:rsidP="00A16958">
            <w:pPr>
              <w:spacing w:before="0" w:line="240" w:lineRule="auto"/>
              <w:contextualSpacing/>
              <w:rPr>
                <w:rFonts w:cs="Arial"/>
                <w:b/>
                <w:sz w:val="20"/>
              </w:rPr>
            </w:pPr>
            <w:r w:rsidRPr="00A16958">
              <w:rPr>
                <w:rFonts w:cs="Arial"/>
                <w:b/>
                <w:sz w:val="20"/>
              </w:rPr>
              <w:t>Demographic characteristics</w:t>
            </w:r>
          </w:p>
        </w:tc>
      </w:tr>
      <w:tr w:rsidR="00A16958" w:rsidRPr="00A16958" w:rsidTr="00A16958">
        <w:trPr>
          <w:trHeight w:val="340"/>
        </w:trPr>
        <w:tc>
          <w:tcPr>
            <w:cnfStyle w:val="001000000000" w:firstRow="0" w:lastRow="0" w:firstColumn="1" w:lastColumn="0" w:oddVBand="0" w:evenVBand="0" w:oddHBand="0" w:evenHBand="0" w:firstRowFirstColumn="0" w:firstRowLastColumn="0" w:lastRowFirstColumn="0" w:lastRowLastColumn="0"/>
            <w:tcW w:w="6600" w:type="dxa"/>
            <w:tcBorders>
              <w:top w:val="single" w:sz="2" w:space="0" w:color="000000"/>
            </w:tcBorders>
          </w:tcPr>
          <w:p w:rsidR="00A16958" w:rsidRPr="00A16958" w:rsidRDefault="00A16958" w:rsidP="00A16958">
            <w:pPr>
              <w:spacing w:before="0" w:line="240" w:lineRule="auto"/>
              <w:contextualSpacing/>
              <w:rPr>
                <w:rFonts w:cs="Arial"/>
                <w:sz w:val="20"/>
              </w:rPr>
            </w:pPr>
            <w:r w:rsidRPr="00A16958">
              <w:rPr>
                <w:rFonts w:cs="Arial"/>
                <w:sz w:val="20"/>
              </w:rPr>
              <w:t xml:space="preserve">  Household size: (HX040)</w:t>
            </w:r>
          </w:p>
        </w:tc>
        <w:tc>
          <w:tcPr>
            <w:tcW w:w="2839" w:type="dxa"/>
            <w:tcBorders>
              <w:top w:val="single" w:sz="2" w:space="0" w:color="000000"/>
            </w:tcBorders>
          </w:tcPr>
          <w:p w:rsidR="00A16958" w:rsidRPr="00A16958" w:rsidRDefault="00A16958" w:rsidP="00A16958">
            <w:pPr>
              <w:spacing w:before="0" w:line="240" w:lineRule="auto"/>
              <w:contextualSpacing/>
              <w:cnfStyle w:val="000000000000" w:firstRow="0" w:lastRow="0" w:firstColumn="0" w:lastColumn="0" w:oddVBand="0" w:evenVBand="0" w:oddHBand="0" w:evenHBand="0" w:firstRowFirstColumn="0" w:firstRowLastColumn="0" w:lastRowFirstColumn="0" w:lastRowLastColumn="0"/>
              <w:rPr>
                <w:rFonts w:cs="Arial"/>
                <w:sz w:val="20"/>
                <w:lang w:val="en-US"/>
              </w:rPr>
            </w:pPr>
            <w:r w:rsidRPr="00A16958">
              <w:rPr>
                <w:rFonts w:cs="Arial"/>
                <w:sz w:val="20"/>
                <w:lang w:val="en-US"/>
              </w:rPr>
              <w:t>Hhold Size</w:t>
            </w:r>
          </w:p>
        </w:tc>
      </w:tr>
      <w:tr w:rsidR="00A16958" w:rsidRPr="00A16958" w:rsidTr="00A16958">
        <w:trPr>
          <w:trHeight w:val="340"/>
        </w:trPr>
        <w:tc>
          <w:tcPr>
            <w:cnfStyle w:val="001000000000" w:firstRow="0" w:lastRow="0" w:firstColumn="1" w:lastColumn="0" w:oddVBand="0" w:evenVBand="0" w:oddHBand="0" w:evenHBand="0" w:firstRowFirstColumn="0" w:firstRowLastColumn="0" w:lastRowFirstColumn="0" w:lastRowLastColumn="0"/>
            <w:tcW w:w="6600" w:type="dxa"/>
          </w:tcPr>
          <w:p w:rsidR="00A16958" w:rsidRPr="00A16958" w:rsidRDefault="00A16958" w:rsidP="00A16958">
            <w:pPr>
              <w:spacing w:before="0" w:line="240" w:lineRule="auto"/>
              <w:contextualSpacing/>
              <w:rPr>
                <w:rFonts w:cs="Arial"/>
                <w:sz w:val="20"/>
              </w:rPr>
            </w:pPr>
            <w:r w:rsidRPr="00A16958">
              <w:rPr>
                <w:rFonts w:cs="Arial"/>
                <w:sz w:val="20"/>
              </w:rPr>
              <w:t xml:space="preserve">  Age:  (RX020)</w:t>
            </w:r>
          </w:p>
        </w:tc>
        <w:tc>
          <w:tcPr>
            <w:tcW w:w="2839" w:type="dxa"/>
          </w:tcPr>
          <w:p w:rsidR="00A16958" w:rsidRPr="00A16958" w:rsidRDefault="00A16958" w:rsidP="00A16958">
            <w:pPr>
              <w:spacing w:before="0" w:line="240" w:lineRule="auto"/>
              <w:contextualSpacing/>
              <w:cnfStyle w:val="000000000000" w:firstRow="0" w:lastRow="0" w:firstColumn="0" w:lastColumn="0" w:oddVBand="0" w:evenVBand="0" w:oddHBand="0" w:evenHBand="0" w:firstRowFirstColumn="0" w:firstRowLastColumn="0" w:lastRowFirstColumn="0" w:lastRowLastColumn="0"/>
              <w:rPr>
                <w:rFonts w:cs="Arial"/>
                <w:sz w:val="20"/>
                <w:lang w:val="en-US"/>
              </w:rPr>
            </w:pPr>
            <w:r w:rsidRPr="00A16958">
              <w:rPr>
                <w:rFonts w:cs="Arial"/>
                <w:sz w:val="20"/>
                <w:lang w:val="en-US"/>
              </w:rPr>
              <w:t xml:space="preserve">Age </w:t>
            </w:r>
          </w:p>
        </w:tc>
      </w:tr>
      <w:tr w:rsidR="00A16958" w:rsidRPr="00A16958" w:rsidTr="00A16958">
        <w:trPr>
          <w:trHeight w:val="340"/>
        </w:trPr>
        <w:tc>
          <w:tcPr>
            <w:cnfStyle w:val="001000000000" w:firstRow="0" w:lastRow="0" w:firstColumn="1" w:lastColumn="0" w:oddVBand="0" w:evenVBand="0" w:oddHBand="0" w:evenHBand="0" w:firstRowFirstColumn="0" w:firstRowLastColumn="0" w:lastRowFirstColumn="0" w:lastRowLastColumn="0"/>
            <w:tcW w:w="6600" w:type="dxa"/>
          </w:tcPr>
          <w:p w:rsidR="00A16958" w:rsidRPr="00A16958" w:rsidRDefault="00A16958" w:rsidP="00A16958">
            <w:pPr>
              <w:spacing w:before="0" w:line="240" w:lineRule="auto"/>
              <w:contextualSpacing/>
              <w:rPr>
                <w:rFonts w:cs="Arial"/>
                <w:sz w:val="20"/>
                <w:lang w:val="en-US"/>
              </w:rPr>
            </w:pPr>
            <w:r w:rsidRPr="00A16958">
              <w:rPr>
                <w:rFonts w:cs="Arial"/>
                <w:sz w:val="20"/>
                <w:lang w:val="en-US"/>
              </w:rPr>
              <w:t xml:space="preserve">  Sex</w:t>
            </w:r>
            <w:r w:rsidRPr="00A16958">
              <w:rPr>
                <w:rFonts w:cs="Arial"/>
                <w:sz w:val="20"/>
              </w:rPr>
              <w:t xml:space="preserve">: </w:t>
            </w:r>
            <w:r w:rsidRPr="00A16958">
              <w:rPr>
                <w:rFonts w:cs="Arial"/>
                <w:sz w:val="20"/>
                <w:lang w:val="en-US"/>
              </w:rPr>
              <w:t>(</w:t>
            </w:r>
            <w:r w:rsidRPr="00A16958">
              <w:rPr>
                <w:rFonts w:cs="Arial"/>
                <w:sz w:val="20"/>
              </w:rPr>
              <w:t>RB090</w:t>
            </w:r>
            <w:r w:rsidRPr="00A16958">
              <w:rPr>
                <w:rFonts w:cs="Arial"/>
                <w:sz w:val="20"/>
                <w:lang w:val="en-US"/>
              </w:rPr>
              <w:t>)</w:t>
            </w:r>
          </w:p>
        </w:tc>
        <w:tc>
          <w:tcPr>
            <w:tcW w:w="2839" w:type="dxa"/>
          </w:tcPr>
          <w:p w:rsidR="00A16958" w:rsidRPr="00A16958" w:rsidRDefault="00A16958" w:rsidP="00A16958">
            <w:pPr>
              <w:spacing w:before="0" w:line="240" w:lineRule="auto"/>
              <w:contextualSpacing/>
              <w:cnfStyle w:val="000000000000" w:firstRow="0" w:lastRow="0" w:firstColumn="0" w:lastColumn="0" w:oddVBand="0" w:evenVBand="0" w:oddHBand="0" w:evenHBand="0" w:firstRowFirstColumn="0" w:firstRowLastColumn="0" w:lastRowFirstColumn="0" w:lastRowLastColumn="0"/>
              <w:rPr>
                <w:rFonts w:cs="Arial"/>
                <w:sz w:val="20"/>
                <w:lang w:val="en-US"/>
              </w:rPr>
            </w:pPr>
            <w:r w:rsidRPr="00A16958">
              <w:rPr>
                <w:rFonts w:cs="Arial"/>
                <w:sz w:val="20"/>
                <w:lang w:val="en-US"/>
              </w:rPr>
              <w:t>Sex</w:t>
            </w:r>
          </w:p>
        </w:tc>
      </w:tr>
      <w:tr w:rsidR="00A16958" w:rsidRPr="00A16958" w:rsidTr="00A16958">
        <w:trPr>
          <w:trHeight w:val="340"/>
        </w:trPr>
        <w:tc>
          <w:tcPr>
            <w:cnfStyle w:val="001000000000" w:firstRow="0" w:lastRow="0" w:firstColumn="1" w:lastColumn="0" w:oddVBand="0" w:evenVBand="0" w:oddHBand="0" w:evenHBand="0" w:firstRowFirstColumn="0" w:firstRowLastColumn="0" w:lastRowFirstColumn="0" w:lastRowLastColumn="0"/>
            <w:tcW w:w="6600" w:type="dxa"/>
            <w:tcBorders>
              <w:bottom w:val="single" w:sz="2" w:space="0" w:color="000000"/>
            </w:tcBorders>
          </w:tcPr>
          <w:p w:rsidR="00A16958" w:rsidRPr="00A16958" w:rsidRDefault="00A16958" w:rsidP="00A16958">
            <w:pPr>
              <w:spacing w:before="0" w:line="240" w:lineRule="auto"/>
              <w:contextualSpacing/>
              <w:rPr>
                <w:rFonts w:cs="Arial"/>
                <w:sz w:val="20"/>
                <w:lang w:val="en-US"/>
              </w:rPr>
            </w:pPr>
            <w:r w:rsidRPr="00A16958">
              <w:rPr>
                <w:rFonts w:cs="Arial"/>
                <w:sz w:val="20"/>
                <w:lang w:val="en-US"/>
              </w:rPr>
              <w:t xml:space="preserve">  Citizenship: (PB220A)</w:t>
            </w:r>
          </w:p>
        </w:tc>
        <w:tc>
          <w:tcPr>
            <w:tcW w:w="2839" w:type="dxa"/>
            <w:tcBorders>
              <w:bottom w:val="single" w:sz="2" w:space="0" w:color="000000"/>
            </w:tcBorders>
          </w:tcPr>
          <w:p w:rsidR="00A16958" w:rsidRPr="00A16958" w:rsidRDefault="00A16958" w:rsidP="00A16958">
            <w:pPr>
              <w:spacing w:before="0" w:line="240" w:lineRule="auto"/>
              <w:contextualSpacing/>
              <w:cnfStyle w:val="000000000000" w:firstRow="0" w:lastRow="0" w:firstColumn="0" w:lastColumn="0" w:oddVBand="0" w:evenVBand="0" w:oddHBand="0" w:evenHBand="0" w:firstRowFirstColumn="0" w:firstRowLastColumn="0" w:lastRowFirstColumn="0" w:lastRowLastColumn="0"/>
              <w:rPr>
                <w:rFonts w:cs="Arial"/>
                <w:sz w:val="20"/>
                <w:lang w:val="en-US"/>
              </w:rPr>
            </w:pPr>
            <w:r w:rsidRPr="00A16958">
              <w:rPr>
                <w:rFonts w:cs="Arial"/>
                <w:sz w:val="20"/>
                <w:lang w:val="en-US"/>
              </w:rPr>
              <w:t>Nationality status</w:t>
            </w:r>
          </w:p>
        </w:tc>
      </w:tr>
      <w:tr w:rsidR="00A16958" w:rsidRPr="00A16958" w:rsidTr="00A16958">
        <w:trPr>
          <w:trHeight w:val="340"/>
        </w:trPr>
        <w:tc>
          <w:tcPr>
            <w:cnfStyle w:val="001000000000" w:firstRow="0" w:lastRow="0" w:firstColumn="1" w:lastColumn="0" w:oddVBand="0" w:evenVBand="0" w:oddHBand="0" w:evenHBand="0" w:firstRowFirstColumn="0" w:firstRowLastColumn="0" w:lastRowFirstColumn="0" w:lastRowLastColumn="0"/>
            <w:tcW w:w="9439" w:type="dxa"/>
            <w:gridSpan w:val="2"/>
            <w:tcBorders>
              <w:top w:val="single" w:sz="2" w:space="0" w:color="000000"/>
              <w:bottom w:val="single" w:sz="2" w:space="0" w:color="000000"/>
              <w:right w:val="nil"/>
            </w:tcBorders>
          </w:tcPr>
          <w:p w:rsidR="00A16958" w:rsidRPr="00A16958" w:rsidRDefault="00A16958" w:rsidP="00A16958">
            <w:pPr>
              <w:spacing w:before="0" w:line="240" w:lineRule="auto"/>
              <w:contextualSpacing/>
              <w:rPr>
                <w:rFonts w:cs="Arial"/>
                <w:b/>
                <w:sz w:val="20"/>
              </w:rPr>
            </w:pPr>
            <w:r w:rsidRPr="00A16958">
              <w:rPr>
                <w:rFonts w:cs="Arial"/>
                <w:b/>
                <w:sz w:val="20"/>
              </w:rPr>
              <w:t>Socio- economic characteristics</w:t>
            </w:r>
          </w:p>
        </w:tc>
      </w:tr>
      <w:tr w:rsidR="00A16958" w:rsidRPr="00A16958" w:rsidTr="00A16958">
        <w:trPr>
          <w:trHeight w:val="340"/>
        </w:trPr>
        <w:tc>
          <w:tcPr>
            <w:cnfStyle w:val="001000000000" w:firstRow="0" w:lastRow="0" w:firstColumn="1" w:lastColumn="0" w:oddVBand="0" w:evenVBand="0" w:oddHBand="0" w:evenHBand="0" w:firstRowFirstColumn="0" w:firstRowLastColumn="0" w:lastRowFirstColumn="0" w:lastRowLastColumn="0"/>
            <w:tcW w:w="6600" w:type="dxa"/>
            <w:tcBorders>
              <w:top w:val="single" w:sz="2" w:space="0" w:color="000000"/>
            </w:tcBorders>
          </w:tcPr>
          <w:p w:rsidR="00A16958" w:rsidRPr="00A16958" w:rsidRDefault="00A16958" w:rsidP="00A16958">
            <w:pPr>
              <w:spacing w:before="0" w:line="240" w:lineRule="auto"/>
              <w:contextualSpacing/>
              <w:rPr>
                <w:rFonts w:cs="Arial"/>
                <w:sz w:val="20"/>
                <w:lang w:val="en-US"/>
              </w:rPr>
            </w:pPr>
            <w:r w:rsidRPr="00A16958">
              <w:rPr>
                <w:rFonts w:cs="Arial"/>
                <w:sz w:val="20"/>
                <w:lang w:val="en-US"/>
              </w:rPr>
              <w:t xml:space="preserve">  Basic Economic Activities: (RB210)</w:t>
            </w:r>
          </w:p>
        </w:tc>
        <w:tc>
          <w:tcPr>
            <w:tcW w:w="2839" w:type="dxa"/>
            <w:tcBorders>
              <w:top w:val="single" w:sz="2" w:space="0" w:color="000000"/>
            </w:tcBorders>
          </w:tcPr>
          <w:p w:rsidR="00A16958" w:rsidRPr="00A16958" w:rsidRDefault="00A16958" w:rsidP="00A16958">
            <w:pPr>
              <w:spacing w:before="0" w:line="240" w:lineRule="auto"/>
              <w:contextualSpacing/>
              <w:cnfStyle w:val="000000000000" w:firstRow="0" w:lastRow="0" w:firstColumn="0" w:lastColumn="0" w:oddVBand="0" w:evenVBand="0" w:oddHBand="0" w:evenHBand="0" w:firstRowFirstColumn="0" w:firstRowLastColumn="0" w:lastRowFirstColumn="0" w:lastRowLastColumn="0"/>
              <w:rPr>
                <w:rFonts w:cs="Arial"/>
                <w:sz w:val="20"/>
              </w:rPr>
            </w:pPr>
            <w:r w:rsidRPr="00A16958">
              <w:rPr>
                <w:rFonts w:cs="Arial"/>
                <w:sz w:val="20"/>
                <w:lang w:val="en-US"/>
              </w:rPr>
              <w:t>O</w:t>
            </w:r>
            <w:r w:rsidRPr="00A16958">
              <w:rPr>
                <w:rFonts w:cs="Arial"/>
                <w:sz w:val="20"/>
              </w:rPr>
              <w:t>ccupational status</w:t>
            </w:r>
          </w:p>
        </w:tc>
      </w:tr>
      <w:tr w:rsidR="00A16958" w:rsidRPr="00A16958" w:rsidTr="00A16958">
        <w:trPr>
          <w:trHeight w:val="340"/>
        </w:trPr>
        <w:tc>
          <w:tcPr>
            <w:cnfStyle w:val="001000000000" w:firstRow="0" w:lastRow="0" w:firstColumn="1" w:lastColumn="0" w:oddVBand="0" w:evenVBand="0" w:oddHBand="0" w:evenHBand="0" w:firstRowFirstColumn="0" w:firstRowLastColumn="0" w:lastRowFirstColumn="0" w:lastRowLastColumn="0"/>
            <w:tcW w:w="6600" w:type="dxa"/>
          </w:tcPr>
          <w:p w:rsidR="00A16958" w:rsidRPr="00A16958" w:rsidRDefault="00A16958" w:rsidP="00A16958">
            <w:pPr>
              <w:spacing w:before="0" w:line="240" w:lineRule="auto"/>
              <w:contextualSpacing/>
              <w:rPr>
                <w:rFonts w:cs="Arial"/>
                <w:sz w:val="20"/>
                <w:lang w:val="en-US"/>
              </w:rPr>
            </w:pPr>
            <w:r w:rsidRPr="00A16958">
              <w:rPr>
                <w:rFonts w:cs="Arial"/>
                <w:sz w:val="20"/>
                <w:lang w:val="en-US"/>
              </w:rPr>
              <w:t xml:space="preserve">  Highest ISCED level attained: (PE040)</w:t>
            </w:r>
          </w:p>
        </w:tc>
        <w:tc>
          <w:tcPr>
            <w:tcW w:w="2839" w:type="dxa"/>
          </w:tcPr>
          <w:p w:rsidR="00A16958" w:rsidRPr="00A16958" w:rsidRDefault="00A16958" w:rsidP="00A16958">
            <w:pPr>
              <w:spacing w:before="0" w:line="240" w:lineRule="auto"/>
              <w:contextualSpacing/>
              <w:cnfStyle w:val="000000000000" w:firstRow="0" w:lastRow="0" w:firstColumn="0" w:lastColumn="0" w:oddVBand="0" w:evenVBand="0" w:oddHBand="0" w:evenHBand="0" w:firstRowFirstColumn="0" w:firstRowLastColumn="0" w:lastRowFirstColumn="0" w:lastRowLastColumn="0"/>
              <w:rPr>
                <w:rFonts w:cs="Arial"/>
                <w:sz w:val="20"/>
              </w:rPr>
            </w:pPr>
            <w:r w:rsidRPr="00A16958">
              <w:rPr>
                <w:rFonts w:cs="Arial"/>
                <w:sz w:val="20"/>
                <w:lang w:val="en-US"/>
              </w:rPr>
              <w:t>E</w:t>
            </w:r>
            <w:r w:rsidRPr="00A16958">
              <w:rPr>
                <w:rFonts w:cs="Arial"/>
                <w:sz w:val="20"/>
              </w:rPr>
              <w:t>ducation level</w:t>
            </w:r>
          </w:p>
        </w:tc>
      </w:tr>
      <w:tr w:rsidR="00A16958" w:rsidRPr="00A16958" w:rsidTr="00A16958">
        <w:trPr>
          <w:trHeight w:val="340"/>
        </w:trPr>
        <w:tc>
          <w:tcPr>
            <w:cnfStyle w:val="001000000000" w:firstRow="0" w:lastRow="0" w:firstColumn="1" w:lastColumn="0" w:oddVBand="0" w:evenVBand="0" w:oddHBand="0" w:evenHBand="0" w:firstRowFirstColumn="0" w:firstRowLastColumn="0" w:lastRowFirstColumn="0" w:lastRowLastColumn="0"/>
            <w:tcW w:w="6600" w:type="dxa"/>
          </w:tcPr>
          <w:p w:rsidR="00A16958" w:rsidRPr="00A16958" w:rsidRDefault="00A16958" w:rsidP="00A16958">
            <w:pPr>
              <w:spacing w:before="0" w:line="240" w:lineRule="auto"/>
              <w:contextualSpacing/>
              <w:rPr>
                <w:rFonts w:cs="Arial"/>
                <w:sz w:val="20"/>
              </w:rPr>
            </w:pPr>
            <w:r w:rsidRPr="00A16958">
              <w:rPr>
                <w:rFonts w:cs="Arial"/>
                <w:sz w:val="20"/>
              </w:rPr>
              <w:t xml:space="preserve">  Tenure: (HH02</w:t>
            </w:r>
            <w:r w:rsidRPr="00A16958">
              <w:rPr>
                <w:rFonts w:cs="Arial"/>
                <w:sz w:val="20"/>
                <w:lang w:val="en-US"/>
              </w:rPr>
              <w:t>1</w:t>
            </w:r>
            <w:r w:rsidRPr="00A16958">
              <w:rPr>
                <w:rFonts w:cs="Arial"/>
                <w:sz w:val="20"/>
              </w:rPr>
              <w:t>)</w:t>
            </w:r>
          </w:p>
        </w:tc>
        <w:tc>
          <w:tcPr>
            <w:tcW w:w="2839" w:type="dxa"/>
          </w:tcPr>
          <w:p w:rsidR="00A16958" w:rsidRPr="00A16958" w:rsidRDefault="00A16958" w:rsidP="00A16958">
            <w:pPr>
              <w:spacing w:before="0" w:line="240" w:lineRule="auto"/>
              <w:contextualSpacing/>
              <w:cnfStyle w:val="000000000000" w:firstRow="0" w:lastRow="0" w:firstColumn="0" w:lastColumn="0" w:oddVBand="0" w:evenVBand="0" w:oddHBand="0" w:evenHBand="0" w:firstRowFirstColumn="0" w:firstRowLastColumn="0" w:lastRowFirstColumn="0" w:lastRowLastColumn="0"/>
              <w:rPr>
                <w:rFonts w:cs="Arial"/>
                <w:sz w:val="20"/>
                <w:lang w:val="en-US"/>
              </w:rPr>
            </w:pPr>
            <w:r w:rsidRPr="00A16958">
              <w:rPr>
                <w:rFonts w:cs="Arial"/>
                <w:sz w:val="20"/>
                <w:lang w:val="en-US"/>
              </w:rPr>
              <w:t>Ostat</w:t>
            </w:r>
          </w:p>
        </w:tc>
      </w:tr>
      <w:tr w:rsidR="00A16958" w:rsidRPr="00A16958" w:rsidTr="00A16958">
        <w:trPr>
          <w:trHeight w:val="340"/>
        </w:trPr>
        <w:tc>
          <w:tcPr>
            <w:cnfStyle w:val="001000000000" w:firstRow="0" w:lastRow="0" w:firstColumn="1" w:lastColumn="0" w:oddVBand="0" w:evenVBand="0" w:oddHBand="0" w:evenHBand="0" w:firstRowFirstColumn="0" w:firstRowLastColumn="0" w:lastRowFirstColumn="0" w:lastRowLastColumn="0"/>
            <w:tcW w:w="6600" w:type="dxa"/>
            <w:tcBorders>
              <w:bottom w:val="single" w:sz="2" w:space="0" w:color="000000"/>
            </w:tcBorders>
          </w:tcPr>
          <w:p w:rsidR="00A16958" w:rsidRPr="00A16958" w:rsidRDefault="00A16958" w:rsidP="00A16958">
            <w:pPr>
              <w:spacing w:before="0" w:line="240" w:lineRule="auto"/>
              <w:contextualSpacing/>
              <w:rPr>
                <w:rFonts w:cs="Arial"/>
                <w:sz w:val="20"/>
              </w:rPr>
            </w:pPr>
            <w:r w:rsidRPr="00A16958">
              <w:rPr>
                <w:rFonts w:cs="Arial"/>
                <w:sz w:val="20"/>
              </w:rPr>
              <w:t xml:space="preserve">   </w:t>
            </w:r>
            <w:r w:rsidRPr="00A16958">
              <w:rPr>
                <w:rFonts w:cs="Arial"/>
                <w:sz w:val="20"/>
                <w:lang w:val="en-US"/>
              </w:rPr>
              <w:t>Marital Status</w:t>
            </w:r>
            <w:r w:rsidRPr="00A16958">
              <w:rPr>
                <w:rFonts w:cs="Arial"/>
                <w:sz w:val="20"/>
              </w:rPr>
              <w:t>: (P</w:t>
            </w:r>
            <w:r w:rsidRPr="00A16958">
              <w:rPr>
                <w:rFonts w:cs="Arial"/>
                <w:sz w:val="20"/>
                <w:lang w:val="en-US"/>
              </w:rPr>
              <w:t>B</w:t>
            </w:r>
            <w:r w:rsidRPr="00A16958">
              <w:rPr>
                <w:rFonts w:cs="Arial"/>
                <w:sz w:val="20"/>
              </w:rPr>
              <w:t>1</w:t>
            </w:r>
            <w:r w:rsidRPr="00A16958">
              <w:rPr>
                <w:rFonts w:cs="Arial"/>
                <w:sz w:val="20"/>
                <w:lang w:val="en-US"/>
              </w:rPr>
              <w:t>9</w:t>
            </w:r>
            <w:r w:rsidRPr="00A16958">
              <w:rPr>
                <w:rFonts w:cs="Arial"/>
                <w:sz w:val="20"/>
              </w:rPr>
              <w:t>0)</w:t>
            </w:r>
          </w:p>
        </w:tc>
        <w:tc>
          <w:tcPr>
            <w:tcW w:w="2839" w:type="dxa"/>
            <w:tcBorders>
              <w:bottom w:val="single" w:sz="2" w:space="0" w:color="000000"/>
            </w:tcBorders>
          </w:tcPr>
          <w:p w:rsidR="00A16958" w:rsidRPr="00A16958" w:rsidRDefault="00A16958" w:rsidP="00A16958">
            <w:pPr>
              <w:spacing w:before="0" w:line="240" w:lineRule="auto"/>
              <w:contextualSpacing/>
              <w:cnfStyle w:val="000000000000" w:firstRow="0" w:lastRow="0" w:firstColumn="0" w:lastColumn="0" w:oddVBand="0" w:evenVBand="0" w:oddHBand="0" w:evenHBand="0" w:firstRowFirstColumn="0" w:firstRowLastColumn="0" w:lastRowFirstColumn="0" w:lastRowLastColumn="0"/>
              <w:rPr>
                <w:rFonts w:cs="Arial"/>
                <w:sz w:val="20"/>
                <w:lang w:val="en-US"/>
              </w:rPr>
            </w:pPr>
            <w:r w:rsidRPr="00A16958">
              <w:rPr>
                <w:rFonts w:cs="Arial"/>
                <w:sz w:val="20"/>
                <w:lang w:val="en-US"/>
              </w:rPr>
              <w:t>Marital Status</w:t>
            </w:r>
          </w:p>
        </w:tc>
      </w:tr>
      <w:tr w:rsidR="00A16958" w:rsidRPr="00A16958" w:rsidTr="00A16958">
        <w:trPr>
          <w:trHeight w:val="340"/>
        </w:trPr>
        <w:tc>
          <w:tcPr>
            <w:cnfStyle w:val="001000000000" w:firstRow="0" w:lastRow="0" w:firstColumn="1" w:lastColumn="0" w:oddVBand="0" w:evenVBand="0" w:oddHBand="0" w:evenHBand="0" w:firstRowFirstColumn="0" w:firstRowLastColumn="0" w:lastRowFirstColumn="0" w:lastRowLastColumn="0"/>
            <w:tcW w:w="9439" w:type="dxa"/>
            <w:gridSpan w:val="2"/>
            <w:tcBorders>
              <w:top w:val="single" w:sz="2" w:space="0" w:color="000000"/>
              <w:bottom w:val="single" w:sz="2" w:space="0" w:color="000000"/>
              <w:right w:val="nil"/>
            </w:tcBorders>
          </w:tcPr>
          <w:p w:rsidR="00A16958" w:rsidRPr="00A16958" w:rsidRDefault="00A16958" w:rsidP="00A16958">
            <w:pPr>
              <w:spacing w:before="0" w:line="240" w:lineRule="auto"/>
              <w:contextualSpacing/>
              <w:rPr>
                <w:rFonts w:cs="Arial"/>
                <w:b/>
                <w:sz w:val="20"/>
              </w:rPr>
            </w:pPr>
            <w:r w:rsidRPr="00A16958">
              <w:rPr>
                <w:rFonts w:cs="Arial"/>
                <w:b/>
                <w:sz w:val="20"/>
              </w:rPr>
              <w:t>Housing characteristics</w:t>
            </w:r>
          </w:p>
        </w:tc>
      </w:tr>
      <w:tr w:rsidR="00A16958" w:rsidRPr="00A16958" w:rsidTr="00A16958">
        <w:trPr>
          <w:trHeight w:val="340"/>
        </w:trPr>
        <w:tc>
          <w:tcPr>
            <w:cnfStyle w:val="001000000000" w:firstRow="0" w:lastRow="0" w:firstColumn="1" w:lastColumn="0" w:oddVBand="0" w:evenVBand="0" w:oddHBand="0" w:evenHBand="0" w:firstRowFirstColumn="0" w:firstRowLastColumn="0" w:lastRowFirstColumn="0" w:lastRowLastColumn="0"/>
            <w:tcW w:w="6600" w:type="dxa"/>
            <w:tcBorders>
              <w:top w:val="single" w:sz="2" w:space="0" w:color="000000"/>
            </w:tcBorders>
          </w:tcPr>
          <w:p w:rsidR="00A16958" w:rsidRPr="00A16958" w:rsidRDefault="00A16958" w:rsidP="00A16958">
            <w:pPr>
              <w:spacing w:before="0" w:line="240" w:lineRule="auto"/>
              <w:contextualSpacing/>
              <w:rPr>
                <w:rFonts w:cs="Arial"/>
                <w:sz w:val="20"/>
                <w:lang w:val="en-US"/>
              </w:rPr>
            </w:pPr>
            <w:r w:rsidRPr="00A16958">
              <w:rPr>
                <w:rFonts w:cs="Arial"/>
                <w:sz w:val="20"/>
                <w:lang w:val="en-US"/>
              </w:rPr>
              <w:t xml:space="preserve">  Bath or shower in dwelling: (HH081)</w:t>
            </w:r>
          </w:p>
        </w:tc>
        <w:tc>
          <w:tcPr>
            <w:tcW w:w="2839" w:type="dxa"/>
            <w:tcBorders>
              <w:top w:val="single" w:sz="2" w:space="0" w:color="000000"/>
            </w:tcBorders>
          </w:tcPr>
          <w:p w:rsidR="00A16958" w:rsidRPr="00A16958" w:rsidRDefault="00A16958" w:rsidP="00A16958">
            <w:pPr>
              <w:spacing w:before="0" w:line="240" w:lineRule="auto"/>
              <w:contextualSpacing/>
              <w:cnfStyle w:val="000000000000" w:firstRow="0" w:lastRow="0" w:firstColumn="0" w:lastColumn="0" w:oddVBand="0" w:evenVBand="0" w:oddHBand="0" w:evenHBand="0" w:firstRowFirstColumn="0" w:firstRowLastColumn="0" w:lastRowFirstColumn="0" w:lastRowLastColumn="0"/>
              <w:rPr>
                <w:rFonts w:cs="Arial"/>
                <w:sz w:val="20"/>
              </w:rPr>
            </w:pPr>
            <w:r w:rsidRPr="00A16958">
              <w:rPr>
                <w:rFonts w:cs="Arial"/>
                <w:sz w:val="20"/>
                <w:lang w:val="en-US"/>
              </w:rPr>
              <w:t>S</w:t>
            </w:r>
            <w:r w:rsidRPr="00A16958">
              <w:rPr>
                <w:rFonts w:cs="Arial"/>
                <w:sz w:val="20"/>
              </w:rPr>
              <w:t>hower type</w:t>
            </w:r>
          </w:p>
        </w:tc>
      </w:tr>
      <w:tr w:rsidR="00A16958" w:rsidRPr="00A16958" w:rsidTr="00A16958">
        <w:trPr>
          <w:trHeight w:val="340"/>
        </w:trPr>
        <w:tc>
          <w:tcPr>
            <w:cnfStyle w:val="001000000000" w:firstRow="0" w:lastRow="0" w:firstColumn="1" w:lastColumn="0" w:oddVBand="0" w:evenVBand="0" w:oddHBand="0" w:evenHBand="0" w:firstRowFirstColumn="0" w:firstRowLastColumn="0" w:lastRowFirstColumn="0" w:lastRowLastColumn="0"/>
            <w:tcW w:w="6600" w:type="dxa"/>
          </w:tcPr>
          <w:p w:rsidR="00A16958" w:rsidRPr="00A16958" w:rsidRDefault="00A16958" w:rsidP="00A16958">
            <w:pPr>
              <w:spacing w:before="0" w:line="240" w:lineRule="auto"/>
              <w:contextualSpacing/>
              <w:rPr>
                <w:rFonts w:cs="Arial"/>
                <w:sz w:val="20"/>
                <w:lang w:val="en-US"/>
              </w:rPr>
            </w:pPr>
            <w:r w:rsidRPr="00A16958">
              <w:rPr>
                <w:rFonts w:cs="Arial"/>
                <w:sz w:val="20"/>
                <w:lang w:val="en-US"/>
              </w:rPr>
              <w:t xml:space="preserve">  Indoor flushing toilet for sole use: (HH091)</w:t>
            </w:r>
          </w:p>
        </w:tc>
        <w:tc>
          <w:tcPr>
            <w:tcW w:w="2839" w:type="dxa"/>
          </w:tcPr>
          <w:p w:rsidR="00A16958" w:rsidRPr="00A16958" w:rsidRDefault="00A16958" w:rsidP="00A16958">
            <w:pPr>
              <w:spacing w:before="0" w:line="240" w:lineRule="auto"/>
              <w:contextualSpacing/>
              <w:cnfStyle w:val="000000000000" w:firstRow="0" w:lastRow="0" w:firstColumn="0" w:lastColumn="0" w:oddVBand="0" w:evenVBand="0" w:oddHBand="0" w:evenHBand="0" w:firstRowFirstColumn="0" w:firstRowLastColumn="0" w:lastRowFirstColumn="0" w:lastRowLastColumn="0"/>
              <w:rPr>
                <w:rFonts w:cs="Arial"/>
                <w:sz w:val="20"/>
              </w:rPr>
            </w:pPr>
            <w:r w:rsidRPr="00A16958">
              <w:rPr>
                <w:rFonts w:cs="Arial"/>
                <w:sz w:val="20"/>
                <w:lang w:val="en-US"/>
              </w:rPr>
              <w:t>T</w:t>
            </w:r>
            <w:r w:rsidRPr="00A16958">
              <w:rPr>
                <w:rFonts w:cs="Arial"/>
                <w:sz w:val="20"/>
              </w:rPr>
              <w:t>oilet type</w:t>
            </w:r>
          </w:p>
        </w:tc>
      </w:tr>
    </w:tbl>
    <w:p w:rsidR="00A16958" w:rsidRDefault="00A16958" w:rsidP="00A16958">
      <w:pPr>
        <w:spacing w:line="240" w:lineRule="auto"/>
        <w:rPr>
          <w:rFonts w:cs="Arial"/>
          <w:b/>
          <w:szCs w:val="22"/>
          <w:lang w:val="en-US"/>
        </w:rPr>
      </w:pPr>
    </w:p>
    <w:p w:rsidR="00A16958" w:rsidRPr="00A16958" w:rsidRDefault="00A16958" w:rsidP="00A16958">
      <w:pPr>
        <w:spacing w:before="0" w:line="276" w:lineRule="auto"/>
        <w:rPr>
          <w:rFonts w:cs="Arial"/>
          <w:szCs w:val="22"/>
          <w:lang w:val="en-US"/>
        </w:rPr>
      </w:pPr>
      <w:r w:rsidRPr="00A16958">
        <w:rPr>
          <w:rFonts w:cs="Arial"/>
          <w:b/>
          <w:szCs w:val="22"/>
          <w:lang w:val="en-US"/>
        </w:rPr>
        <w:t xml:space="preserve">Before or after Housing Costs? </w:t>
      </w:r>
      <w:r w:rsidRPr="00A16958">
        <w:rPr>
          <w:rFonts w:cs="Arial"/>
          <w:szCs w:val="22"/>
          <w:lang w:val="en-US"/>
        </w:rPr>
        <w:t>Both. The measure of equivalised disposable income after housing costs was calculated as follows: HX090’= ((HY020- HH070)*HY025) / HX050.</w:t>
      </w:r>
    </w:p>
    <w:p w:rsidR="00A16958" w:rsidRPr="00A16958" w:rsidRDefault="00A16958" w:rsidP="00A16958">
      <w:pPr>
        <w:spacing w:before="0" w:line="276" w:lineRule="auto"/>
        <w:rPr>
          <w:rFonts w:cs="Arial"/>
          <w:szCs w:val="22"/>
        </w:rPr>
      </w:pPr>
      <w:r w:rsidRPr="00A16958">
        <w:rPr>
          <w:rFonts w:cs="Arial"/>
          <w:szCs w:val="22"/>
        </w:rPr>
        <w:t xml:space="preserve">Where: </w:t>
      </w:r>
    </w:p>
    <w:p w:rsidR="00A16958" w:rsidRPr="00A16958" w:rsidRDefault="00A16958" w:rsidP="00A16958">
      <w:pPr>
        <w:pStyle w:val="Luettelokappale"/>
        <w:numPr>
          <w:ilvl w:val="0"/>
          <w:numId w:val="14"/>
        </w:numPr>
        <w:spacing w:before="0" w:line="276" w:lineRule="auto"/>
        <w:jc w:val="left"/>
        <w:rPr>
          <w:rFonts w:cs="Arial"/>
          <w:szCs w:val="22"/>
        </w:rPr>
      </w:pPr>
      <w:r w:rsidRPr="00A16958">
        <w:rPr>
          <w:rFonts w:cs="Arial"/>
          <w:szCs w:val="22"/>
        </w:rPr>
        <w:t>HX090 - Equivalised disposable income, where HX090 =(HY020*HY025) / HX050</w:t>
      </w:r>
    </w:p>
    <w:p w:rsidR="00A16958" w:rsidRPr="00A16958" w:rsidRDefault="00A16958" w:rsidP="00A16958">
      <w:pPr>
        <w:pStyle w:val="Luettelokappale"/>
        <w:numPr>
          <w:ilvl w:val="0"/>
          <w:numId w:val="14"/>
        </w:numPr>
        <w:spacing w:before="0" w:line="276" w:lineRule="auto"/>
        <w:jc w:val="left"/>
        <w:rPr>
          <w:rFonts w:cs="Arial"/>
          <w:szCs w:val="22"/>
        </w:rPr>
      </w:pPr>
      <w:r w:rsidRPr="00A16958">
        <w:rPr>
          <w:rFonts w:cs="Arial"/>
          <w:szCs w:val="22"/>
        </w:rPr>
        <w:t>HH070 - Total housing cost</w:t>
      </w:r>
    </w:p>
    <w:p w:rsidR="00A16958" w:rsidRPr="00A16958" w:rsidRDefault="00A16958" w:rsidP="00A16958">
      <w:pPr>
        <w:pStyle w:val="Luettelokappale"/>
        <w:numPr>
          <w:ilvl w:val="0"/>
          <w:numId w:val="14"/>
        </w:numPr>
        <w:spacing w:before="0" w:line="276" w:lineRule="auto"/>
        <w:jc w:val="left"/>
        <w:rPr>
          <w:rFonts w:cs="Arial"/>
          <w:szCs w:val="22"/>
        </w:rPr>
      </w:pPr>
      <w:r w:rsidRPr="00A16958">
        <w:rPr>
          <w:rFonts w:cs="Arial"/>
          <w:szCs w:val="22"/>
        </w:rPr>
        <w:t>HY020 - Total disposable household income</w:t>
      </w:r>
    </w:p>
    <w:p w:rsidR="00A16958" w:rsidRPr="00A16958" w:rsidRDefault="00A16958" w:rsidP="00A16958">
      <w:pPr>
        <w:pStyle w:val="Luettelokappale"/>
        <w:numPr>
          <w:ilvl w:val="0"/>
          <w:numId w:val="14"/>
        </w:numPr>
        <w:spacing w:before="0" w:line="276" w:lineRule="auto"/>
        <w:jc w:val="left"/>
        <w:rPr>
          <w:rFonts w:cs="Arial"/>
          <w:szCs w:val="22"/>
        </w:rPr>
      </w:pPr>
      <w:r w:rsidRPr="00A16958">
        <w:rPr>
          <w:rFonts w:cs="Arial"/>
          <w:szCs w:val="22"/>
        </w:rPr>
        <w:t>HY025 - Within-household non-response inflation factor</w:t>
      </w:r>
    </w:p>
    <w:p w:rsidR="00A16958" w:rsidRPr="00A16958" w:rsidRDefault="00A16958" w:rsidP="00A16958">
      <w:pPr>
        <w:pStyle w:val="Luettelokappale"/>
        <w:numPr>
          <w:ilvl w:val="0"/>
          <w:numId w:val="14"/>
        </w:numPr>
        <w:spacing w:before="0" w:line="276" w:lineRule="auto"/>
        <w:jc w:val="left"/>
        <w:rPr>
          <w:rFonts w:cs="Arial"/>
          <w:szCs w:val="22"/>
        </w:rPr>
      </w:pPr>
      <w:r w:rsidRPr="00A16958">
        <w:rPr>
          <w:rFonts w:cs="Arial"/>
          <w:szCs w:val="22"/>
        </w:rPr>
        <w:t>HX050 - Equivalised household size</w:t>
      </w:r>
    </w:p>
    <w:p w:rsidR="00A16958" w:rsidRPr="00A16958" w:rsidRDefault="00A16958" w:rsidP="00A16958">
      <w:pPr>
        <w:spacing w:before="0" w:line="276" w:lineRule="auto"/>
        <w:rPr>
          <w:rFonts w:cs="Arial"/>
          <w:szCs w:val="22"/>
        </w:rPr>
      </w:pPr>
    </w:p>
    <w:p w:rsidR="00A16958" w:rsidRPr="00A16958" w:rsidRDefault="00A16958" w:rsidP="00A16958">
      <w:pPr>
        <w:spacing w:before="0" w:line="276" w:lineRule="auto"/>
        <w:rPr>
          <w:rFonts w:cs="Arial"/>
          <w:szCs w:val="22"/>
          <w:lang w:val="en-US"/>
        </w:rPr>
      </w:pPr>
      <w:r w:rsidRPr="00A16958">
        <w:rPr>
          <w:rFonts w:cs="Arial"/>
          <w:b/>
          <w:szCs w:val="22"/>
          <w:lang w:val="en-US"/>
        </w:rPr>
        <w:lastRenderedPageBreak/>
        <w:t>NUTS Level of estimates:</w:t>
      </w:r>
      <w:r w:rsidRPr="00A16958">
        <w:rPr>
          <w:rFonts w:cs="Arial"/>
          <w:szCs w:val="22"/>
          <w:lang w:val="en-US"/>
        </w:rPr>
        <w:t xml:space="preserve"> NUTS 3</w:t>
      </w:r>
    </w:p>
    <w:p w:rsidR="00A16958" w:rsidRPr="00A16958" w:rsidRDefault="00A16958" w:rsidP="00A16958">
      <w:pPr>
        <w:spacing w:before="0" w:line="276" w:lineRule="auto"/>
        <w:rPr>
          <w:rFonts w:cs="Arial"/>
          <w:szCs w:val="22"/>
        </w:rPr>
      </w:pPr>
      <w:r w:rsidRPr="00A16958">
        <w:rPr>
          <w:rFonts w:cs="Arial"/>
          <w:b/>
          <w:szCs w:val="22"/>
          <w:lang w:val="en-US"/>
        </w:rPr>
        <w:t>Adjusted to agree with Eurostat published AROP rates?</w:t>
      </w:r>
      <w:r w:rsidRPr="00A16958">
        <w:rPr>
          <w:rFonts w:cs="Arial"/>
          <w:szCs w:val="22"/>
          <w:lang w:val="en-US"/>
        </w:rPr>
        <w:t xml:space="preserve"> </w:t>
      </w:r>
      <w:r w:rsidRPr="00A16958">
        <w:rPr>
          <w:rFonts w:cs="Arial"/>
          <w:szCs w:val="22"/>
        </w:rPr>
        <w:t>No.</w:t>
      </w:r>
    </w:p>
    <w:p w:rsidR="00A16958" w:rsidRPr="00A16958" w:rsidRDefault="00A16958" w:rsidP="00A16958">
      <w:pPr>
        <w:spacing w:before="0" w:line="276" w:lineRule="auto"/>
        <w:rPr>
          <w:rFonts w:cs="Arial"/>
          <w:b/>
          <w:szCs w:val="22"/>
        </w:rPr>
      </w:pPr>
      <w:r w:rsidRPr="00A16958">
        <w:rPr>
          <w:rFonts w:cs="Arial"/>
          <w:b/>
          <w:szCs w:val="22"/>
        </w:rPr>
        <w:t xml:space="preserve">Comments: </w:t>
      </w:r>
      <w:r w:rsidRPr="00A16958">
        <w:rPr>
          <w:rFonts w:cs="Arial"/>
          <w:szCs w:val="22"/>
        </w:rPr>
        <w:t>None.</w:t>
      </w:r>
    </w:p>
    <w:p w:rsidR="00A16958" w:rsidRPr="00D06229" w:rsidRDefault="00A16958" w:rsidP="00A16958">
      <w:pPr>
        <w:spacing w:before="0" w:line="276" w:lineRule="auto"/>
        <w:rPr>
          <w:rFonts w:cs="Arial"/>
          <w:b/>
        </w:rPr>
      </w:pPr>
    </w:p>
    <w:p w:rsidR="00D06229" w:rsidRPr="00CF1CB1" w:rsidRDefault="00D06229" w:rsidP="00A16958">
      <w:pPr>
        <w:spacing w:before="0" w:line="276" w:lineRule="auto"/>
        <w:rPr>
          <w:b/>
        </w:rPr>
      </w:pPr>
    </w:p>
    <w:p w:rsidR="00D043D7" w:rsidRDefault="00D043D7" w:rsidP="00A16958">
      <w:pPr>
        <w:spacing w:before="0" w:line="276" w:lineRule="auto"/>
        <w:jc w:val="left"/>
        <w:rPr>
          <w:b/>
        </w:rPr>
      </w:pPr>
      <w:r>
        <w:rPr>
          <w:b/>
        </w:rPr>
        <w:br w:type="page"/>
      </w:r>
    </w:p>
    <w:p w:rsidR="00D043D7" w:rsidRPr="00DF5D62" w:rsidRDefault="00D043D7" w:rsidP="00A16958">
      <w:pPr>
        <w:spacing w:before="0" w:line="276" w:lineRule="auto"/>
        <w:rPr>
          <w:color w:val="000000" w:themeColor="text1"/>
        </w:rPr>
      </w:pPr>
      <w:r w:rsidRPr="00DF5D62">
        <w:rPr>
          <w:b/>
          <w:color w:val="000000" w:themeColor="text1"/>
        </w:rPr>
        <w:lastRenderedPageBreak/>
        <w:t>Country:</w:t>
      </w:r>
      <w:r w:rsidRPr="00DF5D62">
        <w:rPr>
          <w:color w:val="000000" w:themeColor="text1"/>
        </w:rPr>
        <w:t xml:space="preserve"> Iceland</w:t>
      </w:r>
    </w:p>
    <w:p w:rsidR="00A16958" w:rsidRDefault="00A16958" w:rsidP="00A16958">
      <w:pPr>
        <w:spacing w:before="0" w:line="276" w:lineRule="auto"/>
        <w:rPr>
          <w:b/>
          <w:color w:val="000000" w:themeColor="text1"/>
        </w:rPr>
      </w:pPr>
    </w:p>
    <w:p w:rsidR="00D043D7" w:rsidRPr="00DF5D62" w:rsidRDefault="00D043D7" w:rsidP="00A16958">
      <w:pPr>
        <w:spacing w:before="0" w:line="276" w:lineRule="auto"/>
        <w:rPr>
          <w:color w:val="000000" w:themeColor="text1"/>
        </w:rPr>
      </w:pPr>
      <w:r w:rsidRPr="00DF5D62">
        <w:rPr>
          <w:b/>
          <w:color w:val="000000" w:themeColor="text1"/>
        </w:rPr>
        <w:t>Partner responsible</w:t>
      </w:r>
      <w:r w:rsidRPr="00DF5D62">
        <w:rPr>
          <w:color w:val="000000" w:themeColor="text1"/>
        </w:rPr>
        <w:t>: Nordregio, Stockholm, Sweden</w:t>
      </w:r>
    </w:p>
    <w:p w:rsidR="00D043D7" w:rsidRDefault="00D043D7" w:rsidP="00A16958">
      <w:pPr>
        <w:spacing w:before="0" w:line="276" w:lineRule="auto"/>
      </w:pPr>
      <w:r w:rsidRPr="00236856">
        <w:rPr>
          <w:b/>
        </w:rPr>
        <w:t>Contact Person:</w:t>
      </w:r>
      <w:r w:rsidRPr="00236856">
        <w:t xml:space="preserve"> </w:t>
      </w:r>
      <w:r w:rsidRPr="00F75DF0">
        <w:t>Petri Kahila (</w:t>
      </w:r>
      <w:hyperlink r:id="rId81" w:history="1">
        <w:r w:rsidRPr="00C53EC4">
          <w:rPr>
            <w:rStyle w:val="Hyperlinkki"/>
          </w:rPr>
          <w:t>petri.kahila@uef.fi</w:t>
        </w:r>
      </w:hyperlink>
      <w:r w:rsidRPr="00F75DF0">
        <w:t>)</w:t>
      </w:r>
    </w:p>
    <w:p w:rsidR="00D043D7" w:rsidRPr="00DF5D62" w:rsidRDefault="00D043D7" w:rsidP="00A16958">
      <w:pPr>
        <w:spacing w:before="0" w:line="276" w:lineRule="auto"/>
        <w:rPr>
          <w:color w:val="000000" w:themeColor="text1"/>
        </w:rPr>
      </w:pPr>
      <w:r w:rsidRPr="00DF5D62">
        <w:rPr>
          <w:b/>
          <w:color w:val="000000" w:themeColor="text1"/>
        </w:rPr>
        <w:t>Date:</w:t>
      </w:r>
      <w:r w:rsidRPr="00DF5D62">
        <w:rPr>
          <w:color w:val="000000" w:themeColor="text1"/>
        </w:rPr>
        <w:t xml:space="preserve"> 02/27/14</w:t>
      </w:r>
    </w:p>
    <w:p w:rsidR="00D043D7" w:rsidRPr="00DF5D62" w:rsidRDefault="00D043D7" w:rsidP="00A16958">
      <w:pPr>
        <w:spacing w:before="0" w:line="276" w:lineRule="auto"/>
        <w:rPr>
          <w:color w:val="000000" w:themeColor="text1"/>
        </w:rPr>
      </w:pPr>
      <w:r w:rsidRPr="00DF5D62">
        <w:rPr>
          <w:b/>
          <w:color w:val="000000" w:themeColor="text1"/>
        </w:rPr>
        <w:t>Methodology Used:</w:t>
      </w:r>
      <w:r w:rsidRPr="00DF5D62">
        <w:rPr>
          <w:color w:val="000000" w:themeColor="text1"/>
        </w:rPr>
        <w:t xml:space="preserve"> </w:t>
      </w:r>
      <w:r w:rsidR="00152E8C">
        <w:rPr>
          <w:color w:val="000000" w:themeColor="text1"/>
        </w:rPr>
        <w:t xml:space="preserve">Data derived from </w:t>
      </w:r>
      <w:r w:rsidRPr="00DF5D62">
        <w:rPr>
          <w:color w:val="000000" w:themeColor="text1"/>
        </w:rPr>
        <w:t>EU-SILC Survey</w:t>
      </w:r>
    </w:p>
    <w:p w:rsidR="00D043D7" w:rsidRPr="00DD3B6E" w:rsidRDefault="00D043D7" w:rsidP="00A16958">
      <w:pPr>
        <w:spacing w:before="0" w:line="276" w:lineRule="auto"/>
      </w:pPr>
      <w:r>
        <w:rPr>
          <w:b/>
        </w:rPr>
        <w:t>Constraints on Choice of Methodology:</w:t>
      </w:r>
      <w:r>
        <w:t xml:space="preserve"> National data, unable to delve into regional variations. </w:t>
      </w:r>
    </w:p>
    <w:p w:rsidR="00D043D7" w:rsidRDefault="00D043D7" w:rsidP="00A16958">
      <w:pPr>
        <w:spacing w:before="0" w:line="276" w:lineRule="auto"/>
      </w:pPr>
      <w:r w:rsidRPr="000311DA">
        <w:rPr>
          <w:b/>
        </w:rPr>
        <w:t>Source(s) of raw data:</w:t>
      </w:r>
      <w:r w:rsidRPr="000311DA">
        <w:t xml:space="preserve"> </w:t>
      </w:r>
    </w:p>
    <w:p w:rsidR="00D043D7" w:rsidRPr="0021635C" w:rsidRDefault="00D043D7" w:rsidP="00A16958">
      <w:pPr>
        <w:pStyle w:val="Luettelokappale"/>
        <w:numPr>
          <w:ilvl w:val="0"/>
          <w:numId w:val="10"/>
        </w:numPr>
        <w:spacing w:before="0" w:line="276" w:lineRule="auto"/>
        <w:jc w:val="left"/>
      </w:pPr>
      <w:r w:rsidRPr="0021635C">
        <w:t xml:space="preserve">NUTS 1 &amp; NUTS 2 </w:t>
      </w:r>
      <w:r w:rsidR="008632AA">
        <w:t>ARoP</w:t>
      </w:r>
      <w:r w:rsidRPr="0021635C">
        <w:t xml:space="preserve"> rates produced by </w:t>
      </w:r>
      <w:r>
        <w:t xml:space="preserve">Statistics Iceland. Available from: </w:t>
      </w:r>
      <w:hyperlink r:id="rId82" w:history="1">
        <w:r w:rsidRPr="00DA67E2">
          <w:rPr>
            <w:rStyle w:val="Hyperlinkki"/>
          </w:rPr>
          <w:t>http://www.statice.is/?PageID=1825&amp;src=https://rannsokn.hagstofa.is/pxen/Dialog/varval.asp?ma=VIN07130%26ti=At-risk-of-povety+or+social+exclusion%2C+2004-2012++++++++++++++%26path=../Database/vinnumarkadur/tekjudreifing/%26lang=1%26units=Indicator</w:t>
        </w:r>
      </w:hyperlink>
      <w:r>
        <w:t xml:space="preserve"> </w:t>
      </w:r>
    </w:p>
    <w:p w:rsidR="00D043D7" w:rsidRPr="00DF5D62" w:rsidRDefault="00D043D7" w:rsidP="00A16958">
      <w:pPr>
        <w:spacing w:before="0" w:line="276" w:lineRule="auto"/>
        <w:rPr>
          <w:color w:val="000000" w:themeColor="text1"/>
        </w:rPr>
      </w:pPr>
      <w:r w:rsidRPr="00DF5D62">
        <w:rPr>
          <w:b/>
          <w:color w:val="000000" w:themeColor="text1"/>
        </w:rPr>
        <w:t xml:space="preserve">Date(s) of raw data: </w:t>
      </w:r>
      <w:r w:rsidRPr="00DF5D62">
        <w:rPr>
          <w:color w:val="000000" w:themeColor="text1"/>
        </w:rPr>
        <w:t>EU-SILC data with modified OECD scale – 2010</w:t>
      </w:r>
    </w:p>
    <w:p w:rsidR="00D043D7" w:rsidRPr="00DF5D62" w:rsidRDefault="00D043D7" w:rsidP="00A16958">
      <w:pPr>
        <w:spacing w:before="0" w:line="276" w:lineRule="auto"/>
        <w:rPr>
          <w:color w:val="000000" w:themeColor="text1"/>
        </w:rPr>
      </w:pPr>
      <w:r w:rsidRPr="00DF5D62">
        <w:rPr>
          <w:b/>
          <w:color w:val="000000" w:themeColor="text1"/>
        </w:rPr>
        <w:t>Variables used:</w:t>
      </w:r>
      <w:r w:rsidRPr="00DF5D62">
        <w:rPr>
          <w:color w:val="000000" w:themeColor="text1"/>
        </w:rPr>
        <w:t xml:space="preserve"> National - Disposable income of under 60% of the median for 2010</w:t>
      </w:r>
    </w:p>
    <w:p w:rsidR="00D043D7" w:rsidRDefault="00D043D7" w:rsidP="00A16958">
      <w:pPr>
        <w:spacing w:before="0" w:line="276" w:lineRule="auto"/>
      </w:pPr>
      <w:r w:rsidRPr="0018643B">
        <w:rPr>
          <w:b/>
        </w:rPr>
        <w:t>Before or after Housing Costs?</w:t>
      </w:r>
      <w:r>
        <w:rPr>
          <w:b/>
        </w:rPr>
        <w:t xml:space="preserve"> </w:t>
      </w:r>
      <w:r>
        <w:t>Before</w:t>
      </w:r>
    </w:p>
    <w:p w:rsidR="00D043D7" w:rsidRDefault="00D043D7" w:rsidP="00A16958">
      <w:pPr>
        <w:spacing w:before="0" w:line="276" w:lineRule="auto"/>
      </w:pPr>
      <w:r w:rsidRPr="00CF1CB1">
        <w:rPr>
          <w:b/>
        </w:rPr>
        <w:t>NUTS Level of estimates:</w:t>
      </w:r>
      <w:r>
        <w:t xml:space="preserve">  NUTS 1/NUTS 2</w:t>
      </w:r>
    </w:p>
    <w:p w:rsidR="00D043D7" w:rsidRDefault="00D043D7" w:rsidP="00A16958">
      <w:pPr>
        <w:spacing w:before="0" w:line="276" w:lineRule="auto"/>
      </w:pPr>
      <w:r w:rsidRPr="00455DC7">
        <w:rPr>
          <w:b/>
        </w:rPr>
        <w:t xml:space="preserve">Adjusted to agree with Eurostat published </w:t>
      </w:r>
      <w:r w:rsidR="008632AA">
        <w:rPr>
          <w:b/>
        </w:rPr>
        <w:t>AROP</w:t>
      </w:r>
      <w:r w:rsidRPr="00455DC7">
        <w:rPr>
          <w:b/>
        </w:rPr>
        <w:t xml:space="preserve"> rates?</w:t>
      </w:r>
      <w:r w:rsidRPr="00455DC7">
        <w:t xml:space="preserve"> </w:t>
      </w:r>
      <w:r>
        <w:t>No</w:t>
      </w:r>
    </w:p>
    <w:p w:rsidR="00D043D7" w:rsidRDefault="00D043D7" w:rsidP="00A16958">
      <w:pPr>
        <w:spacing w:before="0" w:line="276" w:lineRule="auto"/>
      </w:pPr>
      <w:r w:rsidRPr="00CF1CB1">
        <w:rPr>
          <w:b/>
        </w:rPr>
        <w:t>Comments:</w:t>
      </w:r>
      <w:r w:rsidRPr="00365B69">
        <w:t xml:space="preserve"> </w:t>
      </w:r>
    </w:p>
    <w:p w:rsidR="00D043D7" w:rsidRDefault="00D043D7" w:rsidP="00A16958">
      <w:pPr>
        <w:pStyle w:val="Luettelokappale"/>
        <w:numPr>
          <w:ilvl w:val="0"/>
          <w:numId w:val="11"/>
        </w:numPr>
        <w:spacing w:before="0" w:line="276" w:lineRule="auto"/>
        <w:jc w:val="left"/>
      </w:pPr>
      <w:r w:rsidRPr="00DD3B6E">
        <w:t>At-risk-of-poverty rate is the rate of individuals that fall under</w:t>
      </w:r>
      <w:r>
        <w:t xml:space="preserve"> </w:t>
      </w:r>
      <w:r w:rsidRPr="00DD3B6E">
        <w:t>the at-risk-of-poverty threshold. The at-risk-of-poverty threshold is</w:t>
      </w:r>
      <w:r>
        <w:t xml:space="preserve"> </w:t>
      </w:r>
      <w:r w:rsidRPr="00DD3B6E">
        <w:t>defined as 60% of the median equivalised disposable income.</w:t>
      </w:r>
      <w:r>
        <w:t xml:space="preserve"> </w:t>
      </w:r>
    </w:p>
    <w:p w:rsidR="00D043D7" w:rsidRDefault="00D043D7" w:rsidP="00A16958">
      <w:pPr>
        <w:pStyle w:val="Luettelokappale"/>
        <w:numPr>
          <w:ilvl w:val="0"/>
          <w:numId w:val="11"/>
        </w:numPr>
        <w:spacing w:before="0" w:line="276" w:lineRule="auto"/>
        <w:jc w:val="left"/>
      </w:pPr>
      <w:r w:rsidRPr="00DD3B6E">
        <w:t>Equivalised disposable income depends on the disposable income of the</w:t>
      </w:r>
      <w:r>
        <w:t xml:space="preserve"> </w:t>
      </w:r>
      <w:r w:rsidRPr="00DD3B6E">
        <w:t>household and how many people are living from that income.</w:t>
      </w:r>
    </w:p>
    <w:p w:rsidR="00D043D7" w:rsidRDefault="00D043D7" w:rsidP="00A16958">
      <w:pPr>
        <w:pStyle w:val="Luettelokappale"/>
        <w:numPr>
          <w:ilvl w:val="0"/>
          <w:numId w:val="11"/>
        </w:numPr>
        <w:spacing w:before="0" w:line="276" w:lineRule="auto"/>
        <w:jc w:val="left"/>
      </w:pPr>
      <w:r>
        <w:t>Only national level data is available. This corresponds to the NUTS 1 &amp; NUTS 2 scales.</w:t>
      </w:r>
    </w:p>
    <w:p w:rsidR="00D043D7" w:rsidRDefault="003D13BD" w:rsidP="00A16958">
      <w:pPr>
        <w:spacing w:before="0" w:line="276" w:lineRule="auto"/>
      </w:pPr>
      <w:r>
        <w:rPr>
          <w:noProof/>
        </w:rPr>
        <w:br w:type="page"/>
      </w:r>
      <w:r w:rsidR="00D043D7" w:rsidRPr="00AB038B">
        <w:rPr>
          <w:b/>
        </w:rPr>
        <w:lastRenderedPageBreak/>
        <w:t>Country:</w:t>
      </w:r>
      <w:r w:rsidR="00D043D7">
        <w:t xml:space="preserve"> Ireland</w:t>
      </w:r>
    </w:p>
    <w:p w:rsidR="00A16958" w:rsidRDefault="00A16958" w:rsidP="00A16958">
      <w:pPr>
        <w:spacing w:before="0" w:line="276" w:lineRule="auto"/>
        <w:rPr>
          <w:b/>
        </w:rPr>
      </w:pPr>
    </w:p>
    <w:p w:rsidR="00D043D7" w:rsidRDefault="00D043D7" w:rsidP="00A16958">
      <w:pPr>
        <w:spacing w:before="0" w:line="276" w:lineRule="auto"/>
        <w:rPr>
          <w:color w:val="002060"/>
        </w:rPr>
      </w:pPr>
      <w:r w:rsidRPr="00AB038B">
        <w:rPr>
          <w:b/>
        </w:rPr>
        <w:t>Partner responsible</w:t>
      </w:r>
      <w:r>
        <w:t>: The James Hutton Institute (Aberdeen)</w:t>
      </w:r>
    </w:p>
    <w:p w:rsidR="00D043D7" w:rsidRDefault="00D043D7" w:rsidP="00A16958">
      <w:pPr>
        <w:spacing w:before="0" w:line="276" w:lineRule="auto"/>
      </w:pPr>
      <w:r w:rsidRPr="00236856">
        <w:rPr>
          <w:b/>
        </w:rPr>
        <w:t>Contact Person:</w:t>
      </w:r>
      <w:r w:rsidRPr="00236856">
        <w:t xml:space="preserve"> </w:t>
      </w:r>
      <w:r>
        <w:t>Andrew Copus (</w:t>
      </w:r>
      <w:hyperlink r:id="rId83" w:history="1">
        <w:r w:rsidRPr="00C53EC4">
          <w:rPr>
            <w:rStyle w:val="Hyperlinkki"/>
          </w:rPr>
          <w:t>andrew.copus@hutton.ac.uk</w:t>
        </w:r>
      </w:hyperlink>
      <w:r>
        <w:t>)</w:t>
      </w:r>
    </w:p>
    <w:p w:rsidR="00D043D7" w:rsidRDefault="00D043D7" w:rsidP="00A16958">
      <w:pPr>
        <w:spacing w:before="0" w:line="276" w:lineRule="auto"/>
      </w:pPr>
      <w:r w:rsidRPr="00455DC7">
        <w:rPr>
          <w:b/>
        </w:rPr>
        <w:t>Date:</w:t>
      </w:r>
      <w:r w:rsidRPr="00455DC7">
        <w:t xml:space="preserve"> </w:t>
      </w:r>
      <w:r>
        <w:t>07/03/14</w:t>
      </w:r>
    </w:p>
    <w:p w:rsidR="00D043D7" w:rsidRPr="00DF5D62" w:rsidRDefault="00D043D7" w:rsidP="00A16958">
      <w:pPr>
        <w:spacing w:before="0" w:line="276" w:lineRule="auto"/>
        <w:rPr>
          <w:color w:val="000000" w:themeColor="text1"/>
        </w:rPr>
      </w:pPr>
      <w:r w:rsidRPr="00DF5D62">
        <w:rPr>
          <w:b/>
          <w:color w:val="000000" w:themeColor="text1"/>
        </w:rPr>
        <w:t>Methodology Used:</w:t>
      </w:r>
      <w:r w:rsidRPr="00DF5D62">
        <w:rPr>
          <w:color w:val="000000" w:themeColor="text1"/>
        </w:rPr>
        <w:t xml:space="preserve"> Official data published by the Irish Central Statistical Office. They are derived directly from EU-SILC. It appears that these figures are before housing cost.</w:t>
      </w:r>
    </w:p>
    <w:p w:rsidR="00D043D7" w:rsidRPr="008F3EC6" w:rsidRDefault="00D043D7" w:rsidP="00A16958">
      <w:pPr>
        <w:spacing w:before="0" w:line="276" w:lineRule="auto"/>
      </w:pPr>
      <w:r>
        <w:rPr>
          <w:b/>
        </w:rPr>
        <w:t>Constraints on</w:t>
      </w:r>
      <w:r w:rsidRPr="00B24721">
        <w:rPr>
          <w:b/>
        </w:rPr>
        <w:t xml:space="preserve"> Choice of Methodology:</w:t>
      </w:r>
      <w:r>
        <w:rPr>
          <w:b/>
        </w:rPr>
        <w:t xml:space="preserve"> </w:t>
      </w:r>
      <w:r w:rsidRPr="008F3EC6">
        <w:t>EU SI</w:t>
      </w:r>
      <w:r>
        <w:t>LC UDB has no NUTS 2 identifiers – indeed Ireland only has 2 NUTS 2 regions, and the NUTS 1 layer is missing altogether. This makes the implementation of World Bank Poverty Mapping problematic – since there is no way to define “clusters”. In these circumstances the EU-SILC based NUTS 3 indicators are the best option, although it means we only have before housing cost rates.</w:t>
      </w:r>
    </w:p>
    <w:p w:rsidR="00D043D7" w:rsidRPr="003917A1" w:rsidRDefault="00D043D7" w:rsidP="00A16958">
      <w:pPr>
        <w:spacing w:before="0" w:line="276" w:lineRule="auto"/>
        <w:rPr>
          <w:color w:val="002060"/>
        </w:rPr>
      </w:pPr>
      <w:r w:rsidRPr="000311DA">
        <w:rPr>
          <w:b/>
        </w:rPr>
        <w:t>Source(s) of raw data:</w:t>
      </w:r>
      <w:r w:rsidRPr="000311DA">
        <w:t xml:space="preserve"> </w:t>
      </w:r>
      <w:hyperlink r:id="rId84" w:history="1">
        <w:r w:rsidRPr="00877800">
          <w:rPr>
            <w:rStyle w:val="Hyperlinkki"/>
          </w:rPr>
          <w:t>http://www.cso.ie/en/silc/statistics/atriskofpovertyrate/</w:t>
        </w:r>
      </w:hyperlink>
      <w:r>
        <w:t xml:space="preserve"> </w:t>
      </w:r>
    </w:p>
    <w:p w:rsidR="00D043D7" w:rsidRPr="00DF5D62" w:rsidRDefault="00D043D7" w:rsidP="00A16958">
      <w:pPr>
        <w:spacing w:before="0" w:line="276" w:lineRule="auto"/>
        <w:rPr>
          <w:color w:val="000000" w:themeColor="text1"/>
        </w:rPr>
      </w:pPr>
      <w:r w:rsidRPr="00DF5D62">
        <w:rPr>
          <w:b/>
          <w:color w:val="000000" w:themeColor="text1"/>
        </w:rPr>
        <w:t>Date(s) of raw data:</w:t>
      </w:r>
      <w:r w:rsidRPr="00DF5D62">
        <w:rPr>
          <w:color w:val="000000" w:themeColor="text1"/>
        </w:rPr>
        <w:t xml:space="preserve"> 2008, 2009</w:t>
      </w:r>
    </w:p>
    <w:p w:rsidR="00D043D7" w:rsidRPr="00DF5D62" w:rsidRDefault="00D043D7" w:rsidP="00A16958">
      <w:pPr>
        <w:spacing w:before="0" w:line="276" w:lineRule="auto"/>
        <w:rPr>
          <w:color w:val="000000" w:themeColor="text1"/>
        </w:rPr>
      </w:pPr>
      <w:r w:rsidRPr="00DF5D62">
        <w:rPr>
          <w:b/>
          <w:color w:val="000000" w:themeColor="text1"/>
        </w:rPr>
        <w:t xml:space="preserve">Variables used: </w:t>
      </w:r>
      <w:r w:rsidRPr="00DF5D62">
        <w:rPr>
          <w:color w:val="000000" w:themeColor="text1"/>
        </w:rPr>
        <w:t>At risk of poverty rate, by region 2008, 2009.</w:t>
      </w:r>
    </w:p>
    <w:p w:rsidR="00D043D7" w:rsidRPr="00DF5D62" w:rsidRDefault="00D043D7" w:rsidP="00A16958">
      <w:pPr>
        <w:spacing w:before="0" w:line="276" w:lineRule="auto"/>
        <w:rPr>
          <w:color w:val="000000" w:themeColor="text1"/>
        </w:rPr>
      </w:pPr>
      <w:r w:rsidRPr="00DF5D62">
        <w:rPr>
          <w:b/>
          <w:color w:val="000000" w:themeColor="text1"/>
        </w:rPr>
        <w:t xml:space="preserve">Before or after Housing Costs? </w:t>
      </w:r>
      <w:r w:rsidRPr="00DF5D62">
        <w:rPr>
          <w:color w:val="000000" w:themeColor="text1"/>
        </w:rPr>
        <w:t>Before</w:t>
      </w:r>
    </w:p>
    <w:p w:rsidR="00D043D7" w:rsidRPr="00DF5D62" w:rsidRDefault="00D043D7" w:rsidP="00A16958">
      <w:pPr>
        <w:spacing w:before="0" w:line="276" w:lineRule="auto"/>
        <w:rPr>
          <w:color w:val="000000" w:themeColor="text1"/>
        </w:rPr>
      </w:pPr>
      <w:r w:rsidRPr="00DF5D62">
        <w:rPr>
          <w:b/>
          <w:color w:val="000000" w:themeColor="text1"/>
        </w:rPr>
        <w:t xml:space="preserve">NUTS Level of estimates: </w:t>
      </w:r>
      <w:r w:rsidRPr="00DF5D62">
        <w:rPr>
          <w:color w:val="000000" w:themeColor="text1"/>
        </w:rPr>
        <w:t xml:space="preserve">NUTS 3 </w:t>
      </w:r>
    </w:p>
    <w:p w:rsidR="00D043D7" w:rsidRDefault="00D043D7" w:rsidP="00A16958">
      <w:pPr>
        <w:spacing w:before="0" w:line="276" w:lineRule="auto"/>
      </w:pPr>
      <w:r w:rsidRPr="00455DC7">
        <w:rPr>
          <w:b/>
        </w:rPr>
        <w:t xml:space="preserve">Adjusted to agree with Eurostat published </w:t>
      </w:r>
      <w:r w:rsidR="008632AA">
        <w:rPr>
          <w:b/>
        </w:rPr>
        <w:t>AROP</w:t>
      </w:r>
      <w:r w:rsidRPr="00455DC7">
        <w:rPr>
          <w:b/>
        </w:rPr>
        <w:t xml:space="preserve"> rates?</w:t>
      </w:r>
      <w:r>
        <w:rPr>
          <w:b/>
        </w:rPr>
        <w:t xml:space="preserve"> </w:t>
      </w:r>
      <w:r w:rsidRPr="00FB6E7B">
        <w:t>No</w:t>
      </w:r>
    </w:p>
    <w:p w:rsidR="00D043D7" w:rsidRPr="00CF1CB1" w:rsidRDefault="00D043D7" w:rsidP="00A16958">
      <w:pPr>
        <w:spacing w:before="0" w:line="276" w:lineRule="auto"/>
        <w:rPr>
          <w:b/>
        </w:rPr>
      </w:pPr>
      <w:r w:rsidRPr="00CF1CB1">
        <w:rPr>
          <w:b/>
        </w:rPr>
        <w:t>Comments:</w:t>
      </w:r>
      <w:r>
        <w:t xml:space="preserve"> No information on methodology provided online. I assume the rates are simply derived from the EU-SILC sample. We have no indication of the sample size.</w:t>
      </w:r>
    </w:p>
    <w:p w:rsidR="003D13BD" w:rsidRDefault="003D13BD" w:rsidP="00A16958">
      <w:pPr>
        <w:spacing w:before="0" w:line="276" w:lineRule="auto"/>
        <w:rPr>
          <w:b/>
          <w:noProof/>
          <w:kern w:val="28"/>
          <w:sz w:val="28"/>
        </w:rPr>
      </w:pPr>
    </w:p>
    <w:p w:rsidR="00DF5D62" w:rsidRDefault="00DF5D62" w:rsidP="00A16958">
      <w:pPr>
        <w:spacing w:before="0" w:line="276" w:lineRule="auto"/>
        <w:rPr>
          <w:b/>
          <w:noProof/>
          <w:kern w:val="28"/>
          <w:sz w:val="28"/>
        </w:rPr>
      </w:pPr>
      <w:r>
        <w:rPr>
          <w:noProof/>
        </w:rPr>
        <w:br w:type="page"/>
      </w:r>
    </w:p>
    <w:p w:rsidR="00DF5D62" w:rsidRPr="00DF5D62" w:rsidRDefault="00DF5D62" w:rsidP="00A16958">
      <w:pPr>
        <w:pStyle w:val="Default"/>
        <w:spacing w:line="276" w:lineRule="auto"/>
        <w:jc w:val="both"/>
        <w:rPr>
          <w:rFonts w:ascii="Arial" w:hAnsi="Arial" w:cs="Arial"/>
          <w:color w:val="001E5E"/>
          <w:sz w:val="22"/>
          <w:szCs w:val="22"/>
          <w:lang w:val="en-US"/>
        </w:rPr>
      </w:pPr>
      <w:r w:rsidRPr="00DF5D62">
        <w:rPr>
          <w:rFonts w:ascii="Arial" w:hAnsi="Arial" w:cs="Arial"/>
          <w:b/>
          <w:bCs/>
          <w:sz w:val="22"/>
          <w:szCs w:val="22"/>
          <w:lang w:val="en-US"/>
        </w:rPr>
        <w:lastRenderedPageBreak/>
        <w:t xml:space="preserve">Country: </w:t>
      </w:r>
      <w:r w:rsidRPr="006D0A68">
        <w:rPr>
          <w:rFonts w:ascii="Arial" w:hAnsi="Arial" w:cs="Arial"/>
          <w:color w:val="000000" w:themeColor="text1"/>
          <w:sz w:val="22"/>
          <w:szCs w:val="22"/>
          <w:lang w:val="en-US"/>
        </w:rPr>
        <w:t xml:space="preserve">Italy </w:t>
      </w:r>
    </w:p>
    <w:p w:rsidR="00A16958" w:rsidRDefault="00A16958" w:rsidP="00A16958">
      <w:pPr>
        <w:pStyle w:val="Default"/>
        <w:spacing w:line="276" w:lineRule="auto"/>
        <w:jc w:val="both"/>
        <w:rPr>
          <w:rFonts w:ascii="Arial" w:hAnsi="Arial" w:cs="Arial"/>
          <w:b/>
          <w:bCs/>
          <w:color w:val="000000" w:themeColor="text1"/>
          <w:sz w:val="22"/>
          <w:szCs w:val="22"/>
          <w:lang w:val="en-US"/>
        </w:rPr>
      </w:pPr>
    </w:p>
    <w:p w:rsidR="00DF5D62" w:rsidRPr="00DF5D62" w:rsidRDefault="00DF5D62" w:rsidP="00A16958">
      <w:pPr>
        <w:pStyle w:val="Default"/>
        <w:spacing w:line="276" w:lineRule="auto"/>
        <w:jc w:val="both"/>
        <w:rPr>
          <w:rFonts w:ascii="Arial" w:hAnsi="Arial" w:cs="Arial"/>
          <w:color w:val="000000" w:themeColor="text1"/>
          <w:sz w:val="22"/>
          <w:szCs w:val="22"/>
          <w:lang w:val="en-US"/>
        </w:rPr>
      </w:pPr>
      <w:r w:rsidRPr="00DF5D62">
        <w:rPr>
          <w:rFonts w:ascii="Arial" w:hAnsi="Arial" w:cs="Arial"/>
          <w:b/>
          <w:bCs/>
          <w:color w:val="000000" w:themeColor="text1"/>
          <w:sz w:val="22"/>
          <w:szCs w:val="22"/>
          <w:lang w:val="en-US"/>
        </w:rPr>
        <w:t>Partner responsible</w:t>
      </w:r>
      <w:r w:rsidRPr="00DF5D62">
        <w:rPr>
          <w:rFonts w:ascii="Arial" w:hAnsi="Arial" w:cs="Arial"/>
          <w:color w:val="000000" w:themeColor="text1"/>
          <w:sz w:val="22"/>
          <w:szCs w:val="22"/>
          <w:lang w:val="en-US"/>
        </w:rPr>
        <w:t xml:space="preserve">: </w:t>
      </w:r>
      <w:r w:rsidRPr="00DF5D62">
        <w:rPr>
          <w:rStyle w:val="st"/>
          <w:rFonts w:ascii="Arial" w:hAnsi="Arial" w:cs="Arial"/>
          <w:color w:val="000000" w:themeColor="text1"/>
          <w:sz w:val="22"/>
          <w:szCs w:val="22"/>
          <w:lang w:val="en-US"/>
        </w:rPr>
        <w:t>National Centre for Social Research (</w:t>
      </w:r>
      <w:r w:rsidRPr="00DF5D62">
        <w:rPr>
          <w:rStyle w:val="Korostus"/>
          <w:rFonts w:ascii="Arial" w:hAnsi="Arial" w:cs="Arial"/>
          <w:color w:val="000000" w:themeColor="text1"/>
          <w:sz w:val="22"/>
          <w:szCs w:val="22"/>
          <w:lang w:val="en-US"/>
        </w:rPr>
        <w:t>EKKE</w:t>
      </w:r>
      <w:r w:rsidRPr="00DF5D62">
        <w:rPr>
          <w:rStyle w:val="st"/>
          <w:rFonts w:ascii="Arial" w:hAnsi="Arial" w:cs="Arial"/>
          <w:color w:val="000000" w:themeColor="text1"/>
          <w:sz w:val="22"/>
          <w:szCs w:val="22"/>
          <w:lang w:val="en-US"/>
        </w:rPr>
        <w:t>)</w:t>
      </w:r>
      <w:r w:rsidRPr="00DF5D62">
        <w:rPr>
          <w:rFonts w:ascii="Arial" w:hAnsi="Arial" w:cs="Arial"/>
          <w:color w:val="000000" w:themeColor="text1"/>
          <w:sz w:val="22"/>
          <w:szCs w:val="22"/>
          <w:lang w:val="en-US"/>
        </w:rPr>
        <w:t xml:space="preserve">, Greece </w:t>
      </w:r>
    </w:p>
    <w:p w:rsidR="00DF5D62" w:rsidRPr="00DF5D62" w:rsidRDefault="00DF5D62" w:rsidP="00A16958">
      <w:pPr>
        <w:pStyle w:val="Default"/>
        <w:spacing w:line="276" w:lineRule="auto"/>
        <w:jc w:val="both"/>
        <w:rPr>
          <w:rFonts w:ascii="Arial" w:hAnsi="Arial" w:cs="Arial"/>
          <w:color w:val="001E5E"/>
          <w:sz w:val="22"/>
          <w:szCs w:val="22"/>
          <w:lang w:val="en-US"/>
        </w:rPr>
      </w:pPr>
      <w:r w:rsidRPr="00DF5D62">
        <w:rPr>
          <w:rFonts w:ascii="Arial" w:hAnsi="Arial" w:cs="Arial"/>
          <w:b/>
          <w:bCs/>
          <w:sz w:val="22"/>
          <w:szCs w:val="22"/>
          <w:lang w:val="en-US"/>
        </w:rPr>
        <w:t xml:space="preserve">Contact Person: </w:t>
      </w:r>
      <w:r w:rsidRPr="00DF5D62">
        <w:rPr>
          <w:rFonts w:ascii="Arial" w:hAnsi="Arial" w:cs="Arial"/>
          <w:color w:val="000000" w:themeColor="text1"/>
          <w:sz w:val="22"/>
          <w:szCs w:val="22"/>
          <w:lang w:val="en-US"/>
        </w:rPr>
        <w:t xml:space="preserve">Panagiotis Artelaris </w:t>
      </w:r>
      <w:r w:rsidRPr="00DF5D62">
        <w:rPr>
          <w:rFonts w:ascii="Arial" w:hAnsi="Arial" w:cs="Arial"/>
          <w:color w:val="001E5E"/>
          <w:sz w:val="22"/>
          <w:szCs w:val="22"/>
          <w:lang w:val="en-US"/>
        </w:rPr>
        <w:t>(</w:t>
      </w:r>
      <w:r w:rsidRPr="00DF5D62">
        <w:rPr>
          <w:rFonts w:ascii="Arial" w:hAnsi="Arial" w:cs="Arial"/>
          <w:color w:val="0000FF"/>
          <w:sz w:val="22"/>
          <w:szCs w:val="22"/>
          <w:lang w:val="en-US"/>
        </w:rPr>
        <w:t>partelar@hua.gr</w:t>
      </w:r>
      <w:r w:rsidRPr="00DF5D62">
        <w:rPr>
          <w:rFonts w:ascii="Arial" w:hAnsi="Arial" w:cs="Arial"/>
          <w:color w:val="001E5E"/>
          <w:sz w:val="22"/>
          <w:szCs w:val="22"/>
          <w:lang w:val="en-US"/>
        </w:rPr>
        <w:t xml:space="preserve">) </w:t>
      </w:r>
    </w:p>
    <w:p w:rsidR="00DF5D62" w:rsidRPr="00DF5D62" w:rsidRDefault="00DF5D62" w:rsidP="00A16958">
      <w:pPr>
        <w:pStyle w:val="Default"/>
        <w:spacing w:line="276" w:lineRule="auto"/>
        <w:jc w:val="both"/>
        <w:rPr>
          <w:rFonts w:ascii="Arial" w:hAnsi="Arial" w:cs="Arial"/>
          <w:color w:val="000000" w:themeColor="text1"/>
          <w:sz w:val="22"/>
          <w:szCs w:val="22"/>
          <w:lang w:val="en-US"/>
        </w:rPr>
      </w:pPr>
      <w:r w:rsidRPr="00DF5D62">
        <w:rPr>
          <w:rFonts w:ascii="Arial" w:hAnsi="Arial" w:cs="Arial"/>
          <w:b/>
          <w:bCs/>
          <w:color w:val="000000" w:themeColor="text1"/>
          <w:sz w:val="22"/>
          <w:szCs w:val="22"/>
          <w:lang w:val="en-US"/>
        </w:rPr>
        <w:t xml:space="preserve">Date: </w:t>
      </w:r>
      <w:r w:rsidRPr="00DF5D62">
        <w:rPr>
          <w:rFonts w:ascii="Arial" w:hAnsi="Arial" w:cs="Arial"/>
          <w:color w:val="000000" w:themeColor="text1"/>
          <w:sz w:val="22"/>
          <w:szCs w:val="22"/>
          <w:lang w:val="en-US"/>
        </w:rPr>
        <w:t xml:space="preserve">19/12/13 </w:t>
      </w:r>
    </w:p>
    <w:p w:rsidR="00DF5D62" w:rsidRPr="00DF5D62" w:rsidRDefault="00DF5D62" w:rsidP="00A16958">
      <w:pPr>
        <w:pStyle w:val="Default"/>
        <w:spacing w:line="276" w:lineRule="auto"/>
        <w:jc w:val="both"/>
        <w:rPr>
          <w:rFonts w:ascii="Arial" w:hAnsi="Arial" w:cs="Arial"/>
          <w:sz w:val="22"/>
          <w:szCs w:val="22"/>
          <w:lang w:val="en-US"/>
        </w:rPr>
      </w:pPr>
      <w:r w:rsidRPr="00DF5D62">
        <w:rPr>
          <w:rFonts w:ascii="Arial" w:hAnsi="Arial" w:cs="Arial"/>
          <w:b/>
          <w:bCs/>
          <w:sz w:val="22"/>
          <w:szCs w:val="22"/>
          <w:lang w:val="en-US"/>
        </w:rPr>
        <w:t xml:space="preserve">Methodology Used: </w:t>
      </w:r>
      <w:r w:rsidRPr="00DF5D62">
        <w:rPr>
          <w:rFonts w:ascii="Arial" w:hAnsi="Arial" w:cs="Arial"/>
          <w:sz w:val="22"/>
          <w:szCs w:val="22"/>
          <w:lang w:val="en-US"/>
        </w:rPr>
        <w:t>Area Based Model</w:t>
      </w:r>
    </w:p>
    <w:p w:rsidR="00DF5D62" w:rsidRPr="00DF5D62" w:rsidRDefault="00DF5D62" w:rsidP="00A16958">
      <w:pPr>
        <w:pStyle w:val="Default"/>
        <w:spacing w:line="276" w:lineRule="auto"/>
        <w:jc w:val="both"/>
        <w:rPr>
          <w:rFonts w:ascii="Arial" w:hAnsi="Arial" w:cs="Arial"/>
          <w:b/>
          <w:bCs/>
          <w:sz w:val="22"/>
          <w:szCs w:val="22"/>
          <w:lang w:val="en-US"/>
        </w:rPr>
      </w:pPr>
      <w:r w:rsidRPr="00DF5D62">
        <w:rPr>
          <w:rFonts w:ascii="Arial" w:hAnsi="Arial" w:cs="Arial"/>
          <w:b/>
          <w:bCs/>
          <w:sz w:val="22"/>
          <w:szCs w:val="22"/>
          <w:lang w:val="en-US"/>
        </w:rPr>
        <w:t xml:space="preserve">Constraints on Choice of Methodology: </w:t>
      </w:r>
      <w:r w:rsidRPr="00DF5D62">
        <w:rPr>
          <w:rFonts w:ascii="Arial" w:hAnsi="Arial" w:cs="Arial"/>
          <w:sz w:val="22"/>
          <w:szCs w:val="22"/>
          <w:lang w:val="en-US"/>
        </w:rPr>
        <w:t xml:space="preserve">World Bank PovMap was not possible to use due to lack of Census data with the information required for household level attributes to be matched with similar information in EU-SILC. It should also be noted that EU-SILC data are only available for NUTS 1 regions. </w:t>
      </w:r>
    </w:p>
    <w:p w:rsidR="00DF5D62" w:rsidRPr="00DF5D62" w:rsidRDefault="00DF5D62" w:rsidP="00A16958">
      <w:pPr>
        <w:pStyle w:val="Default"/>
        <w:spacing w:line="276" w:lineRule="auto"/>
        <w:jc w:val="both"/>
        <w:rPr>
          <w:rFonts w:ascii="Arial" w:hAnsi="Arial" w:cs="Arial"/>
          <w:sz w:val="22"/>
          <w:szCs w:val="22"/>
          <w:lang w:val="en-US"/>
        </w:rPr>
      </w:pPr>
      <w:r w:rsidRPr="00DF5D62">
        <w:rPr>
          <w:rFonts w:ascii="Arial" w:hAnsi="Arial" w:cs="Arial"/>
          <w:b/>
          <w:bCs/>
          <w:sz w:val="22"/>
          <w:szCs w:val="22"/>
          <w:lang w:val="en-US"/>
        </w:rPr>
        <w:t xml:space="preserve">Source(s) of raw data: </w:t>
      </w:r>
      <w:r w:rsidRPr="00DF5D62">
        <w:rPr>
          <w:rFonts w:ascii="Arial" w:hAnsi="Arial" w:cs="Arial"/>
          <w:sz w:val="22"/>
          <w:szCs w:val="22"/>
          <w:lang w:val="en-US"/>
        </w:rPr>
        <w:t xml:space="preserve">All variables were obtained from </w:t>
      </w:r>
      <w:r w:rsidRPr="00DF5D62">
        <w:rPr>
          <w:rStyle w:val="st"/>
          <w:rFonts w:ascii="Arial" w:hAnsi="Arial" w:cs="Arial"/>
          <w:sz w:val="22"/>
          <w:szCs w:val="22"/>
          <w:lang w:val="en-US"/>
        </w:rPr>
        <w:t>The National Institute for Statistics (</w:t>
      </w:r>
      <w:r w:rsidRPr="00DF5D62">
        <w:rPr>
          <w:rFonts w:ascii="Arial" w:hAnsi="Arial" w:cs="Arial"/>
          <w:sz w:val="22"/>
          <w:szCs w:val="22"/>
          <w:lang w:val="en-US"/>
        </w:rPr>
        <w:t>ISTAT</w:t>
      </w:r>
      <w:r w:rsidRPr="00DF5D62">
        <w:rPr>
          <w:rStyle w:val="st"/>
          <w:rFonts w:ascii="Arial" w:hAnsi="Arial" w:cs="Arial"/>
          <w:sz w:val="22"/>
          <w:szCs w:val="22"/>
          <w:lang w:val="en-US"/>
        </w:rPr>
        <w:t xml:space="preserve">). </w:t>
      </w:r>
      <w:r w:rsidRPr="00DF5D62">
        <w:rPr>
          <w:rFonts w:ascii="Arial" w:hAnsi="Arial" w:cs="Arial"/>
          <w:sz w:val="22"/>
          <w:szCs w:val="22"/>
          <w:lang w:val="en-US"/>
        </w:rPr>
        <w:t xml:space="preserve">Available from: </w:t>
      </w:r>
      <w:hyperlink r:id="rId85" w:history="1">
        <w:r w:rsidRPr="00DF5D62">
          <w:rPr>
            <w:rStyle w:val="Hyperlinkki"/>
            <w:rFonts w:ascii="Arial" w:hAnsi="Arial" w:cs="Arial"/>
            <w:sz w:val="22"/>
            <w:szCs w:val="22"/>
            <w:lang w:val="en-US"/>
          </w:rPr>
          <w:t>http://sitis.istat.it/sitis/html/indexEng.htm</w:t>
        </w:r>
      </w:hyperlink>
    </w:p>
    <w:p w:rsidR="00DF5D62" w:rsidRPr="00DF5D62" w:rsidRDefault="00DF5D62" w:rsidP="00A16958">
      <w:pPr>
        <w:pStyle w:val="Default"/>
        <w:spacing w:line="276" w:lineRule="auto"/>
        <w:jc w:val="both"/>
        <w:rPr>
          <w:rFonts w:ascii="Arial" w:hAnsi="Arial" w:cs="Arial"/>
          <w:sz w:val="22"/>
          <w:szCs w:val="22"/>
          <w:lang w:val="en-US"/>
        </w:rPr>
      </w:pPr>
      <w:r w:rsidRPr="00DF5D62">
        <w:rPr>
          <w:rFonts w:ascii="Arial" w:hAnsi="Arial" w:cs="Arial"/>
          <w:b/>
          <w:bCs/>
          <w:sz w:val="22"/>
          <w:szCs w:val="22"/>
          <w:lang w:val="en-US"/>
        </w:rPr>
        <w:t>Date(s) of raw data:</w:t>
      </w:r>
      <w:r w:rsidRPr="00DF5D62">
        <w:rPr>
          <w:rFonts w:ascii="Arial" w:hAnsi="Arial" w:cs="Arial"/>
          <w:sz w:val="22"/>
          <w:szCs w:val="22"/>
          <w:lang w:val="en-US"/>
        </w:rPr>
        <w:t xml:space="preserve"> 2011 for NUTS 2 </w:t>
      </w:r>
      <w:r w:rsidR="008632AA">
        <w:rPr>
          <w:rFonts w:ascii="Arial" w:hAnsi="Arial" w:cs="Arial"/>
          <w:sz w:val="22"/>
          <w:szCs w:val="22"/>
          <w:lang w:val="en-US"/>
        </w:rPr>
        <w:t>AROP</w:t>
      </w:r>
      <w:r w:rsidRPr="00DF5D62">
        <w:rPr>
          <w:rFonts w:ascii="Arial" w:hAnsi="Arial" w:cs="Arial"/>
          <w:sz w:val="22"/>
          <w:szCs w:val="22"/>
          <w:lang w:val="en-US"/>
        </w:rPr>
        <w:t xml:space="preserve"> rates and 2011 </w:t>
      </w:r>
      <w:r w:rsidRPr="00DF5D62">
        <w:rPr>
          <w:rStyle w:val="Korostus"/>
          <w:rFonts w:ascii="Arial" w:hAnsi="Arial" w:cs="Arial"/>
          <w:sz w:val="22"/>
          <w:szCs w:val="22"/>
          <w:lang w:val="en-US"/>
        </w:rPr>
        <w:t>or closest available year</w:t>
      </w:r>
      <w:r w:rsidRPr="00DF5D62">
        <w:rPr>
          <w:rStyle w:val="st"/>
          <w:rFonts w:ascii="Arial" w:hAnsi="Arial" w:cs="Arial"/>
          <w:sz w:val="22"/>
          <w:szCs w:val="22"/>
          <w:lang w:val="en-US"/>
        </w:rPr>
        <w:t xml:space="preserve"> for the rest of the variables. </w:t>
      </w:r>
    </w:p>
    <w:p w:rsidR="00DF5D62" w:rsidRPr="00DF5D62" w:rsidRDefault="00DF5D62" w:rsidP="00A16958">
      <w:pPr>
        <w:pStyle w:val="Default"/>
        <w:spacing w:line="276" w:lineRule="auto"/>
        <w:jc w:val="both"/>
        <w:rPr>
          <w:rFonts w:ascii="Arial" w:hAnsi="Arial" w:cs="Arial"/>
          <w:sz w:val="22"/>
          <w:szCs w:val="22"/>
          <w:lang w:val="en-US"/>
        </w:rPr>
      </w:pPr>
      <w:r w:rsidRPr="00DF5D62">
        <w:rPr>
          <w:rFonts w:ascii="Arial" w:hAnsi="Arial" w:cs="Arial"/>
          <w:b/>
          <w:bCs/>
          <w:sz w:val="22"/>
          <w:szCs w:val="22"/>
          <w:lang w:val="en-US"/>
        </w:rPr>
        <w:t xml:space="preserve">Explanatory Variables used in the area based model: </w:t>
      </w:r>
      <w:r w:rsidRPr="00DF5D62">
        <w:rPr>
          <w:rFonts w:ascii="Arial" w:hAnsi="Arial" w:cs="Arial"/>
          <w:sz w:val="22"/>
          <w:szCs w:val="22"/>
          <w:lang w:val="en-US"/>
        </w:rPr>
        <w:t xml:space="preserve">Arrivals of foreigners in hotels (per inhabitant) , Unemployment rate, Average amount of household members, Mountain municipalities per 100 municipalities, Life expectancy at birth (Females), Mobility rate within the province. </w:t>
      </w:r>
    </w:p>
    <w:p w:rsidR="00DF5D62" w:rsidRPr="00DF5D62" w:rsidRDefault="00DF5D62" w:rsidP="00A16958">
      <w:pPr>
        <w:pStyle w:val="Default"/>
        <w:spacing w:line="276" w:lineRule="auto"/>
        <w:jc w:val="both"/>
        <w:rPr>
          <w:rFonts w:ascii="Arial" w:hAnsi="Arial" w:cs="Arial"/>
          <w:sz w:val="22"/>
          <w:szCs w:val="22"/>
          <w:lang w:val="en-US"/>
        </w:rPr>
      </w:pPr>
      <w:r w:rsidRPr="00DF5D62">
        <w:rPr>
          <w:rFonts w:ascii="Arial" w:hAnsi="Arial" w:cs="Arial"/>
          <w:b/>
          <w:bCs/>
          <w:sz w:val="22"/>
          <w:szCs w:val="22"/>
          <w:lang w:val="en-US"/>
        </w:rPr>
        <w:t xml:space="preserve">Before or after Housing Costs? </w:t>
      </w:r>
      <w:r>
        <w:rPr>
          <w:rFonts w:ascii="Arial" w:hAnsi="Arial" w:cs="Arial"/>
          <w:sz w:val="22"/>
          <w:szCs w:val="22"/>
          <w:lang w:val="en-US"/>
        </w:rPr>
        <w:t>Before housing costs</w:t>
      </w:r>
    </w:p>
    <w:p w:rsidR="00DF5D62" w:rsidRPr="00DF5D62" w:rsidRDefault="00DF5D62" w:rsidP="00A16958">
      <w:pPr>
        <w:pStyle w:val="Default"/>
        <w:spacing w:line="276" w:lineRule="auto"/>
        <w:jc w:val="both"/>
        <w:rPr>
          <w:rFonts w:ascii="Arial" w:hAnsi="Arial" w:cs="Arial"/>
          <w:sz w:val="22"/>
          <w:szCs w:val="22"/>
          <w:lang w:val="en-US"/>
        </w:rPr>
      </w:pPr>
      <w:r w:rsidRPr="00DF5D62">
        <w:rPr>
          <w:rFonts w:ascii="Arial" w:hAnsi="Arial" w:cs="Arial"/>
          <w:b/>
          <w:bCs/>
          <w:sz w:val="22"/>
          <w:szCs w:val="22"/>
          <w:lang w:val="en-US"/>
        </w:rPr>
        <w:t xml:space="preserve">NUTS Level of estimates: </w:t>
      </w:r>
      <w:r>
        <w:rPr>
          <w:rFonts w:ascii="Arial" w:hAnsi="Arial" w:cs="Arial"/>
          <w:sz w:val="22"/>
          <w:szCs w:val="22"/>
          <w:lang w:val="en-US"/>
        </w:rPr>
        <w:t>NUTS 3</w:t>
      </w:r>
    </w:p>
    <w:p w:rsidR="00DF5D62" w:rsidRPr="00DF5D62" w:rsidRDefault="00DF5D62" w:rsidP="00A16958">
      <w:pPr>
        <w:pStyle w:val="Default"/>
        <w:spacing w:line="276" w:lineRule="auto"/>
        <w:jc w:val="both"/>
        <w:rPr>
          <w:rFonts w:ascii="Arial" w:hAnsi="Arial" w:cs="Arial"/>
          <w:sz w:val="22"/>
          <w:szCs w:val="22"/>
          <w:lang w:val="en-US"/>
        </w:rPr>
      </w:pPr>
      <w:r w:rsidRPr="00DF5D62">
        <w:rPr>
          <w:rFonts w:ascii="Arial" w:hAnsi="Arial" w:cs="Arial"/>
          <w:b/>
          <w:bCs/>
          <w:sz w:val="22"/>
          <w:szCs w:val="22"/>
          <w:lang w:val="en-US"/>
        </w:rPr>
        <w:t xml:space="preserve">Adjusted to agree with Eurostat published </w:t>
      </w:r>
      <w:r w:rsidR="008632AA">
        <w:rPr>
          <w:rFonts w:ascii="Arial" w:hAnsi="Arial" w:cs="Arial"/>
          <w:b/>
          <w:bCs/>
          <w:sz w:val="22"/>
          <w:szCs w:val="22"/>
          <w:lang w:val="en-US"/>
        </w:rPr>
        <w:t>AROP</w:t>
      </w:r>
      <w:r w:rsidRPr="00DF5D62">
        <w:rPr>
          <w:rFonts w:ascii="Arial" w:hAnsi="Arial" w:cs="Arial"/>
          <w:b/>
          <w:bCs/>
          <w:sz w:val="22"/>
          <w:szCs w:val="22"/>
          <w:lang w:val="en-US"/>
        </w:rPr>
        <w:t xml:space="preserve"> rates? </w:t>
      </w:r>
      <w:r w:rsidRPr="00DF5D62">
        <w:rPr>
          <w:rFonts w:ascii="Arial" w:hAnsi="Arial" w:cs="Arial"/>
          <w:sz w:val="22"/>
          <w:szCs w:val="22"/>
          <w:lang w:val="en-US"/>
        </w:rPr>
        <w:t>Yes</w:t>
      </w:r>
    </w:p>
    <w:p w:rsidR="00DF5D62" w:rsidRPr="00DF5D62" w:rsidRDefault="00DF5D62" w:rsidP="00A16958">
      <w:pPr>
        <w:pStyle w:val="Default"/>
        <w:spacing w:line="276" w:lineRule="auto"/>
        <w:jc w:val="both"/>
        <w:rPr>
          <w:rFonts w:ascii="Arial" w:hAnsi="Arial" w:cs="Arial"/>
          <w:sz w:val="22"/>
          <w:szCs w:val="22"/>
          <w:lang w:val="en-US"/>
        </w:rPr>
      </w:pPr>
      <w:r>
        <w:rPr>
          <w:rFonts w:ascii="Arial" w:hAnsi="Arial" w:cs="Arial"/>
          <w:b/>
          <w:bCs/>
          <w:sz w:val="22"/>
          <w:szCs w:val="22"/>
          <w:lang w:val="en-US"/>
        </w:rPr>
        <w:t xml:space="preserve">Comments: </w:t>
      </w:r>
      <w:r w:rsidRPr="00DF5D62">
        <w:rPr>
          <w:rFonts w:ascii="Arial" w:hAnsi="Arial" w:cs="Arial"/>
          <w:sz w:val="22"/>
          <w:szCs w:val="22"/>
          <w:lang w:val="en-US"/>
        </w:rPr>
        <w:t>The approach adopted for Italy involves 3 stages (see Copus and Coombes, 2013):</w:t>
      </w:r>
    </w:p>
    <w:p w:rsidR="00DF5D62" w:rsidRPr="00DF5D62" w:rsidRDefault="00DF5D62" w:rsidP="00A16958">
      <w:pPr>
        <w:pStyle w:val="Default"/>
        <w:numPr>
          <w:ilvl w:val="0"/>
          <w:numId w:val="15"/>
        </w:numPr>
        <w:spacing w:line="276" w:lineRule="auto"/>
        <w:jc w:val="both"/>
        <w:rPr>
          <w:rFonts w:ascii="Arial" w:hAnsi="Arial" w:cs="Arial"/>
          <w:sz w:val="22"/>
          <w:szCs w:val="22"/>
          <w:lang w:val="en-US"/>
        </w:rPr>
      </w:pPr>
      <w:r w:rsidRPr="00DF5D62">
        <w:rPr>
          <w:rFonts w:ascii="Arial" w:hAnsi="Arial" w:cs="Arial"/>
          <w:sz w:val="22"/>
          <w:szCs w:val="22"/>
          <w:lang w:val="en-US"/>
        </w:rPr>
        <w:t xml:space="preserve">Estimate relationship between </w:t>
      </w:r>
      <w:r w:rsidR="008632AA">
        <w:rPr>
          <w:rFonts w:ascii="Arial" w:hAnsi="Arial" w:cs="Arial"/>
          <w:sz w:val="22"/>
          <w:szCs w:val="22"/>
          <w:lang w:val="en-US"/>
        </w:rPr>
        <w:t>AROP</w:t>
      </w:r>
      <w:r w:rsidRPr="00DF5D62">
        <w:rPr>
          <w:rFonts w:ascii="Arial" w:hAnsi="Arial" w:cs="Arial"/>
          <w:sz w:val="22"/>
          <w:szCs w:val="22"/>
          <w:lang w:val="en-US"/>
        </w:rPr>
        <w:t xml:space="preserve"> rates and a selection of socio-economic indicators at NUTS 2 using basic OLS regression. </w:t>
      </w:r>
    </w:p>
    <w:p w:rsidR="00DF5D62" w:rsidRPr="00DF5D62" w:rsidRDefault="00DF5D62" w:rsidP="00A16958">
      <w:pPr>
        <w:pStyle w:val="Default"/>
        <w:numPr>
          <w:ilvl w:val="0"/>
          <w:numId w:val="15"/>
        </w:numPr>
        <w:spacing w:line="276" w:lineRule="auto"/>
        <w:jc w:val="both"/>
        <w:rPr>
          <w:rFonts w:ascii="Arial" w:hAnsi="Arial" w:cs="Arial"/>
          <w:sz w:val="22"/>
          <w:szCs w:val="22"/>
          <w:lang w:val="en-US"/>
        </w:rPr>
      </w:pPr>
      <w:r w:rsidRPr="00DF5D62">
        <w:rPr>
          <w:rFonts w:ascii="Arial" w:hAnsi="Arial" w:cs="Arial"/>
          <w:sz w:val="22"/>
          <w:szCs w:val="22"/>
          <w:lang w:val="en-US"/>
        </w:rPr>
        <w:t xml:space="preserve">Estimate (first round) NUTS 3 </w:t>
      </w:r>
      <w:r w:rsidR="008632AA">
        <w:rPr>
          <w:rFonts w:ascii="Arial" w:hAnsi="Arial" w:cs="Arial"/>
          <w:sz w:val="22"/>
          <w:szCs w:val="22"/>
          <w:lang w:val="en-US"/>
        </w:rPr>
        <w:t>AROP</w:t>
      </w:r>
      <w:r w:rsidRPr="00DF5D62">
        <w:rPr>
          <w:rFonts w:ascii="Arial" w:hAnsi="Arial" w:cs="Arial"/>
          <w:sz w:val="22"/>
          <w:szCs w:val="22"/>
          <w:lang w:val="en-US"/>
        </w:rPr>
        <w:t xml:space="preserve"> rates by applying coefficients to NUTS 3 data for the same independent variables. </w:t>
      </w:r>
    </w:p>
    <w:p w:rsidR="00DF5D62" w:rsidRPr="00DF5D62" w:rsidRDefault="00DF5D62" w:rsidP="00A16958">
      <w:pPr>
        <w:pStyle w:val="Default"/>
        <w:numPr>
          <w:ilvl w:val="0"/>
          <w:numId w:val="15"/>
        </w:numPr>
        <w:spacing w:line="276" w:lineRule="auto"/>
        <w:jc w:val="both"/>
        <w:rPr>
          <w:rFonts w:ascii="Arial" w:hAnsi="Arial" w:cs="Arial"/>
          <w:sz w:val="22"/>
          <w:szCs w:val="22"/>
          <w:lang w:val="en-US"/>
        </w:rPr>
      </w:pPr>
      <w:r w:rsidRPr="00DF5D62">
        <w:rPr>
          <w:rFonts w:ascii="Arial" w:hAnsi="Arial" w:cs="Arial"/>
          <w:sz w:val="22"/>
          <w:szCs w:val="22"/>
          <w:lang w:val="en-US"/>
        </w:rPr>
        <w:t xml:space="preserve">Adjust these (first round) NUTS 3 </w:t>
      </w:r>
      <w:r w:rsidR="008632AA">
        <w:rPr>
          <w:rFonts w:ascii="Arial" w:hAnsi="Arial" w:cs="Arial"/>
          <w:sz w:val="22"/>
          <w:szCs w:val="22"/>
          <w:lang w:val="en-US"/>
        </w:rPr>
        <w:t>AROP</w:t>
      </w:r>
      <w:r w:rsidRPr="00DF5D62">
        <w:rPr>
          <w:rFonts w:ascii="Arial" w:hAnsi="Arial" w:cs="Arial"/>
          <w:sz w:val="22"/>
          <w:szCs w:val="22"/>
          <w:lang w:val="en-US"/>
        </w:rPr>
        <w:t xml:space="preserve"> rates so that they conform with rates published by Eurostat for larger regions (e.g. NUTS2). </w:t>
      </w:r>
    </w:p>
    <w:p w:rsidR="006D0A68" w:rsidRDefault="006D0A68" w:rsidP="00A16958">
      <w:pPr>
        <w:spacing w:before="0" w:line="276" w:lineRule="auto"/>
        <w:rPr>
          <w:b/>
          <w:noProof/>
          <w:kern w:val="28"/>
          <w:sz w:val="28"/>
        </w:rPr>
      </w:pPr>
      <w:r>
        <w:rPr>
          <w:noProof/>
        </w:rPr>
        <w:br w:type="page"/>
      </w:r>
    </w:p>
    <w:p w:rsidR="006D0A68" w:rsidRDefault="006D0A68" w:rsidP="00A16958">
      <w:pPr>
        <w:spacing w:before="0" w:line="276" w:lineRule="auto"/>
      </w:pPr>
      <w:r w:rsidRPr="00AB038B">
        <w:rPr>
          <w:b/>
        </w:rPr>
        <w:lastRenderedPageBreak/>
        <w:t>Country:</w:t>
      </w:r>
      <w:r>
        <w:t xml:space="preserve"> Netherlands</w:t>
      </w:r>
    </w:p>
    <w:p w:rsidR="00A16958" w:rsidRDefault="00A16958" w:rsidP="00A16958">
      <w:pPr>
        <w:spacing w:before="0" w:line="276" w:lineRule="auto"/>
        <w:rPr>
          <w:b/>
        </w:rPr>
      </w:pPr>
    </w:p>
    <w:p w:rsidR="006D0A68" w:rsidRDefault="006D0A68" w:rsidP="00A16958">
      <w:pPr>
        <w:spacing w:before="0" w:line="276" w:lineRule="auto"/>
        <w:rPr>
          <w:color w:val="002060"/>
        </w:rPr>
      </w:pPr>
      <w:r w:rsidRPr="00AB038B">
        <w:rPr>
          <w:b/>
        </w:rPr>
        <w:t>Partner responsible</w:t>
      </w:r>
      <w:r>
        <w:t>: The James Hutton Institute (Aberdeen)</w:t>
      </w:r>
    </w:p>
    <w:p w:rsidR="006D0A68" w:rsidRDefault="006D0A68" w:rsidP="00A16958">
      <w:pPr>
        <w:spacing w:before="0" w:line="276" w:lineRule="auto"/>
      </w:pPr>
      <w:r w:rsidRPr="00236856">
        <w:rPr>
          <w:b/>
        </w:rPr>
        <w:t>Contact Person:</w:t>
      </w:r>
      <w:r w:rsidRPr="00236856">
        <w:t xml:space="preserve"> </w:t>
      </w:r>
      <w:r>
        <w:t>Andrew Copus (</w:t>
      </w:r>
      <w:hyperlink r:id="rId86" w:history="1">
        <w:r w:rsidRPr="00C53EC4">
          <w:rPr>
            <w:rStyle w:val="Hyperlinkki"/>
          </w:rPr>
          <w:t>andrew.copus@hutton.ac.uk</w:t>
        </w:r>
      </w:hyperlink>
      <w:r>
        <w:t>)</w:t>
      </w:r>
    </w:p>
    <w:p w:rsidR="006D0A68" w:rsidRDefault="006D0A68" w:rsidP="00A16958">
      <w:pPr>
        <w:spacing w:before="0" w:line="276" w:lineRule="auto"/>
      </w:pPr>
      <w:r w:rsidRPr="00455DC7">
        <w:rPr>
          <w:b/>
        </w:rPr>
        <w:t>Date:</w:t>
      </w:r>
      <w:r w:rsidRPr="00455DC7">
        <w:t xml:space="preserve"> </w:t>
      </w:r>
      <w:r>
        <w:t>07/03/14</w:t>
      </w:r>
    </w:p>
    <w:p w:rsidR="006D0A68" w:rsidRDefault="006D0A68" w:rsidP="00A16958">
      <w:pPr>
        <w:spacing w:before="0" w:line="276" w:lineRule="auto"/>
        <w:rPr>
          <w:color w:val="002060"/>
        </w:rPr>
      </w:pPr>
      <w:r w:rsidRPr="00AB038B">
        <w:rPr>
          <w:b/>
        </w:rPr>
        <w:t xml:space="preserve">Methodology </w:t>
      </w:r>
      <w:r w:rsidRPr="00A16958">
        <w:rPr>
          <w:b/>
        </w:rPr>
        <w:t>Used:</w:t>
      </w:r>
      <w:r w:rsidRPr="00A16958">
        <w:t xml:space="preserve"> Official data published by Statistics Netherlands. No details of survey/data collection methodology provided. It appears that these figures are before housing cost.</w:t>
      </w:r>
    </w:p>
    <w:p w:rsidR="006D0A68" w:rsidRPr="008F3EC6" w:rsidRDefault="006D0A68" w:rsidP="00A16958">
      <w:pPr>
        <w:spacing w:before="0" w:line="276" w:lineRule="auto"/>
      </w:pPr>
      <w:r>
        <w:rPr>
          <w:b/>
        </w:rPr>
        <w:t>Constraints on</w:t>
      </w:r>
      <w:r w:rsidRPr="00B24721">
        <w:rPr>
          <w:b/>
        </w:rPr>
        <w:t xml:space="preserve"> Choice of Methodology:</w:t>
      </w:r>
      <w:r>
        <w:rPr>
          <w:b/>
        </w:rPr>
        <w:t xml:space="preserve"> </w:t>
      </w:r>
      <w:r w:rsidRPr="002476E7">
        <w:t xml:space="preserve">No suitable region indicators to define clusters in the EU-SILC microdata. No Census microdata available (NL uses registers rather than a census). In </w:t>
      </w:r>
      <w:r>
        <w:t>these circumstances the Statistics Netherlands NUTS 3 indicator is the best option, although it means we only have a before housing cost rate.</w:t>
      </w:r>
    </w:p>
    <w:p w:rsidR="006D0A68" w:rsidRPr="003917A1" w:rsidRDefault="006D0A68" w:rsidP="00A16958">
      <w:pPr>
        <w:spacing w:before="0" w:line="276" w:lineRule="auto"/>
        <w:rPr>
          <w:color w:val="002060"/>
        </w:rPr>
      </w:pPr>
      <w:r w:rsidRPr="000311DA">
        <w:rPr>
          <w:b/>
        </w:rPr>
        <w:t>Source(s) of raw data:</w:t>
      </w:r>
      <w:r w:rsidRPr="000311DA">
        <w:t xml:space="preserve"> </w:t>
      </w:r>
      <w:r>
        <w:t xml:space="preserve">personal communication from </w:t>
      </w:r>
      <w:r w:rsidRPr="002476E7">
        <w:t>Koos Arts Statistics Netherlands 06/03/2013</w:t>
      </w:r>
    </w:p>
    <w:p w:rsidR="006D0A68" w:rsidRPr="00AB038B" w:rsidRDefault="006D0A68" w:rsidP="00A16958">
      <w:pPr>
        <w:spacing w:before="0" w:line="276" w:lineRule="auto"/>
      </w:pPr>
      <w:r w:rsidRPr="00AB038B">
        <w:rPr>
          <w:b/>
        </w:rPr>
        <w:t>Date(s) of raw data:</w:t>
      </w:r>
      <w:r>
        <w:rPr>
          <w:color w:val="002060"/>
        </w:rPr>
        <w:t xml:space="preserve"> 2010</w:t>
      </w:r>
    </w:p>
    <w:p w:rsidR="006D0A68" w:rsidRPr="008F3EC6" w:rsidRDefault="006D0A68" w:rsidP="00A16958">
      <w:pPr>
        <w:spacing w:before="0" w:line="276" w:lineRule="auto"/>
      </w:pPr>
      <w:r>
        <w:rPr>
          <w:b/>
        </w:rPr>
        <w:t xml:space="preserve">Variables used: </w:t>
      </w:r>
      <w:r>
        <w:t>At risk of poverty rate, by region 2010</w:t>
      </w:r>
      <w:r w:rsidRPr="008F3EC6">
        <w:t>.</w:t>
      </w:r>
    </w:p>
    <w:p w:rsidR="006D0A68" w:rsidRDefault="006D0A68" w:rsidP="00A16958">
      <w:pPr>
        <w:spacing w:before="0" w:line="276" w:lineRule="auto"/>
      </w:pPr>
      <w:r w:rsidRPr="0018643B">
        <w:rPr>
          <w:b/>
        </w:rPr>
        <w:t>Before or after Housing Costs?</w:t>
      </w:r>
      <w:r>
        <w:rPr>
          <w:b/>
        </w:rPr>
        <w:t xml:space="preserve"> </w:t>
      </w:r>
      <w:r w:rsidRPr="00FB6E7B">
        <w:t>Before</w:t>
      </w:r>
    </w:p>
    <w:p w:rsidR="006D0A68" w:rsidRDefault="006D0A68" w:rsidP="00A16958">
      <w:pPr>
        <w:spacing w:before="0" w:line="276" w:lineRule="auto"/>
      </w:pPr>
      <w:r w:rsidRPr="00CF1CB1">
        <w:rPr>
          <w:b/>
        </w:rPr>
        <w:t>NUTS Level of estimates:</w:t>
      </w:r>
      <w:r>
        <w:rPr>
          <w:b/>
        </w:rPr>
        <w:t xml:space="preserve"> </w:t>
      </w:r>
      <w:r w:rsidRPr="00FB6E7B">
        <w:t xml:space="preserve">NUTS 3 </w:t>
      </w:r>
    </w:p>
    <w:p w:rsidR="006D0A68" w:rsidRDefault="006D0A68" w:rsidP="00A16958">
      <w:pPr>
        <w:spacing w:before="0" w:line="276" w:lineRule="auto"/>
      </w:pPr>
      <w:r w:rsidRPr="00455DC7">
        <w:rPr>
          <w:b/>
        </w:rPr>
        <w:t xml:space="preserve">Adjusted to agree with Eurostat published </w:t>
      </w:r>
      <w:r w:rsidR="008632AA">
        <w:rPr>
          <w:b/>
        </w:rPr>
        <w:t>AROP</w:t>
      </w:r>
      <w:r w:rsidRPr="00455DC7">
        <w:rPr>
          <w:b/>
        </w:rPr>
        <w:t xml:space="preserve"> rates?</w:t>
      </w:r>
      <w:r>
        <w:rPr>
          <w:b/>
        </w:rPr>
        <w:t xml:space="preserve"> </w:t>
      </w:r>
      <w:r w:rsidRPr="00FB6E7B">
        <w:t>No</w:t>
      </w:r>
    </w:p>
    <w:p w:rsidR="006D0A68" w:rsidRPr="00CF1CB1" w:rsidRDefault="006D0A68" w:rsidP="00A16958">
      <w:pPr>
        <w:spacing w:before="0" w:line="276" w:lineRule="auto"/>
        <w:rPr>
          <w:b/>
        </w:rPr>
      </w:pPr>
      <w:r w:rsidRPr="00CF1CB1">
        <w:rPr>
          <w:b/>
        </w:rPr>
        <w:t>Comments:</w:t>
      </w:r>
      <w:r>
        <w:t xml:space="preserve"> No information on methodology provided. I assume the rates are derived from register or administrative files.</w:t>
      </w:r>
    </w:p>
    <w:p w:rsidR="006D0A68" w:rsidRDefault="006D0A68" w:rsidP="00A16958">
      <w:pPr>
        <w:spacing w:before="0" w:line="276" w:lineRule="auto"/>
        <w:rPr>
          <w:b/>
          <w:noProof/>
          <w:kern w:val="28"/>
          <w:sz w:val="28"/>
        </w:rPr>
      </w:pPr>
      <w:r>
        <w:rPr>
          <w:noProof/>
        </w:rPr>
        <w:br w:type="page"/>
      </w:r>
    </w:p>
    <w:p w:rsidR="006D0A68" w:rsidRPr="00152E8C" w:rsidRDefault="006D0A68" w:rsidP="00A16958">
      <w:pPr>
        <w:spacing w:before="0" w:line="276" w:lineRule="auto"/>
        <w:rPr>
          <w:color w:val="000000" w:themeColor="text1"/>
        </w:rPr>
      </w:pPr>
      <w:r w:rsidRPr="00152E8C">
        <w:rPr>
          <w:b/>
          <w:color w:val="000000" w:themeColor="text1"/>
        </w:rPr>
        <w:lastRenderedPageBreak/>
        <w:t>Country:</w:t>
      </w:r>
      <w:r w:rsidRPr="00152E8C">
        <w:rPr>
          <w:color w:val="000000" w:themeColor="text1"/>
        </w:rPr>
        <w:t xml:space="preserve"> Norway</w:t>
      </w:r>
    </w:p>
    <w:p w:rsidR="00A16958" w:rsidRDefault="00A16958" w:rsidP="00A16958">
      <w:pPr>
        <w:spacing w:before="0" w:line="276" w:lineRule="auto"/>
        <w:rPr>
          <w:b/>
          <w:color w:val="000000" w:themeColor="text1"/>
        </w:rPr>
      </w:pPr>
    </w:p>
    <w:p w:rsidR="006D0A68" w:rsidRPr="00152E8C" w:rsidRDefault="006D0A68" w:rsidP="00A16958">
      <w:pPr>
        <w:spacing w:before="0" w:line="276" w:lineRule="auto"/>
        <w:rPr>
          <w:color w:val="000000" w:themeColor="text1"/>
        </w:rPr>
      </w:pPr>
      <w:r w:rsidRPr="00152E8C">
        <w:rPr>
          <w:b/>
          <w:color w:val="000000" w:themeColor="text1"/>
        </w:rPr>
        <w:t>Partner responsible</w:t>
      </w:r>
      <w:r w:rsidRPr="00152E8C">
        <w:rPr>
          <w:color w:val="000000" w:themeColor="text1"/>
        </w:rPr>
        <w:t>: Nordregio, Stockholm, Sweden</w:t>
      </w:r>
    </w:p>
    <w:p w:rsidR="006D0A68" w:rsidRDefault="006D0A68" w:rsidP="00A16958">
      <w:pPr>
        <w:spacing w:before="0" w:line="276" w:lineRule="auto"/>
      </w:pPr>
      <w:r w:rsidRPr="00236856">
        <w:rPr>
          <w:b/>
        </w:rPr>
        <w:t>Contact Person:</w:t>
      </w:r>
      <w:r w:rsidRPr="00236856">
        <w:t xml:space="preserve"> </w:t>
      </w:r>
      <w:r w:rsidRPr="00F75DF0">
        <w:t>Petri Kahila (</w:t>
      </w:r>
      <w:hyperlink r:id="rId87" w:history="1">
        <w:r w:rsidRPr="00C53EC4">
          <w:rPr>
            <w:rStyle w:val="Hyperlinkki"/>
          </w:rPr>
          <w:t>petri.kahila@uef.fi</w:t>
        </w:r>
      </w:hyperlink>
      <w:r w:rsidRPr="00F75DF0">
        <w:t>)</w:t>
      </w:r>
    </w:p>
    <w:p w:rsidR="006D0A68" w:rsidRPr="00152E8C" w:rsidRDefault="006D0A68" w:rsidP="00A16958">
      <w:pPr>
        <w:spacing w:before="0" w:line="276" w:lineRule="auto"/>
        <w:rPr>
          <w:color w:val="000000" w:themeColor="text1"/>
        </w:rPr>
      </w:pPr>
      <w:r w:rsidRPr="00152E8C">
        <w:rPr>
          <w:b/>
          <w:color w:val="000000" w:themeColor="text1"/>
        </w:rPr>
        <w:t>Date:</w:t>
      </w:r>
      <w:r w:rsidRPr="00152E8C">
        <w:rPr>
          <w:color w:val="000000" w:themeColor="text1"/>
        </w:rPr>
        <w:t xml:space="preserve"> 03/07/2014</w:t>
      </w:r>
    </w:p>
    <w:p w:rsidR="006D0A68" w:rsidRPr="00152E8C" w:rsidRDefault="006D0A68" w:rsidP="00A16958">
      <w:pPr>
        <w:spacing w:before="0" w:line="276" w:lineRule="auto"/>
        <w:rPr>
          <w:color w:val="000000" w:themeColor="text1"/>
        </w:rPr>
      </w:pPr>
      <w:r w:rsidRPr="00152E8C">
        <w:rPr>
          <w:b/>
          <w:color w:val="000000" w:themeColor="text1"/>
        </w:rPr>
        <w:t>Methodology Used:</w:t>
      </w:r>
      <w:r w:rsidRPr="00152E8C">
        <w:rPr>
          <w:color w:val="000000" w:themeColor="text1"/>
        </w:rPr>
        <w:t xml:space="preserve"> Register Data</w:t>
      </w:r>
    </w:p>
    <w:p w:rsidR="006D0A68" w:rsidRDefault="006D0A68" w:rsidP="00A16958">
      <w:pPr>
        <w:spacing w:before="0" w:line="276" w:lineRule="auto"/>
        <w:rPr>
          <w:b/>
        </w:rPr>
      </w:pPr>
      <w:r>
        <w:rPr>
          <w:b/>
        </w:rPr>
        <w:t>Constraints on</w:t>
      </w:r>
      <w:r w:rsidRPr="00B24721">
        <w:rPr>
          <w:b/>
        </w:rPr>
        <w:t xml:space="preserve"> Choice of Methodology: </w:t>
      </w:r>
      <w:r w:rsidR="00BB1DAF" w:rsidRPr="00BB1DAF">
        <w:t>Not applicable</w:t>
      </w:r>
    </w:p>
    <w:p w:rsidR="006D0A68" w:rsidRDefault="006D0A68" w:rsidP="00A16958">
      <w:pPr>
        <w:spacing w:before="0" w:line="276" w:lineRule="auto"/>
      </w:pPr>
      <w:r w:rsidRPr="000311DA">
        <w:rPr>
          <w:b/>
        </w:rPr>
        <w:t>Source(s) of raw data:</w:t>
      </w:r>
      <w:r w:rsidRPr="000311DA">
        <w:t xml:space="preserve"> </w:t>
      </w:r>
    </w:p>
    <w:p w:rsidR="006D0A68" w:rsidRPr="00F636C0" w:rsidRDefault="006D0A68" w:rsidP="00A16958">
      <w:pPr>
        <w:pStyle w:val="Luettelokappale"/>
        <w:numPr>
          <w:ilvl w:val="0"/>
          <w:numId w:val="10"/>
        </w:numPr>
        <w:spacing w:before="0" w:line="276" w:lineRule="auto"/>
        <w:jc w:val="left"/>
      </w:pPr>
      <w:r>
        <w:t xml:space="preserve">Municipal data produced by Statistics Norway (SSB). General at-risk-of-poverty rate data for the municipality must be purchased, but more information is available here: </w:t>
      </w:r>
      <w:hyperlink r:id="rId88" w:history="1">
        <w:r w:rsidRPr="00BC2CE9">
          <w:rPr>
            <w:rStyle w:val="Hyperlinkki"/>
          </w:rPr>
          <w:t>https://www.ssb.no/en/sok?innholdstype=statistikk&amp;sok=at-risk-of-poverty+rate</w:t>
        </w:r>
      </w:hyperlink>
      <w:r>
        <w:t xml:space="preserve"> </w:t>
      </w:r>
    </w:p>
    <w:p w:rsidR="006D0A68" w:rsidRPr="00AB038B" w:rsidRDefault="006D0A68" w:rsidP="00A16958">
      <w:pPr>
        <w:spacing w:before="0" w:line="276" w:lineRule="auto"/>
      </w:pPr>
      <w:r w:rsidRPr="00F636C0">
        <w:rPr>
          <w:b/>
        </w:rPr>
        <w:t xml:space="preserve">Date(s) of raw data: </w:t>
      </w:r>
      <w:r>
        <w:t>Norway municipal data 2010</w:t>
      </w:r>
    </w:p>
    <w:p w:rsidR="006D0A68" w:rsidRDefault="006D0A68" w:rsidP="00A16958">
      <w:pPr>
        <w:spacing w:before="0" w:line="276" w:lineRule="auto"/>
      </w:pPr>
      <w:r>
        <w:rPr>
          <w:b/>
        </w:rPr>
        <w:t>Variables used:</w:t>
      </w:r>
      <w:r w:rsidR="00BB1DAF">
        <w:rPr>
          <w:b/>
        </w:rPr>
        <w:t xml:space="preserve"> </w:t>
      </w:r>
      <w:r>
        <w:t>Municipal data for Disposable inc</w:t>
      </w:r>
      <w:r w:rsidR="00BB1DAF">
        <w:t>ome below</w:t>
      </w:r>
      <w:r>
        <w:t xml:space="preserve"> 60% of the median </w:t>
      </w:r>
    </w:p>
    <w:p w:rsidR="006D0A68" w:rsidRDefault="006D0A68" w:rsidP="00A16958">
      <w:pPr>
        <w:spacing w:before="0" w:line="276" w:lineRule="auto"/>
      </w:pPr>
      <w:r w:rsidRPr="0018643B">
        <w:rPr>
          <w:b/>
        </w:rPr>
        <w:t>Before or after Housing Costs?</w:t>
      </w:r>
      <w:r>
        <w:rPr>
          <w:b/>
        </w:rPr>
        <w:t xml:space="preserve"> </w:t>
      </w:r>
      <w:r w:rsidR="00BB1DAF">
        <w:t>Before</w:t>
      </w:r>
    </w:p>
    <w:p w:rsidR="006D0A68" w:rsidRDefault="006D0A68" w:rsidP="00A16958">
      <w:pPr>
        <w:spacing w:before="0" w:line="276" w:lineRule="auto"/>
      </w:pPr>
      <w:r w:rsidRPr="00CF1CB1">
        <w:rPr>
          <w:b/>
        </w:rPr>
        <w:t>NUTS Level of estimates:</w:t>
      </w:r>
      <w:r>
        <w:t xml:space="preserve"> NUTS 3</w:t>
      </w:r>
    </w:p>
    <w:p w:rsidR="006D0A68" w:rsidRDefault="006D0A68" w:rsidP="00A16958">
      <w:pPr>
        <w:spacing w:before="0" w:line="276" w:lineRule="auto"/>
      </w:pPr>
      <w:r w:rsidRPr="00455DC7">
        <w:rPr>
          <w:b/>
        </w:rPr>
        <w:t xml:space="preserve">Adjusted to agree with Eurostat published </w:t>
      </w:r>
      <w:r w:rsidR="008632AA">
        <w:rPr>
          <w:b/>
        </w:rPr>
        <w:t>AROP</w:t>
      </w:r>
      <w:r w:rsidRPr="00455DC7">
        <w:rPr>
          <w:b/>
        </w:rPr>
        <w:t xml:space="preserve"> rates?</w:t>
      </w:r>
      <w:r w:rsidRPr="00455DC7">
        <w:t xml:space="preserve"> </w:t>
      </w:r>
      <w:r w:rsidR="00BB1DAF">
        <w:t>No</w:t>
      </w:r>
    </w:p>
    <w:p w:rsidR="006D0A68" w:rsidRDefault="006D0A68" w:rsidP="00A16958">
      <w:pPr>
        <w:spacing w:before="0" w:line="276" w:lineRule="auto"/>
      </w:pPr>
      <w:r w:rsidRPr="00CF1CB1">
        <w:rPr>
          <w:b/>
        </w:rPr>
        <w:t>Comments:</w:t>
      </w:r>
      <w:r w:rsidRPr="00365B69">
        <w:t xml:space="preserve"> </w:t>
      </w:r>
    </w:p>
    <w:p w:rsidR="006D0A68" w:rsidRDefault="006D0A68" w:rsidP="00A16958">
      <w:pPr>
        <w:pStyle w:val="Luettelokappale"/>
        <w:numPr>
          <w:ilvl w:val="0"/>
          <w:numId w:val="11"/>
        </w:numPr>
        <w:spacing w:before="0" w:line="276" w:lineRule="auto"/>
        <w:jc w:val="left"/>
      </w:pPr>
      <w:r w:rsidRPr="00365B69">
        <w:t>The apportionment me</w:t>
      </w:r>
      <w:r>
        <w:t xml:space="preserve">thod used to estimate NUTS 3 level </w:t>
      </w:r>
      <w:r w:rsidR="008632AA">
        <w:t>ARoP</w:t>
      </w:r>
      <w:r>
        <w:t xml:space="preserve"> rates for Norway is based on disposable income data from SSB, adjusted for the OECD scale.</w:t>
      </w:r>
    </w:p>
    <w:p w:rsidR="006D0A68" w:rsidRDefault="006D0A68" w:rsidP="00A16958">
      <w:pPr>
        <w:pStyle w:val="Luettelokappale"/>
        <w:numPr>
          <w:ilvl w:val="0"/>
          <w:numId w:val="11"/>
        </w:numPr>
        <w:spacing w:before="0" w:line="276" w:lineRule="auto"/>
        <w:jc w:val="left"/>
      </w:pPr>
      <w:r w:rsidRPr="00DD3B6E">
        <w:t>At-risk-of-poverty rate is the rate of individuals that fall under</w:t>
      </w:r>
      <w:r>
        <w:t xml:space="preserve"> </w:t>
      </w:r>
      <w:r w:rsidRPr="00DD3B6E">
        <w:t>the at-risk-of-poverty threshold. The at-risk-of-poverty threshold is</w:t>
      </w:r>
      <w:r>
        <w:t xml:space="preserve"> </w:t>
      </w:r>
      <w:r w:rsidRPr="00DD3B6E">
        <w:t>defined as 60% of the median equivalised disposable income.</w:t>
      </w:r>
      <w:r>
        <w:t xml:space="preserve"> </w:t>
      </w:r>
    </w:p>
    <w:p w:rsidR="006D0A68" w:rsidRDefault="006D0A68" w:rsidP="00A16958">
      <w:pPr>
        <w:pStyle w:val="Luettelokappale"/>
        <w:numPr>
          <w:ilvl w:val="0"/>
          <w:numId w:val="11"/>
        </w:numPr>
        <w:spacing w:before="0" w:line="276" w:lineRule="auto"/>
        <w:jc w:val="left"/>
      </w:pPr>
      <w:r w:rsidRPr="00DD3B6E">
        <w:t>Equivalised disposable income depends on the disposable income of the</w:t>
      </w:r>
      <w:r>
        <w:t xml:space="preserve"> </w:t>
      </w:r>
      <w:r w:rsidRPr="00DD3B6E">
        <w:t>household and how many people are living from that income.</w:t>
      </w:r>
    </w:p>
    <w:p w:rsidR="006D0A68" w:rsidRDefault="006D0A68" w:rsidP="00A16958">
      <w:pPr>
        <w:pStyle w:val="Luettelokappale"/>
        <w:numPr>
          <w:ilvl w:val="0"/>
          <w:numId w:val="11"/>
        </w:numPr>
        <w:spacing w:before="0" w:line="276" w:lineRule="auto"/>
        <w:jc w:val="left"/>
      </w:pPr>
      <w:r>
        <w:t>Municipal data was scaled up to conform with NUTS 3 boundaries and is based is based on disposable income data from SSB, adjusted for the EU and OECD scales.</w:t>
      </w:r>
    </w:p>
    <w:p w:rsidR="006D0A68" w:rsidRPr="003B5F5F" w:rsidRDefault="006D0A68" w:rsidP="00A16958">
      <w:pPr>
        <w:pStyle w:val="Luettelokappale"/>
        <w:numPr>
          <w:ilvl w:val="1"/>
          <w:numId w:val="11"/>
        </w:numPr>
        <w:spacing w:before="0" w:line="276" w:lineRule="auto"/>
        <w:contextualSpacing w:val="0"/>
        <w:jc w:val="left"/>
      </w:pPr>
      <w:r w:rsidRPr="003B5F5F">
        <w:t xml:space="preserve">Started with percentage of persons </w:t>
      </w:r>
      <w:r w:rsidR="008632AA">
        <w:t>ARoP</w:t>
      </w:r>
      <w:r w:rsidRPr="003B5F5F">
        <w:t xml:space="preserve"> for municipalities in Norway.</w:t>
      </w:r>
    </w:p>
    <w:p w:rsidR="006D0A68" w:rsidRPr="003B5F5F" w:rsidRDefault="006D0A68" w:rsidP="00A16958">
      <w:pPr>
        <w:pStyle w:val="Luettelokappale"/>
        <w:numPr>
          <w:ilvl w:val="1"/>
          <w:numId w:val="11"/>
        </w:numPr>
        <w:spacing w:before="0" w:line="276" w:lineRule="auto"/>
        <w:contextualSpacing w:val="0"/>
        <w:jc w:val="left"/>
      </w:pPr>
      <w:r w:rsidRPr="003B5F5F">
        <w:t xml:space="preserve">Data on number of inhabitants per municipality in Norway used to calculate the number of persons </w:t>
      </w:r>
      <w:r w:rsidR="008632AA">
        <w:t>ARoP</w:t>
      </w:r>
      <w:r w:rsidRPr="003B5F5F">
        <w:t xml:space="preserve"> for each municipality. (Ex: 28.776 inhabitants = 3280 persons </w:t>
      </w:r>
      <w:r w:rsidR="008632AA">
        <w:t>ARoP</w:t>
      </w:r>
      <w:r w:rsidRPr="003B5F5F">
        <w:t>)</w:t>
      </w:r>
    </w:p>
    <w:p w:rsidR="006D0A68" w:rsidRPr="003B5F5F" w:rsidRDefault="006D0A68" w:rsidP="00A16958">
      <w:pPr>
        <w:pStyle w:val="Luettelokappale"/>
        <w:numPr>
          <w:ilvl w:val="1"/>
          <w:numId w:val="11"/>
        </w:numPr>
        <w:spacing w:before="0" w:line="276" w:lineRule="auto"/>
        <w:contextualSpacing w:val="0"/>
        <w:jc w:val="left"/>
      </w:pPr>
      <w:r w:rsidRPr="003B5F5F">
        <w:t>This number added up for all the municipalities for each NUTS 3 region (Ex: 28.129 in the first NUTS 3 region)</w:t>
      </w:r>
    </w:p>
    <w:p w:rsidR="006D0A68" w:rsidRPr="003B5F5F" w:rsidRDefault="006D0A68" w:rsidP="00A16958">
      <w:pPr>
        <w:pStyle w:val="Luettelokappale"/>
        <w:numPr>
          <w:ilvl w:val="1"/>
          <w:numId w:val="11"/>
        </w:numPr>
        <w:spacing w:before="0" w:line="276" w:lineRule="auto"/>
        <w:contextualSpacing w:val="0"/>
        <w:jc w:val="left"/>
      </w:pPr>
      <w:r w:rsidRPr="003B5F5F">
        <w:t xml:space="preserve">Share of persons </w:t>
      </w:r>
      <w:r w:rsidR="008632AA">
        <w:t>ARoP</w:t>
      </w:r>
      <w:r w:rsidRPr="003B5F5F">
        <w:t xml:space="preserve"> by NUTS 3 region calculated by dividing the previous two results (Ex: 10,4)</w:t>
      </w:r>
    </w:p>
    <w:p w:rsidR="00A16958" w:rsidRDefault="00A16958">
      <w:pPr>
        <w:spacing w:before="0"/>
        <w:rPr>
          <w:b/>
          <w:color w:val="000000" w:themeColor="text1"/>
        </w:rPr>
      </w:pPr>
      <w:r>
        <w:rPr>
          <w:b/>
          <w:color w:val="000000" w:themeColor="text1"/>
        </w:rPr>
        <w:br w:type="page"/>
      </w:r>
    </w:p>
    <w:p w:rsidR="00BB1DAF" w:rsidRPr="00BB1DAF" w:rsidRDefault="00BB1DAF" w:rsidP="00A16958">
      <w:pPr>
        <w:spacing w:before="0" w:line="276" w:lineRule="auto"/>
        <w:rPr>
          <w:color w:val="000000" w:themeColor="text1"/>
        </w:rPr>
      </w:pPr>
      <w:r w:rsidRPr="00BB1DAF">
        <w:rPr>
          <w:b/>
          <w:color w:val="000000" w:themeColor="text1"/>
        </w:rPr>
        <w:lastRenderedPageBreak/>
        <w:t>Country:</w:t>
      </w:r>
      <w:r w:rsidRPr="00BB1DAF">
        <w:rPr>
          <w:color w:val="000000" w:themeColor="text1"/>
        </w:rPr>
        <w:t xml:space="preserve"> Portugal</w:t>
      </w:r>
    </w:p>
    <w:p w:rsidR="00A16958" w:rsidRDefault="00A16958" w:rsidP="00A16958">
      <w:pPr>
        <w:spacing w:before="0" w:line="276" w:lineRule="auto"/>
        <w:rPr>
          <w:b/>
          <w:color w:val="000000" w:themeColor="text1"/>
        </w:rPr>
      </w:pPr>
    </w:p>
    <w:p w:rsidR="00BB1DAF" w:rsidRPr="00BB1DAF" w:rsidRDefault="00BB1DAF" w:rsidP="00A16958">
      <w:pPr>
        <w:spacing w:before="0" w:line="276" w:lineRule="auto"/>
        <w:rPr>
          <w:color w:val="000000" w:themeColor="text1"/>
        </w:rPr>
      </w:pPr>
      <w:r w:rsidRPr="00BB1DAF">
        <w:rPr>
          <w:b/>
          <w:color w:val="000000" w:themeColor="text1"/>
        </w:rPr>
        <w:t>Partner responsible</w:t>
      </w:r>
      <w:r w:rsidRPr="00BB1DAF">
        <w:rPr>
          <w:color w:val="000000" w:themeColor="text1"/>
        </w:rPr>
        <w:t xml:space="preserve">: </w:t>
      </w:r>
      <w:r w:rsidR="00152E8C">
        <w:rPr>
          <w:color w:val="000000" w:themeColor="text1"/>
        </w:rPr>
        <w:t>ILS</w:t>
      </w:r>
      <w:r w:rsidRPr="00BB1DAF">
        <w:rPr>
          <w:color w:val="000000" w:themeColor="text1"/>
        </w:rPr>
        <w:t>–Research Institute for Regional and Urban Development. Dortmund</w:t>
      </w:r>
    </w:p>
    <w:p w:rsidR="00BB1DAF" w:rsidRDefault="00BB1DAF" w:rsidP="00A16958">
      <w:pPr>
        <w:spacing w:before="0" w:line="276" w:lineRule="auto"/>
      </w:pPr>
      <w:r w:rsidRPr="00236856">
        <w:rPr>
          <w:b/>
        </w:rPr>
        <w:t>Contact Person:</w:t>
      </w:r>
      <w:r w:rsidRPr="00236856">
        <w:t xml:space="preserve"> </w:t>
      </w:r>
      <w:r w:rsidRPr="00BB1DAF">
        <w:rPr>
          <w:color w:val="000000" w:themeColor="text1"/>
        </w:rPr>
        <w:t xml:space="preserve">Stefan Kaup </w:t>
      </w:r>
      <w:r>
        <w:rPr>
          <w:color w:val="000000" w:themeColor="text1"/>
        </w:rPr>
        <w:t>(</w:t>
      </w:r>
      <w:hyperlink r:id="rId89" w:history="1">
        <w:r w:rsidRPr="00C53EC4">
          <w:rPr>
            <w:rStyle w:val="Hyperlinkki"/>
          </w:rPr>
          <w:t>stefan.kaup@ils-forschung.de</w:t>
        </w:r>
      </w:hyperlink>
      <w:r>
        <w:rPr>
          <w:color w:val="000000" w:themeColor="text1"/>
        </w:rPr>
        <w:t>)</w:t>
      </w:r>
    </w:p>
    <w:p w:rsidR="00BB1DAF" w:rsidRPr="00BB1DAF" w:rsidRDefault="00BB1DAF" w:rsidP="00A16958">
      <w:pPr>
        <w:spacing w:before="0" w:line="276" w:lineRule="auto"/>
        <w:rPr>
          <w:color w:val="000000" w:themeColor="text1"/>
        </w:rPr>
      </w:pPr>
      <w:r w:rsidRPr="00BB1DAF">
        <w:rPr>
          <w:b/>
          <w:color w:val="000000" w:themeColor="text1"/>
        </w:rPr>
        <w:t>Date:</w:t>
      </w:r>
      <w:r w:rsidRPr="00BB1DAF">
        <w:rPr>
          <w:color w:val="000000" w:themeColor="text1"/>
        </w:rPr>
        <w:t xml:space="preserve"> 24/03/14</w:t>
      </w:r>
    </w:p>
    <w:p w:rsidR="00BB1DAF" w:rsidRPr="00BB1DAF" w:rsidRDefault="00BB1DAF" w:rsidP="00A16958">
      <w:pPr>
        <w:spacing w:before="0" w:line="276" w:lineRule="auto"/>
        <w:rPr>
          <w:color w:val="000000" w:themeColor="text1"/>
        </w:rPr>
      </w:pPr>
      <w:r w:rsidRPr="00BB1DAF">
        <w:rPr>
          <w:b/>
          <w:color w:val="000000" w:themeColor="text1"/>
        </w:rPr>
        <w:t>Methodology Used:</w:t>
      </w:r>
      <w:r w:rsidRPr="00BB1DAF">
        <w:rPr>
          <w:color w:val="000000" w:themeColor="text1"/>
        </w:rPr>
        <w:t xml:space="preserve"> Direct Apportionment</w:t>
      </w:r>
    </w:p>
    <w:p w:rsidR="00BB1DAF" w:rsidRPr="00A46A54" w:rsidRDefault="00BB1DAF" w:rsidP="00A16958">
      <w:pPr>
        <w:spacing w:before="0" w:line="276" w:lineRule="auto"/>
        <w:jc w:val="left"/>
        <w:rPr>
          <w:lang w:val="en-US"/>
        </w:rPr>
      </w:pPr>
      <w:r w:rsidRPr="0001307F">
        <w:rPr>
          <w:b/>
        </w:rPr>
        <w:t>Constraints on Choice of Methodology:</w:t>
      </w:r>
      <w:r>
        <w:rPr>
          <w:b/>
        </w:rPr>
        <w:t xml:space="preserve"> </w:t>
      </w:r>
      <w:r>
        <w:rPr>
          <w:lang w:val="en-US"/>
        </w:rPr>
        <w:t>Usage of</w:t>
      </w:r>
      <w:r w:rsidRPr="00A46A54">
        <w:rPr>
          <w:lang w:val="en-US"/>
        </w:rPr>
        <w:t xml:space="preserve"> World Bank PovMap was not possible due to lack of EU-SILC information for regions</w:t>
      </w:r>
      <w:r>
        <w:rPr>
          <w:lang w:val="en-US"/>
        </w:rPr>
        <w:t xml:space="preserve"> </w:t>
      </w:r>
      <w:r w:rsidRPr="00A46A54">
        <w:rPr>
          <w:lang w:val="en-US"/>
        </w:rPr>
        <w:t>below NUTS 1. The area based method approach could not be used as an alternative because of the insufficient number of degrees of freedom to estimate the r</w:t>
      </w:r>
      <w:r>
        <w:rPr>
          <w:lang w:val="en-US"/>
        </w:rPr>
        <w:t>egression model</w:t>
      </w:r>
      <w:r w:rsidRPr="00A46A54">
        <w:rPr>
          <w:lang w:val="en-US"/>
        </w:rPr>
        <w:t>.</w:t>
      </w:r>
    </w:p>
    <w:p w:rsidR="00BB1DAF" w:rsidRDefault="00BB1DAF" w:rsidP="00A16958">
      <w:pPr>
        <w:spacing w:before="0" w:line="276" w:lineRule="auto"/>
        <w:rPr>
          <w:color w:val="002060"/>
        </w:rPr>
      </w:pPr>
      <w:r>
        <w:rPr>
          <w:b/>
        </w:rPr>
        <w:t>Source(s) of raw data:</w:t>
      </w:r>
    </w:p>
    <w:p w:rsidR="00BB1DAF" w:rsidRDefault="00BB1DAF" w:rsidP="00A16958">
      <w:pPr>
        <w:pStyle w:val="Luettelokappale"/>
        <w:numPr>
          <w:ilvl w:val="0"/>
          <w:numId w:val="16"/>
        </w:numPr>
        <w:spacing w:before="0" w:line="276" w:lineRule="auto"/>
        <w:jc w:val="left"/>
        <w:rPr>
          <w:lang w:val="en-US"/>
        </w:rPr>
      </w:pPr>
      <w:r w:rsidRPr="007437CC">
        <w:rPr>
          <w:lang w:val="en-US"/>
        </w:rPr>
        <w:t xml:space="preserve">NUTS </w:t>
      </w:r>
      <w:r>
        <w:rPr>
          <w:lang w:val="en-US"/>
        </w:rPr>
        <w:t xml:space="preserve">0 </w:t>
      </w:r>
      <w:r w:rsidRPr="0009753A">
        <w:rPr>
          <w:i/>
          <w:lang w:val="en-US"/>
        </w:rPr>
        <w:t>At risk of poverty rate</w:t>
      </w:r>
      <w:r w:rsidRPr="007437CC">
        <w:rPr>
          <w:lang w:val="en-US"/>
        </w:rPr>
        <w:t xml:space="preserve"> </w:t>
      </w:r>
      <w:r>
        <w:rPr>
          <w:lang w:val="en-US"/>
        </w:rPr>
        <w:t>calculated</w:t>
      </w:r>
      <w:r w:rsidRPr="007437CC">
        <w:rPr>
          <w:lang w:val="en-US"/>
        </w:rPr>
        <w:t xml:space="preserve"> </w:t>
      </w:r>
      <w:r>
        <w:rPr>
          <w:lang w:val="en-US"/>
        </w:rPr>
        <w:t>from EU-SILC.</w:t>
      </w:r>
    </w:p>
    <w:p w:rsidR="00BB1DAF" w:rsidRPr="0009753A" w:rsidRDefault="00BB1DAF" w:rsidP="00A16958">
      <w:pPr>
        <w:pStyle w:val="Luettelokappale"/>
        <w:numPr>
          <w:ilvl w:val="0"/>
          <w:numId w:val="16"/>
        </w:numPr>
        <w:spacing w:before="0" w:line="276" w:lineRule="auto"/>
        <w:jc w:val="left"/>
        <w:rPr>
          <w:lang w:val="en-US"/>
        </w:rPr>
      </w:pPr>
      <w:r w:rsidRPr="0009753A">
        <w:rPr>
          <w:lang w:val="en-US"/>
        </w:rPr>
        <w:t>NUTS</w:t>
      </w:r>
      <w:r>
        <w:rPr>
          <w:lang w:val="en-US"/>
        </w:rPr>
        <w:t xml:space="preserve"> </w:t>
      </w:r>
      <w:r w:rsidRPr="0009753A">
        <w:rPr>
          <w:lang w:val="en-US"/>
        </w:rPr>
        <w:t xml:space="preserve">3 </w:t>
      </w:r>
      <w:r w:rsidRPr="0009753A">
        <w:rPr>
          <w:i/>
          <w:lang w:val="en-US"/>
        </w:rPr>
        <w:t>Average monthly wages</w:t>
      </w:r>
      <w:r>
        <w:rPr>
          <w:lang w:val="en-US"/>
        </w:rPr>
        <w:t xml:space="preserve"> obtained from PORDATA. available from: </w:t>
      </w:r>
      <w:hyperlink r:id="rId90" w:history="1">
        <w:r w:rsidRPr="002D3036">
          <w:rPr>
            <w:rStyle w:val="Hyperlinkki"/>
          </w:rPr>
          <w:t>http://www.pordata.pt/en/Home</w:t>
        </w:r>
      </w:hyperlink>
    </w:p>
    <w:p w:rsidR="00BB1DAF" w:rsidRPr="00AB038B" w:rsidRDefault="00BB1DAF" w:rsidP="00A16958">
      <w:pPr>
        <w:spacing w:before="0" w:line="276" w:lineRule="auto"/>
      </w:pPr>
      <w:r w:rsidRPr="00AB038B">
        <w:rPr>
          <w:b/>
        </w:rPr>
        <w:t>Date(s) of raw data:</w:t>
      </w:r>
      <w:r>
        <w:rPr>
          <w:b/>
        </w:rPr>
        <w:t xml:space="preserve"> </w:t>
      </w:r>
      <w:r>
        <w:rPr>
          <w:color w:val="002060"/>
        </w:rPr>
        <w:t>EU-SILC 2010. PORDATA 2011</w:t>
      </w:r>
    </w:p>
    <w:p w:rsidR="00BB1DAF" w:rsidRDefault="00BB1DAF" w:rsidP="00A16958">
      <w:pPr>
        <w:spacing w:before="0" w:line="276" w:lineRule="auto"/>
      </w:pPr>
      <w:r>
        <w:rPr>
          <w:b/>
        </w:rPr>
        <w:t>Variables used:</w:t>
      </w:r>
    </w:p>
    <w:p w:rsidR="00BB1DAF" w:rsidRDefault="00BB1DAF" w:rsidP="00A16958">
      <w:pPr>
        <w:pStyle w:val="Luettelokappale"/>
        <w:numPr>
          <w:ilvl w:val="0"/>
          <w:numId w:val="17"/>
        </w:numPr>
        <w:spacing w:before="0" w:line="276" w:lineRule="auto"/>
        <w:jc w:val="left"/>
        <w:rPr>
          <w:lang w:val="en-US"/>
        </w:rPr>
      </w:pPr>
      <w:r w:rsidRPr="00D96AC4">
        <w:rPr>
          <w:lang w:val="en-US"/>
        </w:rPr>
        <w:t xml:space="preserve">NUTS </w:t>
      </w:r>
      <w:r>
        <w:rPr>
          <w:lang w:val="en-US"/>
        </w:rPr>
        <w:t>0</w:t>
      </w:r>
      <w:r w:rsidRPr="00D96AC4">
        <w:rPr>
          <w:lang w:val="en-US"/>
        </w:rPr>
        <w:t xml:space="preserve"> </w:t>
      </w:r>
      <w:r w:rsidRPr="0009753A">
        <w:rPr>
          <w:i/>
          <w:lang w:val="en-US"/>
        </w:rPr>
        <w:t>At risk of poverty rate</w:t>
      </w:r>
      <w:r w:rsidRPr="00D96AC4">
        <w:rPr>
          <w:lang w:val="en-US"/>
        </w:rPr>
        <w:t xml:space="preserve"> for 201</w:t>
      </w:r>
      <w:r>
        <w:rPr>
          <w:lang w:val="en-US"/>
        </w:rPr>
        <w:t>0 as percentage of households with a total disposable income below 60% of Median (HY020)</w:t>
      </w:r>
    </w:p>
    <w:p w:rsidR="00BB1DAF" w:rsidRDefault="00BB1DAF" w:rsidP="00A16958">
      <w:pPr>
        <w:pStyle w:val="Luettelokappale"/>
        <w:numPr>
          <w:ilvl w:val="0"/>
          <w:numId w:val="17"/>
        </w:numPr>
        <w:spacing w:before="0" w:line="276" w:lineRule="auto"/>
        <w:jc w:val="left"/>
        <w:rPr>
          <w:lang w:val="en-US"/>
        </w:rPr>
      </w:pPr>
      <w:r w:rsidRPr="0009753A">
        <w:rPr>
          <w:i/>
          <w:lang w:val="en-US"/>
        </w:rPr>
        <w:t>Average monthly wage</w:t>
      </w:r>
      <w:r>
        <w:rPr>
          <w:lang w:val="en-US"/>
        </w:rPr>
        <w:t xml:space="preserve"> at NUTS3 level</w:t>
      </w:r>
    </w:p>
    <w:p w:rsidR="00BB1DAF" w:rsidRDefault="00BB1DAF" w:rsidP="00A16958">
      <w:pPr>
        <w:spacing w:before="0" w:line="276" w:lineRule="auto"/>
      </w:pPr>
      <w:r w:rsidRPr="0018643B">
        <w:rPr>
          <w:b/>
        </w:rPr>
        <w:t>Before or after Housing Costs?</w:t>
      </w:r>
      <w:r>
        <w:t xml:space="preserve"> Before</w:t>
      </w:r>
    </w:p>
    <w:p w:rsidR="00BB1DAF" w:rsidRDefault="00BB1DAF" w:rsidP="00A16958">
      <w:pPr>
        <w:spacing w:before="0" w:line="276" w:lineRule="auto"/>
      </w:pPr>
      <w:r w:rsidRPr="00CF1CB1">
        <w:rPr>
          <w:b/>
        </w:rPr>
        <w:t>NUTS Level of estimates:</w:t>
      </w:r>
      <w:r>
        <w:t xml:space="preserve"> NUTS 3</w:t>
      </w:r>
    </w:p>
    <w:p w:rsidR="00BB1DAF" w:rsidRDefault="00BB1DAF" w:rsidP="00A16958">
      <w:pPr>
        <w:spacing w:before="0" w:line="276" w:lineRule="auto"/>
      </w:pPr>
      <w:r w:rsidRPr="00CF1CB1">
        <w:rPr>
          <w:b/>
        </w:rPr>
        <w:t xml:space="preserve">Adjusted to agree with Eurostat published </w:t>
      </w:r>
      <w:r w:rsidR="008632AA">
        <w:rPr>
          <w:b/>
        </w:rPr>
        <w:t>AROP</w:t>
      </w:r>
      <w:r w:rsidRPr="00CF1CB1">
        <w:rPr>
          <w:b/>
        </w:rPr>
        <w:t xml:space="preserve"> rates?</w:t>
      </w:r>
      <w:r>
        <w:t xml:space="preserve"> No</w:t>
      </w:r>
    </w:p>
    <w:p w:rsidR="00BB1DAF" w:rsidRPr="00BB1DAF" w:rsidRDefault="00BB1DAF" w:rsidP="00A16958">
      <w:pPr>
        <w:spacing w:before="0" w:line="276" w:lineRule="auto"/>
        <w:rPr>
          <w:b/>
        </w:rPr>
      </w:pPr>
      <w:r>
        <w:rPr>
          <w:b/>
        </w:rPr>
        <w:t>Comments:</w:t>
      </w:r>
      <w:r w:rsidR="00AF173E">
        <w:rPr>
          <w:b/>
        </w:rPr>
        <w:t xml:space="preserve"> </w:t>
      </w:r>
      <w:r w:rsidRPr="003F56B0">
        <w:t xml:space="preserve">The poverty line is calculated from the EU-SILC household file as the percentage of households with a total disposable income below 60 % of the national </w:t>
      </w:r>
      <w:r>
        <w:t>m</w:t>
      </w:r>
      <w:r w:rsidRPr="003F56B0">
        <w:t xml:space="preserve">edian. The rate for Portugal (at NUTS 0) is </w:t>
      </w:r>
      <w:r w:rsidRPr="003F56B0">
        <w:rPr>
          <w:rFonts w:cs="Arial"/>
          <w:lang w:val="en-US" w:eastAsia="de-DE"/>
        </w:rPr>
        <w:t xml:space="preserve">25.53%. This corresponds </w:t>
      </w:r>
      <w:r>
        <w:rPr>
          <w:rFonts w:cs="Arial"/>
          <w:lang w:val="en-US" w:eastAsia="de-DE"/>
        </w:rPr>
        <w:t>to</w:t>
      </w:r>
      <w:r w:rsidRPr="003F56B0">
        <w:rPr>
          <w:rFonts w:cs="Arial"/>
          <w:lang w:val="en-US" w:eastAsia="de-DE"/>
        </w:rPr>
        <w:t xml:space="preserve"> the official Eurostat rate before social transfer</w:t>
      </w:r>
      <w:r>
        <w:rPr>
          <w:rFonts w:cs="Arial"/>
          <w:lang w:val="en-US" w:eastAsia="de-DE"/>
        </w:rPr>
        <w:t>s. To generate the</w:t>
      </w:r>
      <w:r w:rsidRPr="003F56B0">
        <w:rPr>
          <w:rFonts w:cs="Arial"/>
          <w:lang w:val="en-US" w:eastAsia="de-DE"/>
        </w:rPr>
        <w:t xml:space="preserve"> statistical distribution value (standard deviation) subsampling of the SILC data was used. To estimate </w:t>
      </w:r>
      <w:r w:rsidRPr="003F56B0">
        <w:rPr>
          <w:rFonts w:cs="Arial"/>
          <w:i/>
          <w:lang w:val="en-US" w:eastAsia="de-DE"/>
        </w:rPr>
        <w:t>At risk of poverty rates</w:t>
      </w:r>
      <w:r w:rsidRPr="003F56B0">
        <w:rPr>
          <w:rFonts w:cs="Arial"/>
          <w:lang w:val="en-US" w:eastAsia="de-DE"/>
        </w:rPr>
        <w:t xml:space="preserve"> on NUTS 3 level</w:t>
      </w:r>
      <w:r>
        <w:rPr>
          <w:rFonts w:cs="Arial"/>
          <w:lang w:val="en-US" w:eastAsia="de-DE"/>
        </w:rPr>
        <w:t xml:space="preserve">, </w:t>
      </w:r>
      <w:r w:rsidRPr="003F56B0">
        <w:rPr>
          <w:rFonts w:cs="Arial"/>
          <w:lang w:val="en-US" w:eastAsia="de-DE"/>
        </w:rPr>
        <w:t xml:space="preserve">z-standardized values of the </w:t>
      </w:r>
      <w:r>
        <w:rPr>
          <w:i/>
          <w:lang w:val="en-US"/>
        </w:rPr>
        <w:t>a</w:t>
      </w:r>
      <w:r w:rsidRPr="003F56B0">
        <w:rPr>
          <w:i/>
          <w:lang w:val="en-US"/>
        </w:rPr>
        <w:t xml:space="preserve">verage monthly wage </w:t>
      </w:r>
      <w:r w:rsidRPr="003F56B0">
        <w:rPr>
          <w:lang w:val="en-US"/>
        </w:rPr>
        <w:t xml:space="preserve">were refitted to the distribution of </w:t>
      </w:r>
      <w:r w:rsidRPr="003F56B0">
        <w:rPr>
          <w:i/>
          <w:lang w:val="en-US"/>
        </w:rPr>
        <w:t>At risk of poverty rate</w:t>
      </w:r>
      <w:r w:rsidRPr="003F56B0">
        <w:rPr>
          <w:lang w:val="en-US"/>
        </w:rPr>
        <w:t xml:space="preserve"> by using the calculated distribution values from EU-SILC.</w:t>
      </w:r>
      <w:r>
        <w:rPr>
          <w:lang w:val="en-US"/>
        </w:rPr>
        <w:t xml:space="preserve"> For the </w:t>
      </w:r>
      <w:r w:rsidRPr="00F412CC">
        <w:rPr>
          <w:lang w:val="en-US"/>
        </w:rPr>
        <w:t>Região Autónoma dos Açores</w:t>
      </w:r>
      <w:r>
        <w:rPr>
          <w:lang w:val="en-US"/>
        </w:rPr>
        <w:t xml:space="preserve"> (PT200) the </w:t>
      </w:r>
      <w:r w:rsidRPr="00F412CC">
        <w:rPr>
          <w:i/>
          <w:lang w:val="en-US"/>
        </w:rPr>
        <w:t>At risk of poverty rate</w:t>
      </w:r>
      <w:r>
        <w:rPr>
          <w:lang w:val="en-US"/>
        </w:rPr>
        <w:t xml:space="preserve"> could not be estimated due to lack of </w:t>
      </w:r>
      <w:r w:rsidRPr="0009753A">
        <w:rPr>
          <w:i/>
          <w:lang w:val="en-US"/>
        </w:rPr>
        <w:t>Average monthly wage</w:t>
      </w:r>
      <w:r>
        <w:rPr>
          <w:i/>
          <w:lang w:val="en-US"/>
        </w:rPr>
        <w:t xml:space="preserve"> </w:t>
      </w:r>
      <w:r w:rsidRPr="00F412CC">
        <w:rPr>
          <w:lang w:val="en-US"/>
        </w:rPr>
        <w:t>data.</w:t>
      </w:r>
    </w:p>
    <w:p w:rsidR="006D0A68" w:rsidRDefault="006D0A68" w:rsidP="00A16958">
      <w:pPr>
        <w:spacing w:before="0" w:line="276" w:lineRule="auto"/>
        <w:rPr>
          <w:b/>
          <w:noProof/>
          <w:kern w:val="28"/>
          <w:sz w:val="28"/>
        </w:rPr>
      </w:pPr>
    </w:p>
    <w:p w:rsidR="00327559" w:rsidRDefault="00327559" w:rsidP="00A16958">
      <w:pPr>
        <w:spacing w:before="0" w:line="276" w:lineRule="auto"/>
        <w:rPr>
          <w:b/>
          <w:noProof/>
          <w:kern w:val="28"/>
          <w:sz w:val="28"/>
        </w:rPr>
      </w:pPr>
      <w:r>
        <w:rPr>
          <w:noProof/>
        </w:rPr>
        <w:br w:type="page"/>
      </w:r>
    </w:p>
    <w:p w:rsidR="00327559" w:rsidRPr="00327559" w:rsidRDefault="00327559" w:rsidP="00A16958">
      <w:pPr>
        <w:spacing w:before="0" w:line="276" w:lineRule="auto"/>
        <w:rPr>
          <w:color w:val="000000" w:themeColor="text1"/>
        </w:rPr>
      </w:pPr>
      <w:r w:rsidRPr="00327559">
        <w:rPr>
          <w:b/>
          <w:color w:val="000000" w:themeColor="text1"/>
        </w:rPr>
        <w:lastRenderedPageBreak/>
        <w:t>Country:</w:t>
      </w:r>
      <w:r w:rsidRPr="00327559">
        <w:rPr>
          <w:color w:val="000000" w:themeColor="text1"/>
        </w:rPr>
        <w:t xml:space="preserve"> Spain</w:t>
      </w:r>
    </w:p>
    <w:p w:rsidR="00A16958" w:rsidRDefault="00A16958" w:rsidP="00A16958">
      <w:pPr>
        <w:spacing w:before="0" w:line="276" w:lineRule="auto"/>
        <w:rPr>
          <w:b/>
          <w:color w:val="000000" w:themeColor="text1"/>
        </w:rPr>
      </w:pPr>
    </w:p>
    <w:p w:rsidR="00327559" w:rsidRPr="00327559" w:rsidRDefault="00327559" w:rsidP="00A16958">
      <w:pPr>
        <w:spacing w:before="0" w:line="276" w:lineRule="auto"/>
        <w:rPr>
          <w:color w:val="000000" w:themeColor="text1"/>
        </w:rPr>
      </w:pPr>
      <w:r w:rsidRPr="00327559">
        <w:rPr>
          <w:b/>
          <w:color w:val="000000" w:themeColor="text1"/>
        </w:rPr>
        <w:t>Partner responsible</w:t>
      </w:r>
      <w:r w:rsidRPr="00327559">
        <w:rPr>
          <w:color w:val="000000" w:themeColor="text1"/>
        </w:rPr>
        <w:t xml:space="preserve">: </w:t>
      </w:r>
      <w:r w:rsidR="00152E8C">
        <w:rPr>
          <w:color w:val="000000" w:themeColor="text1"/>
        </w:rPr>
        <w:t>ILS</w:t>
      </w:r>
      <w:r w:rsidRPr="00327559">
        <w:rPr>
          <w:color w:val="000000" w:themeColor="text1"/>
        </w:rPr>
        <w:t>–Research Institute for Regional and Urban Development, Dortmund</w:t>
      </w:r>
    </w:p>
    <w:p w:rsidR="00327559" w:rsidRDefault="00327559" w:rsidP="00A16958">
      <w:pPr>
        <w:spacing w:before="0" w:line="276" w:lineRule="auto"/>
      </w:pPr>
      <w:r w:rsidRPr="00236856">
        <w:rPr>
          <w:b/>
        </w:rPr>
        <w:t>Contact Person:</w:t>
      </w:r>
      <w:r w:rsidRPr="00236856">
        <w:t xml:space="preserve"> </w:t>
      </w:r>
      <w:r w:rsidRPr="00327559">
        <w:rPr>
          <w:color w:val="000000" w:themeColor="text1"/>
        </w:rPr>
        <w:t xml:space="preserve">Stefan Kaup </w:t>
      </w:r>
      <w:r>
        <w:rPr>
          <w:color w:val="002060"/>
        </w:rPr>
        <w:t>(</w:t>
      </w:r>
      <w:hyperlink r:id="rId91" w:history="1">
        <w:r w:rsidRPr="00C53EC4">
          <w:rPr>
            <w:rStyle w:val="Hyperlinkki"/>
          </w:rPr>
          <w:t>stefan.kaup@ils-forschung.de</w:t>
        </w:r>
      </w:hyperlink>
      <w:r>
        <w:rPr>
          <w:color w:val="000000" w:themeColor="text1"/>
        </w:rPr>
        <w:t>)</w:t>
      </w:r>
    </w:p>
    <w:p w:rsidR="00327559" w:rsidRPr="00327559" w:rsidRDefault="00327559" w:rsidP="00A16958">
      <w:pPr>
        <w:spacing w:before="0" w:line="276" w:lineRule="auto"/>
        <w:rPr>
          <w:color w:val="000000" w:themeColor="text1"/>
        </w:rPr>
      </w:pPr>
      <w:r w:rsidRPr="00327559">
        <w:rPr>
          <w:b/>
          <w:color w:val="000000" w:themeColor="text1"/>
        </w:rPr>
        <w:t>Date:</w:t>
      </w:r>
      <w:r w:rsidRPr="00327559">
        <w:rPr>
          <w:color w:val="000000" w:themeColor="text1"/>
        </w:rPr>
        <w:t xml:space="preserve"> 27/02/14</w:t>
      </w:r>
    </w:p>
    <w:p w:rsidR="00327559" w:rsidRPr="00327559" w:rsidRDefault="00327559" w:rsidP="00A16958">
      <w:pPr>
        <w:spacing w:before="0" w:line="276" w:lineRule="auto"/>
        <w:rPr>
          <w:color w:val="000000" w:themeColor="text1"/>
        </w:rPr>
      </w:pPr>
      <w:r w:rsidRPr="00327559">
        <w:rPr>
          <w:b/>
          <w:color w:val="000000" w:themeColor="text1"/>
        </w:rPr>
        <w:t>Methodology Used:</w:t>
      </w:r>
      <w:r w:rsidRPr="00327559">
        <w:rPr>
          <w:color w:val="000000" w:themeColor="text1"/>
        </w:rPr>
        <w:t xml:space="preserve"> </w:t>
      </w:r>
      <w:r w:rsidRPr="00BB1DAF">
        <w:rPr>
          <w:color w:val="000000" w:themeColor="text1"/>
        </w:rPr>
        <w:t>Direct Apportionment</w:t>
      </w:r>
    </w:p>
    <w:p w:rsidR="00327559" w:rsidRPr="00A46A54" w:rsidRDefault="00327559" w:rsidP="00A16958">
      <w:pPr>
        <w:spacing w:before="0" w:line="276" w:lineRule="auto"/>
        <w:jc w:val="left"/>
        <w:rPr>
          <w:lang w:val="en-US"/>
        </w:rPr>
      </w:pPr>
      <w:r w:rsidRPr="0001307F">
        <w:rPr>
          <w:b/>
        </w:rPr>
        <w:t>Constraints on Choice of Methodology:</w:t>
      </w:r>
      <w:r>
        <w:rPr>
          <w:b/>
        </w:rPr>
        <w:t xml:space="preserve"> </w:t>
      </w:r>
      <w:r w:rsidRPr="00A46A54">
        <w:rPr>
          <w:lang w:val="en-US"/>
        </w:rPr>
        <w:t xml:space="preserve">Usage of World Bank PovMap </w:t>
      </w:r>
      <w:r>
        <w:rPr>
          <w:lang w:val="en-US"/>
        </w:rPr>
        <w:t>did not lead to reliable results.</w:t>
      </w:r>
      <w:r w:rsidRPr="00A46A54">
        <w:rPr>
          <w:lang w:val="en-US"/>
        </w:rPr>
        <w:t xml:space="preserve"> The area based method approach could not be used as an alternative because of the insufficient number of degrees of freedom to estimate the r</w:t>
      </w:r>
      <w:r>
        <w:rPr>
          <w:lang w:val="en-US"/>
        </w:rPr>
        <w:t>egression model.</w:t>
      </w:r>
    </w:p>
    <w:p w:rsidR="00327559" w:rsidRDefault="00327559" w:rsidP="00A16958">
      <w:pPr>
        <w:spacing w:before="0" w:line="276" w:lineRule="auto"/>
        <w:rPr>
          <w:color w:val="002060"/>
        </w:rPr>
      </w:pPr>
      <w:r>
        <w:rPr>
          <w:b/>
        </w:rPr>
        <w:t>Source(s) of raw data:</w:t>
      </w:r>
    </w:p>
    <w:p w:rsidR="00327559" w:rsidRDefault="00327559" w:rsidP="00A16958">
      <w:pPr>
        <w:pStyle w:val="Luettelokappale"/>
        <w:numPr>
          <w:ilvl w:val="0"/>
          <w:numId w:val="16"/>
        </w:numPr>
        <w:spacing w:before="0" w:line="276" w:lineRule="auto"/>
        <w:jc w:val="left"/>
        <w:rPr>
          <w:lang w:val="en-US"/>
        </w:rPr>
      </w:pPr>
      <w:r w:rsidRPr="007437CC">
        <w:rPr>
          <w:lang w:val="en-US"/>
        </w:rPr>
        <w:t xml:space="preserve">NUTS </w:t>
      </w:r>
      <w:r>
        <w:rPr>
          <w:lang w:val="en-US"/>
        </w:rPr>
        <w:t xml:space="preserve">2 </w:t>
      </w:r>
      <w:r w:rsidRPr="0009753A">
        <w:rPr>
          <w:i/>
          <w:lang w:val="en-US"/>
        </w:rPr>
        <w:t>At risk of poverty rate</w:t>
      </w:r>
      <w:r w:rsidRPr="007437CC">
        <w:rPr>
          <w:lang w:val="en-US"/>
        </w:rPr>
        <w:t xml:space="preserve"> </w:t>
      </w:r>
      <w:r>
        <w:rPr>
          <w:lang w:val="en-US"/>
        </w:rPr>
        <w:t>calculated</w:t>
      </w:r>
      <w:r w:rsidRPr="007437CC">
        <w:rPr>
          <w:lang w:val="en-US"/>
        </w:rPr>
        <w:t xml:space="preserve"> </w:t>
      </w:r>
      <w:r>
        <w:rPr>
          <w:lang w:val="en-US"/>
        </w:rPr>
        <w:t>from EU-SILC 2010.</w:t>
      </w:r>
    </w:p>
    <w:p w:rsidR="00327559" w:rsidRPr="00FA34A2" w:rsidRDefault="00327559" w:rsidP="00A16958">
      <w:pPr>
        <w:pStyle w:val="Luettelokappale"/>
        <w:numPr>
          <w:ilvl w:val="0"/>
          <w:numId w:val="16"/>
        </w:numPr>
        <w:spacing w:before="0" w:line="276" w:lineRule="auto"/>
        <w:jc w:val="left"/>
        <w:rPr>
          <w:rStyle w:val="Hyperlinkki"/>
          <w:lang w:val="en-US"/>
        </w:rPr>
      </w:pPr>
      <w:r w:rsidRPr="0009753A">
        <w:rPr>
          <w:lang w:val="en-US"/>
        </w:rPr>
        <w:t>NUTS</w:t>
      </w:r>
      <w:r>
        <w:rPr>
          <w:lang w:val="en-US"/>
        </w:rPr>
        <w:t xml:space="preserve"> </w:t>
      </w:r>
      <w:r w:rsidRPr="0009753A">
        <w:rPr>
          <w:lang w:val="en-US"/>
        </w:rPr>
        <w:t xml:space="preserve">3 </w:t>
      </w:r>
      <w:r>
        <w:rPr>
          <w:i/>
          <w:lang w:val="en-US"/>
        </w:rPr>
        <w:t>Unemployment rate</w:t>
      </w:r>
      <w:r>
        <w:rPr>
          <w:lang w:val="en-US"/>
        </w:rPr>
        <w:t xml:space="preserve"> obtained from INE, available from: </w:t>
      </w:r>
      <w:hyperlink r:id="rId92" w:history="1">
        <w:r w:rsidRPr="00517EDD">
          <w:rPr>
            <w:rStyle w:val="Hyperlinkki"/>
          </w:rPr>
          <w:t>http://www.ine.es/en/welcome.shtml</w:t>
        </w:r>
      </w:hyperlink>
    </w:p>
    <w:p w:rsidR="00327559" w:rsidRPr="00A468DB" w:rsidRDefault="00327559" w:rsidP="00A16958">
      <w:pPr>
        <w:pStyle w:val="Luettelokappale"/>
        <w:numPr>
          <w:ilvl w:val="0"/>
          <w:numId w:val="16"/>
        </w:numPr>
        <w:spacing w:before="0" w:line="276" w:lineRule="auto"/>
        <w:jc w:val="left"/>
        <w:rPr>
          <w:lang w:val="en-US"/>
        </w:rPr>
      </w:pPr>
      <w:r>
        <w:rPr>
          <w:lang w:val="en-US"/>
        </w:rPr>
        <w:t xml:space="preserve">NUTS3 </w:t>
      </w:r>
      <w:r w:rsidRPr="00D169DD">
        <w:rPr>
          <w:i/>
          <w:lang w:val="en-US"/>
        </w:rPr>
        <w:t>total population</w:t>
      </w:r>
      <w:r>
        <w:rPr>
          <w:lang w:val="en-US"/>
        </w:rPr>
        <w:t xml:space="preserve"> obtained from EUROSTAT database, table [</w:t>
      </w:r>
      <w:r w:rsidRPr="00FA34A2">
        <w:rPr>
          <w:lang w:val="en-US"/>
        </w:rPr>
        <w:t>demo_r_pjanaggr3</w:t>
      </w:r>
      <w:r>
        <w:rPr>
          <w:lang w:val="en-US"/>
        </w:rPr>
        <w:t>]</w:t>
      </w:r>
    </w:p>
    <w:p w:rsidR="00327559" w:rsidRPr="00AB038B" w:rsidRDefault="00327559" w:rsidP="00A16958">
      <w:pPr>
        <w:spacing w:before="0" w:line="276" w:lineRule="auto"/>
      </w:pPr>
      <w:r w:rsidRPr="00AB038B">
        <w:rPr>
          <w:b/>
        </w:rPr>
        <w:t>Date(s) of raw data:</w:t>
      </w:r>
      <w:r>
        <w:rPr>
          <w:b/>
        </w:rPr>
        <w:t xml:space="preserve"> </w:t>
      </w:r>
      <w:r>
        <w:rPr>
          <w:color w:val="002060"/>
        </w:rPr>
        <w:t>EU-SILC 2010, INE 2010, EUROSTAT 2010</w:t>
      </w:r>
    </w:p>
    <w:p w:rsidR="00327559" w:rsidRDefault="00327559" w:rsidP="00A16958">
      <w:pPr>
        <w:spacing w:before="0" w:line="276" w:lineRule="auto"/>
      </w:pPr>
      <w:r>
        <w:rPr>
          <w:b/>
        </w:rPr>
        <w:t>Variables used:</w:t>
      </w:r>
    </w:p>
    <w:p w:rsidR="00327559" w:rsidRDefault="00327559" w:rsidP="00A16958">
      <w:pPr>
        <w:pStyle w:val="Luettelokappale"/>
        <w:numPr>
          <w:ilvl w:val="0"/>
          <w:numId w:val="17"/>
        </w:numPr>
        <w:spacing w:before="0" w:line="276" w:lineRule="auto"/>
        <w:jc w:val="left"/>
        <w:rPr>
          <w:lang w:val="en-US"/>
        </w:rPr>
      </w:pPr>
      <w:r w:rsidRPr="00D96AC4">
        <w:rPr>
          <w:lang w:val="en-US"/>
        </w:rPr>
        <w:t xml:space="preserve">NUTS </w:t>
      </w:r>
      <w:r>
        <w:rPr>
          <w:lang w:val="en-US"/>
        </w:rPr>
        <w:t>2</w:t>
      </w:r>
      <w:r w:rsidRPr="00D96AC4">
        <w:rPr>
          <w:lang w:val="en-US"/>
        </w:rPr>
        <w:t xml:space="preserve"> </w:t>
      </w:r>
      <w:r w:rsidRPr="0009753A">
        <w:rPr>
          <w:i/>
          <w:lang w:val="en-US"/>
        </w:rPr>
        <w:t>At risk of poverty rate</w:t>
      </w:r>
      <w:r w:rsidRPr="00D96AC4">
        <w:rPr>
          <w:lang w:val="en-US"/>
        </w:rPr>
        <w:t xml:space="preserve"> for </w:t>
      </w:r>
      <w:r>
        <w:rPr>
          <w:lang w:val="en-US"/>
        </w:rPr>
        <w:t>2010 as percentage of households with a total disposable income below 60% of Median (HY020 grouped by DB040)</w:t>
      </w:r>
    </w:p>
    <w:p w:rsidR="00327559" w:rsidRDefault="00327559" w:rsidP="00A16958">
      <w:pPr>
        <w:pStyle w:val="Luettelokappale"/>
        <w:numPr>
          <w:ilvl w:val="0"/>
          <w:numId w:val="17"/>
        </w:numPr>
        <w:spacing w:before="0" w:line="276" w:lineRule="auto"/>
        <w:jc w:val="left"/>
        <w:rPr>
          <w:lang w:val="en-US"/>
        </w:rPr>
      </w:pPr>
      <w:r w:rsidRPr="00994ABB">
        <w:rPr>
          <w:i/>
          <w:lang w:val="en-US"/>
        </w:rPr>
        <w:t>Unemployment rate</w:t>
      </w:r>
      <w:r>
        <w:rPr>
          <w:lang w:val="en-US"/>
        </w:rPr>
        <w:t xml:space="preserve"> at NUTS3 level.</w:t>
      </w:r>
    </w:p>
    <w:p w:rsidR="00327559" w:rsidRDefault="00327559" w:rsidP="00A16958">
      <w:pPr>
        <w:pStyle w:val="Luettelokappale"/>
        <w:numPr>
          <w:ilvl w:val="0"/>
          <w:numId w:val="17"/>
        </w:numPr>
        <w:spacing w:before="0" w:line="276" w:lineRule="auto"/>
        <w:jc w:val="left"/>
        <w:rPr>
          <w:lang w:val="en-US"/>
        </w:rPr>
      </w:pPr>
      <w:r>
        <w:rPr>
          <w:i/>
          <w:lang w:val="en-US"/>
        </w:rPr>
        <w:t xml:space="preserve">Total population </w:t>
      </w:r>
      <w:r w:rsidRPr="00FA34A2">
        <w:rPr>
          <w:lang w:val="en-US"/>
        </w:rPr>
        <w:t>at NUTS3 level.</w:t>
      </w:r>
    </w:p>
    <w:p w:rsidR="00327559" w:rsidRDefault="00327559" w:rsidP="00A16958">
      <w:pPr>
        <w:spacing w:before="0" w:line="276" w:lineRule="auto"/>
      </w:pPr>
      <w:r w:rsidRPr="0018643B">
        <w:rPr>
          <w:b/>
        </w:rPr>
        <w:t>Before or after Housing Costs?</w:t>
      </w:r>
      <w:r>
        <w:t xml:space="preserve"> Before</w:t>
      </w:r>
    </w:p>
    <w:p w:rsidR="00327559" w:rsidRDefault="00327559" w:rsidP="00A16958">
      <w:pPr>
        <w:spacing w:before="0" w:line="276" w:lineRule="auto"/>
      </w:pPr>
      <w:r w:rsidRPr="00CF1CB1">
        <w:rPr>
          <w:b/>
        </w:rPr>
        <w:t>NUTS Level of estimates:</w:t>
      </w:r>
      <w:r>
        <w:t xml:space="preserve"> NUTS 3</w:t>
      </w:r>
    </w:p>
    <w:p w:rsidR="00327559" w:rsidRDefault="00327559" w:rsidP="00A16958">
      <w:pPr>
        <w:spacing w:before="0" w:line="276" w:lineRule="auto"/>
      </w:pPr>
      <w:r w:rsidRPr="00CF1CB1">
        <w:rPr>
          <w:b/>
        </w:rPr>
        <w:t xml:space="preserve">Adjusted to agree with Eurostat published </w:t>
      </w:r>
      <w:r w:rsidR="008632AA">
        <w:rPr>
          <w:b/>
        </w:rPr>
        <w:t>AROP</w:t>
      </w:r>
      <w:r w:rsidRPr="00CF1CB1">
        <w:rPr>
          <w:b/>
        </w:rPr>
        <w:t xml:space="preserve"> rates?</w:t>
      </w:r>
      <w:r>
        <w:t xml:space="preserve"> Yes</w:t>
      </w:r>
    </w:p>
    <w:p w:rsidR="00327559" w:rsidRPr="00994ABB" w:rsidRDefault="00327559" w:rsidP="00A16958">
      <w:pPr>
        <w:spacing w:before="0" w:line="276" w:lineRule="auto"/>
      </w:pPr>
      <w:r>
        <w:rPr>
          <w:b/>
        </w:rPr>
        <w:t xml:space="preserve">Comments: </w:t>
      </w:r>
      <w:r w:rsidRPr="00994ABB">
        <w:t>The poverty line is calculated from the EU-SILC household file as the percentage of households with a total disposable income below 60 % of the countries Median. The rates for NUTS 2 are also calculated from EU-SILC 20</w:t>
      </w:r>
      <w:r>
        <w:t>10</w:t>
      </w:r>
      <w:r w:rsidRPr="00994ABB">
        <w:t xml:space="preserve"> (HY020 grouped by DB040)</w:t>
      </w:r>
      <w:r w:rsidRPr="00994ABB">
        <w:rPr>
          <w:rFonts w:cs="Arial"/>
          <w:lang w:val="en-US" w:eastAsia="de-DE"/>
        </w:rPr>
        <w:t xml:space="preserve">. To estimate </w:t>
      </w:r>
      <w:r w:rsidRPr="00994ABB">
        <w:rPr>
          <w:rFonts w:cs="Arial"/>
          <w:i/>
          <w:lang w:val="en-US" w:eastAsia="de-DE"/>
        </w:rPr>
        <w:t>At risk of poverty rates</w:t>
      </w:r>
      <w:r w:rsidRPr="00994ABB">
        <w:rPr>
          <w:rFonts w:cs="Arial"/>
          <w:lang w:val="en-US" w:eastAsia="de-DE"/>
        </w:rPr>
        <w:t xml:space="preserve"> on NUTS 3 level, z-standardized values of the </w:t>
      </w:r>
      <w:r>
        <w:rPr>
          <w:i/>
          <w:lang w:val="en-US"/>
        </w:rPr>
        <w:t>Unemployment rate</w:t>
      </w:r>
      <w:r w:rsidRPr="00994ABB">
        <w:rPr>
          <w:i/>
          <w:lang w:val="en-US"/>
        </w:rPr>
        <w:t xml:space="preserve"> </w:t>
      </w:r>
      <w:r w:rsidRPr="00994ABB">
        <w:rPr>
          <w:lang w:val="en-US"/>
        </w:rPr>
        <w:t xml:space="preserve">were refitted to the distribution of </w:t>
      </w:r>
      <w:r w:rsidRPr="00994ABB">
        <w:rPr>
          <w:i/>
          <w:lang w:val="en-US"/>
        </w:rPr>
        <w:t>At risk of poverty rate</w:t>
      </w:r>
      <w:r>
        <w:rPr>
          <w:lang w:val="en-US"/>
        </w:rPr>
        <w:t>. The calculated values were then adjusted to the corresponding value at NUTS 2 level.</w:t>
      </w:r>
    </w:p>
    <w:p w:rsidR="00F614B0" w:rsidRDefault="00F614B0" w:rsidP="00A16958">
      <w:pPr>
        <w:spacing w:before="0" w:line="276" w:lineRule="auto"/>
        <w:rPr>
          <w:b/>
          <w:noProof/>
          <w:kern w:val="28"/>
          <w:sz w:val="28"/>
        </w:rPr>
      </w:pPr>
      <w:r>
        <w:rPr>
          <w:noProof/>
        </w:rPr>
        <w:br w:type="page"/>
      </w:r>
    </w:p>
    <w:p w:rsidR="00F614B0" w:rsidRDefault="00F614B0" w:rsidP="00A16958">
      <w:pPr>
        <w:spacing w:before="0" w:line="276" w:lineRule="auto"/>
      </w:pPr>
      <w:r w:rsidRPr="00AB038B">
        <w:rPr>
          <w:b/>
        </w:rPr>
        <w:lastRenderedPageBreak/>
        <w:t>Country:</w:t>
      </w:r>
      <w:r>
        <w:t xml:space="preserve"> </w:t>
      </w:r>
      <w:r>
        <w:rPr>
          <w:color w:val="002060"/>
        </w:rPr>
        <w:t>Sweden</w:t>
      </w:r>
    </w:p>
    <w:p w:rsidR="00A16958" w:rsidRDefault="00A16958" w:rsidP="00A16958">
      <w:pPr>
        <w:spacing w:before="0" w:line="276" w:lineRule="auto"/>
        <w:rPr>
          <w:b/>
        </w:rPr>
      </w:pPr>
    </w:p>
    <w:p w:rsidR="00F614B0" w:rsidRDefault="00F614B0" w:rsidP="00A16958">
      <w:pPr>
        <w:spacing w:before="0" w:line="276" w:lineRule="auto"/>
        <w:rPr>
          <w:color w:val="002060"/>
        </w:rPr>
      </w:pPr>
      <w:r w:rsidRPr="00AB038B">
        <w:rPr>
          <w:b/>
        </w:rPr>
        <w:t>Partner responsible</w:t>
      </w:r>
      <w:r>
        <w:t xml:space="preserve">: </w:t>
      </w:r>
      <w:r>
        <w:rPr>
          <w:color w:val="002060"/>
        </w:rPr>
        <w:t>Nordregio, Stockholm, Sweden</w:t>
      </w:r>
    </w:p>
    <w:p w:rsidR="00F614B0" w:rsidRDefault="00F614B0" w:rsidP="00A16958">
      <w:pPr>
        <w:spacing w:before="0" w:line="276" w:lineRule="auto"/>
      </w:pPr>
      <w:r w:rsidRPr="00236856">
        <w:rPr>
          <w:b/>
        </w:rPr>
        <w:t>Contact Person:</w:t>
      </w:r>
      <w:r w:rsidRPr="00236856">
        <w:t xml:space="preserve"> </w:t>
      </w:r>
      <w:r w:rsidRPr="00F75DF0">
        <w:t>Petri Kahila (</w:t>
      </w:r>
      <w:hyperlink r:id="rId93" w:history="1">
        <w:r w:rsidRPr="00C53EC4">
          <w:rPr>
            <w:rStyle w:val="Hyperlinkki"/>
          </w:rPr>
          <w:t>petri.kahila@uef.fi</w:t>
        </w:r>
      </w:hyperlink>
      <w:r w:rsidRPr="00F75DF0">
        <w:t>)</w:t>
      </w:r>
    </w:p>
    <w:p w:rsidR="00F614B0" w:rsidRDefault="00F614B0" w:rsidP="00A16958">
      <w:pPr>
        <w:spacing w:before="0" w:line="276" w:lineRule="auto"/>
      </w:pPr>
      <w:r w:rsidRPr="00455DC7">
        <w:rPr>
          <w:b/>
        </w:rPr>
        <w:t>Date:</w:t>
      </w:r>
      <w:r w:rsidRPr="00455DC7">
        <w:t xml:space="preserve"> </w:t>
      </w:r>
      <w:r>
        <w:rPr>
          <w:color w:val="002060"/>
        </w:rPr>
        <w:t>04/01/14</w:t>
      </w:r>
    </w:p>
    <w:p w:rsidR="00F614B0" w:rsidRDefault="00F614B0" w:rsidP="00A16958">
      <w:pPr>
        <w:spacing w:before="0" w:line="276" w:lineRule="auto"/>
        <w:rPr>
          <w:color w:val="002060"/>
        </w:rPr>
      </w:pPr>
      <w:r w:rsidRPr="00AB038B">
        <w:rPr>
          <w:b/>
        </w:rPr>
        <w:t>Methodology Used:</w:t>
      </w:r>
      <w:r>
        <w:t xml:space="preserve"> Register Data</w:t>
      </w:r>
    </w:p>
    <w:p w:rsidR="00F614B0" w:rsidRPr="00F614B0" w:rsidRDefault="00F614B0" w:rsidP="00A16958">
      <w:pPr>
        <w:spacing w:before="0" w:line="276" w:lineRule="auto"/>
      </w:pPr>
      <w:r>
        <w:rPr>
          <w:b/>
        </w:rPr>
        <w:t>Constraints on</w:t>
      </w:r>
      <w:r w:rsidRPr="00B24721">
        <w:rPr>
          <w:b/>
        </w:rPr>
        <w:t xml:space="preserve"> Choice of Methodology: </w:t>
      </w:r>
      <w:r>
        <w:t xml:space="preserve">The household definition in the income and taxation register is somewhat differing from “real households”. This implies that two persons living together, but that are not married or that do not have common children are categorised as single. The consequence is that the number of lone person households is overestimated. A qualified guess from Petter Lundberg at the Swedish NSI is that the </w:t>
      </w:r>
      <w:r w:rsidR="008632AA">
        <w:t>ARoP</w:t>
      </w:r>
      <w:r>
        <w:t xml:space="preserve"> rates are generally over estimated as well.</w:t>
      </w:r>
    </w:p>
    <w:p w:rsidR="00F614B0" w:rsidRDefault="00F614B0" w:rsidP="00A16958">
      <w:pPr>
        <w:spacing w:before="0" w:line="276" w:lineRule="auto"/>
      </w:pPr>
      <w:r w:rsidRPr="000311DA">
        <w:rPr>
          <w:b/>
        </w:rPr>
        <w:t>Source(s) of raw data:</w:t>
      </w:r>
      <w:r w:rsidRPr="000311DA">
        <w:t xml:space="preserve"> </w:t>
      </w:r>
    </w:p>
    <w:p w:rsidR="00F614B0" w:rsidRDefault="00F614B0" w:rsidP="00A16958">
      <w:pPr>
        <w:pStyle w:val="Luettelokappale"/>
        <w:numPr>
          <w:ilvl w:val="0"/>
          <w:numId w:val="10"/>
        </w:numPr>
        <w:spacing w:before="0" w:line="276" w:lineRule="auto"/>
        <w:jc w:val="left"/>
      </w:pPr>
      <w:r w:rsidRPr="00F636C0">
        <w:t xml:space="preserve">NUTS 3 </w:t>
      </w:r>
      <w:r w:rsidR="008632AA">
        <w:t>ARoP</w:t>
      </w:r>
      <w:r w:rsidRPr="00F636C0">
        <w:t xml:space="preserve"> rates produced by Statistics Sweden (SCB) based on </w:t>
      </w:r>
      <w:r>
        <w:t>the income and taxation register (inkomst- och taxeringsregistret)</w:t>
      </w:r>
      <w:r w:rsidRPr="00F636C0">
        <w:t xml:space="preserve">. </w:t>
      </w:r>
    </w:p>
    <w:p w:rsidR="00F614B0" w:rsidRPr="00F636C0" w:rsidRDefault="00F614B0" w:rsidP="00A16958">
      <w:pPr>
        <w:pStyle w:val="Luettelokappale"/>
        <w:numPr>
          <w:ilvl w:val="0"/>
          <w:numId w:val="10"/>
        </w:numPr>
        <w:spacing w:before="0" w:line="276" w:lineRule="auto"/>
        <w:jc w:val="left"/>
      </w:pPr>
      <w:r>
        <w:t xml:space="preserve">The data is bought from SCB. Contact: </w:t>
      </w:r>
      <w:hyperlink r:id="rId94" w:history="1">
        <w:r w:rsidRPr="00A951BF">
          <w:rPr>
            <w:rStyle w:val="Hyperlinkki"/>
          </w:rPr>
          <w:t>petter.lundberg@scb.se</w:t>
        </w:r>
      </w:hyperlink>
    </w:p>
    <w:p w:rsidR="00F614B0" w:rsidRPr="00AB038B" w:rsidRDefault="00F614B0" w:rsidP="00A16958">
      <w:pPr>
        <w:spacing w:before="0" w:line="276" w:lineRule="auto"/>
      </w:pPr>
      <w:r w:rsidRPr="00F636C0">
        <w:rPr>
          <w:b/>
        </w:rPr>
        <w:t xml:space="preserve">Date(s) of raw data: </w:t>
      </w:r>
      <w:r>
        <w:t>B</w:t>
      </w:r>
      <w:r w:rsidRPr="00D972AB">
        <w:t xml:space="preserve">ased on data from </w:t>
      </w:r>
      <w:r>
        <w:t>income and taxation register from 2010</w:t>
      </w:r>
    </w:p>
    <w:p w:rsidR="00F614B0" w:rsidRDefault="00F614B0" w:rsidP="00A16958">
      <w:pPr>
        <w:spacing w:before="0" w:line="276" w:lineRule="auto"/>
      </w:pPr>
      <w:r>
        <w:rPr>
          <w:b/>
        </w:rPr>
        <w:t xml:space="preserve">Variables used: </w:t>
      </w:r>
      <w:r>
        <w:t>NUTS 3 Disposable income of under 60% of the median for 2010</w:t>
      </w:r>
    </w:p>
    <w:p w:rsidR="00F614B0" w:rsidRDefault="00F614B0" w:rsidP="00A16958">
      <w:pPr>
        <w:spacing w:before="0" w:line="276" w:lineRule="auto"/>
      </w:pPr>
      <w:r w:rsidRPr="0018643B">
        <w:rPr>
          <w:b/>
        </w:rPr>
        <w:t>Before or after Housing Costs?</w:t>
      </w:r>
      <w:r>
        <w:rPr>
          <w:b/>
        </w:rPr>
        <w:t xml:space="preserve"> </w:t>
      </w:r>
      <w:r>
        <w:t>Before</w:t>
      </w:r>
    </w:p>
    <w:p w:rsidR="00F614B0" w:rsidRDefault="00F614B0" w:rsidP="00A16958">
      <w:pPr>
        <w:spacing w:before="0" w:line="276" w:lineRule="auto"/>
      </w:pPr>
      <w:r w:rsidRPr="00CF1CB1">
        <w:rPr>
          <w:b/>
        </w:rPr>
        <w:t>NUTS Level of estimates:</w:t>
      </w:r>
      <w:r>
        <w:t xml:space="preserve"> NUTS 3</w:t>
      </w:r>
    </w:p>
    <w:p w:rsidR="00F614B0" w:rsidRDefault="00F614B0" w:rsidP="00A16958">
      <w:pPr>
        <w:spacing w:before="0" w:line="276" w:lineRule="auto"/>
      </w:pPr>
      <w:r w:rsidRPr="00455DC7">
        <w:rPr>
          <w:b/>
        </w:rPr>
        <w:t xml:space="preserve">Adjusted to agree with Eurostat published </w:t>
      </w:r>
      <w:r w:rsidR="008632AA">
        <w:rPr>
          <w:b/>
        </w:rPr>
        <w:t>AROP</w:t>
      </w:r>
      <w:r w:rsidRPr="00455DC7">
        <w:rPr>
          <w:b/>
        </w:rPr>
        <w:t xml:space="preserve"> rates?</w:t>
      </w:r>
      <w:r w:rsidRPr="00455DC7">
        <w:t xml:space="preserve"> </w:t>
      </w:r>
      <w:r>
        <w:t>No</w:t>
      </w:r>
    </w:p>
    <w:p w:rsidR="00F614B0" w:rsidRDefault="00F614B0" w:rsidP="00A16958">
      <w:pPr>
        <w:spacing w:before="0" w:line="276" w:lineRule="auto"/>
      </w:pPr>
      <w:r w:rsidRPr="00CF1CB1">
        <w:rPr>
          <w:b/>
        </w:rPr>
        <w:t>Comments:</w:t>
      </w:r>
      <w:r w:rsidRPr="00365B69">
        <w:t xml:space="preserve"> </w:t>
      </w:r>
    </w:p>
    <w:p w:rsidR="00F614B0" w:rsidRDefault="00F614B0" w:rsidP="00A16958">
      <w:pPr>
        <w:pStyle w:val="Luettelokappale"/>
        <w:numPr>
          <w:ilvl w:val="0"/>
          <w:numId w:val="11"/>
        </w:numPr>
        <w:spacing w:before="0" w:line="276" w:lineRule="auto"/>
        <w:jc w:val="left"/>
      </w:pPr>
      <w:r>
        <w:t xml:space="preserve">NUTS 3 level </w:t>
      </w:r>
      <w:r w:rsidR="008632AA">
        <w:t>ARoP</w:t>
      </w:r>
      <w:r>
        <w:t xml:space="preserve"> rates for Sweden is based on disposable income data from the income and taxation register</w:t>
      </w:r>
    </w:p>
    <w:p w:rsidR="00F614B0" w:rsidRDefault="00F614B0" w:rsidP="00A16958">
      <w:pPr>
        <w:pStyle w:val="Luettelokappale"/>
        <w:numPr>
          <w:ilvl w:val="0"/>
          <w:numId w:val="11"/>
        </w:numPr>
        <w:spacing w:before="0" w:line="276" w:lineRule="auto"/>
        <w:jc w:val="left"/>
      </w:pPr>
      <w:r>
        <w:t xml:space="preserve">The </w:t>
      </w:r>
      <w:r w:rsidRPr="00DD3B6E">
        <w:t>equivalised disposable income</w:t>
      </w:r>
      <w:r>
        <w:t xml:space="preserve"> is calculated according to EU-SILC definitions and according to the modified OECD-scale </w:t>
      </w:r>
      <w:r w:rsidRPr="0071524D">
        <w:t>(1,0, 0,5, 0,3)</w:t>
      </w:r>
      <w:r w:rsidRPr="00DD3B6E">
        <w:t>.</w:t>
      </w:r>
    </w:p>
    <w:p w:rsidR="00F614B0" w:rsidRDefault="00F614B0" w:rsidP="00A16958">
      <w:pPr>
        <w:pStyle w:val="Luettelokappale"/>
        <w:numPr>
          <w:ilvl w:val="0"/>
          <w:numId w:val="11"/>
        </w:numPr>
        <w:spacing w:before="0" w:line="276" w:lineRule="auto"/>
        <w:jc w:val="left"/>
      </w:pPr>
      <w:r w:rsidRPr="00DD3B6E">
        <w:t>At-risk-of-poverty rate is the rate of individuals that fall under</w:t>
      </w:r>
      <w:r>
        <w:t xml:space="preserve"> </w:t>
      </w:r>
      <w:r w:rsidRPr="00DD3B6E">
        <w:t>the at-risk-of-poverty threshold. The at-risk-of-poverty threshold is</w:t>
      </w:r>
      <w:r>
        <w:t xml:space="preserve"> </w:t>
      </w:r>
      <w:r w:rsidRPr="00DD3B6E">
        <w:t xml:space="preserve">defined as 60% of the median </w:t>
      </w:r>
      <w:r>
        <w:t xml:space="preserve">equivalised </w:t>
      </w:r>
      <w:r w:rsidRPr="00DD3B6E">
        <w:t>disposable income.</w:t>
      </w:r>
      <w:r>
        <w:t xml:space="preserve"> </w:t>
      </w:r>
    </w:p>
    <w:p w:rsidR="004A5B3B" w:rsidRDefault="004A5B3B" w:rsidP="00A16958">
      <w:pPr>
        <w:spacing w:before="0" w:line="276" w:lineRule="auto"/>
        <w:rPr>
          <w:b/>
          <w:noProof/>
          <w:kern w:val="28"/>
          <w:sz w:val="28"/>
        </w:rPr>
      </w:pPr>
      <w:r>
        <w:rPr>
          <w:noProof/>
        </w:rPr>
        <w:br w:type="page"/>
      </w:r>
    </w:p>
    <w:p w:rsidR="004A5B3B" w:rsidRPr="00DD6902" w:rsidRDefault="004A5B3B" w:rsidP="00A16958">
      <w:pPr>
        <w:spacing w:before="0" w:line="276" w:lineRule="auto"/>
      </w:pPr>
      <w:r w:rsidRPr="00DD6902">
        <w:rPr>
          <w:b/>
        </w:rPr>
        <w:lastRenderedPageBreak/>
        <w:t>Country:</w:t>
      </w:r>
      <w:r w:rsidRPr="00DD6902">
        <w:t xml:space="preserve"> Switzerland</w:t>
      </w:r>
    </w:p>
    <w:p w:rsidR="00A16958" w:rsidRDefault="00A16958" w:rsidP="00A16958">
      <w:pPr>
        <w:spacing w:before="0" w:line="276" w:lineRule="auto"/>
        <w:rPr>
          <w:b/>
        </w:rPr>
      </w:pPr>
    </w:p>
    <w:p w:rsidR="004A5B3B" w:rsidRPr="00DD6902" w:rsidRDefault="004A5B3B" w:rsidP="00A16958">
      <w:pPr>
        <w:spacing w:before="0" w:line="276" w:lineRule="auto"/>
      </w:pPr>
      <w:r w:rsidRPr="00DD6902">
        <w:rPr>
          <w:b/>
        </w:rPr>
        <w:t>Partner responsible</w:t>
      </w:r>
      <w:r w:rsidRPr="00DD6902">
        <w:t>: Hungarian Academy of Sciences (HAS), Budapest</w:t>
      </w:r>
    </w:p>
    <w:p w:rsidR="004A5B3B" w:rsidRPr="00DD6902" w:rsidRDefault="004A5B3B" w:rsidP="00A16958">
      <w:pPr>
        <w:spacing w:before="0" w:line="276" w:lineRule="auto"/>
      </w:pPr>
      <w:r w:rsidRPr="00DD6902">
        <w:rPr>
          <w:b/>
        </w:rPr>
        <w:t>Contact Person:</w:t>
      </w:r>
      <w:r w:rsidRPr="00DD6902">
        <w:t xml:space="preserve"> Gergely Tagai</w:t>
      </w:r>
      <w:r>
        <w:t xml:space="preserve"> (</w:t>
      </w:r>
      <w:hyperlink r:id="rId95" w:history="1">
        <w:r w:rsidRPr="00C53EC4">
          <w:rPr>
            <w:rStyle w:val="Hyperlinkki"/>
          </w:rPr>
          <w:t>tagai@rkk.hu</w:t>
        </w:r>
      </w:hyperlink>
      <w:r>
        <w:t>)</w:t>
      </w:r>
    </w:p>
    <w:p w:rsidR="004A5B3B" w:rsidRPr="00DD6902" w:rsidRDefault="004A5B3B" w:rsidP="00A16958">
      <w:pPr>
        <w:spacing w:before="0" w:line="276" w:lineRule="auto"/>
      </w:pPr>
      <w:r w:rsidRPr="00DD6902">
        <w:rPr>
          <w:b/>
        </w:rPr>
        <w:t>Date:</w:t>
      </w:r>
      <w:r w:rsidRPr="00DD6902">
        <w:t xml:space="preserve"> </w:t>
      </w:r>
      <w:r>
        <w:t>21</w:t>
      </w:r>
      <w:r w:rsidRPr="00DD6902">
        <w:t>/</w:t>
      </w:r>
      <w:r>
        <w:t>03</w:t>
      </w:r>
      <w:r w:rsidRPr="00DD6902">
        <w:t>/1</w:t>
      </w:r>
      <w:r>
        <w:t>4</w:t>
      </w:r>
    </w:p>
    <w:p w:rsidR="004A5B3B" w:rsidRPr="00DD6902" w:rsidRDefault="004A5B3B" w:rsidP="00A16958">
      <w:pPr>
        <w:spacing w:before="0" w:line="276" w:lineRule="auto"/>
      </w:pPr>
      <w:r w:rsidRPr="00DD6902">
        <w:rPr>
          <w:b/>
        </w:rPr>
        <w:t>Methodology Used:</w:t>
      </w:r>
      <w:r w:rsidRPr="00DD6902">
        <w:t xml:space="preserve"> </w:t>
      </w:r>
      <w:r>
        <w:t>Direct</w:t>
      </w:r>
      <w:r w:rsidRPr="00DD6902">
        <w:t xml:space="preserve"> </w:t>
      </w:r>
      <w:r>
        <w:t>A</w:t>
      </w:r>
      <w:r w:rsidRPr="00DD6902">
        <w:t>pportion</w:t>
      </w:r>
      <w:r>
        <w:t>ment</w:t>
      </w:r>
    </w:p>
    <w:p w:rsidR="004A5B3B" w:rsidRPr="00DD6902" w:rsidRDefault="004A5B3B" w:rsidP="00A16958">
      <w:pPr>
        <w:spacing w:before="0" w:line="276" w:lineRule="auto"/>
      </w:pPr>
      <w:r w:rsidRPr="00DD6902">
        <w:rPr>
          <w:b/>
        </w:rPr>
        <w:t>Constraints on Choice of Methodology:</w:t>
      </w:r>
      <w:r>
        <w:rPr>
          <w:b/>
        </w:rPr>
        <w:t xml:space="preserve"> </w:t>
      </w:r>
      <w:r w:rsidRPr="00DD6902">
        <w:t>World Bank PovMap was not possible due to unavailability of EU-SILC data for the 2000s (Swiss data is available</w:t>
      </w:r>
      <w:r>
        <w:t xml:space="preserve"> in EU-SILC UDB only for 2011, but only for NUTS 1 or 0 levels</w:t>
      </w:r>
      <w:r w:rsidRPr="00DD6902">
        <w:t xml:space="preserve">), while census microdata </w:t>
      </w:r>
      <w:r>
        <w:t xml:space="preserve">for 2011 is not available for public use. </w:t>
      </w:r>
      <w:r w:rsidRPr="00DD6902">
        <w:t xml:space="preserve">NUTS 2 </w:t>
      </w:r>
      <w:r w:rsidR="008632AA">
        <w:t>ARoP</w:t>
      </w:r>
      <w:r w:rsidRPr="00DD6902">
        <w:t xml:space="preserve"> rates (for recent years) are available from both Eurostat and Swiss Federal Statistical Office, but seven territorial units (NUTS 2 regions) are not sufficient for </w:t>
      </w:r>
      <w:r>
        <w:t>carrying</w:t>
      </w:r>
      <w:r w:rsidRPr="00DD6902">
        <w:t xml:space="preserve"> out an area-based regression model.</w:t>
      </w:r>
    </w:p>
    <w:p w:rsidR="004A5B3B" w:rsidRDefault="004A5B3B" w:rsidP="00A16958">
      <w:pPr>
        <w:spacing w:before="0" w:line="276" w:lineRule="auto"/>
      </w:pPr>
      <w:r w:rsidRPr="00DD6902">
        <w:rPr>
          <w:b/>
        </w:rPr>
        <w:t>Source(s) of raw data:</w:t>
      </w:r>
      <w:r>
        <w:rPr>
          <w:b/>
        </w:rPr>
        <w:t xml:space="preserve"> </w:t>
      </w:r>
      <w:r w:rsidRPr="00DD6902">
        <w:t xml:space="preserve">Eurostat, EU SILC Regional Data – At-risk-of-poverty rate by NUTS 2 regions (ilc_li41) </w:t>
      </w:r>
    </w:p>
    <w:p w:rsidR="004A5B3B" w:rsidRPr="00DD6902" w:rsidRDefault="00630F69" w:rsidP="00A16958">
      <w:pPr>
        <w:spacing w:before="0" w:line="276" w:lineRule="auto"/>
      </w:pPr>
      <w:hyperlink r:id="rId96" w:history="1">
        <w:r w:rsidR="004A5B3B" w:rsidRPr="005418AC">
          <w:rPr>
            <w:rStyle w:val="Hyperlinkki"/>
          </w:rPr>
          <w:t>http://epp.eurostat.ec.europa.eu/portal/page/portal/region_cities/regional_statistics/data/database</w:t>
        </w:r>
      </w:hyperlink>
    </w:p>
    <w:p w:rsidR="004A5B3B" w:rsidRPr="00DD6902" w:rsidRDefault="004A5B3B" w:rsidP="00A16958">
      <w:pPr>
        <w:spacing w:before="0" w:line="276" w:lineRule="auto"/>
      </w:pPr>
      <w:r w:rsidRPr="00DD6902">
        <w:t>Swiss Federal Statistical Office, Statistical Encyclopedia – Social aid and index of poverty (su-f-13.04.03.01.02)</w:t>
      </w:r>
      <w:r>
        <w:rPr>
          <w:color w:val="002060"/>
        </w:rPr>
        <w:t xml:space="preserve"> </w:t>
      </w:r>
      <w:hyperlink r:id="rId97" w:history="1">
        <w:r w:rsidRPr="005418AC">
          <w:rPr>
            <w:rStyle w:val="Hyperlinkki"/>
          </w:rPr>
          <w:t>http://www.bfs.admin.ch/bfs/portal/fr/index/infothek/lexikon/lex/0.html</w:t>
        </w:r>
      </w:hyperlink>
    </w:p>
    <w:p w:rsidR="004A5B3B" w:rsidRPr="00DD6902" w:rsidRDefault="004A5B3B" w:rsidP="00A16958">
      <w:pPr>
        <w:spacing w:before="0" w:line="276" w:lineRule="auto"/>
      </w:pPr>
      <w:r w:rsidRPr="00DD6902">
        <w:rPr>
          <w:b/>
        </w:rPr>
        <w:t xml:space="preserve">Date(s) of raw data: </w:t>
      </w:r>
      <w:r w:rsidRPr="00DD6902">
        <w:t>EU-SILC</w:t>
      </w:r>
      <w:r>
        <w:t>,</w:t>
      </w:r>
      <w:r w:rsidRPr="00DD6902">
        <w:t xml:space="preserve"> At-risk-of-poverty rate </w:t>
      </w:r>
      <w:r>
        <w:t xml:space="preserve">refers to </w:t>
      </w:r>
      <w:r w:rsidRPr="00DD6902">
        <w:t>2011</w:t>
      </w:r>
      <w:r>
        <w:t>;</w:t>
      </w:r>
      <w:r w:rsidRPr="00DD6902">
        <w:t xml:space="preserve"> Swiss Federal Statistical Office</w:t>
      </w:r>
      <w:r>
        <w:t>,</w:t>
      </w:r>
      <w:r w:rsidRPr="00DD6902">
        <w:t xml:space="preserve"> </w:t>
      </w:r>
      <w:r w:rsidRPr="00E233A4">
        <w:t xml:space="preserve">Social aid and index of poverty </w:t>
      </w:r>
      <w:r>
        <w:t xml:space="preserve">refers to </w:t>
      </w:r>
      <w:r w:rsidRPr="00DD6902">
        <w:t>2011</w:t>
      </w:r>
      <w:r>
        <w:t xml:space="preserve"> as well</w:t>
      </w:r>
      <w:r w:rsidRPr="00DD6902">
        <w:t>.</w:t>
      </w:r>
    </w:p>
    <w:p w:rsidR="004A5B3B" w:rsidRPr="00DD6902" w:rsidRDefault="004A5B3B" w:rsidP="00A16958">
      <w:pPr>
        <w:spacing w:before="0" w:line="276" w:lineRule="auto"/>
      </w:pPr>
      <w:r w:rsidRPr="00DD6902">
        <w:rPr>
          <w:b/>
        </w:rPr>
        <w:t>Variables used:</w:t>
      </w:r>
      <w:r>
        <w:t xml:space="preserve"> A</w:t>
      </w:r>
      <w:r w:rsidRPr="00DD6902">
        <w:t xml:space="preserve">t-risk-of-poverty rate (NUTS 0 level), </w:t>
      </w:r>
      <w:r>
        <w:t>2011; I</w:t>
      </w:r>
      <w:r w:rsidRPr="00DD6902">
        <w:t>ndex of poverty (NUTS 3 level)</w:t>
      </w:r>
      <w:r>
        <w:t>, 2011</w:t>
      </w:r>
    </w:p>
    <w:p w:rsidR="004A5B3B" w:rsidRPr="00DD6902" w:rsidRDefault="004A5B3B" w:rsidP="00A16958">
      <w:pPr>
        <w:spacing w:before="0" w:line="276" w:lineRule="auto"/>
      </w:pPr>
      <w:r w:rsidRPr="00DD6902">
        <w:rPr>
          <w:b/>
        </w:rPr>
        <w:t>Before or after Housing Costs?</w:t>
      </w:r>
      <w:r w:rsidRPr="00DD6902">
        <w:t xml:space="preserve"> Before</w:t>
      </w:r>
    </w:p>
    <w:p w:rsidR="004A5B3B" w:rsidRPr="00DD6902" w:rsidRDefault="004A5B3B" w:rsidP="00A16958">
      <w:pPr>
        <w:spacing w:before="0" w:line="276" w:lineRule="auto"/>
      </w:pPr>
      <w:r w:rsidRPr="00DD6902">
        <w:rPr>
          <w:b/>
        </w:rPr>
        <w:t>NUTS Level of estimates:</w:t>
      </w:r>
      <w:r w:rsidRPr="00DD6902">
        <w:t xml:space="preserve"> NUTS 3</w:t>
      </w:r>
    </w:p>
    <w:p w:rsidR="004A5B3B" w:rsidRPr="00DD6902" w:rsidRDefault="004A5B3B" w:rsidP="00A16958">
      <w:pPr>
        <w:spacing w:before="0" w:line="276" w:lineRule="auto"/>
      </w:pPr>
      <w:r w:rsidRPr="00DD6902">
        <w:rPr>
          <w:b/>
        </w:rPr>
        <w:t xml:space="preserve">Adjusted to agree with Eurostat published </w:t>
      </w:r>
      <w:r w:rsidR="008632AA">
        <w:rPr>
          <w:b/>
        </w:rPr>
        <w:t>ARoP</w:t>
      </w:r>
      <w:r w:rsidRPr="00DD6902">
        <w:rPr>
          <w:b/>
        </w:rPr>
        <w:t xml:space="preserve"> rates?</w:t>
      </w:r>
      <w:r w:rsidRPr="00DD6902">
        <w:t xml:space="preserve"> No</w:t>
      </w:r>
    </w:p>
    <w:p w:rsidR="004A5B3B" w:rsidRDefault="004A5B3B" w:rsidP="00A16958">
      <w:pPr>
        <w:spacing w:before="0" w:line="276" w:lineRule="auto"/>
      </w:pPr>
      <w:r w:rsidRPr="00DD6902">
        <w:rPr>
          <w:b/>
        </w:rPr>
        <w:t>Comments:</w:t>
      </w:r>
      <w:r>
        <w:rPr>
          <w:b/>
        </w:rPr>
        <w:t xml:space="preserve"> </w:t>
      </w:r>
      <w:r w:rsidRPr="00DD6902">
        <w:t xml:space="preserve">NUTS 3 level </w:t>
      </w:r>
      <w:r w:rsidR="008632AA">
        <w:t>ARoP</w:t>
      </w:r>
      <w:r w:rsidRPr="00DD6902">
        <w:t xml:space="preserve"> rates were estimated by apportioning regional values of the 2011 Swiss index of poverty to 2011 national level </w:t>
      </w:r>
      <w:r w:rsidR="008632AA">
        <w:t>ARoP</w:t>
      </w:r>
      <w:r w:rsidRPr="00DD6902">
        <w:t xml:space="preserve"> rate (15%) – b</w:t>
      </w:r>
      <w:r>
        <w:t>y preserving regional variance of poverty indicator.</w:t>
      </w:r>
    </w:p>
    <w:p w:rsidR="004A5B3B" w:rsidRDefault="004A5B3B" w:rsidP="00A16958">
      <w:pPr>
        <w:spacing w:before="0" w:line="276" w:lineRule="auto"/>
      </w:pPr>
      <w:r w:rsidRPr="00DD6902">
        <w:t>The Swiss index of poverty measures the adjusted proportion of inhabitants benefited from social aid – only the net number of beneficiaries is counted, if an inhabitant is eligible for having multiple forms of financial support he/she is measured as one</w:t>
      </w:r>
      <w:r>
        <w:t>.</w:t>
      </w:r>
    </w:p>
    <w:p w:rsidR="004A5B3B" w:rsidRPr="00DD6902" w:rsidRDefault="004A5B3B" w:rsidP="00A16958">
      <w:pPr>
        <w:spacing w:before="0" w:line="276" w:lineRule="auto"/>
      </w:pPr>
      <w:r w:rsidRPr="00DD6902">
        <w:t>See methodology of calculation</w:t>
      </w:r>
      <w:r>
        <w:t xml:space="preserve"> of</w:t>
      </w:r>
      <w:r w:rsidRPr="00DD6902">
        <w:t xml:space="preserve"> </w:t>
      </w:r>
      <w:r>
        <w:t xml:space="preserve">poverty index </w:t>
      </w:r>
      <w:r w:rsidRPr="00DD6902">
        <w:t>in “Indicateur de pauvreté pour la compensation des charges au titre des facteurs sociodémographiques dans le cadre de la RPT. Concepts de base. Résultats pour l'année 2006.” (No. 1014-0800)</w:t>
      </w:r>
      <w:r>
        <w:rPr>
          <w:color w:val="002060"/>
        </w:rPr>
        <w:t xml:space="preserve"> </w:t>
      </w:r>
      <w:hyperlink r:id="rId98" w:history="1">
        <w:r w:rsidRPr="005418AC">
          <w:rPr>
            <w:rStyle w:val="Hyperlinkki"/>
          </w:rPr>
          <w:t>http://www.bfs.admin.ch/bfs/portal/en/index/themen/13/22/publ.html</w:t>
        </w:r>
      </w:hyperlink>
    </w:p>
    <w:p w:rsidR="004A5B3B" w:rsidRDefault="004A5B3B" w:rsidP="00A16958">
      <w:pPr>
        <w:spacing w:before="0" w:line="276" w:lineRule="auto"/>
        <w:rPr>
          <w:b/>
          <w:noProof/>
          <w:kern w:val="28"/>
          <w:sz w:val="28"/>
        </w:rPr>
      </w:pPr>
      <w:r>
        <w:rPr>
          <w:noProof/>
        </w:rPr>
        <w:br w:type="page"/>
      </w:r>
    </w:p>
    <w:p w:rsidR="004A5B3B" w:rsidRPr="004A5B3B" w:rsidRDefault="004A5B3B" w:rsidP="00A16958">
      <w:pPr>
        <w:pStyle w:val="Default"/>
        <w:spacing w:line="276" w:lineRule="auto"/>
        <w:jc w:val="both"/>
        <w:rPr>
          <w:rFonts w:ascii="Arial" w:hAnsi="Arial" w:cs="Arial"/>
          <w:color w:val="000000" w:themeColor="text1"/>
          <w:sz w:val="22"/>
          <w:szCs w:val="22"/>
          <w:lang w:val="en-US"/>
        </w:rPr>
      </w:pPr>
      <w:r w:rsidRPr="004A5B3B">
        <w:rPr>
          <w:rFonts w:ascii="Arial" w:hAnsi="Arial" w:cs="Arial"/>
          <w:b/>
          <w:bCs/>
          <w:color w:val="000000" w:themeColor="text1"/>
          <w:sz w:val="22"/>
          <w:szCs w:val="22"/>
          <w:lang w:val="en-US"/>
        </w:rPr>
        <w:lastRenderedPageBreak/>
        <w:t xml:space="preserve">Country: </w:t>
      </w:r>
      <w:r w:rsidRPr="004A5B3B">
        <w:rPr>
          <w:rFonts w:ascii="Arial" w:hAnsi="Arial" w:cs="Arial"/>
          <w:color w:val="000000" w:themeColor="text1"/>
          <w:sz w:val="22"/>
          <w:szCs w:val="22"/>
          <w:lang w:val="en-US"/>
        </w:rPr>
        <w:t xml:space="preserve">Turkey  </w:t>
      </w:r>
    </w:p>
    <w:p w:rsidR="00A16958" w:rsidRDefault="00A16958" w:rsidP="00A16958">
      <w:pPr>
        <w:pStyle w:val="Default"/>
        <w:spacing w:line="276" w:lineRule="auto"/>
        <w:jc w:val="both"/>
        <w:rPr>
          <w:rFonts w:ascii="Arial" w:hAnsi="Arial" w:cs="Arial"/>
          <w:b/>
          <w:bCs/>
          <w:color w:val="000000" w:themeColor="text1"/>
          <w:sz w:val="22"/>
          <w:szCs w:val="22"/>
          <w:lang w:val="en-US"/>
        </w:rPr>
      </w:pPr>
    </w:p>
    <w:p w:rsidR="004A5B3B" w:rsidRPr="004A5B3B" w:rsidRDefault="004A5B3B" w:rsidP="00A16958">
      <w:pPr>
        <w:pStyle w:val="Default"/>
        <w:spacing w:line="276" w:lineRule="auto"/>
        <w:jc w:val="both"/>
        <w:rPr>
          <w:rFonts w:ascii="Arial" w:hAnsi="Arial" w:cs="Arial"/>
          <w:color w:val="000000" w:themeColor="text1"/>
          <w:sz w:val="22"/>
          <w:szCs w:val="22"/>
          <w:lang w:val="en-US"/>
        </w:rPr>
      </w:pPr>
      <w:r w:rsidRPr="004A5B3B">
        <w:rPr>
          <w:rFonts w:ascii="Arial" w:hAnsi="Arial" w:cs="Arial"/>
          <w:b/>
          <w:bCs/>
          <w:color w:val="000000" w:themeColor="text1"/>
          <w:sz w:val="22"/>
          <w:szCs w:val="22"/>
          <w:lang w:val="en-US"/>
        </w:rPr>
        <w:t>Partner responsible</w:t>
      </w:r>
      <w:r w:rsidRPr="004A5B3B">
        <w:rPr>
          <w:rFonts w:ascii="Arial" w:hAnsi="Arial" w:cs="Arial"/>
          <w:color w:val="000000" w:themeColor="text1"/>
          <w:sz w:val="22"/>
          <w:szCs w:val="22"/>
          <w:lang w:val="en-US"/>
        </w:rPr>
        <w:t xml:space="preserve">: </w:t>
      </w:r>
      <w:r w:rsidRPr="004A5B3B">
        <w:rPr>
          <w:rStyle w:val="st"/>
          <w:rFonts w:ascii="Arial" w:hAnsi="Arial" w:cs="Arial"/>
          <w:color w:val="000000" w:themeColor="text1"/>
          <w:sz w:val="22"/>
          <w:szCs w:val="22"/>
          <w:lang w:val="en-US"/>
        </w:rPr>
        <w:t>National Centre for Social Research (</w:t>
      </w:r>
      <w:r w:rsidRPr="004A5B3B">
        <w:rPr>
          <w:rStyle w:val="Korostus"/>
          <w:rFonts w:ascii="Arial" w:hAnsi="Arial" w:cs="Arial"/>
          <w:color w:val="000000" w:themeColor="text1"/>
          <w:sz w:val="22"/>
          <w:szCs w:val="22"/>
          <w:lang w:val="en-US"/>
        </w:rPr>
        <w:t>EKKE</w:t>
      </w:r>
      <w:r w:rsidRPr="004A5B3B">
        <w:rPr>
          <w:rStyle w:val="st"/>
          <w:rFonts w:ascii="Arial" w:hAnsi="Arial" w:cs="Arial"/>
          <w:color w:val="000000" w:themeColor="text1"/>
          <w:sz w:val="22"/>
          <w:szCs w:val="22"/>
          <w:lang w:val="en-US"/>
        </w:rPr>
        <w:t>)</w:t>
      </w:r>
      <w:r w:rsidRPr="004A5B3B">
        <w:rPr>
          <w:rFonts w:ascii="Arial" w:hAnsi="Arial" w:cs="Arial"/>
          <w:color w:val="000000" w:themeColor="text1"/>
          <w:sz w:val="22"/>
          <w:szCs w:val="22"/>
          <w:lang w:val="en-US"/>
        </w:rPr>
        <w:t xml:space="preserve">, Greece </w:t>
      </w:r>
    </w:p>
    <w:p w:rsidR="004A5B3B" w:rsidRPr="004A5B3B" w:rsidRDefault="004A5B3B" w:rsidP="00A16958">
      <w:pPr>
        <w:pStyle w:val="Default"/>
        <w:spacing w:line="276" w:lineRule="auto"/>
        <w:jc w:val="both"/>
        <w:rPr>
          <w:rFonts w:ascii="Arial" w:hAnsi="Arial" w:cs="Arial"/>
          <w:color w:val="001E5E"/>
          <w:sz w:val="22"/>
          <w:szCs w:val="22"/>
          <w:lang w:val="en-US"/>
        </w:rPr>
      </w:pPr>
      <w:r w:rsidRPr="004A5B3B">
        <w:rPr>
          <w:rFonts w:ascii="Arial" w:hAnsi="Arial" w:cs="Arial"/>
          <w:b/>
          <w:bCs/>
          <w:sz w:val="22"/>
          <w:szCs w:val="22"/>
          <w:lang w:val="en-US"/>
        </w:rPr>
        <w:t xml:space="preserve">Contact Person: </w:t>
      </w:r>
      <w:r w:rsidRPr="004A5B3B">
        <w:rPr>
          <w:rFonts w:ascii="Arial" w:hAnsi="Arial" w:cs="Arial"/>
          <w:color w:val="000000" w:themeColor="text1"/>
          <w:sz w:val="22"/>
          <w:szCs w:val="22"/>
          <w:lang w:val="en-US"/>
        </w:rPr>
        <w:t xml:space="preserve">Panagiotis Artelaris </w:t>
      </w:r>
      <w:r w:rsidRPr="004A5B3B">
        <w:rPr>
          <w:rFonts w:ascii="Arial" w:hAnsi="Arial" w:cs="Arial"/>
          <w:color w:val="001E5E"/>
          <w:sz w:val="22"/>
          <w:szCs w:val="22"/>
          <w:lang w:val="en-US"/>
        </w:rPr>
        <w:t>(</w:t>
      </w:r>
      <w:r w:rsidRPr="004A5B3B">
        <w:rPr>
          <w:rFonts w:ascii="Arial" w:hAnsi="Arial" w:cs="Arial"/>
          <w:color w:val="0000FF"/>
          <w:sz w:val="22"/>
          <w:szCs w:val="22"/>
          <w:lang w:val="en-US"/>
        </w:rPr>
        <w:t>partelar@hua.gr</w:t>
      </w:r>
      <w:r w:rsidRPr="004A5B3B">
        <w:rPr>
          <w:rFonts w:ascii="Arial" w:hAnsi="Arial" w:cs="Arial"/>
          <w:color w:val="001E5E"/>
          <w:sz w:val="22"/>
          <w:szCs w:val="22"/>
          <w:lang w:val="en-US"/>
        </w:rPr>
        <w:t xml:space="preserve">) </w:t>
      </w:r>
    </w:p>
    <w:p w:rsidR="004A5B3B" w:rsidRPr="004A5B3B" w:rsidRDefault="004A5B3B" w:rsidP="00A16958">
      <w:pPr>
        <w:pStyle w:val="Default"/>
        <w:spacing w:line="276" w:lineRule="auto"/>
        <w:jc w:val="both"/>
        <w:rPr>
          <w:rFonts w:ascii="Arial" w:hAnsi="Arial" w:cs="Arial"/>
          <w:color w:val="000000" w:themeColor="text1"/>
          <w:sz w:val="22"/>
          <w:szCs w:val="22"/>
          <w:lang w:val="en-US"/>
        </w:rPr>
      </w:pPr>
      <w:r w:rsidRPr="004A5B3B">
        <w:rPr>
          <w:rFonts w:ascii="Arial" w:hAnsi="Arial" w:cs="Arial"/>
          <w:b/>
          <w:bCs/>
          <w:color w:val="000000" w:themeColor="text1"/>
          <w:sz w:val="22"/>
          <w:szCs w:val="22"/>
          <w:lang w:val="en-US"/>
        </w:rPr>
        <w:t xml:space="preserve">Date: </w:t>
      </w:r>
      <w:r w:rsidRPr="004A5B3B">
        <w:rPr>
          <w:rFonts w:ascii="Arial" w:hAnsi="Arial" w:cs="Arial"/>
          <w:color w:val="000000" w:themeColor="text1"/>
          <w:sz w:val="22"/>
          <w:szCs w:val="22"/>
          <w:lang w:val="en-US"/>
        </w:rPr>
        <w:t xml:space="preserve">19/12/13 </w:t>
      </w:r>
    </w:p>
    <w:p w:rsidR="004A5B3B" w:rsidRPr="004A5B3B" w:rsidRDefault="004A5B3B" w:rsidP="00A16958">
      <w:pPr>
        <w:pStyle w:val="Default"/>
        <w:spacing w:line="276" w:lineRule="auto"/>
        <w:jc w:val="both"/>
        <w:rPr>
          <w:rFonts w:ascii="Arial" w:hAnsi="Arial" w:cs="Arial"/>
          <w:color w:val="000000" w:themeColor="text1"/>
          <w:sz w:val="22"/>
          <w:szCs w:val="22"/>
          <w:lang w:val="en-US"/>
        </w:rPr>
      </w:pPr>
      <w:r w:rsidRPr="004A5B3B">
        <w:rPr>
          <w:rFonts w:ascii="Arial" w:hAnsi="Arial" w:cs="Arial"/>
          <w:b/>
          <w:bCs/>
          <w:color w:val="000000" w:themeColor="text1"/>
          <w:sz w:val="22"/>
          <w:szCs w:val="22"/>
          <w:lang w:val="en-US"/>
        </w:rPr>
        <w:t xml:space="preserve">Methodology Used: </w:t>
      </w:r>
      <w:r w:rsidRPr="004A5B3B">
        <w:rPr>
          <w:rFonts w:ascii="Arial" w:hAnsi="Arial" w:cs="Arial"/>
          <w:color w:val="000000" w:themeColor="text1"/>
          <w:sz w:val="22"/>
          <w:szCs w:val="22"/>
          <w:lang w:val="en-US"/>
        </w:rPr>
        <w:t>Area Based Model</w:t>
      </w:r>
    </w:p>
    <w:p w:rsidR="004A5B3B" w:rsidRPr="004A5B3B" w:rsidRDefault="004A5B3B" w:rsidP="00A16958">
      <w:pPr>
        <w:pStyle w:val="Default"/>
        <w:spacing w:line="276" w:lineRule="auto"/>
        <w:jc w:val="both"/>
        <w:rPr>
          <w:rFonts w:ascii="Arial" w:hAnsi="Arial" w:cs="Arial"/>
          <w:sz w:val="22"/>
          <w:szCs w:val="22"/>
          <w:lang w:val="en-US"/>
        </w:rPr>
      </w:pPr>
      <w:r w:rsidRPr="004A5B3B">
        <w:rPr>
          <w:rFonts w:ascii="Arial" w:hAnsi="Arial" w:cs="Arial"/>
          <w:b/>
          <w:bCs/>
          <w:sz w:val="22"/>
          <w:szCs w:val="22"/>
          <w:lang w:val="en-US"/>
        </w:rPr>
        <w:t xml:space="preserve">Constraints on Choice of Methodology: </w:t>
      </w:r>
      <w:r w:rsidRPr="004A5B3B">
        <w:rPr>
          <w:rFonts w:ascii="Arial" w:hAnsi="Arial" w:cs="Arial"/>
          <w:sz w:val="22"/>
          <w:szCs w:val="22"/>
          <w:lang w:val="en-US"/>
        </w:rPr>
        <w:t>World Bank PovMap was not possible to use due to data limitations (Census and EU-SILC data).</w:t>
      </w:r>
    </w:p>
    <w:p w:rsidR="004A5B3B" w:rsidRPr="004A5B3B" w:rsidRDefault="004A5B3B" w:rsidP="00A16958">
      <w:pPr>
        <w:pStyle w:val="Default"/>
        <w:spacing w:line="276" w:lineRule="auto"/>
        <w:jc w:val="both"/>
        <w:rPr>
          <w:rFonts w:ascii="Arial" w:hAnsi="Arial" w:cs="Arial"/>
          <w:sz w:val="22"/>
          <w:szCs w:val="22"/>
          <w:lang w:val="en-US"/>
        </w:rPr>
      </w:pPr>
      <w:r w:rsidRPr="004A5B3B">
        <w:rPr>
          <w:rFonts w:ascii="Arial" w:hAnsi="Arial" w:cs="Arial"/>
          <w:b/>
          <w:bCs/>
          <w:sz w:val="22"/>
          <w:szCs w:val="22"/>
          <w:lang w:val="en-US"/>
        </w:rPr>
        <w:t xml:space="preserve">Source(s) of raw data: </w:t>
      </w:r>
      <w:r w:rsidRPr="004A5B3B">
        <w:rPr>
          <w:rFonts w:ascii="Arial" w:hAnsi="Arial" w:cs="Arial"/>
          <w:sz w:val="22"/>
          <w:szCs w:val="22"/>
          <w:lang w:val="en-US"/>
        </w:rPr>
        <w:t xml:space="preserve">All variables obtained from </w:t>
      </w:r>
      <w:r w:rsidRPr="004A5B3B">
        <w:rPr>
          <w:rStyle w:val="st"/>
          <w:rFonts w:ascii="Arial" w:hAnsi="Arial" w:cs="Arial"/>
          <w:sz w:val="22"/>
          <w:szCs w:val="22"/>
          <w:lang w:val="en-US"/>
        </w:rPr>
        <w:t xml:space="preserve">the </w:t>
      </w:r>
      <w:hyperlink r:id="rId99" w:history="1">
        <w:r w:rsidRPr="004A5B3B">
          <w:rPr>
            <w:rFonts w:ascii="Arial" w:hAnsi="Arial" w:cs="Arial"/>
            <w:sz w:val="22"/>
            <w:szCs w:val="22"/>
            <w:lang w:val="en-US"/>
          </w:rPr>
          <w:t>Turkish Statistical Institute (TurkStat)</w:t>
        </w:r>
      </w:hyperlink>
      <w:r w:rsidRPr="004A5B3B">
        <w:rPr>
          <w:rFonts w:ascii="Arial" w:hAnsi="Arial" w:cs="Arial"/>
          <w:sz w:val="22"/>
          <w:szCs w:val="22"/>
          <w:lang w:val="en-US"/>
        </w:rPr>
        <w:t xml:space="preserve">. Available from: </w:t>
      </w:r>
      <w:hyperlink r:id="rId100" w:history="1">
        <w:r w:rsidRPr="004A5B3B">
          <w:rPr>
            <w:rStyle w:val="Hyperlinkki"/>
            <w:rFonts w:ascii="Arial" w:hAnsi="Arial" w:cs="Arial"/>
            <w:sz w:val="22"/>
            <w:szCs w:val="22"/>
            <w:lang w:val="en-US"/>
          </w:rPr>
          <w:t>http://tuikapp.tuik.gov.tr/Bolgesel/menuAction.do?dil=en#</w:t>
        </w:r>
      </w:hyperlink>
    </w:p>
    <w:p w:rsidR="004A5B3B" w:rsidRPr="004A5B3B" w:rsidRDefault="004A5B3B" w:rsidP="00A16958">
      <w:pPr>
        <w:pStyle w:val="Default"/>
        <w:spacing w:line="276" w:lineRule="auto"/>
        <w:jc w:val="both"/>
        <w:rPr>
          <w:rFonts w:ascii="Arial" w:hAnsi="Arial" w:cs="Arial"/>
          <w:sz w:val="22"/>
          <w:szCs w:val="22"/>
          <w:lang w:val="en-US"/>
        </w:rPr>
      </w:pPr>
      <w:r w:rsidRPr="004A5B3B">
        <w:rPr>
          <w:rFonts w:ascii="Arial" w:hAnsi="Arial" w:cs="Arial"/>
          <w:b/>
          <w:bCs/>
          <w:sz w:val="22"/>
          <w:szCs w:val="22"/>
          <w:lang w:val="en-US"/>
        </w:rPr>
        <w:t>Date(s) of raw data:</w:t>
      </w:r>
      <w:r w:rsidRPr="004A5B3B">
        <w:rPr>
          <w:rFonts w:ascii="Arial" w:hAnsi="Arial" w:cs="Arial"/>
          <w:sz w:val="22"/>
          <w:szCs w:val="22"/>
          <w:lang w:val="en-US"/>
        </w:rPr>
        <w:t xml:space="preserve"> 2011 for NUTS 1 </w:t>
      </w:r>
      <w:r w:rsidR="008632AA">
        <w:rPr>
          <w:rFonts w:ascii="Arial" w:hAnsi="Arial" w:cs="Arial"/>
          <w:sz w:val="22"/>
          <w:szCs w:val="22"/>
          <w:lang w:val="en-US"/>
        </w:rPr>
        <w:t>AROP</w:t>
      </w:r>
      <w:r w:rsidRPr="004A5B3B">
        <w:rPr>
          <w:rFonts w:ascii="Arial" w:hAnsi="Arial" w:cs="Arial"/>
          <w:sz w:val="22"/>
          <w:szCs w:val="22"/>
          <w:lang w:val="en-US"/>
        </w:rPr>
        <w:t xml:space="preserve"> rates and 2011 </w:t>
      </w:r>
      <w:r w:rsidRPr="004A5B3B">
        <w:rPr>
          <w:rStyle w:val="Korostus"/>
          <w:rFonts w:ascii="Arial" w:hAnsi="Arial" w:cs="Arial"/>
          <w:sz w:val="22"/>
          <w:szCs w:val="22"/>
          <w:lang w:val="en-US"/>
        </w:rPr>
        <w:t>or closest available year</w:t>
      </w:r>
      <w:r w:rsidRPr="004A5B3B">
        <w:rPr>
          <w:rStyle w:val="st"/>
          <w:rFonts w:ascii="Arial" w:hAnsi="Arial" w:cs="Arial"/>
          <w:sz w:val="22"/>
          <w:szCs w:val="22"/>
          <w:lang w:val="en-US"/>
        </w:rPr>
        <w:t xml:space="preserve"> for the rest of the variables. </w:t>
      </w:r>
    </w:p>
    <w:p w:rsidR="004A5B3B" w:rsidRPr="004A5B3B" w:rsidRDefault="004A5B3B" w:rsidP="00A16958">
      <w:pPr>
        <w:pStyle w:val="Default"/>
        <w:spacing w:line="276" w:lineRule="auto"/>
        <w:jc w:val="both"/>
        <w:rPr>
          <w:rFonts w:ascii="Arial" w:hAnsi="Arial" w:cs="Arial"/>
          <w:sz w:val="22"/>
          <w:szCs w:val="22"/>
          <w:lang w:val="en-US"/>
        </w:rPr>
      </w:pPr>
      <w:r w:rsidRPr="004A5B3B">
        <w:rPr>
          <w:rFonts w:ascii="Arial" w:hAnsi="Arial" w:cs="Arial"/>
          <w:b/>
          <w:bCs/>
          <w:sz w:val="22"/>
          <w:szCs w:val="22"/>
          <w:lang w:val="en-US"/>
        </w:rPr>
        <w:t xml:space="preserve">Explanatory Variables used in the area based model: </w:t>
      </w:r>
      <w:r w:rsidRPr="004A5B3B">
        <w:rPr>
          <w:rFonts w:ascii="Arial" w:hAnsi="Arial" w:cs="Arial"/>
          <w:sz w:val="22"/>
          <w:szCs w:val="22"/>
          <w:lang w:val="en-US"/>
        </w:rPr>
        <w:t>Average size of households by total household population, Unemployment rate (Female), Population density (people per square km), Higher education graduate (%).</w:t>
      </w:r>
    </w:p>
    <w:p w:rsidR="004A5B3B" w:rsidRPr="004A5B3B" w:rsidRDefault="004A5B3B" w:rsidP="00A16958">
      <w:pPr>
        <w:pStyle w:val="Default"/>
        <w:spacing w:line="276" w:lineRule="auto"/>
        <w:jc w:val="both"/>
        <w:rPr>
          <w:rFonts w:ascii="Arial" w:hAnsi="Arial" w:cs="Arial"/>
          <w:sz w:val="22"/>
          <w:szCs w:val="22"/>
          <w:lang w:val="en-US"/>
        </w:rPr>
      </w:pPr>
      <w:r w:rsidRPr="004A5B3B">
        <w:rPr>
          <w:rFonts w:ascii="Arial" w:hAnsi="Arial" w:cs="Arial"/>
          <w:b/>
          <w:bCs/>
          <w:sz w:val="22"/>
          <w:szCs w:val="22"/>
          <w:lang w:val="en-US"/>
        </w:rPr>
        <w:t xml:space="preserve">Before or after Housing Costs? </w:t>
      </w:r>
      <w:r>
        <w:rPr>
          <w:rFonts w:ascii="Arial" w:hAnsi="Arial" w:cs="Arial"/>
          <w:sz w:val="22"/>
          <w:szCs w:val="22"/>
          <w:lang w:val="en-US"/>
        </w:rPr>
        <w:t>Before housing costs</w:t>
      </w:r>
    </w:p>
    <w:p w:rsidR="004A5B3B" w:rsidRPr="004A5B3B" w:rsidRDefault="004A5B3B" w:rsidP="00A16958">
      <w:pPr>
        <w:pStyle w:val="Default"/>
        <w:spacing w:line="276" w:lineRule="auto"/>
        <w:jc w:val="both"/>
        <w:rPr>
          <w:rFonts w:ascii="Arial" w:hAnsi="Arial" w:cs="Arial"/>
          <w:sz w:val="22"/>
          <w:szCs w:val="22"/>
          <w:lang w:val="en-US"/>
        </w:rPr>
      </w:pPr>
      <w:r w:rsidRPr="004A5B3B">
        <w:rPr>
          <w:rFonts w:ascii="Arial" w:hAnsi="Arial" w:cs="Arial"/>
          <w:b/>
          <w:bCs/>
          <w:sz w:val="22"/>
          <w:szCs w:val="22"/>
          <w:lang w:val="en-US"/>
        </w:rPr>
        <w:t xml:space="preserve">NUTS Level of estimates: </w:t>
      </w:r>
      <w:r>
        <w:rPr>
          <w:rFonts w:ascii="Arial" w:hAnsi="Arial" w:cs="Arial"/>
          <w:sz w:val="22"/>
          <w:szCs w:val="22"/>
          <w:lang w:val="en-US"/>
        </w:rPr>
        <w:t>NUTS 3</w:t>
      </w:r>
    </w:p>
    <w:p w:rsidR="004A5B3B" w:rsidRPr="004A5B3B" w:rsidRDefault="004A5B3B" w:rsidP="00A16958">
      <w:pPr>
        <w:pStyle w:val="Default"/>
        <w:spacing w:line="276" w:lineRule="auto"/>
        <w:jc w:val="both"/>
        <w:rPr>
          <w:rFonts w:ascii="Arial" w:hAnsi="Arial" w:cs="Arial"/>
          <w:sz w:val="22"/>
          <w:szCs w:val="22"/>
          <w:lang w:val="en-US"/>
        </w:rPr>
      </w:pPr>
      <w:r w:rsidRPr="004A5B3B">
        <w:rPr>
          <w:rFonts w:ascii="Arial" w:hAnsi="Arial" w:cs="Arial"/>
          <w:b/>
          <w:bCs/>
          <w:sz w:val="22"/>
          <w:szCs w:val="22"/>
          <w:lang w:val="en-US"/>
        </w:rPr>
        <w:t xml:space="preserve">Adjusted to agree with Eurostat published </w:t>
      </w:r>
      <w:r w:rsidR="008632AA">
        <w:rPr>
          <w:rFonts w:ascii="Arial" w:hAnsi="Arial" w:cs="Arial"/>
          <w:b/>
          <w:bCs/>
          <w:sz w:val="22"/>
          <w:szCs w:val="22"/>
          <w:lang w:val="en-US"/>
        </w:rPr>
        <w:t>AROP</w:t>
      </w:r>
      <w:r w:rsidRPr="004A5B3B">
        <w:rPr>
          <w:rFonts w:ascii="Arial" w:hAnsi="Arial" w:cs="Arial"/>
          <w:b/>
          <w:bCs/>
          <w:sz w:val="22"/>
          <w:szCs w:val="22"/>
          <w:lang w:val="en-US"/>
        </w:rPr>
        <w:t xml:space="preserve"> rates? </w:t>
      </w:r>
      <w:r w:rsidRPr="004A5B3B">
        <w:rPr>
          <w:rFonts w:ascii="Arial" w:hAnsi="Arial" w:cs="Arial"/>
          <w:sz w:val="22"/>
          <w:szCs w:val="22"/>
          <w:lang w:val="en-US"/>
        </w:rPr>
        <w:t>Yes</w:t>
      </w:r>
    </w:p>
    <w:p w:rsidR="004A5B3B" w:rsidRPr="004A5B3B" w:rsidRDefault="004A5B3B" w:rsidP="00A16958">
      <w:pPr>
        <w:pStyle w:val="Default"/>
        <w:spacing w:line="276" w:lineRule="auto"/>
        <w:jc w:val="both"/>
        <w:rPr>
          <w:rFonts w:ascii="Arial" w:hAnsi="Arial" w:cs="Arial"/>
          <w:sz w:val="22"/>
          <w:szCs w:val="22"/>
          <w:lang w:val="en-US"/>
        </w:rPr>
      </w:pPr>
      <w:r w:rsidRPr="004A5B3B">
        <w:rPr>
          <w:rFonts w:ascii="Arial" w:hAnsi="Arial" w:cs="Arial"/>
          <w:b/>
          <w:bCs/>
          <w:sz w:val="22"/>
          <w:szCs w:val="22"/>
          <w:lang w:val="en-US"/>
        </w:rPr>
        <w:t xml:space="preserve">Comments: </w:t>
      </w:r>
      <w:r w:rsidRPr="004A5B3B">
        <w:rPr>
          <w:rFonts w:ascii="Arial" w:hAnsi="Arial" w:cs="Arial"/>
          <w:sz w:val="22"/>
          <w:szCs w:val="22"/>
          <w:lang w:val="en-US"/>
        </w:rPr>
        <w:t xml:space="preserve">The approach adopted for Turkey involves </w:t>
      </w:r>
      <w:r>
        <w:rPr>
          <w:rFonts w:ascii="Arial" w:hAnsi="Arial" w:cs="Arial"/>
          <w:sz w:val="22"/>
          <w:szCs w:val="22"/>
          <w:lang w:val="en-US"/>
        </w:rPr>
        <w:t>3 stages (see Copus and Coombes</w:t>
      </w:r>
      <w:r w:rsidRPr="004A5B3B">
        <w:rPr>
          <w:rFonts w:ascii="Arial" w:hAnsi="Arial" w:cs="Arial"/>
          <w:sz w:val="22"/>
          <w:szCs w:val="22"/>
          <w:lang w:val="en-US"/>
        </w:rPr>
        <w:t>, 2013):</w:t>
      </w:r>
    </w:p>
    <w:p w:rsidR="004A5B3B" w:rsidRPr="004A5B3B" w:rsidRDefault="004A5B3B" w:rsidP="00A16958">
      <w:pPr>
        <w:pStyle w:val="Default"/>
        <w:numPr>
          <w:ilvl w:val="0"/>
          <w:numId w:val="18"/>
        </w:numPr>
        <w:spacing w:line="276" w:lineRule="auto"/>
        <w:jc w:val="both"/>
        <w:rPr>
          <w:rFonts w:ascii="Arial" w:hAnsi="Arial" w:cs="Arial"/>
          <w:sz w:val="22"/>
          <w:szCs w:val="22"/>
          <w:lang w:val="en-US"/>
        </w:rPr>
      </w:pPr>
      <w:r w:rsidRPr="004A5B3B">
        <w:rPr>
          <w:rFonts w:ascii="Arial" w:hAnsi="Arial" w:cs="Arial"/>
          <w:sz w:val="22"/>
          <w:szCs w:val="22"/>
          <w:lang w:val="en-US"/>
        </w:rPr>
        <w:t xml:space="preserve">Estimate relationship between </w:t>
      </w:r>
      <w:r w:rsidR="008632AA">
        <w:rPr>
          <w:rFonts w:ascii="Arial" w:hAnsi="Arial" w:cs="Arial"/>
          <w:sz w:val="22"/>
          <w:szCs w:val="22"/>
          <w:lang w:val="en-US"/>
        </w:rPr>
        <w:t>AROP</w:t>
      </w:r>
      <w:r w:rsidRPr="004A5B3B">
        <w:rPr>
          <w:rFonts w:ascii="Arial" w:hAnsi="Arial" w:cs="Arial"/>
          <w:sz w:val="22"/>
          <w:szCs w:val="22"/>
          <w:lang w:val="en-US"/>
        </w:rPr>
        <w:t xml:space="preserve"> rates and a selection of socio-economic indicators at NUTS 1 using basic OLS regression. </w:t>
      </w:r>
    </w:p>
    <w:p w:rsidR="004A5B3B" w:rsidRPr="004A5B3B" w:rsidRDefault="004A5B3B" w:rsidP="00A16958">
      <w:pPr>
        <w:pStyle w:val="Default"/>
        <w:numPr>
          <w:ilvl w:val="0"/>
          <w:numId w:val="18"/>
        </w:numPr>
        <w:spacing w:line="276" w:lineRule="auto"/>
        <w:jc w:val="both"/>
        <w:rPr>
          <w:rFonts w:ascii="Arial" w:hAnsi="Arial" w:cs="Arial"/>
          <w:sz w:val="22"/>
          <w:szCs w:val="22"/>
          <w:lang w:val="en-US"/>
        </w:rPr>
      </w:pPr>
      <w:r w:rsidRPr="004A5B3B">
        <w:rPr>
          <w:rFonts w:ascii="Arial" w:hAnsi="Arial" w:cs="Arial"/>
          <w:sz w:val="22"/>
          <w:szCs w:val="22"/>
          <w:lang w:val="en-US"/>
        </w:rPr>
        <w:t xml:space="preserve">Estimate (first round) NUTS 3 </w:t>
      </w:r>
      <w:r w:rsidR="008632AA">
        <w:rPr>
          <w:rFonts w:ascii="Arial" w:hAnsi="Arial" w:cs="Arial"/>
          <w:sz w:val="22"/>
          <w:szCs w:val="22"/>
          <w:lang w:val="en-US"/>
        </w:rPr>
        <w:t>AROP</w:t>
      </w:r>
      <w:r w:rsidRPr="004A5B3B">
        <w:rPr>
          <w:rFonts w:ascii="Arial" w:hAnsi="Arial" w:cs="Arial"/>
          <w:sz w:val="22"/>
          <w:szCs w:val="22"/>
          <w:lang w:val="en-US"/>
        </w:rPr>
        <w:t xml:space="preserve"> rates by applying coefficients to NUTS 3 data for the same independent variables. </w:t>
      </w:r>
    </w:p>
    <w:p w:rsidR="004A5B3B" w:rsidRPr="004A5B3B" w:rsidRDefault="004A5B3B" w:rsidP="00A16958">
      <w:pPr>
        <w:pStyle w:val="Default"/>
        <w:numPr>
          <w:ilvl w:val="0"/>
          <w:numId w:val="18"/>
        </w:numPr>
        <w:spacing w:line="276" w:lineRule="auto"/>
        <w:jc w:val="both"/>
        <w:rPr>
          <w:rFonts w:ascii="Arial" w:hAnsi="Arial" w:cs="Arial"/>
          <w:sz w:val="22"/>
          <w:szCs w:val="22"/>
          <w:lang w:val="en-US"/>
        </w:rPr>
      </w:pPr>
      <w:r w:rsidRPr="004A5B3B">
        <w:rPr>
          <w:rFonts w:ascii="Arial" w:hAnsi="Arial" w:cs="Arial"/>
          <w:sz w:val="22"/>
          <w:szCs w:val="22"/>
          <w:lang w:val="en-US"/>
        </w:rPr>
        <w:t xml:space="preserve">Adjust these (first round) NUTS 3 </w:t>
      </w:r>
      <w:r w:rsidR="008632AA">
        <w:rPr>
          <w:rFonts w:ascii="Arial" w:hAnsi="Arial" w:cs="Arial"/>
          <w:sz w:val="22"/>
          <w:szCs w:val="22"/>
          <w:lang w:val="en-US"/>
        </w:rPr>
        <w:t>AROP</w:t>
      </w:r>
      <w:r w:rsidRPr="004A5B3B">
        <w:rPr>
          <w:rFonts w:ascii="Arial" w:hAnsi="Arial" w:cs="Arial"/>
          <w:sz w:val="22"/>
          <w:szCs w:val="22"/>
          <w:lang w:val="en-US"/>
        </w:rPr>
        <w:t xml:space="preserve"> rates so that they conform </w:t>
      </w:r>
      <w:r w:rsidR="00152E8C">
        <w:rPr>
          <w:rFonts w:ascii="Arial" w:hAnsi="Arial" w:cs="Arial"/>
          <w:sz w:val="22"/>
          <w:szCs w:val="22"/>
          <w:lang w:val="en-US"/>
        </w:rPr>
        <w:t>to</w:t>
      </w:r>
      <w:r w:rsidRPr="004A5B3B">
        <w:rPr>
          <w:rFonts w:ascii="Arial" w:hAnsi="Arial" w:cs="Arial"/>
          <w:sz w:val="22"/>
          <w:szCs w:val="22"/>
          <w:lang w:val="en-US"/>
        </w:rPr>
        <w:t xml:space="preserve"> rates published by Eurostat for larger regions (e.g. NUTS1). </w:t>
      </w:r>
    </w:p>
    <w:p w:rsidR="002F206B" w:rsidRDefault="002F206B" w:rsidP="00A16958">
      <w:pPr>
        <w:spacing w:before="0" w:line="276" w:lineRule="auto"/>
        <w:rPr>
          <w:b/>
          <w:noProof/>
          <w:kern w:val="28"/>
          <w:sz w:val="28"/>
        </w:rPr>
      </w:pPr>
      <w:r>
        <w:rPr>
          <w:noProof/>
        </w:rPr>
        <w:br w:type="page"/>
      </w:r>
    </w:p>
    <w:p w:rsidR="002F206B" w:rsidRPr="00152E8C" w:rsidRDefault="002F206B" w:rsidP="00A16958">
      <w:pPr>
        <w:spacing w:before="0" w:line="276" w:lineRule="auto"/>
        <w:rPr>
          <w:color w:val="000000" w:themeColor="text1"/>
        </w:rPr>
      </w:pPr>
      <w:r w:rsidRPr="00152E8C">
        <w:rPr>
          <w:b/>
          <w:color w:val="000000" w:themeColor="text1"/>
        </w:rPr>
        <w:lastRenderedPageBreak/>
        <w:t>Country:</w:t>
      </w:r>
      <w:r w:rsidRPr="00152E8C">
        <w:rPr>
          <w:color w:val="000000" w:themeColor="text1"/>
        </w:rPr>
        <w:t xml:space="preserve"> UK</w:t>
      </w:r>
    </w:p>
    <w:p w:rsidR="00A16958" w:rsidRDefault="00A16958" w:rsidP="00A16958">
      <w:pPr>
        <w:spacing w:before="0" w:line="276" w:lineRule="auto"/>
        <w:rPr>
          <w:b/>
          <w:color w:val="000000" w:themeColor="text1"/>
        </w:rPr>
      </w:pPr>
    </w:p>
    <w:p w:rsidR="002F206B" w:rsidRPr="00152E8C" w:rsidRDefault="002F206B" w:rsidP="00A16958">
      <w:pPr>
        <w:spacing w:before="0" w:line="276" w:lineRule="auto"/>
        <w:rPr>
          <w:color w:val="000000" w:themeColor="text1"/>
        </w:rPr>
      </w:pPr>
      <w:r w:rsidRPr="00152E8C">
        <w:rPr>
          <w:b/>
          <w:color w:val="000000" w:themeColor="text1"/>
        </w:rPr>
        <w:t>Partner responsible</w:t>
      </w:r>
      <w:r w:rsidRPr="00152E8C">
        <w:rPr>
          <w:color w:val="000000" w:themeColor="text1"/>
        </w:rPr>
        <w:t>: James Hutton Institute (JHI) Aberdeen</w:t>
      </w:r>
    </w:p>
    <w:p w:rsidR="002F206B" w:rsidRDefault="002F206B" w:rsidP="00A16958">
      <w:pPr>
        <w:spacing w:before="0" w:line="276" w:lineRule="auto"/>
      </w:pPr>
      <w:r w:rsidRPr="00236856">
        <w:rPr>
          <w:b/>
        </w:rPr>
        <w:t>Contact Person:</w:t>
      </w:r>
      <w:r w:rsidRPr="00236856">
        <w:t xml:space="preserve"> </w:t>
      </w:r>
      <w:r w:rsidRPr="00152E8C">
        <w:rPr>
          <w:color w:val="000000" w:themeColor="text1"/>
        </w:rPr>
        <w:t xml:space="preserve">Patricia Melo </w:t>
      </w:r>
      <w:r>
        <w:rPr>
          <w:color w:val="002060"/>
        </w:rPr>
        <w:t>(</w:t>
      </w:r>
      <w:hyperlink r:id="rId101" w:history="1">
        <w:r w:rsidRPr="003F49CC">
          <w:rPr>
            <w:rStyle w:val="Hyperlinkki"/>
          </w:rPr>
          <w:t>patricia.melo@hutton.ac.uk</w:t>
        </w:r>
      </w:hyperlink>
      <w:r>
        <w:rPr>
          <w:color w:val="002060"/>
        </w:rPr>
        <w:t>)</w:t>
      </w:r>
    </w:p>
    <w:p w:rsidR="002F206B" w:rsidRPr="00152E8C" w:rsidRDefault="002F206B" w:rsidP="00A16958">
      <w:pPr>
        <w:spacing w:before="0" w:line="276" w:lineRule="auto"/>
        <w:rPr>
          <w:color w:val="000000" w:themeColor="text1"/>
        </w:rPr>
      </w:pPr>
      <w:r w:rsidRPr="00152E8C">
        <w:rPr>
          <w:b/>
          <w:color w:val="000000" w:themeColor="text1"/>
        </w:rPr>
        <w:t>Date:</w:t>
      </w:r>
      <w:r w:rsidRPr="00152E8C">
        <w:rPr>
          <w:color w:val="000000" w:themeColor="text1"/>
        </w:rPr>
        <w:t xml:space="preserve"> 09/12/13</w:t>
      </w:r>
    </w:p>
    <w:p w:rsidR="002F206B" w:rsidRPr="00152E8C" w:rsidRDefault="002F206B" w:rsidP="00A16958">
      <w:pPr>
        <w:spacing w:before="0" w:line="276" w:lineRule="auto"/>
        <w:rPr>
          <w:color w:val="000000" w:themeColor="text1"/>
        </w:rPr>
      </w:pPr>
      <w:r w:rsidRPr="00152E8C">
        <w:rPr>
          <w:b/>
          <w:color w:val="000000" w:themeColor="text1"/>
        </w:rPr>
        <w:t>Methodology Used:</w:t>
      </w:r>
      <w:r w:rsidRPr="00152E8C">
        <w:rPr>
          <w:color w:val="000000" w:themeColor="text1"/>
        </w:rPr>
        <w:t xml:space="preserve"> World Bank PovMap</w:t>
      </w:r>
    </w:p>
    <w:p w:rsidR="002F206B" w:rsidRPr="002F206B" w:rsidRDefault="002F206B" w:rsidP="00A16958">
      <w:pPr>
        <w:spacing w:before="0" w:line="276" w:lineRule="auto"/>
        <w:rPr>
          <w:b/>
          <w:color w:val="000000" w:themeColor="text1"/>
        </w:rPr>
      </w:pPr>
      <w:r w:rsidRPr="002F206B">
        <w:rPr>
          <w:b/>
          <w:color w:val="000000" w:themeColor="text1"/>
        </w:rPr>
        <w:t xml:space="preserve">Constraints on Choice of Methodology: </w:t>
      </w:r>
      <w:r w:rsidRPr="002F206B">
        <w:rPr>
          <w:color w:val="000000" w:themeColor="text1"/>
        </w:rPr>
        <w:t>World Bank PovMap was possible due to availability of SILC data (including DB040 at NUTS 2) and Census microdata with sufficient matching variables. 2001/2005 data used because 2011 Census microdata was not yet available.</w:t>
      </w:r>
    </w:p>
    <w:p w:rsidR="002F206B" w:rsidRPr="00413598" w:rsidRDefault="002F206B" w:rsidP="00A16958">
      <w:pPr>
        <w:spacing w:before="0" w:line="276" w:lineRule="auto"/>
        <w:jc w:val="left"/>
      </w:pPr>
      <w:r w:rsidRPr="000311DA">
        <w:rPr>
          <w:b/>
        </w:rPr>
        <w:t>Source(s) of raw data:</w:t>
      </w:r>
      <w:r w:rsidRPr="00152E8C">
        <w:rPr>
          <w:color w:val="000000" w:themeColor="text1"/>
        </w:rPr>
        <w:t xml:space="preserve"> European Union Statistics on Income and Living Conditions (EU SILC), available from: </w:t>
      </w:r>
      <w:hyperlink r:id="rId102" w:history="1">
        <w:r>
          <w:rPr>
            <w:rStyle w:val="Hyperlinkki"/>
          </w:rPr>
          <w:t>http://epp.eurostat.ec.europa.eu/portal/page/portal/microdata/eu_silc</w:t>
        </w:r>
      </w:hyperlink>
      <w:r>
        <w:t>.</w:t>
      </w:r>
    </w:p>
    <w:p w:rsidR="002F206B" w:rsidRPr="00992775" w:rsidRDefault="002F206B" w:rsidP="00A16958">
      <w:pPr>
        <w:spacing w:before="0" w:line="276" w:lineRule="auto"/>
        <w:jc w:val="left"/>
        <w:rPr>
          <w:color w:val="002060"/>
        </w:rPr>
      </w:pPr>
      <w:r w:rsidRPr="00152E8C">
        <w:rPr>
          <w:color w:val="000000" w:themeColor="text1"/>
        </w:rPr>
        <w:t xml:space="preserve">UK Census 2001: Small Area Microdata (SAM), available from: </w:t>
      </w:r>
      <w:hyperlink r:id="rId103" w:history="1">
        <w:r w:rsidRPr="000311DA">
          <w:rPr>
            <w:rStyle w:val="Hyperlinkki"/>
          </w:rPr>
          <w:t>http://census.ukdataservice.ac.uk/get-data/microdata.aspx</w:t>
        </w:r>
      </w:hyperlink>
      <w:r w:rsidRPr="000311DA">
        <w:rPr>
          <w:color w:val="002060"/>
        </w:rPr>
        <w:t>).</w:t>
      </w:r>
    </w:p>
    <w:p w:rsidR="002F206B" w:rsidRPr="00AB038B" w:rsidRDefault="002F206B" w:rsidP="00A16958">
      <w:pPr>
        <w:spacing w:before="0" w:line="276" w:lineRule="auto"/>
      </w:pPr>
      <w:r w:rsidRPr="00AB038B">
        <w:rPr>
          <w:b/>
        </w:rPr>
        <w:t xml:space="preserve">Date(s) of </w:t>
      </w:r>
      <w:r w:rsidRPr="00152E8C">
        <w:rPr>
          <w:b/>
          <w:color w:val="000000" w:themeColor="text1"/>
        </w:rPr>
        <w:t xml:space="preserve">raw data: </w:t>
      </w:r>
      <w:r w:rsidRPr="00152E8C">
        <w:rPr>
          <w:color w:val="000000" w:themeColor="text1"/>
        </w:rPr>
        <w:t>SILC 2</w:t>
      </w:r>
      <w:r w:rsidR="00992775" w:rsidRPr="00152E8C">
        <w:rPr>
          <w:color w:val="000000" w:themeColor="text1"/>
        </w:rPr>
        <w:t>005, Census 2001</w:t>
      </w:r>
    </w:p>
    <w:p w:rsidR="002F206B" w:rsidRDefault="002F206B" w:rsidP="002F206B">
      <w:pPr>
        <w:spacing w:before="240" w:line="240" w:lineRule="auto"/>
      </w:pPr>
      <w:r>
        <w:rPr>
          <w:b/>
        </w:rPr>
        <w:t>Variables used:</w:t>
      </w:r>
    </w:p>
    <w:tbl>
      <w:tblPr>
        <w:tblStyle w:val="TaulukkoPerinteinen1"/>
        <w:tblW w:w="9439" w:type="dxa"/>
        <w:tblLook w:val="04A0" w:firstRow="1" w:lastRow="0" w:firstColumn="1" w:lastColumn="0" w:noHBand="0" w:noVBand="1"/>
      </w:tblPr>
      <w:tblGrid>
        <w:gridCol w:w="7151"/>
        <w:gridCol w:w="2288"/>
      </w:tblGrid>
      <w:tr w:rsidR="002F206B" w:rsidRPr="00992775" w:rsidTr="00152E8C">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7151" w:type="dxa"/>
            <w:tcBorders>
              <w:bottom w:val="single" w:sz="4" w:space="0" w:color="auto"/>
            </w:tcBorders>
            <w:vAlign w:val="center"/>
          </w:tcPr>
          <w:p w:rsidR="002F206B" w:rsidRPr="00992775" w:rsidRDefault="002F206B" w:rsidP="00992775">
            <w:pPr>
              <w:spacing w:line="240" w:lineRule="auto"/>
              <w:contextualSpacing/>
              <w:jc w:val="left"/>
              <w:rPr>
                <w:rFonts w:cs="Arial"/>
                <w:b/>
                <w:sz w:val="20"/>
              </w:rPr>
            </w:pPr>
            <w:r w:rsidRPr="00992775">
              <w:rPr>
                <w:rFonts w:cs="Arial"/>
                <w:b/>
                <w:sz w:val="20"/>
              </w:rPr>
              <w:t>EU-SILC</w:t>
            </w:r>
          </w:p>
        </w:tc>
        <w:tc>
          <w:tcPr>
            <w:tcW w:w="2288" w:type="dxa"/>
            <w:tcBorders>
              <w:bottom w:val="single" w:sz="4" w:space="0" w:color="auto"/>
            </w:tcBorders>
            <w:vAlign w:val="center"/>
          </w:tcPr>
          <w:p w:rsidR="002F206B" w:rsidRPr="00992775" w:rsidRDefault="002F206B" w:rsidP="00992775">
            <w:pPr>
              <w:spacing w:line="240" w:lineRule="auto"/>
              <w:contextualSpacing/>
              <w:jc w:val="left"/>
              <w:cnfStyle w:val="100000000000" w:firstRow="1" w:lastRow="0" w:firstColumn="0" w:lastColumn="0" w:oddVBand="0" w:evenVBand="0" w:oddHBand="0" w:evenHBand="0" w:firstRowFirstColumn="0" w:firstRowLastColumn="0" w:lastRowFirstColumn="0" w:lastRowLastColumn="0"/>
              <w:rPr>
                <w:rFonts w:cs="Arial"/>
                <w:b/>
                <w:sz w:val="20"/>
              </w:rPr>
            </w:pPr>
            <w:r w:rsidRPr="00992775">
              <w:rPr>
                <w:rFonts w:cs="Arial"/>
                <w:b/>
                <w:sz w:val="20"/>
              </w:rPr>
              <w:t>Census 2001 SAM</w:t>
            </w:r>
          </w:p>
        </w:tc>
      </w:tr>
      <w:tr w:rsidR="002F206B" w:rsidRPr="00992775" w:rsidTr="00152E8C">
        <w:trPr>
          <w:trHeight w:val="312"/>
        </w:trPr>
        <w:tc>
          <w:tcPr>
            <w:cnfStyle w:val="001000000000" w:firstRow="0" w:lastRow="0" w:firstColumn="1" w:lastColumn="0" w:oddVBand="0" w:evenVBand="0" w:oddHBand="0" w:evenHBand="0" w:firstRowFirstColumn="0" w:firstRowLastColumn="0" w:lastRowFirstColumn="0" w:lastRowLastColumn="0"/>
            <w:tcW w:w="9439" w:type="dxa"/>
            <w:gridSpan w:val="2"/>
            <w:tcBorders>
              <w:top w:val="single" w:sz="4" w:space="0" w:color="auto"/>
              <w:bottom w:val="single" w:sz="4" w:space="0" w:color="auto"/>
              <w:right w:val="nil"/>
            </w:tcBorders>
            <w:vAlign w:val="center"/>
          </w:tcPr>
          <w:p w:rsidR="002F206B" w:rsidRPr="00992775" w:rsidRDefault="002F206B" w:rsidP="00992775">
            <w:pPr>
              <w:spacing w:line="240" w:lineRule="auto"/>
              <w:contextualSpacing/>
              <w:jc w:val="left"/>
              <w:rPr>
                <w:rFonts w:cs="Arial"/>
                <w:b/>
                <w:sz w:val="20"/>
              </w:rPr>
            </w:pPr>
            <w:r w:rsidRPr="00992775">
              <w:rPr>
                <w:rFonts w:cs="Arial"/>
                <w:b/>
                <w:sz w:val="20"/>
              </w:rPr>
              <w:t>Equivalised disposable income</w:t>
            </w:r>
          </w:p>
        </w:tc>
      </w:tr>
      <w:tr w:rsidR="002F206B" w:rsidRPr="00992775"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tcBorders>
              <w:top w:val="single" w:sz="4" w:space="0" w:color="auto"/>
            </w:tcBorders>
            <w:vAlign w:val="center"/>
          </w:tcPr>
          <w:p w:rsidR="002F206B" w:rsidRPr="00992775" w:rsidRDefault="002F206B" w:rsidP="00992775">
            <w:pPr>
              <w:spacing w:line="240" w:lineRule="auto"/>
              <w:contextualSpacing/>
              <w:jc w:val="left"/>
              <w:rPr>
                <w:rFonts w:cs="Arial"/>
                <w:sz w:val="20"/>
              </w:rPr>
            </w:pPr>
            <w:r w:rsidRPr="00992775">
              <w:rPr>
                <w:rFonts w:cs="Arial"/>
                <w:sz w:val="20"/>
              </w:rPr>
              <w:t xml:space="preserve">   Before housing costs (HX090 =(HY020*HY025) / HX050)</w:t>
            </w:r>
          </w:p>
        </w:tc>
        <w:tc>
          <w:tcPr>
            <w:tcW w:w="2288" w:type="dxa"/>
            <w:tcBorders>
              <w:top w:val="single" w:sz="4" w:space="0" w:color="auto"/>
            </w:tcBorders>
            <w:vAlign w:val="center"/>
          </w:tcPr>
          <w:p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N/A</w:t>
            </w:r>
          </w:p>
        </w:tc>
      </w:tr>
      <w:tr w:rsidR="002F206B" w:rsidRPr="00992775"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tcBorders>
              <w:bottom w:val="single" w:sz="4" w:space="0" w:color="auto"/>
            </w:tcBorders>
            <w:vAlign w:val="center"/>
          </w:tcPr>
          <w:p w:rsidR="002F206B" w:rsidRPr="00992775" w:rsidRDefault="002F206B" w:rsidP="00992775">
            <w:pPr>
              <w:spacing w:line="240" w:lineRule="auto"/>
              <w:contextualSpacing/>
              <w:jc w:val="left"/>
              <w:rPr>
                <w:rFonts w:cs="Arial"/>
                <w:sz w:val="20"/>
              </w:rPr>
            </w:pPr>
            <w:r w:rsidRPr="00992775">
              <w:rPr>
                <w:rFonts w:cs="Arial"/>
                <w:sz w:val="20"/>
              </w:rPr>
              <w:t xml:space="preserve">   After housing costs (HX090’= ((HY020- HH070)*HY025) / HX050)</w:t>
            </w:r>
          </w:p>
        </w:tc>
        <w:tc>
          <w:tcPr>
            <w:tcW w:w="2288" w:type="dxa"/>
            <w:tcBorders>
              <w:bottom w:val="single" w:sz="4" w:space="0" w:color="auto"/>
            </w:tcBorders>
            <w:vAlign w:val="center"/>
          </w:tcPr>
          <w:p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N/A</w:t>
            </w:r>
          </w:p>
        </w:tc>
      </w:tr>
      <w:tr w:rsidR="002F206B" w:rsidRPr="00992775" w:rsidTr="00152E8C">
        <w:trPr>
          <w:trHeight w:val="312"/>
        </w:trPr>
        <w:tc>
          <w:tcPr>
            <w:cnfStyle w:val="001000000000" w:firstRow="0" w:lastRow="0" w:firstColumn="1" w:lastColumn="0" w:oddVBand="0" w:evenVBand="0" w:oddHBand="0" w:evenHBand="0" w:firstRowFirstColumn="0" w:firstRowLastColumn="0" w:lastRowFirstColumn="0" w:lastRowLastColumn="0"/>
            <w:tcW w:w="9439" w:type="dxa"/>
            <w:gridSpan w:val="2"/>
            <w:tcBorders>
              <w:top w:val="single" w:sz="4" w:space="0" w:color="auto"/>
              <w:bottom w:val="single" w:sz="4" w:space="0" w:color="auto"/>
              <w:right w:val="nil"/>
            </w:tcBorders>
            <w:vAlign w:val="center"/>
          </w:tcPr>
          <w:p w:rsidR="002F206B" w:rsidRPr="00992775" w:rsidRDefault="002F206B" w:rsidP="00992775">
            <w:pPr>
              <w:spacing w:line="240" w:lineRule="auto"/>
              <w:contextualSpacing/>
              <w:jc w:val="left"/>
              <w:rPr>
                <w:rFonts w:cs="Arial"/>
                <w:b/>
                <w:sz w:val="20"/>
              </w:rPr>
            </w:pPr>
            <w:r w:rsidRPr="00992775">
              <w:rPr>
                <w:rFonts w:cs="Arial"/>
                <w:b/>
                <w:sz w:val="20"/>
              </w:rPr>
              <w:t>Demographic characteristics</w:t>
            </w:r>
          </w:p>
        </w:tc>
      </w:tr>
      <w:tr w:rsidR="002F206B" w:rsidRPr="00992775"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tcBorders>
              <w:top w:val="single" w:sz="4" w:space="0" w:color="auto"/>
            </w:tcBorders>
            <w:vAlign w:val="center"/>
          </w:tcPr>
          <w:p w:rsidR="002F206B" w:rsidRPr="00992775" w:rsidRDefault="002F206B" w:rsidP="00992775">
            <w:pPr>
              <w:spacing w:line="240" w:lineRule="auto"/>
              <w:contextualSpacing/>
              <w:jc w:val="left"/>
              <w:rPr>
                <w:rFonts w:cs="Arial"/>
                <w:sz w:val="20"/>
              </w:rPr>
            </w:pPr>
            <w:r w:rsidRPr="00992775">
              <w:rPr>
                <w:rFonts w:cs="Arial"/>
                <w:sz w:val="20"/>
              </w:rPr>
              <w:t xml:space="preserve">  Household type: hhtype (HX060)</w:t>
            </w:r>
          </w:p>
        </w:tc>
        <w:tc>
          <w:tcPr>
            <w:tcW w:w="2288" w:type="dxa"/>
            <w:tcBorders>
              <w:top w:val="single" w:sz="4" w:space="0" w:color="auto"/>
            </w:tcBorders>
            <w:vAlign w:val="center"/>
          </w:tcPr>
          <w:p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famtypa</w:t>
            </w:r>
          </w:p>
        </w:tc>
      </w:tr>
      <w:tr w:rsidR="002F206B" w:rsidRPr="00992775"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vAlign w:val="center"/>
          </w:tcPr>
          <w:p w:rsidR="002F206B" w:rsidRPr="00992775" w:rsidRDefault="002F206B" w:rsidP="00992775">
            <w:pPr>
              <w:spacing w:line="240" w:lineRule="auto"/>
              <w:contextualSpacing/>
              <w:jc w:val="left"/>
              <w:rPr>
                <w:rFonts w:cs="Arial"/>
                <w:sz w:val="20"/>
              </w:rPr>
            </w:pPr>
            <w:r w:rsidRPr="00992775">
              <w:rPr>
                <w:rFonts w:cs="Arial"/>
                <w:sz w:val="20"/>
              </w:rPr>
              <w:t xml:space="preserve">  Household size: hhsizec (HX040)</w:t>
            </w:r>
          </w:p>
        </w:tc>
        <w:tc>
          <w:tcPr>
            <w:tcW w:w="2288" w:type="dxa"/>
            <w:vAlign w:val="center"/>
          </w:tcPr>
          <w:p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hnresida</w:t>
            </w:r>
          </w:p>
        </w:tc>
      </w:tr>
      <w:tr w:rsidR="002F206B" w:rsidRPr="00992775"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vAlign w:val="center"/>
          </w:tcPr>
          <w:p w:rsidR="002F206B" w:rsidRPr="00992775" w:rsidRDefault="002F206B" w:rsidP="00992775">
            <w:pPr>
              <w:spacing w:line="240" w:lineRule="auto"/>
              <w:contextualSpacing/>
              <w:jc w:val="left"/>
              <w:rPr>
                <w:rFonts w:cs="Arial"/>
                <w:sz w:val="20"/>
              </w:rPr>
            </w:pPr>
            <w:r w:rsidRPr="00992775">
              <w:rPr>
                <w:rFonts w:cs="Arial"/>
                <w:sz w:val="20"/>
              </w:rPr>
              <w:t xml:space="preserve">  Marital status: marstat (PB190)</w:t>
            </w:r>
          </w:p>
        </w:tc>
        <w:tc>
          <w:tcPr>
            <w:tcW w:w="2288" w:type="dxa"/>
            <w:vAlign w:val="center"/>
          </w:tcPr>
          <w:p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marstata (PB190)</w:t>
            </w:r>
          </w:p>
        </w:tc>
      </w:tr>
      <w:tr w:rsidR="002F206B" w:rsidRPr="00992775"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vAlign w:val="center"/>
          </w:tcPr>
          <w:p w:rsidR="002F206B" w:rsidRPr="00992775" w:rsidRDefault="002F206B" w:rsidP="00992775">
            <w:pPr>
              <w:spacing w:line="240" w:lineRule="auto"/>
              <w:contextualSpacing/>
              <w:jc w:val="left"/>
              <w:rPr>
                <w:rFonts w:cs="Arial"/>
                <w:sz w:val="20"/>
              </w:rPr>
            </w:pPr>
            <w:r w:rsidRPr="00992775">
              <w:rPr>
                <w:rFonts w:cs="Arial"/>
                <w:sz w:val="20"/>
              </w:rPr>
              <w:t xml:space="preserve">  Age:  agec/agen (RX020)</w:t>
            </w:r>
          </w:p>
        </w:tc>
        <w:tc>
          <w:tcPr>
            <w:tcW w:w="2288" w:type="dxa"/>
            <w:vAlign w:val="center"/>
          </w:tcPr>
          <w:p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agea</w:t>
            </w:r>
          </w:p>
        </w:tc>
      </w:tr>
      <w:tr w:rsidR="002F206B" w:rsidRPr="00992775"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tcBorders>
              <w:bottom w:val="single" w:sz="4" w:space="0" w:color="auto"/>
            </w:tcBorders>
            <w:vAlign w:val="center"/>
          </w:tcPr>
          <w:p w:rsidR="002F206B" w:rsidRPr="00992775" w:rsidRDefault="002F206B" w:rsidP="00992775">
            <w:pPr>
              <w:spacing w:line="240" w:lineRule="auto"/>
              <w:contextualSpacing/>
              <w:jc w:val="left"/>
              <w:rPr>
                <w:rFonts w:cs="Arial"/>
                <w:sz w:val="20"/>
              </w:rPr>
            </w:pPr>
            <w:r w:rsidRPr="00992775">
              <w:rPr>
                <w:rFonts w:cs="Arial"/>
                <w:sz w:val="20"/>
              </w:rPr>
              <w:t xml:space="preserve">  Country of birth: cobirth (PB210)</w:t>
            </w:r>
          </w:p>
        </w:tc>
        <w:tc>
          <w:tcPr>
            <w:tcW w:w="2288" w:type="dxa"/>
            <w:tcBorders>
              <w:bottom w:val="single" w:sz="4" w:space="0" w:color="auto"/>
            </w:tcBorders>
            <w:vAlign w:val="center"/>
          </w:tcPr>
          <w:p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cobirta</w:t>
            </w:r>
          </w:p>
        </w:tc>
      </w:tr>
      <w:tr w:rsidR="002F206B" w:rsidRPr="00992775" w:rsidTr="00152E8C">
        <w:trPr>
          <w:trHeight w:val="312"/>
        </w:trPr>
        <w:tc>
          <w:tcPr>
            <w:cnfStyle w:val="001000000000" w:firstRow="0" w:lastRow="0" w:firstColumn="1" w:lastColumn="0" w:oddVBand="0" w:evenVBand="0" w:oddHBand="0" w:evenHBand="0" w:firstRowFirstColumn="0" w:firstRowLastColumn="0" w:lastRowFirstColumn="0" w:lastRowLastColumn="0"/>
            <w:tcW w:w="9439" w:type="dxa"/>
            <w:gridSpan w:val="2"/>
            <w:tcBorders>
              <w:top w:val="single" w:sz="4" w:space="0" w:color="auto"/>
              <w:bottom w:val="single" w:sz="4" w:space="0" w:color="auto"/>
              <w:right w:val="nil"/>
            </w:tcBorders>
            <w:vAlign w:val="center"/>
          </w:tcPr>
          <w:p w:rsidR="002F206B" w:rsidRPr="00992775" w:rsidRDefault="002F206B" w:rsidP="00992775">
            <w:pPr>
              <w:spacing w:line="240" w:lineRule="auto"/>
              <w:contextualSpacing/>
              <w:jc w:val="left"/>
              <w:rPr>
                <w:rFonts w:cs="Arial"/>
                <w:b/>
                <w:sz w:val="20"/>
              </w:rPr>
            </w:pPr>
            <w:r w:rsidRPr="00992775">
              <w:rPr>
                <w:rFonts w:cs="Arial"/>
                <w:b/>
                <w:sz w:val="20"/>
              </w:rPr>
              <w:t>Socio- economic characteristics</w:t>
            </w:r>
          </w:p>
        </w:tc>
      </w:tr>
      <w:tr w:rsidR="002F206B" w:rsidRPr="00992775"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tcBorders>
              <w:top w:val="single" w:sz="4" w:space="0" w:color="auto"/>
            </w:tcBorders>
            <w:vAlign w:val="center"/>
          </w:tcPr>
          <w:p w:rsidR="002F206B" w:rsidRPr="00992775" w:rsidRDefault="002F206B" w:rsidP="00992775">
            <w:pPr>
              <w:spacing w:line="240" w:lineRule="auto"/>
              <w:contextualSpacing/>
              <w:jc w:val="left"/>
              <w:rPr>
                <w:rFonts w:cs="Arial"/>
                <w:sz w:val="20"/>
              </w:rPr>
            </w:pPr>
            <w:r w:rsidRPr="00992775">
              <w:rPr>
                <w:rFonts w:cs="Arial"/>
                <w:sz w:val="20"/>
              </w:rPr>
              <w:t xml:space="preserve">  Qualifications: quals (PE040)</w:t>
            </w:r>
          </w:p>
        </w:tc>
        <w:tc>
          <w:tcPr>
            <w:tcW w:w="2288" w:type="dxa"/>
            <w:tcBorders>
              <w:top w:val="single" w:sz="4" w:space="0" w:color="auto"/>
            </w:tcBorders>
            <w:vAlign w:val="center"/>
          </w:tcPr>
          <w:p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qualvewn (a) / qualvs (b)</w:t>
            </w:r>
          </w:p>
        </w:tc>
      </w:tr>
      <w:tr w:rsidR="002F206B" w:rsidRPr="00992775"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vAlign w:val="center"/>
          </w:tcPr>
          <w:p w:rsidR="002F206B" w:rsidRPr="00992775" w:rsidRDefault="002F206B" w:rsidP="00992775">
            <w:pPr>
              <w:spacing w:line="240" w:lineRule="auto"/>
              <w:contextualSpacing/>
              <w:jc w:val="left"/>
              <w:rPr>
                <w:rFonts w:cs="Arial"/>
                <w:sz w:val="20"/>
              </w:rPr>
            </w:pPr>
            <w:r w:rsidRPr="00992775">
              <w:rPr>
                <w:rFonts w:cs="Arial"/>
                <w:sz w:val="20"/>
              </w:rPr>
              <w:t xml:space="preserve">  Economic activity: ea3(RB210)</w:t>
            </w:r>
          </w:p>
        </w:tc>
        <w:tc>
          <w:tcPr>
            <w:tcW w:w="2288" w:type="dxa"/>
            <w:vAlign w:val="center"/>
          </w:tcPr>
          <w:p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econach</w:t>
            </w:r>
          </w:p>
        </w:tc>
      </w:tr>
      <w:tr w:rsidR="002F206B" w:rsidRPr="00992775"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vAlign w:val="center"/>
          </w:tcPr>
          <w:p w:rsidR="002F206B" w:rsidRPr="00992775" w:rsidRDefault="002F206B" w:rsidP="00992775">
            <w:pPr>
              <w:spacing w:line="240" w:lineRule="auto"/>
              <w:contextualSpacing/>
              <w:jc w:val="left"/>
              <w:rPr>
                <w:rFonts w:cs="Arial"/>
                <w:sz w:val="20"/>
              </w:rPr>
            </w:pPr>
            <w:r w:rsidRPr="00992775">
              <w:rPr>
                <w:rFonts w:cs="Arial"/>
                <w:sz w:val="20"/>
              </w:rPr>
              <w:t xml:space="preserve">  Tenure: tenure (HH020)</w:t>
            </w:r>
          </w:p>
        </w:tc>
        <w:tc>
          <w:tcPr>
            <w:tcW w:w="2288" w:type="dxa"/>
            <w:vAlign w:val="center"/>
          </w:tcPr>
          <w:p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tenurewa/tenursna</w:t>
            </w:r>
          </w:p>
        </w:tc>
      </w:tr>
      <w:tr w:rsidR="002F206B" w:rsidRPr="00992775"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tcBorders>
              <w:bottom w:val="single" w:sz="4" w:space="0" w:color="auto"/>
            </w:tcBorders>
            <w:vAlign w:val="center"/>
          </w:tcPr>
          <w:p w:rsidR="002F206B" w:rsidRPr="00992775" w:rsidRDefault="002F206B" w:rsidP="00992775">
            <w:pPr>
              <w:spacing w:line="240" w:lineRule="auto"/>
              <w:contextualSpacing/>
              <w:jc w:val="left"/>
              <w:rPr>
                <w:rFonts w:cs="Arial"/>
                <w:sz w:val="20"/>
              </w:rPr>
            </w:pPr>
            <w:r w:rsidRPr="00992775">
              <w:rPr>
                <w:rFonts w:cs="Arial"/>
                <w:sz w:val="20"/>
              </w:rPr>
              <w:t xml:space="preserve">   Car ownership: carsh (HS110)</w:t>
            </w:r>
          </w:p>
        </w:tc>
        <w:tc>
          <w:tcPr>
            <w:tcW w:w="2288" w:type="dxa"/>
            <w:tcBorders>
              <w:bottom w:val="single" w:sz="4" w:space="0" w:color="auto"/>
            </w:tcBorders>
            <w:vAlign w:val="center"/>
          </w:tcPr>
          <w:p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carsh</w:t>
            </w:r>
          </w:p>
        </w:tc>
      </w:tr>
      <w:tr w:rsidR="002F206B" w:rsidRPr="00992775" w:rsidTr="00152E8C">
        <w:trPr>
          <w:trHeight w:val="312"/>
        </w:trPr>
        <w:tc>
          <w:tcPr>
            <w:cnfStyle w:val="001000000000" w:firstRow="0" w:lastRow="0" w:firstColumn="1" w:lastColumn="0" w:oddVBand="0" w:evenVBand="0" w:oddHBand="0" w:evenHBand="0" w:firstRowFirstColumn="0" w:firstRowLastColumn="0" w:lastRowFirstColumn="0" w:lastRowLastColumn="0"/>
            <w:tcW w:w="9439" w:type="dxa"/>
            <w:gridSpan w:val="2"/>
            <w:tcBorders>
              <w:top w:val="single" w:sz="4" w:space="0" w:color="auto"/>
              <w:bottom w:val="single" w:sz="4" w:space="0" w:color="auto"/>
              <w:right w:val="nil"/>
            </w:tcBorders>
            <w:vAlign w:val="center"/>
          </w:tcPr>
          <w:p w:rsidR="002F206B" w:rsidRPr="00992775" w:rsidRDefault="002F206B" w:rsidP="00992775">
            <w:pPr>
              <w:spacing w:line="240" w:lineRule="auto"/>
              <w:contextualSpacing/>
              <w:jc w:val="left"/>
              <w:rPr>
                <w:rFonts w:cs="Arial"/>
                <w:b/>
                <w:sz w:val="20"/>
              </w:rPr>
            </w:pPr>
            <w:r w:rsidRPr="00992775">
              <w:rPr>
                <w:rFonts w:cs="Arial"/>
                <w:b/>
                <w:sz w:val="20"/>
              </w:rPr>
              <w:t>Housing characteristics</w:t>
            </w:r>
          </w:p>
        </w:tc>
      </w:tr>
      <w:tr w:rsidR="002F206B" w:rsidRPr="00992775"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tcBorders>
              <w:top w:val="single" w:sz="4" w:space="0" w:color="auto"/>
            </w:tcBorders>
            <w:vAlign w:val="center"/>
          </w:tcPr>
          <w:p w:rsidR="002F206B" w:rsidRPr="00992775" w:rsidRDefault="002F206B" w:rsidP="00992775">
            <w:pPr>
              <w:spacing w:line="240" w:lineRule="auto"/>
              <w:contextualSpacing/>
              <w:jc w:val="left"/>
              <w:rPr>
                <w:rFonts w:cs="Arial"/>
                <w:sz w:val="20"/>
              </w:rPr>
            </w:pPr>
            <w:r w:rsidRPr="00992775">
              <w:rPr>
                <w:rFonts w:cs="Arial"/>
                <w:sz w:val="20"/>
              </w:rPr>
              <w:t xml:space="preserve">  Accommodation type: dwelling type (HH010)</w:t>
            </w:r>
          </w:p>
        </w:tc>
        <w:tc>
          <w:tcPr>
            <w:tcW w:w="2288" w:type="dxa"/>
            <w:tcBorders>
              <w:top w:val="single" w:sz="4" w:space="0" w:color="auto"/>
            </w:tcBorders>
            <w:vAlign w:val="center"/>
          </w:tcPr>
          <w:p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acctypa</w:t>
            </w:r>
          </w:p>
        </w:tc>
      </w:tr>
      <w:tr w:rsidR="002F206B" w:rsidRPr="00992775"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vAlign w:val="center"/>
          </w:tcPr>
          <w:p w:rsidR="002F206B" w:rsidRPr="00992775" w:rsidRDefault="002F206B" w:rsidP="00992775">
            <w:pPr>
              <w:spacing w:line="240" w:lineRule="auto"/>
              <w:contextualSpacing/>
              <w:jc w:val="left"/>
              <w:rPr>
                <w:rFonts w:cs="Arial"/>
                <w:sz w:val="20"/>
              </w:rPr>
            </w:pPr>
            <w:r w:rsidRPr="00992775">
              <w:rPr>
                <w:rFonts w:cs="Arial"/>
                <w:sz w:val="20"/>
              </w:rPr>
              <w:t xml:space="preserve">  Number of rooms: roomsc (HH030)</w:t>
            </w:r>
          </w:p>
        </w:tc>
        <w:tc>
          <w:tcPr>
            <w:tcW w:w="2288" w:type="dxa"/>
            <w:vAlign w:val="center"/>
          </w:tcPr>
          <w:p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roomsnum</w:t>
            </w:r>
          </w:p>
        </w:tc>
      </w:tr>
      <w:tr w:rsidR="002F206B" w:rsidRPr="00992775"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vAlign w:val="center"/>
          </w:tcPr>
          <w:p w:rsidR="002F206B" w:rsidRPr="00992775" w:rsidRDefault="002F206B" w:rsidP="00992775">
            <w:pPr>
              <w:spacing w:line="240" w:lineRule="auto"/>
              <w:contextualSpacing/>
              <w:jc w:val="left"/>
              <w:rPr>
                <w:rFonts w:cs="Arial"/>
                <w:sz w:val="20"/>
              </w:rPr>
            </w:pPr>
            <w:r w:rsidRPr="00992775">
              <w:rPr>
                <w:rFonts w:cs="Arial"/>
                <w:sz w:val="20"/>
              </w:rPr>
              <w:t xml:space="preserve">  Bathroom/toilet: bathwc (HH080)</w:t>
            </w:r>
          </w:p>
        </w:tc>
        <w:tc>
          <w:tcPr>
            <w:tcW w:w="2288" w:type="dxa"/>
            <w:vAlign w:val="center"/>
          </w:tcPr>
          <w:p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bathwc</w:t>
            </w:r>
          </w:p>
        </w:tc>
      </w:tr>
      <w:tr w:rsidR="002F206B" w:rsidRPr="00992775"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tcBorders>
              <w:bottom w:val="single" w:sz="4" w:space="0" w:color="auto"/>
            </w:tcBorders>
            <w:vAlign w:val="center"/>
          </w:tcPr>
          <w:p w:rsidR="002F206B" w:rsidRPr="00992775" w:rsidRDefault="002F206B" w:rsidP="00992775">
            <w:pPr>
              <w:spacing w:line="240" w:lineRule="auto"/>
              <w:contextualSpacing/>
              <w:jc w:val="left"/>
              <w:rPr>
                <w:rFonts w:cs="Arial"/>
                <w:sz w:val="20"/>
              </w:rPr>
            </w:pPr>
            <w:r w:rsidRPr="00992775">
              <w:rPr>
                <w:rFonts w:cs="Arial"/>
                <w:sz w:val="20"/>
              </w:rPr>
              <w:t xml:space="preserve">  Heating: heat (HH050)</w:t>
            </w:r>
          </w:p>
        </w:tc>
        <w:tc>
          <w:tcPr>
            <w:tcW w:w="2288" w:type="dxa"/>
            <w:tcBorders>
              <w:bottom w:val="single" w:sz="4" w:space="0" w:color="auto"/>
            </w:tcBorders>
            <w:vAlign w:val="center"/>
          </w:tcPr>
          <w:p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cenheat0</w:t>
            </w:r>
          </w:p>
        </w:tc>
      </w:tr>
      <w:tr w:rsidR="002F206B" w:rsidRPr="00992775" w:rsidTr="00152E8C">
        <w:trPr>
          <w:trHeight w:val="312"/>
        </w:trPr>
        <w:tc>
          <w:tcPr>
            <w:cnfStyle w:val="001000000000" w:firstRow="0" w:lastRow="0" w:firstColumn="1" w:lastColumn="0" w:oddVBand="0" w:evenVBand="0" w:oddHBand="0" w:evenHBand="0" w:firstRowFirstColumn="0" w:firstRowLastColumn="0" w:lastRowFirstColumn="0" w:lastRowLastColumn="0"/>
            <w:tcW w:w="9439" w:type="dxa"/>
            <w:gridSpan w:val="2"/>
            <w:tcBorders>
              <w:top w:val="single" w:sz="4" w:space="0" w:color="auto"/>
              <w:bottom w:val="single" w:sz="4" w:space="0" w:color="auto"/>
              <w:right w:val="nil"/>
            </w:tcBorders>
            <w:vAlign w:val="center"/>
          </w:tcPr>
          <w:p w:rsidR="002F206B" w:rsidRPr="00992775" w:rsidRDefault="002F206B" w:rsidP="00992775">
            <w:pPr>
              <w:spacing w:line="240" w:lineRule="auto"/>
              <w:contextualSpacing/>
              <w:jc w:val="left"/>
              <w:rPr>
                <w:rFonts w:cs="Arial"/>
                <w:b/>
                <w:sz w:val="20"/>
              </w:rPr>
            </w:pPr>
            <w:r w:rsidRPr="00992775">
              <w:rPr>
                <w:rFonts w:cs="Arial"/>
                <w:b/>
                <w:sz w:val="20"/>
              </w:rPr>
              <w:t>Health conditions</w:t>
            </w:r>
          </w:p>
        </w:tc>
      </w:tr>
      <w:tr w:rsidR="002F206B" w:rsidRPr="00992775"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tcBorders>
              <w:top w:val="single" w:sz="4" w:space="0" w:color="auto"/>
            </w:tcBorders>
            <w:vAlign w:val="center"/>
          </w:tcPr>
          <w:p w:rsidR="002F206B" w:rsidRPr="00992775" w:rsidRDefault="002F206B" w:rsidP="00992775">
            <w:pPr>
              <w:spacing w:line="240" w:lineRule="auto"/>
              <w:contextualSpacing/>
              <w:jc w:val="left"/>
              <w:rPr>
                <w:rFonts w:cs="Arial"/>
                <w:sz w:val="20"/>
              </w:rPr>
            </w:pPr>
            <w:r w:rsidRPr="00992775">
              <w:rPr>
                <w:rFonts w:cs="Arial"/>
                <w:sz w:val="20"/>
              </w:rPr>
              <w:t xml:space="preserve">  Long-standing illness: illness (PH020)  / lact_health (PH020 &amp;  PH030)</w:t>
            </w:r>
          </w:p>
        </w:tc>
        <w:tc>
          <w:tcPr>
            <w:tcW w:w="2288" w:type="dxa"/>
            <w:tcBorders>
              <w:top w:val="single" w:sz="4" w:space="0" w:color="auto"/>
            </w:tcBorders>
            <w:vAlign w:val="center"/>
          </w:tcPr>
          <w:p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llti</w:t>
            </w:r>
          </w:p>
        </w:tc>
      </w:tr>
    </w:tbl>
    <w:p w:rsidR="002F206B" w:rsidRPr="00152E8C" w:rsidRDefault="002F206B" w:rsidP="00A16958">
      <w:pPr>
        <w:spacing w:before="0" w:line="276" w:lineRule="auto"/>
        <w:rPr>
          <w:color w:val="000000" w:themeColor="text1"/>
        </w:rPr>
      </w:pPr>
      <w:r w:rsidRPr="00152E8C">
        <w:rPr>
          <w:b/>
          <w:color w:val="000000" w:themeColor="text1"/>
        </w:rPr>
        <w:t xml:space="preserve">Before or after Housing Costs? </w:t>
      </w:r>
      <w:r w:rsidRPr="00152E8C">
        <w:rPr>
          <w:color w:val="000000" w:themeColor="text1"/>
        </w:rPr>
        <w:t xml:space="preserve">Both. The measure of equivalised disposable income after housing costs was calculated as follows: HX090’= ((HY020- HH070)*HY025) / HX050. Where: </w:t>
      </w:r>
    </w:p>
    <w:p w:rsidR="002F206B" w:rsidRPr="00152E8C" w:rsidRDefault="002F206B" w:rsidP="00A16958">
      <w:pPr>
        <w:pStyle w:val="Luettelokappale"/>
        <w:numPr>
          <w:ilvl w:val="0"/>
          <w:numId w:val="14"/>
        </w:numPr>
        <w:spacing w:before="0" w:line="276" w:lineRule="auto"/>
        <w:jc w:val="left"/>
        <w:rPr>
          <w:color w:val="000000" w:themeColor="text1"/>
        </w:rPr>
      </w:pPr>
      <w:r w:rsidRPr="00152E8C">
        <w:rPr>
          <w:color w:val="000000" w:themeColor="text1"/>
        </w:rPr>
        <w:t>HX090 - Equivalised disposable income, where HX090 =(HY020*HY025) / HX050</w:t>
      </w:r>
    </w:p>
    <w:p w:rsidR="002F206B" w:rsidRPr="00152E8C" w:rsidRDefault="002F206B" w:rsidP="00A16958">
      <w:pPr>
        <w:pStyle w:val="Luettelokappale"/>
        <w:numPr>
          <w:ilvl w:val="0"/>
          <w:numId w:val="14"/>
        </w:numPr>
        <w:spacing w:before="0" w:line="276" w:lineRule="auto"/>
        <w:jc w:val="left"/>
        <w:rPr>
          <w:color w:val="000000" w:themeColor="text1"/>
        </w:rPr>
      </w:pPr>
      <w:r w:rsidRPr="00152E8C">
        <w:rPr>
          <w:color w:val="000000" w:themeColor="text1"/>
        </w:rPr>
        <w:lastRenderedPageBreak/>
        <w:t>HH070 - Total housing cost</w:t>
      </w:r>
    </w:p>
    <w:p w:rsidR="002F206B" w:rsidRPr="00152E8C" w:rsidRDefault="002F206B" w:rsidP="00A16958">
      <w:pPr>
        <w:pStyle w:val="Luettelokappale"/>
        <w:numPr>
          <w:ilvl w:val="0"/>
          <w:numId w:val="14"/>
        </w:numPr>
        <w:spacing w:before="0" w:line="276" w:lineRule="auto"/>
        <w:jc w:val="left"/>
        <w:rPr>
          <w:color w:val="000000" w:themeColor="text1"/>
        </w:rPr>
      </w:pPr>
      <w:r w:rsidRPr="00152E8C">
        <w:rPr>
          <w:color w:val="000000" w:themeColor="text1"/>
        </w:rPr>
        <w:t>HY020 - Total disposable household income</w:t>
      </w:r>
    </w:p>
    <w:p w:rsidR="002F206B" w:rsidRPr="00152E8C" w:rsidRDefault="002F206B" w:rsidP="00A16958">
      <w:pPr>
        <w:pStyle w:val="Luettelokappale"/>
        <w:numPr>
          <w:ilvl w:val="0"/>
          <w:numId w:val="14"/>
        </w:numPr>
        <w:spacing w:before="0" w:line="276" w:lineRule="auto"/>
        <w:jc w:val="left"/>
        <w:rPr>
          <w:color w:val="000000" w:themeColor="text1"/>
        </w:rPr>
      </w:pPr>
      <w:r w:rsidRPr="00152E8C">
        <w:rPr>
          <w:color w:val="000000" w:themeColor="text1"/>
        </w:rPr>
        <w:t>HY025 - Within-household non-response inflation factor</w:t>
      </w:r>
    </w:p>
    <w:p w:rsidR="002F206B" w:rsidRPr="00152E8C" w:rsidRDefault="002F206B" w:rsidP="00A16958">
      <w:pPr>
        <w:pStyle w:val="Luettelokappale"/>
        <w:numPr>
          <w:ilvl w:val="0"/>
          <w:numId w:val="14"/>
        </w:numPr>
        <w:spacing w:before="0" w:line="276" w:lineRule="auto"/>
        <w:jc w:val="left"/>
        <w:rPr>
          <w:color w:val="000000" w:themeColor="text1"/>
        </w:rPr>
      </w:pPr>
      <w:r w:rsidRPr="00152E8C">
        <w:rPr>
          <w:color w:val="000000" w:themeColor="text1"/>
        </w:rPr>
        <w:t>HX050 - Equivalised household size</w:t>
      </w:r>
    </w:p>
    <w:p w:rsidR="002F206B" w:rsidRPr="00152E8C" w:rsidRDefault="002F206B" w:rsidP="00A16958">
      <w:pPr>
        <w:spacing w:before="0" w:line="276" w:lineRule="auto"/>
        <w:rPr>
          <w:color w:val="000000" w:themeColor="text1"/>
        </w:rPr>
      </w:pPr>
      <w:r w:rsidRPr="00152E8C">
        <w:rPr>
          <w:b/>
          <w:color w:val="000000" w:themeColor="text1"/>
        </w:rPr>
        <w:t>NUTS Level of estimates:</w:t>
      </w:r>
      <w:r w:rsidRPr="00152E8C">
        <w:rPr>
          <w:color w:val="000000" w:themeColor="text1"/>
        </w:rPr>
        <w:t xml:space="preserve"> NUTS 3</w:t>
      </w:r>
      <w:r w:rsidR="003C46EB" w:rsidRPr="00152E8C">
        <w:rPr>
          <w:color w:val="000000" w:themeColor="text1"/>
        </w:rPr>
        <w:t>, LAU 1 (except for Northern Ireland, for which data are available only for Parliamentary Constituencies)</w:t>
      </w:r>
    </w:p>
    <w:p w:rsidR="002F206B" w:rsidRPr="00152E8C" w:rsidRDefault="002F206B" w:rsidP="00A16958">
      <w:pPr>
        <w:spacing w:before="0" w:line="276" w:lineRule="auto"/>
        <w:rPr>
          <w:color w:val="000000" w:themeColor="text1"/>
        </w:rPr>
      </w:pPr>
      <w:r w:rsidRPr="00152E8C">
        <w:rPr>
          <w:b/>
          <w:color w:val="000000" w:themeColor="text1"/>
        </w:rPr>
        <w:t xml:space="preserve">Adjusted to agree with Eurostat published </w:t>
      </w:r>
      <w:r w:rsidR="008632AA">
        <w:rPr>
          <w:b/>
          <w:color w:val="000000" w:themeColor="text1"/>
        </w:rPr>
        <w:t>AROP</w:t>
      </w:r>
      <w:r w:rsidRPr="00152E8C">
        <w:rPr>
          <w:b/>
          <w:color w:val="000000" w:themeColor="text1"/>
        </w:rPr>
        <w:t xml:space="preserve"> rates?</w:t>
      </w:r>
      <w:r w:rsidRPr="00152E8C">
        <w:rPr>
          <w:color w:val="000000" w:themeColor="text1"/>
        </w:rPr>
        <w:t xml:space="preserve"> No</w:t>
      </w:r>
    </w:p>
    <w:p w:rsidR="002F206B" w:rsidRPr="00152E8C" w:rsidRDefault="002F206B" w:rsidP="00A16958">
      <w:pPr>
        <w:spacing w:before="0" w:line="276" w:lineRule="auto"/>
        <w:rPr>
          <w:b/>
          <w:color w:val="000000" w:themeColor="text1"/>
        </w:rPr>
      </w:pPr>
      <w:r w:rsidRPr="00152E8C">
        <w:rPr>
          <w:b/>
          <w:color w:val="000000" w:themeColor="text1"/>
        </w:rPr>
        <w:t xml:space="preserve">Comments: </w:t>
      </w:r>
      <w:r w:rsidRPr="00152E8C">
        <w:rPr>
          <w:color w:val="000000" w:themeColor="text1"/>
        </w:rPr>
        <w:t>None</w:t>
      </w:r>
    </w:p>
    <w:p w:rsidR="00A16958" w:rsidRDefault="00A16958" w:rsidP="00A16958">
      <w:pPr>
        <w:spacing w:before="0" w:line="276" w:lineRule="auto"/>
        <w:rPr>
          <w:noProof/>
        </w:rPr>
      </w:pPr>
      <w:r>
        <w:rPr>
          <w:noProof/>
        </w:rPr>
        <w:br w:type="page"/>
      </w:r>
    </w:p>
    <w:p w:rsidR="00A16958" w:rsidRPr="00A16958" w:rsidRDefault="00A16958" w:rsidP="00A16958">
      <w:pPr>
        <w:spacing w:before="0" w:line="276" w:lineRule="auto"/>
      </w:pPr>
      <w:r w:rsidRPr="00A16958">
        <w:rPr>
          <w:b/>
        </w:rPr>
        <w:lastRenderedPageBreak/>
        <w:t>Country:</w:t>
      </w:r>
      <w:r w:rsidRPr="00A16958">
        <w:t xml:space="preserve"> UK - Update</w:t>
      </w:r>
    </w:p>
    <w:p w:rsidR="00A16958" w:rsidRDefault="00A16958" w:rsidP="00A16958">
      <w:pPr>
        <w:spacing w:before="0" w:line="276" w:lineRule="auto"/>
        <w:rPr>
          <w:b/>
        </w:rPr>
      </w:pPr>
    </w:p>
    <w:p w:rsidR="00A16958" w:rsidRPr="00A16958" w:rsidRDefault="00A16958" w:rsidP="00A16958">
      <w:pPr>
        <w:spacing w:before="0" w:line="276" w:lineRule="auto"/>
      </w:pPr>
      <w:r w:rsidRPr="00A16958">
        <w:rPr>
          <w:b/>
        </w:rPr>
        <w:t>Partner responsible</w:t>
      </w:r>
      <w:r w:rsidRPr="00A16958">
        <w:t>: James Hutton Institute (JHI) Aberdeen</w:t>
      </w:r>
    </w:p>
    <w:p w:rsidR="00A16958" w:rsidRDefault="00A16958" w:rsidP="00A16958">
      <w:pPr>
        <w:spacing w:before="0" w:line="276" w:lineRule="auto"/>
      </w:pPr>
      <w:r w:rsidRPr="00236856">
        <w:rPr>
          <w:b/>
        </w:rPr>
        <w:t>Contact Person:</w:t>
      </w:r>
      <w:r w:rsidRPr="00236856">
        <w:t xml:space="preserve"> </w:t>
      </w:r>
      <w:r w:rsidRPr="00A16958">
        <w:t xml:space="preserve">Patricia Melo </w:t>
      </w:r>
      <w:r>
        <w:rPr>
          <w:color w:val="002060"/>
        </w:rPr>
        <w:t>(</w:t>
      </w:r>
      <w:hyperlink r:id="rId104" w:history="1">
        <w:r w:rsidRPr="003F49CC">
          <w:rPr>
            <w:rStyle w:val="Hyperlinkki"/>
          </w:rPr>
          <w:t>patricia.melo@hutton.ac.uk</w:t>
        </w:r>
      </w:hyperlink>
      <w:r>
        <w:rPr>
          <w:color w:val="002060"/>
        </w:rPr>
        <w:t>)</w:t>
      </w:r>
    </w:p>
    <w:p w:rsidR="00A16958" w:rsidRPr="00A16958" w:rsidRDefault="00A16958" w:rsidP="00A16958">
      <w:pPr>
        <w:spacing w:before="0" w:line="276" w:lineRule="auto"/>
      </w:pPr>
      <w:r w:rsidRPr="00A16958">
        <w:rPr>
          <w:b/>
        </w:rPr>
        <w:t>Date:</w:t>
      </w:r>
      <w:r w:rsidRPr="00A16958">
        <w:t xml:space="preserve"> 06/06/14</w:t>
      </w:r>
    </w:p>
    <w:p w:rsidR="00A16958" w:rsidRDefault="00A16958" w:rsidP="00A16958">
      <w:pPr>
        <w:spacing w:before="0" w:line="276" w:lineRule="auto"/>
        <w:rPr>
          <w:b/>
        </w:rPr>
      </w:pPr>
      <w:r w:rsidRPr="00AB038B">
        <w:rPr>
          <w:b/>
        </w:rPr>
        <w:t>Methodology Used:</w:t>
      </w:r>
      <w:r>
        <w:rPr>
          <w:b/>
        </w:rPr>
        <w:t xml:space="preserve"> </w:t>
      </w:r>
    </w:p>
    <w:p w:rsidR="00A16958" w:rsidRPr="004F129B" w:rsidRDefault="00A16958" w:rsidP="00A16958">
      <w:pPr>
        <w:pStyle w:val="Luettelokappale"/>
        <w:numPr>
          <w:ilvl w:val="0"/>
          <w:numId w:val="23"/>
        </w:numPr>
        <w:spacing w:before="0" w:line="276" w:lineRule="auto"/>
        <w:jc w:val="left"/>
      </w:pPr>
      <w:r w:rsidRPr="004F129B">
        <w:rPr>
          <w:u w:val="single"/>
        </w:rPr>
        <w:t>Northern Ireland</w:t>
      </w:r>
      <w:r w:rsidRPr="004F129B">
        <w:t>: ARoP data for LAU 1 are available from NSI (NISRA) and were used to produce population-weighted averages for NUTS 3 regions</w:t>
      </w:r>
    </w:p>
    <w:p w:rsidR="00A16958" w:rsidRPr="004F129B" w:rsidRDefault="00A16958" w:rsidP="00A16958">
      <w:pPr>
        <w:pStyle w:val="Luettelokappale"/>
        <w:numPr>
          <w:ilvl w:val="0"/>
          <w:numId w:val="23"/>
        </w:numPr>
        <w:spacing w:before="0" w:line="276" w:lineRule="auto"/>
        <w:jc w:val="left"/>
      </w:pPr>
      <w:r w:rsidRPr="004F129B">
        <w:rPr>
          <w:u w:val="single"/>
        </w:rPr>
        <w:t>England and Wales</w:t>
      </w:r>
      <w:r w:rsidRPr="004F129B">
        <w:t xml:space="preserve">: Model-based ARoP data for Middle Layer Super Output Areas (MSOA) available from ONS were used to produce average ARoP for NUTS 3 regions </w:t>
      </w:r>
    </w:p>
    <w:p w:rsidR="00A16958" w:rsidRPr="004F129B" w:rsidRDefault="00A16958" w:rsidP="00A16958">
      <w:pPr>
        <w:pStyle w:val="Luettelokappale"/>
        <w:numPr>
          <w:ilvl w:val="0"/>
          <w:numId w:val="23"/>
        </w:numPr>
        <w:spacing w:before="0" w:line="276" w:lineRule="auto"/>
        <w:jc w:val="left"/>
      </w:pPr>
      <w:r w:rsidRPr="004F129B">
        <w:rPr>
          <w:u w:val="single"/>
        </w:rPr>
        <w:t>Scotland</w:t>
      </w:r>
      <w:r w:rsidRPr="004F129B">
        <w:t xml:space="preserve">: ARoP data for LAU 1 are available from </w:t>
      </w:r>
      <w:r>
        <w:t>SG</w:t>
      </w:r>
      <w:r w:rsidRPr="004F129B">
        <w:t xml:space="preserve"> and were used to produce population-weighted averages for NUTS 3 regions</w:t>
      </w:r>
    </w:p>
    <w:p w:rsidR="00A16958" w:rsidRPr="004F129B" w:rsidRDefault="00A16958" w:rsidP="00A16958">
      <w:pPr>
        <w:spacing w:before="0" w:line="276" w:lineRule="auto"/>
        <w:rPr>
          <w:b/>
        </w:rPr>
      </w:pPr>
      <w:r>
        <w:rPr>
          <w:b/>
        </w:rPr>
        <w:t>Constraints on</w:t>
      </w:r>
      <w:r w:rsidRPr="00B24721">
        <w:rPr>
          <w:b/>
        </w:rPr>
        <w:t xml:space="preserve"> Choice of Methodology: </w:t>
      </w:r>
      <w:r w:rsidRPr="004F129B">
        <w:t>World Bank PovMap not possible due to unav</w:t>
      </w:r>
      <w:r>
        <w:t>ailability of 2011 Census data.</w:t>
      </w:r>
    </w:p>
    <w:p w:rsidR="00A16958" w:rsidRPr="00413598" w:rsidRDefault="00A16958" w:rsidP="00A16958">
      <w:pPr>
        <w:pStyle w:val="Luettelokappale"/>
        <w:spacing w:before="0" w:line="276" w:lineRule="auto"/>
      </w:pPr>
    </w:p>
    <w:p w:rsidR="00A16958" w:rsidRDefault="00A16958" w:rsidP="00A16958">
      <w:pPr>
        <w:spacing w:before="0" w:line="276" w:lineRule="auto"/>
      </w:pPr>
      <w:r w:rsidRPr="000311DA">
        <w:rPr>
          <w:b/>
        </w:rPr>
        <w:t>Source(s) of raw data:</w:t>
      </w:r>
      <w:r w:rsidRPr="000311DA">
        <w:t xml:space="preserve"> </w:t>
      </w:r>
    </w:p>
    <w:p w:rsidR="00A16958" w:rsidRPr="004F129B" w:rsidRDefault="00A16958" w:rsidP="00A16958">
      <w:pPr>
        <w:pStyle w:val="Luettelokappale"/>
        <w:numPr>
          <w:ilvl w:val="0"/>
          <w:numId w:val="23"/>
        </w:numPr>
        <w:spacing w:before="0" w:line="276" w:lineRule="auto"/>
        <w:jc w:val="left"/>
        <w:rPr>
          <w:b/>
        </w:rPr>
      </w:pPr>
      <w:r w:rsidRPr="00A33A71">
        <w:rPr>
          <w:u w:val="single"/>
        </w:rPr>
        <w:t>Northern Ireland</w:t>
      </w:r>
      <w:r w:rsidRPr="00A33A71">
        <w:t xml:space="preserve">: </w:t>
      </w:r>
      <w:r w:rsidRPr="004F129B">
        <w:t>NSI (NISRA) produced 3-year average (2009-2011) ARoP measure for Local Government District (i.e. LAU 1)</w:t>
      </w:r>
      <w:r>
        <w:t>. Obtained from ‘</w:t>
      </w:r>
      <w:r w:rsidRPr="009E6A1D">
        <w:t>Households Below Average Income Report 2011-2012</w:t>
      </w:r>
      <w:r>
        <w:t xml:space="preserve">’, available at: </w:t>
      </w:r>
      <w:hyperlink r:id="rId105" w:history="1">
        <w:r w:rsidRPr="00E37969">
          <w:rPr>
            <w:rStyle w:val="Hyperlinkki"/>
          </w:rPr>
          <w:t>http://www.dsdni.gov.uk/hbai_2011-12.pdf</w:t>
        </w:r>
      </w:hyperlink>
      <w:r>
        <w:t xml:space="preserve"> (</w:t>
      </w:r>
      <w:r w:rsidRPr="009E6A1D">
        <w:t>Table 3.9: Percentage of individuals in low-income groups by Loc</w:t>
      </w:r>
      <w:r>
        <w:t>al Government District)</w:t>
      </w:r>
    </w:p>
    <w:p w:rsidR="00A16958" w:rsidRPr="004F129B" w:rsidRDefault="00A16958" w:rsidP="00A16958">
      <w:pPr>
        <w:pStyle w:val="Luettelokappale"/>
        <w:numPr>
          <w:ilvl w:val="0"/>
          <w:numId w:val="24"/>
        </w:numPr>
        <w:spacing w:before="0" w:line="276" w:lineRule="auto"/>
        <w:jc w:val="left"/>
        <w:rPr>
          <w:b/>
        </w:rPr>
      </w:pPr>
      <w:r w:rsidRPr="004F129B">
        <w:rPr>
          <w:u w:val="single"/>
        </w:rPr>
        <w:t>England and Wales</w:t>
      </w:r>
      <w:r w:rsidRPr="00A33A71">
        <w:t>:</w:t>
      </w:r>
      <w:r>
        <w:t xml:space="preserve"> </w:t>
      </w:r>
      <w:r w:rsidRPr="004F129B">
        <w:t xml:space="preserve">NSI (ONS) produced model-based estimates of ARoP for (2007-2008) for Middle Layer Super Output Areas (MSOA). </w:t>
      </w:r>
      <w:r>
        <w:t>Obtained from ‘</w:t>
      </w:r>
      <w:r w:rsidRPr="00E1668F">
        <w:t>Households in Poverty: Model-Based Estimates at MSOA Level, 2007/2008</w:t>
      </w:r>
      <w:r>
        <w:t xml:space="preserve">’, available at: </w:t>
      </w:r>
      <w:hyperlink r:id="rId106" w:history="1">
        <w:r w:rsidRPr="00E37969">
          <w:rPr>
            <w:rStyle w:val="Hyperlinkki"/>
          </w:rPr>
          <w:t>http://www.neighbourhood.statistics.gov.uk/dissemination/LeadMetadataDownloadPDF.do?downloadId=26963</w:t>
        </w:r>
      </w:hyperlink>
    </w:p>
    <w:p w:rsidR="00A16958" w:rsidRPr="00F416AC" w:rsidRDefault="00A16958" w:rsidP="00A16958">
      <w:pPr>
        <w:pStyle w:val="Luettelokappale"/>
        <w:numPr>
          <w:ilvl w:val="0"/>
          <w:numId w:val="24"/>
        </w:numPr>
        <w:spacing w:before="0" w:line="276" w:lineRule="auto"/>
        <w:jc w:val="left"/>
        <w:rPr>
          <w:color w:val="002060"/>
        </w:rPr>
      </w:pPr>
      <w:r w:rsidRPr="00A33A71">
        <w:rPr>
          <w:color w:val="002060"/>
          <w:u w:val="single"/>
        </w:rPr>
        <w:t>Scotland</w:t>
      </w:r>
      <w:r>
        <w:rPr>
          <w:color w:val="002060"/>
        </w:rPr>
        <w:t>: SG</w:t>
      </w:r>
      <w:r w:rsidRPr="004F129B">
        <w:t xml:space="preserve"> produced 4-year rolling average (2005-2008) ARoP measure for Local Authorities/Council Areas</w:t>
      </w:r>
      <w:r>
        <w:t>. Obtained from ‘</w:t>
      </w:r>
      <w:r w:rsidRPr="004B1D4A">
        <w:t>Relative poverty across Scottish Local Authorities, 2010 (first estimates at LA level for Scotland)</w:t>
      </w:r>
      <w:r>
        <w:t xml:space="preserve">’, available at: </w:t>
      </w:r>
      <w:hyperlink r:id="rId107" w:history="1">
        <w:r w:rsidRPr="00E37969">
          <w:rPr>
            <w:rStyle w:val="Hyperlinkki"/>
          </w:rPr>
          <w:t>http://www.scotland.gov.uk/Publications/2010/08/26155956/4</w:t>
        </w:r>
      </w:hyperlink>
      <w:r>
        <w:t xml:space="preserve">. </w:t>
      </w:r>
      <w:r w:rsidRPr="008C3253">
        <w:rPr>
          <w:b/>
        </w:rPr>
        <w:t>Note</w:t>
      </w:r>
      <w:r>
        <w:t>: Data come from the Scottish Household Survey (SHS) and hence the reference is median income in Scotland only, not UK</w:t>
      </w:r>
    </w:p>
    <w:p w:rsidR="00A16958" w:rsidRDefault="00A16958" w:rsidP="00A16958">
      <w:pPr>
        <w:spacing w:before="0" w:line="276" w:lineRule="auto"/>
        <w:rPr>
          <w:b/>
        </w:rPr>
      </w:pPr>
      <w:r w:rsidRPr="00AB038B">
        <w:rPr>
          <w:b/>
        </w:rPr>
        <w:t>Date(s) of raw data:</w:t>
      </w:r>
      <w:r>
        <w:rPr>
          <w:b/>
        </w:rPr>
        <w:t xml:space="preserve"> </w:t>
      </w:r>
    </w:p>
    <w:p w:rsidR="00A16958" w:rsidRDefault="00A16958" w:rsidP="00A16958">
      <w:pPr>
        <w:pStyle w:val="Luettelokappale"/>
        <w:numPr>
          <w:ilvl w:val="0"/>
          <w:numId w:val="25"/>
        </w:numPr>
        <w:spacing w:before="0" w:line="276" w:lineRule="auto"/>
        <w:jc w:val="left"/>
      </w:pPr>
      <w:r w:rsidRPr="00A33A71">
        <w:rPr>
          <w:u w:val="single"/>
        </w:rPr>
        <w:t>Northern Ireland</w:t>
      </w:r>
      <w:r w:rsidRPr="00A33A71">
        <w:t>: 3-year average</w:t>
      </w:r>
      <w:r>
        <w:t xml:space="preserve"> for </w:t>
      </w:r>
      <w:r w:rsidRPr="00A33A71">
        <w:t>2009/10-2011/</w:t>
      </w:r>
      <w:r>
        <w:t>12</w:t>
      </w:r>
    </w:p>
    <w:p w:rsidR="00A16958" w:rsidRPr="00A33A71" w:rsidRDefault="00A16958" w:rsidP="00A16958">
      <w:pPr>
        <w:pStyle w:val="Luettelokappale"/>
        <w:numPr>
          <w:ilvl w:val="0"/>
          <w:numId w:val="25"/>
        </w:numPr>
        <w:spacing w:before="0" w:line="276" w:lineRule="auto"/>
        <w:jc w:val="left"/>
        <w:rPr>
          <w:b/>
        </w:rPr>
      </w:pPr>
      <w:r>
        <w:rPr>
          <w:u w:val="single"/>
        </w:rPr>
        <w:t>England and Wales</w:t>
      </w:r>
      <w:r w:rsidRPr="00A33A71">
        <w:t>:</w:t>
      </w:r>
      <w:r>
        <w:t xml:space="preserve"> April 2007 to March 2008</w:t>
      </w:r>
    </w:p>
    <w:p w:rsidR="00A16958" w:rsidRPr="00A33A71" w:rsidRDefault="00A16958" w:rsidP="00A16958">
      <w:pPr>
        <w:pStyle w:val="Luettelokappale"/>
        <w:numPr>
          <w:ilvl w:val="0"/>
          <w:numId w:val="25"/>
        </w:numPr>
        <w:spacing w:before="0" w:line="276" w:lineRule="auto"/>
        <w:jc w:val="left"/>
      </w:pPr>
      <w:r w:rsidRPr="00A33A71">
        <w:rPr>
          <w:u w:val="single"/>
        </w:rPr>
        <w:t>Scotland</w:t>
      </w:r>
      <w:r w:rsidRPr="00A33A71">
        <w:t>:</w:t>
      </w:r>
      <w:r>
        <w:t xml:space="preserve"> 4-year rolling average for 2005-2008</w:t>
      </w:r>
    </w:p>
    <w:p w:rsidR="00A16958" w:rsidRDefault="00A16958" w:rsidP="00A16958">
      <w:pPr>
        <w:spacing w:before="0" w:line="276" w:lineRule="auto"/>
        <w:rPr>
          <w:b/>
        </w:rPr>
      </w:pPr>
    </w:p>
    <w:p w:rsidR="00A16958" w:rsidRDefault="00A16958" w:rsidP="00A16958">
      <w:pPr>
        <w:spacing w:before="0" w:line="276" w:lineRule="auto"/>
      </w:pPr>
      <w:r>
        <w:rPr>
          <w:b/>
        </w:rPr>
        <w:t>Variables used:</w:t>
      </w:r>
      <w:r w:rsidRPr="002B3FC7">
        <w:t xml:space="preserve"> N/A</w:t>
      </w:r>
    </w:p>
    <w:p w:rsidR="00A16958" w:rsidRPr="006C7E64" w:rsidRDefault="00A16958" w:rsidP="00A16958">
      <w:pPr>
        <w:spacing w:before="0" w:line="276" w:lineRule="auto"/>
        <w:rPr>
          <w:b/>
        </w:rPr>
      </w:pPr>
    </w:p>
    <w:p w:rsidR="00A16958" w:rsidRDefault="00A16958" w:rsidP="00A16958">
      <w:pPr>
        <w:spacing w:before="0" w:line="276" w:lineRule="auto"/>
        <w:rPr>
          <w:b/>
        </w:rPr>
      </w:pPr>
      <w:r w:rsidRPr="0018643B">
        <w:rPr>
          <w:b/>
        </w:rPr>
        <w:t>Before or after Housing Costs?</w:t>
      </w:r>
      <w:r>
        <w:rPr>
          <w:b/>
        </w:rPr>
        <w:t xml:space="preserve"> </w:t>
      </w:r>
    </w:p>
    <w:p w:rsidR="00A16958" w:rsidRDefault="00A16958" w:rsidP="00A16958">
      <w:pPr>
        <w:pStyle w:val="Luettelokappale"/>
        <w:numPr>
          <w:ilvl w:val="0"/>
          <w:numId w:val="26"/>
        </w:numPr>
        <w:spacing w:before="0" w:line="276" w:lineRule="auto"/>
        <w:jc w:val="left"/>
      </w:pPr>
      <w:r w:rsidRPr="002B3FC7">
        <w:rPr>
          <w:u w:val="single"/>
        </w:rPr>
        <w:t>Northern Ireland</w:t>
      </w:r>
      <w:r w:rsidRPr="00A33A71">
        <w:t xml:space="preserve">: </w:t>
      </w:r>
      <w:r>
        <w:t xml:space="preserve">Both </w:t>
      </w:r>
    </w:p>
    <w:p w:rsidR="00A16958" w:rsidRPr="00A33A71" w:rsidRDefault="00A16958" w:rsidP="00A16958">
      <w:pPr>
        <w:pStyle w:val="Luettelokappale"/>
        <w:numPr>
          <w:ilvl w:val="0"/>
          <w:numId w:val="25"/>
        </w:numPr>
        <w:spacing w:before="0" w:line="276" w:lineRule="auto"/>
        <w:jc w:val="left"/>
        <w:rPr>
          <w:b/>
        </w:rPr>
      </w:pPr>
      <w:r>
        <w:rPr>
          <w:u w:val="single"/>
        </w:rPr>
        <w:t>England and Wales</w:t>
      </w:r>
      <w:r w:rsidRPr="00A33A71">
        <w:t>:</w:t>
      </w:r>
      <w:r>
        <w:t xml:space="preserve"> AHC</w:t>
      </w:r>
    </w:p>
    <w:p w:rsidR="00A16958" w:rsidRDefault="00A16958" w:rsidP="00A16958">
      <w:pPr>
        <w:pStyle w:val="Luettelokappale"/>
        <w:numPr>
          <w:ilvl w:val="0"/>
          <w:numId w:val="25"/>
        </w:numPr>
        <w:spacing w:before="0" w:line="276" w:lineRule="auto"/>
        <w:jc w:val="left"/>
      </w:pPr>
      <w:r w:rsidRPr="00A33A71">
        <w:rPr>
          <w:u w:val="single"/>
        </w:rPr>
        <w:t>Scotland</w:t>
      </w:r>
      <w:r w:rsidRPr="00A33A71">
        <w:t>:</w:t>
      </w:r>
      <w:r>
        <w:t xml:space="preserve"> BHC</w:t>
      </w:r>
    </w:p>
    <w:p w:rsidR="00A16958" w:rsidRDefault="00A16958" w:rsidP="00A16958">
      <w:pPr>
        <w:spacing w:before="0" w:line="276" w:lineRule="auto"/>
      </w:pPr>
      <w:r w:rsidRPr="00CF1CB1">
        <w:rPr>
          <w:b/>
        </w:rPr>
        <w:t>NUTS Level of estimates:</w:t>
      </w:r>
      <w:r>
        <w:t xml:space="preserve"> </w:t>
      </w:r>
    </w:p>
    <w:p w:rsidR="00A16958" w:rsidRDefault="00A16958" w:rsidP="00A16958">
      <w:pPr>
        <w:pStyle w:val="Luettelokappale"/>
        <w:numPr>
          <w:ilvl w:val="0"/>
          <w:numId w:val="27"/>
        </w:numPr>
        <w:spacing w:before="0" w:line="276" w:lineRule="auto"/>
        <w:jc w:val="left"/>
      </w:pPr>
      <w:r w:rsidRPr="006F736A">
        <w:rPr>
          <w:u w:val="single"/>
        </w:rPr>
        <w:lastRenderedPageBreak/>
        <w:t>Northern Ireland</w:t>
      </w:r>
      <w:r w:rsidRPr="00A33A71">
        <w:t xml:space="preserve">: </w:t>
      </w:r>
      <w:r>
        <w:t>NUTS 3 and LAU 1</w:t>
      </w:r>
    </w:p>
    <w:p w:rsidR="00A16958" w:rsidRDefault="00A16958" w:rsidP="00A16958">
      <w:pPr>
        <w:pStyle w:val="Luettelokappale"/>
        <w:numPr>
          <w:ilvl w:val="0"/>
          <w:numId w:val="25"/>
        </w:numPr>
        <w:spacing w:before="0" w:line="276" w:lineRule="auto"/>
        <w:jc w:val="left"/>
      </w:pPr>
      <w:r w:rsidRPr="004F129B">
        <w:rPr>
          <w:u w:val="single"/>
        </w:rPr>
        <w:t>England and Wales</w:t>
      </w:r>
      <w:r w:rsidRPr="00A33A71">
        <w:t>:</w:t>
      </w:r>
      <w:r>
        <w:t xml:space="preserve"> NUTS 3 </w:t>
      </w:r>
    </w:p>
    <w:p w:rsidR="00A16958" w:rsidRDefault="00A16958" w:rsidP="00A16958">
      <w:pPr>
        <w:pStyle w:val="Luettelokappale"/>
        <w:numPr>
          <w:ilvl w:val="0"/>
          <w:numId w:val="25"/>
        </w:numPr>
        <w:spacing w:before="0" w:line="276" w:lineRule="auto"/>
        <w:jc w:val="left"/>
      </w:pPr>
      <w:r w:rsidRPr="004F129B">
        <w:rPr>
          <w:u w:val="single"/>
        </w:rPr>
        <w:t>Scotland</w:t>
      </w:r>
      <w:r w:rsidRPr="00A33A71">
        <w:t>:</w:t>
      </w:r>
      <w:r>
        <w:t xml:space="preserve"> NUTS 3 and LAU 1</w:t>
      </w:r>
    </w:p>
    <w:p w:rsidR="00A16958" w:rsidRDefault="00A16958" w:rsidP="00A16958">
      <w:pPr>
        <w:spacing w:before="0" w:line="276" w:lineRule="auto"/>
      </w:pPr>
      <w:r w:rsidRPr="00455DC7">
        <w:rPr>
          <w:b/>
        </w:rPr>
        <w:t>Adjusted to agree with Eurostat published AROP rates?</w:t>
      </w:r>
      <w:r w:rsidRPr="00455DC7">
        <w:t xml:space="preserve"> No.</w:t>
      </w:r>
    </w:p>
    <w:p w:rsidR="00A16958" w:rsidRPr="00CF1CB1" w:rsidRDefault="00A16958" w:rsidP="00A16958">
      <w:pPr>
        <w:spacing w:before="0" w:line="276" w:lineRule="auto"/>
        <w:rPr>
          <w:b/>
        </w:rPr>
      </w:pPr>
      <w:r w:rsidRPr="00CF1CB1">
        <w:rPr>
          <w:b/>
        </w:rPr>
        <w:t xml:space="preserve">Comments: </w:t>
      </w:r>
    </w:p>
    <w:p w:rsidR="00A16958" w:rsidRDefault="00A16958" w:rsidP="00A16958">
      <w:pPr>
        <w:pStyle w:val="Luettelokappale"/>
        <w:numPr>
          <w:ilvl w:val="0"/>
          <w:numId w:val="26"/>
        </w:numPr>
        <w:spacing w:before="0" w:line="276" w:lineRule="auto"/>
        <w:jc w:val="left"/>
      </w:pPr>
      <w:r w:rsidRPr="002B3FC7">
        <w:rPr>
          <w:u w:val="single"/>
        </w:rPr>
        <w:t>Northern Ireland</w:t>
      </w:r>
      <w:r w:rsidRPr="00A33A71">
        <w:t xml:space="preserve">: </w:t>
      </w:r>
      <w:r>
        <w:t xml:space="preserve">Reference is </w:t>
      </w:r>
      <w:r w:rsidRPr="004F129B">
        <w:rPr>
          <w:b/>
        </w:rPr>
        <w:t>UK median income</w:t>
      </w:r>
    </w:p>
    <w:p w:rsidR="00A16958" w:rsidRPr="003655DF" w:rsidRDefault="00A16958" w:rsidP="00A16958">
      <w:pPr>
        <w:pStyle w:val="Luettelokappale"/>
        <w:numPr>
          <w:ilvl w:val="0"/>
          <w:numId w:val="25"/>
        </w:numPr>
        <w:spacing w:before="0" w:line="276" w:lineRule="auto"/>
        <w:jc w:val="left"/>
      </w:pPr>
      <w:r w:rsidRPr="003655DF">
        <w:rPr>
          <w:u w:val="single"/>
        </w:rPr>
        <w:t>England and Wales</w:t>
      </w:r>
      <w:r w:rsidRPr="003655DF">
        <w:t xml:space="preserve">: Reference is </w:t>
      </w:r>
      <w:r w:rsidRPr="004F129B">
        <w:rPr>
          <w:b/>
        </w:rPr>
        <w:t>median income in England and Wales</w:t>
      </w:r>
    </w:p>
    <w:p w:rsidR="00A16958" w:rsidRDefault="00A16958" w:rsidP="00A16958">
      <w:pPr>
        <w:pStyle w:val="Luettelokappale"/>
        <w:numPr>
          <w:ilvl w:val="0"/>
          <w:numId w:val="25"/>
        </w:numPr>
        <w:spacing w:before="0" w:line="276" w:lineRule="auto"/>
        <w:jc w:val="left"/>
      </w:pPr>
      <w:r w:rsidRPr="003655DF">
        <w:rPr>
          <w:u w:val="single"/>
        </w:rPr>
        <w:t>Scotland</w:t>
      </w:r>
      <w:r w:rsidRPr="00A33A71">
        <w:t>:</w:t>
      </w:r>
      <w:r>
        <w:t xml:space="preserve"> Reference is </w:t>
      </w:r>
      <w:r w:rsidRPr="004F129B">
        <w:rPr>
          <w:b/>
        </w:rPr>
        <w:t>median income in Scotland</w:t>
      </w:r>
    </w:p>
    <w:p w:rsidR="00A16958" w:rsidRDefault="00A16958">
      <w:pPr>
        <w:spacing w:before="0"/>
        <w:rPr>
          <w:b/>
          <w:noProof/>
          <w:kern w:val="28"/>
          <w:sz w:val="28"/>
        </w:rPr>
      </w:pPr>
    </w:p>
    <w:p w:rsidR="003C4B2A" w:rsidRDefault="003C4B2A">
      <w:pPr>
        <w:spacing w:before="0"/>
        <w:rPr>
          <w:b/>
          <w:noProof/>
          <w:kern w:val="28"/>
          <w:sz w:val="28"/>
        </w:rPr>
      </w:pPr>
      <w:r>
        <w:rPr>
          <w:noProof/>
        </w:rPr>
        <w:br w:type="page"/>
      </w:r>
    </w:p>
    <w:p w:rsidR="006C2617" w:rsidRDefault="006C2617" w:rsidP="006C2617">
      <w:pPr>
        <w:pStyle w:val="Otsikko1"/>
        <w:numPr>
          <w:ilvl w:val="0"/>
          <w:numId w:val="0"/>
        </w:numPr>
        <w:rPr>
          <w:noProof/>
        </w:rPr>
      </w:pPr>
      <w:bookmarkStart w:id="89" w:name="_Toc393812348"/>
      <w:r>
        <w:rPr>
          <w:noProof/>
        </w:rPr>
        <w:lastRenderedPageBreak/>
        <w:t xml:space="preserve">Annex 2: </w:t>
      </w:r>
      <w:r w:rsidR="00D21DA1">
        <w:rPr>
          <w:noProof/>
        </w:rPr>
        <w:t xml:space="preserve">Summary of the </w:t>
      </w:r>
      <w:r w:rsidR="008632AA">
        <w:rPr>
          <w:noProof/>
        </w:rPr>
        <w:t>ARoP</w:t>
      </w:r>
      <w:r w:rsidR="00D21DA1">
        <w:rPr>
          <w:noProof/>
        </w:rPr>
        <w:t xml:space="preserve"> Rate </w:t>
      </w:r>
      <w:r>
        <w:rPr>
          <w:noProof/>
        </w:rPr>
        <w:t>Indicator</w:t>
      </w:r>
      <w:bookmarkEnd w:id="89"/>
    </w:p>
    <w:p w:rsidR="00623636" w:rsidRDefault="00623636" w:rsidP="00623636">
      <w:pPr>
        <w:rPr>
          <w:noProof/>
          <w:color w:val="000000" w:themeColor="text1"/>
        </w:rPr>
      </w:pPr>
      <w:r w:rsidRPr="00623636">
        <w:rPr>
          <w:noProof/>
          <w:color w:val="000000" w:themeColor="text1"/>
        </w:rPr>
        <w:t xml:space="preserve">The </w:t>
      </w:r>
      <w:r>
        <w:rPr>
          <w:noProof/>
          <w:color w:val="000000" w:themeColor="text1"/>
        </w:rPr>
        <w:t>table below provides a summary</w:t>
      </w:r>
      <w:r w:rsidR="00BC7FA8">
        <w:rPr>
          <w:noProof/>
          <w:color w:val="000000" w:themeColor="text1"/>
        </w:rPr>
        <w:t xml:space="preserve"> of the at-risk-of-poverty rate indicator</w:t>
      </w:r>
      <w:r>
        <w:rPr>
          <w:noProof/>
          <w:color w:val="000000" w:themeColor="text1"/>
        </w:rPr>
        <w:t xml:space="preserve"> for </w:t>
      </w:r>
      <w:r w:rsidR="00507DA2">
        <w:rPr>
          <w:noProof/>
          <w:color w:val="000000" w:themeColor="text1"/>
        </w:rPr>
        <w:t>th</w:t>
      </w:r>
      <w:r w:rsidR="00692B36">
        <w:rPr>
          <w:noProof/>
          <w:color w:val="000000" w:themeColor="text1"/>
        </w:rPr>
        <w:t>e</w:t>
      </w:r>
      <w:r w:rsidR="00507DA2">
        <w:rPr>
          <w:noProof/>
          <w:color w:val="000000" w:themeColor="text1"/>
        </w:rPr>
        <w:t xml:space="preserve"> </w:t>
      </w:r>
      <w:r w:rsidR="00CE4975">
        <w:rPr>
          <w:noProof/>
          <w:color w:val="000000" w:themeColor="text1"/>
        </w:rPr>
        <w:t>”TiPSE” countri</w:t>
      </w:r>
      <w:r w:rsidR="00692B36">
        <w:rPr>
          <w:noProof/>
          <w:color w:val="000000" w:themeColor="text1"/>
        </w:rPr>
        <w:t xml:space="preserve">es </w:t>
      </w:r>
      <w:r w:rsidR="00CE4975">
        <w:rPr>
          <w:noProof/>
          <w:color w:val="000000" w:themeColor="text1"/>
        </w:rPr>
        <w:t xml:space="preserve">shown in </w:t>
      </w:r>
      <w:r w:rsidR="00692B36">
        <w:rPr>
          <w:noProof/>
          <w:color w:val="000000" w:themeColor="text1"/>
        </w:rPr>
        <w:t>Table 1</w:t>
      </w:r>
      <w:r w:rsidR="00CE4975">
        <w:rPr>
          <w:noProof/>
          <w:color w:val="000000" w:themeColor="text1"/>
        </w:rPr>
        <w:t xml:space="preserve"> of section 2</w:t>
      </w:r>
      <w:r>
        <w:rPr>
          <w:noProof/>
          <w:color w:val="000000" w:themeColor="text1"/>
        </w:rPr>
        <w:t xml:space="preserve">. The first </w:t>
      </w:r>
      <w:r w:rsidR="00CE4975">
        <w:rPr>
          <w:noProof/>
          <w:color w:val="000000" w:themeColor="text1"/>
        </w:rPr>
        <w:t>two</w:t>
      </w:r>
      <w:r>
        <w:rPr>
          <w:noProof/>
          <w:color w:val="000000" w:themeColor="text1"/>
        </w:rPr>
        <w:t xml:space="preserve"> columns of</w:t>
      </w:r>
      <w:r w:rsidR="00CE4975">
        <w:rPr>
          <w:noProof/>
          <w:color w:val="000000" w:themeColor="text1"/>
        </w:rPr>
        <w:t xml:space="preserve"> the table identify the country</w:t>
      </w:r>
      <w:r w:rsidR="00BC7FA8">
        <w:rPr>
          <w:noProof/>
          <w:color w:val="000000" w:themeColor="text1"/>
        </w:rPr>
        <w:t>,</w:t>
      </w:r>
      <w:r w:rsidR="00CE4975">
        <w:rPr>
          <w:noProof/>
          <w:color w:val="000000" w:themeColor="text1"/>
        </w:rPr>
        <w:t xml:space="preserve"> </w:t>
      </w:r>
      <w:r>
        <w:rPr>
          <w:noProof/>
          <w:color w:val="000000" w:themeColor="text1"/>
        </w:rPr>
        <w:t xml:space="preserve">the poverty line and year the data refer to. The last colums of the table show the </w:t>
      </w:r>
      <w:r w:rsidR="000D250C">
        <w:rPr>
          <w:noProof/>
          <w:color w:val="000000" w:themeColor="text1"/>
        </w:rPr>
        <w:t>minimum and the maximum value</w:t>
      </w:r>
      <w:r w:rsidR="00DE7C7F">
        <w:rPr>
          <w:noProof/>
          <w:color w:val="000000" w:themeColor="text1"/>
        </w:rPr>
        <w:t>s</w:t>
      </w:r>
      <w:r w:rsidR="000D250C">
        <w:rPr>
          <w:noProof/>
          <w:color w:val="000000" w:themeColor="text1"/>
        </w:rPr>
        <w:t xml:space="preserve"> of the </w:t>
      </w:r>
      <w:r w:rsidR="008632AA">
        <w:rPr>
          <w:noProof/>
          <w:color w:val="000000" w:themeColor="text1"/>
        </w:rPr>
        <w:t>ARoP</w:t>
      </w:r>
      <w:r>
        <w:rPr>
          <w:noProof/>
          <w:color w:val="000000" w:themeColor="text1"/>
        </w:rPr>
        <w:t xml:space="preserve"> rates </w:t>
      </w:r>
      <w:r w:rsidR="00CE4975">
        <w:rPr>
          <w:noProof/>
          <w:color w:val="000000" w:themeColor="text1"/>
        </w:rPr>
        <w:t>for</w:t>
      </w:r>
      <w:r w:rsidR="000D250C">
        <w:rPr>
          <w:noProof/>
          <w:color w:val="000000" w:themeColor="text1"/>
        </w:rPr>
        <w:t xml:space="preserve"> each data </w:t>
      </w:r>
      <w:r>
        <w:rPr>
          <w:noProof/>
          <w:color w:val="000000" w:themeColor="text1"/>
        </w:rPr>
        <w:t>quint</w:t>
      </w:r>
      <w:r w:rsidR="000D250C">
        <w:rPr>
          <w:noProof/>
          <w:color w:val="000000" w:themeColor="text1"/>
        </w:rPr>
        <w:t>ile</w:t>
      </w:r>
      <w:r w:rsidR="00CE4975">
        <w:rPr>
          <w:noProof/>
          <w:color w:val="000000" w:themeColor="text1"/>
        </w:rPr>
        <w:t xml:space="preserve"> (where 1 denotes t</w:t>
      </w:r>
      <w:r w:rsidR="00DE7C7F">
        <w:rPr>
          <w:noProof/>
          <w:color w:val="000000" w:themeColor="text1"/>
        </w:rPr>
        <w:t>h</w:t>
      </w:r>
      <w:r w:rsidR="00CE4975">
        <w:rPr>
          <w:noProof/>
          <w:color w:val="000000" w:themeColor="text1"/>
        </w:rPr>
        <w:t xml:space="preserve">e </w:t>
      </w:r>
      <w:r w:rsidR="00DE7C7F">
        <w:rPr>
          <w:noProof/>
          <w:color w:val="000000" w:themeColor="text1"/>
        </w:rPr>
        <w:t>lowest quintile and 5 denotes the highest quintile)</w:t>
      </w:r>
      <w:r w:rsidR="000D250C">
        <w:rPr>
          <w:noProof/>
          <w:color w:val="000000" w:themeColor="text1"/>
        </w:rPr>
        <w:t>.</w:t>
      </w:r>
    </w:p>
    <w:p w:rsidR="00785D78" w:rsidRDefault="00785D78" w:rsidP="001D6E37">
      <w:pPr>
        <w:rPr>
          <w:noProof/>
          <w:color w:val="000000" w:themeColor="text1"/>
        </w:rPr>
      </w:pPr>
    </w:p>
    <w:p w:rsidR="00623636" w:rsidRDefault="001D6E37" w:rsidP="001D6E37">
      <w:pPr>
        <w:rPr>
          <w:noProof/>
          <w:color w:val="000000" w:themeColor="text1"/>
        </w:rPr>
      </w:pPr>
      <w:r w:rsidRPr="001D6E37">
        <w:rPr>
          <w:b/>
          <w:noProof/>
          <w:color w:val="000000" w:themeColor="text1"/>
        </w:rPr>
        <w:t>Table A.2.1.</w:t>
      </w:r>
      <w:r w:rsidRPr="001D6E37">
        <w:rPr>
          <w:noProof/>
          <w:color w:val="000000" w:themeColor="text1"/>
        </w:rPr>
        <w:t xml:space="preserve"> Summary of estimates of </w:t>
      </w:r>
      <w:r w:rsidR="008632AA">
        <w:rPr>
          <w:noProof/>
          <w:color w:val="000000" w:themeColor="text1"/>
        </w:rPr>
        <w:t>ARoP</w:t>
      </w:r>
      <w:r w:rsidRPr="001D6E37">
        <w:rPr>
          <w:noProof/>
          <w:color w:val="000000" w:themeColor="text1"/>
        </w:rPr>
        <w:t xml:space="preserve"> rates</w:t>
      </w:r>
      <w:r w:rsidR="00152E8C">
        <w:rPr>
          <w:noProof/>
          <w:color w:val="000000" w:themeColor="text1"/>
        </w:rPr>
        <w:t xml:space="preserve"> for NUTS 3 regions</w:t>
      </w:r>
    </w:p>
    <w:tbl>
      <w:tblPr>
        <w:tblW w:w="5000" w:type="pct"/>
        <w:tblLook w:val="04A0" w:firstRow="1" w:lastRow="0" w:firstColumn="1" w:lastColumn="0" w:noHBand="0" w:noVBand="1"/>
      </w:tblPr>
      <w:tblGrid>
        <w:gridCol w:w="1906"/>
        <w:gridCol w:w="927"/>
        <w:gridCol w:w="2007"/>
        <w:gridCol w:w="2254"/>
        <w:gridCol w:w="717"/>
        <w:gridCol w:w="718"/>
      </w:tblGrid>
      <w:tr w:rsidR="009B3A8A" w:rsidRPr="009B3A8A" w:rsidTr="0053752C">
        <w:trPr>
          <w:trHeight w:val="340"/>
        </w:trPr>
        <w:tc>
          <w:tcPr>
            <w:tcW w:w="1117" w:type="pct"/>
            <w:vMerge w:val="restart"/>
            <w:tcBorders>
              <w:top w:val="single" w:sz="4" w:space="0" w:color="auto"/>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b/>
                <w:bCs/>
                <w:color w:val="000000"/>
                <w:sz w:val="20"/>
                <w:lang w:eastAsia="en-GB"/>
              </w:rPr>
            </w:pPr>
            <w:r w:rsidRPr="009B3A8A">
              <w:rPr>
                <w:rFonts w:cs="Arial"/>
                <w:b/>
                <w:bCs/>
                <w:color w:val="000000"/>
                <w:sz w:val="20"/>
                <w:lang w:eastAsia="en-GB"/>
              </w:rPr>
              <w:t>Country</w:t>
            </w:r>
          </w:p>
        </w:tc>
        <w:tc>
          <w:tcPr>
            <w:tcW w:w="543" w:type="pct"/>
            <w:vMerge w:val="restart"/>
            <w:tcBorders>
              <w:top w:val="single" w:sz="4" w:space="0" w:color="auto"/>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b/>
                <w:bCs/>
                <w:color w:val="000000"/>
                <w:sz w:val="20"/>
                <w:lang w:eastAsia="en-GB"/>
              </w:rPr>
            </w:pPr>
            <w:r w:rsidRPr="009B3A8A">
              <w:rPr>
                <w:rFonts w:cs="Arial"/>
                <w:b/>
                <w:bCs/>
                <w:color w:val="000000"/>
                <w:sz w:val="20"/>
                <w:lang w:eastAsia="en-GB"/>
              </w:rPr>
              <w:t>Method</w:t>
            </w:r>
          </w:p>
        </w:tc>
        <w:tc>
          <w:tcPr>
            <w:tcW w:w="1177" w:type="pct"/>
            <w:vMerge w:val="restart"/>
            <w:tcBorders>
              <w:top w:val="single" w:sz="4" w:space="0" w:color="auto"/>
              <w:left w:val="nil"/>
              <w:bottom w:val="single" w:sz="4" w:space="0" w:color="000000"/>
              <w:right w:val="nil"/>
            </w:tcBorders>
            <w:shd w:val="clear" w:color="auto" w:fill="auto"/>
            <w:vAlign w:val="center"/>
            <w:hideMark/>
          </w:tcPr>
          <w:p w:rsidR="009B3A8A" w:rsidRPr="009B3A8A" w:rsidRDefault="009B3A8A" w:rsidP="009B3A8A">
            <w:pPr>
              <w:spacing w:before="0" w:line="240" w:lineRule="auto"/>
              <w:jc w:val="center"/>
              <w:rPr>
                <w:rFonts w:cs="Arial"/>
                <w:b/>
                <w:bCs/>
                <w:color w:val="000000"/>
                <w:sz w:val="20"/>
                <w:lang w:eastAsia="en-GB"/>
              </w:rPr>
            </w:pPr>
            <w:r w:rsidRPr="009B3A8A">
              <w:rPr>
                <w:rFonts w:cs="Arial"/>
                <w:b/>
                <w:bCs/>
                <w:color w:val="000000"/>
                <w:sz w:val="20"/>
                <w:lang w:eastAsia="en-GB"/>
              </w:rPr>
              <w:t>Poverty line (€, £) / year, week</w:t>
            </w:r>
          </w:p>
        </w:tc>
        <w:tc>
          <w:tcPr>
            <w:tcW w:w="2163" w:type="pct"/>
            <w:gridSpan w:val="3"/>
            <w:tcBorders>
              <w:top w:val="single" w:sz="4" w:space="0" w:color="auto"/>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b/>
                <w:bCs/>
                <w:color w:val="000000"/>
                <w:sz w:val="20"/>
                <w:lang w:eastAsia="en-GB"/>
              </w:rPr>
            </w:pPr>
            <w:r w:rsidRPr="009B3A8A">
              <w:rPr>
                <w:rFonts w:cs="Arial"/>
                <w:b/>
                <w:bCs/>
                <w:color w:val="000000"/>
                <w:sz w:val="20"/>
                <w:lang w:eastAsia="en-GB"/>
              </w:rPr>
              <w:t>ARoP rate (%, quintiles)</w:t>
            </w:r>
          </w:p>
        </w:tc>
      </w:tr>
      <w:tr w:rsidR="009B3A8A" w:rsidRPr="009B3A8A" w:rsidTr="0053752C">
        <w:trPr>
          <w:trHeight w:val="340"/>
        </w:trPr>
        <w:tc>
          <w:tcPr>
            <w:tcW w:w="1117" w:type="pct"/>
            <w:vMerge/>
            <w:tcBorders>
              <w:top w:val="single" w:sz="4" w:space="0" w:color="auto"/>
              <w:left w:val="nil"/>
              <w:bottom w:val="single" w:sz="4" w:space="0" w:color="000000"/>
              <w:right w:val="nil"/>
            </w:tcBorders>
            <w:vAlign w:val="center"/>
            <w:hideMark/>
          </w:tcPr>
          <w:p w:rsidR="009B3A8A" w:rsidRPr="009B3A8A" w:rsidRDefault="009B3A8A" w:rsidP="009B3A8A">
            <w:pPr>
              <w:spacing w:before="0" w:line="240" w:lineRule="auto"/>
              <w:jc w:val="left"/>
              <w:rPr>
                <w:rFonts w:cs="Arial"/>
                <w:b/>
                <w:bCs/>
                <w:color w:val="000000"/>
                <w:sz w:val="20"/>
                <w:lang w:eastAsia="en-GB"/>
              </w:rPr>
            </w:pPr>
          </w:p>
        </w:tc>
        <w:tc>
          <w:tcPr>
            <w:tcW w:w="543" w:type="pct"/>
            <w:vMerge/>
            <w:tcBorders>
              <w:top w:val="single" w:sz="4" w:space="0" w:color="auto"/>
              <w:left w:val="nil"/>
              <w:bottom w:val="single" w:sz="4" w:space="0" w:color="000000"/>
              <w:right w:val="nil"/>
            </w:tcBorders>
            <w:vAlign w:val="center"/>
            <w:hideMark/>
          </w:tcPr>
          <w:p w:rsidR="009B3A8A" w:rsidRPr="009B3A8A" w:rsidRDefault="009B3A8A" w:rsidP="009B3A8A">
            <w:pPr>
              <w:spacing w:before="0" w:line="240" w:lineRule="auto"/>
              <w:jc w:val="left"/>
              <w:rPr>
                <w:rFonts w:cs="Arial"/>
                <w:b/>
                <w:bCs/>
                <w:color w:val="000000"/>
                <w:sz w:val="20"/>
                <w:lang w:eastAsia="en-GB"/>
              </w:rPr>
            </w:pPr>
          </w:p>
        </w:tc>
        <w:tc>
          <w:tcPr>
            <w:tcW w:w="1177" w:type="pct"/>
            <w:vMerge/>
            <w:tcBorders>
              <w:top w:val="single" w:sz="4" w:space="0" w:color="auto"/>
              <w:left w:val="nil"/>
              <w:bottom w:val="single" w:sz="4" w:space="0" w:color="000000"/>
              <w:right w:val="nil"/>
            </w:tcBorders>
            <w:vAlign w:val="center"/>
            <w:hideMark/>
          </w:tcPr>
          <w:p w:rsidR="009B3A8A" w:rsidRPr="009B3A8A" w:rsidRDefault="009B3A8A" w:rsidP="009B3A8A">
            <w:pPr>
              <w:spacing w:before="0" w:line="240" w:lineRule="auto"/>
              <w:jc w:val="left"/>
              <w:rPr>
                <w:rFonts w:cs="Arial"/>
                <w:b/>
                <w:bCs/>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b/>
                <w:bCs/>
                <w:color w:val="000000"/>
                <w:sz w:val="20"/>
                <w:lang w:eastAsia="en-GB"/>
              </w:rPr>
            </w:pPr>
            <w:r w:rsidRPr="009B3A8A">
              <w:rPr>
                <w:rFonts w:cs="Arial"/>
                <w:b/>
                <w:bCs/>
                <w:color w:val="000000"/>
                <w:sz w:val="20"/>
                <w:lang w:eastAsia="en-GB"/>
              </w:rPr>
              <w:t>Quintile</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b/>
                <w:bCs/>
                <w:color w:val="000000"/>
                <w:sz w:val="20"/>
                <w:lang w:eastAsia="en-GB"/>
              </w:rPr>
            </w:pPr>
            <w:r w:rsidRPr="009B3A8A">
              <w:rPr>
                <w:rFonts w:cs="Arial"/>
                <w:b/>
                <w:bCs/>
                <w:color w:val="000000"/>
                <w:sz w:val="20"/>
                <w:lang w:eastAsia="en-GB"/>
              </w:rPr>
              <w:t>Min</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b/>
                <w:bCs/>
                <w:color w:val="000000"/>
                <w:sz w:val="20"/>
                <w:lang w:eastAsia="en-GB"/>
              </w:rPr>
            </w:pPr>
            <w:r w:rsidRPr="009B3A8A">
              <w:rPr>
                <w:rFonts w:cs="Arial"/>
                <w:b/>
                <w:bCs/>
                <w:color w:val="000000"/>
                <w:sz w:val="20"/>
                <w:lang w:eastAsia="en-GB"/>
              </w:rPr>
              <w:t>Max</w:t>
            </w:r>
          </w:p>
        </w:tc>
      </w:tr>
      <w:tr w:rsidR="009B3A8A" w:rsidRPr="009B3A8A" w:rsidTr="0053752C">
        <w:trPr>
          <w:trHeight w:val="283"/>
        </w:trPr>
        <w:tc>
          <w:tcPr>
            <w:tcW w:w="1117" w:type="pct"/>
            <w:vMerge w:val="restar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Albania (BHC)</w:t>
            </w:r>
          </w:p>
        </w:tc>
        <w:tc>
          <w:tcPr>
            <w:tcW w:w="543" w:type="pct"/>
            <w:vMerge w:val="restar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WBPM</w:t>
            </w:r>
          </w:p>
        </w:tc>
        <w:tc>
          <w:tcPr>
            <w:tcW w:w="1177" w:type="pct"/>
            <w:vMerge w:val="restar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n/a / 2008</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10.89</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11.66</w:t>
            </w:r>
          </w:p>
        </w:tc>
      </w:tr>
      <w:tr w:rsidR="009B3A8A" w:rsidRPr="009B3A8A" w:rsidTr="0053752C">
        <w:trPr>
          <w:trHeight w:val="283"/>
        </w:trPr>
        <w:tc>
          <w:tcPr>
            <w:tcW w:w="1117" w:type="pct"/>
            <w:vMerge/>
            <w:tcBorders>
              <w:top w:val="nil"/>
              <w:left w:val="nil"/>
              <w:bottom w:val="nil"/>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nil"/>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nil"/>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11.71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15.14</w:t>
            </w:r>
          </w:p>
        </w:tc>
      </w:tr>
      <w:tr w:rsidR="009B3A8A" w:rsidRPr="009B3A8A" w:rsidTr="0053752C">
        <w:trPr>
          <w:trHeight w:val="283"/>
        </w:trPr>
        <w:tc>
          <w:tcPr>
            <w:tcW w:w="1117" w:type="pct"/>
            <w:vMerge/>
            <w:tcBorders>
              <w:top w:val="nil"/>
              <w:left w:val="nil"/>
              <w:bottom w:val="nil"/>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nil"/>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nil"/>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15.85</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17.02</w:t>
            </w:r>
          </w:p>
        </w:tc>
      </w:tr>
      <w:tr w:rsidR="009B3A8A" w:rsidRPr="009B3A8A" w:rsidTr="0053752C">
        <w:trPr>
          <w:trHeight w:val="283"/>
        </w:trPr>
        <w:tc>
          <w:tcPr>
            <w:tcW w:w="1117" w:type="pct"/>
            <w:vMerge/>
            <w:tcBorders>
              <w:top w:val="nil"/>
              <w:left w:val="nil"/>
              <w:bottom w:val="nil"/>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nil"/>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nil"/>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19.17</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19.40</w:t>
            </w:r>
          </w:p>
        </w:tc>
      </w:tr>
      <w:tr w:rsidR="009B3A8A" w:rsidRPr="009B3A8A" w:rsidTr="0053752C">
        <w:trPr>
          <w:trHeight w:val="283"/>
        </w:trPr>
        <w:tc>
          <w:tcPr>
            <w:tcW w:w="1117" w:type="pct"/>
            <w:vMerge/>
            <w:tcBorders>
              <w:top w:val="nil"/>
              <w:left w:val="nil"/>
              <w:bottom w:val="nil"/>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nil"/>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nil"/>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33.41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37.37</w:t>
            </w:r>
          </w:p>
        </w:tc>
      </w:tr>
      <w:tr w:rsidR="009B3A8A" w:rsidRPr="009B3A8A" w:rsidTr="0053752C">
        <w:trPr>
          <w:trHeight w:val="283"/>
        </w:trPr>
        <w:tc>
          <w:tcPr>
            <w:tcW w:w="1117" w:type="pct"/>
            <w:vMerge w:val="restart"/>
            <w:tcBorders>
              <w:top w:val="single" w:sz="4" w:space="0" w:color="auto"/>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Austria (BHC)</w:t>
            </w:r>
          </w:p>
        </w:tc>
        <w:tc>
          <w:tcPr>
            <w:tcW w:w="543" w:type="pct"/>
            <w:vMerge w:val="restart"/>
            <w:tcBorders>
              <w:top w:val="single" w:sz="4" w:space="0" w:color="auto"/>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WBPM</w:t>
            </w:r>
          </w:p>
        </w:tc>
        <w:tc>
          <w:tcPr>
            <w:tcW w:w="1177" w:type="pct"/>
            <w:vMerge w:val="restart"/>
            <w:tcBorders>
              <w:top w:val="single" w:sz="4" w:space="0" w:color="auto"/>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€10801 / 2001</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single" w:sz="4" w:space="0" w:color="auto"/>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11.57</w:t>
            </w:r>
          </w:p>
        </w:tc>
        <w:tc>
          <w:tcPr>
            <w:tcW w:w="420" w:type="pct"/>
            <w:tcBorders>
              <w:top w:val="single" w:sz="4" w:space="0" w:color="auto"/>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12.79</w:t>
            </w:r>
          </w:p>
        </w:tc>
      </w:tr>
      <w:tr w:rsidR="009B3A8A" w:rsidRPr="009B3A8A" w:rsidTr="0053752C">
        <w:trPr>
          <w:trHeight w:val="283"/>
        </w:trPr>
        <w:tc>
          <w:tcPr>
            <w:tcW w:w="1117" w:type="pct"/>
            <w:vMerge/>
            <w:tcBorders>
              <w:top w:val="single" w:sz="4" w:space="0" w:color="auto"/>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single" w:sz="4" w:space="0" w:color="auto"/>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single" w:sz="4" w:space="0" w:color="auto"/>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12.81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13.48</w:t>
            </w:r>
          </w:p>
        </w:tc>
      </w:tr>
      <w:tr w:rsidR="009B3A8A" w:rsidRPr="009B3A8A" w:rsidTr="0053752C">
        <w:trPr>
          <w:trHeight w:val="283"/>
        </w:trPr>
        <w:tc>
          <w:tcPr>
            <w:tcW w:w="1117" w:type="pct"/>
            <w:vMerge/>
            <w:tcBorders>
              <w:top w:val="single" w:sz="4" w:space="0" w:color="auto"/>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single" w:sz="4" w:space="0" w:color="auto"/>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single" w:sz="4" w:space="0" w:color="auto"/>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13.50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13.95</w:t>
            </w:r>
          </w:p>
        </w:tc>
      </w:tr>
      <w:tr w:rsidR="009B3A8A" w:rsidRPr="009B3A8A" w:rsidTr="0053752C">
        <w:trPr>
          <w:trHeight w:val="283"/>
        </w:trPr>
        <w:tc>
          <w:tcPr>
            <w:tcW w:w="1117" w:type="pct"/>
            <w:vMerge/>
            <w:tcBorders>
              <w:top w:val="single" w:sz="4" w:space="0" w:color="auto"/>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single" w:sz="4" w:space="0" w:color="auto"/>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single" w:sz="4" w:space="0" w:color="auto"/>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14.06</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14.50</w:t>
            </w:r>
          </w:p>
        </w:tc>
      </w:tr>
      <w:tr w:rsidR="009B3A8A" w:rsidRPr="009B3A8A" w:rsidTr="0053752C">
        <w:trPr>
          <w:trHeight w:val="283"/>
        </w:trPr>
        <w:tc>
          <w:tcPr>
            <w:tcW w:w="1117" w:type="pct"/>
            <w:vMerge/>
            <w:tcBorders>
              <w:top w:val="single" w:sz="4" w:space="0" w:color="auto"/>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single" w:sz="4" w:space="0" w:color="auto"/>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single" w:sz="4" w:space="0" w:color="auto"/>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14.54</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18.85</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Austria (AHC)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WBPM</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€10661 / 2001</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11.52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12.66</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12.78</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13.36</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13.54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13.91</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13.96</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14.52</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14.53</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18.73</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Austria (BHC)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APPT</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€12791 / 2011</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10.48</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11.29</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11.35</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12.04</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12.08</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12.62</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12.86</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14.12</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14.34</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17.03</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Belgium (BHC)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APPT</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n/a / 2011</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4.76</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9.11</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9.12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11.85</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11.86</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15.55</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15.56</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20.18</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20.19</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36.78</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Croatia (BHC)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EXT</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n/a / 2002-04</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2.50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6.20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6.60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8.90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10.20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16.30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16.40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19.90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20.80</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33.80</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Denmark (BHC)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REG</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n/a / 2010</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8.67</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8.92</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8.93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11.39</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11.40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12.21</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12.22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13.16</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13.17</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20.35</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Finland (BHC)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REG</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€12123 / 2010</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8.50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13.50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13.60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15.30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15.40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15.80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15.90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17.60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17.70</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21.10</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France (BHC)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EXT</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€17140 / 2011</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8.22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12.12</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12.14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13.53</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13.63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14.84</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14.87</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16.39</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16.86</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24.80</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Germany (BHC)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ABM</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€11278 / 2011</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8.46</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11.25</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11.26</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13.01</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13.02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15.15</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15.16</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18.02</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18.03</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60.93</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Greece (BHC)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WBPM</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€5340 / 2001</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15.79</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20.65</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20.66</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21.40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21.41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22.03</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22.04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23.08</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23.09</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25.74</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Greece (AHC)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WBPM</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€5520 / 2001</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17.28</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21.96</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21.97</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23.12</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23.13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23.60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23.61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25.20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25.21</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28.19</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Greece (BHC)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WBPM</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€5833 / 2011</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16.97</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19.76</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19.77</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20.26</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20.27</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20.54</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20.55</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21.36</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21.37</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24.33</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Greece (AHC)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WBPM</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€5682 / 2011</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17.47</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20.32</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20.33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20.99</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21.00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21.25</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21.26</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22.36</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22.37</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25.34</w:t>
            </w:r>
          </w:p>
        </w:tc>
      </w:tr>
      <w:tr w:rsidR="009B3A8A" w:rsidRPr="009B3A8A" w:rsidTr="0053752C">
        <w:trPr>
          <w:trHeight w:val="283"/>
        </w:trPr>
        <w:tc>
          <w:tcPr>
            <w:tcW w:w="1117"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Iceland (BHC)</w:t>
            </w:r>
          </w:p>
        </w:tc>
        <w:tc>
          <w:tcPr>
            <w:tcW w:w="543"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EXT</w:t>
            </w:r>
          </w:p>
        </w:tc>
        <w:tc>
          <w:tcPr>
            <w:tcW w:w="1177"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€9986 / 2010</w:t>
            </w: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n/a</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9.20</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9.20</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Ireland (BHC)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EXT</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€12064 / 2009</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8.30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8.30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14.10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14.10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14.60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14.70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18.30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18.90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23.50</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23.50</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Italy (BHC)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ABM</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n/a / 2011</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1.36</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9.89</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9.90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13.50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13.51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18.08</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18.09</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29.97</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29.98</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49.17</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lastRenderedPageBreak/>
              <w:t>Netherlands (BHC)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REG</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€7305 / 2010</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6.70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7.80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7.90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8.50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8.50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9.30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9.30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10.20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10.30</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13.70</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Norway (BHC)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REG</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€14817 / 2010</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7.20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7.90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8.00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8.50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8.60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9.40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9.44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9.87</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9.90</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14.50</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Portugal (BHC)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APPT</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€8160 / 2011</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7.64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22.81</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22.82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25.69</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25.70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27.21</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27.22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29.12</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29.13</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31.52</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Spain (BHC)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APPT</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€11232 / 2010</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13.82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21.03</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21.04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27.24</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27.25</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29.30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29.31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32.15</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32.16</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45.05</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Sweden (BHC)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EXT</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€12360 / 2010</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12.26</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15.49</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15.50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16.05</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16.06</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16.65</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16.66</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16.95</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16.96</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20.21</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Switzerland (BHC)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APPT</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€20362 / 2011</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5.09</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7.17</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7.73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10.12</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10.47</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11.80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13.30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17.51</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20.62</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31.31</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Turkey (BHC)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ABM</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n/a / 2011</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6.66</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16.05</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16.05</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18.03</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18.03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28.99</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28.99</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43.19</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43.19</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63.44</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United Kingdom (BHC)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WBPM</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€10806 / 2001</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6.74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12.40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12.41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14.82</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14.83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17.43</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17.44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21.26</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21.27</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37.25</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United kingdom (AHC)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WBPM</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€10583 / 2001</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19.80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22.04</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22.05</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23.91</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23.92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25.84</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25.85</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27.75</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27.76</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35.39</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England and Wales (AHC)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EXT</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n/a / 2007-2008</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14.40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17.90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18.00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20.60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20.70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22.40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22.50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25.40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25.50</w:t>
            </w:r>
          </w:p>
        </w:tc>
        <w:tc>
          <w:tcPr>
            <w:tcW w:w="420"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37.40</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Scotland (BHC)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EXT</w:t>
            </w:r>
          </w:p>
        </w:tc>
        <w:tc>
          <w:tcPr>
            <w:tcW w:w="1177"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£18780 / 2005-2008</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15.00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17.10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17.20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18.80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3</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18.90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20.10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4</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20.20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21.60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5</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21.70</w:t>
            </w:r>
          </w:p>
        </w:tc>
        <w:tc>
          <w:tcPr>
            <w:tcW w:w="420"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25.00</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Northern Ireland (BHC)*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EXT</w:t>
            </w:r>
          </w:p>
        </w:tc>
        <w:tc>
          <w:tcPr>
            <w:tcW w:w="1177" w:type="pct"/>
            <w:vMerge w:val="restart"/>
            <w:tcBorders>
              <w:top w:val="nil"/>
              <w:left w:val="nil"/>
              <w:bottom w:val="single" w:sz="4" w:space="0" w:color="000000"/>
              <w:right w:val="nil"/>
            </w:tcBorders>
            <w:shd w:val="clear" w:color="auto" w:fill="auto"/>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£256 per week / 2009/10-2011/12</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left"/>
              <w:rPr>
                <w:rFonts w:cs="Arial"/>
                <w:color w:val="000000"/>
                <w:sz w:val="20"/>
                <w:lang w:eastAsia="en-GB"/>
              </w:rPr>
            </w:pPr>
            <w:r w:rsidRPr="009B3A8A">
              <w:rPr>
                <w:rFonts w:cs="Arial"/>
                <w:color w:val="000000"/>
                <w:sz w:val="20"/>
                <w:lang w:eastAsia="en-GB"/>
              </w:rPr>
              <w:t>North of NI</w:t>
            </w:r>
          </w:p>
        </w:tc>
        <w:tc>
          <w:tcPr>
            <w:tcW w:w="841" w:type="pct"/>
            <w:gridSpan w:val="2"/>
            <w:tcBorders>
              <w:top w:val="single" w:sz="4" w:space="0" w:color="auto"/>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23.00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left"/>
              <w:rPr>
                <w:rFonts w:cs="Arial"/>
                <w:color w:val="000000"/>
                <w:sz w:val="20"/>
                <w:lang w:eastAsia="en-GB"/>
              </w:rPr>
            </w:pPr>
            <w:r w:rsidRPr="009B3A8A">
              <w:rPr>
                <w:rFonts w:cs="Arial"/>
                <w:color w:val="000000"/>
                <w:sz w:val="20"/>
                <w:lang w:eastAsia="en-GB"/>
              </w:rPr>
              <w:t>West and South of NI</w:t>
            </w:r>
          </w:p>
        </w:tc>
        <w:tc>
          <w:tcPr>
            <w:tcW w:w="841" w:type="pct"/>
            <w:gridSpan w:val="2"/>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23.00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left"/>
              <w:rPr>
                <w:rFonts w:cs="Arial"/>
                <w:color w:val="000000"/>
                <w:sz w:val="20"/>
                <w:lang w:eastAsia="en-GB"/>
              </w:rPr>
            </w:pPr>
            <w:r w:rsidRPr="009B3A8A">
              <w:rPr>
                <w:rFonts w:cs="Arial"/>
                <w:color w:val="000000"/>
                <w:sz w:val="20"/>
                <w:lang w:eastAsia="en-GB"/>
              </w:rPr>
              <w:t>Belfast</w:t>
            </w:r>
          </w:p>
        </w:tc>
        <w:tc>
          <w:tcPr>
            <w:tcW w:w="841" w:type="pct"/>
            <w:gridSpan w:val="2"/>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21.00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left"/>
              <w:rPr>
                <w:rFonts w:cs="Arial"/>
                <w:color w:val="000000"/>
                <w:sz w:val="20"/>
                <w:lang w:eastAsia="en-GB"/>
              </w:rPr>
            </w:pPr>
            <w:r w:rsidRPr="009B3A8A">
              <w:rPr>
                <w:rFonts w:cs="Arial"/>
                <w:color w:val="000000"/>
                <w:sz w:val="20"/>
                <w:lang w:eastAsia="en-GB"/>
              </w:rPr>
              <w:t>East of NI</w:t>
            </w:r>
          </w:p>
        </w:tc>
        <w:tc>
          <w:tcPr>
            <w:tcW w:w="841" w:type="pct"/>
            <w:gridSpan w:val="2"/>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20.00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left"/>
              <w:rPr>
                <w:rFonts w:cs="Arial"/>
                <w:color w:val="000000"/>
                <w:sz w:val="20"/>
                <w:lang w:eastAsia="en-GB"/>
              </w:rPr>
            </w:pPr>
            <w:r w:rsidRPr="009B3A8A">
              <w:rPr>
                <w:rFonts w:cs="Arial"/>
                <w:color w:val="000000"/>
                <w:sz w:val="20"/>
                <w:lang w:eastAsia="en-GB"/>
              </w:rPr>
              <w:t>Outer Belfast</w:t>
            </w:r>
          </w:p>
        </w:tc>
        <w:tc>
          <w:tcPr>
            <w:tcW w:w="841" w:type="pct"/>
            <w:gridSpan w:val="2"/>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18.00</w:t>
            </w:r>
          </w:p>
        </w:tc>
      </w:tr>
      <w:tr w:rsidR="009B3A8A" w:rsidRPr="009B3A8A" w:rsidTr="0053752C">
        <w:trPr>
          <w:trHeight w:val="283"/>
        </w:trPr>
        <w:tc>
          <w:tcPr>
            <w:tcW w:w="1117" w:type="pct"/>
            <w:vMerge w:val="restart"/>
            <w:tcBorders>
              <w:top w:val="nil"/>
              <w:left w:val="nil"/>
              <w:bottom w:val="single" w:sz="4" w:space="0" w:color="000000"/>
              <w:right w:val="nil"/>
            </w:tcBorders>
            <w:shd w:val="clear" w:color="auto" w:fill="auto"/>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Northern Ireland (AHC)*</w:t>
            </w:r>
          </w:p>
        </w:tc>
        <w:tc>
          <w:tcPr>
            <w:tcW w:w="543" w:type="pct"/>
            <w:vMerge w:val="restart"/>
            <w:tcBorders>
              <w:top w:val="nil"/>
              <w:left w:val="nil"/>
              <w:bottom w:val="single" w:sz="4" w:space="0" w:color="000000"/>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EXT</w:t>
            </w:r>
          </w:p>
        </w:tc>
        <w:tc>
          <w:tcPr>
            <w:tcW w:w="1177" w:type="pct"/>
            <w:vMerge w:val="restart"/>
            <w:tcBorders>
              <w:top w:val="nil"/>
              <w:left w:val="nil"/>
              <w:bottom w:val="single" w:sz="4" w:space="0" w:color="000000"/>
              <w:right w:val="nil"/>
            </w:tcBorders>
            <w:shd w:val="clear" w:color="auto" w:fill="auto"/>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£220 per week / 2009/10-2011/12</w:t>
            </w: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left"/>
              <w:rPr>
                <w:rFonts w:cs="Arial"/>
                <w:color w:val="000000"/>
                <w:sz w:val="20"/>
                <w:lang w:eastAsia="en-GB"/>
              </w:rPr>
            </w:pPr>
            <w:r w:rsidRPr="009B3A8A">
              <w:rPr>
                <w:rFonts w:cs="Arial"/>
                <w:color w:val="000000"/>
                <w:sz w:val="20"/>
                <w:lang w:eastAsia="en-GB"/>
              </w:rPr>
              <w:t>North of NI</w:t>
            </w:r>
          </w:p>
        </w:tc>
        <w:tc>
          <w:tcPr>
            <w:tcW w:w="841" w:type="pct"/>
            <w:gridSpan w:val="2"/>
            <w:tcBorders>
              <w:top w:val="single" w:sz="4" w:space="0" w:color="auto"/>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25.00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left"/>
              <w:rPr>
                <w:rFonts w:cs="Arial"/>
                <w:color w:val="000000"/>
                <w:sz w:val="20"/>
                <w:lang w:eastAsia="en-GB"/>
              </w:rPr>
            </w:pPr>
            <w:r w:rsidRPr="009B3A8A">
              <w:rPr>
                <w:rFonts w:cs="Arial"/>
                <w:color w:val="000000"/>
                <w:sz w:val="20"/>
                <w:lang w:eastAsia="en-GB"/>
              </w:rPr>
              <w:t>Belfast</w:t>
            </w:r>
          </w:p>
        </w:tc>
        <w:tc>
          <w:tcPr>
            <w:tcW w:w="841" w:type="pct"/>
            <w:gridSpan w:val="2"/>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23.00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left"/>
              <w:rPr>
                <w:rFonts w:cs="Arial"/>
                <w:color w:val="000000"/>
                <w:sz w:val="20"/>
                <w:lang w:eastAsia="en-GB"/>
              </w:rPr>
            </w:pPr>
            <w:r w:rsidRPr="009B3A8A">
              <w:rPr>
                <w:rFonts w:cs="Arial"/>
                <w:color w:val="000000"/>
                <w:sz w:val="20"/>
                <w:lang w:eastAsia="en-GB"/>
              </w:rPr>
              <w:t>West and South of NI</w:t>
            </w:r>
          </w:p>
        </w:tc>
        <w:tc>
          <w:tcPr>
            <w:tcW w:w="841" w:type="pct"/>
            <w:gridSpan w:val="2"/>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22.00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left"/>
              <w:rPr>
                <w:rFonts w:cs="Arial"/>
                <w:color w:val="000000"/>
                <w:sz w:val="20"/>
                <w:lang w:eastAsia="en-GB"/>
              </w:rPr>
            </w:pPr>
            <w:r w:rsidRPr="009B3A8A">
              <w:rPr>
                <w:rFonts w:cs="Arial"/>
                <w:color w:val="000000"/>
                <w:sz w:val="20"/>
                <w:lang w:eastAsia="en-GB"/>
              </w:rPr>
              <w:t>East of NI</w:t>
            </w:r>
          </w:p>
        </w:tc>
        <w:tc>
          <w:tcPr>
            <w:tcW w:w="841" w:type="pct"/>
            <w:gridSpan w:val="2"/>
            <w:tcBorders>
              <w:top w:val="nil"/>
              <w:left w:val="nil"/>
              <w:bottom w:val="nil"/>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21.00</w:t>
            </w:r>
          </w:p>
        </w:tc>
      </w:tr>
      <w:tr w:rsidR="009B3A8A" w:rsidRPr="009B3A8A" w:rsidTr="0053752C">
        <w:trPr>
          <w:trHeight w:val="283"/>
        </w:trPr>
        <w:tc>
          <w:tcPr>
            <w:tcW w:w="111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543"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177" w:type="pct"/>
            <w:vMerge/>
            <w:tcBorders>
              <w:top w:val="nil"/>
              <w:left w:val="nil"/>
              <w:bottom w:val="single" w:sz="4" w:space="0" w:color="000000"/>
              <w:right w:val="nil"/>
            </w:tcBorders>
            <w:vAlign w:val="center"/>
            <w:hideMark/>
          </w:tcPr>
          <w:p w:rsidR="009B3A8A" w:rsidRPr="009B3A8A" w:rsidRDefault="009B3A8A" w:rsidP="009B3A8A">
            <w:pPr>
              <w:spacing w:before="0" w:line="240" w:lineRule="auto"/>
              <w:jc w:val="left"/>
              <w:rPr>
                <w:rFonts w:cs="Arial"/>
                <w:color w:val="000000"/>
                <w:sz w:val="20"/>
                <w:lang w:eastAsia="en-GB"/>
              </w:rPr>
            </w:pPr>
          </w:p>
        </w:tc>
        <w:tc>
          <w:tcPr>
            <w:tcW w:w="1322" w:type="pct"/>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left"/>
              <w:rPr>
                <w:rFonts w:cs="Arial"/>
                <w:color w:val="000000"/>
                <w:sz w:val="20"/>
                <w:lang w:eastAsia="en-GB"/>
              </w:rPr>
            </w:pPr>
            <w:r w:rsidRPr="009B3A8A">
              <w:rPr>
                <w:rFonts w:cs="Arial"/>
                <w:color w:val="000000"/>
                <w:sz w:val="20"/>
                <w:lang w:eastAsia="en-GB"/>
              </w:rPr>
              <w:t>Outer Belfast</w:t>
            </w:r>
          </w:p>
        </w:tc>
        <w:tc>
          <w:tcPr>
            <w:tcW w:w="841" w:type="pct"/>
            <w:gridSpan w:val="2"/>
            <w:tcBorders>
              <w:top w:val="nil"/>
              <w:left w:val="nil"/>
              <w:bottom w:val="single" w:sz="4" w:space="0" w:color="auto"/>
              <w:right w:val="nil"/>
            </w:tcBorders>
            <w:shd w:val="clear" w:color="auto" w:fill="auto"/>
            <w:noWrap/>
            <w:vAlign w:val="center"/>
            <w:hideMark/>
          </w:tcPr>
          <w:p w:rsidR="009B3A8A" w:rsidRPr="009B3A8A" w:rsidRDefault="009B3A8A" w:rsidP="009B3A8A">
            <w:pPr>
              <w:spacing w:before="0" w:line="240" w:lineRule="auto"/>
              <w:jc w:val="center"/>
              <w:rPr>
                <w:rFonts w:cs="Arial"/>
                <w:color w:val="000000"/>
                <w:sz w:val="20"/>
                <w:lang w:eastAsia="en-GB"/>
              </w:rPr>
            </w:pPr>
            <w:r w:rsidRPr="009B3A8A">
              <w:rPr>
                <w:rFonts w:cs="Arial"/>
                <w:color w:val="000000"/>
                <w:sz w:val="20"/>
                <w:lang w:eastAsia="en-GB"/>
              </w:rPr>
              <w:t>20.00</w:t>
            </w:r>
          </w:p>
        </w:tc>
      </w:tr>
    </w:tbl>
    <w:p w:rsidR="009B3A8A" w:rsidRPr="009B3A8A" w:rsidRDefault="009B3A8A" w:rsidP="009B3A8A">
      <w:pPr>
        <w:spacing w:before="0" w:line="240" w:lineRule="auto"/>
        <w:rPr>
          <w:b/>
          <w:noProof/>
          <w:color w:val="000000" w:themeColor="text1"/>
          <w:sz w:val="20"/>
        </w:rPr>
      </w:pPr>
      <w:r w:rsidRPr="009B3A8A">
        <w:rPr>
          <w:b/>
          <w:noProof/>
          <w:color w:val="000000" w:themeColor="text1"/>
          <w:sz w:val="20"/>
        </w:rPr>
        <w:t>Legend:</w:t>
      </w:r>
      <w:r w:rsidRPr="009B3A8A">
        <w:rPr>
          <w:b/>
          <w:noProof/>
          <w:color w:val="000000" w:themeColor="text1"/>
          <w:sz w:val="20"/>
        </w:rPr>
        <w:tab/>
      </w:r>
    </w:p>
    <w:p w:rsidR="009B3A8A" w:rsidRPr="009B3A8A" w:rsidRDefault="009B3A8A" w:rsidP="009B3A8A">
      <w:pPr>
        <w:spacing w:before="0" w:line="240" w:lineRule="auto"/>
        <w:rPr>
          <w:noProof/>
          <w:color w:val="000000" w:themeColor="text1"/>
          <w:sz w:val="20"/>
        </w:rPr>
      </w:pPr>
      <w:r w:rsidRPr="009B3A8A">
        <w:rPr>
          <w:noProof/>
          <w:color w:val="000000" w:themeColor="text1"/>
          <w:sz w:val="20"/>
        </w:rPr>
        <w:t>ABM</w:t>
      </w:r>
      <w:r w:rsidRPr="009B3A8A">
        <w:rPr>
          <w:noProof/>
          <w:color w:val="000000" w:themeColor="text1"/>
          <w:sz w:val="20"/>
        </w:rPr>
        <w:tab/>
      </w:r>
      <w:r>
        <w:rPr>
          <w:noProof/>
          <w:color w:val="000000" w:themeColor="text1"/>
          <w:sz w:val="20"/>
        </w:rPr>
        <w:tab/>
      </w:r>
      <w:r w:rsidRPr="009B3A8A">
        <w:rPr>
          <w:noProof/>
          <w:color w:val="000000" w:themeColor="text1"/>
          <w:sz w:val="20"/>
        </w:rPr>
        <w:t>Area based model</w:t>
      </w:r>
    </w:p>
    <w:p w:rsidR="009B3A8A" w:rsidRPr="009B3A8A" w:rsidRDefault="009B3A8A" w:rsidP="009B3A8A">
      <w:pPr>
        <w:spacing w:before="0" w:line="240" w:lineRule="auto"/>
        <w:rPr>
          <w:noProof/>
          <w:color w:val="000000" w:themeColor="text1"/>
          <w:sz w:val="20"/>
        </w:rPr>
      </w:pPr>
      <w:r w:rsidRPr="009B3A8A">
        <w:rPr>
          <w:noProof/>
          <w:color w:val="000000" w:themeColor="text1"/>
          <w:sz w:val="20"/>
        </w:rPr>
        <w:t>APPT</w:t>
      </w:r>
      <w:r w:rsidRPr="009B3A8A">
        <w:rPr>
          <w:noProof/>
          <w:color w:val="000000" w:themeColor="text1"/>
          <w:sz w:val="20"/>
        </w:rPr>
        <w:tab/>
      </w:r>
      <w:r>
        <w:rPr>
          <w:noProof/>
          <w:color w:val="000000" w:themeColor="text1"/>
          <w:sz w:val="20"/>
        </w:rPr>
        <w:tab/>
      </w:r>
      <w:r w:rsidRPr="009B3A8A">
        <w:rPr>
          <w:noProof/>
          <w:color w:val="000000" w:themeColor="text1"/>
          <w:sz w:val="20"/>
        </w:rPr>
        <w:t>Simple apportionment</w:t>
      </w:r>
    </w:p>
    <w:p w:rsidR="009B3A8A" w:rsidRPr="009B3A8A" w:rsidRDefault="009B3A8A" w:rsidP="009B3A8A">
      <w:pPr>
        <w:spacing w:before="0" w:line="240" w:lineRule="auto"/>
        <w:rPr>
          <w:noProof/>
          <w:color w:val="000000" w:themeColor="text1"/>
          <w:sz w:val="20"/>
        </w:rPr>
      </w:pPr>
      <w:r w:rsidRPr="009B3A8A">
        <w:rPr>
          <w:noProof/>
          <w:color w:val="000000" w:themeColor="text1"/>
          <w:sz w:val="20"/>
        </w:rPr>
        <w:t>REG</w:t>
      </w:r>
      <w:r w:rsidRPr="009B3A8A">
        <w:rPr>
          <w:noProof/>
          <w:color w:val="000000" w:themeColor="text1"/>
          <w:sz w:val="20"/>
        </w:rPr>
        <w:tab/>
      </w:r>
      <w:r>
        <w:rPr>
          <w:noProof/>
          <w:color w:val="000000" w:themeColor="text1"/>
          <w:sz w:val="20"/>
        </w:rPr>
        <w:tab/>
      </w:r>
      <w:r w:rsidRPr="009B3A8A">
        <w:rPr>
          <w:noProof/>
          <w:color w:val="000000" w:themeColor="text1"/>
          <w:sz w:val="20"/>
        </w:rPr>
        <w:t>Register data</w:t>
      </w:r>
    </w:p>
    <w:p w:rsidR="009B3A8A" w:rsidRPr="009B3A8A" w:rsidRDefault="009B3A8A" w:rsidP="009B3A8A">
      <w:pPr>
        <w:spacing w:before="0" w:line="240" w:lineRule="auto"/>
        <w:rPr>
          <w:noProof/>
          <w:color w:val="000000" w:themeColor="text1"/>
          <w:sz w:val="20"/>
        </w:rPr>
      </w:pPr>
      <w:r w:rsidRPr="009B3A8A">
        <w:rPr>
          <w:noProof/>
          <w:color w:val="000000" w:themeColor="text1"/>
          <w:sz w:val="20"/>
        </w:rPr>
        <w:t>WBPM</w:t>
      </w:r>
      <w:r w:rsidRPr="009B3A8A">
        <w:rPr>
          <w:noProof/>
          <w:color w:val="000000" w:themeColor="text1"/>
          <w:sz w:val="20"/>
        </w:rPr>
        <w:tab/>
      </w:r>
      <w:r>
        <w:rPr>
          <w:noProof/>
          <w:color w:val="000000" w:themeColor="text1"/>
          <w:sz w:val="20"/>
        </w:rPr>
        <w:tab/>
      </w:r>
      <w:r w:rsidRPr="009B3A8A">
        <w:rPr>
          <w:noProof/>
          <w:color w:val="000000" w:themeColor="text1"/>
          <w:sz w:val="20"/>
        </w:rPr>
        <w:t>World Bank PovMap</w:t>
      </w:r>
    </w:p>
    <w:p w:rsidR="009B3A8A" w:rsidRPr="009B3A8A" w:rsidRDefault="009B3A8A" w:rsidP="009B3A8A">
      <w:pPr>
        <w:spacing w:before="0" w:line="240" w:lineRule="auto"/>
        <w:ind w:left="1418" w:hanging="1418"/>
        <w:rPr>
          <w:noProof/>
          <w:color w:val="000000" w:themeColor="text1"/>
          <w:sz w:val="20"/>
        </w:rPr>
      </w:pPr>
      <w:r w:rsidRPr="009B3A8A">
        <w:rPr>
          <w:noProof/>
          <w:color w:val="000000" w:themeColor="text1"/>
          <w:sz w:val="20"/>
        </w:rPr>
        <w:t>EXT</w:t>
      </w:r>
      <w:r w:rsidRPr="009B3A8A">
        <w:rPr>
          <w:noProof/>
          <w:color w:val="000000" w:themeColor="text1"/>
          <w:sz w:val="20"/>
        </w:rPr>
        <w:tab/>
        <w:t>Obtained from external source (i.e. ARoP rates are available and hence do not require estimation)</w:t>
      </w:r>
    </w:p>
    <w:p w:rsidR="009B3A8A" w:rsidRPr="009B3A8A" w:rsidRDefault="009B3A8A" w:rsidP="009B3A8A">
      <w:pPr>
        <w:spacing w:before="0" w:line="240" w:lineRule="auto"/>
        <w:rPr>
          <w:noProof/>
          <w:color w:val="000000" w:themeColor="text1"/>
          <w:sz w:val="20"/>
        </w:rPr>
      </w:pPr>
      <w:r w:rsidRPr="009B3A8A">
        <w:rPr>
          <w:noProof/>
          <w:color w:val="000000" w:themeColor="text1"/>
          <w:sz w:val="20"/>
        </w:rPr>
        <w:t>* There are only 5 NUTS 3</w:t>
      </w:r>
      <w:r w:rsidRPr="009B3A8A">
        <w:rPr>
          <w:noProof/>
          <w:color w:val="000000" w:themeColor="text1"/>
          <w:sz w:val="20"/>
        </w:rPr>
        <w:tab/>
      </w:r>
    </w:p>
    <w:p w:rsidR="009B3A8A" w:rsidRDefault="009B3A8A" w:rsidP="001D6E37">
      <w:pPr>
        <w:rPr>
          <w:noProof/>
          <w:color w:val="000000" w:themeColor="text1"/>
        </w:rPr>
      </w:pPr>
    </w:p>
    <w:p w:rsidR="009B3A8A" w:rsidRDefault="009B3A8A" w:rsidP="001D6E37">
      <w:pPr>
        <w:rPr>
          <w:noProof/>
          <w:color w:val="000000" w:themeColor="text1"/>
        </w:rPr>
      </w:pPr>
    </w:p>
    <w:p w:rsidR="009B3A8A" w:rsidRDefault="009B3A8A" w:rsidP="001D6E37">
      <w:pPr>
        <w:rPr>
          <w:noProof/>
          <w:color w:val="000000" w:themeColor="text1"/>
        </w:rPr>
      </w:pPr>
    </w:p>
    <w:p w:rsidR="009B3A8A" w:rsidRDefault="009B3A8A" w:rsidP="001D6E37">
      <w:pPr>
        <w:rPr>
          <w:noProof/>
          <w:color w:val="000000" w:themeColor="text1"/>
        </w:rPr>
      </w:pPr>
    </w:p>
    <w:p w:rsidR="009B3A8A" w:rsidRDefault="009B3A8A" w:rsidP="001D6E37">
      <w:pPr>
        <w:rPr>
          <w:noProof/>
          <w:color w:val="000000" w:themeColor="text1"/>
        </w:rPr>
      </w:pPr>
    </w:p>
    <w:p w:rsidR="009B3A8A" w:rsidRDefault="009B3A8A" w:rsidP="001D6E37">
      <w:pPr>
        <w:rPr>
          <w:noProof/>
          <w:color w:val="000000" w:themeColor="text1"/>
        </w:rPr>
      </w:pPr>
    </w:p>
    <w:p w:rsidR="009B3A8A" w:rsidRDefault="009B3A8A" w:rsidP="001D6E37">
      <w:pPr>
        <w:rPr>
          <w:noProof/>
          <w:color w:val="000000" w:themeColor="text1"/>
        </w:rPr>
      </w:pPr>
    </w:p>
    <w:p w:rsidR="00F81A14" w:rsidRDefault="00F81A14" w:rsidP="0040684F">
      <w:pPr>
        <w:rPr>
          <w:noProof/>
          <w:color w:val="000000" w:themeColor="text1"/>
        </w:rPr>
      </w:pPr>
    </w:p>
    <w:sectPr w:rsidR="00F81A14" w:rsidSect="00803C96">
      <w:type w:val="continuous"/>
      <w:pgSz w:w="11907" w:h="16840" w:code="9"/>
      <w:pgMar w:top="1440" w:right="1797" w:bottom="1440" w:left="179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30F69" w:rsidRDefault="00630F69">
      <w:r>
        <w:separator/>
      </w:r>
    </w:p>
    <w:p w:rsidR="00630F69" w:rsidRDefault="00630F69"/>
  </w:endnote>
  <w:endnote w:type="continuationSeparator" w:id="0">
    <w:p w:rsidR="00630F69" w:rsidRDefault="00630F69">
      <w:r>
        <w:continuationSeparator/>
      </w:r>
    </w:p>
    <w:p w:rsidR="00630F69" w:rsidRDefault="00630F6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Gill Sans MT">
    <w:charset w:val="EE"/>
    <w:family w:val="swiss"/>
    <w:pitch w:val="variable"/>
    <w:sig w:usb0="00000007" w:usb1="00000000" w:usb2="00000000" w:usb3="00000000" w:csb0="00000003" w:csb1="00000000"/>
  </w:font>
  <w:font w:name="Perpetua Titling MT">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69169713"/>
      <w:placeholder>
        <w:docPart w:val="53AC5DD1F21B411FA42EFE529C350E30"/>
      </w:placeholder>
      <w:temporary/>
      <w:showingPlcHdr/>
    </w:sdtPr>
    <w:sdtEndPr/>
    <w:sdtContent>
      <w:p w:rsidR="00925181" w:rsidRDefault="00925181">
        <w:pPr>
          <w:pStyle w:val="Alatunniste"/>
        </w:pPr>
        <w:r>
          <w:t>[Type text]</w:t>
        </w:r>
      </w:p>
    </w:sdtContent>
  </w:sdt>
  <w:p w:rsidR="00925181" w:rsidRDefault="00925181" w:rsidP="00F0060F">
    <w:pPr>
      <w:pStyle w:val="Alatunnist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25181" w:rsidRDefault="00925181">
    <w:pPr>
      <w:pStyle w:val="Alatunniste"/>
      <w:jc w:val="right"/>
    </w:pPr>
    <w:r>
      <w:fldChar w:fldCharType="begin"/>
    </w:r>
    <w:r>
      <w:instrText xml:space="preserve"> PAGE   \* MERGEFORMAT </w:instrText>
    </w:r>
    <w:r>
      <w:fldChar w:fldCharType="separate"/>
    </w:r>
    <w:r w:rsidR="00EB470C">
      <w:rPr>
        <w:noProof/>
      </w:rPr>
      <w:t>ii</w:t>
    </w:r>
    <w:r>
      <w:rPr>
        <w:noProof/>
      </w:rPr>
      <w:fldChar w:fldCharType="end"/>
    </w:r>
  </w:p>
  <w:p w:rsidR="00925181" w:rsidRDefault="00925181">
    <w:pPr>
      <w:pStyle w:val="Alatunniste"/>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25181" w:rsidRDefault="00925181">
    <w:pPr>
      <w:pStyle w:val="Alatunniste"/>
      <w:ind w:right="360"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80398577"/>
      <w:docPartObj>
        <w:docPartGallery w:val="Page Numbers (Bottom of Page)"/>
        <w:docPartUnique/>
      </w:docPartObj>
    </w:sdtPr>
    <w:sdtEndPr>
      <w:rPr>
        <w:noProof/>
      </w:rPr>
    </w:sdtEndPr>
    <w:sdtContent>
      <w:p w:rsidR="00925181" w:rsidRDefault="00925181">
        <w:pPr>
          <w:pStyle w:val="Alatunniste"/>
        </w:pPr>
        <w:r>
          <w:fldChar w:fldCharType="begin"/>
        </w:r>
        <w:r>
          <w:instrText xml:space="preserve"> PAGE   \* MERGEFORMAT </w:instrText>
        </w:r>
        <w:r>
          <w:fldChar w:fldCharType="separate"/>
        </w:r>
        <w:r w:rsidR="00EB470C">
          <w:rPr>
            <w:noProof/>
          </w:rPr>
          <w:t>1</w:t>
        </w:r>
        <w:r>
          <w:rPr>
            <w:noProof/>
          </w:rPr>
          <w:fldChar w:fldCharType="end"/>
        </w:r>
      </w:p>
    </w:sdtContent>
  </w:sdt>
  <w:p w:rsidR="00925181" w:rsidRDefault="00925181">
    <w:pPr>
      <w:pStyle w:val="Alatunniste"/>
      <w:ind w:right="360"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52023845"/>
      <w:docPartObj>
        <w:docPartGallery w:val="Page Numbers (Bottom of Page)"/>
        <w:docPartUnique/>
      </w:docPartObj>
    </w:sdtPr>
    <w:sdtEndPr>
      <w:rPr>
        <w:noProof/>
      </w:rPr>
    </w:sdtEndPr>
    <w:sdtContent>
      <w:p w:rsidR="00925181" w:rsidRDefault="00925181">
        <w:pPr>
          <w:pStyle w:val="Alatunniste"/>
        </w:pPr>
        <w:r>
          <w:fldChar w:fldCharType="begin"/>
        </w:r>
        <w:r>
          <w:instrText xml:space="preserve"> PAGE   \* MERGEFORMAT </w:instrText>
        </w:r>
        <w:r>
          <w:fldChar w:fldCharType="separate"/>
        </w:r>
        <w:r w:rsidR="000966E6">
          <w:rPr>
            <w:noProof/>
          </w:rPr>
          <w:t>10</w:t>
        </w:r>
        <w:r>
          <w:rPr>
            <w:noProof/>
          </w:rPr>
          <w:fldChar w:fldCharType="end"/>
        </w:r>
      </w:p>
    </w:sdtContent>
  </w:sdt>
  <w:p w:rsidR="00925181" w:rsidRDefault="00925181">
    <w:pPr>
      <w:pStyle w:val="Alatunniste"/>
      <w:ind w:right="360"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30F69" w:rsidRDefault="00630F69">
      <w:r>
        <w:separator/>
      </w:r>
    </w:p>
  </w:footnote>
  <w:footnote w:type="continuationSeparator" w:id="0">
    <w:p w:rsidR="00630F69" w:rsidRDefault="00630F69">
      <w:r>
        <w:continuationSeparator/>
      </w:r>
    </w:p>
    <w:p w:rsidR="00630F69" w:rsidRDefault="00630F69"/>
  </w:footnote>
  <w:footnote w:id="1">
    <w:p w:rsidR="00925181" w:rsidRDefault="00925181">
      <w:pPr>
        <w:pStyle w:val="Alaviitteenteksti"/>
      </w:pPr>
      <w:r>
        <w:rPr>
          <w:rStyle w:val="Alaviitteenviite"/>
        </w:rPr>
        <w:footnoteRef/>
      </w:r>
      <w:r>
        <w:t xml:space="preserve"> </w:t>
      </w:r>
      <w:r w:rsidRPr="00A35487">
        <w:t>The poverty line</w:t>
      </w:r>
      <w:r>
        <w:t>s</w:t>
      </w:r>
      <w:r w:rsidRPr="00A35487">
        <w:t xml:space="preserve"> of the ARoP rate</w:t>
      </w:r>
      <w:r>
        <w:t>s</w:t>
      </w:r>
      <w:r w:rsidRPr="00A35487">
        <w:t xml:space="preserve"> for England and Wales</w:t>
      </w:r>
      <w:r>
        <w:t>, Scotland and Northern Ireland are</w:t>
      </w:r>
      <w:r w:rsidRPr="00A35487">
        <w:t xml:space="preserve"> based on median income for England and Wales</w:t>
      </w:r>
      <w:r>
        <w:t>, Scotland and the UK, respectively</w:t>
      </w:r>
      <w:r w:rsidRPr="00A35487">
        <w:t>.</w:t>
      </w:r>
      <w:r>
        <w:t xml:space="preserve"> </w:t>
      </w:r>
    </w:p>
  </w:footnote>
  <w:footnote w:id="2">
    <w:p w:rsidR="00925181" w:rsidRDefault="00925181" w:rsidP="00916400">
      <w:pPr>
        <w:pStyle w:val="Alaviitteenteksti"/>
        <w:jc w:val="left"/>
      </w:pPr>
      <w:r>
        <w:rPr>
          <w:rStyle w:val="Alaviitteenviite"/>
        </w:rPr>
        <w:footnoteRef/>
      </w:r>
      <w:r>
        <w:t xml:space="preserve"> For a comprehensive list of examples, please see the link: </w:t>
      </w:r>
      <w:hyperlink r:id="rId1" w:history="1">
        <w:r w:rsidRPr="003A3035">
          <w:rPr>
            <w:rStyle w:val="Hyperlinkki"/>
          </w:rPr>
          <w:t>http://web.worldbank.org/WBSITE/EXTERNAL/TOPICS/EXTPOVERTY/EXTPA/0,,contentMDK:20239128~menuPK:462078~pagePK:148956~piPK:216618~theSitePK:430367~isCURL:Y,00.html</w:t>
        </w:r>
      </w:hyperlink>
      <w:r>
        <w:t xml:space="preserve"> (accessed 17</w:t>
      </w:r>
      <w:r w:rsidRPr="005253E1">
        <w:rPr>
          <w:vertAlign w:val="superscript"/>
        </w:rPr>
        <w:t>th</w:t>
      </w:r>
      <w:r>
        <w:t xml:space="preserve"> March 2014).</w:t>
      </w:r>
    </w:p>
    <w:p w:rsidR="00925181" w:rsidRDefault="00925181" w:rsidP="00916400">
      <w:pPr>
        <w:pStyle w:val="Alaviitteenteksti"/>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F9787E"/>
    <w:multiLevelType w:val="hybridMultilevel"/>
    <w:tmpl w:val="AEEC35B8"/>
    <w:lvl w:ilvl="0" w:tplc="CF3240D2">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nsid w:val="0317436F"/>
    <w:multiLevelType w:val="hybridMultilevel"/>
    <w:tmpl w:val="95B4B6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6A05761"/>
    <w:multiLevelType w:val="hybridMultilevel"/>
    <w:tmpl w:val="E4A65B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98A2BE5"/>
    <w:multiLevelType w:val="hybridMultilevel"/>
    <w:tmpl w:val="77D0FC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9D60C62"/>
    <w:multiLevelType w:val="hybridMultilevel"/>
    <w:tmpl w:val="5D7263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5B75017"/>
    <w:multiLevelType w:val="multilevel"/>
    <w:tmpl w:val="6148A720"/>
    <w:lvl w:ilvl="0">
      <w:start w:val="1"/>
      <w:numFmt w:val="decimal"/>
      <w:pStyle w:val="Otsikko1"/>
      <w:lvlText w:val="%1"/>
      <w:lvlJc w:val="left"/>
      <w:pPr>
        <w:tabs>
          <w:tab w:val="num" w:pos="510"/>
        </w:tabs>
        <w:ind w:left="510" w:hanging="510"/>
      </w:pPr>
    </w:lvl>
    <w:lvl w:ilvl="1">
      <w:start w:val="1"/>
      <w:numFmt w:val="decimal"/>
      <w:pStyle w:val="Otsikko2"/>
      <w:lvlText w:val="%1.%2"/>
      <w:lvlJc w:val="left"/>
      <w:pPr>
        <w:tabs>
          <w:tab w:val="num" w:pos="4848"/>
        </w:tabs>
        <w:ind w:left="4848" w:hanging="737"/>
      </w:pPr>
    </w:lvl>
    <w:lvl w:ilvl="2">
      <w:start w:val="1"/>
      <w:numFmt w:val="decimal"/>
      <w:pStyle w:val="Otsikko3"/>
      <w:lvlText w:val="%1.%2.%3"/>
      <w:lvlJc w:val="left"/>
      <w:pPr>
        <w:tabs>
          <w:tab w:val="num" w:pos="1021"/>
        </w:tabs>
        <w:ind w:left="1021" w:hanging="1021"/>
      </w:pPr>
    </w:lvl>
    <w:lvl w:ilvl="3">
      <w:start w:val="1"/>
      <w:numFmt w:val="decimal"/>
      <w:pStyle w:val="Otsikko4"/>
      <w:lvlText w:val="%1.%2.%3.%4"/>
      <w:lvlJc w:val="left"/>
      <w:pPr>
        <w:tabs>
          <w:tab w:val="num" w:pos="1304"/>
        </w:tabs>
        <w:ind w:left="1304" w:hanging="1304"/>
      </w:pPr>
    </w:lvl>
    <w:lvl w:ilvl="4">
      <w:start w:val="1"/>
      <w:numFmt w:val="decimal"/>
      <w:pStyle w:val="Otsikko5"/>
      <w:lvlText w:val="%1.%2.%3.%4.%5"/>
      <w:lvlJc w:val="left"/>
      <w:pPr>
        <w:tabs>
          <w:tab w:val="num" w:pos="1644"/>
        </w:tabs>
        <w:ind w:left="1644" w:hanging="1644"/>
      </w:pPr>
    </w:lvl>
    <w:lvl w:ilvl="5">
      <w:start w:val="1"/>
      <w:numFmt w:val="decimal"/>
      <w:pStyle w:val="Otsikko6"/>
      <w:lvlText w:val="%1.%2.%3.%4.%5.%6"/>
      <w:lvlJc w:val="left"/>
      <w:pPr>
        <w:tabs>
          <w:tab w:val="num" w:pos="1152"/>
        </w:tabs>
        <w:ind w:left="1152" w:hanging="1152"/>
      </w:pPr>
    </w:lvl>
    <w:lvl w:ilvl="6">
      <w:start w:val="1"/>
      <w:numFmt w:val="decimal"/>
      <w:pStyle w:val="Otsikko7"/>
      <w:lvlText w:val="%1.%2.%3.%4.%5.%6.%7"/>
      <w:lvlJc w:val="left"/>
      <w:pPr>
        <w:tabs>
          <w:tab w:val="num" w:pos="1296"/>
        </w:tabs>
        <w:ind w:left="1296" w:hanging="1296"/>
      </w:pPr>
    </w:lvl>
    <w:lvl w:ilvl="7">
      <w:start w:val="1"/>
      <w:numFmt w:val="decimal"/>
      <w:pStyle w:val="Otsikko8"/>
      <w:lvlText w:val="%1.%2.%3.%4.%5.%6.%7.%8"/>
      <w:lvlJc w:val="left"/>
      <w:pPr>
        <w:tabs>
          <w:tab w:val="num" w:pos="1440"/>
        </w:tabs>
        <w:ind w:left="1440" w:hanging="1440"/>
      </w:pPr>
    </w:lvl>
    <w:lvl w:ilvl="8">
      <w:start w:val="1"/>
      <w:numFmt w:val="decimal"/>
      <w:pStyle w:val="Otsikko9"/>
      <w:lvlText w:val="%1.%2.%3.%4.%5.%6.%7.%8.%9"/>
      <w:lvlJc w:val="left"/>
      <w:pPr>
        <w:tabs>
          <w:tab w:val="num" w:pos="1584"/>
        </w:tabs>
        <w:ind w:left="1584" w:hanging="1584"/>
      </w:pPr>
    </w:lvl>
  </w:abstractNum>
  <w:abstractNum w:abstractNumId="6">
    <w:nsid w:val="162A72DA"/>
    <w:multiLevelType w:val="hybridMultilevel"/>
    <w:tmpl w:val="F1E8D1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22746D03"/>
    <w:multiLevelType w:val="hybridMultilevel"/>
    <w:tmpl w:val="C272191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nsid w:val="23714D7F"/>
    <w:multiLevelType w:val="hybridMultilevel"/>
    <w:tmpl w:val="6792A60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nsid w:val="2BD72551"/>
    <w:multiLevelType w:val="hybridMultilevel"/>
    <w:tmpl w:val="8E70F9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2CAD11D1"/>
    <w:multiLevelType w:val="hybridMultilevel"/>
    <w:tmpl w:val="250EF68A"/>
    <w:lvl w:ilvl="0" w:tplc="5458268E">
      <w:numFmt w:val="bullet"/>
      <w:lvlText w:val="•"/>
      <w:lvlJc w:val="left"/>
      <w:pPr>
        <w:ind w:left="720" w:hanging="360"/>
      </w:pPr>
      <w:rPr>
        <w:rFonts w:ascii="Arial" w:eastAsia="Times New Roman" w:hAnsi="Arial" w:cs="Arial"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2DA832F1"/>
    <w:multiLevelType w:val="hybridMultilevel"/>
    <w:tmpl w:val="231AEA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324A6E42"/>
    <w:multiLevelType w:val="hybridMultilevel"/>
    <w:tmpl w:val="52E4469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nsid w:val="35C457D3"/>
    <w:multiLevelType w:val="hybridMultilevel"/>
    <w:tmpl w:val="E10ACD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38525017"/>
    <w:multiLevelType w:val="hybridMultilevel"/>
    <w:tmpl w:val="9766A6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3C2A5421"/>
    <w:multiLevelType w:val="hybridMultilevel"/>
    <w:tmpl w:val="9FF622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F420671"/>
    <w:multiLevelType w:val="hybridMultilevel"/>
    <w:tmpl w:val="9FF27B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nsid w:val="488F69A8"/>
    <w:multiLevelType w:val="hybridMultilevel"/>
    <w:tmpl w:val="51A233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568B4832"/>
    <w:multiLevelType w:val="hybridMultilevel"/>
    <w:tmpl w:val="5D481E7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nsid w:val="698D0DB5"/>
    <w:multiLevelType w:val="hybridMultilevel"/>
    <w:tmpl w:val="29DE9D2A"/>
    <w:lvl w:ilvl="0" w:tplc="A08489BA">
      <w:start w:val="1"/>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nsid w:val="6EE936BA"/>
    <w:multiLevelType w:val="hybridMultilevel"/>
    <w:tmpl w:val="8E2A79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A985A29"/>
    <w:multiLevelType w:val="hybridMultilevel"/>
    <w:tmpl w:val="49F6B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7B3E3B25"/>
    <w:multiLevelType w:val="hybridMultilevel"/>
    <w:tmpl w:val="61927364"/>
    <w:lvl w:ilvl="0" w:tplc="A08489BA">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7B7222C5"/>
    <w:multiLevelType w:val="hybridMultilevel"/>
    <w:tmpl w:val="0E7C25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7BF1175A"/>
    <w:multiLevelType w:val="hybridMultilevel"/>
    <w:tmpl w:val="1FB25E4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nsid w:val="7EFE2AF1"/>
    <w:multiLevelType w:val="hybridMultilevel"/>
    <w:tmpl w:val="453EF2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7FB22DD8"/>
    <w:multiLevelType w:val="hybridMultilevel"/>
    <w:tmpl w:val="77BCF11A"/>
    <w:lvl w:ilvl="0" w:tplc="5458268E">
      <w:numFmt w:val="bullet"/>
      <w:lvlText w:val="•"/>
      <w:lvlJc w:val="left"/>
      <w:pPr>
        <w:ind w:left="705" w:hanging="705"/>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5"/>
  </w:num>
  <w:num w:numId="2">
    <w:abstractNumId w:val="25"/>
  </w:num>
  <w:num w:numId="3">
    <w:abstractNumId w:val="6"/>
  </w:num>
  <w:num w:numId="4">
    <w:abstractNumId w:val="10"/>
  </w:num>
  <w:num w:numId="5">
    <w:abstractNumId w:val="24"/>
  </w:num>
  <w:num w:numId="6">
    <w:abstractNumId w:val="19"/>
  </w:num>
  <w:num w:numId="7">
    <w:abstractNumId w:val="0"/>
  </w:num>
  <w:num w:numId="8">
    <w:abstractNumId w:val="22"/>
  </w:num>
  <w:num w:numId="9">
    <w:abstractNumId w:val="7"/>
  </w:num>
  <w:num w:numId="10">
    <w:abstractNumId w:val="21"/>
  </w:num>
  <w:num w:numId="11">
    <w:abstractNumId w:val="1"/>
  </w:num>
  <w:num w:numId="12">
    <w:abstractNumId w:val="18"/>
  </w:num>
  <w:num w:numId="13">
    <w:abstractNumId w:val="13"/>
  </w:num>
  <w:num w:numId="14">
    <w:abstractNumId w:val="4"/>
  </w:num>
  <w:num w:numId="15">
    <w:abstractNumId w:val="23"/>
  </w:num>
  <w:num w:numId="16">
    <w:abstractNumId w:val="8"/>
  </w:num>
  <w:num w:numId="17">
    <w:abstractNumId w:val="12"/>
  </w:num>
  <w:num w:numId="18">
    <w:abstractNumId w:val="15"/>
  </w:num>
  <w:num w:numId="19">
    <w:abstractNumId w:val="26"/>
  </w:num>
  <w:num w:numId="20">
    <w:abstractNumId w:val="16"/>
  </w:num>
  <w:num w:numId="21">
    <w:abstractNumId w:val="11"/>
  </w:num>
  <w:num w:numId="22">
    <w:abstractNumId w:val="9"/>
  </w:num>
  <w:num w:numId="23">
    <w:abstractNumId w:val="2"/>
  </w:num>
  <w:num w:numId="24">
    <w:abstractNumId w:val="14"/>
  </w:num>
  <w:num w:numId="25">
    <w:abstractNumId w:val="20"/>
  </w:num>
  <w:num w:numId="26">
    <w:abstractNumId w:val="3"/>
  </w:num>
  <w:num w:numId="27">
    <w:abstractNumId w:val="17"/>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mirrorMargins/>
  <w:activeWritingStyle w:appName="MSWord" w:lang="en-GB"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de-DE" w:vendorID="9" w:dllVersion="512" w:checkStyle="1"/>
  <w:activeWritingStyle w:appName="MSWord" w:lang="sv-SE" w:vendorID="666" w:dllVersion="513" w:checkStyle="1"/>
  <w:activeWritingStyle w:appName="MSWord" w:lang="sv-SE" w:vendorID="22" w:dllVersion="513" w:checkStyle="1"/>
  <w:activeWritingStyle w:appName="MSWord" w:lang="fi-FI" w:vendorID="22" w:dllVersion="513" w:checkStyle="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autoHyphenation/>
  <w:hyphenationZone w:val="142"/>
  <w:drawingGridHorizontalSpacing w:val="11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Harvard V2&lt;/Style&gt;&lt;LeftDelim&gt;{&lt;/LeftDelim&gt;&lt;RightDelim&gt;}&lt;/RightDelim&gt;&lt;FontName&gt;Arial&lt;/FontName&gt;&lt;FontSize&gt;11&lt;/FontSize&gt;&lt;ReflistTitle&gt;References&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25tas95vtezst4e55d1xv0twzf0xa2fpdr02&quot;&gt;TiPSE Poverty Map Paper&lt;record-ids&gt;&lt;item&gt;2&lt;/item&gt;&lt;item&gt;4&lt;/item&gt;&lt;item&gt;6&lt;/item&gt;&lt;item&gt;7&lt;/item&gt;&lt;item&gt;8&lt;/item&gt;&lt;item&gt;10&lt;/item&gt;&lt;item&gt;17&lt;/item&gt;&lt;item&gt;29&lt;/item&gt;&lt;item&gt;30&lt;/item&gt;&lt;item&gt;31&lt;/item&gt;&lt;item&gt;32&lt;/item&gt;&lt;item&gt;46&lt;/item&gt;&lt;item&gt;47&lt;/item&gt;&lt;item&gt;48&lt;/item&gt;&lt;item&gt;49&lt;/item&gt;&lt;item&gt;50&lt;/item&gt;&lt;item&gt;51&lt;/item&gt;&lt;item&gt;52&lt;/item&gt;&lt;item&gt;53&lt;/item&gt;&lt;item&gt;54&lt;/item&gt;&lt;item&gt;55&lt;/item&gt;&lt;item&gt;57&lt;/item&gt;&lt;item&gt;58&lt;/item&gt;&lt;item&gt;63&lt;/item&gt;&lt;item&gt;64&lt;/item&gt;&lt;item&gt;65&lt;/item&gt;&lt;/record-ids&gt;&lt;/item&gt;&lt;/Libraries&gt;"/>
  </w:docVars>
  <w:rsids>
    <w:rsidRoot w:val="00EE5EB2"/>
    <w:rsid w:val="0000028F"/>
    <w:rsid w:val="000006F2"/>
    <w:rsid w:val="00000B0C"/>
    <w:rsid w:val="00000E90"/>
    <w:rsid w:val="00001202"/>
    <w:rsid w:val="00001391"/>
    <w:rsid w:val="000017E6"/>
    <w:rsid w:val="000020BF"/>
    <w:rsid w:val="00002167"/>
    <w:rsid w:val="0000251E"/>
    <w:rsid w:val="000063BF"/>
    <w:rsid w:val="000067E6"/>
    <w:rsid w:val="00006BE0"/>
    <w:rsid w:val="000076AC"/>
    <w:rsid w:val="00007B80"/>
    <w:rsid w:val="00010A5E"/>
    <w:rsid w:val="000113CF"/>
    <w:rsid w:val="0001183B"/>
    <w:rsid w:val="0001287A"/>
    <w:rsid w:val="00012ECC"/>
    <w:rsid w:val="00013758"/>
    <w:rsid w:val="000140DE"/>
    <w:rsid w:val="0001452A"/>
    <w:rsid w:val="000153D9"/>
    <w:rsid w:val="000165A2"/>
    <w:rsid w:val="00016B2C"/>
    <w:rsid w:val="00017847"/>
    <w:rsid w:val="00017991"/>
    <w:rsid w:val="00017F32"/>
    <w:rsid w:val="000201E4"/>
    <w:rsid w:val="000202B2"/>
    <w:rsid w:val="000213DB"/>
    <w:rsid w:val="000216BC"/>
    <w:rsid w:val="00021E5B"/>
    <w:rsid w:val="00022713"/>
    <w:rsid w:val="000230A7"/>
    <w:rsid w:val="000231EB"/>
    <w:rsid w:val="000238A4"/>
    <w:rsid w:val="0002484E"/>
    <w:rsid w:val="00025AF4"/>
    <w:rsid w:val="0002608A"/>
    <w:rsid w:val="000261B6"/>
    <w:rsid w:val="0002775E"/>
    <w:rsid w:val="00030665"/>
    <w:rsid w:val="00031896"/>
    <w:rsid w:val="000321CA"/>
    <w:rsid w:val="00033EFC"/>
    <w:rsid w:val="000345D3"/>
    <w:rsid w:val="000346BE"/>
    <w:rsid w:val="00034A1E"/>
    <w:rsid w:val="00034E16"/>
    <w:rsid w:val="00034ECB"/>
    <w:rsid w:val="00035675"/>
    <w:rsid w:val="000371DC"/>
    <w:rsid w:val="000375E7"/>
    <w:rsid w:val="00037ACA"/>
    <w:rsid w:val="00037E7F"/>
    <w:rsid w:val="0004050C"/>
    <w:rsid w:val="00040905"/>
    <w:rsid w:val="000412CF"/>
    <w:rsid w:val="00041655"/>
    <w:rsid w:val="0004374E"/>
    <w:rsid w:val="00043ECF"/>
    <w:rsid w:val="00044645"/>
    <w:rsid w:val="00045B9A"/>
    <w:rsid w:val="00047F52"/>
    <w:rsid w:val="0005053A"/>
    <w:rsid w:val="00050BD6"/>
    <w:rsid w:val="00051CAE"/>
    <w:rsid w:val="00051F7E"/>
    <w:rsid w:val="0005364B"/>
    <w:rsid w:val="00053C31"/>
    <w:rsid w:val="00053C9F"/>
    <w:rsid w:val="000544ED"/>
    <w:rsid w:val="00054EE7"/>
    <w:rsid w:val="00055011"/>
    <w:rsid w:val="00055AEC"/>
    <w:rsid w:val="000561E7"/>
    <w:rsid w:val="00056948"/>
    <w:rsid w:val="000630F9"/>
    <w:rsid w:val="00063552"/>
    <w:rsid w:val="00064076"/>
    <w:rsid w:val="0006417B"/>
    <w:rsid w:val="00064A7E"/>
    <w:rsid w:val="00065BDB"/>
    <w:rsid w:val="00067257"/>
    <w:rsid w:val="0006726B"/>
    <w:rsid w:val="0006781E"/>
    <w:rsid w:val="000679AE"/>
    <w:rsid w:val="00067CB5"/>
    <w:rsid w:val="00070603"/>
    <w:rsid w:val="000711F8"/>
    <w:rsid w:val="000720FE"/>
    <w:rsid w:val="00073A83"/>
    <w:rsid w:val="00074A6D"/>
    <w:rsid w:val="00074B9A"/>
    <w:rsid w:val="000750A5"/>
    <w:rsid w:val="000754A4"/>
    <w:rsid w:val="000757B4"/>
    <w:rsid w:val="000766C9"/>
    <w:rsid w:val="0007691F"/>
    <w:rsid w:val="00076CE3"/>
    <w:rsid w:val="000775D8"/>
    <w:rsid w:val="000778C1"/>
    <w:rsid w:val="00077EC7"/>
    <w:rsid w:val="00080C5E"/>
    <w:rsid w:val="000818BC"/>
    <w:rsid w:val="00082A1A"/>
    <w:rsid w:val="00083584"/>
    <w:rsid w:val="00083B2D"/>
    <w:rsid w:val="000848D0"/>
    <w:rsid w:val="00084B93"/>
    <w:rsid w:val="00084E99"/>
    <w:rsid w:val="00085161"/>
    <w:rsid w:val="000858C8"/>
    <w:rsid w:val="00086448"/>
    <w:rsid w:val="00086B1F"/>
    <w:rsid w:val="00087463"/>
    <w:rsid w:val="000876F1"/>
    <w:rsid w:val="00090D3C"/>
    <w:rsid w:val="00091E7B"/>
    <w:rsid w:val="000932C8"/>
    <w:rsid w:val="00093EAA"/>
    <w:rsid w:val="000955C3"/>
    <w:rsid w:val="00095FAC"/>
    <w:rsid w:val="000966E6"/>
    <w:rsid w:val="0009793F"/>
    <w:rsid w:val="000A1667"/>
    <w:rsid w:val="000A221D"/>
    <w:rsid w:val="000A4357"/>
    <w:rsid w:val="000A5445"/>
    <w:rsid w:val="000A55A7"/>
    <w:rsid w:val="000A5C93"/>
    <w:rsid w:val="000A6B6E"/>
    <w:rsid w:val="000A752A"/>
    <w:rsid w:val="000B0354"/>
    <w:rsid w:val="000B0A14"/>
    <w:rsid w:val="000B129F"/>
    <w:rsid w:val="000B141D"/>
    <w:rsid w:val="000B14AC"/>
    <w:rsid w:val="000B1C1D"/>
    <w:rsid w:val="000B321B"/>
    <w:rsid w:val="000B3347"/>
    <w:rsid w:val="000B3B35"/>
    <w:rsid w:val="000B4AD8"/>
    <w:rsid w:val="000B4BBC"/>
    <w:rsid w:val="000B6112"/>
    <w:rsid w:val="000B79E1"/>
    <w:rsid w:val="000C02FC"/>
    <w:rsid w:val="000C0B1C"/>
    <w:rsid w:val="000C0C31"/>
    <w:rsid w:val="000C232A"/>
    <w:rsid w:val="000C2F94"/>
    <w:rsid w:val="000C3116"/>
    <w:rsid w:val="000C3408"/>
    <w:rsid w:val="000C3800"/>
    <w:rsid w:val="000C39F1"/>
    <w:rsid w:val="000C41E1"/>
    <w:rsid w:val="000C4473"/>
    <w:rsid w:val="000C47EA"/>
    <w:rsid w:val="000C4907"/>
    <w:rsid w:val="000C57FB"/>
    <w:rsid w:val="000C5BDC"/>
    <w:rsid w:val="000C5FA3"/>
    <w:rsid w:val="000C694E"/>
    <w:rsid w:val="000C7175"/>
    <w:rsid w:val="000C7211"/>
    <w:rsid w:val="000D0B9C"/>
    <w:rsid w:val="000D202D"/>
    <w:rsid w:val="000D250C"/>
    <w:rsid w:val="000D29D3"/>
    <w:rsid w:val="000D34E9"/>
    <w:rsid w:val="000D3760"/>
    <w:rsid w:val="000D3E21"/>
    <w:rsid w:val="000D3F73"/>
    <w:rsid w:val="000D4AAA"/>
    <w:rsid w:val="000D4C04"/>
    <w:rsid w:val="000D4F4C"/>
    <w:rsid w:val="000D5AE1"/>
    <w:rsid w:val="000D5B2A"/>
    <w:rsid w:val="000D5C54"/>
    <w:rsid w:val="000D621B"/>
    <w:rsid w:val="000D6230"/>
    <w:rsid w:val="000D6D23"/>
    <w:rsid w:val="000E00AC"/>
    <w:rsid w:val="000E205E"/>
    <w:rsid w:val="000E2716"/>
    <w:rsid w:val="000E27F4"/>
    <w:rsid w:val="000E292D"/>
    <w:rsid w:val="000E3748"/>
    <w:rsid w:val="000E42A3"/>
    <w:rsid w:val="000E4847"/>
    <w:rsid w:val="000E49F0"/>
    <w:rsid w:val="000E4A6B"/>
    <w:rsid w:val="000E54B7"/>
    <w:rsid w:val="000E5A82"/>
    <w:rsid w:val="000E6776"/>
    <w:rsid w:val="000E69C6"/>
    <w:rsid w:val="000E7061"/>
    <w:rsid w:val="000E73F1"/>
    <w:rsid w:val="000E75A3"/>
    <w:rsid w:val="000F04EB"/>
    <w:rsid w:val="000F1573"/>
    <w:rsid w:val="000F4604"/>
    <w:rsid w:val="000F4747"/>
    <w:rsid w:val="000F5B25"/>
    <w:rsid w:val="000F5BFE"/>
    <w:rsid w:val="000F5CA4"/>
    <w:rsid w:val="000F5D42"/>
    <w:rsid w:val="000F5EC5"/>
    <w:rsid w:val="000F7F2F"/>
    <w:rsid w:val="001016C7"/>
    <w:rsid w:val="001020E0"/>
    <w:rsid w:val="0010210C"/>
    <w:rsid w:val="0010294C"/>
    <w:rsid w:val="00102AAD"/>
    <w:rsid w:val="00102CEF"/>
    <w:rsid w:val="0010333F"/>
    <w:rsid w:val="00103677"/>
    <w:rsid w:val="00103CF5"/>
    <w:rsid w:val="00103D07"/>
    <w:rsid w:val="00103E0C"/>
    <w:rsid w:val="0010441A"/>
    <w:rsid w:val="00105086"/>
    <w:rsid w:val="00106186"/>
    <w:rsid w:val="001069FE"/>
    <w:rsid w:val="001078B6"/>
    <w:rsid w:val="00110672"/>
    <w:rsid w:val="001122B4"/>
    <w:rsid w:val="00112EA9"/>
    <w:rsid w:val="0011367E"/>
    <w:rsid w:val="001138DF"/>
    <w:rsid w:val="001155F9"/>
    <w:rsid w:val="001158E3"/>
    <w:rsid w:val="00116375"/>
    <w:rsid w:val="00117328"/>
    <w:rsid w:val="0011739D"/>
    <w:rsid w:val="00117A2A"/>
    <w:rsid w:val="0012005B"/>
    <w:rsid w:val="0012085E"/>
    <w:rsid w:val="00121BCB"/>
    <w:rsid w:val="00122932"/>
    <w:rsid w:val="001232C7"/>
    <w:rsid w:val="001238A1"/>
    <w:rsid w:val="00123957"/>
    <w:rsid w:val="00124AE2"/>
    <w:rsid w:val="00124C53"/>
    <w:rsid w:val="00124E1D"/>
    <w:rsid w:val="0012683A"/>
    <w:rsid w:val="00126F04"/>
    <w:rsid w:val="00127104"/>
    <w:rsid w:val="0012724A"/>
    <w:rsid w:val="00127417"/>
    <w:rsid w:val="00127468"/>
    <w:rsid w:val="001324DF"/>
    <w:rsid w:val="001337C3"/>
    <w:rsid w:val="00133DA4"/>
    <w:rsid w:val="00134A21"/>
    <w:rsid w:val="001355B8"/>
    <w:rsid w:val="00135747"/>
    <w:rsid w:val="001358B1"/>
    <w:rsid w:val="00135A3D"/>
    <w:rsid w:val="0013603B"/>
    <w:rsid w:val="00136EFB"/>
    <w:rsid w:val="00141052"/>
    <w:rsid w:val="0014164F"/>
    <w:rsid w:val="00142531"/>
    <w:rsid w:val="001443BC"/>
    <w:rsid w:val="00144969"/>
    <w:rsid w:val="00145352"/>
    <w:rsid w:val="001456F6"/>
    <w:rsid w:val="00146EEB"/>
    <w:rsid w:val="00147F93"/>
    <w:rsid w:val="00150783"/>
    <w:rsid w:val="001510C6"/>
    <w:rsid w:val="001522ED"/>
    <w:rsid w:val="00152E8C"/>
    <w:rsid w:val="00153949"/>
    <w:rsid w:val="001552EA"/>
    <w:rsid w:val="001555AA"/>
    <w:rsid w:val="0015602A"/>
    <w:rsid w:val="001566B2"/>
    <w:rsid w:val="00157086"/>
    <w:rsid w:val="00161317"/>
    <w:rsid w:val="0016195B"/>
    <w:rsid w:val="0016274A"/>
    <w:rsid w:val="00163017"/>
    <w:rsid w:val="001640B2"/>
    <w:rsid w:val="001644F5"/>
    <w:rsid w:val="00164958"/>
    <w:rsid w:val="001649A4"/>
    <w:rsid w:val="00164B49"/>
    <w:rsid w:val="00165D18"/>
    <w:rsid w:val="00165DFB"/>
    <w:rsid w:val="00167721"/>
    <w:rsid w:val="00170ACD"/>
    <w:rsid w:val="00170CBC"/>
    <w:rsid w:val="00171736"/>
    <w:rsid w:val="0017265C"/>
    <w:rsid w:val="00172B10"/>
    <w:rsid w:val="001737DD"/>
    <w:rsid w:val="0017418D"/>
    <w:rsid w:val="00174BD5"/>
    <w:rsid w:val="00174CBA"/>
    <w:rsid w:val="001758F2"/>
    <w:rsid w:val="0017595F"/>
    <w:rsid w:val="00175B67"/>
    <w:rsid w:val="00176E13"/>
    <w:rsid w:val="00177B65"/>
    <w:rsid w:val="001803F8"/>
    <w:rsid w:val="0018124A"/>
    <w:rsid w:val="001813C9"/>
    <w:rsid w:val="00181D4E"/>
    <w:rsid w:val="0018352F"/>
    <w:rsid w:val="00184360"/>
    <w:rsid w:val="0018444A"/>
    <w:rsid w:val="0018445E"/>
    <w:rsid w:val="00184AC0"/>
    <w:rsid w:val="00184DC6"/>
    <w:rsid w:val="00185DBC"/>
    <w:rsid w:val="00186983"/>
    <w:rsid w:val="00186BC7"/>
    <w:rsid w:val="001903D6"/>
    <w:rsid w:val="0019070F"/>
    <w:rsid w:val="00190BEE"/>
    <w:rsid w:val="001914B2"/>
    <w:rsid w:val="0019223A"/>
    <w:rsid w:val="00192B0C"/>
    <w:rsid w:val="00192C13"/>
    <w:rsid w:val="001933F0"/>
    <w:rsid w:val="00193784"/>
    <w:rsid w:val="00193A7A"/>
    <w:rsid w:val="00193DC7"/>
    <w:rsid w:val="0019503C"/>
    <w:rsid w:val="0019589D"/>
    <w:rsid w:val="001A0854"/>
    <w:rsid w:val="001A09FA"/>
    <w:rsid w:val="001A264C"/>
    <w:rsid w:val="001A281D"/>
    <w:rsid w:val="001A357B"/>
    <w:rsid w:val="001A3658"/>
    <w:rsid w:val="001A3A68"/>
    <w:rsid w:val="001A43C8"/>
    <w:rsid w:val="001A48C9"/>
    <w:rsid w:val="001A4A11"/>
    <w:rsid w:val="001A4A16"/>
    <w:rsid w:val="001A4FDA"/>
    <w:rsid w:val="001A5DFE"/>
    <w:rsid w:val="001A7088"/>
    <w:rsid w:val="001A72FA"/>
    <w:rsid w:val="001A7CF5"/>
    <w:rsid w:val="001A7DE9"/>
    <w:rsid w:val="001B06C0"/>
    <w:rsid w:val="001B06D3"/>
    <w:rsid w:val="001B2097"/>
    <w:rsid w:val="001B312D"/>
    <w:rsid w:val="001B332E"/>
    <w:rsid w:val="001B35A9"/>
    <w:rsid w:val="001B38EA"/>
    <w:rsid w:val="001B4D83"/>
    <w:rsid w:val="001B4FB4"/>
    <w:rsid w:val="001B5463"/>
    <w:rsid w:val="001B5DA9"/>
    <w:rsid w:val="001C068B"/>
    <w:rsid w:val="001C0EBB"/>
    <w:rsid w:val="001C1159"/>
    <w:rsid w:val="001C1BDD"/>
    <w:rsid w:val="001C35B1"/>
    <w:rsid w:val="001C3A8C"/>
    <w:rsid w:val="001C4224"/>
    <w:rsid w:val="001C4CCC"/>
    <w:rsid w:val="001C4CD5"/>
    <w:rsid w:val="001C539B"/>
    <w:rsid w:val="001C5ABE"/>
    <w:rsid w:val="001C7C0E"/>
    <w:rsid w:val="001D0257"/>
    <w:rsid w:val="001D342C"/>
    <w:rsid w:val="001D360D"/>
    <w:rsid w:val="001D39C1"/>
    <w:rsid w:val="001D491F"/>
    <w:rsid w:val="001D6E37"/>
    <w:rsid w:val="001D6FCE"/>
    <w:rsid w:val="001D7873"/>
    <w:rsid w:val="001D7DCE"/>
    <w:rsid w:val="001E010B"/>
    <w:rsid w:val="001E117C"/>
    <w:rsid w:val="001E1583"/>
    <w:rsid w:val="001E1A1C"/>
    <w:rsid w:val="001E1CA1"/>
    <w:rsid w:val="001E24BA"/>
    <w:rsid w:val="001E3840"/>
    <w:rsid w:val="001E3ED5"/>
    <w:rsid w:val="001E4469"/>
    <w:rsid w:val="001E48E4"/>
    <w:rsid w:val="001E4F64"/>
    <w:rsid w:val="001E5A0B"/>
    <w:rsid w:val="001E5F9A"/>
    <w:rsid w:val="001E6504"/>
    <w:rsid w:val="001E6CE5"/>
    <w:rsid w:val="001F012B"/>
    <w:rsid w:val="001F0F87"/>
    <w:rsid w:val="001F2182"/>
    <w:rsid w:val="001F288D"/>
    <w:rsid w:val="001F2983"/>
    <w:rsid w:val="001F3B17"/>
    <w:rsid w:val="001F3B68"/>
    <w:rsid w:val="001F426D"/>
    <w:rsid w:val="001F428F"/>
    <w:rsid w:val="001F43F4"/>
    <w:rsid w:val="001F5F1A"/>
    <w:rsid w:val="001F6BE7"/>
    <w:rsid w:val="001F7573"/>
    <w:rsid w:val="001F7A3F"/>
    <w:rsid w:val="00200292"/>
    <w:rsid w:val="002005F6"/>
    <w:rsid w:val="002005FD"/>
    <w:rsid w:val="0020078E"/>
    <w:rsid w:val="002008F4"/>
    <w:rsid w:val="00201098"/>
    <w:rsid w:val="002010FF"/>
    <w:rsid w:val="002011F9"/>
    <w:rsid w:val="0020231D"/>
    <w:rsid w:val="00204005"/>
    <w:rsid w:val="00204D37"/>
    <w:rsid w:val="00205306"/>
    <w:rsid w:val="00205E2A"/>
    <w:rsid w:val="0020601F"/>
    <w:rsid w:val="002074B9"/>
    <w:rsid w:val="00210090"/>
    <w:rsid w:val="00210BDE"/>
    <w:rsid w:val="00211179"/>
    <w:rsid w:val="00211287"/>
    <w:rsid w:val="00212FFC"/>
    <w:rsid w:val="0021324D"/>
    <w:rsid w:val="00213880"/>
    <w:rsid w:val="00214130"/>
    <w:rsid w:val="002147C8"/>
    <w:rsid w:val="002154C2"/>
    <w:rsid w:val="00215B72"/>
    <w:rsid w:val="00215EDC"/>
    <w:rsid w:val="00217E31"/>
    <w:rsid w:val="002200D9"/>
    <w:rsid w:val="002205A7"/>
    <w:rsid w:val="00220791"/>
    <w:rsid w:val="00222F0A"/>
    <w:rsid w:val="0022390E"/>
    <w:rsid w:val="00224958"/>
    <w:rsid w:val="00224A28"/>
    <w:rsid w:val="00225964"/>
    <w:rsid w:val="00226092"/>
    <w:rsid w:val="0022682D"/>
    <w:rsid w:val="00226871"/>
    <w:rsid w:val="00227526"/>
    <w:rsid w:val="00227946"/>
    <w:rsid w:val="00232225"/>
    <w:rsid w:val="00232EC6"/>
    <w:rsid w:val="0023324F"/>
    <w:rsid w:val="00233E96"/>
    <w:rsid w:val="002342F3"/>
    <w:rsid w:val="00234889"/>
    <w:rsid w:val="00235036"/>
    <w:rsid w:val="0023544B"/>
    <w:rsid w:val="00235B1B"/>
    <w:rsid w:val="00235C20"/>
    <w:rsid w:val="00236C3D"/>
    <w:rsid w:val="002371C4"/>
    <w:rsid w:val="00237847"/>
    <w:rsid w:val="00237E61"/>
    <w:rsid w:val="002401F9"/>
    <w:rsid w:val="00240F54"/>
    <w:rsid w:val="002418BE"/>
    <w:rsid w:val="002419F4"/>
    <w:rsid w:val="002421A5"/>
    <w:rsid w:val="00242599"/>
    <w:rsid w:val="00242F8B"/>
    <w:rsid w:val="00244819"/>
    <w:rsid w:val="00244F05"/>
    <w:rsid w:val="002458E2"/>
    <w:rsid w:val="00245BCF"/>
    <w:rsid w:val="00245D9F"/>
    <w:rsid w:val="00246B3F"/>
    <w:rsid w:val="00246B4C"/>
    <w:rsid w:val="0024704A"/>
    <w:rsid w:val="00247073"/>
    <w:rsid w:val="00251F9E"/>
    <w:rsid w:val="00252190"/>
    <w:rsid w:val="00253711"/>
    <w:rsid w:val="00254782"/>
    <w:rsid w:val="00254997"/>
    <w:rsid w:val="002551D7"/>
    <w:rsid w:val="00255476"/>
    <w:rsid w:val="00256C08"/>
    <w:rsid w:val="00256CCE"/>
    <w:rsid w:val="002571E8"/>
    <w:rsid w:val="00257897"/>
    <w:rsid w:val="0025795C"/>
    <w:rsid w:val="00260458"/>
    <w:rsid w:val="00260759"/>
    <w:rsid w:val="002609CB"/>
    <w:rsid w:val="00261846"/>
    <w:rsid w:val="002627DE"/>
    <w:rsid w:val="00262ABB"/>
    <w:rsid w:val="00264785"/>
    <w:rsid w:val="00265F3D"/>
    <w:rsid w:val="00265FCF"/>
    <w:rsid w:val="00266E65"/>
    <w:rsid w:val="00266F82"/>
    <w:rsid w:val="00267206"/>
    <w:rsid w:val="0026789F"/>
    <w:rsid w:val="00267928"/>
    <w:rsid w:val="00267B2C"/>
    <w:rsid w:val="0027046F"/>
    <w:rsid w:val="0027063C"/>
    <w:rsid w:val="002707BC"/>
    <w:rsid w:val="00271198"/>
    <w:rsid w:val="00271AE3"/>
    <w:rsid w:val="002735B3"/>
    <w:rsid w:val="00273722"/>
    <w:rsid w:val="00273A3A"/>
    <w:rsid w:val="002742E8"/>
    <w:rsid w:val="00274D01"/>
    <w:rsid w:val="00276709"/>
    <w:rsid w:val="00276F23"/>
    <w:rsid w:val="00277045"/>
    <w:rsid w:val="00277BAC"/>
    <w:rsid w:val="00280122"/>
    <w:rsid w:val="00280462"/>
    <w:rsid w:val="00280DAD"/>
    <w:rsid w:val="00281E6A"/>
    <w:rsid w:val="002822C7"/>
    <w:rsid w:val="00282843"/>
    <w:rsid w:val="0028616F"/>
    <w:rsid w:val="00287A8B"/>
    <w:rsid w:val="00290383"/>
    <w:rsid w:val="00291573"/>
    <w:rsid w:val="00293504"/>
    <w:rsid w:val="00293DF3"/>
    <w:rsid w:val="00295871"/>
    <w:rsid w:val="002967A9"/>
    <w:rsid w:val="00296823"/>
    <w:rsid w:val="00297F5A"/>
    <w:rsid w:val="002A0D2E"/>
    <w:rsid w:val="002A1040"/>
    <w:rsid w:val="002A19E9"/>
    <w:rsid w:val="002A2CB0"/>
    <w:rsid w:val="002A38AF"/>
    <w:rsid w:val="002A3E19"/>
    <w:rsid w:val="002A41F9"/>
    <w:rsid w:val="002A4E27"/>
    <w:rsid w:val="002A5FF9"/>
    <w:rsid w:val="002A692E"/>
    <w:rsid w:val="002A6DE0"/>
    <w:rsid w:val="002A73C2"/>
    <w:rsid w:val="002A74E1"/>
    <w:rsid w:val="002A7DF8"/>
    <w:rsid w:val="002B045D"/>
    <w:rsid w:val="002B09F4"/>
    <w:rsid w:val="002B4ED5"/>
    <w:rsid w:val="002B6353"/>
    <w:rsid w:val="002B6894"/>
    <w:rsid w:val="002B7D59"/>
    <w:rsid w:val="002C00C7"/>
    <w:rsid w:val="002C0CB3"/>
    <w:rsid w:val="002C130D"/>
    <w:rsid w:val="002C1832"/>
    <w:rsid w:val="002C1B81"/>
    <w:rsid w:val="002C1BC1"/>
    <w:rsid w:val="002C2AD4"/>
    <w:rsid w:val="002C6129"/>
    <w:rsid w:val="002C6277"/>
    <w:rsid w:val="002C70AA"/>
    <w:rsid w:val="002C7F7E"/>
    <w:rsid w:val="002D0318"/>
    <w:rsid w:val="002D2759"/>
    <w:rsid w:val="002D4BF9"/>
    <w:rsid w:val="002D542B"/>
    <w:rsid w:val="002D5AA7"/>
    <w:rsid w:val="002D5CE4"/>
    <w:rsid w:val="002D6107"/>
    <w:rsid w:val="002D6531"/>
    <w:rsid w:val="002D66BF"/>
    <w:rsid w:val="002D7500"/>
    <w:rsid w:val="002D7F22"/>
    <w:rsid w:val="002E0193"/>
    <w:rsid w:val="002E0E85"/>
    <w:rsid w:val="002E2567"/>
    <w:rsid w:val="002E257B"/>
    <w:rsid w:val="002E26A0"/>
    <w:rsid w:val="002E2872"/>
    <w:rsid w:val="002E2D82"/>
    <w:rsid w:val="002E38CA"/>
    <w:rsid w:val="002E3AB0"/>
    <w:rsid w:val="002E4263"/>
    <w:rsid w:val="002E4904"/>
    <w:rsid w:val="002E4907"/>
    <w:rsid w:val="002E50FF"/>
    <w:rsid w:val="002E5184"/>
    <w:rsid w:val="002E52A6"/>
    <w:rsid w:val="002E5386"/>
    <w:rsid w:val="002E5783"/>
    <w:rsid w:val="002E5F59"/>
    <w:rsid w:val="002E60FD"/>
    <w:rsid w:val="002E6532"/>
    <w:rsid w:val="002E6680"/>
    <w:rsid w:val="002E6C4C"/>
    <w:rsid w:val="002F0188"/>
    <w:rsid w:val="002F0B0B"/>
    <w:rsid w:val="002F0FD4"/>
    <w:rsid w:val="002F107C"/>
    <w:rsid w:val="002F121E"/>
    <w:rsid w:val="002F206B"/>
    <w:rsid w:val="002F326A"/>
    <w:rsid w:val="002F38B3"/>
    <w:rsid w:val="002F4897"/>
    <w:rsid w:val="002F59AA"/>
    <w:rsid w:val="002F661A"/>
    <w:rsid w:val="002F717E"/>
    <w:rsid w:val="002F7A1C"/>
    <w:rsid w:val="002F7AE3"/>
    <w:rsid w:val="003004C2"/>
    <w:rsid w:val="003008EC"/>
    <w:rsid w:val="003016AB"/>
    <w:rsid w:val="003028B8"/>
    <w:rsid w:val="0030322D"/>
    <w:rsid w:val="00303F10"/>
    <w:rsid w:val="0030445F"/>
    <w:rsid w:val="003044D7"/>
    <w:rsid w:val="00304558"/>
    <w:rsid w:val="003053AE"/>
    <w:rsid w:val="00306116"/>
    <w:rsid w:val="0030618A"/>
    <w:rsid w:val="003063CB"/>
    <w:rsid w:val="0030641F"/>
    <w:rsid w:val="00307F3C"/>
    <w:rsid w:val="00310A28"/>
    <w:rsid w:val="00311099"/>
    <w:rsid w:val="0031283D"/>
    <w:rsid w:val="00312B44"/>
    <w:rsid w:val="003132F9"/>
    <w:rsid w:val="00314CCB"/>
    <w:rsid w:val="00316139"/>
    <w:rsid w:val="00317DA0"/>
    <w:rsid w:val="003200D7"/>
    <w:rsid w:val="00320501"/>
    <w:rsid w:val="00321056"/>
    <w:rsid w:val="00321745"/>
    <w:rsid w:val="00322C67"/>
    <w:rsid w:val="003234F3"/>
    <w:rsid w:val="00324460"/>
    <w:rsid w:val="00325151"/>
    <w:rsid w:val="00325DF3"/>
    <w:rsid w:val="00326086"/>
    <w:rsid w:val="0032621C"/>
    <w:rsid w:val="003271AE"/>
    <w:rsid w:val="00327559"/>
    <w:rsid w:val="003275A6"/>
    <w:rsid w:val="003308CD"/>
    <w:rsid w:val="00330B77"/>
    <w:rsid w:val="00330D40"/>
    <w:rsid w:val="0033284E"/>
    <w:rsid w:val="00333959"/>
    <w:rsid w:val="003346E4"/>
    <w:rsid w:val="00334CEC"/>
    <w:rsid w:val="00335A82"/>
    <w:rsid w:val="00335E0D"/>
    <w:rsid w:val="00335EBC"/>
    <w:rsid w:val="00336652"/>
    <w:rsid w:val="00336A61"/>
    <w:rsid w:val="00336B6A"/>
    <w:rsid w:val="00336CCB"/>
    <w:rsid w:val="00337C7F"/>
    <w:rsid w:val="00340154"/>
    <w:rsid w:val="00340B7A"/>
    <w:rsid w:val="00341258"/>
    <w:rsid w:val="00341807"/>
    <w:rsid w:val="003429F0"/>
    <w:rsid w:val="00342E94"/>
    <w:rsid w:val="00343C2F"/>
    <w:rsid w:val="0034456D"/>
    <w:rsid w:val="00344710"/>
    <w:rsid w:val="00344CD3"/>
    <w:rsid w:val="0034507A"/>
    <w:rsid w:val="0034667A"/>
    <w:rsid w:val="00346999"/>
    <w:rsid w:val="00346E28"/>
    <w:rsid w:val="00346F6D"/>
    <w:rsid w:val="00350416"/>
    <w:rsid w:val="00350666"/>
    <w:rsid w:val="00350D67"/>
    <w:rsid w:val="003511C9"/>
    <w:rsid w:val="003511EB"/>
    <w:rsid w:val="00351709"/>
    <w:rsid w:val="003524C9"/>
    <w:rsid w:val="0035392E"/>
    <w:rsid w:val="00355255"/>
    <w:rsid w:val="00356071"/>
    <w:rsid w:val="00356086"/>
    <w:rsid w:val="00356F35"/>
    <w:rsid w:val="003570F1"/>
    <w:rsid w:val="003573F3"/>
    <w:rsid w:val="00361043"/>
    <w:rsid w:val="00361448"/>
    <w:rsid w:val="00362778"/>
    <w:rsid w:val="00362DBA"/>
    <w:rsid w:val="00362DEE"/>
    <w:rsid w:val="003630B0"/>
    <w:rsid w:val="003637EB"/>
    <w:rsid w:val="00363E65"/>
    <w:rsid w:val="0036430A"/>
    <w:rsid w:val="003649CA"/>
    <w:rsid w:val="00366226"/>
    <w:rsid w:val="00367E4F"/>
    <w:rsid w:val="00367EB0"/>
    <w:rsid w:val="003705CD"/>
    <w:rsid w:val="00370889"/>
    <w:rsid w:val="003711B3"/>
    <w:rsid w:val="003719EB"/>
    <w:rsid w:val="00371A39"/>
    <w:rsid w:val="00372936"/>
    <w:rsid w:val="00372DE1"/>
    <w:rsid w:val="00373929"/>
    <w:rsid w:val="003747B6"/>
    <w:rsid w:val="00374AB1"/>
    <w:rsid w:val="003752A0"/>
    <w:rsid w:val="00375946"/>
    <w:rsid w:val="00375EF5"/>
    <w:rsid w:val="00376527"/>
    <w:rsid w:val="0037789D"/>
    <w:rsid w:val="00377F72"/>
    <w:rsid w:val="0038166F"/>
    <w:rsid w:val="00381CFE"/>
    <w:rsid w:val="003822DC"/>
    <w:rsid w:val="00382335"/>
    <w:rsid w:val="0038256D"/>
    <w:rsid w:val="00382A20"/>
    <w:rsid w:val="00382E94"/>
    <w:rsid w:val="003835AE"/>
    <w:rsid w:val="00384379"/>
    <w:rsid w:val="003848CA"/>
    <w:rsid w:val="00385F6F"/>
    <w:rsid w:val="003860D6"/>
    <w:rsid w:val="00386725"/>
    <w:rsid w:val="00387A47"/>
    <w:rsid w:val="00390680"/>
    <w:rsid w:val="00390969"/>
    <w:rsid w:val="00390EAC"/>
    <w:rsid w:val="00391521"/>
    <w:rsid w:val="00391960"/>
    <w:rsid w:val="00391969"/>
    <w:rsid w:val="00392031"/>
    <w:rsid w:val="0039222F"/>
    <w:rsid w:val="003937A3"/>
    <w:rsid w:val="003938EF"/>
    <w:rsid w:val="00393E13"/>
    <w:rsid w:val="00394353"/>
    <w:rsid w:val="003945E2"/>
    <w:rsid w:val="00395ADD"/>
    <w:rsid w:val="00395D99"/>
    <w:rsid w:val="00396CDC"/>
    <w:rsid w:val="003971C8"/>
    <w:rsid w:val="00397647"/>
    <w:rsid w:val="003A0177"/>
    <w:rsid w:val="003A1836"/>
    <w:rsid w:val="003A33EB"/>
    <w:rsid w:val="003A4766"/>
    <w:rsid w:val="003A501B"/>
    <w:rsid w:val="003A72A6"/>
    <w:rsid w:val="003A73A1"/>
    <w:rsid w:val="003A7A02"/>
    <w:rsid w:val="003B12D7"/>
    <w:rsid w:val="003B17E4"/>
    <w:rsid w:val="003B217A"/>
    <w:rsid w:val="003B2BBC"/>
    <w:rsid w:val="003B2F34"/>
    <w:rsid w:val="003B41EB"/>
    <w:rsid w:val="003B4DF1"/>
    <w:rsid w:val="003B6CFA"/>
    <w:rsid w:val="003B75DA"/>
    <w:rsid w:val="003B7BFC"/>
    <w:rsid w:val="003C0198"/>
    <w:rsid w:val="003C05E9"/>
    <w:rsid w:val="003C18A5"/>
    <w:rsid w:val="003C1C4A"/>
    <w:rsid w:val="003C1E88"/>
    <w:rsid w:val="003C2B96"/>
    <w:rsid w:val="003C31B4"/>
    <w:rsid w:val="003C3E1B"/>
    <w:rsid w:val="003C46EB"/>
    <w:rsid w:val="003C4B2A"/>
    <w:rsid w:val="003C54C6"/>
    <w:rsid w:val="003C6AD6"/>
    <w:rsid w:val="003C6B4A"/>
    <w:rsid w:val="003C753A"/>
    <w:rsid w:val="003C76C9"/>
    <w:rsid w:val="003C794D"/>
    <w:rsid w:val="003D026B"/>
    <w:rsid w:val="003D02EA"/>
    <w:rsid w:val="003D0525"/>
    <w:rsid w:val="003D1330"/>
    <w:rsid w:val="003D13BD"/>
    <w:rsid w:val="003D1894"/>
    <w:rsid w:val="003D1CA1"/>
    <w:rsid w:val="003D2476"/>
    <w:rsid w:val="003D366C"/>
    <w:rsid w:val="003D36A7"/>
    <w:rsid w:val="003D3868"/>
    <w:rsid w:val="003D4812"/>
    <w:rsid w:val="003D4AAC"/>
    <w:rsid w:val="003D4AC0"/>
    <w:rsid w:val="003D4D91"/>
    <w:rsid w:val="003D5518"/>
    <w:rsid w:val="003D6738"/>
    <w:rsid w:val="003D6CF2"/>
    <w:rsid w:val="003D73C8"/>
    <w:rsid w:val="003D76B1"/>
    <w:rsid w:val="003D7774"/>
    <w:rsid w:val="003D7AD5"/>
    <w:rsid w:val="003D7B3B"/>
    <w:rsid w:val="003E3A50"/>
    <w:rsid w:val="003E3B09"/>
    <w:rsid w:val="003E40B4"/>
    <w:rsid w:val="003E4170"/>
    <w:rsid w:val="003E51E2"/>
    <w:rsid w:val="003E6A8B"/>
    <w:rsid w:val="003E700A"/>
    <w:rsid w:val="003E715A"/>
    <w:rsid w:val="003F00CA"/>
    <w:rsid w:val="003F0E17"/>
    <w:rsid w:val="003F1E76"/>
    <w:rsid w:val="003F24CE"/>
    <w:rsid w:val="003F3EF1"/>
    <w:rsid w:val="003F41AB"/>
    <w:rsid w:val="003F51C5"/>
    <w:rsid w:val="003F5E85"/>
    <w:rsid w:val="003F6783"/>
    <w:rsid w:val="003F6AEC"/>
    <w:rsid w:val="003F6C51"/>
    <w:rsid w:val="003F7C2B"/>
    <w:rsid w:val="003F7E5E"/>
    <w:rsid w:val="004003B9"/>
    <w:rsid w:val="00400CCB"/>
    <w:rsid w:val="00400E38"/>
    <w:rsid w:val="00401204"/>
    <w:rsid w:val="00402074"/>
    <w:rsid w:val="00402C1C"/>
    <w:rsid w:val="00403521"/>
    <w:rsid w:val="00403C20"/>
    <w:rsid w:val="0040404A"/>
    <w:rsid w:val="0040498C"/>
    <w:rsid w:val="00404B5C"/>
    <w:rsid w:val="00404F97"/>
    <w:rsid w:val="004053AC"/>
    <w:rsid w:val="004056FF"/>
    <w:rsid w:val="004066DC"/>
    <w:rsid w:val="0040684F"/>
    <w:rsid w:val="004069CA"/>
    <w:rsid w:val="00407633"/>
    <w:rsid w:val="00410147"/>
    <w:rsid w:val="004106C9"/>
    <w:rsid w:val="00410E5D"/>
    <w:rsid w:val="00411BE6"/>
    <w:rsid w:val="0041215F"/>
    <w:rsid w:val="00412310"/>
    <w:rsid w:val="0041249C"/>
    <w:rsid w:val="004129AF"/>
    <w:rsid w:val="00413CE6"/>
    <w:rsid w:val="004144EA"/>
    <w:rsid w:val="00414F51"/>
    <w:rsid w:val="00415862"/>
    <w:rsid w:val="00416927"/>
    <w:rsid w:val="004209D7"/>
    <w:rsid w:val="00420F4C"/>
    <w:rsid w:val="00421586"/>
    <w:rsid w:val="00422996"/>
    <w:rsid w:val="00423E76"/>
    <w:rsid w:val="00424FBB"/>
    <w:rsid w:val="00426E1E"/>
    <w:rsid w:val="0042721F"/>
    <w:rsid w:val="00427D00"/>
    <w:rsid w:val="004303C4"/>
    <w:rsid w:val="00430686"/>
    <w:rsid w:val="00430F39"/>
    <w:rsid w:val="0043149C"/>
    <w:rsid w:val="00431565"/>
    <w:rsid w:val="00431886"/>
    <w:rsid w:val="004344FA"/>
    <w:rsid w:val="004345B8"/>
    <w:rsid w:val="00434634"/>
    <w:rsid w:val="00435844"/>
    <w:rsid w:val="00435BBC"/>
    <w:rsid w:val="00436621"/>
    <w:rsid w:val="0043696D"/>
    <w:rsid w:val="004377FB"/>
    <w:rsid w:val="00437D67"/>
    <w:rsid w:val="00442D41"/>
    <w:rsid w:val="0044301B"/>
    <w:rsid w:val="004431D0"/>
    <w:rsid w:val="004437E7"/>
    <w:rsid w:val="00443826"/>
    <w:rsid w:val="004454F2"/>
    <w:rsid w:val="00445569"/>
    <w:rsid w:val="00445CA6"/>
    <w:rsid w:val="00446288"/>
    <w:rsid w:val="0044674E"/>
    <w:rsid w:val="00446A29"/>
    <w:rsid w:val="00447854"/>
    <w:rsid w:val="00447A79"/>
    <w:rsid w:val="00450F35"/>
    <w:rsid w:val="00451299"/>
    <w:rsid w:val="00451EC5"/>
    <w:rsid w:val="004528B4"/>
    <w:rsid w:val="00452917"/>
    <w:rsid w:val="00452BA5"/>
    <w:rsid w:val="00453265"/>
    <w:rsid w:val="004539E7"/>
    <w:rsid w:val="00453A34"/>
    <w:rsid w:val="00454401"/>
    <w:rsid w:val="00454C39"/>
    <w:rsid w:val="00454E2A"/>
    <w:rsid w:val="00454FB3"/>
    <w:rsid w:val="0045507E"/>
    <w:rsid w:val="00455209"/>
    <w:rsid w:val="00455A21"/>
    <w:rsid w:val="00455D6B"/>
    <w:rsid w:val="00457530"/>
    <w:rsid w:val="00460005"/>
    <w:rsid w:val="0046051E"/>
    <w:rsid w:val="00460FFD"/>
    <w:rsid w:val="00461CF3"/>
    <w:rsid w:val="00461D0D"/>
    <w:rsid w:val="00461E31"/>
    <w:rsid w:val="00462260"/>
    <w:rsid w:val="004628E8"/>
    <w:rsid w:val="004655D1"/>
    <w:rsid w:val="00465EC5"/>
    <w:rsid w:val="00465F14"/>
    <w:rsid w:val="004662DA"/>
    <w:rsid w:val="00466F28"/>
    <w:rsid w:val="00467115"/>
    <w:rsid w:val="00467383"/>
    <w:rsid w:val="0047003F"/>
    <w:rsid w:val="00470AAD"/>
    <w:rsid w:val="00473821"/>
    <w:rsid w:val="0047528B"/>
    <w:rsid w:val="00475AB3"/>
    <w:rsid w:val="0047662B"/>
    <w:rsid w:val="004806D6"/>
    <w:rsid w:val="004812B1"/>
    <w:rsid w:val="0048187E"/>
    <w:rsid w:val="0048298D"/>
    <w:rsid w:val="00482CEF"/>
    <w:rsid w:val="00483791"/>
    <w:rsid w:val="00483AD5"/>
    <w:rsid w:val="00484305"/>
    <w:rsid w:val="0048433B"/>
    <w:rsid w:val="00484A22"/>
    <w:rsid w:val="00486130"/>
    <w:rsid w:val="00486CF9"/>
    <w:rsid w:val="00487327"/>
    <w:rsid w:val="00487BD9"/>
    <w:rsid w:val="00490AF9"/>
    <w:rsid w:val="00490E1F"/>
    <w:rsid w:val="004929E9"/>
    <w:rsid w:val="00492A81"/>
    <w:rsid w:val="00492C1B"/>
    <w:rsid w:val="00492FC4"/>
    <w:rsid w:val="00493B38"/>
    <w:rsid w:val="00493C92"/>
    <w:rsid w:val="004967E1"/>
    <w:rsid w:val="00497EB7"/>
    <w:rsid w:val="004A057E"/>
    <w:rsid w:val="004A2820"/>
    <w:rsid w:val="004A2F39"/>
    <w:rsid w:val="004A2F61"/>
    <w:rsid w:val="004A31C6"/>
    <w:rsid w:val="004A3666"/>
    <w:rsid w:val="004A39B3"/>
    <w:rsid w:val="004A4FF6"/>
    <w:rsid w:val="004A5816"/>
    <w:rsid w:val="004A5B3B"/>
    <w:rsid w:val="004A5D38"/>
    <w:rsid w:val="004A6152"/>
    <w:rsid w:val="004A678B"/>
    <w:rsid w:val="004A6CA1"/>
    <w:rsid w:val="004A77B5"/>
    <w:rsid w:val="004A7E57"/>
    <w:rsid w:val="004B0CD7"/>
    <w:rsid w:val="004B0D5C"/>
    <w:rsid w:val="004B1004"/>
    <w:rsid w:val="004B1109"/>
    <w:rsid w:val="004B2E41"/>
    <w:rsid w:val="004B32A5"/>
    <w:rsid w:val="004B3372"/>
    <w:rsid w:val="004B485B"/>
    <w:rsid w:val="004B4C38"/>
    <w:rsid w:val="004B5647"/>
    <w:rsid w:val="004B5D42"/>
    <w:rsid w:val="004B5DBA"/>
    <w:rsid w:val="004B5DCA"/>
    <w:rsid w:val="004B60E6"/>
    <w:rsid w:val="004B6400"/>
    <w:rsid w:val="004B641B"/>
    <w:rsid w:val="004B6625"/>
    <w:rsid w:val="004B6F31"/>
    <w:rsid w:val="004B701E"/>
    <w:rsid w:val="004B7235"/>
    <w:rsid w:val="004C0104"/>
    <w:rsid w:val="004C1755"/>
    <w:rsid w:val="004C260F"/>
    <w:rsid w:val="004C2A5F"/>
    <w:rsid w:val="004C2B82"/>
    <w:rsid w:val="004C460D"/>
    <w:rsid w:val="004C6434"/>
    <w:rsid w:val="004C652F"/>
    <w:rsid w:val="004C7D49"/>
    <w:rsid w:val="004C7D91"/>
    <w:rsid w:val="004D010A"/>
    <w:rsid w:val="004D028B"/>
    <w:rsid w:val="004D233E"/>
    <w:rsid w:val="004D2DFC"/>
    <w:rsid w:val="004D32E8"/>
    <w:rsid w:val="004D3E0D"/>
    <w:rsid w:val="004D4A49"/>
    <w:rsid w:val="004D51CD"/>
    <w:rsid w:val="004D64B7"/>
    <w:rsid w:val="004E09A6"/>
    <w:rsid w:val="004E0ACE"/>
    <w:rsid w:val="004E266B"/>
    <w:rsid w:val="004E2B35"/>
    <w:rsid w:val="004E330F"/>
    <w:rsid w:val="004E40C5"/>
    <w:rsid w:val="004E4E54"/>
    <w:rsid w:val="004E63C7"/>
    <w:rsid w:val="004E6737"/>
    <w:rsid w:val="004E6CB4"/>
    <w:rsid w:val="004E6D6D"/>
    <w:rsid w:val="004E6EDF"/>
    <w:rsid w:val="004E72F4"/>
    <w:rsid w:val="004E7DD5"/>
    <w:rsid w:val="004E7FEE"/>
    <w:rsid w:val="004F0EDD"/>
    <w:rsid w:val="004F179E"/>
    <w:rsid w:val="004F261F"/>
    <w:rsid w:val="004F3C45"/>
    <w:rsid w:val="004F4190"/>
    <w:rsid w:val="004F6164"/>
    <w:rsid w:val="004F6C49"/>
    <w:rsid w:val="004F6CC7"/>
    <w:rsid w:val="004F7808"/>
    <w:rsid w:val="004F785F"/>
    <w:rsid w:val="004F7A81"/>
    <w:rsid w:val="005007A3"/>
    <w:rsid w:val="00501048"/>
    <w:rsid w:val="00501288"/>
    <w:rsid w:val="005012D6"/>
    <w:rsid w:val="00502184"/>
    <w:rsid w:val="0050228C"/>
    <w:rsid w:val="00503721"/>
    <w:rsid w:val="00504D9D"/>
    <w:rsid w:val="00505452"/>
    <w:rsid w:val="00507DA2"/>
    <w:rsid w:val="005107B5"/>
    <w:rsid w:val="005112FB"/>
    <w:rsid w:val="00512D1B"/>
    <w:rsid w:val="0051341F"/>
    <w:rsid w:val="0051371C"/>
    <w:rsid w:val="0051479A"/>
    <w:rsid w:val="00514985"/>
    <w:rsid w:val="005156AF"/>
    <w:rsid w:val="00516151"/>
    <w:rsid w:val="005169AD"/>
    <w:rsid w:val="00517175"/>
    <w:rsid w:val="00517649"/>
    <w:rsid w:val="0052046A"/>
    <w:rsid w:val="005217A3"/>
    <w:rsid w:val="00521BA2"/>
    <w:rsid w:val="00521FE8"/>
    <w:rsid w:val="00522698"/>
    <w:rsid w:val="00523674"/>
    <w:rsid w:val="00523B02"/>
    <w:rsid w:val="00523D62"/>
    <w:rsid w:val="00524BC5"/>
    <w:rsid w:val="005253E1"/>
    <w:rsid w:val="00525613"/>
    <w:rsid w:val="00525D4A"/>
    <w:rsid w:val="0053026B"/>
    <w:rsid w:val="00531791"/>
    <w:rsid w:val="00533023"/>
    <w:rsid w:val="005330B9"/>
    <w:rsid w:val="00533E0F"/>
    <w:rsid w:val="005355FE"/>
    <w:rsid w:val="005356B5"/>
    <w:rsid w:val="00535D74"/>
    <w:rsid w:val="00535F58"/>
    <w:rsid w:val="005368F7"/>
    <w:rsid w:val="00536C3C"/>
    <w:rsid w:val="005371CC"/>
    <w:rsid w:val="0053752C"/>
    <w:rsid w:val="005376D5"/>
    <w:rsid w:val="005409B5"/>
    <w:rsid w:val="0054367E"/>
    <w:rsid w:val="00543EDB"/>
    <w:rsid w:val="00543FA4"/>
    <w:rsid w:val="00544768"/>
    <w:rsid w:val="00544FCA"/>
    <w:rsid w:val="005459A8"/>
    <w:rsid w:val="00545E77"/>
    <w:rsid w:val="005460FA"/>
    <w:rsid w:val="00546D91"/>
    <w:rsid w:val="00546FEE"/>
    <w:rsid w:val="0054799C"/>
    <w:rsid w:val="00547E40"/>
    <w:rsid w:val="005505B9"/>
    <w:rsid w:val="00550CF7"/>
    <w:rsid w:val="00550DD5"/>
    <w:rsid w:val="00551C08"/>
    <w:rsid w:val="00552733"/>
    <w:rsid w:val="005535F1"/>
    <w:rsid w:val="00553651"/>
    <w:rsid w:val="00554197"/>
    <w:rsid w:val="005541E4"/>
    <w:rsid w:val="00554B91"/>
    <w:rsid w:val="005550D0"/>
    <w:rsid w:val="00555183"/>
    <w:rsid w:val="00556AF5"/>
    <w:rsid w:val="00556D25"/>
    <w:rsid w:val="005571FF"/>
    <w:rsid w:val="00560641"/>
    <w:rsid w:val="0056095C"/>
    <w:rsid w:val="00560F65"/>
    <w:rsid w:val="0056216C"/>
    <w:rsid w:val="0056240A"/>
    <w:rsid w:val="00562868"/>
    <w:rsid w:val="005628AD"/>
    <w:rsid w:val="00564205"/>
    <w:rsid w:val="005647BC"/>
    <w:rsid w:val="005649A4"/>
    <w:rsid w:val="00565393"/>
    <w:rsid w:val="005658E2"/>
    <w:rsid w:val="005659CC"/>
    <w:rsid w:val="00566D2A"/>
    <w:rsid w:val="00566F14"/>
    <w:rsid w:val="005671C8"/>
    <w:rsid w:val="005674F3"/>
    <w:rsid w:val="005703AA"/>
    <w:rsid w:val="005715AF"/>
    <w:rsid w:val="00571677"/>
    <w:rsid w:val="005724E9"/>
    <w:rsid w:val="00572B35"/>
    <w:rsid w:val="005734A8"/>
    <w:rsid w:val="00573A7D"/>
    <w:rsid w:val="00574D4A"/>
    <w:rsid w:val="005804CE"/>
    <w:rsid w:val="00580616"/>
    <w:rsid w:val="00580BC9"/>
    <w:rsid w:val="00580C2A"/>
    <w:rsid w:val="005812F3"/>
    <w:rsid w:val="00581657"/>
    <w:rsid w:val="0058167B"/>
    <w:rsid w:val="0058169D"/>
    <w:rsid w:val="00582DA6"/>
    <w:rsid w:val="005831E8"/>
    <w:rsid w:val="005831F5"/>
    <w:rsid w:val="005852DD"/>
    <w:rsid w:val="00587451"/>
    <w:rsid w:val="0059040F"/>
    <w:rsid w:val="005907B4"/>
    <w:rsid w:val="00590EF7"/>
    <w:rsid w:val="00590F92"/>
    <w:rsid w:val="0059201D"/>
    <w:rsid w:val="00592095"/>
    <w:rsid w:val="00592922"/>
    <w:rsid w:val="0059313B"/>
    <w:rsid w:val="0059347D"/>
    <w:rsid w:val="00593886"/>
    <w:rsid w:val="00593BEB"/>
    <w:rsid w:val="00593EFA"/>
    <w:rsid w:val="005941C2"/>
    <w:rsid w:val="005943B5"/>
    <w:rsid w:val="0059445E"/>
    <w:rsid w:val="00595F3B"/>
    <w:rsid w:val="005960D2"/>
    <w:rsid w:val="00596D61"/>
    <w:rsid w:val="00597F76"/>
    <w:rsid w:val="005A12A2"/>
    <w:rsid w:val="005A2AF1"/>
    <w:rsid w:val="005A37AB"/>
    <w:rsid w:val="005A58B6"/>
    <w:rsid w:val="005A5D6F"/>
    <w:rsid w:val="005A6AE3"/>
    <w:rsid w:val="005A6AEA"/>
    <w:rsid w:val="005A6C6F"/>
    <w:rsid w:val="005A731C"/>
    <w:rsid w:val="005A7BAD"/>
    <w:rsid w:val="005B0A2D"/>
    <w:rsid w:val="005B137C"/>
    <w:rsid w:val="005B2879"/>
    <w:rsid w:val="005B2CD3"/>
    <w:rsid w:val="005B2F2B"/>
    <w:rsid w:val="005B346C"/>
    <w:rsid w:val="005B3D76"/>
    <w:rsid w:val="005B447E"/>
    <w:rsid w:val="005B4758"/>
    <w:rsid w:val="005B5790"/>
    <w:rsid w:val="005B5FDF"/>
    <w:rsid w:val="005B65C6"/>
    <w:rsid w:val="005B779A"/>
    <w:rsid w:val="005B7B5C"/>
    <w:rsid w:val="005C0029"/>
    <w:rsid w:val="005C0145"/>
    <w:rsid w:val="005C0147"/>
    <w:rsid w:val="005C0BE9"/>
    <w:rsid w:val="005C13F8"/>
    <w:rsid w:val="005C1775"/>
    <w:rsid w:val="005C1A28"/>
    <w:rsid w:val="005C2119"/>
    <w:rsid w:val="005C32D8"/>
    <w:rsid w:val="005C3423"/>
    <w:rsid w:val="005C36A4"/>
    <w:rsid w:val="005C37AF"/>
    <w:rsid w:val="005C4CC5"/>
    <w:rsid w:val="005C6675"/>
    <w:rsid w:val="005C6BB2"/>
    <w:rsid w:val="005C7CBA"/>
    <w:rsid w:val="005D0882"/>
    <w:rsid w:val="005D1C9E"/>
    <w:rsid w:val="005D200C"/>
    <w:rsid w:val="005D26EA"/>
    <w:rsid w:val="005D28D1"/>
    <w:rsid w:val="005D29F4"/>
    <w:rsid w:val="005D2AB0"/>
    <w:rsid w:val="005D5616"/>
    <w:rsid w:val="005D5755"/>
    <w:rsid w:val="005D6174"/>
    <w:rsid w:val="005D7BFE"/>
    <w:rsid w:val="005D7C57"/>
    <w:rsid w:val="005E1B0F"/>
    <w:rsid w:val="005E3104"/>
    <w:rsid w:val="005E4676"/>
    <w:rsid w:val="005E55E2"/>
    <w:rsid w:val="005E5E53"/>
    <w:rsid w:val="005E5F2D"/>
    <w:rsid w:val="005E778B"/>
    <w:rsid w:val="005E7DEB"/>
    <w:rsid w:val="005F142A"/>
    <w:rsid w:val="005F2023"/>
    <w:rsid w:val="005F2315"/>
    <w:rsid w:val="005F2FDD"/>
    <w:rsid w:val="005F3194"/>
    <w:rsid w:val="005F323E"/>
    <w:rsid w:val="005F33CE"/>
    <w:rsid w:val="005F3919"/>
    <w:rsid w:val="005F4911"/>
    <w:rsid w:val="005F4B5C"/>
    <w:rsid w:val="005F4E29"/>
    <w:rsid w:val="005F4F6F"/>
    <w:rsid w:val="005F50FC"/>
    <w:rsid w:val="005F521E"/>
    <w:rsid w:val="005F538E"/>
    <w:rsid w:val="005F5D07"/>
    <w:rsid w:val="005F5F2B"/>
    <w:rsid w:val="005F6962"/>
    <w:rsid w:val="005F69CE"/>
    <w:rsid w:val="005F6BC3"/>
    <w:rsid w:val="005F6F0E"/>
    <w:rsid w:val="005F7D5B"/>
    <w:rsid w:val="005F7E23"/>
    <w:rsid w:val="00600549"/>
    <w:rsid w:val="006005EE"/>
    <w:rsid w:val="00600AF7"/>
    <w:rsid w:val="00600CFF"/>
    <w:rsid w:val="006014AE"/>
    <w:rsid w:val="00601BAD"/>
    <w:rsid w:val="00601D72"/>
    <w:rsid w:val="00603C42"/>
    <w:rsid w:val="00603DC0"/>
    <w:rsid w:val="00603FCB"/>
    <w:rsid w:val="00604CC4"/>
    <w:rsid w:val="0060506C"/>
    <w:rsid w:val="00605433"/>
    <w:rsid w:val="00605531"/>
    <w:rsid w:val="006100B6"/>
    <w:rsid w:val="00610405"/>
    <w:rsid w:val="006109BA"/>
    <w:rsid w:val="00610AC8"/>
    <w:rsid w:val="00610BE7"/>
    <w:rsid w:val="00611230"/>
    <w:rsid w:val="006131A0"/>
    <w:rsid w:val="0061330E"/>
    <w:rsid w:val="0061373E"/>
    <w:rsid w:val="00613AE5"/>
    <w:rsid w:val="00615784"/>
    <w:rsid w:val="00616205"/>
    <w:rsid w:val="00616CDA"/>
    <w:rsid w:val="00617297"/>
    <w:rsid w:val="00617362"/>
    <w:rsid w:val="00617478"/>
    <w:rsid w:val="00617571"/>
    <w:rsid w:val="00617A4A"/>
    <w:rsid w:val="00617CE1"/>
    <w:rsid w:val="00620CF5"/>
    <w:rsid w:val="006214D8"/>
    <w:rsid w:val="0062191B"/>
    <w:rsid w:val="00622043"/>
    <w:rsid w:val="00622E7B"/>
    <w:rsid w:val="006232E5"/>
    <w:rsid w:val="00623636"/>
    <w:rsid w:val="00623AEF"/>
    <w:rsid w:val="0062447A"/>
    <w:rsid w:val="00625031"/>
    <w:rsid w:val="00625AFF"/>
    <w:rsid w:val="00625CF3"/>
    <w:rsid w:val="0062696A"/>
    <w:rsid w:val="00627D31"/>
    <w:rsid w:val="00630513"/>
    <w:rsid w:val="00630F69"/>
    <w:rsid w:val="00631A2F"/>
    <w:rsid w:val="00631A6D"/>
    <w:rsid w:val="006322E1"/>
    <w:rsid w:val="0063274E"/>
    <w:rsid w:val="0063281A"/>
    <w:rsid w:val="00632E59"/>
    <w:rsid w:val="00634EB5"/>
    <w:rsid w:val="006351F2"/>
    <w:rsid w:val="0063584F"/>
    <w:rsid w:val="006358A4"/>
    <w:rsid w:val="00636012"/>
    <w:rsid w:val="00636E28"/>
    <w:rsid w:val="0063732F"/>
    <w:rsid w:val="00637487"/>
    <w:rsid w:val="00637E1B"/>
    <w:rsid w:val="0064005D"/>
    <w:rsid w:val="00640777"/>
    <w:rsid w:val="00640B5C"/>
    <w:rsid w:val="00641CB9"/>
    <w:rsid w:val="00641EE4"/>
    <w:rsid w:val="006424AB"/>
    <w:rsid w:val="006425A1"/>
    <w:rsid w:val="006425E0"/>
    <w:rsid w:val="00642B50"/>
    <w:rsid w:val="0064418B"/>
    <w:rsid w:val="006441FA"/>
    <w:rsid w:val="00645FF6"/>
    <w:rsid w:val="00647371"/>
    <w:rsid w:val="006473FF"/>
    <w:rsid w:val="006478C2"/>
    <w:rsid w:val="00647AAB"/>
    <w:rsid w:val="00650C17"/>
    <w:rsid w:val="006519B9"/>
    <w:rsid w:val="00652DD6"/>
    <w:rsid w:val="00655359"/>
    <w:rsid w:val="00656443"/>
    <w:rsid w:val="006606D5"/>
    <w:rsid w:val="0066247D"/>
    <w:rsid w:val="006624B1"/>
    <w:rsid w:val="00662CE3"/>
    <w:rsid w:val="00663006"/>
    <w:rsid w:val="0066377D"/>
    <w:rsid w:val="00663EF8"/>
    <w:rsid w:val="0066429B"/>
    <w:rsid w:val="0066466B"/>
    <w:rsid w:val="006646D9"/>
    <w:rsid w:val="006647B9"/>
    <w:rsid w:val="006648FB"/>
    <w:rsid w:val="00664DFB"/>
    <w:rsid w:val="00664F4E"/>
    <w:rsid w:val="00666645"/>
    <w:rsid w:val="00670DF1"/>
    <w:rsid w:val="006719C1"/>
    <w:rsid w:val="00671FA8"/>
    <w:rsid w:val="00672297"/>
    <w:rsid w:val="00672BF6"/>
    <w:rsid w:val="00672D39"/>
    <w:rsid w:val="006738B4"/>
    <w:rsid w:val="006746F1"/>
    <w:rsid w:val="0067593C"/>
    <w:rsid w:val="00675EA7"/>
    <w:rsid w:val="00676302"/>
    <w:rsid w:val="00676B18"/>
    <w:rsid w:val="00680762"/>
    <w:rsid w:val="00683AB8"/>
    <w:rsid w:val="006844CD"/>
    <w:rsid w:val="00685036"/>
    <w:rsid w:val="00685ED7"/>
    <w:rsid w:val="00686BF7"/>
    <w:rsid w:val="0068763E"/>
    <w:rsid w:val="006907E0"/>
    <w:rsid w:val="00690C57"/>
    <w:rsid w:val="006913B0"/>
    <w:rsid w:val="0069151D"/>
    <w:rsid w:val="006915E2"/>
    <w:rsid w:val="006915EA"/>
    <w:rsid w:val="00691D1E"/>
    <w:rsid w:val="00691FE8"/>
    <w:rsid w:val="006922C2"/>
    <w:rsid w:val="00692B36"/>
    <w:rsid w:val="00694E36"/>
    <w:rsid w:val="00694FEF"/>
    <w:rsid w:val="00695659"/>
    <w:rsid w:val="006961A6"/>
    <w:rsid w:val="0069718B"/>
    <w:rsid w:val="006977F9"/>
    <w:rsid w:val="006A0171"/>
    <w:rsid w:val="006A01C3"/>
    <w:rsid w:val="006A0AF0"/>
    <w:rsid w:val="006A0CBB"/>
    <w:rsid w:val="006A155D"/>
    <w:rsid w:val="006A1874"/>
    <w:rsid w:val="006A1C02"/>
    <w:rsid w:val="006A1DF6"/>
    <w:rsid w:val="006A20E6"/>
    <w:rsid w:val="006A2C01"/>
    <w:rsid w:val="006A2C98"/>
    <w:rsid w:val="006A3846"/>
    <w:rsid w:val="006A4239"/>
    <w:rsid w:val="006A4E94"/>
    <w:rsid w:val="006A5F53"/>
    <w:rsid w:val="006A631F"/>
    <w:rsid w:val="006A7148"/>
    <w:rsid w:val="006A774A"/>
    <w:rsid w:val="006A7D86"/>
    <w:rsid w:val="006B0102"/>
    <w:rsid w:val="006B1012"/>
    <w:rsid w:val="006B17BF"/>
    <w:rsid w:val="006B3FEB"/>
    <w:rsid w:val="006B545B"/>
    <w:rsid w:val="006B54F3"/>
    <w:rsid w:val="006B57A5"/>
    <w:rsid w:val="006B5896"/>
    <w:rsid w:val="006B5E7A"/>
    <w:rsid w:val="006C0961"/>
    <w:rsid w:val="006C1415"/>
    <w:rsid w:val="006C1596"/>
    <w:rsid w:val="006C17F2"/>
    <w:rsid w:val="006C1EDD"/>
    <w:rsid w:val="006C20A5"/>
    <w:rsid w:val="006C2123"/>
    <w:rsid w:val="006C23FC"/>
    <w:rsid w:val="006C2617"/>
    <w:rsid w:val="006C2C0E"/>
    <w:rsid w:val="006C2E74"/>
    <w:rsid w:val="006C33A1"/>
    <w:rsid w:val="006C35A5"/>
    <w:rsid w:val="006C3CC8"/>
    <w:rsid w:val="006C40BF"/>
    <w:rsid w:val="006C4131"/>
    <w:rsid w:val="006C4285"/>
    <w:rsid w:val="006C42D0"/>
    <w:rsid w:val="006C4AC4"/>
    <w:rsid w:val="006C56D9"/>
    <w:rsid w:val="006C61FD"/>
    <w:rsid w:val="006C6D13"/>
    <w:rsid w:val="006D00A8"/>
    <w:rsid w:val="006D0A68"/>
    <w:rsid w:val="006D13E0"/>
    <w:rsid w:val="006D13FA"/>
    <w:rsid w:val="006D22F7"/>
    <w:rsid w:val="006D2C4A"/>
    <w:rsid w:val="006D36FE"/>
    <w:rsid w:val="006D380B"/>
    <w:rsid w:val="006D3C6B"/>
    <w:rsid w:val="006D3CE3"/>
    <w:rsid w:val="006D5C2E"/>
    <w:rsid w:val="006D6890"/>
    <w:rsid w:val="006D72E1"/>
    <w:rsid w:val="006D7F0D"/>
    <w:rsid w:val="006D7F3B"/>
    <w:rsid w:val="006D7FBF"/>
    <w:rsid w:val="006E0667"/>
    <w:rsid w:val="006E17AD"/>
    <w:rsid w:val="006E3053"/>
    <w:rsid w:val="006E565F"/>
    <w:rsid w:val="006E5F2B"/>
    <w:rsid w:val="006E76D9"/>
    <w:rsid w:val="006E7A94"/>
    <w:rsid w:val="006F0E73"/>
    <w:rsid w:val="006F0EE1"/>
    <w:rsid w:val="006F1C96"/>
    <w:rsid w:val="006F3218"/>
    <w:rsid w:val="006F336D"/>
    <w:rsid w:val="006F4045"/>
    <w:rsid w:val="006F48B9"/>
    <w:rsid w:val="006F54A0"/>
    <w:rsid w:val="006F5A5C"/>
    <w:rsid w:val="006F66FB"/>
    <w:rsid w:val="006F7EBE"/>
    <w:rsid w:val="006F7F00"/>
    <w:rsid w:val="0070177E"/>
    <w:rsid w:val="00701F99"/>
    <w:rsid w:val="00702603"/>
    <w:rsid w:val="00702617"/>
    <w:rsid w:val="007027B2"/>
    <w:rsid w:val="00702897"/>
    <w:rsid w:val="00702AE8"/>
    <w:rsid w:val="00702CFB"/>
    <w:rsid w:val="00705372"/>
    <w:rsid w:val="00706883"/>
    <w:rsid w:val="0070738A"/>
    <w:rsid w:val="007104E5"/>
    <w:rsid w:val="007114C7"/>
    <w:rsid w:val="00712764"/>
    <w:rsid w:val="00712CC9"/>
    <w:rsid w:val="007146D2"/>
    <w:rsid w:val="00715983"/>
    <w:rsid w:val="00715F9E"/>
    <w:rsid w:val="0072085E"/>
    <w:rsid w:val="00721715"/>
    <w:rsid w:val="00721BDA"/>
    <w:rsid w:val="00723487"/>
    <w:rsid w:val="00723871"/>
    <w:rsid w:val="00723962"/>
    <w:rsid w:val="00723EA4"/>
    <w:rsid w:val="00724424"/>
    <w:rsid w:val="007250D9"/>
    <w:rsid w:val="007254E4"/>
    <w:rsid w:val="007255F5"/>
    <w:rsid w:val="00725E62"/>
    <w:rsid w:val="00726CC0"/>
    <w:rsid w:val="00727269"/>
    <w:rsid w:val="0072780A"/>
    <w:rsid w:val="00727BDE"/>
    <w:rsid w:val="00731BD3"/>
    <w:rsid w:val="00731C1D"/>
    <w:rsid w:val="00731CC9"/>
    <w:rsid w:val="00731DCD"/>
    <w:rsid w:val="00732257"/>
    <w:rsid w:val="00732E3B"/>
    <w:rsid w:val="00732F51"/>
    <w:rsid w:val="00732FD8"/>
    <w:rsid w:val="00733CCA"/>
    <w:rsid w:val="00734193"/>
    <w:rsid w:val="00735393"/>
    <w:rsid w:val="007359B1"/>
    <w:rsid w:val="007419F7"/>
    <w:rsid w:val="00742272"/>
    <w:rsid w:val="00743764"/>
    <w:rsid w:val="00744346"/>
    <w:rsid w:val="0074467E"/>
    <w:rsid w:val="00745C96"/>
    <w:rsid w:val="00745F63"/>
    <w:rsid w:val="00747297"/>
    <w:rsid w:val="00747DAC"/>
    <w:rsid w:val="0075160D"/>
    <w:rsid w:val="00752E2A"/>
    <w:rsid w:val="00754AB1"/>
    <w:rsid w:val="00755765"/>
    <w:rsid w:val="00755930"/>
    <w:rsid w:val="007566B2"/>
    <w:rsid w:val="00757356"/>
    <w:rsid w:val="0075781A"/>
    <w:rsid w:val="007607C5"/>
    <w:rsid w:val="007610CD"/>
    <w:rsid w:val="00762C3C"/>
    <w:rsid w:val="007631FF"/>
    <w:rsid w:val="00764B8C"/>
    <w:rsid w:val="00764BA1"/>
    <w:rsid w:val="00765039"/>
    <w:rsid w:val="00766D75"/>
    <w:rsid w:val="00767035"/>
    <w:rsid w:val="00770688"/>
    <w:rsid w:val="007708AC"/>
    <w:rsid w:val="00771E40"/>
    <w:rsid w:val="0077212C"/>
    <w:rsid w:val="007726A2"/>
    <w:rsid w:val="00772EE5"/>
    <w:rsid w:val="00773124"/>
    <w:rsid w:val="00774698"/>
    <w:rsid w:val="007748DB"/>
    <w:rsid w:val="00774F4B"/>
    <w:rsid w:val="007750B0"/>
    <w:rsid w:val="00775612"/>
    <w:rsid w:val="007759D0"/>
    <w:rsid w:val="007766C7"/>
    <w:rsid w:val="00776A31"/>
    <w:rsid w:val="00776B91"/>
    <w:rsid w:val="00776FE1"/>
    <w:rsid w:val="007775FA"/>
    <w:rsid w:val="007803AB"/>
    <w:rsid w:val="007810C4"/>
    <w:rsid w:val="007828ED"/>
    <w:rsid w:val="00782B92"/>
    <w:rsid w:val="00783B19"/>
    <w:rsid w:val="00783B51"/>
    <w:rsid w:val="007845D4"/>
    <w:rsid w:val="007849F5"/>
    <w:rsid w:val="00784B03"/>
    <w:rsid w:val="007857D9"/>
    <w:rsid w:val="00785D78"/>
    <w:rsid w:val="00786835"/>
    <w:rsid w:val="00786E19"/>
    <w:rsid w:val="00787C73"/>
    <w:rsid w:val="00791013"/>
    <w:rsid w:val="00791139"/>
    <w:rsid w:val="00791B17"/>
    <w:rsid w:val="00792830"/>
    <w:rsid w:val="007931FE"/>
    <w:rsid w:val="00794083"/>
    <w:rsid w:val="0079408A"/>
    <w:rsid w:val="0079481E"/>
    <w:rsid w:val="00794D25"/>
    <w:rsid w:val="0079546B"/>
    <w:rsid w:val="007956D9"/>
    <w:rsid w:val="00795A75"/>
    <w:rsid w:val="00796664"/>
    <w:rsid w:val="00796772"/>
    <w:rsid w:val="00796BE5"/>
    <w:rsid w:val="00796D91"/>
    <w:rsid w:val="00796ECD"/>
    <w:rsid w:val="0079758A"/>
    <w:rsid w:val="007975AF"/>
    <w:rsid w:val="0079778D"/>
    <w:rsid w:val="00797E60"/>
    <w:rsid w:val="007A0AA6"/>
    <w:rsid w:val="007A25E5"/>
    <w:rsid w:val="007A279F"/>
    <w:rsid w:val="007A2C9B"/>
    <w:rsid w:val="007A32B4"/>
    <w:rsid w:val="007A3B12"/>
    <w:rsid w:val="007A420A"/>
    <w:rsid w:val="007A5481"/>
    <w:rsid w:val="007A57CA"/>
    <w:rsid w:val="007A60D0"/>
    <w:rsid w:val="007A7741"/>
    <w:rsid w:val="007B0404"/>
    <w:rsid w:val="007B1110"/>
    <w:rsid w:val="007B1910"/>
    <w:rsid w:val="007B2CD6"/>
    <w:rsid w:val="007B2D3C"/>
    <w:rsid w:val="007B3DB8"/>
    <w:rsid w:val="007B4DC3"/>
    <w:rsid w:val="007B50F3"/>
    <w:rsid w:val="007B598F"/>
    <w:rsid w:val="007B60DE"/>
    <w:rsid w:val="007B61F3"/>
    <w:rsid w:val="007B78B4"/>
    <w:rsid w:val="007C1DB4"/>
    <w:rsid w:val="007C2E15"/>
    <w:rsid w:val="007C30CC"/>
    <w:rsid w:val="007C3275"/>
    <w:rsid w:val="007C37B0"/>
    <w:rsid w:val="007C37C3"/>
    <w:rsid w:val="007C39B5"/>
    <w:rsid w:val="007C3FFD"/>
    <w:rsid w:val="007C511E"/>
    <w:rsid w:val="007C5749"/>
    <w:rsid w:val="007C5A7D"/>
    <w:rsid w:val="007C79C2"/>
    <w:rsid w:val="007D0055"/>
    <w:rsid w:val="007D02E9"/>
    <w:rsid w:val="007D1558"/>
    <w:rsid w:val="007D1642"/>
    <w:rsid w:val="007D2C33"/>
    <w:rsid w:val="007D30CA"/>
    <w:rsid w:val="007D3364"/>
    <w:rsid w:val="007D34CF"/>
    <w:rsid w:val="007D4160"/>
    <w:rsid w:val="007D41A1"/>
    <w:rsid w:val="007D45DE"/>
    <w:rsid w:val="007D5355"/>
    <w:rsid w:val="007D5F80"/>
    <w:rsid w:val="007D6303"/>
    <w:rsid w:val="007D70F2"/>
    <w:rsid w:val="007D7466"/>
    <w:rsid w:val="007E03CC"/>
    <w:rsid w:val="007E1F52"/>
    <w:rsid w:val="007E27C4"/>
    <w:rsid w:val="007E3915"/>
    <w:rsid w:val="007E4470"/>
    <w:rsid w:val="007E4955"/>
    <w:rsid w:val="007E4CC6"/>
    <w:rsid w:val="007E59B3"/>
    <w:rsid w:val="007E6D3B"/>
    <w:rsid w:val="007E745A"/>
    <w:rsid w:val="007F0498"/>
    <w:rsid w:val="007F19B7"/>
    <w:rsid w:val="007F3409"/>
    <w:rsid w:val="007F3436"/>
    <w:rsid w:val="007F4312"/>
    <w:rsid w:val="007F487A"/>
    <w:rsid w:val="007F4ABE"/>
    <w:rsid w:val="007F58D1"/>
    <w:rsid w:val="007F7488"/>
    <w:rsid w:val="007F7C12"/>
    <w:rsid w:val="00800440"/>
    <w:rsid w:val="00802831"/>
    <w:rsid w:val="00803A67"/>
    <w:rsid w:val="00803C96"/>
    <w:rsid w:val="00804F7A"/>
    <w:rsid w:val="0080548D"/>
    <w:rsid w:val="0080622A"/>
    <w:rsid w:val="008065E4"/>
    <w:rsid w:val="00806670"/>
    <w:rsid w:val="00810650"/>
    <w:rsid w:val="00811551"/>
    <w:rsid w:val="00812482"/>
    <w:rsid w:val="008124A2"/>
    <w:rsid w:val="00812596"/>
    <w:rsid w:val="0081303E"/>
    <w:rsid w:val="00813E82"/>
    <w:rsid w:val="008142D3"/>
    <w:rsid w:val="00814D53"/>
    <w:rsid w:val="0081694E"/>
    <w:rsid w:val="008171C6"/>
    <w:rsid w:val="008179C2"/>
    <w:rsid w:val="00817F63"/>
    <w:rsid w:val="008202CA"/>
    <w:rsid w:val="0082190F"/>
    <w:rsid w:val="0082206B"/>
    <w:rsid w:val="00822864"/>
    <w:rsid w:val="008230B1"/>
    <w:rsid w:val="00823B25"/>
    <w:rsid w:val="00823D5A"/>
    <w:rsid w:val="0082483C"/>
    <w:rsid w:val="00824FAA"/>
    <w:rsid w:val="008251CD"/>
    <w:rsid w:val="008254A9"/>
    <w:rsid w:val="00826748"/>
    <w:rsid w:val="0082730B"/>
    <w:rsid w:val="00827380"/>
    <w:rsid w:val="0082742A"/>
    <w:rsid w:val="008278CA"/>
    <w:rsid w:val="00827C96"/>
    <w:rsid w:val="008302AA"/>
    <w:rsid w:val="0083059A"/>
    <w:rsid w:val="008306B8"/>
    <w:rsid w:val="00831646"/>
    <w:rsid w:val="0083294C"/>
    <w:rsid w:val="00832B7E"/>
    <w:rsid w:val="00833597"/>
    <w:rsid w:val="008343C6"/>
    <w:rsid w:val="00834A55"/>
    <w:rsid w:val="0083524C"/>
    <w:rsid w:val="00835D2F"/>
    <w:rsid w:val="00836798"/>
    <w:rsid w:val="00836A32"/>
    <w:rsid w:val="00837CE7"/>
    <w:rsid w:val="008402A5"/>
    <w:rsid w:val="0084089E"/>
    <w:rsid w:val="008414C5"/>
    <w:rsid w:val="00841EB1"/>
    <w:rsid w:val="008432BD"/>
    <w:rsid w:val="0084378D"/>
    <w:rsid w:val="008439CC"/>
    <w:rsid w:val="00843E3B"/>
    <w:rsid w:val="008446C7"/>
    <w:rsid w:val="00844768"/>
    <w:rsid w:val="00844D4C"/>
    <w:rsid w:val="0084589F"/>
    <w:rsid w:val="00846160"/>
    <w:rsid w:val="00847FCD"/>
    <w:rsid w:val="00850FA9"/>
    <w:rsid w:val="0085241A"/>
    <w:rsid w:val="00852538"/>
    <w:rsid w:val="00852637"/>
    <w:rsid w:val="00853B7C"/>
    <w:rsid w:val="0085432D"/>
    <w:rsid w:val="008544A4"/>
    <w:rsid w:val="008550C3"/>
    <w:rsid w:val="00855A27"/>
    <w:rsid w:val="00855D5A"/>
    <w:rsid w:val="00855E03"/>
    <w:rsid w:val="0085628B"/>
    <w:rsid w:val="008563F0"/>
    <w:rsid w:val="008564B4"/>
    <w:rsid w:val="008567E3"/>
    <w:rsid w:val="00856EA6"/>
    <w:rsid w:val="0086232B"/>
    <w:rsid w:val="00862902"/>
    <w:rsid w:val="0086314C"/>
    <w:rsid w:val="008632AA"/>
    <w:rsid w:val="0086364C"/>
    <w:rsid w:val="00864470"/>
    <w:rsid w:val="00864F00"/>
    <w:rsid w:val="0086523C"/>
    <w:rsid w:val="00865FEA"/>
    <w:rsid w:val="0086607C"/>
    <w:rsid w:val="00866B47"/>
    <w:rsid w:val="00866F0B"/>
    <w:rsid w:val="00867014"/>
    <w:rsid w:val="00867274"/>
    <w:rsid w:val="00867A5A"/>
    <w:rsid w:val="00867BE1"/>
    <w:rsid w:val="0087125A"/>
    <w:rsid w:val="00872457"/>
    <w:rsid w:val="00872D70"/>
    <w:rsid w:val="00872E6B"/>
    <w:rsid w:val="00873A9D"/>
    <w:rsid w:val="00874491"/>
    <w:rsid w:val="008750DE"/>
    <w:rsid w:val="00876692"/>
    <w:rsid w:val="0087685F"/>
    <w:rsid w:val="008773E8"/>
    <w:rsid w:val="00877C2B"/>
    <w:rsid w:val="008801C7"/>
    <w:rsid w:val="008802AA"/>
    <w:rsid w:val="00880E45"/>
    <w:rsid w:val="00881200"/>
    <w:rsid w:val="0088317F"/>
    <w:rsid w:val="008831A1"/>
    <w:rsid w:val="008836CB"/>
    <w:rsid w:val="008837B4"/>
    <w:rsid w:val="00883F31"/>
    <w:rsid w:val="008842D1"/>
    <w:rsid w:val="00884FC7"/>
    <w:rsid w:val="00885A95"/>
    <w:rsid w:val="00887473"/>
    <w:rsid w:val="00887F5C"/>
    <w:rsid w:val="0089020B"/>
    <w:rsid w:val="0089102B"/>
    <w:rsid w:val="0089147A"/>
    <w:rsid w:val="00891ADF"/>
    <w:rsid w:val="00891F2A"/>
    <w:rsid w:val="008924D7"/>
    <w:rsid w:val="00892CA5"/>
    <w:rsid w:val="00893585"/>
    <w:rsid w:val="00893B56"/>
    <w:rsid w:val="00893D93"/>
    <w:rsid w:val="00895002"/>
    <w:rsid w:val="008952B1"/>
    <w:rsid w:val="008954CB"/>
    <w:rsid w:val="008957AC"/>
    <w:rsid w:val="00895C3B"/>
    <w:rsid w:val="00895DF5"/>
    <w:rsid w:val="008971E8"/>
    <w:rsid w:val="008A027A"/>
    <w:rsid w:val="008A0864"/>
    <w:rsid w:val="008A1AB6"/>
    <w:rsid w:val="008A1AD3"/>
    <w:rsid w:val="008A307D"/>
    <w:rsid w:val="008A32A9"/>
    <w:rsid w:val="008A4306"/>
    <w:rsid w:val="008A48A6"/>
    <w:rsid w:val="008A58AE"/>
    <w:rsid w:val="008A5AF4"/>
    <w:rsid w:val="008A651D"/>
    <w:rsid w:val="008A78BE"/>
    <w:rsid w:val="008B0848"/>
    <w:rsid w:val="008B1A6E"/>
    <w:rsid w:val="008B2334"/>
    <w:rsid w:val="008B2A8E"/>
    <w:rsid w:val="008B2D8B"/>
    <w:rsid w:val="008B2DCC"/>
    <w:rsid w:val="008B2E99"/>
    <w:rsid w:val="008B30B9"/>
    <w:rsid w:val="008B3CCF"/>
    <w:rsid w:val="008B3FD1"/>
    <w:rsid w:val="008B412B"/>
    <w:rsid w:val="008B42DE"/>
    <w:rsid w:val="008B4F31"/>
    <w:rsid w:val="008B5A4D"/>
    <w:rsid w:val="008B5DAC"/>
    <w:rsid w:val="008B67BC"/>
    <w:rsid w:val="008B69D5"/>
    <w:rsid w:val="008B7B84"/>
    <w:rsid w:val="008B7E56"/>
    <w:rsid w:val="008C13F0"/>
    <w:rsid w:val="008C20BA"/>
    <w:rsid w:val="008C232B"/>
    <w:rsid w:val="008C24E8"/>
    <w:rsid w:val="008C2D1E"/>
    <w:rsid w:val="008C3D90"/>
    <w:rsid w:val="008C41F7"/>
    <w:rsid w:val="008C48F1"/>
    <w:rsid w:val="008C4AA9"/>
    <w:rsid w:val="008C4E05"/>
    <w:rsid w:val="008C5E12"/>
    <w:rsid w:val="008C79B1"/>
    <w:rsid w:val="008D0421"/>
    <w:rsid w:val="008D1874"/>
    <w:rsid w:val="008D1C6A"/>
    <w:rsid w:val="008D2B71"/>
    <w:rsid w:val="008D4921"/>
    <w:rsid w:val="008D5889"/>
    <w:rsid w:val="008D5CD4"/>
    <w:rsid w:val="008D6005"/>
    <w:rsid w:val="008E13A2"/>
    <w:rsid w:val="008E2633"/>
    <w:rsid w:val="008E2857"/>
    <w:rsid w:val="008E2FD9"/>
    <w:rsid w:val="008E3130"/>
    <w:rsid w:val="008E3D80"/>
    <w:rsid w:val="008E40BA"/>
    <w:rsid w:val="008E4357"/>
    <w:rsid w:val="008E4E43"/>
    <w:rsid w:val="008E4F38"/>
    <w:rsid w:val="008E5889"/>
    <w:rsid w:val="008E58F5"/>
    <w:rsid w:val="008E5CC2"/>
    <w:rsid w:val="008E5FA1"/>
    <w:rsid w:val="008E67A7"/>
    <w:rsid w:val="008E697F"/>
    <w:rsid w:val="008E72B0"/>
    <w:rsid w:val="008F0522"/>
    <w:rsid w:val="008F0D22"/>
    <w:rsid w:val="008F0DE9"/>
    <w:rsid w:val="008F14A5"/>
    <w:rsid w:val="008F172F"/>
    <w:rsid w:val="008F1BAC"/>
    <w:rsid w:val="008F1DAE"/>
    <w:rsid w:val="008F2301"/>
    <w:rsid w:val="008F28F1"/>
    <w:rsid w:val="008F3543"/>
    <w:rsid w:val="008F4653"/>
    <w:rsid w:val="008F5B69"/>
    <w:rsid w:val="008F5C2F"/>
    <w:rsid w:val="008F6657"/>
    <w:rsid w:val="008F6897"/>
    <w:rsid w:val="008F7D45"/>
    <w:rsid w:val="00900872"/>
    <w:rsid w:val="00900A3C"/>
    <w:rsid w:val="00901461"/>
    <w:rsid w:val="009014F9"/>
    <w:rsid w:val="00901D94"/>
    <w:rsid w:val="0090248D"/>
    <w:rsid w:val="009027B9"/>
    <w:rsid w:val="009049F1"/>
    <w:rsid w:val="00905673"/>
    <w:rsid w:val="0090771F"/>
    <w:rsid w:val="00907C2C"/>
    <w:rsid w:val="00911975"/>
    <w:rsid w:val="00913528"/>
    <w:rsid w:val="0091495B"/>
    <w:rsid w:val="00914D0C"/>
    <w:rsid w:val="009156C1"/>
    <w:rsid w:val="00915918"/>
    <w:rsid w:val="0091603D"/>
    <w:rsid w:val="00916400"/>
    <w:rsid w:val="00916850"/>
    <w:rsid w:val="00917530"/>
    <w:rsid w:val="00920EB4"/>
    <w:rsid w:val="00922324"/>
    <w:rsid w:val="00922549"/>
    <w:rsid w:val="00922826"/>
    <w:rsid w:val="00922F7A"/>
    <w:rsid w:val="0092457F"/>
    <w:rsid w:val="0092470D"/>
    <w:rsid w:val="009250D9"/>
    <w:rsid w:val="00925181"/>
    <w:rsid w:val="00925741"/>
    <w:rsid w:val="00925B2D"/>
    <w:rsid w:val="009266C5"/>
    <w:rsid w:val="009268EC"/>
    <w:rsid w:val="00927A69"/>
    <w:rsid w:val="009309AB"/>
    <w:rsid w:val="00930B97"/>
    <w:rsid w:val="00930CC4"/>
    <w:rsid w:val="00932A6A"/>
    <w:rsid w:val="0093340F"/>
    <w:rsid w:val="00933934"/>
    <w:rsid w:val="0093414F"/>
    <w:rsid w:val="0093418C"/>
    <w:rsid w:val="00934DAA"/>
    <w:rsid w:val="0093513E"/>
    <w:rsid w:val="0093559E"/>
    <w:rsid w:val="00936224"/>
    <w:rsid w:val="0093632B"/>
    <w:rsid w:val="00936501"/>
    <w:rsid w:val="00936AB1"/>
    <w:rsid w:val="009373B3"/>
    <w:rsid w:val="0093747B"/>
    <w:rsid w:val="00940982"/>
    <w:rsid w:val="0094202A"/>
    <w:rsid w:val="009429FC"/>
    <w:rsid w:val="00942BB8"/>
    <w:rsid w:val="00943057"/>
    <w:rsid w:val="0094368D"/>
    <w:rsid w:val="00943759"/>
    <w:rsid w:val="00943BCE"/>
    <w:rsid w:val="009457B9"/>
    <w:rsid w:val="00945940"/>
    <w:rsid w:val="00945FCB"/>
    <w:rsid w:val="00946B3E"/>
    <w:rsid w:val="00946F2F"/>
    <w:rsid w:val="009472D4"/>
    <w:rsid w:val="00950896"/>
    <w:rsid w:val="00950A98"/>
    <w:rsid w:val="00950EE3"/>
    <w:rsid w:val="00951054"/>
    <w:rsid w:val="0095163E"/>
    <w:rsid w:val="0095164C"/>
    <w:rsid w:val="009537C4"/>
    <w:rsid w:val="00953B36"/>
    <w:rsid w:val="0095411C"/>
    <w:rsid w:val="009541E4"/>
    <w:rsid w:val="009548CA"/>
    <w:rsid w:val="009556EC"/>
    <w:rsid w:val="00956017"/>
    <w:rsid w:val="00956CB4"/>
    <w:rsid w:val="00956CEA"/>
    <w:rsid w:val="00956E3A"/>
    <w:rsid w:val="009578AA"/>
    <w:rsid w:val="0096112E"/>
    <w:rsid w:val="009611FF"/>
    <w:rsid w:val="00963AE1"/>
    <w:rsid w:val="00963B1A"/>
    <w:rsid w:val="00963BFD"/>
    <w:rsid w:val="00965790"/>
    <w:rsid w:val="00966B3E"/>
    <w:rsid w:val="00966B91"/>
    <w:rsid w:val="0096783E"/>
    <w:rsid w:val="009709A2"/>
    <w:rsid w:val="00970D52"/>
    <w:rsid w:val="00970D5D"/>
    <w:rsid w:val="0097111F"/>
    <w:rsid w:val="00971187"/>
    <w:rsid w:val="0097275D"/>
    <w:rsid w:val="00972AFD"/>
    <w:rsid w:val="00973540"/>
    <w:rsid w:val="00973669"/>
    <w:rsid w:val="0097407B"/>
    <w:rsid w:val="0097516F"/>
    <w:rsid w:val="00975B57"/>
    <w:rsid w:val="00977586"/>
    <w:rsid w:val="00980210"/>
    <w:rsid w:val="00981BBD"/>
    <w:rsid w:val="009821C8"/>
    <w:rsid w:val="0098312E"/>
    <w:rsid w:val="009853D0"/>
    <w:rsid w:val="00985458"/>
    <w:rsid w:val="00985990"/>
    <w:rsid w:val="009860F3"/>
    <w:rsid w:val="0098711D"/>
    <w:rsid w:val="009871A0"/>
    <w:rsid w:val="00987AB3"/>
    <w:rsid w:val="00987B29"/>
    <w:rsid w:val="00990F22"/>
    <w:rsid w:val="00990F74"/>
    <w:rsid w:val="009916C1"/>
    <w:rsid w:val="00991788"/>
    <w:rsid w:val="009918AE"/>
    <w:rsid w:val="00992775"/>
    <w:rsid w:val="00992A1F"/>
    <w:rsid w:val="00994A2F"/>
    <w:rsid w:val="00994A96"/>
    <w:rsid w:val="0099687D"/>
    <w:rsid w:val="00997032"/>
    <w:rsid w:val="009971EB"/>
    <w:rsid w:val="009972C5"/>
    <w:rsid w:val="00997D31"/>
    <w:rsid w:val="00997FCE"/>
    <w:rsid w:val="009A07DB"/>
    <w:rsid w:val="009A0E71"/>
    <w:rsid w:val="009A1010"/>
    <w:rsid w:val="009A10AD"/>
    <w:rsid w:val="009A1A1F"/>
    <w:rsid w:val="009A2176"/>
    <w:rsid w:val="009A2193"/>
    <w:rsid w:val="009A27DB"/>
    <w:rsid w:val="009A27DF"/>
    <w:rsid w:val="009A2A4F"/>
    <w:rsid w:val="009A32E9"/>
    <w:rsid w:val="009A349F"/>
    <w:rsid w:val="009A3AE9"/>
    <w:rsid w:val="009A3E78"/>
    <w:rsid w:val="009A4993"/>
    <w:rsid w:val="009A4D3E"/>
    <w:rsid w:val="009A69D7"/>
    <w:rsid w:val="009A6A4D"/>
    <w:rsid w:val="009A713C"/>
    <w:rsid w:val="009A7160"/>
    <w:rsid w:val="009A7FB3"/>
    <w:rsid w:val="009B0927"/>
    <w:rsid w:val="009B0C9B"/>
    <w:rsid w:val="009B1B84"/>
    <w:rsid w:val="009B3A8A"/>
    <w:rsid w:val="009B4113"/>
    <w:rsid w:val="009B4348"/>
    <w:rsid w:val="009B52BC"/>
    <w:rsid w:val="009B5331"/>
    <w:rsid w:val="009B5EDC"/>
    <w:rsid w:val="009B60EA"/>
    <w:rsid w:val="009B669F"/>
    <w:rsid w:val="009B6701"/>
    <w:rsid w:val="009B7E64"/>
    <w:rsid w:val="009B7F1E"/>
    <w:rsid w:val="009B7F39"/>
    <w:rsid w:val="009C08E5"/>
    <w:rsid w:val="009C0A44"/>
    <w:rsid w:val="009C1A63"/>
    <w:rsid w:val="009C21AD"/>
    <w:rsid w:val="009C2535"/>
    <w:rsid w:val="009C2A54"/>
    <w:rsid w:val="009C2FA9"/>
    <w:rsid w:val="009C2FC0"/>
    <w:rsid w:val="009C2FF7"/>
    <w:rsid w:val="009C3139"/>
    <w:rsid w:val="009C3287"/>
    <w:rsid w:val="009C4CE7"/>
    <w:rsid w:val="009C4F94"/>
    <w:rsid w:val="009C5213"/>
    <w:rsid w:val="009C5E98"/>
    <w:rsid w:val="009C6996"/>
    <w:rsid w:val="009D0719"/>
    <w:rsid w:val="009D4725"/>
    <w:rsid w:val="009D4EC0"/>
    <w:rsid w:val="009D6084"/>
    <w:rsid w:val="009D647B"/>
    <w:rsid w:val="009D67B9"/>
    <w:rsid w:val="009D6D77"/>
    <w:rsid w:val="009D7549"/>
    <w:rsid w:val="009D7AD5"/>
    <w:rsid w:val="009E0AF5"/>
    <w:rsid w:val="009E177E"/>
    <w:rsid w:val="009E2912"/>
    <w:rsid w:val="009E2A89"/>
    <w:rsid w:val="009E2BFF"/>
    <w:rsid w:val="009E4664"/>
    <w:rsid w:val="009E4A16"/>
    <w:rsid w:val="009E4ED3"/>
    <w:rsid w:val="009E4FF7"/>
    <w:rsid w:val="009E527B"/>
    <w:rsid w:val="009E5432"/>
    <w:rsid w:val="009E5AB5"/>
    <w:rsid w:val="009E763E"/>
    <w:rsid w:val="009E78E7"/>
    <w:rsid w:val="009F05D2"/>
    <w:rsid w:val="009F0982"/>
    <w:rsid w:val="009F0A39"/>
    <w:rsid w:val="009F0D2B"/>
    <w:rsid w:val="009F1733"/>
    <w:rsid w:val="009F1DBB"/>
    <w:rsid w:val="009F3094"/>
    <w:rsid w:val="009F3571"/>
    <w:rsid w:val="009F3E56"/>
    <w:rsid w:val="009F46F0"/>
    <w:rsid w:val="009F5490"/>
    <w:rsid w:val="009F5912"/>
    <w:rsid w:val="009F5DE5"/>
    <w:rsid w:val="009F75EB"/>
    <w:rsid w:val="009F7F7F"/>
    <w:rsid w:val="00A0036C"/>
    <w:rsid w:val="00A00726"/>
    <w:rsid w:val="00A00D7A"/>
    <w:rsid w:val="00A027E1"/>
    <w:rsid w:val="00A0297C"/>
    <w:rsid w:val="00A0449B"/>
    <w:rsid w:val="00A04C05"/>
    <w:rsid w:val="00A053FF"/>
    <w:rsid w:val="00A056EE"/>
    <w:rsid w:val="00A05E8E"/>
    <w:rsid w:val="00A05F11"/>
    <w:rsid w:val="00A0671A"/>
    <w:rsid w:val="00A06918"/>
    <w:rsid w:val="00A06E55"/>
    <w:rsid w:val="00A076E3"/>
    <w:rsid w:val="00A1124C"/>
    <w:rsid w:val="00A11BD3"/>
    <w:rsid w:val="00A12DD8"/>
    <w:rsid w:val="00A1333C"/>
    <w:rsid w:val="00A13988"/>
    <w:rsid w:val="00A13F05"/>
    <w:rsid w:val="00A1421F"/>
    <w:rsid w:val="00A1464D"/>
    <w:rsid w:val="00A16958"/>
    <w:rsid w:val="00A1746D"/>
    <w:rsid w:val="00A1752B"/>
    <w:rsid w:val="00A17C27"/>
    <w:rsid w:val="00A20060"/>
    <w:rsid w:val="00A20102"/>
    <w:rsid w:val="00A20428"/>
    <w:rsid w:val="00A20540"/>
    <w:rsid w:val="00A208E9"/>
    <w:rsid w:val="00A229A7"/>
    <w:rsid w:val="00A230BA"/>
    <w:rsid w:val="00A24CE2"/>
    <w:rsid w:val="00A25015"/>
    <w:rsid w:val="00A2520F"/>
    <w:rsid w:val="00A25C86"/>
    <w:rsid w:val="00A260D4"/>
    <w:rsid w:val="00A30468"/>
    <w:rsid w:val="00A31410"/>
    <w:rsid w:val="00A32473"/>
    <w:rsid w:val="00A32C77"/>
    <w:rsid w:val="00A33EC5"/>
    <w:rsid w:val="00A344E3"/>
    <w:rsid w:val="00A34723"/>
    <w:rsid w:val="00A35487"/>
    <w:rsid w:val="00A35646"/>
    <w:rsid w:val="00A35A0B"/>
    <w:rsid w:val="00A36210"/>
    <w:rsid w:val="00A36829"/>
    <w:rsid w:val="00A36C45"/>
    <w:rsid w:val="00A37D69"/>
    <w:rsid w:val="00A41725"/>
    <w:rsid w:val="00A418EB"/>
    <w:rsid w:val="00A4258A"/>
    <w:rsid w:val="00A426AC"/>
    <w:rsid w:val="00A42C51"/>
    <w:rsid w:val="00A43302"/>
    <w:rsid w:val="00A439F7"/>
    <w:rsid w:val="00A447F8"/>
    <w:rsid w:val="00A44ABA"/>
    <w:rsid w:val="00A455AF"/>
    <w:rsid w:val="00A458E9"/>
    <w:rsid w:val="00A46F77"/>
    <w:rsid w:val="00A472AA"/>
    <w:rsid w:val="00A503FA"/>
    <w:rsid w:val="00A5056B"/>
    <w:rsid w:val="00A515C2"/>
    <w:rsid w:val="00A518D2"/>
    <w:rsid w:val="00A52D41"/>
    <w:rsid w:val="00A53484"/>
    <w:rsid w:val="00A53945"/>
    <w:rsid w:val="00A5479D"/>
    <w:rsid w:val="00A56E7C"/>
    <w:rsid w:val="00A575DF"/>
    <w:rsid w:val="00A57EF4"/>
    <w:rsid w:val="00A61F68"/>
    <w:rsid w:val="00A64BFF"/>
    <w:rsid w:val="00A6637D"/>
    <w:rsid w:val="00A66F73"/>
    <w:rsid w:val="00A67414"/>
    <w:rsid w:val="00A6766E"/>
    <w:rsid w:val="00A67B37"/>
    <w:rsid w:val="00A67B9E"/>
    <w:rsid w:val="00A67BAC"/>
    <w:rsid w:val="00A67E83"/>
    <w:rsid w:val="00A701BF"/>
    <w:rsid w:val="00A705E6"/>
    <w:rsid w:val="00A70E2D"/>
    <w:rsid w:val="00A70E3F"/>
    <w:rsid w:val="00A713D8"/>
    <w:rsid w:val="00A7201E"/>
    <w:rsid w:val="00A722BC"/>
    <w:rsid w:val="00A73D24"/>
    <w:rsid w:val="00A748B4"/>
    <w:rsid w:val="00A75531"/>
    <w:rsid w:val="00A76373"/>
    <w:rsid w:val="00A766DB"/>
    <w:rsid w:val="00A774E3"/>
    <w:rsid w:val="00A77650"/>
    <w:rsid w:val="00A81529"/>
    <w:rsid w:val="00A81A4C"/>
    <w:rsid w:val="00A824F2"/>
    <w:rsid w:val="00A83160"/>
    <w:rsid w:val="00A8342E"/>
    <w:rsid w:val="00A84005"/>
    <w:rsid w:val="00A85123"/>
    <w:rsid w:val="00A86CDF"/>
    <w:rsid w:val="00A87074"/>
    <w:rsid w:val="00A879D3"/>
    <w:rsid w:val="00A912BA"/>
    <w:rsid w:val="00A9269D"/>
    <w:rsid w:val="00A9303F"/>
    <w:rsid w:val="00A93094"/>
    <w:rsid w:val="00A94126"/>
    <w:rsid w:val="00A94B9B"/>
    <w:rsid w:val="00A94E70"/>
    <w:rsid w:val="00A95787"/>
    <w:rsid w:val="00A96BFF"/>
    <w:rsid w:val="00A96C4F"/>
    <w:rsid w:val="00A97056"/>
    <w:rsid w:val="00A97142"/>
    <w:rsid w:val="00A97A2A"/>
    <w:rsid w:val="00A97C6D"/>
    <w:rsid w:val="00A97F05"/>
    <w:rsid w:val="00AA0031"/>
    <w:rsid w:val="00AA016D"/>
    <w:rsid w:val="00AA0C5C"/>
    <w:rsid w:val="00AA1232"/>
    <w:rsid w:val="00AA1278"/>
    <w:rsid w:val="00AA1354"/>
    <w:rsid w:val="00AA149B"/>
    <w:rsid w:val="00AA1FC7"/>
    <w:rsid w:val="00AA3FBB"/>
    <w:rsid w:val="00AA4941"/>
    <w:rsid w:val="00AA49FC"/>
    <w:rsid w:val="00AA5EFE"/>
    <w:rsid w:val="00AA620F"/>
    <w:rsid w:val="00AA78EC"/>
    <w:rsid w:val="00AA7BB3"/>
    <w:rsid w:val="00AB0E4B"/>
    <w:rsid w:val="00AB0F53"/>
    <w:rsid w:val="00AB1713"/>
    <w:rsid w:val="00AB1AC6"/>
    <w:rsid w:val="00AB1E22"/>
    <w:rsid w:val="00AB1F33"/>
    <w:rsid w:val="00AB24A2"/>
    <w:rsid w:val="00AB5100"/>
    <w:rsid w:val="00AB58CB"/>
    <w:rsid w:val="00AB5C3B"/>
    <w:rsid w:val="00AB6CD2"/>
    <w:rsid w:val="00AB73B0"/>
    <w:rsid w:val="00AB7B73"/>
    <w:rsid w:val="00AC05F0"/>
    <w:rsid w:val="00AC07B4"/>
    <w:rsid w:val="00AC098F"/>
    <w:rsid w:val="00AC09B5"/>
    <w:rsid w:val="00AC0D28"/>
    <w:rsid w:val="00AC10A4"/>
    <w:rsid w:val="00AC1E5B"/>
    <w:rsid w:val="00AC264E"/>
    <w:rsid w:val="00AC298C"/>
    <w:rsid w:val="00AC29B5"/>
    <w:rsid w:val="00AC3DA5"/>
    <w:rsid w:val="00AC3DC1"/>
    <w:rsid w:val="00AC475C"/>
    <w:rsid w:val="00AC4AB0"/>
    <w:rsid w:val="00AC541E"/>
    <w:rsid w:val="00AC6AFD"/>
    <w:rsid w:val="00AC6C96"/>
    <w:rsid w:val="00AC7588"/>
    <w:rsid w:val="00AD1AAC"/>
    <w:rsid w:val="00AD2926"/>
    <w:rsid w:val="00AD295F"/>
    <w:rsid w:val="00AD30F4"/>
    <w:rsid w:val="00AD3A1B"/>
    <w:rsid w:val="00AD44A0"/>
    <w:rsid w:val="00AD45B0"/>
    <w:rsid w:val="00AD4735"/>
    <w:rsid w:val="00AD5AEB"/>
    <w:rsid w:val="00AD5CBA"/>
    <w:rsid w:val="00AD5F8A"/>
    <w:rsid w:val="00AD6689"/>
    <w:rsid w:val="00AE0357"/>
    <w:rsid w:val="00AE0730"/>
    <w:rsid w:val="00AE0924"/>
    <w:rsid w:val="00AE154F"/>
    <w:rsid w:val="00AE30AC"/>
    <w:rsid w:val="00AE3F79"/>
    <w:rsid w:val="00AE416B"/>
    <w:rsid w:val="00AE470F"/>
    <w:rsid w:val="00AE4DF7"/>
    <w:rsid w:val="00AE5E68"/>
    <w:rsid w:val="00AE6057"/>
    <w:rsid w:val="00AE6DD1"/>
    <w:rsid w:val="00AE7BE9"/>
    <w:rsid w:val="00AE7D4D"/>
    <w:rsid w:val="00AF0423"/>
    <w:rsid w:val="00AF09AC"/>
    <w:rsid w:val="00AF173E"/>
    <w:rsid w:val="00AF1D98"/>
    <w:rsid w:val="00AF2A9E"/>
    <w:rsid w:val="00AF3EAB"/>
    <w:rsid w:val="00AF42BB"/>
    <w:rsid w:val="00AF4B97"/>
    <w:rsid w:val="00AF5102"/>
    <w:rsid w:val="00AF577F"/>
    <w:rsid w:val="00AF6C49"/>
    <w:rsid w:val="00AF71B6"/>
    <w:rsid w:val="00AF738B"/>
    <w:rsid w:val="00AF7930"/>
    <w:rsid w:val="00B00118"/>
    <w:rsid w:val="00B010E1"/>
    <w:rsid w:val="00B01E5B"/>
    <w:rsid w:val="00B022BE"/>
    <w:rsid w:val="00B023B6"/>
    <w:rsid w:val="00B02ADB"/>
    <w:rsid w:val="00B02B6C"/>
    <w:rsid w:val="00B02B94"/>
    <w:rsid w:val="00B02C69"/>
    <w:rsid w:val="00B03C3F"/>
    <w:rsid w:val="00B03F70"/>
    <w:rsid w:val="00B04E68"/>
    <w:rsid w:val="00B05AF4"/>
    <w:rsid w:val="00B065F6"/>
    <w:rsid w:val="00B06E00"/>
    <w:rsid w:val="00B10AE5"/>
    <w:rsid w:val="00B118AB"/>
    <w:rsid w:val="00B1377F"/>
    <w:rsid w:val="00B13AEC"/>
    <w:rsid w:val="00B13D05"/>
    <w:rsid w:val="00B13F17"/>
    <w:rsid w:val="00B14D18"/>
    <w:rsid w:val="00B14D2F"/>
    <w:rsid w:val="00B15EFF"/>
    <w:rsid w:val="00B160D8"/>
    <w:rsid w:val="00B16D27"/>
    <w:rsid w:val="00B16D62"/>
    <w:rsid w:val="00B16E57"/>
    <w:rsid w:val="00B16F1F"/>
    <w:rsid w:val="00B1744C"/>
    <w:rsid w:val="00B17CAC"/>
    <w:rsid w:val="00B2296A"/>
    <w:rsid w:val="00B23260"/>
    <w:rsid w:val="00B23ED6"/>
    <w:rsid w:val="00B24FCB"/>
    <w:rsid w:val="00B2540B"/>
    <w:rsid w:val="00B25778"/>
    <w:rsid w:val="00B26E0A"/>
    <w:rsid w:val="00B271A5"/>
    <w:rsid w:val="00B30CDE"/>
    <w:rsid w:val="00B31613"/>
    <w:rsid w:val="00B32090"/>
    <w:rsid w:val="00B32855"/>
    <w:rsid w:val="00B32C93"/>
    <w:rsid w:val="00B33066"/>
    <w:rsid w:val="00B33244"/>
    <w:rsid w:val="00B335A8"/>
    <w:rsid w:val="00B344A7"/>
    <w:rsid w:val="00B35680"/>
    <w:rsid w:val="00B35E7E"/>
    <w:rsid w:val="00B35F0F"/>
    <w:rsid w:val="00B36030"/>
    <w:rsid w:val="00B3647B"/>
    <w:rsid w:val="00B3666E"/>
    <w:rsid w:val="00B369F0"/>
    <w:rsid w:val="00B4129C"/>
    <w:rsid w:val="00B415A9"/>
    <w:rsid w:val="00B41B18"/>
    <w:rsid w:val="00B423CD"/>
    <w:rsid w:val="00B42ABB"/>
    <w:rsid w:val="00B43949"/>
    <w:rsid w:val="00B43C0F"/>
    <w:rsid w:val="00B45885"/>
    <w:rsid w:val="00B45A99"/>
    <w:rsid w:val="00B465BD"/>
    <w:rsid w:val="00B50477"/>
    <w:rsid w:val="00B51379"/>
    <w:rsid w:val="00B5234D"/>
    <w:rsid w:val="00B529FF"/>
    <w:rsid w:val="00B5317C"/>
    <w:rsid w:val="00B5352F"/>
    <w:rsid w:val="00B537AA"/>
    <w:rsid w:val="00B53F1D"/>
    <w:rsid w:val="00B544E4"/>
    <w:rsid w:val="00B558FE"/>
    <w:rsid w:val="00B57304"/>
    <w:rsid w:val="00B60596"/>
    <w:rsid w:val="00B60963"/>
    <w:rsid w:val="00B60BE9"/>
    <w:rsid w:val="00B61F2F"/>
    <w:rsid w:val="00B63058"/>
    <w:rsid w:val="00B64191"/>
    <w:rsid w:val="00B644D0"/>
    <w:rsid w:val="00B648A6"/>
    <w:rsid w:val="00B64C03"/>
    <w:rsid w:val="00B65567"/>
    <w:rsid w:val="00B6567D"/>
    <w:rsid w:val="00B65F25"/>
    <w:rsid w:val="00B661B5"/>
    <w:rsid w:val="00B663B1"/>
    <w:rsid w:val="00B66FFA"/>
    <w:rsid w:val="00B670F4"/>
    <w:rsid w:val="00B67689"/>
    <w:rsid w:val="00B678A9"/>
    <w:rsid w:val="00B67C63"/>
    <w:rsid w:val="00B70C9E"/>
    <w:rsid w:val="00B71502"/>
    <w:rsid w:val="00B7189B"/>
    <w:rsid w:val="00B7213B"/>
    <w:rsid w:val="00B72714"/>
    <w:rsid w:val="00B73790"/>
    <w:rsid w:val="00B73B58"/>
    <w:rsid w:val="00B73DE7"/>
    <w:rsid w:val="00B74515"/>
    <w:rsid w:val="00B746DF"/>
    <w:rsid w:val="00B75E47"/>
    <w:rsid w:val="00B75FBA"/>
    <w:rsid w:val="00B7701D"/>
    <w:rsid w:val="00B77082"/>
    <w:rsid w:val="00B805D5"/>
    <w:rsid w:val="00B809D8"/>
    <w:rsid w:val="00B80C0B"/>
    <w:rsid w:val="00B80CBD"/>
    <w:rsid w:val="00B816E7"/>
    <w:rsid w:val="00B82C31"/>
    <w:rsid w:val="00B83265"/>
    <w:rsid w:val="00B83C02"/>
    <w:rsid w:val="00B83EB5"/>
    <w:rsid w:val="00B852AA"/>
    <w:rsid w:val="00B85F2B"/>
    <w:rsid w:val="00B86947"/>
    <w:rsid w:val="00B86DF5"/>
    <w:rsid w:val="00B8753C"/>
    <w:rsid w:val="00B879AB"/>
    <w:rsid w:val="00B90D9E"/>
    <w:rsid w:val="00B91E3B"/>
    <w:rsid w:val="00B925BF"/>
    <w:rsid w:val="00B92C45"/>
    <w:rsid w:val="00B92F86"/>
    <w:rsid w:val="00B93310"/>
    <w:rsid w:val="00B93650"/>
    <w:rsid w:val="00B93C95"/>
    <w:rsid w:val="00B9428C"/>
    <w:rsid w:val="00B94333"/>
    <w:rsid w:val="00B94385"/>
    <w:rsid w:val="00B9613A"/>
    <w:rsid w:val="00B96333"/>
    <w:rsid w:val="00B963BC"/>
    <w:rsid w:val="00BA02D7"/>
    <w:rsid w:val="00BA1021"/>
    <w:rsid w:val="00BA1E78"/>
    <w:rsid w:val="00BA26B6"/>
    <w:rsid w:val="00BA29C2"/>
    <w:rsid w:val="00BA2C67"/>
    <w:rsid w:val="00BA3121"/>
    <w:rsid w:val="00BA3542"/>
    <w:rsid w:val="00BA4B8E"/>
    <w:rsid w:val="00BA5A4A"/>
    <w:rsid w:val="00BA5A6A"/>
    <w:rsid w:val="00BA5D81"/>
    <w:rsid w:val="00BA61DB"/>
    <w:rsid w:val="00BA6DD5"/>
    <w:rsid w:val="00BA7DD4"/>
    <w:rsid w:val="00BB0AF3"/>
    <w:rsid w:val="00BB0AFE"/>
    <w:rsid w:val="00BB16E9"/>
    <w:rsid w:val="00BB176C"/>
    <w:rsid w:val="00BB1DAF"/>
    <w:rsid w:val="00BB1EE3"/>
    <w:rsid w:val="00BB2549"/>
    <w:rsid w:val="00BB3653"/>
    <w:rsid w:val="00BB3C20"/>
    <w:rsid w:val="00BB4310"/>
    <w:rsid w:val="00BB495C"/>
    <w:rsid w:val="00BB5A9A"/>
    <w:rsid w:val="00BB72E8"/>
    <w:rsid w:val="00BC0693"/>
    <w:rsid w:val="00BC1832"/>
    <w:rsid w:val="00BC19FF"/>
    <w:rsid w:val="00BC1C98"/>
    <w:rsid w:val="00BC3B09"/>
    <w:rsid w:val="00BC438F"/>
    <w:rsid w:val="00BC45F5"/>
    <w:rsid w:val="00BC4F19"/>
    <w:rsid w:val="00BC5643"/>
    <w:rsid w:val="00BC569D"/>
    <w:rsid w:val="00BC5794"/>
    <w:rsid w:val="00BC5FFE"/>
    <w:rsid w:val="00BC76DD"/>
    <w:rsid w:val="00BC795C"/>
    <w:rsid w:val="00BC7FA8"/>
    <w:rsid w:val="00BD006F"/>
    <w:rsid w:val="00BD01AA"/>
    <w:rsid w:val="00BD0263"/>
    <w:rsid w:val="00BD221E"/>
    <w:rsid w:val="00BD27EA"/>
    <w:rsid w:val="00BD28CA"/>
    <w:rsid w:val="00BD42D4"/>
    <w:rsid w:val="00BD5EED"/>
    <w:rsid w:val="00BD6A24"/>
    <w:rsid w:val="00BD6B19"/>
    <w:rsid w:val="00BD7E1B"/>
    <w:rsid w:val="00BE021D"/>
    <w:rsid w:val="00BE0B72"/>
    <w:rsid w:val="00BE0C92"/>
    <w:rsid w:val="00BE0EEF"/>
    <w:rsid w:val="00BE15DB"/>
    <w:rsid w:val="00BE1F43"/>
    <w:rsid w:val="00BE3176"/>
    <w:rsid w:val="00BE3EEA"/>
    <w:rsid w:val="00BE3F8B"/>
    <w:rsid w:val="00BE40E9"/>
    <w:rsid w:val="00BE4664"/>
    <w:rsid w:val="00BE5D6C"/>
    <w:rsid w:val="00BE69B0"/>
    <w:rsid w:val="00BE6CB5"/>
    <w:rsid w:val="00BE6D46"/>
    <w:rsid w:val="00BE7D1B"/>
    <w:rsid w:val="00BF09EE"/>
    <w:rsid w:val="00BF0BD5"/>
    <w:rsid w:val="00BF0DFA"/>
    <w:rsid w:val="00BF137C"/>
    <w:rsid w:val="00BF1F6B"/>
    <w:rsid w:val="00BF213C"/>
    <w:rsid w:val="00BF2178"/>
    <w:rsid w:val="00BF21C8"/>
    <w:rsid w:val="00BF2787"/>
    <w:rsid w:val="00BF3A89"/>
    <w:rsid w:val="00BF5663"/>
    <w:rsid w:val="00BF58E8"/>
    <w:rsid w:val="00BF5B2A"/>
    <w:rsid w:val="00BF6A84"/>
    <w:rsid w:val="00BF6E4C"/>
    <w:rsid w:val="00BF7BCC"/>
    <w:rsid w:val="00C0013E"/>
    <w:rsid w:val="00C00E90"/>
    <w:rsid w:val="00C01363"/>
    <w:rsid w:val="00C018F4"/>
    <w:rsid w:val="00C01D41"/>
    <w:rsid w:val="00C03473"/>
    <w:rsid w:val="00C035DF"/>
    <w:rsid w:val="00C03C79"/>
    <w:rsid w:val="00C04C28"/>
    <w:rsid w:val="00C05C2C"/>
    <w:rsid w:val="00C06036"/>
    <w:rsid w:val="00C06FF7"/>
    <w:rsid w:val="00C075CE"/>
    <w:rsid w:val="00C10104"/>
    <w:rsid w:val="00C10CA7"/>
    <w:rsid w:val="00C10EC0"/>
    <w:rsid w:val="00C1293E"/>
    <w:rsid w:val="00C12DE7"/>
    <w:rsid w:val="00C12ECE"/>
    <w:rsid w:val="00C13247"/>
    <w:rsid w:val="00C151FF"/>
    <w:rsid w:val="00C152B5"/>
    <w:rsid w:val="00C15BB3"/>
    <w:rsid w:val="00C15EE3"/>
    <w:rsid w:val="00C15F53"/>
    <w:rsid w:val="00C16405"/>
    <w:rsid w:val="00C164E3"/>
    <w:rsid w:val="00C16540"/>
    <w:rsid w:val="00C1683E"/>
    <w:rsid w:val="00C169DF"/>
    <w:rsid w:val="00C169E4"/>
    <w:rsid w:val="00C175E5"/>
    <w:rsid w:val="00C17611"/>
    <w:rsid w:val="00C17A46"/>
    <w:rsid w:val="00C17AEF"/>
    <w:rsid w:val="00C20E68"/>
    <w:rsid w:val="00C20F99"/>
    <w:rsid w:val="00C214F2"/>
    <w:rsid w:val="00C21F6C"/>
    <w:rsid w:val="00C223C5"/>
    <w:rsid w:val="00C233EF"/>
    <w:rsid w:val="00C23408"/>
    <w:rsid w:val="00C237D5"/>
    <w:rsid w:val="00C237FB"/>
    <w:rsid w:val="00C2389C"/>
    <w:rsid w:val="00C24D1F"/>
    <w:rsid w:val="00C24DBB"/>
    <w:rsid w:val="00C24E1A"/>
    <w:rsid w:val="00C26D7F"/>
    <w:rsid w:val="00C27242"/>
    <w:rsid w:val="00C27657"/>
    <w:rsid w:val="00C27BBE"/>
    <w:rsid w:val="00C300AA"/>
    <w:rsid w:val="00C3011F"/>
    <w:rsid w:val="00C3023D"/>
    <w:rsid w:val="00C308B5"/>
    <w:rsid w:val="00C312F3"/>
    <w:rsid w:val="00C3239B"/>
    <w:rsid w:val="00C32CEE"/>
    <w:rsid w:val="00C32FD4"/>
    <w:rsid w:val="00C330BC"/>
    <w:rsid w:val="00C3368A"/>
    <w:rsid w:val="00C3591C"/>
    <w:rsid w:val="00C359A0"/>
    <w:rsid w:val="00C35DCF"/>
    <w:rsid w:val="00C364F9"/>
    <w:rsid w:val="00C365E9"/>
    <w:rsid w:val="00C36DAF"/>
    <w:rsid w:val="00C36DC2"/>
    <w:rsid w:val="00C37296"/>
    <w:rsid w:val="00C378CB"/>
    <w:rsid w:val="00C409B6"/>
    <w:rsid w:val="00C409E5"/>
    <w:rsid w:val="00C40B54"/>
    <w:rsid w:val="00C41148"/>
    <w:rsid w:val="00C41436"/>
    <w:rsid w:val="00C41DFE"/>
    <w:rsid w:val="00C41F7A"/>
    <w:rsid w:val="00C43045"/>
    <w:rsid w:val="00C4351D"/>
    <w:rsid w:val="00C437B4"/>
    <w:rsid w:val="00C4444F"/>
    <w:rsid w:val="00C44F68"/>
    <w:rsid w:val="00C451AE"/>
    <w:rsid w:val="00C4581C"/>
    <w:rsid w:val="00C458FF"/>
    <w:rsid w:val="00C462FA"/>
    <w:rsid w:val="00C5108F"/>
    <w:rsid w:val="00C51904"/>
    <w:rsid w:val="00C51F35"/>
    <w:rsid w:val="00C54C35"/>
    <w:rsid w:val="00C55E68"/>
    <w:rsid w:val="00C56138"/>
    <w:rsid w:val="00C564F3"/>
    <w:rsid w:val="00C56B65"/>
    <w:rsid w:val="00C56D5C"/>
    <w:rsid w:val="00C5797A"/>
    <w:rsid w:val="00C57D50"/>
    <w:rsid w:val="00C60829"/>
    <w:rsid w:val="00C61157"/>
    <w:rsid w:val="00C6122E"/>
    <w:rsid w:val="00C618BB"/>
    <w:rsid w:val="00C62DB9"/>
    <w:rsid w:val="00C6377F"/>
    <w:rsid w:val="00C639D1"/>
    <w:rsid w:val="00C643C0"/>
    <w:rsid w:val="00C6579A"/>
    <w:rsid w:val="00C6582F"/>
    <w:rsid w:val="00C65983"/>
    <w:rsid w:val="00C66BC1"/>
    <w:rsid w:val="00C66CF8"/>
    <w:rsid w:val="00C7004C"/>
    <w:rsid w:val="00C7051A"/>
    <w:rsid w:val="00C70916"/>
    <w:rsid w:val="00C7101D"/>
    <w:rsid w:val="00C741AE"/>
    <w:rsid w:val="00C74765"/>
    <w:rsid w:val="00C75447"/>
    <w:rsid w:val="00C75A8E"/>
    <w:rsid w:val="00C809EC"/>
    <w:rsid w:val="00C8131F"/>
    <w:rsid w:val="00C81476"/>
    <w:rsid w:val="00C81736"/>
    <w:rsid w:val="00C82741"/>
    <w:rsid w:val="00C8307E"/>
    <w:rsid w:val="00C840B2"/>
    <w:rsid w:val="00C8458E"/>
    <w:rsid w:val="00C8677A"/>
    <w:rsid w:val="00C86F04"/>
    <w:rsid w:val="00C87341"/>
    <w:rsid w:val="00C87414"/>
    <w:rsid w:val="00C901E1"/>
    <w:rsid w:val="00C9035F"/>
    <w:rsid w:val="00C907E1"/>
    <w:rsid w:val="00C9165C"/>
    <w:rsid w:val="00C91978"/>
    <w:rsid w:val="00C91DAE"/>
    <w:rsid w:val="00C93170"/>
    <w:rsid w:val="00C933C8"/>
    <w:rsid w:val="00C935AA"/>
    <w:rsid w:val="00C93921"/>
    <w:rsid w:val="00C93943"/>
    <w:rsid w:val="00C93967"/>
    <w:rsid w:val="00C94340"/>
    <w:rsid w:val="00C94391"/>
    <w:rsid w:val="00C947E3"/>
    <w:rsid w:val="00C9487C"/>
    <w:rsid w:val="00C94D7E"/>
    <w:rsid w:val="00C95EAB"/>
    <w:rsid w:val="00C962EB"/>
    <w:rsid w:val="00C963D2"/>
    <w:rsid w:val="00C96D95"/>
    <w:rsid w:val="00C96EB0"/>
    <w:rsid w:val="00CA0A66"/>
    <w:rsid w:val="00CA1124"/>
    <w:rsid w:val="00CA190F"/>
    <w:rsid w:val="00CA1CAD"/>
    <w:rsid w:val="00CA1EAA"/>
    <w:rsid w:val="00CA1ED4"/>
    <w:rsid w:val="00CA27EF"/>
    <w:rsid w:val="00CA2F9F"/>
    <w:rsid w:val="00CA3F0D"/>
    <w:rsid w:val="00CA53E3"/>
    <w:rsid w:val="00CA624D"/>
    <w:rsid w:val="00CA6BED"/>
    <w:rsid w:val="00CA6E28"/>
    <w:rsid w:val="00CA72BB"/>
    <w:rsid w:val="00CA74F1"/>
    <w:rsid w:val="00CA7598"/>
    <w:rsid w:val="00CB1BF4"/>
    <w:rsid w:val="00CB1F45"/>
    <w:rsid w:val="00CB204E"/>
    <w:rsid w:val="00CB23E7"/>
    <w:rsid w:val="00CB2CF4"/>
    <w:rsid w:val="00CB2FAA"/>
    <w:rsid w:val="00CB30A4"/>
    <w:rsid w:val="00CB372A"/>
    <w:rsid w:val="00CB4348"/>
    <w:rsid w:val="00CB58B7"/>
    <w:rsid w:val="00CB5B3E"/>
    <w:rsid w:val="00CB5EEC"/>
    <w:rsid w:val="00CB6F88"/>
    <w:rsid w:val="00CC0055"/>
    <w:rsid w:val="00CC174E"/>
    <w:rsid w:val="00CC1762"/>
    <w:rsid w:val="00CC1E8F"/>
    <w:rsid w:val="00CC26AD"/>
    <w:rsid w:val="00CC3160"/>
    <w:rsid w:val="00CC3D0C"/>
    <w:rsid w:val="00CC4A0C"/>
    <w:rsid w:val="00CC4CB6"/>
    <w:rsid w:val="00CC50EF"/>
    <w:rsid w:val="00CC5E86"/>
    <w:rsid w:val="00CC6141"/>
    <w:rsid w:val="00CC62B6"/>
    <w:rsid w:val="00CC6619"/>
    <w:rsid w:val="00CC7212"/>
    <w:rsid w:val="00CC7C03"/>
    <w:rsid w:val="00CC7C09"/>
    <w:rsid w:val="00CD058B"/>
    <w:rsid w:val="00CD12AF"/>
    <w:rsid w:val="00CD1712"/>
    <w:rsid w:val="00CD180E"/>
    <w:rsid w:val="00CD1A39"/>
    <w:rsid w:val="00CD2284"/>
    <w:rsid w:val="00CD296D"/>
    <w:rsid w:val="00CD300F"/>
    <w:rsid w:val="00CD3548"/>
    <w:rsid w:val="00CD49B6"/>
    <w:rsid w:val="00CD61F9"/>
    <w:rsid w:val="00CD728A"/>
    <w:rsid w:val="00CD7890"/>
    <w:rsid w:val="00CD79AC"/>
    <w:rsid w:val="00CE0E9B"/>
    <w:rsid w:val="00CE112A"/>
    <w:rsid w:val="00CE1171"/>
    <w:rsid w:val="00CE1323"/>
    <w:rsid w:val="00CE1941"/>
    <w:rsid w:val="00CE2DE9"/>
    <w:rsid w:val="00CE2F9B"/>
    <w:rsid w:val="00CE487F"/>
    <w:rsid w:val="00CE4975"/>
    <w:rsid w:val="00CE4B35"/>
    <w:rsid w:val="00CE5202"/>
    <w:rsid w:val="00CE52B1"/>
    <w:rsid w:val="00CE6204"/>
    <w:rsid w:val="00CE6399"/>
    <w:rsid w:val="00CE6FEC"/>
    <w:rsid w:val="00CE7BF9"/>
    <w:rsid w:val="00CF018B"/>
    <w:rsid w:val="00CF01B0"/>
    <w:rsid w:val="00CF0D0E"/>
    <w:rsid w:val="00CF16EB"/>
    <w:rsid w:val="00CF2120"/>
    <w:rsid w:val="00CF346F"/>
    <w:rsid w:val="00CF38F0"/>
    <w:rsid w:val="00CF4476"/>
    <w:rsid w:val="00CF4FE6"/>
    <w:rsid w:val="00CF534C"/>
    <w:rsid w:val="00CF5A6B"/>
    <w:rsid w:val="00CF729B"/>
    <w:rsid w:val="00D00516"/>
    <w:rsid w:val="00D00748"/>
    <w:rsid w:val="00D007A0"/>
    <w:rsid w:val="00D00E35"/>
    <w:rsid w:val="00D01774"/>
    <w:rsid w:val="00D02743"/>
    <w:rsid w:val="00D043D7"/>
    <w:rsid w:val="00D05275"/>
    <w:rsid w:val="00D06229"/>
    <w:rsid w:val="00D06E7F"/>
    <w:rsid w:val="00D077F3"/>
    <w:rsid w:val="00D1036D"/>
    <w:rsid w:val="00D10FA6"/>
    <w:rsid w:val="00D12501"/>
    <w:rsid w:val="00D12793"/>
    <w:rsid w:val="00D13C79"/>
    <w:rsid w:val="00D13ED0"/>
    <w:rsid w:val="00D14D7B"/>
    <w:rsid w:val="00D1520F"/>
    <w:rsid w:val="00D159E4"/>
    <w:rsid w:val="00D16440"/>
    <w:rsid w:val="00D16C24"/>
    <w:rsid w:val="00D170D4"/>
    <w:rsid w:val="00D20B13"/>
    <w:rsid w:val="00D21DA1"/>
    <w:rsid w:val="00D21FAC"/>
    <w:rsid w:val="00D258F4"/>
    <w:rsid w:val="00D25CEF"/>
    <w:rsid w:val="00D26D97"/>
    <w:rsid w:val="00D2717A"/>
    <w:rsid w:val="00D271E8"/>
    <w:rsid w:val="00D272BF"/>
    <w:rsid w:val="00D27D69"/>
    <w:rsid w:val="00D3112D"/>
    <w:rsid w:val="00D31BAA"/>
    <w:rsid w:val="00D31C5F"/>
    <w:rsid w:val="00D327F9"/>
    <w:rsid w:val="00D3303D"/>
    <w:rsid w:val="00D339CB"/>
    <w:rsid w:val="00D33B04"/>
    <w:rsid w:val="00D33CF3"/>
    <w:rsid w:val="00D34263"/>
    <w:rsid w:val="00D347B6"/>
    <w:rsid w:val="00D35390"/>
    <w:rsid w:val="00D354FE"/>
    <w:rsid w:val="00D35740"/>
    <w:rsid w:val="00D35A47"/>
    <w:rsid w:val="00D35AC8"/>
    <w:rsid w:val="00D35D00"/>
    <w:rsid w:val="00D37537"/>
    <w:rsid w:val="00D37FE5"/>
    <w:rsid w:val="00D4106B"/>
    <w:rsid w:val="00D42D86"/>
    <w:rsid w:val="00D42F4D"/>
    <w:rsid w:val="00D434F8"/>
    <w:rsid w:val="00D43575"/>
    <w:rsid w:val="00D44111"/>
    <w:rsid w:val="00D44341"/>
    <w:rsid w:val="00D4494A"/>
    <w:rsid w:val="00D4526F"/>
    <w:rsid w:val="00D461DA"/>
    <w:rsid w:val="00D46E1E"/>
    <w:rsid w:val="00D47035"/>
    <w:rsid w:val="00D473F7"/>
    <w:rsid w:val="00D50839"/>
    <w:rsid w:val="00D50C1A"/>
    <w:rsid w:val="00D50D33"/>
    <w:rsid w:val="00D50E76"/>
    <w:rsid w:val="00D50F6C"/>
    <w:rsid w:val="00D51D8B"/>
    <w:rsid w:val="00D52459"/>
    <w:rsid w:val="00D5376C"/>
    <w:rsid w:val="00D540C8"/>
    <w:rsid w:val="00D54140"/>
    <w:rsid w:val="00D54BDB"/>
    <w:rsid w:val="00D54ED0"/>
    <w:rsid w:val="00D55C29"/>
    <w:rsid w:val="00D56E1F"/>
    <w:rsid w:val="00D6046F"/>
    <w:rsid w:val="00D60597"/>
    <w:rsid w:val="00D60B58"/>
    <w:rsid w:val="00D61043"/>
    <w:rsid w:val="00D617BD"/>
    <w:rsid w:val="00D62340"/>
    <w:rsid w:val="00D63A30"/>
    <w:rsid w:val="00D6464A"/>
    <w:rsid w:val="00D658AA"/>
    <w:rsid w:val="00D65D7C"/>
    <w:rsid w:val="00D709BC"/>
    <w:rsid w:val="00D71267"/>
    <w:rsid w:val="00D714E0"/>
    <w:rsid w:val="00D72924"/>
    <w:rsid w:val="00D729B9"/>
    <w:rsid w:val="00D74624"/>
    <w:rsid w:val="00D74F24"/>
    <w:rsid w:val="00D7761E"/>
    <w:rsid w:val="00D80513"/>
    <w:rsid w:val="00D81045"/>
    <w:rsid w:val="00D814B3"/>
    <w:rsid w:val="00D82011"/>
    <w:rsid w:val="00D825B9"/>
    <w:rsid w:val="00D82636"/>
    <w:rsid w:val="00D8472B"/>
    <w:rsid w:val="00D85BEC"/>
    <w:rsid w:val="00D85F1D"/>
    <w:rsid w:val="00D86488"/>
    <w:rsid w:val="00D86B21"/>
    <w:rsid w:val="00D873C5"/>
    <w:rsid w:val="00D91BAB"/>
    <w:rsid w:val="00D91E7E"/>
    <w:rsid w:val="00D92624"/>
    <w:rsid w:val="00D947AB"/>
    <w:rsid w:val="00D94F42"/>
    <w:rsid w:val="00D9559A"/>
    <w:rsid w:val="00D95DE2"/>
    <w:rsid w:val="00D95FA4"/>
    <w:rsid w:val="00D979F5"/>
    <w:rsid w:val="00D97A21"/>
    <w:rsid w:val="00D97B0E"/>
    <w:rsid w:val="00D97C8F"/>
    <w:rsid w:val="00DA0FAF"/>
    <w:rsid w:val="00DA329A"/>
    <w:rsid w:val="00DA40B1"/>
    <w:rsid w:val="00DA561B"/>
    <w:rsid w:val="00DA5761"/>
    <w:rsid w:val="00DA5BF1"/>
    <w:rsid w:val="00DA7666"/>
    <w:rsid w:val="00DA7E17"/>
    <w:rsid w:val="00DA7F9D"/>
    <w:rsid w:val="00DB0F27"/>
    <w:rsid w:val="00DB110F"/>
    <w:rsid w:val="00DB161C"/>
    <w:rsid w:val="00DB2B08"/>
    <w:rsid w:val="00DB2D63"/>
    <w:rsid w:val="00DB3171"/>
    <w:rsid w:val="00DB39AF"/>
    <w:rsid w:val="00DB3C46"/>
    <w:rsid w:val="00DB3EA8"/>
    <w:rsid w:val="00DB4585"/>
    <w:rsid w:val="00DB4A78"/>
    <w:rsid w:val="00DB5983"/>
    <w:rsid w:val="00DB5C15"/>
    <w:rsid w:val="00DC0ADF"/>
    <w:rsid w:val="00DC13BD"/>
    <w:rsid w:val="00DC1A9E"/>
    <w:rsid w:val="00DC1F49"/>
    <w:rsid w:val="00DC2492"/>
    <w:rsid w:val="00DC2B10"/>
    <w:rsid w:val="00DC3415"/>
    <w:rsid w:val="00DC3FF8"/>
    <w:rsid w:val="00DC40EC"/>
    <w:rsid w:val="00DC4DEA"/>
    <w:rsid w:val="00DC5D82"/>
    <w:rsid w:val="00DC6991"/>
    <w:rsid w:val="00DD0182"/>
    <w:rsid w:val="00DD0566"/>
    <w:rsid w:val="00DD09D0"/>
    <w:rsid w:val="00DD0FB7"/>
    <w:rsid w:val="00DD3FEB"/>
    <w:rsid w:val="00DD44D4"/>
    <w:rsid w:val="00DD5270"/>
    <w:rsid w:val="00DD5777"/>
    <w:rsid w:val="00DD57A3"/>
    <w:rsid w:val="00DD5F34"/>
    <w:rsid w:val="00DE08AD"/>
    <w:rsid w:val="00DE16BB"/>
    <w:rsid w:val="00DE261B"/>
    <w:rsid w:val="00DE2C26"/>
    <w:rsid w:val="00DE2F7E"/>
    <w:rsid w:val="00DE36FF"/>
    <w:rsid w:val="00DE3DDE"/>
    <w:rsid w:val="00DE3E0E"/>
    <w:rsid w:val="00DE539F"/>
    <w:rsid w:val="00DE5723"/>
    <w:rsid w:val="00DE5991"/>
    <w:rsid w:val="00DE68BB"/>
    <w:rsid w:val="00DE758E"/>
    <w:rsid w:val="00DE7A98"/>
    <w:rsid w:val="00DE7C7F"/>
    <w:rsid w:val="00DF100D"/>
    <w:rsid w:val="00DF2648"/>
    <w:rsid w:val="00DF347F"/>
    <w:rsid w:val="00DF3767"/>
    <w:rsid w:val="00DF437A"/>
    <w:rsid w:val="00DF5D62"/>
    <w:rsid w:val="00DF61A5"/>
    <w:rsid w:val="00DF6C1B"/>
    <w:rsid w:val="00DF7215"/>
    <w:rsid w:val="00DF7B5E"/>
    <w:rsid w:val="00DF7C00"/>
    <w:rsid w:val="00E00700"/>
    <w:rsid w:val="00E013CA"/>
    <w:rsid w:val="00E0202C"/>
    <w:rsid w:val="00E03405"/>
    <w:rsid w:val="00E04393"/>
    <w:rsid w:val="00E04DDA"/>
    <w:rsid w:val="00E04FAD"/>
    <w:rsid w:val="00E05301"/>
    <w:rsid w:val="00E07759"/>
    <w:rsid w:val="00E07ADF"/>
    <w:rsid w:val="00E11A48"/>
    <w:rsid w:val="00E131FA"/>
    <w:rsid w:val="00E15915"/>
    <w:rsid w:val="00E15CB6"/>
    <w:rsid w:val="00E161C2"/>
    <w:rsid w:val="00E17D69"/>
    <w:rsid w:val="00E2073B"/>
    <w:rsid w:val="00E20D80"/>
    <w:rsid w:val="00E20E72"/>
    <w:rsid w:val="00E2167F"/>
    <w:rsid w:val="00E21970"/>
    <w:rsid w:val="00E21E2F"/>
    <w:rsid w:val="00E233B6"/>
    <w:rsid w:val="00E23FDE"/>
    <w:rsid w:val="00E240F8"/>
    <w:rsid w:val="00E2510F"/>
    <w:rsid w:val="00E2674B"/>
    <w:rsid w:val="00E26799"/>
    <w:rsid w:val="00E267C6"/>
    <w:rsid w:val="00E27192"/>
    <w:rsid w:val="00E272DD"/>
    <w:rsid w:val="00E313C4"/>
    <w:rsid w:val="00E31B04"/>
    <w:rsid w:val="00E32125"/>
    <w:rsid w:val="00E329F1"/>
    <w:rsid w:val="00E32D77"/>
    <w:rsid w:val="00E33F73"/>
    <w:rsid w:val="00E34155"/>
    <w:rsid w:val="00E359E0"/>
    <w:rsid w:val="00E36546"/>
    <w:rsid w:val="00E36A6D"/>
    <w:rsid w:val="00E3709B"/>
    <w:rsid w:val="00E42A94"/>
    <w:rsid w:val="00E42F73"/>
    <w:rsid w:val="00E433BF"/>
    <w:rsid w:val="00E43478"/>
    <w:rsid w:val="00E43C3A"/>
    <w:rsid w:val="00E4427D"/>
    <w:rsid w:val="00E45451"/>
    <w:rsid w:val="00E45546"/>
    <w:rsid w:val="00E456CC"/>
    <w:rsid w:val="00E459DA"/>
    <w:rsid w:val="00E460E3"/>
    <w:rsid w:val="00E462AB"/>
    <w:rsid w:val="00E46736"/>
    <w:rsid w:val="00E47FA2"/>
    <w:rsid w:val="00E504B5"/>
    <w:rsid w:val="00E50F1D"/>
    <w:rsid w:val="00E51210"/>
    <w:rsid w:val="00E512AA"/>
    <w:rsid w:val="00E51830"/>
    <w:rsid w:val="00E51A0B"/>
    <w:rsid w:val="00E51D7E"/>
    <w:rsid w:val="00E52951"/>
    <w:rsid w:val="00E54223"/>
    <w:rsid w:val="00E5467E"/>
    <w:rsid w:val="00E55455"/>
    <w:rsid w:val="00E55986"/>
    <w:rsid w:val="00E55E49"/>
    <w:rsid w:val="00E56B55"/>
    <w:rsid w:val="00E572F5"/>
    <w:rsid w:val="00E57973"/>
    <w:rsid w:val="00E61C29"/>
    <w:rsid w:val="00E63AB0"/>
    <w:rsid w:val="00E65413"/>
    <w:rsid w:val="00E66FFF"/>
    <w:rsid w:val="00E67B37"/>
    <w:rsid w:val="00E702E2"/>
    <w:rsid w:val="00E70E19"/>
    <w:rsid w:val="00E71EE0"/>
    <w:rsid w:val="00E7233B"/>
    <w:rsid w:val="00E73EE1"/>
    <w:rsid w:val="00E74229"/>
    <w:rsid w:val="00E74873"/>
    <w:rsid w:val="00E74AD2"/>
    <w:rsid w:val="00E75887"/>
    <w:rsid w:val="00E75A4B"/>
    <w:rsid w:val="00E761B4"/>
    <w:rsid w:val="00E763D0"/>
    <w:rsid w:val="00E77D57"/>
    <w:rsid w:val="00E808CF"/>
    <w:rsid w:val="00E80B41"/>
    <w:rsid w:val="00E80BB1"/>
    <w:rsid w:val="00E81B67"/>
    <w:rsid w:val="00E824FB"/>
    <w:rsid w:val="00E82B4A"/>
    <w:rsid w:val="00E83CDF"/>
    <w:rsid w:val="00E869DB"/>
    <w:rsid w:val="00E9077A"/>
    <w:rsid w:val="00E9079F"/>
    <w:rsid w:val="00E90918"/>
    <w:rsid w:val="00E90C83"/>
    <w:rsid w:val="00E90F0F"/>
    <w:rsid w:val="00E90F8D"/>
    <w:rsid w:val="00E92550"/>
    <w:rsid w:val="00E94831"/>
    <w:rsid w:val="00E94A27"/>
    <w:rsid w:val="00E9606D"/>
    <w:rsid w:val="00E97039"/>
    <w:rsid w:val="00E97FD3"/>
    <w:rsid w:val="00EA028D"/>
    <w:rsid w:val="00EA0549"/>
    <w:rsid w:val="00EA065A"/>
    <w:rsid w:val="00EA1FF2"/>
    <w:rsid w:val="00EA2368"/>
    <w:rsid w:val="00EA269D"/>
    <w:rsid w:val="00EA27B7"/>
    <w:rsid w:val="00EA3D91"/>
    <w:rsid w:val="00EA3FEB"/>
    <w:rsid w:val="00EA41BC"/>
    <w:rsid w:val="00EA49FA"/>
    <w:rsid w:val="00EA59E4"/>
    <w:rsid w:val="00EA6868"/>
    <w:rsid w:val="00EA68A1"/>
    <w:rsid w:val="00EA6B25"/>
    <w:rsid w:val="00EA6B3E"/>
    <w:rsid w:val="00EB097B"/>
    <w:rsid w:val="00EB1AE4"/>
    <w:rsid w:val="00EB1DD1"/>
    <w:rsid w:val="00EB42C7"/>
    <w:rsid w:val="00EB470C"/>
    <w:rsid w:val="00EB50F1"/>
    <w:rsid w:val="00EB57B8"/>
    <w:rsid w:val="00EB57D7"/>
    <w:rsid w:val="00EB78AE"/>
    <w:rsid w:val="00EC219A"/>
    <w:rsid w:val="00EC431A"/>
    <w:rsid w:val="00EC5106"/>
    <w:rsid w:val="00EC5B0E"/>
    <w:rsid w:val="00EC5CCD"/>
    <w:rsid w:val="00EC609E"/>
    <w:rsid w:val="00EC60F9"/>
    <w:rsid w:val="00EC622F"/>
    <w:rsid w:val="00EC66B9"/>
    <w:rsid w:val="00EC6772"/>
    <w:rsid w:val="00EC6B10"/>
    <w:rsid w:val="00EC6E84"/>
    <w:rsid w:val="00EC714C"/>
    <w:rsid w:val="00EC7BEF"/>
    <w:rsid w:val="00EC7CCA"/>
    <w:rsid w:val="00ED043E"/>
    <w:rsid w:val="00ED04D0"/>
    <w:rsid w:val="00ED055B"/>
    <w:rsid w:val="00ED0DF2"/>
    <w:rsid w:val="00ED1455"/>
    <w:rsid w:val="00ED1A09"/>
    <w:rsid w:val="00ED2DF9"/>
    <w:rsid w:val="00ED62B1"/>
    <w:rsid w:val="00ED733F"/>
    <w:rsid w:val="00ED778B"/>
    <w:rsid w:val="00EE12B1"/>
    <w:rsid w:val="00EE1DBD"/>
    <w:rsid w:val="00EE234F"/>
    <w:rsid w:val="00EE2736"/>
    <w:rsid w:val="00EE2A58"/>
    <w:rsid w:val="00EE2CF2"/>
    <w:rsid w:val="00EE2EB0"/>
    <w:rsid w:val="00EE2F1E"/>
    <w:rsid w:val="00EE30EE"/>
    <w:rsid w:val="00EE339A"/>
    <w:rsid w:val="00EE4070"/>
    <w:rsid w:val="00EE4797"/>
    <w:rsid w:val="00EE51F2"/>
    <w:rsid w:val="00EE53DF"/>
    <w:rsid w:val="00EE5647"/>
    <w:rsid w:val="00EE584E"/>
    <w:rsid w:val="00EE5EB2"/>
    <w:rsid w:val="00EE615E"/>
    <w:rsid w:val="00EE65A3"/>
    <w:rsid w:val="00EE6B13"/>
    <w:rsid w:val="00EE6BDF"/>
    <w:rsid w:val="00EE735E"/>
    <w:rsid w:val="00EE7619"/>
    <w:rsid w:val="00EF0EB2"/>
    <w:rsid w:val="00EF122C"/>
    <w:rsid w:val="00EF2062"/>
    <w:rsid w:val="00EF24DB"/>
    <w:rsid w:val="00EF294F"/>
    <w:rsid w:val="00EF4A8B"/>
    <w:rsid w:val="00EF4C9E"/>
    <w:rsid w:val="00EF5133"/>
    <w:rsid w:val="00EF5ABB"/>
    <w:rsid w:val="00EF707E"/>
    <w:rsid w:val="00EF7620"/>
    <w:rsid w:val="00EF787A"/>
    <w:rsid w:val="00F0060F"/>
    <w:rsid w:val="00F007DB"/>
    <w:rsid w:val="00F00B28"/>
    <w:rsid w:val="00F01107"/>
    <w:rsid w:val="00F018BA"/>
    <w:rsid w:val="00F01A90"/>
    <w:rsid w:val="00F01CEF"/>
    <w:rsid w:val="00F02EC2"/>
    <w:rsid w:val="00F0660E"/>
    <w:rsid w:val="00F07615"/>
    <w:rsid w:val="00F10015"/>
    <w:rsid w:val="00F10906"/>
    <w:rsid w:val="00F12460"/>
    <w:rsid w:val="00F13AAC"/>
    <w:rsid w:val="00F1414F"/>
    <w:rsid w:val="00F1415F"/>
    <w:rsid w:val="00F144DC"/>
    <w:rsid w:val="00F145C7"/>
    <w:rsid w:val="00F1473C"/>
    <w:rsid w:val="00F14786"/>
    <w:rsid w:val="00F148D9"/>
    <w:rsid w:val="00F15206"/>
    <w:rsid w:val="00F154EB"/>
    <w:rsid w:val="00F15C0A"/>
    <w:rsid w:val="00F163DD"/>
    <w:rsid w:val="00F1655A"/>
    <w:rsid w:val="00F17DE6"/>
    <w:rsid w:val="00F22298"/>
    <w:rsid w:val="00F2254B"/>
    <w:rsid w:val="00F23C61"/>
    <w:rsid w:val="00F240B4"/>
    <w:rsid w:val="00F24187"/>
    <w:rsid w:val="00F2446E"/>
    <w:rsid w:val="00F24A6D"/>
    <w:rsid w:val="00F24BE0"/>
    <w:rsid w:val="00F26442"/>
    <w:rsid w:val="00F27717"/>
    <w:rsid w:val="00F30627"/>
    <w:rsid w:val="00F31048"/>
    <w:rsid w:val="00F3108B"/>
    <w:rsid w:val="00F310A6"/>
    <w:rsid w:val="00F312BF"/>
    <w:rsid w:val="00F31E2F"/>
    <w:rsid w:val="00F323FB"/>
    <w:rsid w:val="00F33031"/>
    <w:rsid w:val="00F3413D"/>
    <w:rsid w:val="00F345F8"/>
    <w:rsid w:val="00F35730"/>
    <w:rsid w:val="00F35768"/>
    <w:rsid w:val="00F378D5"/>
    <w:rsid w:val="00F40264"/>
    <w:rsid w:val="00F41F67"/>
    <w:rsid w:val="00F427FD"/>
    <w:rsid w:val="00F43F4B"/>
    <w:rsid w:val="00F44106"/>
    <w:rsid w:val="00F44991"/>
    <w:rsid w:val="00F44EA2"/>
    <w:rsid w:val="00F452BD"/>
    <w:rsid w:val="00F4545E"/>
    <w:rsid w:val="00F45CA7"/>
    <w:rsid w:val="00F466B5"/>
    <w:rsid w:val="00F471F1"/>
    <w:rsid w:val="00F47AA4"/>
    <w:rsid w:val="00F520B0"/>
    <w:rsid w:val="00F5252C"/>
    <w:rsid w:val="00F54C22"/>
    <w:rsid w:val="00F55996"/>
    <w:rsid w:val="00F6064B"/>
    <w:rsid w:val="00F606B4"/>
    <w:rsid w:val="00F614B0"/>
    <w:rsid w:val="00F61E50"/>
    <w:rsid w:val="00F627E1"/>
    <w:rsid w:val="00F63597"/>
    <w:rsid w:val="00F6424B"/>
    <w:rsid w:val="00F64274"/>
    <w:rsid w:val="00F65332"/>
    <w:rsid w:val="00F65E0F"/>
    <w:rsid w:val="00F65E94"/>
    <w:rsid w:val="00F66408"/>
    <w:rsid w:val="00F666CC"/>
    <w:rsid w:val="00F66798"/>
    <w:rsid w:val="00F70179"/>
    <w:rsid w:val="00F71174"/>
    <w:rsid w:val="00F71949"/>
    <w:rsid w:val="00F71EF5"/>
    <w:rsid w:val="00F72A5D"/>
    <w:rsid w:val="00F73191"/>
    <w:rsid w:val="00F732BB"/>
    <w:rsid w:val="00F73BFB"/>
    <w:rsid w:val="00F74444"/>
    <w:rsid w:val="00F744AD"/>
    <w:rsid w:val="00F75781"/>
    <w:rsid w:val="00F75DF0"/>
    <w:rsid w:val="00F75F62"/>
    <w:rsid w:val="00F76176"/>
    <w:rsid w:val="00F763B1"/>
    <w:rsid w:val="00F767D3"/>
    <w:rsid w:val="00F778C0"/>
    <w:rsid w:val="00F77EB8"/>
    <w:rsid w:val="00F804E6"/>
    <w:rsid w:val="00F807E0"/>
    <w:rsid w:val="00F8096D"/>
    <w:rsid w:val="00F80D87"/>
    <w:rsid w:val="00F81158"/>
    <w:rsid w:val="00F815D0"/>
    <w:rsid w:val="00F81992"/>
    <w:rsid w:val="00F81A14"/>
    <w:rsid w:val="00F81CB2"/>
    <w:rsid w:val="00F823AA"/>
    <w:rsid w:val="00F82843"/>
    <w:rsid w:val="00F836F4"/>
    <w:rsid w:val="00F83D32"/>
    <w:rsid w:val="00F84A4E"/>
    <w:rsid w:val="00F85163"/>
    <w:rsid w:val="00F85D7C"/>
    <w:rsid w:val="00F863A3"/>
    <w:rsid w:val="00F87521"/>
    <w:rsid w:val="00F8798F"/>
    <w:rsid w:val="00F87D80"/>
    <w:rsid w:val="00F87EE6"/>
    <w:rsid w:val="00F9054A"/>
    <w:rsid w:val="00F91F57"/>
    <w:rsid w:val="00F922FB"/>
    <w:rsid w:val="00F933E1"/>
    <w:rsid w:val="00F9415E"/>
    <w:rsid w:val="00F948D3"/>
    <w:rsid w:val="00F94EF7"/>
    <w:rsid w:val="00F94F3B"/>
    <w:rsid w:val="00F9549F"/>
    <w:rsid w:val="00F9591C"/>
    <w:rsid w:val="00F96297"/>
    <w:rsid w:val="00F977BC"/>
    <w:rsid w:val="00F97F16"/>
    <w:rsid w:val="00FA011B"/>
    <w:rsid w:val="00FA0510"/>
    <w:rsid w:val="00FA1D83"/>
    <w:rsid w:val="00FA1F75"/>
    <w:rsid w:val="00FA2E94"/>
    <w:rsid w:val="00FA3BBE"/>
    <w:rsid w:val="00FA4312"/>
    <w:rsid w:val="00FA4DD6"/>
    <w:rsid w:val="00FA53AB"/>
    <w:rsid w:val="00FA5813"/>
    <w:rsid w:val="00FA5DD0"/>
    <w:rsid w:val="00FA5E6E"/>
    <w:rsid w:val="00FA6271"/>
    <w:rsid w:val="00FA630F"/>
    <w:rsid w:val="00FA69CA"/>
    <w:rsid w:val="00FA6CFC"/>
    <w:rsid w:val="00FA701F"/>
    <w:rsid w:val="00FB2102"/>
    <w:rsid w:val="00FB2682"/>
    <w:rsid w:val="00FB2BE1"/>
    <w:rsid w:val="00FB2DC9"/>
    <w:rsid w:val="00FB3001"/>
    <w:rsid w:val="00FB446A"/>
    <w:rsid w:val="00FB4DDA"/>
    <w:rsid w:val="00FB693B"/>
    <w:rsid w:val="00FB73E9"/>
    <w:rsid w:val="00FB776F"/>
    <w:rsid w:val="00FB7ECD"/>
    <w:rsid w:val="00FC0604"/>
    <w:rsid w:val="00FC0629"/>
    <w:rsid w:val="00FC0B66"/>
    <w:rsid w:val="00FC0D02"/>
    <w:rsid w:val="00FC14C9"/>
    <w:rsid w:val="00FC2290"/>
    <w:rsid w:val="00FC22F4"/>
    <w:rsid w:val="00FC2BB5"/>
    <w:rsid w:val="00FC2F4B"/>
    <w:rsid w:val="00FC3FA2"/>
    <w:rsid w:val="00FC43CD"/>
    <w:rsid w:val="00FC525E"/>
    <w:rsid w:val="00FC52CD"/>
    <w:rsid w:val="00FC6BEF"/>
    <w:rsid w:val="00FC7555"/>
    <w:rsid w:val="00FC7850"/>
    <w:rsid w:val="00FC7861"/>
    <w:rsid w:val="00FC78FE"/>
    <w:rsid w:val="00FC7A96"/>
    <w:rsid w:val="00FD0284"/>
    <w:rsid w:val="00FD055F"/>
    <w:rsid w:val="00FD0DDA"/>
    <w:rsid w:val="00FD1861"/>
    <w:rsid w:val="00FD1930"/>
    <w:rsid w:val="00FD2251"/>
    <w:rsid w:val="00FD3959"/>
    <w:rsid w:val="00FD4684"/>
    <w:rsid w:val="00FD4D19"/>
    <w:rsid w:val="00FD4E25"/>
    <w:rsid w:val="00FD55AF"/>
    <w:rsid w:val="00FD589D"/>
    <w:rsid w:val="00FD5CF8"/>
    <w:rsid w:val="00FD6BDD"/>
    <w:rsid w:val="00FD77A6"/>
    <w:rsid w:val="00FE13D1"/>
    <w:rsid w:val="00FE15F7"/>
    <w:rsid w:val="00FE1600"/>
    <w:rsid w:val="00FE1BCB"/>
    <w:rsid w:val="00FE1EC3"/>
    <w:rsid w:val="00FE2E0A"/>
    <w:rsid w:val="00FE2E1C"/>
    <w:rsid w:val="00FE2E86"/>
    <w:rsid w:val="00FE2F2A"/>
    <w:rsid w:val="00FE2F84"/>
    <w:rsid w:val="00FE2FD3"/>
    <w:rsid w:val="00FE4DED"/>
    <w:rsid w:val="00FE516E"/>
    <w:rsid w:val="00FE53E3"/>
    <w:rsid w:val="00FE627A"/>
    <w:rsid w:val="00FE6E70"/>
    <w:rsid w:val="00FE7D45"/>
    <w:rsid w:val="00FF0BF7"/>
    <w:rsid w:val="00FF2665"/>
    <w:rsid w:val="00FF26FE"/>
    <w:rsid w:val="00FF2EE9"/>
    <w:rsid w:val="00FF2F7B"/>
    <w:rsid w:val="00FF3E15"/>
    <w:rsid w:val="00FF6439"/>
    <w:rsid w:val="00FF678D"/>
    <w:rsid w:val="00FF79E6"/>
    <w:rsid w:val="00FF7B93"/>
    <w:rsid w:val="00FF7EE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4EEC5A4E-0978-40EB-846A-0818E6854E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pPr>
        <w:spacing w:line="320" w:lineRule="atLeast"/>
        <w:jc w:val="both"/>
      </w:pPr>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ali">
    <w:name w:val="Normal"/>
    <w:qFormat/>
    <w:rsid w:val="00193784"/>
    <w:pPr>
      <w:spacing w:before="120"/>
    </w:pPr>
    <w:rPr>
      <w:rFonts w:ascii="Arial" w:hAnsi="Arial"/>
      <w:sz w:val="22"/>
      <w:lang w:eastAsia="en-US"/>
    </w:rPr>
  </w:style>
  <w:style w:type="paragraph" w:styleId="Otsikko1">
    <w:name w:val="heading 1"/>
    <w:aliases w:val="ESPON Heading 1"/>
    <w:basedOn w:val="Normaali"/>
    <w:next w:val="Normaali"/>
    <w:link w:val="Otsikko1Char"/>
    <w:uiPriority w:val="9"/>
    <w:qFormat/>
    <w:rsid w:val="00637487"/>
    <w:pPr>
      <w:keepNext/>
      <w:numPr>
        <w:numId w:val="1"/>
      </w:numPr>
      <w:spacing w:before="480" w:after="120"/>
      <w:outlineLvl w:val="0"/>
    </w:pPr>
    <w:rPr>
      <w:b/>
      <w:kern w:val="28"/>
      <w:sz w:val="28"/>
    </w:rPr>
  </w:style>
  <w:style w:type="paragraph" w:styleId="Otsikko2">
    <w:name w:val="heading 2"/>
    <w:aliases w:val="ESPON Heading 2"/>
    <w:basedOn w:val="Normaali"/>
    <w:next w:val="Normaali"/>
    <w:qFormat/>
    <w:rsid w:val="00AE5E68"/>
    <w:pPr>
      <w:keepNext/>
      <w:numPr>
        <w:ilvl w:val="1"/>
        <w:numId w:val="1"/>
      </w:numPr>
      <w:spacing w:after="120"/>
      <w:ind w:left="737"/>
      <w:outlineLvl w:val="1"/>
    </w:pPr>
    <w:rPr>
      <w:b/>
      <w:sz w:val="24"/>
    </w:rPr>
  </w:style>
  <w:style w:type="paragraph" w:styleId="Otsikko3">
    <w:name w:val="heading 3"/>
    <w:aliases w:val="ESPON Heading 3"/>
    <w:basedOn w:val="Normaali"/>
    <w:next w:val="Normaali"/>
    <w:qFormat/>
    <w:rsid w:val="00AF6C49"/>
    <w:pPr>
      <w:keepNext/>
      <w:numPr>
        <w:ilvl w:val="2"/>
        <w:numId w:val="1"/>
      </w:numPr>
      <w:spacing w:after="120"/>
      <w:outlineLvl w:val="2"/>
    </w:pPr>
    <w:rPr>
      <w:b/>
    </w:rPr>
  </w:style>
  <w:style w:type="paragraph" w:styleId="Otsikko4">
    <w:name w:val="heading 4"/>
    <w:aliases w:val="ESPON Heading 4"/>
    <w:basedOn w:val="Normaali"/>
    <w:next w:val="Normaali"/>
    <w:qFormat/>
    <w:rsid w:val="00AF6C49"/>
    <w:pPr>
      <w:keepNext/>
      <w:numPr>
        <w:ilvl w:val="3"/>
        <w:numId w:val="1"/>
      </w:numPr>
      <w:spacing w:after="120"/>
      <w:outlineLvl w:val="3"/>
    </w:pPr>
    <w:rPr>
      <w:b/>
      <w:sz w:val="24"/>
    </w:rPr>
  </w:style>
  <w:style w:type="paragraph" w:styleId="Otsikko5">
    <w:name w:val="heading 5"/>
    <w:aliases w:val="ESPON Heading 5"/>
    <w:basedOn w:val="Normaali"/>
    <w:next w:val="Normaali"/>
    <w:qFormat/>
    <w:rsid w:val="00AF6C49"/>
    <w:pPr>
      <w:numPr>
        <w:ilvl w:val="4"/>
        <w:numId w:val="1"/>
      </w:numPr>
      <w:spacing w:after="120"/>
      <w:outlineLvl w:val="4"/>
    </w:pPr>
    <w:rPr>
      <w:b/>
      <w:sz w:val="24"/>
    </w:rPr>
  </w:style>
  <w:style w:type="paragraph" w:styleId="Otsikko6">
    <w:name w:val="heading 6"/>
    <w:basedOn w:val="Normaali"/>
    <w:next w:val="Normaali"/>
    <w:qFormat/>
    <w:rsid w:val="00AF6C49"/>
    <w:pPr>
      <w:numPr>
        <w:ilvl w:val="5"/>
        <w:numId w:val="1"/>
      </w:numPr>
      <w:spacing w:before="240" w:after="60"/>
      <w:outlineLvl w:val="5"/>
    </w:pPr>
    <w:rPr>
      <w:i/>
    </w:rPr>
  </w:style>
  <w:style w:type="paragraph" w:styleId="Otsikko7">
    <w:name w:val="heading 7"/>
    <w:basedOn w:val="Normaali"/>
    <w:next w:val="Normaali"/>
    <w:qFormat/>
    <w:rsid w:val="00CF018B"/>
    <w:pPr>
      <w:numPr>
        <w:ilvl w:val="6"/>
        <w:numId w:val="1"/>
      </w:numPr>
      <w:spacing w:before="240" w:after="60"/>
      <w:outlineLvl w:val="6"/>
    </w:pPr>
  </w:style>
  <w:style w:type="paragraph" w:styleId="Otsikko8">
    <w:name w:val="heading 8"/>
    <w:basedOn w:val="Normaali"/>
    <w:next w:val="Normaali"/>
    <w:qFormat/>
    <w:rsid w:val="00CF018B"/>
    <w:pPr>
      <w:numPr>
        <w:ilvl w:val="7"/>
        <w:numId w:val="1"/>
      </w:numPr>
      <w:spacing w:before="240" w:after="60"/>
      <w:outlineLvl w:val="7"/>
    </w:pPr>
    <w:rPr>
      <w:i/>
    </w:rPr>
  </w:style>
  <w:style w:type="paragraph" w:styleId="Otsikko9">
    <w:name w:val="heading 9"/>
    <w:basedOn w:val="Normaali"/>
    <w:next w:val="Normaali"/>
    <w:qFormat/>
    <w:rsid w:val="00CF018B"/>
    <w:pPr>
      <w:numPr>
        <w:ilvl w:val="8"/>
        <w:numId w:val="1"/>
      </w:numPr>
      <w:spacing w:before="240" w:after="60"/>
      <w:outlineLvl w:val="8"/>
    </w:pPr>
    <w:rPr>
      <w:b/>
      <w:i/>
      <w:sz w:val="18"/>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Sisluet1">
    <w:name w:val="toc 1"/>
    <w:aliases w:val="ESPON Index 1"/>
    <w:basedOn w:val="Normaali"/>
    <w:next w:val="Normaali"/>
    <w:autoRedefine/>
    <w:uiPriority w:val="39"/>
    <w:rsid w:val="00EC7BEF"/>
    <w:pPr>
      <w:tabs>
        <w:tab w:val="right" w:leader="dot" w:pos="9356"/>
      </w:tabs>
      <w:spacing w:before="0" w:line="360" w:lineRule="auto"/>
      <w:ind w:left="907" w:right="1134" w:hanging="907"/>
    </w:pPr>
    <w:rPr>
      <w:noProof/>
    </w:rPr>
  </w:style>
  <w:style w:type="paragraph" w:styleId="Sisluet5">
    <w:name w:val="toc 5"/>
    <w:aliases w:val="ESPON Index 5"/>
    <w:basedOn w:val="Normaali"/>
    <w:next w:val="Normaali"/>
    <w:autoRedefine/>
    <w:semiHidden/>
    <w:rsid w:val="00CF018B"/>
    <w:pPr>
      <w:tabs>
        <w:tab w:val="right" w:leader="dot" w:pos="9356"/>
      </w:tabs>
      <w:spacing w:line="240" w:lineRule="auto"/>
      <w:ind w:left="1134" w:right="1134" w:hanging="1134"/>
    </w:pPr>
    <w:rPr>
      <w:rFonts w:ascii="Verdana" w:hAnsi="Verdana"/>
      <w:noProof/>
    </w:rPr>
  </w:style>
  <w:style w:type="paragraph" w:styleId="Yltunniste">
    <w:name w:val="header"/>
    <w:basedOn w:val="Normaali"/>
    <w:rsid w:val="00CF018B"/>
    <w:pPr>
      <w:tabs>
        <w:tab w:val="center" w:pos="4536"/>
        <w:tab w:val="right" w:pos="9072"/>
      </w:tabs>
    </w:pPr>
  </w:style>
  <w:style w:type="paragraph" w:styleId="Sisluet2">
    <w:name w:val="toc 2"/>
    <w:aliases w:val="ESPON Index 2"/>
    <w:basedOn w:val="Normaali"/>
    <w:next w:val="Normaali"/>
    <w:autoRedefine/>
    <w:uiPriority w:val="39"/>
    <w:rsid w:val="00BB5A9A"/>
    <w:pPr>
      <w:tabs>
        <w:tab w:val="right" w:leader="dot" w:pos="9356"/>
      </w:tabs>
      <w:spacing w:line="360" w:lineRule="auto"/>
      <w:ind w:left="1191" w:right="1134" w:hanging="907"/>
    </w:pPr>
  </w:style>
  <w:style w:type="paragraph" w:styleId="Sisluet3">
    <w:name w:val="toc 3"/>
    <w:aliases w:val="ESPON Index 3"/>
    <w:basedOn w:val="Normaali"/>
    <w:next w:val="Normaali"/>
    <w:autoRedefine/>
    <w:uiPriority w:val="39"/>
    <w:rsid w:val="00CF018B"/>
    <w:pPr>
      <w:tabs>
        <w:tab w:val="right" w:leader="dot" w:pos="9356"/>
      </w:tabs>
      <w:spacing w:line="240" w:lineRule="auto"/>
      <w:ind w:left="907" w:right="1134" w:hanging="907"/>
    </w:pPr>
  </w:style>
  <w:style w:type="paragraph" w:styleId="Sisluet4">
    <w:name w:val="toc 4"/>
    <w:aliases w:val="ESPON Index 4"/>
    <w:basedOn w:val="Normaali"/>
    <w:next w:val="Normaali"/>
    <w:autoRedefine/>
    <w:semiHidden/>
    <w:rsid w:val="00CF018B"/>
    <w:pPr>
      <w:tabs>
        <w:tab w:val="right" w:leader="dot" w:pos="9356"/>
      </w:tabs>
      <w:spacing w:line="240" w:lineRule="auto"/>
      <w:ind w:left="1021" w:right="1134" w:hanging="1021"/>
    </w:pPr>
    <w:rPr>
      <w:rFonts w:ascii="Verdana" w:hAnsi="Verdana"/>
      <w:noProof/>
    </w:rPr>
  </w:style>
  <w:style w:type="paragraph" w:styleId="Sisluet6">
    <w:name w:val="toc 6"/>
    <w:aliases w:val="ESPON Index 6"/>
    <w:basedOn w:val="Normaali"/>
    <w:next w:val="Normaali"/>
    <w:autoRedefine/>
    <w:semiHidden/>
    <w:rsid w:val="00CF018B"/>
    <w:pPr>
      <w:tabs>
        <w:tab w:val="right" w:leader="dot" w:pos="9356"/>
      </w:tabs>
      <w:spacing w:line="240" w:lineRule="auto"/>
      <w:ind w:left="907" w:right="1134" w:hanging="907"/>
    </w:pPr>
    <w:rPr>
      <w:rFonts w:ascii="Verdana" w:hAnsi="Verdana"/>
      <w:b/>
      <w:noProof/>
    </w:rPr>
  </w:style>
  <w:style w:type="paragraph" w:styleId="Sisluet7">
    <w:name w:val="toc 7"/>
    <w:aliases w:val="ESPON Index 7"/>
    <w:basedOn w:val="Normaali"/>
    <w:next w:val="Normaali"/>
    <w:autoRedefine/>
    <w:semiHidden/>
    <w:rsid w:val="00CF018B"/>
    <w:pPr>
      <w:tabs>
        <w:tab w:val="right" w:leader="dot" w:pos="9356"/>
      </w:tabs>
      <w:spacing w:line="240" w:lineRule="auto"/>
      <w:ind w:left="907" w:right="1134" w:hanging="907"/>
    </w:pPr>
    <w:rPr>
      <w:rFonts w:ascii="Verdana" w:hAnsi="Verdana"/>
    </w:rPr>
  </w:style>
  <w:style w:type="paragraph" w:styleId="Sisluet8">
    <w:name w:val="toc 8"/>
    <w:basedOn w:val="Normaali"/>
    <w:next w:val="Normaali"/>
    <w:autoRedefine/>
    <w:semiHidden/>
    <w:rsid w:val="00CF018B"/>
    <w:pPr>
      <w:ind w:left="1400"/>
    </w:pPr>
  </w:style>
  <w:style w:type="paragraph" w:styleId="Sisluet9">
    <w:name w:val="toc 9"/>
    <w:basedOn w:val="Normaali"/>
    <w:next w:val="Normaali"/>
    <w:autoRedefine/>
    <w:semiHidden/>
    <w:rsid w:val="00CF018B"/>
    <w:pPr>
      <w:ind w:left="1600"/>
    </w:pPr>
  </w:style>
  <w:style w:type="paragraph" w:styleId="Alatunniste">
    <w:name w:val="footer"/>
    <w:basedOn w:val="Normaali"/>
    <w:link w:val="AlatunnisteChar"/>
    <w:uiPriority w:val="99"/>
    <w:rsid w:val="00CF018B"/>
    <w:pPr>
      <w:tabs>
        <w:tab w:val="center" w:pos="4536"/>
        <w:tab w:val="right" w:pos="9072"/>
      </w:tabs>
    </w:pPr>
  </w:style>
  <w:style w:type="character" w:customStyle="1" w:styleId="Otsikko1Char">
    <w:name w:val="Otsikko 1 Char"/>
    <w:aliases w:val="ESPON Heading 1 Char"/>
    <w:basedOn w:val="Kappaleenoletusfontti"/>
    <w:link w:val="Otsikko1"/>
    <w:uiPriority w:val="9"/>
    <w:rsid w:val="00056948"/>
    <w:rPr>
      <w:rFonts w:ascii="Arial" w:hAnsi="Arial"/>
      <w:b/>
      <w:kern w:val="28"/>
      <w:sz w:val="28"/>
      <w:lang w:eastAsia="en-US"/>
    </w:rPr>
  </w:style>
  <w:style w:type="paragraph" w:styleId="Kuvaotsikko">
    <w:name w:val="caption"/>
    <w:basedOn w:val="Normaali"/>
    <w:next w:val="Normaali"/>
    <w:qFormat/>
    <w:rsid w:val="00D95FA4"/>
    <w:rPr>
      <w:b/>
      <w:bCs/>
    </w:rPr>
  </w:style>
  <w:style w:type="table" w:styleId="TaulukkoRuudukko">
    <w:name w:val="Table Grid"/>
    <w:basedOn w:val="Normaalitaulukko"/>
    <w:uiPriority w:val="59"/>
    <w:rsid w:val="00AF6C49"/>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ki">
    <w:name w:val="Hyperlink"/>
    <w:basedOn w:val="Kappaleenoletusfontti"/>
    <w:uiPriority w:val="99"/>
    <w:rsid w:val="00C82741"/>
    <w:rPr>
      <w:color w:val="0000FF"/>
      <w:u w:val="single"/>
    </w:rPr>
  </w:style>
  <w:style w:type="paragraph" w:styleId="Asiakirjanrakenneruutu">
    <w:name w:val="Document Map"/>
    <w:basedOn w:val="Normaali"/>
    <w:semiHidden/>
    <w:rsid w:val="003630B0"/>
    <w:rPr>
      <w:rFonts w:cs="Tahoma"/>
    </w:rPr>
  </w:style>
  <w:style w:type="paragraph" w:styleId="NormaaliWWW">
    <w:name w:val="Normal (Web)"/>
    <w:basedOn w:val="Normaali"/>
    <w:uiPriority w:val="99"/>
    <w:rsid w:val="00AF6C49"/>
    <w:pPr>
      <w:spacing w:before="100" w:beforeAutospacing="1" w:after="100" w:afterAutospacing="1" w:line="240" w:lineRule="auto"/>
      <w:jc w:val="left"/>
    </w:pPr>
    <w:rPr>
      <w:sz w:val="24"/>
      <w:szCs w:val="24"/>
      <w:lang w:val="de-DE" w:eastAsia="de-DE"/>
    </w:rPr>
  </w:style>
  <w:style w:type="character" w:styleId="AvattuHyperlinkki">
    <w:name w:val="FollowedHyperlink"/>
    <w:basedOn w:val="Kappaleenoletusfontti"/>
    <w:uiPriority w:val="99"/>
    <w:rsid w:val="00AF6C49"/>
    <w:rPr>
      <w:rFonts w:ascii="Arial" w:hAnsi="Arial"/>
      <w:color w:val="800080"/>
      <w:u w:val="single"/>
    </w:rPr>
  </w:style>
  <w:style w:type="paragraph" w:styleId="Kuvaotsikkoluettelo">
    <w:name w:val="table of figures"/>
    <w:aliases w:val="Figure 1"/>
    <w:basedOn w:val="Normaali"/>
    <w:next w:val="Normaali"/>
    <w:link w:val="KuvaotsikkoluetteloChar"/>
    <w:uiPriority w:val="99"/>
    <w:rsid w:val="005B346C"/>
  </w:style>
  <w:style w:type="character" w:styleId="Kommentinviite">
    <w:name w:val="annotation reference"/>
    <w:basedOn w:val="Kappaleenoletusfontti"/>
    <w:semiHidden/>
    <w:rsid w:val="004E266B"/>
    <w:rPr>
      <w:sz w:val="16"/>
      <w:szCs w:val="16"/>
    </w:rPr>
  </w:style>
  <w:style w:type="paragraph" w:styleId="Kommentinteksti">
    <w:name w:val="annotation text"/>
    <w:basedOn w:val="Normaali"/>
    <w:semiHidden/>
    <w:rsid w:val="004E266B"/>
  </w:style>
  <w:style w:type="paragraph" w:styleId="Kommentinotsikko">
    <w:name w:val="annotation subject"/>
    <w:basedOn w:val="Kommentinteksti"/>
    <w:next w:val="Kommentinteksti"/>
    <w:semiHidden/>
    <w:rsid w:val="004E266B"/>
    <w:rPr>
      <w:b/>
      <w:bCs/>
    </w:rPr>
  </w:style>
  <w:style w:type="paragraph" w:styleId="Seliteteksti">
    <w:name w:val="Balloon Text"/>
    <w:basedOn w:val="Normaali"/>
    <w:semiHidden/>
    <w:rsid w:val="001B06C0"/>
    <w:rPr>
      <w:rFonts w:ascii="Tahoma" w:hAnsi="Tahoma" w:cs="Tahoma"/>
      <w:sz w:val="16"/>
      <w:szCs w:val="16"/>
    </w:rPr>
  </w:style>
  <w:style w:type="character" w:styleId="Alaviitteenviite">
    <w:name w:val="footnote reference"/>
    <w:aliases w:val="Footnote symbol,Times 10 Point,Exposant 3 Point"/>
    <w:basedOn w:val="Kappaleenoletusfontti"/>
    <w:unhideWhenUsed/>
    <w:rsid w:val="00AF6C49"/>
    <w:rPr>
      <w:rFonts w:ascii="Arial" w:hAnsi="Arial"/>
      <w:vertAlign w:val="superscript"/>
    </w:rPr>
  </w:style>
  <w:style w:type="character" w:customStyle="1" w:styleId="AlatunnisteChar">
    <w:name w:val="Alatunniste Char"/>
    <w:basedOn w:val="Kappaleenoletusfontti"/>
    <w:link w:val="Alatunniste"/>
    <w:uiPriority w:val="99"/>
    <w:rsid w:val="004929E9"/>
    <w:rPr>
      <w:rFonts w:ascii="Arial" w:hAnsi="Arial"/>
      <w:sz w:val="22"/>
      <w:lang w:eastAsia="en-US"/>
    </w:rPr>
  </w:style>
  <w:style w:type="paragraph" w:customStyle="1" w:styleId="ESPONColophon">
    <w:name w:val="ESPON Colophon"/>
    <w:basedOn w:val="Normaali"/>
    <w:rsid w:val="00AF6C49"/>
    <w:pPr>
      <w:spacing w:before="0"/>
      <w:ind w:right="5103"/>
      <w:jc w:val="left"/>
    </w:pPr>
    <w:rPr>
      <w:sz w:val="16"/>
    </w:rPr>
  </w:style>
  <w:style w:type="character" w:styleId="Sivunumero">
    <w:name w:val="page number"/>
    <w:basedOn w:val="Kappaleenoletusfontti"/>
    <w:rsid w:val="00AF6C49"/>
    <w:rPr>
      <w:rFonts w:ascii="Arial" w:hAnsi="Arial"/>
    </w:rPr>
  </w:style>
  <w:style w:type="paragraph" w:customStyle="1" w:styleId="ESPONText">
    <w:name w:val="ESPON Text"/>
    <w:basedOn w:val="Normaali"/>
    <w:rsid w:val="00AF6C49"/>
    <w:pPr>
      <w:spacing w:before="0" w:after="120"/>
    </w:pPr>
    <w:rPr>
      <w:lang w:eastAsia="de-DE"/>
    </w:rPr>
  </w:style>
  <w:style w:type="paragraph" w:customStyle="1" w:styleId="ESPONSubtitle">
    <w:name w:val="ESPON Subtitle"/>
    <w:basedOn w:val="Normaali"/>
    <w:next w:val="ESPONText"/>
    <w:rsid w:val="00AF6C49"/>
    <w:pPr>
      <w:autoSpaceDE w:val="0"/>
      <w:autoSpaceDN w:val="0"/>
      <w:adjustRightInd w:val="0"/>
      <w:spacing w:after="240"/>
      <w:jc w:val="left"/>
    </w:pPr>
    <w:rPr>
      <w:b/>
      <w:color w:val="000000"/>
      <w:sz w:val="32"/>
    </w:rPr>
  </w:style>
  <w:style w:type="paragraph" w:styleId="Alaviitteenteksti">
    <w:name w:val="footnote text"/>
    <w:aliases w:val="Schriftart: 9 pt,Schriftart: 10 pt,Schriftart: 8 pt,WB-Fußnotentext,fn,Footnotes,Footnote ak"/>
    <w:basedOn w:val="Normaali"/>
    <w:link w:val="AlaviitteentekstiChar"/>
    <w:semiHidden/>
    <w:rsid w:val="00F75F62"/>
    <w:rPr>
      <w:sz w:val="20"/>
    </w:rPr>
  </w:style>
  <w:style w:type="paragraph" w:customStyle="1" w:styleId="Style10ptBoldRightBefore0pt">
    <w:name w:val="Style 10 pt Bold Right Before:  0 pt"/>
    <w:basedOn w:val="ESPONText"/>
    <w:rsid w:val="00074A6D"/>
    <w:pPr>
      <w:shd w:val="clear" w:color="auto" w:fill="000080"/>
      <w:jc w:val="right"/>
    </w:pPr>
    <w:rPr>
      <w:b/>
      <w:bCs/>
      <w:sz w:val="20"/>
    </w:rPr>
  </w:style>
  <w:style w:type="paragraph" w:styleId="Luettelokappale">
    <w:name w:val="List Paragraph"/>
    <w:basedOn w:val="Normaali"/>
    <w:uiPriority w:val="34"/>
    <w:qFormat/>
    <w:rsid w:val="007631FF"/>
    <w:pPr>
      <w:ind w:left="720"/>
      <w:contextualSpacing/>
    </w:pPr>
  </w:style>
  <w:style w:type="character" w:customStyle="1" w:styleId="AlaviitteentekstiChar">
    <w:name w:val="Alaviitteen teksti Char"/>
    <w:aliases w:val="Schriftart: 9 pt Char,Schriftart: 10 pt Char,Schriftart: 8 pt Char,WB-Fußnotentext Char,fn Char,Footnotes Char,Footnote ak Char"/>
    <w:link w:val="Alaviitteenteksti"/>
    <w:semiHidden/>
    <w:locked/>
    <w:rsid w:val="0012683A"/>
    <w:rPr>
      <w:rFonts w:ascii="Arial" w:hAnsi="Arial"/>
      <w:lang w:eastAsia="en-US"/>
    </w:rPr>
  </w:style>
  <w:style w:type="table" w:customStyle="1" w:styleId="LightGrid1">
    <w:name w:val="Light Grid1"/>
    <w:basedOn w:val="Normaalitaulukko"/>
    <w:uiPriority w:val="62"/>
    <w:rsid w:val="009D67B9"/>
    <w:rPr>
      <w:rFonts w:asciiTheme="minorHAnsi" w:eastAsiaTheme="minorEastAsia" w:hAnsiTheme="minorHAnsi" w:cstheme="minorBidi"/>
      <w:sz w:val="22"/>
      <w:szCs w:val="22"/>
      <w:lang w:val="de-DE" w:eastAsia="de-D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styleId="Korostus">
    <w:name w:val="Emphasis"/>
    <w:basedOn w:val="Kappaleenoletusfontti"/>
    <w:uiPriority w:val="20"/>
    <w:qFormat/>
    <w:rsid w:val="00EF294F"/>
    <w:rPr>
      <w:i/>
      <w:iCs/>
    </w:rPr>
  </w:style>
  <w:style w:type="character" w:styleId="Voimakas">
    <w:name w:val="Strong"/>
    <w:basedOn w:val="Kappaleenoletusfontti"/>
    <w:uiPriority w:val="22"/>
    <w:qFormat/>
    <w:rsid w:val="007146D2"/>
    <w:rPr>
      <w:b/>
      <w:bCs/>
    </w:rPr>
  </w:style>
  <w:style w:type="character" w:customStyle="1" w:styleId="rightside">
    <w:name w:val="right_side"/>
    <w:basedOn w:val="Kappaleenoletusfontti"/>
    <w:rsid w:val="009F1733"/>
  </w:style>
  <w:style w:type="paragraph" w:customStyle="1" w:styleId="Default">
    <w:name w:val="Default"/>
    <w:rsid w:val="002E52A6"/>
    <w:pPr>
      <w:autoSpaceDE w:val="0"/>
      <w:autoSpaceDN w:val="0"/>
      <w:adjustRightInd w:val="0"/>
      <w:spacing w:line="240" w:lineRule="auto"/>
      <w:jc w:val="left"/>
    </w:pPr>
    <w:rPr>
      <w:rFonts w:ascii="Calibri" w:hAnsi="Calibri" w:cs="Calibri"/>
      <w:color w:val="000000"/>
      <w:sz w:val="24"/>
      <w:szCs w:val="24"/>
      <w:lang w:val="de-DE"/>
    </w:rPr>
  </w:style>
  <w:style w:type="paragraph" w:customStyle="1" w:styleId="Pa5">
    <w:name w:val="Pa5"/>
    <w:basedOn w:val="Default"/>
    <w:next w:val="Default"/>
    <w:uiPriority w:val="99"/>
    <w:rsid w:val="00490AF9"/>
    <w:pPr>
      <w:spacing w:after="180" w:line="221" w:lineRule="atLeast"/>
    </w:pPr>
    <w:rPr>
      <w:rFonts w:ascii="Times New Roman" w:hAnsi="Times New Roman" w:cs="Times New Roman"/>
      <w:color w:val="auto"/>
    </w:rPr>
  </w:style>
  <w:style w:type="character" w:customStyle="1" w:styleId="A10">
    <w:name w:val="A10"/>
    <w:uiPriority w:val="99"/>
    <w:rsid w:val="00490AF9"/>
    <w:rPr>
      <w:color w:val="211D1E"/>
      <w:sz w:val="12"/>
      <w:szCs w:val="12"/>
    </w:rPr>
  </w:style>
  <w:style w:type="character" w:customStyle="1" w:styleId="A3">
    <w:name w:val="A3"/>
    <w:uiPriority w:val="99"/>
    <w:rsid w:val="00335A82"/>
    <w:rPr>
      <w:rFonts w:cs="Gill Sans MT"/>
      <w:color w:val="211D1E"/>
      <w:sz w:val="28"/>
      <w:szCs w:val="28"/>
    </w:rPr>
  </w:style>
  <w:style w:type="paragraph" w:customStyle="1" w:styleId="Pa1">
    <w:name w:val="Pa1"/>
    <w:basedOn w:val="Default"/>
    <w:next w:val="Default"/>
    <w:uiPriority w:val="99"/>
    <w:rsid w:val="00335A82"/>
    <w:pPr>
      <w:spacing w:line="581" w:lineRule="atLeast"/>
    </w:pPr>
    <w:rPr>
      <w:rFonts w:ascii="Perpetua Titling MT" w:hAnsi="Perpetua Titling MT" w:cs="Times New Roman"/>
      <w:color w:val="auto"/>
    </w:rPr>
  </w:style>
  <w:style w:type="character" w:customStyle="1" w:styleId="A2">
    <w:name w:val="A2"/>
    <w:uiPriority w:val="99"/>
    <w:rsid w:val="00335A82"/>
    <w:rPr>
      <w:rFonts w:cs="Perpetua Titling MT"/>
      <w:color w:val="33275E"/>
      <w:sz w:val="38"/>
      <w:szCs w:val="38"/>
    </w:rPr>
  </w:style>
  <w:style w:type="character" w:customStyle="1" w:styleId="highlight">
    <w:name w:val="highlight"/>
    <w:basedOn w:val="Kappaleenoletusfontti"/>
    <w:rsid w:val="00B63058"/>
  </w:style>
  <w:style w:type="character" w:customStyle="1" w:styleId="hps">
    <w:name w:val="hps"/>
    <w:basedOn w:val="Kappaleenoletusfontti"/>
    <w:rsid w:val="004B4C38"/>
    <w:rPr>
      <w:rFonts w:cs="Times New Roman"/>
    </w:rPr>
  </w:style>
  <w:style w:type="character" w:customStyle="1" w:styleId="longtext">
    <w:name w:val="long_text"/>
    <w:basedOn w:val="Kappaleenoletusfontti"/>
    <w:rsid w:val="004B4C38"/>
    <w:rPr>
      <w:rFonts w:cs="Times New Roman"/>
    </w:rPr>
  </w:style>
  <w:style w:type="character" w:customStyle="1" w:styleId="maintitle">
    <w:name w:val="maintitle"/>
    <w:basedOn w:val="Kappaleenoletusfontti"/>
    <w:rsid w:val="00B14D18"/>
  </w:style>
  <w:style w:type="character" w:customStyle="1" w:styleId="definition">
    <w:name w:val="definition"/>
    <w:basedOn w:val="Kappaleenoletusfontti"/>
    <w:rsid w:val="006A155D"/>
  </w:style>
  <w:style w:type="table" w:styleId="TaulukkoLuettelo3">
    <w:name w:val="Table List 3"/>
    <w:basedOn w:val="Normaalitaulukko"/>
    <w:rsid w:val="00566D2A"/>
    <w:pPr>
      <w:spacing w:before="12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Normaalivarjostus1-korostus3">
    <w:name w:val="Medium Shading 1 Accent 3"/>
    <w:basedOn w:val="Normaalitaulukko"/>
    <w:uiPriority w:val="63"/>
    <w:rsid w:val="00CC7C09"/>
    <w:pPr>
      <w:spacing w:line="240" w:lineRule="auto"/>
      <w:jc w:val="left"/>
    </w:pPr>
    <w:rPr>
      <w:rFonts w:asciiTheme="minorHAnsi" w:eastAsiaTheme="minorHAnsi" w:hAnsiTheme="minorHAnsi" w:cstheme="minorBidi"/>
      <w:sz w:val="22"/>
      <w:szCs w:val="22"/>
      <w:lang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Normaalivarjostus1">
    <w:name w:val="Medium Shading 1"/>
    <w:basedOn w:val="Normaalitaulukko"/>
    <w:uiPriority w:val="63"/>
    <w:rsid w:val="00CC7C09"/>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TaulukkoPerinteinen1">
    <w:name w:val="Table Classic 1"/>
    <w:basedOn w:val="Normaalitaulukko"/>
    <w:rsid w:val="00CC7C09"/>
    <w:pPr>
      <w:spacing w:before="12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ulukkoSarakkeet2">
    <w:name w:val="Table Columns 2"/>
    <w:basedOn w:val="Normaalitaulukko"/>
    <w:rsid w:val="00CC7C09"/>
    <w:pPr>
      <w:spacing w:before="12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ulukkoSarakkeet4">
    <w:name w:val="Table Columns 4"/>
    <w:basedOn w:val="Normaalitaulukko"/>
    <w:rsid w:val="00CC7C09"/>
    <w:pPr>
      <w:spacing w:before="12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ulukkoSarakkeet3">
    <w:name w:val="Table Columns 3"/>
    <w:basedOn w:val="Normaalitaulukko"/>
    <w:rsid w:val="00CC7C09"/>
    <w:pPr>
      <w:spacing w:before="12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character" w:customStyle="1" w:styleId="leaf">
    <w:name w:val="leaf"/>
    <w:basedOn w:val="Kappaleenoletusfontti"/>
    <w:rsid w:val="003D13BD"/>
  </w:style>
  <w:style w:type="character" w:customStyle="1" w:styleId="st">
    <w:name w:val="st"/>
    <w:basedOn w:val="Kappaleenoletusfontti"/>
    <w:rsid w:val="00D06229"/>
  </w:style>
  <w:style w:type="table" w:styleId="TaulukkoYksinkertainen2">
    <w:name w:val="Table Simple 2"/>
    <w:basedOn w:val="Normaalitaulukko"/>
    <w:rsid w:val="00C93921"/>
    <w:pPr>
      <w:spacing w:before="12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customStyle="1" w:styleId="font5">
    <w:name w:val="font5"/>
    <w:basedOn w:val="Normaali"/>
    <w:rsid w:val="009B3A8A"/>
    <w:pPr>
      <w:spacing w:before="100" w:beforeAutospacing="1" w:after="100" w:afterAutospacing="1" w:line="240" w:lineRule="auto"/>
      <w:jc w:val="left"/>
    </w:pPr>
    <w:rPr>
      <w:rFonts w:ascii="Calibri" w:hAnsi="Calibri"/>
      <w:b/>
      <w:bCs/>
      <w:color w:val="000000"/>
      <w:szCs w:val="22"/>
      <w:lang w:eastAsia="en-GB"/>
    </w:rPr>
  </w:style>
  <w:style w:type="paragraph" w:customStyle="1" w:styleId="font6">
    <w:name w:val="font6"/>
    <w:basedOn w:val="Normaali"/>
    <w:rsid w:val="009B3A8A"/>
    <w:pPr>
      <w:spacing w:before="100" w:beforeAutospacing="1" w:after="100" w:afterAutospacing="1" w:line="240" w:lineRule="auto"/>
      <w:jc w:val="left"/>
    </w:pPr>
    <w:rPr>
      <w:rFonts w:ascii="Calibri" w:hAnsi="Calibri"/>
      <w:b/>
      <w:bCs/>
      <w:color w:val="000000"/>
      <w:szCs w:val="22"/>
      <w:lang w:eastAsia="en-GB"/>
    </w:rPr>
  </w:style>
  <w:style w:type="paragraph" w:customStyle="1" w:styleId="xl65">
    <w:name w:val="xl65"/>
    <w:basedOn w:val="Normaali"/>
    <w:rsid w:val="009B3A8A"/>
    <w:pPr>
      <w:spacing w:before="100" w:beforeAutospacing="1" w:after="100" w:afterAutospacing="1" w:line="240" w:lineRule="auto"/>
      <w:jc w:val="left"/>
      <w:textAlignment w:val="center"/>
    </w:pPr>
    <w:rPr>
      <w:rFonts w:ascii="Times New Roman" w:hAnsi="Times New Roman"/>
      <w:sz w:val="24"/>
      <w:szCs w:val="24"/>
      <w:lang w:eastAsia="en-GB"/>
    </w:rPr>
  </w:style>
  <w:style w:type="paragraph" w:customStyle="1" w:styleId="xl66">
    <w:name w:val="xl66"/>
    <w:basedOn w:val="Normaali"/>
    <w:rsid w:val="009B3A8A"/>
    <w:pPr>
      <w:pBdr>
        <w:bottom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en-GB"/>
    </w:rPr>
  </w:style>
  <w:style w:type="paragraph" w:customStyle="1" w:styleId="xl67">
    <w:name w:val="xl67"/>
    <w:basedOn w:val="Normaali"/>
    <w:rsid w:val="009B3A8A"/>
    <w:pPr>
      <w:spacing w:before="100" w:beforeAutospacing="1" w:after="100" w:afterAutospacing="1" w:line="240" w:lineRule="auto"/>
      <w:jc w:val="center"/>
      <w:textAlignment w:val="center"/>
    </w:pPr>
    <w:rPr>
      <w:rFonts w:ascii="Times New Roman" w:hAnsi="Times New Roman"/>
      <w:sz w:val="24"/>
      <w:szCs w:val="24"/>
      <w:lang w:eastAsia="en-GB"/>
    </w:rPr>
  </w:style>
  <w:style w:type="paragraph" w:customStyle="1" w:styleId="xl68">
    <w:name w:val="xl68"/>
    <w:basedOn w:val="Normaali"/>
    <w:rsid w:val="009B3A8A"/>
    <w:pPr>
      <w:pBdr>
        <w:bottom w:val="single" w:sz="4" w:space="0" w:color="auto"/>
      </w:pBdr>
      <w:spacing w:before="100" w:beforeAutospacing="1" w:after="100" w:afterAutospacing="1" w:line="240" w:lineRule="auto"/>
      <w:jc w:val="center"/>
      <w:textAlignment w:val="center"/>
    </w:pPr>
    <w:rPr>
      <w:rFonts w:ascii="Times New Roman" w:hAnsi="Times New Roman"/>
      <w:sz w:val="24"/>
      <w:szCs w:val="24"/>
      <w:lang w:eastAsia="en-GB"/>
    </w:rPr>
  </w:style>
  <w:style w:type="paragraph" w:customStyle="1" w:styleId="xl69">
    <w:name w:val="xl69"/>
    <w:basedOn w:val="Normaali"/>
    <w:rsid w:val="009B3A8A"/>
    <w:pPr>
      <w:pBdr>
        <w:top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4"/>
      <w:szCs w:val="24"/>
      <w:lang w:eastAsia="en-GB"/>
    </w:rPr>
  </w:style>
  <w:style w:type="paragraph" w:customStyle="1" w:styleId="xl70">
    <w:name w:val="xl70"/>
    <w:basedOn w:val="Normaali"/>
    <w:rsid w:val="009B3A8A"/>
    <w:pPr>
      <w:spacing w:before="100" w:beforeAutospacing="1" w:after="100" w:afterAutospacing="1" w:line="240" w:lineRule="auto"/>
      <w:jc w:val="center"/>
      <w:textAlignment w:val="center"/>
    </w:pPr>
    <w:rPr>
      <w:rFonts w:ascii="Times New Roman" w:hAnsi="Times New Roman"/>
      <w:sz w:val="24"/>
      <w:szCs w:val="24"/>
      <w:lang w:eastAsia="en-GB"/>
    </w:rPr>
  </w:style>
  <w:style w:type="paragraph" w:customStyle="1" w:styleId="xl71">
    <w:name w:val="xl71"/>
    <w:basedOn w:val="Normaali"/>
    <w:rsid w:val="009B3A8A"/>
    <w:pPr>
      <w:pBdr>
        <w:top w:val="single" w:sz="4" w:space="0" w:color="auto"/>
      </w:pBdr>
      <w:spacing w:before="100" w:beforeAutospacing="1" w:after="100" w:afterAutospacing="1" w:line="240" w:lineRule="auto"/>
      <w:jc w:val="center"/>
      <w:textAlignment w:val="center"/>
    </w:pPr>
    <w:rPr>
      <w:rFonts w:ascii="Times New Roman" w:hAnsi="Times New Roman"/>
      <w:sz w:val="24"/>
      <w:szCs w:val="24"/>
      <w:lang w:eastAsia="en-GB"/>
    </w:rPr>
  </w:style>
  <w:style w:type="paragraph" w:customStyle="1" w:styleId="xl72">
    <w:name w:val="xl72"/>
    <w:basedOn w:val="Normaali"/>
    <w:rsid w:val="009B3A8A"/>
    <w:pPr>
      <w:pBdr>
        <w:bottom w:val="single" w:sz="4" w:space="0" w:color="auto"/>
      </w:pBdr>
      <w:spacing w:before="100" w:beforeAutospacing="1" w:after="100" w:afterAutospacing="1" w:line="240" w:lineRule="auto"/>
      <w:jc w:val="center"/>
      <w:textAlignment w:val="center"/>
    </w:pPr>
    <w:rPr>
      <w:rFonts w:ascii="Times New Roman" w:hAnsi="Times New Roman"/>
      <w:sz w:val="24"/>
      <w:szCs w:val="24"/>
      <w:lang w:eastAsia="en-GB"/>
    </w:rPr>
  </w:style>
  <w:style w:type="paragraph" w:customStyle="1" w:styleId="xl73">
    <w:name w:val="xl73"/>
    <w:basedOn w:val="Normaali"/>
    <w:rsid w:val="009B3A8A"/>
    <w:pPr>
      <w:pBdr>
        <w:top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4"/>
      <w:szCs w:val="24"/>
      <w:lang w:eastAsia="en-GB"/>
    </w:rPr>
  </w:style>
  <w:style w:type="paragraph" w:customStyle="1" w:styleId="xl74">
    <w:name w:val="xl74"/>
    <w:basedOn w:val="Normaali"/>
    <w:rsid w:val="009B3A8A"/>
    <w:pPr>
      <w:pBdr>
        <w:top w:val="single" w:sz="4" w:space="0" w:color="auto"/>
      </w:pBdr>
      <w:spacing w:before="100" w:beforeAutospacing="1" w:after="100" w:afterAutospacing="1" w:line="240" w:lineRule="auto"/>
      <w:jc w:val="center"/>
      <w:textAlignment w:val="center"/>
    </w:pPr>
    <w:rPr>
      <w:rFonts w:ascii="Times New Roman" w:hAnsi="Times New Roman"/>
      <w:sz w:val="24"/>
      <w:szCs w:val="24"/>
      <w:lang w:eastAsia="en-GB"/>
    </w:rPr>
  </w:style>
  <w:style w:type="paragraph" w:customStyle="1" w:styleId="xl75">
    <w:name w:val="xl75"/>
    <w:basedOn w:val="Normaali"/>
    <w:rsid w:val="009B3A8A"/>
    <w:pPr>
      <w:pBdr>
        <w:top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en-GB"/>
    </w:rPr>
  </w:style>
  <w:style w:type="paragraph" w:customStyle="1" w:styleId="xl76">
    <w:name w:val="xl76"/>
    <w:basedOn w:val="Normaali"/>
    <w:rsid w:val="009B3A8A"/>
    <w:pPr>
      <w:pBdr>
        <w:top w:val="single" w:sz="4" w:space="0" w:color="auto"/>
      </w:pBdr>
      <w:spacing w:before="100" w:beforeAutospacing="1" w:after="100" w:afterAutospacing="1" w:line="240" w:lineRule="auto"/>
      <w:jc w:val="center"/>
      <w:textAlignment w:val="center"/>
    </w:pPr>
    <w:rPr>
      <w:rFonts w:ascii="Times New Roman" w:hAnsi="Times New Roman"/>
      <w:sz w:val="24"/>
      <w:szCs w:val="24"/>
      <w:lang w:eastAsia="en-GB"/>
    </w:rPr>
  </w:style>
  <w:style w:type="paragraph" w:customStyle="1" w:styleId="xl77">
    <w:name w:val="xl77"/>
    <w:basedOn w:val="Normaali"/>
    <w:rsid w:val="009B3A8A"/>
    <w:pPr>
      <w:spacing w:before="100" w:beforeAutospacing="1" w:after="100" w:afterAutospacing="1" w:line="240" w:lineRule="auto"/>
      <w:jc w:val="left"/>
      <w:textAlignment w:val="center"/>
    </w:pPr>
    <w:rPr>
      <w:rFonts w:ascii="Times New Roman" w:hAnsi="Times New Roman"/>
      <w:sz w:val="24"/>
      <w:szCs w:val="24"/>
      <w:lang w:eastAsia="en-GB"/>
    </w:rPr>
  </w:style>
  <w:style w:type="paragraph" w:customStyle="1" w:styleId="xl78">
    <w:name w:val="xl78"/>
    <w:basedOn w:val="Normaali"/>
    <w:rsid w:val="009B3A8A"/>
    <w:pPr>
      <w:spacing w:before="100" w:beforeAutospacing="1" w:after="100" w:afterAutospacing="1" w:line="240" w:lineRule="auto"/>
      <w:jc w:val="center"/>
      <w:textAlignment w:val="center"/>
    </w:pPr>
    <w:rPr>
      <w:rFonts w:ascii="Times New Roman" w:hAnsi="Times New Roman"/>
      <w:sz w:val="24"/>
      <w:szCs w:val="24"/>
      <w:lang w:eastAsia="en-GB"/>
    </w:rPr>
  </w:style>
  <w:style w:type="paragraph" w:customStyle="1" w:styleId="xl79">
    <w:name w:val="xl79"/>
    <w:basedOn w:val="Normaali"/>
    <w:rsid w:val="009B3A8A"/>
    <w:pPr>
      <w:pBdr>
        <w:bottom w:val="single" w:sz="4" w:space="0" w:color="auto"/>
      </w:pBdr>
      <w:spacing w:before="100" w:beforeAutospacing="1" w:after="100" w:afterAutospacing="1" w:line="240" w:lineRule="auto"/>
      <w:jc w:val="center"/>
      <w:textAlignment w:val="center"/>
    </w:pPr>
    <w:rPr>
      <w:rFonts w:ascii="Times New Roman" w:hAnsi="Times New Roman"/>
      <w:sz w:val="24"/>
      <w:szCs w:val="24"/>
      <w:lang w:eastAsia="en-GB"/>
    </w:rPr>
  </w:style>
  <w:style w:type="paragraph" w:customStyle="1" w:styleId="xl80">
    <w:name w:val="xl80"/>
    <w:basedOn w:val="Normaali"/>
    <w:rsid w:val="009B3A8A"/>
    <w:pPr>
      <w:pBdr>
        <w:bottom w:val="single" w:sz="4" w:space="0" w:color="auto"/>
      </w:pBdr>
      <w:spacing w:before="100" w:beforeAutospacing="1" w:after="100" w:afterAutospacing="1" w:line="240" w:lineRule="auto"/>
      <w:jc w:val="left"/>
      <w:textAlignment w:val="center"/>
    </w:pPr>
    <w:rPr>
      <w:rFonts w:ascii="Times New Roman" w:hAnsi="Times New Roman"/>
      <w:sz w:val="24"/>
      <w:szCs w:val="24"/>
      <w:lang w:eastAsia="en-GB"/>
    </w:rPr>
  </w:style>
  <w:style w:type="paragraph" w:customStyle="1" w:styleId="xl81">
    <w:name w:val="xl81"/>
    <w:basedOn w:val="Normaali"/>
    <w:rsid w:val="009B3A8A"/>
    <w:pPr>
      <w:pBdr>
        <w:top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en-GB"/>
    </w:rPr>
  </w:style>
  <w:style w:type="paragraph" w:customStyle="1" w:styleId="xl82">
    <w:name w:val="xl82"/>
    <w:basedOn w:val="Normaali"/>
    <w:rsid w:val="009B3A8A"/>
    <w:pPr>
      <w:pBdr>
        <w:bottom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en-GB"/>
    </w:rPr>
  </w:style>
  <w:style w:type="character" w:customStyle="1" w:styleId="KuvaotsikkoluetteloChar">
    <w:name w:val="Kuvaotsikkoluettelo Char"/>
    <w:aliases w:val="Figure 1 Char"/>
    <w:basedOn w:val="Kappaleenoletusfontti"/>
    <w:link w:val="Kuvaotsikkoluettelo"/>
    <w:uiPriority w:val="99"/>
    <w:rsid w:val="00925181"/>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514260">
      <w:bodyDiv w:val="1"/>
      <w:marLeft w:val="0"/>
      <w:marRight w:val="0"/>
      <w:marTop w:val="0"/>
      <w:marBottom w:val="0"/>
      <w:divBdr>
        <w:top w:val="none" w:sz="0" w:space="0" w:color="auto"/>
        <w:left w:val="none" w:sz="0" w:space="0" w:color="auto"/>
        <w:bottom w:val="none" w:sz="0" w:space="0" w:color="auto"/>
        <w:right w:val="none" w:sz="0" w:space="0" w:color="auto"/>
      </w:divBdr>
    </w:div>
    <w:div w:id="33969781">
      <w:bodyDiv w:val="1"/>
      <w:marLeft w:val="0"/>
      <w:marRight w:val="0"/>
      <w:marTop w:val="0"/>
      <w:marBottom w:val="0"/>
      <w:divBdr>
        <w:top w:val="none" w:sz="0" w:space="0" w:color="auto"/>
        <w:left w:val="none" w:sz="0" w:space="0" w:color="auto"/>
        <w:bottom w:val="none" w:sz="0" w:space="0" w:color="auto"/>
        <w:right w:val="none" w:sz="0" w:space="0" w:color="auto"/>
      </w:divBdr>
    </w:div>
    <w:div w:id="78067066">
      <w:bodyDiv w:val="1"/>
      <w:marLeft w:val="0"/>
      <w:marRight w:val="0"/>
      <w:marTop w:val="0"/>
      <w:marBottom w:val="0"/>
      <w:divBdr>
        <w:top w:val="none" w:sz="0" w:space="0" w:color="auto"/>
        <w:left w:val="none" w:sz="0" w:space="0" w:color="auto"/>
        <w:bottom w:val="none" w:sz="0" w:space="0" w:color="auto"/>
        <w:right w:val="none" w:sz="0" w:space="0" w:color="auto"/>
      </w:divBdr>
    </w:div>
    <w:div w:id="94715347">
      <w:bodyDiv w:val="1"/>
      <w:marLeft w:val="0"/>
      <w:marRight w:val="0"/>
      <w:marTop w:val="0"/>
      <w:marBottom w:val="0"/>
      <w:divBdr>
        <w:top w:val="none" w:sz="0" w:space="0" w:color="auto"/>
        <w:left w:val="none" w:sz="0" w:space="0" w:color="auto"/>
        <w:bottom w:val="none" w:sz="0" w:space="0" w:color="auto"/>
        <w:right w:val="none" w:sz="0" w:space="0" w:color="auto"/>
      </w:divBdr>
    </w:div>
    <w:div w:id="95634866">
      <w:bodyDiv w:val="1"/>
      <w:marLeft w:val="0"/>
      <w:marRight w:val="0"/>
      <w:marTop w:val="0"/>
      <w:marBottom w:val="0"/>
      <w:divBdr>
        <w:top w:val="none" w:sz="0" w:space="0" w:color="auto"/>
        <w:left w:val="none" w:sz="0" w:space="0" w:color="auto"/>
        <w:bottom w:val="none" w:sz="0" w:space="0" w:color="auto"/>
        <w:right w:val="none" w:sz="0" w:space="0" w:color="auto"/>
      </w:divBdr>
    </w:div>
    <w:div w:id="120727837">
      <w:bodyDiv w:val="1"/>
      <w:marLeft w:val="0"/>
      <w:marRight w:val="0"/>
      <w:marTop w:val="0"/>
      <w:marBottom w:val="0"/>
      <w:divBdr>
        <w:top w:val="none" w:sz="0" w:space="0" w:color="auto"/>
        <w:left w:val="none" w:sz="0" w:space="0" w:color="auto"/>
        <w:bottom w:val="none" w:sz="0" w:space="0" w:color="auto"/>
        <w:right w:val="none" w:sz="0" w:space="0" w:color="auto"/>
      </w:divBdr>
    </w:div>
    <w:div w:id="128744721">
      <w:bodyDiv w:val="1"/>
      <w:marLeft w:val="0"/>
      <w:marRight w:val="0"/>
      <w:marTop w:val="0"/>
      <w:marBottom w:val="0"/>
      <w:divBdr>
        <w:top w:val="none" w:sz="0" w:space="0" w:color="auto"/>
        <w:left w:val="none" w:sz="0" w:space="0" w:color="auto"/>
        <w:bottom w:val="none" w:sz="0" w:space="0" w:color="auto"/>
        <w:right w:val="none" w:sz="0" w:space="0" w:color="auto"/>
      </w:divBdr>
    </w:div>
    <w:div w:id="129203121">
      <w:bodyDiv w:val="1"/>
      <w:marLeft w:val="0"/>
      <w:marRight w:val="0"/>
      <w:marTop w:val="0"/>
      <w:marBottom w:val="0"/>
      <w:divBdr>
        <w:top w:val="none" w:sz="0" w:space="0" w:color="auto"/>
        <w:left w:val="none" w:sz="0" w:space="0" w:color="auto"/>
        <w:bottom w:val="none" w:sz="0" w:space="0" w:color="auto"/>
        <w:right w:val="none" w:sz="0" w:space="0" w:color="auto"/>
      </w:divBdr>
      <w:divsChild>
        <w:div w:id="171071939">
          <w:marLeft w:val="0"/>
          <w:marRight w:val="0"/>
          <w:marTop w:val="0"/>
          <w:marBottom w:val="0"/>
          <w:divBdr>
            <w:top w:val="none" w:sz="0" w:space="0" w:color="auto"/>
            <w:left w:val="none" w:sz="0" w:space="0" w:color="auto"/>
            <w:bottom w:val="none" w:sz="0" w:space="0" w:color="auto"/>
            <w:right w:val="none" w:sz="0" w:space="0" w:color="auto"/>
          </w:divBdr>
        </w:div>
        <w:div w:id="979462111">
          <w:marLeft w:val="0"/>
          <w:marRight w:val="0"/>
          <w:marTop w:val="0"/>
          <w:marBottom w:val="0"/>
          <w:divBdr>
            <w:top w:val="none" w:sz="0" w:space="0" w:color="auto"/>
            <w:left w:val="none" w:sz="0" w:space="0" w:color="auto"/>
            <w:bottom w:val="none" w:sz="0" w:space="0" w:color="auto"/>
            <w:right w:val="none" w:sz="0" w:space="0" w:color="auto"/>
          </w:divBdr>
        </w:div>
        <w:div w:id="55782177">
          <w:marLeft w:val="0"/>
          <w:marRight w:val="0"/>
          <w:marTop w:val="0"/>
          <w:marBottom w:val="0"/>
          <w:divBdr>
            <w:top w:val="none" w:sz="0" w:space="0" w:color="auto"/>
            <w:left w:val="none" w:sz="0" w:space="0" w:color="auto"/>
            <w:bottom w:val="none" w:sz="0" w:space="0" w:color="auto"/>
            <w:right w:val="none" w:sz="0" w:space="0" w:color="auto"/>
          </w:divBdr>
        </w:div>
        <w:div w:id="937107081">
          <w:marLeft w:val="0"/>
          <w:marRight w:val="0"/>
          <w:marTop w:val="0"/>
          <w:marBottom w:val="0"/>
          <w:divBdr>
            <w:top w:val="none" w:sz="0" w:space="0" w:color="auto"/>
            <w:left w:val="none" w:sz="0" w:space="0" w:color="auto"/>
            <w:bottom w:val="none" w:sz="0" w:space="0" w:color="auto"/>
            <w:right w:val="none" w:sz="0" w:space="0" w:color="auto"/>
          </w:divBdr>
        </w:div>
      </w:divsChild>
    </w:div>
    <w:div w:id="163594973">
      <w:bodyDiv w:val="1"/>
      <w:marLeft w:val="0"/>
      <w:marRight w:val="0"/>
      <w:marTop w:val="0"/>
      <w:marBottom w:val="0"/>
      <w:divBdr>
        <w:top w:val="none" w:sz="0" w:space="0" w:color="auto"/>
        <w:left w:val="none" w:sz="0" w:space="0" w:color="auto"/>
        <w:bottom w:val="none" w:sz="0" w:space="0" w:color="auto"/>
        <w:right w:val="none" w:sz="0" w:space="0" w:color="auto"/>
      </w:divBdr>
    </w:div>
    <w:div w:id="164982731">
      <w:bodyDiv w:val="1"/>
      <w:marLeft w:val="0"/>
      <w:marRight w:val="0"/>
      <w:marTop w:val="0"/>
      <w:marBottom w:val="0"/>
      <w:divBdr>
        <w:top w:val="none" w:sz="0" w:space="0" w:color="auto"/>
        <w:left w:val="none" w:sz="0" w:space="0" w:color="auto"/>
        <w:bottom w:val="none" w:sz="0" w:space="0" w:color="auto"/>
        <w:right w:val="none" w:sz="0" w:space="0" w:color="auto"/>
      </w:divBdr>
      <w:divsChild>
        <w:div w:id="1283611576">
          <w:marLeft w:val="0"/>
          <w:marRight w:val="0"/>
          <w:marTop w:val="0"/>
          <w:marBottom w:val="0"/>
          <w:divBdr>
            <w:top w:val="none" w:sz="0" w:space="0" w:color="auto"/>
            <w:left w:val="none" w:sz="0" w:space="0" w:color="auto"/>
            <w:bottom w:val="none" w:sz="0" w:space="0" w:color="auto"/>
            <w:right w:val="none" w:sz="0" w:space="0" w:color="auto"/>
          </w:divBdr>
        </w:div>
        <w:div w:id="1381705548">
          <w:marLeft w:val="0"/>
          <w:marRight w:val="0"/>
          <w:marTop w:val="0"/>
          <w:marBottom w:val="0"/>
          <w:divBdr>
            <w:top w:val="none" w:sz="0" w:space="0" w:color="auto"/>
            <w:left w:val="none" w:sz="0" w:space="0" w:color="auto"/>
            <w:bottom w:val="none" w:sz="0" w:space="0" w:color="auto"/>
            <w:right w:val="none" w:sz="0" w:space="0" w:color="auto"/>
          </w:divBdr>
        </w:div>
        <w:div w:id="355615075">
          <w:marLeft w:val="0"/>
          <w:marRight w:val="0"/>
          <w:marTop w:val="0"/>
          <w:marBottom w:val="0"/>
          <w:divBdr>
            <w:top w:val="none" w:sz="0" w:space="0" w:color="auto"/>
            <w:left w:val="none" w:sz="0" w:space="0" w:color="auto"/>
            <w:bottom w:val="none" w:sz="0" w:space="0" w:color="auto"/>
            <w:right w:val="none" w:sz="0" w:space="0" w:color="auto"/>
          </w:divBdr>
        </w:div>
        <w:div w:id="495536153">
          <w:marLeft w:val="0"/>
          <w:marRight w:val="0"/>
          <w:marTop w:val="0"/>
          <w:marBottom w:val="0"/>
          <w:divBdr>
            <w:top w:val="none" w:sz="0" w:space="0" w:color="auto"/>
            <w:left w:val="none" w:sz="0" w:space="0" w:color="auto"/>
            <w:bottom w:val="none" w:sz="0" w:space="0" w:color="auto"/>
            <w:right w:val="none" w:sz="0" w:space="0" w:color="auto"/>
          </w:divBdr>
        </w:div>
        <w:div w:id="252134136">
          <w:marLeft w:val="0"/>
          <w:marRight w:val="0"/>
          <w:marTop w:val="0"/>
          <w:marBottom w:val="0"/>
          <w:divBdr>
            <w:top w:val="none" w:sz="0" w:space="0" w:color="auto"/>
            <w:left w:val="none" w:sz="0" w:space="0" w:color="auto"/>
            <w:bottom w:val="none" w:sz="0" w:space="0" w:color="auto"/>
            <w:right w:val="none" w:sz="0" w:space="0" w:color="auto"/>
          </w:divBdr>
        </w:div>
        <w:div w:id="1323702576">
          <w:marLeft w:val="0"/>
          <w:marRight w:val="0"/>
          <w:marTop w:val="0"/>
          <w:marBottom w:val="0"/>
          <w:divBdr>
            <w:top w:val="none" w:sz="0" w:space="0" w:color="auto"/>
            <w:left w:val="none" w:sz="0" w:space="0" w:color="auto"/>
            <w:bottom w:val="none" w:sz="0" w:space="0" w:color="auto"/>
            <w:right w:val="none" w:sz="0" w:space="0" w:color="auto"/>
          </w:divBdr>
        </w:div>
        <w:div w:id="1225608355">
          <w:marLeft w:val="0"/>
          <w:marRight w:val="0"/>
          <w:marTop w:val="0"/>
          <w:marBottom w:val="0"/>
          <w:divBdr>
            <w:top w:val="none" w:sz="0" w:space="0" w:color="auto"/>
            <w:left w:val="none" w:sz="0" w:space="0" w:color="auto"/>
            <w:bottom w:val="none" w:sz="0" w:space="0" w:color="auto"/>
            <w:right w:val="none" w:sz="0" w:space="0" w:color="auto"/>
          </w:divBdr>
        </w:div>
        <w:div w:id="905192021">
          <w:marLeft w:val="0"/>
          <w:marRight w:val="0"/>
          <w:marTop w:val="0"/>
          <w:marBottom w:val="0"/>
          <w:divBdr>
            <w:top w:val="none" w:sz="0" w:space="0" w:color="auto"/>
            <w:left w:val="none" w:sz="0" w:space="0" w:color="auto"/>
            <w:bottom w:val="none" w:sz="0" w:space="0" w:color="auto"/>
            <w:right w:val="none" w:sz="0" w:space="0" w:color="auto"/>
          </w:divBdr>
        </w:div>
        <w:div w:id="1009915505">
          <w:marLeft w:val="0"/>
          <w:marRight w:val="0"/>
          <w:marTop w:val="0"/>
          <w:marBottom w:val="0"/>
          <w:divBdr>
            <w:top w:val="none" w:sz="0" w:space="0" w:color="auto"/>
            <w:left w:val="none" w:sz="0" w:space="0" w:color="auto"/>
            <w:bottom w:val="none" w:sz="0" w:space="0" w:color="auto"/>
            <w:right w:val="none" w:sz="0" w:space="0" w:color="auto"/>
          </w:divBdr>
        </w:div>
        <w:div w:id="2030717707">
          <w:marLeft w:val="0"/>
          <w:marRight w:val="0"/>
          <w:marTop w:val="0"/>
          <w:marBottom w:val="0"/>
          <w:divBdr>
            <w:top w:val="none" w:sz="0" w:space="0" w:color="auto"/>
            <w:left w:val="none" w:sz="0" w:space="0" w:color="auto"/>
            <w:bottom w:val="none" w:sz="0" w:space="0" w:color="auto"/>
            <w:right w:val="none" w:sz="0" w:space="0" w:color="auto"/>
          </w:divBdr>
        </w:div>
      </w:divsChild>
    </w:div>
    <w:div w:id="182401897">
      <w:bodyDiv w:val="1"/>
      <w:marLeft w:val="0"/>
      <w:marRight w:val="0"/>
      <w:marTop w:val="0"/>
      <w:marBottom w:val="0"/>
      <w:divBdr>
        <w:top w:val="none" w:sz="0" w:space="0" w:color="auto"/>
        <w:left w:val="none" w:sz="0" w:space="0" w:color="auto"/>
        <w:bottom w:val="none" w:sz="0" w:space="0" w:color="auto"/>
        <w:right w:val="none" w:sz="0" w:space="0" w:color="auto"/>
      </w:divBdr>
    </w:div>
    <w:div w:id="235827484">
      <w:bodyDiv w:val="1"/>
      <w:marLeft w:val="0"/>
      <w:marRight w:val="0"/>
      <w:marTop w:val="0"/>
      <w:marBottom w:val="0"/>
      <w:divBdr>
        <w:top w:val="none" w:sz="0" w:space="0" w:color="auto"/>
        <w:left w:val="none" w:sz="0" w:space="0" w:color="auto"/>
        <w:bottom w:val="none" w:sz="0" w:space="0" w:color="auto"/>
        <w:right w:val="none" w:sz="0" w:space="0" w:color="auto"/>
      </w:divBdr>
    </w:div>
    <w:div w:id="238290424">
      <w:bodyDiv w:val="1"/>
      <w:marLeft w:val="0"/>
      <w:marRight w:val="0"/>
      <w:marTop w:val="0"/>
      <w:marBottom w:val="0"/>
      <w:divBdr>
        <w:top w:val="none" w:sz="0" w:space="0" w:color="auto"/>
        <w:left w:val="none" w:sz="0" w:space="0" w:color="auto"/>
        <w:bottom w:val="none" w:sz="0" w:space="0" w:color="auto"/>
        <w:right w:val="none" w:sz="0" w:space="0" w:color="auto"/>
      </w:divBdr>
    </w:div>
    <w:div w:id="249512796">
      <w:bodyDiv w:val="1"/>
      <w:marLeft w:val="0"/>
      <w:marRight w:val="0"/>
      <w:marTop w:val="0"/>
      <w:marBottom w:val="0"/>
      <w:divBdr>
        <w:top w:val="none" w:sz="0" w:space="0" w:color="auto"/>
        <w:left w:val="none" w:sz="0" w:space="0" w:color="auto"/>
        <w:bottom w:val="none" w:sz="0" w:space="0" w:color="auto"/>
        <w:right w:val="none" w:sz="0" w:space="0" w:color="auto"/>
      </w:divBdr>
      <w:divsChild>
        <w:div w:id="492918875">
          <w:marLeft w:val="0"/>
          <w:marRight w:val="0"/>
          <w:marTop w:val="0"/>
          <w:marBottom w:val="0"/>
          <w:divBdr>
            <w:top w:val="none" w:sz="0" w:space="0" w:color="auto"/>
            <w:left w:val="none" w:sz="0" w:space="0" w:color="auto"/>
            <w:bottom w:val="none" w:sz="0" w:space="0" w:color="auto"/>
            <w:right w:val="none" w:sz="0" w:space="0" w:color="auto"/>
          </w:divBdr>
        </w:div>
        <w:div w:id="941646364">
          <w:marLeft w:val="0"/>
          <w:marRight w:val="0"/>
          <w:marTop w:val="0"/>
          <w:marBottom w:val="0"/>
          <w:divBdr>
            <w:top w:val="none" w:sz="0" w:space="0" w:color="auto"/>
            <w:left w:val="none" w:sz="0" w:space="0" w:color="auto"/>
            <w:bottom w:val="none" w:sz="0" w:space="0" w:color="auto"/>
            <w:right w:val="none" w:sz="0" w:space="0" w:color="auto"/>
          </w:divBdr>
        </w:div>
        <w:div w:id="2072847025">
          <w:marLeft w:val="0"/>
          <w:marRight w:val="0"/>
          <w:marTop w:val="0"/>
          <w:marBottom w:val="0"/>
          <w:divBdr>
            <w:top w:val="none" w:sz="0" w:space="0" w:color="auto"/>
            <w:left w:val="none" w:sz="0" w:space="0" w:color="auto"/>
            <w:bottom w:val="none" w:sz="0" w:space="0" w:color="auto"/>
            <w:right w:val="none" w:sz="0" w:space="0" w:color="auto"/>
          </w:divBdr>
        </w:div>
        <w:div w:id="2014717920">
          <w:marLeft w:val="0"/>
          <w:marRight w:val="0"/>
          <w:marTop w:val="0"/>
          <w:marBottom w:val="0"/>
          <w:divBdr>
            <w:top w:val="none" w:sz="0" w:space="0" w:color="auto"/>
            <w:left w:val="none" w:sz="0" w:space="0" w:color="auto"/>
            <w:bottom w:val="none" w:sz="0" w:space="0" w:color="auto"/>
            <w:right w:val="none" w:sz="0" w:space="0" w:color="auto"/>
          </w:divBdr>
        </w:div>
        <w:div w:id="1600486453">
          <w:marLeft w:val="0"/>
          <w:marRight w:val="0"/>
          <w:marTop w:val="0"/>
          <w:marBottom w:val="0"/>
          <w:divBdr>
            <w:top w:val="none" w:sz="0" w:space="0" w:color="auto"/>
            <w:left w:val="none" w:sz="0" w:space="0" w:color="auto"/>
            <w:bottom w:val="none" w:sz="0" w:space="0" w:color="auto"/>
            <w:right w:val="none" w:sz="0" w:space="0" w:color="auto"/>
          </w:divBdr>
        </w:div>
        <w:div w:id="508831369">
          <w:marLeft w:val="0"/>
          <w:marRight w:val="0"/>
          <w:marTop w:val="0"/>
          <w:marBottom w:val="0"/>
          <w:divBdr>
            <w:top w:val="none" w:sz="0" w:space="0" w:color="auto"/>
            <w:left w:val="none" w:sz="0" w:space="0" w:color="auto"/>
            <w:bottom w:val="none" w:sz="0" w:space="0" w:color="auto"/>
            <w:right w:val="none" w:sz="0" w:space="0" w:color="auto"/>
          </w:divBdr>
        </w:div>
        <w:div w:id="1542012050">
          <w:marLeft w:val="0"/>
          <w:marRight w:val="0"/>
          <w:marTop w:val="0"/>
          <w:marBottom w:val="0"/>
          <w:divBdr>
            <w:top w:val="none" w:sz="0" w:space="0" w:color="auto"/>
            <w:left w:val="none" w:sz="0" w:space="0" w:color="auto"/>
            <w:bottom w:val="none" w:sz="0" w:space="0" w:color="auto"/>
            <w:right w:val="none" w:sz="0" w:space="0" w:color="auto"/>
          </w:divBdr>
        </w:div>
        <w:div w:id="1336037598">
          <w:marLeft w:val="0"/>
          <w:marRight w:val="0"/>
          <w:marTop w:val="0"/>
          <w:marBottom w:val="0"/>
          <w:divBdr>
            <w:top w:val="none" w:sz="0" w:space="0" w:color="auto"/>
            <w:left w:val="none" w:sz="0" w:space="0" w:color="auto"/>
            <w:bottom w:val="none" w:sz="0" w:space="0" w:color="auto"/>
            <w:right w:val="none" w:sz="0" w:space="0" w:color="auto"/>
          </w:divBdr>
        </w:div>
        <w:div w:id="1805150539">
          <w:marLeft w:val="0"/>
          <w:marRight w:val="0"/>
          <w:marTop w:val="0"/>
          <w:marBottom w:val="0"/>
          <w:divBdr>
            <w:top w:val="none" w:sz="0" w:space="0" w:color="auto"/>
            <w:left w:val="none" w:sz="0" w:space="0" w:color="auto"/>
            <w:bottom w:val="none" w:sz="0" w:space="0" w:color="auto"/>
            <w:right w:val="none" w:sz="0" w:space="0" w:color="auto"/>
          </w:divBdr>
        </w:div>
      </w:divsChild>
    </w:div>
    <w:div w:id="253905147">
      <w:bodyDiv w:val="1"/>
      <w:marLeft w:val="0"/>
      <w:marRight w:val="0"/>
      <w:marTop w:val="0"/>
      <w:marBottom w:val="0"/>
      <w:divBdr>
        <w:top w:val="none" w:sz="0" w:space="0" w:color="auto"/>
        <w:left w:val="none" w:sz="0" w:space="0" w:color="auto"/>
        <w:bottom w:val="none" w:sz="0" w:space="0" w:color="auto"/>
        <w:right w:val="none" w:sz="0" w:space="0" w:color="auto"/>
      </w:divBdr>
    </w:div>
    <w:div w:id="274947561">
      <w:bodyDiv w:val="1"/>
      <w:marLeft w:val="0"/>
      <w:marRight w:val="0"/>
      <w:marTop w:val="0"/>
      <w:marBottom w:val="0"/>
      <w:divBdr>
        <w:top w:val="none" w:sz="0" w:space="0" w:color="auto"/>
        <w:left w:val="none" w:sz="0" w:space="0" w:color="auto"/>
        <w:bottom w:val="none" w:sz="0" w:space="0" w:color="auto"/>
        <w:right w:val="none" w:sz="0" w:space="0" w:color="auto"/>
      </w:divBdr>
    </w:div>
    <w:div w:id="282274254">
      <w:bodyDiv w:val="1"/>
      <w:marLeft w:val="0"/>
      <w:marRight w:val="0"/>
      <w:marTop w:val="0"/>
      <w:marBottom w:val="0"/>
      <w:divBdr>
        <w:top w:val="none" w:sz="0" w:space="0" w:color="auto"/>
        <w:left w:val="none" w:sz="0" w:space="0" w:color="auto"/>
        <w:bottom w:val="none" w:sz="0" w:space="0" w:color="auto"/>
        <w:right w:val="none" w:sz="0" w:space="0" w:color="auto"/>
      </w:divBdr>
    </w:div>
    <w:div w:id="290207751">
      <w:bodyDiv w:val="1"/>
      <w:marLeft w:val="0"/>
      <w:marRight w:val="0"/>
      <w:marTop w:val="0"/>
      <w:marBottom w:val="0"/>
      <w:divBdr>
        <w:top w:val="none" w:sz="0" w:space="0" w:color="auto"/>
        <w:left w:val="none" w:sz="0" w:space="0" w:color="auto"/>
        <w:bottom w:val="none" w:sz="0" w:space="0" w:color="auto"/>
        <w:right w:val="none" w:sz="0" w:space="0" w:color="auto"/>
      </w:divBdr>
    </w:div>
    <w:div w:id="320698561">
      <w:bodyDiv w:val="1"/>
      <w:marLeft w:val="0"/>
      <w:marRight w:val="0"/>
      <w:marTop w:val="0"/>
      <w:marBottom w:val="0"/>
      <w:divBdr>
        <w:top w:val="none" w:sz="0" w:space="0" w:color="auto"/>
        <w:left w:val="none" w:sz="0" w:space="0" w:color="auto"/>
        <w:bottom w:val="none" w:sz="0" w:space="0" w:color="auto"/>
        <w:right w:val="none" w:sz="0" w:space="0" w:color="auto"/>
      </w:divBdr>
    </w:div>
    <w:div w:id="325475433">
      <w:bodyDiv w:val="1"/>
      <w:marLeft w:val="0"/>
      <w:marRight w:val="0"/>
      <w:marTop w:val="0"/>
      <w:marBottom w:val="0"/>
      <w:divBdr>
        <w:top w:val="none" w:sz="0" w:space="0" w:color="auto"/>
        <w:left w:val="none" w:sz="0" w:space="0" w:color="auto"/>
        <w:bottom w:val="none" w:sz="0" w:space="0" w:color="auto"/>
        <w:right w:val="none" w:sz="0" w:space="0" w:color="auto"/>
      </w:divBdr>
    </w:div>
    <w:div w:id="358893538">
      <w:bodyDiv w:val="1"/>
      <w:marLeft w:val="0"/>
      <w:marRight w:val="0"/>
      <w:marTop w:val="0"/>
      <w:marBottom w:val="0"/>
      <w:divBdr>
        <w:top w:val="none" w:sz="0" w:space="0" w:color="auto"/>
        <w:left w:val="none" w:sz="0" w:space="0" w:color="auto"/>
        <w:bottom w:val="none" w:sz="0" w:space="0" w:color="auto"/>
        <w:right w:val="none" w:sz="0" w:space="0" w:color="auto"/>
      </w:divBdr>
      <w:divsChild>
        <w:div w:id="1893148147">
          <w:marLeft w:val="0"/>
          <w:marRight w:val="0"/>
          <w:marTop w:val="0"/>
          <w:marBottom w:val="0"/>
          <w:divBdr>
            <w:top w:val="none" w:sz="0" w:space="0" w:color="auto"/>
            <w:left w:val="none" w:sz="0" w:space="0" w:color="auto"/>
            <w:bottom w:val="none" w:sz="0" w:space="0" w:color="auto"/>
            <w:right w:val="none" w:sz="0" w:space="0" w:color="auto"/>
          </w:divBdr>
        </w:div>
        <w:div w:id="1699814670">
          <w:marLeft w:val="0"/>
          <w:marRight w:val="0"/>
          <w:marTop w:val="0"/>
          <w:marBottom w:val="0"/>
          <w:divBdr>
            <w:top w:val="none" w:sz="0" w:space="0" w:color="auto"/>
            <w:left w:val="none" w:sz="0" w:space="0" w:color="auto"/>
            <w:bottom w:val="none" w:sz="0" w:space="0" w:color="auto"/>
            <w:right w:val="none" w:sz="0" w:space="0" w:color="auto"/>
          </w:divBdr>
        </w:div>
        <w:div w:id="1039744072">
          <w:marLeft w:val="0"/>
          <w:marRight w:val="0"/>
          <w:marTop w:val="0"/>
          <w:marBottom w:val="0"/>
          <w:divBdr>
            <w:top w:val="none" w:sz="0" w:space="0" w:color="auto"/>
            <w:left w:val="none" w:sz="0" w:space="0" w:color="auto"/>
            <w:bottom w:val="none" w:sz="0" w:space="0" w:color="auto"/>
            <w:right w:val="none" w:sz="0" w:space="0" w:color="auto"/>
          </w:divBdr>
        </w:div>
        <w:div w:id="800074158">
          <w:marLeft w:val="0"/>
          <w:marRight w:val="0"/>
          <w:marTop w:val="0"/>
          <w:marBottom w:val="0"/>
          <w:divBdr>
            <w:top w:val="none" w:sz="0" w:space="0" w:color="auto"/>
            <w:left w:val="none" w:sz="0" w:space="0" w:color="auto"/>
            <w:bottom w:val="none" w:sz="0" w:space="0" w:color="auto"/>
            <w:right w:val="none" w:sz="0" w:space="0" w:color="auto"/>
          </w:divBdr>
        </w:div>
        <w:div w:id="341903656">
          <w:marLeft w:val="0"/>
          <w:marRight w:val="0"/>
          <w:marTop w:val="0"/>
          <w:marBottom w:val="0"/>
          <w:divBdr>
            <w:top w:val="none" w:sz="0" w:space="0" w:color="auto"/>
            <w:left w:val="none" w:sz="0" w:space="0" w:color="auto"/>
            <w:bottom w:val="none" w:sz="0" w:space="0" w:color="auto"/>
            <w:right w:val="none" w:sz="0" w:space="0" w:color="auto"/>
          </w:divBdr>
        </w:div>
        <w:div w:id="1264656330">
          <w:marLeft w:val="0"/>
          <w:marRight w:val="0"/>
          <w:marTop w:val="0"/>
          <w:marBottom w:val="0"/>
          <w:divBdr>
            <w:top w:val="none" w:sz="0" w:space="0" w:color="auto"/>
            <w:left w:val="none" w:sz="0" w:space="0" w:color="auto"/>
            <w:bottom w:val="none" w:sz="0" w:space="0" w:color="auto"/>
            <w:right w:val="none" w:sz="0" w:space="0" w:color="auto"/>
          </w:divBdr>
        </w:div>
      </w:divsChild>
    </w:div>
    <w:div w:id="412357200">
      <w:bodyDiv w:val="1"/>
      <w:marLeft w:val="0"/>
      <w:marRight w:val="0"/>
      <w:marTop w:val="0"/>
      <w:marBottom w:val="0"/>
      <w:divBdr>
        <w:top w:val="none" w:sz="0" w:space="0" w:color="auto"/>
        <w:left w:val="none" w:sz="0" w:space="0" w:color="auto"/>
        <w:bottom w:val="none" w:sz="0" w:space="0" w:color="auto"/>
        <w:right w:val="none" w:sz="0" w:space="0" w:color="auto"/>
      </w:divBdr>
    </w:div>
    <w:div w:id="505171505">
      <w:bodyDiv w:val="1"/>
      <w:marLeft w:val="0"/>
      <w:marRight w:val="0"/>
      <w:marTop w:val="0"/>
      <w:marBottom w:val="0"/>
      <w:divBdr>
        <w:top w:val="none" w:sz="0" w:space="0" w:color="auto"/>
        <w:left w:val="none" w:sz="0" w:space="0" w:color="auto"/>
        <w:bottom w:val="none" w:sz="0" w:space="0" w:color="auto"/>
        <w:right w:val="none" w:sz="0" w:space="0" w:color="auto"/>
      </w:divBdr>
    </w:div>
    <w:div w:id="522473280">
      <w:bodyDiv w:val="1"/>
      <w:marLeft w:val="0"/>
      <w:marRight w:val="0"/>
      <w:marTop w:val="0"/>
      <w:marBottom w:val="0"/>
      <w:divBdr>
        <w:top w:val="none" w:sz="0" w:space="0" w:color="auto"/>
        <w:left w:val="none" w:sz="0" w:space="0" w:color="auto"/>
        <w:bottom w:val="none" w:sz="0" w:space="0" w:color="auto"/>
        <w:right w:val="none" w:sz="0" w:space="0" w:color="auto"/>
      </w:divBdr>
    </w:div>
    <w:div w:id="530998053">
      <w:bodyDiv w:val="1"/>
      <w:marLeft w:val="0"/>
      <w:marRight w:val="0"/>
      <w:marTop w:val="0"/>
      <w:marBottom w:val="0"/>
      <w:divBdr>
        <w:top w:val="none" w:sz="0" w:space="0" w:color="auto"/>
        <w:left w:val="none" w:sz="0" w:space="0" w:color="auto"/>
        <w:bottom w:val="none" w:sz="0" w:space="0" w:color="auto"/>
        <w:right w:val="none" w:sz="0" w:space="0" w:color="auto"/>
      </w:divBdr>
    </w:div>
    <w:div w:id="546376617">
      <w:bodyDiv w:val="1"/>
      <w:marLeft w:val="0"/>
      <w:marRight w:val="0"/>
      <w:marTop w:val="0"/>
      <w:marBottom w:val="0"/>
      <w:divBdr>
        <w:top w:val="none" w:sz="0" w:space="0" w:color="auto"/>
        <w:left w:val="none" w:sz="0" w:space="0" w:color="auto"/>
        <w:bottom w:val="none" w:sz="0" w:space="0" w:color="auto"/>
        <w:right w:val="none" w:sz="0" w:space="0" w:color="auto"/>
      </w:divBdr>
    </w:div>
    <w:div w:id="564948877">
      <w:bodyDiv w:val="1"/>
      <w:marLeft w:val="0"/>
      <w:marRight w:val="0"/>
      <w:marTop w:val="0"/>
      <w:marBottom w:val="0"/>
      <w:divBdr>
        <w:top w:val="none" w:sz="0" w:space="0" w:color="auto"/>
        <w:left w:val="none" w:sz="0" w:space="0" w:color="auto"/>
        <w:bottom w:val="none" w:sz="0" w:space="0" w:color="auto"/>
        <w:right w:val="none" w:sz="0" w:space="0" w:color="auto"/>
      </w:divBdr>
    </w:div>
    <w:div w:id="591009472">
      <w:bodyDiv w:val="1"/>
      <w:marLeft w:val="0"/>
      <w:marRight w:val="0"/>
      <w:marTop w:val="0"/>
      <w:marBottom w:val="0"/>
      <w:divBdr>
        <w:top w:val="none" w:sz="0" w:space="0" w:color="auto"/>
        <w:left w:val="none" w:sz="0" w:space="0" w:color="auto"/>
        <w:bottom w:val="none" w:sz="0" w:space="0" w:color="auto"/>
        <w:right w:val="none" w:sz="0" w:space="0" w:color="auto"/>
      </w:divBdr>
    </w:div>
    <w:div w:id="601912139">
      <w:bodyDiv w:val="1"/>
      <w:marLeft w:val="0"/>
      <w:marRight w:val="0"/>
      <w:marTop w:val="0"/>
      <w:marBottom w:val="0"/>
      <w:divBdr>
        <w:top w:val="none" w:sz="0" w:space="0" w:color="auto"/>
        <w:left w:val="none" w:sz="0" w:space="0" w:color="auto"/>
        <w:bottom w:val="none" w:sz="0" w:space="0" w:color="auto"/>
        <w:right w:val="none" w:sz="0" w:space="0" w:color="auto"/>
      </w:divBdr>
    </w:div>
    <w:div w:id="609318055">
      <w:bodyDiv w:val="1"/>
      <w:marLeft w:val="0"/>
      <w:marRight w:val="0"/>
      <w:marTop w:val="0"/>
      <w:marBottom w:val="0"/>
      <w:divBdr>
        <w:top w:val="none" w:sz="0" w:space="0" w:color="auto"/>
        <w:left w:val="none" w:sz="0" w:space="0" w:color="auto"/>
        <w:bottom w:val="none" w:sz="0" w:space="0" w:color="auto"/>
        <w:right w:val="none" w:sz="0" w:space="0" w:color="auto"/>
      </w:divBdr>
    </w:div>
    <w:div w:id="621958674">
      <w:bodyDiv w:val="1"/>
      <w:marLeft w:val="0"/>
      <w:marRight w:val="0"/>
      <w:marTop w:val="0"/>
      <w:marBottom w:val="0"/>
      <w:divBdr>
        <w:top w:val="none" w:sz="0" w:space="0" w:color="auto"/>
        <w:left w:val="none" w:sz="0" w:space="0" w:color="auto"/>
        <w:bottom w:val="none" w:sz="0" w:space="0" w:color="auto"/>
        <w:right w:val="none" w:sz="0" w:space="0" w:color="auto"/>
      </w:divBdr>
    </w:div>
    <w:div w:id="639311936">
      <w:bodyDiv w:val="1"/>
      <w:marLeft w:val="0"/>
      <w:marRight w:val="0"/>
      <w:marTop w:val="0"/>
      <w:marBottom w:val="0"/>
      <w:divBdr>
        <w:top w:val="none" w:sz="0" w:space="0" w:color="auto"/>
        <w:left w:val="none" w:sz="0" w:space="0" w:color="auto"/>
        <w:bottom w:val="none" w:sz="0" w:space="0" w:color="auto"/>
        <w:right w:val="none" w:sz="0" w:space="0" w:color="auto"/>
      </w:divBdr>
    </w:div>
    <w:div w:id="641152263">
      <w:bodyDiv w:val="1"/>
      <w:marLeft w:val="0"/>
      <w:marRight w:val="0"/>
      <w:marTop w:val="0"/>
      <w:marBottom w:val="0"/>
      <w:divBdr>
        <w:top w:val="none" w:sz="0" w:space="0" w:color="auto"/>
        <w:left w:val="none" w:sz="0" w:space="0" w:color="auto"/>
        <w:bottom w:val="none" w:sz="0" w:space="0" w:color="auto"/>
        <w:right w:val="none" w:sz="0" w:space="0" w:color="auto"/>
      </w:divBdr>
    </w:div>
    <w:div w:id="654842727">
      <w:bodyDiv w:val="1"/>
      <w:marLeft w:val="0"/>
      <w:marRight w:val="0"/>
      <w:marTop w:val="0"/>
      <w:marBottom w:val="0"/>
      <w:divBdr>
        <w:top w:val="none" w:sz="0" w:space="0" w:color="auto"/>
        <w:left w:val="none" w:sz="0" w:space="0" w:color="auto"/>
        <w:bottom w:val="none" w:sz="0" w:space="0" w:color="auto"/>
        <w:right w:val="none" w:sz="0" w:space="0" w:color="auto"/>
      </w:divBdr>
    </w:div>
    <w:div w:id="681200122">
      <w:bodyDiv w:val="1"/>
      <w:marLeft w:val="0"/>
      <w:marRight w:val="0"/>
      <w:marTop w:val="0"/>
      <w:marBottom w:val="0"/>
      <w:divBdr>
        <w:top w:val="none" w:sz="0" w:space="0" w:color="auto"/>
        <w:left w:val="none" w:sz="0" w:space="0" w:color="auto"/>
        <w:bottom w:val="none" w:sz="0" w:space="0" w:color="auto"/>
        <w:right w:val="none" w:sz="0" w:space="0" w:color="auto"/>
      </w:divBdr>
      <w:divsChild>
        <w:div w:id="896281828">
          <w:marLeft w:val="0"/>
          <w:marRight w:val="0"/>
          <w:marTop w:val="0"/>
          <w:marBottom w:val="0"/>
          <w:divBdr>
            <w:top w:val="none" w:sz="0" w:space="0" w:color="auto"/>
            <w:left w:val="none" w:sz="0" w:space="0" w:color="auto"/>
            <w:bottom w:val="none" w:sz="0" w:space="0" w:color="auto"/>
            <w:right w:val="none" w:sz="0" w:space="0" w:color="auto"/>
          </w:divBdr>
        </w:div>
        <w:div w:id="770051608">
          <w:marLeft w:val="0"/>
          <w:marRight w:val="0"/>
          <w:marTop w:val="0"/>
          <w:marBottom w:val="0"/>
          <w:divBdr>
            <w:top w:val="none" w:sz="0" w:space="0" w:color="auto"/>
            <w:left w:val="none" w:sz="0" w:space="0" w:color="auto"/>
            <w:bottom w:val="none" w:sz="0" w:space="0" w:color="auto"/>
            <w:right w:val="none" w:sz="0" w:space="0" w:color="auto"/>
          </w:divBdr>
        </w:div>
        <w:div w:id="1094282088">
          <w:marLeft w:val="0"/>
          <w:marRight w:val="0"/>
          <w:marTop w:val="0"/>
          <w:marBottom w:val="0"/>
          <w:divBdr>
            <w:top w:val="none" w:sz="0" w:space="0" w:color="auto"/>
            <w:left w:val="none" w:sz="0" w:space="0" w:color="auto"/>
            <w:bottom w:val="none" w:sz="0" w:space="0" w:color="auto"/>
            <w:right w:val="none" w:sz="0" w:space="0" w:color="auto"/>
          </w:divBdr>
        </w:div>
        <w:div w:id="434062451">
          <w:marLeft w:val="0"/>
          <w:marRight w:val="0"/>
          <w:marTop w:val="0"/>
          <w:marBottom w:val="0"/>
          <w:divBdr>
            <w:top w:val="none" w:sz="0" w:space="0" w:color="auto"/>
            <w:left w:val="none" w:sz="0" w:space="0" w:color="auto"/>
            <w:bottom w:val="none" w:sz="0" w:space="0" w:color="auto"/>
            <w:right w:val="none" w:sz="0" w:space="0" w:color="auto"/>
          </w:divBdr>
        </w:div>
        <w:div w:id="2131627931">
          <w:marLeft w:val="0"/>
          <w:marRight w:val="0"/>
          <w:marTop w:val="0"/>
          <w:marBottom w:val="0"/>
          <w:divBdr>
            <w:top w:val="none" w:sz="0" w:space="0" w:color="auto"/>
            <w:left w:val="none" w:sz="0" w:space="0" w:color="auto"/>
            <w:bottom w:val="none" w:sz="0" w:space="0" w:color="auto"/>
            <w:right w:val="none" w:sz="0" w:space="0" w:color="auto"/>
          </w:divBdr>
        </w:div>
        <w:div w:id="1276449941">
          <w:marLeft w:val="0"/>
          <w:marRight w:val="0"/>
          <w:marTop w:val="0"/>
          <w:marBottom w:val="0"/>
          <w:divBdr>
            <w:top w:val="none" w:sz="0" w:space="0" w:color="auto"/>
            <w:left w:val="none" w:sz="0" w:space="0" w:color="auto"/>
            <w:bottom w:val="none" w:sz="0" w:space="0" w:color="auto"/>
            <w:right w:val="none" w:sz="0" w:space="0" w:color="auto"/>
          </w:divBdr>
        </w:div>
      </w:divsChild>
    </w:div>
    <w:div w:id="694968693">
      <w:bodyDiv w:val="1"/>
      <w:marLeft w:val="0"/>
      <w:marRight w:val="0"/>
      <w:marTop w:val="0"/>
      <w:marBottom w:val="0"/>
      <w:divBdr>
        <w:top w:val="none" w:sz="0" w:space="0" w:color="auto"/>
        <w:left w:val="none" w:sz="0" w:space="0" w:color="auto"/>
        <w:bottom w:val="none" w:sz="0" w:space="0" w:color="auto"/>
        <w:right w:val="none" w:sz="0" w:space="0" w:color="auto"/>
      </w:divBdr>
    </w:div>
    <w:div w:id="701830706">
      <w:bodyDiv w:val="1"/>
      <w:marLeft w:val="0"/>
      <w:marRight w:val="0"/>
      <w:marTop w:val="0"/>
      <w:marBottom w:val="0"/>
      <w:divBdr>
        <w:top w:val="none" w:sz="0" w:space="0" w:color="auto"/>
        <w:left w:val="none" w:sz="0" w:space="0" w:color="auto"/>
        <w:bottom w:val="none" w:sz="0" w:space="0" w:color="auto"/>
        <w:right w:val="none" w:sz="0" w:space="0" w:color="auto"/>
      </w:divBdr>
    </w:div>
    <w:div w:id="714306143">
      <w:bodyDiv w:val="1"/>
      <w:marLeft w:val="0"/>
      <w:marRight w:val="0"/>
      <w:marTop w:val="0"/>
      <w:marBottom w:val="0"/>
      <w:divBdr>
        <w:top w:val="none" w:sz="0" w:space="0" w:color="auto"/>
        <w:left w:val="none" w:sz="0" w:space="0" w:color="auto"/>
        <w:bottom w:val="none" w:sz="0" w:space="0" w:color="auto"/>
        <w:right w:val="none" w:sz="0" w:space="0" w:color="auto"/>
      </w:divBdr>
    </w:div>
    <w:div w:id="733745531">
      <w:bodyDiv w:val="1"/>
      <w:marLeft w:val="0"/>
      <w:marRight w:val="0"/>
      <w:marTop w:val="0"/>
      <w:marBottom w:val="0"/>
      <w:divBdr>
        <w:top w:val="none" w:sz="0" w:space="0" w:color="auto"/>
        <w:left w:val="none" w:sz="0" w:space="0" w:color="auto"/>
        <w:bottom w:val="none" w:sz="0" w:space="0" w:color="auto"/>
        <w:right w:val="none" w:sz="0" w:space="0" w:color="auto"/>
      </w:divBdr>
    </w:div>
    <w:div w:id="751199696">
      <w:bodyDiv w:val="1"/>
      <w:marLeft w:val="0"/>
      <w:marRight w:val="0"/>
      <w:marTop w:val="0"/>
      <w:marBottom w:val="0"/>
      <w:divBdr>
        <w:top w:val="none" w:sz="0" w:space="0" w:color="auto"/>
        <w:left w:val="none" w:sz="0" w:space="0" w:color="auto"/>
        <w:bottom w:val="none" w:sz="0" w:space="0" w:color="auto"/>
        <w:right w:val="none" w:sz="0" w:space="0" w:color="auto"/>
      </w:divBdr>
    </w:div>
    <w:div w:id="784736160">
      <w:bodyDiv w:val="1"/>
      <w:marLeft w:val="0"/>
      <w:marRight w:val="0"/>
      <w:marTop w:val="0"/>
      <w:marBottom w:val="0"/>
      <w:divBdr>
        <w:top w:val="none" w:sz="0" w:space="0" w:color="auto"/>
        <w:left w:val="none" w:sz="0" w:space="0" w:color="auto"/>
        <w:bottom w:val="none" w:sz="0" w:space="0" w:color="auto"/>
        <w:right w:val="none" w:sz="0" w:space="0" w:color="auto"/>
      </w:divBdr>
      <w:divsChild>
        <w:div w:id="1217088996">
          <w:marLeft w:val="0"/>
          <w:marRight w:val="0"/>
          <w:marTop w:val="0"/>
          <w:marBottom w:val="0"/>
          <w:divBdr>
            <w:top w:val="none" w:sz="0" w:space="0" w:color="auto"/>
            <w:left w:val="none" w:sz="0" w:space="0" w:color="auto"/>
            <w:bottom w:val="none" w:sz="0" w:space="0" w:color="auto"/>
            <w:right w:val="none" w:sz="0" w:space="0" w:color="auto"/>
          </w:divBdr>
        </w:div>
        <w:div w:id="1141270635">
          <w:marLeft w:val="0"/>
          <w:marRight w:val="0"/>
          <w:marTop w:val="0"/>
          <w:marBottom w:val="0"/>
          <w:divBdr>
            <w:top w:val="none" w:sz="0" w:space="0" w:color="auto"/>
            <w:left w:val="none" w:sz="0" w:space="0" w:color="auto"/>
            <w:bottom w:val="none" w:sz="0" w:space="0" w:color="auto"/>
            <w:right w:val="none" w:sz="0" w:space="0" w:color="auto"/>
          </w:divBdr>
        </w:div>
        <w:div w:id="177353435">
          <w:marLeft w:val="0"/>
          <w:marRight w:val="0"/>
          <w:marTop w:val="0"/>
          <w:marBottom w:val="0"/>
          <w:divBdr>
            <w:top w:val="none" w:sz="0" w:space="0" w:color="auto"/>
            <w:left w:val="none" w:sz="0" w:space="0" w:color="auto"/>
            <w:bottom w:val="none" w:sz="0" w:space="0" w:color="auto"/>
            <w:right w:val="none" w:sz="0" w:space="0" w:color="auto"/>
          </w:divBdr>
        </w:div>
        <w:div w:id="311299922">
          <w:marLeft w:val="0"/>
          <w:marRight w:val="0"/>
          <w:marTop w:val="0"/>
          <w:marBottom w:val="0"/>
          <w:divBdr>
            <w:top w:val="none" w:sz="0" w:space="0" w:color="auto"/>
            <w:left w:val="none" w:sz="0" w:space="0" w:color="auto"/>
            <w:bottom w:val="none" w:sz="0" w:space="0" w:color="auto"/>
            <w:right w:val="none" w:sz="0" w:space="0" w:color="auto"/>
          </w:divBdr>
        </w:div>
        <w:div w:id="1319576668">
          <w:marLeft w:val="0"/>
          <w:marRight w:val="0"/>
          <w:marTop w:val="0"/>
          <w:marBottom w:val="0"/>
          <w:divBdr>
            <w:top w:val="none" w:sz="0" w:space="0" w:color="auto"/>
            <w:left w:val="none" w:sz="0" w:space="0" w:color="auto"/>
            <w:bottom w:val="none" w:sz="0" w:space="0" w:color="auto"/>
            <w:right w:val="none" w:sz="0" w:space="0" w:color="auto"/>
          </w:divBdr>
        </w:div>
        <w:div w:id="2034266191">
          <w:marLeft w:val="0"/>
          <w:marRight w:val="0"/>
          <w:marTop w:val="0"/>
          <w:marBottom w:val="0"/>
          <w:divBdr>
            <w:top w:val="none" w:sz="0" w:space="0" w:color="auto"/>
            <w:left w:val="none" w:sz="0" w:space="0" w:color="auto"/>
            <w:bottom w:val="none" w:sz="0" w:space="0" w:color="auto"/>
            <w:right w:val="none" w:sz="0" w:space="0" w:color="auto"/>
          </w:divBdr>
        </w:div>
        <w:div w:id="875193466">
          <w:marLeft w:val="0"/>
          <w:marRight w:val="0"/>
          <w:marTop w:val="0"/>
          <w:marBottom w:val="0"/>
          <w:divBdr>
            <w:top w:val="none" w:sz="0" w:space="0" w:color="auto"/>
            <w:left w:val="none" w:sz="0" w:space="0" w:color="auto"/>
            <w:bottom w:val="none" w:sz="0" w:space="0" w:color="auto"/>
            <w:right w:val="none" w:sz="0" w:space="0" w:color="auto"/>
          </w:divBdr>
        </w:div>
        <w:div w:id="1150250981">
          <w:marLeft w:val="0"/>
          <w:marRight w:val="0"/>
          <w:marTop w:val="0"/>
          <w:marBottom w:val="0"/>
          <w:divBdr>
            <w:top w:val="none" w:sz="0" w:space="0" w:color="auto"/>
            <w:left w:val="none" w:sz="0" w:space="0" w:color="auto"/>
            <w:bottom w:val="none" w:sz="0" w:space="0" w:color="auto"/>
            <w:right w:val="none" w:sz="0" w:space="0" w:color="auto"/>
          </w:divBdr>
        </w:div>
        <w:div w:id="1535844102">
          <w:marLeft w:val="0"/>
          <w:marRight w:val="0"/>
          <w:marTop w:val="0"/>
          <w:marBottom w:val="0"/>
          <w:divBdr>
            <w:top w:val="none" w:sz="0" w:space="0" w:color="auto"/>
            <w:left w:val="none" w:sz="0" w:space="0" w:color="auto"/>
            <w:bottom w:val="none" w:sz="0" w:space="0" w:color="auto"/>
            <w:right w:val="none" w:sz="0" w:space="0" w:color="auto"/>
          </w:divBdr>
        </w:div>
      </w:divsChild>
    </w:div>
    <w:div w:id="823424676">
      <w:bodyDiv w:val="1"/>
      <w:marLeft w:val="0"/>
      <w:marRight w:val="0"/>
      <w:marTop w:val="0"/>
      <w:marBottom w:val="0"/>
      <w:divBdr>
        <w:top w:val="none" w:sz="0" w:space="0" w:color="auto"/>
        <w:left w:val="none" w:sz="0" w:space="0" w:color="auto"/>
        <w:bottom w:val="none" w:sz="0" w:space="0" w:color="auto"/>
        <w:right w:val="none" w:sz="0" w:space="0" w:color="auto"/>
      </w:divBdr>
    </w:div>
    <w:div w:id="856699746">
      <w:bodyDiv w:val="1"/>
      <w:marLeft w:val="0"/>
      <w:marRight w:val="0"/>
      <w:marTop w:val="0"/>
      <w:marBottom w:val="0"/>
      <w:divBdr>
        <w:top w:val="none" w:sz="0" w:space="0" w:color="auto"/>
        <w:left w:val="none" w:sz="0" w:space="0" w:color="auto"/>
        <w:bottom w:val="none" w:sz="0" w:space="0" w:color="auto"/>
        <w:right w:val="none" w:sz="0" w:space="0" w:color="auto"/>
      </w:divBdr>
    </w:div>
    <w:div w:id="874929250">
      <w:bodyDiv w:val="1"/>
      <w:marLeft w:val="0"/>
      <w:marRight w:val="0"/>
      <w:marTop w:val="0"/>
      <w:marBottom w:val="0"/>
      <w:divBdr>
        <w:top w:val="none" w:sz="0" w:space="0" w:color="auto"/>
        <w:left w:val="none" w:sz="0" w:space="0" w:color="auto"/>
        <w:bottom w:val="none" w:sz="0" w:space="0" w:color="auto"/>
        <w:right w:val="none" w:sz="0" w:space="0" w:color="auto"/>
      </w:divBdr>
    </w:div>
    <w:div w:id="915676506">
      <w:bodyDiv w:val="1"/>
      <w:marLeft w:val="0"/>
      <w:marRight w:val="0"/>
      <w:marTop w:val="0"/>
      <w:marBottom w:val="0"/>
      <w:divBdr>
        <w:top w:val="none" w:sz="0" w:space="0" w:color="auto"/>
        <w:left w:val="none" w:sz="0" w:space="0" w:color="auto"/>
        <w:bottom w:val="none" w:sz="0" w:space="0" w:color="auto"/>
        <w:right w:val="none" w:sz="0" w:space="0" w:color="auto"/>
      </w:divBdr>
    </w:div>
    <w:div w:id="931820376">
      <w:bodyDiv w:val="1"/>
      <w:marLeft w:val="0"/>
      <w:marRight w:val="0"/>
      <w:marTop w:val="0"/>
      <w:marBottom w:val="0"/>
      <w:divBdr>
        <w:top w:val="none" w:sz="0" w:space="0" w:color="auto"/>
        <w:left w:val="none" w:sz="0" w:space="0" w:color="auto"/>
        <w:bottom w:val="none" w:sz="0" w:space="0" w:color="auto"/>
        <w:right w:val="none" w:sz="0" w:space="0" w:color="auto"/>
      </w:divBdr>
    </w:div>
    <w:div w:id="977343537">
      <w:bodyDiv w:val="1"/>
      <w:marLeft w:val="0"/>
      <w:marRight w:val="0"/>
      <w:marTop w:val="0"/>
      <w:marBottom w:val="0"/>
      <w:divBdr>
        <w:top w:val="none" w:sz="0" w:space="0" w:color="auto"/>
        <w:left w:val="none" w:sz="0" w:space="0" w:color="auto"/>
        <w:bottom w:val="none" w:sz="0" w:space="0" w:color="auto"/>
        <w:right w:val="none" w:sz="0" w:space="0" w:color="auto"/>
      </w:divBdr>
    </w:div>
    <w:div w:id="1076703611">
      <w:bodyDiv w:val="1"/>
      <w:marLeft w:val="0"/>
      <w:marRight w:val="0"/>
      <w:marTop w:val="0"/>
      <w:marBottom w:val="0"/>
      <w:divBdr>
        <w:top w:val="none" w:sz="0" w:space="0" w:color="auto"/>
        <w:left w:val="none" w:sz="0" w:space="0" w:color="auto"/>
        <w:bottom w:val="none" w:sz="0" w:space="0" w:color="auto"/>
        <w:right w:val="none" w:sz="0" w:space="0" w:color="auto"/>
      </w:divBdr>
    </w:div>
    <w:div w:id="1114786627">
      <w:bodyDiv w:val="1"/>
      <w:marLeft w:val="0"/>
      <w:marRight w:val="0"/>
      <w:marTop w:val="0"/>
      <w:marBottom w:val="0"/>
      <w:divBdr>
        <w:top w:val="none" w:sz="0" w:space="0" w:color="auto"/>
        <w:left w:val="none" w:sz="0" w:space="0" w:color="auto"/>
        <w:bottom w:val="none" w:sz="0" w:space="0" w:color="auto"/>
        <w:right w:val="none" w:sz="0" w:space="0" w:color="auto"/>
      </w:divBdr>
    </w:div>
    <w:div w:id="1169371637">
      <w:bodyDiv w:val="1"/>
      <w:marLeft w:val="0"/>
      <w:marRight w:val="0"/>
      <w:marTop w:val="0"/>
      <w:marBottom w:val="0"/>
      <w:divBdr>
        <w:top w:val="none" w:sz="0" w:space="0" w:color="auto"/>
        <w:left w:val="none" w:sz="0" w:space="0" w:color="auto"/>
        <w:bottom w:val="none" w:sz="0" w:space="0" w:color="auto"/>
        <w:right w:val="none" w:sz="0" w:space="0" w:color="auto"/>
      </w:divBdr>
    </w:div>
    <w:div w:id="1192105886">
      <w:bodyDiv w:val="1"/>
      <w:marLeft w:val="0"/>
      <w:marRight w:val="0"/>
      <w:marTop w:val="0"/>
      <w:marBottom w:val="0"/>
      <w:divBdr>
        <w:top w:val="none" w:sz="0" w:space="0" w:color="auto"/>
        <w:left w:val="none" w:sz="0" w:space="0" w:color="auto"/>
        <w:bottom w:val="none" w:sz="0" w:space="0" w:color="auto"/>
        <w:right w:val="none" w:sz="0" w:space="0" w:color="auto"/>
      </w:divBdr>
      <w:divsChild>
        <w:div w:id="862861938">
          <w:marLeft w:val="0"/>
          <w:marRight w:val="0"/>
          <w:marTop w:val="0"/>
          <w:marBottom w:val="0"/>
          <w:divBdr>
            <w:top w:val="none" w:sz="0" w:space="0" w:color="auto"/>
            <w:left w:val="none" w:sz="0" w:space="0" w:color="auto"/>
            <w:bottom w:val="none" w:sz="0" w:space="0" w:color="auto"/>
            <w:right w:val="none" w:sz="0" w:space="0" w:color="auto"/>
          </w:divBdr>
        </w:div>
        <w:div w:id="967860088">
          <w:marLeft w:val="0"/>
          <w:marRight w:val="0"/>
          <w:marTop w:val="0"/>
          <w:marBottom w:val="0"/>
          <w:divBdr>
            <w:top w:val="none" w:sz="0" w:space="0" w:color="auto"/>
            <w:left w:val="none" w:sz="0" w:space="0" w:color="auto"/>
            <w:bottom w:val="none" w:sz="0" w:space="0" w:color="auto"/>
            <w:right w:val="none" w:sz="0" w:space="0" w:color="auto"/>
          </w:divBdr>
        </w:div>
        <w:div w:id="535234998">
          <w:marLeft w:val="0"/>
          <w:marRight w:val="0"/>
          <w:marTop w:val="0"/>
          <w:marBottom w:val="0"/>
          <w:divBdr>
            <w:top w:val="none" w:sz="0" w:space="0" w:color="auto"/>
            <w:left w:val="none" w:sz="0" w:space="0" w:color="auto"/>
            <w:bottom w:val="none" w:sz="0" w:space="0" w:color="auto"/>
            <w:right w:val="none" w:sz="0" w:space="0" w:color="auto"/>
          </w:divBdr>
        </w:div>
        <w:div w:id="688678544">
          <w:marLeft w:val="0"/>
          <w:marRight w:val="0"/>
          <w:marTop w:val="0"/>
          <w:marBottom w:val="0"/>
          <w:divBdr>
            <w:top w:val="none" w:sz="0" w:space="0" w:color="auto"/>
            <w:left w:val="none" w:sz="0" w:space="0" w:color="auto"/>
            <w:bottom w:val="none" w:sz="0" w:space="0" w:color="auto"/>
            <w:right w:val="none" w:sz="0" w:space="0" w:color="auto"/>
          </w:divBdr>
        </w:div>
      </w:divsChild>
    </w:div>
    <w:div w:id="1197040631">
      <w:bodyDiv w:val="1"/>
      <w:marLeft w:val="0"/>
      <w:marRight w:val="0"/>
      <w:marTop w:val="0"/>
      <w:marBottom w:val="0"/>
      <w:divBdr>
        <w:top w:val="none" w:sz="0" w:space="0" w:color="auto"/>
        <w:left w:val="none" w:sz="0" w:space="0" w:color="auto"/>
        <w:bottom w:val="none" w:sz="0" w:space="0" w:color="auto"/>
        <w:right w:val="none" w:sz="0" w:space="0" w:color="auto"/>
      </w:divBdr>
    </w:div>
    <w:div w:id="1239827695">
      <w:bodyDiv w:val="1"/>
      <w:marLeft w:val="0"/>
      <w:marRight w:val="0"/>
      <w:marTop w:val="0"/>
      <w:marBottom w:val="0"/>
      <w:divBdr>
        <w:top w:val="none" w:sz="0" w:space="0" w:color="auto"/>
        <w:left w:val="none" w:sz="0" w:space="0" w:color="auto"/>
        <w:bottom w:val="none" w:sz="0" w:space="0" w:color="auto"/>
        <w:right w:val="none" w:sz="0" w:space="0" w:color="auto"/>
      </w:divBdr>
    </w:div>
    <w:div w:id="1257787801">
      <w:bodyDiv w:val="1"/>
      <w:marLeft w:val="0"/>
      <w:marRight w:val="0"/>
      <w:marTop w:val="0"/>
      <w:marBottom w:val="0"/>
      <w:divBdr>
        <w:top w:val="none" w:sz="0" w:space="0" w:color="auto"/>
        <w:left w:val="none" w:sz="0" w:space="0" w:color="auto"/>
        <w:bottom w:val="none" w:sz="0" w:space="0" w:color="auto"/>
        <w:right w:val="none" w:sz="0" w:space="0" w:color="auto"/>
      </w:divBdr>
    </w:div>
    <w:div w:id="1274746844">
      <w:bodyDiv w:val="1"/>
      <w:marLeft w:val="0"/>
      <w:marRight w:val="0"/>
      <w:marTop w:val="0"/>
      <w:marBottom w:val="0"/>
      <w:divBdr>
        <w:top w:val="none" w:sz="0" w:space="0" w:color="auto"/>
        <w:left w:val="none" w:sz="0" w:space="0" w:color="auto"/>
        <w:bottom w:val="none" w:sz="0" w:space="0" w:color="auto"/>
        <w:right w:val="none" w:sz="0" w:space="0" w:color="auto"/>
      </w:divBdr>
    </w:div>
    <w:div w:id="1301107410">
      <w:bodyDiv w:val="1"/>
      <w:marLeft w:val="0"/>
      <w:marRight w:val="0"/>
      <w:marTop w:val="0"/>
      <w:marBottom w:val="0"/>
      <w:divBdr>
        <w:top w:val="none" w:sz="0" w:space="0" w:color="auto"/>
        <w:left w:val="none" w:sz="0" w:space="0" w:color="auto"/>
        <w:bottom w:val="none" w:sz="0" w:space="0" w:color="auto"/>
        <w:right w:val="none" w:sz="0" w:space="0" w:color="auto"/>
      </w:divBdr>
    </w:div>
    <w:div w:id="1303392312">
      <w:bodyDiv w:val="1"/>
      <w:marLeft w:val="0"/>
      <w:marRight w:val="0"/>
      <w:marTop w:val="0"/>
      <w:marBottom w:val="0"/>
      <w:divBdr>
        <w:top w:val="none" w:sz="0" w:space="0" w:color="auto"/>
        <w:left w:val="none" w:sz="0" w:space="0" w:color="auto"/>
        <w:bottom w:val="none" w:sz="0" w:space="0" w:color="auto"/>
        <w:right w:val="none" w:sz="0" w:space="0" w:color="auto"/>
      </w:divBdr>
      <w:divsChild>
        <w:div w:id="674378817">
          <w:marLeft w:val="0"/>
          <w:marRight w:val="0"/>
          <w:marTop w:val="0"/>
          <w:marBottom w:val="0"/>
          <w:divBdr>
            <w:top w:val="none" w:sz="0" w:space="0" w:color="auto"/>
            <w:left w:val="none" w:sz="0" w:space="0" w:color="auto"/>
            <w:bottom w:val="none" w:sz="0" w:space="0" w:color="auto"/>
            <w:right w:val="none" w:sz="0" w:space="0" w:color="auto"/>
          </w:divBdr>
        </w:div>
        <w:div w:id="1221285807">
          <w:marLeft w:val="0"/>
          <w:marRight w:val="0"/>
          <w:marTop w:val="0"/>
          <w:marBottom w:val="0"/>
          <w:divBdr>
            <w:top w:val="none" w:sz="0" w:space="0" w:color="auto"/>
            <w:left w:val="none" w:sz="0" w:space="0" w:color="auto"/>
            <w:bottom w:val="none" w:sz="0" w:space="0" w:color="auto"/>
            <w:right w:val="none" w:sz="0" w:space="0" w:color="auto"/>
          </w:divBdr>
        </w:div>
        <w:div w:id="164711552">
          <w:marLeft w:val="0"/>
          <w:marRight w:val="0"/>
          <w:marTop w:val="0"/>
          <w:marBottom w:val="0"/>
          <w:divBdr>
            <w:top w:val="none" w:sz="0" w:space="0" w:color="auto"/>
            <w:left w:val="none" w:sz="0" w:space="0" w:color="auto"/>
            <w:bottom w:val="none" w:sz="0" w:space="0" w:color="auto"/>
            <w:right w:val="none" w:sz="0" w:space="0" w:color="auto"/>
          </w:divBdr>
        </w:div>
        <w:div w:id="2022851583">
          <w:marLeft w:val="0"/>
          <w:marRight w:val="0"/>
          <w:marTop w:val="0"/>
          <w:marBottom w:val="0"/>
          <w:divBdr>
            <w:top w:val="none" w:sz="0" w:space="0" w:color="auto"/>
            <w:left w:val="none" w:sz="0" w:space="0" w:color="auto"/>
            <w:bottom w:val="none" w:sz="0" w:space="0" w:color="auto"/>
            <w:right w:val="none" w:sz="0" w:space="0" w:color="auto"/>
          </w:divBdr>
        </w:div>
        <w:div w:id="818611669">
          <w:marLeft w:val="0"/>
          <w:marRight w:val="0"/>
          <w:marTop w:val="0"/>
          <w:marBottom w:val="0"/>
          <w:divBdr>
            <w:top w:val="none" w:sz="0" w:space="0" w:color="auto"/>
            <w:left w:val="none" w:sz="0" w:space="0" w:color="auto"/>
            <w:bottom w:val="none" w:sz="0" w:space="0" w:color="auto"/>
            <w:right w:val="none" w:sz="0" w:space="0" w:color="auto"/>
          </w:divBdr>
        </w:div>
      </w:divsChild>
    </w:div>
    <w:div w:id="1311179212">
      <w:bodyDiv w:val="1"/>
      <w:marLeft w:val="0"/>
      <w:marRight w:val="0"/>
      <w:marTop w:val="0"/>
      <w:marBottom w:val="0"/>
      <w:divBdr>
        <w:top w:val="none" w:sz="0" w:space="0" w:color="auto"/>
        <w:left w:val="none" w:sz="0" w:space="0" w:color="auto"/>
        <w:bottom w:val="none" w:sz="0" w:space="0" w:color="auto"/>
        <w:right w:val="none" w:sz="0" w:space="0" w:color="auto"/>
      </w:divBdr>
    </w:div>
    <w:div w:id="1326737569">
      <w:bodyDiv w:val="1"/>
      <w:marLeft w:val="0"/>
      <w:marRight w:val="0"/>
      <w:marTop w:val="0"/>
      <w:marBottom w:val="0"/>
      <w:divBdr>
        <w:top w:val="none" w:sz="0" w:space="0" w:color="auto"/>
        <w:left w:val="none" w:sz="0" w:space="0" w:color="auto"/>
        <w:bottom w:val="none" w:sz="0" w:space="0" w:color="auto"/>
        <w:right w:val="none" w:sz="0" w:space="0" w:color="auto"/>
      </w:divBdr>
      <w:divsChild>
        <w:div w:id="1315140971">
          <w:marLeft w:val="0"/>
          <w:marRight w:val="0"/>
          <w:marTop w:val="0"/>
          <w:marBottom w:val="0"/>
          <w:divBdr>
            <w:top w:val="none" w:sz="0" w:space="0" w:color="auto"/>
            <w:left w:val="none" w:sz="0" w:space="0" w:color="auto"/>
            <w:bottom w:val="none" w:sz="0" w:space="0" w:color="auto"/>
            <w:right w:val="none" w:sz="0" w:space="0" w:color="auto"/>
          </w:divBdr>
        </w:div>
        <w:div w:id="1153646535">
          <w:marLeft w:val="0"/>
          <w:marRight w:val="0"/>
          <w:marTop w:val="0"/>
          <w:marBottom w:val="0"/>
          <w:divBdr>
            <w:top w:val="none" w:sz="0" w:space="0" w:color="auto"/>
            <w:left w:val="none" w:sz="0" w:space="0" w:color="auto"/>
            <w:bottom w:val="none" w:sz="0" w:space="0" w:color="auto"/>
            <w:right w:val="none" w:sz="0" w:space="0" w:color="auto"/>
          </w:divBdr>
        </w:div>
        <w:div w:id="1354957255">
          <w:marLeft w:val="0"/>
          <w:marRight w:val="0"/>
          <w:marTop w:val="0"/>
          <w:marBottom w:val="0"/>
          <w:divBdr>
            <w:top w:val="none" w:sz="0" w:space="0" w:color="auto"/>
            <w:left w:val="none" w:sz="0" w:space="0" w:color="auto"/>
            <w:bottom w:val="none" w:sz="0" w:space="0" w:color="auto"/>
            <w:right w:val="none" w:sz="0" w:space="0" w:color="auto"/>
          </w:divBdr>
        </w:div>
        <w:div w:id="739987027">
          <w:marLeft w:val="0"/>
          <w:marRight w:val="0"/>
          <w:marTop w:val="0"/>
          <w:marBottom w:val="0"/>
          <w:divBdr>
            <w:top w:val="none" w:sz="0" w:space="0" w:color="auto"/>
            <w:left w:val="none" w:sz="0" w:space="0" w:color="auto"/>
            <w:bottom w:val="none" w:sz="0" w:space="0" w:color="auto"/>
            <w:right w:val="none" w:sz="0" w:space="0" w:color="auto"/>
          </w:divBdr>
        </w:div>
        <w:div w:id="1606379606">
          <w:marLeft w:val="0"/>
          <w:marRight w:val="0"/>
          <w:marTop w:val="0"/>
          <w:marBottom w:val="0"/>
          <w:divBdr>
            <w:top w:val="none" w:sz="0" w:space="0" w:color="auto"/>
            <w:left w:val="none" w:sz="0" w:space="0" w:color="auto"/>
            <w:bottom w:val="none" w:sz="0" w:space="0" w:color="auto"/>
            <w:right w:val="none" w:sz="0" w:space="0" w:color="auto"/>
          </w:divBdr>
        </w:div>
      </w:divsChild>
    </w:div>
    <w:div w:id="1330133026">
      <w:bodyDiv w:val="1"/>
      <w:marLeft w:val="0"/>
      <w:marRight w:val="0"/>
      <w:marTop w:val="0"/>
      <w:marBottom w:val="0"/>
      <w:divBdr>
        <w:top w:val="none" w:sz="0" w:space="0" w:color="auto"/>
        <w:left w:val="none" w:sz="0" w:space="0" w:color="auto"/>
        <w:bottom w:val="none" w:sz="0" w:space="0" w:color="auto"/>
        <w:right w:val="none" w:sz="0" w:space="0" w:color="auto"/>
      </w:divBdr>
    </w:div>
    <w:div w:id="1363508464">
      <w:bodyDiv w:val="1"/>
      <w:marLeft w:val="0"/>
      <w:marRight w:val="0"/>
      <w:marTop w:val="0"/>
      <w:marBottom w:val="0"/>
      <w:divBdr>
        <w:top w:val="none" w:sz="0" w:space="0" w:color="auto"/>
        <w:left w:val="none" w:sz="0" w:space="0" w:color="auto"/>
        <w:bottom w:val="none" w:sz="0" w:space="0" w:color="auto"/>
        <w:right w:val="none" w:sz="0" w:space="0" w:color="auto"/>
      </w:divBdr>
    </w:div>
    <w:div w:id="1364405009">
      <w:bodyDiv w:val="1"/>
      <w:marLeft w:val="0"/>
      <w:marRight w:val="0"/>
      <w:marTop w:val="0"/>
      <w:marBottom w:val="0"/>
      <w:divBdr>
        <w:top w:val="none" w:sz="0" w:space="0" w:color="auto"/>
        <w:left w:val="none" w:sz="0" w:space="0" w:color="auto"/>
        <w:bottom w:val="none" w:sz="0" w:space="0" w:color="auto"/>
        <w:right w:val="none" w:sz="0" w:space="0" w:color="auto"/>
      </w:divBdr>
    </w:div>
    <w:div w:id="1377656257">
      <w:bodyDiv w:val="1"/>
      <w:marLeft w:val="0"/>
      <w:marRight w:val="0"/>
      <w:marTop w:val="0"/>
      <w:marBottom w:val="0"/>
      <w:divBdr>
        <w:top w:val="none" w:sz="0" w:space="0" w:color="auto"/>
        <w:left w:val="none" w:sz="0" w:space="0" w:color="auto"/>
        <w:bottom w:val="none" w:sz="0" w:space="0" w:color="auto"/>
        <w:right w:val="none" w:sz="0" w:space="0" w:color="auto"/>
      </w:divBdr>
    </w:div>
    <w:div w:id="1386293732">
      <w:bodyDiv w:val="1"/>
      <w:marLeft w:val="0"/>
      <w:marRight w:val="0"/>
      <w:marTop w:val="0"/>
      <w:marBottom w:val="0"/>
      <w:divBdr>
        <w:top w:val="none" w:sz="0" w:space="0" w:color="auto"/>
        <w:left w:val="none" w:sz="0" w:space="0" w:color="auto"/>
        <w:bottom w:val="none" w:sz="0" w:space="0" w:color="auto"/>
        <w:right w:val="none" w:sz="0" w:space="0" w:color="auto"/>
      </w:divBdr>
    </w:div>
    <w:div w:id="1386878120">
      <w:bodyDiv w:val="1"/>
      <w:marLeft w:val="0"/>
      <w:marRight w:val="0"/>
      <w:marTop w:val="0"/>
      <w:marBottom w:val="0"/>
      <w:divBdr>
        <w:top w:val="none" w:sz="0" w:space="0" w:color="auto"/>
        <w:left w:val="none" w:sz="0" w:space="0" w:color="auto"/>
        <w:bottom w:val="none" w:sz="0" w:space="0" w:color="auto"/>
        <w:right w:val="none" w:sz="0" w:space="0" w:color="auto"/>
      </w:divBdr>
      <w:divsChild>
        <w:div w:id="1006902682">
          <w:marLeft w:val="0"/>
          <w:marRight w:val="0"/>
          <w:marTop w:val="0"/>
          <w:marBottom w:val="0"/>
          <w:divBdr>
            <w:top w:val="none" w:sz="0" w:space="0" w:color="auto"/>
            <w:left w:val="none" w:sz="0" w:space="0" w:color="auto"/>
            <w:bottom w:val="none" w:sz="0" w:space="0" w:color="auto"/>
            <w:right w:val="none" w:sz="0" w:space="0" w:color="auto"/>
          </w:divBdr>
        </w:div>
        <w:div w:id="1052000431">
          <w:marLeft w:val="0"/>
          <w:marRight w:val="0"/>
          <w:marTop w:val="0"/>
          <w:marBottom w:val="0"/>
          <w:divBdr>
            <w:top w:val="none" w:sz="0" w:space="0" w:color="auto"/>
            <w:left w:val="none" w:sz="0" w:space="0" w:color="auto"/>
            <w:bottom w:val="none" w:sz="0" w:space="0" w:color="auto"/>
            <w:right w:val="none" w:sz="0" w:space="0" w:color="auto"/>
          </w:divBdr>
        </w:div>
        <w:div w:id="415782777">
          <w:marLeft w:val="0"/>
          <w:marRight w:val="0"/>
          <w:marTop w:val="0"/>
          <w:marBottom w:val="0"/>
          <w:divBdr>
            <w:top w:val="none" w:sz="0" w:space="0" w:color="auto"/>
            <w:left w:val="none" w:sz="0" w:space="0" w:color="auto"/>
            <w:bottom w:val="none" w:sz="0" w:space="0" w:color="auto"/>
            <w:right w:val="none" w:sz="0" w:space="0" w:color="auto"/>
          </w:divBdr>
        </w:div>
        <w:div w:id="1556619101">
          <w:marLeft w:val="0"/>
          <w:marRight w:val="0"/>
          <w:marTop w:val="0"/>
          <w:marBottom w:val="0"/>
          <w:divBdr>
            <w:top w:val="none" w:sz="0" w:space="0" w:color="auto"/>
            <w:left w:val="none" w:sz="0" w:space="0" w:color="auto"/>
            <w:bottom w:val="none" w:sz="0" w:space="0" w:color="auto"/>
            <w:right w:val="none" w:sz="0" w:space="0" w:color="auto"/>
          </w:divBdr>
        </w:div>
        <w:div w:id="837580491">
          <w:marLeft w:val="0"/>
          <w:marRight w:val="0"/>
          <w:marTop w:val="0"/>
          <w:marBottom w:val="0"/>
          <w:divBdr>
            <w:top w:val="none" w:sz="0" w:space="0" w:color="auto"/>
            <w:left w:val="none" w:sz="0" w:space="0" w:color="auto"/>
            <w:bottom w:val="none" w:sz="0" w:space="0" w:color="auto"/>
            <w:right w:val="none" w:sz="0" w:space="0" w:color="auto"/>
          </w:divBdr>
        </w:div>
        <w:div w:id="1929459917">
          <w:marLeft w:val="0"/>
          <w:marRight w:val="0"/>
          <w:marTop w:val="0"/>
          <w:marBottom w:val="0"/>
          <w:divBdr>
            <w:top w:val="none" w:sz="0" w:space="0" w:color="auto"/>
            <w:left w:val="none" w:sz="0" w:space="0" w:color="auto"/>
            <w:bottom w:val="none" w:sz="0" w:space="0" w:color="auto"/>
            <w:right w:val="none" w:sz="0" w:space="0" w:color="auto"/>
          </w:divBdr>
        </w:div>
        <w:div w:id="563680563">
          <w:marLeft w:val="0"/>
          <w:marRight w:val="0"/>
          <w:marTop w:val="0"/>
          <w:marBottom w:val="0"/>
          <w:divBdr>
            <w:top w:val="none" w:sz="0" w:space="0" w:color="auto"/>
            <w:left w:val="none" w:sz="0" w:space="0" w:color="auto"/>
            <w:bottom w:val="none" w:sz="0" w:space="0" w:color="auto"/>
            <w:right w:val="none" w:sz="0" w:space="0" w:color="auto"/>
          </w:divBdr>
        </w:div>
        <w:div w:id="1244873787">
          <w:marLeft w:val="0"/>
          <w:marRight w:val="0"/>
          <w:marTop w:val="0"/>
          <w:marBottom w:val="0"/>
          <w:divBdr>
            <w:top w:val="none" w:sz="0" w:space="0" w:color="auto"/>
            <w:left w:val="none" w:sz="0" w:space="0" w:color="auto"/>
            <w:bottom w:val="none" w:sz="0" w:space="0" w:color="auto"/>
            <w:right w:val="none" w:sz="0" w:space="0" w:color="auto"/>
          </w:divBdr>
        </w:div>
        <w:div w:id="504710606">
          <w:marLeft w:val="0"/>
          <w:marRight w:val="0"/>
          <w:marTop w:val="0"/>
          <w:marBottom w:val="0"/>
          <w:divBdr>
            <w:top w:val="none" w:sz="0" w:space="0" w:color="auto"/>
            <w:left w:val="none" w:sz="0" w:space="0" w:color="auto"/>
            <w:bottom w:val="none" w:sz="0" w:space="0" w:color="auto"/>
            <w:right w:val="none" w:sz="0" w:space="0" w:color="auto"/>
          </w:divBdr>
        </w:div>
        <w:div w:id="233127193">
          <w:marLeft w:val="0"/>
          <w:marRight w:val="0"/>
          <w:marTop w:val="0"/>
          <w:marBottom w:val="0"/>
          <w:divBdr>
            <w:top w:val="none" w:sz="0" w:space="0" w:color="auto"/>
            <w:left w:val="none" w:sz="0" w:space="0" w:color="auto"/>
            <w:bottom w:val="none" w:sz="0" w:space="0" w:color="auto"/>
            <w:right w:val="none" w:sz="0" w:space="0" w:color="auto"/>
          </w:divBdr>
        </w:div>
        <w:div w:id="1893153061">
          <w:marLeft w:val="0"/>
          <w:marRight w:val="0"/>
          <w:marTop w:val="0"/>
          <w:marBottom w:val="0"/>
          <w:divBdr>
            <w:top w:val="none" w:sz="0" w:space="0" w:color="auto"/>
            <w:left w:val="none" w:sz="0" w:space="0" w:color="auto"/>
            <w:bottom w:val="none" w:sz="0" w:space="0" w:color="auto"/>
            <w:right w:val="none" w:sz="0" w:space="0" w:color="auto"/>
          </w:divBdr>
        </w:div>
      </w:divsChild>
    </w:div>
    <w:div w:id="1411122717">
      <w:bodyDiv w:val="1"/>
      <w:marLeft w:val="0"/>
      <w:marRight w:val="0"/>
      <w:marTop w:val="0"/>
      <w:marBottom w:val="0"/>
      <w:divBdr>
        <w:top w:val="none" w:sz="0" w:space="0" w:color="auto"/>
        <w:left w:val="none" w:sz="0" w:space="0" w:color="auto"/>
        <w:bottom w:val="none" w:sz="0" w:space="0" w:color="auto"/>
        <w:right w:val="none" w:sz="0" w:space="0" w:color="auto"/>
      </w:divBdr>
      <w:divsChild>
        <w:div w:id="1011373753">
          <w:marLeft w:val="0"/>
          <w:marRight w:val="0"/>
          <w:marTop w:val="0"/>
          <w:marBottom w:val="0"/>
          <w:divBdr>
            <w:top w:val="none" w:sz="0" w:space="0" w:color="auto"/>
            <w:left w:val="none" w:sz="0" w:space="0" w:color="auto"/>
            <w:bottom w:val="none" w:sz="0" w:space="0" w:color="auto"/>
            <w:right w:val="none" w:sz="0" w:space="0" w:color="auto"/>
          </w:divBdr>
        </w:div>
        <w:div w:id="180629270">
          <w:marLeft w:val="0"/>
          <w:marRight w:val="0"/>
          <w:marTop w:val="0"/>
          <w:marBottom w:val="0"/>
          <w:divBdr>
            <w:top w:val="none" w:sz="0" w:space="0" w:color="auto"/>
            <w:left w:val="none" w:sz="0" w:space="0" w:color="auto"/>
            <w:bottom w:val="none" w:sz="0" w:space="0" w:color="auto"/>
            <w:right w:val="none" w:sz="0" w:space="0" w:color="auto"/>
          </w:divBdr>
        </w:div>
        <w:div w:id="1950700405">
          <w:marLeft w:val="0"/>
          <w:marRight w:val="0"/>
          <w:marTop w:val="0"/>
          <w:marBottom w:val="0"/>
          <w:divBdr>
            <w:top w:val="none" w:sz="0" w:space="0" w:color="auto"/>
            <w:left w:val="none" w:sz="0" w:space="0" w:color="auto"/>
            <w:bottom w:val="none" w:sz="0" w:space="0" w:color="auto"/>
            <w:right w:val="none" w:sz="0" w:space="0" w:color="auto"/>
          </w:divBdr>
        </w:div>
      </w:divsChild>
    </w:div>
    <w:div w:id="1414859230">
      <w:bodyDiv w:val="1"/>
      <w:marLeft w:val="0"/>
      <w:marRight w:val="0"/>
      <w:marTop w:val="0"/>
      <w:marBottom w:val="0"/>
      <w:divBdr>
        <w:top w:val="none" w:sz="0" w:space="0" w:color="auto"/>
        <w:left w:val="none" w:sz="0" w:space="0" w:color="auto"/>
        <w:bottom w:val="none" w:sz="0" w:space="0" w:color="auto"/>
        <w:right w:val="none" w:sz="0" w:space="0" w:color="auto"/>
      </w:divBdr>
      <w:divsChild>
        <w:div w:id="1031881058">
          <w:marLeft w:val="0"/>
          <w:marRight w:val="0"/>
          <w:marTop w:val="0"/>
          <w:marBottom w:val="0"/>
          <w:divBdr>
            <w:top w:val="none" w:sz="0" w:space="0" w:color="auto"/>
            <w:left w:val="none" w:sz="0" w:space="0" w:color="auto"/>
            <w:bottom w:val="none" w:sz="0" w:space="0" w:color="auto"/>
            <w:right w:val="none" w:sz="0" w:space="0" w:color="auto"/>
          </w:divBdr>
        </w:div>
        <w:div w:id="1577478595">
          <w:marLeft w:val="0"/>
          <w:marRight w:val="0"/>
          <w:marTop w:val="0"/>
          <w:marBottom w:val="0"/>
          <w:divBdr>
            <w:top w:val="none" w:sz="0" w:space="0" w:color="auto"/>
            <w:left w:val="none" w:sz="0" w:space="0" w:color="auto"/>
            <w:bottom w:val="none" w:sz="0" w:space="0" w:color="auto"/>
            <w:right w:val="none" w:sz="0" w:space="0" w:color="auto"/>
          </w:divBdr>
        </w:div>
        <w:div w:id="410352095">
          <w:marLeft w:val="0"/>
          <w:marRight w:val="0"/>
          <w:marTop w:val="0"/>
          <w:marBottom w:val="0"/>
          <w:divBdr>
            <w:top w:val="none" w:sz="0" w:space="0" w:color="auto"/>
            <w:left w:val="none" w:sz="0" w:space="0" w:color="auto"/>
            <w:bottom w:val="none" w:sz="0" w:space="0" w:color="auto"/>
            <w:right w:val="none" w:sz="0" w:space="0" w:color="auto"/>
          </w:divBdr>
        </w:div>
        <w:div w:id="467826090">
          <w:marLeft w:val="0"/>
          <w:marRight w:val="0"/>
          <w:marTop w:val="0"/>
          <w:marBottom w:val="0"/>
          <w:divBdr>
            <w:top w:val="none" w:sz="0" w:space="0" w:color="auto"/>
            <w:left w:val="none" w:sz="0" w:space="0" w:color="auto"/>
            <w:bottom w:val="none" w:sz="0" w:space="0" w:color="auto"/>
            <w:right w:val="none" w:sz="0" w:space="0" w:color="auto"/>
          </w:divBdr>
        </w:div>
        <w:div w:id="930623347">
          <w:marLeft w:val="0"/>
          <w:marRight w:val="0"/>
          <w:marTop w:val="0"/>
          <w:marBottom w:val="0"/>
          <w:divBdr>
            <w:top w:val="none" w:sz="0" w:space="0" w:color="auto"/>
            <w:left w:val="none" w:sz="0" w:space="0" w:color="auto"/>
            <w:bottom w:val="none" w:sz="0" w:space="0" w:color="auto"/>
            <w:right w:val="none" w:sz="0" w:space="0" w:color="auto"/>
          </w:divBdr>
        </w:div>
        <w:div w:id="1933246535">
          <w:marLeft w:val="0"/>
          <w:marRight w:val="0"/>
          <w:marTop w:val="0"/>
          <w:marBottom w:val="0"/>
          <w:divBdr>
            <w:top w:val="none" w:sz="0" w:space="0" w:color="auto"/>
            <w:left w:val="none" w:sz="0" w:space="0" w:color="auto"/>
            <w:bottom w:val="none" w:sz="0" w:space="0" w:color="auto"/>
            <w:right w:val="none" w:sz="0" w:space="0" w:color="auto"/>
          </w:divBdr>
        </w:div>
        <w:div w:id="785391113">
          <w:marLeft w:val="0"/>
          <w:marRight w:val="0"/>
          <w:marTop w:val="0"/>
          <w:marBottom w:val="0"/>
          <w:divBdr>
            <w:top w:val="none" w:sz="0" w:space="0" w:color="auto"/>
            <w:left w:val="none" w:sz="0" w:space="0" w:color="auto"/>
            <w:bottom w:val="none" w:sz="0" w:space="0" w:color="auto"/>
            <w:right w:val="none" w:sz="0" w:space="0" w:color="auto"/>
          </w:divBdr>
        </w:div>
      </w:divsChild>
    </w:div>
    <w:div w:id="1435638605">
      <w:bodyDiv w:val="1"/>
      <w:marLeft w:val="0"/>
      <w:marRight w:val="0"/>
      <w:marTop w:val="0"/>
      <w:marBottom w:val="0"/>
      <w:divBdr>
        <w:top w:val="none" w:sz="0" w:space="0" w:color="auto"/>
        <w:left w:val="none" w:sz="0" w:space="0" w:color="auto"/>
        <w:bottom w:val="none" w:sz="0" w:space="0" w:color="auto"/>
        <w:right w:val="none" w:sz="0" w:space="0" w:color="auto"/>
      </w:divBdr>
    </w:div>
    <w:div w:id="1450706042">
      <w:bodyDiv w:val="1"/>
      <w:marLeft w:val="0"/>
      <w:marRight w:val="0"/>
      <w:marTop w:val="0"/>
      <w:marBottom w:val="0"/>
      <w:divBdr>
        <w:top w:val="none" w:sz="0" w:space="0" w:color="auto"/>
        <w:left w:val="none" w:sz="0" w:space="0" w:color="auto"/>
        <w:bottom w:val="none" w:sz="0" w:space="0" w:color="auto"/>
        <w:right w:val="none" w:sz="0" w:space="0" w:color="auto"/>
      </w:divBdr>
    </w:div>
    <w:div w:id="1451822145">
      <w:bodyDiv w:val="1"/>
      <w:marLeft w:val="0"/>
      <w:marRight w:val="0"/>
      <w:marTop w:val="0"/>
      <w:marBottom w:val="0"/>
      <w:divBdr>
        <w:top w:val="none" w:sz="0" w:space="0" w:color="auto"/>
        <w:left w:val="none" w:sz="0" w:space="0" w:color="auto"/>
        <w:bottom w:val="none" w:sz="0" w:space="0" w:color="auto"/>
        <w:right w:val="none" w:sz="0" w:space="0" w:color="auto"/>
      </w:divBdr>
    </w:div>
    <w:div w:id="1458177475">
      <w:bodyDiv w:val="1"/>
      <w:marLeft w:val="0"/>
      <w:marRight w:val="0"/>
      <w:marTop w:val="0"/>
      <w:marBottom w:val="0"/>
      <w:divBdr>
        <w:top w:val="none" w:sz="0" w:space="0" w:color="auto"/>
        <w:left w:val="none" w:sz="0" w:space="0" w:color="auto"/>
        <w:bottom w:val="none" w:sz="0" w:space="0" w:color="auto"/>
        <w:right w:val="none" w:sz="0" w:space="0" w:color="auto"/>
      </w:divBdr>
      <w:divsChild>
        <w:div w:id="1684672003">
          <w:marLeft w:val="0"/>
          <w:marRight w:val="0"/>
          <w:marTop w:val="0"/>
          <w:marBottom w:val="0"/>
          <w:divBdr>
            <w:top w:val="none" w:sz="0" w:space="0" w:color="auto"/>
            <w:left w:val="none" w:sz="0" w:space="0" w:color="auto"/>
            <w:bottom w:val="none" w:sz="0" w:space="0" w:color="auto"/>
            <w:right w:val="none" w:sz="0" w:space="0" w:color="auto"/>
          </w:divBdr>
        </w:div>
        <w:div w:id="416941963">
          <w:marLeft w:val="0"/>
          <w:marRight w:val="0"/>
          <w:marTop w:val="0"/>
          <w:marBottom w:val="0"/>
          <w:divBdr>
            <w:top w:val="none" w:sz="0" w:space="0" w:color="auto"/>
            <w:left w:val="none" w:sz="0" w:space="0" w:color="auto"/>
            <w:bottom w:val="none" w:sz="0" w:space="0" w:color="auto"/>
            <w:right w:val="none" w:sz="0" w:space="0" w:color="auto"/>
          </w:divBdr>
        </w:div>
      </w:divsChild>
    </w:div>
    <w:div w:id="1500002674">
      <w:bodyDiv w:val="1"/>
      <w:marLeft w:val="0"/>
      <w:marRight w:val="0"/>
      <w:marTop w:val="0"/>
      <w:marBottom w:val="0"/>
      <w:divBdr>
        <w:top w:val="none" w:sz="0" w:space="0" w:color="auto"/>
        <w:left w:val="none" w:sz="0" w:space="0" w:color="auto"/>
        <w:bottom w:val="none" w:sz="0" w:space="0" w:color="auto"/>
        <w:right w:val="none" w:sz="0" w:space="0" w:color="auto"/>
      </w:divBdr>
    </w:div>
    <w:div w:id="1504083666">
      <w:bodyDiv w:val="1"/>
      <w:marLeft w:val="0"/>
      <w:marRight w:val="0"/>
      <w:marTop w:val="0"/>
      <w:marBottom w:val="0"/>
      <w:divBdr>
        <w:top w:val="none" w:sz="0" w:space="0" w:color="auto"/>
        <w:left w:val="none" w:sz="0" w:space="0" w:color="auto"/>
        <w:bottom w:val="none" w:sz="0" w:space="0" w:color="auto"/>
        <w:right w:val="none" w:sz="0" w:space="0" w:color="auto"/>
      </w:divBdr>
    </w:div>
    <w:div w:id="1516112901">
      <w:bodyDiv w:val="1"/>
      <w:marLeft w:val="0"/>
      <w:marRight w:val="0"/>
      <w:marTop w:val="0"/>
      <w:marBottom w:val="0"/>
      <w:divBdr>
        <w:top w:val="none" w:sz="0" w:space="0" w:color="auto"/>
        <w:left w:val="none" w:sz="0" w:space="0" w:color="auto"/>
        <w:bottom w:val="none" w:sz="0" w:space="0" w:color="auto"/>
        <w:right w:val="none" w:sz="0" w:space="0" w:color="auto"/>
      </w:divBdr>
    </w:div>
    <w:div w:id="1520587752">
      <w:bodyDiv w:val="1"/>
      <w:marLeft w:val="0"/>
      <w:marRight w:val="0"/>
      <w:marTop w:val="0"/>
      <w:marBottom w:val="0"/>
      <w:divBdr>
        <w:top w:val="none" w:sz="0" w:space="0" w:color="auto"/>
        <w:left w:val="none" w:sz="0" w:space="0" w:color="auto"/>
        <w:bottom w:val="none" w:sz="0" w:space="0" w:color="auto"/>
        <w:right w:val="none" w:sz="0" w:space="0" w:color="auto"/>
      </w:divBdr>
      <w:divsChild>
        <w:div w:id="1838308039">
          <w:marLeft w:val="0"/>
          <w:marRight w:val="0"/>
          <w:marTop w:val="0"/>
          <w:marBottom w:val="0"/>
          <w:divBdr>
            <w:top w:val="none" w:sz="0" w:space="0" w:color="auto"/>
            <w:left w:val="none" w:sz="0" w:space="0" w:color="auto"/>
            <w:bottom w:val="none" w:sz="0" w:space="0" w:color="auto"/>
            <w:right w:val="none" w:sz="0" w:space="0" w:color="auto"/>
          </w:divBdr>
        </w:div>
        <w:div w:id="575826160">
          <w:marLeft w:val="0"/>
          <w:marRight w:val="0"/>
          <w:marTop w:val="0"/>
          <w:marBottom w:val="0"/>
          <w:divBdr>
            <w:top w:val="none" w:sz="0" w:space="0" w:color="auto"/>
            <w:left w:val="none" w:sz="0" w:space="0" w:color="auto"/>
            <w:bottom w:val="none" w:sz="0" w:space="0" w:color="auto"/>
            <w:right w:val="none" w:sz="0" w:space="0" w:color="auto"/>
          </w:divBdr>
        </w:div>
      </w:divsChild>
    </w:div>
    <w:div w:id="1532960528">
      <w:bodyDiv w:val="1"/>
      <w:marLeft w:val="0"/>
      <w:marRight w:val="0"/>
      <w:marTop w:val="0"/>
      <w:marBottom w:val="0"/>
      <w:divBdr>
        <w:top w:val="none" w:sz="0" w:space="0" w:color="auto"/>
        <w:left w:val="none" w:sz="0" w:space="0" w:color="auto"/>
        <w:bottom w:val="none" w:sz="0" w:space="0" w:color="auto"/>
        <w:right w:val="none" w:sz="0" w:space="0" w:color="auto"/>
      </w:divBdr>
      <w:divsChild>
        <w:div w:id="1084107036">
          <w:marLeft w:val="0"/>
          <w:marRight w:val="0"/>
          <w:marTop w:val="0"/>
          <w:marBottom w:val="0"/>
          <w:divBdr>
            <w:top w:val="none" w:sz="0" w:space="0" w:color="auto"/>
            <w:left w:val="none" w:sz="0" w:space="0" w:color="auto"/>
            <w:bottom w:val="none" w:sz="0" w:space="0" w:color="auto"/>
            <w:right w:val="none" w:sz="0" w:space="0" w:color="auto"/>
          </w:divBdr>
        </w:div>
        <w:div w:id="608240259">
          <w:marLeft w:val="0"/>
          <w:marRight w:val="0"/>
          <w:marTop w:val="0"/>
          <w:marBottom w:val="0"/>
          <w:divBdr>
            <w:top w:val="none" w:sz="0" w:space="0" w:color="auto"/>
            <w:left w:val="none" w:sz="0" w:space="0" w:color="auto"/>
            <w:bottom w:val="none" w:sz="0" w:space="0" w:color="auto"/>
            <w:right w:val="none" w:sz="0" w:space="0" w:color="auto"/>
          </w:divBdr>
        </w:div>
      </w:divsChild>
    </w:div>
    <w:div w:id="1533152049">
      <w:bodyDiv w:val="1"/>
      <w:marLeft w:val="0"/>
      <w:marRight w:val="0"/>
      <w:marTop w:val="0"/>
      <w:marBottom w:val="0"/>
      <w:divBdr>
        <w:top w:val="none" w:sz="0" w:space="0" w:color="auto"/>
        <w:left w:val="none" w:sz="0" w:space="0" w:color="auto"/>
        <w:bottom w:val="none" w:sz="0" w:space="0" w:color="auto"/>
        <w:right w:val="none" w:sz="0" w:space="0" w:color="auto"/>
      </w:divBdr>
    </w:div>
    <w:div w:id="1593584743">
      <w:bodyDiv w:val="1"/>
      <w:marLeft w:val="0"/>
      <w:marRight w:val="0"/>
      <w:marTop w:val="0"/>
      <w:marBottom w:val="0"/>
      <w:divBdr>
        <w:top w:val="none" w:sz="0" w:space="0" w:color="auto"/>
        <w:left w:val="none" w:sz="0" w:space="0" w:color="auto"/>
        <w:bottom w:val="none" w:sz="0" w:space="0" w:color="auto"/>
        <w:right w:val="none" w:sz="0" w:space="0" w:color="auto"/>
      </w:divBdr>
    </w:div>
    <w:div w:id="1603612963">
      <w:bodyDiv w:val="1"/>
      <w:marLeft w:val="0"/>
      <w:marRight w:val="0"/>
      <w:marTop w:val="0"/>
      <w:marBottom w:val="0"/>
      <w:divBdr>
        <w:top w:val="none" w:sz="0" w:space="0" w:color="auto"/>
        <w:left w:val="none" w:sz="0" w:space="0" w:color="auto"/>
        <w:bottom w:val="none" w:sz="0" w:space="0" w:color="auto"/>
        <w:right w:val="none" w:sz="0" w:space="0" w:color="auto"/>
      </w:divBdr>
    </w:div>
    <w:div w:id="1668052046">
      <w:bodyDiv w:val="1"/>
      <w:marLeft w:val="0"/>
      <w:marRight w:val="0"/>
      <w:marTop w:val="0"/>
      <w:marBottom w:val="0"/>
      <w:divBdr>
        <w:top w:val="none" w:sz="0" w:space="0" w:color="auto"/>
        <w:left w:val="none" w:sz="0" w:space="0" w:color="auto"/>
        <w:bottom w:val="none" w:sz="0" w:space="0" w:color="auto"/>
        <w:right w:val="none" w:sz="0" w:space="0" w:color="auto"/>
      </w:divBdr>
    </w:div>
    <w:div w:id="1731004392">
      <w:bodyDiv w:val="1"/>
      <w:marLeft w:val="0"/>
      <w:marRight w:val="0"/>
      <w:marTop w:val="0"/>
      <w:marBottom w:val="0"/>
      <w:divBdr>
        <w:top w:val="none" w:sz="0" w:space="0" w:color="auto"/>
        <w:left w:val="none" w:sz="0" w:space="0" w:color="auto"/>
        <w:bottom w:val="none" w:sz="0" w:space="0" w:color="auto"/>
        <w:right w:val="none" w:sz="0" w:space="0" w:color="auto"/>
      </w:divBdr>
      <w:divsChild>
        <w:div w:id="1369336398">
          <w:marLeft w:val="0"/>
          <w:marRight w:val="0"/>
          <w:marTop w:val="0"/>
          <w:marBottom w:val="0"/>
          <w:divBdr>
            <w:top w:val="none" w:sz="0" w:space="0" w:color="auto"/>
            <w:left w:val="none" w:sz="0" w:space="0" w:color="auto"/>
            <w:bottom w:val="none" w:sz="0" w:space="0" w:color="auto"/>
            <w:right w:val="none" w:sz="0" w:space="0" w:color="auto"/>
          </w:divBdr>
          <w:divsChild>
            <w:div w:id="2134707252">
              <w:marLeft w:val="0"/>
              <w:marRight w:val="0"/>
              <w:marTop w:val="0"/>
              <w:marBottom w:val="0"/>
              <w:divBdr>
                <w:top w:val="none" w:sz="0" w:space="0" w:color="auto"/>
                <w:left w:val="none" w:sz="0" w:space="0" w:color="auto"/>
                <w:bottom w:val="none" w:sz="0" w:space="0" w:color="auto"/>
                <w:right w:val="none" w:sz="0" w:space="0" w:color="auto"/>
              </w:divBdr>
              <w:divsChild>
                <w:div w:id="87510727">
                  <w:marLeft w:val="0"/>
                  <w:marRight w:val="0"/>
                  <w:marTop w:val="0"/>
                  <w:marBottom w:val="0"/>
                  <w:divBdr>
                    <w:top w:val="none" w:sz="0" w:space="0" w:color="auto"/>
                    <w:left w:val="none" w:sz="0" w:space="0" w:color="auto"/>
                    <w:bottom w:val="none" w:sz="0" w:space="0" w:color="auto"/>
                    <w:right w:val="none" w:sz="0" w:space="0" w:color="auto"/>
                  </w:divBdr>
                </w:div>
                <w:div w:id="860437296">
                  <w:marLeft w:val="0"/>
                  <w:marRight w:val="0"/>
                  <w:marTop w:val="0"/>
                  <w:marBottom w:val="0"/>
                  <w:divBdr>
                    <w:top w:val="none" w:sz="0" w:space="0" w:color="auto"/>
                    <w:left w:val="none" w:sz="0" w:space="0" w:color="auto"/>
                    <w:bottom w:val="none" w:sz="0" w:space="0" w:color="auto"/>
                    <w:right w:val="none" w:sz="0" w:space="0" w:color="auto"/>
                  </w:divBdr>
                  <w:divsChild>
                    <w:div w:id="829056409">
                      <w:marLeft w:val="0"/>
                      <w:marRight w:val="0"/>
                      <w:marTop w:val="0"/>
                      <w:marBottom w:val="0"/>
                      <w:divBdr>
                        <w:top w:val="none" w:sz="0" w:space="0" w:color="auto"/>
                        <w:left w:val="none" w:sz="0" w:space="0" w:color="auto"/>
                        <w:bottom w:val="none" w:sz="0" w:space="0" w:color="auto"/>
                        <w:right w:val="none" w:sz="0" w:space="0" w:color="auto"/>
                      </w:divBdr>
                      <w:divsChild>
                        <w:div w:id="1372263180">
                          <w:marLeft w:val="0"/>
                          <w:marRight w:val="0"/>
                          <w:marTop w:val="0"/>
                          <w:marBottom w:val="0"/>
                          <w:divBdr>
                            <w:top w:val="none" w:sz="0" w:space="0" w:color="auto"/>
                            <w:left w:val="none" w:sz="0" w:space="0" w:color="auto"/>
                            <w:bottom w:val="none" w:sz="0" w:space="0" w:color="auto"/>
                            <w:right w:val="none" w:sz="0" w:space="0" w:color="auto"/>
                          </w:divBdr>
                          <w:divsChild>
                            <w:div w:id="1531213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4530546">
                  <w:marLeft w:val="0"/>
                  <w:marRight w:val="0"/>
                  <w:marTop w:val="0"/>
                  <w:marBottom w:val="0"/>
                  <w:divBdr>
                    <w:top w:val="none" w:sz="0" w:space="0" w:color="auto"/>
                    <w:left w:val="none" w:sz="0" w:space="0" w:color="auto"/>
                    <w:bottom w:val="none" w:sz="0" w:space="0" w:color="auto"/>
                    <w:right w:val="none" w:sz="0" w:space="0" w:color="auto"/>
                  </w:divBdr>
                  <w:divsChild>
                    <w:div w:id="646591050">
                      <w:marLeft w:val="0"/>
                      <w:marRight w:val="0"/>
                      <w:marTop w:val="0"/>
                      <w:marBottom w:val="0"/>
                      <w:divBdr>
                        <w:top w:val="none" w:sz="0" w:space="0" w:color="auto"/>
                        <w:left w:val="none" w:sz="0" w:space="0" w:color="auto"/>
                        <w:bottom w:val="none" w:sz="0" w:space="0" w:color="auto"/>
                        <w:right w:val="none" w:sz="0" w:space="0" w:color="auto"/>
                      </w:divBdr>
                      <w:divsChild>
                        <w:div w:id="1298490616">
                          <w:marLeft w:val="0"/>
                          <w:marRight w:val="0"/>
                          <w:marTop w:val="0"/>
                          <w:marBottom w:val="0"/>
                          <w:divBdr>
                            <w:top w:val="none" w:sz="0" w:space="0" w:color="auto"/>
                            <w:left w:val="none" w:sz="0" w:space="0" w:color="auto"/>
                            <w:bottom w:val="none" w:sz="0" w:space="0" w:color="auto"/>
                            <w:right w:val="none" w:sz="0" w:space="0" w:color="auto"/>
                          </w:divBdr>
                          <w:divsChild>
                            <w:div w:id="2133092581">
                              <w:marLeft w:val="0"/>
                              <w:marRight w:val="0"/>
                              <w:marTop w:val="0"/>
                              <w:marBottom w:val="0"/>
                              <w:divBdr>
                                <w:top w:val="none" w:sz="0" w:space="0" w:color="auto"/>
                                <w:left w:val="none" w:sz="0" w:space="0" w:color="auto"/>
                                <w:bottom w:val="none" w:sz="0" w:space="0" w:color="auto"/>
                                <w:right w:val="none" w:sz="0" w:space="0" w:color="auto"/>
                              </w:divBdr>
                              <w:divsChild>
                                <w:div w:id="521404960">
                                  <w:marLeft w:val="0"/>
                                  <w:marRight w:val="0"/>
                                  <w:marTop w:val="0"/>
                                  <w:marBottom w:val="0"/>
                                  <w:divBdr>
                                    <w:top w:val="none" w:sz="0" w:space="0" w:color="auto"/>
                                    <w:left w:val="none" w:sz="0" w:space="0" w:color="auto"/>
                                    <w:bottom w:val="none" w:sz="0" w:space="0" w:color="auto"/>
                                    <w:right w:val="none" w:sz="0" w:space="0" w:color="auto"/>
                                  </w:divBdr>
                                </w:div>
                                <w:div w:id="374744651">
                                  <w:marLeft w:val="0"/>
                                  <w:marRight w:val="0"/>
                                  <w:marTop w:val="0"/>
                                  <w:marBottom w:val="0"/>
                                  <w:divBdr>
                                    <w:top w:val="none" w:sz="0" w:space="0" w:color="auto"/>
                                    <w:left w:val="none" w:sz="0" w:space="0" w:color="auto"/>
                                    <w:bottom w:val="none" w:sz="0" w:space="0" w:color="auto"/>
                                    <w:right w:val="none" w:sz="0" w:space="0" w:color="auto"/>
                                  </w:divBdr>
                                </w:div>
                                <w:div w:id="1100684270">
                                  <w:marLeft w:val="0"/>
                                  <w:marRight w:val="0"/>
                                  <w:marTop w:val="0"/>
                                  <w:marBottom w:val="0"/>
                                  <w:divBdr>
                                    <w:top w:val="none" w:sz="0" w:space="0" w:color="auto"/>
                                    <w:left w:val="none" w:sz="0" w:space="0" w:color="auto"/>
                                    <w:bottom w:val="none" w:sz="0" w:space="0" w:color="auto"/>
                                    <w:right w:val="none" w:sz="0" w:space="0" w:color="auto"/>
                                  </w:divBdr>
                                </w:div>
                                <w:div w:id="25324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9373139">
                  <w:marLeft w:val="0"/>
                  <w:marRight w:val="0"/>
                  <w:marTop w:val="0"/>
                  <w:marBottom w:val="0"/>
                  <w:divBdr>
                    <w:top w:val="none" w:sz="0" w:space="0" w:color="auto"/>
                    <w:left w:val="none" w:sz="0" w:space="0" w:color="auto"/>
                    <w:bottom w:val="none" w:sz="0" w:space="0" w:color="auto"/>
                    <w:right w:val="none" w:sz="0" w:space="0" w:color="auto"/>
                  </w:divBdr>
                  <w:divsChild>
                    <w:div w:id="1018851737">
                      <w:marLeft w:val="0"/>
                      <w:marRight w:val="0"/>
                      <w:marTop w:val="0"/>
                      <w:marBottom w:val="0"/>
                      <w:divBdr>
                        <w:top w:val="none" w:sz="0" w:space="0" w:color="auto"/>
                        <w:left w:val="none" w:sz="0" w:space="0" w:color="auto"/>
                        <w:bottom w:val="none" w:sz="0" w:space="0" w:color="auto"/>
                        <w:right w:val="none" w:sz="0" w:space="0" w:color="auto"/>
                      </w:divBdr>
                      <w:divsChild>
                        <w:div w:id="1859466192">
                          <w:marLeft w:val="0"/>
                          <w:marRight w:val="0"/>
                          <w:marTop w:val="0"/>
                          <w:marBottom w:val="0"/>
                          <w:divBdr>
                            <w:top w:val="none" w:sz="0" w:space="0" w:color="auto"/>
                            <w:left w:val="none" w:sz="0" w:space="0" w:color="auto"/>
                            <w:bottom w:val="none" w:sz="0" w:space="0" w:color="auto"/>
                            <w:right w:val="none" w:sz="0" w:space="0" w:color="auto"/>
                          </w:divBdr>
                        </w:div>
                        <w:div w:id="1347363179">
                          <w:marLeft w:val="0"/>
                          <w:marRight w:val="0"/>
                          <w:marTop w:val="0"/>
                          <w:marBottom w:val="0"/>
                          <w:divBdr>
                            <w:top w:val="none" w:sz="0" w:space="0" w:color="auto"/>
                            <w:left w:val="none" w:sz="0" w:space="0" w:color="auto"/>
                            <w:bottom w:val="none" w:sz="0" w:space="0" w:color="auto"/>
                            <w:right w:val="none" w:sz="0" w:space="0" w:color="auto"/>
                          </w:divBdr>
                          <w:divsChild>
                            <w:div w:id="1005204209">
                              <w:marLeft w:val="0"/>
                              <w:marRight w:val="0"/>
                              <w:marTop w:val="0"/>
                              <w:marBottom w:val="0"/>
                              <w:divBdr>
                                <w:top w:val="none" w:sz="0" w:space="0" w:color="auto"/>
                                <w:left w:val="none" w:sz="0" w:space="0" w:color="auto"/>
                                <w:bottom w:val="none" w:sz="0" w:space="0" w:color="auto"/>
                                <w:right w:val="none" w:sz="0" w:space="0" w:color="auto"/>
                              </w:divBdr>
                            </w:div>
                          </w:divsChild>
                        </w:div>
                        <w:div w:id="85267809">
                          <w:marLeft w:val="0"/>
                          <w:marRight w:val="0"/>
                          <w:marTop w:val="0"/>
                          <w:marBottom w:val="0"/>
                          <w:divBdr>
                            <w:top w:val="none" w:sz="0" w:space="0" w:color="auto"/>
                            <w:left w:val="none" w:sz="0" w:space="0" w:color="auto"/>
                            <w:bottom w:val="none" w:sz="0" w:space="0" w:color="auto"/>
                            <w:right w:val="none" w:sz="0" w:space="0" w:color="auto"/>
                          </w:divBdr>
                        </w:div>
                        <w:div w:id="914709628">
                          <w:marLeft w:val="0"/>
                          <w:marRight w:val="0"/>
                          <w:marTop w:val="0"/>
                          <w:marBottom w:val="0"/>
                          <w:divBdr>
                            <w:top w:val="none" w:sz="0" w:space="0" w:color="auto"/>
                            <w:left w:val="none" w:sz="0" w:space="0" w:color="auto"/>
                            <w:bottom w:val="none" w:sz="0" w:space="0" w:color="auto"/>
                            <w:right w:val="none" w:sz="0" w:space="0" w:color="auto"/>
                          </w:divBdr>
                        </w:div>
                        <w:div w:id="210195695">
                          <w:marLeft w:val="0"/>
                          <w:marRight w:val="0"/>
                          <w:marTop w:val="0"/>
                          <w:marBottom w:val="0"/>
                          <w:divBdr>
                            <w:top w:val="none" w:sz="0" w:space="0" w:color="auto"/>
                            <w:left w:val="none" w:sz="0" w:space="0" w:color="auto"/>
                            <w:bottom w:val="none" w:sz="0" w:space="0" w:color="auto"/>
                            <w:right w:val="none" w:sz="0" w:space="0" w:color="auto"/>
                          </w:divBdr>
                          <w:divsChild>
                            <w:div w:id="446511438">
                              <w:marLeft w:val="0"/>
                              <w:marRight w:val="0"/>
                              <w:marTop w:val="0"/>
                              <w:marBottom w:val="0"/>
                              <w:divBdr>
                                <w:top w:val="none" w:sz="0" w:space="0" w:color="auto"/>
                                <w:left w:val="none" w:sz="0" w:space="0" w:color="auto"/>
                                <w:bottom w:val="none" w:sz="0" w:space="0" w:color="auto"/>
                                <w:right w:val="none" w:sz="0" w:space="0" w:color="auto"/>
                              </w:divBdr>
                            </w:div>
                          </w:divsChild>
                        </w:div>
                        <w:div w:id="1813791476">
                          <w:marLeft w:val="0"/>
                          <w:marRight w:val="0"/>
                          <w:marTop w:val="0"/>
                          <w:marBottom w:val="0"/>
                          <w:divBdr>
                            <w:top w:val="none" w:sz="0" w:space="0" w:color="auto"/>
                            <w:left w:val="none" w:sz="0" w:space="0" w:color="auto"/>
                            <w:bottom w:val="none" w:sz="0" w:space="0" w:color="auto"/>
                            <w:right w:val="none" w:sz="0" w:space="0" w:color="auto"/>
                          </w:divBdr>
                        </w:div>
                        <w:div w:id="551891304">
                          <w:marLeft w:val="0"/>
                          <w:marRight w:val="0"/>
                          <w:marTop w:val="0"/>
                          <w:marBottom w:val="0"/>
                          <w:divBdr>
                            <w:top w:val="none" w:sz="0" w:space="0" w:color="auto"/>
                            <w:left w:val="none" w:sz="0" w:space="0" w:color="auto"/>
                            <w:bottom w:val="none" w:sz="0" w:space="0" w:color="auto"/>
                            <w:right w:val="none" w:sz="0" w:space="0" w:color="auto"/>
                          </w:divBdr>
                        </w:div>
                        <w:div w:id="984896770">
                          <w:marLeft w:val="0"/>
                          <w:marRight w:val="0"/>
                          <w:marTop w:val="0"/>
                          <w:marBottom w:val="0"/>
                          <w:divBdr>
                            <w:top w:val="none" w:sz="0" w:space="0" w:color="auto"/>
                            <w:left w:val="none" w:sz="0" w:space="0" w:color="auto"/>
                            <w:bottom w:val="none" w:sz="0" w:space="0" w:color="auto"/>
                            <w:right w:val="none" w:sz="0" w:space="0" w:color="auto"/>
                          </w:divBdr>
                          <w:divsChild>
                            <w:div w:id="100729504">
                              <w:marLeft w:val="0"/>
                              <w:marRight w:val="0"/>
                              <w:marTop w:val="0"/>
                              <w:marBottom w:val="0"/>
                              <w:divBdr>
                                <w:top w:val="none" w:sz="0" w:space="0" w:color="auto"/>
                                <w:left w:val="none" w:sz="0" w:space="0" w:color="auto"/>
                                <w:bottom w:val="none" w:sz="0" w:space="0" w:color="auto"/>
                                <w:right w:val="none" w:sz="0" w:space="0" w:color="auto"/>
                              </w:divBdr>
                            </w:div>
                          </w:divsChild>
                        </w:div>
                        <w:div w:id="1033916658">
                          <w:marLeft w:val="0"/>
                          <w:marRight w:val="0"/>
                          <w:marTop w:val="0"/>
                          <w:marBottom w:val="0"/>
                          <w:divBdr>
                            <w:top w:val="none" w:sz="0" w:space="0" w:color="auto"/>
                            <w:left w:val="none" w:sz="0" w:space="0" w:color="auto"/>
                            <w:bottom w:val="none" w:sz="0" w:space="0" w:color="auto"/>
                            <w:right w:val="none" w:sz="0" w:space="0" w:color="auto"/>
                          </w:divBdr>
                        </w:div>
                        <w:div w:id="1932397182">
                          <w:marLeft w:val="0"/>
                          <w:marRight w:val="0"/>
                          <w:marTop w:val="0"/>
                          <w:marBottom w:val="0"/>
                          <w:divBdr>
                            <w:top w:val="none" w:sz="0" w:space="0" w:color="auto"/>
                            <w:left w:val="none" w:sz="0" w:space="0" w:color="auto"/>
                            <w:bottom w:val="none" w:sz="0" w:space="0" w:color="auto"/>
                            <w:right w:val="none" w:sz="0" w:space="0" w:color="auto"/>
                          </w:divBdr>
                        </w:div>
                        <w:div w:id="1520781153">
                          <w:marLeft w:val="0"/>
                          <w:marRight w:val="0"/>
                          <w:marTop w:val="0"/>
                          <w:marBottom w:val="0"/>
                          <w:divBdr>
                            <w:top w:val="none" w:sz="0" w:space="0" w:color="auto"/>
                            <w:left w:val="none" w:sz="0" w:space="0" w:color="auto"/>
                            <w:bottom w:val="none" w:sz="0" w:space="0" w:color="auto"/>
                            <w:right w:val="none" w:sz="0" w:space="0" w:color="auto"/>
                          </w:divBdr>
                          <w:divsChild>
                            <w:div w:id="254365967">
                              <w:marLeft w:val="0"/>
                              <w:marRight w:val="0"/>
                              <w:marTop w:val="0"/>
                              <w:marBottom w:val="0"/>
                              <w:divBdr>
                                <w:top w:val="none" w:sz="0" w:space="0" w:color="auto"/>
                                <w:left w:val="none" w:sz="0" w:space="0" w:color="auto"/>
                                <w:bottom w:val="none" w:sz="0" w:space="0" w:color="auto"/>
                                <w:right w:val="none" w:sz="0" w:space="0" w:color="auto"/>
                              </w:divBdr>
                            </w:div>
                          </w:divsChild>
                        </w:div>
                        <w:div w:id="2100640157">
                          <w:marLeft w:val="0"/>
                          <w:marRight w:val="0"/>
                          <w:marTop w:val="0"/>
                          <w:marBottom w:val="0"/>
                          <w:divBdr>
                            <w:top w:val="none" w:sz="0" w:space="0" w:color="auto"/>
                            <w:left w:val="none" w:sz="0" w:space="0" w:color="auto"/>
                            <w:bottom w:val="none" w:sz="0" w:space="0" w:color="auto"/>
                            <w:right w:val="none" w:sz="0" w:space="0" w:color="auto"/>
                          </w:divBdr>
                        </w:div>
                        <w:div w:id="1665821306">
                          <w:marLeft w:val="0"/>
                          <w:marRight w:val="0"/>
                          <w:marTop w:val="0"/>
                          <w:marBottom w:val="0"/>
                          <w:divBdr>
                            <w:top w:val="none" w:sz="0" w:space="0" w:color="auto"/>
                            <w:left w:val="none" w:sz="0" w:space="0" w:color="auto"/>
                            <w:bottom w:val="none" w:sz="0" w:space="0" w:color="auto"/>
                            <w:right w:val="none" w:sz="0" w:space="0" w:color="auto"/>
                          </w:divBdr>
                        </w:div>
                        <w:div w:id="497695241">
                          <w:marLeft w:val="0"/>
                          <w:marRight w:val="0"/>
                          <w:marTop w:val="0"/>
                          <w:marBottom w:val="0"/>
                          <w:divBdr>
                            <w:top w:val="none" w:sz="0" w:space="0" w:color="auto"/>
                            <w:left w:val="none" w:sz="0" w:space="0" w:color="auto"/>
                            <w:bottom w:val="none" w:sz="0" w:space="0" w:color="auto"/>
                            <w:right w:val="none" w:sz="0" w:space="0" w:color="auto"/>
                          </w:divBdr>
                          <w:divsChild>
                            <w:div w:id="1639336786">
                              <w:marLeft w:val="0"/>
                              <w:marRight w:val="0"/>
                              <w:marTop w:val="0"/>
                              <w:marBottom w:val="0"/>
                              <w:divBdr>
                                <w:top w:val="none" w:sz="0" w:space="0" w:color="auto"/>
                                <w:left w:val="none" w:sz="0" w:space="0" w:color="auto"/>
                                <w:bottom w:val="none" w:sz="0" w:space="0" w:color="auto"/>
                                <w:right w:val="none" w:sz="0" w:space="0" w:color="auto"/>
                              </w:divBdr>
                            </w:div>
                          </w:divsChild>
                        </w:div>
                        <w:div w:id="36273931">
                          <w:marLeft w:val="0"/>
                          <w:marRight w:val="0"/>
                          <w:marTop w:val="0"/>
                          <w:marBottom w:val="0"/>
                          <w:divBdr>
                            <w:top w:val="none" w:sz="0" w:space="0" w:color="auto"/>
                            <w:left w:val="none" w:sz="0" w:space="0" w:color="auto"/>
                            <w:bottom w:val="none" w:sz="0" w:space="0" w:color="auto"/>
                            <w:right w:val="none" w:sz="0" w:space="0" w:color="auto"/>
                          </w:divBdr>
                        </w:div>
                        <w:div w:id="857158040">
                          <w:marLeft w:val="0"/>
                          <w:marRight w:val="0"/>
                          <w:marTop w:val="0"/>
                          <w:marBottom w:val="0"/>
                          <w:divBdr>
                            <w:top w:val="none" w:sz="0" w:space="0" w:color="auto"/>
                            <w:left w:val="none" w:sz="0" w:space="0" w:color="auto"/>
                            <w:bottom w:val="none" w:sz="0" w:space="0" w:color="auto"/>
                            <w:right w:val="none" w:sz="0" w:space="0" w:color="auto"/>
                          </w:divBdr>
                          <w:divsChild>
                            <w:div w:id="172255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137629">
                      <w:marLeft w:val="0"/>
                      <w:marRight w:val="0"/>
                      <w:marTop w:val="0"/>
                      <w:marBottom w:val="0"/>
                      <w:divBdr>
                        <w:top w:val="none" w:sz="0" w:space="0" w:color="auto"/>
                        <w:left w:val="none" w:sz="0" w:space="0" w:color="auto"/>
                        <w:bottom w:val="none" w:sz="0" w:space="0" w:color="auto"/>
                        <w:right w:val="none" w:sz="0" w:space="0" w:color="auto"/>
                      </w:divBdr>
                      <w:divsChild>
                        <w:div w:id="363214760">
                          <w:marLeft w:val="0"/>
                          <w:marRight w:val="0"/>
                          <w:marTop w:val="0"/>
                          <w:marBottom w:val="0"/>
                          <w:divBdr>
                            <w:top w:val="none" w:sz="0" w:space="0" w:color="auto"/>
                            <w:left w:val="none" w:sz="0" w:space="0" w:color="auto"/>
                            <w:bottom w:val="none" w:sz="0" w:space="0" w:color="auto"/>
                            <w:right w:val="none" w:sz="0" w:space="0" w:color="auto"/>
                          </w:divBdr>
                        </w:div>
                        <w:div w:id="871647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107798">
                  <w:marLeft w:val="0"/>
                  <w:marRight w:val="0"/>
                  <w:marTop w:val="0"/>
                  <w:marBottom w:val="0"/>
                  <w:divBdr>
                    <w:top w:val="none" w:sz="0" w:space="0" w:color="auto"/>
                    <w:left w:val="none" w:sz="0" w:space="0" w:color="auto"/>
                    <w:bottom w:val="none" w:sz="0" w:space="0" w:color="auto"/>
                    <w:right w:val="none" w:sz="0" w:space="0" w:color="auto"/>
                  </w:divBdr>
                  <w:divsChild>
                    <w:div w:id="369503027">
                      <w:marLeft w:val="0"/>
                      <w:marRight w:val="0"/>
                      <w:marTop w:val="0"/>
                      <w:marBottom w:val="0"/>
                      <w:divBdr>
                        <w:top w:val="none" w:sz="0" w:space="0" w:color="auto"/>
                        <w:left w:val="none" w:sz="0" w:space="0" w:color="auto"/>
                        <w:bottom w:val="none" w:sz="0" w:space="0" w:color="auto"/>
                        <w:right w:val="none" w:sz="0" w:space="0" w:color="auto"/>
                      </w:divBdr>
                      <w:divsChild>
                        <w:div w:id="1736314486">
                          <w:marLeft w:val="0"/>
                          <w:marRight w:val="0"/>
                          <w:marTop w:val="0"/>
                          <w:marBottom w:val="0"/>
                          <w:divBdr>
                            <w:top w:val="none" w:sz="0" w:space="0" w:color="auto"/>
                            <w:left w:val="none" w:sz="0" w:space="0" w:color="auto"/>
                            <w:bottom w:val="none" w:sz="0" w:space="0" w:color="auto"/>
                            <w:right w:val="none" w:sz="0" w:space="0" w:color="auto"/>
                          </w:divBdr>
                          <w:divsChild>
                            <w:div w:id="2112504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550721">
              <w:marLeft w:val="0"/>
              <w:marRight w:val="0"/>
              <w:marTop w:val="0"/>
              <w:marBottom w:val="0"/>
              <w:divBdr>
                <w:top w:val="none" w:sz="0" w:space="0" w:color="auto"/>
                <w:left w:val="none" w:sz="0" w:space="0" w:color="auto"/>
                <w:bottom w:val="none" w:sz="0" w:space="0" w:color="auto"/>
                <w:right w:val="none" w:sz="0" w:space="0" w:color="auto"/>
              </w:divBdr>
              <w:divsChild>
                <w:div w:id="389694874">
                  <w:marLeft w:val="0"/>
                  <w:marRight w:val="0"/>
                  <w:marTop w:val="0"/>
                  <w:marBottom w:val="0"/>
                  <w:divBdr>
                    <w:top w:val="none" w:sz="0" w:space="0" w:color="auto"/>
                    <w:left w:val="none" w:sz="0" w:space="0" w:color="auto"/>
                    <w:bottom w:val="none" w:sz="0" w:space="0" w:color="auto"/>
                    <w:right w:val="none" w:sz="0" w:space="0" w:color="auto"/>
                  </w:divBdr>
                  <w:divsChild>
                    <w:div w:id="695890639">
                      <w:marLeft w:val="0"/>
                      <w:marRight w:val="0"/>
                      <w:marTop w:val="0"/>
                      <w:marBottom w:val="0"/>
                      <w:divBdr>
                        <w:top w:val="none" w:sz="0" w:space="0" w:color="auto"/>
                        <w:left w:val="none" w:sz="0" w:space="0" w:color="auto"/>
                        <w:bottom w:val="none" w:sz="0" w:space="0" w:color="auto"/>
                        <w:right w:val="none" w:sz="0" w:space="0" w:color="auto"/>
                      </w:divBdr>
                    </w:div>
                    <w:div w:id="334499544">
                      <w:marLeft w:val="0"/>
                      <w:marRight w:val="0"/>
                      <w:marTop w:val="0"/>
                      <w:marBottom w:val="0"/>
                      <w:divBdr>
                        <w:top w:val="none" w:sz="0" w:space="0" w:color="auto"/>
                        <w:left w:val="none" w:sz="0" w:space="0" w:color="auto"/>
                        <w:bottom w:val="none" w:sz="0" w:space="0" w:color="auto"/>
                        <w:right w:val="none" w:sz="0" w:space="0" w:color="auto"/>
                      </w:divBdr>
                    </w:div>
                    <w:div w:id="2113890702">
                      <w:marLeft w:val="0"/>
                      <w:marRight w:val="0"/>
                      <w:marTop w:val="0"/>
                      <w:marBottom w:val="0"/>
                      <w:divBdr>
                        <w:top w:val="none" w:sz="0" w:space="0" w:color="auto"/>
                        <w:left w:val="none" w:sz="0" w:space="0" w:color="auto"/>
                        <w:bottom w:val="none" w:sz="0" w:space="0" w:color="auto"/>
                        <w:right w:val="none" w:sz="0" w:space="0" w:color="auto"/>
                      </w:divBdr>
                      <w:divsChild>
                        <w:div w:id="428158491">
                          <w:marLeft w:val="0"/>
                          <w:marRight w:val="0"/>
                          <w:marTop w:val="0"/>
                          <w:marBottom w:val="0"/>
                          <w:divBdr>
                            <w:top w:val="none" w:sz="0" w:space="0" w:color="auto"/>
                            <w:left w:val="none" w:sz="0" w:space="0" w:color="auto"/>
                            <w:bottom w:val="none" w:sz="0" w:space="0" w:color="auto"/>
                            <w:right w:val="none" w:sz="0" w:space="0" w:color="auto"/>
                          </w:divBdr>
                        </w:div>
                        <w:div w:id="1834641853">
                          <w:marLeft w:val="0"/>
                          <w:marRight w:val="0"/>
                          <w:marTop w:val="0"/>
                          <w:marBottom w:val="0"/>
                          <w:divBdr>
                            <w:top w:val="none" w:sz="0" w:space="0" w:color="auto"/>
                            <w:left w:val="none" w:sz="0" w:space="0" w:color="auto"/>
                            <w:bottom w:val="none" w:sz="0" w:space="0" w:color="auto"/>
                            <w:right w:val="none" w:sz="0" w:space="0" w:color="auto"/>
                          </w:divBdr>
                        </w:div>
                        <w:div w:id="1957062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1641698">
                  <w:marLeft w:val="0"/>
                  <w:marRight w:val="0"/>
                  <w:marTop w:val="0"/>
                  <w:marBottom w:val="0"/>
                  <w:divBdr>
                    <w:top w:val="none" w:sz="0" w:space="0" w:color="auto"/>
                    <w:left w:val="none" w:sz="0" w:space="0" w:color="auto"/>
                    <w:bottom w:val="none" w:sz="0" w:space="0" w:color="auto"/>
                    <w:right w:val="none" w:sz="0" w:space="0" w:color="auto"/>
                  </w:divBdr>
                  <w:divsChild>
                    <w:div w:id="1734692457">
                      <w:marLeft w:val="0"/>
                      <w:marRight w:val="0"/>
                      <w:marTop w:val="0"/>
                      <w:marBottom w:val="0"/>
                      <w:divBdr>
                        <w:top w:val="none" w:sz="0" w:space="0" w:color="auto"/>
                        <w:left w:val="none" w:sz="0" w:space="0" w:color="auto"/>
                        <w:bottom w:val="none" w:sz="0" w:space="0" w:color="auto"/>
                        <w:right w:val="none" w:sz="0" w:space="0" w:color="auto"/>
                      </w:divBdr>
                    </w:div>
                  </w:divsChild>
                </w:div>
                <w:div w:id="1631786099">
                  <w:marLeft w:val="0"/>
                  <w:marRight w:val="0"/>
                  <w:marTop w:val="0"/>
                  <w:marBottom w:val="0"/>
                  <w:divBdr>
                    <w:top w:val="none" w:sz="0" w:space="0" w:color="auto"/>
                    <w:left w:val="none" w:sz="0" w:space="0" w:color="auto"/>
                    <w:bottom w:val="none" w:sz="0" w:space="0" w:color="auto"/>
                    <w:right w:val="none" w:sz="0" w:space="0" w:color="auto"/>
                  </w:divBdr>
                  <w:divsChild>
                    <w:div w:id="1516965378">
                      <w:marLeft w:val="0"/>
                      <w:marRight w:val="0"/>
                      <w:marTop w:val="0"/>
                      <w:marBottom w:val="0"/>
                      <w:divBdr>
                        <w:top w:val="none" w:sz="0" w:space="0" w:color="auto"/>
                        <w:left w:val="none" w:sz="0" w:space="0" w:color="auto"/>
                        <w:bottom w:val="none" w:sz="0" w:space="0" w:color="auto"/>
                        <w:right w:val="none" w:sz="0" w:space="0" w:color="auto"/>
                      </w:divBdr>
                    </w:div>
                  </w:divsChild>
                </w:div>
                <w:div w:id="857767478">
                  <w:marLeft w:val="0"/>
                  <w:marRight w:val="0"/>
                  <w:marTop w:val="0"/>
                  <w:marBottom w:val="0"/>
                  <w:divBdr>
                    <w:top w:val="none" w:sz="0" w:space="0" w:color="auto"/>
                    <w:left w:val="none" w:sz="0" w:space="0" w:color="auto"/>
                    <w:bottom w:val="none" w:sz="0" w:space="0" w:color="auto"/>
                    <w:right w:val="none" w:sz="0" w:space="0" w:color="auto"/>
                  </w:divBdr>
                  <w:divsChild>
                    <w:div w:id="1896623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8016644">
      <w:bodyDiv w:val="1"/>
      <w:marLeft w:val="0"/>
      <w:marRight w:val="0"/>
      <w:marTop w:val="0"/>
      <w:marBottom w:val="0"/>
      <w:divBdr>
        <w:top w:val="none" w:sz="0" w:space="0" w:color="auto"/>
        <w:left w:val="none" w:sz="0" w:space="0" w:color="auto"/>
        <w:bottom w:val="none" w:sz="0" w:space="0" w:color="auto"/>
        <w:right w:val="none" w:sz="0" w:space="0" w:color="auto"/>
      </w:divBdr>
    </w:div>
    <w:div w:id="1797062691">
      <w:bodyDiv w:val="1"/>
      <w:marLeft w:val="0"/>
      <w:marRight w:val="0"/>
      <w:marTop w:val="0"/>
      <w:marBottom w:val="0"/>
      <w:divBdr>
        <w:top w:val="none" w:sz="0" w:space="0" w:color="auto"/>
        <w:left w:val="none" w:sz="0" w:space="0" w:color="auto"/>
        <w:bottom w:val="none" w:sz="0" w:space="0" w:color="auto"/>
        <w:right w:val="none" w:sz="0" w:space="0" w:color="auto"/>
      </w:divBdr>
      <w:divsChild>
        <w:div w:id="773981105">
          <w:marLeft w:val="0"/>
          <w:marRight w:val="0"/>
          <w:marTop w:val="0"/>
          <w:marBottom w:val="0"/>
          <w:divBdr>
            <w:top w:val="none" w:sz="0" w:space="0" w:color="auto"/>
            <w:left w:val="none" w:sz="0" w:space="0" w:color="auto"/>
            <w:bottom w:val="none" w:sz="0" w:space="0" w:color="auto"/>
            <w:right w:val="none" w:sz="0" w:space="0" w:color="auto"/>
          </w:divBdr>
        </w:div>
        <w:div w:id="441726804">
          <w:marLeft w:val="0"/>
          <w:marRight w:val="0"/>
          <w:marTop w:val="0"/>
          <w:marBottom w:val="0"/>
          <w:divBdr>
            <w:top w:val="none" w:sz="0" w:space="0" w:color="auto"/>
            <w:left w:val="none" w:sz="0" w:space="0" w:color="auto"/>
            <w:bottom w:val="none" w:sz="0" w:space="0" w:color="auto"/>
            <w:right w:val="none" w:sz="0" w:space="0" w:color="auto"/>
          </w:divBdr>
        </w:div>
        <w:div w:id="650400840">
          <w:marLeft w:val="0"/>
          <w:marRight w:val="0"/>
          <w:marTop w:val="0"/>
          <w:marBottom w:val="0"/>
          <w:divBdr>
            <w:top w:val="none" w:sz="0" w:space="0" w:color="auto"/>
            <w:left w:val="none" w:sz="0" w:space="0" w:color="auto"/>
            <w:bottom w:val="none" w:sz="0" w:space="0" w:color="auto"/>
            <w:right w:val="none" w:sz="0" w:space="0" w:color="auto"/>
          </w:divBdr>
        </w:div>
      </w:divsChild>
    </w:div>
    <w:div w:id="1806580638">
      <w:bodyDiv w:val="1"/>
      <w:marLeft w:val="0"/>
      <w:marRight w:val="0"/>
      <w:marTop w:val="0"/>
      <w:marBottom w:val="0"/>
      <w:divBdr>
        <w:top w:val="none" w:sz="0" w:space="0" w:color="auto"/>
        <w:left w:val="none" w:sz="0" w:space="0" w:color="auto"/>
        <w:bottom w:val="none" w:sz="0" w:space="0" w:color="auto"/>
        <w:right w:val="none" w:sz="0" w:space="0" w:color="auto"/>
      </w:divBdr>
      <w:divsChild>
        <w:div w:id="1659915385">
          <w:marLeft w:val="0"/>
          <w:marRight w:val="0"/>
          <w:marTop w:val="0"/>
          <w:marBottom w:val="0"/>
          <w:divBdr>
            <w:top w:val="none" w:sz="0" w:space="0" w:color="auto"/>
            <w:left w:val="none" w:sz="0" w:space="0" w:color="auto"/>
            <w:bottom w:val="none" w:sz="0" w:space="0" w:color="auto"/>
            <w:right w:val="none" w:sz="0" w:space="0" w:color="auto"/>
          </w:divBdr>
        </w:div>
        <w:div w:id="1749762640">
          <w:marLeft w:val="0"/>
          <w:marRight w:val="0"/>
          <w:marTop w:val="0"/>
          <w:marBottom w:val="0"/>
          <w:divBdr>
            <w:top w:val="none" w:sz="0" w:space="0" w:color="auto"/>
            <w:left w:val="none" w:sz="0" w:space="0" w:color="auto"/>
            <w:bottom w:val="none" w:sz="0" w:space="0" w:color="auto"/>
            <w:right w:val="none" w:sz="0" w:space="0" w:color="auto"/>
          </w:divBdr>
        </w:div>
        <w:div w:id="472989235">
          <w:marLeft w:val="0"/>
          <w:marRight w:val="0"/>
          <w:marTop w:val="0"/>
          <w:marBottom w:val="0"/>
          <w:divBdr>
            <w:top w:val="none" w:sz="0" w:space="0" w:color="auto"/>
            <w:left w:val="none" w:sz="0" w:space="0" w:color="auto"/>
            <w:bottom w:val="none" w:sz="0" w:space="0" w:color="auto"/>
            <w:right w:val="none" w:sz="0" w:space="0" w:color="auto"/>
          </w:divBdr>
        </w:div>
        <w:div w:id="1093014293">
          <w:marLeft w:val="0"/>
          <w:marRight w:val="0"/>
          <w:marTop w:val="0"/>
          <w:marBottom w:val="0"/>
          <w:divBdr>
            <w:top w:val="none" w:sz="0" w:space="0" w:color="auto"/>
            <w:left w:val="none" w:sz="0" w:space="0" w:color="auto"/>
            <w:bottom w:val="none" w:sz="0" w:space="0" w:color="auto"/>
            <w:right w:val="none" w:sz="0" w:space="0" w:color="auto"/>
          </w:divBdr>
        </w:div>
        <w:div w:id="367605089">
          <w:marLeft w:val="0"/>
          <w:marRight w:val="0"/>
          <w:marTop w:val="0"/>
          <w:marBottom w:val="0"/>
          <w:divBdr>
            <w:top w:val="none" w:sz="0" w:space="0" w:color="auto"/>
            <w:left w:val="none" w:sz="0" w:space="0" w:color="auto"/>
            <w:bottom w:val="none" w:sz="0" w:space="0" w:color="auto"/>
            <w:right w:val="none" w:sz="0" w:space="0" w:color="auto"/>
          </w:divBdr>
        </w:div>
        <w:div w:id="1541624019">
          <w:marLeft w:val="0"/>
          <w:marRight w:val="0"/>
          <w:marTop w:val="0"/>
          <w:marBottom w:val="0"/>
          <w:divBdr>
            <w:top w:val="none" w:sz="0" w:space="0" w:color="auto"/>
            <w:left w:val="none" w:sz="0" w:space="0" w:color="auto"/>
            <w:bottom w:val="none" w:sz="0" w:space="0" w:color="auto"/>
            <w:right w:val="none" w:sz="0" w:space="0" w:color="auto"/>
          </w:divBdr>
        </w:div>
        <w:div w:id="1584022955">
          <w:marLeft w:val="0"/>
          <w:marRight w:val="0"/>
          <w:marTop w:val="0"/>
          <w:marBottom w:val="0"/>
          <w:divBdr>
            <w:top w:val="none" w:sz="0" w:space="0" w:color="auto"/>
            <w:left w:val="none" w:sz="0" w:space="0" w:color="auto"/>
            <w:bottom w:val="none" w:sz="0" w:space="0" w:color="auto"/>
            <w:right w:val="none" w:sz="0" w:space="0" w:color="auto"/>
          </w:divBdr>
        </w:div>
        <w:div w:id="1021205760">
          <w:marLeft w:val="0"/>
          <w:marRight w:val="0"/>
          <w:marTop w:val="0"/>
          <w:marBottom w:val="0"/>
          <w:divBdr>
            <w:top w:val="none" w:sz="0" w:space="0" w:color="auto"/>
            <w:left w:val="none" w:sz="0" w:space="0" w:color="auto"/>
            <w:bottom w:val="none" w:sz="0" w:space="0" w:color="auto"/>
            <w:right w:val="none" w:sz="0" w:space="0" w:color="auto"/>
          </w:divBdr>
        </w:div>
        <w:div w:id="1900167186">
          <w:marLeft w:val="0"/>
          <w:marRight w:val="0"/>
          <w:marTop w:val="0"/>
          <w:marBottom w:val="0"/>
          <w:divBdr>
            <w:top w:val="none" w:sz="0" w:space="0" w:color="auto"/>
            <w:left w:val="none" w:sz="0" w:space="0" w:color="auto"/>
            <w:bottom w:val="none" w:sz="0" w:space="0" w:color="auto"/>
            <w:right w:val="none" w:sz="0" w:space="0" w:color="auto"/>
          </w:divBdr>
        </w:div>
        <w:div w:id="183784511">
          <w:marLeft w:val="0"/>
          <w:marRight w:val="0"/>
          <w:marTop w:val="0"/>
          <w:marBottom w:val="0"/>
          <w:divBdr>
            <w:top w:val="none" w:sz="0" w:space="0" w:color="auto"/>
            <w:left w:val="none" w:sz="0" w:space="0" w:color="auto"/>
            <w:bottom w:val="none" w:sz="0" w:space="0" w:color="auto"/>
            <w:right w:val="none" w:sz="0" w:space="0" w:color="auto"/>
          </w:divBdr>
        </w:div>
        <w:div w:id="502160743">
          <w:marLeft w:val="0"/>
          <w:marRight w:val="0"/>
          <w:marTop w:val="0"/>
          <w:marBottom w:val="0"/>
          <w:divBdr>
            <w:top w:val="none" w:sz="0" w:space="0" w:color="auto"/>
            <w:left w:val="none" w:sz="0" w:space="0" w:color="auto"/>
            <w:bottom w:val="none" w:sz="0" w:space="0" w:color="auto"/>
            <w:right w:val="none" w:sz="0" w:space="0" w:color="auto"/>
          </w:divBdr>
        </w:div>
        <w:div w:id="1514685631">
          <w:marLeft w:val="0"/>
          <w:marRight w:val="0"/>
          <w:marTop w:val="0"/>
          <w:marBottom w:val="0"/>
          <w:divBdr>
            <w:top w:val="none" w:sz="0" w:space="0" w:color="auto"/>
            <w:left w:val="none" w:sz="0" w:space="0" w:color="auto"/>
            <w:bottom w:val="none" w:sz="0" w:space="0" w:color="auto"/>
            <w:right w:val="none" w:sz="0" w:space="0" w:color="auto"/>
          </w:divBdr>
        </w:div>
      </w:divsChild>
    </w:div>
    <w:div w:id="1844467437">
      <w:bodyDiv w:val="1"/>
      <w:marLeft w:val="0"/>
      <w:marRight w:val="0"/>
      <w:marTop w:val="0"/>
      <w:marBottom w:val="0"/>
      <w:divBdr>
        <w:top w:val="none" w:sz="0" w:space="0" w:color="auto"/>
        <w:left w:val="none" w:sz="0" w:space="0" w:color="auto"/>
        <w:bottom w:val="none" w:sz="0" w:space="0" w:color="auto"/>
        <w:right w:val="none" w:sz="0" w:space="0" w:color="auto"/>
      </w:divBdr>
      <w:divsChild>
        <w:div w:id="511383203">
          <w:marLeft w:val="0"/>
          <w:marRight w:val="0"/>
          <w:marTop w:val="0"/>
          <w:marBottom w:val="0"/>
          <w:divBdr>
            <w:top w:val="none" w:sz="0" w:space="0" w:color="auto"/>
            <w:left w:val="none" w:sz="0" w:space="0" w:color="auto"/>
            <w:bottom w:val="none" w:sz="0" w:space="0" w:color="auto"/>
            <w:right w:val="none" w:sz="0" w:space="0" w:color="auto"/>
          </w:divBdr>
        </w:div>
        <w:div w:id="50203054">
          <w:marLeft w:val="0"/>
          <w:marRight w:val="0"/>
          <w:marTop w:val="0"/>
          <w:marBottom w:val="0"/>
          <w:divBdr>
            <w:top w:val="none" w:sz="0" w:space="0" w:color="auto"/>
            <w:left w:val="none" w:sz="0" w:space="0" w:color="auto"/>
            <w:bottom w:val="none" w:sz="0" w:space="0" w:color="auto"/>
            <w:right w:val="none" w:sz="0" w:space="0" w:color="auto"/>
          </w:divBdr>
        </w:div>
      </w:divsChild>
    </w:div>
    <w:div w:id="1845363728">
      <w:bodyDiv w:val="1"/>
      <w:marLeft w:val="0"/>
      <w:marRight w:val="0"/>
      <w:marTop w:val="0"/>
      <w:marBottom w:val="0"/>
      <w:divBdr>
        <w:top w:val="none" w:sz="0" w:space="0" w:color="auto"/>
        <w:left w:val="none" w:sz="0" w:space="0" w:color="auto"/>
        <w:bottom w:val="none" w:sz="0" w:space="0" w:color="auto"/>
        <w:right w:val="none" w:sz="0" w:space="0" w:color="auto"/>
      </w:divBdr>
    </w:div>
    <w:div w:id="1862543561">
      <w:bodyDiv w:val="1"/>
      <w:marLeft w:val="0"/>
      <w:marRight w:val="0"/>
      <w:marTop w:val="0"/>
      <w:marBottom w:val="0"/>
      <w:divBdr>
        <w:top w:val="none" w:sz="0" w:space="0" w:color="auto"/>
        <w:left w:val="none" w:sz="0" w:space="0" w:color="auto"/>
        <w:bottom w:val="none" w:sz="0" w:space="0" w:color="auto"/>
        <w:right w:val="none" w:sz="0" w:space="0" w:color="auto"/>
      </w:divBdr>
    </w:div>
    <w:div w:id="1896164048">
      <w:bodyDiv w:val="1"/>
      <w:marLeft w:val="0"/>
      <w:marRight w:val="0"/>
      <w:marTop w:val="0"/>
      <w:marBottom w:val="0"/>
      <w:divBdr>
        <w:top w:val="none" w:sz="0" w:space="0" w:color="auto"/>
        <w:left w:val="none" w:sz="0" w:space="0" w:color="auto"/>
        <w:bottom w:val="none" w:sz="0" w:space="0" w:color="auto"/>
        <w:right w:val="none" w:sz="0" w:space="0" w:color="auto"/>
      </w:divBdr>
    </w:div>
    <w:div w:id="1921476608">
      <w:bodyDiv w:val="1"/>
      <w:marLeft w:val="0"/>
      <w:marRight w:val="0"/>
      <w:marTop w:val="0"/>
      <w:marBottom w:val="0"/>
      <w:divBdr>
        <w:top w:val="none" w:sz="0" w:space="0" w:color="auto"/>
        <w:left w:val="none" w:sz="0" w:space="0" w:color="auto"/>
        <w:bottom w:val="none" w:sz="0" w:space="0" w:color="auto"/>
        <w:right w:val="none" w:sz="0" w:space="0" w:color="auto"/>
      </w:divBdr>
    </w:div>
    <w:div w:id="1994873308">
      <w:bodyDiv w:val="1"/>
      <w:marLeft w:val="0"/>
      <w:marRight w:val="0"/>
      <w:marTop w:val="0"/>
      <w:marBottom w:val="0"/>
      <w:divBdr>
        <w:top w:val="none" w:sz="0" w:space="0" w:color="auto"/>
        <w:left w:val="none" w:sz="0" w:space="0" w:color="auto"/>
        <w:bottom w:val="none" w:sz="0" w:space="0" w:color="auto"/>
        <w:right w:val="none" w:sz="0" w:space="0" w:color="auto"/>
      </w:divBdr>
    </w:div>
    <w:div w:id="2015181907">
      <w:bodyDiv w:val="1"/>
      <w:marLeft w:val="0"/>
      <w:marRight w:val="0"/>
      <w:marTop w:val="0"/>
      <w:marBottom w:val="0"/>
      <w:divBdr>
        <w:top w:val="none" w:sz="0" w:space="0" w:color="auto"/>
        <w:left w:val="none" w:sz="0" w:space="0" w:color="auto"/>
        <w:bottom w:val="none" w:sz="0" w:space="0" w:color="auto"/>
        <w:right w:val="none" w:sz="0" w:space="0" w:color="auto"/>
      </w:divBdr>
    </w:div>
    <w:div w:id="2025088720">
      <w:bodyDiv w:val="1"/>
      <w:marLeft w:val="0"/>
      <w:marRight w:val="0"/>
      <w:marTop w:val="0"/>
      <w:marBottom w:val="0"/>
      <w:divBdr>
        <w:top w:val="none" w:sz="0" w:space="0" w:color="auto"/>
        <w:left w:val="none" w:sz="0" w:space="0" w:color="auto"/>
        <w:bottom w:val="none" w:sz="0" w:space="0" w:color="auto"/>
        <w:right w:val="none" w:sz="0" w:space="0" w:color="auto"/>
      </w:divBdr>
    </w:div>
    <w:div w:id="2039433080">
      <w:bodyDiv w:val="1"/>
      <w:marLeft w:val="0"/>
      <w:marRight w:val="0"/>
      <w:marTop w:val="0"/>
      <w:marBottom w:val="0"/>
      <w:divBdr>
        <w:top w:val="none" w:sz="0" w:space="0" w:color="auto"/>
        <w:left w:val="none" w:sz="0" w:space="0" w:color="auto"/>
        <w:bottom w:val="none" w:sz="0" w:space="0" w:color="auto"/>
        <w:right w:val="none" w:sz="0" w:space="0" w:color="auto"/>
      </w:divBdr>
      <w:divsChild>
        <w:div w:id="1453939577">
          <w:marLeft w:val="0"/>
          <w:marRight w:val="0"/>
          <w:marTop w:val="0"/>
          <w:marBottom w:val="0"/>
          <w:divBdr>
            <w:top w:val="none" w:sz="0" w:space="0" w:color="auto"/>
            <w:left w:val="none" w:sz="0" w:space="0" w:color="auto"/>
            <w:bottom w:val="none" w:sz="0" w:space="0" w:color="auto"/>
            <w:right w:val="none" w:sz="0" w:space="0" w:color="auto"/>
          </w:divBdr>
        </w:div>
        <w:div w:id="1124495505">
          <w:marLeft w:val="0"/>
          <w:marRight w:val="0"/>
          <w:marTop w:val="0"/>
          <w:marBottom w:val="0"/>
          <w:divBdr>
            <w:top w:val="none" w:sz="0" w:space="0" w:color="auto"/>
            <w:left w:val="none" w:sz="0" w:space="0" w:color="auto"/>
            <w:bottom w:val="none" w:sz="0" w:space="0" w:color="auto"/>
            <w:right w:val="none" w:sz="0" w:space="0" w:color="auto"/>
          </w:divBdr>
        </w:div>
        <w:div w:id="293757008">
          <w:marLeft w:val="0"/>
          <w:marRight w:val="0"/>
          <w:marTop w:val="0"/>
          <w:marBottom w:val="0"/>
          <w:divBdr>
            <w:top w:val="none" w:sz="0" w:space="0" w:color="auto"/>
            <w:left w:val="none" w:sz="0" w:space="0" w:color="auto"/>
            <w:bottom w:val="none" w:sz="0" w:space="0" w:color="auto"/>
            <w:right w:val="none" w:sz="0" w:space="0" w:color="auto"/>
          </w:divBdr>
        </w:div>
        <w:div w:id="160436560">
          <w:marLeft w:val="0"/>
          <w:marRight w:val="0"/>
          <w:marTop w:val="0"/>
          <w:marBottom w:val="0"/>
          <w:divBdr>
            <w:top w:val="none" w:sz="0" w:space="0" w:color="auto"/>
            <w:left w:val="none" w:sz="0" w:space="0" w:color="auto"/>
            <w:bottom w:val="none" w:sz="0" w:space="0" w:color="auto"/>
            <w:right w:val="none" w:sz="0" w:space="0" w:color="auto"/>
          </w:divBdr>
        </w:div>
        <w:div w:id="621766270">
          <w:marLeft w:val="0"/>
          <w:marRight w:val="0"/>
          <w:marTop w:val="0"/>
          <w:marBottom w:val="0"/>
          <w:divBdr>
            <w:top w:val="none" w:sz="0" w:space="0" w:color="auto"/>
            <w:left w:val="none" w:sz="0" w:space="0" w:color="auto"/>
            <w:bottom w:val="none" w:sz="0" w:space="0" w:color="auto"/>
            <w:right w:val="none" w:sz="0" w:space="0" w:color="auto"/>
          </w:divBdr>
        </w:div>
        <w:div w:id="529728565">
          <w:marLeft w:val="0"/>
          <w:marRight w:val="0"/>
          <w:marTop w:val="0"/>
          <w:marBottom w:val="0"/>
          <w:divBdr>
            <w:top w:val="none" w:sz="0" w:space="0" w:color="auto"/>
            <w:left w:val="none" w:sz="0" w:space="0" w:color="auto"/>
            <w:bottom w:val="none" w:sz="0" w:space="0" w:color="auto"/>
            <w:right w:val="none" w:sz="0" w:space="0" w:color="auto"/>
          </w:divBdr>
        </w:div>
        <w:div w:id="1584409426">
          <w:marLeft w:val="0"/>
          <w:marRight w:val="0"/>
          <w:marTop w:val="0"/>
          <w:marBottom w:val="0"/>
          <w:divBdr>
            <w:top w:val="none" w:sz="0" w:space="0" w:color="auto"/>
            <w:left w:val="none" w:sz="0" w:space="0" w:color="auto"/>
            <w:bottom w:val="none" w:sz="0" w:space="0" w:color="auto"/>
            <w:right w:val="none" w:sz="0" w:space="0" w:color="auto"/>
          </w:divBdr>
        </w:div>
        <w:div w:id="1958559290">
          <w:marLeft w:val="0"/>
          <w:marRight w:val="0"/>
          <w:marTop w:val="0"/>
          <w:marBottom w:val="0"/>
          <w:divBdr>
            <w:top w:val="none" w:sz="0" w:space="0" w:color="auto"/>
            <w:left w:val="none" w:sz="0" w:space="0" w:color="auto"/>
            <w:bottom w:val="none" w:sz="0" w:space="0" w:color="auto"/>
            <w:right w:val="none" w:sz="0" w:space="0" w:color="auto"/>
          </w:divBdr>
        </w:div>
        <w:div w:id="1495486351">
          <w:marLeft w:val="0"/>
          <w:marRight w:val="0"/>
          <w:marTop w:val="0"/>
          <w:marBottom w:val="0"/>
          <w:divBdr>
            <w:top w:val="none" w:sz="0" w:space="0" w:color="auto"/>
            <w:left w:val="none" w:sz="0" w:space="0" w:color="auto"/>
            <w:bottom w:val="none" w:sz="0" w:space="0" w:color="auto"/>
            <w:right w:val="none" w:sz="0" w:space="0" w:color="auto"/>
          </w:divBdr>
        </w:div>
        <w:div w:id="845704106">
          <w:marLeft w:val="0"/>
          <w:marRight w:val="0"/>
          <w:marTop w:val="0"/>
          <w:marBottom w:val="0"/>
          <w:divBdr>
            <w:top w:val="none" w:sz="0" w:space="0" w:color="auto"/>
            <w:left w:val="none" w:sz="0" w:space="0" w:color="auto"/>
            <w:bottom w:val="none" w:sz="0" w:space="0" w:color="auto"/>
            <w:right w:val="none" w:sz="0" w:space="0" w:color="auto"/>
          </w:divBdr>
        </w:div>
      </w:divsChild>
    </w:div>
    <w:div w:id="2040816566">
      <w:bodyDiv w:val="1"/>
      <w:marLeft w:val="0"/>
      <w:marRight w:val="0"/>
      <w:marTop w:val="0"/>
      <w:marBottom w:val="0"/>
      <w:divBdr>
        <w:top w:val="none" w:sz="0" w:space="0" w:color="auto"/>
        <w:left w:val="none" w:sz="0" w:space="0" w:color="auto"/>
        <w:bottom w:val="none" w:sz="0" w:space="0" w:color="auto"/>
        <w:right w:val="none" w:sz="0" w:space="0" w:color="auto"/>
      </w:divBdr>
      <w:divsChild>
        <w:div w:id="1099714862">
          <w:marLeft w:val="0"/>
          <w:marRight w:val="0"/>
          <w:marTop w:val="0"/>
          <w:marBottom w:val="0"/>
          <w:divBdr>
            <w:top w:val="none" w:sz="0" w:space="0" w:color="auto"/>
            <w:left w:val="none" w:sz="0" w:space="0" w:color="auto"/>
            <w:bottom w:val="none" w:sz="0" w:space="0" w:color="auto"/>
            <w:right w:val="none" w:sz="0" w:space="0" w:color="auto"/>
          </w:divBdr>
          <w:divsChild>
            <w:div w:id="1280914938">
              <w:marLeft w:val="0"/>
              <w:marRight w:val="0"/>
              <w:marTop w:val="0"/>
              <w:marBottom w:val="0"/>
              <w:divBdr>
                <w:top w:val="none" w:sz="0" w:space="0" w:color="auto"/>
                <w:left w:val="none" w:sz="0" w:space="0" w:color="auto"/>
                <w:bottom w:val="none" w:sz="0" w:space="0" w:color="auto"/>
                <w:right w:val="none" w:sz="0" w:space="0" w:color="auto"/>
              </w:divBdr>
            </w:div>
            <w:div w:id="1304894708">
              <w:marLeft w:val="0"/>
              <w:marRight w:val="0"/>
              <w:marTop w:val="0"/>
              <w:marBottom w:val="0"/>
              <w:divBdr>
                <w:top w:val="none" w:sz="0" w:space="0" w:color="auto"/>
                <w:left w:val="none" w:sz="0" w:space="0" w:color="auto"/>
                <w:bottom w:val="none" w:sz="0" w:space="0" w:color="auto"/>
                <w:right w:val="none" w:sz="0" w:space="0" w:color="auto"/>
              </w:divBdr>
            </w:div>
            <w:div w:id="1538003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985153">
      <w:bodyDiv w:val="1"/>
      <w:marLeft w:val="0"/>
      <w:marRight w:val="0"/>
      <w:marTop w:val="0"/>
      <w:marBottom w:val="0"/>
      <w:divBdr>
        <w:top w:val="none" w:sz="0" w:space="0" w:color="auto"/>
        <w:left w:val="none" w:sz="0" w:space="0" w:color="auto"/>
        <w:bottom w:val="none" w:sz="0" w:space="0" w:color="auto"/>
        <w:right w:val="none" w:sz="0" w:space="0" w:color="auto"/>
      </w:divBdr>
      <w:divsChild>
        <w:div w:id="1246187260">
          <w:marLeft w:val="0"/>
          <w:marRight w:val="0"/>
          <w:marTop w:val="0"/>
          <w:marBottom w:val="0"/>
          <w:divBdr>
            <w:top w:val="none" w:sz="0" w:space="0" w:color="auto"/>
            <w:left w:val="none" w:sz="0" w:space="0" w:color="auto"/>
            <w:bottom w:val="none" w:sz="0" w:space="0" w:color="auto"/>
            <w:right w:val="none" w:sz="0" w:space="0" w:color="auto"/>
          </w:divBdr>
        </w:div>
        <w:div w:id="954409282">
          <w:marLeft w:val="0"/>
          <w:marRight w:val="0"/>
          <w:marTop w:val="0"/>
          <w:marBottom w:val="0"/>
          <w:divBdr>
            <w:top w:val="none" w:sz="0" w:space="0" w:color="auto"/>
            <w:left w:val="none" w:sz="0" w:space="0" w:color="auto"/>
            <w:bottom w:val="none" w:sz="0" w:space="0" w:color="auto"/>
            <w:right w:val="none" w:sz="0" w:space="0" w:color="auto"/>
          </w:divBdr>
        </w:div>
        <w:div w:id="1979071871">
          <w:marLeft w:val="0"/>
          <w:marRight w:val="0"/>
          <w:marTop w:val="0"/>
          <w:marBottom w:val="0"/>
          <w:divBdr>
            <w:top w:val="none" w:sz="0" w:space="0" w:color="auto"/>
            <w:left w:val="none" w:sz="0" w:space="0" w:color="auto"/>
            <w:bottom w:val="none" w:sz="0" w:space="0" w:color="auto"/>
            <w:right w:val="none" w:sz="0" w:space="0" w:color="auto"/>
          </w:divBdr>
        </w:div>
        <w:div w:id="1291479438">
          <w:marLeft w:val="0"/>
          <w:marRight w:val="0"/>
          <w:marTop w:val="0"/>
          <w:marBottom w:val="0"/>
          <w:divBdr>
            <w:top w:val="none" w:sz="0" w:space="0" w:color="auto"/>
            <w:left w:val="none" w:sz="0" w:space="0" w:color="auto"/>
            <w:bottom w:val="none" w:sz="0" w:space="0" w:color="auto"/>
            <w:right w:val="none" w:sz="0" w:space="0" w:color="auto"/>
          </w:divBdr>
        </w:div>
        <w:div w:id="145244598">
          <w:marLeft w:val="0"/>
          <w:marRight w:val="0"/>
          <w:marTop w:val="0"/>
          <w:marBottom w:val="0"/>
          <w:divBdr>
            <w:top w:val="none" w:sz="0" w:space="0" w:color="auto"/>
            <w:left w:val="none" w:sz="0" w:space="0" w:color="auto"/>
            <w:bottom w:val="none" w:sz="0" w:space="0" w:color="auto"/>
            <w:right w:val="none" w:sz="0" w:space="0" w:color="auto"/>
          </w:divBdr>
        </w:div>
        <w:div w:id="2010480392">
          <w:marLeft w:val="0"/>
          <w:marRight w:val="0"/>
          <w:marTop w:val="0"/>
          <w:marBottom w:val="0"/>
          <w:divBdr>
            <w:top w:val="none" w:sz="0" w:space="0" w:color="auto"/>
            <w:left w:val="none" w:sz="0" w:space="0" w:color="auto"/>
            <w:bottom w:val="none" w:sz="0" w:space="0" w:color="auto"/>
            <w:right w:val="none" w:sz="0" w:space="0" w:color="auto"/>
          </w:divBdr>
        </w:div>
        <w:div w:id="169639668">
          <w:marLeft w:val="0"/>
          <w:marRight w:val="0"/>
          <w:marTop w:val="0"/>
          <w:marBottom w:val="0"/>
          <w:divBdr>
            <w:top w:val="none" w:sz="0" w:space="0" w:color="auto"/>
            <w:left w:val="none" w:sz="0" w:space="0" w:color="auto"/>
            <w:bottom w:val="none" w:sz="0" w:space="0" w:color="auto"/>
            <w:right w:val="none" w:sz="0" w:space="0" w:color="auto"/>
          </w:divBdr>
        </w:div>
      </w:divsChild>
    </w:div>
    <w:div w:id="2077699294">
      <w:bodyDiv w:val="1"/>
      <w:marLeft w:val="0"/>
      <w:marRight w:val="0"/>
      <w:marTop w:val="0"/>
      <w:marBottom w:val="0"/>
      <w:divBdr>
        <w:top w:val="none" w:sz="0" w:space="0" w:color="auto"/>
        <w:left w:val="none" w:sz="0" w:space="0" w:color="auto"/>
        <w:bottom w:val="none" w:sz="0" w:space="0" w:color="auto"/>
        <w:right w:val="none" w:sz="0" w:space="0" w:color="auto"/>
      </w:divBdr>
    </w:div>
    <w:div w:id="2106723260">
      <w:bodyDiv w:val="1"/>
      <w:marLeft w:val="0"/>
      <w:marRight w:val="0"/>
      <w:marTop w:val="0"/>
      <w:marBottom w:val="0"/>
      <w:divBdr>
        <w:top w:val="none" w:sz="0" w:space="0" w:color="auto"/>
        <w:left w:val="none" w:sz="0" w:space="0" w:color="auto"/>
        <w:bottom w:val="none" w:sz="0" w:space="0" w:color="auto"/>
        <w:right w:val="none" w:sz="0" w:space="0" w:color="auto"/>
      </w:divBdr>
      <w:divsChild>
        <w:div w:id="589123956">
          <w:marLeft w:val="0"/>
          <w:marRight w:val="0"/>
          <w:marTop w:val="0"/>
          <w:marBottom w:val="0"/>
          <w:divBdr>
            <w:top w:val="none" w:sz="0" w:space="0" w:color="auto"/>
            <w:left w:val="none" w:sz="0" w:space="0" w:color="auto"/>
            <w:bottom w:val="none" w:sz="0" w:space="0" w:color="auto"/>
            <w:right w:val="none" w:sz="0" w:space="0" w:color="auto"/>
          </w:divBdr>
        </w:div>
        <w:div w:id="188386166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g"/><Relationship Id="rId21" Type="http://schemas.openxmlformats.org/officeDocument/2006/relationships/image" Target="media/image5.jpeg"/><Relationship Id="rId42" Type="http://schemas.openxmlformats.org/officeDocument/2006/relationships/image" Target="media/image25.jpeg"/><Relationship Id="rId47" Type="http://schemas.openxmlformats.org/officeDocument/2006/relationships/image" Target="media/image30.jpeg"/><Relationship Id="rId63" Type="http://schemas.openxmlformats.org/officeDocument/2006/relationships/hyperlink" Target="http://statbel.fgov.be/fr/statistiques/webinterface/?loadDefaultId=53&amp;IDBr=tcm:326-22265-4" TargetMode="External"/><Relationship Id="rId68" Type="http://schemas.openxmlformats.org/officeDocument/2006/relationships/hyperlink" Target="https://openknowledge.worldbank.org/handle/10986/8020" TargetMode="External"/><Relationship Id="rId84" Type="http://schemas.openxmlformats.org/officeDocument/2006/relationships/hyperlink" Target="http://www.cso.ie/en/silc/statistics/atriskofpovertyrate/" TargetMode="External"/><Relationship Id="rId89" Type="http://schemas.openxmlformats.org/officeDocument/2006/relationships/hyperlink" Target="mailto:stefan.kaup@ils-forschung.de" TargetMode="External"/><Relationship Id="rId2" Type="http://schemas.openxmlformats.org/officeDocument/2006/relationships/customXml" Target="../customXml/item2.xml"/><Relationship Id="rId16" Type="http://schemas.openxmlformats.org/officeDocument/2006/relationships/footer" Target="footer4.xml"/><Relationship Id="rId29" Type="http://schemas.openxmlformats.org/officeDocument/2006/relationships/image" Target="media/image12.jpeg"/><Relationship Id="rId107" Type="http://schemas.openxmlformats.org/officeDocument/2006/relationships/hyperlink" Target="http://www.scotland.gov.uk/Publications/2010/08/26155956/4" TargetMode="External"/><Relationship Id="rId11" Type="http://schemas.openxmlformats.org/officeDocument/2006/relationships/image" Target="media/image1.png"/><Relationship Id="rId24" Type="http://schemas.openxmlformats.org/officeDocument/2006/relationships/image" Target="media/image8.tif"/><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jpeg"/><Relationship Id="rId45" Type="http://schemas.openxmlformats.org/officeDocument/2006/relationships/image" Target="media/image28.tiff"/><Relationship Id="rId53" Type="http://schemas.openxmlformats.org/officeDocument/2006/relationships/hyperlink" Target="mailto:tagai@rkk.hu" TargetMode="External"/><Relationship Id="rId58" Type="http://schemas.openxmlformats.org/officeDocument/2006/relationships/hyperlink" Target="mailto:tagai@rkk.hu" TargetMode="External"/><Relationship Id="rId66" Type="http://schemas.openxmlformats.org/officeDocument/2006/relationships/hyperlink" Target="http://www.observatbru.be/documents/indicateurs/pauvrete.xml?lang=fr" TargetMode="External"/><Relationship Id="rId74" Type="http://schemas.openxmlformats.org/officeDocument/2006/relationships/hyperlink" Target="http://www.insee.fr/fr/bases-de-donnees/default.asp?page=statistiques-locales/pauvrete.htm" TargetMode="External"/><Relationship Id="rId79" Type="http://schemas.openxmlformats.org/officeDocument/2006/relationships/hyperlink" Target="http://epp.eurostat.ec.europa.eu/portal/page/portal/microdata/eu_silc" TargetMode="External"/><Relationship Id="rId87" Type="http://schemas.openxmlformats.org/officeDocument/2006/relationships/hyperlink" Target="mailto:petri.kahila@uef.fi" TargetMode="External"/><Relationship Id="rId102" Type="http://schemas.openxmlformats.org/officeDocument/2006/relationships/hyperlink" Target="http://epp.eurostat.ec.europa.eu/portal/page/portal/microdata/eu_silc" TargetMode="External"/><Relationship Id="rId110"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hyperlink" Target="http://statcube.at/superwebguest/login.do?guest=guest&amp;db=de_steuer_lue_2011_1a" TargetMode="External"/><Relationship Id="rId82" Type="http://schemas.openxmlformats.org/officeDocument/2006/relationships/hyperlink" Target="http://www.statice.is/?PageID=1825&amp;src=https://rannsokn.hagstofa.is/pxen/Dialog/varval.asp?ma=VIN07130%26ti=At-risk-of-povety+or+social+exclusion%2C+2004-2012++++++++++++++%26path=../Database/vinnumarkadur/tekjudreifing/%26lang=1%26units=Indicator" TargetMode="External"/><Relationship Id="rId90" Type="http://schemas.openxmlformats.org/officeDocument/2006/relationships/hyperlink" Target="http://www.pordata.pt/en/Home" TargetMode="External"/><Relationship Id="rId95" Type="http://schemas.openxmlformats.org/officeDocument/2006/relationships/hyperlink" Target="mailto:tagai@rkk.hu" TargetMode="External"/><Relationship Id="rId19" Type="http://schemas.openxmlformats.org/officeDocument/2006/relationships/image" Target="media/image3.png"/><Relationship Id="rId14" Type="http://schemas.openxmlformats.org/officeDocument/2006/relationships/hyperlink" Target="http://www.espon.eu" TargetMode="External"/><Relationship Id="rId22" Type="http://schemas.openxmlformats.org/officeDocument/2006/relationships/image" Target="media/image6.tif"/><Relationship Id="rId27" Type="http://schemas.openxmlformats.org/officeDocument/2006/relationships/hyperlink" Target="http://www.inegi.org.mx/eventos/2011/registros_admivos/doc/Session_7.pdf" TargetMode="External"/><Relationship Id="rId30" Type="http://schemas.openxmlformats.org/officeDocument/2006/relationships/image" Target="media/image13.jpeg"/><Relationship Id="rId35" Type="http://schemas.openxmlformats.org/officeDocument/2006/relationships/image" Target="media/image18.png"/><Relationship Id="rId43" Type="http://schemas.openxmlformats.org/officeDocument/2006/relationships/image" Target="media/image26.tif"/><Relationship Id="rId48" Type="http://schemas.openxmlformats.org/officeDocument/2006/relationships/image" Target="media/image31.png"/><Relationship Id="rId56" Type="http://schemas.openxmlformats.org/officeDocument/2006/relationships/hyperlink" Target="http://econ.worldbank.org/WBSITE/EXTERNAL/EXTDEC/EXTRESEARCH/EXTLSMS/0,,contentMDK:21610833~pagePK:64168427~piPK:64168435~theSitePK:3358997,00.html" TargetMode="External"/><Relationship Id="rId64" Type="http://schemas.openxmlformats.org/officeDocument/2006/relationships/hyperlink" Target="http://www.bcss.fgov.be/fr/bcss/page/content/websites/belgium/statistics/statistics_01/statistics_01_03.html" TargetMode="External"/><Relationship Id="rId69" Type="http://schemas.openxmlformats.org/officeDocument/2006/relationships/hyperlink" Target="mailto:petri.kahila@uef.fi" TargetMode="External"/><Relationship Id="rId77" Type="http://schemas.openxmlformats.org/officeDocument/2006/relationships/hyperlink" Target="https://ergebnisse.zensus2011.de/?locale=en" TargetMode="External"/><Relationship Id="rId100" Type="http://schemas.openxmlformats.org/officeDocument/2006/relationships/hyperlink" Target="http://tuikapp.tuik.gov.tr/Bolgesel/menuAction.do?dil=en" TargetMode="External"/><Relationship Id="rId105" Type="http://schemas.openxmlformats.org/officeDocument/2006/relationships/hyperlink" Target="http://www.dsdni.gov.uk/hbai_2011-12.pdf" TargetMode="External"/><Relationship Id="rId8" Type="http://schemas.openxmlformats.org/officeDocument/2006/relationships/webSettings" Target="webSettings.xml"/><Relationship Id="rId51" Type="http://schemas.openxmlformats.org/officeDocument/2006/relationships/image" Target="media/image34.tiff"/><Relationship Id="rId72" Type="http://schemas.openxmlformats.org/officeDocument/2006/relationships/hyperlink" Target="http://uusi.sotkanet.fi/taulukko/CQ2/111/3/3A/0/3099/" TargetMode="External"/><Relationship Id="rId80" Type="http://schemas.openxmlformats.org/officeDocument/2006/relationships/hyperlink" Target="http://epp.eurostat.ec.europa.eu/portal/page/portal/microdata/eu_silc" TargetMode="External"/><Relationship Id="rId85" Type="http://schemas.openxmlformats.org/officeDocument/2006/relationships/hyperlink" Target="http://sitis.istat.it/sitis/html/indexEng.htm" TargetMode="External"/><Relationship Id="rId93" Type="http://schemas.openxmlformats.org/officeDocument/2006/relationships/hyperlink" Target="mailto:petri.kahila@uef.fi" TargetMode="External"/><Relationship Id="rId98" Type="http://schemas.openxmlformats.org/officeDocument/2006/relationships/hyperlink" Target="http://www.bfs.admin.ch/bfs/portal/en/index/themen/13/22/publ.html" TargetMode="Externa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footer" Target="footer5.xml"/><Relationship Id="rId25" Type="http://schemas.openxmlformats.org/officeDocument/2006/relationships/image" Target="media/image9.tif"/><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jpeg"/><Relationship Id="rId59" Type="http://schemas.openxmlformats.org/officeDocument/2006/relationships/hyperlink" Target="http://epp.eurostat.ec.europa.eu/portal/page/portal/microdata/eu_silc" TargetMode="External"/><Relationship Id="rId67" Type="http://schemas.openxmlformats.org/officeDocument/2006/relationships/hyperlink" Target="mailto:tagai@rkk.hu" TargetMode="External"/><Relationship Id="rId103" Type="http://schemas.openxmlformats.org/officeDocument/2006/relationships/hyperlink" Target="http://census.ukdataservice.ac.uk/get-data/microdata.aspx" TargetMode="External"/><Relationship Id="rId108" Type="http://schemas.openxmlformats.org/officeDocument/2006/relationships/fontTable" Target="fontTable.xml"/><Relationship Id="rId20" Type="http://schemas.openxmlformats.org/officeDocument/2006/relationships/image" Target="media/image4.jpeg"/><Relationship Id="rId41" Type="http://schemas.openxmlformats.org/officeDocument/2006/relationships/image" Target="media/image24.jpeg"/><Relationship Id="rId54" Type="http://schemas.openxmlformats.org/officeDocument/2006/relationships/hyperlink" Target="http://siteresources.worldbank.org/INTECAREGTOPPOVRED/Resources/GianniBETTI.pdf" TargetMode="External"/><Relationship Id="rId62" Type="http://schemas.openxmlformats.org/officeDocument/2006/relationships/hyperlink" Target="mailto:patricia.melo@hutton.ac.uk" TargetMode="External"/><Relationship Id="rId70" Type="http://schemas.openxmlformats.org/officeDocument/2006/relationships/hyperlink" Target="http://www.dst.dk/en/Statistik/dokumentation/Declarations/personal-income-statistics.aspx" TargetMode="External"/><Relationship Id="rId75" Type="http://schemas.openxmlformats.org/officeDocument/2006/relationships/hyperlink" Target="mailto:stefan.kaup@ils-forschung.de" TargetMode="External"/><Relationship Id="rId83" Type="http://schemas.openxmlformats.org/officeDocument/2006/relationships/hyperlink" Target="mailto:andrew.copus@hutton.ac.uk" TargetMode="External"/><Relationship Id="rId88" Type="http://schemas.openxmlformats.org/officeDocument/2006/relationships/hyperlink" Target="https://www.ssb.no/en/sok?innholdstype=statistikk&amp;sok=at-risk-of-poverty+rate" TargetMode="External"/><Relationship Id="rId91" Type="http://schemas.openxmlformats.org/officeDocument/2006/relationships/hyperlink" Target="mailto:stefan.kaup@ils-forschung.de" TargetMode="External"/><Relationship Id="rId96" Type="http://schemas.openxmlformats.org/officeDocument/2006/relationships/hyperlink" Target="http://epp.eurostat.ec.europa.eu/portal/page/portal/region_cities/regional_statistics/data/database"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7.tif"/><Relationship Id="rId28" Type="http://schemas.openxmlformats.org/officeDocument/2006/relationships/image" Target="media/image11.jpeg"/><Relationship Id="rId36" Type="http://schemas.openxmlformats.org/officeDocument/2006/relationships/image" Target="media/image19.png"/><Relationship Id="rId49" Type="http://schemas.openxmlformats.org/officeDocument/2006/relationships/image" Target="media/image32.tif"/><Relationship Id="rId57" Type="http://schemas.openxmlformats.org/officeDocument/2006/relationships/hyperlink" Target="http://www.instat.gov.al/en/Home.aspx" TargetMode="External"/><Relationship Id="rId106" Type="http://schemas.openxmlformats.org/officeDocument/2006/relationships/hyperlink" Target="http://www.neighbourhood.statistics.gov.uk/dissemination/LeadMetadataDownloadPDF.do?downloadId=26963" TargetMode="External"/><Relationship Id="rId10" Type="http://schemas.openxmlformats.org/officeDocument/2006/relationships/endnotes" Target="endnotes.xml"/><Relationship Id="rId31" Type="http://schemas.openxmlformats.org/officeDocument/2006/relationships/image" Target="media/image14.jpeg"/><Relationship Id="rId44" Type="http://schemas.openxmlformats.org/officeDocument/2006/relationships/image" Target="media/image27.tif"/><Relationship Id="rId52" Type="http://schemas.openxmlformats.org/officeDocument/2006/relationships/image" Target="media/image35.png"/><Relationship Id="rId60" Type="http://schemas.openxmlformats.org/officeDocument/2006/relationships/hyperlink" Target="https://international.ipums.org/international/sample_designs/sample_designs_at.shtml" TargetMode="External"/><Relationship Id="rId65" Type="http://schemas.openxmlformats.org/officeDocument/2006/relationships/hyperlink" Target="http://statbel.fgov.be/fr/statistiques/chiffres/travailvie/eu-silc/pauvrete/" TargetMode="External"/><Relationship Id="rId73" Type="http://schemas.openxmlformats.org/officeDocument/2006/relationships/hyperlink" Target="mailto:andrew.copus@hutton.ac.uk" TargetMode="External"/><Relationship Id="rId78" Type="http://schemas.openxmlformats.org/officeDocument/2006/relationships/hyperlink" Target="http://www.amtliche-sozialberichterstattung.de/index_en.html" TargetMode="External"/><Relationship Id="rId81" Type="http://schemas.openxmlformats.org/officeDocument/2006/relationships/hyperlink" Target="mailto:petri.kahila@uef.fi" TargetMode="External"/><Relationship Id="rId86" Type="http://schemas.openxmlformats.org/officeDocument/2006/relationships/hyperlink" Target="mailto:andrew.copus@hutton.ac.uk" TargetMode="External"/><Relationship Id="rId94" Type="http://schemas.openxmlformats.org/officeDocument/2006/relationships/hyperlink" Target="mailto:petter.lundberg@scb.se" TargetMode="External"/><Relationship Id="rId99" Type="http://schemas.openxmlformats.org/officeDocument/2006/relationships/hyperlink" Target="http://www.google.gr/url?sa=t&amp;rct=j&amp;q=&amp;esrc=s&amp;source=web&amp;cd=1&amp;cad=rja&amp;ved=0CC0QFjAA&amp;url=http%3A%2F%2Fwww.turkstat.gov.tr%2F&amp;ei=YBGzUtv1NYSQtAbuj4CoCg&amp;usg=AFQjCNFIkTSp7rjWTjPYws_PMIodSEoGmw&amp;sig2=y4OzCoiWR7jNsqYcudt3kQ&amp;bvm=bv.58187178,d.Yms" TargetMode="External"/><Relationship Id="rId101" Type="http://schemas.openxmlformats.org/officeDocument/2006/relationships/hyperlink" Target="mailto:patricia.melo@hutton.ac.uk"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2.png"/><Relationship Id="rId39" Type="http://schemas.openxmlformats.org/officeDocument/2006/relationships/image" Target="media/image22.jpeg"/><Relationship Id="rId109" Type="http://schemas.openxmlformats.org/officeDocument/2006/relationships/glossaryDocument" Target="glossary/document.xml"/><Relationship Id="rId34" Type="http://schemas.openxmlformats.org/officeDocument/2006/relationships/image" Target="media/image17.png"/><Relationship Id="rId50" Type="http://schemas.openxmlformats.org/officeDocument/2006/relationships/image" Target="media/image33.tiff"/><Relationship Id="rId55" Type="http://schemas.openxmlformats.org/officeDocument/2006/relationships/hyperlink" Target="http://siteresources.worldbank.org/INTECAREGTOPPOVRED/Resources/GianniBETTI.pdf" TargetMode="External"/><Relationship Id="rId76" Type="http://schemas.openxmlformats.org/officeDocument/2006/relationships/hyperlink" Target="http://epp.eurostat.ec.europa.eu/portal/page/portal/statistics/search_database" TargetMode="External"/><Relationship Id="rId97" Type="http://schemas.openxmlformats.org/officeDocument/2006/relationships/hyperlink" Target="http://www.bfs.admin.ch/bfs/portal/fr/index/infothek/lexikon/lex/0.html" TargetMode="External"/><Relationship Id="rId104" Type="http://schemas.openxmlformats.org/officeDocument/2006/relationships/hyperlink" Target="mailto:patricia.melo@hutton.ac.uk" TargetMode="External"/><Relationship Id="rId7" Type="http://schemas.openxmlformats.org/officeDocument/2006/relationships/settings" Target="settings.xml"/><Relationship Id="rId71" Type="http://schemas.openxmlformats.org/officeDocument/2006/relationships/hyperlink" Target="mailto:petri.kahila@uef.fi" TargetMode="External"/><Relationship Id="rId92" Type="http://schemas.openxmlformats.org/officeDocument/2006/relationships/hyperlink" Target="http://www.ine.es/en/welcome.shtml"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eb.worldbank.org/WBSITE/EXTERNAL/TOPICS/EXTPOVERTY/EXTPA/0,,contentMDK:20239128~menuPK:462078~pagePK:148956~piPK:216618~theSitePK:430367~isCURL:Y,00.html"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53AC5DD1F21B411FA42EFE529C350E30"/>
        <w:category>
          <w:name w:val="General"/>
          <w:gallery w:val="placeholder"/>
        </w:category>
        <w:types>
          <w:type w:val="bbPlcHdr"/>
        </w:types>
        <w:behaviors>
          <w:behavior w:val="content"/>
        </w:behaviors>
        <w:guid w:val="{FF7C952A-7A91-4E89-A3A1-6947C5F63558}"/>
      </w:docPartPr>
      <w:docPartBody>
        <w:p w:rsidR="00093B41" w:rsidRDefault="009047A7" w:rsidP="009047A7">
          <w:pPr>
            <w:pStyle w:val="53AC5DD1F21B411FA42EFE529C350E30"/>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Gill Sans MT">
    <w:charset w:val="EE"/>
    <w:family w:val="swiss"/>
    <w:pitch w:val="variable"/>
    <w:sig w:usb0="00000007" w:usb1="00000000" w:usb2="00000000" w:usb3="00000000" w:csb0="00000003" w:csb1="00000000"/>
  </w:font>
  <w:font w:name="Perpetua Titling MT">
    <w:charset w:val="00"/>
    <w:family w:val="roman"/>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formatting="0"/>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47A7"/>
    <w:rsid w:val="00093B41"/>
    <w:rsid w:val="008F1B1B"/>
    <w:rsid w:val="009047A7"/>
    <w:rsid w:val="00AE038E"/>
    <w:rsid w:val="00EA1AD3"/>
    <w:rsid w:val="00EC72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ali">
    <w:name w:val="Normal"/>
    <w:qFormat/>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customStyle="1" w:styleId="53AC5DD1F21B411FA42EFE529C350E30">
    <w:name w:val="53AC5DD1F21B411FA42EFE529C350E30"/>
    <w:rsid w:val="009047A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B55545BE707EE41963776E429A300E2" ma:contentTypeVersion="0" ma:contentTypeDescription="Create a new document." ma:contentTypeScope="" ma:versionID="1960ad8117ed82e40aadc2475d47e6b4">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p:properties xmlns:p="http://schemas.microsoft.com/office/2006/metadata/properties" xmlns:xsi="http://www.w3.org/2001/XMLSchema-instanc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96C497-2871-45A9-BB77-2CEA3F3C1A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10ED32BF-A22B-41B9-9F81-3181BD71591D}">
  <ds:schemaRefs>
    <ds:schemaRef ds:uri="http://schemas.microsoft.com/office/2006/metadata/properties"/>
  </ds:schemaRefs>
</ds:datastoreItem>
</file>

<file path=customXml/itemProps3.xml><?xml version="1.0" encoding="utf-8"?>
<ds:datastoreItem xmlns:ds="http://schemas.openxmlformats.org/officeDocument/2006/customXml" ds:itemID="{A3E38846-E4BC-4808-B43A-213D0B51DBFA}">
  <ds:schemaRefs>
    <ds:schemaRef ds:uri="http://schemas.microsoft.com/sharepoint/v3/contenttype/forms"/>
  </ds:schemaRefs>
</ds:datastoreItem>
</file>

<file path=customXml/itemProps4.xml><?xml version="1.0" encoding="utf-8"?>
<ds:datastoreItem xmlns:ds="http://schemas.openxmlformats.org/officeDocument/2006/customXml" ds:itemID="{2279A53D-0B06-478E-A0F3-AA4A25C544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79</Pages>
  <Words>13724</Words>
  <Characters>111170</Characters>
  <Application>Microsoft Office Word</Application>
  <DocSecurity>0</DocSecurity>
  <Lines>926</Lines>
  <Paragraphs>249</Paragraphs>
  <ScaleCrop>false</ScaleCrop>
  <HeadingPairs>
    <vt:vector size="8" baseType="variant">
      <vt:variant>
        <vt:lpstr>Otsikko</vt:lpstr>
      </vt:variant>
      <vt:variant>
        <vt:i4>1</vt:i4>
      </vt:variant>
      <vt:variant>
        <vt:lpstr>Title</vt:lpstr>
      </vt:variant>
      <vt:variant>
        <vt:i4>1</vt:i4>
      </vt:variant>
      <vt:variant>
        <vt:lpstr>Titel</vt:lpstr>
      </vt:variant>
      <vt:variant>
        <vt:i4>1</vt:i4>
      </vt:variant>
      <vt:variant>
        <vt:lpstr>Cím</vt:lpstr>
      </vt:variant>
      <vt:variant>
        <vt:i4>1</vt:i4>
      </vt:variant>
    </vt:vector>
  </HeadingPairs>
  <TitlesOfParts>
    <vt:vector size="4" baseType="lpstr">
      <vt:lpstr>Version 1 22/09/2008</vt:lpstr>
      <vt:lpstr>Version 1 22/09/2008</vt:lpstr>
      <vt:lpstr>Version 1 22/09/2008</vt:lpstr>
      <vt:lpstr>Version 1 22/09/2008</vt:lpstr>
    </vt:vector>
  </TitlesOfParts>
  <Company>BBR</Company>
  <LinksUpToDate>false</LinksUpToDate>
  <CharactersWithSpaces>124645</CharactersWithSpaces>
  <SharedDoc>false</SharedDoc>
  <HLinks>
    <vt:vector size="408" baseType="variant">
      <vt:variant>
        <vt:i4>1835105</vt:i4>
      </vt:variant>
      <vt:variant>
        <vt:i4>531</vt:i4>
      </vt:variant>
      <vt:variant>
        <vt:i4>0</vt:i4>
      </vt:variant>
      <vt:variant>
        <vt:i4>5</vt:i4>
      </vt:variant>
      <vt:variant>
        <vt:lpwstr>http://www.espon.eu/main/Menu_Projects/Menu_ESPON2006Projects/Menu_StudiesScientificSupportProjects/smallandmediumcities.html</vt:lpwstr>
      </vt:variant>
      <vt:variant>
        <vt:lpwstr/>
      </vt:variant>
      <vt:variant>
        <vt:i4>6029340</vt:i4>
      </vt:variant>
      <vt:variant>
        <vt:i4>528</vt:i4>
      </vt:variant>
      <vt:variant>
        <vt:i4>0</vt:i4>
      </vt:variant>
      <vt:variant>
        <vt:i4>5</vt:i4>
      </vt:variant>
      <vt:variant>
        <vt:lpwstr>http://www.abdn.ac.uk/irr/arkleton/conf2000/papers.shtml</vt:lpwstr>
      </vt:variant>
      <vt:variant>
        <vt:lpwstr/>
      </vt:variant>
      <vt:variant>
        <vt:i4>4063279</vt:i4>
      </vt:variant>
      <vt:variant>
        <vt:i4>525</vt:i4>
      </vt:variant>
      <vt:variant>
        <vt:i4>0</vt:i4>
      </vt:variant>
      <vt:variant>
        <vt:i4>5</vt:i4>
      </vt:variant>
      <vt:variant>
        <vt:lpwstr>http://ec.europa.eu/regional_policy/sources/docoffic/official/reports/cohesion5/index_en.cfm</vt:lpwstr>
      </vt:variant>
      <vt:variant>
        <vt:lpwstr/>
      </vt:variant>
      <vt:variant>
        <vt:i4>8126554</vt:i4>
      </vt:variant>
      <vt:variant>
        <vt:i4>522</vt:i4>
      </vt:variant>
      <vt:variant>
        <vt:i4>0</vt:i4>
      </vt:variant>
      <vt:variant>
        <vt:i4>5</vt:i4>
      </vt:variant>
      <vt:variant>
        <vt:lpwstr>http://ec.europa.eu/agriculture/cap-post-2013/communication/index_en.htm</vt:lpwstr>
      </vt:variant>
      <vt:variant>
        <vt:lpwstr/>
      </vt:variant>
      <vt:variant>
        <vt:i4>2883679</vt:i4>
      </vt:variant>
      <vt:variant>
        <vt:i4>519</vt:i4>
      </vt:variant>
      <vt:variant>
        <vt:i4>0</vt:i4>
      </vt:variant>
      <vt:variant>
        <vt:i4>5</vt:i4>
      </vt:variant>
      <vt:variant>
        <vt:lpwstr>http://ec.europa.eu/regional_policy/sources/docgener/focus/2008_01_rural.pdf</vt:lpwstr>
      </vt:variant>
      <vt:variant>
        <vt:lpwstr/>
      </vt:variant>
      <vt:variant>
        <vt:i4>1507331</vt:i4>
      </vt:variant>
      <vt:variant>
        <vt:i4>516</vt:i4>
      </vt:variant>
      <vt:variant>
        <vt:i4>0</vt:i4>
      </vt:variant>
      <vt:variant>
        <vt:i4>5</vt:i4>
      </vt:variant>
      <vt:variant>
        <vt:lpwstr>http://www.espon.eu/main/Menu_Projects/Menu_AppliedResearch/demifer.html</vt:lpwstr>
      </vt:variant>
      <vt:variant>
        <vt:lpwstr/>
      </vt:variant>
      <vt:variant>
        <vt:i4>7995501</vt:i4>
      </vt:variant>
      <vt:variant>
        <vt:i4>513</vt:i4>
      </vt:variant>
      <vt:variant>
        <vt:i4>0</vt:i4>
      </vt:variant>
      <vt:variant>
        <vt:i4>5</vt:i4>
      </vt:variant>
      <vt:variant>
        <vt:lpwstr>http://www.eu-territorial-agenda.eu/Pages/Default.aspx</vt:lpwstr>
      </vt:variant>
      <vt:variant>
        <vt:lpwstr/>
      </vt:variant>
      <vt:variant>
        <vt:i4>2097188</vt:i4>
      </vt:variant>
      <vt:variant>
        <vt:i4>510</vt:i4>
      </vt:variant>
      <vt:variant>
        <vt:i4>0</vt:i4>
      </vt:variant>
      <vt:variant>
        <vt:i4>5</vt:i4>
      </vt:variant>
      <vt:variant>
        <vt:lpwstr>http://www.espon.eu/main/Menu_Projects/Menu_AppliedResearch/tiptap.html</vt:lpwstr>
      </vt:variant>
      <vt:variant>
        <vt:lpwstr/>
      </vt:variant>
      <vt:variant>
        <vt:i4>8061041</vt:i4>
      </vt:variant>
      <vt:variant>
        <vt:i4>507</vt:i4>
      </vt:variant>
      <vt:variant>
        <vt:i4>0</vt:i4>
      </vt:variant>
      <vt:variant>
        <vt:i4>5</vt:i4>
      </vt:variant>
      <vt:variant>
        <vt:lpwstr>http://www.espon.eu/main/Menu_Projects/Menu_ScientificPlatform/typologycompilation.html</vt:lpwstr>
      </vt:variant>
      <vt:variant>
        <vt:lpwstr/>
      </vt:variant>
      <vt:variant>
        <vt:i4>7340057</vt:i4>
      </vt:variant>
      <vt:variant>
        <vt:i4>504</vt:i4>
      </vt:variant>
      <vt:variant>
        <vt:i4>0</vt:i4>
      </vt:variant>
      <vt:variant>
        <vt:i4>5</vt:i4>
      </vt:variant>
      <vt:variant>
        <vt:lpwstr>http://www.espon.eu/main/Menu_Projects/Menu_ESPON2006Projects/Menu_ThematicProjects/urbanrural.html</vt:lpwstr>
      </vt:variant>
      <vt:variant>
        <vt:lpwstr/>
      </vt:variant>
      <vt:variant>
        <vt:i4>1441845</vt:i4>
      </vt:variant>
      <vt:variant>
        <vt:i4>350</vt:i4>
      </vt:variant>
      <vt:variant>
        <vt:i4>0</vt:i4>
      </vt:variant>
      <vt:variant>
        <vt:i4>5</vt:i4>
      </vt:variant>
      <vt:variant>
        <vt:lpwstr/>
      </vt:variant>
      <vt:variant>
        <vt:lpwstr>_Toc287882830</vt:lpwstr>
      </vt:variant>
      <vt:variant>
        <vt:i4>1507381</vt:i4>
      </vt:variant>
      <vt:variant>
        <vt:i4>344</vt:i4>
      </vt:variant>
      <vt:variant>
        <vt:i4>0</vt:i4>
      </vt:variant>
      <vt:variant>
        <vt:i4>5</vt:i4>
      </vt:variant>
      <vt:variant>
        <vt:lpwstr/>
      </vt:variant>
      <vt:variant>
        <vt:lpwstr>_Toc287882829</vt:lpwstr>
      </vt:variant>
      <vt:variant>
        <vt:i4>1507381</vt:i4>
      </vt:variant>
      <vt:variant>
        <vt:i4>338</vt:i4>
      </vt:variant>
      <vt:variant>
        <vt:i4>0</vt:i4>
      </vt:variant>
      <vt:variant>
        <vt:i4>5</vt:i4>
      </vt:variant>
      <vt:variant>
        <vt:lpwstr/>
      </vt:variant>
      <vt:variant>
        <vt:lpwstr>_Toc287882828</vt:lpwstr>
      </vt:variant>
      <vt:variant>
        <vt:i4>1507381</vt:i4>
      </vt:variant>
      <vt:variant>
        <vt:i4>332</vt:i4>
      </vt:variant>
      <vt:variant>
        <vt:i4>0</vt:i4>
      </vt:variant>
      <vt:variant>
        <vt:i4>5</vt:i4>
      </vt:variant>
      <vt:variant>
        <vt:lpwstr/>
      </vt:variant>
      <vt:variant>
        <vt:lpwstr>_Toc287882827</vt:lpwstr>
      </vt:variant>
      <vt:variant>
        <vt:i4>1507381</vt:i4>
      </vt:variant>
      <vt:variant>
        <vt:i4>323</vt:i4>
      </vt:variant>
      <vt:variant>
        <vt:i4>0</vt:i4>
      </vt:variant>
      <vt:variant>
        <vt:i4>5</vt:i4>
      </vt:variant>
      <vt:variant>
        <vt:lpwstr/>
      </vt:variant>
      <vt:variant>
        <vt:lpwstr>_Toc287882826</vt:lpwstr>
      </vt:variant>
      <vt:variant>
        <vt:i4>1507381</vt:i4>
      </vt:variant>
      <vt:variant>
        <vt:i4>317</vt:i4>
      </vt:variant>
      <vt:variant>
        <vt:i4>0</vt:i4>
      </vt:variant>
      <vt:variant>
        <vt:i4>5</vt:i4>
      </vt:variant>
      <vt:variant>
        <vt:lpwstr/>
      </vt:variant>
      <vt:variant>
        <vt:lpwstr>_Toc287882825</vt:lpwstr>
      </vt:variant>
      <vt:variant>
        <vt:i4>1507381</vt:i4>
      </vt:variant>
      <vt:variant>
        <vt:i4>311</vt:i4>
      </vt:variant>
      <vt:variant>
        <vt:i4>0</vt:i4>
      </vt:variant>
      <vt:variant>
        <vt:i4>5</vt:i4>
      </vt:variant>
      <vt:variant>
        <vt:lpwstr/>
      </vt:variant>
      <vt:variant>
        <vt:lpwstr>_Toc287882824</vt:lpwstr>
      </vt:variant>
      <vt:variant>
        <vt:i4>1507381</vt:i4>
      </vt:variant>
      <vt:variant>
        <vt:i4>305</vt:i4>
      </vt:variant>
      <vt:variant>
        <vt:i4>0</vt:i4>
      </vt:variant>
      <vt:variant>
        <vt:i4>5</vt:i4>
      </vt:variant>
      <vt:variant>
        <vt:lpwstr/>
      </vt:variant>
      <vt:variant>
        <vt:lpwstr>_Toc287882823</vt:lpwstr>
      </vt:variant>
      <vt:variant>
        <vt:i4>1507381</vt:i4>
      </vt:variant>
      <vt:variant>
        <vt:i4>299</vt:i4>
      </vt:variant>
      <vt:variant>
        <vt:i4>0</vt:i4>
      </vt:variant>
      <vt:variant>
        <vt:i4>5</vt:i4>
      </vt:variant>
      <vt:variant>
        <vt:lpwstr/>
      </vt:variant>
      <vt:variant>
        <vt:lpwstr>_Toc287882822</vt:lpwstr>
      </vt:variant>
      <vt:variant>
        <vt:i4>1507381</vt:i4>
      </vt:variant>
      <vt:variant>
        <vt:i4>293</vt:i4>
      </vt:variant>
      <vt:variant>
        <vt:i4>0</vt:i4>
      </vt:variant>
      <vt:variant>
        <vt:i4>5</vt:i4>
      </vt:variant>
      <vt:variant>
        <vt:lpwstr/>
      </vt:variant>
      <vt:variant>
        <vt:lpwstr>_Toc287882821</vt:lpwstr>
      </vt:variant>
      <vt:variant>
        <vt:i4>1507381</vt:i4>
      </vt:variant>
      <vt:variant>
        <vt:i4>287</vt:i4>
      </vt:variant>
      <vt:variant>
        <vt:i4>0</vt:i4>
      </vt:variant>
      <vt:variant>
        <vt:i4>5</vt:i4>
      </vt:variant>
      <vt:variant>
        <vt:lpwstr/>
      </vt:variant>
      <vt:variant>
        <vt:lpwstr>_Toc287882820</vt:lpwstr>
      </vt:variant>
      <vt:variant>
        <vt:i4>1310773</vt:i4>
      </vt:variant>
      <vt:variant>
        <vt:i4>281</vt:i4>
      </vt:variant>
      <vt:variant>
        <vt:i4>0</vt:i4>
      </vt:variant>
      <vt:variant>
        <vt:i4>5</vt:i4>
      </vt:variant>
      <vt:variant>
        <vt:lpwstr/>
      </vt:variant>
      <vt:variant>
        <vt:lpwstr>_Toc287882819</vt:lpwstr>
      </vt:variant>
      <vt:variant>
        <vt:i4>1310773</vt:i4>
      </vt:variant>
      <vt:variant>
        <vt:i4>275</vt:i4>
      </vt:variant>
      <vt:variant>
        <vt:i4>0</vt:i4>
      </vt:variant>
      <vt:variant>
        <vt:i4>5</vt:i4>
      </vt:variant>
      <vt:variant>
        <vt:lpwstr/>
      </vt:variant>
      <vt:variant>
        <vt:lpwstr>_Toc287882818</vt:lpwstr>
      </vt:variant>
      <vt:variant>
        <vt:i4>1310773</vt:i4>
      </vt:variant>
      <vt:variant>
        <vt:i4>269</vt:i4>
      </vt:variant>
      <vt:variant>
        <vt:i4>0</vt:i4>
      </vt:variant>
      <vt:variant>
        <vt:i4>5</vt:i4>
      </vt:variant>
      <vt:variant>
        <vt:lpwstr/>
      </vt:variant>
      <vt:variant>
        <vt:lpwstr>_Toc287882817</vt:lpwstr>
      </vt:variant>
      <vt:variant>
        <vt:i4>1310773</vt:i4>
      </vt:variant>
      <vt:variant>
        <vt:i4>263</vt:i4>
      </vt:variant>
      <vt:variant>
        <vt:i4>0</vt:i4>
      </vt:variant>
      <vt:variant>
        <vt:i4>5</vt:i4>
      </vt:variant>
      <vt:variant>
        <vt:lpwstr/>
      </vt:variant>
      <vt:variant>
        <vt:lpwstr>_Toc287882816</vt:lpwstr>
      </vt:variant>
      <vt:variant>
        <vt:i4>1310773</vt:i4>
      </vt:variant>
      <vt:variant>
        <vt:i4>254</vt:i4>
      </vt:variant>
      <vt:variant>
        <vt:i4>0</vt:i4>
      </vt:variant>
      <vt:variant>
        <vt:i4>5</vt:i4>
      </vt:variant>
      <vt:variant>
        <vt:lpwstr/>
      </vt:variant>
      <vt:variant>
        <vt:lpwstr>_Toc287882810</vt:lpwstr>
      </vt:variant>
      <vt:variant>
        <vt:i4>1114169</vt:i4>
      </vt:variant>
      <vt:variant>
        <vt:i4>245</vt:i4>
      </vt:variant>
      <vt:variant>
        <vt:i4>0</vt:i4>
      </vt:variant>
      <vt:variant>
        <vt:i4>5</vt:i4>
      </vt:variant>
      <vt:variant>
        <vt:lpwstr/>
      </vt:variant>
      <vt:variant>
        <vt:lpwstr>_Toc287882440</vt:lpwstr>
      </vt:variant>
      <vt:variant>
        <vt:i4>1441849</vt:i4>
      </vt:variant>
      <vt:variant>
        <vt:i4>239</vt:i4>
      </vt:variant>
      <vt:variant>
        <vt:i4>0</vt:i4>
      </vt:variant>
      <vt:variant>
        <vt:i4>5</vt:i4>
      </vt:variant>
      <vt:variant>
        <vt:lpwstr/>
      </vt:variant>
      <vt:variant>
        <vt:lpwstr>_Toc287882439</vt:lpwstr>
      </vt:variant>
      <vt:variant>
        <vt:i4>1441849</vt:i4>
      </vt:variant>
      <vt:variant>
        <vt:i4>233</vt:i4>
      </vt:variant>
      <vt:variant>
        <vt:i4>0</vt:i4>
      </vt:variant>
      <vt:variant>
        <vt:i4>5</vt:i4>
      </vt:variant>
      <vt:variant>
        <vt:lpwstr/>
      </vt:variant>
      <vt:variant>
        <vt:lpwstr>_Toc287882438</vt:lpwstr>
      </vt:variant>
      <vt:variant>
        <vt:i4>1441849</vt:i4>
      </vt:variant>
      <vt:variant>
        <vt:i4>227</vt:i4>
      </vt:variant>
      <vt:variant>
        <vt:i4>0</vt:i4>
      </vt:variant>
      <vt:variant>
        <vt:i4>5</vt:i4>
      </vt:variant>
      <vt:variant>
        <vt:lpwstr/>
      </vt:variant>
      <vt:variant>
        <vt:lpwstr>_Toc287882437</vt:lpwstr>
      </vt:variant>
      <vt:variant>
        <vt:i4>1441849</vt:i4>
      </vt:variant>
      <vt:variant>
        <vt:i4>221</vt:i4>
      </vt:variant>
      <vt:variant>
        <vt:i4>0</vt:i4>
      </vt:variant>
      <vt:variant>
        <vt:i4>5</vt:i4>
      </vt:variant>
      <vt:variant>
        <vt:lpwstr/>
      </vt:variant>
      <vt:variant>
        <vt:lpwstr>_Toc287882436</vt:lpwstr>
      </vt:variant>
      <vt:variant>
        <vt:i4>1441849</vt:i4>
      </vt:variant>
      <vt:variant>
        <vt:i4>215</vt:i4>
      </vt:variant>
      <vt:variant>
        <vt:i4>0</vt:i4>
      </vt:variant>
      <vt:variant>
        <vt:i4>5</vt:i4>
      </vt:variant>
      <vt:variant>
        <vt:lpwstr/>
      </vt:variant>
      <vt:variant>
        <vt:lpwstr>_Toc287882435</vt:lpwstr>
      </vt:variant>
      <vt:variant>
        <vt:i4>1441849</vt:i4>
      </vt:variant>
      <vt:variant>
        <vt:i4>209</vt:i4>
      </vt:variant>
      <vt:variant>
        <vt:i4>0</vt:i4>
      </vt:variant>
      <vt:variant>
        <vt:i4>5</vt:i4>
      </vt:variant>
      <vt:variant>
        <vt:lpwstr/>
      </vt:variant>
      <vt:variant>
        <vt:lpwstr>_Toc287882434</vt:lpwstr>
      </vt:variant>
      <vt:variant>
        <vt:i4>1441849</vt:i4>
      </vt:variant>
      <vt:variant>
        <vt:i4>203</vt:i4>
      </vt:variant>
      <vt:variant>
        <vt:i4>0</vt:i4>
      </vt:variant>
      <vt:variant>
        <vt:i4>5</vt:i4>
      </vt:variant>
      <vt:variant>
        <vt:lpwstr/>
      </vt:variant>
      <vt:variant>
        <vt:lpwstr>_Toc287882433</vt:lpwstr>
      </vt:variant>
      <vt:variant>
        <vt:i4>1441849</vt:i4>
      </vt:variant>
      <vt:variant>
        <vt:i4>197</vt:i4>
      </vt:variant>
      <vt:variant>
        <vt:i4>0</vt:i4>
      </vt:variant>
      <vt:variant>
        <vt:i4>5</vt:i4>
      </vt:variant>
      <vt:variant>
        <vt:lpwstr/>
      </vt:variant>
      <vt:variant>
        <vt:lpwstr>_Toc287882432</vt:lpwstr>
      </vt:variant>
      <vt:variant>
        <vt:i4>1441849</vt:i4>
      </vt:variant>
      <vt:variant>
        <vt:i4>191</vt:i4>
      </vt:variant>
      <vt:variant>
        <vt:i4>0</vt:i4>
      </vt:variant>
      <vt:variant>
        <vt:i4>5</vt:i4>
      </vt:variant>
      <vt:variant>
        <vt:lpwstr/>
      </vt:variant>
      <vt:variant>
        <vt:lpwstr>_Toc287882431</vt:lpwstr>
      </vt:variant>
      <vt:variant>
        <vt:i4>1441849</vt:i4>
      </vt:variant>
      <vt:variant>
        <vt:i4>185</vt:i4>
      </vt:variant>
      <vt:variant>
        <vt:i4>0</vt:i4>
      </vt:variant>
      <vt:variant>
        <vt:i4>5</vt:i4>
      </vt:variant>
      <vt:variant>
        <vt:lpwstr/>
      </vt:variant>
      <vt:variant>
        <vt:lpwstr>_Toc287882430</vt:lpwstr>
      </vt:variant>
      <vt:variant>
        <vt:i4>1507385</vt:i4>
      </vt:variant>
      <vt:variant>
        <vt:i4>179</vt:i4>
      </vt:variant>
      <vt:variant>
        <vt:i4>0</vt:i4>
      </vt:variant>
      <vt:variant>
        <vt:i4>5</vt:i4>
      </vt:variant>
      <vt:variant>
        <vt:lpwstr/>
      </vt:variant>
      <vt:variant>
        <vt:lpwstr>_Toc287882429</vt:lpwstr>
      </vt:variant>
      <vt:variant>
        <vt:i4>1507385</vt:i4>
      </vt:variant>
      <vt:variant>
        <vt:i4>173</vt:i4>
      </vt:variant>
      <vt:variant>
        <vt:i4>0</vt:i4>
      </vt:variant>
      <vt:variant>
        <vt:i4>5</vt:i4>
      </vt:variant>
      <vt:variant>
        <vt:lpwstr/>
      </vt:variant>
      <vt:variant>
        <vt:lpwstr>_Toc287882428</vt:lpwstr>
      </vt:variant>
      <vt:variant>
        <vt:i4>1507385</vt:i4>
      </vt:variant>
      <vt:variant>
        <vt:i4>167</vt:i4>
      </vt:variant>
      <vt:variant>
        <vt:i4>0</vt:i4>
      </vt:variant>
      <vt:variant>
        <vt:i4>5</vt:i4>
      </vt:variant>
      <vt:variant>
        <vt:lpwstr/>
      </vt:variant>
      <vt:variant>
        <vt:lpwstr>_Toc287882427</vt:lpwstr>
      </vt:variant>
      <vt:variant>
        <vt:i4>1507385</vt:i4>
      </vt:variant>
      <vt:variant>
        <vt:i4>161</vt:i4>
      </vt:variant>
      <vt:variant>
        <vt:i4>0</vt:i4>
      </vt:variant>
      <vt:variant>
        <vt:i4>5</vt:i4>
      </vt:variant>
      <vt:variant>
        <vt:lpwstr/>
      </vt:variant>
      <vt:variant>
        <vt:lpwstr>_Toc287882426</vt:lpwstr>
      </vt:variant>
      <vt:variant>
        <vt:i4>1507385</vt:i4>
      </vt:variant>
      <vt:variant>
        <vt:i4>155</vt:i4>
      </vt:variant>
      <vt:variant>
        <vt:i4>0</vt:i4>
      </vt:variant>
      <vt:variant>
        <vt:i4>5</vt:i4>
      </vt:variant>
      <vt:variant>
        <vt:lpwstr/>
      </vt:variant>
      <vt:variant>
        <vt:lpwstr>_Toc287882425</vt:lpwstr>
      </vt:variant>
      <vt:variant>
        <vt:i4>1507385</vt:i4>
      </vt:variant>
      <vt:variant>
        <vt:i4>149</vt:i4>
      </vt:variant>
      <vt:variant>
        <vt:i4>0</vt:i4>
      </vt:variant>
      <vt:variant>
        <vt:i4>5</vt:i4>
      </vt:variant>
      <vt:variant>
        <vt:lpwstr/>
      </vt:variant>
      <vt:variant>
        <vt:lpwstr>_Toc287882424</vt:lpwstr>
      </vt:variant>
      <vt:variant>
        <vt:i4>1507385</vt:i4>
      </vt:variant>
      <vt:variant>
        <vt:i4>143</vt:i4>
      </vt:variant>
      <vt:variant>
        <vt:i4>0</vt:i4>
      </vt:variant>
      <vt:variant>
        <vt:i4>5</vt:i4>
      </vt:variant>
      <vt:variant>
        <vt:lpwstr/>
      </vt:variant>
      <vt:variant>
        <vt:lpwstr>_Toc287882423</vt:lpwstr>
      </vt:variant>
      <vt:variant>
        <vt:i4>1507385</vt:i4>
      </vt:variant>
      <vt:variant>
        <vt:i4>137</vt:i4>
      </vt:variant>
      <vt:variant>
        <vt:i4>0</vt:i4>
      </vt:variant>
      <vt:variant>
        <vt:i4>5</vt:i4>
      </vt:variant>
      <vt:variant>
        <vt:lpwstr/>
      </vt:variant>
      <vt:variant>
        <vt:lpwstr>_Toc287882422</vt:lpwstr>
      </vt:variant>
      <vt:variant>
        <vt:i4>1507385</vt:i4>
      </vt:variant>
      <vt:variant>
        <vt:i4>131</vt:i4>
      </vt:variant>
      <vt:variant>
        <vt:i4>0</vt:i4>
      </vt:variant>
      <vt:variant>
        <vt:i4>5</vt:i4>
      </vt:variant>
      <vt:variant>
        <vt:lpwstr/>
      </vt:variant>
      <vt:variant>
        <vt:lpwstr>_Toc287882421</vt:lpwstr>
      </vt:variant>
      <vt:variant>
        <vt:i4>1507385</vt:i4>
      </vt:variant>
      <vt:variant>
        <vt:i4>125</vt:i4>
      </vt:variant>
      <vt:variant>
        <vt:i4>0</vt:i4>
      </vt:variant>
      <vt:variant>
        <vt:i4>5</vt:i4>
      </vt:variant>
      <vt:variant>
        <vt:lpwstr/>
      </vt:variant>
      <vt:variant>
        <vt:lpwstr>_Toc287882420</vt:lpwstr>
      </vt:variant>
      <vt:variant>
        <vt:i4>1310777</vt:i4>
      </vt:variant>
      <vt:variant>
        <vt:i4>119</vt:i4>
      </vt:variant>
      <vt:variant>
        <vt:i4>0</vt:i4>
      </vt:variant>
      <vt:variant>
        <vt:i4>5</vt:i4>
      </vt:variant>
      <vt:variant>
        <vt:lpwstr/>
      </vt:variant>
      <vt:variant>
        <vt:lpwstr>_Toc287882419</vt:lpwstr>
      </vt:variant>
      <vt:variant>
        <vt:i4>1310777</vt:i4>
      </vt:variant>
      <vt:variant>
        <vt:i4>113</vt:i4>
      </vt:variant>
      <vt:variant>
        <vt:i4>0</vt:i4>
      </vt:variant>
      <vt:variant>
        <vt:i4>5</vt:i4>
      </vt:variant>
      <vt:variant>
        <vt:lpwstr/>
      </vt:variant>
      <vt:variant>
        <vt:lpwstr>_Toc287882418</vt:lpwstr>
      </vt:variant>
      <vt:variant>
        <vt:i4>1310777</vt:i4>
      </vt:variant>
      <vt:variant>
        <vt:i4>107</vt:i4>
      </vt:variant>
      <vt:variant>
        <vt:i4>0</vt:i4>
      </vt:variant>
      <vt:variant>
        <vt:i4>5</vt:i4>
      </vt:variant>
      <vt:variant>
        <vt:lpwstr/>
      </vt:variant>
      <vt:variant>
        <vt:lpwstr>_Toc287882417</vt:lpwstr>
      </vt:variant>
      <vt:variant>
        <vt:i4>1310777</vt:i4>
      </vt:variant>
      <vt:variant>
        <vt:i4>101</vt:i4>
      </vt:variant>
      <vt:variant>
        <vt:i4>0</vt:i4>
      </vt:variant>
      <vt:variant>
        <vt:i4>5</vt:i4>
      </vt:variant>
      <vt:variant>
        <vt:lpwstr/>
      </vt:variant>
      <vt:variant>
        <vt:lpwstr>_Toc287882416</vt:lpwstr>
      </vt:variant>
      <vt:variant>
        <vt:i4>1310777</vt:i4>
      </vt:variant>
      <vt:variant>
        <vt:i4>95</vt:i4>
      </vt:variant>
      <vt:variant>
        <vt:i4>0</vt:i4>
      </vt:variant>
      <vt:variant>
        <vt:i4>5</vt:i4>
      </vt:variant>
      <vt:variant>
        <vt:lpwstr/>
      </vt:variant>
      <vt:variant>
        <vt:lpwstr>_Toc287882415</vt:lpwstr>
      </vt:variant>
      <vt:variant>
        <vt:i4>1310777</vt:i4>
      </vt:variant>
      <vt:variant>
        <vt:i4>89</vt:i4>
      </vt:variant>
      <vt:variant>
        <vt:i4>0</vt:i4>
      </vt:variant>
      <vt:variant>
        <vt:i4>5</vt:i4>
      </vt:variant>
      <vt:variant>
        <vt:lpwstr/>
      </vt:variant>
      <vt:variant>
        <vt:lpwstr>_Toc287882414</vt:lpwstr>
      </vt:variant>
      <vt:variant>
        <vt:i4>1310777</vt:i4>
      </vt:variant>
      <vt:variant>
        <vt:i4>83</vt:i4>
      </vt:variant>
      <vt:variant>
        <vt:i4>0</vt:i4>
      </vt:variant>
      <vt:variant>
        <vt:i4>5</vt:i4>
      </vt:variant>
      <vt:variant>
        <vt:lpwstr/>
      </vt:variant>
      <vt:variant>
        <vt:lpwstr>_Toc287882413</vt:lpwstr>
      </vt:variant>
      <vt:variant>
        <vt:i4>1310777</vt:i4>
      </vt:variant>
      <vt:variant>
        <vt:i4>77</vt:i4>
      </vt:variant>
      <vt:variant>
        <vt:i4>0</vt:i4>
      </vt:variant>
      <vt:variant>
        <vt:i4>5</vt:i4>
      </vt:variant>
      <vt:variant>
        <vt:lpwstr/>
      </vt:variant>
      <vt:variant>
        <vt:lpwstr>_Toc287882412</vt:lpwstr>
      </vt:variant>
      <vt:variant>
        <vt:i4>1310777</vt:i4>
      </vt:variant>
      <vt:variant>
        <vt:i4>71</vt:i4>
      </vt:variant>
      <vt:variant>
        <vt:i4>0</vt:i4>
      </vt:variant>
      <vt:variant>
        <vt:i4>5</vt:i4>
      </vt:variant>
      <vt:variant>
        <vt:lpwstr/>
      </vt:variant>
      <vt:variant>
        <vt:lpwstr>_Toc287882411</vt:lpwstr>
      </vt:variant>
      <vt:variant>
        <vt:i4>1310777</vt:i4>
      </vt:variant>
      <vt:variant>
        <vt:i4>65</vt:i4>
      </vt:variant>
      <vt:variant>
        <vt:i4>0</vt:i4>
      </vt:variant>
      <vt:variant>
        <vt:i4>5</vt:i4>
      </vt:variant>
      <vt:variant>
        <vt:lpwstr/>
      </vt:variant>
      <vt:variant>
        <vt:lpwstr>_Toc287882410</vt:lpwstr>
      </vt:variant>
      <vt:variant>
        <vt:i4>1376313</vt:i4>
      </vt:variant>
      <vt:variant>
        <vt:i4>59</vt:i4>
      </vt:variant>
      <vt:variant>
        <vt:i4>0</vt:i4>
      </vt:variant>
      <vt:variant>
        <vt:i4>5</vt:i4>
      </vt:variant>
      <vt:variant>
        <vt:lpwstr/>
      </vt:variant>
      <vt:variant>
        <vt:lpwstr>_Toc287882409</vt:lpwstr>
      </vt:variant>
      <vt:variant>
        <vt:i4>1376313</vt:i4>
      </vt:variant>
      <vt:variant>
        <vt:i4>53</vt:i4>
      </vt:variant>
      <vt:variant>
        <vt:i4>0</vt:i4>
      </vt:variant>
      <vt:variant>
        <vt:i4>5</vt:i4>
      </vt:variant>
      <vt:variant>
        <vt:lpwstr/>
      </vt:variant>
      <vt:variant>
        <vt:lpwstr>_Toc287882408</vt:lpwstr>
      </vt:variant>
      <vt:variant>
        <vt:i4>1376313</vt:i4>
      </vt:variant>
      <vt:variant>
        <vt:i4>47</vt:i4>
      </vt:variant>
      <vt:variant>
        <vt:i4>0</vt:i4>
      </vt:variant>
      <vt:variant>
        <vt:i4>5</vt:i4>
      </vt:variant>
      <vt:variant>
        <vt:lpwstr/>
      </vt:variant>
      <vt:variant>
        <vt:lpwstr>_Toc287882407</vt:lpwstr>
      </vt:variant>
      <vt:variant>
        <vt:i4>1376313</vt:i4>
      </vt:variant>
      <vt:variant>
        <vt:i4>41</vt:i4>
      </vt:variant>
      <vt:variant>
        <vt:i4>0</vt:i4>
      </vt:variant>
      <vt:variant>
        <vt:i4>5</vt:i4>
      </vt:variant>
      <vt:variant>
        <vt:lpwstr/>
      </vt:variant>
      <vt:variant>
        <vt:lpwstr>_Toc287882406</vt:lpwstr>
      </vt:variant>
      <vt:variant>
        <vt:i4>1376313</vt:i4>
      </vt:variant>
      <vt:variant>
        <vt:i4>35</vt:i4>
      </vt:variant>
      <vt:variant>
        <vt:i4>0</vt:i4>
      </vt:variant>
      <vt:variant>
        <vt:i4>5</vt:i4>
      </vt:variant>
      <vt:variant>
        <vt:lpwstr/>
      </vt:variant>
      <vt:variant>
        <vt:lpwstr>_Toc287882405</vt:lpwstr>
      </vt:variant>
      <vt:variant>
        <vt:i4>1376313</vt:i4>
      </vt:variant>
      <vt:variant>
        <vt:i4>29</vt:i4>
      </vt:variant>
      <vt:variant>
        <vt:i4>0</vt:i4>
      </vt:variant>
      <vt:variant>
        <vt:i4>5</vt:i4>
      </vt:variant>
      <vt:variant>
        <vt:lpwstr/>
      </vt:variant>
      <vt:variant>
        <vt:lpwstr>_Toc287882404</vt:lpwstr>
      </vt:variant>
      <vt:variant>
        <vt:i4>1376313</vt:i4>
      </vt:variant>
      <vt:variant>
        <vt:i4>23</vt:i4>
      </vt:variant>
      <vt:variant>
        <vt:i4>0</vt:i4>
      </vt:variant>
      <vt:variant>
        <vt:i4>5</vt:i4>
      </vt:variant>
      <vt:variant>
        <vt:lpwstr/>
      </vt:variant>
      <vt:variant>
        <vt:lpwstr>_Toc287882403</vt:lpwstr>
      </vt:variant>
      <vt:variant>
        <vt:i4>1376313</vt:i4>
      </vt:variant>
      <vt:variant>
        <vt:i4>17</vt:i4>
      </vt:variant>
      <vt:variant>
        <vt:i4>0</vt:i4>
      </vt:variant>
      <vt:variant>
        <vt:i4>5</vt:i4>
      </vt:variant>
      <vt:variant>
        <vt:lpwstr/>
      </vt:variant>
      <vt:variant>
        <vt:lpwstr>_Toc287882402</vt:lpwstr>
      </vt:variant>
      <vt:variant>
        <vt:i4>1376313</vt:i4>
      </vt:variant>
      <vt:variant>
        <vt:i4>11</vt:i4>
      </vt:variant>
      <vt:variant>
        <vt:i4>0</vt:i4>
      </vt:variant>
      <vt:variant>
        <vt:i4>5</vt:i4>
      </vt:variant>
      <vt:variant>
        <vt:lpwstr/>
      </vt:variant>
      <vt:variant>
        <vt:lpwstr>_Toc287882401</vt:lpwstr>
      </vt:variant>
      <vt:variant>
        <vt:i4>1376313</vt:i4>
      </vt:variant>
      <vt:variant>
        <vt:i4>5</vt:i4>
      </vt:variant>
      <vt:variant>
        <vt:i4>0</vt:i4>
      </vt:variant>
      <vt:variant>
        <vt:i4>5</vt:i4>
      </vt:variant>
      <vt:variant>
        <vt:lpwstr/>
      </vt:variant>
      <vt:variant>
        <vt:lpwstr>_Toc287882400</vt:lpwstr>
      </vt:variant>
      <vt:variant>
        <vt:i4>1703959</vt:i4>
      </vt:variant>
      <vt:variant>
        <vt:i4>0</vt:i4>
      </vt:variant>
      <vt:variant>
        <vt:i4>0</vt:i4>
      </vt:variant>
      <vt:variant>
        <vt:i4>5</vt:i4>
      </vt:variant>
      <vt:variant>
        <vt:lpwstr>http://www.espon.eu/</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Version 1 22/09/2008</dc:title>
  <dc:creator>mehlbye</dc:creator>
  <cp:lastModifiedBy>Petri Kahila</cp:lastModifiedBy>
  <cp:revision>3</cp:revision>
  <cp:lastPrinted>2014-04-21T15:27:00Z</cp:lastPrinted>
  <dcterms:created xsi:type="dcterms:W3CDTF">2014-10-16T23:36:00Z</dcterms:created>
  <dcterms:modified xsi:type="dcterms:W3CDTF">2014-10-16T23:37:00Z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0x0101000B55545BE707EE41963776E429A300E2</vt:lpwstr>
  </property>
</Properties>
</file>