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686" w:rsidRPr="00C36DAF" w:rsidRDefault="00AB0F53" w:rsidP="00430686">
      <w:pPr>
        <w:spacing w:before="0"/>
        <w:ind w:left="-1701"/>
        <w:rPr>
          <w:iCs/>
        </w:rPr>
      </w:pPr>
      <w:bookmarkStart w:id="0" w:name="_Toc221439757"/>
      <w:r>
        <w:rPr>
          <w:noProof/>
          <w:lang w:val="fi-FI" w:eastAsia="fi-FI"/>
        </w:rPr>
        <mc:AlternateContent>
          <mc:Choice Requires="wps">
            <w:drawing>
              <wp:anchor distT="0" distB="0" distL="114300" distR="114300" simplePos="0" relativeHeight="251657216" behindDoc="0" locked="0" layoutInCell="1" allowOverlap="1">
                <wp:simplePos x="0" y="0"/>
                <wp:positionH relativeFrom="column">
                  <wp:posOffset>-813435</wp:posOffset>
                </wp:positionH>
                <wp:positionV relativeFrom="paragraph">
                  <wp:posOffset>3930650</wp:posOffset>
                </wp:positionV>
                <wp:extent cx="7035800" cy="1835150"/>
                <wp:effectExtent l="0" t="0" r="0" b="0"/>
                <wp:wrapNone/>
                <wp:docPr id="7"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183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5F0" w:rsidRDefault="006425F0" w:rsidP="00430686">
                            <w:pPr>
                              <w:ind w:left="426" w:right="530"/>
                              <w:jc w:val="center"/>
                              <w:rPr>
                                <w:rFonts w:cs="Arial"/>
                                <w:sz w:val="60"/>
                                <w:szCs w:val="60"/>
                              </w:rPr>
                            </w:pPr>
                            <w:r>
                              <w:rPr>
                                <w:rFonts w:cs="Arial"/>
                                <w:sz w:val="60"/>
                                <w:szCs w:val="60"/>
                              </w:rPr>
                              <w:t>TiPSE</w:t>
                            </w:r>
                          </w:p>
                          <w:p w:rsidR="006425F0" w:rsidRPr="00721B03" w:rsidRDefault="006425F0"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1" o:spid="_x0000_s1026" type="#_x0000_t202" style="position:absolute;left:0;text-align:left;margin-left:-64.05pt;margin-top:309.5pt;width:554pt;height:1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" filled="f" stroked="f">
                <v:textbox>
                  <w:txbxContent>
                    <w:p w:rsidR="006425F0" w:rsidRDefault="006425F0" w:rsidP="00430686">
                      <w:pPr>
                        <w:ind w:left="426" w:right="530"/>
                        <w:jc w:val="center"/>
                        <w:rPr>
                          <w:rFonts w:cs="Arial"/>
                          <w:sz w:val="60"/>
                          <w:szCs w:val="60"/>
                        </w:rPr>
                      </w:pPr>
                      <w:r>
                        <w:rPr>
                          <w:rFonts w:cs="Arial"/>
                          <w:sz w:val="60"/>
                          <w:szCs w:val="60"/>
                        </w:rPr>
                        <w:t>TiPSE</w:t>
                      </w:r>
                    </w:p>
                    <w:p w:rsidR="006425F0" w:rsidRPr="00721B03" w:rsidRDefault="006425F0"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v:textbox>
              </v:shape>
            </w:pict>
          </mc:Fallback>
        </mc:AlternateContent>
      </w:r>
      <w:r>
        <w:rPr>
          <w:noProof/>
          <w:lang w:val="fi-FI" w:eastAsia="fi-FI"/>
        </w:rPr>
        <mc:AlternateContent>
          <mc:Choice Requires="wps">
            <w:drawing>
              <wp:anchor distT="0" distB="0" distL="114300" distR="114300" simplePos="0" relativeHeight="251659264" behindDoc="0" locked="0" layoutInCell="1" allowOverlap="1">
                <wp:simplePos x="0" y="0"/>
                <wp:positionH relativeFrom="column">
                  <wp:posOffset>-813435</wp:posOffset>
                </wp:positionH>
                <wp:positionV relativeFrom="paragraph">
                  <wp:posOffset>6451600</wp:posOffset>
                </wp:positionV>
                <wp:extent cx="7035800" cy="1950720"/>
                <wp:effectExtent l="0" t="0" r="0" b="0"/>
                <wp:wrapNone/>
                <wp:docPr id="5"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195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5F0" w:rsidRDefault="006425F0" w:rsidP="006A7D86">
                            <w:pPr>
                              <w:jc w:val="center"/>
                              <w:rPr>
                                <w:rFonts w:cs="Arial"/>
                                <w:sz w:val="32"/>
                                <w:szCs w:val="32"/>
                                <w:lang w:val="en-US"/>
                              </w:rPr>
                            </w:pPr>
                            <w:r>
                              <w:rPr>
                                <w:rFonts w:cs="Arial"/>
                                <w:sz w:val="32"/>
                                <w:szCs w:val="32"/>
                                <w:lang w:val="en-US"/>
                              </w:rPr>
                              <w:t>Final Report</w:t>
                            </w:r>
                          </w:p>
                          <w:p w:rsidR="006425F0" w:rsidRDefault="006425F0" w:rsidP="006A7D86">
                            <w:pPr>
                              <w:jc w:val="center"/>
                              <w:rPr>
                                <w:rFonts w:cs="Arial"/>
                                <w:sz w:val="32"/>
                                <w:szCs w:val="32"/>
                                <w:lang w:val="en-US"/>
                              </w:rPr>
                            </w:pPr>
                          </w:p>
                          <w:p w:rsidR="006425F0" w:rsidRDefault="006425F0" w:rsidP="006A7D86">
                            <w:pPr>
                              <w:jc w:val="center"/>
                              <w:rPr>
                                <w:rFonts w:cs="Arial"/>
                                <w:color w:val="17365D" w:themeColor="text2" w:themeShade="BF"/>
                                <w:sz w:val="32"/>
                                <w:szCs w:val="32"/>
                                <w:lang w:val="en-US"/>
                              </w:rPr>
                            </w:pPr>
                            <w:r>
                              <w:rPr>
                                <w:rFonts w:cs="Arial"/>
                                <w:color w:val="17365D" w:themeColor="text2" w:themeShade="BF"/>
                                <w:sz w:val="32"/>
                                <w:szCs w:val="32"/>
                                <w:lang w:val="en-US"/>
                              </w:rPr>
                              <w:t>Annex 11</w:t>
                            </w:r>
                          </w:p>
                          <w:p w:rsidR="006425F0" w:rsidRDefault="006425F0" w:rsidP="006A7D86">
                            <w:pPr>
                              <w:jc w:val="center"/>
                              <w:rPr>
                                <w:rFonts w:cs="Arial"/>
                                <w:b/>
                                <w:color w:val="17365D" w:themeColor="text2" w:themeShade="BF"/>
                                <w:sz w:val="56"/>
                                <w:szCs w:val="32"/>
                                <w:lang w:val="en-US"/>
                              </w:rPr>
                            </w:pPr>
                            <w:r w:rsidRPr="00F2111E">
                              <w:rPr>
                                <w:rFonts w:cs="Arial"/>
                                <w:b/>
                                <w:color w:val="17365D" w:themeColor="text2" w:themeShade="BF"/>
                                <w:sz w:val="56"/>
                                <w:szCs w:val="32"/>
                                <w:lang w:val="en-US"/>
                              </w:rPr>
                              <w:t>Monitoring the Territorial Aspects of Poverty and Social Exclusion</w:t>
                            </w:r>
                          </w:p>
                          <w:p w:rsidR="006425F0" w:rsidRDefault="006425F0" w:rsidP="00F2111E">
                            <w:pPr>
                              <w:jc w:val="center"/>
                              <w:rPr>
                                <w:rFonts w:cs="Arial"/>
                                <w:color w:val="17365D" w:themeColor="text2" w:themeShade="BF"/>
                                <w:sz w:val="32"/>
                                <w:szCs w:val="32"/>
                                <w:lang w:val="de-DE"/>
                              </w:rPr>
                            </w:pPr>
                          </w:p>
                          <w:p w:rsidR="006425F0" w:rsidRPr="00F2111E" w:rsidRDefault="006425F0" w:rsidP="00F2111E">
                            <w:pPr>
                              <w:jc w:val="center"/>
                              <w:rPr>
                                <w:rFonts w:cs="Arial"/>
                                <w:color w:val="17365D" w:themeColor="text2" w:themeShade="BF"/>
                                <w:sz w:val="32"/>
                                <w:szCs w:val="32"/>
                                <w:lang w:val="de-DE"/>
                              </w:rPr>
                            </w:pPr>
                            <w:r w:rsidRPr="00F2111E">
                              <w:rPr>
                                <w:rFonts w:cs="Arial"/>
                                <w:color w:val="17365D" w:themeColor="text2" w:themeShade="BF"/>
                                <w:sz w:val="32"/>
                                <w:szCs w:val="32"/>
                                <w:lang w:val="de-DE"/>
                              </w:rPr>
                              <w:t>Katalin Kovács, HAS and Andrew Copus, James Hutton Institute</w:t>
                            </w:r>
                          </w:p>
                          <w:p w:rsidR="006425F0" w:rsidRDefault="006425F0" w:rsidP="00F2111E">
                            <w:pPr>
                              <w:jc w:val="center"/>
                              <w:rPr>
                                <w:rFonts w:cs="Arial"/>
                                <w:color w:val="17365D" w:themeColor="text2" w:themeShade="BF"/>
                                <w:sz w:val="32"/>
                                <w:szCs w:val="32"/>
                                <w:lang w:val="de-DE"/>
                              </w:rPr>
                            </w:pPr>
                            <w:r w:rsidRPr="00F2111E">
                              <w:rPr>
                                <w:rFonts w:cs="Arial"/>
                                <w:color w:val="17365D" w:themeColor="text2" w:themeShade="BF"/>
                                <w:sz w:val="32"/>
                                <w:szCs w:val="32"/>
                                <w:lang w:val="de-DE"/>
                              </w:rPr>
                              <w:t>in collaboration with Gergely Tagai (HAS)</w:t>
                            </w:r>
                          </w:p>
                          <w:p w:rsidR="006425F0" w:rsidRDefault="006425F0" w:rsidP="006A7D86">
                            <w:pPr>
                              <w:jc w:val="center"/>
                              <w:rPr>
                                <w:rFonts w:cs="Arial"/>
                                <w:color w:val="17365D" w:themeColor="text2" w:themeShade="BF"/>
                                <w:sz w:val="32"/>
                                <w:szCs w:val="32"/>
                                <w:lang w:val="de-DE"/>
                              </w:rPr>
                            </w:pPr>
                          </w:p>
                          <w:p w:rsidR="006425F0" w:rsidRPr="006A7D86" w:rsidRDefault="006425F0" w:rsidP="006A7D86">
                            <w:pPr>
                              <w:jc w:val="center"/>
                              <w:rPr>
                                <w:rFonts w:cs="Arial"/>
                                <w:color w:val="0F243E" w:themeColor="text2" w:themeShade="80"/>
                                <w:sz w:val="32"/>
                                <w:szCs w:val="32"/>
                                <w:lang w:val="de-DE"/>
                              </w:rPr>
                            </w:pPr>
                          </w:p>
                          <w:p w:rsidR="006425F0" w:rsidRPr="006A7D86" w:rsidRDefault="006425F0" w:rsidP="00430686">
                            <w:pPr>
                              <w:jc w:val="center"/>
                              <w:rPr>
                                <w:rFonts w:cs="Arial"/>
                                <w:sz w:val="32"/>
                                <w:szCs w:val="32"/>
                                <w:lang w:val="de-DE"/>
                              </w:rPr>
                            </w:pPr>
                            <w:r>
                              <w:rPr>
                                <w:rFonts w:cs="Arial"/>
                                <w:sz w:val="32"/>
                                <w:szCs w:val="32"/>
                                <w:lang w:val="de-DE"/>
                              </w:rPr>
                              <w:t>October 2014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03" o:spid="_x0000_s1027" type="#_x0000_t202" style="position:absolute;left:0;text-align:left;margin-left:-64.05pt;margin-top:508pt;width:554pt;height:153.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" filled="f" stroked="f">
                <v:textbox style="mso-fit-shape-to-text:t">
                  <w:txbxContent>
                    <w:p w:rsidR="006425F0" w:rsidRDefault="006425F0" w:rsidP="006A7D86">
                      <w:pPr>
                        <w:jc w:val="center"/>
                        <w:rPr>
                          <w:rFonts w:cs="Arial"/>
                          <w:sz w:val="32"/>
                          <w:szCs w:val="32"/>
                          <w:lang w:val="en-US"/>
                        </w:rPr>
                      </w:pPr>
                      <w:r>
                        <w:rPr>
                          <w:rFonts w:cs="Arial"/>
                          <w:sz w:val="32"/>
                          <w:szCs w:val="32"/>
                          <w:lang w:val="en-US"/>
                        </w:rPr>
                        <w:t>Final Report</w:t>
                      </w:r>
                    </w:p>
                    <w:p w:rsidR="006425F0" w:rsidRDefault="006425F0" w:rsidP="006A7D86">
                      <w:pPr>
                        <w:jc w:val="center"/>
                        <w:rPr>
                          <w:rFonts w:cs="Arial"/>
                          <w:sz w:val="32"/>
                          <w:szCs w:val="32"/>
                          <w:lang w:val="en-US"/>
                        </w:rPr>
                      </w:pPr>
                    </w:p>
                    <w:p w:rsidR="006425F0" w:rsidRDefault="006425F0" w:rsidP="006A7D86">
                      <w:pPr>
                        <w:jc w:val="center"/>
                        <w:rPr>
                          <w:rFonts w:cs="Arial"/>
                          <w:color w:val="17365D" w:themeColor="text2" w:themeShade="BF"/>
                          <w:sz w:val="32"/>
                          <w:szCs w:val="32"/>
                          <w:lang w:val="en-US"/>
                        </w:rPr>
                      </w:pPr>
                      <w:r>
                        <w:rPr>
                          <w:rFonts w:cs="Arial"/>
                          <w:color w:val="17365D" w:themeColor="text2" w:themeShade="BF"/>
                          <w:sz w:val="32"/>
                          <w:szCs w:val="32"/>
                          <w:lang w:val="en-US"/>
                        </w:rPr>
                        <w:t>Annex 11</w:t>
                      </w:r>
                    </w:p>
                    <w:p w:rsidR="006425F0" w:rsidRDefault="006425F0" w:rsidP="006A7D86">
                      <w:pPr>
                        <w:jc w:val="center"/>
                        <w:rPr>
                          <w:rFonts w:cs="Arial"/>
                          <w:b/>
                          <w:color w:val="17365D" w:themeColor="text2" w:themeShade="BF"/>
                          <w:sz w:val="56"/>
                          <w:szCs w:val="32"/>
                          <w:lang w:val="en-US"/>
                        </w:rPr>
                      </w:pPr>
                      <w:r w:rsidRPr="00F2111E">
                        <w:rPr>
                          <w:rFonts w:cs="Arial"/>
                          <w:b/>
                          <w:color w:val="17365D" w:themeColor="text2" w:themeShade="BF"/>
                          <w:sz w:val="56"/>
                          <w:szCs w:val="32"/>
                          <w:lang w:val="en-US"/>
                        </w:rPr>
                        <w:t>Monitoring the Territorial Aspects of Poverty and Social Exclusion</w:t>
                      </w:r>
                    </w:p>
                    <w:p w:rsidR="006425F0" w:rsidRDefault="006425F0" w:rsidP="00F2111E">
                      <w:pPr>
                        <w:jc w:val="center"/>
                        <w:rPr>
                          <w:rFonts w:cs="Arial"/>
                          <w:color w:val="17365D" w:themeColor="text2" w:themeShade="BF"/>
                          <w:sz w:val="32"/>
                          <w:szCs w:val="32"/>
                          <w:lang w:val="de-DE"/>
                        </w:rPr>
                      </w:pPr>
                    </w:p>
                    <w:p w:rsidR="006425F0" w:rsidRPr="00F2111E" w:rsidRDefault="006425F0" w:rsidP="00F2111E">
                      <w:pPr>
                        <w:jc w:val="center"/>
                        <w:rPr>
                          <w:rFonts w:cs="Arial"/>
                          <w:color w:val="17365D" w:themeColor="text2" w:themeShade="BF"/>
                          <w:sz w:val="32"/>
                          <w:szCs w:val="32"/>
                          <w:lang w:val="de-DE"/>
                        </w:rPr>
                      </w:pPr>
                      <w:r w:rsidRPr="00F2111E">
                        <w:rPr>
                          <w:rFonts w:cs="Arial"/>
                          <w:color w:val="17365D" w:themeColor="text2" w:themeShade="BF"/>
                          <w:sz w:val="32"/>
                          <w:szCs w:val="32"/>
                          <w:lang w:val="de-DE"/>
                        </w:rPr>
                        <w:t>Katalin Kovács, HAS and Andrew Copus, James Hutton Institute</w:t>
                      </w:r>
                    </w:p>
                    <w:p w:rsidR="006425F0" w:rsidRDefault="006425F0" w:rsidP="00F2111E">
                      <w:pPr>
                        <w:jc w:val="center"/>
                        <w:rPr>
                          <w:rFonts w:cs="Arial"/>
                          <w:color w:val="17365D" w:themeColor="text2" w:themeShade="BF"/>
                          <w:sz w:val="32"/>
                          <w:szCs w:val="32"/>
                          <w:lang w:val="de-DE"/>
                        </w:rPr>
                      </w:pPr>
                      <w:r w:rsidRPr="00F2111E">
                        <w:rPr>
                          <w:rFonts w:cs="Arial"/>
                          <w:color w:val="17365D" w:themeColor="text2" w:themeShade="BF"/>
                          <w:sz w:val="32"/>
                          <w:szCs w:val="32"/>
                          <w:lang w:val="de-DE"/>
                        </w:rPr>
                        <w:t>in collaboration with Gergely Tagai (HAS)</w:t>
                      </w:r>
                    </w:p>
                    <w:p w:rsidR="006425F0" w:rsidRDefault="006425F0" w:rsidP="006A7D86">
                      <w:pPr>
                        <w:jc w:val="center"/>
                        <w:rPr>
                          <w:rFonts w:cs="Arial"/>
                          <w:color w:val="17365D" w:themeColor="text2" w:themeShade="BF"/>
                          <w:sz w:val="32"/>
                          <w:szCs w:val="32"/>
                          <w:lang w:val="de-DE"/>
                        </w:rPr>
                      </w:pPr>
                    </w:p>
                    <w:p w:rsidR="006425F0" w:rsidRPr="006A7D86" w:rsidRDefault="006425F0" w:rsidP="006A7D86">
                      <w:pPr>
                        <w:jc w:val="center"/>
                        <w:rPr>
                          <w:rFonts w:cs="Arial"/>
                          <w:color w:val="0F243E" w:themeColor="text2" w:themeShade="80"/>
                          <w:sz w:val="32"/>
                          <w:szCs w:val="32"/>
                          <w:lang w:val="de-DE"/>
                        </w:rPr>
                      </w:pPr>
                    </w:p>
                    <w:p w:rsidR="006425F0" w:rsidRPr="006A7D86" w:rsidRDefault="006425F0" w:rsidP="00430686">
                      <w:pPr>
                        <w:jc w:val="center"/>
                        <w:rPr>
                          <w:rFonts w:cs="Arial"/>
                          <w:sz w:val="32"/>
                          <w:szCs w:val="32"/>
                          <w:lang w:val="de-DE"/>
                        </w:rPr>
                      </w:pPr>
                      <w:r>
                        <w:rPr>
                          <w:rFonts w:cs="Arial"/>
                          <w:sz w:val="32"/>
                          <w:szCs w:val="32"/>
                          <w:lang w:val="de-DE"/>
                        </w:rPr>
                        <w:t>October 2014</w:t>
                      </w:r>
                    </w:p>
                  </w:txbxContent>
                </v:textbox>
              </v:shape>
            </w:pict>
          </mc:Fallback>
        </mc:AlternateContent>
      </w:r>
      <w:r>
        <w:rPr>
          <w:noProof/>
          <w:lang w:val="fi-FI" w:eastAsia="fi-FI"/>
        </w:rPr>
        <mc:AlternateContent>
          <mc:Choice Requires="wps">
            <w:drawing>
              <wp:anchor distT="0" distB="0" distL="114300" distR="114300" simplePos="0" relativeHeight="251658240" behindDoc="0" locked="0" layoutInCell="1" allowOverlap="1">
                <wp:simplePos x="0" y="0"/>
                <wp:positionH relativeFrom="column">
                  <wp:posOffset>-813435</wp:posOffset>
                </wp:positionH>
                <wp:positionV relativeFrom="paragraph">
                  <wp:posOffset>5969000</wp:posOffset>
                </wp:positionV>
                <wp:extent cx="7035800" cy="401320"/>
                <wp:effectExtent l="0" t="0" r="0" b="0"/>
                <wp:wrapNone/>
                <wp:docPr id="3"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5F0" w:rsidRPr="00DC3CE6" w:rsidRDefault="006425F0"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02" o:spid="_x0000_s1028" type="#_x0000_t202" style="position:absolute;left:0;text-align:left;margin-left:-64.05pt;margin-top:470pt;width:554pt;height:31.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" filled="f" stroked="f">
                <v:textbox style="mso-fit-shape-to-text:t">
                  <w:txbxContent>
                    <w:p w:rsidR="006425F0" w:rsidRPr="00DC3CE6" w:rsidRDefault="006425F0"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v:textbox>
              </v:shape>
            </w:pict>
          </mc:Fallback>
        </mc:AlternateContent>
      </w:r>
      <w:r w:rsidR="004929E9" w:rsidRPr="00C36DAF">
        <w:rPr>
          <w:noProof/>
          <w:lang w:val="fi-FI" w:eastAsia="fi-FI"/>
        </w:rPr>
        <w:drawing>
          <wp:inline distT="0" distB="0" distL="0" distR="0">
            <wp:extent cx="7572375" cy="13944600"/>
            <wp:effectExtent l="19050" t="0" r="9525" b="0"/>
            <wp:docPr id="1" name="Picture 1" descr="Cover-TPG-Whi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ver-TPG-White"/>
                    <pic:cNvPicPr preferRelativeResize="0">
                      <a:picLocks noChangeArrowheads="1"/>
                    </pic:cNvPicPr>
                  </pic:nvPicPr>
                  <pic:blipFill>
                    <a:blip r:embed="rId11"/>
                    <a:srcRect l="51128"/>
                    <a:stretch>
                      <a:fillRect/>
                    </a:stretch>
                  </pic:blipFill>
                  <pic:spPr bwMode="auto">
                    <a:xfrm>
                      <a:off x="0" y="0"/>
                      <a:ext cx="7572375" cy="13944600"/>
                    </a:xfrm>
                    <a:prstGeom prst="rect">
                      <a:avLst/>
                    </a:prstGeom>
                    <a:noFill/>
                    <a:ln w="9525">
                      <a:noFill/>
                      <a:miter lim="800000"/>
                      <a:headEnd/>
                      <a:tailEnd/>
                    </a:ln>
                  </pic:spPr>
                </pic:pic>
              </a:graphicData>
            </a:graphic>
          </wp:inline>
        </w:drawing>
      </w:r>
    </w:p>
    <w:bookmarkEnd w:id="0"/>
    <w:p w:rsidR="00956CB4" w:rsidRPr="00C36DAF" w:rsidRDefault="00956CB4" w:rsidP="00006BE0">
      <w:pPr>
        <w:pStyle w:val="ESPONText"/>
      </w:pPr>
    </w:p>
    <w:p w:rsidR="00390969" w:rsidRPr="00C36DAF" w:rsidRDefault="00390969" w:rsidP="00ED043E">
      <w:pPr>
        <w:pStyle w:val="ESPONColophon"/>
        <w:ind w:left="810"/>
        <w:sectPr w:rsidR="00390969" w:rsidRPr="00C36DAF" w:rsidSect="000858C8">
          <w:footerReference w:type="even" r:id="rId12"/>
          <w:footerReference w:type="default" r:id="rId13"/>
          <w:pgSz w:w="11906" w:h="16838" w:code="9"/>
          <w:pgMar w:top="0" w:right="851" w:bottom="0" w:left="1701" w:header="720" w:footer="720" w:gutter="0"/>
          <w:pgNumType w:fmt="lowerRoman" w:start="1"/>
          <w:cols w:space="720"/>
          <w:titlePg/>
        </w:sectPr>
      </w:pPr>
    </w:p>
    <w:p w:rsidR="00ED043E" w:rsidRPr="00C36DAF" w:rsidRDefault="00ED043E" w:rsidP="00AF6C49">
      <w:pPr>
        <w:pStyle w:val="ESPONColophon"/>
      </w:pPr>
    </w:p>
    <w:p w:rsidR="00ED043E" w:rsidRPr="00C36DAF" w:rsidRDefault="00560F65" w:rsidP="00560F65">
      <w:pPr>
        <w:pStyle w:val="ESPONColophon"/>
        <w:ind w:left="810"/>
      </w:pPr>
      <w:r w:rsidRPr="00C36DAF">
        <w:t xml:space="preserve">This report </w:t>
      </w:r>
      <w:r w:rsidR="00F2111E">
        <w:t xml:space="preserve">summarises the work of </w:t>
      </w:r>
      <w:r w:rsidR="00EE30EE">
        <w:t>Task 2.</w:t>
      </w:r>
      <w:r w:rsidR="00F2111E">
        <w:t>11</w:t>
      </w:r>
      <w:r w:rsidR="00EE30EE">
        <w:t xml:space="preserve"> of the TiPSE project</w:t>
      </w:r>
      <w:r w:rsidRPr="00C36DAF">
        <w:t>. This Applied Research Project is conducted within the framework of the ESPON 2013 Programme, partly financed by the European Regional Development Fund.</w:t>
      </w:r>
    </w:p>
    <w:p w:rsidR="00560F65" w:rsidRPr="00C36DAF" w:rsidRDefault="00560F65" w:rsidP="00560F65">
      <w:pPr>
        <w:pStyle w:val="ESPONColophon"/>
        <w:ind w:left="810"/>
      </w:pPr>
    </w:p>
    <w:p w:rsidR="00ED043E" w:rsidRPr="00C36DAF" w:rsidRDefault="00ED043E" w:rsidP="00ED043E">
      <w:pPr>
        <w:pStyle w:val="ESPONColophon"/>
        <w:ind w:left="810"/>
      </w:pPr>
      <w:r w:rsidRPr="00C36DAF">
        <w:t>The partnership behind the ESPON Programme consists of the EU Commission and the Member States of the EU27, plus Iceland, Liechtenstein, Norway and Switzerland. Each partner is represented in the ESPON Monitoring Committee.</w:t>
      </w:r>
    </w:p>
    <w:p w:rsidR="00ED043E" w:rsidRPr="00C36DAF" w:rsidRDefault="00ED043E" w:rsidP="00ED043E">
      <w:pPr>
        <w:pStyle w:val="ESPONColophon"/>
        <w:ind w:left="810"/>
      </w:pPr>
    </w:p>
    <w:p w:rsidR="00ED043E" w:rsidRPr="00C36DAF" w:rsidRDefault="00ED043E" w:rsidP="00ED043E">
      <w:pPr>
        <w:pStyle w:val="ESPONColophon"/>
        <w:ind w:left="810"/>
      </w:pPr>
      <w:r w:rsidRPr="00C36DAF">
        <w:t>This report does not necessarily reflect the opinion of the members of the Monitoring Committee.</w:t>
      </w:r>
    </w:p>
    <w:p w:rsidR="00ED043E" w:rsidRPr="00C36DAF" w:rsidRDefault="00ED043E" w:rsidP="00ED043E">
      <w:pPr>
        <w:pStyle w:val="ESPONColophon"/>
        <w:ind w:left="810"/>
      </w:pPr>
    </w:p>
    <w:p w:rsidR="00ED043E" w:rsidRPr="00C36DAF" w:rsidRDefault="00ED043E" w:rsidP="00ED043E">
      <w:pPr>
        <w:pStyle w:val="ESPONColophon"/>
        <w:ind w:left="810"/>
      </w:pPr>
      <w:r w:rsidRPr="00C36DAF">
        <w:t xml:space="preserve">Information on the ESPON Programme and projects can be found on </w:t>
      </w:r>
      <w:hyperlink r:id="rId14" w:history="1">
        <w:r w:rsidRPr="00C36DAF">
          <w:rPr>
            <w:rStyle w:val="Hyperlinkki"/>
          </w:rPr>
          <w:t>www.espon.eu</w:t>
        </w:r>
      </w:hyperlink>
    </w:p>
    <w:p w:rsidR="00ED043E" w:rsidRPr="00C36DAF" w:rsidRDefault="00ED043E" w:rsidP="00ED043E">
      <w:pPr>
        <w:pStyle w:val="ESPONColophon"/>
        <w:ind w:left="810"/>
      </w:pPr>
    </w:p>
    <w:p w:rsidR="00ED043E" w:rsidRPr="00C36DAF" w:rsidRDefault="00ED043E" w:rsidP="00ED043E">
      <w:pPr>
        <w:pStyle w:val="ESPONColophon"/>
        <w:ind w:left="810"/>
      </w:pPr>
      <w:r w:rsidRPr="00C36DAF">
        <w:t>The web site provides the possibility to download and examine the most recent documents produced by finalised and ongoing ESPON projects.</w:t>
      </w:r>
    </w:p>
    <w:p w:rsidR="00ED043E" w:rsidRPr="00C36DAF" w:rsidRDefault="00ED043E" w:rsidP="00ED043E">
      <w:pPr>
        <w:pStyle w:val="ESPONColophon"/>
        <w:ind w:left="810"/>
      </w:pPr>
    </w:p>
    <w:p w:rsidR="00ED043E" w:rsidRPr="00C36DAF" w:rsidRDefault="00ED043E" w:rsidP="00ED043E">
      <w:pPr>
        <w:pStyle w:val="ESPONColophon"/>
        <w:ind w:left="810"/>
      </w:pPr>
      <w:r w:rsidRPr="00C36DAF">
        <w:t>This basic report exists only in an electronic version.</w:t>
      </w:r>
    </w:p>
    <w:p w:rsidR="00ED043E" w:rsidRPr="00C36DAF" w:rsidRDefault="00ED043E" w:rsidP="00ED043E">
      <w:pPr>
        <w:pStyle w:val="ESPONColophon"/>
        <w:ind w:left="810"/>
      </w:pPr>
    </w:p>
    <w:p w:rsidR="00B27F9C" w:rsidRDefault="00B27F9C" w:rsidP="00B27F9C">
      <w:pPr>
        <w:pStyle w:val="ESPONColophon"/>
        <w:ind w:left="810" w:right="4484"/>
      </w:pPr>
      <w:r>
        <w:t>ISBN number – 987-2-919777-42-6</w:t>
      </w:r>
    </w:p>
    <w:p w:rsidR="00895002" w:rsidRPr="00C36DAF" w:rsidRDefault="00895002" w:rsidP="00ED043E">
      <w:pPr>
        <w:pStyle w:val="ESPONColophon"/>
        <w:ind w:left="810"/>
      </w:pPr>
      <w:bookmarkStart w:id="1" w:name="_GoBack"/>
      <w:bookmarkEnd w:id="1"/>
    </w:p>
    <w:p w:rsidR="00ED043E" w:rsidRPr="00C36DAF" w:rsidRDefault="00ED043E" w:rsidP="00ED043E">
      <w:pPr>
        <w:pStyle w:val="ESPONColophon"/>
        <w:ind w:left="810"/>
      </w:pPr>
      <w:r w:rsidRPr="00C36DAF">
        <w:t>© ESPON &amp;</w:t>
      </w:r>
      <w:r w:rsidR="002D0318">
        <w:t xml:space="preserve"> </w:t>
      </w:r>
      <w:r w:rsidR="00F2111E">
        <w:t>HAS</w:t>
      </w:r>
      <w:r w:rsidRPr="00C36DAF">
        <w:t>, 201</w:t>
      </w:r>
      <w:r w:rsidR="002D0318">
        <w:t>4</w:t>
      </w:r>
      <w:r w:rsidRPr="00C36DAF">
        <w:t>.</w:t>
      </w:r>
    </w:p>
    <w:p w:rsidR="00ED043E" w:rsidRPr="00C36DAF" w:rsidRDefault="00ED043E" w:rsidP="00ED043E">
      <w:pPr>
        <w:pStyle w:val="ESPONColophon"/>
        <w:ind w:left="810"/>
      </w:pPr>
    </w:p>
    <w:p w:rsidR="00ED043E" w:rsidRPr="00C36DAF" w:rsidRDefault="00ED043E" w:rsidP="00ED043E">
      <w:pPr>
        <w:pStyle w:val="ESPONColophon"/>
        <w:ind w:left="810"/>
      </w:pPr>
      <w:r w:rsidRPr="00C36DAF">
        <w:t>Printing, reproduction or quotation is authorised provided the source is acknowledged and a copy is forwarded to the ESPON Coordination Unit in Luxembourg.</w:t>
      </w:r>
    </w:p>
    <w:p w:rsidR="00ED043E" w:rsidRPr="00C36DAF" w:rsidRDefault="00ED043E" w:rsidP="00ED043E">
      <w:pPr>
        <w:pStyle w:val="ESPONColophon"/>
        <w:ind w:left="810"/>
      </w:pPr>
    </w:p>
    <w:p w:rsidR="005703AA" w:rsidRPr="00C36DAF" w:rsidRDefault="005703AA" w:rsidP="00A9269D">
      <w:pPr>
        <w:pStyle w:val="ESPONText"/>
      </w:pPr>
    </w:p>
    <w:p w:rsidR="00AE0AEC" w:rsidRDefault="005703AA" w:rsidP="00AA149B">
      <w:pPr>
        <w:pStyle w:val="ESPONText"/>
        <w:rPr>
          <w:sz w:val="32"/>
          <w:szCs w:val="32"/>
        </w:rPr>
      </w:pPr>
      <w:r w:rsidRPr="00C36DAF">
        <w:br w:type="column"/>
      </w:r>
      <w:r w:rsidRPr="00C36DAF">
        <w:rPr>
          <w:sz w:val="32"/>
          <w:szCs w:val="32"/>
        </w:rPr>
        <w:lastRenderedPageBreak/>
        <w:t>LIST OF ABBREVIATIONS</w:t>
      </w:r>
    </w:p>
    <w:p w:rsidR="00AE0AEC" w:rsidRDefault="00AE0AEC" w:rsidP="00AA149B">
      <w:pPr>
        <w:pStyle w:val="ESPONText"/>
        <w:rPr>
          <w:sz w:val="32"/>
          <w:szCs w:val="32"/>
        </w:rPr>
        <w:sectPr w:rsidR="00AE0AEC" w:rsidSect="005703AA">
          <w:footerReference w:type="default" r:id="rId15"/>
          <w:type w:val="continuous"/>
          <w:pgSz w:w="11906" w:h="16838"/>
          <w:pgMar w:top="1644" w:right="851" w:bottom="1644" w:left="1701" w:header="720" w:footer="720" w:gutter="0"/>
          <w:pgNumType w:fmt="lowerRoman" w:start="1"/>
          <w:cols w:space="720"/>
        </w:sectPr>
      </w:pPr>
    </w:p>
    <w:p w:rsidR="00870852" w:rsidRPr="00C82CDE" w:rsidRDefault="00870852" w:rsidP="00C82CDE">
      <w:pPr>
        <w:spacing w:before="0"/>
      </w:pPr>
      <w:r w:rsidRPr="00C82CDE">
        <w:lastRenderedPageBreak/>
        <w:t>AIR</w:t>
      </w:r>
      <w:r w:rsidR="00AE0AEC">
        <w:tab/>
      </w:r>
      <w:r w:rsidRPr="00C82CDE">
        <w:t>Annual Implementation Report</w:t>
      </w:r>
    </w:p>
    <w:p w:rsidR="00AA1FC7" w:rsidRPr="00C82CDE" w:rsidRDefault="00AA1FC7" w:rsidP="00C82CDE">
      <w:pPr>
        <w:pStyle w:val="ESPONText"/>
        <w:spacing w:after="0"/>
      </w:pPr>
      <w:r w:rsidRPr="00C82CDE">
        <w:t>EC</w:t>
      </w:r>
      <w:r w:rsidRPr="00C82CDE">
        <w:tab/>
        <w:t>European Commission</w:t>
      </w:r>
    </w:p>
    <w:p w:rsidR="00870852" w:rsidRPr="00C82CDE" w:rsidRDefault="00870852" w:rsidP="00C82CDE">
      <w:pPr>
        <w:spacing w:before="0"/>
      </w:pPr>
      <w:r w:rsidRPr="00C82CDE">
        <w:t>EPSCO</w:t>
      </w:r>
      <w:r w:rsidR="00AE0AEC">
        <w:t xml:space="preserve"> </w:t>
      </w:r>
      <w:r w:rsidRPr="00C82CDE">
        <w:t>Employment and Social Policy Committee</w:t>
      </w:r>
    </w:p>
    <w:p w:rsidR="00870852" w:rsidRPr="00C82CDE" w:rsidRDefault="00870852" w:rsidP="00C82CDE">
      <w:pPr>
        <w:spacing w:before="0"/>
      </w:pPr>
      <w:r w:rsidRPr="00C82CDE">
        <w:t>ISG Indicator Sub-Group of Social Protection Committee</w:t>
      </w:r>
    </w:p>
    <w:p w:rsidR="00870852" w:rsidRPr="00C82CDE" w:rsidRDefault="00870852" w:rsidP="00C82CDE">
      <w:pPr>
        <w:spacing w:before="0"/>
      </w:pPr>
      <w:r w:rsidRPr="00C82CDE">
        <w:t>ESIF</w:t>
      </w:r>
      <w:r w:rsidR="00AE0AEC">
        <w:tab/>
      </w:r>
      <w:r w:rsidRPr="00C82CDE">
        <w:t>European Social and Investment Found</w:t>
      </w:r>
    </w:p>
    <w:p w:rsidR="00C82CDE" w:rsidRPr="00C82CDE" w:rsidRDefault="00C82CDE" w:rsidP="00C82CDE">
      <w:pPr>
        <w:spacing w:before="0"/>
      </w:pPr>
      <w:r w:rsidRPr="00C82CDE">
        <w:t>SILC</w:t>
      </w:r>
      <w:r w:rsidRPr="00C82CDE">
        <w:tab/>
        <w:t>Statistics on Income and Living Conditions</w:t>
      </w:r>
    </w:p>
    <w:p w:rsidR="00C82CDE" w:rsidRPr="00C82CDE" w:rsidRDefault="00C82CDE" w:rsidP="00C82CDE">
      <w:pPr>
        <w:spacing w:before="0"/>
      </w:pPr>
      <w:r w:rsidRPr="00C82CDE">
        <w:t>EU LFS</w:t>
      </w:r>
      <w:r w:rsidR="00AE0AEC">
        <w:t xml:space="preserve"> </w:t>
      </w:r>
      <w:r w:rsidRPr="00C82CDE">
        <w:t>European Labour Force Survey</w:t>
      </w:r>
    </w:p>
    <w:p w:rsidR="00AE0AEC" w:rsidRDefault="00AE0AEC" w:rsidP="00C82CDE">
      <w:pPr>
        <w:pStyle w:val="ESPONText"/>
        <w:spacing w:after="0"/>
      </w:pPr>
    </w:p>
    <w:p w:rsidR="005703AA" w:rsidRPr="00C82CDE" w:rsidRDefault="00E32D77" w:rsidP="00C82CDE">
      <w:pPr>
        <w:pStyle w:val="ESPONText"/>
        <w:spacing w:after="0"/>
      </w:pPr>
      <w:r w:rsidRPr="00C82CDE">
        <w:lastRenderedPageBreak/>
        <w:t>MS</w:t>
      </w:r>
      <w:r w:rsidRPr="00C82CDE">
        <w:tab/>
        <w:t>Member State</w:t>
      </w:r>
    </w:p>
    <w:p w:rsidR="00E32D77" w:rsidRPr="00C82CDE" w:rsidRDefault="00E32D77" w:rsidP="00C82CDE">
      <w:pPr>
        <w:pStyle w:val="ESPONText"/>
        <w:spacing w:after="0"/>
      </w:pPr>
      <w:r w:rsidRPr="00C82CDE">
        <w:t>NMS</w:t>
      </w:r>
      <w:r w:rsidRPr="00C82CDE">
        <w:tab/>
        <w:t>New Member States</w:t>
      </w:r>
    </w:p>
    <w:p w:rsidR="008E697F" w:rsidRPr="00C82CDE" w:rsidRDefault="008E697F" w:rsidP="00C82CDE">
      <w:pPr>
        <w:pStyle w:val="ESPONText"/>
        <w:spacing w:after="0"/>
      </w:pPr>
      <w:r w:rsidRPr="00C82CDE">
        <w:t>NSI</w:t>
      </w:r>
      <w:r w:rsidRPr="00C82CDE">
        <w:tab/>
        <w:t>National Statistical Institute</w:t>
      </w:r>
    </w:p>
    <w:p w:rsidR="00870852" w:rsidRPr="00C82CDE" w:rsidRDefault="00870852" w:rsidP="00C82CDE">
      <w:pPr>
        <w:spacing w:before="0"/>
      </w:pPr>
      <w:r w:rsidRPr="00C82CDE">
        <w:t>NRP National Reform Program</w:t>
      </w:r>
    </w:p>
    <w:p w:rsidR="00870852" w:rsidRPr="00C82CDE" w:rsidRDefault="00AE0AEC" w:rsidP="00C82CDE">
      <w:pPr>
        <w:spacing w:before="0"/>
      </w:pPr>
      <w:r>
        <w:t>NSR</w:t>
      </w:r>
      <w:r>
        <w:tab/>
      </w:r>
      <w:r w:rsidR="00870852" w:rsidRPr="00C82CDE">
        <w:t xml:space="preserve">National Social Report </w:t>
      </w:r>
    </w:p>
    <w:p w:rsidR="00E32D77" w:rsidRPr="00C82CDE" w:rsidRDefault="00E32D77" w:rsidP="00C82CDE">
      <w:pPr>
        <w:pStyle w:val="ESPONText"/>
        <w:spacing w:after="0"/>
      </w:pPr>
      <w:r w:rsidRPr="00C82CDE">
        <w:t>OMC</w:t>
      </w:r>
      <w:r w:rsidRPr="00C82CDE">
        <w:tab/>
        <w:t>Open Method of Coordination</w:t>
      </w:r>
    </w:p>
    <w:p w:rsidR="00C82CDE" w:rsidRPr="00C82CDE" w:rsidRDefault="00C82CDE" w:rsidP="00C82CDE">
      <w:pPr>
        <w:pStyle w:val="ESPONText"/>
        <w:spacing w:after="0"/>
      </w:pPr>
      <w:r w:rsidRPr="00C82CDE">
        <w:t>P</w:t>
      </w:r>
      <w:r w:rsidR="006425F0">
        <w:t>&amp;</w:t>
      </w:r>
      <w:r w:rsidRPr="00C82CDE">
        <w:t>SE</w:t>
      </w:r>
      <w:r w:rsidR="00AE0AEC">
        <w:tab/>
      </w:r>
      <w:r w:rsidRPr="00C82CDE">
        <w:t>Poverty and Social Exclusion</w:t>
      </w:r>
    </w:p>
    <w:p w:rsidR="00C82CDE" w:rsidRPr="00C82CDE" w:rsidRDefault="00C82CDE" w:rsidP="00C82CDE">
      <w:pPr>
        <w:pStyle w:val="ESPONText"/>
        <w:spacing w:after="0"/>
      </w:pPr>
      <w:r w:rsidRPr="00C82CDE">
        <w:t>SE</w:t>
      </w:r>
      <w:r w:rsidR="00AE0AEC">
        <w:tab/>
      </w:r>
      <w:r w:rsidRPr="00C82CDE">
        <w:t>Social Exclusion</w:t>
      </w:r>
    </w:p>
    <w:p w:rsidR="00870852" w:rsidRPr="00C82CDE" w:rsidRDefault="00870852" w:rsidP="00C82CDE">
      <w:pPr>
        <w:spacing w:before="0"/>
      </w:pPr>
      <w:r w:rsidRPr="00C82CDE">
        <w:t>SPC</w:t>
      </w:r>
      <w:r w:rsidR="00AE0AEC">
        <w:tab/>
      </w:r>
      <w:r w:rsidRPr="00C82CDE">
        <w:t>Social Protection Committee</w:t>
      </w:r>
    </w:p>
    <w:p w:rsidR="00870852" w:rsidRPr="00C82CDE" w:rsidRDefault="00AE0AEC" w:rsidP="00C82CDE">
      <w:pPr>
        <w:spacing w:before="0"/>
      </w:pPr>
      <w:r>
        <w:t>SPPM</w:t>
      </w:r>
      <w:r>
        <w:tab/>
      </w:r>
      <w:r w:rsidR="00870852" w:rsidRPr="00C82CDE">
        <w:t xml:space="preserve">Social Protection Performance Monitor </w:t>
      </w:r>
    </w:p>
    <w:p w:rsidR="007D30CA" w:rsidRPr="00C82CDE" w:rsidRDefault="007D30CA" w:rsidP="00C82CDE">
      <w:pPr>
        <w:pStyle w:val="ESPONText"/>
        <w:spacing w:after="0"/>
      </w:pPr>
      <w:r w:rsidRPr="00C82CDE">
        <w:t>TPG</w:t>
      </w:r>
      <w:r w:rsidRPr="00C82CDE">
        <w:tab/>
        <w:t>Transnational Project Group</w:t>
      </w:r>
    </w:p>
    <w:p w:rsidR="00AE0AEC" w:rsidRDefault="00AE0AEC" w:rsidP="005703AA">
      <w:pPr>
        <w:pStyle w:val="ESPONText"/>
        <w:spacing w:after="0"/>
        <w:sectPr w:rsidR="00AE0AEC" w:rsidSect="00AE0AEC">
          <w:type w:val="continuous"/>
          <w:pgSz w:w="11906" w:h="16838"/>
          <w:pgMar w:top="1644" w:right="851" w:bottom="1644" w:left="1701" w:header="720" w:footer="720" w:gutter="0"/>
          <w:pgNumType w:fmt="lowerRoman" w:start="1"/>
          <w:cols w:num="2" w:space="720"/>
        </w:sectPr>
      </w:pPr>
    </w:p>
    <w:p w:rsidR="0061373E" w:rsidRPr="00C36DAF" w:rsidRDefault="0061373E" w:rsidP="005703AA">
      <w:pPr>
        <w:pStyle w:val="ESPONText"/>
        <w:spacing w:after="0"/>
      </w:pPr>
    </w:p>
    <w:p w:rsidR="005703AA" w:rsidRPr="00C36DAF" w:rsidRDefault="005703AA" w:rsidP="005703AA">
      <w:pPr>
        <w:pStyle w:val="ESPONText"/>
        <w:spacing w:after="0"/>
        <w:rPr>
          <w:szCs w:val="22"/>
        </w:rPr>
      </w:pPr>
      <w:r w:rsidRPr="00C36DAF">
        <w:rPr>
          <w:sz w:val="32"/>
          <w:szCs w:val="32"/>
        </w:rPr>
        <w:t>Standard Abbreviations for Country Names:</w:t>
      </w:r>
    </w:p>
    <w:p w:rsidR="00AF6C49" w:rsidRPr="00C36DAF" w:rsidRDefault="00AF6C49" w:rsidP="005703AA">
      <w:pPr>
        <w:pStyle w:val="ESPONText"/>
        <w:spacing w:after="0"/>
        <w:rPr>
          <w:sz w:val="32"/>
          <w:szCs w:val="32"/>
        </w:rPr>
        <w:sectPr w:rsidR="00AF6C49" w:rsidRPr="00C36DAF" w:rsidSect="005703AA">
          <w:type w:val="continuous"/>
          <w:pgSz w:w="11906" w:h="16838"/>
          <w:pgMar w:top="1644" w:right="851" w:bottom="1644" w:left="1701" w:header="720" w:footer="720" w:gutter="0"/>
          <w:pgNumType w:fmt="lowerRoman" w:start="1"/>
          <w:cols w:space="720"/>
        </w:sectPr>
      </w:pPr>
    </w:p>
    <w:p w:rsidR="007D30CA" w:rsidRPr="00C36DAF" w:rsidRDefault="007D30CA" w:rsidP="008544A4">
      <w:pPr>
        <w:pStyle w:val="ESPONText"/>
        <w:spacing w:after="0" w:line="240" w:lineRule="auto"/>
      </w:pPr>
      <w:r w:rsidRPr="00C36DAF">
        <w:lastRenderedPageBreak/>
        <w:t>AL</w:t>
      </w:r>
      <w:r w:rsidRPr="00C36DAF">
        <w:tab/>
        <w:t>Albania</w:t>
      </w:r>
    </w:p>
    <w:p w:rsidR="005703AA" w:rsidRPr="00C36DAF" w:rsidRDefault="005703AA" w:rsidP="008544A4">
      <w:pPr>
        <w:pStyle w:val="ESPONText"/>
        <w:spacing w:after="0" w:line="240" w:lineRule="auto"/>
      </w:pPr>
      <w:r w:rsidRPr="00C36DAF">
        <w:t>AT</w:t>
      </w:r>
      <w:r w:rsidRPr="00C36DAF">
        <w:tab/>
        <w:t>Austria</w:t>
      </w:r>
    </w:p>
    <w:p w:rsidR="00075DAB" w:rsidRDefault="00075DAB" w:rsidP="008544A4">
      <w:pPr>
        <w:pStyle w:val="ESPONText"/>
        <w:spacing w:after="0" w:line="240" w:lineRule="auto"/>
      </w:pPr>
      <w:r>
        <w:t>BA</w:t>
      </w:r>
      <w:r>
        <w:tab/>
        <w:t>Bosnia Hezegovina</w:t>
      </w:r>
    </w:p>
    <w:p w:rsidR="005703AA" w:rsidRPr="00C36DAF" w:rsidRDefault="005703AA" w:rsidP="008544A4">
      <w:pPr>
        <w:pStyle w:val="ESPONText"/>
        <w:spacing w:after="0" w:line="240" w:lineRule="auto"/>
      </w:pPr>
      <w:r w:rsidRPr="00C36DAF">
        <w:t>BE</w:t>
      </w:r>
      <w:r w:rsidRPr="00C36DAF">
        <w:tab/>
        <w:t>Belgium</w:t>
      </w:r>
    </w:p>
    <w:p w:rsidR="005703AA" w:rsidRPr="00C36DAF" w:rsidRDefault="005703AA" w:rsidP="008544A4">
      <w:pPr>
        <w:pStyle w:val="ESPONText"/>
        <w:spacing w:after="0" w:line="240" w:lineRule="auto"/>
      </w:pPr>
      <w:r w:rsidRPr="00C36DAF">
        <w:t>BG</w:t>
      </w:r>
      <w:r w:rsidRPr="00C36DAF">
        <w:tab/>
        <w:t>Bulgaria</w:t>
      </w:r>
    </w:p>
    <w:p w:rsidR="005703AA" w:rsidRPr="00C36DAF" w:rsidRDefault="005703AA" w:rsidP="008544A4">
      <w:pPr>
        <w:pStyle w:val="ESPONText"/>
        <w:spacing w:after="0" w:line="240" w:lineRule="auto"/>
      </w:pPr>
      <w:r w:rsidRPr="00C36DAF">
        <w:t>CH</w:t>
      </w:r>
      <w:r w:rsidRPr="00C36DAF">
        <w:tab/>
        <w:t>Switzerland</w:t>
      </w:r>
    </w:p>
    <w:p w:rsidR="007D30CA" w:rsidRPr="00C36DAF" w:rsidRDefault="007D30CA" w:rsidP="008544A4">
      <w:pPr>
        <w:pStyle w:val="ESPONText"/>
        <w:spacing w:after="0" w:line="240" w:lineRule="auto"/>
      </w:pPr>
      <w:r w:rsidRPr="00C36DAF">
        <w:t>CR</w:t>
      </w:r>
      <w:r w:rsidRPr="00C36DAF">
        <w:tab/>
        <w:t>Croatia</w:t>
      </w:r>
    </w:p>
    <w:p w:rsidR="005703AA" w:rsidRPr="00C36DAF" w:rsidRDefault="005703AA" w:rsidP="008544A4">
      <w:pPr>
        <w:pStyle w:val="ESPONText"/>
        <w:spacing w:after="0" w:line="240" w:lineRule="auto"/>
      </w:pPr>
      <w:r w:rsidRPr="00C36DAF">
        <w:t>CY</w:t>
      </w:r>
      <w:r w:rsidRPr="00C36DAF">
        <w:tab/>
        <w:t>Cyprus</w:t>
      </w:r>
    </w:p>
    <w:p w:rsidR="005703AA" w:rsidRPr="00C36DAF" w:rsidRDefault="005703AA" w:rsidP="008544A4">
      <w:pPr>
        <w:pStyle w:val="ESPONText"/>
        <w:spacing w:after="0" w:line="240" w:lineRule="auto"/>
      </w:pPr>
      <w:r w:rsidRPr="00C36DAF">
        <w:t>CZ</w:t>
      </w:r>
      <w:r w:rsidRPr="00C36DAF">
        <w:tab/>
        <w:t>Czech Republic</w:t>
      </w:r>
    </w:p>
    <w:p w:rsidR="005703AA" w:rsidRPr="00B27F9C" w:rsidRDefault="005703AA" w:rsidP="008544A4">
      <w:pPr>
        <w:pStyle w:val="ESPONText"/>
        <w:spacing w:after="0" w:line="240" w:lineRule="auto"/>
        <w:rPr>
          <w:lang w:val="sv-SE"/>
        </w:rPr>
      </w:pPr>
      <w:r w:rsidRPr="00B27F9C">
        <w:rPr>
          <w:lang w:val="sv-SE"/>
        </w:rPr>
        <w:t>DE</w:t>
      </w:r>
      <w:r w:rsidRPr="00B27F9C">
        <w:rPr>
          <w:lang w:val="sv-SE"/>
        </w:rPr>
        <w:tab/>
        <w:t>Germany</w:t>
      </w:r>
    </w:p>
    <w:p w:rsidR="005703AA" w:rsidRPr="00B27F9C" w:rsidRDefault="005703AA" w:rsidP="008544A4">
      <w:pPr>
        <w:pStyle w:val="ESPONText"/>
        <w:spacing w:after="0" w:line="240" w:lineRule="auto"/>
        <w:rPr>
          <w:lang w:val="sv-SE"/>
        </w:rPr>
      </w:pPr>
      <w:r w:rsidRPr="00B27F9C">
        <w:rPr>
          <w:lang w:val="sv-SE"/>
        </w:rPr>
        <w:t>DK</w:t>
      </w:r>
      <w:r w:rsidRPr="00B27F9C">
        <w:rPr>
          <w:lang w:val="sv-SE"/>
        </w:rPr>
        <w:tab/>
        <w:t>Denmark</w:t>
      </w:r>
    </w:p>
    <w:p w:rsidR="005703AA" w:rsidRPr="00B27F9C" w:rsidRDefault="005703AA" w:rsidP="008544A4">
      <w:pPr>
        <w:pStyle w:val="ESPONText"/>
        <w:spacing w:after="0" w:line="240" w:lineRule="auto"/>
        <w:rPr>
          <w:lang w:val="sv-SE"/>
        </w:rPr>
      </w:pPr>
      <w:r w:rsidRPr="00B27F9C">
        <w:rPr>
          <w:lang w:val="sv-SE"/>
        </w:rPr>
        <w:t>EE</w:t>
      </w:r>
      <w:r w:rsidRPr="00B27F9C">
        <w:rPr>
          <w:lang w:val="sv-SE"/>
        </w:rPr>
        <w:tab/>
        <w:t>Estonia</w:t>
      </w:r>
    </w:p>
    <w:p w:rsidR="005703AA" w:rsidRPr="002E52A6" w:rsidRDefault="005703AA" w:rsidP="008544A4">
      <w:pPr>
        <w:pStyle w:val="ESPONText"/>
        <w:spacing w:after="0" w:line="240" w:lineRule="auto"/>
        <w:rPr>
          <w:lang w:val="de-DE"/>
        </w:rPr>
      </w:pPr>
      <w:r w:rsidRPr="002E52A6">
        <w:rPr>
          <w:lang w:val="de-DE"/>
        </w:rPr>
        <w:t>ES</w:t>
      </w:r>
      <w:r w:rsidRPr="002E52A6">
        <w:rPr>
          <w:lang w:val="de-DE"/>
        </w:rPr>
        <w:tab/>
        <w:t>Spain</w:t>
      </w:r>
    </w:p>
    <w:p w:rsidR="005703AA" w:rsidRPr="0019589D" w:rsidRDefault="005703AA" w:rsidP="008544A4">
      <w:pPr>
        <w:pStyle w:val="ESPONText"/>
        <w:spacing w:after="0" w:line="240" w:lineRule="auto"/>
        <w:rPr>
          <w:lang w:val="de-DE"/>
        </w:rPr>
      </w:pPr>
      <w:r w:rsidRPr="0019589D">
        <w:rPr>
          <w:lang w:val="de-DE"/>
        </w:rPr>
        <w:t>FI</w:t>
      </w:r>
      <w:r w:rsidRPr="0019589D">
        <w:rPr>
          <w:lang w:val="de-DE"/>
        </w:rPr>
        <w:tab/>
        <w:t>Finland</w:t>
      </w:r>
    </w:p>
    <w:p w:rsidR="005703AA" w:rsidRPr="0019589D" w:rsidRDefault="005703AA" w:rsidP="008544A4">
      <w:pPr>
        <w:pStyle w:val="ESPONText"/>
        <w:spacing w:after="0" w:line="240" w:lineRule="auto"/>
        <w:rPr>
          <w:lang w:val="de-DE"/>
        </w:rPr>
      </w:pPr>
      <w:r w:rsidRPr="0019589D">
        <w:rPr>
          <w:lang w:val="de-DE"/>
        </w:rPr>
        <w:t>FR</w:t>
      </w:r>
      <w:r w:rsidRPr="0019589D">
        <w:rPr>
          <w:lang w:val="de-DE"/>
        </w:rPr>
        <w:tab/>
        <w:t>France</w:t>
      </w:r>
    </w:p>
    <w:p w:rsidR="00034DDE" w:rsidRDefault="00075DAB" w:rsidP="008544A4">
      <w:pPr>
        <w:pStyle w:val="ESPONText"/>
        <w:spacing w:after="0" w:line="240" w:lineRule="auto"/>
      </w:pPr>
      <w:r>
        <w:t>MK</w:t>
      </w:r>
      <w:r w:rsidR="007D30CA" w:rsidRPr="00C36DAF">
        <w:tab/>
        <w:t>FYROM</w:t>
      </w:r>
    </w:p>
    <w:p w:rsidR="005703AA" w:rsidRPr="00C36DAF" w:rsidRDefault="007D30CA" w:rsidP="008544A4">
      <w:pPr>
        <w:pStyle w:val="ESPONText"/>
        <w:spacing w:after="0" w:line="240" w:lineRule="auto"/>
      </w:pPr>
      <w:r w:rsidRPr="00C36DAF">
        <w:t>EL</w:t>
      </w:r>
      <w:r w:rsidR="005703AA" w:rsidRPr="00C36DAF">
        <w:tab/>
        <w:t>Greece</w:t>
      </w:r>
    </w:p>
    <w:p w:rsidR="005703AA" w:rsidRPr="00C36DAF" w:rsidRDefault="005703AA" w:rsidP="008544A4">
      <w:pPr>
        <w:pStyle w:val="ESPONText"/>
        <w:spacing w:after="0" w:line="240" w:lineRule="auto"/>
      </w:pPr>
      <w:r w:rsidRPr="00C36DAF">
        <w:t>HU</w:t>
      </w:r>
      <w:r w:rsidRPr="00C36DAF">
        <w:tab/>
        <w:t>Hungary</w:t>
      </w:r>
    </w:p>
    <w:p w:rsidR="005703AA" w:rsidRPr="00C36DAF" w:rsidRDefault="005703AA" w:rsidP="008544A4">
      <w:pPr>
        <w:pStyle w:val="ESPONText"/>
        <w:spacing w:after="0" w:line="240" w:lineRule="auto"/>
      </w:pPr>
      <w:r w:rsidRPr="00C36DAF">
        <w:t>IE</w:t>
      </w:r>
      <w:r w:rsidRPr="00C36DAF">
        <w:tab/>
        <w:t>Ireland</w:t>
      </w:r>
    </w:p>
    <w:p w:rsidR="007D30CA" w:rsidRPr="00C36DAF" w:rsidRDefault="007D30CA" w:rsidP="008544A4">
      <w:pPr>
        <w:pStyle w:val="ESPONText"/>
        <w:spacing w:after="0" w:line="240" w:lineRule="auto"/>
      </w:pPr>
      <w:r w:rsidRPr="00C36DAF">
        <w:t>IS</w:t>
      </w:r>
      <w:r w:rsidRPr="00C36DAF">
        <w:tab/>
        <w:t>Iceland</w:t>
      </w:r>
    </w:p>
    <w:p w:rsidR="005703AA" w:rsidRPr="0019589D" w:rsidRDefault="008544A4" w:rsidP="008544A4">
      <w:pPr>
        <w:pStyle w:val="ESPONText"/>
        <w:spacing w:after="0" w:line="240" w:lineRule="auto"/>
        <w:rPr>
          <w:lang w:val="en-US"/>
        </w:rPr>
      </w:pPr>
      <w:r>
        <w:rPr>
          <w:lang w:val="en-US"/>
        </w:rPr>
        <w:br w:type="column"/>
      </w:r>
      <w:r w:rsidR="00075DAB" w:rsidRPr="0019589D">
        <w:rPr>
          <w:lang w:val="en-US"/>
        </w:rPr>
        <w:lastRenderedPageBreak/>
        <w:t>IT</w:t>
      </w:r>
      <w:r w:rsidR="00075DAB" w:rsidRPr="0019589D">
        <w:rPr>
          <w:lang w:val="en-US"/>
        </w:rPr>
        <w:tab/>
        <w:t>Italy</w:t>
      </w:r>
    </w:p>
    <w:p w:rsidR="007D30CA" w:rsidRPr="00022713" w:rsidRDefault="007D30CA" w:rsidP="008544A4">
      <w:pPr>
        <w:pStyle w:val="ESPONText"/>
        <w:spacing w:after="0" w:line="240" w:lineRule="auto"/>
        <w:rPr>
          <w:lang w:val="en-US"/>
        </w:rPr>
      </w:pPr>
      <w:r w:rsidRPr="00022713">
        <w:rPr>
          <w:lang w:val="en-US"/>
        </w:rPr>
        <w:t>KO</w:t>
      </w:r>
      <w:r w:rsidRPr="00022713">
        <w:rPr>
          <w:lang w:val="en-US"/>
        </w:rPr>
        <w:tab/>
        <w:t>Kosovo</w:t>
      </w:r>
    </w:p>
    <w:p w:rsidR="005703AA" w:rsidRPr="002E52A6" w:rsidRDefault="005703AA" w:rsidP="008544A4">
      <w:pPr>
        <w:pStyle w:val="ESPONText"/>
        <w:spacing w:after="0" w:line="240" w:lineRule="auto"/>
        <w:rPr>
          <w:lang w:val="de-DE"/>
        </w:rPr>
      </w:pPr>
      <w:r w:rsidRPr="002E52A6">
        <w:rPr>
          <w:lang w:val="de-DE"/>
        </w:rPr>
        <w:t>LI</w:t>
      </w:r>
      <w:r w:rsidRPr="002E52A6">
        <w:rPr>
          <w:lang w:val="de-DE"/>
        </w:rPr>
        <w:tab/>
        <w:t>Liechtenstein</w:t>
      </w:r>
    </w:p>
    <w:p w:rsidR="005703AA" w:rsidRPr="002E52A6" w:rsidRDefault="005703AA" w:rsidP="008544A4">
      <w:pPr>
        <w:pStyle w:val="ESPONText"/>
        <w:spacing w:after="0" w:line="240" w:lineRule="auto"/>
        <w:rPr>
          <w:lang w:val="pt-PT"/>
        </w:rPr>
      </w:pPr>
      <w:r w:rsidRPr="002E52A6">
        <w:rPr>
          <w:lang w:val="pt-PT"/>
        </w:rPr>
        <w:t>LT</w:t>
      </w:r>
      <w:r w:rsidRPr="002E52A6">
        <w:rPr>
          <w:lang w:val="pt-PT"/>
        </w:rPr>
        <w:tab/>
        <w:t>Lithuania</w:t>
      </w:r>
    </w:p>
    <w:p w:rsidR="005703AA" w:rsidRPr="002E52A6" w:rsidRDefault="005703AA" w:rsidP="008544A4">
      <w:pPr>
        <w:pStyle w:val="ESPONText"/>
        <w:spacing w:after="0" w:line="240" w:lineRule="auto"/>
        <w:rPr>
          <w:lang w:val="pt-PT"/>
        </w:rPr>
      </w:pPr>
      <w:r w:rsidRPr="002E52A6">
        <w:rPr>
          <w:lang w:val="pt-PT"/>
        </w:rPr>
        <w:t>LU</w:t>
      </w:r>
      <w:r w:rsidRPr="002E52A6">
        <w:rPr>
          <w:lang w:val="pt-PT"/>
        </w:rPr>
        <w:tab/>
        <w:t>Luxemburg</w:t>
      </w:r>
    </w:p>
    <w:p w:rsidR="005703AA" w:rsidRPr="002E52A6" w:rsidRDefault="005703AA" w:rsidP="008544A4">
      <w:pPr>
        <w:pStyle w:val="ESPONText"/>
        <w:spacing w:after="0" w:line="240" w:lineRule="auto"/>
        <w:rPr>
          <w:lang w:val="pt-PT"/>
        </w:rPr>
      </w:pPr>
      <w:r w:rsidRPr="002E52A6">
        <w:rPr>
          <w:lang w:val="pt-PT"/>
        </w:rPr>
        <w:t>LV</w:t>
      </w:r>
      <w:r w:rsidRPr="002E52A6">
        <w:rPr>
          <w:lang w:val="pt-PT"/>
        </w:rPr>
        <w:tab/>
        <w:t>Latvia</w:t>
      </w:r>
    </w:p>
    <w:p w:rsidR="007D30CA" w:rsidRPr="002E52A6" w:rsidRDefault="007D30CA" w:rsidP="008544A4">
      <w:pPr>
        <w:pStyle w:val="ESPONText"/>
        <w:spacing w:after="0" w:line="240" w:lineRule="auto"/>
        <w:rPr>
          <w:lang w:val="pt-PT"/>
        </w:rPr>
      </w:pPr>
      <w:r w:rsidRPr="002E52A6">
        <w:rPr>
          <w:lang w:val="pt-PT"/>
        </w:rPr>
        <w:t>M</w:t>
      </w:r>
      <w:r w:rsidR="00075DAB">
        <w:rPr>
          <w:lang w:val="pt-PT"/>
        </w:rPr>
        <w:t>E</w:t>
      </w:r>
      <w:r w:rsidRPr="002E52A6">
        <w:rPr>
          <w:lang w:val="pt-PT"/>
        </w:rPr>
        <w:tab/>
        <w:t>Montenegro</w:t>
      </w:r>
    </w:p>
    <w:p w:rsidR="005703AA" w:rsidRPr="002E52A6" w:rsidRDefault="005703AA" w:rsidP="008544A4">
      <w:pPr>
        <w:pStyle w:val="ESPONText"/>
        <w:spacing w:after="0" w:line="240" w:lineRule="auto"/>
        <w:rPr>
          <w:lang w:val="pt-PT"/>
        </w:rPr>
      </w:pPr>
      <w:r w:rsidRPr="002E52A6">
        <w:rPr>
          <w:lang w:val="pt-PT"/>
        </w:rPr>
        <w:t>MT</w:t>
      </w:r>
      <w:r w:rsidRPr="002E52A6">
        <w:rPr>
          <w:lang w:val="pt-PT"/>
        </w:rPr>
        <w:tab/>
        <w:t>Malta</w:t>
      </w:r>
    </w:p>
    <w:p w:rsidR="005703AA" w:rsidRPr="002E52A6" w:rsidRDefault="005703AA" w:rsidP="008544A4">
      <w:pPr>
        <w:pStyle w:val="ESPONText"/>
        <w:spacing w:after="0" w:line="240" w:lineRule="auto"/>
        <w:rPr>
          <w:lang w:val="pt-PT"/>
        </w:rPr>
      </w:pPr>
      <w:r w:rsidRPr="002E52A6">
        <w:rPr>
          <w:lang w:val="pt-PT"/>
        </w:rPr>
        <w:t>NO</w:t>
      </w:r>
      <w:r w:rsidRPr="002E52A6">
        <w:rPr>
          <w:lang w:val="pt-PT"/>
        </w:rPr>
        <w:tab/>
        <w:t>Norway</w:t>
      </w:r>
    </w:p>
    <w:p w:rsidR="005703AA" w:rsidRPr="002E52A6" w:rsidRDefault="005703AA" w:rsidP="008544A4">
      <w:pPr>
        <w:pStyle w:val="ESPONText"/>
        <w:spacing w:after="0" w:line="240" w:lineRule="auto"/>
        <w:rPr>
          <w:lang w:val="pt-PT"/>
        </w:rPr>
      </w:pPr>
      <w:r w:rsidRPr="002E52A6">
        <w:rPr>
          <w:lang w:val="pt-PT"/>
        </w:rPr>
        <w:t>NL</w:t>
      </w:r>
      <w:r w:rsidRPr="002E52A6">
        <w:rPr>
          <w:lang w:val="pt-PT"/>
        </w:rPr>
        <w:tab/>
        <w:t>Netherlands</w:t>
      </w:r>
    </w:p>
    <w:p w:rsidR="005703AA" w:rsidRPr="002E52A6" w:rsidRDefault="005703AA" w:rsidP="008544A4">
      <w:pPr>
        <w:pStyle w:val="ESPONText"/>
        <w:spacing w:after="0" w:line="240" w:lineRule="auto"/>
        <w:rPr>
          <w:lang w:val="pt-PT"/>
        </w:rPr>
      </w:pPr>
      <w:r w:rsidRPr="002E52A6">
        <w:rPr>
          <w:lang w:val="pt-PT"/>
        </w:rPr>
        <w:t>PL</w:t>
      </w:r>
      <w:r w:rsidRPr="002E52A6">
        <w:rPr>
          <w:lang w:val="pt-PT"/>
        </w:rPr>
        <w:tab/>
        <w:t>Poland</w:t>
      </w:r>
    </w:p>
    <w:p w:rsidR="005703AA" w:rsidRPr="002E52A6" w:rsidRDefault="005703AA" w:rsidP="008544A4">
      <w:pPr>
        <w:pStyle w:val="ESPONText"/>
        <w:spacing w:after="0" w:line="240" w:lineRule="auto"/>
        <w:rPr>
          <w:lang w:val="pt-PT"/>
        </w:rPr>
      </w:pPr>
      <w:r w:rsidRPr="002E52A6">
        <w:rPr>
          <w:lang w:val="pt-PT"/>
        </w:rPr>
        <w:t>PT</w:t>
      </w:r>
      <w:r w:rsidRPr="002E52A6">
        <w:rPr>
          <w:lang w:val="pt-PT"/>
        </w:rPr>
        <w:tab/>
        <w:t>Portugal</w:t>
      </w:r>
    </w:p>
    <w:p w:rsidR="005703AA" w:rsidRPr="002E52A6" w:rsidRDefault="005703AA" w:rsidP="008544A4">
      <w:pPr>
        <w:pStyle w:val="ESPONText"/>
        <w:spacing w:after="0" w:line="240" w:lineRule="auto"/>
        <w:rPr>
          <w:lang w:val="pt-PT"/>
        </w:rPr>
      </w:pPr>
      <w:r w:rsidRPr="002E52A6">
        <w:rPr>
          <w:lang w:val="pt-PT"/>
        </w:rPr>
        <w:t>RO</w:t>
      </w:r>
      <w:r w:rsidRPr="002E52A6">
        <w:rPr>
          <w:lang w:val="pt-PT"/>
        </w:rPr>
        <w:tab/>
        <w:t>Romania</w:t>
      </w:r>
    </w:p>
    <w:p w:rsidR="007D30CA" w:rsidRPr="002E52A6" w:rsidRDefault="00075DAB" w:rsidP="008544A4">
      <w:pPr>
        <w:pStyle w:val="ESPONText"/>
        <w:spacing w:after="0" w:line="240" w:lineRule="auto"/>
        <w:rPr>
          <w:lang w:val="pt-PT"/>
        </w:rPr>
      </w:pPr>
      <w:r>
        <w:rPr>
          <w:lang w:val="pt-PT"/>
        </w:rPr>
        <w:t>RS</w:t>
      </w:r>
      <w:r w:rsidR="007D30CA" w:rsidRPr="002E52A6">
        <w:rPr>
          <w:lang w:val="pt-PT"/>
        </w:rPr>
        <w:tab/>
        <w:t>Serbia</w:t>
      </w:r>
    </w:p>
    <w:p w:rsidR="005703AA" w:rsidRPr="002E52A6" w:rsidRDefault="005703AA" w:rsidP="008544A4">
      <w:pPr>
        <w:pStyle w:val="ESPONText"/>
        <w:spacing w:after="0" w:line="240" w:lineRule="auto"/>
        <w:rPr>
          <w:lang w:val="pt-PT"/>
        </w:rPr>
      </w:pPr>
      <w:r w:rsidRPr="002E52A6">
        <w:rPr>
          <w:lang w:val="pt-PT"/>
        </w:rPr>
        <w:t>SE</w:t>
      </w:r>
      <w:r w:rsidRPr="002E52A6">
        <w:rPr>
          <w:lang w:val="pt-PT"/>
        </w:rPr>
        <w:tab/>
        <w:t>Sweden</w:t>
      </w:r>
    </w:p>
    <w:p w:rsidR="005703AA" w:rsidRPr="002E52A6" w:rsidRDefault="005703AA" w:rsidP="008544A4">
      <w:pPr>
        <w:pStyle w:val="ESPONText"/>
        <w:spacing w:after="0" w:line="240" w:lineRule="auto"/>
        <w:rPr>
          <w:lang w:val="pt-PT"/>
        </w:rPr>
      </w:pPr>
      <w:r w:rsidRPr="002E52A6">
        <w:rPr>
          <w:lang w:val="pt-PT"/>
        </w:rPr>
        <w:t>SI</w:t>
      </w:r>
      <w:r w:rsidRPr="002E52A6">
        <w:rPr>
          <w:lang w:val="pt-PT"/>
        </w:rPr>
        <w:tab/>
        <w:t>Slovenia</w:t>
      </w:r>
    </w:p>
    <w:p w:rsidR="005703AA" w:rsidRPr="002E52A6" w:rsidRDefault="005703AA" w:rsidP="008544A4">
      <w:pPr>
        <w:pStyle w:val="ESPONText"/>
        <w:spacing w:after="0" w:line="240" w:lineRule="auto"/>
        <w:rPr>
          <w:lang w:val="pt-PT"/>
        </w:rPr>
      </w:pPr>
      <w:r w:rsidRPr="002E52A6">
        <w:rPr>
          <w:lang w:val="pt-PT"/>
        </w:rPr>
        <w:t>SK</w:t>
      </w:r>
      <w:r w:rsidRPr="002E52A6">
        <w:rPr>
          <w:lang w:val="pt-PT"/>
        </w:rPr>
        <w:tab/>
        <w:t>Slovakia</w:t>
      </w:r>
    </w:p>
    <w:p w:rsidR="005703AA" w:rsidRPr="00C36DAF" w:rsidRDefault="005703AA" w:rsidP="008544A4">
      <w:pPr>
        <w:pStyle w:val="ESPONText"/>
        <w:spacing w:after="0" w:line="240" w:lineRule="auto"/>
      </w:pPr>
      <w:r w:rsidRPr="00C36DAF">
        <w:t>TR</w:t>
      </w:r>
      <w:r w:rsidRPr="00C36DAF">
        <w:tab/>
        <w:t>Turkey</w:t>
      </w:r>
    </w:p>
    <w:p w:rsidR="005703AA" w:rsidRPr="00C36DAF" w:rsidRDefault="005703AA" w:rsidP="008544A4">
      <w:pPr>
        <w:pStyle w:val="ESPONText"/>
        <w:spacing w:after="0" w:line="240" w:lineRule="auto"/>
      </w:pPr>
      <w:r w:rsidRPr="00C36DAF">
        <w:t>UK</w:t>
      </w:r>
      <w:r w:rsidRPr="00C36DAF">
        <w:tab/>
        <w:t>United Kingdom</w:t>
      </w:r>
    </w:p>
    <w:p w:rsidR="008544A4" w:rsidRDefault="008544A4" w:rsidP="005703AA">
      <w:pPr>
        <w:pStyle w:val="ESPONText"/>
        <w:spacing w:after="0"/>
        <w:sectPr w:rsidR="008544A4" w:rsidSect="00164958">
          <w:type w:val="continuous"/>
          <w:pgSz w:w="11906" w:h="16838"/>
          <w:pgMar w:top="1644" w:right="851" w:bottom="1644" w:left="1701" w:header="720" w:footer="720" w:gutter="0"/>
          <w:pgNumType w:fmt="lowerRoman" w:start="1"/>
          <w:cols w:num="2" w:space="720"/>
        </w:sectPr>
      </w:pPr>
    </w:p>
    <w:p w:rsidR="008544A4" w:rsidRDefault="008544A4" w:rsidP="008544A4">
      <w:pPr>
        <w:pStyle w:val="ESPONText"/>
      </w:pPr>
    </w:p>
    <w:p w:rsidR="008544A4" w:rsidRPr="00C36DAF" w:rsidRDefault="008544A4" w:rsidP="008544A4">
      <w:pPr>
        <w:pStyle w:val="ESPONText"/>
      </w:pPr>
      <w:r w:rsidRPr="00C36DAF">
        <w:t xml:space="preserve">The TiPSE research team comprises </w:t>
      </w:r>
      <w:r>
        <w:t>7</w:t>
      </w:r>
      <w:r w:rsidRPr="00C36DAF">
        <w:t xml:space="preserve"> partners from 5 EU Member States:</w:t>
      </w:r>
    </w:p>
    <w:tbl>
      <w:tblPr>
        <w:tblW w:w="9009" w:type="dxa"/>
        <w:tblInd w:w="10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9"/>
        <w:gridCol w:w="5635"/>
        <w:gridCol w:w="567"/>
        <w:gridCol w:w="2268"/>
      </w:tblGrid>
      <w:tr w:rsidR="008544A4" w:rsidRPr="00C36DAF" w:rsidTr="008544A4">
        <w:trPr>
          <w:trHeight w:val="255"/>
        </w:trPr>
        <w:tc>
          <w:tcPr>
            <w:tcW w:w="539"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right"/>
              <w:rPr>
                <w:rFonts w:cs="Arial"/>
                <w:b/>
                <w:bCs/>
                <w:sz w:val="20"/>
                <w:lang w:eastAsia="en-GB"/>
              </w:rPr>
            </w:pPr>
            <w:r w:rsidRPr="00C36DAF">
              <w:rPr>
                <w:rFonts w:cs="Arial"/>
                <w:b/>
                <w:bCs/>
                <w:sz w:val="20"/>
                <w:lang w:eastAsia="en-GB"/>
              </w:rPr>
              <w:t>No.</w:t>
            </w:r>
          </w:p>
        </w:tc>
        <w:tc>
          <w:tcPr>
            <w:tcW w:w="5635"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b/>
                <w:bCs/>
                <w:sz w:val="20"/>
                <w:lang w:eastAsia="en-GB"/>
              </w:rPr>
            </w:pPr>
            <w:r w:rsidRPr="00C36DAF">
              <w:rPr>
                <w:rFonts w:cs="Arial"/>
                <w:b/>
                <w:bCs/>
                <w:sz w:val="20"/>
                <w:lang w:eastAsia="en-GB"/>
              </w:rPr>
              <w:t>Partner</w:t>
            </w:r>
          </w:p>
        </w:tc>
        <w:tc>
          <w:tcPr>
            <w:tcW w:w="567"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b/>
                <w:bCs/>
                <w:sz w:val="20"/>
                <w:lang w:eastAsia="en-GB"/>
              </w:rPr>
            </w:pPr>
            <w:r w:rsidRPr="00C36DAF">
              <w:rPr>
                <w:rFonts w:cs="Arial"/>
                <w:b/>
                <w:bCs/>
                <w:sz w:val="20"/>
                <w:lang w:eastAsia="en-GB"/>
              </w:rPr>
              <w:t>MS</w:t>
            </w:r>
          </w:p>
        </w:tc>
        <w:tc>
          <w:tcPr>
            <w:tcW w:w="2268" w:type="dxa"/>
            <w:tcBorders>
              <w:top w:val="single" w:sz="4" w:space="0" w:color="auto"/>
              <w:bottom w:val="single" w:sz="4" w:space="0" w:color="auto"/>
            </w:tcBorders>
            <w:tcMar>
              <w:top w:w="0" w:type="dxa"/>
              <w:left w:w="40" w:type="dxa"/>
              <w:bottom w:w="0" w:type="dxa"/>
              <w:right w:w="40" w:type="dxa"/>
            </w:tcMar>
            <w:vAlign w:val="center"/>
          </w:tcPr>
          <w:p w:rsidR="008544A4" w:rsidRPr="00C36DAF" w:rsidRDefault="008544A4" w:rsidP="008544A4">
            <w:pPr>
              <w:spacing w:before="0" w:line="240" w:lineRule="auto"/>
              <w:jc w:val="left"/>
              <w:rPr>
                <w:rFonts w:cs="Arial"/>
                <w:b/>
                <w:bCs/>
                <w:sz w:val="20"/>
                <w:lang w:eastAsia="en-GB"/>
              </w:rPr>
            </w:pPr>
            <w:r w:rsidRPr="00C36DAF">
              <w:rPr>
                <w:rFonts w:cs="Arial"/>
                <w:b/>
                <w:bCs/>
                <w:sz w:val="20"/>
                <w:lang w:eastAsia="en-GB"/>
              </w:rPr>
              <w:t>Principal Researchers</w:t>
            </w:r>
          </w:p>
        </w:tc>
      </w:tr>
      <w:tr w:rsidR="008544A4" w:rsidRPr="00C36DAF" w:rsidTr="008544A4">
        <w:trPr>
          <w:trHeight w:val="255"/>
        </w:trPr>
        <w:tc>
          <w:tcPr>
            <w:tcW w:w="539" w:type="dxa"/>
            <w:tcBorders>
              <w:top w:val="single" w:sz="4" w:space="0" w:color="auto"/>
            </w:tcBorders>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LP</w:t>
            </w:r>
          </w:p>
        </w:tc>
        <w:tc>
          <w:tcPr>
            <w:tcW w:w="5635" w:type="dxa"/>
            <w:tcBorders>
              <w:top w:val="single" w:sz="4" w:space="0" w:color="auto"/>
            </w:tcBorders>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Nordregio - Nordic Centre for Spatial Development</w:t>
            </w:r>
          </w:p>
        </w:tc>
        <w:tc>
          <w:tcPr>
            <w:tcW w:w="567" w:type="dxa"/>
            <w:tcBorders>
              <w:top w:val="single" w:sz="4" w:space="0" w:color="auto"/>
            </w:tcBorders>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SE</w:t>
            </w:r>
          </w:p>
        </w:tc>
        <w:tc>
          <w:tcPr>
            <w:tcW w:w="2268" w:type="dxa"/>
            <w:tcBorders>
              <w:top w:val="single" w:sz="4" w:space="0" w:color="auto"/>
            </w:tcBorders>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Petri Kahila</w:t>
            </w:r>
          </w:p>
        </w:tc>
      </w:tr>
      <w:tr w:rsidR="008544A4" w:rsidRPr="00C36DAF" w:rsidTr="008544A4">
        <w:trPr>
          <w:trHeight w:val="25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bCs/>
                <w:color w:val="000000"/>
                <w:sz w:val="20"/>
                <w:lang w:eastAsia="en-GB"/>
              </w:rPr>
            </w:pPr>
            <w:r w:rsidRPr="00C36DAF">
              <w:rPr>
                <w:rFonts w:cs="Arial"/>
                <w:bCs/>
                <w:color w:val="000000"/>
                <w:sz w:val="20"/>
                <w:lang w:eastAsia="en-GB"/>
              </w:rPr>
              <w:t>2</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bCs/>
                <w:color w:val="000000"/>
                <w:sz w:val="20"/>
                <w:lang w:eastAsia="en-GB"/>
              </w:rPr>
            </w:pPr>
            <w:r w:rsidRPr="00C36DAF">
              <w:rPr>
                <w:rFonts w:cs="Arial"/>
                <w:bCs/>
                <w:color w:val="000000"/>
                <w:sz w:val="20"/>
                <w:lang w:eastAsia="en-GB"/>
              </w:rPr>
              <w:t>UHI Millennium Institute</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bCs/>
                <w:sz w:val="20"/>
                <w:lang w:eastAsia="en-GB"/>
              </w:rPr>
            </w:pPr>
            <w:r w:rsidRPr="00C36DAF">
              <w:rPr>
                <w:rFonts w:cs="Arial"/>
                <w:bCs/>
                <w:sz w:val="20"/>
                <w:lang w:eastAsia="en-GB"/>
              </w:rPr>
              <w:t>UK</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bCs/>
                <w:sz w:val="20"/>
                <w:lang w:eastAsia="en-GB"/>
              </w:rPr>
            </w:pPr>
            <w:r>
              <w:rPr>
                <w:rFonts w:cs="Arial"/>
                <w:bCs/>
                <w:sz w:val="20"/>
                <w:lang w:eastAsia="en-GB"/>
              </w:rPr>
              <w:t>Philomena de Lima</w:t>
            </w:r>
          </w:p>
        </w:tc>
      </w:tr>
      <w:tr w:rsidR="008544A4" w:rsidRPr="00C36DAF" w:rsidTr="008544A4">
        <w:trPr>
          <w:trHeight w:val="28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3</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Newcastle University</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UK</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Mark Shucksmith</w:t>
            </w:r>
          </w:p>
        </w:tc>
      </w:tr>
      <w:tr w:rsidR="008544A4" w:rsidRPr="00C36DAF" w:rsidTr="008544A4">
        <w:trPr>
          <w:trHeight w:val="25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4</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Institute of Economics Hungarian Academy of Sciences</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HU</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Katalin Kovács</w:t>
            </w:r>
          </w:p>
        </w:tc>
      </w:tr>
      <w:tr w:rsidR="008544A4" w:rsidRPr="00C36DAF" w:rsidTr="008544A4">
        <w:trPr>
          <w:trHeight w:val="25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5</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ILS - Research Institute for Regional and Urban Development</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DE</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Sabine Weck</w:t>
            </w:r>
          </w:p>
        </w:tc>
      </w:tr>
      <w:tr w:rsidR="008544A4" w:rsidRPr="00C36DAF" w:rsidTr="008544A4">
        <w:trPr>
          <w:trHeight w:val="28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sidRPr="00C36DAF">
              <w:rPr>
                <w:rFonts w:cs="Arial"/>
                <w:color w:val="000000"/>
                <w:sz w:val="20"/>
                <w:lang w:eastAsia="en-GB"/>
              </w:rPr>
              <w:t>6</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sidRPr="00C36DAF">
              <w:rPr>
                <w:rFonts w:cs="Arial"/>
                <w:color w:val="000000"/>
                <w:sz w:val="20"/>
                <w:lang w:eastAsia="en-GB"/>
              </w:rPr>
              <w:t xml:space="preserve">EKKE - </w:t>
            </w:r>
            <w:r w:rsidRPr="00C36DAF">
              <w:rPr>
                <w:rFonts w:cs="Arial"/>
                <w:sz w:val="20"/>
              </w:rPr>
              <w:t>National Centre for Social Research</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EL</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sz w:val="20"/>
                <w:lang w:eastAsia="en-GB"/>
              </w:rPr>
              <w:t>Thomas Maloutas</w:t>
            </w:r>
          </w:p>
        </w:tc>
      </w:tr>
      <w:tr w:rsidR="008544A4" w:rsidRPr="00C36DAF" w:rsidTr="008544A4">
        <w:trPr>
          <w:trHeight w:val="285"/>
        </w:trPr>
        <w:tc>
          <w:tcPr>
            <w:tcW w:w="539"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center"/>
              <w:rPr>
                <w:rFonts w:cs="Arial"/>
                <w:color w:val="000000"/>
                <w:sz w:val="20"/>
                <w:lang w:eastAsia="en-GB"/>
              </w:rPr>
            </w:pPr>
            <w:r>
              <w:rPr>
                <w:rFonts w:cs="Arial"/>
                <w:color w:val="000000"/>
                <w:sz w:val="20"/>
                <w:lang w:eastAsia="en-GB"/>
              </w:rPr>
              <w:t>7</w:t>
            </w:r>
          </w:p>
        </w:tc>
        <w:tc>
          <w:tcPr>
            <w:tcW w:w="5635" w:type="dxa"/>
            <w:shd w:val="clear" w:color="auto" w:fill="auto"/>
            <w:tcMar>
              <w:top w:w="0" w:type="dxa"/>
              <w:left w:w="40" w:type="dxa"/>
              <w:bottom w:w="0" w:type="dxa"/>
              <w:right w:w="40" w:type="dxa"/>
            </w:tcMar>
            <w:vAlign w:val="center"/>
          </w:tcPr>
          <w:p w:rsidR="008544A4" w:rsidRPr="00C36DAF" w:rsidRDefault="008544A4" w:rsidP="008544A4">
            <w:pPr>
              <w:spacing w:before="0" w:line="240" w:lineRule="auto"/>
              <w:jc w:val="left"/>
              <w:rPr>
                <w:rFonts w:cs="Arial"/>
                <w:color w:val="000000"/>
                <w:sz w:val="20"/>
                <w:lang w:eastAsia="en-GB"/>
              </w:rPr>
            </w:pPr>
            <w:r>
              <w:rPr>
                <w:rFonts w:cs="Arial"/>
                <w:color w:val="000000"/>
                <w:sz w:val="20"/>
                <w:lang w:eastAsia="en-GB"/>
              </w:rPr>
              <w:t>JHI – The James Hutton Institute</w:t>
            </w:r>
          </w:p>
        </w:tc>
        <w:tc>
          <w:tcPr>
            <w:tcW w:w="567" w:type="dxa"/>
            <w:shd w:val="clear" w:color="auto" w:fill="auto"/>
            <w:noWrap/>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Pr>
                <w:rFonts w:cs="Arial"/>
                <w:sz w:val="20"/>
                <w:lang w:eastAsia="en-GB"/>
              </w:rPr>
              <w:t>UK</w:t>
            </w:r>
          </w:p>
        </w:tc>
        <w:tc>
          <w:tcPr>
            <w:tcW w:w="2268" w:type="dxa"/>
            <w:tcMar>
              <w:top w:w="0" w:type="dxa"/>
              <w:left w:w="40" w:type="dxa"/>
              <w:bottom w:w="0" w:type="dxa"/>
              <w:right w:w="40" w:type="dxa"/>
            </w:tcMar>
            <w:vAlign w:val="center"/>
          </w:tcPr>
          <w:p w:rsidR="008544A4" w:rsidRPr="00C36DAF" w:rsidRDefault="008544A4" w:rsidP="008544A4">
            <w:pPr>
              <w:spacing w:before="0" w:line="240" w:lineRule="auto"/>
              <w:jc w:val="left"/>
              <w:rPr>
                <w:rFonts w:cs="Arial"/>
                <w:sz w:val="20"/>
                <w:lang w:eastAsia="en-GB"/>
              </w:rPr>
            </w:pPr>
            <w:r w:rsidRPr="00C36DAF">
              <w:rPr>
                <w:rFonts w:cs="Arial"/>
                <w:bCs/>
                <w:sz w:val="20"/>
                <w:lang w:eastAsia="en-GB"/>
              </w:rPr>
              <w:t>Andrew Copus</w:t>
            </w:r>
          </w:p>
        </w:tc>
      </w:tr>
    </w:tbl>
    <w:p w:rsidR="008544A4" w:rsidRDefault="008544A4" w:rsidP="005703AA">
      <w:pPr>
        <w:pStyle w:val="ESPONText"/>
        <w:spacing w:after="0"/>
      </w:pPr>
    </w:p>
    <w:p w:rsidR="008544A4" w:rsidRPr="00C36DAF" w:rsidRDefault="008544A4" w:rsidP="005703AA">
      <w:pPr>
        <w:pStyle w:val="ESPONText"/>
        <w:spacing w:after="0"/>
        <w:sectPr w:rsidR="008544A4" w:rsidRPr="00C36DAF" w:rsidSect="008544A4">
          <w:type w:val="continuous"/>
          <w:pgSz w:w="11906" w:h="16838"/>
          <w:pgMar w:top="1644" w:right="851" w:bottom="1644" w:left="1701" w:header="720" w:footer="720" w:gutter="0"/>
          <w:pgNumType w:fmt="lowerRoman" w:start="1"/>
          <w:cols w:space="720"/>
        </w:sectPr>
      </w:pPr>
    </w:p>
    <w:p w:rsidR="00D95FA4" w:rsidRPr="00C36DAF" w:rsidRDefault="00C82741" w:rsidP="000775D8">
      <w:pPr>
        <w:pStyle w:val="ESPONSubtitle"/>
        <w:jc w:val="center"/>
      </w:pPr>
      <w:r w:rsidRPr="00C36DAF">
        <w:lastRenderedPageBreak/>
        <w:t>CONTENTS</w:t>
      </w:r>
    </w:p>
    <w:p w:rsidR="006425F0" w:rsidRDefault="000D4AAA">
      <w:pPr>
        <w:pStyle w:val="Sisluet1"/>
        <w:rPr>
          <w:rFonts w:asciiTheme="minorHAnsi" w:eastAsiaTheme="minorEastAsia" w:hAnsiTheme="minorHAnsi" w:cstheme="minorBidi"/>
          <w:szCs w:val="22"/>
          <w:lang w:eastAsia="en-GB"/>
        </w:rPr>
      </w:pPr>
      <w:r>
        <w:rPr>
          <w:szCs w:val="22"/>
        </w:rPr>
        <w:fldChar w:fldCharType="begin"/>
      </w:r>
      <w:r>
        <w:rPr>
          <w:szCs w:val="22"/>
        </w:rPr>
        <w:instrText xml:space="preserve"> TOC \o "1-2" \h \z \u </w:instrText>
      </w:r>
      <w:r>
        <w:rPr>
          <w:szCs w:val="22"/>
        </w:rPr>
        <w:fldChar w:fldCharType="separate"/>
      </w:r>
      <w:hyperlink w:anchor="_Toc400373173" w:history="1">
        <w:r w:rsidR="006425F0" w:rsidRPr="00B1551E">
          <w:rPr>
            <w:rStyle w:val="Hyperlinkki"/>
          </w:rPr>
          <w:t>1</w:t>
        </w:r>
        <w:r w:rsidR="006425F0">
          <w:rPr>
            <w:rFonts w:asciiTheme="minorHAnsi" w:eastAsiaTheme="minorEastAsia" w:hAnsiTheme="minorHAnsi" w:cstheme="minorBidi"/>
            <w:szCs w:val="22"/>
            <w:lang w:eastAsia="en-GB"/>
          </w:rPr>
          <w:tab/>
        </w:r>
        <w:r w:rsidR="006425F0" w:rsidRPr="00B1551E">
          <w:rPr>
            <w:rStyle w:val="Hyperlinkki"/>
          </w:rPr>
          <w:t>Introduction</w:t>
        </w:r>
        <w:r w:rsidR="006425F0">
          <w:rPr>
            <w:webHidden/>
          </w:rPr>
          <w:tab/>
        </w:r>
        <w:r w:rsidR="006425F0">
          <w:rPr>
            <w:webHidden/>
          </w:rPr>
          <w:fldChar w:fldCharType="begin"/>
        </w:r>
        <w:r w:rsidR="006425F0">
          <w:rPr>
            <w:webHidden/>
          </w:rPr>
          <w:instrText xml:space="preserve"> PAGEREF _Toc400373173 \h </w:instrText>
        </w:r>
        <w:r w:rsidR="006425F0">
          <w:rPr>
            <w:webHidden/>
          </w:rPr>
        </w:r>
        <w:r w:rsidR="006425F0">
          <w:rPr>
            <w:webHidden/>
          </w:rPr>
          <w:fldChar w:fldCharType="separate"/>
        </w:r>
        <w:r w:rsidR="004C4F95">
          <w:rPr>
            <w:webHidden/>
          </w:rPr>
          <w:t>1</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74" w:history="1">
        <w:r w:rsidR="006425F0" w:rsidRPr="00B1551E">
          <w:rPr>
            <w:rStyle w:val="Hyperlinkki"/>
          </w:rPr>
          <w:t>2</w:t>
        </w:r>
        <w:r w:rsidR="006425F0">
          <w:rPr>
            <w:rFonts w:asciiTheme="minorHAnsi" w:eastAsiaTheme="minorEastAsia" w:hAnsiTheme="minorHAnsi" w:cstheme="minorBidi"/>
            <w:szCs w:val="22"/>
            <w:lang w:eastAsia="en-GB"/>
          </w:rPr>
          <w:tab/>
        </w:r>
        <w:r w:rsidR="006425F0" w:rsidRPr="00B1551E">
          <w:rPr>
            <w:rStyle w:val="Hyperlinkki"/>
          </w:rPr>
          <w:t>The process of monitoring and evaluation of EU social and cohesion policies</w:t>
        </w:r>
        <w:r w:rsidR="006425F0">
          <w:rPr>
            <w:webHidden/>
          </w:rPr>
          <w:tab/>
        </w:r>
        <w:r w:rsidR="006425F0">
          <w:rPr>
            <w:webHidden/>
          </w:rPr>
          <w:fldChar w:fldCharType="begin"/>
        </w:r>
        <w:r w:rsidR="006425F0">
          <w:rPr>
            <w:webHidden/>
          </w:rPr>
          <w:instrText xml:space="preserve"> PAGEREF _Toc400373174 \h </w:instrText>
        </w:r>
        <w:r w:rsidR="006425F0">
          <w:rPr>
            <w:webHidden/>
          </w:rPr>
        </w:r>
        <w:r w:rsidR="006425F0">
          <w:rPr>
            <w:webHidden/>
          </w:rPr>
          <w:fldChar w:fldCharType="separate"/>
        </w:r>
        <w:r w:rsidR="004C4F95">
          <w:rPr>
            <w:webHidden/>
          </w:rPr>
          <w:t>1</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75" w:history="1">
        <w:r w:rsidR="006425F0" w:rsidRPr="00B1551E">
          <w:rPr>
            <w:rStyle w:val="Hyperlinkki"/>
          </w:rPr>
          <w:t>3</w:t>
        </w:r>
        <w:r w:rsidR="006425F0">
          <w:rPr>
            <w:rFonts w:asciiTheme="minorHAnsi" w:eastAsiaTheme="minorEastAsia" w:hAnsiTheme="minorHAnsi" w:cstheme="minorBidi"/>
            <w:szCs w:val="22"/>
            <w:lang w:eastAsia="en-GB"/>
          </w:rPr>
          <w:tab/>
        </w:r>
        <w:r w:rsidR="006425F0" w:rsidRPr="00B1551E">
          <w:rPr>
            <w:rStyle w:val="Hyperlinkki"/>
          </w:rPr>
          <w:t>Poverty and Social Exclusion indicators disseminated by Eurostat</w:t>
        </w:r>
        <w:r w:rsidR="006425F0">
          <w:rPr>
            <w:webHidden/>
          </w:rPr>
          <w:tab/>
        </w:r>
        <w:r w:rsidR="006425F0">
          <w:rPr>
            <w:webHidden/>
          </w:rPr>
          <w:fldChar w:fldCharType="begin"/>
        </w:r>
        <w:r w:rsidR="006425F0">
          <w:rPr>
            <w:webHidden/>
          </w:rPr>
          <w:instrText xml:space="preserve"> PAGEREF _Toc400373175 \h </w:instrText>
        </w:r>
        <w:r w:rsidR="006425F0">
          <w:rPr>
            <w:webHidden/>
          </w:rPr>
        </w:r>
        <w:r w:rsidR="006425F0">
          <w:rPr>
            <w:webHidden/>
          </w:rPr>
          <w:fldChar w:fldCharType="separate"/>
        </w:r>
        <w:r w:rsidR="004C4F95">
          <w:rPr>
            <w:webHidden/>
          </w:rPr>
          <w:t>4</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76" w:history="1">
        <w:r w:rsidR="006425F0" w:rsidRPr="00B1551E">
          <w:rPr>
            <w:rStyle w:val="Hyperlinkki"/>
          </w:rPr>
          <w:t>4</w:t>
        </w:r>
        <w:r w:rsidR="006425F0">
          <w:rPr>
            <w:rFonts w:asciiTheme="minorHAnsi" w:eastAsiaTheme="minorEastAsia" w:hAnsiTheme="minorHAnsi" w:cstheme="minorBidi"/>
            <w:szCs w:val="22"/>
            <w:lang w:eastAsia="en-GB"/>
          </w:rPr>
          <w:tab/>
        </w:r>
        <w:r w:rsidR="006425F0" w:rsidRPr="00B1551E">
          <w:rPr>
            <w:rStyle w:val="Hyperlinkki"/>
          </w:rPr>
          <w:t>Measuring poverty and social exclusion, approaches in TiPSE</w:t>
        </w:r>
        <w:r w:rsidR="006425F0">
          <w:rPr>
            <w:webHidden/>
          </w:rPr>
          <w:tab/>
        </w:r>
        <w:r w:rsidR="006425F0">
          <w:rPr>
            <w:webHidden/>
          </w:rPr>
          <w:fldChar w:fldCharType="begin"/>
        </w:r>
        <w:r w:rsidR="006425F0">
          <w:rPr>
            <w:webHidden/>
          </w:rPr>
          <w:instrText xml:space="preserve"> PAGEREF _Toc400373176 \h </w:instrText>
        </w:r>
        <w:r w:rsidR="006425F0">
          <w:rPr>
            <w:webHidden/>
          </w:rPr>
        </w:r>
        <w:r w:rsidR="006425F0">
          <w:rPr>
            <w:webHidden/>
          </w:rPr>
          <w:fldChar w:fldCharType="separate"/>
        </w:r>
        <w:r w:rsidR="004C4F95">
          <w:rPr>
            <w:webHidden/>
          </w:rPr>
          <w:t>6</w:t>
        </w:r>
        <w:r w:rsidR="006425F0">
          <w:rPr>
            <w:webHidden/>
          </w:rPr>
          <w:fldChar w:fldCharType="end"/>
        </w:r>
      </w:hyperlink>
    </w:p>
    <w:p w:rsidR="006425F0" w:rsidRDefault="00F404A9">
      <w:pPr>
        <w:pStyle w:val="Sisluet2"/>
        <w:rPr>
          <w:rFonts w:asciiTheme="minorHAnsi" w:eastAsiaTheme="minorEastAsia" w:hAnsiTheme="minorHAnsi" w:cstheme="minorBidi"/>
          <w:noProof/>
          <w:szCs w:val="22"/>
          <w:lang w:eastAsia="en-GB"/>
        </w:rPr>
      </w:pPr>
      <w:hyperlink w:anchor="_Toc400373177" w:history="1">
        <w:r w:rsidR="006425F0" w:rsidRPr="00B1551E">
          <w:rPr>
            <w:rStyle w:val="Hyperlinkki"/>
            <w:noProof/>
          </w:rPr>
          <w:t>4.1</w:t>
        </w:r>
        <w:r w:rsidR="006425F0">
          <w:rPr>
            <w:rFonts w:asciiTheme="minorHAnsi" w:eastAsiaTheme="minorEastAsia" w:hAnsiTheme="minorHAnsi" w:cstheme="minorBidi"/>
            <w:noProof/>
            <w:szCs w:val="22"/>
            <w:lang w:eastAsia="en-GB"/>
          </w:rPr>
          <w:tab/>
        </w:r>
        <w:r w:rsidR="006425F0" w:rsidRPr="00B1551E">
          <w:rPr>
            <w:rStyle w:val="Hyperlinkki"/>
            <w:noProof/>
          </w:rPr>
          <w:t>Poverty Mapping (Annexes 5 and 7)</w:t>
        </w:r>
        <w:r w:rsidR="006425F0">
          <w:rPr>
            <w:noProof/>
            <w:webHidden/>
          </w:rPr>
          <w:tab/>
        </w:r>
        <w:r w:rsidR="006425F0">
          <w:rPr>
            <w:noProof/>
            <w:webHidden/>
          </w:rPr>
          <w:fldChar w:fldCharType="begin"/>
        </w:r>
        <w:r w:rsidR="006425F0">
          <w:rPr>
            <w:noProof/>
            <w:webHidden/>
          </w:rPr>
          <w:instrText xml:space="preserve"> PAGEREF _Toc400373177 \h </w:instrText>
        </w:r>
        <w:r w:rsidR="006425F0">
          <w:rPr>
            <w:noProof/>
            <w:webHidden/>
          </w:rPr>
        </w:r>
        <w:r w:rsidR="006425F0">
          <w:rPr>
            <w:noProof/>
            <w:webHidden/>
          </w:rPr>
          <w:fldChar w:fldCharType="separate"/>
        </w:r>
        <w:r w:rsidR="004C4F95">
          <w:rPr>
            <w:noProof/>
            <w:webHidden/>
          </w:rPr>
          <w:t>6</w:t>
        </w:r>
        <w:r w:rsidR="006425F0">
          <w:rPr>
            <w:noProof/>
            <w:webHidden/>
          </w:rPr>
          <w:fldChar w:fldCharType="end"/>
        </w:r>
      </w:hyperlink>
    </w:p>
    <w:p w:rsidR="006425F0" w:rsidRDefault="00F404A9">
      <w:pPr>
        <w:pStyle w:val="Sisluet2"/>
        <w:rPr>
          <w:rFonts w:asciiTheme="minorHAnsi" w:eastAsiaTheme="minorEastAsia" w:hAnsiTheme="minorHAnsi" w:cstheme="minorBidi"/>
          <w:noProof/>
          <w:szCs w:val="22"/>
          <w:lang w:eastAsia="en-GB"/>
        </w:rPr>
      </w:pPr>
      <w:hyperlink w:anchor="_Toc400373178" w:history="1">
        <w:r w:rsidR="006425F0" w:rsidRPr="00B1551E">
          <w:rPr>
            <w:rStyle w:val="Hyperlinkki"/>
            <w:noProof/>
          </w:rPr>
          <w:t>4.2</w:t>
        </w:r>
        <w:r w:rsidR="006425F0">
          <w:rPr>
            <w:rFonts w:asciiTheme="minorHAnsi" w:eastAsiaTheme="minorEastAsia" w:hAnsiTheme="minorHAnsi" w:cstheme="minorBidi"/>
            <w:noProof/>
            <w:szCs w:val="22"/>
            <w:lang w:eastAsia="en-GB"/>
          </w:rPr>
          <w:tab/>
        </w:r>
        <w:r w:rsidR="006425F0" w:rsidRPr="00B1551E">
          <w:rPr>
            <w:rStyle w:val="Hyperlinkki"/>
            <w:noProof/>
          </w:rPr>
          <w:t>Social Exclusion Mapping (Annexes 6 and 8)</w:t>
        </w:r>
        <w:r w:rsidR="006425F0">
          <w:rPr>
            <w:noProof/>
            <w:webHidden/>
          </w:rPr>
          <w:tab/>
        </w:r>
        <w:r w:rsidR="006425F0">
          <w:rPr>
            <w:noProof/>
            <w:webHidden/>
          </w:rPr>
          <w:fldChar w:fldCharType="begin"/>
        </w:r>
        <w:r w:rsidR="006425F0">
          <w:rPr>
            <w:noProof/>
            <w:webHidden/>
          </w:rPr>
          <w:instrText xml:space="preserve"> PAGEREF _Toc400373178 \h </w:instrText>
        </w:r>
        <w:r w:rsidR="006425F0">
          <w:rPr>
            <w:noProof/>
            <w:webHidden/>
          </w:rPr>
        </w:r>
        <w:r w:rsidR="006425F0">
          <w:rPr>
            <w:noProof/>
            <w:webHidden/>
          </w:rPr>
          <w:fldChar w:fldCharType="separate"/>
        </w:r>
        <w:r w:rsidR="004C4F95">
          <w:rPr>
            <w:noProof/>
            <w:webHidden/>
          </w:rPr>
          <w:t>8</w:t>
        </w:r>
        <w:r w:rsidR="006425F0">
          <w:rPr>
            <w:noProof/>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79" w:history="1">
        <w:r w:rsidR="006425F0" w:rsidRPr="00B1551E">
          <w:rPr>
            <w:rStyle w:val="Hyperlinkki"/>
          </w:rPr>
          <w:t>5</w:t>
        </w:r>
        <w:r w:rsidR="006425F0">
          <w:rPr>
            <w:rFonts w:asciiTheme="minorHAnsi" w:eastAsiaTheme="minorEastAsia" w:hAnsiTheme="minorHAnsi" w:cstheme="minorBidi"/>
            <w:szCs w:val="22"/>
            <w:lang w:eastAsia="en-GB"/>
          </w:rPr>
          <w:tab/>
        </w:r>
        <w:r w:rsidR="006425F0" w:rsidRPr="00B1551E">
          <w:rPr>
            <w:rStyle w:val="Hyperlinkki"/>
          </w:rPr>
          <w:t>Recommendations for Social Exclusion Monitoring derived from the Review of Policy</w:t>
        </w:r>
        <w:r w:rsidR="006425F0">
          <w:rPr>
            <w:webHidden/>
          </w:rPr>
          <w:tab/>
        </w:r>
        <w:r w:rsidR="006425F0">
          <w:rPr>
            <w:webHidden/>
          </w:rPr>
          <w:fldChar w:fldCharType="begin"/>
        </w:r>
        <w:r w:rsidR="006425F0">
          <w:rPr>
            <w:webHidden/>
          </w:rPr>
          <w:instrText xml:space="preserve"> PAGEREF _Toc400373179 \h </w:instrText>
        </w:r>
        <w:r w:rsidR="006425F0">
          <w:rPr>
            <w:webHidden/>
          </w:rPr>
        </w:r>
        <w:r w:rsidR="006425F0">
          <w:rPr>
            <w:webHidden/>
          </w:rPr>
          <w:fldChar w:fldCharType="separate"/>
        </w:r>
        <w:r w:rsidR="004C4F95">
          <w:rPr>
            <w:webHidden/>
          </w:rPr>
          <w:t>14</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80" w:history="1">
        <w:r w:rsidR="006425F0" w:rsidRPr="00B1551E">
          <w:rPr>
            <w:rStyle w:val="Hyperlinkki"/>
          </w:rPr>
          <w:t>6</w:t>
        </w:r>
        <w:r w:rsidR="006425F0">
          <w:rPr>
            <w:rFonts w:asciiTheme="minorHAnsi" w:eastAsiaTheme="minorEastAsia" w:hAnsiTheme="minorHAnsi" w:cstheme="minorBidi"/>
            <w:szCs w:val="22"/>
            <w:lang w:eastAsia="en-GB"/>
          </w:rPr>
          <w:tab/>
        </w:r>
        <w:r w:rsidR="006425F0" w:rsidRPr="00B1551E">
          <w:rPr>
            <w:rStyle w:val="Hyperlinkki"/>
          </w:rPr>
          <w:t>Key action points</w:t>
        </w:r>
        <w:r w:rsidR="006425F0">
          <w:rPr>
            <w:webHidden/>
          </w:rPr>
          <w:tab/>
        </w:r>
        <w:r w:rsidR="006425F0">
          <w:rPr>
            <w:webHidden/>
          </w:rPr>
          <w:fldChar w:fldCharType="begin"/>
        </w:r>
        <w:r w:rsidR="006425F0">
          <w:rPr>
            <w:webHidden/>
          </w:rPr>
          <w:instrText xml:space="preserve"> PAGEREF _Toc400373180 \h </w:instrText>
        </w:r>
        <w:r w:rsidR="006425F0">
          <w:rPr>
            <w:webHidden/>
          </w:rPr>
        </w:r>
        <w:r w:rsidR="006425F0">
          <w:rPr>
            <w:webHidden/>
          </w:rPr>
          <w:fldChar w:fldCharType="separate"/>
        </w:r>
        <w:r w:rsidR="004C4F95">
          <w:rPr>
            <w:webHidden/>
          </w:rPr>
          <w:t>17</w:t>
        </w:r>
        <w:r w:rsidR="006425F0">
          <w:rPr>
            <w:webHidden/>
          </w:rPr>
          <w:fldChar w:fldCharType="end"/>
        </w:r>
      </w:hyperlink>
    </w:p>
    <w:p w:rsidR="006425F0" w:rsidRDefault="006425F0">
      <w:pPr>
        <w:pStyle w:val="Sisluet1"/>
        <w:rPr>
          <w:rFonts w:asciiTheme="minorHAnsi" w:eastAsiaTheme="minorEastAsia" w:hAnsiTheme="minorHAnsi" w:cstheme="minorBidi"/>
          <w:szCs w:val="22"/>
          <w:lang w:eastAsia="en-GB"/>
        </w:rPr>
      </w:pPr>
      <w:hyperlink w:anchor="_Toc400373181" w:history="1">
        <w:r w:rsidRPr="00B1551E">
          <w:rPr>
            <w:rStyle w:val="Hyperlinkki"/>
          </w:rPr>
          <w:t>References</w:t>
        </w:r>
        <w:r>
          <w:rPr>
            <w:webHidden/>
          </w:rPr>
          <w:tab/>
        </w:r>
        <w:r>
          <w:rPr>
            <w:webHidden/>
          </w:rPr>
          <w:fldChar w:fldCharType="begin"/>
        </w:r>
        <w:r>
          <w:rPr>
            <w:webHidden/>
          </w:rPr>
          <w:instrText xml:space="preserve"> PAGEREF _Toc400373181 \h </w:instrText>
        </w:r>
        <w:r>
          <w:rPr>
            <w:webHidden/>
          </w:rPr>
        </w:r>
        <w:r>
          <w:rPr>
            <w:webHidden/>
          </w:rPr>
          <w:fldChar w:fldCharType="separate"/>
        </w:r>
        <w:r w:rsidR="004C4F95">
          <w:rPr>
            <w:webHidden/>
          </w:rPr>
          <w:t>18</w:t>
        </w:r>
        <w:r>
          <w:rPr>
            <w:webHidden/>
          </w:rPr>
          <w:fldChar w:fldCharType="end"/>
        </w:r>
      </w:hyperlink>
    </w:p>
    <w:p w:rsidR="006425F0" w:rsidRDefault="006425F0">
      <w:pPr>
        <w:pStyle w:val="Sisluet1"/>
        <w:rPr>
          <w:rFonts w:asciiTheme="minorHAnsi" w:eastAsiaTheme="minorEastAsia" w:hAnsiTheme="minorHAnsi" w:cstheme="minorBidi"/>
          <w:szCs w:val="22"/>
          <w:lang w:eastAsia="en-GB"/>
        </w:rPr>
      </w:pPr>
      <w:hyperlink w:anchor="_Toc400373182" w:history="1">
        <w:r w:rsidRPr="00B1551E">
          <w:rPr>
            <w:rStyle w:val="Hyperlinkki"/>
          </w:rPr>
          <w:t>Appendix 1: Monitoring tasks in the 2014-2020 Programming Period</w:t>
        </w:r>
        <w:r>
          <w:rPr>
            <w:webHidden/>
          </w:rPr>
          <w:tab/>
        </w:r>
        <w:r>
          <w:rPr>
            <w:webHidden/>
          </w:rPr>
          <w:fldChar w:fldCharType="begin"/>
        </w:r>
        <w:r>
          <w:rPr>
            <w:webHidden/>
          </w:rPr>
          <w:instrText xml:space="preserve"> PAGEREF _Toc400373182 \h </w:instrText>
        </w:r>
        <w:r>
          <w:rPr>
            <w:webHidden/>
          </w:rPr>
        </w:r>
        <w:r>
          <w:rPr>
            <w:webHidden/>
          </w:rPr>
          <w:fldChar w:fldCharType="separate"/>
        </w:r>
        <w:r w:rsidR="004C4F95">
          <w:rPr>
            <w:webHidden/>
          </w:rPr>
          <w:t>21</w:t>
        </w:r>
        <w:r>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83" w:history="1">
        <w:r w:rsidR="006425F0" w:rsidRPr="00B1551E">
          <w:rPr>
            <w:rStyle w:val="Hyperlinkki"/>
          </w:rPr>
          <w:t xml:space="preserve">Appendix 2: </w:t>
        </w:r>
        <w:r w:rsidR="006425F0" w:rsidRPr="00B1551E">
          <w:rPr>
            <w:rStyle w:val="Hyperlinkki"/>
            <w:rFonts w:hAnsi="Calibri"/>
          </w:rPr>
          <w:t>List of Laeken indicators 2001</w:t>
        </w:r>
        <w:r w:rsidR="006425F0">
          <w:rPr>
            <w:webHidden/>
          </w:rPr>
          <w:tab/>
        </w:r>
        <w:r w:rsidR="006425F0">
          <w:rPr>
            <w:webHidden/>
          </w:rPr>
          <w:fldChar w:fldCharType="begin"/>
        </w:r>
        <w:r w:rsidR="006425F0">
          <w:rPr>
            <w:webHidden/>
          </w:rPr>
          <w:instrText xml:space="preserve"> PAGEREF _Toc400373183 \h </w:instrText>
        </w:r>
        <w:r w:rsidR="006425F0">
          <w:rPr>
            <w:webHidden/>
          </w:rPr>
        </w:r>
        <w:r w:rsidR="006425F0">
          <w:rPr>
            <w:webHidden/>
          </w:rPr>
          <w:fldChar w:fldCharType="separate"/>
        </w:r>
        <w:r w:rsidR="004C4F95">
          <w:rPr>
            <w:webHidden/>
          </w:rPr>
          <w:t>22</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84" w:history="1">
        <w:r w:rsidR="006425F0" w:rsidRPr="00B1551E">
          <w:rPr>
            <w:rStyle w:val="Hyperlinkki"/>
          </w:rPr>
          <w:t xml:space="preserve">Appendix 3: </w:t>
        </w:r>
        <w:r w:rsidR="006425F0" w:rsidRPr="00B1551E">
          <w:rPr>
            <w:rStyle w:val="Hyperlinkki"/>
            <w:rFonts w:hAnsi="Calibri"/>
          </w:rPr>
          <w:t>Overarching indicators for monitoring social OMC 2008</w:t>
        </w:r>
        <w:r w:rsidR="006425F0">
          <w:rPr>
            <w:webHidden/>
          </w:rPr>
          <w:tab/>
        </w:r>
        <w:r w:rsidR="006425F0">
          <w:rPr>
            <w:webHidden/>
          </w:rPr>
          <w:fldChar w:fldCharType="begin"/>
        </w:r>
        <w:r w:rsidR="006425F0">
          <w:rPr>
            <w:webHidden/>
          </w:rPr>
          <w:instrText xml:space="preserve"> PAGEREF _Toc400373184 \h </w:instrText>
        </w:r>
        <w:r w:rsidR="006425F0">
          <w:rPr>
            <w:webHidden/>
          </w:rPr>
        </w:r>
        <w:r w:rsidR="006425F0">
          <w:rPr>
            <w:webHidden/>
          </w:rPr>
          <w:fldChar w:fldCharType="separate"/>
        </w:r>
        <w:r w:rsidR="004C4F95">
          <w:rPr>
            <w:webHidden/>
          </w:rPr>
          <w:t>23</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85" w:history="1">
        <w:r w:rsidR="006425F0" w:rsidRPr="00B1551E">
          <w:rPr>
            <w:rStyle w:val="Hyperlinkki"/>
          </w:rPr>
          <w:t>Appendix 4: SPC Dashboard Indicators and Contextual Information</w:t>
        </w:r>
        <w:r w:rsidR="006425F0">
          <w:rPr>
            <w:webHidden/>
          </w:rPr>
          <w:tab/>
        </w:r>
        <w:r w:rsidR="006425F0">
          <w:rPr>
            <w:webHidden/>
          </w:rPr>
          <w:fldChar w:fldCharType="begin"/>
        </w:r>
        <w:r w:rsidR="006425F0">
          <w:rPr>
            <w:webHidden/>
          </w:rPr>
          <w:instrText xml:space="preserve"> PAGEREF _Toc400373185 \h </w:instrText>
        </w:r>
        <w:r w:rsidR="006425F0">
          <w:rPr>
            <w:webHidden/>
          </w:rPr>
        </w:r>
        <w:r w:rsidR="006425F0">
          <w:rPr>
            <w:webHidden/>
          </w:rPr>
          <w:fldChar w:fldCharType="separate"/>
        </w:r>
        <w:r w:rsidR="004C4F95">
          <w:rPr>
            <w:webHidden/>
          </w:rPr>
          <w:t>24</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86" w:history="1">
        <w:r w:rsidR="006425F0" w:rsidRPr="00B1551E">
          <w:rPr>
            <w:rStyle w:val="Hyperlinkki"/>
          </w:rPr>
          <w:t xml:space="preserve">Appendix 5: </w:t>
        </w:r>
        <w:r w:rsidR="006425F0" w:rsidRPr="00B1551E">
          <w:rPr>
            <w:rStyle w:val="Hyperlinkki"/>
            <w:rFonts w:hAnsi="Calibri"/>
          </w:rPr>
          <w:t xml:space="preserve">Commonly agreed P&amp;SE indicators </w:t>
        </w:r>
        <w:r w:rsidR="006425F0" w:rsidRPr="00B1551E">
          <w:rPr>
            <w:rStyle w:val="Hyperlinkki"/>
          </w:rPr>
          <w:t>(European Commission 2006)</w:t>
        </w:r>
        <w:r w:rsidR="006425F0">
          <w:rPr>
            <w:webHidden/>
          </w:rPr>
          <w:tab/>
        </w:r>
        <w:r w:rsidR="006425F0">
          <w:rPr>
            <w:webHidden/>
          </w:rPr>
          <w:fldChar w:fldCharType="begin"/>
        </w:r>
        <w:r w:rsidR="006425F0">
          <w:rPr>
            <w:webHidden/>
          </w:rPr>
          <w:instrText xml:space="preserve"> PAGEREF _Toc400373186 \h </w:instrText>
        </w:r>
        <w:r w:rsidR="006425F0">
          <w:rPr>
            <w:webHidden/>
          </w:rPr>
        </w:r>
        <w:r w:rsidR="006425F0">
          <w:rPr>
            <w:webHidden/>
          </w:rPr>
          <w:fldChar w:fldCharType="separate"/>
        </w:r>
        <w:r w:rsidR="004C4F95">
          <w:rPr>
            <w:webHidden/>
          </w:rPr>
          <w:t>26</w:t>
        </w:r>
        <w:r w:rsidR="006425F0">
          <w:rPr>
            <w:webHidden/>
          </w:rPr>
          <w:fldChar w:fldCharType="end"/>
        </w:r>
      </w:hyperlink>
    </w:p>
    <w:p w:rsidR="006425F0" w:rsidRDefault="00F404A9">
      <w:pPr>
        <w:pStyle w:val="Sisluet1"/>
        <w:rPr>
          <w:rFonts w:asciiTheme="minorHAnsi" w:eastAsiaTheme="minorEastAsia" w:hAnsiTheme="minorHAnsi" w:cstheme="minorBidi"/>
          <w:szCs w:val="22"/>
          <w:lang w:eastAsia="en-GB"/>
        </w:rPr>
      </w:pPr>
      <w:hyperlink w:anchor="_Toc400373187" w:history="1">
        <w:r w:rsidR="006425F0" w:rsidRPr="00B1551E">
          <w:rPr>
            <w:rStyle w:val="Hyperlinkki"/>
            <w:lang w:val="hu-HU"/>
          </w:rPr>
          <w:t xml:space="preserve">Appendix 7: </w:t>
        </w:r>
        <w:r w:rsidR="006425F0" w:rsidRPr="00B1551E">
          <w:rPr>
            <w:rStyle w:val="Hyperlinkki"/>
          </w:rPr>
          <w:t>Recommendations derived from Annex 10, and their monitoring implications</w:t>
        </w:r>
        <w:r w:rsidR="006425F0">
          <w:rPr>
            <w:webHidden/>
          </w:rPr>
          <w:tab/>
        </w:r>
        <w:r w:rsidR="006425F0">
          <w:rPr>
            <w:webHidden/>
          </w:rPr>
          <w:fldChar w:fldCharType="begin"/>
        </w:r>
        <w:r w:rsidR="006425F0">
          <w:rPr>
            <w:webHidden/>
          </w:rPr>
          <w:instrText xml:space="preserve"> PAGEREF _Toc400373187 \h </w:instrText>
        </w:r>
        <w:r w:rsidR="006425F0">
          <w:rPr>
            <w:webHidden/>
          </w:rPr>
        </w:r>
        <w:r w:rsidR="006425F0">
          <w:rPr>
            <w:webHidden/>
          </w:rPr>
          <w:fldChar w:fldCharType="separate"/>
        </w:r>
        <w:r w:rsidR="004C4F95">
          <w:rPr>
            <w:webHidden/>
          </w:rPr>
          <w:t>29</w:t>
        </w:r>
        <w:r w:rsidR="006425F0">
          <w:rPr>
            <w:webHidden/>
          </w:rPr>
          <w:fldChar w:fldCharType="end"/>
        </w:r>
      </w:hyperlink>
    </w:p>
    <w:p w:rsidR="002A7DF8" w:rsidRPr="00C36DAF" w:rsidRDefault="000D4AAA" w:rsidP="005202AA">
      <w:pPr>
        <w:pStyle w:val="ESPONSubtitle"/>
        <w:spacing w:before="0" w:after="0"/>
        <w:jc w:val="center"/>
        <w:rPr>
          <w:noProof/>
          <w:szCs w:val="22"/>
        </w:rPr>
      </w:pPr>
      <w:r>
        <w:rPr>
          <w:noProof/>
          <w:szCs w:val="22"/>
        </w:rPr>
        <w:fldChar w:fldCharType="end"/>
      </w:r>
    </w:p>
    <w:p w:rsidR="00BF09EE" w:rsidRPr="00C36DAF" w:rsidRDefault="005B346C" w:rsidP="00675A2D">
      <w:pPr>
        <w:pStyle w:val="ESPONSubtitle"/>
        <w:spacing w:before="0" w:after="0"/>
        <w:jc w:val="center"/>
      </w:pPr>
      <w:r w:rsidRPr="00C36DAF">
        <w:t>TABLES</w:t>
      </w:r>
    </w:p>
    <w:p w:rsidR="006425F0" w:rsidRDefault="00F61E50">
      <w:pPr>
        <w:pStyle w:val="Kuvaotsikkoluettelo"/>
        <w:tabs>
          <w:tab w:val="right" w:pos="8303"/>
        </w:tabs>
        <w:rPr>
          <w:rFonts w:asciiTheme="minorHAnsi" w:eastAsiaTheme="minorEastAsia" w:hAnsiTheme="minorHAnsi" w:cstheme="minorBidi"/>
          <w:noProof/>
          <w:szCs w:val="22"/>
          <w:lang w:eastAsia="en-GB"/>
        </w:rPr>
      </w:pPr>
      <w:r w:rsidRPr="00C36DAF">
        <w:fldChar w:fldCharType="begin"/>
      </w:r>
      <w:r w:rsidR="00EA1FF2" w:rsidRPr="00C36DAF">
        <w:instrText xml:space="preserve"> TOC \h \z \c "Table" </w:instrText>
      </w:r>
      <w:r w:rsidRPr="00C36DAF">
        <w:fldChar w:fldCharType="separate"/>
      </w:r>
      <w:hyperlink w:anchor="_Toc400373051" w:history="1">
        <w:r w:rsidR="006425F0" w:rsidRPr="00F4190A">
          <w:rPr>
            <w:rStyle w:val="Hyperlinkki"/>
            <w:noProof/>
          </w:rPr>
          <w:t>Table 1: Number of indicators 2001 and 2011 by Domain and Dimension</w:t>
        </w:r>
        <w:r w:rsidR="006425F0">
          <w:rPr>
            <w:noProof/>
            <w:webHidden/>
          </w:rPr>
          <w:tab/>
        </w:r>
        <w:r w:rsidR="006425F0">
          <w:rPr>
            <w:noProof/>
            <w:webHidden/>
          </w:rPr>
          <w:fldChar w:fldCharType="begin"/>
        </w:r>
        <w:r w:rsidR="006425F0">
          <w:rPr>
            <w:noProof/>
            <w:webHidden/>
          </w:rPr>
          <w:instrText xml:space="preserve"> PAGEREF _Toc400373051 \h </w:instrText>
        </w:r>
        <w:r w:rsidR="006425F0">
          <w:rPr>
            <w:noProof/>
            <w:webHidden/>
          </w:rPr>
        </w:r>
        <w:r w:rsidR="006425F0">
          <w:rPr>
            <w:noProof/>
            <w:webHidden/>
          </w:rPr>
          <w:fldChar w:fldCharType="separate"/>
        </w:r>
        <w:r w:rsidR="006425F0">
          <w:rPr>
            <w:noProof/>
            <w:webHidden/>
          </w:rPr>
          <w:t>9</w:t>
        </w:r>
        <w:r w:rsidR="006425F0">
          <w:rPr>
            <w:noProof/>
            <w:webHidden/>
          </w:rPr>
          <w:fldChar w:fldCharType="end"/>
        </w:r>
      </w:hyperlink>
    </w:p>
    <w:p w:rsidR="00675A2D" w:rsidRDefault="00F61E50" w:rsidP="00AA149B">
      <w:pPr>
        <w:pStyle w:val="ESPONText"/>
        <w:tabs>
          <w:tab w:val="left" w:pos="9072"/>
        </w:tabs>
        <w:spacing w:after="0"/>
      </w:pPr>
      <w:r w:rsidRPr="00C36DAF">
        <w:fldChar w:fldCharType="end"/>
      </w:r>
    </w:p>
    <w:p w:rsidR="00BF09EE" w:rsidRPr="00C36DAF" w:rsidRDefault="005B346C" w:rsidP="00675A2D">
      <w:pPr>
        <w:pStyle w:val="ESPONSubtitle"/>
        <w:spacing w:before="0" w:after="0"/>
        <w:jc w:val="center"/>
      </w:pPr>
      <w:r w:rsidRPr="00C36DAF">
        <w:t>FIGURES</w:t>
      </w:r>
    </w:p>
    <w:p w:rsidR="006425F0" w:rsidRDefault="00F61E50">
      <w:pPr>
        <w:pStyle w:val="Kuvaotsikkoluettelo"/>
        <w:tabs>
          <w:tab w:val="right" w:pos="8303"/>
        </w:tabs>
        <w:rPr>
          <w:rFonts w:asciiTheme="minorHAnsi" w:eastAsiaTheme="minorEastAsia" w:hAnsiTheme="minorHAnsi" w:cstheme="minorBidi"/>
          <w:noProof/>
          <w:szCs w:val="22"/>
          <w:lang w:eastAsia="en-GB"/>
        </w:rPr>
      </w:pPr>
      <w:r w:rsidRPr="00C36DAF">
        <w:fldChar w:fldCharType="begin"/>
      </w:r>
      <w:r w:rsidR="005B346C" w:rsidRPr="00C36DAF">
        <w:instrText xml:space="preserve"> TOC \h \z \c "Figure" </w:instrText>
      </w:r>
      <w:r w:rsidRPr="00C36DAF">
        <w:fldChar w:fldCharType="separate"/>
      </w:r>
      <w:hyperlink w:anchor="_Toc400373057" w:history="1">
        <w:r w:rsidR="006425F0" w:rsidRPr="00CF107B">
          <w:rPr>
            <w:rStyle w:val="Hyperlinkki"/>
            <w:noProof/>
          </w:rPr>
          <w:t>Figure 1: Available P&amp;SE indicators at NUT 2-3 levels</w:t>
        </w:r>
        <w:r w:rsidR="006425F0">
          <w:rPr>
            <w:noProof/>
            <w:webHidden/>
          </w:rPr>
          <w:tab/>
        </w:r>
        <w:r w:rsidR="006425F0">
          <w:rPr>
            <w:noProof/>
            <w:webHidden/>
          </w:rPr>
          <w:fldChar w:fldCharType="begin"/>
        </w:r>
        <w:r w:rsidR="006425F0">
          <w:rPr>
            <w:noProof/>
            <w:webHidden/>
          </w:rPr>
          <w:instrText xml:space="preserve"> PAGEREF _Toc400373057 \h </w:instrText>
        </w:r>
        <w:r w:rsidR="006425F0">
          <w:rPr>
            <w:noProof/>
            <w:webHidden/>
          </w:rPr>
        </w:r>
        <w:r w:rsidR="006425F0">
          <w:rPr>
            <w:noProof/>
            <w:webHidden/>
          </w:rPr>
          <w:fldChar w:fldCharType="separate"/>
        </w:r>
        <w:r w:rsidR="004C4F95">
          <w:rPr>
            <w:noProof/>
            <w:webHidden/>
          </w:rPr>
          <w:t>14</w:t>
        </w:r>
        <w:r w:rsidR="006425F0">
          <w:rPr>
            <w:noProof/>
            <w:webHidden/>
          </w:rPr>
          <w:fldChar w:fldCharType="end"/>
        </w:r>
      </w:hyperlink>
    </w:p>
    <w:p w:rsidR="00956CB4" w:rsidRDefault="00F61E50" w:rsidP="00AA149B">
      <w:pPr>
        <w:pStyle w:val="ESPONText"/>
        <w:tabs>
          <w:tab w:val="left" w:pos="9072"/>
        </w:tabs>
        <w:spacing w:after="0"/>
      </w:pPr>
      <w:r w:rsidRPr="00C36DAF">
        <w:fldChar w:fldCharType="end"/>
      </w:r>
    </w:p>
    <w:p w:rsidR="00133443" w:rsidRDefault="00133443" w:rsidP="00AA149B">
      <w:pPr>
        <w:pStyle w:val="ESPONText"/>
        <w:tabs>
          <w:tab w:val="left" w:pos="9072"/>
        </w:tabs>
        <w:spacing w:after="0"/>
      </w:pPr>
    </w:p>
    <w:p w:rsidR="00133443" w:rsidRDefault="00133443" w:rsidP="00AA149B">
      <w:pPr>
        <w:pStyle w:val="ESPONText"/>
        <w:tabs>
          <w:tab w:val="left" w:pos="9072"/>
        </w:tabs>
        <w:spacing w:after="0"/>
      </w:pPr>
    </w:p>
    <w:p w:rsidR="00133443" w:rsidRDefault="00133443" w:rsidP="00AA149B">
      <w:pPr>
        <w:pStyle w:val="ESPONText"/>
        <w:tabs>
          <w:tab w:val="left" w:pos="9072"/>
        </w:tabs>
        <w:spacing w:after="0"/>
        <w:sectPr w:rsidR="00133443" w:rsidSect="00F2111E">
          <w:headerReference w:type="default" r:id="rId16"/>
          <w:footerReference w:type="default" r:id="rId17"/>
          <w:type w:val="continuous"/>
          <w:pgSz w:w="11907" w:h="16840" w:code="9"/>
          <w:pgMar w:top="1440" w:right="1797" w:bottom="1440" w:left="1797" w:header="709" w:footer="709" w:gutter="0"/>
          <w:pgNumType w:fmt="lowerRoman" w:start="1"/>
          <w:cols w:space="708"/>
          <w:docGrid w:linePitch="360"/>
        </w:sectPr>
      </w:pPr>
    </w:p>
    <w:p w:rsidR="00007B80" w:rsidRDefault="00855D5A" w:rsidP="00007B80">
      <w:pPr>
        <w:pStyle w:val="Otsikko1"/>
        <w:rPr>
          <w:noProof/>
        </w:rPr>
      </w:pPr>
      <w:bookmarkStart w:id="2" w:name="_Toc400373173"/>
      <w:r w:rsidRPr="00692B36">
        <w:rPr>
          <w:noProof/>
        </w:rPr>
        <w:lastRenderedPageBreak/>
        <w:t>Introduction</w:t>
      </w:r>
      <w:bookmarkEnd w:id="2"/>
    </w:p>
    <w:p w:rsidR="00F2111E" w:rsidRDefault="005202AA" w:rsidP="00F2111E">
      <w:r>
        <w:t>This annex draws together of the findings of the TiPSE project in terms of implications for the improvement of monitoring of patterns of poverty and social exclusion in Europe. It begins with a description of the development of procedures to monitor poverty and social exclusion in conjunction with European social and cohesion policy. It describes the indicators currently in use, and their strengths and weaknesses. It then summarises the findings of the project with regard to the practicalities of mapping patterns of income poverty, and of social exclusion. This leads to recommendations for future development of data collection and indicators. It concludes by reflecting upon the implications of the policy recommendations of Annex 10</w:t>
      </w:r>
      <w:r w:rsidR="00555381">
        <w:t>, and developing a specific set of actions intended to deliver a set of social exclusion indicators reflecting the full breadth of the concept as a sound basis for more targeted interventions.</w:t>
      </w:r>
    </w:p>
    <w:p w:rsidR="00F2111E" w:rsidRDefault="00F2111E" w:rsidP="00F2111E"/>
    <w:p w:rsidR="00F2111E" w:rsidRDefault="00F2111E" w:rsidP="00F2111E">
      <w:pPr>
        <w:pStyle w:val="Otsikko1"/>
      </w:pPr>
      <w:bookmarkStart w:id="3" w:name="_Toc400373174"/>
      <w:r>
        <w:t>The process of monitoring and evaluation of EU social and cohesion policies</w:t>
      </w:r>
      <w:bookmarkEnd w:id="3"/>
    </w:p>
    <w:p w:rsidR="005021BF" w:rsidRPr="005E2C17" w:rsidRDefault="005021BF" w:rsidP="005021BF">
      <w:r w:rsidRPr="005E2C17">
        <w:t>TiPSE has touched upon two complex policy areas</w:t>
      </w:r>
      <w:r>
        <w:t>;</w:t>
      </w:r>
      <w:r w:rsidRPr="005E2C17">
        <w:t xml:space="preserve"> on the one hand social and employment policies, and on the other cohesion (regional) policies</w:t>
      </w:r>
      <w:r w:rsidR="00BA2914">
        <w:t>. It</w:t>
      </w:r>
      <w:r>
        <w:t xml:space="preserve"> also</w:t>
      </w:r>
      <w:r w:rsidR="00BA2914">
        <w:t xml:space="preserve"> </w:t>
      </w:r>
      <w:r w:rsidRPr="005E2C17">
        <w:t>re</w:t>
      </w:r>
      <w:r w:rsidR="00BA2914">
        <w:t>lates</w:t>
      </w:r>
      <w:r>
        <w:t>, to some extent,</w:t>
      </w:r>
      <w:r w:rsidRPr="005E2C17">
        <w:t xml:space="preserve"> to rural development policies. These policy areas have their own monitoring tools and procedures</w:t>
      </w:r>
      <w:r w:rsidR="00BA2914">
        <w:t>,</w:t>
      </w:r>
      <w:r w:rsidRPr="005E2C17">
        <w:t xml:space="preserve"> with a number of similarities and differences. </w:t>
      </w:r>
    </w:p>
    <w:p w:rsidR="005021BF" w:rsidRPr="005E2C17" w:rsidRDefault="005021BF" w:rsidP="005021BF">
      <w:r w:rsidRPr="005E2C17">
        <w:t xml:space="preserve">Starting with similarities, monitoring is embedded in </w:t>
      </w:r>
      <w:r>
        <w:t>all these policies</w:t>
      </w:r>
      <w:r w:rsidRPr="005E2C17">
        <w:t xml:space="preserve"> </w:t>
      </w:r>
      <w:r w:rsidR="00BA2914">
        <w:t>within</w:t>
      </w:r>
      <w:r w:rsidRPr="005E2C17">
        <w:t xml:space="preserve"> broader </w:t>
      </w:r>
      <w:r w:rsidR="00BA2914">
        <w:t xml:space="preserve">implementation </w:t>
      </w:r>
      <w:r w:rsidRPr="005E2C17">
        <w:t>contexts. It is a procedural task</w:t>
      </w:r>
      <w:r>
        <w:t>,</w:t>
      </w:r>
      <w:r w:rsidRPr="005E2C17">
        <w:t xml:space="preserve"> </w:t>
      </w:r>
      <w:r>
        <w:t>carried out</w:t>
      </w:r>
      <w:r w:rsidRPr="005E2C17">
        <w:t xml:space="preserve"> within the framework of theme-specific reporting on the implementation of the policies</w:t>
      </w:r>
      <w:r w:rsidR="00BA2914" w:rsidRPr="00BA2914">
        <w:t xml:space="preserve"> </w:t>
      </w:r>
      <w:r w:rsidR="00BA2914" w:rsidRPr="005E2C17">
        <w:t>concerned</w:t>
      </w:r>
      <w:r w:rsidRPr="005E2C17">
        <w:t>. The process and content of reporting</w:t>
      </w:r>
      <w:r>
        <w:t>,</w:t>
      </w:r>
      <w:r w:rsidRPr="005E2C17">
        <w:t xml:space="preserve"> </w:t>
      </w:r>
      <w:r>
        <w:t>and</w:t>
      </w:r>
      <w:r w:rsidRPr="005E2C17">
        <w:t xml:space="preserve"> the indicator</w:t>
      </w:r>
      <w:r>
        <w:t>s used</w:t>
      </w:r>
      <w:r w:rsidR="00BA2914">
        <w:t>,</w:t>
      </w:r>
      <w:r w:rsidRPr="005E2C17">
        <w:t xml:space="preserve"> are regulated by guidelines issued by the relevant bodies, (Commission of the European Communities 2003, 2005, 2008, European Commission, DG Regional Policy, DG Employment, Social Affairs and Equal Opportunities 2012, Social Protection Committee 2012b, 2012c) </w:t>
      </w:r>
    </w:p>
    <w:p w:rsidR="005021BF" w:rsidRPr="005E2C17" w:rsidRDefault="005021BF" w:rsidP="005021BF">
      <w:r w:rsidRPr="005E2C17">
        <w:t>Synthetic reports are issued annually</w:t>
      </w:r>
      <w:r>
        <w:t>.</w:t>
      </w:r>
      <w:r w:rsidRPr="005E2C17">
        <w:t xml:space="preserve"> </w:t>
      </w:r>
      <w:r>
        <w:t>T</w:t>
      </w:r>
      <w:r w:rsidRPr="005E2C17">
        <w:t>he annual report of Social Protection Committee cover</w:t>
      </w:r>
      <w:r>
        <w:t>s the</w:t>
      </w:r>
      <w:r w:rsidRPr="005E2C17">
        <w:t xml:space="preserve"> social situation in Europe and </w:t>
      </w:r>
      <w:r>
        <w:t xml:space="preserve">the </w:t>
      </w:r>
      <w:r w:rsidRPr="005E2C17">
        <w:t>impacts of the interventions of the member states (European Union 2014b)</w:t>
      </w:r>
      <w:r>
        <w:t>.</w:t>
      </w:r>
      <w:r w:rsidR="007C06BB">
        <w:t xml:space="preserve"> </w:t>
      </w:r>
      <w:r>
        <w:t>T</w:t>
      </w:r>
      <w:r w:rsidRPr="005E2C17">
        <w:t>he Commission’s Strategic Report</w:t>
      </w:r>
      <w:r w:rsidR="00BA2914">
        <w:t>,</w:t>
      </w:r>
      <w:r w:rsidRPr="005E2C17">
        <w:t xml:space="preserve"> issued for the first time in 2010, </w:t>
      </w:r>
      <w:r>
        <w:t>reports</w:t>
      </w:r>
      <w:r w:rsidRPr="005E2C17">
        <w:t xml:space="preserve"> to the European Parliament and the Council on the achievements of joint development efforts (European Commission 2013). Synthetic reports are elaborated by members of the working staff of the Commission and based on annual reports of the member states, National Social Reports (NSR), on the one hand, and Annual Implementation Reports (AIR), on the other. Timelines and division of labour between EU and MS are detailed in a recently issued Commission </w:t>
      </w:r>
      <w:r w:rsidRPr="005E2C17">
        <w:lastRenderedPageBreak/>
        <w:t xml:space="preserve">guideline for monitoring and evaluation </w:t>
      </w:r>
      <w:r>
        <w:t>(</w:t>
      </w:r>
      <w:r w:rsidRPr="005E2C17">
        <w:t>European Commission 2014, see also Appendix 1)</w:t>
      </w:r>
      <w:r>
        <w:t xml:space="preserve">. </w:t>
      </w:r>
      <w:r w:rsidRPr="005E2C17">
        <w:t>National Reform Programs</w:t>
      </w:r>
      <w:r w:rsidR="00443259">
        <w:rPr>
          <w:rStyle w:val="Alaviitteenviite"/>
        </w:rPr>
        <w:footnoteReference w:id="1"/>
      </w:r>
      <w:r w:rsidRPr="005E2C17">
        <w:t xml:space="preserve"> are also evaluated by both branches of reporting. Evaluators of social and cohesion policies are assisted by networks of independent experts who eval</w:t>
      </w:r>
      <w:r w:rsidR="00BA2914">
        <w:t>uate national reports on a year-by-</w:t>
      </w:r>
      <w:r w:rsidRPr="005E2C17">
        <w:t xml:space="preserve">year basis. Reports are evaluated individually by social policy experts whilst a synthetic annual report is prepared by cohesion policy experts. </w:t>
      </w:r>
    </w:p>
    <w:p w:rsidR="005021BF" w:rsidRDefault="005021BF" w:rsidP="005021BF">
      <w:r w:rsidRPr="005E2C17">
        <w:t>Carefully elaborated and commonly agreed sets of indicators are equally key co</w:t>
      </w:r>
      <w:r>
        <w:t>mponents</w:t>
      </w:r>
      <w:r w:rsidRPr="005E2C17">
        <w:t xml:space="preserve"> of monitoring and evaluation in both </w:t>
      </w:r>
      <w:r>
        <w:t>policy areas</w:t>
      </w:r>
      <w:r w:rsidRPr="005E2C17">
        <w:t xml:space="preserve">, though </w:t>
      </w:r>
      <w:r>
        <w:t xml:space="preserve">the </w:t>
      </w:r>
      <w:r w:rsidRPr="005E2C17">
        <w:t xml:space="preserve">indicators themselves are – of course – different. Peer reviewing is also part of the procedure aiming at mutual learning </w:t>
      </w:r>
      <w:r>
        <w:t>by</w:t>
      </w:r>
      <w:r w:rsidRPr="005E2C17">
        <w:t xml:space="preserve"> comparing, sharing and interpreting best-practices of policy tools applied in member states.</w:t>
      </w:r>
    </w:p>
    <w:p w:rsidR="005021BF" w:rsidRPr="005E2C17" w:rsidRDefault="005021BF" w:rsidP="005021BF">
      <w:r>
        <w:t>D</w:t>
      </w:r>
      <w:r w:rsidRPr="005E2C17">
        <w:t xml:space="preserve">ifferences </w:t>
      </w:r>
      <w:r>
        <w:t xml:space="preserve">in monitoring procedures </w:t>
      </w:r>
      <w:r w:rsidRPr="005E2C17">
        <w:t>derive</w:t>
      </w:r>
      <w:r>
        <w:t xml:space="preserve"> partly</w:t>
      </w:r>
      <w:r w:rsidRPr="005E2C17">
        <w:t xml:space="preserve"> from the nature of the policy fields being monitored; another part is related to the ‘maturity’ of the processes and institutions. </w:t>
      </w:r>
      <w:r>
        <w:t xml:space="preserve">The </w:t>
      </w:r>
      <w:r w:rsidRPr="005E2C17">
        <w:t xml:space="preserve">Open Method of Communication (OMC) as a framework and a tool for coordinating social policies of the Union </w:t>
      </w:r>
      <w:r>
        <w:t>within</w:t>
      </w:r>
      <w:r w:rsidRPr="005E2C17">
        <w:t xml:space="preserve"> a field otherwise under national responsibility</w:t>
      </w:r>
      <w:r>
        <w:t>,</w:t>
      </w:r>
      <w:r w:rsidRPr="005E2C17">
        <w:t xml:space="preserve"> was founded in the year of 2000 during the Lisbon Council meeting (Lisbon European Council 2000). The first set of commonly agreed indicators (Laeken indicators, see Appendix </w:t>
      </w:r>
      <w:r>
        <w:t>2</w:t>
      </w:r>
      <w:r w:rsidRPr="005E2C17">
        <w:t xml:space="preserve">,) was issued in 2001 (Commission of the European Union, Eurostat 2003)  </w:t>
      </w:r>
      <w:r>
        <w:t>T</w:t>
      </w:r>
      <w:r w:rsidRPr="005E2C17">
        <w:t>he Social Protection Committee  (SPC) was established by the Treaty on the Functioning of the EU (Article 160) in 2004 as the most important coordinating body of social policies. It monitors social protection policies of the member states and reports on social inclusion, health, long term care and pension</w:t>
      </w:r>
      <w:r w:rsidR="00BA2914">
        <w:t>s,</w:t>
      </w:r>
      <w:r w:rsidRPr="005E2C17">
        <w:t xml:space="preserve"> under </w:t>
      </w:r>
      <w:r w:rsidR="00BA2914">
        <w:t xml:space="preserve">the </w:t>
      </w:r>
      <w:r w:rsidRPr="005E2C17">
        <w:t xml:space="preserve">OMC. </w:t>
      </w:r>
      <w:r>
        <w:t xml:space="preserve">The </w:t>
      </w:r>
      <w:r w:rsidRPr="005E2C17">
        <w:rPr>
          <w:rFonts w:cs="Arial"/>
        </w:rPr>
        <w:t xml:space="preserve">SPC also issues reports </w:t>
      </w:r>
      <w:r>
        <w:rPr>
          <w:rFonts w:cs="Arial"/>
        </w:rPr>
        <w:t xml:space="preserve">and country specific recommendation in the context of the European Semester </w:t>
      </w:r>
      <w:r w:rsidRPr="005E2C17">
        <w:rPr>
          <w:rFonts w:cs="Arial"/>
        </w:rPr>
        <w:t xml:space="preserve">(For further information see </w:t>
      </w:r>
      <w:hyperlink r:id="rId18" w:history="1">
        <w:r w:rsidR="00BA2914" w:rsidRPr="00ED4D96">
          <w:rPr>
            <w:rStyle w:val="Hyperlinkki"/>
            <w:rFonts w:cs="Arial"/>
          </w:rPr>
          <w:t>http://ec.europa.eu/social/main.jsp?catId=758</w:t>
        </w:r>
      </w:hyperlink>
      <w:r w:rsidR="00BA2914">
        <w:rPr>
          <w:rFonts w:cs="Arial"/>
          <w:color w:val="454545"/>
        </w:rPr>
        <w:t xml:space="preserve"> </w:t>
      </w:r>
      <w:r w:rsidRPr="005E2C17">
        <w:rPr>
          <w:rFonts w:cs="Arial"/>
        </w:rPr>
        <w:t>)</w:t>
      </w:r>
    </w:p>
    <w:p w:rsidR="005021BF" w:rsidRPr="005E2C17" w:rsidRDefault="005021BF" w:rsidP="005021BF">
      <w:r>
        <w:t>The</w:t>
      </w:r>
      <w:r w:rsidRPr="005E2C17">
        <w:t xml:space="preserve"> OMC was streamlined </w:t>
      </w:r>
      <w:r w:rsidRPr="00AE0AEC">
        <w:t>between 2006 and 2008 with the active participation of the Indicator Sub-Group (ISG)</w:t>
      </w:r>
      <w:r w:rsidR="002A6210" w:rsidRPr="00AE0AEC">
        <w:t xml:space="preserve"> of SPC</w:t>
      </w:r>
      <w:r w:rsidRPr="00AE0AEC">
        <w:t xml:space="preserve"> responsible for updating and developing the entire set of indicators. 2008 was the year when the so called </w:t>
      </w:r>
      <w:r w:rsidR="00BA2914" w:rsidRPr="00AE0AEC">
        <w:t>“</w:t>
      </w:r>
      <w:r w:rsidRPr="00AE0AEC">
        <w:t>overarching</w:t>
      </w:r>
      <w:r w:rsidR="00BA2914" w:rsidRPr="00AE0AEC">
        <w:t>”</w:t>
      </w:r>
      <w:r w:rsidRPr="00AE0AEC">
        <w:t xml:space="preserve"> indicators were issued (Appendix 3) (Commission of the European Communities 2008). The OMC indicators, including overarching ones, </w:t>
      </w:r>
      <w:r w:rsidR="007C06BB" w:rsidRPr="00AE0AEC">
        <w:t xml:space="preserve">do not produce regional data at all </w:t>
      </w:r>
      <w:r w:rsidRPr="00AE0AEC">
        <w:t>except one indicator that measures overall regional disparities within regions, which is available at NUTS 2 and NUTS 3 levels. (Indicator no 13 of overarching indicators</w:t>
      </w:r>
      <w:r w:rsidRPr="005E2C17">
        <w:t xml:space="preserve"> called Regional disparities measured by a coefficient of variation of employment rates.)</w:t>
      </w:r>
    </w:p>
    <w:p w:rsidR="005021BF" w:rsidRPr="00AE0AEC" w:rsidRDefault="005021BF" w:rsidP="005021BF">
      <w:r w:rsidRPr="005E2C17">
        <w:t xml:space="preserve">The 2012 </w:t>
      </w:r>
      <w:r>
        <w:t xml:space="preserve">the </w:t>
      </w:r>
      <w:r w:rsidRPr="005E2C17">
        <w:t xml:space="preserve">Social Protection Performance Monitor (SPPM) was issued by the Indicator Subgroup of Social Protection Committee (SPC) in 2012 (Social Protection </w:t>
      </w:r>
      <w:r w:rsidRPr="005E2C17">
        <w:lastRenderedPageBreak/>
        <w:t>Committee 2012</w:t>
      </w:r>
      <w:r>
        <w:t>c</w:t>
      </w:r>
      <w:r w:rsidRPr="005E2C17">
        <w:t xml:space="preserve">.) as a response to </w:t>
      </w:r>
      <w:r w:rsidRPr="00AE0AEC">
        <w:t>the request of the 2011 EPSCO</w:t>
      </w:r>
      <w:r w:rsidR="00870852" w:rsidRPr="00AE0AEC">
        <w:rPr>
          <w:rStyle w:val="Alaviitteenviite"/>
        </w:rPr>
        <w:footnoteReference w:id="2"/>
      </w:r>
      <w:r w:rsidRPr="00AE0AEC">
        <w:t>[1] council meeting to make further efforts to improve the mechanisms for the implementation of National Reform Programs (NRPs), country specific recommendations and Euro Plus Pact</w:t>
      </w:r>
      <w:r w:rsidR="00DF5496" w:rsidRPr="00AE0AEC">
        <w:rPr>
          <w:rStyle w:val="Alaviitteenviite"/>
        </w:rPr>
        <w:footnoteReference w:id="3"/>
      </w:r>
      <w:r w:rsidRPr="00AE0AEC">
        <w:t xml:space="preserve"> commitments within the area of employment, labour market and social protection. SPPM aims at connecting the EU 2020 targets with indicators of the three strands of the OMC</w:t>
      </w:r>
      <w:r w:rsidR="00DF5496" w:rsidRPr="00AE0AEC">
        <w:rPr>
          <w:rStyle w:val="Alaviitteenviite"/>
        </w:rPr>
        <w:footnoteReference w:id="4"/>
      </w:r>
      <w:r w:rsidRPr="00AE0AEC">
        <w:t>. The new outputs were published first in 2013 as parts of the annual report of the SPC for 2012, and further developed in the next year. (Appendix 4) Detailed country profiles based on the so called ‘dashboard’ indicators are also part of the statistical Annex of the annual reports. (European Union 2014b)</w:t>
      </w:r>
    </w:p>
    <w:p w:rsidR="005E5E82" w:rsidRPr="00AE0AEC" w:rsidRDefault="005021BF" w:rsidP="005021BF">
      <w:r w:rsidRPr="00AE0AEC">
        <w:t>Cohesion policy is one of the European Union’s “hard” and common policies co-financed by the Community and the member states, targeting territorial cohesion. Therefore, the primary goal in case of cohesion policy is to monitor and evaluate the achievements of the commonly approved policy goals and instruments framed by the hierarchy of programming documents, and supported by one or more the Europea</w:t>
      </w:r>
      <w:r w:rsidR="00750FBE" w:rsidRPr="00AE0AEC">
        <w:t>n Social and Investment Funds. In this context</w:t>
      </w:r>
      <w:r w:rsidRPr="00AE0AEC">
        <w:t xml:space="preserve">, a toolkit has been developed to measure and interpret development efforts and their impacts. The broader assessment of the impacts of policy interventions is regularly performed by </w:t>
      </w:r>
      <w:r w:rsidR="00750FBE" w:rsidRPr="00AE0AEC">
        <w:t xml:space="preserve">the </w:t>
      </w:r>
      <w:r w:rsidRPr="00AE0AEC">
        <w:t>Directorate General for Economic and Financial Affairs (DG EFCIN)</w:t>
      </w:r>
      <w:r w:rsidR="00750FBE" w:rsidRPr="00AE0AEC">
        <w:t>,</w:t>
      </w:r>
      <w:r w:rsidRPr="00AE0AEC">
        <w:t xml:space="preserve"> </w:t>
      </w:r>
      <w:r w:rsidR="00750FBE" w:rsidRPr="00AE0AEC">
        <w:t>which is</w:t>
      </w:r>
      <w:r w:rsidRPr="00AE0AEC">
        <w:t xml:space="preserve"> responsible for developing guidelines and developing policy proposals. </w:t>
      </w:r>
    </w:p>
    <w:p w:rsidR="005021BF" w:rsidRPr="005E2C17" w:rsidRDefault="005021BF" w:rsidP="005021BF">
      <w:r w:rsidRPr="00AE0AEC">
        <w:t xml:space="preserve">The monitoring procedure within DG Regional Policy was crystallised in </w:t>
      </w:r>
      <w:r w:rsidR="005E5E82" w:rsidRPr="00AE0AEC">
        <w:t>the 2000-</w:t>
      </w:r>
      <w:r w:rsidRPr="00AE0AEC">
        <w:t xml:space="preserve">2006 </w:t>
      </w:r>
      <w:r w:rsidR="005E5E82" w:rsidRPr="00AE0AEC">
        <w:t xml:space="preserve">programming period, when the </w:t>
      </w:r>
      <w:r w:rsidRPr="00AE0AEC">
        <w:t xml:space="preserve">set of Commonly Agreed Indicators </w:t>
      </w:r>
      <w:r w:rsidR="005E5E82" w:rsidRPr="00AE0AEC">
        <w:t xml:space="preserve">was composed </w:t>
      </w:r>
      <w:r w:rsidRPr="00AE0AEC">
        <w:t>(Appendix 5). (European Commission DG Regional Policy and Cohesion 2006) The above mentioned scheme of reporting was instituted during the 2007-2013 programming period. Cohesion reports are is</w:t>
      </w:r>
      <w:r w:rsidR="00750FBE" w:rsidRPr="00AE0AEC">
        <w:t>sued</w:t>
      </w:r>
      <w:r w:rsidRPr="00AE0AEC">
        <w:t xml:space="preserve"> every three years (the last is the</w:t>
      </w:r>
      <w:r w:rsidRPr="005E2C17">
        <w:t xml:space="preserve"> 6</w:t>
      </w:r>
      <w:r w:rsidRPr="005E2C17">
        <w:rPr>
          <w:vertAlign w:val="superscript"/>
        </w:rPr>
        <w:t>th</w:t>
      </w:r>
      <w:r w:rsidRPr="005E2C17">
        <w:t xml:space="preserve"> of July 2014 – European Union 2014a) with midterm progress reports in between</w:t>
      </w:r>
      <w:r>
        <w:t>.</w:t>
      </w:r>
      <w:r w:rsidRPr="005E2C17">
        <w:t xml:space="preserve"> </w:t>
      </w:r>
      <w:r>
        <w:t>T</w:t>
      </w:r>
      <w:r w:rsidRPr="005E2C17">
        <w:t xml:space="preserve">hey are the most important synthetic documents dealing with territorial processes and progress made in terms of economic and social cohesion of Europe. </w:t>
      </w:r>
    </w:p>
    <w:p w:rsidR="005E5E82" w:rsidRDefault="005E5E82">
      <w:pPr>
        <w:spacing w:before="0"/>
      </w:pPr>
      <w:r>
        <w:br w:type="page"/>
      </w:r>
    </w:p>
    <w:p w:rsidR="00F2111E" w:rsidRDefault="00750FBE" w:rsidP="00F2111E">
      <w:pPr>
        <w:pStyle w:val="Otsikko1"/>
      </w:pPr>
      <w:bookmarkStart w:id="4" w:name="_Toc400373175"/>
      <w:r>
        <w:lastRenderedPageBreak/>
        <w:t xml:space="preserve">Poverty and Social Exclusion </w:t>
      </w:r>
      <w:r w:rsidR="00F2111E">
        <w:t xml:space="preserve">indicators </w:t>
      </w:r>
      <w:r w:rsidR="00707EAA">
        <w:t>disseminated</w:t>
      </w:r>
      <w:r w:rsidR="00F2111E">
        <w:t xml:space="preserve"> by Eurostat</w:t>
      </w:r>
      <w:bookmarkEnd w:id="4"/>
    </w:p>
    <w:p w:rsidR="00F2111E" w:rsidRDefault="00F2111E" w:rsidP="00F2111E"/>
    <w:p w:rsidR="005021BF" w:rsidRPr="005E2C17" w:rsidRDefault="00AE0AEC" w:rsidP="005021BF">
      <w:r w:rsidRPr="00AE0AEC">
        <w:t>M</w:t>
      </w:r>
      <w:r w:rsidR="00C13489" w:rsidRPr="00AE0AEC">
        <w:t xml:space="preserve">onitoring of </w:t>
      </w:r>
      <w:r w:rsidR="005021BF" w:rsidRPr="00AE0AEC">
        <w:t xml:space="preserve">the complex phenomenon of poverty and social exclusion Eurostat </w:t>
      </w:r>
      <w:r w:rsidR="00707EAA" w:rsidRPr="00AE0AEC">
        <w:t>relies on two</w:t>
      </w:r>
      <w:r w:rsidR="00C13489" w:rsidRPr="00AE0AEC">
        <w:t xml:space="preserve"> Europe-wide surveys,</w:t>
      </w:r>
      <w:r w:rsidR="00707EAA" w:rsidRPr="00AE0AEC">
        <w:t xml:space="preserve"> the </w:t>
      </w:r>
      <w:r w:rsidR="005021BF" w:rsidRPr="00AE0AEC">
        <w:t xml:space="preserve">Statistics on Income and Living Conditions </w:t>
      </w:r>
      <w:r w:rsidR="00707EAA" w:rsidRPr="00AE0AEC">
        <w:t>(SILC) and Labour Force Survey (</w:t>
      </w:r>
      <w:r w:rsidR="005021BF" w:rsidRPr="00AE0AEC">
        <w:t xml:space="preserve">LFS). The most important advantage of using survey data derives from their </w:t>
      </w:r>
      <w:r w:rsidR="00707EAA" w:rsidRPr="00AE0AEC">
        <w:t>more complete</w:t>
      </w:r>
      <w:r w:rsidR="005021BF" w:rsidRPr="00AE0AEC">
        <w:t xml:space="preserve"> harmonisation and strong relevance (adequacy) concerning the aspects of poverty and social exclusion. However, </w:t>
      </w:r>
      <w:r w:rsidR="00707EAA" w:rsidRPr="00AE0AEC">
        <w:t xml:space="preserve">the </w:t>
      </w:r>
      <w:r w:rsidR="005021BF" w:rsidRPr="00AE0AEC">
        <w:t xml:space="preserve">coverage of </w:t>
      </w:r>
      <w:r w:rsidR="00707EAA" w:rsidRPr="00AE0AEC">
        <w:t xml:space="preserve">different aspects of </w:t>
      </w:r>
      <w:r w:rsidR="006425F0">
        <w:t>P&amp;SE</w:t>
      </w:r>
      <w:r w:rsidR="00707EAA" w:rsidRPr="00AE0AEC">
        <w:t xml:space="preserve"> (the domains and dimensions defined in Annex 1 and Annex 6),</w:t>
      </w:r>
      <w:r w:rsidR="005021BF" w:rsidRPr="00AE0AEC">
        <w:t xml:space="preserve"> at least in case of published indicators – </w:t>
      </w:r>
      <w:r w:rsidR="00707EAA" w:rsidRPr="00AE0AEC">
        <w:t>is patchy and unbalanced</w:t>
      </w:r>
      <w:r w:rsidR="005021BF" w:rsidRPr="00AE0AEC">
        <w:t xml:space="preserve">: </w:t>
      </w:r>
      <w:r w:rsidR="00707EAA" w:rsidRPr="00AE0AEC">
        <w:t>F</w:t>
      </w:r>
      <w:r w:rsidR="005021BF" w:rsidRPr="00AE0AEC">
        <w:t xml:space="preserve">or example, there </w:t>
      </w:r>
      <w:r w:rsidR="00707EAA" w:rsidRPr="00AE0AEC">
        <w:t>are no indicators</w:t>
      </w:r>
      <w:r w:rsidR="005021BF" w:rsidRPr="00AE0AEC">
        <w:t xml:space="preserve"> </w:t>
      </w:r>
      <w:r w:rsidR="00707EAA" w:rsidRPr="00AE0AEC">
        <w:t>relating to</w:t>
      </w:r>
      <w:r w:rsidR="005021BF" w:rsidRPr="00AE0AEC">
        <w:t xml:space="preserve"> political participa</w:t>
      </w:r>
      <w:r w:rsidR="00707EAA" w:rsidRPr="00AE0AEC">
        <w:t xml:space="preserve">tion. </w:t>
      </w:r>
      <w:r w:rsidR="005021BF" w:rsidRPr="00AE0AEC">
        <w:t xml:space="preserve">The </w:t>
      </w:r>
      <w:r w:rsidR="00707EAA" w:rsidRPr="00AE0AEC">
        <w:t xml:space="preserve">other </w:t>
      </w:r>
      <w:r w:rsidR="005021BF" w:rsidRPr="00AE0AEC">
        <w:t xml:space="preserve">disadvantages of </w:t>
      </w:r>
      <w:r w:rsidR="00707EAA" w:rsidRPr="00AE0AEC">
        <w:t xml:space="preserve">relying on </w:t>
      </w:r>
      <w:r w:rsidR="005021BF" w:rsidRPr="00AE0AEC">
        <w:t xml:space="preserve">survey data are related to limitations concerning territorial </w:t>
      </w:r>
      <w:r w:rsidR="00707EAA" w:rsidRPr="00AE0AEC">
        <w:t>detail</w:t>
      </w:r>
      <w:r w:rsidR="005021BF" w:rsidRPr="00AE0AEC">
        <w:t xml:space="preserve">. Since financial resources are usually limited, the size of national samples allows for NUTS 2 analysis at best, </w:t>
      </w:r>
      <w:r w:rsidR="003D0638" w:rsidRPr="00AE0AEC">
        <w:t>and</w:t>
      </w:r>
      <w:r w:rsidR="005021BF" w:rsidRPr="00AE0AEC">
        <w:t xml:space="preserve"> samples vary in size among the member states.</w:t>
      </w:r>
      <w:r w:rsidR="005021BF" w:rsidRPr="005E2C17">
        <w:t xml:space="preserve"> Th</w:t>
      </w:r>
      <w:r w:rsidR="003D0638">
        <w:t>us full</w:t>
      </w:r>
      <w:r w:rsidR="005021BF" w:rsidRPr="005E2C17">
        <w:t xml:space="preserve"> NUTS 2 level data availability is restricted to </w:t>
      </w:r>
      <w:r w:rsidR="003D0638">
        <w:t>the</w:t>
      </w:r>
      <w:r w:rsidR="005021BF" w:rsidRPr="005E2C17">
        <w:t xml:space="preserve"> LFS, whilst SILC allows for NUTS 2 indicators only in </w:t>
      </w:r>
      <w:r w:rsidR="003D0638">
        <w:t>the</w:t>
      </w:r>
      <w:r w:rsidR="005021BF" w:rsidRPr="005E2C17">
        <w:t xml:space="preserve"> limited number of countries </w:t>
      </w:r>
      <w:r w:rsidR="003D0638">
        <w:t>(</w:t>
      </w:r>
      <w:r w:rsidR="005021BF" w:rsidRPr="005E2C17">
        <w:t>detailed below</w:t>
      </w:r>
      <w:r w:rsidR="003D0638">
        <w:t>)</w:t>
      </w:r>
      <w:r w:rsidR="005021BF" w:rsidRPr="005E2C17">
        <w:t xml:space="preserve">. </w:t>
      </w:r>
    </w:p>
    <w:p w:rsidR="003D0638" w:rsidRDefault="005021BF" w:rsidP="005021BF">
      <w:r w:rsidRPr="005E2C17">
        <w:t xml:space="preserve">The four survey-based key indicators </w:t>
      </w:r>
      <w:r w:rsidR="00E8707C">
        <w:t>which</w:t>
      </w:r>
      <w:r w:rsidRPr="005E2C17">
        <w:t xml:space="preserve"> are the most relevant from the point of view of TiPSE themes, </w:t>
      </w:r>
      <w:r w:rsidR="003D0638">
        <w:t>are</w:t>
      </w:r>
      <w:r w:rsidRPr="005E2C17">
        <w:t xml:space="preserve"> </w:t>
      </w:r>
      <w:r w:rsidR="00E8707C">
        <w:t>derived</w:t>
      </w:r>
      <w:r w:rsidRPr="005E2C17">
        <w:t xml:space="preserve"> from EU-SILC data: </w:t>
      </w:r>
    </w:p>
    <w:p w:rsidR="003D0638" w:rsidRDefault="003D0638" w:rsidP="003D0638">
      <w:pPr>
        <w:pStyle w:val="Luettelokappale"/>
        <w:numPr>
          <w:ilvl w:val="0"/>
          <w:numId w:val="11"/>
        </w:numPr>
      </w:pPr>
      <w:r>
        <w:t>A</w:t>
      </w:r>
      <w:r w:rsidR="005021BF" w:rsidRPr="005E2C17">
        <w:t>t risk of poverty rate (ARoP [ilc_li41])</w:t>
      </w:r>
      <w:r w:rsidR="005021BF" w:rsidRPr="005E2C17">
        <w:rPr>
          <w:rStyle w:val="Alaviitteenviite"/>
        </w:rPr>
        <w:footnoteReference w:id="5"/>
      </w:r>
      <w:r>
        <w:t>.</w:t>
      </w:r>
    </w:p>
    <w:p w:rsidR="003D0638" w:rsidRDefault="003D0638" w:rsidP="003D0638">
      <w:pPr>
        <w:pStyle w:val="Luettelokappale"/>
        <w:numPr>
          <w:ilvl w:val="0"/>
          <w:numId w:val="11"/>
        </w:numPr>
      </w:pPr>
      <w:r>
        <w:t>S</w:t>
      </w:r>
      <w:r w:rsidR="005021BF" w:rsidRPr="005E2C17">
        <w:t>hare of people living in households with very low work intensity [ilc_lvhl21]</w:t>
      </w:r>
      <w:r w:rsidR="005021BF" w:rsidRPr="005E2C17">
        <w:rPr>
          <w:rStyle w:val="Alaviitteenviite"/>
        </w:rPr>
        <w:footnoteReference w:id="6"/>
      </w:r>
      <w:r>
        <w:t>.</w:t>
      </w:r>
    </w:p>
    <w:p w:rsidR="003D0638" w:rsidRDefault="003D0638" w:rsidP="003D0638">
      <w:pPr>
        <w:pStyle w:val="Luettelokappale"/>
        <w:numPr>
          <w:ilvl w:val="0"/>
          <w:numId w:val="11"/>
        </w:numPr>
      </w:pPr>
      <w:r>
        <w:t>S</w:t>
      </w:r>
      <w:r w:rsidR="005021BF" w:rsidRPr="005E2C17">
        <w:t>evere material deprivation [ilc_mddd21]</w:t>
      </w:r>
      <w:r w:rsidR="005021BF" w:rsidRPr="005E2C17">
        <w:rPr>
          <w:rStyle w:val="Alaviitteenviite"/>
        </w:rPr>
        <w:footnoteReference w:id="7"/>
      </w:r>
      <w:r>
        <w:t>.</w:t>
      </w:r>
    </w:p>
    <w:p w:rsidR="003D0638" w:rsidRDefault="003D0638" w:rsidP="003D0638">
      <w:pPr>
        <w:pStyle w:val="Luettelokappale"/>
        <w:numPr>
          <w:ilvl w:val="0"/>
          <w:numId w:val="11"/>
        </w:numPr>
      </w:pPr>
      <w:r>
        <w:t>A</w:t>
      </w:r>
      <w:r w:rsidR="005021BF" w:rsidRPr="005E2C17">
        <w:t>t risk of poverty rate or social exclusion – hereinafter ARoPE</w:t>
      </w:r>
      <w:r>
        <w:t>, which combines the first three</w:t>
      </w:r>
      <w:r w:rsidR="005021BF" w:rsidRPr="005E2C17">
        <w:t xml:space="preserve"> [ilc_peps11])</w:t>
      </w:r>
      <w:r w:rsidR="005021BF" w:rsidRPr="005E2C17">
        <w:rPr>
          <w:rStyle w:val="Alaviitteenviite"/>
        </w:rPr>
        <w:footnoteReference w:id="8"/>
      </w:r>
      <w:r w:rsidR="005021BF" w:rsidRPr="005E2C17">
        <w:t xml:space="preserve">. </w:t>
      </w:r>
    </w:p>
    <w:p w:rsidR="003D0638" w:rsidRDefault="005021BF" w:rsidP="005021BF">
      <w:r w:rsidRPr="005E2C17">
        <w:t>Together with ‘Life expectancy at a given exact age by gender’ [demo_r_mlifexp] the indi</w:t>
      </w:r>
      <w:r w:rsidR="00E8707C">
        <w:t xml:space="preserve">cators above make up the group </w:t>
      </w:r>
      <w:r w:rsidR="00E8707C" w:rsidRPr="005E2C17">
        <w:t>of Euro</w:t>
      </w:r>
      <w:r w:rsidR="00E8707C">
        <w:t>stat</w:t>
      </w:r>
      <w:r w:rsidR="00E8707C" w:rsidRPr="005E2C17">
        <w:t xml:space="preserve"> </w:t>
      </w:r>
      <w:r w:rsidRPr="005E2C17">
        <w:t>‘Inclusive growth indicators’</w:t>
      </w:r>
      <w:r w:rsidR="003D0638">
        <w:t>.</w:t>
      </w:r>
    </w:p>
    <w:p w:rsidR="00891E41" w:rsidRPr="005E2C17" w:rsidRDefault="00891E41" w:rsidP="00891E41">
      <w:r>
        <w:lastRenderedPageBreak/>
        <w:t>All three</w:t>
      </w:r>
      <w:r w:rsidRPr="005E2C17">
        <w:t xml:space="preserve"> indicators </w:t>
      </w:r>
      <w:r>
        <w:t>which make up the Eurostat AROPE index align with</w:t>
      </w:r>
      <w:r w:rsidRPr="005E2C17">
        <w:t xml:space="preserve"> the first domain of TiPSE </w:t>
      </w:r>
      <w:r>
        <w:t xml:space="preserve">definition of social exclusion. As such the AROPE index could be viewed as relatively narrow, covering only part of the spectrum of social exclusion phenomena. However this apparent restriction is almost certainly a consequence of data constraints, rather than underlying theory. It seems likely that there is an implicit assumption of an association between the first domain and the other three </w:t>
      </w:r>
      <w:r w:rsidRPr="005E2C17">
        <w:t xml:space="preserve">domains (and </w:t>
      </w:r>
      <w:r>
        <w:t xml:space="preserve">constituent </w:t>
      </w:r>
      <w:r w:rsidRPr="005E2C17">
        <w:t xml:space="preserve">dimensions) of social exclusion.  The relationship </w:t>
      </w:r>
      <w:r>
        <w:t>would probably look</w:t>
      </w:r>
      <w:r w:rsidRPr="005E2C17">
        <w:t xml:space="preserve"> like this: if people are virtually jobless, severely deprived and poor, they are likely excluded from other amenities of the society (access to services), they also probably live in disadvantaged neighbourhoods (social environment) and all these negative aspects confine them in </w:t>
      </w:r>
      <w:r>
        <w:t xml:space="preserve">terms of </w:t>
      </w:r>
      <w:r w:rsidRPr="005E2C17">
        <w:t xml:space="preserve">political participation. </w:t>
      </w:r>
      <w:r>
        <w:t xml:space="preserve">The problem with this assumption is that the mapping of proxy variables for social exclusion which is described in Section </w:t>
      </w:r>
      <w:r w:rsidR="0010576D">
        <w:t>4.2</w:t>
      </w:r>
      <w:r>
        <w:t xml:space="preserve"> suggests that the different aspects of social e</w:t>
      </w:r>
      <w:r w:rsidR="0010576D">
        <w:t>x</w:t>
      </w:r>
      <w:r>
        <w:t>clusion are in fact quite poorly spatially correlated. Different dimensions of exclusion seem to have different spatial distributions, and they are not necessarily closely related to income poverty, as measured by the AROP rate.</w:t>
      </w:r>
    </w:p>
    <w:p w:rsidR="00E8707C" w:rsidRDefault="00891E41" w:rsidP="005021BF">
      <w:r>
        <w:t>Thus</w:t>
      </w:r>
      <w:r w:rsidR="00E8707C">
        <w:t xml:space="preserve"> the findings of the TiPSE project, especially the case studies (Annexes 2-3), </w:t>
      </w:r>
      <w:r w:rsidR="004A11D8">
        <w:t>(</w:t>
      </w:r>
      <w:r w:rsidR="00E8707C">
        <w:t>which highlighted the diversity of social exclusion processes</w:t>
      </w:r>
      <w:r w:rsidR="004A11D8">
        <w:t>)</w:t>
      </w:r>
      <w:r w:rsidR="00E8707C">
        <w:t xml:space="preserve">, and the exercises in mapping indicators of social exclusion (Annexes 6 and 8), </w:t>
      </w:r>
      <w:r w:rsidR="00657299">
        <w:t xml:space="preserve">highlight the narrow focus of </w:t>
      </w:r>
      <w:r w:rsidR="00E8707C">
        <w:t xml:space="preserve">the </w:t>
      </w:r>
      <w:r w:rsidR="00657299">
        <w:t xml:space="preserve">key </w:t>
      </w:r>
      <w:r w:rsidR="00E8707C">
        <w:t xml:space="preserve">Eurostat indicators </w:t>
      </w:r>
      <w:r w:rsidR="00E8707C" w:rsidRPr="00DE0A4B">
        <w:t>upon income poverty and material deprivation. Other aspects of exclusion</w:t>
      </w:r>
      <w:r w:rsidR="00657299">
        <w:t>, and their specific spatial distributions,</w:t>
      </w:r>
      <w:r w:rsidR="00E8707C" w:rsidRPr="00DE0A4B">
        <w:t xml:space="preserve"> are not captured. This </w:t>
      </w:r>
      <w:r w:rsidR="00657299">
        <w:t>could perhaps be addressed by</w:t>
      </w:r>
      <w:r w:rsidR="00E8707C" w:rsidRPr="00DE0A4B">
        <w:t xml:space="preserve"> a broadening of the remit of the SILC survey, or perhaps the development of a dedicated survey specifically designed to reveal exclusion in terms of the </w:t>
      </w:r>
      <w:r w:rsidR="00574F6B" w:rsidRPr="00DE0A4B">
        <w:t>full set of domains and dimensions</w:t>
      </w:r>
      <w:r w:rsidR="00FB0AAC" w:rsidRPr="00DE0A4B">
        <w:t xml:space="preserve"> of social exclusion</w:t>
      </w:r>
      <w:r w:rsidR="00574F6B" w:rsidRPr="00DE0A4B">
        <w:t>. To a limited extent, and on an irregular basis these are addressed by surveys such as the Eurobarometer</w:t>
      </w:r>
      <w:r w:rsidR="004A11D8" w:rsidRPr="00DE0A4B">
        <w:rPr>
          <w:rStyle w:val="Alaviitteenviite"/>
        </w:rPr>
        <w:footnoteReference w:id="9"/>
      </w:r>
      <w:r w:rsidR="004A11D8" w:rsidRPr="00DE0A4B">
        <w:t>, or the European Social Survey</w:t>
      </w:r>
      <w:r w:rsidR="004A11D8" w:rsidRPr="00DE0A4B">
        <w:rPr>
          <w:rStyle w:val="Alaviitteenviite"/>
        </w:rPr>
        <w:footnoteReference w:id="10"/>
      </w:r>
      <w:r w:rsidR="004A11D8" w:rsidRPr="00DE0A4B">
        <w:t>.</w:t>
      </w:r>
      <w:r w:rsidR="00574F6B">
        <w:t xml:space="preserve"> </w:t>
      </w:r>
    </w:p>
    <w:p w:rsidR="005021BF" w:rsidRPr="005E2C17" w:rsidRDefault="004A11D8" w:rsidP="005021BF">
      <w:r>
        <w:t xml:space="preserve">The second aspect where there is scope for improvement in monitoring of </w:t>
      </w:r>
      <w:r w:rsidR="006425F0">
        <w:t>P&amp;SE</w:t>
      </w:r>
      <w:r>
        <w:t xml:space="preserve"> is in terms of regional disaggregation. </w:t>
      </w:r>
      <w:r w:rsidR="003D0638" w:rsidRPr="005E2C17">
        <w:t>NUT</w:t>
      </w:r>
      <w:r w:rsidR="003D0638">
        <w:t>S</w:t>
      </w:r>
      <w:r w:rsidR="003D0638" w:rsidRPr="005E2C17">
        <w:t xml:space="preserve"> 2 level availability </w:t>
      </w:r>
      <w:r w:rsidR="003D0638">
        <w:t xml:space="preserve">for the </w:t>
      </w:r>
      <w:r w:rsidR="005021BF" w:rsidRPr="005E2C17">
        <w:t xml:space="preserve">EU SILC-based indicators is </w:t>
      </w:r>
      <w:r w:rsidR="003D0638">
        <w:t>restricted to</w:t>
      </w:r>
      <w:r w:rsidR="005021BF" w:rsidRPr="005E2C17">
        <w:t xml:space="preserve"> nine countries (Bulgaria, Czech Republic, Slovakia, Slovenia, Italy, Spain, Ireland, Sweden, Norway, Finland partly), NUTS 1 level data are published for four member states (Hungary, Greece, the Netherlands and Poland) whilst for five countries only NUTS 0 level data is available either for 2012 or 2013 (France, Germany, Croatia, UK, Portugal). </w:t>
      </w:r>
      <w:r w:rsidR="003D0638">
        <w:t>Ensuring</w:t>
      </w:r>
      <w:r w:rsidR="005021BF" w:rsidRPr="005E2C17">
        <w:t xml:space="preserve"> availability </w:t>
      </w:r>
      <w:r w:rsidR="003D0638">
        <w:t xml:space="preserve">at </w:t>
      </w:r>
      <w:r w:rsidR="003D0638" w:rsidRPr="005E2C17">
        <w:t xml:space="preserve">NUTS-2 </w:t>
      </w:r>
      <w:r w:rsidR="005021BF" w:rsidRPr="005E2C17">
        <w:t>of a wide</w:t>
      </w:r>
      <w:r w:rsidR="003D0638">
        <w:t>r</w:t>
      </w:r>
      <w:r w:rsidR="005021BF" w:rsidRPr="005E2C17">
        <w:t xml:space="preserve"> range of </w:t>
      </w:r>
      <w:r w:rsidR="006425F0">
        <w:t>P&amp;SE</w:t>
      </w:r>
      <w:r w:rsidR="005021BF" w:rsidRPr="005E2C17">
        <w:t xml:space="preserve"> indicators </w:t>
      </w:r>
      <w:r w:rsidR="003D0638">
        <w:t>through</w:t>
      </w:r>
      <w:r w:rsidR="005021BF" w:rsidRPr="005E2C17">
        <w:t xml:space="preserve"> </w:t>
      </w:r>
      <w:r w:rsidR="00C13489">
        <w:t>larger</w:t>
      </w:r>
      <w:r w:rsidR="005021BF" w:rsidRPr="005E2C17">
        <w:t xml:space="preserve"> SILC samples would be </w:t>
      </w:r>
      <w:r w:rsidR="00C13489">
        <w:t>very beneficial, but has so far not proved possible, presumably due to financial constraints.</w:t>
      </w:r>
      <w:r w:rsidR="005021BF" w:rsidRPr="005E2C17">
        <w:t xml:space="preserve"> </w:t>
      </w:r>
      <w:r>
        <w:t>The Eurobarometer and ESS surveys have a similar limited, and inconsistent (between countries) degree of regional disaggregation.</w:t>
      </w:r>
    </w:p>
    <w:p w:rsidR="00F2111E" w:rsidRDefault="00F2111E" w:rsidP="00F2111E">
      <w:pPr>
        <w:pStyle w:val="Otsikko1"/>
      </w:pPr>
      <w:bookmarkStart w:id="5" w:name="_Toc400373176"/>
      <w:r>
        <w:lastRenderedPageBreak/>
        <w:t>Measuring poverty and social exclusion, approaches in TiPSE</w:t>
      </w:r>
      <w:bookmarkEnd w:id="5"/>
    </w:p>
    <w:p w:rsidR="00F2111E" w:rsidRDefault="00F2111E" w:rsidP="00F2111E"/>
    <w:p w:rsidR="00C23870" w:rsidRDefault="00C23870" w:rsidP="005021BF">
      <w:r>
        <w:t>In this section we turn from reviewing the strengths and weaknesses of existing monitoring of poverty and social exclusion, to consider what opportunities are revealed and lessons learned, by the mapping tasks carried out within the context of TiPSE.</w:t>
      </w:r>
      <w:r w:rsidR="005021BF" w:rsidRPr="005E2C17">
        <w:t xml:space="preserve"> </w:t>
      </w:r>
      <w:r>
        <w:t>The first of these focused on at-risk-of-</w:t>
      </w:r>
      <w:r w:rsidR="005021BF" w:rsidRPr="005E2C17">
        <w:t xml:space="preserve">poverty </w:t>
      </w:r>
      <w:r>
        <w:t xml:space="preserve">(ARoP) </w:t>
      </w:r>
      <w:r w:rsidR="00BF55DB">
        <w:t xml:space="preserve">rate </w:t>
      </w:r>
      <w:r>
        <w:t>maps</w:t>
      </w:r>
      <w:r w:rsidR="005021BF" w:rsidRPr="005E2C17">
        <w:t xml:space="preserve"> (Annex </w:t>
      </w:r>
      <w:r w:rsidR="005021BF">
        <w:t xml:space="preserve">5 and </w:t>
      </w:r>
      <w:r w:rsidR="005021BF" w:rsidRPr="005E2C17">
        <w:t xml:space="preserve">7), </w:t>
      </w:r>
      <w:r w:rsidR="00BF55DB">
        <w:t>whilst</w:t>
      </w:r>
      <w:r>
        <w:t xml:space="preserve"> the second </w:t>
      </w:r>
      <w:r w:rsidR="00BF55DB">
        <w:t>explored</w:t>
      </w:r>
      <w:r w:rsidR="005021BF" w:rsidRPr="005E2C17">
        <w:t xml:space="preserve"> </w:t>
      </w:r>
      <w:r w:rsidRPr="005E2C17">
        <w:t xml:space="preserve">spatial patterns of social vulnerabilities </w:t>
      </w:r>
      <w:r w:rsidR="00BF55DB">
        <w:t xml:space="preserve">which may be assumed to be </w:t>
      </w:r>
      <w:r>
        <w:t>associated with a risk</w:t>
      </w:r>
      <w:r w:rsidRPr="005E2C17">
        <w:t xml:space="preserve"> of social exclusion </w:t>
      </w:r>
      <w:r w:rsidR="005021BF" w:rsidRPr="005E2C17">
        <w:t>(</w:t>
      </w:r>
      <w:r w:rsidR="005021BF">
        <w:t>Annex 6 and Annex 8</w:t>
      </w:r>
      <w:r>
        <w:t>).</w:t>
      </w:r>
    </w:p>
    <w:p w:rsidR="001D435C" w:rsidRDefault="001D435C" w:rsidP="001D435C">
      <w:pPr>
        <w:pStyle w:val="Otsikko2"/>
      </w:pPr>
      <w:bookmarkStart w:id="6" w:name="_Toc400373177"/>
      <w:r>
        <w:t>Poverty Mapping (Annexes 5 and 7)</w:t>
      </w:r>
      <w:bookmarkEnd w:id="6"/>
    </w:p>
    <w:p w:rsidR="005021BF" w:rsidRDefault="005021BF" w:rsidP="005021BF">
      <w:r w:rsidRPr="005E2C17">
        <w:t xml:space="preserve">The challenge of poverty mapping was to </w:t>
      </w:r>
      <w:r w:rsidR="00907E98">
        <w:t>provide ARoP rate maps at a higher level of geographical detail (NUTS 3) than is available directly from the SILC database (i.e the Eurostat data considered in the previous section</w:t>
      </w:r>
      <w:r w:rsidR="001D435C">
        <w:t>)</w:t>
      </w:r>
      <w:r w:rsidR="00907E98">
        <w:t xml:space="preserve">. In the Nordic countries, together with a few </w:t>
      </w:r>
      <w:r w:rsidR="001D435C">
        <w:t>elsewhere</w:t>
      </w:r>
      <w:r w:rsidR="00907E98">
        <w:t xml:space="preserve"> </w:t>
      </w:r>
      <w:r w:rsidR="001D435C">
        <w:t>in</w:t>
      </w:r>
      <w:r w:rsidR="00907E98">
        <w:t xml:space="preserve"> Europe</w:t>
      </w:r>
      <w:r w:rsidR="001D435C">
        <w:t>,</w:t>
      </w:r>
      <w:r w:rsidR="00907E98">
        <w:t xml:space="preserve"> the solution is a relatively simple one, since </w:t>
      </w:r>
      <w:r w:rsidR="001D435C">
        <w:t xml:space="preserve">NUTS 3 </w:t>
      </w:r>
      <w:r w:rsidR="00907E98">
        <w:t>ARoP rates may be derived directly from administrative registers and databases maintained by the national governments. Elsewhere, since current sample sizes and regional samples are generally an insuperable barrier to deriving more detailed ARoP data direct</w:t>
      </w:r>
      <w:r w:rsidR="001D435C">
        <w:t>ly</w:t>
      </w:r>
      <w:r w:rsidR="00907E98">
        <w:t xml:space="preserve"> from the SILC</w:t>
      </w:r>
      <w:r w:rsidR="001D435C">
        <w:t>,</w:t>
      </w:r>
      <w:r w:rsidR="00907E98">
        <w:t xml:space="preserve"> a number of estimation strategies were employed.</w:t>
      </w:r>
      <w:r w:rsidR="001D435C">
        <w:t xml:space="preserve"> These ranged in sophistication from a purpose-made regression modelling procedure, based on a combination of (SILC) survey data and Census microdata, devised by the World Bank (PovMap), through area-based regression models to simple univariate apportionment procedures.</w:t>
      </w:r>
    </w:p>
    <w:p w:rsidR="001D435C" w:rsidRDefault="001D435C" w:rsidP="005021BF">
      <w:r>
        <w:t xml:space="preserve">The lessons learned from this exercise, focussing on ways in which income poverty may be more closely monitored at a regional level, </w:t>
      </w:r>
      <w:r w:rsidR="00D62884">
        <w:t xml:space="preserve">beginning with the “ideal” solution, and progressing towards the least demanding, </w:t>
      </w:r>
      <w:r>
        <w:t>are as follows:</w:t>
      </w:r>
    </w:p>
    <w:p w:rsidR="001D435C" w:rsidRDefault="001D435C" w:rsidP="001D435C">
      <w:pPr>
        <w:pStyle w:val="Luettelokappale"/>
        <w:numPr>
          <w:ilvl w:val="0"/>
          <w:numId w:val="13"/>
        </w:numPr>
      </w:pPr>
      <w:r>
        <w:t xml:space="preserve">By far the most effective way to monitor regional variations in income poverty </w:t>
      </w:r>
      <w:r w:rsidR="006E5BF3">
        <w:t xml:space="preserve">is to make use of existing administrative databases relating to income, which all but a few countries must maintain for the purpose of taxing income. Of course there are considerable data security issues to be addressed in order to ensure anonymity, but these should not be insuperable for NUTS 3 regions, which with one or two exceptions have populations of a hundred thousand or more. Our first recommendation would therefore be to explore the potential to role out, across the EU, </w:t>
      </w:r>
      <w:r w:rsidR="003162E0">
        <w:t xml:space="preserve">of </w:t>
      </w:r>
      <w:r w:rsidR="006E5BF3">
        <w:t xml:space="preserve">Nordic-style </w:t>
      </w:r>
      <w:r w:rsidR="003162E0">
        <w:t xml:space="preserve">income </w:t>
      </w:r>
      <w:r w:rsidR="006E5BF3">
        <w:t>register databases. This process should incorporate guidelines to ensure harmonisation, and should incorporate NUTS 3 identifiers as part of a standard data architecture.</w:t>
      </w:r>
      <w:r w:rsidR="00D62884">
        <w:t xml:space="preserve"> The main disincentive associated with this “ideal” solution would of course be the cost of implementation, especially in those parts of the EU where national taxation systems are already struggling to fulfil their responsibilities in the context of austerity programmes.</w:t>
      </w:r>
      <w:r w:rsidR="003162E0">
        <w:t xml:space="preserve"> However, in the light of the increasingly widespread preference for register-based databases instead of Population Censuses, and the fact that income is naturally more easy to quantify </w:t>
      </w:r>
      <w:r w:rsidR="003162E0">
        <w:lastRenderedPageBreak/>
        <w:t>than many aspects of social exclusion, there is a sense in which such a move would be “going with the flow”.</w:t>
      </w:r>
    </w:p>
    <w:p w:rsidR="00D62884" w:rsidRDefault="00394679" w:rsidP="001D435C">
      <w:pPr>
        <w:pStyle w:val="Luettelokappale"/>
        <w:numPr>
          <w:ilvl w:val="0"/>
          <w:numId w:val="13"/>
        </w:numPr>
      </w:pPr>
      <w:r>
        <w:t xml:space="preserve">A second solution would be to attempt to ensure that those countries unable to deliver register data should provide estimates based upon the World Bank PovMap method. </w:t>
      </w:r>
      <w:r w:rsidR="001B32AF">
        <w:t xml:space="preserve">This would probably result in the most accurate regional estimates which are achievable in the absence of full register data. </w:t>
      </w:r>
      <w:r>
        <w:t xml:space="preserve">Experience in Task 2.5 of the TiPSE project suggests that the main obstacles to be overcome would be; (a) ensuring that EU SILC samples were large enough to have acceptable sampling errors at NUTS 2, (b) availability of Census microdata, for socio-economic covariates, with adequate samples at NUTS 3, and (c) achieving a match between the definitions of the SILC and Census variables, and category compatibility if the latter is presented in a categorical form. Further issues to consider are the relative paucity of socio-economic covariates in the </w:t>
      </w:r>
      <w:r w:rsidR="001B32AF">
        <w:t xml:space="preserve">SILC database, and the tendency </w:t>
      </w:r>
      <w:r w:rsidR="00932FBE">
        <w:t xml:space="preserve">for many European countries </w:t>
      </w:r>
      <w:r w:rsidR="001B32AF">
        <w:t xml:space="preserve">to replace </w:t>
      </w:r>
      <w:r w:rsidR="00932FBE">
        <w:t xml:space="preserve">their </w:t>
      </w:r>
      <w:r w:rsidR="001B32AF">
        <w:t>conventional population census with a combination of register data and sample surveys. All things considered the obstacles to this approach are formidable, and we do not feel able to recommend it as a Europe-wide approach to generating ARoP rates.</w:t>
      </w:r>
    </w:p>
    <w:p w:rsidR="00932FBE" w:rsidRDefault="00A447A1" w:rsidP="005151D7">
      <w:pPr>
        <w:pStyle w:val="Luettelokappale"/>
        <w:numPr>
          <w:ilvl w:val="0"/>
          <w:numId w:val="13"/>
        </w:numPr>
      </w:pPr>
      <w:r>
        <w:t>Area-based regression models are probably a more practicable approach to estimating regional ARoP rates, and the best alternative to the use of register data. They are much less demanding in terms of raw data than the PovMap approach, and at the same time open up a broad range of possibilities in terms of socio-economic covariates. The recent development of the Eurostat Census Hub, with its standardised hypermatrices</w:t>
      </w:r>
      <w:r w:rsidR="009650AF">
        <w:rPr>
          <w:rStyle w:val="Alaviitteenviite"/>
        </w:rPr>
        <w:footnoteReference w:id="11"/>
      </w:r>
      <w:r>
        <w:t xml:space="preserve"> suggests that it would be feasible to develop a systematic approach, based upon a fixed set of covariates. Such an approach would </w:t>
      </w:r>
      <w:r w:rsidR="005151D7">
        <w:t xml:space="preserve">only, however, </w:t>
      </w:r>
      <w:r>
        <w:t xml:space="preserve">work if SILC data on disposable income </w:t>
      </w:r>
      <w:r w:rsidR="005151D7">
        <w:t>data were available for NUTS 2 regions, and in countries where there are a significant number (at least ten) of such regions.</w:t>
      </w:r>
    </w:p>
    <w:p w:rsidR="00AA2CBE" w:rsidRDefault="005151D7" w:rsidP="005151D7">
      <w:pPr>
        <w:pStyle w:val="Luettelokappale"/>
        <w:numPr>
          <w:ilvl w:val="0"/>
          <w:numId w:val="13"/>
        </w:numPr>
      </w:pPr>
      <w:r>
        <w:t xml:space="preserve">Simple apportionment procedures, </w:t>
      </w:r>
      <w:r w:rsidR="00AA2CBE">
        <w:t>(</w:t>
      </w:r>
      <w:r>
        <w:t xml:space="preserve">such as those used </w:t>
      </w:r>
      <w:r w:rsidR="009650AF">
        <w:t xml:space="preserve">by TiPSE researchers </w:t>
      </w:r>
      <w:r>
        <w:t xml:space="preserve">in a few countries </w:t>
      </w:r>
      <w:r w:rsidR="009650AF">
        <w:t>for which none of the data requirements for (a)-(c) above were met</w:t>
      </w:r>
      <w:r w:rsidR="00AA2CBE">
        <w:t>)</w:t>
      </w:r>
      <w:r w:rsidR="009650AF">
        <w:t>, cannot be recommended as a routine approach, since the margin of erro</w:t>
      </w:r>
      <w:r w:rsidR="00AA2CBE">
        <w:t>r is likely to be unacceptable.</w:t>
      </w:r>
    </w:p>
    <w:p w:rsidR="005151D7" w:rsidRDefault="009650AF" w:rsidP="005151D7">
      <w:r>
        <w:t xml:space="preserve">To summarise, the recommendation is to move to a register-based approach to ARoP rate data provision as soon as is practicable and affordable. This is especially important for countries with relatively few NUTS 2 regions, where area-based models are </w:t>
      </w:r>
      <w:r w:rsidR="00932FBE">
        <w:t>problematic</w:t>
      </w:r>
      <w:r>
        <w:t>. In countries with larger numbers of NUTS 2 regions area-based regression models are a good alternative, and the potential for a standardised approach, based upon variables from the Eurostat Census hub hypermat</w:t>
      </w:r>
      <w:r w:rsidR="00932FBE">
        <w:t>r</w:t>
      </w:r>
      <w:r>
        <w:t>ices should be explored.</w:t>
      </w:r>
    </w:p>
    <w:p w:rsidR="0007656C" w:rsidRDefault="0007656C" w:rsidP="005151D7">
      <w:r>
        <w:lastRenderedPageBreak/>
        <w:t>One final point, relating to the definition of the AROP rate indicator, should be made. Both the TiPSE case studies, and recent research on Minimum Income Standards have highlighted the fact that poverty is not determined solely by levels of income. There also seem to be substantial geographical variations in the cost of living</w:t>
      </w:r>
      <w:r w:rsidR="0080653B">
        <w:t>. Already there have been attempts to take account of urban housing costs through “after housing cost” variants of the AROP rate. However general living costs (heating, travel, food etc) are often significantly higher in rural areas, especially remote, insular or sparsely populated ones. In order to better understand this phenomenon it is suggested that the EU-SILC could be developed to include the cost of a basket of goods and services.</w:t>
      </w:r>
    </w:p>
    <w:p w:rsidR="00932FBE" w:rsidRDefault="00932FBE" w:rsidP="005151D7"/>
    <w:p w:rsidR="001D435C" w:rsidRPr="005E2C17" w:rsidRDefault="001D435C" w:rsidP="001D435C">
      <w:pPr>
        <w:pStyle w:val="Otsikko2"/>
      </w:pPr>
      <w:bookmarkStart w:id="7" w:name="_Toc400373178"/>
      <w:r>
        <w:t>Social Exclusion Mapping (Annexes 6 and 8)</w:t>
      </w:r>
      <w:bookmarkEnd w:id="7"/>
    </w:p>
    <w:p w:rsidR="005021BF" w:rsidRDefault="005021BF" w:rsidP="005021BF">
      <w:r w:rsidRPr="005E2C17">
        <w:t>The other mapping endeavour was based on proxy indicators. In this case researchers were challenged by the complexity of the phenomenon that was to be operationalised, given that social exclusion is a relational, process-oriented and multifaceted phenomenon as the theoretical paper of Task 2.1 conceptualised (An</w:t>
      </w:r>
      <w:r w:rsidR="00FC0C6F">
        <w:t>nex 1</w:t>
      </w:r>
      <w:r w:rsidRPr="005E2C17">
        <w:t>). During the operationalization phase sixteen dimensions subsumed under four overarching domains of social exclusion (earning a living, access to services, social environment, political participation)</w:t>
      </w:r>
      <w:r>
        <w:t xml:space="preserve"> </w:t>
      </w:r>
      <w:r w:rsidRPr="005E2C17">
        <w:t xml:space="preserve">were </w:t>
      </w:r>
      <w:r w:rsidR="00FC0C6F">
        <w:t xml:space="preserve">identified by the project team </w:t>
      </w:r>
      <w:r w:rsidRPr="005E2C17">
        <w:t>with the help of the literature on the same subject (Ministry of Labour 2006, UNDP 2011). These dimensions</w:t>
      </w:r>
      <w:r w:rsidR="00FC0C6F">
        <w:t>,</w:t>
      </w:r>
      <w:r w:rsidRPr="005E2C17">
        <w:t xml:space="preserve"> being in some cases in causal relationship with one another (like educational attainment and income or employment/unemployment status of people) were to be covered by NUTS 3 level proxy indicators. (For a detailed picture </w:t>
      </w:r>
      <w:r>
        <w:t>see</w:t>
      </w:r>
      <w:r w:rsidR="00FC0C6F">
        <w:t xml:space="preserve"> </w:t>
      </w:r>
      <w:r w:rsidRPr="005E2C17">
        <w:t>Annex 6) However, a number of constraints regarding the availability of data limited the optimal coverage of social exclusion with relevant indicators. The most important constraint was the scarcity of accessible and reliable data across member states.</w:t>
      </w:r>
    </w:p>
    <w:p w:rsidR="00112E49" w:rsidRPr="005E2C17" w:rsidRDefault="00112E49" w:rsidP="00112E49">
      <w:pPr>
        <w:pStyle w:val="Otsikko3"/>
      </w:pPr>
      <w:r>
        <w:t>The Social Exclusion Database</w:t>
      </w:r>
    </w:p>
    <w:p w:rsidR="005021BF" w:rsidRPr="005E2C17" w:rsidRDefault="005021BF" w:rsidP="005021BF">
      <w:r w:rsidRPr="005E2C17">
        <w:t xml:space="preserve">In the initial phase of operationalising SE sixteen dimensions under four domains were </w:t>
      </w:r>
      <w:r>
        <w:t>proposed</w:t>
      </w:r>
      <w:r w:rsidR="00FC0C6F">
        <w:t>. From these five</w:t>
      </w:r>
      <w:r w:rsidRPr="005E2C17">
        <w:t xml:space="preserve"> were</w:t>
      </w:r>
      <w:r>
        <w:t xml:space="preserve"> subsequently</w:t>
      </w:r>
      <w:r w:rsidRPr="005E2C17">
        <w:t xml:space="preserve"> omitted </w:t>
      </w:r>
      <w:r>
        <w:t>due to lack of data. The dimensions which were not operationalised were</w:t>
      </w:r>
      <w:r w:rsidRPr="005E2C17">
        <w:t xml:space="preserve">: </w:t>
      </w:r>
    </w:p>
    <w:p w:rsidR="005021BF" w:rsidRPr="005E2C17" w:rsidRDefault="005021BF" w:rsidP="005021BF">
      <w:pPr>
        <w:pStyle w:val="Luettelokappale"/>
        <w:numPr>
          <w:ilvl w:val="0"/>
          <w:numId w:val="8"/>
        </w:numPr>
        <w:spacing w:before="0" w:after="200" w:line="276" w:lineRule="auto"/>
      </w:pPr>
      <w:r w:rsidRPr="005E2C17">
        <w:t xml:space="preserve">one from the domain ‘Access to services’ </w:t>
      </w:r>
    </w:p>
    <w:p w:rsidR="005021BF" w:rsidRPr="005E2C17" w:rsidRDefault="005021BF" w:rsidP="005021BF">
      <w:pPr>
        <w:pStyle w:val="Luettelokappale"/>
        <w:numPr>
          <w:ilvl w:val="1"/>
          <w:numId w:val="8"/>
        </w:numPr>
        <w:spacing w:before="0" w:after="200" w:line="276" w:lineRule="auto"/>
      </w:pPr>
      <w:r w:rsidRPr="005E2C17">
        <w:t xml:space="preserve">‘Transport and communication’ </w:t>
      </w:r>
    </w:p>
    <w:p w:rsidR="005021BF" w:rsidRPr="005E2C17" w:rsidRDefault="005021BF" w:rsidP="005021BF">
      <w:pPr>
        <w:pStyle w:val="Luettelokappale"/>
        <w:numPr>
          <w:ilvl w:val="0"/>
          <w:numId w:val="8"/>
        </w:numPr>
        <w:spacing w:before="0" w:after="200" w:line="276" w:lineRule="auto"/>
      </w:pPr>
      <w:r w:rsidRPr="005E2C17">
        <w:t>t</w:t>
      </w:r>
      <w:r>
        <w:t>wo</w:t>
      </w:r>
      <w:r w:rsidRPr="005E2C17">
        <w:t xml:space="preserve"> f</w:t>
      </w:r>
      <w:r>
        <w:t>r</w:t>
      </w:r>
      <w:r w:rsidRPr="005E2C17">
        <w:t>om  the ‘Social environment’</w:t>
      </w:r>
      <w:r w:rsidR="00FB0AAC">
        <w:t xml:space="preserve"> </w:t>
      </w:r>
      <w:r w:rsidRPr="005E2C17">
        <w:t xml:space="preserve">domain </w:t>
      </w:r>
    </w:p>
    <w:p w:rsidR="005021BF" w:rsidRPr="005E2C17" w:rsidRDefault="005021BF" w:rsidP="005021BF">
      <w:pPr>
        <w:pStyle w:val="Luettelokappale"/>
        <w:numPr>
          <w:ilvl w:val="1"/>
          <w:numId w:val="8"/>
        </w:numPr>
        <w:spacing w:before="0" w:after="200" w:line="276" w:lineRule="auto"/>
      </w:pPr>
      <w:r w:rsidRPr="005E2C17">
        <w:t xml:space="preserve">crime and safety </w:t>
      </w:r>
    </w:p>
    <w:p w:rsidR="005021BF" w:rsidRPr="005E2C17" w:rsidRDefault="005021BF" w:rsidP="005021BF">
      <w:pPr>
        <w:pStyle w:val="Luettelokappale"/>
        <w:numPr>
          <w:ilvl w:val="1"/>
          <w:numId w:val="8"/>
        </w:numPr>
        <w:spacing w:before="0" w:after="200" w:line="276" w:lineRule="auto"/>
      </w:pPr>
      <w:r w:rsidRPr="005E2C17">
        <w:t>municipal income and municipal spending on social protection</w:t>
      </w:r>
    </w:p>
    <w:p w:rsidR="005021BF" w:rsidRPr="005E2C17" w:rsidRDefault="005021BF" w:rsidP="005021BF">
      <w:pPr>
        <w:pStyle w:val="Luettelokappale"/>
        <w:numPr>
          <w:ilvl w:val="0"/>
          <w:numId w:val="8"/>
        </w:numPr>
        <w:spacing w:before="0" w:after="200" w:line="276" w:lineRule="auto"/>
      </w:pPr>
      <w:r w:rsidRPr="005E2C17">
        <w:t>two f</w:t>
      </w:r>
      <w:r>
        <w:t>r</w:t>
      </w:r>
      <w:r w:rsidRPr="005E2C17">
        <w:t>om  the Political participation’</w:t>
      </w:r>
      <w:r w:rsidR="00FB0AAC">
        <w:t xml:space="preserve"> </w:t>
      </w:r>
      <w:r w:rsidRPr="005E2C17">
        <w:t xml:space="preserve">domain </w:t>
      </w:r>
    </w:p>
    <w:p w:rsidR="005021BF" w:rsidRPr="005E2C17" w:rsidRDefault="005021BF" w:rsidP="005021BF">
      <w:pPr>
        <w:pStyle w:val="Luettelokappale"/>
        <w:numPr>
          <w:ilvl w:val="1"/>
          <w:numId w:val="8"/>
        </w:numPr>
        <w:spacing w:before="0" w:after="200" w:line="276" w:lineRule="auto"/>
      </w:pPr>
      <w:r w:rsidRPr="005E2C17">
        <w:t>voters turn up at elections</w:t>
      </w:r>
    </w:p>
    <w:p w:rsidR="005021BF" w:rsidRPr="005E2C17" w:rsidRDefault="005021BF" w:rsidP="005021BF">
      <w:pPr>
        <w:pStyle w:val="Luettelokappale"/>
        <w:numPr>
          <w:ilvl w:val="1"/>
          <w:numId w:val="8"/>
        </w:numPr>
        <w:spacing w:before="0" w:after="200" w:line="276" w:lineRule="auto"/>
      </w:pPr>
      <w:r w:rsidRPr="005E2C17">
        <w:t>civic engagement</w:t>
      </w:r>
    </w:p>
    <w:p w:rsidR="005021BF" w:rsidRPr="005E2C17" w:rsidRDefault="005021BF" w:rsidP="005021BF">
      <w:r w:rsidRPr="005E2C17">
        <w:t xml:space="preserve">Omitted dimensions contributed to the dominance of data </w:t>
      </w:r>
      <w:r w:rsidR="00FC0C6F">
        <w:t>relating to</w:t>
      </w:r>
      <w:r w:rsidRPr="005E2C17">
        <w:t xml:space="preserve"> the ‘Earning a living’</w:t>
      </w:r>
      <w:r w:rsidR="00FC0C6F" w:rsidRPr="00FC0C6F">
        <w:t xml:space="preserve"> </w:t>
      </w:r>
      <w:r w:rsidR="00FC0C6F" w:rsidRPr="005E2C17">
        <w:t>domain</w:t>
      </w:r>
      <w:r w:rsidRPr="005E2C17">
        <w:t>.</w:t>
      </w:r>
      <w:r>
        <w:t xml:space="preserve"> Data was collected initially for 2001, and then later, as data became available, for 2011.</w:t>
      </w:r>
      <w:r w:rsidRPr="005E2C17">
        <w:t xml:space="preserve"> Imbalances </w:t>
      </w:r>
      <w:r>
        <w:t xml:space="preserve">which characterised the 2001 database </w:t>
      </w:r>
      <w:r w:rsidRPr="005E2C17">
        <w:t xml:space="preserve">were </w:t>
      </w:r>
      <w:r w:rsidR="00B53043">
        <w:t xml:space="preserve">to a </w:t>
      </w:r>
      <w:r w:rsidR="00B53043">
        <w:lastRenderedPageBreak/>
        <w:t xml:space="preserve">degree </w:t>
      </w:r>
      <w:r w:rsidRPr="005E2C17">
        <w:t xml:space="preserve">corrected during the 2011 round of data collection when the range of ‘Employment’ indicators was narrowed down considerably (from 27 to 4). Feasibility reasons also supported the narrowing process of the scope of collected data as a result of the extremely short period of time for accessing, collecting and processing data. </w:t>
      </w:r>
    </w:p>
    <w:p w:rsidR="005021BF" w:rsidRDefault="005021BF" w:rsidP="00967807">
      <w:r w:rsidRPr="005E2C17">
        <w:t>The grouping of indicators of social exclusion was finalised as the below table illustrates.</w:t>
      </w:r>
    </w:p>
    <w:p w:rsidR="00967807" w:rsidRDefault="00967807" w:rsidP="00967807"/>
    <w:p w:rsidR="00967807" w:rsidRDefault="00967807" w:rsidP="00967807">
      <w:pPr>
        <w:pStyle w:val="Kuvaotsikko"/>
      </w:pPr>
      <w:bookmarkStart w:id="8" w:name="_Toc400373051"/>
      <w:r>
        <w:t xml:space="preserve">Table </w:t>
      </w:r>
      <w:r w:rsidR="00F404A9">
        <w:fldChar w:fldCharType="begin"/>
      </w:r>
      <w:r w:rsidR="00F404A9">
        <w:instrText xml:space="preserve"> SEQ Table \* A</w:instrText>
      </w:r>
      <w:r w:rsidR="00F404A9">
        <w:instrText xml:space="preserve">RABIC </w:instrText>
      </w:r>
      <w:r w:rsidR="00F404A9">
        <w:fldChar w:fldCharType="separate"/>
      </w:r>
      <w:r>
        <w:rPr>
          <w:noProof/>
        </w:rPr>
        <w:t>1</w:t>
      </w:r>
      <w:r w:rsidR="00F404A9">
        <w:rPr>
          <w:noProof/>
        </w:rPr>
        <w:fldChar w:fldCharType="end"/>
      </w:r>
      <w:r>
        <w:t>: Number of indicators 2001 and 2011 by Domain and Dimension</w:t>
      </w:r>
      <w:bookmarkEnd w:id="8"/>
    </w:p>
    <w:p w:rsidR="00967807" w:rsidRPr="00967807" w:rsidRDefault="00967807" w:rsidP="0096780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6"/>
        <w:gridCol w:w="3041"/>
        <w:gridCol w:w="1694"/>
        <w:gridCol w:w="1658"/>
      </w:tblGrid>
      <w:tr w:rsidR="005021BF" w:rsidRPr="005E2C17" w:rsidTr="005021BF">
        <w:tc>
          <w:tcPr>
            <w:tcW w:w="1252" w:type="pct"/>
          </w:tcPr>
          <w:p w:rsidR="005021BF" w:rsidRPr="00F9372F" w:rsidRDefault="005021BF" w:rsidP="0080653B">
            <w:pPr>
              <w:spacing w:before="0" w:line="240" w:lineRule="auto"/>
              <w:rPr>
                <w:i/>
                <w:iCs/>
              </w:rPr>
            </w:pPr>
            <w:r w:rsidRPr="00F9372F">
              <w:rPr>
                <w:i/>
                <w:iCs/>
              </w:rPr>
              <w:t>Domain identified by Task 2.1</w:t>
            </w:r>
          </w:p>
        </w:tc>
        <w:tc>
          <w:tcPr>
            <w:tcW w:w="1783" w:type="pct"/>
          </w:tcPr>
          <w:p w:rsidR="005021BF" w:rsidRPr="00F9372F" w:rsidRDefault="005021BF" w:rsidP="0080653B">
            <w:pPr>
              <w:spacing w:before="0" w:line="240" w:lineRule="auto"/>
              <w:rPr>
                <w:i/>
                <w:iCs/>
              </w:rPr>
            </w:pPr>
            <w:r w:rsidRPr="00F9372F">
              <w:rPr>
                <w:i/>
                <w:iCs/>
              </w:rPr>
              <w:t>Dimension recommended by Task 2.6</w:t>
            </w:r>
          </w:p>
        </w:tc>
        <w:tc>
          <w:tcPr>
            <w:tcW w:w="993" w:type="pct"/>
          </w:tcPr>
          <w:p w:rsidR="005021BF" w:rsidRPr="00F9372F" w:rsidRDefault="005021BF" w:rsidP="0080653B">
            <w:pPr>
              <w:spacing w:before="0" w:line="240" w:lineRule="auto"/>
              <w:rPr>
                <w:i/>
                <w:iCs/>
              </w:rPr>
            </w:pPr>
            <w:r w:rsidRPr="00F9372F">
              <w:rPr>
                <w:i/>
                <w:iCs/>
              </w:rPr>
              <w:t>Number of indicators (2001)</w:t>
            </w:r>
          </w:p>
        </w:tc>
        <w:tc>
          <w:tcPr>
            <w:tcW w:w="973" w:type="pct"/>
          </w:tcPr>
          <w:p w:rsidR="005021BF" w:rsidRPr="00F9372F" w:rsidRDefault="005021BF" w:rsidP="0080653B">
            <w:pPr>
              <w:spacing w:before="0" w:line="240" w:lineRule="auto"/>
              <w:rPr>
                <w:i/>
                <w:iCs/>
              </w:rPr>
            </w:pPr>
            <w:r w:rsidRPr="00F9372F">
              <w:rPr>
                <w:i/>
                <w:iCs/>
              </w:rPr>
              <w:t>Number of indicators (2011)</w:t>
            </w:r>
          </w:p>
        </w:tc>
      </w:tr>
      <w:tr w:rsidR="005021BF" w:rsidRPr="005E2C17" w:rsidTr="005021BF">
        <w:tc>
          <w:tcPr>
            <w:tcW w:w="1252" w:type="pct"/>
            <w:vMerge w:val="restart"/>
          </w:tcPr>
          <w:p w:rsidR="005021BF" w:rsidRPr="00F9372F" w:rsidRDefault="005021BF" w:rsidP="0080653B">
            <w:pPr>
              <w:spacing w:before="0" w:line="240" w:lineRule="auto"/>
            </w:pPr>
            <w:r w:rsidRPr="00F9372F">
              <w:t>Earning a living</w:t>
            </w:r>
          </w:p>
        </w:tc>
        <w:tc>
          <w:tcPr>
            <w:tcW w:w="1783" w:type="pct"/>
          </w:tcPr>
          <w:p w:rsidR="005021BF" w:rsidRPr="00F9372F" w:rsidRDefault="005021BF" w:rsidP="0080653B">
            <w:pPr>
              <w:spacing w:before="0" w:line="240" w:lineRule="auto"/>
            </w:pPr>
            <w:r w:rsidRPr="00F9372F">
              <w:t>Income earned by tax payers</w:t>
            </w:r>
          </w:p>
        </w:tc>
        <w:tc>
          <w:tcPr>
            <w:tcW w:w="993" w:type="pct"/>
          </w:tcPr>
          <w:p w:rsidR="005021BF" w:rsidRPr="00F9372F" w:rsidRDefault="005021BF" w:rsidP="0080653B">
            <w:pPr>
              <w:spacing w:before="0" w:line="240" w:lineRule="auto"/>
            </w:pPr>
            <w:r w:rsidRPr="00F9372F">
              <w:t>2</w:t>
            </w:r>
          </w:p>
        </w:tc>
        <w:tc>
          <w:tcPr>
            <w:tcW w:w="973" w:type="pct"/>
          </w:tcPr>
          <w:p w:rsidR="005021BF" w:rsidRPr="00F9372F" w:rsidRDefault="005021BF" w:rsidP="0080653B">
            <w:pPr>
              <w:spacing w:before="0" w:line="240" w:lineRule="auto"/>
            </w:pPr>
            <w:r w:rsidRPr="00F9372F">
              <w:t>2</w:t>
            </w:r>
          </w:p>
        </w:tc>
      </w:tr>
      <w:tr w:rsidR="005021BF" w:rsidRPr="005E2C17" w:rsidTr="005021BF">
        <w:tc>
          <w:tcPr>
            <w:tcW w:w="1252" w:type="pct"/>
            <w:vMerge/>
          </w:tcPr>
          <w:p w:rsidR="005021BF" w:rsidRPr="00F9372F" w:rsidRDefault="005021BF" w:rsidP="0080653B">
            <w:pPr>
              <w:spacing w:before="0" w:line="240" w:lineRule="auto"/>
            </w:pPr>
          </w:p>
        </w:tc>
        <w:tc>
          <w:tcPr>
            <w:tcW w:w="1783" w:type="pct"/>
          </w:tcPr>
          <w:p w:rsidR="005021BF" w:rsidRPr="00F9372F" w:rsidRDefault="005021BF" w:rsidP="0080653B">
            <w:pPr>
              <w:spacing w:before="0" w:line="240" w:lineRule="auto"/>
            </w:pPr>
            <w:r w:rsidRPr="00F9372F">
              <w:t>Employment</w:t>
            </w:r>
          </w:p>
        </w:tc>
        <w:tc>
          <w:tcPr>
            <w:tcW w:w="993" w:type="pct"/>
          </w:tcPr>
          <w:p w:rsidR="005021BF" w:rsidRPr="00F9372F" w:rsidRDefault="005021BF" w:rsidP="0080653B">
            <w:pPr>
              <w:spacing w:before="0" w:line="240" w:lineRule="auto"/>
            </w:pPr>
            <w:r w:rsidRPr="00F9372F">
              <w:t>27</w:t>
            </w:r>
          </w:p>
        </w:tc>
        <w:tc>
          <w:tcPr>
            <w:tcW w:w="973" w:type="pct"/>
          </w:tcPr>
          <w:p w:rsidR="005021BF" w:rsidRPr="00F9372F" w:rsidRDefault="005021BF" w:rsidP="0080653B">
            <w:pPr>
              <w:spacing w:before="0" w:line="240" w:lineRule="auto"/>
            </w:pPr>
            <w:r w:rsidRPr="00F9372F">
              <w:t>4</w:t>
            </w:r>
          </w:p>
        </w:tc>
      </w:tr>
      <w:tr w:rsidR="005021BF" w:rsidRPr="005E2C17" w:rsidTr="005021BF">
        <w:tc>
          <w:tcPr>
            <w:tcW w:w="1252" w:type="pct"/>
            <w:vMerge w:val="restart"/>
          </w:tcPr>
          <w:p w:rsidR="005021BF" w:rsidRPr="00F9372F" w:rsidRDefault="005021BF" w:rsidP="0080653B">
            <w:pPr>
              <w:spacing w:before="0" w:line="240" w:lineRule="auto"/>
            </w:pPr>
            <w:r w:rsidRPr="00F9372F">
              <w:t>Access to basic services</w:t>
            </w:r>
          </w:p>
        </w:tc>
        <w:tc>
          <w:tcPr>
            <w:tcW w:w="1783" w:type="pct"/>
          </w:tcPr>
          <w:p w:rsidR="005021BF" w:rsidRPr="00F9372F" w:rsidRDefault="005021BF" w:rsidP="0080653B">
            <w:pPr>
              <w:spacing w:before="0" w:line="240" w:lineRule="auto"/>
            </w:pPr>
            <w:r w:rsidRPr="00F9372F">
              <w:t>Health</w:t>
            </w:r>
          </w:p>
        </w:tc>
        <w:tc>
          <w:tcPr>
            <w:tcW w:w="993" w:type="pct"/>
          </w:tcPr>
          <w:p w:rsidR="005021BF" w:rsidRPr="00F9372F" w:rsidRDefault="005021BF" w:rsidP="0080653B">
            <w:pPr>
              <w:spacing w:before="0" w:line="240" w:lineRule="auto"/>
            </w:pPr>
            <w:r w:rsidRPr="00F9372F">
              <w:t>3</w:t>
            </w:r>
          </w:p>
        </w:tc>
        <w:tc>
          <w:tcPr>
            <w:tcW w:w="973" w:type="pct"/>
          </w:tcPr>
          <w:p w:rsidR="005021BF" w:rsidRPr="00F9372F" w:rsidRDefault="005021BF" w:rsidP="0080653B">
            <w:pPr>
              <w:spacing w:before="0" w:line="240" w:lineRule="auto"/>
            </w:pPr>
            <w:r w:rsidRPr="00F9372F">
              <w:t>3</w:t>
            </w:r>
          </w:p>
        </w:tc>
      </w:tr>
      <w:tr w:rsidR="005021BF" w:rsidRPr="005E2C17" w:rsidTr="005021BF">
        <w:tc>
          <w:tcPr>
            <w:tcW w:w="1252" w:type="pct"/>
            <w:vMerge/>
          </w:tcPr>
          <w:p w:rsidR="005021BF" w:rsidRPr="00F9372F" w:rsidRDefault="005021BF" w:rsidP="0080653B">
            <w:pPr>
              <w:spacing w:before="0" w:line="240" w:lineRule="auto"/>
            </w:pPr>
          </w:p>
        </w:tc>
        <w:tc>
          <w:tcPr>
            <w:tcW w:w="1783" w:type="pct"/>
          </w:tcPr>
          <w:p w:rsidR="005021BF" w:rsidRPr="00F9372F" w:rsidRDefault="005021BF" w:rsidP="0080653B">
            <w:pPr>
              <w:spacing w:before="0" w:line="240" w:lineRule="auto"/>
            </w:pPr>
            <w:r w:rsidRPr="00F9372F">
              <w:t>Education</w:t>
            </w:r>
          </w:p>
        </w:tc>
        <w:tc>
          <w:tcPr>
            <w:tcW w:w="993" w:type="pct"/>
          </w:tcPr>
          <w:p w:rsidR="005021BF" w:rsidRPr="00F9372F" w:rsidRDefault="005021BF" w:rsidP="0080653B">
            <w:pPr>
              <w:spacing w:before="0" w:line="240" w:lineRule="auto"/>
            </w:pPr>
            <w:r w:rsidRPr="00F9372F">
              <w:t>2</w:t>
            </w:r>
          </w:p>
        </w:tc>
        <w:tc>
          <w:tcPr>
            <w:tcW w:w="973" w:type="pct"/>
          </w:tcPr>
          <w:p w:rsidR="005021BF" w:rsidRPr="00F9372F" w:rsidRDefault="005021BF" w:rsidP="0080653B">
            <w:pPr>
              <w:spacing w:before="0" w:line="240" w:lineRule="auto"/>
            </w:pPr>
            <w:r w:rsidRPr="00F9372F">
              <w:t>2</w:t>
            </w:r>
          </w:p>
        </w:tc>
      </w:tr>
      <w:tr w:rsidR="005021BF" w:rsidRPr="005E2C17" w:rsidTr="005021BF">
        <w:tc>
          <w:tcPr>
            <w:tcW w:w="1252" w:type="pct"/>
            <w:vMerge/>
          </w:tcPr>
          <w:p w:rsidR="005021BF" w:rsidRPr="00F9372F" w:rsidRDefault="005021BF" w:rsidP="0080653B">
            <w:pPr>
              <w:spacing w:before="0" w:line="240" w:lineRule="auto"/>
            </w:pPr>
          </w:p>
        </w:tc>
        <w:tc>
          <w:tcPr>
            <w:tcW w:w="1783" w:type="pct"/>
          </w:tcPr>
          <w:p w:rsidR="005021BF" w:rsidRPr="00F9372F" w:rsidRDefault="005021BF" w:rsidP="0080653B">
            <w:pPr>
              <w:spacing w:before="0" w:line="240" w:lineRule="auto"/>
            </w:pPr>
            <w:r w:rsidRPr="00F9372F">
              <w:t>Housing</w:t>
            </w:r>
          </w:p>
        </w:tc>
        <w:tc>
          <w:tcPr>
            <w:tcW w:w="993" w:type="pct"/>
          </w:tcPr>
          <w:p w:rsidR="005021BF" w:rsidRPr="00F9372F" w:rsidRDefault="005021BF" w:rsidP="0080653B">
            <w:pPr>
              <w:spacing w:before="0" w:line="240" w:lineRule="auto"/>
            </w:pPr>
            <w:r w:rsidRPr="00F9372F">
              <w:t>6</w:t>
            </w:r>
          </w:p>
        </w:tc>
        <w:tc>
          <w:tcPr>
            <w:tcW w:w="973" w:type="pct"/>
          </w:tcPr>
          <w:p w:rsidR="005021BF" w:rsidRPr="00F9372F" w:rsidRDefault="005021BF" w:rsidP="0080653B">
            <w:pPr>
              <w:spacing w:before="0" w:line="240" w:lineRule="auto"/>
            </w:pPr>
            <w:r w:rsidRPr="00F9372F">
              <w:t>3</w:t>
            </w:r>
          </w:p>
        </w:tc>
      </w:tr>
      <w:tr w:rsidR="005021BF" w:rsidRPr="005E2C17" w:rsidTr="005021BF">
        <w:tc>
          <w:tcPr>
            <w:tcW w:w="1252" w:type="pct"/>
            <w:vMerge w:val="restart"/>
          </w:tcPr>
          <w:p w:rsidR="005021BF" w:rsidRPr="00F9372F" w:rsidRDefault="005021BF" w:rsidP="0080653B">
            <w:pPr>
              <w:spacing w:before="0" w:line="240" w:lineRule="auto"/>
            </w:pPr>
            <w:r w:rsidRPr="00F9372F">
              <w:t>Social environment</w:t>
            </w:r>
          </w:p>
        </w:tc>
        <w:tc>
          <w:tcPr>
            <w:tcW w:w="1783" w:type="pct"/>
          </w:tcPr>
          <w:p w:rsidR="005021BF" w:rsidRPr="00F9372F" w:rsidRDefault="005021BF" w:rsidP="0080653B">
            <w:pPr>
              <w:spacing w:before="0" w:line="240" w:lineRule="auto"/>
            </w:pPr>
            <w:r w:rsidRPr="00F9372F">
              <w:t>Age</w:t>
            </w:r>
          </w:p>
        </w:tc>
        <w:tc>
          <w:tcPr>
            <w:tcW w:w="993" w:type="pct"/>
          </w:tcPr>
          <w:p w:rsidR="005021BF" w:rsidRPr="00F9372F" w:rsidRDefault="005021BF" w:rsidP="0080653B">
            <w:pPr>
              <w:spacing w:before="0" w:line="240" w:lineRule="auto"/>
            </w:pPr>
            <w:r w:rsidRPr="00F9372F">
              <w:t>3</w:t>
            </w:r>
          </w:p>
        </w:tc>
        <w:tc>
          <w:tcPr>
            <w:tcW w:w="973" w:type="pct"/>
          </w:tcPr>
          <w:p w:rsidR="005021BF" w:rsidRPr="00F9372F" w:rsidRDefault="005021BF" w:rsidP="0080653B">
            <w:pPr>
              <w:spacing w:before="0" w:line="240" w:lineRule="auto"/>
            </w:pPr>
            <w:r w:rsidRPr="00F9372F">
              <w:t>3</w:t>
            </w:r>
          </w:p>
        </w:tc>
      </w:tr>
      <w:tr w:rsidR="005021BF" w:rsidRPr="005E2C17" w:rsidTr="005021BF">
        <w:tc>
          <w:tcPr>
            <w:tcW w:w="1252" w:type="pct"/>
            <w:vMerge/>
          </w:tcPr>
          <w:p w:rsidR="005021BF" w:rsidRPr="005E2C17" w:rsidRDefault="005021BF" w:rsidP="0080653B">
            <w:pPr>
              <w:spacing w:before="0" w:line="240" w:lineRule="auto"/>
            </w:pPr>
          </w:p>
        </w:tc>
        <w:tc>
          <w:tcPr>
            <w:tcW w:w="1783" w:type="pct"/>
          </w:tcPr>
          <w:p w:rsidR="005021BF" w:rsidRPr="005E2C17" w:rsidRDefault="005021BF" w:rsidP="0080653B">
            <w:pPr>
              <w:spacing w:before="0" w:line="240" w:lineRule="auto"/>
            </w:pPr>
            <w:r w:rsidRPr="005E2C17">
              <w:t>Ethnic composition</w:t>
            </w:r>
          </w:p>
        </w:tc>
        <w:tc>
          <w:tcPr>
            <w:tcW w:w="993" w:type="pct"/>
          </w:tcPr>
          <w:p w:rsidR="005021BF" w:rsidRPr="005E2C17" w:rsidRDefault="005021BF" w:rsidP="0080653B">
            <w:pPr>
              <w:spacing w:before="0" w:line="240" w:lineRule="auto"/>
            </w:pPr>
            <w:r w:rsidRPr="005E2C17">
              <w:t>1</w:t>
            </w:r>
          </w:p>
        </w:tc>
        <w:tc>
          <w:tcPr>
            <w:tcW w:w="973" w:type="pct"/>
          </w:tcPr>
          <w:p w:rsidR="005021BF" w:rsidRPr="005E2C17" w:rsidRDefault="005021BF" w:rsidP="0080653B">
            <w:pPr>
              <w:spacing w:before="0" w:line="240" w:lineRule="auto"/>
            </w:pPr>
            <w:r w:rsidRPr="005E2C17">
              <w:t>1</w:t>
            </w:r>
          </w:p>
        </w:tc>
      </w:tr>
      <w:tr w:rsidR="005021BF" w:rsidRPr="005E2C17" w:rsidTr="005021BF">
        <w:tc>
          <w:tcPr>
            <w:tcW w:w="1252" w:type="pct"/>
            <w:vMerge/>
          </w:tcPr>
          <w:p w:rsidR="005021BF" w:rsidRPr="005E2C17" w:rsidRDefault="005021BF" w:rsidP="0080653B">
            <w:pPr>
              <w:spacing w:before="0" w:line="240" w:lineRule="auto"/>
            </w:pPr>
          </w:p>
        </w:tc>
        <w:tc>
          <w:tcPr>
            <w:tcW w:w="1783" w:type="pct"/>
          </w:tcPr>
          <w:p w:rsidR="005021BF" w:rsidRPr="005E2C17" w:rsidRDefault="005021BF" w:rsidP="0080653B">
            <w:pPr>
              <w:spacing w:before="0" w:line="240" w:lineRule="auto"/>
            </w:pPr>
            <w:r w:rsidRPr="005E2C17">
              <w:t>Immigrants</w:t>
            </w:r>
          </w:p>
        </w:tc>
        <w:tc>
          <w:tcPr>
            <w:tcW w:w="993" w:type="pct"/>
          </w:tcPr>
          <w:p w:rsidR="005021BF" w:rsidRPr="005E2C17" w:rsidRDefault="005021BF" w:rsidP="0080653B">
            <w:pPr>
              <w:spacing w:before="0" w:line="240" w:lineRule="auto"/>
            </w:pPr>
            <w:r w:rsidRPr="005E2C17">
              <w:t>1</w:t>
            </w:r>
          </w:p>
        </w:tc>
        <w:tc>
          <w:tcPr>
            <w:tcW w:w="973" w:type="pct"/>
          </w:tcPr>
          <w:p w:rsidR="005021BF" w:rsidRPr="005E2C17" w:rsidRDefault="005021BF" w:rsidP="0080653B">
            <w:pPr>
              <w:spacing w:before="0" w:line="240" w:lineRule="auto"/>
            </w:pPr>
            <w:r w:rsidRPr="005E2C17">
              <w:t>1</w:t>
            </w:r>
          </w:p>
        </w:tc>
      </w:tr>
      <w:tr w:rsidR="005021BF" w:rsidRPr="005E2C17" w:rsidTr="005021BF">
        <w:tc>
          <w:tcPr>
            <w:tcW w:w="1252" w:type="pct"/>
            <w:vMerge/>
          </w:tcPr>
          <w:p w:rsidR="005021BF" w:rsidRPr="005E2C17" w:rsidRDefault="005021BF" w:rsidP="0080653B">
            <w:pPr>
              <w:spacing w:before="0" w:line="240" w:lineRule="auto"/>
            </w:pPr>
          </w:p>
        </w:tc>
        <w:tc>
          <w:tcPr>
            <w:tcW w:w="1783" w:type="pct"/>
          </w:tcPr>
          <w:p w:rsidR="005021BF" w:rsidRPr="005E2C17" w:rsidRDefault="005021BF" w:rsidP="0080653B">
            <w:pPr>
              <w:spacing w:before="0" w:line="240" w:lineRule="auto"/>
            </w:pPr>
            <w:r w:rsidRPr="005E2C17">
              <w:t>Household structure</w:t>
            </w:r>
          </w:p>
        </w:tc>
        <w:tc>
          <w:tcPr>
            <w:tcW w:w="993" w:type="pct"/>
          </w:tcPr>
          <w:p w:rsidR="005021BF" w:rsidRPr="005E2C17" w:rsidRDefault="005021BF" w:rsidP="0080653B">
            <w:pPr>
              <w:spacing w:before="0" w:line="240" w:lineRule="auto"/>
            </w:pPr>
            <w:r w:rsidRPr="005E2C17">
              <w:t>4</w:t>
            </w:r>
          </w:p>
        </w:tc>
        <w:tc>
          <w:tcPr>
            <w:tcW w:w="973" w:type="pct"/>
          </w:tcPr>
          <w:p w:rsidR="005021BF" w:rsidRPr="005E2C17" w:rsidRDefault="005021BF" w:rsidP="0080653B">
            <w:pPr>
              <w:spacing w:before="0" w:line="240" w:lineRule="auto"/>
            </w:pPr>
            <w:r w:rsidRPr="005E2C17">
              <w:t>2</w:t>
            </w:r>
          </w:p>
        </w:tc>
      </w:tr>
      <w:tr w:rsidR="005021BF" w:rsidRPr="005E2C17" w:rsidTr="005021BF">
        <w:tc>
          <w:tcPr>
            <w:tcW w:w="1252" w:type="pct"/>
          </w:tcPr>
          <w:p w:rsidR="005021BF" w:rsidRPr="005E2C17" w:rsidRDefault="005021BF" w:rsidP="0080653B">
            <w:pPr>
              <w:spacing w:before="0" w:line="240" w:lineRule="auto"/>
            </w:pPr>
            <w:r w:rsidRPr="005E2C17">
              <w:t>Political participation</w:t>
            </w:r>
          </w:p>
        </w:tc>
        <w:tc>
          <w:tcPr>
            <w:tcW w:w="1783" w:type="pct"/>
          </w:tcPr>
          <w:p w:rsidR="005021BF" w:rsidRPr="005E2C17" w:rsidRDefault="005021BF" w:rsidP="0080653B">
            <w:pPr>
              <w:spacing w:before="0" w:line="240" w:lineRule="auto"/>
            </w:pPr>
            <w:r w:rsidRPr="005E2C17">
              <w:t>Citizenship</w:t>
            </w:r>
          </w:p>
        </w:tc>
        <w:tc>
          <w:tcPr>
            <w:tcW w:w="993" w:type="pct"/>
          </w:tcPr>
          <w:p w:rsidR="005021BF" w:rsidRPr="005E2C17" w:rsidRDefault="005021BF" w:rsidP="0080653B">
            <w:pPr>
              <w:spacing w:before="0" w:line="240" w:lineRule="auto"/>
            </w:pPr>
            <w:r w:rsidRPr="005E2C17">
              <w:t>1</w:t>
            </w:r>
          </w:p>
        </w:tc>
        <w:tc>
          <w:tcPr>
            <w:tcW w:w="973" w:type="pct"/>
          </w:tcPr>
          <w:p w:rsidR="005021BF" w:rsidRPr="005E2C17" w:rsidRDefault="005021BF" w:rsidP="0080653B">
            <w:pPr>
              <w:spacing w:before="0" w:line="240" w:lineRule="auto"/>
            </w:pPr>
            <w:r w:rsidRPr="005E2C17">
              <w:t>1</w:t>
            </w:r>
          </w:p>
        </w:tc>
      </w:tr>
    </w:tbl>
    <w:p w:rsidR="005021BF" w:rsidRPr="005E2C17" w:rsidRDefault="005021BF" w:rsidP="005021BF">
      <w:pPr>
        <w:pStyle w:val="ESPONText"/>
        <w:tabs>
          <w:tab w:val="left" w:pos="9072"/>
        </w:tabs>
        <w:rPr>
          <w:rFonts w:asciiTheme="minorHAnsi" w:hAnsiTheme="minorHAnsi"/>
          <w:szCs w:val="22"/>
        </w:rPr>
      </w:pPr>
    </w:p>
    <w:p w:rsidR="005021BF" w:rsidRPr="005E2C17" w:rsidRDefault="005021BF" w:rsidP="005021BF">
      <w:r w:rsidRPr="005E2C17">
        <w:t>The ten dimensions of social exclusion under the four domains (Earning a living, Access to services, Social environment, Participation) fixed in the first phase of implementation provided the project team with a firm framework of reference throughout the subsequent phases of the project not only during the course of collection of r</w:t>
      </w:r>
      <w:r>
        <w:t>a</w:t>
      </w:r>
      <w:r w:rsidRPr="005E2C17">
        <w:t>w data and indicator-setting</w:t>
      </w:r>
      <w:r w:rsidR="00B53043">
        <w:t>,</w:t>
      </w:r>
      <w:r w:rsidRPr="005E2C17">
        <w:t xml:space="preserve"> but also when macro-regional and Europe-wide analyses were performed. </w:t>
      </w:r>
    </w:p>
    <w:p w:rsidR="005021BF" w:rsidRPr="00B53043" w:rsidRDefault="005021BF" w:rsidP="005021BF">
      <w:r w:rsidRPr="005E2C17">
        <w:t xml:space="preserve">The decision </w:t>
      </w:r>
      <w:r>
        <w:t>to</w:t>
      </w:r>
      <w:r w:rsidRPr="005E2C17">
        <w:t xml:space="preserve"> </w:t>
      </w:r>
      <w:r>
        <w:t>omit</w:t>
      </w:r>
      <w:r w:rsidRPr="005E2C17">
        <w:t xml:space="preserve"> dimensions </w:t>
      </w:r>
      <w:r>
        <w:t xml:space="preserve">for which harmonised data was not </w:t>
      </w:r>
      <w:r w:rsidRPr="005E2C17">
        <w:t>accessible</w:t>
      </w:r>
      <w:r w:rsidR="00B53043">
        <w:t xml:space="preserve"> </w:t>
      </w:r>
      <w:r w:rsidRPr="005E2C17">
        <w:t xml:space="preserve">also implied that the research team decided to limit itself to harmonised Eurostat or census data. From this stage, statistical information other than census data collected by national statistical offices </w:t>
      </w:r>
      <w:r>
        <w:t>was</w:t>
      </w:r>
      <w:r w:rsidRPr="005E2C17">
        <w:t xml:space="preserve"> excluded from the data collection </w:t>
      </w:r>
      <w:r>
        <w:t xml:space="preserve">exercise </w:t>
      </w:r>
      <w:r w:rsidRPr="005E2C17">
        <w:t xml:space="preserve">covering the ESPON space. The exploration and usage of </w:t>
      </w:r>
      <w:r w:rsidRPr="00B53043">
        <w:t xml:space="preserve">national statistics was </w:t>
      </w:r>
      <w:r w:rsidR="00A33B46">
        <w:t>instead explored in</w:t>
      </w:r>
      <w:r w:rsidRPr="00B53043">
        <w:t xml:space="preserve"> the qualitative section of the project (case studies).</w:t>
      </w:r>
    </w:p>
    <w:p w:rsidR="005021BF" w:rsidRDefault="00B53043" w:rsidP="005021BF">
      <w:r>
        <w:t xml:space="preserve">2011 census data became available relatively late, </w:t>
      </w:r>
      <w:r w:rsidR="005021BF" w:rsidRPr="00B53043">
        <w:t xml:space="preserve">compared </w:t>
      </w:r>
      <w:r w:rsidR="005021BF" w:rsidRPr="005E2C17">
        <w:t xml:space="preserve">to the time constraints set by the project; therefore, testing data and indicators started with 2001 data sets accessible either </w:t>
      </w:r>
      <w:r w:rsidR="005021BF">
        <w:t>from</w:t>
      </w:r>
      <w:r w:rsidR="005021BF" w:rsidRPr="005E2C17">
        <w:t xml:space="preserve"> Eurostat or from national sources (available data of national statistical offices of the ESPON s</w:t>
      </w:r>
      <w:r>
        <w:t>pace countries). When the 2011 data</w:t>
      </w:r>
      <w:r w:rsidR="005021BF" w:rsidRPr="005E2C17">
        <w:t>set was to be collected, a number of further limitations regarding the availability of relevant NUTS 3 data had been uncovered. They are as follows:</w:t>
      </w:r>
    </w:p>
    <w:p w:rsidR="00112E49" w:rsidRPr="005E2C17" w:rsidRDefault="00112E49" w:rsidP="005021BF"/>
    <w:p w:rsidR="005021BF" w:rsidRPr="005E2C17" w:rsidRDefault="005021BF" w:rsidP="00112E49">
      <w:pPr>
        <w:pStyle w:val="Luettelokappale"/>
        <w:numPr>
          <w:ilvl w:val="0"/>
          <w:numId w:val="7"/>
        </w:numPr>
        <w:spacing w:before="0" w:after="200" w:line="276" w:lineRule="auto"/>
        <w:ind w:left="360"/>
        <w:rPr>
          <w:i/>
        </w:rPr>
      </w:pPr>
      <w:r w:rsidRPr="005E2C17">
        <w:rPr>
          <w:i/>
        </w:rPr>
        <w:t xml:space="preserve">Relevance of indicators </w:t>
      </w:r>
    </w:p>
    <w:p w:rsidR="005021BF" w:rsidRPr="005E2C17" w:rsidRDefault="005021BF" w:rsidP="00112E49">
      <w:pPr>
        <w:pStyle w:val="Luettelokappale"/>
        <w:ind w:left="360"/>
        <w:rPr>
          <w:i/>
        </w:rPr>
      </w:pPr>
      <w:r w:rsidRPr="005E2C17">
        <w:t xml:space="preserve">Relevance of an indicator assumes its capability to grasp, characterise or explain the nature of a certain phenomenon, </w:t>
      </w:r>
      <w:r w:rsidR="00B53043">
        <w:t>in this case</w:t>
      </w:r>
      <w:r w:rsidRPr="005E2C17">
        <w:t xml:space="preserve"> one of the dimensions of social exclusion.  Relevance of an indicator is weak if it explains little from among the attributes of a given vulnerability to SE. For example, relevance was deemed to be weak in case of the only indicator (citizenship) of the domain of Political participation, because many of the vulnerable groups in Europe are citizens of and were born in the country where they live, whilst a considerable share of migrants belong to the upper classes. At the same time, relevance was judged strong in case of nine indicators (disposable income, unemployment rate, inactivity rate, two indicators sho</w:t>
      </w:r>
      <w:r w:rsidR="00B53043">
        <w:t>w</w:t>
      </w:r>
      <w:r w:rsidRPr="005E2C17">
        <w:t>ing educational attainment and three others indicating housing deprivation).</w:t>
      </w:r>
    </w:p>
    <w:p w:rsidR="005021BF" w:rsidRPr="005E2C17" w:rsidRDefault="005021BF" w:rsidP="00112E49">
      <w:pPr>
        <w:pStyle w:val="Luettelokappale"/>
        <w:ind w:left="360"/>
        <w:rPr>
          <w:i/>
        </w:rPr>
      </w:pPr>
    </w:p>
    <w:p w:rsidR="005021BF" w:rsidRPr="005E2C17" w:rsidRDefault="005021BF" w:rsidP="00112E49">
      <w:pPr>
        <w:pStyle w:val="Luettelokappale"/>
        <w:numPr>
          <w:ilvl w:val="0"/>
          <w:numId w:val="7"/>
        </w:numPr>
        <w:spacing w:before="0" w:after="200" w:line="276" w:lineRule="auto"/>
        <w:ind w:left="360"/>
        <w:rPr>
          <w:i/>
        </w:rPr>
      </w:pPr>
      <w:r w:rsidRPr="005E2C17">
        <w:rPr>
          <w:i/>
        </w:rPr>
        <w:t xml:space="preserve">Insufficient regional breakdown </w:t>
      </w:r>
    </w:p>
    <w:p w:rsidR="005021BF" w:rsidRPr="005E2C17" w:rsidRDefault="005021BF" w:rsidP="00112E49">
      <w:pPr>
        <w:pStyle w:val="Luettelokappale"/>
        <w:ind w:left="360"/>
      </w:pPr>
      <w:r w:rsidRPr="005E2C17">
        <w:t>Some useful indicators, proposed for representing vulnerabilities to social exclusion by TiPSE, are only (or partly) available at NUTS</w:t>
      </w:r>
      <w:r w:rsidR="00B53043">
        <w:t xml:space="preserve"> </w:t>
      </w:r>
      <w:r w:rsidRPr="005E2C17">
        <w:t xml:space="preserve">2 (or higher) level from Eurostat which limits the opportunities of interpretation of regional differences in a cross-European comparison. These data, for example on health care or life expectancy are mainly derived from national administrative sources, and these sources may vary by country and by variable (see </w:t>
      </w:r>
      <w:hyperlink r:id="rId19" w:history="1">
        <w:r w:rsidRPr="005E2C17">
          <w:rPr>
            <w:rStyle w:val="Hyperlinkki"/>
          </w:rPr>
          <w:t>http://epp.eurostat.ec.europa.eu/cache/ITY_SDDS/EN/hlth_res_esms.htm</w:t>
        </w:r>
      </w:hyperlink>
      <w:r w:rsidRPr="005E2C17">
        <w:t xml:space="preserve"> or </w:t>
      </w:r>
      <w:hyperlink r:id="rId20" w:history="1">
        <w:r w:rsidRPr="005E2C17">
          <w:rPr>
            <w:rStyle w:val="Hyperlinkki"/>
          </w:rPr>
          <w:t>http://epp.eurostat.ec.europa.eu/cache/ITY_SDDS/EN/demoreg_esms.htm</w:t>
        </w:r>
      </w:hyperlink>
      <w:r w:rsidRPr="005E2C17">
        <w:t>). At the same time, national statistical sources might provide these data at lower administrative levels too.</w:t>
      </w:r>
    </w:p>
    <w:p w:rsidR="005021BF" w:rsidRPr="005E2C17" w:rsidRDefault="005021BF" w:rsidP="00112E49">
      <w:pPr>
        <w:pStyle w:val="Luettelokappale"/>
        <w:ind w:left="360"/>
      </w:pPr>
    </w:p>
    <w:p w:rsidR="005021BF" w:rsidRPr="005E2C17" w:rsidRDefault="005021BF" w:rsidP="00112E49">
      <w:pPr>
        <w:pStyle w:val="Luettelokappale"/>
        <w:numPr>
          <w:ilvl w:val="0"/>
          <w:numId w:val="7"/>
        </w:numPr>
        <w:spacing w:before="0" w:after="200" w:line="276" w:lineRule="auto"/>
        <w:ind w:left="360"/>
        <w:rPr>
          <w:i/>
        </w:rPr>
      </w:pPr>
      <w:r w:rsidRPr="005E2C17">
        <w:rPr>
          <w:i/>
        </w:rPr>
        <w:t xml:space="preserve">Insufficient sample size for survey based data, </w:t>
      </w:r>
    </w:p>
    <w:p w:rsidR="005021BF" w:rsidRDefault="005021BF" w:rsidP="00112E49">
      <w:pPr>
        <w:pStyle w:val="Luettelokappale"/>
        <w:ind w:left="360"/>
        <w:jc w:val="left"/>
      </w:pPr>
      <w:r w:rsidRPr="005E2C17">
        <w:t xml:space="preserve">Regional data drawn from surveys often limit the level of estimation because the low sample size. Statistical estimations make possible to produce NUTS 3 level data from samples (e.g. TiPSE used NUTS 3 level LFS estimates by Swiss Statistics (CH), Istat (IT) and National Institute of Statistics (RO)). In case of a number of countries, survey-based statistical databases lack data even for NUTS 1–2 levels, and only national level data is available in several cases. Sample sizes of European statistical surveys differ country by country. For instance in case of EU Labour Force Survey sampling rates vary between 0,2 and 3,3 % (see </w:t>
      </w:r>
      <w:hyperlink r:id="rId21" w:history="1">
        <w:r w:rsidRPr="005E2C17">
          <w:rPr>
            <w:rStyle w:val="Hyperlinkki"/>
          </w:rPr>
          <w:t>http://epp.eurostat.ec.europa.eu/portal/page/portal/employment_unemployment_lfs/introduction</w:t>
        </w:r>
      </w:hyperlink>
      <w:r w:rsidRPr="005E2C17">
        <w:t xml:space="preserve">). In the case of EU-SILC there is also a varying sample limit defining the minimum effective sample size for countries (see </w:t>
      </w:r>
    </w:p>
    <w:p w:rsidR="005021BF" w:rsidRPr="005E2C17" w:rsidRDefault="00F404A9" w:rsidP="00112E49">
      <w:pPr>
        <w:pStyle w:val="Luettelokappale"/>
        <w:ind w:left="360"/>
      </w:pPr>
      <w:hyperlink r:id="rId22" w:history="1">
        <w:r w:rsidR="00B53043" w:rsidRPr="00ED4D96">
          <w:rPr>
            <w:rStyle w:val="Hyperlinkki"/>
          </w:rPr>
          <w:t>http://epp.eurostat.ec.europa.eu/portal/page/portal/income_social_inclusion_living_conditions/documents/tab/Tab/EU-SILC%20sample%20size.pdf</w:t>
        </w:r>
      </w:hyperlink>
      <w:r w:rsidR="00B53043">
        <w:t xml:space="preserve"> </w:t>
      </w:r>
      <w:r w:rsidR="005021BF" w:rsidRPr="005E2C17">
        <w:t>).</w:t>
      </w:r>
    </w:p>
    <w:p w:rsidR="005021BF" w:rsidRPr="005E2C17" w:rsidRDefault="005021BF" w:rsidP="00112E49">
      <w:pPr>
        <w:pStyle w:val="Luettelokappale"/>
        <w:ind w:left="0"/>
      </w:pPr>
    </w:p>
    <w:p w:rsidR="005021BF" w:rsidRPr="005E2C17" w:rsidRDefault="005021BF" w:rsidP="00112E49">
      <w:pPr>
        <w:pStyle w:val="Luettelokappale"/>
        <w:numPr>
          <w:ilvl w:val="0"/>
          <w:numId w:val="7"/>
        </w:numPr>
        <w:spacing w:before="0" w:after="200" w:line="276" w:lineRule="auto"/>
        <w:ind w:left="360"/>
        <w:rPr>
          <w:i/>
        </w:rPr>
      </w:pPr>
      <w:r w:rsidRPr="005E2C17">
        <w:rPr>
          <w:i/>
        </w:rPr>
        <w:t xml:space="preserve">Lack of harmonisation between MS, </w:t>
      </w:r>
    </w:p>
    <w:p w:rsidR="005021BF" w:rsidRPr="005E2C17" w:rsidRDefault="005021BF" w:rsidP="00112E49">
      <w:pPr>
        <w:pStyle w:val="Luettelokappale"/>
        <w:ind w:left="360"/>
      </w:pPr>
      <w:r w:rsidRPr="005E2C17">
        <w:lastRenderedPageBreak/>
        <w:t>Harmonisation issues reflect poor definitional standardisation between countries; therefore, national boundaries show up as discontinuities. Of course it is sometimes hard to distinguish between discontinuities caused by varying classifications of neighbouring countries and genuine ones, due, for example, to different policies. A classic example is unemployment rates, which can vary due to differences in how people without jobs are treated by the welfare system, in particular how quickly, and for how long they are taken into employment related training schemes. In other cases, not only definition but classification issues can cause harmonization problems between different countries. Quality of data is influenced by conditions of publication (administrative level, classification) and countries often use varying standards for data classification and aggregation. Unfortunately international standards, like ISCO or ISCED do not always work correctly, since classifications used by some countries cannot fit properly into the provided system (e.g. ISCED in Germany or the United Kingdom).</w:t>
      </w:r>
    </w:p>
    <w:p w:rsidR="005021BF" w:rsidRPr="005E2C17" w:rsidRDefault="005021BF" w:rsidP="00112E49">
      <w:pPr>
        <w:pStyle w:val="Luettelokappale"/>
        <w:ind w:left="360"/>
      </w:pPr>
    </w:p>
    <w:p w:rsidR="005021BF" w:rsidRPr="005E2C17" w:rsidRDefault="005021BF" w:rsidP="00112E49">
      <w:pPr>
        <w:pStyle w:val="Luettelokappale"/>
        <w:numPr>
          <w:ilvl w:val="0"/>
          <w:numId w:val="7"/>
        </w:numPr>
        <w:spacing w:before="0" w:after="200" w:line="276" w:lineRule="auto"/>
        <w:ind w:left="360"/>
        <w:rPr>
          <w:i/>
        </w:rPr>
      </w:pPr>
      <w:r w:rsidRPr="005E2C17">
        <w:rPr>
          <w:i/>
        </w:rPr>
        <w:t>Implication of shift from tradition census to administrative registers and different methods of data gathering</w:t>
      </w:r>
    </w:p>
    <w:p w:rsidR="005021BF" w:rsidRPr="005E2C17" w:rsidRDefault="005021BF" w:rsidP="00112E49">
      <w:pPr>
        <w:pStyle w:val="Luettelokappale"/>
        <w:ind w:left="360"/>
      </w:pPr>
      <w:r w:rsidRPr="005E2C17">
        <w:t xml:space="preserve">European countries use different methods of gathering census data. In 2011 many (mainly Nordic) countries used national registers to provide a collection of census data, while others like Germany, Switzerland or the Netherlands used both registers and survey extracts for this reason. </w:t>
      </w:r>
      <w:r>
        <w:t>Some</w:t>
      </w:r>
      <w:r w:rsidRPr="005E2C17">
        <w:t xml:space="preserve"> other European countries held conventional censuses by surveying the entire population or by using a rolling sample, like in France. These different methodologies might also influence </w:t>
      </w:r>
      <w:r>
        <w:t>validity</w:t>
      </w:r>
      <w:r w:rsidRPr="005E2C17">
        <w:t xml:space="preserve"> of cross-European comparisons since they imply different levels of representation, and it can also cause harmonization failures (classification, basis population etc. ). Moreover, some countries shifted from conventional to register-based or survey-based census between 2001 and 2011, like in the case of Switzerland, Austria and Slovenia which might also affects analyses of changes over time in these countries.</w:t>
      </w:r>
    </w:p>
    <w:p w:rsidR="005021BF" w:rsidRPr="005E2C17" w:rsidRDefault="005021BF" w:rsidP="00112E49">
      <w:pPr>
        <w:pStyle w:val="Luettelokappale"/>
        <w:ind w:left="360"/>
      </w:pPr>
    </w:p>
    <w:p w:rsidR="005021BF" w:rsidRPr="005E2C17" w:rsidRDefault="005021BF" w:rsidP="00112E49">
      <w:pPr>
        <w:pStyle w:val="Luettelokappale"/>
        <w:numPr>
          <w:ilvl w:val="0"/>
          <w:numId w:val="7"/>
        </w:numPr>
        <w:spacing w:before="0" w:after="200" w:line="276" w:lineRule="auto"/>
        <w:ind w:left="360"/>
        <w:rPr>
          <w:i/>
        </w:rPr>
      </w:pPr>
      <w:r w:rsidRPr="005E2C17">
        <w:rPr>
          <w:i/>
        </w:rPr>
        <w:t>Changes in the NUTS system</w:t>
      </w:r>
    </w:p>
    <w:p w:rsidR="005021BF" w:rsidRPr="005E2C17" w:rsidRDefault="005021BF" w:rsidP="00112E49">
      <w:pPr>
        <w:pStyle w:val="Luettelokappale"/>
        <w:ind w:left="360"/>
      </w:pPr>
      <w:r w:rsidRPr="005E2C17">
        <w:t>There were several amendments of NUTS boundaries in the past fifteen years. The regulation on NUTS system specifies stability of the classification for at least three years. It is very important considering comparability of data from different survey years since this stability makes sure that data refers to the same regional unit fo</w:t>
      </w:r>
      <w:r w:rsidR="00A33B46">
        <w:t xml:space="preserve">r a certain period of time (see </w:t>
      </w:r>
      <w:hyperlink r:id="rId23" w:history="1">
        <w:r w:rsidRPr="005E2C17">
          <w:rPr>
            <w:rStyle w:val="Hyperlinkki"/>
          </w:rPr>
          <w:t>http://epp.eurostat.ec.europa.eu/portal/page/portal/nuts_nomenclature/history_nuts</w:t>
        </w:r>
      </w:hyperlink>
      <w:r w:rsidRPr="005E2C17">
        <w:t>). TiPSE data on vulnerabilities to social exclusion refer to NUTS 2010 in the case of census 2011 data, while census data for 2001 (1999–2005) were published according to NUTS 2003 and 2006 versions. Limitations of dire</w:t>
      </w:r>
      <w:r w:rsidR="00D94FDD">
        <w:t xml:space="preserve">ct comparison in several cases </w:t>
      </w:r>
      <w:r w:rsidRPr="005E2C17">
        <w:t>stem from suc</w:t>
      </w:r>
      <w:r w:rsidR="00D94FDD">
        <w:t>h changes;</w:t>
      </w:r>
      <w:r w:rsidRPr="005E2C17">
        <w:t xml:space="preserve"> </w:t>
      </w:r>
      <w:r w:rsidR="00D94FDD">
        <w:t>affecting</w:t>
      </w:r>
      <w:r w:rsidRPr="005E2C17">
        <w:t xml:space="preserve"> Germany, Denmark, Italy, the Netherlands, Poland, Finland, Sweden and the United Kingdom. Perspectives of further comparisons are probably also hindered by the latest reshaping of </w:t>
      </w:r>
      <w:r w:rsidRPr="005E2C17">
        <w:lastRenderedPageBreak/>
        <w:t>NUTS system in 2013</w:t>
      </w:r>
      <w:r w:rsidR="00D94FDD">
        <w:t>, affecting</w:t>
      </w:r>
      <w:r w:rsidRPr="005E2C17">
        <w:t xml:space="preserve"> Germany, Greece, France, Poland, Portugal, Slovenia and the United Kingdom.</w:t>
      </w:r>
    </w:p>
    <w:p w:rsidR="005021BF" w:rsidRPr="005E2C17" w:rsidRDefault="005021BF" w:rsidP="005021BF"/>
    <w:p w:rsidR="005021BF" w:rsidRDefault="00AB6E3B" w:rsidP="005021BF">
      <w:r>
        <w:t xml:space="preserve">The </w:t>
      </w:r>
      <w:r w:rsidR="00112E49">
        <w:t xml:space="preserve">social exclusion </w:t>
      </w:r>
      <w:r>
        <w:t xml:space="preserve">data base </w:t>
      </w:r>
      <w:r w:rsidR="009C7A0A">
        <w:t>(Annex</w:t>
      </w:r>
      <w:r w:rsidR="00A33B46">
        <w:t>es</w:t>
      </w:r>
      <w:r w:rsidR="009C7A0A">
        <w:t xml:space="preserve"> 3</w:t>
      </w:r>
      <w:r w:rsidR="00A33B46">
        <w:t>, 6 and 8</w:t>
      </w:r>
      <w:r w:rsidR="009C7A0A">
        <w:t xml:space="preserve">) </w:t>
      </w:r>
      <w:r>
        <w:t xml:space="preserve">comprises </w:t>
      </w:r>
      <w:r w:rsidR="009C7A0A">
        <w:t>calculated indicators which are not available elsewhere</w:t>
      </w:r>
      <w:r w:rsidR="005021BF" w:rsidRPr="005E2C17">
        <w:t xml:space="preserve">. (For detailed description of approaches, theoretical and methodological considerations, steps of data collection and indicator setting </w:t>
      </w:r>
      <w:r w:rsidR="005021BF">
        <w:t>see</w:t>
      </w:r>
      <w:r w:rsidR="005021BF" w:rsidRPr="005E2C17">
        <w:t xml:space="preserve"> Annex 6). Data collection targeted the so-called ESPON space (32 countries of Europe); therefore, geographical coverage is as wide as data availability allowed. 2001 data </w:t>
      </w:r>
      <w:r>
        <w:t>dominate</w:t>
      </w:r>
      <w:r w:rsidR="005021BF" w:rsidRPr="005E2C17">
        <w:t xml:space="preserve"> the dataset because they were the only ones available for setting and testing indicators until </w:t>
      </w:r>
      <w:r>
        <w:t xml:space="preserve">2011 data began to appear in </w:t>
      </w:r>
      <w:r w:rsidR="005021BF" w:rsidRPr="005E2C17">
        <w:t xml:space="preserve">March-June of 2014. The 2001 collection contains 60 variables (raw data – 12 Eurostat EU LFS, 4 Eurostat, 44 census) and 50 indicators (10 Eurostat EU LFS, 4 Eurostat, 36 census). </w:t>
      </w:r>
    </w:p>
    <w:p w:rsidR="0080653B" w:rsidRPr="005E2C17" w:rsidRDefault="0080653B" w:rsidP="005021BF"/>
    <w:p w:rsidR="00112E49" w:rsidRDefault="00112E49" w:rsidP="00112E49">
      <w:pPr>
        <w:pStyle w:val="Otsikko3"/>
      </w:pPr>
      <w:r>
        <w:t>Assessment of the database as a basis for monitoring</w:t>
      </w:r>
    </w:p>
    <w:p w:rsidR="00AB6E3B" w:rsidRDefault="005021BF" w:rsidP="005021BF">
      <w:pPr>
        <w:pStyle w:val="Kommentinteksti"/>
        <w:rPr>
          <w:szCs w:val="22"/>
        </w:rPr>
      </w:pPr>
      <w:r w:rsidRPr="005E2C17">
        <w:rPr>
          <w:szCs w:val="22"/>
        </w:rPr>
        <w:t>Despite reductions</w:t>
      </w:r>
      <w:r w:rsidR="00AB6E3B">
        <w:rPr>
          <w:szCs w:val="22"/>
        </w:rPr>
        <w:t xml:space="preserve"> in the number of indicators for 2011</w:t>
      </w:r>
      <w:r w:rsidRPr="005E2C17">
        <w:rPr>
          <w:szCs w:val="22"/>
        </w:rPr>
        <w:t>, imbalances continued to exist</w:t>
      </w:r>
      <w:r w:rsidR="00AB6E3B">
        <w:rPr>
          <w:szCs w:val="22"/>
        </w:rPr>
        <w:t>, though to a lesser extent: T</w:t>
      </w:r>
      <w:r w:rsidRPr="005E2C17">
        <w:rPr>
          <w:szCs w:val="22"/>
        </w:rPr>
        <w:t xml:space="preserve">hree domains – ‘Earning a living, Access to services, Social environment – are now covered by six, eight and seven indicators respectively, whilst </w:t>
      </w:r>
      <w:r w:rsidR="00AB6E3B">
        <w:rPr>
          <w:szCs w:val="22"/>
        </w:rPr>
        <w:t>a</w:t>
      </w:r>
      <w:r w:rsidRPr="005E2C17">
        <w:rPr>
          <w:szCs w:val="22"/>
        </w:rPr>
        <w:t xml:space="preserve"> single indicator, citizenship</w:t>
      </w:r>
      <w:r w:rsidR="00AB6E3B">
        <w:rPr>
          <w:szCs w:val="22"/>
        </w:rPr>
        <w:t>,</w:t>
      </w:r>
      <w:r w:rsidRPr="005E2C17">
        <w:rPr>
          <w:szCs w:val="22"/>
        </w:rPr>
        <w:t xml:space="preserve"> is </w:t>
      </w:r>
      <w:r w:rsidR="00AB6E3B">
        <w:rPr>
          <w:szCs w:val="22"/>
        </w:rPr>
        <w:t>provided</w:t>
      </w:r>
      <w:r w:rsidRPr="005E2C17">
        <w:rPr>
          <w:szCs w:val="22"/>
        </w:rPr>
        <w:t xml:space="preserve"> under the domain of Political participation. The 2011 round includes 4 Eurostat and 29 census variables out of which 4 Eurostat indicators and 18 census indicators were devel</w:t>
      </w:r>
      <w:r w:rsidR="00AB6E3B">
        <w:rPr>
          <w:szCs w:val="22"/>
        </w:rPr>
        <w:t>oped.</w:t>
      </w:r>
      <w:r w:rsidR="00A33B46" w:rsidRPr="00A33B46">
        <w:rPr>
          <w:szCs w:val="22"/>
        </w:rPr>
        <w:t xml:space="preserve"> </w:t>
      </w:r>
      <w:r w:rsidR="00A33B46" w:rsidRPr="005E2C17">
        <w:rPr>
          <w:szCs w:val="22"/>
        </w:rPr>
        <w:t>Th</w:t>
      </w:r>
      <w:r w:rsidR="00A33B46">
        <w:rPr>
          <w:szCs w:val="22"/>
        </w:rPr>
        <w:t>us</w:t>
      </w:r>
      <w:r w:rsidR="00A33B46" w:rsidRPr="005E2C17">
        <w:rPr>
          <w:szCs w:val="22"/>
        </w:rPr>
        <w:t xml:space="preserve"> during the course of testing (mapping), the original set of 50 </w:t>
      </w:r>
      <w:r w:rsidR="00A33B46">
        <w:rPr>
          <w:szCs w:val="22"/>
        </w:rPr>
        <w:t xml:space="preserve">(2001) indicators </w:t>
      </w:r>
      <w:r w:rsidR="00A33B46" w:rsidRPr="005E2C17">
        <w:rPr>
          <w:szCs w:val="22"/>
        </w:rPr>
        <w:t xml:space="preserve">was </w:t>
      </w:r>
      <w:r w:rsidR="00A33B46">
        <w:rPr>
          <w:szCs w:val="22"/>
        </w:rPr>
        <w:t>reduced</w:t>
      </w:r>
      <w:r w:rsidR="00A33B46" w:rsidRPr="005E2C17">
        <w:rPr>
          <w:szCs w:val="22"/>
        </w:rPr>
        <w:t xml:space="preserve"> to 22.</w:t>
      </w:r>
    </w:p>
    <w:p w:rsidR="00A33B46" w:rsidRPr="005E2C17" w:rsidRDefault="00A33B46" w:rsidP="00A33B46">
      <w:pPr>
        <w:pStyle w:val="Kommentinteksti"/>
        <w:rPr>
          <w:szCs w:val="22"/>
        </w:rPr>
      </w:pPr>
      <w:r w:rsidRPr="005E2C17">
        <w:rPr>
          <w:szCs w:val="22"/>
        </w:rPr>
        <w:t>As far as NUTS levels are concerned, th</w:t>
      </w:r>
      <w:r>
        <w:rPr>
          <w:szCs w:val="22"/>
        </w:rPr>
        <w:t>e</w:t>
      </w:r>
      <w:r w:rsidRPr="005E2C17">
        <w:rPr>
          <w:szCs w:val="22"/>
        </w:rPr>
        <w:t xml:space="preserve"> indicators calculated from census data are available on NUTS 3 level (18 indicators), </w:t>
      </w:r>
      <w:r>
        <w:rPr>
          <w:szCs w:val="22"/>
        </w:rPr>
        <w:t>whilst those</w:t>
      </w:r>
      <w:r w:rsidRPr="005E2C17">
        <w:rPr>
          <w:szCs w:val="22"/>
        </w:rPr>
        <w:t xml:space="preserve"> calculated from Eurostat data are </w:t>
      </w:r>
      <w:r>
        <w:rPr>
          <w:szCs w:val="22"/>
        </w:rPr>
        <w:t>provided</w:t>
      </w:r>
      <w:r w:rsidRPr="005E2C17">
        <w:rPr>
          <w:szCs w:val="22"/>
        </w:rPr>
        <w:t xml:space="preserve"> on NUTS 2 level (4 indicators). </w:t>
      </w:r>
    </w:p>
    <w:p w:rsidR="00AB6E3B" w:rsidRDefault="005021BF" w:rsidP="005021BF">
      <w:pPr>
        <w:pStyle w:val="Kommentinteksti"/>
        <w:rPr>
          <w:szCs w:val="22"/>
        </w:rPr>
      </w:pPr>
      <w:r w:rsidRPr="005E2C17">
        <w:rPr>
          <w:szCs w:val="22"/>
        </w:rPr>
        <w:t>The two se</w:t>
      </w:r>
      <w:r w:rsidR="00AB6E3B">
        <w:rPr>
          <w:szCs w:val="22"/>
        </w:rPr>
        <w:t>ts</w:t>
      </w:r>
      <w:r w:rsidRPr="005E2C17">
        <w:rPr>
          <w:szCs w:val="22"/>
        </w:rPr>
        <w:t xml:space="preserve"> of indicators </w:t>
      </w:r>
      <w:r w:rsidR="00AB6E3B">
        <w:rPr>
          <w:szCs w:val="22"/>
        </w:rPr>
        <w:t xml:space="preserve">(2001 and 2011) </w:t>
      </w:r>
      <w:r w:rsidR="009C7A0A">
        <w:rPr>
          <w:szCs w:val="22"/>
        </w:rPr>
        <w:t>might be expected to be</w:t>
      </w:r>
      <w:r w:rsidRPr="005E2C17">
        <w:rPr>
          <w:szCs w:val="22"/>
        </w:rPr>
        <w:t xml:space="preserve"> comparable</w:t>
      </w:r>
      <w:r w:rsidR="009C7A0A">
        <w:rPr>
          <w:szCs w:val="22"/>
        </w:rPr>
        <w:t>.</w:t>
      </w:r>
      <w:r w:rsidRPr="005E2C17">
        <w:rPr>
          <w:szCs w:val="22"/>
        </w:rPr>
        <w:t xml:space="preserve"> </w:t>
      </w:r>
      <w:r w:rsidR="009C7A0A">
        <w:rPr>
          <w:szCs w:val="22"/>
        </w:rPr>
        <w:t>However</w:t>
      </w:r>
      <w:r w:rsidRPr="005E2C17">
        <w:rPr>
          <w:szCs w:val="22"/>
        </w:rPr>
        <w:t xml:space="preserve"> in a number of cases, </w:t>
      </w:r>
      <w:r w:rsidR="00AB6E3B">
        <w:rPr>
          <w:szCs w:val="22"/>
        </w:rPr>
        <w:t>gaps in</w:t>
      </w:r>
      <w:r w:rsidRPr="005E2C17">
        <w:rPr>
          <w:szCs w:val="22"/>
        </w:rPr>
        <w:t xml:space="preserve"> geographical coverage</w:t>
      </w:r>
      <w:r w:rsidR="00AB6E3B">
        <w:rPr>
          <w:szCs w:val="22"/>
        </w:rPr>
        <w:t>,</w:t>
      </w:r>
      <w:r w:rsidRPr="005E2C17">
        <w:rPr>
          <w:szCs w:val="22"/>
        </w:rPr>
        <w:t xml:space="preserve"> changes in data collection methods in certain member states </w:t>
      </w:r>
      <w:r w:rsidR="00AB6E3B">
        <w:rPr>
          <w:szCs w:val="22"/>
        </w:rPr>
        <w:t>(</w:t>
      </w:r>
      <w:r w:rsidRPr="005E2C17">
        <w:rPr>
          <w:szCs w:val="22"/>
        </w:rPr>
        <w:t xml:space="preserve"> e.g. shift from conventional to register-based census) and that of NUTS system</w:t>
      </w:r>
      <w:r w:rsidR="009C7A0A">
        <w:rPr>
          <w:szCs w:val="22"/>
        </w:rPr>
        <w:t>, undermine this comparability</w:t>
      </w:r>
      <w:r w:rsidR="00AB6E3B">
        <w:rPr>
          <w:szCs w:val="22"/>
        </w:rPr>
        <w:t>.</w:t>
      </w:r>
    </w:p>
    <w:p w:rsidR="005021BF" w:rsidRPr="005E2C17" w:rsidRDefault="005021BF" w:rsidP="005021BF">
      <w:r w:rsidRPr="005E2C17">
        <w:t xml:space="preserve">The 22 indicators of </w:t>
      </w:r>
      <w:r w:rsidR="009C7A0A">
        <w:t xml:space="preserve">the </w:t>
      </w:r>
      <w:r w:rsidRPr="005E2C17">
        <w:t xml:space="preserve">2001 and 2011 series offered by TiPSE as core territorial indicators available for longitudinal monitoring </w:t>
      </w:r>
      <w:r w:rsidR="009C7A0A">
        <w:t>were</w:t>
      </w:r>
      <w:r w:rsidRPr="005E2C17">
        <w:t xml:space="preserve"> further screened according to their suitability for mapping. The method was developed during the course of macro-regional analysis of 2001 maps, Atlantic and Central European Region (Annex 8) </w:t>
      </w:r>
      <w:r>
        <w:t>using</w:t>
      </w:r>
      <w:r w:rsidRPr="005E2C17">
        <w:t xml:space="preserve"> four criteria: harmonisation already explained above and another three, coverage,  discrimination and interpretation. </w:t>
      </w:r>
      <w:r>
        <w:t>A simple traffic light assessment was employed.</w:t>
      </w:r>
    </w:p>
    <w:p w:rsidR="005021BF" w:rsidRPr="005E2C17" w:rsidRDefault="005021BF" w:rsidP="005021BF">
      <w:pPr>
        <w:numPr>
          <w:ilvl w:val="0"/>
          <w:numId w:val="9"/>
        </w:numPr>
        <w:spacing w:before="0" w:after="120"/>
        <w:ind w:left="714" w:hanging="357"/>
      </w:pPr>
      <w:r w:rsidRPr="005E2C17">
        <w:rPr>
          <w:i/>
        </w:rPr>
        <w:t>Coverage</w:t>
      </w:r>
      <w:r w:rsidRPr="005E2C17">
        <w:t xml:space="preserve"> is simply defined as the proportion of regions/countries for which there is no data. Green means there are few, if any, gaps, and the spatial pattern is not masked by missing data, red means that there are many regions coloured white, and for this reason it is not easy to discern any pattern.</w:t>
      </w:r>
    </w:p>
    <w:p w:rsidR="005021BF" w:rsidRPr="005E2C17" w:rsidRDefault="005021BF" w:rsidP="005021BF">
      <w:pPr>
        <w:numPr>
          <w:ilvl w:val="0"/>
          <w:numId w:val="9"/>
        </w:numPr>
        <w:spacing w:before="0" w:after="120"/>
        <w:ind w:left="714" w:hanging="357"/>
      </w:pPr>
      <w:r w:rsidRPr="005E2C17">
        <w:rPr>
          <w:i/>
        </w:rPr>
        <w:lastRenderedPageBreak/>
        <w:t>Discrimination</w:t>
      </w:r>
      <w:r w:rsidRPr="005E2C17">
        <w:t xml:space="preserve"> is assessed in terms of the degree to which the maps show variation between regions and within countries which provides a meaningful picture of an aspect of social exclusion.</w:t>
      </w:r>
    </w:p>
    <w:p w:rsidR="005021BF" w:rsidRPr="005E2C17" w:rsidRDefault="005021BF" w:rsidP="005021BF">
      <w:pPr>
        <w:numPr>
          <w:ilvl w:val="0"/>
          <w:numId w:val="9"/>
        </w:numPr>
        <w:spacing w:before="0" w:after="120"/>
        <w:ind w:left="714" w:hanging="357"/>
      </w:pPr>
      <w:r w:rsidRPr="005E2C17">
        <w:t xml:space="preserve">The </w:t>
      </w:r>
      <w:r w:rsidRPr="005E2C17">
        <w:rPr>
          <w:i/>
        </w:rPr>
        <w:t>Interpretation</w:t>
      </w:r>
      <w:r w:rsidRPr="005E2C17">
        <w:t xml:space="preserve"> criterion assesses the extent to which the map can inform us about patterns of social exclusion. Here a red colour coding might reflect ambiguities in the indicator, or a chaotic pattern on the map which is not easy to explain. To some extent it will be conditioned by the preceding three criteria.</w:t>
      </w:r>
    </w:p>
    <w:p w:rsidR="005021BF" w:rsidRPr="005E2C17" w:rsidRDefault="005021BF" w:rsidP="005021BF">
      <w:r w:rsidRPr="005E2C17">
        <w:t xml:space="preserve">These three criteria </w:t>
      </w:r>
      <w:r w:rsidR="009C7A0A">
        <w:t>together with three others;</w:t>
      </w:r>
      <w:r w:rsidRPr="005E2C17">
        <w:t xml:space="preserve"> harmonisation issues, the availability of NUTS 3 level data</w:t>
      </w:r>
      <w:r w:rsidR="009C7A0A">
        <w:t>,</w:t>
      </w:r>
      <w:r w:rsidRPr="005E2C17">
        <w:t xml:space="preserve"> and relevance to poverty and social exclusion</w:t>
      </w:r>
      <w:r w:rsidR="009C7A0A">
        <w:t>,</w:t>
      </w:r>
      <w:r w:rsidRPr="005E2C17">
        <w:t xml:space="preserve"> represented the aspects of screening along which qualification via scoring was performed. </w:t>
      </w:r>
      <w:r w:rsidR="000B7AC9">
        <w:t>S</w:t>
      </w:r>
      <w:r w:rsidRPr="005E2C17">
        <w:t>cores were summarized and evaluated by traffic lights. Appendix 6 shows the outcome</w:t>
      </w:r>
      <w:r>
        <w:t>,</w:t>
      </w:r>
      <w:r w:rsidRPr="005E2C17">
        <w:t xml:space="preserve"> reflecting that in spite of the progress between 2001 and 2011 which was a result of improvements in coverage</w:t>
      </w:r>
      <w:r>
        <w:t>,</w:t>
      </w:r>
      <w:r w:rsidRPr="005E2C17">
        <w:t xml:space="preserve"> only 18 indicators reached at least amber: four qualified for green (recommended), 13 indicators were judged amber (recommended with limitations) and the rest, five were “disqualified” by red scores (not recommended).</w:t>
      </w:r>
    </w:p>
    <w:p w:rsidR="005021BF" w:rsidRPr="005E2C17" w:rsidRDefault="005021BF" w:rsidP="005021BF">
      <w:r w:rsidRPr="005E2C17">
        <w:t xml:space="preserve">The fact, however, that the core collection of NUTS-3 level territorial indicators of TiPSE comprises </w:t>
      </w:r>
      <w:r w:rsidR="000B7AC9" w:rsidRPr="005E2C17">
        <w:t xml:space="preserve">exclusively </w:t>
      </w:r>
      <w:r w:rsidRPr="005E2C17">
        <w:t>census data</w:t>
      </w:r>
      <w:r w:rsidR="000B7AC9">
        <w:t>,</w:t>
      </w:r>
      <w:r w:rsidRPr="005E2C17">
        <w:t xml:space="preserve"> sets major limitations, in relation to the </w:t>
      </w:r>
      <w:r w:rsidR="000B7AC9">
        <w:t>process of monitoring,</w:t>
      </w:r>
      <w:r w:rsidRPr="005E2C17">
        <w:t xml:space="preserve"> </w:t>
      </w:r>
      <w:r w:rsidR="000B7AC9">
        <w:t>n</w:t>
      </w:r>
      <w:r w:rsidRPr="005E2C17">
        <w:t xml:space="preserve">ot only because of </w:t>
      </w:r>
      <w:r w:rsidR="000B7AC9">
        <w:t xml:space="preserve">the </w:t>
      </w:r>
      <w:r w:rsidRPr="005E2C17">
        <w:t xml:space="preserve">weak or sometimes ambiguous relevance of a number of indicators </w:t>
      </w:r>
      <w:r w:rsidR="000B7AC9">
        <w:t>(</w:t>
      </w:r>
      <w:r w:rsidRPr="005E2C17">
        <w:t xml:space="preserve">illustrated by Appendix </w:t>
      </w:r>
      <w:r>
        <w:t>6</w:t>
      </w:r>
      <w:r w:rsidR="000B7AC9">
        <w:t>),</w:t>
      </w:r>
      <w:r w:rsidRPr="005E2C17">
        <w:t xml:space="preserve"> but also with regard </w:t>
      </w:r>
      <w:r w:rsidR="000B7AC9">
        <w:t>to the a ten year update cycle</w:t>
      </w:r>
      <w:r w:rsidRPr="005E2C17">
        <w:t xml:space="preserve">. </w:t>
      </w:r>
    </w:p>
    <w:p w:rsidR="005021BF" w:rsidRPr="005E2C17" w:rsidRDefault="005021BF" w:rsidP="005021BF">
      <w:r w:rsidRPr="005E2C17">
        <w:rPr>
          <w:noProof/>
          <w:lang w:val="fi-FI" w:eastAsia="fi-FI"/>
        </w:rPr>
        <w:drawing>
          <wp:inline distT="0" distB="0" distL="0" distR="0" wp14:anchorId="5A6F35B7" wp14:editId="776CA344">
            <wp:extent cx="5838825" cy="4010025"/>
            <wp:effectExtent l="0" t="0" r="0"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4C4F95" w:rsidRPr="00967807" w:rsidRDefault="004C4F95" w:rsidP="004C4F95">
      <w:pPr>
        <w:pStyle w:val="Kuvaotsikko"/>
      </w:pPr>
      <w:bookmarkStart w:id="9" w:name="_Toc400373057"/>
      <w:r>
        <w:lastRenderedPageBreak/>
        <w:t xml:space="preserve">Figure </w:t>
      </w:r>
      <w:fldSimple w:instr=" SEQ Figure \* ARABIC ">
        <w:r>
          <w:rPr>
            <w:noProof/>
          </w:rPr>
          <w:t>1</w:t>
        </w:r>
      </w:fldSimple>
      <w:r>
        <w:rPr>
          <w:noProof/>
        </w:rPr>
        <w:t>:</w:t>
      </w:r>
      <w:r w:rsidRPr="00967807">
        <w:rPr>
          <w:b w:val="0"/>
        </w:rPr>
        <w:t xml:space="preserve"> </w:t>
      </w:r>
      <w:r w:rsidRPr="00967807">
        <w:t xml:space="preserve">Available </w:t>
      </w:r>
      <w:r>
        <w:t>P&amp;SE</w:t>
      </w:r>
      <w:r w:rsidRPr="00967807">
        <w:t xml:space="preserve"> indicators at NUT 2-3 levels</w:t>
      </w:r>
      <w:bookmarkEnd w:id="9"/>
    </w:p>
    <w:p w:rsidR="000B7AC9" w:rsidRDefault="000B7AC9" w:rsidP="000B7AC9">
      <w:r>
        <w:t>Figure 1 summarises the availability of</w:t>
      </w:r>
      <w:r w:rsidRPr="005E2C17">
        <w:t xml:space="preserve"> NUTS 2 level Eurostat </w:t>
      </w:r>
      <w:r>
        <w:t>poverty and social exclusion</w:t>
      </w:r>
      <w:r w:rsidRPr="005E2C17">
        <w:t xml:space="preserve"> indicators available for year by year monitoring and </w:t>
      </w:r>
      <w:r>
        <w:t xml:space="preserve">the </w:t>
      </w:r>
      <w:r w:rsidRPr="005E2C17">
        <w:t xml:space="preserve">NUTS 3 level TiPSE </w:t>
      </w:r>
      <w:r>
        <w:t xml:space="preserve">(Census-based) </w:t>
      </w:r>
      <w:r w:rsidRPr="005E2C17">
        <w:t>collection available for longitudinal comparison between data of 2001 and 2011.</w:t>
      </w:r>
    </w:p>
    <w:p w:rsidR="00F2111E" w:rsidRDefault="00F2111E" w:rsidP="00032B51">
      <w:pPr>
        <w:pStyle w:val="Otsikko1"/>
      </w:pPr>
      <w:bookmarkStart w:id="10" w:name="_Toc400373179"/>
      <w:r>
        <w:t xml:space="preserve">Recommendations </w:t>
      </w:r>
      <w:r w:rsidR="00032B51">
        <w:t>for</w:t>
      </w:r>
      <w:r w:rsidR="00112E49">
        <w:t xml:space="preserve"> Social Exclusion Monitoring</w:t>
      </w:r>
      <w:r w:rsidR="00032B51">
        <w:t xml:space="preserve"> derived from the Review of Policy</w:t>
      </w:r>
      <w:bookmarkEnd w:id="10"/>
    </w:p>
    <w:p w:rsidR="00967807" w:rsidRPr="005E2C17" w:rsidRDefault="00054197" w:rsidP="00967807">
      <w:r>
        <w:t>T</w:t>
      </w:r>
      <w:r w:rsidR="00032B51">
        <w:t xml:space="preserve">his section </w:t>
      </w:r>
      <w:r>
        <w:t xml:space="preserve">derives </w:t>
      </w:r>
      <w:r w:rsidR="00967807" w:rsidRPr="005E2C17">
        <w:t xml:space="preserve">recommendations </w:t>
      </w:r>
      <w:r>
        <w:t xml:space="preserve">from the </w:t>
      </w:r>
      <w:r w:rsidRPr="005E2C17">
        <w:t>Annex 10</w:t>
      </w:r>
      <w:r>
        <w:t xml:space="preserve"> review of </w:t>
      </w:r>
      <w:r w:rsidR="00967807" w:rsidRPr="005E2C17">
        <w:t>policy implications</w:t>
      </w:r>
      <w:r>
        <w:t xml:space="preserve"> in the light of the monitoring arrangements described in section 2 above, and data availability, as reflected in Section 4.</w:t>
      </w:r>
      <w:r w:rsidR="00967807" w:rsidRPr="005E2C17">
        <w:t xml:space="preserve">  We suggest realistic amendments concerning the shortcomings of the present monitoring and evaluation processes of policies related to territorial aspects of social exclusion. Before we start pointing to some weaknesses of the monitoring systems, we </w:t>
      </w:r>
      <w:r w:rsidR="00273F42">
        <w:t>should acknowledge</w:t>
      </w:r>
      <w:r w:rsidR="00967807" w:rsidRPr="005E2C17">
        <w:t xml:space="preserve"> that existing mechanisms of both </w:t>
      </w:r>
      <w:r>
        <w:t>the Social OMC and Cohesion policy</w:t>
      </w:r>
      <w:r w:rsidR="00967807" w:rsidRPr="005E2C17">
        <w:t xml:space="preserve"> are extremely well developed and sensitive to focus on their own, especially in case of </w:t>
      </w:r>
      <w:r>
        <w:t>the former</w:t>
      </w:r>
      <w:r w:rsidR="00967807" w:rsidRPr="005E2C17">
        <w:t xml:space="preserve">. What needs further elaboration and </w:t>
      </w:r>
      <w:r w:rsidR="007B799D">
        <w:t>probably</w:t>
      </w:r>
      <w:r w:rsidR="00967807" w:rsidRPr="005E2C17">
        <w:t xml:space="preserve"> financ</w:t>
      </w:r>
      <w:r w:rsidR="007B799D">
        <w:t>ial support</w:t>
      </w:r>
      <w:r w:rsidR="00967807" w:rsidRPr="005E2C17">
        <w:t xml:space="preserve"> could be summarized under four headlines: </w:t>
      </w:r>
    </w:p>
    <w:p w:rsidR="00967807" w:rsidRPr="005E2C17" w:rsidRDefault="00967807" w:rsidP="005D13B8">
      <w:pPr>
        <w:pStyle w:val="Luettelokappale"/>
        <w:numPr>
          <w:ilvl w:val="0"/>
          <w:numId w:val="15"/>
        </w:numPr>
        <w:spacing w:before="0" w:after="200" w:line="276" w:lineRule="auto"/>
      </w:pPr>
      <w:r w:rsidRPr="005E2C17">
        <w:t xml:space="preserve">broadening the set of data expressing aspects of multidimensional phenomenon of social exclusion </w:t>
      </w:r>
    </w:p>
    <w:p w:rsidR="00967807" w:rsidRPr="00F9372F" w:rsidRDefault="00967807" w:rsidP="005D13B8">
      <w:pPr>
        <w:pStyle w:val="Luettelokappale"/>
        <w:numPr>
          <w:ilvl w:val="0"/>
          <w:numId w:val="15"/>
        </w:numPr>
        <w:spacing w:before="0" w:after="200" w:line="276" w:lineRule="auto"/>
      </w:pPr>
      <w:r w:rsidRPr="005E2C17">
        <w:t xml:space="preserve">increasing the </w:t>
      </w:r>
      <w:r w:rsidRPr="00F9372F">
        <w:t>number of existing and new data accessible as low territorial (NUTS) level as possible</w:t>
      </w:r>
    </w:p>
    <w:p w:rsidR="00967807" w:rsidRPr="00F9372F" w:rsidRDefault="00967807" w:rsidP="005D13B8">
      <w:pPr>
        <w:pStyle w:val="Luettelokappale"/>
        <w:numPr>
          <w:ilvl w:val="0"/>
          <w:numId w:val="15"/>
        </w:numPr>
        <w:spacing w:before="0" w:after="200" w:line="276" w:lineRule="auto"/>
      </w:pPr>
      <w:r w:rsidRPr="00F9372F">
        <w:t>responding to the already mutually expressed interest</w:t>
      </w:r>
      <w:r w:rsidR="007D61B4" w:rsidRPr="00F9372F">
        <w:t xml:space="preserve"> of the bodies in charge of monitoring </w:t>
      </w:r>
      <w:r w:rsidRPr="00F9372F">
        <w:t>towards one another’s core issues</w:t>
      </w:r>
      <w:r w:rsidR="00EF3FD4" w:rsidRPr="00F9372F">
        <w:t>, include actors</w:t>
      </w:r>
      <w:r w:rsidRPr="00F9372F">
        <w:t xml:space="preserve"> and exchange of  experiences (mutual learning)</w:t>
      </w:r>
    </w:p>
    <w:p w:rsidR="00967807" w:rsidRDefault="00967807" w:rsidP="005D13B8">
      <w:pPr>
        <w:pStyle w:val="Luettelokappale"/>
        <w:numPr>
          <w:ilvl w:val="0"/>
          <w:numId w:val="15"/>
        </w:numPr>
        <w:spacing w:before="0" w:after="200" w:line="276" w:lineRule="auto"/>
      </w:pPr>
      <w:r w:rsidRPr="005E2C17">
        <w:t>making the already existing data (indicators) accessible in a more user-friendly manner.</w:t>
      </w:r>
    </w:p>
    <w:p w:rsidR="00507C5B" w:rsidRPr="00F9372F" w:rsidRDefault="007B5CF3" w:rsidP="00967807">
      <w:r w:rsidRPr="00F9372F">
        <w:t xml:space="preserve">1. The overall endeavour of TiPSE </w:t>
      </w:r>
      <w:r w:rsidR="00C85262" w:rsidRPr="00F9372F">
        <w:t xml:space="preserve">addressed the weaknesses in coverage of a social phenomenon of multidimensional nature, that is social exclusion with accessible and reliable indicators. </w:t>
      </w:r>
      <w:r w:rsidR="00595873">
        <w:t>Section</w:t>
      </w:r>
      <w:r w:rsidR="00C85262" w:rsidRPr="00F9372F">
        <w:t xml:space="preserve"> 4 of this paper and Task 6 in Annex 6 illustrates in detail the limitations the </w:t>
      </w:r>
      <w:r w:rsidR="00595873">
        <w:t>researchers</w:t>
      </w:r>
      <w:r w:rsidR="00C85262" w:rsidRPr="00F9372F">
        <w:t xml:space="preserve"> had to face. A number of compromises had to made</w:t>
      </w:r>
      <w:r w:rsidR="002F0B42" w:rsidRPr="00F9372F">
        <w:t xml:space="preserve"> by the team to overcome imbalances in coverage of the domains and dimensions of social exclusion with indicators. This is caused by lacking data sometimes even at NUTS0 level: in case of the domain of ‘Political participation’ one single poorly relevant mapable indicator (citizenship) was found and analysed. Therefore there is a need to adapt data availability to the concept of social exclusion which is complex, multifaceted, multidimensional as Talbot et al. conceptualised in Annex 1.</w:t>
      </w:r>
      <w:r w:rsidR="00C82CDE" w:rsidRPr="00F9372F">
        <w:t xml:space="preserve"> </w:t>
      </w:r>
    </w:p>
    <w:p w:rsidR="00507C5B" w:rsidRPr="00F9372F" w:rsidRDefault="002F0B42" w:rsidP="00967807">
      <w:r w:rsidRPr="00F9372F">
        <w:t xml:space="preserve">Adaptation in this case </w:t>
      </w:r>
      <w:r w:rsidR="00507C5B" w:rsidRPr="00F9372F">
        <w:t xml:space="preserve">has address two weaknesses, </w:t>
      </w:r>
    </w:p>
    <w:p w:rsidR="00507C5B" w:rsidRPr="00F9372F" w:rsidRDefault="00507C5B" w:rsidP="00507C5B">
      <w:pPr>
        <w:pStyle w:val="Luettelokappale"/>
        <w:numPr>
          <w:ilvl w:val="0"/>
          <w:numId w:val="18"/>
        </w:numPr>
      </w:pPr>
      <w:r w:rsidRPr="00F9372F">
        <w:t xml:space="preserve">a </w:t>
      </w:r>
      <w:r w:rsidR="006A38D1" w:rsidRPr="00F9372F">
        <w:t xml:space="preserve">thematic broadening of data collection both from key Eurostat surveys (SILC, LFS) and registers via national statistical institutions (NSI) </w:t>
      </w:r>
      <w:r w:rsidRPr="00F9372F">
        <w:t>mainly in fields of political participation, access to services and social environment;</w:t>
      </w:r>
    </w:p>
    <w:p w:rsidR="00507C5B" w:rsidRPr="00F9372F" w:rsidRDefault="006A38D1" w:rsidP="00507C5B">
      <w:pPr>
        <w:pStyle w:val="Luettelokappale"/>
        <w:numPr>
          <w:ilvl w:val="0"/>
          <w:numId w:val="18"/>
        </w:numPr>
      </w:pPr>
      <w:r w:rsidRPr="00F9372F">
        <w:lastRenderedPageBreak/>
        <w:t xml:space="preserve">widening the size of survey samples in order to be able to make at least NUTS 2 level estimations. </w:t>
      </w:r>
    </w:p>
    <w:p w:rsidR="007B5CF3" w:rsidRPr="00F9372F" w:rsidRDefault="00B764B7" w:rsidP="00507C5B">
      <w:r w:rsidRPr="00F9372F">
        <w:t xml:space="preserve">2. </w:t>
      </w:r>
      <w:r w:rsidR="006A38D1" w:rsidRPr="00F9372F">
        <w:t xml:space="preserve">It is a recommendation out of compromise since Annex 10 pointed out that proper territorial analysis of social exclusion would need regularly issued NUTS 3 level data (p22 Annex 10). </w:t>
      </w:r>
      <w:r w:rsidR="00507C5B" w:rsidRPr="00F9372F">
        <w:t>The job has to be implemented not only in co-operation with MSs but also a suitable division of labour should be developed. Vulnerable social groups and hidden vulnerable spaces could be explored within the reporting processes feeding into the European Semester. Reporting, however generates quite a burden on specific sections of national administrative systems, therefore their scope shoul</w:t>
      </w:r>
      <w:r w:rsidRPr="00F9372F">
        <w:t>d be kept under control. Nevertheless, reporting should be revised and rationalised in a way that regional chapters could be included at least to the National Reform Programs as suggested also by Task 10. (p35 of</w:t>
      </w:r>
      <w:r w:rsidR="00C82CDE" w:rsidRPr="00F9372F">
        <w:t xml:space="preserve"> </w:t>
      </w:r>
      <w:r w:rsidR="00F468C9">
        <w:t>Annex 10</w:t>
      </w:r>
      <w:r w:rsidR="00C82CDE" w:rsidRPr="00F9372F">
        <w:t>.</w:t>
      </w:r>
      <w:r w:rsidRPr="00F9372F">
        <w:t>)</w:t>
      </w:r>
    </w:p>
    <w:p w:rsidR="00507C5B" w:rsidRPr="00F9372F" w:rsidRDefault="00507C5B" w:rsidP="00507C5B"/>
    <w:p w:rsidR="005D13B8" w:rsidRPr="00F9372F" w:rsidRDefault="007B5CF3" w:rsidP="00595873">
      <w:r w:rsidRPr="00F9372F">
        <w:t xml:space="preserve">3. A number of announcements and existing practices underpin that the gates are open for a more </w:t>
      </w:r>
      <w:r w:rsidR="00F9372F" w:rsidRPr="00F9372F">
        <w:t xml:space="preserve">intensive co-operation between </w:t>
      </w:r>
      <w:r w:rsidRPr="00F9372F">
        <w:t>D</w:t>
      </w:r>
      <w:r w:rsidR="00F9372F" w:rsidRPr="00F9372F">
        <w:t>G</w:t>
      </w:r>
      <w:r w:rsidRPr="00F9372F">
        <w:t xml:space="preserve"> Employment, Social Affairs and Inclusion, on the one hand</w:t>
      </w:r>
      <w:r w:rsidR="00595873">
        <w:t>,</w:t>
      </w:r>
      <w:r w:rsidRPr="00F9372F">
        <w:t xml:space="preserve"> and DG Regional and Urban Policy on the other hand. </w:t>
      </w:r>
      <w:r w:rsidR="005D13B8" w:rsidRPr="00F9372F">
        <w:t xml:space="preserve">From among relevant announcements </w:t>
      </w:r>
      <w:r w:rsidRPr="00F9372F">
        <w:t>we quote here a</w:t>
      </w:r>
      <w:r w:rsidR="005D13B8" w:rsidRPr="00F9372F">
        <w:t xml:space="preserve"> 2008 Communication from the Commission on “</w:t>
      </w:r>
      <w:r w:rsidR="005D13B8" w:rsidRPr="00F9372F">
        <w:rPr>
          <w:i/>
        </w:rPr>
        <w:t>A renewed commitment to social Europe: “Regional and local authorities should be better involved in the EU process for social protection and social inclusion</w:t>
      </w:r>
      <w:r w:rsidR="005D13B8" w:rsidRPr="00F9372F">
        <w:t>” (Commission of the European Communities 2008, p8). A</w:t>
      </w:r>
      <w:r w:rsidRPr="00F9372F">
        <w:t>nother supporting evidence is provided by</w:t>
      </w:r>
      <w:r w:rsidR="005D13B8" w:rsidRPr="00F9372F">
        <w:t xml:space="preserve"> a background paper to the SPC</w:t>
      </w:r>
      <w:r w:rsidR="00294CB2" w:rsidRPr="00F9372F">
        <w:t xml:space="preserve"> from an Ad-</w:t>
      </w:r>
      <w:r w:rsidR="005D13B8" w:rsidRPr="00F9372F">
        <w:t xml:space="preserve">hoc </w:t>
      </w:r>
      <w:r w:rsidR="00294CB2" w:rsidRPr="00F9372F">
        <w:t>G</w:t>
      </w:r>
      <w:r w:rsidR="005D13B8" w:rsidRPr="00F9372F">
        <w:t xml:space="preserve">roup on ‘Reinvigorating the Social OMC in context of the Europe 2020 Strategy’ suggests in </w:t>
      </w:r>
      <w:r w:rsidR="00294CB2" w:rsidRPr="00F9372F">
        <w:t xml:space="preserve">a </w:t>
      </w:r>
      <w:r w:rsidR="005D13B8" w:rsidRPr="00F9372F">
        <w:t xml:space="preserve">2011 </w:t>
      </w:r>
      <w:r w:rsidR="00294CB2" w:rsidRPr="00F9372F">
        <w:t xml:space="preserve">report </w:t>
      </w:r>
      <w:r w:rsidR="005D13B8" w:rsidRPr="00F9372F">
        <w:t>that “</w:t>
      </w:r>
      <w:r w:rsidR="005D13B8" w:rsidRPr="00F9372F">
        <w:rPr>
          <w:i/>
        </w:rPr>
        <w:t>some policy dimensions (including the need to monitor the social dimension of the Europe 2020 strategy by the SPC and within the framework of the Social OMC) are not satisfactorily covered in the existing set of indicators</w:t>
      </w:r>
      <w:r w:rsidR="005D13B8" w:rsidRPr="00F9372F">
        <w:t>” therefore indica</w:t>
      </w:r>
      <w:r w:rsidR="00FE706D" w:rsidRPr="00F9372F">
        <w:t>tors s</w:t>
      </w:r>
      <w:r w:rsidR="005D13B8" w:rsidRPr="00F9372F">
        <w:t xml:space="preserve">hould be enhanced with regard </w:t>
      </w:r>
    </w:p>
    <w:p w:rsidR="005D13B8" w:rsidRPr="00F9372F" w:rsidRDefault="005D13B8" w:rsidP="00595873">
      <w:pPr>
        <w:pStyle w:val="Luettelokappale"/>
        <w:numPr>
          <w:ilvl w:val="0"/>
          <w:numId w:val="16"/>
        </w:numPr>
        <w:spacing w:before="0"/>
        <w:rPr>
          <w:szCs w:val="22"/>
        </w:rPr>
      </w:pPr>
      <w:r w:rsidRPr="00F9372F">
        <w:rPr>
          <w:szCs w:val="22"/>
        </w:rPr>
        <w:t xml:space="preserve">monitoring indicators between social, economic, employment and environmental policies </w:t>
      </w:r>
    </w:p>
    <w:p w:rsidR="005D13B8" w:rsidRPr="00F9372F" w:rsidRDefault="005D13B8" w:rsidP="005D13B8">
      <w:pPr>
        <w:pStyle w:val="Luettelokappale"/>
        <w:numPr>
          <w:ilvl w:val="0"/>
          <w:numId w:val="16"/>
        </w:numPr>
        <w:rPr>
          <w:b/>
          <w:bCs/>
          <w:szCs w:val="22"/>
        </w:rPr>
      </w:pPr>
      <w:r w:rsidRPr="00F9372F">
        <w:rPr>
          <w:bCs/>
          <w:szCs w:val="22"/>
        </w:rPr>
        <w:t>the commonly decided thematic priorities</w:t>
      </w:r>
      <w:r w:rsidRPr="00F9372F">
        <w:rPr>
          <w:b/>
          <w:bCs/>
          <w:szCs w:val="22"/>
        </w:rPr>
        <w:t xml:space="preserve"> </w:t>
      </w:r>
    </w:p>
    <w:p w:rsidR="005D13B8" w:rsidRPr="00F9372F" w:rsidRDefault="005D13B8" w:rsidP="005D13B8">
      <w:pPr>
        <w:pStyle w:val="Luettelokappale"/>
        <w:numPr>
          <w:ilvl w:val="0"/>
          <w:numId w:val="16"/>
        </w:numPr>
        <w:rPr>
          <w:szCs w:val="22"/>
        </w:rPr>
      </w:pPr>
      <w:r w:rsidRPr="00F9372F">
        <w:rPr>
          <w:szCs w:val="22"/>
        </w:rPr>
        <w:t>r</w:t>
      </w:r>
      <w:r w:rsidRPr="00F9372F">
        <w:rPr>
          <w:bCs/>
          <w:szCs w:val="22"/>
        </w:rPr>
        <w:t xml:space="preserve">eporting on vulnerable groups </w:t>
      </w:r>
    </w:p>
    <w:p w:rsidR="00FE706D" w:rsidRPr="00F9372F" w:rsidRDefault="00FE706D" w:rsidP="00FE706D">
      <w:pPr>
        <w:rPr>
          <w:szCs w:val="22"/>
        </w:rPr>
      </w:pPr>
      <w:r w:rsidRPr="00F9372F">
        <w:rPr>
          <w:szCs w:val="22"/>
        </w:rPr>
        <w:t>Bringing territorial issues and aspects of social exclusion of vulnerable groups such as migrants, ethnic minorities</w:t>
      </w:r>
      <w:r w:rsidR="00294CB2" w:rsidRPr="00F9372F">
        <w:rPr>
          <w:szCs w:val="22"/>
        </w:rPr>
        <w:t xml:space="preserve"> and overlapping – territorial and social – disadvantages </w:t>
      </w:r>
      <w:r w:rsidRPr="00F9372F">
        <w:rPr>
          <w:szCs w:val="22"/>
        </w:rPr>
        <w:t xml:space="preserve">into the reporting procedure of SPC would be an appropriate response to suggestions of the </w:t>
      </w:r>
      <w:r w:rsidR="00294CB2" w:rsidRPr="00F9372F">
        <w:rPr>
          <w:szCs w:val="22"/>
        </w:rPr>
        <w:t>A</w:t>
      </w:r>
      <w:r w:rsidRPr="00F9372F">
        <w:rPr>
          <w:szCs w:val="22"/>
        </w:rPr>
        <w:t>d</w:t>
      </w:r>
      <w:r w:rsidR="00294CB2" w:rsidRPr="00F9372F">
        <w:rPr>
          <w:szCs w:val="22"/>
        </w:rPr>
        <w:t>-</w:t>
      </w:r>
      <w:r w:rsidRPr="00F9372F">
        <w:rPr>
          <w:szCs w:val="22"/>
        </w:rPr>
        <w:t xml:space="preserve">hoc </w:t>
      </w:r>
      <w:r w:rsidR="00294CB2" w:rsidRPr="00F9372F">
        <w:rPr>
          <w:szCs w:val="22"/>
        </w:rPr>
        <w:t>G</w:t>
      </w:r>
      <w:r w:rsidRPr="00F9372F">
        <w:rPr>
          <w:szCs w:val="22"/>
        </w:rPr>
        <w:t>roup. (Social Protection Community 2011)</w:t>
      </w:r>
    </w:p>
    <w:p w:rsidR="008618D5" w:rsidRPr="00F9372F" w:rsidRDefault="00C01085" w:rsidP="0080653B">
      <w:pPr>
        <w:spacing w:before="0"/>
        <w:rPr>
          <w:lang w:val="hu-HU"/>
        </w:rPr>
      </w:pPr>
      <w:r w:rsidRPr="00F9372F">
        <w:rPr>
          <w:szCs w:val="22"/>
        </w:rPr>
        <w:t>Given that cohesion policies cover social coh</w:t>
      </w:r>
      <w:r w:rsidR="00F9372F" w:rsidRPr="00F9372F">
        <w:rPr>
          <w:szCs w:val="22"/>
        </w:rPr>
        <w:t>esion, social Issues seem well e</w:t>
      </w:r>
      <w:r w:rsidRPr="00F9372F">
        <w:rPr>
          <w:szCs w:val="22"/>
        </w:rPr>
        <w:t xml:space="preserve">mbedded into the monitoring </w:t>
      </w:r>
      <w:r w:rsidR="008618D5" w:rsidRPr="00F9372F">
        <w:rPr>
          <w:szCs w:val="22"/>
        </w:rPr>
        <w:t>procedure:</w:t>
      </w:r>
      <w:r w:rsidRPr="00F9372F">
        <w:rPr>
          <w:szCs w:val="22"/>
        </w:rPr>
        <w:t xml:space="preserve"> </w:t>
      </w:r>
      <w:r w:rsidR="008618D5" w:rsidRPr="00F9372F">
        <w:rPr>
          <w:szCs w:val="22"/>
        </w:rPr>
        <w:t>the set of Commonly Agreed Indicators still cover indicators relevant from the point of view of social policies, the series of ‘</w:t>
      </w:r>
      <w:r w:rsidR="00D02E6A" w:rsidRPr="00F9372F">
        <w:rPr>
          <w:szCs w:val="22"/>
        </w:rPr>
        <w:t>Cohesion Policy Strategy Reports 2013</w:t>
      </w:r>
      <w:r w:rsidR="008618D5" w:rsidRPr="00F9372F">
        <w:rPr>
          <w:szCs w:val="22"/>
        </w:rPr>
        <w:t xml:space="preserve">’ do include volumes exploring topics </w:t>
      </w:r>
      <w:r w:rsidR="00D02E6A" w:rsidRPr="00F9372F">
        <w:rPr>
          <w:szCs w:val="22"/>
        </w:rPr>
        <w:t xml:space="preserve">relevant from the point of view of social exclusion </w:t>
      </w:r>
      <w:r w:rsidR="008618D5" w:rsidRPr="00F9372F">
        <w:rPr>
          <w:szCs w:val="22"/>
        </w:rPr>
        <w:t>such as social inclusion, labour market, human resources. (See the volumes</w:t>
      </w:r>
      <w:r w:rsidR="00D02E6A" w:rsidRPr="00F9372F">
        <w:rPr>
          <w:szCs w:val="22"/>
        </w:rPr>
        <w:t xml:space="preserve"> retrieved in September 15 2014. </w:t>
      </w:r>
      <w:r w:rsidR="008618D5" w:rsidRPr="00F9372F">
        <w:rPr>
          <w:szCs w:val="22"/>
        </w:rPr>
        <w:t xml:space="preserve"> </w:t>
      </w:r>
      <w:hyperlink r:id="rId29" w:history="1">
        <w:r w:rsidR="008618D5" w:rsidRPr="00F9372F">
          <w:rPr>
            <w:rStyle w:val="Hyperlinkki"/>
            <w:lang w:val="hu-HU"/>
          </w:rPr>
          <w:t>http://ec.europa.eu/regional_policy/how/policy/doc/strategic_report/2013/factsheet11_social_inclusion_infra.pdf</w:t>
        </w:r>
      </w:hyperlink>
    </w:p>
    <w:p w:rsidR="008618D5" w:rsidRPr="00F9372F" w:rsidRDefault="00F404A9" w:rsidP="0080653B">
      <w:pPr>
        <w:spacing w:before="0"/>
        <w:rPr>
          <w:lang w:val="hu-HU"/>
        </w:rPr>
      </w:pPr>
      <w:hyperlink r:id="rId30" w:history="1">
        <w:r w:rsidR="008618D5" w:rsidRPr="00F9372F">
          <w:rPr>
            <w:rStyle w:val="Hyperlinkki"/>
            <w:lang w:val="hu-HU"/>
          </w:rPr>
          <w:t>http://ec.europa.eu/regional_policy/how/policy/doc/strategic_report/2013/factsheet10_labour_market.pdf</w:t>
        </w:r>
      </w:hyperlink>
    </w:p>
    <w:p w:rsidR="008618D5" w:rsidRPr="00F9372F" w:rsidRDefault="00F404A9" w:rsidP="0080653B">
      <w:pPr>
        <w:spacing w:before="0"/>
        <w:rPr>
          <w:lang w:val="hu-HU"/>
        </w:rPr>
      </w:pPr>
      <w:hyperlink r:id="rId31" w:history="1">
        <w:r w:rsidR="008618D5" w:rsidRPr="00F9372F">
          <w:rPr>
            <w:rStyle w:val="Hyperlinkki"/>
            <w:lang w:val="hu-HU"/>
          </w:rPr>
          <w:t>http://ec.europa.eu/regional_policy/how/policy/doc/strategic_report/2013/factsheet12_human_capital.pdf</w:t>
        </w:r>
      </w:hyperlink>
      <w:r w:rsidR="008618D5" w:rsidRPr="00F9372F">
        <w:rPr>
          <w:rStyle w:val="Hyperlinkki"/>
          <w:lang w:val="hu-HU"/>
        </w:rPr>
        <w:t>)</w:t>
      </w:r>
    </w:p>
    <w:p w:rsidR="00C01085" w:rsidRPr="00F9372F" w:rsidRDefault="00D02E6A" w:rsidP="00FE706D">
      <w:pPr>
        <w:rPr>
          <w:szCs w:val="22"/>
        </w:rPr>
      </w:pPr>
      <w:r w:rsidRPr="00F9372F">
        <w:rPr>
          <w:szCs w:val="22"/>
        </w:rPr>
        <w:t xml:space="preserve">However, specific vulnerable groups and overlapping territorial and social vulnerabilities are not properly considered. These are the fields that should be discussed in co-operation of experts (network of independent experts of social protection and that of regional development) and bodies </w:t>
      </w:r>
      <w:r w:rsidR="00E45C29" w:rsidRPr="00F9372F">
        <w:rPr>
          <w:szCs w:val="22"/>
        </w:rPr>
        <w:t xml:space="preserve">responsible for social protection </w:t>
      </w:r>
      <w:r w:rsidRPr="00F9372F">
        <w:rPr>
          <w:szCs w:val="22"/>
        </w:rPr>
        <w:t xml:space="preserve">(like SPC, </w:t>
      </w:r>
      <w:r w:rsidR="00E45C29" w:rsidRPr="00F9372F">
        <w:rPr>
          <w:szCs w:val="22"/>
        </w:rPr>
        <w:t>European Platform against Poverty and Social Exclusion</w:t>
      </w:r>
      <w:r w:rsidRPr="00F9372F">
        <w:rPr>
          <w:szCs w:val="22"/>
        </w:rPr>
        <w:t>)</w:t>
      </w:r>
      <w:r w:rsidR="00E45C29" w:rsidRPr="00F9372F">
        <w:rPr>
          <w:szCs w:val="22"/>
        </w:rPr>
        <w:t>,</w:t>
      </w:r>
      <w:r w:rsidRPr="00F9372F">
        <w:rPr>
          <w:szCs w:val="22"/>
        </w:rPr>
        <w:t xml:space="preserve"> </w:t>
      </w:r>
      <w:r w:rsidR="00E45C29" w:rsidRPr="00F9372F">
        <w:rPr>
          <w:szCs w:val="22"/>
        </w:rPr>
        <w:t xml:space="preserve">regional and rural development policies (Regional Development Committee, Committee of the regions, DG Agriculture and DG Regio). The ultimate goal is, if course, not only to explore vulnerable groups and places, more broadly, the territorial, social and economic interplays as determinants of social exclusion but also to develop </w:t>
      </w:r>
      <w:r w:rsidR="00856A84" w:rsidRPr="00F9372F">
        <w:rPr>
          <w:szCs w:val="22"/>
        </w:rPr>
        <w:t xml:space="preserve">tailored </w:t>
      </w:r>
      <w:r w:rsidR="00E45C29" w:rsidRPr="00F9372F">
        <w:rPr>
          <w:szCs w:val="22"/>
        </w:rPr>
        <w:t>policy interventions</w:t>
      </w:r>
      <w:r w:rsidR="00856A84" w:rsidRPr="00F9372F">
        <w:rPr>
          <w:szCs w:val="22"/>
        </w:rPr>
        <w:t>. As Task 2.10 (Annex 10) pointed out, important steps have been taken by the European Union by setting EU2020 targets and thematic priorities to European Social and Investment Funds (ESIF)</w:t>
      </w:r>
      <w:r w:rsidR="005F3CCC" w:rsidRPr="00F9372F">
        <w:rPr>
          <w:szCs w:val="22"/>
        </w:rPr>
        <w:t xml:space="preserve"> </w:t>
      </w:r>
      <w:r w:rsidR="006918FC" w:rsidRPr="00F9372F">
        <w:rPr>
          <w:szCs w:val="22"/>
        </w:rPr>
        <w:t xml:space="preserve">with no 6 </w:t>
      </w:r>
      <w:r w:rsidR="005F3CCC" w:rsidRPr="00F9372F">
        <w:rPr>
          <w:rFonts w:cs="Arial"/>
          <w:szCs w:val="22"/>
        </w:rPr>
        <w:t>‘promoting social inclusion, combating poverty and any discrimination’ amongst them, the minimum 20% spending of European Social Fund on social inclusion and also methodological issues, such as the extension of participatory approaches to development</w:t>
      </w:r>
      <w:r w:rsidR="005F3CCC" w:rsidRPr="00F9372F">
        <w:rPr>
          <w:szCs w:val="22"/>
        </w:rPr>
        <w:t xml:space="preserve"> like CLLD. (</w:t>
      </w:r>
      <w:r w:rsidR="00F468C9">
        <w:rPr>
          <w:szCs w:val="22"/>
        </w:rPr>
        <w:t xml:space="preserve">Annex 10 </w:t>
      </w:r>
      <w:r w:rsidR="00430B63" w:rsidRPr="00F9372F">
        <w:rPr>
          <w:szCs w:val="22"/>
        </w:rPr>
        <w:t>p6</w:t>
      </w:r>
      <w:r w:rsidR="005F3CCC" w:rsidRPr="00F9372F">
        <w:rPr>
          <w:szCs w:val="22"/>
        </w:rPr>
        <w:t xml:space="preserve">) However, what is suggested by the Commission is not always used </w:t>
      </w:r>
      <w:r w:rsidR="006918FC" w:rsidRPr="00F9372F">
        <w:rPr>
          <w:szCs w:val="22"/>
        </w:rPr>
        <w:t xml:space="preserve">by member states: it </w:t>
      </w:r>
      <w:r w:rsidR="005F3CCC" w:rsidRPr="00F9372F">
        <w:rPr>
          <w:szCs w:val="22"/>
        </w:rPr>
        <w:t xml:space="preserve">is well illustrated by the scarce application of CLLD amongst the most vulnerable </w:t>
      </w:r>
      <w:r w:rsidR="006918FC" w:rsidRPr="00F9372F">
        <w:rPr>
          <w:szCs w:val="22"/>
        </w:rPr>
        <w:t>MSs</w:t>
      </w:r>
      <w:r w:rsidR="005F3CCC" w:rsidRPr="00F9372F">
        <w:rPr>
          <w:szCs w:val="22"/>
        </w:rPr>
        <w:t>. (Hungary for example decided to stay with LEADER and not opt for CLLD and spend</w:t>
      </w:r>
      <w:r w:rsidR="006918FC" w:rsidRPr="00F9372F">
        <w:rPr>
          <w:szCs w:val="22"/>
        </w:rPr>
        <w:t>s</w:t>
      </w:r>
      <w:r w:rsidR="005F3CCC" w:rsidRPr="00F9372F">
        <w:rPr>
          <w:szCs w:val="22"/>
        </w:rPr>
        <w:t xml:space="preserve"> as little as 5% of the allocated budget of </w:t>
      </w:r>
      <w:r w:rsidR="006918FC" w:rsidRPr="00F9372F">
        <w:rPr>
          <w:szCs w:val="22"/>
        </w:rPr>
        <w:t xml:space="preserve">EAFRD for it. Another detail from the accepted Partnership Agreement: the share of thematic priority no 6 in EAFRDF budget targeting specifically rural poverty and social exclusion is 1,3%).  (Európai Bizottság 2014)  </w:t>
      </w:r>
    </w:p>
    <w:p w:rsidR="00967807" w:rsidRPr="00F9372F" w:rsidRDefault="005D13B8" w:rsidP="00967807">
      <w:r w:rsidRPr="00F9372F">
        <w:t>Finally</w:t>
      </w:r>
      <w:r w:rsidR="00967807" w:rsidRPr="00F9372F">
        <w:t xml:space="preserve">, providing better, more user friendly access to available data probably needs least efforts comparing to the former three, it is </w:t>
      </w:r>
      <w:r w:rsidR="007B799D" w:rsidRPr="00F9372F">
        <w:t>still</w:t>
      </w:r>
      <w:r w:rsidR="00967807" w:rsidRPr="00F9372F">
        <w:t xml:space="preserve"> important. Census data collection in </w:t>
      </w:r>
      <w:r w:rsidR="007B799D" w:rsidRPr="00F9372F">
        <w:t xml:space="preserve">the </w:t>
      </w:r>
      <w:r w:rsidR="00967807" w:rsidRPr="00F9372F">
        <w:t xml:space="preserve">TiPSE project for both 2001 and 2011 was performed by using national census databases. However, a regional census database for 2001 from Eurostat is accessible, it is quite incomplete. </w:t>
      </w:r>
      <w:r w:rsidR="007B799D" w:rsidRPr="00F9372F">
        <w:t xml:space="preserve">The new </w:t>
      </w:r>
      <w:r w:rsidR="00967807" w:rsidRPr="00F9372F">
        <w:t>Eurostat Census</w:t>
      </w:r>
      <w:r w:rsidR="007B799D" w:rsidRPr="00F9372F">
        <w:t xml:space="preserve"> </w:t>
      </w:r>
      <w:r w:rsidR="00967807" w:rsidRPr="00F9372F">
        <w:t>Hub with 2011 data was launched in mid-2014 and it is accessible on an experimental basis with an incomplete set of data. These databases are very useful for a cross-European comparison at lower regional levels, but they should be complete</w:t>
      </w:r>
      <w:r w:rsidR="007B799D" w:rsidRPr="00F9372F">
        <w:t>d</w:t>
      </w:r>
      <w:r w:rsidR="00967807" w:rsidRPr="00F9372F">
        <w:t xml:space="preserve"> in order to reduce </w:t>
      </w:r>
      <w:r w:rsidR="007B799D" w:rsidRPr="00F9372F">
        <w:t xml:space="preserve">the </w:t>
      </w:r>
      <w:r w:rsidR="00967807" w:rsidRPr="00F9372F">
        <w:t xml:space="preserve">costs and workload </w:t>
      </w:r>
      <w:r w:rsidR="007B799D" w:rsidRPr="00F9372F">
        <w:t>required</w:t>
      </w:r>
      <w:r w:rsidR="00967807" w:rsidRPr="00F9372F">
        <w:t xml:space="preserve"> perform data collection from national sources.</w:t>
      </w:r>
    </w:p>
    <w:p w:rsidR="00967807" w:rsidRPr="00F9372F" w:rsidRDefault="00967807" w:rsidP="00967807">
      <w:r w:rsidRPr="00F9372F">
        <w:t>Another easily achievable step towards user friendliness would be if annual reports of Employment and Social Protection Committees published data and charts in excel format, too, tak</w:t>
      </w:r>
      <w:r w:rsidR="007B799D" w:rsidRPr="00F9372F">
        <w:t>ing</w:t>
      </w:r>
      <w:r w:rsidRPr="00F9372F">
        <w:t xml:space="preserve"> the example from </w:t>
      </w:r>
      <w:r w:rsidR="007B799D" w:rsidRPr="00F9372F">
        <w:t xml:space="preserve">the </w:t>
      </w:r>
      <w:r w:rsidRPr="00F9372F">
        <w:t>cohesion reports.</w:t>
      </w:r>
    </w:p>
    <w:p w:rsidR="00967807" w:rsidRPr="005E2C17" w:rsidRDefault="00F2447A" w:rsidP="00967807">
      <w:r w:rsidRPr="00F9372F">
        <w:t xml:space="preserve">Appendix 7 to this report </w:t>
      </w:r>
      <w:r w:rsidR="00967807" w:rsidRPr="00F9372F">
        <w:t>presents the recommendations already proposed in Annex 10, but elaborates them in terms of their monitoring implications</w:t>
      </w:r>
      <w:r w:rsidRPr="00F9372F">
        <w:t xml:space="preserve"> and practices</w:t>
      </w:r>
      <w:r w:rsidR="00967807" w:rsidRPr="00F9372F">
        <w:t>.</w:t>
      </w:r>
    </w:p>
    <w:p w:rsidR="00DD2C8D" w:rsidRPr="005E2C17" w:rsidRDefault="00595873" w:rsidP="00F9372F">
      <w:pPr>
        <w:pStyle w:val="Otsikko1"/>
      </w:pPr>
      <w:bookmarkStart w:id="11" w:name="_Toc400373180"/>
      <w:r>
        <w:lastRenderedPageBreak/>
        <w:t>Key action points</w:t>
      </w:r>
      <w:bookmarkEnd w:id="11"/>
    </w:p>
    <w:p w:rsidR="00595873" w:rsidRDefault="00595873" w:rsidP="00595873">
      <w:r>
        <w:t>The preceding pages cover a lot of ground, across a wide and complex landscape of administrative structures</w:t>
      </w:r>
      <w:r w:rsidR="00375BE9">
        <w:t>, policy activities, and data collection. Any attempt to summarise it is doomed to fail by omitting many vital details. However the following broad principles may help by drawing out common threads from the detailed discussion above.</w:t>
      </w:r>
    </w:p>
    <w:p w:rsidR="00375BE9" w:rsidRDefault="00375BE9" w:rsidP="00595873">
      <w:r>
        <w:t>The three kinds of activity which are recommended are as follows:</w:t>
      </w:r>
    </w:p>
    <w:p w:rsidR="00375BE9" w:rsidRDefault="00375BE9" w:rsidP="00375BE9">
      <w:pPr>
        <w:pStyle w:val="Luettelokappale"/>
        <w:numPr>
          <w:ilvl w:val="0"/>
          <w:numId w:val="25"/>
        </w:numPr>
      </w:pPr>
      <w:r>
        <w:t xml:space="preserve">Broadening the scope of social exclusion monitoring to include </w:t>
      </w:r>
      <w:r w:rsidR="006425F0">
        <w:t xml:space="preserve">more </w:t>
      </w:r>
      <w:r>
        <w:t xml:space="preserve">indicators relating to less tangible aspects of </w:t>
      </w:r>
      <w:r w:rsidR="006425F0">
        <w:t xml:space="preserve">P&amp;SE </w:t>
      </w:r>
      <w:r>
        <w:t>domains 2-4.</w:t>
      </w:r>
    </w:p>
    <w:p w:rsidR="00375BE9" w:rsidRDefault="00375BE9" w:rsidP="00375BE9">
      <w:pPr>
        <w:pStyle w:val="Luettelokappale"/>
        <w:numPr>
          <w:ilvl w:val="0"/>
          <w:numId w:val="25"/>
        </w:numPr>
      </w:pPr>
      <w:r>
        <w:t>Increasing the level of regional detail – ideally to NUTS 3</w:t>
      </w:r>
      <w:r w:rsidR="004F61B9">
        <w:t>, but where this is not feasible in terms of cost or practicalities of sampling, to NUTS 2.</w:t>
      </w:r>
    </w:p>
    <w:p w:rsidR="004F61B9" w:rsidRDefault="004F61B9" w:rsidP="00375BE9">
      <w:pPr>
        <w:pStyle w:val="Luettelokappale"/>
        <w:numPr>
          <w:ilvl w:val="0"/>
          <w:numId w:val="25"/>
        </w:numPr>
      </w:pPr>
      <w:r>
        <w:t xml:space="preserve">To make full use of the </w:t>
      </w:r>
      <w:r w:rsidR="006425F0">
        <w:t>regional</w:t>
      </w:r>
      <w:r>
        <w:t xml:space="preserve"> monitoring data </w:t>
      </w:r>
      <w:r w:rsidR="006425F0">
        <w:t>in the context of</w:t>
      </w:r>
      <w:r>
        <w:t xml:space="preserve"> reporting procedures </w:t>
      </w:r>
      <w:r w:rsidR="006425F0">
        <w:t xml:space="preserve">relating to EU 2020, </w:t>
      </w:r>
      <w:r>
        <w:t>the EU Social OMC</w:t>
      </w:r>
      <w:r w:rsidR="006425F0">
        <w:t>,</w:t>
      </w:r>
      <w:r>
        <w:t xml:space="preserve"> and Cohesion</w:t>
      </w:r>
      <w:r w:rsidRPr="004F61B9">
        <w:t xml:space="preserve"> </w:t>
      </w:r>
      <w:r>
        <w:t>policy</w:t>
      </w:r>
    </w:p>
    <w:p w:rsidR="004F61B9" w:rsidRDefault="004F61B9" w:rsidP="004F61B9">
      <w:r>
        <w:t>The first two activities above are inter-related, in the sense that the current focus upon the first domain privileges the geographical distribution of income and employment aspects of social exclusion in policy targeting. It is important that the geographical specificities of the other three domains are more adequately reflected in the design and implementation</w:t>
      </w:r>
      <w:r w:rsidR="00BF3BF9">
        <w:t xml:space="preserve"> of future interventions.</w:t>
      </w:r>
    </w:p>
    <w:p w:rsidR="00BF3BF9" w:rsidRDefault="004F61B9" w:rsidP="004F61B9">
      <w:r>
        <w:t xml:space="preserve">In terms of how such data needs may be satisfied in practice there appears to be a natural distinction between the relatively “hard” and quantified </w:t>
      </w:r>
      <w:r w:rsidR="00BF3BF9">
        <w:t>indicators of income poverty, and the more qualitative aspects of social exclusion:</w:t>
      </w:r>
    </w:p>
    <w:p w:rsidR="004F61B9" w:rsidRDefault="00BF3BF9" w:rsidP="00BF3BF9">
      <w:pPr>
        <w:pStyle w:val="Luettelokappale"/>
        <w:numPr>
          <w:ilvl w:val="0"/>
          <w:numId w:val="26"/>
        </w:numPr>
      </w:pPr>
      <w:r>
        <w:t>In the case of the former we believe that there would be merit to exploring the potential for rolling out register-based regional databases for key indicators of income poverty (on the Nordic model). These would ideally be made accessible to researchers, and the general public</w:t>
      </w:r>
      <w:r w:rsidR="006425F0">
        <w:t>,</w:t>
      </w:r>
      <w:r>
        <w:t xml:space="preserve"> through the medium of a Eurostat “hub”, similar to that already being piloted for Census data.</w:t>
      </w:r>
    </w:p>
    <w:p w:rsidR="00BF3BF9" w:rsidRDefault="00BF3BF9" w:rsidP="00BF3BF9">
      <w:pPr>
        <w:pStyle w:val="Luettelokappale"/>
        <w:numPr>
          <w:ilvl w:val="0"/>
          <w:numId w:val="26"/>
        </w:numPr>
      </w:pPr>
      <w:r>
        <w:t>The register model is probably not appropriate for collecting indicators of the more qualitative aspects of social exclusion (particularly domains 2-4). Thes</w:t>
      </w:r>
      <w:r w:rsidR="000B51AD">
        <w:t>e</w:t>
      </w:r>
      <w:r>
        <w:t xml:space="preserve"> </w:t>
      </w:r>
      <w:r w:rsidR="000B51AD">
        <w:t xml:space="preserve">probably </w:t>
      </w:r>
      <w:r>
        <w:t xml:space="preserve">require </w:t>
      </w:r>
      <w:r w:rsidR="000B51AD">
        <w:t>a survey approach. The EU SILC survey currently has a predominantly financial architecture, but consideration should be given to broadening/deepening its coverage of “living conditions” aspects. Furthermore, it would be extremely helpful if, on the financial side, more information on the cost of a range of essentials could form the basis of an indicator of living costs. At the same time it will be important to deliver the regional sampling enhancement mentioned above under activity (ii).</w:t>
      </w:r>
    </w:p>
    <w:p w:rsidR="004F61B9" w:rsidRDefault="00220E58" w:rsidP="004F61B9">
      <w:r>
        <w:t xml:space="preserve">Clearly this is a substantial list of recommendations, the cost of which will not be insignificant. However the rewards in terms of more cost effective policy targeting would also be substantial, and at least some of the required changes (such as a shift </w:t>
      </w:r>
      <w:r>
        <w:lastRenderedPageBreak/>
        <w:t>to register based income poverty monitoring) would be following existing trends, and making better use of existing data and information handling capacity.</w:t>
      </w:r>
    </w:p>
    <w:p w:rsidR="006425F0" w:rsidRDefault="006425F0" w:rsidP="004F61B9"/>
    <w:p w:rsidR="00967807" w:rsidRPr="005E2C17" w:rsidRDefault="00967807" w:rsidP="00967807">
      <w:pPr>
        <w:pStyle w:val="Otsikko1"/>
        <w:numPr>
          <w:ilvl w:val="0"/>
          <w:numId w:val="0"/>
        </w:numPr>
      </w:pPr>
      <w:bookmarkStart w:id="12" w:name="_Toc400373181"/>
      <w:r w:rsidRPr="005E2C17">
        <w:t>References</w:t>
      </w:r>
      <w:bookmarkEnd w:id="12"/>
    </w:p>
    <w:p w:rsidR="00967807" w:rsidRPr="005E2C17" w:rsidRDefault="00967807" w:rsidP="00967807">
      <w:pPr>
        <w:rPr>
          <w:b/>
        </w:rPr>
      </w:pPr>
    </w:p>
    <w:p w:rsidR="00AA2CBE" w:rsidRPr="00F468C9" w:rsidRDefault="00967807" w:rsidP="00AA2CBE">
      <w:pPr>
        <w:rPr>
          <w:rFonts w:cs="Arial"/>
          <w:szCs w:val="22"/>
        </w:rPr>
      </w:pPr>
      <w:r w:rsidRPr="00F468C9">
        <w:rPr>
          <w:rFonts w:cs="Arial"/>
          <w:szCs w:val="22"/>
        </w:rPr>
        <w:t xml:space="preserve">Commission of the European Communities 2003, </w:t>
      </w:r>
      <w:r w:rsidRPr="00F468C9">
        <w:rPr>
          <w:rFonts w:cs="Arial"/>
          <w:i/>
          <w:szCs w:val="22"/>
        </w:rPr>
        <w:t>Communication from the Commission to the Council, the European Parliament, the European Economic and Social Committee, and the Committee of the Regions Strengthening the social dimension of the Lisbon strategy: Streamlining open method of coordination in the field of social protection</w:t>
      </w:r>
      <w:r w:rsidRPr="00F468C9">
        <w:rPr>
          <w:rFonts w:cs="Arial"/>
          <w:szCs w:val="22"/>
        </w:rPr>
        <w:t>. Com(2003) 261 final, Brussels, 27.05.2003</w:t>
      </w:r>
    </w:p>
    <w:p w:rsidR="00AA2CBE" w:rsidRPr="00F468C9" w:rsidRDefault="00967807" w:rsidP="00AA2CBE">
      <w:pPr>
        <w:rPr>
          <w:rFonts w:cs="Arial"/>
          <w:szCs w:val="22"/>
        </w:rPr>
      </w:pPr>
      <w:r w:rsidRPr="00F468C9">
        <w:rPr>
          <w:rFonts w:cs="Arial"/>
          <w:szCs w:val="22"/>
        </w:rPr>
        <w:t xml:space="preserve">Commission of the European Communities 2005, </w:t>
      </w:r>
      <w:r w:rsidRPr="00F468C9">
        <w:rPr>
          <w:rFonts w:cs="Arial"/>
          <w:i/>
          <w:szCs w:val="22"/>
        </w:rPr>
        <w:t>Communication from the Commission to the Council, the European Parliament, the European Economic and Social Committee, and the Committee of the Regions.  Working together, working better: A new framework for the open coordination of social protection and inclusion policies in the European Union</w:t>
      </w:r>
      <w:r w:rsidRPr="00F468C9">
        <w:rPr>
          <w:rFonts w:cs="Arial"/>
          <w:szCs w:val="22"/>
        </w:rPr>
        <w:t>, Com(2005) 706 final, Brussels, 22.12.2005</w:t>
      </w:r>
    </w:p>
    <w:p w:rsidR="007B77EB" w:rsidRPr="00F468C9" w:rsidRDefault="007B77EB" w:rsidP="00D34974">
      <w:pPr>
        <w:rPr>
          <w:rFonts w:cs="Arial"/>
          <w:szCs w:val="22"/>
        </w:rPr>
      </w:pPr>
      <w:r w:rsidRPr="00F468C9">
        <w:rPr>
          <w:rFonts w:cs="Arial"/>
          <w:szCs w:val="22"/>
        </w:rPr>
        <w:t xml:space="preserve">Commission of the European Communities 2003, </w:t>
      </w:r>
      <w:r w:rsidRPr="00F468C9">
        <w:rPr>
          <w:rFonts w:cs="Arial"/>
          <w:i/>
          <w:szCs w:val="22"/>
        </w:rPr>
        <w:t xml:space="preserve">Communication from the Commission to the Council, the European Parliament, the European Economic and Social Committee, and the Committee of the Regions </w:t>
      </w:r>
      <w:r w:rsidR="00D34974" w:rsidRPr="00F468C9">
        <w:rPr>
          <w:rFonts w:cs="Arial"/>
          <w:i/>
          <w:szCs w:val="22"/>
        </w:rPr>
        <w:t xml:space="preserve">"A renewed commitment to social Europe: Reinforcing the Open Method of Coordination for Social Protection and Social Inclusion". </w:t>
      </w:r>
      <w:r w:rsidR="00D34974" w:rsidRPr="00F468C9">
        <w:rPr>
          <w:rFonts w:cs="Arial"/>
          <w:szCs w:val="22"/>
        </w:rPr>
        <w:t>Com(2008) 418 final, Brussels, 2.7.2008</w:t>
      </w:r>
    </w:p>
    <w:p w:rsidR="00967807" w:rsidRPr="00F468C9" w:rsidRDefault="00967807" w:rsidP="00AA2CBE">
      <w:pPr>
        <w:rPr>
          <w:rFonts w:cs="Arial"/>
          <w:szCs w:val="22"/>
        </w:rPr>
      </w:pPr>
      <w:r w:rsidRPr="00F468C9">
        <w:rPr>
          <w:rFonts w:cs="Arial"/>
          <w:szCs w:val="22"/>
        </w:rPr>
        <w:t xml:space="preserve">Commission of the European Communities, Eurostat 2003, </w:t>
      </w:r>
      <w:r w:rsidRPr="00F468C9">
        <w:rPr>
          <w:rFonts w:cs="Arial"/>
          <w:i/>
          <w:szCs w:val="22"/>
        </w:rPr>
        <w:t>Laeken Indicators – Detailed Calculation Methodolog</w:t>
      </w:r>
      <w:r w:rsidRPr="00F468C9">
        <w:rPr>
          <w:rFonts w:cs="Arial"/>
          <w:szCs w:val="22"/>
        </w:rPr>
        <w:t>y. Working Group ‘Statistics on Income, Poverty and Social Exclusion’, 28-29 April 2003. Doc.E2/IPSE/2003</w:t>
      </w:r>
    </w:p>
    <w:p w:rsidR="00AA2CBE" w:rsidRPr="00F468C9" w:rsidRDefault="00967807" w:rsidP="00932FBE">
      <w:pPr>
        <w:spacing w:before="0"/>
        <w:rPr>
          <w:rFonts w:cs="Arial"/>
          <w:szCs w:val="22"/>
        </w:rPr>
      </w:pPr>
      <w:r w:rsidRPr="00F468C9">
        <w:rPr>
          <w:rFonts w:cs="Arial"/>
          <w:szCs w:val="22"/>
        </w:rPr>
        <w:t>http://www.cso.ie/en/media/csoie/eusilc/documents/Laeken,Indicators,-,calculation,algorithm.pdf</w:t>
      </w:r>
    </w:p>
    <w:p w:rsidR="00AA2CBE" w:rsidRPr="00F468C9" w:rsidRDefault="00967807" w:rsidP="00AA2CBE">
      <w:pPr>
        <w:rPr>
          <w:rFonts w:cs="Arial"/>
          <w:szCs w:val="22"/>
        </w:rPr>
      </w:pPr>
      <w:r w:rsidRPr="00F468C9">
        <w:rPr>
          <w:rFonts w:cs="Arial"/>
          <w:szCs w:val="22"/>
        </w:rPr>
        <w:t xml:space="preserve">Commission of the European Communities 2013, </w:t>
      </w:r>
      <w:r w:rsidRPr="00F468C9">
        <w:rPr>
          <w:rFonts w:cs="Arial"/>
          <w:i/>
          <w:szCs w:val="22"/>
        </w:rPr>
        <w:t>Report from the Commission to the European Parliament, the Council, the European Economic and Social Committee, and the Committee of the Regions.</w:t>
      </w:r>
      <w:r w:rsidRPr="00F468C9">
        <w:rPr>
          <w:rFonts w:cs="Arial"/>
          <w:szCs w:val="22"/>
        </w:rPr>
        <w:t xml:space="preserve"> Cohesion policy: Strategic report 2013 on programme implementation 2007-2013. Com(2013) 2010 final, Brussels, 18.04.2013 </w:t>
      </w:r>
      <w:hyperlink r:id="rId32" w:history="1">
        <w:r w:rsidRPr="00F468C9">
          <w:rPr>
            <w:rStyle w:val="Hyperlinkki"/>
            <w:rFonts w:cs="Arial"/>
            <w:color w:val="auto"/>
            <w:szCs w:val="22"/>
            <w:lang w:val="hu-HU"/>
          </w:rPr>
          <w:t>http://ec.europa.eu/regional_policy/how/policy/doc/strategic_report/2013/swd_strat_report_2013_en.pdf</w:t>
        </w:r>
      </w:hyperlink>
    </w:p>
    <w:p w:rsidR="00AA2CBE" w:rsidRPr="00F468C9" w:rsidRDefault="00AA2CBE" w:rsidP="00AA2CBE">
      <w:pPr>
        <w:rPr>
          <w:rFonts w:cs="Arial"/>
          <w:szCs w:val="22"/>
        </w:rPr>
      </w:pPr>
      <w:r w:rsidRPr="00F468C9">
        <w:rPr>
          <w:rFonts w:cs="Arial"/>
          <w:szCs w:val="22"/>
        </w:rPr>
        <w:t xml:space="preserve">Copus, A. K. &amp; Coombes, M. 2014. Small Area Estimation of At Risk of Poverty Rates. </w:t>
      </w:r>
      <w:r w:rsidRPr="00F468C9">
        <w:rPr>
          <w:rFonts w:cs="Arial"/>
          <w:i/>
          <w:szCs w:val="22"/>
        </w:rPr>
        <w:t>Second ESPON 2013 Scientific Report</w:t>
      </w:r>
      <w:r w:rsidRPr="00F468C9">
        <w:rPr>
          <w:rFonts w:cs="Arial"/>
          <w:szCs w:val="22"/>
        </w:rPr>
        <w:t>. Luxemburg: ESPON 2013 Coordination Unit.</w:t>
      </w:r>
    </w:p>
    <w:p w:rsidR="00AA2CBE" w:rsidRPr="00F468C9" w:rsidRDefault="00967807" w:rsidP="00AA2CBE">
      <w:pPr>
        <w:rPr>
          <w:rFonts w:cs="Arial"/>
          <w:szCs w:val="22"/>
        </w:rPr>
      </w:pPr>
      <w:r w:rsidRPr="00F468C9">
        <w:rPr>
          <w:rFonts w:cs="Arial"/>
          <w:szCs w:val="22"/>
        </w:rPr>
        <w:t>Czirfusz M. in collaboration with Kovács K. and Tagai G. (2014): Development and mapping social exclusion indicators. Annex 6 of the TiPSE Final Report</w:t>
      </w:r>
    </w:p>
    <w:p w:rsidR="00AA2CBE" w:rsidRPr="00F468C9" w:rsidRDefault="00967807" w:rsidP="00AA2CBE">
      <w:pPr>
        <w:rPr>
          <w:rFonts w:cs="Arial"/>
          <w:szCs w:val="22"/>
        </w:rPr>
      </w:pPr>
      <w:r w:rsidRPr="00F468C9">
        <w:rPr>
          <w:rFonts w:cs="Arial"/>
          <w:szCs w:val="22"/>
        </w:rPr>
        <w:lastRenderedPageBreak/>
        <w:t xml:space="preserve">Directorate-General for Employment, Social Affairs and Inclusion and Social Protection Committee (2012), </w:t>
      </w:r>
      <w:r w:rsidRPr="00F468C9">
        <w:rPr>
          <w:rFonts w:cs="Arial"/>
          <w:i/>
          <w:szCs w:val="22"/>
        </w:rPr>
        <w:t>The pension adequacy in the European Union 2010-2050</w:t>
      </w:r>
      <w:r w:rsidRPr="00F468C9">
        <w:rPr>
          <w:rFonts w:cs="Arial"/>
          <w:szCs w:val="22"/>
        </w:rPr>
        <w:t>.</w:t>
      </w:r>
    </w:p>
    <w:p w:rsidR="006918FC" w:rsidRPr="00F468C9" w:rsidRDefault="006918FC" w:rsidP="006918FC">
      <w:pPr>
        <w:rPr>
          <w:rFonts w:cs="Arial"/>
          <w:szCs w:val="22"/>
          <w:lang w:eastAsia="en-GB"/>
        </w:rPr>
      </w:pPr>
      <w:r w:rsidRPr="00F468C9">
        <w:rPr>
          <w:rFonts w:cs="Arial"/>
          <w:szCs w:val="22"/>
        </w:rPr>
        <w:t xml:space="preserve">Európai Bizottság (2014), </w:t>
      </w:r>
      <w:r w:rsidRPr="00F468C9">
        <w:rPr>
          <w:rFonts w:cs="Arial"/>
          <w:i/>
          <w:szCs w:val="22"/>
        </w:rPr>
        <w:t xml:space="preserve">Összefoglalás </w:t>
      </w:r>
      <w:r w:rsidRPr="00F468C9">
        <w:rPr>
          <w:rFonts w:cs="Arial"/>
          <w:i/>
          <w:szCs w:val="22"/>
          <w:lang w:eastAsia="en-GB"/>
        </w:rPr>
        <w:t>Magyarországnak a 2014–2020-as időszakra vonatkozó partnerségi megállapodásáról</w:t>
      </w:r>
      <w:r w:rsidRPr="00F468C9">
        <w:rPr>
          <w:rFonts w:cs="Arial"/>
          <w:szCs w:val="22"/>
          <w:lang w:eastAsia="en-GB"/>
        </w:rPr>
        <w:t>. Brüsszel, 2014. Augusztus 26.</w:t>
      </w:r>
    </w:p>
    <w:p w:rsidR="006918FC" w:rsidRPr="00F468C9" w:rsidRDefault="006918FC" w:rsidP="00AA2CBE">
      <w:pPr>
        <w:rPr>
          <w:rFonts w:cs="Arial"/>
          <w:szCs w:val="22"/>
        </w:rPr>
      </w:pPr>
      <w:r w:rsidRPr="00F468C9">
        <w:rPr>
          <w:rFonts w:cs="Arial"/>
          <w:szCs w:val="22"/>
        </w:rPr>
        <w:t>http://ec.europa.eu/contracts_grants/pa/partnership-agreement-hungary-summary_hu.pdf</w:t>
      </w:r>
    </w:p>
    <w:p w:rsidR="00AA2CBE" w:rsidRPr="00F468C9" w:rsidRDefault="00967807" w:rsidP="00AA2CBE">
      <w:pPr>
        <w:rPr>
          <w:rFonts w:cs="Arial"/>
          <w:i/>
          <w:szCs w:val="22"/>
        </w:rPr>
      </w:pPr>
      <w:r w:rsidRPr="00F468C9">
        <w:rPr>
          <w:rFonts w:cs="Arial"/>
          <w:szCs w:val="22"/>
        </w:rPr>
        <w:t xml:space="preserve">European Commission DG Regional Policy and Cohesion (2006), </w:t>
      </w:r>
      <w:r w:rsidRPr="00F468C9">
        <w:rPr>
          <w:rFonts w:cs="Arial"/>
          <w:i/>
          <w:szCs w:val="22"/>
        </w:rPr>
        <w:t>The new programming period 2000-2006. Methodological Working Papers. Indicators for Monitoring and Evaluation: an indicative methodology</w:t>
      </w:r>
    </w:p>
    <w:p w:rsidR="00AA2CBE" w:rsidRPr="00F468C9" w:rsidRDefault="00967807" w:rsidP="00AA2CBE">
      <w:pPr>
        <w:rPr>
          <w:rFonts w:cs="Arial"/>
          <w:szCs w:val="22"/>
        </w:rPr>
      </w:pPr>
      <w:r w:rsidRPr="00F468C9">
        <w:rPr>
          <w:rFonts w:cs="Arial"/>
          <w:szCs w:val="22"/>
        </w:rPr>
        <w:t xml:space="preserve">European Commission DG Regional Policy, DG Employment, Social Affairs and Equal Opportunities (2012), </w:t>
      </w:r>
      <w:r w:rsidRPr="00F468C9">
        <w:rPr>
          <w:rFonts w:cs="Arial"/>
          <w:i/>
          <w:szCs w:val="22"/>
        </w:rPr>
        <w:t>Guidance note on indicative contents and structure for the national strategic reports 2012</w:t>
      </w:r>
      <w:r w:rsidRPr="00F468C9">
        <w:rPr>
          <w:rFonts w:cs="Arial"/>
          <w:szCs w:val="22"/>
        </w:rPr>
        <w:t xml:space="preserve"> </w:t>
      </w:r>
    </w:p>
    <w:p w:rsidR="00AA2CBE" w:rsidRPr="00F468C9" w:rsidRDefault="00967807" w:rsidP="00AA2CBE">
      <w:pPr>
        <w:rPr>
          <w:rFonts w:cs="Arial"/>
          <w:szCs w:val="22"/>
        </w:rPr>
      </w:pPr>
      <w:r w:rsidRPr="00F468C9">
        <w:rPr>
          <w:rFonts w:cs="Arial"/>
          <w:szCs w:val="22"/>
        </w:rPr>
        <w:t xml:space="preserve">European Commission (2014), </w:t>
      </w:r>
      <w:r w:rsidRPr="00F468C9">
        <w:rPr>
          <w:rFonts w:cs="Arial"/>
          <w:i/>
          <w:szCs w:val="22"/>
        </w:rPr>
        <w:t>The programing period 2014-2020. Monitoring and evaluation of European cohesion policy. European Regional Development Fund, European Social Fund, European Cohesion Fund</w:t>
      </w:r>
      <w:r w:rsidRPr="00F468C9">
        <w:rPr>
          <w:rFonts w:cs="Arial"/>
          <w:szCs w:val="22"/>
        </w:rPr>
        <w:t xml:space="preserve">. </w:t>
      </w:r>
      <w:hyperlink r:id="rId33" w:history="1">
        <w:r w:rsidRPr="00F468C9">
          <w:rPr>
            <w:rStyle w:val="Hyperlinkki"/>
            <w:rFonts w:cs="Arial"/>
            <w:color w:val="auto"/>
            <w:szCs w:val="22"/>
          </w:rPr>
          <w:t>http://ec.europa.eu/regional_policy/sources/docoffic/2014/working/wd_2014_en.pdf</w:t>
        </w:r>
      </w:hyperlink>
      <w:r w:rsidRPr="00F468C9">
        <w:rPr>
          <w:rFonts w:cs="Arial"/>
          <w:szCs w:val="22"/>
        </w:rPr>
        <w:t xml:space="preserve"> Retrieved in September 23, 2014.</w:t>
      </w:r>
    </w:p>
    <w:p w:rsidR="007B77EB" w:rsidRPr="00F468C9" w:rsidRDefault="007B77EB" w:rsidP="00AA2CBE">
      <w:pPr>
        <w:rPr>
          <w:rFonts w:cs="Arial"/>
          <w:szCs w:val="22"/>
        </w:rPr>
      </w:pPr>
      <w:r w:rsidRPr="00F468C9">
        <w:rPr>
          <w:rFonts w:cs="Arial"/>
          <w:szCs w:val="22"/>
        </w:rPr>
        <w:t xml:space="preserve">European Council (2012), European Council, 9 December 2011. </w:t>
      </w:r>
      <w:r w:rsidRPr="00F468C9">
        <w:rPr>
          <w:rFonts w:cs="Arial"/>
          <w:i/>
          <w:szCs w:val="22"/>
        </w:rPr>
        <w:t>Conclusions</w:t>
      </w:r>
      <w:r w:rsidRPr="00F468C9">
        <w:rPr>
          <w:rFonts w:cs="Arial"/>
          <w:szCs w:val="22"/>
        </w:rPr>
        <w:t>. Co Eur 24, Concl 6. Brussels, January 25, 2012</w:t>
      </w:r>
    </w:p>
    <w:p w:rsidR="00967807" w:rsidRPr="00F468C9" w:rsidRDefault="00967807" w:rsidP="00AA2CBE">
      <w:pPr>
        <w:rPr>
          <w:rFonts w:cs="Arial"/>
          <w:szCs w:val="22"/>
          <w:lang w:eastAsia="en-GB"/>
        </w:rPr>
      </w:pPr>
      <w:r w:rsidRPr="00F468C9">
        <w:rPr>
          <w:rFonts w:cs="Arial"/>
          <w:szCs w:val="22"/>
        </w:rPr>
        <w:t xml:space="preserve">European Union (2014a), </w:t>
      </w:r>
      <w:r w:rsidRPr="00F468C9">
        <w:rPr>
          <w:rFonts w:cs="Arial"/>
          <w:i/>
          <w:szCs w:val="22"/>
        </w:rPr>
        <w:t>Investment for jobs and growth. Promoting development and good governance in EU regions and cities</w:t>
      </w:r>
      <w:r w:rsidRPr="00F468C9">
        <w:rPr>
          <w:rFonts w:cs="Arial"/>
          <w:szCs w:val="22"/>
        </w:rPr>
        <w:t xml:space="preserve">. Sixth report on economic, social and territorial cohesion. </w:t>
      </w:r>
      <w:r w:rsidRPr="00F468C9">
        <w:rPr>
          <w:rFonts w:cs="Arial"/>
          <w:szCs w:val="22"/>
          <w:lang w:eastAsia="en-GB"/>
        </w:rPr>
        <w:t>Luxembourg: Publications Office of the European Union, 201</w:t>
      </w:r>
    </w:p>
    <w:p w:rsidR="00967807" w:rsidRPr="00F468C9" w:rsidRDefault="00967807" w:rsidP="00AA2CBE">
      <w:pPr>
        <w:rPr>
          <w:rFonts w:cs="Arial"/>
          <w:szCs w:val="22"/>
        </w:rPr>
      </w:pPr>
      <w:r w:rsidRPr="00F468C9">
        <w:rPr>
          <w:rFonts w:cs="Arial"/>
          <w:szCs w:val="22"/>
        </w:rPr>
        <w:t xml:space="preserve">European Union (2014b), </w:t>
      </w:r>
      <w:r w:rsidRPr="00F468C9">
        <w:rPr>
          <w:rFonts w:cs="Arial"/>
          <w:i/>
          <w:szCs w:val="22"/>
        </w:rPr>
        <w:t>Social Europe. Many ways, one objective</w:t>
      </w:r>
      <w:r w:rsidRPr="00F468C9">
        <w:rPr>
          <w:rFonts w:cs="Arial"/>
          <w:szCs w:val="22"/>
        </w:rPr>
        <w:t xml:space="preserve">.  Annual Report of the Social Protection Committee on the social situation in the European Union (2013). </w:t>
      </w:r>
      <w:r w:rsidRPr="00F468C9">
        <w:rPr>
          <w:rStyle w:val="A4"/>
          <w:rFonts w:cs="Arial"/>
          <w:color w:val="auto"/>
          <w:sz w:val="22"/>
          <w:szCs w:val="22"/>
        </w:rPr>
        <w:t>Luxembourg: Publications Office of the European Union, 2014</w:t>
      </w:r>
    </w:p>
    <w:p w:rsidR="00967807" w:rsidRPr="00F468C9" w:rsidRDefault="00967807" w:rsidP="00AA2CBE">
      <w:pPr>
        <w:rPr>
          <w:rFonts w:cs="Arial"/>
          <w:szCs w:val="22"/>
        </w:rPr>
      </w:pPr>
      <w:r w:rsidRPr="00F468C9">
        <w:rPr>
          <w:rFonts w:cs="Arial"/>
          <w:szCs w:val="22"/>
        </w:rPr>
        <w:t xml:space="preserve">Lisbon European Council 23 and 24 March 2000, </w:t>
      </w:r>
      <w:r w:rsidRPr="00F468C9">
        <w:rPr>
          <w:rFonts w:cs="Arial"/>
          <w:i/>
          <w:szCs w:val="22"/>
        </w:rPr>
        <w:t>Presidency Conclusions</w:t>
      </w:r>
      <w:r w:rsidRPr="00F468C9">
        <w:rPr>
          <w:rFonts w:cs="Arial"/>
          <w:szCs w:val="22"/>
        </w:rPr>
        <w:t xml:space="preserve">. </w:t>
      </w:r>
      <w:hyperlink r:id="rId34" w:history="1">
        <w:r w:rsidRPr="00F468C9">
          <w:rPr>
            <w:rStyle w:val="Hyperlinkki"/>
            <w:rFonts w:cs="Arial"/>
            <w:color w:val="auto"/>
            <w:szCs w:val="22"/>
          </w:rPr>
          <w:t>http://www.europarl.europa.eu/summits/lis1_en.htm</w:t>
        </w:r>
      </w:hyperlink>
      <w:r w:rsidRPr="00F468C9">
        <w:rPr>
          <w:rFonts w:cs="Arial"/>
          <w:szCs w:val="22"/>
        </w:rPr>
        <w:t xml:space="preserve">. Retrieved in September 23, 2014. </w:t>
      </w:r>
    </w:p>
    <w:p w:rsidR="00967807" w:rsidRPr="00F468C9" w:rsidRDefault="00967807" w:rsidP="00AA2CBE">
      <w:pPr>
        <w:rPr>
          <w:rFonts w:cs="Arial"/>
          <w:szCs w:val="22"/>
        </w:rPr>
      </w:pPr>
      <w:r w:rsidRPr="00F468C9">
        <w:rPr>
          <w:rFonts w:cs="Arial"/>
          <w:szCs w:val="22"/>
        </w:rPr>
        <w:t xml:space="preserve">Ministry of Labour and Social Policy and UNDP (2006) </w:t>
      </w:r>
      <w:r w:rsidRPr="00F468C9">
        <w:rPr>
          <w:rFonts w:cs="Arial"/>
          <w:i/>
          <w:iCs/>
          <w:szCs w:val="22"/>
        </w:rPr>
        <w:t>Social exclusion and integration in Poland. An indicators-based approach.</w:t>
      </w:r>
      <w:r w:rsidRPr="00F468C9">
        <w:rPr>
          <w:rFonts w:cs="Arial"/>
          <w:szCs w:val="22"/>
        </w:rPr>
        <w:t xml:space="preserve"> Warsaw.</w:t>
      </w:r>
    </w:p>
    <w:p w:rsidR="00FE706D" w:rsidRPr="00F468C9" w:rsidRDefault="00FE706D" w:rsidP="00294CB2">
      <w:pPr>
        <w:rPr>
          <w:rFonts w:cs="Arial"/>
          <w:szCs w:val="22"/>
        </w:rPr>
      </w:pPr>
      <w:r w:rsidRPr="00F468C9">
        <w:rPr>
          <w:rFonts w:cs="Arial"/>
          <w:szCs w:val="22"/>
        </w:rPr>
        <w:t>Social Protection Committee (2011</w:t>
      </w:r>
      <w:r w:rsidR="00294CB2" w:rsidRPr="00F468C9">
        <w:rPr>
          <w:rFonts w:cs="Arial"/>
          <w:szCs w:val="22"/>
        </w:rPr>
        <w:t>)</w:t>
      </w:r>
      <w:r w:rsidRPr="00F468C9">
        <w:rPr>
          <w:rFonts w:cs="Arial"/>
          <w:szCs w:val="22"/>
        </w:rPr>
        <w:t xml:space="preserve">, </w:t>
      </w:r>
      <w:r w:rsidRPr="00F468C9">
        <w:rPr>
          <w:rFonts w:cs="Arial"/>
          <w:i/>
          <w:szCs w:val="22"/>
        </w:rPr>
        <w:t xml:space="preserve">Draft background paper </w:t>
      </w:r>
      <w:r w:rsidR="00294CB2" w:rsidRPr="00F468C9">
        <w:rPr>
          <w:rFonts w:cs="Arial"/>
          <w:i/>
          <w:szCs w:val="22"/>
        </w:rPr>
        <w:t>to the SPC from the Ad-hoc group on ‘Reinvigorating the Social OMC in the context of the Europe 2020 strategy.</w:t>
      </w:r>
      <w:r w:rsidR="00294CB2" w:rsidRPr="00F468C9">
        <w:rPr>
          <w:rFonts w:cs="Arial"/>
          <w:szCs w:val="22"/>
        </w:rPr>
        <w:t xml:space="preserve"> Reference: SPC /2011.09/1</w:t>
      </w:r>
    </w:p>
    <w:p w:rsidR="00AA2CBE" w:rsidRPr="00F468C9" w:rsidRDefault="00967807" w:rsidP="00AA2CBE">
      <w:pPr>
        <w:rPr>
          <w:rFonts w:cs="Arial"/>
          <w:szCs w:val="22"/>
        </w:rPr>
      </w:pPr>
      <w:r w:rsidRPr="00F468C9">
        <w:rPr>
          <w:rFonts w:cs="Arial"/>
          <w:szCs w:val="22"/>
        </w:rPr>
        <w:t xml:space="preserve">Social Protection Committee (2012a) </w:t>
      </w:r>
      <w:r w:rsidRPr="00F468C9">
        <w:rPr>
          <w:rFonts w:cs="Arial"/>
          <w:i/>
          <w:szCs w:val="22"/>
        </w:rPr>
        <w:t>SPC advisory report to the European Commission on tackling and preventing child poverty, promoting child well-being</w:t>
      </w:r>
      <w:r w:rsidRPr="00F468C9">
        <w:rPr>
          <w:rFonts w:cs="Arial"/>
          <w:szCs w:val="22"/>
        </w:rPr>
        <w:t xml:space="preserve">. </w:t>
      </w:r>
    </w:p>
    <w:p w:rsidR="00AA2CBE" w:rsidRPr="00F468C9" w:rsidRDefault="00967807" w:rsidP="00AA2CBE">
      <w:pPr>
        <w:rPr>
          <w:rFonts w:cs="Arial"/>
          <w:szCs w:val="22"/>
        </w:rPr>
      </w:pPr>
      <w:r w:rsidRPr="00F468C9">
        <w:rPr>
          <w:rFonts w:cs="Arial"/>
          <w:szCs w:val="22"/>
        </w:rPr>
        <w:t xml:space="preserve">Social Protection Committee (2012b) </w:t>
      </w:r>
      <w:r w:rsidRPr="00F468C9">
        <w:rPr>
          <w:rFonts w:cs="Arial"/>
          <w:i/>
          <w:szCs w:val="22"/>
        </w:rPr>
        <w:t>Preparation of the 2012 National Social Reports (NSR)</w:t>
      </w:r>
      <w:r w:rsidRPr="00F468C9">
        <w:rPr>
          <w:rFonts w:cs="Arial"/>
          <w:szCs w:val="22"/>
        </w:rPr>
        <w:t xml:space="preserve"> </w:t>
      </w:r>
      <w:r w:rsidRPr="00F468C9">
        <w:rPr>
          <w:rFonts w:cs="Arial"/>
          <w:iCs/>
          <w:szCs w:val="22"/>
        </w:rPr>
        <w:t xml:space="preserve">Brussels, 15.02.2012 Reference : </w:t>
      </w:r>
      <w:r w:rsidRPr="00F468C9">
        <w:rPr>
          <w:rFonts w:cs="Arial"/>
          <w:szCs w:val="22"/>
        </w:rPr>
        <w:t xml:space="preserve">SPC/2012.2/4. </w:t>
      </w:r>
    </w:p>
    <w:p w:rsidR="00AA2CBE" w:rsidRPr="00F468C9" w:rsidRDefault="00967807" w:rsidP="00AA2CBE">
      <w:pPr>
        <w:rPr>
          <w:rFonts w:cs="Arial"/>
          <w:szCs w:val="22"/>
        </w:rPr>
      </w:pPr>
      <w:r w:rsidRPr="00F468C9">
        <w:rPr>
          <w:rFonts w:cs="Arial"/>
          <w:szCs w:val="22"/>
        </w:rPr>
        <w:lastRenderedPageBreak/>
        <w:t xml:space="preserve">Social Protection Committee (2012c) </w:t>
      </w:r>
      <w:r w:rsidRPr="00F468C9">
        <w:rPr>
          <w:rFonts w:cs="Arial"/>
          <w:i/>
          <w:szCs w:val="22"/>
        </w:rPr>
        <w:t>Social protection performance monitor (SPPM) – methodological report by the Indicators Sub-group of the Social Protection Committee</w:t>
      </w:r>
    </w:p>
    <w:p w:rsidR="00AA2CBE" w:rsidRPr="00F468C9" w:rsidRDefault="00967807" w:rsidP="00AA2CBE">
      <w:pPr>
        <w:rPr>
          <w:rFonts w:cs="Arial"/>
          <w:szCs w:val="22"/>
        </w:rPr>
      </w:pPr>
      <w:r w:rsidRPr="00F468C9">
        <w:rPr>
          <w:rFonts w:cs="Arial"/>
          <w:szCs w:val="22"/>
        </w:rPr>
        <w:t xml:space="preserve">Tagai G., in collaboration with Kovács K. and Czirfusz M. et al. (2014a), </w:t>
      </w:r>
      <w:r w:rsidRPr="00F468C9">
        <w:rPr>
          <w:rFonts w:cs="Arial"/>
          <w:i/>
          <w:szCs w:val="22"/>
          <w:lang w:val="en-US"/>
        </w:rPr>
        <w:t>Analysis of Conceptual Implications of Social Exclusion Maps.</w:t>
      </w:r>
      <w:r w:rsidRPr="00F468C9">
        <w:rPr>
          <w:rFonts w:cs="Arial"/>
          <w:szCs w:val="22"/>
          <w:lang w:val="en-US"/>
        </w:rPr>
        <w:t xml:space="preserve">  </w:t>
      </w:r>
      <w:r w:rsidRPr="00F468C9">
        <w:rPr>
          <w:rFonts w:cs="Arial"/>
          <w:szCs w:val="22"/>
        </w:rPr>
        <w:t>Annex 6 of the TiPSE Draft Final Report</w:t>
      </w:r>
    </w:p>
    <w:p w:rsidR="00AA2CBE" w:rsidRPr="00F468C9" w:rsidRDefault="00967807" w:rsidP="00AA2CBE">
      <w:pPr>
        <w:rPr>
          <w:rFonts w:cs="Arial"/>
          <w:szCs w:val="22"/>
        </w:rPr>
      </w:pPr>
      <w:r w:rsidRPr="00F468C9">
        <w:rPr>
          <w:rFonts w:cs="Arial"/>
          <w:szCs w:val="22"/>
        </w:rPr>
        <w:t xml:space="preserve">Tagai G., in collaboration with Kovács K. and Czirfusz M. et al. (2014b), </w:t>
      </w:r>
      <w:r w:rsidRPr="00F468C9">
        <w:rPr>
          <w:rFonts w:cs="Arial"/>
          <w:i/>
          <w:szCs w:val="22"/>
          <w:lang w:val="en-US"/>
        </w:rPr>
        <w:t>Analysis of Conceptual Implications of Social Exclusion Maps</w:t>
      </w:r>
      <w:r w:rsidRPr="00F468C9">
        <w:rPr>
          <w:rFonts w:cs="Arial"/>
          <w:szCs w:val="22"/>
          <w:lang w:val="en-US"/>
        </w:rPr>
        <w:t xml:space="preserve">.  </w:t>
      </w:r>
      <w:r w:rsidRPr="00F468C9">
        <w:rPr>
          <w:rFonts w:cs="Arial"/>
          <w:szCs w:val="22"/>
        </w:rPr>
        <w:t>Annex 6 of the TiPSE Final Report</w:t>
      </w:r>
    </w:p>
    <w:p w:rsidR="00967807" w:rsidRPr="00F468C9" w:rsidRDefault="00967807" w:rsidP="00AA2CBE">
      <w:pPr>
        <w:rPr>
          <w:rFonts w:cs="Arial"/>
          <w:szCs w:val="22"/>
        </w:rPr>
      </w:pPr>
      <w:r w:rsidRPr="00F468C9">
        <w:rPr>
          <w:rFonts w:cs="Arial"/>
          <w:szCs w:val="22"/>
        </w:rPr>
        <w:t>Talbot H., Madanipour A., Shucksmith M. (2014</w:t>
      </w:r>
      <w:r w:rsidR="00C82CDE" w:rsidRPr="00F468C9">
        <w:rPr>
          <w:rFonts w:cs="Arial"/>
          <w:szCs w:val="22"/>
        </w:rPr>
        <w:t>a</w:t>
      </w:r>
      <w:r w:rsidRPr="00F468C9">
        <w:rPr>
          <w:rFonts w:cs="Arial"/>
          <w:szCs w:val="22"/>
        </w:rPr>
        <w:t>)</w:t>
      </w:r>
      <w:r w:rsidRPr="00F468C9">
        <w:rPr>
          <w:rFonts w:cs="Arial"/>
          <w:i/>
          <w:szCs w:val="22"/>
        </w:rPr>
        <w:t xml:space="preserve"> Review of Concepts of Poverty and Social Exclusion</w:t>
      </w:r>
      <w:r w:rsidR="00C82CDE" w:rsidRPr="00F468C9">
        <w:rPr>
          <w:rFonts w:cs="Arial"/>
          <w:szCs w:val="22"/>
        </w:rPr>
        <w:t xml:space="preserve">. </w:t>
      </w:r>
      <w:r w:rsidRPr="00F468C9">
        <w:rPr>
          <w:rFonts w:cs="Arial"/>
          <w:szCs w:val="22"/>
        </w:rPr>
        <w:t xml:space="preserve"> Annex 1 of the TiPSE Final Report</w:t>
      </w:r>
    </w:p>
    <w:p w:rsidR="00C82CDE" w:rsidRPr="00F468C9" w:rsidRDefault="00C82CDE" w:rsidP="00C82CDE">
      <w:pPr>
        <w:rPr>
          <w:rFonts w:cs="Arial"/>
          <w:szCs w:val="22"/>
        </w:rPr>
      </w:pPr>
      <w:r w:rsidRPr="00F468C9">
        <w:rPr>
          <w:rFonts w:cs="Arial"/>
          <w:szCs w:val="22"/>
        </w:rPr>
        <w:t>Talbot H., Madanipour A., Shucksmith M. (2014b)</w:t>
      </w:r>
      <w:r w:rsidRPr="00F468C9">
        <w:rPr>
          <w:rFonts w:cs="Arial"/>
          <w:i/>
          <w:szCs w:val="22"/>
        </w:rPr>
        <w:t xml:space="preserve"> Implications for Policy</w:t>
      </w:r>
      <w:r w:rsidRPr="00F468C9">
        <w:rPr>
          <w:rFonts w:cs="Arial"/>
          <w:szCs w:val="22"/>
        </w:rPr>
        <w:t>. Annex 10 of the TiPSE Final Report</w:t>
      </w:r>
    </w:p>
    <w:p w:rsidR="00967807" w:rsidRDefault="00967807" w:rsidP="00967807">
      <w:pPr>
        <w:rPr>
          <w:rFonts w:cs="Arial"/>
          <w:szCs w:val="22"/>
        </w:rPr>
      </w:pPr>
      <w:r w:rsidRPr="00F468C9">
        <w:rPr>
          <w:rFonts w:cs="Arial"/>
          <w:szCs w:val="22"/>
        </w:rPr>
        <w:t xml:space="preserve">UNDP (2011) </w:t>
      </w:r>
      <w:r w:rsidRPr="00F468C9">
        <w:rPr>
          <w:rFonts w:cs="Arial"/>
          <w:i/>
          <w:iCs/>
          <w:szCs w:val="22"/>
        </w:rPr>
        <w:t>Beyond Transition. Towards Inclusive Societies.</w:t>
      </w:r>
      <w:r w:rsidRPr="00F468C9">
        <w:rPr>
          <w:rFonts w:cs="Arial"/>
          <w:szCs w:val="22"/>
        </w:rPr>
        <w:t xml:space="preserve"> Regi</w:t>
      </w:r>
      <w:r w:rsidR="0001056B" w:rsidRPr="00F468C9">
        <w:rPr>
          <w:rFonts w:cs="Arial"/>
          <w:szCs w:val="22"/>
        </w:rPr>
        <w:t>onal Bureau for Europe and CIS.</w:t>
      </w:r>
    </w:p>
    <w:p w:rsidR="000410BE" w:rsidRDefault="000410BE" w:rsidP="000410BE">
      <w:pPr>
        <w:pStyle w:val="Otsikko1"/>
        <w:numPr>
          <w:ilvl w:val="0"/>
          <w:numId w:val="0"/>
        </w:numPr>
      </w:pPr>
      <w:r>
        <w:rPr>
          <w:rFonts w:cs="Arial"/>
          <w:szCs w:val="22"/>
        </w:rPr>
        <w:br w:type="column"/>
      </w:r>
      <w:bookmarkStart w:id="13" w:name="_Toc400373182"/>
      <w:r>
        <w:lastRenderedPageBreak/>
        <w:t>Appendix 1</w:t>
      </w:r>
      <w:r w:rsidR="00CD0428">
        <w:t>: Monitoring tasks in the 2014-2020 Programming Period</w:t>
      </w:r>
      <w:bookmarkEnd w:id="13"/>
    </w:p>
    <w:p w:rsidR="000410BE" w:rsidRDefault="000410BE" w:rsidP="000410BE">
      <w:pPr>
        <w:autoSpaceDE w:val="0"/>
        <w:autoSpaceDN w:val="0"/>
        <w:adjustRightInd w:val="0"/>
        <w:spacing w:line="240" w:lineRule="auto"/>
        <w:rPr>
          <w:b/>
        </w:rPr>
      </w:pPr>
    </w:p>
    <w:p w:rsidR="000410BE" w:rsidRDefault="000410BE" w:rsidP="000410BE">
      <w:pPr>
        <w:autoSpaceDE w:val="0"/>
        <w:autoSpaceDN w:val="0"/>
        <w:adjustRightInd w:val="0"/>
        <w:spacing w:line="240" w:lineRule="auto"/>
        <w:rPr>
          <w:b/>
        </w:rPr>
      </w:pPr>
      <w:r>
        <w:rPr>
          <w:b/>
        </w:rPr>
        <w:t>Division of tasks in EU monitoring and evaluation procedure for the 2014-2020 programming period</w:t>
      </w:r>
      <w:r>
        <w:rPr>
          <w:rStyle w:val="Alaviitteenviite"/>
          <w:b/>
        </w:rPr>
        <w:footnoteReference w:id="12"/>
      </w:r>
    </w:p>
    <w:p w:rsidR="000410BE" w:rsidRDefault="000410BE" w:rsidP="000410BE">
      <w:pPr>
        <w:autoSpaceDE w:val="0"/>
        <w:autoSpaceDN w:val="0"/>
        <w:adjustRightInd w:val="0"/>
        <w:spacing w:line="240" w:lineRule="auto"/>
        <w:rPr>
          <w:b/>
        </w:rPr>
      </w:pPr>
    </w:p>
    <w:p w:rsidR="000410BE" w:rsidRPr="00E72A31" w:rsidRDefault="000410BE" w:rsidP="000410BE">
      <w:pPr>
        <w:autoSpaceDE w:val="0"/>
        <w:autoSpaceDN w:val="0"/>
        <w:adjustRightInd w:val="0"/>
        <w:spacing w:line="240" w:lineRule="auto"/>
        <w:rPr>
          <w:b/>
        </w:rPr>
      </w:pPr>
      <w:r w:rsidRPr="00E72A31">
        <w:rPr>
          <w:b/>
        </w:rPr>
        <w:t>Member State/Managing Authority</w:t>
      </w:r>
    </w:p>
    <w:p w:rsidR="000410BE" w:rsidRPr="00E72A31" w:rsidRDefault="000410BE" w:rsidP="000410BE">
      <w:pPr>
        <w:autoSpaceDE w:val="0"/>
        <w:autoSpaceDN w:val="0"/>
        <w:adjustRightInd w:val="0"/>
        <w:spacing w:line="240" w:lineRule="auto"/>
      </w:pPr>
      <w:r w:rsidRPr="00E72A31">
        <w:t>In the AIR: Synthesis of the findings of all evaluations of the programme By 31 May each year from 2016 until</w:t>
      </w:r>
      <w:r>
        <w:t xml:space="preserve"> </w:t>
      </w:r>
      <w:r w:rsidRPr="00E72A31">
        <w:t>2023, by 30 June in 2017 and 2019 CPR Art. 50</w:t>
      </w:r>
    </w:p>
    <w:p w:rsidR="000410BE" w:rsidRDefault="000410BE" w:rsidP="000410BE">
      <w:pPr>
        <w:autoSpaceDE w:val="0"/>
        <w:autoSpaceDN w:val="0"/>
        <w:adjustRightInd w:val="0"/>
        <w:spacing w:line="240" w:lineRule="auto"/>
        <w:rPr>
          <w:b/>
        </w:rPr>
      </w:pPr>
    </w:p>
    <w:p w:rsidR="000410BE" w:rsidRPr="00E72A31" w:rsidRDefault="000410BE" w:rsidP="000410BE">
      <w:pPr>
        <w:autoSpaceDE w:val="0"/>
        <w:autoSpaceDN w:val="0"/>
        <w:adjustRightInd w:val="0"/>
        <w:spacing w:line="240" w:lineRule="auto"/>
        <w:rPr>
          <w:b/>
        </w:rPr>
      </w:pPr>
      <w:r w:rsidRPr="00E72A31">
        <w:rPr>
          <w:b/>
        </w:rPr>
        <w:t>Member State</w:t>
      </w:r>
    </w:p>
    <w:p w:rsidR="000410BE" w:rsidRPr="00E72A31" w:rsidRDefault="000410BE" w:rsidP="000410BE">
      <w:pPr>
        <w:autoSpaceDE w:val="0"/>
        <w:autoSpaceDN w:val="0"/>
        <w:adjustRightInd w:val="0"/>
        <w:spacing w:line="240" w:lineRule="auto"/>
      </w:pPr>
      <w:r w:rsidRPr="00E72A31">
        <w:rPr>
          <w:i/>
        </w:rPr>
        <w:t>In the progress reports</w:t>
      </w:r>
      <w:r w:rsidRPr="00E72A31">
        <w:t>: Progress made towards achievement of the Union strategy for smart, sustainable and inclusive growth, as well as of the Fund-specific missions (including YEI where appropriate) By 31 August 2017 and by 31 August 2019 CPR Art. 52</w:t>
      </w:r>
    </w:p>
    <w:p w:rsidR="000410BE" w:rsidRPr="00E72A31" w:rsidRDefault="000410BE" w:rsidP="000410BE">
      <w:pPr>
        <w:autoSpaceDE w:val="0"/>
        <w:autoSpaceDN w:val="0"/>
        <w:adjustRightInd w:val="0"/>
        <w:spacing w:line="240" w:lineRule="auto"/>
      </w:pPr>
      <w:r w:rsidRPr="00E72A31">
        <w:rPr>
          <w:i/>
        </w:rPr>
        <w:t>Member State Report</w:t>
      </w:r>
      <w:r w:rsidRPr="00E72A31">
        <w:t xml:space="preserve"> summarising the findings of evaluations carried out during the programming period By 31 December 2022 CPR Art. 114</w:t>
      </w:r>
    </w:p>
    <w:p w:rsidR="000410BE" w:rsidRDefault="000410BE" w:rsidP="000410BE">
      <w:pPr>
        <w:autoSpaceDE w:val="0"/>
        <w:autoSpaceDN w:val="0"/>
        <w:adjustRightInd w:val="0"/>
        <w:spacing w:line="240" w:lineRule="auto"/>
        <w:rPr>
          <w:b/>
        </w:rPr>
      </w:pPr>
    </w:p>
    <w:p w:rsidR="000410BE" w:rsidRPr="00E72A31" w:rsidRDefault="000410BE" w:rsidP="000410BE">
      <w:pPr>
        <w:autoSpaceDE w:val="0"/>
        <w:autoSpaceDN w:val="0"/>
        <w:adjustRightInd w:val="0"/>
        <w:spacing w:line="240" w:lineRule="auto"/>
        <w:rPr>
          <w:b/>
        </w:rPr>
      </w:pPr>
      <w:r w:rsidRPr="00E72A31">
        <w:rPr>
          <w:b/>
        </w:rPr>
        <w:t>Commission</w:t>
      </w:r>
    </w:p>
    <w:p w:rsidR="000410BE" w:rsidRDefault="000410BE" w:rsidP="000410BE">
      <w:pPr>
        <w:autoSpaceDE w:val="0"/>
        <w:autoSpaceDN w:val="0"/>
        <w:adjustRightInd w:val="0"/>
        <w:spacing w:line="240" w:lineRule="auto"/>
      </w:pPr>
      <w:r w:rsidRPr="00E72A31">
        <w:t>Summary report based on the annual implementation reports of the Member States; as well as a synthesis of the  findings of the available evaluations of programmes Each year from 2016 CPR Art. 53</w:t>
      </w:r>
    </w:p>
    <w:p w:rsidR="000410BE" w:rsidRPr="00E72A31" w:rsidRDefault="000410BE" w:rsidP="000410BE">
      <w:pPr>
        <w:autoSpaceDE w:val="0"/>
        <w:autoSpaceDN w:val="0"/>
        <w:adjustRightInd w:val="0"/>
        <w:spacing w:line="240" w:lineRule="auto"/>
      </w:pPr>
      <w:r w:rsidRPr="00E72A31">
        <w:t>Commission Strategic report summarising the progress reports of the Member States By 31 December 2017 and 31December 2019 CPR Art.53</w:t>
      </w:r>
    </w:p>
    <w:p w:rsidR="000410BE" w:rsidRDefault="000410BE" w:rsidP="000410BE">
      <w:pPr>
        <w:autoSpaceDE w:val="0"/>
        <w:autoSpaceDN w:val="0"/>
        <w:adjustRightInd w:val="0"/>
        <w:spacing w:line="240" w:lineRule="auto"/>
        <w:rPr>
          <w:b/>
        </w:rPr>
      </w:pPr>
    </w:p>
    <w:p w:rsidR="000410BE" w:rsidRPr="00D31E3A" w:rsidRDefault="000410BE" w:rsidP="00CD0428">
      <w:pPr>
        <w:pStyle w:val="Otsikko1"/>
        <w:numPr>
          <w:ilvl w:val="0"/>
          <w:numId w:val="0"/>
        </w:numPr>
        <w:rPr>
          <w:rFonts w:hAnsi="Calibri"/>
          <w:b w:val="0"/>
          <w:color w:val="000000" w:themeColor="text1"/>
        </w:rPr>
      </w:pPr>
      <w:r>
        <w:rPr>
          <w:rFonts w:cs="Arial"/>
          <w:szCs w:val="22"/>
        </w:rPr>
        <w:br w:type="column"/>
      </w:r>
      <w:bookmarkStart w:id="14" w:name="_Toc400373183"/>
      <w:r>
        <w:lastRenderedPageBreak/>
        <w:t>Appendix 2</w:t>
      </w:r>
      <w:r w:rsidR="00CD0428">
        <w:t xml:space="preserve">: </w:t>
      </w:r>
      <w:r w:rsidRPr="00CD0428">
        <w:rPr>
          <w:rFonts w:hAnsi="Calibri"/>
          <w:color w:val="000000" w:themeColor="text1"/>
        </w:rPr>
        <w:t>List of Laeken indicators 2001</w:t>
      </w:r>
      <w:bookmarkEnd w:id="14"/>
    </w:p>
    <w:p w:rsidR="000410BE" w:rsidRDefault="000410BE" w:rsidP="000410BE">
      <w:pPr>
        <w:kinsoku w:val="0"/>
        <w:overflowPunct w:val="0"/>
        <w:spacing w:line="278" w:lineRule="auto"/>
        <w:textAlignment w:val="baseline"/>
        <w:rPr>
          <w:rFonts w:hAnsi="Calibri"/>
          <w:b/>
          <w:color w:val="000000" w:themeColor="text1"/>
        </w:rPr>
      </w:pP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At-risk-of-poverty rate</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At-risk-of-poverty threshold</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S80/S20 income quintile share ratio</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Persistent at-risk-of-poverty rate</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Persistent at-risk-of-poverty rate (alternative threshold)</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Relative median at-risk-of-poverty gap</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Regional cohesion</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Long-term unemployment rate</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Persons living in jobless households</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Early school leavers not in education or training</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Life expectancy at birth</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Self defined health status</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Dispersion around the at-risk-of-poverty threshold</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At-risk-of-poverty rate anchored at one moment in time</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At-risk-of-poverty rate before cash social transfers</w:t>
      </w:r>
    </w:p>
    <w:p w:rsidR="000410BE" w:rsidRPr="00D31E3A" w:rsidRDefault="00F404A9" w:rsidP="000410BE">
      <w:pPr>
        <w:pStyle w:val="Luettelokappale"/>
        <w:numPr>
          <w:ilvl w:val="0"/>
          <w:numId w:val="19"/>
        </w:numPr>
        <w:shd w:val="clear" w:color="auto" w:fill="FFFFFF"/>
        <w:spacing w:before="0"/>
        <w:jc w:val="left"/>
        <w:rPr>
          <w:rFonts w:asciiTheme="minorHAnsi" w:hAnsiTheme="minorHAnsi" w:cs="Arial"/>
          <w:color w:val="252525"/>
          <w:szCs w:val="22"/>
        </w:rPr>
      </w:pPr>
      <w:hyperlink r:id="rId35" w:tooltip="Gini coefficient" w:history="1">
        <w:r w:rsidR="000410BE" w:rsidRPr="00D31E3A">
          <w:rPr>
            <w:rFonts w:asciiTheme="minorHAnsi" w:hAnsiTheme="minorHAnsi" w:cs="Arial"/>
            <w:color w:val="0B0080"/>
            <w:szCs w:val="22"/>
          </w:rPr>
          <w:t>Gini coefficient</w:t>
        </w:r>
      </w:hyperlink>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In-work at risk of poverty rate</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Long term unemployment share</w:t>
      </w:r>
    </w:p>
    <w:p w:rsidR="000410BE" w:rsidRPr="00D31E3A" w:rsidRDefault="000410BE" w:rsidP="000410BE">
      <w:pPr>
        <w:pStyle w:val="Luettelokappale"/>
        <w:numPr>
          <w:ilvl w:val="0"/>
          <w:numId w:val="19"/>
        </w:numPr>
        <w:shd w:val="clear" w:color="auto" w:fill="FFFFFF"/>
        <w:spacing w:before="0"/>
        <w:jc w:val="left"/>
        <w:rPr>
          <w:rFonts w:asciiTheme="minorHAnsi" w:hAnsiTheme="minorHAnsi" w:cs="Arial"/>
          <w:color w:val="252525"/>
          <w:szCs w:val="22"/>
        </w:rPr>
      </w:pPr>
      <w:r w:rsidRPr="00D31E3A">
        <w:rPr>
          <w:rFonts w:asciiTheme="minorHAnsi" w:hAnsiTheme="minorHAnsi" w:cs="Arial"/>
          <w:color w:val="252525"/>
          <w:szCs w:val="22"/>
        </w:rPr>
        <w:t>Very long term unemployment rate</w:t>
      </w:r>
    </w:p>
    <w:p w:rsidR="008C2E05" w:rsidRPr="00CD0428" w:rsidRDefault="000410BE" w:rsidP="00CD0428">
      <w:pPr>
        <w:pStyle w:val="Otsikko1"/>
        <w:numPr>
          <w:ilvl w:val="0"/>
          <w:numId w:val="0"/>
        </w:numPr>
        <w:rPr>
          <w:rFonts w:hAnsi="Calibri"/>
          <w:color w:val="000000" w:themeColor="text1"/>
        </w:rPr>
      </w:pPr>
      <w:r>
        <w:rPr>
          <w:rFonts w:cs="Arial"/>
          <w:szCs w:val="22"/>
        </w:rPr>
        <w:br w:type="column"/>
      </w:r>
      <w:bookmarkStart w:id="15" w:name="_Toc400373184"/>
      <w:r w:rsidR="008C2E05">
        <w:lastRenderedPageBreak/>
        <w:t>Appendix 3</w:t>
      </w:r>
      <w:r w:rsidR="00CD0428">
        <w:t xml:space="preserve">: </w:t>
      </w:r>
      <w:r w:rsidR="008C2E05" w:rsidRPr="00CD0428">
        <w:rPr>
          <w:rFonts w:hAnsi="Calibri"/>
          <w:color w:val="000000" w:themeColor="text1"/>
        </w:rPr>
        <w:t>Overarching indicators for monitoring social OMC 2008</w:t>
      </w:r>
      <w:bookmarkEnd w:id="15"/>
    </w:p>
    <w:p w:rsidR="008C2E05" w:rsidRDefault="008C2E05" w:rsidP="008C2E05">
      <w:pPr>
        <w:kinsoku w:val="0"/>
        <w:overflowPunct w:val="0"/>
        <w:spacing w:line="278" w:lineRule="auto"/>
        <w:textAlignment w:val="baseline"/>
        <w:rPr>
          <w:rFonts w:hAnsi="Calibri"/>
          <w:color w:val="000000" w:themeColor="text1"/>
        </w:rPr>
      </w:pPr>
    </w:p>
    <w:p w:rsidR="008C2E05" w:rsidRPr="00D31E3A" w:rsidRDefault="008C2E05" w:rsidP="008C2E05">
      <w:pPr>
        <w:kinsoku w:val="0"/>
        <w:overflowPunct w:val="0"/>
        <w:spacing w:line="278" w:lineRule="auto"/>
        <w:textAlignment w:val="baseline"/>
      </w:pPr>
      <w:r w:rsidRPr="00D31E3A">
        <w:rPr>
          <w:rFonts w:hAnsi="Calibri"/>
          <w:color w:val="000000" w:themeColor="text1"/>
        </w:rPr>
        <w:t>1a. At risk of poverty rate (total, children, elderly)</w:t>
      </w:r>
    </w:p>
    <w:p w:rsidR="008C2E05" w:rsidRPr="00D31E3A" w:rsidRDefault="008C2E05" w:rsidP="008C2E05">
      <w:pPr>
        <w:kinsoku w:val="0"/>
        <w:overflowPunct w:val="0"/>
        <w:spacing w:line="278" w:lineRule="auto"/>
        <w:textAlignment w:val="baseline"/>
      </w:pPr>
      <w:r w:rsidRPr="00D31E3A">
        <w:rPr>
          <w:rFonts w:hAnsi="Calibri"/>
          <w:color w:val="000000" w:themeColor="text1"/>
        </w:rPr>
        <w:t>1b. Relative median poverty risk gap</w:t>
      </w:r>
    </w:p>
    <w:p w:rsidR="008C2E05" w:rsidRPr="00D31E3A" w:rsidRDefault="008C2E05" w:rsidP="008C2E05">
      <w:pPr>
        <w:kinsoku w:val="0"/>
        <w:overflowPunct w:val="0"/>
        <w:spacing w:line="278" w:lineRule="auto"/>
        <w:textAlignment w:val="baseline"/>
      </w:pPr>
      <w:r w:rsidRPr="00D31E3A">
        <w:rPr>
          <w:rFonts w:hAnsi="Calibri"/>
          <w:color w:val="000000" w:themeColor="text1"/>
        </w:rPr>
        <w:t>1c. Persistent at risk of poverty rate (available from 2010)</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2. Inequality of income distribution (S80/S20)</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3. Healthy life expectancy</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4. Early school leavers</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5. People living in jobless households</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6. Projected Total Public Expenditures</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7a Median relative income of the elderly people</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7b. Aggregate replacement ratio</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8 Self-reported unmet need for medical care</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9. At risk of poverty rate anchored at a fixed moment in time</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10. Employment rate of older workers</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11. In-work poverty risk</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12. Activity rate</w:t>
      </w:r>
    </w:p>
    <w:p w:rsidR="008C2E05" w:rsidRPr="00D31E3A" w:rsidRDefault="008C2E05" w:rsidP="008C2E05">
      <w:pPr>
        <w:pStyle w:val="Luettelokappale"/>
        <w:kinsoku w:val="0"/>
        <w:overflowPunct w:val="0"/>
        <w:spacing w:line="278" w:lineRule="auto"/>
        <w:ind w:left="0"/>
        <w:textAlignment w:val="baseline"/>
        <w:rPr>
          <w:szCs w:val="22"/>
        </w:rPr>
      </w:pPr>
      <w:r w:rsidRPr="00D31E3A">
        <w:rPr>
          <w:rFonts w:asciiTheme="minorHAnsi" w:hAnsi="Calibri" w:cstheme="minorBidi"/>
          <w:color w:val="000000" w:themeColor="text1"/>
          <w:szCs w:val="22"/>
        </w:rPr>
        <w:t>13. Regional disparities (coefficient of variation of employment rates)</w:t>
      </w:r>
    </w:p>
    <w:p w:rsidR="008C2E05" w:rsidRDefault="008C2E05" w:rsidP="008C2E05">
      <w:pPr>
        <w:pStyle w:val="Luettelokappale"/>
        <w:kinsoku w:val="0"/>
        <w:overflowPunct w:val="0"/>
        <w:spacing w:line="278" w:lineRule="auto"/>
        <w:ind w:left="0"/>
        <w:textAlignment w:val="baseline"/>
        <w:rPr>
          <w:rFonts w:asciiTheme="minorHAnsi" w:hAnsi="Calibri" w:cstheme="minorBidi"/>
          <w:color w:val="000000" w:themeColor="text1"/>
          <w:szCs w:val="22"/>
        </w:rPr>
      </w:pPr>
      <w:r w:rsidRPr="00D31E3A">
        <w:rPr>
          <w:rFonts w:asciiTheme="minorHAnsi" w:hAnsi="Calibri" w:cstheme="minorBidi"/>
          <w:color w:val="000000" w:themeColor="text1"/>
          <w:szCs w:val="22"/>
        </w:rPr>
        <w:t>14. Total health expenditure per capita</w:t>
      </w:r>
    </w:p>
    <w:p w:rsidR="008C2E05" w:rsidRDefault="008C2E05" w:rsidP="008C2E05">
      <w:pPr>
        <w:pStyle w:val="Luettelokappale"/>
        <w:kinsoku w:val="0"/>
        <w:overflowPunct w:val="0"/>
        <w:spacing w:line="278" w:lineRule="auto"/>
        <w:ind w:left="0"/>
        <w:textAlignment w:val="baseline"/>
        <w:rPr>
          <w:rFonts w:asciiTheme="minorHAnsi" w:hAnsi="Calibri" w:cstheme="minorBidi"/>
          <w:color w:val="000000" w:themeColor="text1"/>
          <w:szCs w:val="22"/>
        </w:rPr>
      </w:pPr>
    </w:p>
    <w:p w:rsidR="00A97C04" w:rsidRPr="00DA61B6" w:rsidRDefault="008C2E05" w:rsidP="00A97C04">
      <w:pPr>
        <w:pStyle w:val="Otsikko1"/>
        <w:numPr>
          <w:ilvl w:val="0"/>
          <w:numId w:val="0"/>
        </w:numPr>
      </w:pPr>
      <w:r>
        <w:rPr>
          <w:rFonts w:cs="Arial"/>
          <w:szCs w:val="22"/>
        </w:rPr>
        <w:br w:type="column"/>
      </w:r>
      <w:bookmarkStart w:id="16" w:name="_Toc400373185"/>
      <w:r w:rsidR="00A97C04">
        <w:lastRenderedPageBreak/>
        <w:t>Appendix 4</w:t>
      </w:r>
      <w:r w:rsidR="00F468C9">
        <w:t>: SPC Dashboard Indicators and Contextual Information</w:t>
      </w:r>
      <w:bookmarkEnd w:id="16"/>
    </w:p>
    <w:p w:rsidR="00A97C04" w:rsidRPr="00DA61B6" w:rsidRDefault="00A97C04" w:rsidP="00A97C04">
      <w:pPr>
        <w:autoSpaceDE w:val="0"/>
        <w:autoSpaceDN w:val="0"/>
        <w:adjustRightInd w:val="0"/>
        <w:spacing w:line="240" w:lineRule="auto"/>
        <w:rPr>
          <w:rFonts w:cs="Calibri,Bold"/>
          <w:bCs/>
        </w:rPr>
      </w:pPr>
    </w:p>
    <w:p w:rsidR="00A97C04" w:rsidRPr="00782E7D" w:rsidRDefault="00A97C04" w:rsidP="00A97C04">
      <w:pPr>
        <w:pStyle w:val="Luettelokappale"/>
        <w:numPr>
          <w:ilvl w:val="0"/>
          <w:numId w:val="20"/>
        </w:numPr>
        <w:autoSpaceDE w:val="0"/>
        <w:autoSpaceDN w:val="0"/>
        <w:adjustRightInd w:val="0"/>
        <w:spacing w:before="0" w:after="120" w:line="240" w:lineRule="auto"/>
        <w:jc w:val="left"/>
        <w:rPr>
          <w:rFonts w:ascii="Calibri" w:hAnsi="Calibri" w:cs="Calibri"/>
          <w:b/>
          <w:sz w:val="20"/>
        </w:rPr>
      </w:pPr>
      <w:r w:rsidRPr="00782E7D">
        <w:rPr>
          <w:rFonts w:cs="Calibri,Bold"/>
          <w:b/>
          <w:bCs/>
        </w:rPr>
        <w:t xml:space="preserve">List of dashboard indicators </w:t>
      </w:r>
      <w:r w:rsidRPr="00782E7D">
        <w:rPr>
          <w:rFonts w:ascii="Calibri" w:hAnsi="Calibri" w:cs="Calibri"/>
          <w:b/>
          <w:sz w:val="20"/>
        </w:rPr>
        <w:t>(</w:t>
      </w:r>
      <w:r>
        <w:rPr>
          <w:rFonts w:ascii="Calibri" w:hAnsi="Calibri" w:cs="Calibri"/>
          <w:b/>
          <w:sz w:val="20"/>
        </w:rPr>
        <w:t xml:space="preserve">Compiled from </w:t>
      </w:r>
      <w:r w:rsidRPr="00782E7D">
        <w:rPr>
          <w:rFonts w:ascii="Calibri" w:hAnsi="Calibri" w:cs="Calibri"/>
          <w:b/>
          <w:sz w:val="20"/>
        </w:rPr>
        <w:t>Social Protection Committee 2012</w:t>
      </w:r>
      <w:r>
        <w:rPr>
          <w:rFonts w:ascii="Calibri" w:hAnsi="Calibri" w:cs="Calibri"/>
          <w:b/>
          <w:sz w:val="20"/>
        </w:rPr>
        <w:t>c</w:t>
      </w:r>
      <w:r w:rsidRPr="00782E7D">
        <w:rPr>
          <w:rFonts w:ascii="Calibri" w:hAnsi="Calibri" w:cs="Calibri"/>
          <w:b/>
          <w:sz w:val="20"/>
        </w:rPr>
        <w:t xml:space="preserve"> p</w:t>
      </w:r>
      <w:r>
        <w:rPr>
          <w:rFonts w:ascii="Calibri" w:hAnsi="Calibri" w:cs="Calibri"/>
          <w:b/>
          <w:sz w:val="20"/>
        </w:rPr>
        <w:t>5-6</w:t>
      </w:r>
      <w:r w:rsidRPr="00782E7D">
        <w:rPr>
          <w:rFonts w:ascii="Calibri" w:hAnsi="Calibri" w:cs="Calibri"/>
          <w:b/>
          <w:sz w:val="20"/>
        </w:rPr>
        <w:t>)</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At risk of poverty or social exclusion rate </w:t>
      </w:r>
      <w:r w:rsidRPr="00DA61B6">
        <w:rPr>
          <w:rFonts w:cs="Calibri"/>
        </w:rPr>
        <w:t>(total population) (Eurostat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At-risk-of-poverty rate (AROP) </w:t>
      </w:r>
      <w:r w:rsidRPr="00DA61B6">
        <w:rPr>
          <w:rFonts w:cs="Calibri"/>
        </w:rPr>
        <w:t>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Bold"/>
          <w:bCs/>
        </w:rPr>
      </w:pPr>
      <w:r w:rsidRPr="00DA61B6">
        <w:rPr>
          <w:rFonts w:cs="Calibri,Bold"/>
          <w:bCs/>
        </w:rPr>
        <w:t>Severe material deprivation rate (</w:t>
      </w:r>
      <w:r w:rsidRPr="00DA61B6">
        <w:rPr>
          <w:rFonts w:cs="Calibri"/>
        </w:rPr>
        <w:t>Europe 2020 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Bold"/>
          <w:bCs/>
        </w:rPr>
      </w:pPr>
      <w:r w:rsidRPr="00DA61B6">
        <w:rPr>
          <w:rFonts w:cs="Calibri,Bold"/>
          <w:bCs/>
        </w:rPr>
        <w:t>Share of population(0-59) in very</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Bold"/>
          <w:bCs/>
        </w:rPr>
      </w:pPr>
      <w:r w:rsidRPr="00DA61B6">
        <w:rPr>
          <w:rFonts w:cs="Calibri,Bold"/>
          <w:bCs/>
        </w:rPr>
        <w:t xml:space="preserve">Low work intensity households (VLWI) </w:t>
      </w:r>
      <w:r w:rsidRPr="00DA61B6">
        <w:rPr>
          <w:rFonts w:cs="Calibri"/>
        </w:rPr>
        <w:t>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Relative poverty risk gap rate </w:t>
      </w:r>
      <w:r w:rsidRPr="00DA61B6">
        <w:rPr>
          <w:rFonts w:cs="Calibri"/>
        </w:rPr>
        <w:t>(total population) 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Bold"/>
          <w:bCs/>
        </w:rPr>
      </w:pPr>
      <w:r w:rsidRPr="00DA61B6">
        <w:rPr>
          <w:rFonts w:cs="Calibri,Bold"/>
          <w:bCs/>
        </w:rPr>
        <w:t xml:space="preserve">Income quintile ratio S80/S20 </w:t>
      </w:r>
      <w:r w:rsidRPr="00DA61B6">
        <w:rPr>
          <w:rFonts w:cs="Calibri"/>
        </w:rPr>
        <w:t>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At risk of poverty or social exclusion rate </w:t>
      </w:r>
      <w:r w:rsidRPr="00DA61B6">
        <w:rPr>
          <w:rFonts w:cs="Calibri"/>
        </w:rPr>
        <w:t>(0-17) 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Impact of social transfers on poverty (excluding pensions) </w:t>
      </w:r>
      <w:r w:rsidRPr="00DA61B6">
        <w:rPr>
          <w:rFonts w:cs="Calibri"/>
        </w:rPr>
        <w:t>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At-risk-of-poverty rate for the population living in very low work intensity households </w:t>
      </w:r>
      <w:r w:rsidRPr="00DA61B6">
        <w:rPr>
          <w:rFonts w:cs="Calibri"/>
        </w:rPr>
        <w:t>(0-59) 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In-work at-risk-of-poverty rate </w:t>
      </w:r>
      <w:r w:rsidRPr="00DA61B6">
        <w:rPr>
          <w:rFonts w:cs="Calibri"/>
        </w:rPr>
        <w:t xml:space="preserve">(18-64) Social consequences Eurostat – EU SILC </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Long-term unemployment rate </w:t>
      </w:r>
      <w:r w:rsidRPr="00DA61B6">
        <w:rPr>
          <w:rFonts w:cs="Calibri"/>
        </w:rPr>
        <w:t>(active population, 15+) Eurostat – LFS</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Youth unemployment ratio </w:t>
      </w:r>
      <w:r w:rsidRPr="00DA61B6">
        <w:rPr>
          <w:rFonts w:cs="Calibri"/>
        </w:rPr>
        <w:t>(15-24)  Eurostat - LFS</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Early leavers from education and training </w:t>
      </w:r>
      <w:r w:rsidRPr="00DA61B6">
        <w:rPr>
          <w:rFonts w:cs="Calibri"/>
        </w:rPr>
        <w:t>(18-24)</w:t>
      </w:r>
      <w:r w:rsidRPr="00DA61B6">
        <w:rPr>
          <w:rFonts w:cs="Calibri,Bold"/>
          <w:bCs/>
        </w:rPr>
        <w:t xml:space="preserve"> </w:t>
      </w:r>
      <w:r w:rsidRPr="00DA61B6">
        <w:rPr>
          <w:rFonts w:cs="Calibri"/>
        </w:rPr>
        <w:t>Eurostat – LFS</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Employment rate of older workers </w:t>
      </w:r>
      <w:r w:rsidRPr="00DA61B6">
        <w:rPr>
          <w:rFonts w:cs="Calibri"/>
        </w:rPr>
        <w:t>(55-64) Eurostat – LFS</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At risk of poverty or social exclusion rate </w:t>
      </w:r>
      <w:r w:rsidRPr="00DA61B6">
        <w:rPr>
          <w:rFonts w:cs="Calibri"/>
        </w:rPr>
        <w:t>(65+) 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Median relative income ratio of elderly people </w:t>
      </w:r>
      <w:r w:rsidRPr="00DA61B6">
        <w:rPr>
          <w:rFonts w:cs="Calibri"/>
        </w:rPr>
        <w:t>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Aggregate replacement ratio </w:t>
      </w:r>
      <w:r w:rsidRPr="00DA61B6">
        <w:rPr>
          <w:rFonts w:cs="Calibri"/>
        </w:rPr>
        <w:t>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Bold"/>
          <w:bCs/>
        </w:rPr>
      </w:pPr>
      <w:r w:rsidRPr="00DA61B6">
        <w:rPr>
          <w:rFonts w:cs="Calibri,Bold"/>
          <w:bCs/>
        </w:rPr>
        <w:t xml:space="preserve">Housing cost overburden rate </w:t>
      </w:r>
      <w:r w:rsidRPr="00DA61B6">
        <w:rPr>
          <w:rFonts w:cs="Calibri"/>
        </w:rPr>
        <w:t>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Share of the population with selfreported unmet need for medical care </w:t>
      </w:r>
      <w:r w:rsidRPr="00DA61B6">
        <w:rPr>
          <w:rFonts w:cs="Calibri"/>
        </w:rPr>
        <w:t>(total population) Eurostat – EU SILC</w:t>
      </w:r>
    </w:p>
    <w:p w:rsidR="00A97C04" w:rsidRPr="00DA61B6" w:rsidRDefault="00A97C04" w:rsidP="00A97C04">
      <w:pPr>
        <w:pStyle w:val="Luettelokappale"/>
        <w:numPr>
          <w:ilvl w:val="0"/>
          <w:numId w:val="23"/>
        </w:numPr>
        <w:autoSpaceDE w:val="0"/>
        <w:autoSpaceDN w:val="0"/>
        <w:adjustRightInd w:val="0"/>
        <w:spacing w:before="0" w:after="120" w:line="240" w:lineRule="auto"/>
        <w:jc w:val="left"/>
        <w:rPr>
          <w:rFonts w:cs="Calibri"/>
        </w:rPr>
      </w:pPr>
      <w:r w:rsidRPr="00DA61B6">
        <w:rPr>
          <w:rFonts w:cs="Calibri,Bold"/>
          <w:bCs/>
        </w:rPr>
        <w:t xml:space="preserve">Healthy life years at 65 </w:t>
      </w:r>
      <w:r w:rsidRPr="00DA61B6">
        <w:rPr>
          <w:rFonts w:cs="Calibri"/>
        </w:rPr>
        <w:t>( total population, breakdown by gender) Eurostat</w:t>
      </w:r>
    </w:p>
    <w:p w:rsidR="00A97C04" w:rsidRPr="00DA61B6" w:rsidRDefault="00A97C04" w:rsidP="00A97C04">
      <w:pPr>
        <w:autoSpaceDE w:val="0"/>
        <w:autoSpaceDN w:val="0"/>
        <w:adjustRightInd w:val="0"/>
        <w:spacing w:after="120" w:line="240" w:lineRule="auto"/>
        <w:rPr>
          <w:rFonts w:cs="Calibri"/>
        </w:rPr>
      </w:pPr>
    </w:p>
    <w:p w:rsidR="00A97C04" w:rsidRPr="00782E7D" w:rsidRDefault="00A97C04" w:rsidP="00A97C04">
      <w:pPr>
        <w:pStyle w:val="Luettelokappale"/>
        <w:numPr>
          <w:ilvl w:val="0"/>
          <w:numId w:val="20"/>
        </w:numPr>
        <w:autoSpaceDE w:val="0"/>
        <w:autoSpaceDN w:val="0"/>
        <w:adjustRightInd w:val="0"/>
        <w:spacing w:before="0" w:after="120" w:line="240" w:lineRule="auto"/>
        <w:jc w:val="left"/>
        <w:rPr>
          <w:rFonts w:cs="Calibri,Bold"/>
          <w:b/>
          <w:bCs/>
        </w:rPr>
      </w:pPr>
      <w:r w:rsidRPr="00782E7D">
        <w:rPr>
          <w:rFonts w:cs="Calibri,Bold"/>
          <w:b/>
          <w:bCs/>
        </w:rPr>
        <w:t xml:space="preserve">List of contextual information </w:t>
      </w:r>
      <w:r w:rsidRPr="00782E7D">
        <w:rPr>
          <w:rFonts w:ascii="Calibri" w:hAnsi="Calibri" w:cs="Calibri"/>
          <w:b/>
          <w:sz w:val="20"/>
        </w:rPr>
        <w:t>(</w:t>
      </w:r>
      <w:r>
        <w:rPr>
          <w:rFonts w:ascii="Calibri" w:hAnsi="Calibri" w:cs="Calibri"/>
          <w:b/>
          <w:sz w:val="20"/>
        </w:rPr>
        <w:t xml:space="preserve">Compiled from </w:t>
      </w:r>
      <w:r w:rsidRPr="00782E7D">
        <w:rPr>
          <w:rFonts w:ascii="Calibri" w:hAnsi="Calibri" w:cs="Calibri"/>
          <w:b/>
          <w:sz w:val="20"/>
        </w:rPr>
        <w:t>Social Protection Committee 2012</w:t>
      </w:r>
      <w:r>
        <w:rPr>
          <w:rFonts w:ascii="Calibri" w:hAnsi="Calibri" w:cs="Calibri"/>
          <w:b/>
          <w:sz w:val="20"/>
        </w:rPr>
        <w:t>c</w:t>
      </w:r>
      <w:r w:rsidRPr="00782E7D">
        <w:rPr>
          <w:rFonts w:ascii="Calibri" w:hAnsi="Calibri" w:cs="Calibri"/>
          <w:b/>
          <w:sz w:val="20"/>
        </w:rPr>
        <w:t xml:space="preserve"> p7-8)</w:t>
      </w:r>
      <w:r w:rsidRPr="00782E7D">
        <w:rPr>
          <w:rFonts w:cs="Calibri,Bold"/>
          <w:b/>
          <w:bCs/>
        </w:rPr>
        <w:t xml:space="preserve"> </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Bold"/>
          <w:bCs/>
        </w:rPr>
      </w:pPr>
      <w:r w:rsidRPr="00DA61B6">
        <w:rPr>
          <w:rFonts w:cs="Calibri,Bold"/>
          <w:bCs/>
        </w:rPr>
        <w:t>Share of the population confronted with "only" one of the 3</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Bold"/>
          <w:bCs/>
        </w:rPr>
      </w:pPr>
      <w:r w:rsidRPr="00DA61B6">
        <w:rPr>
          <w:rFonts w:cs="Calibri,Bold"/>
          <w:bCs/>
        </w:rPr>
        <w:t>problems (AROP, SMD or VLWI)</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
        </w:rPr>
        <w:t xml:space="preserve">EU-SILC the Europe 2020 target </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Share of the population confronted with 2 or 3 of the 3</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Bold"/>
          <w:bCs/>
        </w:rPr>
      </w:pPr>
      <w:r w:rsidRPr="00DA61B6">
        <w:rPr>
          <w:rFonts w:cs="Calibri,Bold"/>
          <w:bCs/>
        </w:rPr>
        <w:t>problems (AROP, SMD, VLWI)</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
        </w:rPr>
        <w:t>Eurostat – EU-SILC</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GDP growth/ GDP per capita </w:t>
      </w:r>
      <w:r w:rsidRPr="00DA61B6">
        <w:rPr>
          <w:rFonts w:cs="Calibri"/>
        </w:rPr>
        <w:t xml:space="preserve">(in PPS) Eurostat </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Public debt </w:t>
      </w:r>
      <w:r w:rsidRPr="00DA61B6">
        <w:rPr>
          <w:rFonts w:cs="Calibri"/>
        </w:rPr>
        <w:t>(current and projected)</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Activity rate </w:t>
      </w:r>
      <w:r w:rsidRPr="00DA61B6">
        <w:rPr>
          <w:rFonts w:cs="Calibri"/>
        </w:rPr>
        <w:t>Eurostat - LFS</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Employment rate </w:t>
      </w:r>
      <w:r w:rsidRPr="00DA61B6">
        <w:rPr>
          <w:rFonts w:cs="Calibri"/>
        </w:rPr>
        <w:t xml:space="preserve">(by ISCED level) Eurostat-LFS </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Unemployment rate </w:t>
      </w:r>
      <w:r w:rsidRPr="00DA61B6">
        <w:rPr>
          <w:rFonts w:cs="Calibri"/>
        </w:rPr>
        <w:t>Eurostat-LFS</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Projected total public (social) expenditure </w:t>
      </w:r>
      <w:r w:rsidRPr="00DA61B6">
        <w:rPr>
          <w:rFonts w:cs="Calibri"/>
        </w:rPr>
        <w:t>(in % of GDP) National Accounts</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Social protection expenditure </w:t>
      </w:r>
      <w:r w:rsidRPr="00DA61B6">
        <w:rPr>
          <w:rFonts w:cs="Calibri"/>
        </w:rPr>
        <w:t>(by types of risk) Eurostat - Esspros Funding of social</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
        </w:rPr>
        <w:lastRenderedPageBreak/>
        <w:t>protection</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Bold"/>
          <w:bCs/>
        </w:rPr>
      </w:pPr>
      <w:r w:rsidRPr="00DA61B6">
        <w:rPr>
          <w:rFonts w:cs="Calibri,Bold"/>
          <w:bCs/>
        </w:rPr>
        <w:t>Current and projected change in age-related expenditure</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Bold"/>
          <w:bCs/>
        </w:rPr>
      </w:pPr>
      <w:r w:rsidRPr="00DA61B6">
        <w:rPr>
          <w:rFonts w:cs="Calibri,Bold"/>
          <w:bCs/>
        </w:rPr>
        <w:t xml:space="preserve">Old age dependency ratio </w:t>
      </w:r>
      <w:r w:rsidRPr="00DA61B6">
        <w:rPr>
          <w:rFonts w:cs="Calibri"/>
        </w:rPr>
        <w:t>Eurostat</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Bold"/>
          <w:bCs/>
        </w:rPr>
      </w:pPr>
      <w:r w:rsidRPr="00DA61B6">
        <w:rPr>
          <w:rFonts w:cs="Calibri,Bold"/>
          <w:bCs/>
        </w:rPr>
        <w:t>Change in projected theoretical replacement ratio for base</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Bold"/>
          <w:bCs/>
        </w:rPr>
      </w:pPr>
      <w:r w:rsidRPr="00DA61B6">
        <w:rPr>
          <w:rFonts w:cs="Calibri,Bold"/>
          <w:bCs/>
        </w:rPr>
        <w:t xml:space="preserve">case 2010-2060 </w:t>
      </w:r>
      <w:r w:rsidRPr="00DA61B6">
        <w:rPr>
          <w:rFonts w:cs="Calibri"/>
        </w:rPr>
        <w:t>EC/SPC Pension</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Healthy life years at birth</w:t>
      </w:r>
      <w:r w:rsidRPr="00DA61B6">
        <w:rPr>
          <w:rFonts w:cs="Calibri"/>
        </w:rPr>
        <w:t>( total population, breakdown by gender) Eurostat</w:t>
      </w:r>
    </w:p>
    <w:p w:rsidR="00A97C04" w:rsidRPr="00DA61B6" w:rsidRDefault="00A97C04" w:rsidP="00A97C04">
      <w:pPr>
        <w:pStyle w:val="Luettelokappale"/>
        <w:numPr>
          <w:ilvl w:val="0"/>
          <w:numId w:val="21"/>
        </w:numPr>
        <w:autoSpaceDE w:val="0"/>
        <w:autoSpaceDN w:val="0"/>
        <w:adjustRightInd w:val="0"/>
        <w:spacing w:before="0" w:after="120" w:line="240" w:lineRule="auto"/>
        <w:jc w:val="left"/>
        <w:rPr>
          <w:rFonts w:cs="Calibri"/>
        </w:rPr>
      </w:pPr>
      <w:r w:rsidRPr="00DA61B6">
        <w:rPr>
          <w:rFonts w:cs="Calibri,Bold"/>
          <w:bCs/>
        </w:rPr>
        <w:t xml:space="preserve">Life expectancy at birth </w:t>
      </w:r>
      <w:r w:rsidRPr="00DA61B6">
        <w:rPr>
          <w:rFonts w:cs="Calibri"/>
        </w:rPr>
        <w:t>( total population, breakdown by gender) Eurostat</w:t>
      </w:r>
    </w:p>
    <w:p w:rsidR="00A97C04" w:rsidRPr="00DA61B6" w:rsidRDefault="00A97C04" w:rsidP="00A97C04">
      <w:pPr>
        <w:pStyle w:val="Luettelokappale"/>
        <w:numPr>
          <w:ilvl w:val="0"/>
          <w:numId w:val="22"/>
        </w:numPr>
        <w:autoSpaceDE w:val="0"/>
        <w:autoSpaceDN w:val="0"/>
        <w:adjustRightInd w:val="0"/>
        <w:spacing w:before="0" w:after="120" w:line="240" w:lineRule="auto"/>
        <w:jc w:val="left"/>
        <w:rPr>
          <w:rFonts w:cs="Calibri"/>
        </w:rPr>
      </w:pPr>
      <w:r w:rsidRPr="00DA61B6">
        <w:rPr>
          <w:rFonts w:cs="Calibri,Bold"/>
          <w:bCs/>
        </w:rPr>
        <w:t xml:space="preserve">Life expectancy at 65 </w:t>
      </w:r>
      <w:r w:rsidRPr="00DA61B6">
        <w:rPr>
          <w:rFonts w:cs="Calibri"/>
        </w:rPr>
        <w:t>( total population, breakdown by gender)  Eurostat</w:t>
      </w:r>
    </w:p>
    <w:p w:rsidR="00A97C04" w:rsidRPr="00DA61B6" w:rsidRDefault="00A97C04" w:rsidP="00A97C04">
      <w:pPr>
        <w:pStyle w:val="Luettelokappale"/>
        <w:numPr>
          <w:ilvl w:val="0"/>
          <w:numId w:val="22"/>
        </w:numPr>
        <w:autoSpaceDE w:val="0"/>
        <w:autoSpaceDN w:val="0"/>
        <w:adjustRightInd w:val="0"/>
        <w:spacing w:before="0" w:after="120" w:line="240" w:lineRule="auto"/>
        <w:jc w:val="left"/>
        <w:rPr>
          <w:rFonts w:cs="Calibri"/>
        </w:rPr>
      </w:pPr>
      <w:r w:rsidRPr="00DA61B6">
        <w:rPr>
          <w:rFonts w:cs="Calibri,Bold"/>
          <w:bCs/>
        </w:rPr>
        <w:t xml:space="preserve">Infant mortality </w:t>
      </w:r>
      <w:r w:rsidRPr="00DA61B6">
        <w:rPr>
          <w:rFonts w:cs="Calibri"/>
        </w:rPr>
        <w:t>Eurostat</w:t>
      </w:r>
    </w:p>
    <w:p w:rsidR="00A97C04" w:rsidRPr="00DA61B6" w:rsidRDefault="00A97C04" w:rsidP="00A97C04">
      <w:pPr>
        <w:pStyle w:val="Luettelokappale"/>
        <w:numPr>
          <w:ilvl w:val="0"/>
          <w:numId w:val="22"/>
        </w:numPr>
        <w:autoSpaceDE w:val="0"/>
        <w:autoSpaceDN w:val="0"/>
        <w:adjustRightInd w:val="0"/>
        <w:spacing w:before="0" w:after="120" w:line="240" w:lineRule="auto"/>
        <w:jc w:val="left"/>
        <w:rPr>
          <w:rFonts w:cs="Calibri"/>
        </w:rPr>
      </w:pPr>
      <w:r w:rsidRPr="00DA61B6">
        <w:rPr>
          <w:rFonts w:cs="Calibri,Bold"/>
          <w:bCs/>
        </w:rPr>
        <w:t xml:space="preserve">Tertiary educational attainment </w:t>
      </w:r>
      <w:r w:rsidRPr="00DA61B6">
        <w:rPr>
          <w:rFonts w:cs="Calibri"/>
        </w:rPr>
        <w:t>Eurostat</w:t>
      </w:r>
    </w:p>
    <w:p w:rsidR="00A97C04" w:rsidRPr="00DA61B6" w:rsidRDefault="00A97C04" w:rsidP="00A97C04">
      <w:pPr>
        <w:pStyle w:val="Luettelokappale"/>
        <w:numPr>
          <w:ilvl w:val="0"/>
          <w:numId w:val="22"/>
        </w:numPr>
        <w:autoSpaceDE w:val="0"/>
        <w:autoSpaceDN w:val="0"/>
        <w:adjustRightInd w:val="0"/>
        <w:spacing w:before="0" w:after="120" w:line="240" w:lineRule="auto"/>
        <w:jc w:val="left"/>
        <w:rPr>
          <w:rFonts w:cs="Calibri"/>
        </w:rPr>
      </w:pPr>
      <w:r w:rsidRPr="00DA61B6">
        <w:rPr>
          <w:rFonts w:cs="Calibri,Bold"/>
          <w:bCs/>
        </w:rPr>
        <w:t xml:space="preserve">Adult lifelong learning participation </w:t>
      </w:r>
      <w:r w:rsidRPr="00DA61B6">
        <w:rPr>
          <w:rFonts w:cs="Calibri"/>
        </w:rPr>
        <w:t>Eurostat – LFS</w:t>
      </w:r>
    </w:p>
    <w:p w:rsidR="00A97C04" w:rsidRPr="00DA61B6" w:rsidRDefault="00A97C04" w:rsidP="00A97C04">
      <w:pPr>
        <w:pStyle w:val="Luettelokappale"/>
        <w:numPr>
          <w:ilvl w:val="0"/>
          <w:numId w:val="22"/>
        </w:numPr>
        <w:autoSpaceDE w:val="0"/>
        <w:autoSpaceDN w:val="0"/>
        <w:adjustRightInd w:val="0"/>
        <w:spacing w:before="0" w:after="120" w:line="240" w:lineRule="auto"/>
        <w:jc w:val="left"/>
        <w:rPr>
          <w:rFonts w:cs="Calibri"/>
        </w:rPr>
      </w:pPr>
      <w:r w:rsidRPr="00DA61B6">
        <w:rPr>
          <w:rFonts w:cs="Calibri,Bold"/>
          <w:bCs/>
        </w:rPr>
        <w:t xml:space="preserve">At risk of poverty or social exclusion of migrants </w:t>
      </w:r>
      <w:r w:rsidRPr="00DA61B6">
        <w:rPr>
          <w:rFonts w:cs="Calibri"/>
        </w:rPr>
        <w:t>( non-EU</w:t>
      </w:r>
    </w:p>
    <w:p w:rsidR="00A97C04" w:rsidRPr="00DA61B6" w:rsidRDefault="00A97C04" w:rsidP="00A97C04">
      <w:pPr>
        <w:pStyle w:val="Luettelokappale"/>
        <w:numPr>
          <w:ilvl w:val="0"/>
          <w:numId w:val="22"/>
        </w:numPr>
        <w:autoSpaceDE w:val="0"/>
        <w:autoSpaceDN w:val="0"/>
        <w:adjustRightInd w:val="0"/>
        <w:spacing w:before="0" w:after="120" w:line="240" w:lineRule="auto"/>
        <w:jc w:val="left"/>
        <w:rPr>
          <w:rFonts w:cs="Calibri"/>
        </w:rPr>
      </w:pPr>
      <w:r w:rsidRPr="00DA61B6">
        <w:rPr>
          <w:rFonts w:cs="Calibri"/>
        </w:rPr>
        <w:t>nationals) Eurostat – EU SILC</w:t>
      </w:r>
    </w:p>
    <w:p w:rsidR="00A97C04" w:rsidRDefault="00A97C04" w:rsidP="00A97C04">
      <w:pPr>
        <w:autoSpaceDE w:val="0"/>
        <w:autoSpaceDN w:val="0"/>
        <w:adjustRightInd w:val="0"/>
        <w:spacing w:after="120" w:line="240" w:lineRule="auto"/>
        <w:rPr>
          <w:rFonts w:ascii="Calibri" w:hAnsi="Calibri" w:cs="Calibri"/>
          <w:sz w:val="20"/>
        </w:rPr>
      </w:pPr>
    </w:p>
    <w:p w:rsidR="00A97C04" w:rsidRPr="00782E7D" w:rsidRDefault="00A97C04" w:rsidP="00A97C04">
      <w:pPr>
        <w:autoSpaceDE w:val="0"/>
        <w:autoSpaceDN w:val="0"/>
        <w:adjustRightInd w:val="0"/>
        <w:spacing w:after="120" w:line="240" w:lineRule="auto"/>
        <w:rPr>
          <w:rFonts w:ascii="Calibri" w:hAnsi="Calibri" w:cs="Calibri"/>
          <w:b/>
          <w:sz w:val="20"/>
        </w:rPr>
      </w:pPr>
      <w:r w:rsidRPr="00782E7D">
        <w:rPr>
          <w:rFonts w:ascii="Calibri" w:hAnsi="Calibri" w:cs="Calibri"/>
          <w:b/>
          <w:sz w:val="20"/>
        </w:rPr>
        <w:t xml:space="preserve">Structure of the SPPM </w:t>
      </w:r>
      <w:r>
        <w:rPr>
          <w:rFonts w:ascii="Calibri" w:hAnsi="Calibri" w:cs="Calibri"/>
          <w:b/>
          <w:sz w:val="20"/>
        </w:rPr>
        <w:t xml:space="preserve"> (Social Protection Committee 2012c p2)</w:t>
      </w:r>
    </w:p>
    <w:p w:rsidR="00A97C04" w:rsidRDefault="00A97C04" w:rsidP="00A97C04">
      <w:pPr>
        <w:autoSpaceDE w:val="0"/>
        <w:autoSpaceDN w:val="0"/>
        <w:adjustRightInd w:val="0"/>
        <w:spacing w:after="120" w:line="240" w:lineRule="auto"/>
        <w:rPr>
          <w:rFonts w:ascii="Calibri" w:hAnsi="Calibri" w:cs="Calibri"/>
          <w:sz w:val="20"/>
        </w:rPr>
      </w:pPr>
    </w:p>
    <w:p w:rsidR="00A97C04" w:rsidRDefault="00A97C04" w:rsidP="00A97C04">
      <w:pPr>
        <w:autoSpaceDE w:val="0"/>
        <w:autoSpaceDN w:val="0"/>
        <w:adjustRightInd w:val="0"/>
        <w:spacing w:after="120" w:line="240" w:lineRule="auto"/>
        <w:rPr>
          <w:rFonts w:ascii="Calibri" w:hAnsi="Calibri" w:cs="Calibri"/>
          <w:sz w:val="20"/>
        </w:rPr>
      </w:pPr>
      <w:r>
        <w:rPr>
          <w:rFonts w:ascii="Calibri" w:hAnsi="Calibri" w:cs="Calibri"/>
          <w:noProof/>
          <w:sz w:val="20"/>
          <w:lang w:val="fi-FI" w:eastAsia="fi-FI"/>
        </w:rPr>
        <w:drawing>
          <wp:inline distT="0" distB="0" distL="0" distR="0" wp14:anchorId="2FFCC3E4" wp14:editId="0EF3CF88">
            <wp:extent cx="5760720" cy="3120808"/>
            <wp:effectExtent l="0" t="0" r="0" b="381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60720" cy="3120808"/>
                    </a:xfrm>
                    <a:prstGeom prst="rect">
                      <a:avLst/>
                    </a:prstGeom>
                    <a:noFill/>
                    <a:ln>
                      <a:noFill/>
                    </a:ln>
                  </pic:spPr>
                </pic:pic>
              </a:graphicData>
            </a:graphic>
          </wp:inline>
        </w:drawing>
      </w:r>
    </w:p>
    <w:p w:rsidR="00BD4DC8" w:rsidRDefault="00A97C04" w:rsidP="00F468C9">
      <w:pPr>
        <w:pStyle w:val="Otsikko1"/>
        <w:numPr>
          <w:ilvl w:val="0"/>
          <w:numId w:val="0"/>
        </w:numPr>
        <w:rPr>
          <w:b w:val="0"/>
        </w:rPr>
      </w:pPr>
      <w:r>
        <w:rPr>
          <w:rFonts w:cs="Arial"/>
          <w:szCs w:val="22"/>
        </w:rPr>
        <w:br w:type="column"/>
      </w:r>
      <w:bookmarkStart w:id="17" w:name="_Toc400373186"/>
      <w:r w:rsidR="00BD4DC8">
        <w:lastRenderedPageBreak/>
        <w:t>Appendix 5</w:t>
      </w:r>
      <w:r w:rsidR="00F468C9">
        <w:t xml:space="preserve">: </w:t>
      </w:r>
      <w:r w:rsidR="00BD4DC8">
        <w:rPr>
          <w:rFonts w:hAnsi="Calibri"/>
          <w:color w:val="000000" w:themeColor="text1"/>
        </w:rPr>
        <w:t xml:space="preserve">Commonly agreed </w:t>
      </w:r>
      <w:r w:rsidR="006425F0">
        <w:rPr>
          <w:rFonts w:hAnsi="Calibri"/>
          <w:color w:val="000000" w:themeColor="text1"/>
        </w:rPr>
        <w:t>P&amp;SE</w:t>
      </w:r>
      <w:r w:rsidR="00F468C9">
        <w:rPr>
          <w:rFonts w:hAnsi="Calibri"/>
          <w:color w:val="000000" w:themeColor="text1"/>
        </w:rPr>
        <w:t xml:space="preserve"> </w:t>
      </w:r>
      <w:r w:rsidR="00BD4DC8">
        <w:rPr>
          <w:rFonts w:hAnsi="Calibri"/>
          <w:color w:val="000000" w:themeColor="text1"/>
        </w:rPr>
        <w:t xml:space="preserve">indicators </w:t>
      </w:r>
      <w:r w:rsidR="00BD4DC8">
        <w:t>(European Commission 2006)</w:t>
      </w:r>
      <w:bookmarkEnd w:id="17"/>
    </w:p>
    <w:p w:rsidR="00BD4DC8" w:rsidRDefault="00BD4DC8" w:rsidP="00BD4DC8">
      <w:pPr>
        <w:kinsoku w:val="0"/>
        <w:overflowPunct w:val="0"/>
        <w:spacing w:line="278" w:lineRule="auto"/>
        <w:textAlignment w:val="baseline"/>
        <w:rPr>
          <w:rFonts w:hAnsi="Calibri"/>
          <w:color w:val="000000" w:themeColor="text1"/>
        </w:rPr>
      </w:pP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 xml:space="preserve">Status on the labour market (employees, independent) </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Unemployed (short or long term), inactive (of which at school))</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Reduction in the youth unemployment rate % (Men/Women)</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Exclusion Reduction in the rate of LTU % (Men/Women)</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Employability and LLL</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Increase in the participation rate of the labour force to training</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Reduction in school drop-out rates</w:t>
      </w:r>
      <w:r>
        <w:rPr>
          <w:rFonts w:ascii="Times New Roman" w:hAnsi="Times New Roman"/>
        </w:rPr>
        <w:t xml:space="preserve"> </w:t>
      </w:r>
      <w:r w:rsidRPr="00160905">
        <w:rPr>
          <w:rFonts w:ascii="Times New Roman" w:hAnsi="Times New Roman"/>
        </w:rPr>
        <w:t>% (Men/Women)</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Entrepreneurship</w:t>
      </w:r>
      <w:r>
        <w:rPr>
          <w:rFonts w:ascii="Times New Roman" w:hAnsi="Times New Roman"/>
        </w:rPr>
        <w:t xml:space="preserve">, </w:t>
      </w:r>
      <w:r w:rsidRPr="00160905">
        <w:rPr>
          <w:rFonts w:ascii="Times New Roman" w:hAnsi="Times New Roman"/>
        </w:rPr>
        <w:t>% (Men/Women)</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Increase in the number of SMEs using continuous training</w:t>
      </w:r>
      <w:r>
        <w:rPr>
          <w:rFonts w:ascii="Times New Roman" w:hAnsi="Times New Roman"/>
        </w:rPr>
        <w:t xml:space="preserve"> </w:t>
      </w:r>
      <w:r w:rsidRPr="00160905">
        <w:rPr>
          <w:rFonts w:ascii="Times New Roman" w:hAnsi="Times New Roman"/>
        </w:rPr>
        <w:t>% (Men/Women)</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Number of new businesses % and number</w:t>
      </w:r>
    </w:p>
    <w:p w:rsidR="00BD4DC8" w:rsidRPr="00160905" w:rsidRDefault="00BD4DC8" w:rsidP="00BD4DC8">
      <w:pPr>
        <w:pStyle w:val="Luettelokappale"/>
        <w:numPr>
          <w:ilvl w:val="0"/>
          <w:numId w:val="24"/>
        </w:numPr>
        <w:autoSpaceDE w:val="0"/>
        <w:autoSpaceDN w:val="0"/>
        <w:adjustRightInd w:val="0"/>
        <w:spacing w:before="0" w:line="240" w:lineRule="auto"/>
        <w:jc w:val="left"/>
        <w:rPr>
          <w:rFonts w:ascii="Times New Roman" w:hAnsi="Times New Roman"/>
        </w:rPr>
      </w:pPr>
      <w:r w:rsidRPr="00160905">
        <w:rPr>
          <w:rFonts w:ascii="Times New Roman" w:hAnsi="Times New Roman"/>
        </w:rPr>
        <w:t xml:space="preserve">Increase in female activity rate </w:t>
      </w:r>
      <w:r w:rsidRPr="00160905">
        <w:rPr>
          <w:rFonts w:ascii="Times New Roman" w:hAnsi="Times New Roman"/>
          <w:sz w:val="13"/>
          <w:szCs w:val="13"/>
        </w:rPr>
        <w:t xml:space="preserve"> </w:t>
      </w:r>
      <w:r w:rsidRPr="00160905">
        <w:rPr>
          <w:rFonts w:ascii="Times New Roman" w:hAnsi="Times New Roman"/>
        </w:rPr>
        <w:t>%</w:t>
      </w:r>
    </w:p>
    <w:p w:rsidR="00BD4DC8" w:rsidRDefault="00BD4DC8" w:rsidP="00BD4DC8">
      <w:pPr>
        <w:autoSpaceDE w:val="0"/>
        <w:autoSpaceDN w:val="0"/>
        <w:adjustRightInd w:val="0"/>
        <w:spacing w:line="240" w:lineRule="auto"/>
        <w:rPr>
          <w:rFonts w:ascii="Times New Roman" w:hAnsi="Times New Roman"/>
        </w:rPr>
      </w:pPr>
    </w:p>
    <w:p w:rsidR="00BD4DC8" w:rsidRPr="00160905" w:rsidRDefault="00BD4DC8" w:rsidP="00BD4DC8">
      <w:pPr>
        <w:rPr>
          <w:rFonts w:hAnsi="Calibri"/>
          <w:b/>
          <w:color w:val="000000" w:themeColor="text1"/>
        </w:rPr>
      </w:pPr>
    </w:p>
    <w:p w:rsidR="005739AA" w:rsidRDefault="005739AA" w:rsidP="00967807">
      <w:pPr>
        <w:rPr>
          <w:rFonts w:cs="Arial"/>
          <w:szCs w:val="22"/>
        </w:rPr>
        <w:sectPr w:rsidR="005739AA" w:rsidSect="00F2111E">
          <w:footerReference w:type="default" r:id="rId37"/>
          <w:pgSz w:w="11907" w:h="16840" w:code="9"/>
          <w:pgMar w:top="1440" w:right="1797" w:bottom="1440" w:left="1797" w:header="709" w:footer="709" w:gutter="0"/>
          <w:pgNumType w:start="1"/>
          <w:cols w:space="708"/>
          <w:docGrid w:linePitch="360"/>
        </w:sectPr>
      </w:pPr>
    </w:p>
    <w:p w:rsidR="005739AA" w:rsidRDefault="005739AA" w:rsidP="005739AA">
      <w:pPr>
        <w:pStyle w:val="Kuvaotsikko"/>
      </w:pPr>
      <w:bookmarkStart w:id="18" w:name="_Toc367969752"/>
      <w:r>
        <w:lastRenderedPageBreak/>
        <w:t>Appendix 6</w:t>
      </w:r>
      <w:r w:rsidR="00F468C9">
        <w:t xml:space="preserve">: </w:t>
      </w:r>
      <w:r w:rsidRPr="007D0B81">
        <w:t>ESPON TiPSE indicators of social exclusion by dimensions and domains</w:t>
      </w:r>
      <w:bookmarkEnd w:id="18"/>
    </w:p>
    <w:p w:rsidR="005739AA" w:rsidRPr="007A6362" w:rsidRDefault="005739AA" w:rsidP="005739AA"/>
    <w:tbl>
      <w:tblPr>
        <w:tblW w:w="496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9"/>
        <w:gridCol w:w="1983"/>
        <w:gridCol w:w="432"/>
        <w:gridCol w:w="3261"/>
        <w:gridCol w:w="1552"/>
        <w:gridCol w:w="8"/>
        <w:gridCol w:w="1842"/>
        <w:gridCol w:w="135"/>
        <w:gridCol w:w="2694"/>
      </w:tblGrid>
      <w:tr w:rsidR="005739AA" w:rsidRPr="006C3BAA" w:rsidTr="00F468C9">
        <w:trPr>
          <w:cantSplit/>
          <w:trHeight w:val="444"/>
          <w:tblHeader/>
        </w:trPr>
        <w:tc>
          <w:tcPr>
            <w:tcW w:w="779" w:type="pct"/>
            <w:shd w:val="pct20" w:color="auto" w:fill="auto"/>
          </w:tcPr>
          <w:p w:rsidR="005739AA" w:rsidRPr="006C3BAA" w:rsidRDefault="005739AA" w:rsidP="00F468C9">
            <w:pPr>
              <w:spacing w:line="240" w:lineRule="auto"/>
              <w:jc w:val="left"/>
              <w:rPr>
                <w:i/>
                <w:iCs/>
              </w:rPr>
            </w:pPr>
            <w:r w:rsidRPr="006C3BAA">
              <w:rPr>
                <w:i/>
                <w:iCs/>
              </w:rPr>
              <w:t xml:space="preserve">Domain identified by </w:t>
            </w:r>
            <w:r>
              <w:rPr>
                <w:i/>
                <w:iCs/>
              </w:rPr>
              <w:t xml:space="preserve">Task </w:t>
            </w:r>
            <w:r w:rsidRPr="006C3BAA">
              <w:rPr>
                <w:i/>
                <w:iCs/>
              </w:rPr>
              <w:t>2.1</w:t>
            </w:r>
            <w:r>
              <w:rPr>
                <w:i/>
                <w:iCs/>
              </w:rPr>
              <w:t xml:space="preserve"> and Task 2.6.</w:t>
            </w:r>
          </w:p>
        </w:tc>
        <w:tc>
          <w:tcPr>
            <w:tcW w:w="703" w:type="pct"/>
            <w:shd w:val="pct20" w:color="auto" w:fill="auto"/>
          </w:tcPr>
          <w:p w:rsidR="005739AA" w:rsidRPr="006C3BAA" w:rsidRDefault="005739AA" w:rsidP="00F468C9">
            <w:pPr>
              <w:spacing w:line="240" w:lineRule="auto"/>
              <w:jc w:val="left"/>
              <w:rPr>
                <w:i/>
                <w:iCs/>
              </w:rPr>
            </w:pPr>
            <w:r w:rsidRPr="006C3BAA">
              <w:rPr>
                <w:i/>
                <w:iCs/>
              </w:rPr>
              <w:t xml:space="preserve">Dimension identified by </w:t>
            </w:r>
            <w:r>
              <w:rPr>
                <w:i/>
                <w:iCs/>
              </w:rPr>
              <w:t>Task</w:t>
            </w:r>
            <w:r w:rsidRPr="006C3BAA">
              <w:rPr>
                <w:i/>
                <w:iCs/>
              </w:rPr>
              <w:t xml:space="preserve"> 2.1 and</w:t>
            </w:r>
            <w:r>
              <w:rPr>
                <w:i/>
                <w:iCs/>
              </w:rPr>
              <w:t xml:space="preserve"> Task 2.6</w:t>
            </w:r>
          </w:p>
        </w:tc>
        <w:tc>
          <w:tcPr>
            <w:tcW w:w="1309" w:type="pct"/>
            <w:gridSpan w:val="2"/>
            <w:shd w:val="pct20" w:color="auto" w:fill="auto"/>
          </w:tcPr>
          <w:p w:rsidR="005739AA" w:rsidRPr="006C3BAA" w:rsidRDefault="005739AA" w:rsidP="00F468C9">
            <w:pPr>
              <w:spacing w:line="240" w:lineRule="auto"/>
              <w:jc w:val="left"/>
              <w:rPr>
                <w:i/>
                <w:iCs/>
              </w:rPr>
            </w:pPr>
            <w:r w:rsidRPr="006C3BAA">
              <w:rPr>
                <w:i/>
                <w:iCs/>
              </w:rPr>
              <w:t>I</w:t>
            </w:r>
            <w:r>
              <w:rPr>
                <w:i/>
                <w:iCs/>
              </w:rPr>
              <w:t>ndicator further specified by Task</w:t>
            </w:r>
            <w:r w:rsidRPr="006C3BAA">
              <w:rPr>
                <w:i/>
                <w:iCs/>
              </w:rPr>
              <w:t xml:space="preserve"> </w:t>
            </w:r>
            <w:r>
              <w:rPr>
                <w:i/>
                <w:iCs/>
              </w:rPr>
              <w:t xml:space="preserve"> </w:t>
            </w:r>
            <w:r w:rsidRPr="006C3BAA">
              <w:rPr>
                <w:i/>
                <w:iCs/>
              </w:rPr>
              <w:t>2.6</w:t>
            </w:r>
          </w:p>
        </w:tc>
        <w:tc>
          <w:tcPr>
            <w:tcW w:w="550" w:type="pct"/>
            <w:tcBorders>
              <w:bottom w:val="single" w:sz="4" w:space="0" w:color="auto"/>
            </w:tcBorders>
            <w:shd w:val="pct20" w:color="auto" w:fill="auto"/>
          </w:tcPr>
          <w:p w:rsidR="005739AA" w:rsidRPr="006C3BAA" w:rsidRDefault="005739AA" w:rsidP="00F468C9">
            <w:pPr>
              <w:spacing w:line="240" w:lineRule="auto"/>
              <w:jc w:val="left"/>
              <w:rPr>
                <w:i/>
                <w:iCs/>
              </w:rPr>
            </w:pPr>
            <w:r>
              <w:rPr>
                <w:i/>
                <w:iCs/>
              </w:rPr>
              <w:t>Source</w:t>
            </w:r>
          </w:p>
        </w:tc>
        <w:tc>
          <w:tcPr>
            <w:tcW w:w="704" w:type="pct"/>
            <w:gridSpan w:val="3"/>
            <w:shd w:val="pct20" w:color="auto" w:fill="auto"/>
          </w:tcPr>
          <w:p w:rsidR="005739AA" w:rsidRDefault="005739AA" w:rsidP="00F468C9">
            <w:pPr>
              <w:spacing w:line="240" w:lineRule="auto"/>
              <w:jc w:val="left"/>
              <w:rPr>
                <w:i/>
                <w:iCs/>
              </w:rPr>
            </w:pPr>
            <w:r>
              <w:rPr>
                <w:i/>
                <w:iCs/>
              </w:rPr>
              <w:t>Coverage of TiPSE collection (by Years)</w:t>
            </w:r>
          </w:p>
        </w:tc>
        <w:tc>
          <w:tcPr>
            <w:tcW w:w="955" w:type="pct"/>
            <w:tcBorders>
              <w:bottom w:val="single" w:sz="4" w:space="0" w:color="auto"/>
            </w:tcBorders>
            <w:shd w:val="pct20" w:color="auto" w:fill="auto"/>
          </w:tcPr>
          <w:p w:rsidR="005739AA" w:rsidRDefault="005739AA" w:rsidP="00F468C9">
            <w:pPr>
              <w:spacing w:line="240" w:lineRule="auto"/>
              <w:jc w:val="left"/>
              <w:rPr>
                <w:i/>
                <w:iCs/>
              </w:rPr>
            </w:pPr>
            <w:r>
              <w:rPr>
                <w:i/>
                <w:iCs/>
              </w:rPr>
              <w:t>Further qualification *</w:t>
            </w:r>
          </w:p>
          <w:p w:rsidR="005739AA" w:rsidRDefault="005739AA" w:rsidP="00F468C9">
            <w:pPr>
              <w:spacing w:line="240" w:lineRule="auto"/>
              <w:jc w:val="left"/>
              <w:rPr>
                <w:i/>
                <w:iCs/>
              </w:rPr>
            </w:pPr>
            <w:r>
              <w:rPr>
                <w:i/>
                <w:iCs/>
              </w:rPr>
              <w:t>summarised by traffic lights</w:t>
            </w:r>
          </w:p>
        </w:tc>
      </w:tr>
      <w:tr w:rsidR="005739AA" w:rsidRPr="006C3BAA" w:rsidTr="00F468C9">
        <w:tc>
          <w:tcPr>
            <w:tcW w:w="779" w:type="pct"/>
            <w:vMerge w:val="restart"/>
            <w:shd w:val="clear" w:color="auto" w:fill="auto"/>
          </w:tcPr>
          <w:p w:rsidR="005739AA" w:rsidRPr="006C3BAA" w:rsidRDefault="005739AA" w:rsidP="00F468C9">
            <w:pPr>
              <w:spacing w:line="240" w:lineRule="auto"/>
              <w:jc w:val="left"/>
            </w:pPr>
            <w:r w:rsidRPr="006C3BAA">
              <w:t>Earning a living</w:t>
            </w:r>
          </w:p>
        </w:tc>
        <w:tc>
          <w:tcPr>
            <w:tcW w:w="703" w:type="pct"/>
            <w:vMerge w:val="restart"/>
            <w:shd w:val="clear" w:color="auto" w:fill="auto"/>
          </w:tcPr>
          <w:p w:rsidR="005739AA" w:rsidRPr="006C3BAA" w:rsidRDefault="005739AA" w:rsidP="00F468C9">
            <w:pPr>
              <w:spacing w:line="240" w:lineRule="auto"/>
              <w:jc w:val="left"/>
            </w:pPr>
            <w:r w:rsidRPr="006C3BAA">
              <w:t>Income earned by tax payers</w:t>
            </w:r>
          </w:p>
        </w:tc>
        <w:tc>
          <w:tcPr>
            <w:tcW w:w="1309" w:type="pct"/>
            <w:gridSpan w:val="2"/>
            <w:shd w:val="clear" w:color="auto" w:fill="auto"/>
          </w:tcPr>
          <w:p w:rsidR="005739AA" w:rsidRPr="006C3BAA" w:rsidRDefault="005739AA" w:rsidP="00F468C9">
            <w:pPr>
              <w:spacing w:line="240" w:lineRule="auto"/>
              <w:jc w:val="left"/>
            </w:pPr>
            <w:r w:rsidRPr="00E6231A">
              <w:t>Net disposable household income</w:t>
            </w:r>
          </w:p>
        </w:tc>
        <w:tc>
          <w:tcPr>
            <w:tcW w:w="550" w:type="pct"/>
            <w:shd w:val="pct20" w:color="auto" w:fill="auto"/>
          </w:tcPr>
          <w:p w:rsidR="005739AA" w:rsidRPr="00E6231A" w:rsidRDefault="005739AA" w:rsidP="00F468C9">
            <w:pPr>
              <w:spacing w:line="240" w:lineRule="auto"/>
              <w:jc w:val="left"/>
            </w:pPr>
            <w:r>
              <w:t>Eurostat (NUTS2)</w:t>
            </w:r>
          </w:p>
        </w:tc>
        <w:tc>
          <w:tcPr>
            <w:tcW w:w="704" w:type="pct"/>
            <w:gridSpan w:val="3"/>
            <w:shd w:val="clear" w:color="auto" w:fill="auto"/>
          </w:tcPr>
          <w:p w:rsidR="005739AA" w:rsidRDefault="005739AA" w:rsidP="00F468C9">
            <w:pPr>
              <w:spacing w:line="240" w:lineRule="auto"/>
              <w:jc w:val="left"/>
            </w:pPr>
            <w:r>
              <w:t>2001, 2011</w:t>
            </w:r>
          </w:p>
        </w:tc>
        <w:tc>
          <w:tcPr>
            <w:tcW w:w="955" w:type="pct"/>
            <w:tcBorders>
              <w:bottom w:val="single" w:sz="4" w:space="0" w:color="auto"/>
            </w:tcBorders>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shd w:val="clear" w:color="auto" w:fill="auto"/>
          </w:tcPr>
          <w:p w:rsidR="005739AA" w:rsidRPr="006C3BAA" w:rsidRDefault="005739AA" w:rsidP="00F468C9">
            <w:pPr>
              <w:spacing w:line="240" w:lineRule="auto"/>
              <w:jc w:val="left"/>
            </w:pPr>
          </w:p>
        </w:tc>
        <w:tc>
          <w:tcPr>
            <w:tcW w:w="1309" w:type="pct"/>
            <w:gridSpan w:val="2"/>
            <w:shd w:val="clear" w:color="auto" w:fill="auto"/>
          </w:tcPr>
          <w:p w:rsidR="005739AA" w:rsidRPr="00E6231A" w:rsidRDefault="005739AA" w:rsidP="00F468C9">
            <w:pPr>
              <w:spacing w:line="240" w:lineRule="auto"/>
              <w:jc w:val="left"/>
            </w:pPr>
            <w:r w:rsidRPr="000F0EAF">
              <w:t>Ratio of employed persons in elementary occupations</w:t>
            </w:r>
          </w:p>
        </w:tc>
        <w:tc>
          <w:tcPr>
            <w:tcW w:w="550" w:type="pct"/>
            <w:shd w:val="clear" w:color="auto" w:fill="auto"/>
          </w:tcPr>
          <w:p w:rsidR="005739AA" w:rsidRDefault="005739AA" w:rsidP="00F468C9">
            <w:pPr>
              <w:spacing w:line="240" w:lineRule="auto"/>
              <w:jc w:val="left"/>
            </w:pPr>
            <w:r>
              <w:t>Census</w:t>
            </w:r>
          </w:p>
        </w:tc>
        <w:tc>
          <w:tcPr>
            <w:tcW w:w="704" w:type="pct"/>
            <w:gridSpan w:val="3"/>
            <w:shd w:val="clear" w:color="auto" w:fill="auto"/>
          </w:tcPr>
          <w:p w:rsidR="005739AA" w:rsidRDefault="005739AA" w:rsidP="00F468C9">
            <w:pPr>
              <w:spacing w:line="240" w:lineRule="auto"/>
              <w:jc w:val="left"/>
            </w:pPr>
            <w:r>
              <w:t>2001, 2011</w:t>
            </w:r>
          </w:p>
        </w:tc>
        <w:tc>
          <w:tcPr>
            <w:tcW w:w="955" w:type="pct"/>
            <w:tcBorders>
              <w:bottom w:val="single" w:sz="4" w:space="0" w:color="auto"/>
            </w:tcBorders>
            <w:shd w:val="clear" w:color="auto" w:fill="FFC000"/>
          </w:tcPr>
          <w:p w:rsidR="005739AA" w:rsidRPr="00B56790" w:rsidRDefault="005739AA" w:rsidP="00F468C9">
            <w:pPr>
              <w:spacing w:line="240" w:lineRule="auto"/>
              <w:jc w:val="center"/>
              <w:rPr>
                <w:color w:val="FF0000"/>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val="restart"/>
            <w:shd w:val="clear" w:color="auto" w:fill="auto"/>
          </w:tcPr>
          <w:p w:rsidR="005739AA" w:rsidRPr="006C3BAA" w:rsidRDefault="005739AA" w:rsidP="00F468C9">
            <w:pPr>
              <w:spacing w:line="240" w:lineRule="auto"/>
              <w:jc w:val="left"/>
            </w:pPr>
            <w:r w:rsidRPr="006C3BAA">
              <w:t>Employment</w:t>
            </w:r>
          </w:p>
        </w:tc>
        <w:tc>
          <w:tcPr>
            <w:tcW w:w="1309" w:type="pct"/>
            <w:gridSpan w:val="2"/>
            <w:shd w:val="clear" w:color="auto" w:fill="auto"/>
          </w:tcPr>
          <w:p w:rsidR="005739AA" w:rsidRDefault="005739AA" w:rsidP="00F468C9">
            <w:pPr>
              <w:spacing w:line="240" w:lineRule="auto"/>
              <w:jc w:val="left"/>
            </w:pPr>
            <w:r>
              <w:t>Activity gender gap</w:t>
            </w:r>
          </w:p>
        </w:tc>
        <w:tc>
          <w:tcPr>
            <w:tcW w:w="550" w:type="pct"/>
            <w:shd w:val="clear" w:color="auto" w:fill="auto"/>
          </w:tcPr>
          <w:p w:rsidR="005739AA" w:rsidRDefault="005739AA" w:rsidP="00F468C9">
            <w:pPr>
              <w:spacing w:line="240" w:lineRule="auto"/>
              <w:jc w:val="left"/>
            </w:pPr>
            <w:r>
              <w:t>Census</w:t>
            </w:r>
          </w:p>
        </w:tc>
        <w:tc>
          <w:tcPr>
            <w:tcW w:w="704" w:type="pct"/>
            <w:gridSpan w:val="3"/>
            <w:shd w:val="clear" w:color="auto" w:fill="auto"/>
          </w:tcPr>
          <w:p w:rsidR="005739AA" w:rsidRDefault="005739AA" w:rsidP="00F468C9">
            <w:pPr>
              <w:spacing w:line="240" w:lineRule="auto"/>
              <w:jc w:val="left"/>
            </w:pPr>
            <w:r>
              <w:t>2001, 2011</w:t>
            </w:r>
          </w:p>
        </w:tc>
        <w:tc>
          <w:tcPr>
            <w:tcW w:w="955" w:type="pct"/>
            <w:tcBorders>
              <w:bottom w:val="single" w:sz="4" w:space="0" w:color="auto"/>
            </w:tcBorders>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shd w:val="clear" w:color="auto" w:fill="auto"/>
          </w:tcPr>
          <w:p w:rsidR="005739AA" w:rsidRPr="006C3BAA" w:rsidRDefault="005739AA" w:rsidP="00F468C9">
            <w:pPr>
              <w:spacing w:line="240" w:lineRule="auto"/>
              <w:jc w:val="left"/>
            </w:pPr>
          </w:p>
        </w:tc>
        <w:tc>
          <w:tcPr>
            <w:tcW w:w="1309" w:type="pct"/>
            <w:gridSpan w:val="2"/>
            <w:shd w:val="clear" w:color="auto" w:fill="auto"/>
          </w:tcPr>
          <w:p w:rsidR="005739AA" w:rsidRDefault="005739AA" w:rsidP="00F468C9">
            <w:pPr>
              <w:spacing w:line="240" w:lineRule="auto"/>
              <w:jc w:val="left"/>
            </w:pPr>
            <w:r>
              <w:t>Unemployment rate</w:t>
            </w:r>
          </w:p>
        </w:tc>
        <w:tc>
          <w:tcPr>
            <w:tcW w:w="550" w:type="pct"/>
            <w:shd w:val="clear" w:color="auto" w:fill="auto"/>
          </w:tcPr>
          <w:p w:rsidR="005739AA" w:rsidRDefault="005739AA" w:rsidP="00F468C9">
            <w:pPr>
              <w:spacing w:line="240" w:lineRule="auto"/>
              <w:jc w:val="left"/>
            </w:pPr>
            <w:r>
              <w:t>Census</w:t>
            </w:r>
          </w:p>
        </w:tc>
        <w:tc>
          <w:tcPr>
            <w:tcW w:w="704" w:type="pct"/>
            <w:gridSpan w:val="3"/>
            <w:shd w:val="clear" w:color="auto" w:fill="auto"/>
          </w:tcPr>
          <w:p w:rsidR="005739AA" w:rsidRDefault="005739AA" w:rsidP="00F468C9">
            <w:pPr>
              <w:spacing w:line="240" w:lineRule="auto"/>
              <w:jc w:val="left"/>
            </w:pPr>
            <w:r>
              <w:t>2001, 2011</w:t>
            </w:r>
          </w:p>
        </w:tc>
        <w:tc>
          <w:tcPr>
            <w:tcW w:w="955" w:type="pct"/>
            <w:tcBorders>
              <w:bottom w:val="single" w:sz="4" w:space="0" w:color="auto"/>
            </w:tcBorders>
            <w:shd w:val="clear" w:color="auto" w:fill="00B05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shd w:val="clear" w:color="auto" w:fill="auto"/>
          </w:tcPr>
          <w:p w:rsidR="005739AA" w:rsidRPr="006C3BAA" w:rsidRDefault="005739AA" w:rsidP="00F468C9">
            <w:pPr>
              <w:spacing w:line="240" w:lineRule="auto"/>
              <w:jc w:val="left"/>
            </w:pPr>
          </w:p>
        </w:tc>
        <w:tc>
          <w:tcPr>
            <w:tcW w:w="1309" w:type="pct"/>
            <w:gridSpan w:val="2"/>
            <w:shd w:val="clear" w:color="auto" w:fill="auto"/>
          </w:tcPr>
          <w:p w:rsidR="005739AA" w:rsidRDefault="005739AA" w:rsidP="00F468C9">
            <w:pPr>
              <w:spacing w:line="240" w:lineRule="auto"/>
              <w:jc w:val="left"/>
            </w:pPr>
            <w:r>
              <w:t>Youth (15–24) unemployment rate</w:t>
            </w:r>
          </w:p>
        </w:tc>
        <w:tc>
          <w:tcPr>
            <w:tcW w:w="550" w:type="pct"/>
            <w:shd w:val="clear" w:color="auto" w:fill="auto"/>
          </w:tcPr>
          <w:p w:rsidR="005739AA" w:rsidRDefault="005739AA" w:rsidP="00F468C9">
            <w:pPr>
              <w:spacing w:line="240" w:lineRule="auto"/>
              <w:jc w:val="left"/>
            </w:pPr>
            <w:r>
              <w:t>Census</w:t>
            </w:r>
          </w:p>
        </w:tc>
        <w:tc>
          <w:tcPr>
            <w:tcW w:w="704" w:type="pct"/>
            <w:gridSpan w:val="3"/>
            <w:shd w:val="clear" w:color="auto" w:fill="auto"/>
          </w:tcPr>
          <w:p w:rsidR="005739AA" w:rsidRDefault="005739AA" w:rsidP="00F468C9">
            <w:pPr>
              <w:spacing w:line="240" w:lineRule="auto"/>
              <w:jc w:val="left"/>
            </w:pPr>
            <w:r>
              <w:t>2001, 2011</w:t>
            </w:r>
          </w:p>
        </w:tc>
        <w:tc>
          <w:tcPr>
            <w:tcW w:w="955" w:type="pct"/>
            <w:tcBorders>
              <w:bottom w:val="single" w:sz="4" w:space="0" w:color="auto"/>
            </w:tcBorders>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shd w:val="clear" w:color="auto" w:fill="auto"/>
          </w:tcPr>
          <w:p w:rsidR="005739AA" w:rsidRPr="006C3BAA" w:rsidRDefault="005739AA" w:rsidP="00F468C9">
            <w:pPr>
              <w:spacing w:line="240" w:lineRule="auto"/>
              <w:jc w:val="left"/>
            </w:pPr>
          </w:p>
        </w:tc>
        <w:tc>
          <w:tcPr>
            <w:tcW w:w="1309" w:type="pct"/>
            <w:gridSpan w:val="2"/>
            <w:shd w:val="clear" w:color="auto" w:fill="auto"/>
          </w:tcPr>
          <w:p w:rsidR="005739AA" w:rsidRPr="006C3BAA" w:rsidRDefault="005739AA" w:rsidP="00F468C9">
            <w:pPr>
              <w:spacing w:line="240" w:lineRule="auto"/>
              <w:jc w:val="left"/>
            </w:pPr>
            <w:r>
              <w:t>Inactivity rate</w:t>
            </w:r>
          </w:p>
        </w:tc>
        <w:tc>
          <w:tcPr>
            <w:tcW w:w="550" w:type="pct"/>
            <w:tcBorders>
              <w:bottom w:val="single" w:sz="4" w:space="0" w:color="auto"/>
            </w:tcBorders>
            <w:shd w:val="clear" w:color="auto" w:fill="auto"/>
          </w:tcPr>
          <w:p w:rsidR="005739AA" w:rsidRPr="006C3BAA" w:rsidRDefault="005739AA" w:rsidP="00F468C9">
            <w:pPr>
              <w:spacing w:line="240" w:lineRule="auto"/>
              <w:jc w:val="left"/>
            </w:pPr>
            <w:r>
              <w:t>Census</w:t>
            </w:r>
          </w:p>
        </w:tc>
        <w:tc>
          <w:tcPr>
            <w:tcW w:w="704" w:type="pct"/>
            <w:gridSpan w:val="3"/>
            <w:shd w:val="clear" w:color="auto" w:fill="auto"/>
          </w:tcPr>
          <w:p w:rsidR="005739AA" w:rsidRDefault="005739AA" w:rsidP="00F468C9">
            <w:r w:rsidRPr="009342AD">
              <w:t>2001, 2011</w:t>
            </w:r>
          </w:p>
        </w:tc>
        <w:tc>
          <w:tcPr>
            <w:tcW w:w="955" w:type="pct"/>
            <w:tcBorders>
              <w:bottom w:val="single" w:sz="4" w:space="0" w:color="auto"/>
            </w:tcBorders>
            <w:shd w:val="clear" w:color="auto" w:fill="00B050"/>
          </w:tcPr>
          <w:p w:rsidR="005739AA" w:rsidRPr="00B56790" w:rsidRDefault="005739AA" w:rsidP="00F468C9">
            <w:pPr>
              <w:jc w:val="center"/>
              <w:rPr>
                <w:sz w:val="32"/>
                <w:szCs w:val="32"/>
              </w:rPr>
            </w:pPr>
            <w:r>
              <w:rPr>
                <w:sz w:val="32"/>
                <w:szCs w:val="32"/>
              </w:rPr>
              <w:t>+-</w:t>
            </w: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val="restart"/>
            <w:shd w:val="clear" w:color="auto" w:fill="auto"/>
          </w:tcPr>
          <w:p w:rsidR="005739AA" w:rsidRPr="006C3BAA" w:rsidRDefault="005739AA" w:rsidP="00F468C9">
            <w:pPr>
              <w:spacing w:line="240" w:lineRule="auto"/>
              <w:jc w:val="left"/>
            </w:pPr>
            <w:r w:rsidRPr="006C3BAA">
              <w:t>Access to basic services</w:t>
            </w:r>
          </w:p>
          <w:p w:rsidR="005739AA" w:rsidRPr="006C3BAA" w:rsidRDefault="005739AA" w:rsidP="00F468C9">
            <w:pPr>
              <w:spacing w:line="240" w:lineRule="auto"/>
              <w:jc w:val="left"/>
            </w:pPr>
            <w:r>
              <w:br w:type="page"/>
            </w:r>
          </w:p>
        </w:tc>
        <w:tc>
          <w:tcPr>
            <w:tcW w:w="703" w:type="pct"/>
            <w:vMerge w:val="restart"/>
            <w:shd w:val="clear" w:color="auto" w:fill="auto"/>
          </w:tcPr>
          <w:p w:rsidR="005739AA" w:rsidRPr="006C3BAA" w:rsidRDefault="005739AA" w:rsidP="00F468C9">
            <w:pPr>
              <w:spacing w:line="240" w:lineRule="auto"/>
              <w:jc w:val="left"/>
            </w:pPr>
            <w:r w:rsidRPr="006C3BAA">
              <w:t>Health</w:t>
            </w:r>
          </w:p>
        </w:tc>
        <w:tc>
          <w:tcPr>
            <w:tcW w:w="1309" w:type="pct"/>
            <w:gridSpan w:val="2"/>
            <w:shd w:val="clear" w:color="auto" w:fill="auto"/>
          </w:tcPr>
          <w:p w:rsidR="005739AA" w:rsidRPr="006C3BAA" w:rsidRDefault="005739AA" w:rsidP="00F468C9">
            <w:pPr>
              <w:spacing w:line="240" w:lineRule="auto"/>
              <w:jc w:val="left"/>
            </w:pPr>
            <w:r w:rsidRPr="00053A30">
              <w:t>Health personnel per 100</w:t>
            </w:r>
            <w:r>
              <w:t>,</w:t>
            </w:r>
            <w:r w:rsidRPr="00053A30">
              <w:t>000 inhabitants</w:t>
            </w:r>
          </w:p>
        </w:tc>
        <w:tc>
          <w:tcPr>
            <w:tcW w:w="550" w:type="pct"/>
            <w:tcBorders>
              <w:bottom w:val="nil"/>
            </w:tcBorders>
            <w:shd w:val="pct20" w:color="auto" w:fill="auto"/>
          </w:tcPr>
          <w:p w:rsidR="005739AA" w:rsidRPr="006C3BAA" w:rsidRDefault="005739AA" w:rsidP="00F468C9">
            <w:pPr>
              <w:spacing w:line="240" w:lineRule="auto"/>
              <w:jc w:val="left"/>
            </w:pPr>
            <w:r>
              <w:t>Eurostat (NUTS1–2)</w:t>
            </w:r>
          </w:p>
        </w:tc>
        <w:tc>
          <w:tcPr>
            <w:tcW w:w="704" w:type="pct"/>
            <w:gridSpan w:val="3"/>
            <w:shd w:val="clear" w:color="auto" w:fill="auto"/>
          </w:tcPr>
          <w:p w:rsidR="005739AA" w:rsidRDefault="005739AA" w:rsidP="00F468C9">
            <w:r w:rsidRPr="00064CAC">
              <w:t>2001, 2011</w:t>
            </w:r>
          </w:p>
        </w:tc>
        <w:tc>
          <w:tcPr>
            <w:tcW w:w="955" w:type="pct"/>
            <w:shd w:val="clear" w:color="auto" w:fill="FF0000"/>
          </w:tcPr>
          <w:p w:rsidR="005739AA" w:rsidRPr="00B56790" w:rsidRDefault="005739AA" w:rsidP="00F468C9">
            <w:pPr>
              <w:spacing w:line="240" w:lineRule="auto"/>
              <w:jc w:val="center"/>
              <w:rPr>
                <w:sz w:val="32"/>
                <w:szCs w:val="32"/>
              </w:rPr>
            </w:pP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shd w:val="clear" w:color="auto" w:fill="auto"/>
          </w:tcPr>
          <w:p w:rsidR="005739AA" w:rsidRPr="006C3BAA" w:rsidRDefault="005739AA" w:rsidP="00F468C9">
            <w:pPr>
              <w:spacing w:line="240" w:lineRule="auto"/>
              <w:jc w:val="left"/>
            </w:pPr>
          </w:p>
        </w:tc>
        <w:tc>
          <w:tcPr>
            <w:tcW w:w="1309" w:type="pct"/>
            <w:gridSpan w:val="2"/>
            <w:shd w:val="clear" w:color="auto" w:fill="auto"/>
          </w:tcPr>
          <w:p w:rsidR="005739AA" w:rsidRPr="00053A30" w:rsidRDefault="005739AA" w:rsidP="00F468C9">
            <w:pPr>
              <w:spacing w:line="240" w:lineRule="auto"/>
              <w:jc w:val="left"/>
            </w:pPr>
            <w:r w:rsidRPr="00053A30">
              <w:t>Hospital beds per 100</w:t>
            </w:r>
            <w:r>
              <w:t>,</w:t>
            </w:r>
            <w:r w:rsidRPr="00053A30">
              <w:t>000 inhabitants</w:t>
            </w:r>
          </w:p>
        </w:tc>
        <w:tc>
          <w:tcPr>
            <w:tcW w:w="550" w:type="pct"/>
            <w:tcBorders>
              <w:top w:val="nil"/>
              <w:bottom w:val="nil"/>
            </w:tcBorders>
            <w:shd w:val="pct20" w:color="auto" w:fill="auto"/>
          </w:tcPr>
          <w:p w:rsidR="005739AA" w:rsidRDefault="005739AA" w:rsidP="00F468C9">
            <w:pPr>
              <w:spacing w:line="240" w:lineRule="auto"/>
              <w:jc w:val="left"/>
            </w:pPr>
            <w:r>
              <w:t>Eurostat (NUTS1–2)</w:t>
            </w:r>
          </w:p>
        </w:tc>
        <w:tc>
          <w:tcPr>
            <w:tcW w:w="704" w:type="pct"/>
            <w:gridSpan w:val="3"/>
            <w:shd w:val="clear" w:color="auto" w:fill="auto"/>
          </w:tcPr>
          <w:p w:rsidR="005739AA" w:rsidRDefault="005739AA" w:rsidP="00F468C9">
            <w:r w:rsidRPr="00064CAC">
              <w:t>2001, 2011</w:t>
            </w:r>
          </w:p>
        </w:tc>
        <w:tc>
          <w:tcPr>
            <w:tcW w:w="955" w:type="pct"/>
            <w:tcBorders>
              <w:bottom w:val="single" w:sz="4" w:space="0" w:color="auto"/>
            </w:tcBorders>
            <w:shd w:val="clear" w:color="auto" w:fill="FF0000"/>
          </w:tcPr>
          <w:p w:rsidR="005739AA" w:rsidRPr="00B56790" w:rsidRDefault="005739AA" w:rsidP="00F468C9">
            <w:pPr>
              <w:spacing w:line="240" w:lineRule="auto"/>
              <w:jc w:val="center"/>
              <w:rPr>
                <w:sz w:val="32"/>
                <w:szCs w:val="32"/>
              </w:rPr>
            </w:pP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shd w:val="clear" w:color="auto" w:fill="auto"/>
          </w:tcPr>
          <w:p w:rsidR="005739AA" w:rsidRPr="006C3BAA" w:rsidRDefault="005739AA" w:rsidP="00F468C9">
            <w:pPr>
              <w:spacing w:line="240" w:lineRule="auto"/>
              <w:jc w:val="left"/>
            </w:pPr>
          </w:p>
        </w:tc>
        <w:tc>
          <w:tcPr>
            <w:tcW w:w="1309" w:type="pct"/>
            <w:gridSpan w:val="2"/>
            <w:tcBorders>
              <w:bottom w:val="single" w:sz="4" w:space="0" w:color="auto"/>
            </w:tcBorders>
            <w:shd w:val="clear" w:color="auto" w:fill="auto"/>
          </w:tcPr>
          <w:p w:rsidR="005739AA" w:rsidRPr="006C3BAA" w:rsidRDefault="005739AA" w:rsidP="00F468C9">
            <w:pPr>
              <w:spacing w:line="240" w:lineRule="auto"/>
              <w:jc w:val="left"/>
            </w:pPr>
            <w:r w:rsidRPr="006C3BAA">
              <w:t xml:space="preserve">Healthy life expectancy </w:t>
            </w:r>
            <w:r>
              <w:t>at birth</w:t>
            </w:r>
          </w:p>
        </w:tc>
        <w:tc>
          <w:tcPr>
            <w:tcW w:w="550" w:type="pct"/>
            <w:tcBorders>
              <w:top w:val="nil"/>
            </w:tcBorders>
            <w:shd w:val="pct20" w:color="auto" w:fill="auto"/>
          </w:tcPr>
          <w:p w:rsidR="005739AA" w:rsidRPr="006C3BAA" w:rsidRDefault="005739AA" w:rsidP="00F468C9">
            <w:pPr>
              <w:spacing w:line="240" w:lineRule="auto"/>
              <w:jc w:val="left"/>
            </w:pPr>
            <w:r>
              <w:t>Eurostat (NUTS1–2)</w:t>
            </w:r>
          </w:p>
        </w:tc>
        <w:tc>
          <w:tcPr>
            <w:tcW w:w="704" w:type="pct"/>
            <w:gridSpan w:val="3"/>
            <w:shd w:val="clear" w:color="auto" w:fill="auto"/>
          </w:tcPr>
          <w:p w:rsidR="005739AA" w:rsidRDefault="005739AA" w:rsidP="00F468C9">
            <w:r w:rsidRPr="00064CAC">
              <w:t>2001, 2011</w:t>
            </w:r>
          </w:p>
        </w:tc>
        <w:tc>
          <w:tcPr>
            <w:tcW w:w="955" w:type="pct"/>
            <w:tcBorders>
              <w:bottom w:val="single" w:sz="4" w:space="0" w:color="auto"/>
            </w:tcBorders>
            <w:shd w:val="clear" w:color="auto" w:fill="FFC000"/>
          </w:tcPr>
          <w:p w:rsidR="005739AA" w:rsidRPr="00B56790" w:rsidRDefault="005739AA" w:rsidP="00F468C9">
            <w:pPr>
              <w:spacing w:line="240" w:lineRule="auto"/>
              <w:jc w:val="center"/>
              <w:rPr>
                <w:sz w:val="32"/>
                <w:szCs w:val="32"/>
              </w:rPr>
            </w:pP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val="restart"/>
            <w:shd w:val="clear" w:color="auto" w:fill="auto"/>
          </w:tcPr>
          <w:p w:rsidR="005739AA" w:rsidRPr="006C3BAA" w:rsidRDefault="005739AA" w:rsidP="00F468C9">
            <w:pPr>
              <w:spacing w:line="240" w:lineRule="auto"/>
              <w:jc w:val="left"/>
            </w:pPr>
            <w:r w:rsidRPr="006C3BAA">
              <w:t>Education</w:t>
            </w:r>
          </w:p>
        </w:tc>
        <w:tc>
          <w:tcPr>
            <w:tcW w:w="1309" w:type="pct"/>
            <w:gridSpan w:val="2"/>
            <w:tcBorders>
              <w:bottom w:val="single" w:sz="4" w:space="0" w:color="auto"/>
            </w:tcBorders>
            <w:shd w:val="clear" w:color="auto" w:fill="auto"/>
          </w:tcPr>
          <w:p w:rsidR="005739AA" w:rsidRPr="006C3BAA" w:rsidRDefault="005739AA" w:rsidP="00F468C9">
            <w:pPr>
              <w:spacing w:line="240" w:lineRule="auto"/>
              <w:jc w:val="left"/>
            </w:pPr>
            <w:r>
              <w:t>Ratio of population with low qualification</w:t>
            </w:r>
          </w:p>
        </w:tc>
        <w:tc>
          <w:tcPr>
            <w:tcW w:w="550" w:type="pct"/>
            <w:shd w:val="clear" w:color="auto" w:fill="auto"/>
          </w:tcPr>
          <w:p w:rsidR="005739AA" w:rsidRPr="006C3BAA" w:rsidRDefault="005739AA" w:rsidP="00F468C9">
            <w:pPr>
              <w:spacing w:line="240" w:lineRule="auto"/>
              <w:jc w:val="left"/>
            </w:pPr>
            <w:r>
              <w:t>Census</w:t>
            </w:r>
          </w:p>
        </w:tc>
        <w:tc>
          <w:tcPr>
            <w:tcW w:w="704" w:type="pct"/>
            <w:gridSpan w:val="3"/>
            <w:shd w:val="clear" w:color="auto" w:fill="auto"/>
          </w:tcPr>
          <w:p w:rsidR="005739AA" w:rsidRDefault="005739AA" w:rsidP="00F468C9">
            <w:r w:rsidRPr="0003642F">
              <w:t>2001, 2011</w:t>
            </w:r>
          </w:p>
        </w:tc>
        <w:tc>
          <w:tcPr>
            <w:tcW w:w="955" w:type="pct"/>
            <w:tcBorders>
              <w:bottom w:val="single" w:sz="4" w:space="0" w:color="auto"/>
            </w:tcBorders>
            <w:shd w:val="clear" w:color="auto" w:fill="00B05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703" w:type="pct"/>
            <w:vMerge/>
            <w:shd w:val="clear" w:color="auto" w:fill="auto"/>
          </w:tcPr>
          <w:p w:rsidR="005739AA" w:rsidRPr="006C3BAA" w:rsidRDefault="005739AA" w:rsidP="00F468C9">
            <w:pPr>
              <w:spacing w:line="240" w:lineRule="auto"/>
              <w:jc w:val="left"/>
            </w:pPr>
          </w:p>
        </w:tc>
        <w:tc>
          <w:tcPr>
            <w:tcW w:w="1309" w:type="pct"/>
            <w:gridSpan w:val="2"/>
            <w:tcBorders>
              <w:top w:val="single" w:sz="4" w:space="0" w:color="auto"/>
              <w:bottom w:val="single" w:sz="4" w:space="0" w:color="auto"/>
            </w:tcBorders>
            <w:shd w:val="clear" w:color="auto" w:fill="auto"/>
          </w:tcPr>
          <w:p w:rsidR="005739AA" w:rsidRPr="006C3BAA" w:rsidRDefault="005739AA" w:rsidP="00F468C9">
            <w:pPr>
              <w:spacing w:line="240" w:lineRule="auto"/>
              <w:jc w:val="left"/>
            </w:pPr>
            <w:r>
              <w:t>Ratio of population with high qualification</w:t>
            </w:r>
          </w:p>
        </w:tc>
        <w:tc>
          <w:tcPr>
            <w:tcW w:w="550" w:type="pct"/>
            <w:shd w:val="clear" w:color="auto" w:fill="auto"/>
          </w:tcPr>
          <w:p w:rsidR="005739AA" w:rsidRPr="006C3BAA" w:rsidRDefault="005739AA" w:rsidP="00F468C9">
            <w:pPr>
              <w:spacing w:line="240" w:lineRule="auto"/>
              <w:jc w:val="left"/>
            </w:pPr>
            <w:r>
              <w:t>Census</w:t>
            </w:r>
          </w:p>
        </w:tc>
        <w:tc>
          <w:tcPr>
            <w:tcW w:w="704" w:type="pct"/>
            <w:gridSpan w:val="3"/>
            <w:shd w:val="clear" w:color="auto" w:fill="auto"/>
          </w:tcPr>
          <w:p w:rsidR="005739AA" w:rsidRDefault="005739AA" w:rsidP="00F468C9">
            <w:r w:rsidRPr="0003642F">
              <w:t>2001, 2011</w:t>
            </w:r>
          </w:p>
        </w:tc>
        <w:tc>
          <w:tcPr>
            <w:tcW w:w="955" w:type="pct"/>
            <w:tcBorders>
              <w:bottom w:val="single" w:sz="4" w:space="0" w:color="auto"/>
            </w:tcBorders>
            <w:shd w:val="clear" w:color="auto" w:fill="00B05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rPr>
          <w:cantSplit/>
          <w:trHeight w:val="444"/>
          <w:tblHeader/>
        </w:trPr>
        <w:tc>
          <w:tcPr>
            <w:tcW w:w="779" w:type="pct"/>
            <w:shd w:val="pct20" w:color="auto" w:fill="auto"/>
          </w:tcPr>
          <w:p w:rsidR="005739AA" w:rsidRPr="006C3BAA" w:rsidRDefault="005739AA" w:rsidP="00F468C9">
            <w:pPr>
              <w:spacing w:line="240" w:lineRule="auto"/>
              <w:jc w:val="left"/>
              <w:rPr>
                <w:i/>
                <w:iCs/>
              </w:rPr>
            </w:pPr>
            <w:r>
              <w:lastRenderedPageBreak/>
              <w:br w:type="page"/>
            </w:r>
            <w:r w:rsidRPr="006C3BAA">
              <w:rPr>
                <w:i/>
                <w:iCs/>
              </w:rPr>
              <w:t>Domain identified by WP2.1</w:t>
            </w:r>
            <w:r>
              <w:rPr>
                <w:i/>
                <w:iCs/>
              </w:rPr>
              <w:t xml:space="preserve"> and 2.6.</w:t>
            </w:r>
          </w:p>
        </w:tc>
        <w:tc>
          <w:tcPr>
            <w:tcW w:w="856" w:type="pct"/>
            <w:gridSpan w:val="2"/>
            <w:shd w:val="pct20" w:color="auto" w:fill="auto"/>
          </w:tcPr>
          <w:p w:rsidR="005739AA" w:rsidRPr="006C3BAA" w:rsidRDefault="005739AA" w:rsidP="00F468C9">
            <w:pPr>
              <w:spacing w:line="240" w:lineRule="auto"/>
              <w:jc w:val="left"/>
              <w:rPr>
                <w:i/>
                <w:iCs/>
              </w:rPr>
            </w:pPr>
            <w:r w:rsidRPr="006C3BAA">
              <w:rPr>
                <w:i/>
                <w:iCs/>
              </w:rPr>
              <w:t>Dimension identified by WP2.1 and</w:t>
            </w:r>
            <w:r>
              <w:rPr>
                <w:i/>
                <w:iCs/>
              </w:rPr>
              <w:t xml:space="preserve"> 2.6</w:t>
            </w:r>
          </w:p>
        </w:tc>
        <w:tc>
          <w:tcPr>
            <w:tcW w:w="1156" w:type="pct"/>
            <w:shd w:val="pct20" w:color="auto" w:fill="auto"/>
          </w:tcPr>
          <w:p w:rsidR="005739AA" w:rsidRPr="006C3BAA" w:rsidRDefault="005739AA" w:rsidP="00F468C9">
            <w:pPr>
              <w:spacing w:line="240" w:lineRule="auto"/>
              <w:jc w:val="left"/>
              <w:rPr>
                <w:i/>
                <w:iCs/>
              </w:rPr>
            </w:pPr>
            <w:r w:rsidRPr="006C3BAA">
              <w:rPr>
                <w:i/>
                <w:iCs/>
              </w:rPr>
              <w:t>Indicator further specified by WP2.6</w:t>
            </w:r>
          </w:p>
        </w:tc>
        <w:tc>
          <w:tcPr>
            <w:tcW w:w="553" w:type="pct"/>
            <w:gridSpan w:val="2"/>
            <w:shd w:val="pct20" w:color="auto" w:fill="auto"/>
          </w:tcPr>
          <w:p w:rsidR="005739AA" w:rsidRPr="006C3BAA" w:rsidRDefault="005739AA" w:rsidP="00F468C9">
            <w:pPr>
              <w:spacing w:line="240" w:lineRule="auto"/>
              <w:jc w:val="left"/>
              <w:rPr>
                <w:i/>
                <w:iCs/>
              </w:rPr>
            </w:pPr>
            <w:r>
              <w:rPr>
                <w:i/>
                <w:iCs/>
              </w:rPr>
              <w:t>Source</w:t>
            </w:r>
          </w:p>
        </w:tc>
        <w:tc>
          <w:tcPr>
            <w:tcW w:w="653" w:type="pct"/>
            <w:shd w:val="pct20" w:color="auto" w:fill="auto"/>
          </w:tcPr>
          <w:p w:rsidR="005739AA" w:rsidRDefault="005739AA" w:rsidP="00F468C9">
            <w:pPr>
              <w:spacing w:line="240" w:lineRule="auto"/>
              <w:jc w:val="left"/>
              <w:rPr>
                <w:i/>
                <w:iCs/>
              </w:rPr>
            </w:pPr>
            <w:r>
              <w:rPr>
                <w:i/>
                <w:iCs/>
              </w:rPr>
              <w:t>Coverage of TiPSE collection (by Years)</w:t>
            </w:r>
          </w:p>
        </w:tc>
        <w:tc>
          <w:tcPr>
            <w:tcW w:w="1003" w:type="pct"/>
            <w:gridSpan w:val="2"/>
            <w:tcBorders>
              <w:bottom w:val="single" w:sz="4" w:space="0" w:color="auto"/>
            </w:tcBorders>
            <w:shd w:val="pct20" w:color="auto" w:fill="auto"/>
          </w:tcPr>
          <w:p w:rsidR="005739AA" w:rsidRDefault="005739AA" w:rsidP="00F468C9">
            <w:pPr>
              <w:spacing w:line="240" w:lineRule="auto"/>
              <w:jc w:val="left"/>
              <w:rPr>
                <w:i/>
                <w:iCs/>
              </w:rPr>
            </w:pPr>
            <w:r>
              <w:rPr>
                <w:i/>
                <w:iCs/>
              </w:rPr>
              <w:t>Further qualification *</w:t>
            </w:r>
          </w:p>
          <w:p w:rsidR="005739AA" w:rsidRDefault="005739AA" w:rsidP="00F468C9">
            <w:pPr>
              <w:spacing w:line="240" w:lineRule="auto"/>
              <w:jc w:val="left"/>
              <w:rPr>
                <w:i/>
                <w:iCs/>
              </w:rPr>
            </w:pPr>
            <w:r>
              <w:rPr>
                <w:i/>
                <w:iCs/>
              </w:rPr>
              <w:t>summarised by traffic lights</w:t>
            </w:r>
          </w:p>
        </w:tc>
      </w:tr>
      <w:tr w:rsidR="005739AA" w:rsidRPr="006C3BAA" w:rsidTr="00F468C9">
        <w:tc>
          <w:tcPr>
            <w:tcW w:w="779" w:type="pct"/>
            <w:vMerge w:val="restart"/>
            <w:shd w:val="clear" w:color="auto" w:fill="auto"/>
          </w:tcPr>
          <w:p w:rsidR="005739AA" w:rsidRPr="006C3BAA" w:rsidRDefault="005739AA" w:rsidP="00F468C9">
            <w:pPr>
              <w:spacing w:line="240" w:lineRule="auto"/>
              <w:jc w:val="left"/>
            </w:pPr>
            <w:r w:rsidRPr="006C3BAA">
              <w:t>Access to basic services</w:t>
            </w:r>
          </w:p>
        </w:tc>
        <w:tc>
          <w:tcPr>
            <w:tcW w:w="856" w:type="pct"/>
            <w:gridSpan w:val="2"/>
            <w:vMerge w:val="restart"/>
            <w:shd w:val="clear" w:color="auto" w:fill="auto"/>
          </w:tcPr>
          <w:p w:rsidR="005739AA" w:rsidRPr="006C3BAA" w:rsidRDefault="005739AA" w:rsidP="00F468C9">
            <w:pPr>
              <w:spacing w:line="240" w:lineRule="auto"/>
              <w:jc w:val="left"/>
            </w:pPr>
            <w:r>
              <w:t>Housing</w:t>
            </w:r>
          </w:p>
        </w:tc>
        <w:tc>
          <w:tcPr>
            <w:tcW w:w="1156" w:type="pct"/>
            <w:shd w:val="clear" w:color="auto" w:fill="auto"/>
          </w:tcPr>
          <w:p w:rsidR="005739AA" w:rsidRPr="006C3BAA" w:rsidRDefault="005739AA" w:rsidP="00F468C9">
            <w:pPr>
              <w:spacing w:line="240" w:lineRule="auto"/>
              <w:jc w:val="left"/>
            </w:pPr>
            <w:r>
              <w:t>Ratio of housing units without water supply system</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4024E5">
              <w:t>2001, 2011</w:t>
            </w:r>
          </w:p>
        </w:tc>
        <w:tc>
          <w:tcPr>
            <w:tcW w:w="1003" w:type="pct"/>
            <w:gridSpan w:val="2"/>
            <w:shd w:val="clear" w:color="auto" w:fill="FF0000"/>
          </w:tcPr>
          <w:p w:rsidR="005739AA" w:rsidRPr="00B56790" w:rsidRDefault="005739AA" w:rsidP="00F468C9">
            <w:pPr>
              <w:spacing w:line="240" w:lineRule="auto"/>
              <w:jc w:val="center"/>
              <w:rPr>
                <w:sz w:val="32"/>
                <w:szCs w:val="32"/>
              </w:rPr>
            </w:pPr>
            <w:r>
              <w:rPr>
                <w:sz w:val="32"/>
                <w:szCs w:val="32"/>
              </w:rPr>
              <w:t>--+</w:t>
            </w:r>
            <w:r w:rsidRPr="00B56790">
              <w:rPr>
                <w:sz w:val="32"/>
                <w:szCs w:val="32"/>
              </w:rPr>
              <w:t>-</w:t>
            </w:r>
            <w:r>
              <w:rPr>
                <w:sz w:val="32"/>
                <w:szCs w:val="32"/>
              </w:rPr>
              <w:t xml:space="preserve"> (</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vMerge/>
            <w:shd w:val="clear" w:color="auto" w:fill="auto"/>
          </w:tcPr>
          <w:p w:rsidR="005739AA" w:rsidRPr="006C3BAA" w:rsidRDefault="005739AA" w:rsidP="00F468C9">
            <w:pPr>
              <w:spacing w:line="240" w:lineRule="auto"/>
              <w:jc w:val="left"/>
            </w:pPr>
          </w:p>
        </w:tc>
        <w:tc>
          <w:tcPr>
            <w:tcW w:w="1156" w:type="pct"/>
            <w:shd w:val="clear" w:color="auto" w:fill="auto"/>
          </w:tcPr>
          <w:p w:rsidR="005739AA" w:rsidRPr="006C3BAA" w:rsidRDefault="005739AA" w:rsidP="00F468C9">
            <w:pPr>
              <w:spacing w:line="240" w:lineRule="auto"/>
              <w:jc w:val="left"/>
            </w:pPr>
            <w:r>
              <w:t>Ratio of housing units without bath or shower</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4024E5">
              <w:t>2001, 2011</w:t>
            </w:r>
          </w:p>
        </w:tc>
        <w:tc>
          <w:tcPr>
            <w:tcW w:w="1003" w:type="pct"/>
            <w:gridSpan w:val="2"/>
            <w:shd w:val="clear" w:color="auto" w:fill="FF0000"/>
          </w:tcPr>
          <w:p w:rsidR="005739AA" w:rsidRPr="00B56790" w:rsidRDefault="005739AA" w:rsidP="00F468C9">
            <w:pPr>
              <w:spacing w:line="240" w:lineRule="auto"/>
              <w:jc w:val="center"/>
              <w:rPr>
                <w:sz w:val="32"/>
                <w:szCs w:val="32"/>
              </w:rPr>
            </w:pPr>
            <w:r>
              <w:rPr>
                <w:sz w:val="32"/>
                <w:szCs w:val="32"/>
              </w:rPr>
              <w:t>--+</w:t>
            </w:r>
            <w:r w:rsidRPr="00B56790">
              <w:rPr>
                <w:sz w:val="32"/>
                <w:szCs w:val="32"/>
              </w:rPr>
              <w:t>-</w:t>
            </w:r>
            <w:r>
              <w:rPr>
                <w:sz w:val="32"/>
                <w:szCs w:val="32"/>
              </w:rPr>
              <w:t xml:space="preserve"> (</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vMerge/>
            <w:shd w:val="clear" w:color="auto" w:fill="auto"/>
          </w:tcPr>
          <w:p w:rsidR="005739AA" w:rsidRPr="006C3BAA" w:rsidRDefault="005739AA" w:rsidP="00F468C9">
            <w:pPr>
              <w:spacing w:line="240" w:lineRule="auto"/>
              <w:jc w:val="left"/>
            </w:pPr>
          </w:p>
        </w:tc>
        <w:tc>
          <w:tcPr>
            <w:tcW w:w="1156" w:type="pct"/>
            <w:tcBorders>
              <w:bottom w:val="single" w:sz="4" w:space="0" w:color="auto"/>
            </w:tcBorders>
            <w:shd w:val="clear" w:color="auto" w:fill="auto"/>
          </w:tcPr>
          <w:p w:rsidR="005739AA" w:rsidRDefault="005739AA" w:rsidP="00F468C9">
            <w:pPr>
              <w:spacing w:line="240" w:lineRule="auto"/>
              <w:jc w:val="left"/>
            </w:pPr>
            <w:r>
              <w:t>Number of occupants per room</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4024E5">
              <w:t>2001, 2011</w:t>
            </w:r>
          </w:p>
        </w:tc>
        <w:tc>
          <w:tcPr>
            <w:tcW w:w="1003" w:type="pct"/>
            <w:gridSpan w:val="2"/>
            <w:tcBorders>
              <w:bottom w:val="single" w:sz="4" w:space="0" w:color="auto"/>
            </w:tcBorders>
            <w:shd w:val="clear" w:color="auto" w:fill="FF0000"/>
          </w:tcPr>
          <w:p w:rsidR="005739AA" w:rsidRPr="00B56790" w:rsidRDefault="005739AA" w:rsidP="00F468C9">
            <w:pPr>
              <w:spacing w:line="240" w:lineRule="auto"/>
              <w:jc w:val="center"/>
              <w:rPr>
                <w:sz w:val="32"/>
                <w:szCs w:val="32"/>
              </w:rPr>
            </w:pPr>
            <w:r>
              <w:rPr>
                <w:sz w:val="32"/>
                <w:szCs w:val="32"/>
              </w:rPr>
              <w:t>--+</w:t>
            </w: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val="restart"/>
            <w:shd w:val="clear" w:color="auto" w:fill="auto"/>
          </w:tcPr>
          <w:p w:rsidR="005739AA" w:rsidRDefault="005739AA" w:rsidP="00F468C9">
            <w:pPr>
              <w:spacing w:line="240" w:lineRule="auto"/>
              <w:jc w:val="left"/>
            </w:pPr>
            <w:r w:rsidRPr="006C3BAA">
              <w:t>Social environment</w:t>
            </w:r>
          </w:p>
          <w:p w:rsidR="005739AA" w:rsidRDefault="005739AA" w:rsidP="00F468C9">
            <w:pPr>
              <w:spacing w:line="240" w:lineRule="auto"/>
              <w:jc w:val="left"/>
            </w:pPr>
          </w:p>
          <w:p w:rsidR="005739AA" w:rsidRDefault="005739AA" w:rsidP="00F468C9">
            <w:pPr>
              <w:spacing w:line="240" w:lineRule="auto"/>
              <w:jc w:val="left"/>
            </w:pPr>
          </w:p>
          <w:p w:rsidR="005739AA" w:rsidRDefault="005739AA" w:rsidP="00F468C9">
            <w:pPr>
              <w:spacing w:line="240" w:lineRule="auto"/>
              <w:jc w:val="left"/>
            </w:pPr>
          </w:p>
          <w:p w:rsidR="005739AA" w:rsidRDefault="005739AA" w:rsidP="00F468C9">
            <w:pPr>
              <w:spacing w:line="240" w:lineRule="auto"/>
              <w:jc w:val="left"/>
            </w:pPr>
          </w:p>
          <w:p w:rsidR="005739AA" w:rsidRDefault="005739AA" w:rsidP="00F468C9">
            <w:pPr>
              <w:spacing w:line="240" w:lineRule="auto"/>
              <w:jc w:val="left"/>
            </w:pPr>
          </w:p>
          <w:p w:rsidR="005739AA" w:rsidRDefault="005739AA" w:rsidP="00F468C9">
            <w:pPr>
              <w:spacing w:line="240" w:lineRule="auto"/>
              <w:jc w:val="left"/>
            </w:pPr>
          </w:p>
          <w:p w:rsidR="005739AA" w:rsidRDefault="005739AA" w:rsidP="00F468C9">
            <w:pPr>
              <w:spacing w:line="240" w:lineRule="auto"/>
              <w:jc w:val="left"/>
            </w:pPr>
          </w:p>
          <w:p w:rsidR="005739AA" w:rsidRDefault="005739AA" w:rsidP="00F468C9">
            <w:pPr>
              <w:spacing w:line="240" w:lineRule="auto"/>
              <w:jc w:val="left"/>
            </w:pPr>
          </w:p>
          <w:p w:rsidR="005739AA" w:rsidRPr="006C3BAA" w:rsidRDefault="005739AA" w:rsidP="00F468C9">
            <w:pPr>
              <w:spacing w:line="240" w:lineRule="auto"/>
              <w:jc w:val="left"/>
            </w:pPr>
          </w:p>
        </w:tc>
        <w:tc>
          <w:tcPr>
            <w:tcW w:w="856" w:type="pct"/>
            <w:gridSpan w:val="2"/>
            <w:vMerge w:val="restart"/>
            <w:shd w:val="clear" w:color="auto" w:fill="auto"/>
          </w:tcPr>
          <w:p w:rsidR="005739AA" w:rsidRPr="006C3BAA" w:rsidRDefault="005739AA" w:rsidP="00F468C9">
            <w:pPr>
              <w:spacing w:line="240" w:lineRule="auto"/>
              <w:jc w:val="left"/>
            </w:pPr>
            <w:r w:rsidRPr="006C3BAA">
              <w:t>Age</w:t>
            </w:r>
          </w:p>
        </w:tc>
        <w:tc>
          <w:tcPr>
            <w:tcW w:w="1156" w:type="pct"/>
            <w:shd w:val="clear" w:color="auto" w:fill="auto"/>
          </w:tcPr>
          <w:p w:rsidR="005739AA" w:rsidRPr="006C3BAA" w:rsidRDefault="005739AA" w:rsidP="00F468C9">
            <w:pPr>
              <w:spacing w:line="240" w:lineRule="auto"/>
              <w:jc w:val="left"/>
            </w:pPr>
            <w:r>
              <w:t>Total dependency rate</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AF7B46">
              <w:t>2001, 2011</w:t>
            </w:r>
          </w:p>
        </w:tc>
        <w:tc>
          <w:tcPr>
            <w:tcW w:w="1003" w:type="pct"/>
            <w:gridSpan w:val="2"/>
            <w:tcBorders>
              <w:bottom w:val="single" w:sz="4" w:space="0" w:color="auto"/>
            </w:tcBorders>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vMerge/>
            <w:shd w:val="clear" w:color="auto" w:fill="auto"/>
          </w:tcPr>
          <w:p w:rsidR="005739AA" w:rsidRPr="006C3BAA" w:rsidRDefault="005739AA" w:rsidP="00F468C9">
            <w:pPr>
              <w:spacing w:line="240" w:lineRule="auto"/>
              <w:jc w:val="left"/>
            </w:pPr>
          </w:p>
        </w:tc>
        <w:tc>
          <w:tcPr>
            <w:tcW w:w="1156" w:type="pct"/>
            <w:shd w:val="clear" w:color="auto" w:fill="auto"/>
          </w:tcPr>
          <w:p w:rsidR="005739AA" w:rsidRPr="006C3BAA" w:rsidRDefault="005739AA" w:rsidP="00F468C9">
            <w:pPr>
              <w:spacing w:line="240" w:lineRule="auto"/>
              <w:jc w:val="left"/>
            </w:pPr>
            <w:r>
              <w:t>Child dependency rate</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AF7B46">
              <w:t>2001, 2011</w:t>
            </w:r>
          </w:p>
        </w:tc>
        <w:tc>
          <w:tcPr>
            <w:tcW w:w="1003" w:type="pct"/>
            <w:gridSpan w:val="2"/>
            <w:tcBorders>
              <w:top w:val="single" w:sz="4" w:space="0" w:color="auto"/>
              <w:bottom w:val="single" w:sz="4" w:space="0" w:color="auto"/>
            </w:tcBorders>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vMerge/>
            <w:shd w:val="clear" w:color="auto" w:fill="auto"/>
          </w:tcPr>
          <w:p w:rsidR="005739AA" w:rsidRPr="006C3BAA" w:rsidRDefault="005739AA" w:rsidP="00F468C9">
            <w:pPr>
              <w:spacing w:line="240" w:lineRule="auto"/>
              <w:jc w:val="left"/>
            </w:pPr>
          </w:p>
        </w:tc>
        <w:tc>
          <w:tcPr>
            <w:tcW w:w="1156" w:type="pct"/>
            <w:shd w:val="clear" w:color="auto" w:fill="auto"/>
          </w:tcPr>
          <w:p w:rsidR="005739AA" w:rsidRDefault="005739AA" w:rsidP="00F468C9">
            <w:pPr>
              <w:spacing w:line="240" w:lineRule="auto"/>
              <w:jc w:val="left"/>
            </w:pPr>
            <w:r>
              <w:t>Old age dependency rate</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AF7B46">
              <w:t>2001, 2011</w:t>
            </w:r>
          </w:p>
        </w:tc>
        <w:tc>
          <w:tcPr>
            <w:tcW w:w="1003" w:type="pct"/>
            <w:gridSpan w:val="2"/>
            <w:tcBorders>
              <w:bottom w:val="single" w:sz="4" w:space="0" w:color="auto"/>
            </w:tcBorders>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shd w:val="clear" w:color="auto" w:fill="auto"/>
          </w:tcPr>
          <w:p w:rsidR="005739AA" w:rsidRPr="006C3BAA" w:rsidRDefault="005739AA" w:rsidP="00F468C9">
            <w:pPr>
              <w:spacing w:line="240" w:lineRule="auto"/>
              <w:jc w:val="left"/>
            </w:pPr>
            <w:r w:rsidRPr="006C3BAA">
              <w:t>Ethnic composition</w:t>
            </w:r>
          </w:p>
        </w:tc>
        <w:tc>
          <w:tcPr>
            <w:tcW w:w="1156" w:type="pct"/>
            <w:shd w:val="clear" w:color="auto" w:fill="auto"/>
          </w:tcPr>
          <w:p w:rsidR="005739AA" w:rsidRPr="006C3BAA" w:rsidRDefault="005739AA" w:rsidP="00F468C9">
            <w:pPr>
              <w:spacing w:line="240" w:lineRule="auto"/>
              <w:jc w:val="left"/>
            </w:pPr>
            <w:r>
              <w:t>Ratio of Roma population</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AF7B46">
              <w:t>2001, 2011</w:t>
            </w:r>
          </w:p>
        </w:tc>
        <w:tc>
          <w:tcPr>
            <w:tcW w:w="1003" w:type="pct"/>
            <w:gridSpan w:val="2"/>
            <w:tcBorders>
              <w:bottom w:val="single" w:sz="4" w:space="0" w:color="auto"/>
            </w:tcBorders>
            <w:shd w:val="clear" w:color="auto" w:fill="FFC000"/>
          </w:tcPr>
          <w:p w:rsidR="005739AA" w:rsidRPr="002440D4" w:rsidRDefault="005739AA" w:rsidP="00F468C9">
            <w:pPr>
              <w:spacing w:line="240" w:lineRule="auto"/>
              <w:jc w:val="center"/>
              <w:rPr>
                <w:b/>
              </w:rPr>
            </w:pPr>
            <w:r>
              <w:rPr>
                <w:sz w:val="32"/>
                <w:szCs w:val="32"/>
              </w:rPr>
              <w:t>-++-(</w:t>
            </w: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shd w:val="clear" w:color="auto" w:fill="auto"/>
          </w:tcPr>
          <w:p w:rsidR="005739AA" w:rsidRPr="006C3BAA" w:rsidRDefault="005739AA" w:rsidP="00F468C9">
            <w:pPr>
              <w:spacing w:line="240" w:lineRule="auto"/>
              <w:jc w:val="left"/>
            </w:pPr>
            <w:r w:rsidRPr="006C3BAA">
              <w:t>Immigrants</w:t>
            </w:r>
          </w:p>
        </w:tc>
        <w:tc>
          <w:tcPr>
            <w:tcW w:w="1156" w:type="pct"/>
            <w:tcBorders>
              <w:bottom w:val="single" w:sz="4" w:space="0" w:color="auto"/>
            </w:tcBorders>
            <w:shd w:val="clear" w:color="auto" w:fill="auto"/>
          </w:tcPr>
          <w:p w:rsidR="005739AA" w:rsidRPr="006C3BAA" w:rsidRDefault="005739AA" w:rsidP="00F468C9">
            <w:pPr>
              <w:spacing w:line="240" w:lineRule="auto"/>
              <w:jc w:val="left"/>
            </w:pPr>
            <w:r>
              <w:t>Ratio of foreign-born population</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AF7B46">
              <w:t>2001, 2011</w:t>
            </w:r>
          </w:p>
        </w:tc>
        <w:tc>
          <w:tcPr>
            <w:tcW w:w="1003" w:type="pct"/>
            <w:gridSpan w:val="2"/>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vMerge w:val="restart"/>
            <w:shd w:val="clear" w:color="auto" w:fill="auto"/>
          </w:tcPr>
          <w:p w:rsidR="005739AA" w:rsidRPr="0056199A" w:rsidRDefault="005739AA" w:rsidP="00F468C9">
            <w:pPr>
              <w:spacing w:line="240" w:lineRule="auto"/>
              <w:jc w:val="left"/>
            </w:pPr>
            <w:r>
              <w:t>Household structure (new dimension of WP2.6)</w:t>
            </w:r>
          </w:p>
        </w:tc>
        <w:tc>
          <w:tcPr>
            <w:tcW w:w="1156" w:type="pct"/>
            <w:shd w:val="clear" w:color="auto" w:fill="auto"/>
          </w:tcPr>
          <w:p w:rsidR="005739AA" w:rsidRPr="006C3BAA" w:rsidRDefault="005739AA" w:rsidP="00F468C9">
            <w:pPr>
              <w:spacing w:line="240" w:lineRule="auto"/>
              <w:jc w:val="left"/>
            </w:pPr>
            <w:r>
              <w:t>Ratio of lone parent households</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BE2ED8">
              <w:t>2001, 2011</w:t>
            </w:r>
          </w:p>
        </w:tc>
        <w:tc>
          <w:tcPr>
            <w:tcW w:w="1003" w:type="pct"/>
            <w:gridSpan w:val="2"/>
            <w:shd w:val="clear" w:color="auto" w:fill="FFC000"/>
          </w:tcPr>
          <w:p w:rsidR="005739AA" w:rsidRPr="00B56790" w:rsidRDefault="005739AA" w:rsidP="00F468C9">
            <w:pPr>
              <w:spacing w:line="240" w:lineRule="auto"/>
              <w:jc w:val="center"/>
              <w:rPr>
                <w:sz w:val="32"/>
                <w:szCs w:val="32"/>
              </w:rPr>
            </w:pPr>
            <w:r>
              <w:rPr>
                <w:sz w:val="32"/>
                <w:szCs w:val="32"/>
              </w:rPr>
              <w:t>+-</w:t>
            </w: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vMerge/>
            <w:shd w:val="clear" w:color="auto" w:fill="auto"/>
          </w:tcPr>
          <w:p w:rsidR="005739AA" w:rsidRPr="006C3BAA" w:rsidRDefault="005739AA" w:rsidP="00F468C9">
            <w:pPr>
              <w:spacing w:line="240" w:lineRule="auto"/>
              <w:jc w:val="left"/>
            </w:pPr>
          </w:p>
        </w:tc>
        <w:tc>
          <w:tcPr>
            <w:tcW w:w="856" w:type="pct"/>
            <w:gridSpan w:val="2"/>
            <w:vMerge/>
            <w:shd w:val="clear" w:color="auto" w:fill="auto"/>
          </w:tcPr>
          <w:p w:rsidR="005739AA" w:rsidRDefault="005739AA" w:rsidP="00F468C9">
            <w:pPr>
              <w:spacing w:line="240" w:lineRule="auto"/>
              <w:jc w:val="left"/>
            </w:pPr>
          </w:p>
        </w:tc>
        <w:tc>
          <w:tcPr>
            <w:tcW w:w="1156" w:type="pct"/>
            <w:shd w:val="clear" w:color="auto" w:fill="auto"/>
          </w:tcPr>
          <w:p w:rsidR="005739AA" w:rsidRPr="006C3BAA" w:rsidRDefault="005739AA" w:rsidP="00F468C9">
            <w:pPr>
              <w:spacing w:line="240" w:lineRule="auto"/>
              <w:jc w:val="left"/>
            </w:pPr>
            <w:r>
              <w:t>Ratio of households with 6 or more persons</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BE2ED8">
              <w:t>2001, 2011</w:t>
            </w:r>
          </w:p>
        </w:tc>
        <w:tc>
          <w:tcPr>
            <w:tcW w:w="1003" w:type="pct"/>
            <w:gridSpan w:val="2"/>
            <w:tcBorders>
              <w:bottom w:val="single" w:sz="4" w:space="0" w:color="auto"/>
            </w:tcBorders>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r w:rsidR="005739AA" w:rsidRPr="006C3BAA" w:rsidTr="00F468C9">
        <w:tc>
          <w:tcPr>
            <w:tcW w:w="779" w:type="pct"/>
            <w:shd w:val="clear" w:color="auto" w:fill="auto"/>
          </w:tcPr>
          <w:p w:rsidR="005739AA" w:rsidRPr="006C3BAA" w:rsidRDefault="005739AA" w:rsidP="00F468C9">
            <w:pPr>
              <w:spacing w:line="240" w:lineRule="auto"/>
              <w:jc w:val="left"/>
            </w:pPr>
            <w:r w:rsidRPr="006C3BAA">
              <w:t>Political participation</w:t>
            </w:r>
          </w:p>
        </w:tc>
        <w:tc>
          <w:tcPr>
            <w:tcW w:w="856" w:type="pct"/>
            <w:gridSpan w:val="2"/>
            <w:shd w:val="clear" w:color="auto" w:fill="auto"/>
          </w:tcPr>
          <w:p w:rsidR="005739AA" w:rsidRPr="006C3BAA" w:rsidRDefault="005739AA" w:rsidP="00F468C9">
            <w:pPr>
              <w:spacing w:line="240" w:lineRule="auto"/>
              <w:jc w:val="left"/>
            </w:pPr>
            <w:r w:rsidRPr="006C3BAA">
              <w:t>Citizenship</w:t>
            </w:r>
          </w:p>
        </w:tc>
        <w:tc>
          <w:tcPr>
            <w:tcW w:w="1156" w:type="pct"/>
            <w:tcBorders>
              <w:bottom w:val="single" w:sz="4" w:space="0" w:color="auto"/>
            </w:tcBorders>
            <w:shd w:val="clear" w:color="auto" w:fill="auto"/>
          </w:tcPr>
          <w:p w:rsidR="005739AA" w:rsidRPr="006C3BAA" w:rsidRDefault="005739AA" w:rsidP="00F468C9">
            <w:pPr>
              <w:spacing w:line="240" w:lineRule="auto"/>
              <w:jc w:val="left"/>
            </w:pPr>
            <w:r>
              <w:t>Ratio of population not citizens of the country</w:t>
            </w:r>
          </w:p>
        </w:tc>
        <w:tc>
          <w:tcPr>
            <w:tcW w:w="553" w:type="pct"/>
            <w:gridSpan w:val="2"/>
            <w:shd w:val="clear" w:color="auto" w:fill="auto"/>
          </w:tcPr>
          <w:p w:rsidR="005739AA" w:rsidRPr="006C3BAA" w:rsidRDefault="005739AA" w:rsidP="00F468C9">
            <w:pPr>
              <w:spacing w:line="240" w:lineRule="auto"/>
              <w:jc w:val="left"/>
            </w:pPr>
            <w:r>
              <w:t>Census</w:t>
            </w:r>
          </w:p>
        </w:tc>
        <w:tc>
          <w:tcPr>
            <w:tcW w:w="653" w:type="pct"/>
            <w:shd w:val="clear" w:color="auto" w:fill="auto"/>
          </w:tcPr>
          <w:p w:rsidR="005739AA" w:rsidRDefault="005739AA" w:rsidP="00F468C9">
            <w:r w:rsidRPr="00BE2ED8">
              <w:t>2001, 2011</w:t>
            </w:r>
          </w:p>
        </w:tc>
        <w:tc>
          <w:tcPr>
            <w:tcW w:w="1003" w:type="pct"/>
            <w:gridSpan w:val="2"/>
            <w:shd w:val="clear" w:color="auto" w:fill="FFC000"/>
          </w:tcPr>
          <w:p w:rsidR="005739AA" w:rsidRPr="00B56790" w:rsidRDefault="005739AA" w:rsidP="00F468C9">
            <w:pPr>
              <w:spacing w:line="240" w:lineRule="auto"/>
              <w:jc w:val="center"/>
              <w:rPr>
                <w:sz w:val="32"/>
                <w:szCs w:val="32"/>
              </w:rPr>
            </w:pPr>
            <w:r w:rsidRPr="00B56790">
              <w:rPr>
                <w:sz w:val="32"/>
                <w:szCs w:val="32"/>
              </w:rPr>
              <w:t>+++-</w:t>
            </w:r>
            <w:r>
              <w:rPr>
                <w:sz w:val="32"/>
                <w:szCs w:val="32"/>
              </w:rPr>
              <w:t>(</w:t>
            </w:r>
            <w:r w:rsidRPr="00B56790">
              <w:rPr>
                <w:sz w:val="32"/>
                <w:szCs w:val="32"/>
              </w:rPr>
              <w:t>+</w:t>
            </w:r>
            <w:r>
              <w:rPr>
                <w:sz w:val="32"/>
                <w:szCs w:val="32"/>
              </w:rPr>
              <w:t>)</w:t>
            </w:r>
            <w:r w:rsidRPr="00B56790">
              <w:rPr>
                <w:sz w:val="32"/>
                <w:szCs w:val="32"/>
              </w:rPr>
              <w:t>(+/-)</w:t>
            </w:r>
          </w:p>
        </w:tc>
      </w:tr>
    </w:tbl>
    <w:p w:rsidR="005739AA" w:rsidRPr="0004023A" w:rsidRDefault="005739AA" w:rsidP="005739AA">
      <w:pPr>
        <w:spacing w:line="240" w:lineRule="auto"/>
        <w:jc w:val="left"/>
        <w:rPr>
          <w:i/>
          <w:iCs/>
        </w:rPr>
      </w:pPr>
      <w:r w:rsidRPr="0004023A">
        <w:rPr>
          <w:i/>
          <w:iCs/>
        </w:rPr>
        <w:t xml:space="preserve">Order of signals: Coverage, Harmonization, Discrimination, Interpretation (NUTS level)(relevance) </w:t>
      </w:r>
    </w:p>
    <w:p w:rsidR="005739AA" w:rsidRPr="0004023A" w:rsidRDefault="005739AA" w:rsidP="005739AA">
      <w:pPr>
        <w:spacing w:line="240" w:lineRule="auto"/>
        <w:jc w:val="left"/>
        <w:rPr>
          <w:i/>
          <w:iCs/>
        </w:rPr>
      </w:pPr>
      <w:r w:rsidRPr="0004023A">
        <w:rPr>
          <w:i/>
          <w:iCs/>
        </w:rPr>
        <w:t>Meaning of signals: +=basically positive, -=basically negative, NUTS+, lover NUTS=-, (in case of SE relevance: +/- the relevance is not straightforward)</w:t>
      </w:r>
    </w:p>
    <w:p w:rsidR="005739AA" w:rsidRDefault="005739AA" w:rsidP="005739AA">
      <w:pPr>
        <w:spacing w:line="240" w:lineRule="auto"/>
        <w:jc w:val="left"/>
        <w:rPr>
          <w:i/>
          <w:iCs/>
        </w:rPr>
        <w:sectPr w:rsidR="005739AA" w:rsidSect="00F468C9">
          <w:pgSz w:w="16838" w:h="11906" w:orient="landscape"/>
          <w:pgMar w:top="1417" w:right="1417" w:bottom="1417" w:left="1417" w:header="708" w:footer="708" w:gutter="0"/>
          <w:cols w:space="708"/>
          <w:docGrid w:linePitch="360"/>
        </w:sectPr>
      </w:pPr>
      <w:r w:rsidRPr="0004023A">
        <w:rPr>
          <w:i/>
          <w:iCs/>
        </w:rPr>
        <w:t xml:space="preserve">Scoring: two + criteria were conditional to amber, (+) NUTS 3 availability of data and (+) relevance to </w:t>
      </w:r>
      <w:r w:rsidR="006425F0">
        <w:rPr>
          <w:i/>
          <w:iCs/>
        </w:rPr>
        <w:t>P&amp;SE</w:t>
      </w:r>
      <w:r w:rsidRPr="0004023A">
        <w:rPr>
          <w:i/>
          <w:iCs/>
        </w:rPr>
        <w:t xml:space="preserve"> were conditional to green</w:t>
      </w:r>
    </w:p>
    <w:p w:rsidR="00F468C9" w:rsidRPr="00F468C9" w:rsidRDefault="00F468C9" w:rsidP="00F468C9">
      <w:pPr>
        <w:pStyle w:val="Otsikko1"/>
        <w:numPr>
          <w:ilvl w:val="0"/>
          <w:numId w:val="0"/>
        </w:numPr>
      </w:pPr>
      <w:bookmarkStart w:id="19" w:name="_Toc400373187"/>
      <w:r w:rsidRPr="00F468C9">
        <w:rPr>
          <w:lang w:val="hu-HU"/>
        </w:rPr>
        <w:lastRenderedPageBreak/>
        <w:t>Appendix 7</w:t>
      </w:r>
      <w:r>
        <w:rPr>
          <w:lang w:val="hu-HU"/>
        </w:rPr>
        <w:t xml:space="preserve">: </w:t>
      </w:r>
      <w:bookmarkStart w:id="20" w:name="_Toc400096194"/>
      <w:r w:rsidRPr="00F468C9">
        <w:t>Recommendations derived from Annex 10, and their monitoring implications</w:t>
      </w:r>
      <w:bookmarkEnd w:id="19"/>
      <w:bookmarkEnd w:id="20"/>
    </w:p>
    <w:tbl>
      <w:tblPr>
        <w:tblStyle w:val="TaulukkoRuudukko"/>
        <w:tblW w:w="0" w:type="auto"/>
        <w:tblLook w:val="04A0" w:firstRow="1" w:lastRow="0" w:firstColumn="1" w:lastColumn="0" w:noHBand="0" w:noVBand="1"/>
      </w:tblPr>
      <w:tblGrid>
        <w:gridCol w:w="3085"/>
        <w:gridCol w:w="2977"/>
        <w:gridCol w:w="2835"/>
      </w:tblGrid>
      <w:tr w:rsidR="00F468C9" w:rsidRPr="00F468C9" w:rsidTr="00F468C9">
        <w:trPr>
          <w:tblHeader/>
        </w:trPr>
        <w:tc>
          <w:tcPr>
            <w:tcW w:w="3085"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468C9" w:rsidRPr="00F468C9" w:rsidRDefault="00F468C9">
            <w:pPr>
              <w:spacing w:before="0" w:line="276" w:lineRule="auto"/>
              <w:jc w:val="center"/>
              <w:rPr>
                <w:b/>
                <w:color w:val="FFFFFF" w:themeColor="background1"/>
                <w:sz w:val="20"/>
                <w:lang w:eastAsia="en-GB"/>
              </w:rPr>
            </w:pPr>
            <w:r w:rsidRPr="00F468C9">
              <w:rPr>
                <w:b/>
                <w:color w:val="FFFFFF" w:themeColor="background1"/>
                <w:sz w:val="20"/>
                <w:lang w:eastAsia="en-GB"/>
              </w:rPr>
              <w:t>Selection of relevant policy recommendations by Task 10</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468C9" w:rsidRPr="00F468C9" w:rsidRDefault="00F468C9">
            <w:pPr>
              <w:spacing w:before="0" w:line="276" w:lineRule="auto"/>
              <w:jc w:val="center"/>
              <w:rPr>
                <w:b/>
                <w:color w:val="FFFFFF" w:themeColor="background1"/>
                <w:sz w:val="20"/>
                <w:lang w:eastAsia="en-GB"/>
              </w:rPr>
            </w:pPr>
            <w:r w:rsidRPr="00F468C9">
              <w:rPr>
                <w:b/>
                <w:color w:val="FFFFFF" w:themeColor="background1"/>
                <w:sz w:val="20"/>
                <w:lang w:eastAsia="en-GB"/>
              </w:rPr>
              <w:t>Actions to be taken</w:t>
            </w:r>
          </w:p>
        </w:tc>
      </w:tr>
      <w:tr w:rsidR="00F468C9" w:rsidRPr="00F468C9" w:rsidTr="00F468C9">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68C9" w:rsidRPr="00F468C9" w:rsidRDefault="00F468C9">
            <w:pPr>
              <w:spacing w:before="0" w:line="240" w:lineRule="auto"/>
              <w:jc w:val="left"/>
              <w:rPr>
                <w:b/>
                <w:color w:val="FFFFFF" w:themeColor="background1"/>
                <w:sz w:val="20"/>
                <w:lang w:eastAsia="en-GB"/>
              </w:rPr>
            </w:pP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468C9" w:rsidRPr="00F468C9" w:rsidRDefault="00F468C9">
            <w:pPr>
              <w:spacing w:before="0" w:line="276" w:lineRule="auto"/>
              <w:jc w:val="center"/>
              <w:rPr>
                <w:b/>
                <w:color w:val="FFFFFF" w:themeColor="background1"/>
                <w:sz w:val="20"/>
                <w:lang w:eastAsia="en-GB"/>
              </w:rPr>
            </w:pPr>
            <w:r w:rsidRPr="00F468C9">
              <w:rPr>
                <w:b/>
                <w:color w:val="FFFFFF" w:themeColor="background1"/>
                <w:sz w:val="20"/>
                <w:lang w:eastAsia="en-GB"/>
              </w:rPr>
              <w:t>EU level</w:t>
            </w:r>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468C9" w:rsidRPr="00F468C9" w:rsidRDefault="00F468C9">
            <w:pPr>
              <w:spacing w:before="0" w:line="276" w:lineRule="auto"/>
              <w:jc w:val="center"/>
              <w:rPr>
                <w:b/>
                <w:color w:val="FFFFFF" w:themeColor="background1"/>
                <w:sz w:val="20"/>
                <w:lang w:eastAsia="en-GB"/>
              </w:rPr>
            </w:pPr>
            <w:r w:rsidRPr="00F468C9">
              <w:rPr>
                <w:b/>
                <w:color w:val="FFFFFF" w:themeColor="background1"/>
                <w:sz w:val="20"/>
                <w:lang w:eastAsia="en-GB"/>
              </w:rPr>
              <w:t>MS level</w:t>
            </w:r>
          </w:p>
        </w:tc>
      </w:tr>
      <w:tr w:rsidR="00F468C9" w:rsidRPr="00F468C9" w:rsidTr="00F468C9">
        <w:tc>
          <w:tcPr>
            <w:tcW w:w="3085"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 xml:space="preserve">2.7.1. Use a broad conceptualisation of </w:t>
            </w:r>
            <w:r w:rsidR="006425F0">
              <w:rPr>
                <w:sz w:val="20"/>
                <w:lang w:eastAsia="en-GB"/>
              </w:rPr>
              <w:t>P&amp;SE</w:t>
            </w:r>
          </w:p>
        </w:tc>
        <w:tc>
          <w:tcPr>
            <w:tcW w:w="2977" w:type="dxa"/>
            <w:tcBorders>
              <w:top w:val="single" w:sz="4" w:space="0" w:color="auto"/>
              <w:left w:val="single" w:sz="4" w:space="0" w:color="auto"/>
              <w:bottom w:val="single" w:sz="4" w:space="0" w:color="auto"/>
              <w:right w:val="single" w:sz="4" w:space="0" w:color="auto"/>
            </w:tcBorders>
          </w:tcPr>
          <w:p w:rsidR="00F468C9" w:rsidRPr="00F468C9" w:rsidRDefault="00F468C9">
            <w:pPr>
              <w:spacing w:before="0" w:line="276" w:lineRule="auto"/>
              <w:rPr>
                <w:sz w:val="20"/>
                <w:lang w:eastAsia="en-GB"/>
              </w:rPr>
            </w:pPr>
            <w:r w:rsidRPr="00F468C9">
              <w:rPr>
                <w:sz w:val="20"/>
                <w:lang w:eastAsia="en-GB"/>
              </w:rPr>
              <w:t>A.) Establish a joint working group from members of working staff of DG Employment, Social Affairs and Inclusion, DG Regional Policy, and DG Agriculture &amp; Rural Development. Mobilise and include members of the related independent networks of experts</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 xml:space="preserve">B.) Broaden the thematic scope of survey data in order to cover more aspects of </w:t>
            </w:r>
            <w:r w:rsidR="006425F0">
              <w:rPr>
                <w:sz w:val="20"/>
                <w:lang w:eastAsia="en-GB"/>
              </w:rPr>
              <w:t>P&amp;SE</w:t>
            </w:r>
            <w:r w:rsidRPr="00F468C9">
              <w:rPr>
                <w:sz w:val="20"/>
                <w:lang w:eastAsia="en-GB"/>
              </w:rPr>
              <w:t xml:space="preserve"> particularly in case of EU SILC. Potential themes explored in more detail: political participation, discrimination, health, education.</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 xml:space="preserve">C.) Explore and collect new register data in order to cover dimensions of </w:t>
            </w:r>
            <w:r w:rsidR="006425F0">
              <w:rPr>
                <w:sz w:val="20"/>
                <w:lang w:eastAsia="en-GB"/>
              </w:rPr>
              <w:t>P&amp;SE</w:t>
            </w:r>
            <w:r w:rsidRPr="00F468C9">
              <w:rPr>
                <w:sz w:val="20"/>
                <w:lang w:eastAsia="en-GB"/>
              </w:rPr>
              <w:t xml:space="preserve"> more completely</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1. Assign responsible institutions, experts</w:t>
            </w:r>
          </w:p>
          <w:p w:rsidR="00F468C9" w:rsidRPr="00F468C9" w:rsidRDefault="00F468C9">
            <w:pPr>
              <w:spacing w:before="0" w:line="276" w:lineRule="auto"/>
              <w:rPr>
                <w:sz w:val="20"/>
                <w:lang w:eastAsia="en-GB"/>
              </w:rPr>
            </w:pPr>
            <w:r w:rsidRPr="00F468C9">
              <w:rPr>
                <w:sz w:val="20"/>
                <w:lang w:eastAsia="en-GB"/>
              </w:rPr>
              <w:t>2. Initiate and coordinate the process (initiating themes, methods of data collection, etc.)</w:t>
            </w:r>
          </w:p>
          <w:p w:rsidR="00F468C9" w:rsidRPr="00F468C9" w:rsidRDefault="00F468C9">
            <w:pPr>
              <w:spacing w:before="0" w:line="276" w:lineRule="auto"/>
              <w:rPr>
                <w:sz w:val="20"/>
                <w:lang w:eastAsia="en-GB"/>
              </w:rPr>
            </w:pPr>
            <w:r w:rsidRPr="00F468C9">
              <w:rPr>
                <w:sz w:val="20"/>
                <w:lang w:eastAsia="en-GB"/>
              </w:rPr>
              <w:t>3. Set up partner networks (NSO-s)</w:t>
            </w:r>
          </w:p>
          <w:p w:rsidR="00F468C9" w:rsidRPr="00F468C9" w:rsidRDefault="00F468C9">
            <w:pPr>
              <w:spacing w:before="0" w:line="276" w:lineRule="auto"/>
              <w:rPr>
                <w:sz w:val="20"/>
                <w:lang w:eastAsia="en-GB"/>
              </w:rPr>
            </w:pPr>
          </w:p>
        </w:tc>
        <w:tc>
          <w:tcPr>
            <w:tcW w:w="2835" w:type="dxa"/>
            <w:tcBorders>
              <w:top w:val="single" w:sz="4" w:space="0" w:color="auto"/>
              <w:left w:val="single" w:sz="4" w:space="0" w:color="auto"/>
              <w:bottom w:val="single" w:sz="4" w:space="0" w:color="auto"/>
              <w:right w:val="single" w:sz="4" w:space="0" w:color="auto"/>
            </w:tcBorders>
          </w:tcPr>
          <w:p w:rsidR="00F468C9" w:rsidRPr="00F468C9" w:rsidRDefault="00F468C9">
            <w:pPr>
              <w:spacing w:before="0" w:line="276" w:lineRule="auto"/>
              <w:rPr>
                <w:sz w:val="20"/>
                <w:lang w:eastAsia="en-GB"/>
              </w:rPr>
            </w:pPr>
            <w:r w:rsidRPr="00F468C9">
              <w:rPr>
                <w:sz w:val="20"/>
                <w:lang w:eastAsia="en-GB"/>
              </w:rPr>
              <w:t xml:space="preserve">A.) Send delegates </w:t>
            </w:r>
          </w:p>
          <w:p w:rsidR="00F468C9" w:rsidRPr="00F468C9" w:rsidRDefault="00F468C9">
            <w:pPr>
              <w:spacing w:before="0" w:line="276" w:lineRule="auto"/>
              <w:rPr>
                <w:sz w:val="20"/>
                <w:lang w:eastAsia="en-GB"/>
              </w:rPr>
            </w:pPr>
            <w:r w:rsidRPr="00F468C9">
              <w:rPr>
                <w:sz w:val="20"/>
                <w:lang w:eastAsia="en-GB"/>
              </w:rPr>
              <w:t>Co-operate if necessary</w:t>
            </w:r>
          </w:p>
          <w:p w:rsidR="00F468C9" w:rsidRPr="00F468C9" w:rsidRDefault="00F468C9">
            <w:pPr>
              <w:spacing w:before="0" w:line="276" w:lineRule="auto"/>
              <w:rPr>
                <w:sz w:val="20"/>
                <w:lang w:eastAsia="en-GB"/>
              </w:rPr>
            </w:pPr>
            <w:r w:rsidRPr="00F468C9">
              <w:rPr>
                <w:sz w:val="20"/>
                <w:lang w:eastAsia="en-GB"/>
              </w:rPr>
              <w:t>Co-finance if needed</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Co-operate if necessary</w:t>
            </w:r>
          </w:p>
          <w:p w:rsidR="00F468C9" w:rsidRPr="00F468C9" w:rsidRDefault="00F468C9">
            <w:pPr>
              <w:spacing w:before="0" w:line="276" w:lineRule="auto"/>
              <w:rPr>
                <w:sz w:val="20"/>
                <w:lang w:eastAsia="en-GB"/>
              </w:rPr>
            </w:pPr>
            <w:r w:rsidRPr="00F468C9">
              <w:rPr>
                <w:sz w:val="20"/>
                <w:lang w:eastAsia="en-GB"/>
              </w:rPr>
              <w:t>Co-finance if needed</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 xml:space="preserve">1. Assign partner institution(s) (NSTs) and/or experts. </w:t>
            </w:r>
          </w:p>
          <w:p w:rsidR="00F468C9" w:rsidRPr="00F468C9" w:rsidRDefault="00F468C9">
            <w:pPr>
              <w:spacing w:before="0" w:line="276" w:lineRule="auto"/>
              <w:rPr>
                <w:sz w:val="20"/>
                <w:lang w:eastAsia="en-GB"/>
              </w:rPr>
            </w:pPr>
            <w:r w:rsidRPr="00F468C9">
              <w:rPr>
                <w:sz w:val="20"/>
                <w:lang w:eastAsia="en-GB"/>
              </w:rPr>
              <w:t xml:space="preserve">2. Active participation in the process of accepting additional commonly agreed dimension of </w:t>
            </w:r>
            <w:r w:rsidR="006425F0">
              <w:rPr>
                <w:sz w:val="20"/>
                <w:lang w:eastAsia="en-GB"/>
              </w:rPr>
              <w:t>P&amp;SE</w:t>
            </w:r>
            <w:r w:rsidRPr="00F468C9">
              <w:rPr>
                <w:sz w:val="20"/>
                <w:lang w:eastAsia="en-GB"/>
              </w:rPr>
              <w:t xml:space="preserve"> , indicators covering them and data to be collected to create them</w:t>
            </w:r>
          </w:p>
          <w:p w:rsidR="00F468C9" w:rsidRDefault="00F468C9">
            <w:pPr>
              <w:spacing w:before="0" w:line="276" w:lineRule="auto"/>
              <w:rPr>
                <w:sz w:val="20"/>
                <w:lang w:eastAsia="en-GB"/>
              </w:rPr>
            </w:pPr>
            <w:r w:rsidRPr="00F468C9">
              <w:rPr>
                <w:sz w:val="20"/>
                <w:lang w:eastAsia="en-GB"/>
              </w:rPr>
              <w:t>3. Explore new channels of collecting data (central and local state administrations, institutions )</w:t>
            </w:r>
          </w:p>
          <w:p w:rsidR="00F468C9" w:rsidRPr="00F468C9" w:rsidRDefault="00F468C9">
            <w:pPr>
              <w:spacing w:before="0" w:line="276" w:lineRule="auto"/>
              <w:rPr>
                <w:sz w:val="20"/>
                <w:lang w:eastAsia="en-GB"/>
              </w:rPr>
            </w:pPr>
          </w:p>
        </w:tc>
      </w:tr>
      <w:tr w:rsidR="00F468C9" w:rsidRPr="00F468C9" w:rsidTr="00F468C9">
        <w:tc>
          <w:tcPr>
            <w:tcW w:w="3085"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 xml:space="preserve">2.7.2. Social protection Committee (SPC), Eurostat: </w:t>
            </w:r>
            <w:r w:rsidR="006425F0">
              <w:rPr>
                <w:sz w:val="20"/>
                <w:lang w:eastAsia="en-GB"/>
              </w:rPr>
              <w:t>P&amp;SE</w:t>
            </w:r>
            <w:r w:rsidRPr="00F468C9">
              <w:rPr>
                <w:sz w:val="20"/>
                <w:lang w:eastAsia="en-GB"/>
              </w:rPr>
              <w:t xml:space="preserve"> data should be collected and analysed regularly at least at the NUTS 2 level</w:t>
            </w:r>
          </w:p>
        </w:tc>
        <w:tc>
          <w:tcPr>
            <w:tcW w:w="2977"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1. Organise a forum for needs assessment with regard updating thematic scopes and revising sample size of EU SILC.</w:t>
            </w:r>
          </w:p>
          <w:p w:rsidR="00F468C9" w:rsidRDefault="00F468C9">
            <w:pPr>
              <w:spacing w:before="0" w:line="276" w:lineRule="auto"/>
              <w:rPr>
                <w:sz w:val="20"/>
                <w:lang w:eastAsia="en-GB"/>
              </w:rPr>
            </w:pPr>
            <w:r w:rsidRPr="00F468C9">
              <w:rPr>
                <w:sz w:val="20"/>
                <w:lang w:eastAsia="en-GB"/>
              </w:rPr>
              <w:t>2. Increase EU SILC sample size in countries where it is too low to allow NUTS 2 level estimations.</w:t>
            </w:r>
          </w:p>
          <w:p w:rsidR="00F468C9" w:rsidRDefault="00F468C9">
            <w:pPr>
              <w:spacing w:before="0" w:line="276" w:lineRule="auto"/>
              <w:rPr>
                <w:sz w:val="20"/>
                <w:lang w:eastAsia="en-GB"/>
              </w:rPr>
            </w:pPr>
          </w:p>
          <w:p w:rsid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tc>
        <w:tc>
          <w:tcPr>
            <w:tcW w:w="2835" w:type="dxa"/>
            <w:tcBorders>
              <w:top w:val="single" w:sz="4" w:space="0" w:color="auto"/>
              <w:left w:val="single" w:sz="4" w:space="0" w:color="auto"/>
              <w:bottom w:val="single" w:sz="4" w:space="0" w:color="auto"/>
              <w:right w:val="single" w:sz="4" w:space="0" w:color="auto"/>
            </w:tcBorders>
          </w:tcPr>
          <w:p w:rsidR="00F468C9" w:rsidRPr="00F468C9" w:rsidRDefault="00F468C9">
            <w:pPr>
              <w:spacing w:before="0" w:line="276" w:lineRule="auto"/>
              <w:rPr>
                <w:sz w:val="20"/>
                <w:lang w:eastAsia="en-GB"/>
              </w:rPr>
            </w:pPr>
            <w:r w:rsidRPr="00F468C9">
              <w:rPr>
                <w:sz w:val="20"/>
                <w:lang w:eastAsia="en-GB"/>
              </w:rPr>
              <w:t>1. Active participation</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2. Co-finance if necessary</w:t>
            </w:r>
          </w:p>
        </w:tc>
      </w:tr>
      <w:tr w:rsidR="00F468C9" w:rsidRPr="00F468C9" w:rsidTr="00F468C9">
        <w:tc>
          <w:tcPr>
            <w:tcW w:w="3085"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lastRenderedPageBreak/>
              <w:t xml:space="preserve">SPC: Asses the value of using complementary methods </w:t>
            </w:r>
          </w:p>
        </w:tc>
        <w:tc>
          <w:tcPr>
            <w:tcW w:w="2977" w:type="dxa"/>
            <w:tcBorders>
              <w:top w:val="single" w:sz="4" w:space="0" w:color="auto"/>
              <w:left w:val="single" w:sz="4" w:space="0" w:color="auto"/>
              <w:bottom w:val="single" w:sz="4" w:space="0" w:color="auto"/>
              <w:right w:val="single" w:sz="4" w:space="0" w:color="auto"/>
            </w:tcBorders>
          </w:tcPr>
          <w:p w:rsidR="00F468C9" w:rsidRPr="00F468C9" w:rsidRDefault="00F468C9">
            <w:pPr>
              <w:spacing w:before="0" w:line="276" w:lineRule="auto"/>
              <w:rPr>
                <w:sz w:val="20"/>
                <w:lang w:eastAsia="en-GB"/>
              </w:rPr>
            </w:pPr>
            <w:r w:rsidRPr="00F468C9">
              <w:rPr>
                <w:sz w:val="20"/>
                <w:lang w:eastAsia="en-GB"/>
              </w:rPr>
              <w:t>1. Use opportunities of PROGRESS to generate and support applied  research projects that develop appropriate methodologies</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2. Share experiences via peer reviewing</w:t>
            </w:r>
          </w:p>
        </w:tc>
        <w:tc>
          <w:tcPr>
            <w:tcW w:w="2835" w:type="dxa"/>
            <w:tcBorders>
              <w:top w:val="single" w:sz="4" w:space="0" w:color="auto"/>
              <w:left w:val="single" w:sz="4" w:space="0" w:color="auto"/>
              <w:bottom w:val="single" w:sz="4" w:space="0" w:color="auto"/>
              <w:right w:val="single" w:sz="4" w:space="0" w:color="auto"/>
            </w:tcBorders>
          </w:tcPr>
          <w:p w:rsidR="00F468C9" w:rsidRPr="00F468C9" w:rsidRDefault="00F468C9">
            <w:pPr>
              <w:spacing w:before="0" w:line="276" w:lineRule="auto"/>
              <w:rPr>
                <w:sz w:val="20"/>
                <w:lang w:eastAsia="en-GB"/>
              </w:rPr>
            </w:pPr>
            <w:r w:rsidRPr="00F468C9">
              <w:rPr>
                <w:sz w:val="20"/>
                <w:lang w:eastAsia="en-GB"/>
              </w:rPr>
              <w:t>Initiate project proposals</w:t>
            </w:r>
          </w:p>
          <w:p w:rsidR="00F468C9" w:rsidRPr="00F468C9" w:rsidRDefault="00F468C9">
            <w:pPr>
              <w:spacing w:before="0" w:line="276" w:lineRule="auto"/>
              <w:rPr>
                <w:sz w:val="20"/>
                <w:lang w:eastAsia="en-GB"/>
              </w:rPr>
            </w:pPr>
            <w:r w:rsidRPr="00F468C9">
              <w:rPr>
                <w:sz w:val="20"/>
                <w:lang w:eastAsia="en-GB"/>
              </w:rPr>
              <w:t>Co-finance projects</w:t>
            </w:r>
          </w:p>
          <w:p w:rsidR="00F468C9" w:rsidRPr="00F468C9" w:rsidRDefault="00F468C9">
            <w:pPr>
              <w:spacing w:before="0" w:line="276" w:lineRule="auto"/>
              <w:rPr>
                <w:sz w:val="20"/>
                <w:lang w:eastAsia="en-GB"/>
              </w:rPr>
            </w:pPr>
            <w:r w:rsidRPr="00F468C9">
              <w:rPr>
                <w:sz w:val="20"/>
                <w:lang w:eastAsia="en-GB"/>
              </w:rPr>
              <w:t xml:space="preserve">Adapt approaches </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2. Participate in peer reviewing</w:t>
            </w:r>
          </w:p>
        </w:tc>
      </w:tr>
      <w:tr w:rsidR="00F468C9" w:rsidRPr="00F468C9" w:rsidTr="00F468C9">
        <w:tc>
          <w:tcPr>
            <w:tcW w:w="3085"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SPC: Consider producing a ‘themed report’</w:t>
            </w:r>
          </w:p>
        </w:tc>
        <w:tc>
          <w:tcPr>
            <w:tcW w:w="2977" w:type="dxa"/>
            <w:tcBorders>
              <w:top w:val="single" w:sz="4" w:space="0" w:color="auto"/>
              <w:left w:val="single" w:sz="4" w:space="0" w:color="auto"/>
              <w:bottom w:val="single" w:sz="4" w:space="0" w:color="auto"/>
              <w:right w:val="single" w:sz="4" w:space="0" w:color="auto"/>
            </w:tcBorders>
          </w:tcPr>
          <w:p w:rsidR="00F468C9" w:rsidRPr="00F468C9" w:rsidRDefault="00F468C9">
            <w:pPr>
              <w:spacing w:before="0" w:line="276" w:lineRule="auto"/>
              <w:rPr>
                <w:sz w:val="20"/>
                <w:lang w:eastAsia="en-GB"/>
              </w:rPr>
            </w:pPr>
            <w:r w:rsidRPr="00F468C9">
              <w:rPr>
                <w:sz w:val="20"/>
                <w:lang w:eastAsia="en-GB"/>
              </w:rPr>
              <w:t>1. Like in case of child poverty and pension adequacy</w:t>
            </w:r>
            <w:r w:rsidRPr="00F468C9">
              <w:rPr>
                <w:rStyle w:val="Alaviitteenviite"/>
                <w:sz w:val="20"/>
                <w:lang w:eastAsia="en-GB"/>
              </w:rPr>
              <w:footnoteReference w:id="13"/>
            </w:r>
            <w:r w:rsidRPr="00F468C9">
              <w:rPr>
                <w:sz w:val="20"/>
                <w:lang w:eastAsia="en-GB"/>
              </w:rPr>
              <w:t xml:space="preserve"> develop a report on territorial aspects of </w:t>
            </w:r>
            <w:r w:rsidR="006425F0">
              <w:rPr>
                <w:sz w:val="20"/>
                <w:lang w:eastAsia="en-GB"/>
              </w:rPr>
              <w:t>P&amp;SE</w:t>
            </w:r>
            <w:r w:rsidRPr="00F468C9">
              <w:rPr>
                <w:sz w:val="20"/>
                <w:lang w:eastAsia="en-GB"/>
              </w:rPr>
              <w:t xml:space="preserve"> by the working staff of SPC in cooperation with DG Regio</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2. DG Regio working staff people could also generate a report on vulnerable people (migrants, ethnic minorities like Roma, very longterm unemployed</w:t>
            </w:r>
            <w:r w:rsidRPr="00F468C9">
              <w:rPr>
                <w:rStyle w:val="Alaviitteenviite"/>
                <w:sz w:val="20"/>
                <w:lang w:eastAsia="en-GB"/>
              </w:rPr>
              <w:footnoteReference w:id="14"/>
            </w:r>
            <w:r w:rsidRPr="00F468C9">
              <w:rPr>
                <w:sz w:val="20"/>
                <w:lang w:eastAsia="en-GB"/>
              </w:rPr>
              <w:t xml:space="preserve">) in vulnerable spaces (remote rural areas, segregated neighbourhoods in urban and rural areas) in cooperation with SPC working staff. </w:t>
            </w:r>
          </w:p>
        </w:tc>
        <w:tc>
          <w:tcPr>
            <w:tcW w:w="2835"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1. Use and adapt policy implications</w:t>
            </w:r>
          </w:p>
        </w:tc>
      </w:tr>
      <w:tr w:rsidR="00F468C9" w:rsidRPr="00F468C9" w:rsidTr="00F468C9">
        <w:tc>
          <w:tcPr>
            <w:tcW w:w="3085"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 xml:space="preserve">Committee of Economic and Social Affairs: National Reform Programmes should include Regional Chapters </w:t>
            </w:r>
          </w:p>
        </w:tc>
        <w:tc>
          <w:tcPr>
            <w:tcW w:w="2977"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Develop guidelines, recommend indicators as means of analysis</w:t>
            </w:r>
          </w:p>
        </w:tc>
        <w:tc>
          <w:tcPr>
            <w:tcW w:w="2835" w:type="dxa"/>
            <w:tcBorders>
              <w:top w:val="single" w:sz="4" w:space="0" w:color="auto"/>
              <w:left w:val="single" w:sz="4" w:space="0" w:color="auto"/>
              <w:bottom w:val="single" w:sz="4" w:space="0" w:color="auto"/>
              <w:right w:val="single" w:sz="4" w:space="0" w:color="auto"/>
            </w:tcBorders>
          </w:tcPr>
          <w:p w:rsidR="00F468C9" w:rsidRPr="00F468C9" w:rsidRDefault="00F468C9">
            <w:pPr>
              <w:spacing w:before="0" w:line="276" w:lineRule="auto"/>
              <w:rPr>
                <w:sz w:val="20"/>
                <w:lang w:eastAsia="en-GB"/>
              </w:rPr>
            </w:pPr>
            <w:r w:rsidRPr="00F468C9">
              <w:rPr>
                <w:sz w:val="20"/>
                <w:lang w:eastAsia="en-GB"/>
              </w:rPr>
              <w:t>1. Use LAU 2 level data to construct indicators from reliable statistical or administrative sources and aggregate for higher level territorial analysis</w:t>
            </w:r>
          </w:p>
          <w:p w:rsidR="00F468C9" w:rsidRPr="00F468C9" w:rsidRDefault="00F468C9">
            <w:pPr>
              <w:spacing w:before="0" w:line="276" w:lineRule="auto"/>
              <w:rPr>
                <w:sz w:val="20"/>
                <w:lang w:eastAsia="en-GB"/>
              </w:rPr>
            </w:pPr>
          </w:p>
          <w:p w:rsidR="00F468C9" w:rsidRPr="00F468C9" w:rsidRDefault="00F468C9">
            <w:pPr>
              <w:spacing w:before="0" w:line="276" w:lineRule="auto"/>
              <w:rPr>
                <w:sz w:val="20"/>
                <w:lang w:eastAsia="en-GB"/>
              </w:rPr>
            </w:pPr>
            <w:r w:rsidRPr="00F468C9">
              <w:rPr>
                <w:sz w:val="20"/>
                <w:lang w:eastAsia="en-GB"/>
              </w:rPr>
              <w:t>2. When including regional chapters connect EU and national reporting that will probably harmonise the European and national policies more.</w:t>
            </w:r>
          </w:p>
        </w:tc>
      </w:tr>
      <w:tr w:rsidR="00F468C9" w:rsidTr="00F468C9">
        <w:tc>
          <w:tcPr>
            <w:tcW w:w="3085" w:type="dxa"/>
            <w:tcBorders>
              <w:top w:val="single" w:sz="4" w:space="0" w:color="auto"/>
              <w:left w:val="single" w:sz="4" w:space="0" w:color="auto"/>
              <w:bottom w:val="single" w:sz="4" w:space="0" w:color="auto"/>
              <w:right w:val="single" w:sz="4" w:space="0" w:color="auto"/>
            </w:tcBorders>
            <w:hideMark/>
          </w:tcPr>
          <w:p w:rsidR="00F468C9" w:rsidRPr="00F468C9" w:rsidRDefault="00F468C9">
            <w:pPr>
              <w:spacing w:before="0" w:line="276" w:lineRule="auto"/>
              <w:rPr>
                <w:sz w:val="20"/>
                <w:lang w:eastAsia="en-GB"/>
              </w:rPr>
            </w:pPr>
            <w:r w:rsidRPr="00F468C9">
              <w:rPr>
                <w:sz w:val="20"/>
                <w:lang w:eastAsia="en-GB"/>
              </w:rPr>
              <w:t xml:space="preserve">DG Employment, Social Affairs and Inclusion, DG Regio: Elaborate the geography of </w:t>
            </w:r>
            <w:r w:rsidR="006425F0">
              <w:rPr>
                <w:sz w:val="20"/>
                <w:lang w:eastAsia="en-GB"/>
              </w:rPr>
              <w:t>P&amp;SE</w:t>
            </w:r>
            <w:r w:rsidRPr="00F468C9">
              <w:rPr>
                <w:sz w:val="20"/>
                <w:lang w:eastAsia="en-GB"/>
              </w:rPr>
              <w:t xml:space="preserve"> incidence at both NUTS2/3 and at high level grouping scale</w:t>
            </w:r>
          </w:p>
        </w:tc>
        <w:tc>
          <w:tcPr>
            <w:tcW w:w="5812" w:type="dxa"/>
            <w:gridSpan w:val="2"/>
            <w:tcBorders>
              <w:top w:val="single" w:sz="4" w:space="0" w:color="auto"/>
              <w:left w:val="single" w:sz="4" w:space="0" w:color="auto"/>
              <w:bottom w:val="single" w:sz="4" w:space="0" w:color="auto"/>
              <w:right w:val="single" w:sz="4" w:space="0" w:color="auto"/>
            </w:tcBorders>
            <w:hideMark/>
          </w:tcPr>
          <w:p w:rsidR="00F468C9" w:rsidRDefault="00F468C9">
            <w:pPr>
              <w:spacing w:before="0" w:line="276" w:lineRule="auto"/>
              <w:rPr>
                <w:sz w:val="20"/>
                <w:lang w:eastAsia="en-GB"/>
              </w:rPr>
            </w:pPr>
            <w:r w:rsidRPr="00F468C9">
              <w:rPr>
                <w:sz w:val="20"/>
                <w:lang w:eastAsia="en-GB"/>
              </w:rPr>
              <w:t xml:space="preserve">Use the set of TiPSE core indicators for indicating and analysing </w:t>
            </w:r>
            <w:r w:rsidR="006425F0">
              <w:rPr>
                <w:sz w:val="20"/>
                <w:lang w:eastAsia="en-GB"/>
              </w:rPr>
              <w:t>P&amp;SE</w:t>
            </w:r>
            <w:r w:rsidRPr="00F468C9">
              <w:rPr>
                <w:sz w:val="20"/>
                <w:lang w:eastAsia="en-GB"/>
              </w:rPr>
              <w:t xml:space="preserve"> incidence at NUTS 3 level</w:t>
            </w:r>
          </w:p>
        </w:tc>
      </w:tr>
    </w:tbl>
    <w:p w:rsidR="00F468C9" w:rsidRDefault="00F468C9" w:rsidP="00F468C9">
      <w:pPr>
        <w:rPr>
          <w:lang w:val="hu-HU"/>
        </w:rPr>
      </w:pPr>
    </w:p>
    <w:sectPr w:rsidR="00F468C9" w:rsidSect="005739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4A9" w:rsidRDefault="00F404A9">
      <w:r>
        <w:separator/>
      </w:r>
    </w:p>
    <w:p w:rsidR="00F404A9" w:rsidRDefault="00F404A9"/>
  </w:endnote>
  <w:endnote w:type="continuationSeparator" w:id="0">
    <w:p w:rsidR="00F404A9" w:rsidRDefault="00F404A9">
      <w:r>
        <w:continuationSeparator/>
      </w:r>
    </w:p>
    <w:p w:rsidR="00F404A9" w:rsidRDefault="00F404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w:charset w:val="EE"/>
    <w:family w:val="swiss"/>
    <w:pitch w:val="variable"/>
    <w:sig w:usb0="00000007" w:usb1="00000000" w:usb2="00000000" w:usb3="00000000" w:csb0="00000003" w:csb1="00000000"/>
  </w:font>
  <w:font w:name="Perpetua Titling MT">
    <w:charset w:val="00"/>
    <w:family w:val="roman"/>
    <w:pitch w:val="variable"/>
    <w:sig w:usb0="00000003" w:usb1="00000000" w:usb2="00000000" w:usb3="00000000" w:csb0="00000001"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53AC5DD1F21B411FA42EFE529C350E30"/>
      </w:placeholder>
      <w:temporary/>
      <w:showingPlcHdr/>
    </w:sdtPr>
    <w:sdtEndPr/>
    <w:sdtContent>
      <w:p w:rsidR="006425F0" w:rsidRDefault="006425F0">
        <w:pPr>
          <w:pStyle w:val="Alatunniste"/>
        </w:pPr>
        <w:r>
          <w:t>[Type text]</w:t>
        </w:r>
      </w:p>
    </w:sdtContent>
  </w:sdt>
  <w:p w:rsidR="006425F0" w:rsidRDefault="006425F0" w:rsidP="00F0060F">
    <w:pPr>
      <w:pStyle w:val="Alatunnist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5F0" w:rsidRDefault="006425F0">
    <w:pPr>
      <w:pStyle w:val="Alatunniste"/>
      <w:jc w:val="right"/>
    </w:pPr>
  </w:p>
  <w:p w:rsidR="006425F0" w:rsidRDefault="006425F0">
    <w:pPr>
      <w:pStyle w:val="Alatunnist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5F0" w:rsidRDefault="006425F0">
    <w:pPr>
      <w:pStyle w:val="Alatunniste"/>
      <w:jc w:val="right"/>
    </w:pPr>
  </w:p>
  <w:p w:rsidR="006425F0" w:rsidRDefault="006425F0">
    <w:pPr>
      <w:pStyle w:val="Alatunniste"/>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285821"/>
      <w:docPartObj>
        <w:docPartGallery w:val="Page Numbers (Bottom of Page)"/>
        <w:docPartUnique/>
      </w:docPartObj>
    </w:sdtPr>
    <w:sdtEndPr>
      <w:rPr>
        <w:noProof/>
      </w:rPr>
    </w:sdtEndPr>
    <w:sdtContent>
      <w:p w:rsidR="006425F0" w:rsidRDefault="006425F0">
        <w:pPr>
          <w:pStyle w:val="Alatunniste"/>
          <w:jc w:val="right"/>
        </w:pPr>
        <w:r>
          <w:fldChar w:fldCharType="begin"/>
        </w:r>
        <w:r>
          <w:instrText xml:space="preserve"> PAGE   \* MERGEFORMAT </w:instrText>
        </w:r>
        <w:r>
          <w:fldChar w:fldCharType="separate"/>
        </w:r>
        <w:r w:rsidR="00B27F9C">
          <w:rPr>
            <w:noProof/>
          </w:rPr>
          <w:t>i</w:t>
        </w:r>
        <w:r>
          <w:rPr>
            <w:noProof/>
          </w:rPr>
          <w:fldChar w:fldCharType="end"/>
        </w:r>
      </w:p>
    </w:sdtContent>
  </w:sdt>
  <w:p w:rsidR="006425F0" w:rsidRDefault="006425F0">
    <w:pPr>
      <w:pStyle w:val="Alatunniste"/>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625151"/>
      <w:docPartObj>
        <w:docPartGallery w:val="Page Numbers (Bottom of Page)"/>
        <w:docPartUnique/>
      </w:docPartObj>
    </w:sdtPr>
    <w:sdtEndPr>
      <w:rPr>
        <w:noProof/>
      </w:rPr>
    </w:sdtEndPr>
    <w:sdtContent>
      <w:p w:rsidR="006425F0" w:rsidRDefault="006425F0">
        <w:pPr>
          <w:pStyle w:val="Alatunniste"/>
          <w:jc w:val="right"/>
        </w:pPr>
        <w:r>
          <w:fldChar w:fldCharType="begin"/>
        </w:r>
        <w:r>
          <w:instrText xml:space="preserve"> PAGE   \* MERGEFORMAT </w:instrText>
        </w:r>
        <w:r>
          <w:fldChar w:fldCharType="separate"/>
        </w:r>
        <w:r w:rsidR="00B27F9C">
          <w:rPr>
            <w:noProof/>
          </w:rPr>
          <w:t>16</w:t>
        </w:r>
        <w:r>
          <w:rPr>
            <w:noProof/>
          </w:rPr>
          <w:fldChar w:fldCharType="end"/>
        </w:r>
      </w:p>
    </w:sdtContent>
  </w:sdt>
  <w:p w:rsidR="006425F0" w:rsidRDefault="006425F0">
    <w:pPr>
      <w:pStyle w:val="Alatunnist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4A9" w:rsidRDefault="00F404A9">
      <w:r>
        <w:separator/>
      </w:r>
    </w:p>
  </w:footnote>
  <w:footnote w:type="continuationSeparator" w:id="0">
    <w:p w:rsidR="00F404A9" w:rsidRDefault="00F404A9">
      <w:r>
        <w:continuationSeparator/>
      </w:r>
    </w:p>
    <w:p w:rsidR="00F404A9" w:rsidRDefault="00F404A9"/>
  </w:footnote>
  <w:footnote w:id="1">
    <w:p w:rsidR="006425F0" w:rsidRPr="00443259" w:rsidRDefault="006425F0" w:rsidP="00AE0AEC">
      <w:pPr>
        <w:pStyle w:val="Alaviitteenteksti"/>
        <w:spacing w:line="240" w:lineRule="auto"/>
        <w:rPr>
          <w:lang w:val="hu-HU"/>
        </w:rPr>
      </w:pPr>
      <w:r>
        <w:rPr>
          <w:rStyle w:val="Alaviitteenviite"/>
        </w:rPr>
        <w:footnoteRef/>
      </w:r>
      <w:r w:rsidRPr="00443259">
        <w:rPr>
          <w:rStyle w:val="Voimakas"/>
          <w:rFonts w:ascii="Verdana" w:hAnsi="Verdana"/>
          <w:b w:val="0"/>
          <w:color w:val="000000"/>
          <w:bdr w:val="none" w:sz="0" w:space="0" w:color="auto" w:frame="1"/>
          <w:shd w:val="clear" w:color="auto" w:fill="FFFFFF"/>
        </w:rPr>
        <w:t>National Reform Programme</w:t>
      </w:r>
      <w:r>
        <w:rPr>
          <w:rStyle w:val="Voimakas"/>
          <w:rFonts w:ascii="Verdana" w:hAnsi="Verdana"/>
          <w:b w:val="0"/>
          <w:color w:val="000000"/>
          <w:bdr w:val="none" w:sz="0" w:space="0" w:color="auto" w:frame="1"/>
          <w:shd w:val="clear" w:color="auto" w:fill="FFFFFF"/>
        </w:rPr>
        <w:t xml:space="preserve"> -</w:t>
      </w:r>
      <w:r w:rsidRPr="00443259">
        <w:rPr>
          <w:rFonts w:ascii="Verdana" w:hAnsi="Verdana"/>
          <w:color w:val="000000"/>
          <w:shd w:val="clear" w:color="auto" w:fill="FFFFFF"/>
        </w:rPr>
        <w:t xml:space="preserve"> a document which presents the policies and measures to sustain growth and jobs </w:t>
      </w:r>
      <w:r>
        <w:rPr>
          <w:rFonts w:ascii="Verdana" w:hAnsi="Verdana"/>
          <w:color w:val="000000"/>
          <w:shd w:val="clear" w:color="auto" w:fill="FFFFFF"/>
        </w:rPr>
        <w:t xml:space="preserve">in MSs </w:t>
      </w:r>
      <w:r w:rsidRPr="00443259">
        <w:rPr>
          <w:rFonts w:ascii="Verdana" w:hAnsi="Verdana"/>
          <w:color w:val="000000"/>
          <w:shd w:val="clear" w:color="auto" w:fill="FFFFFF"/>
        </w:rPr>
        <w:t>and to reach the Europe 2020 targets.</w:t>
      </w:r>
      <w:r>
        <w:rPr>
          <w:rStyle w:val="apple-converted-space"/>
          <w:rFonts w:ascii="Verdana" w:hAnsi="Verdana"/>
          <w:color w:val="000000"/>
          <w:shd w:val="clear" w:color="auto" w:fill="FFFFFF"/>
        </w:rPr>
        <w:t> </w:t>
      </w:r>
    </w:p>
  </w:footnote>
  <w:footnote w:id="2">
    <w:p w:rsidR="006425F0" w:rsidRPr="00870852" w:rsidRDefault="006425F0" w:rsidP="00AE0AEC">
      <w:pPr>
        <w:pStyle w:val="Alaviitteenteksti"/>
        <w:spacing w:line="240" w:lineRule="auto"/>
        <w:rPr>
          <w:lang w:val="hu-HU"/>
        </w:rPr>
      </w:pPr>
      <w:r>
        <w:rPr>
          <w:rStyle w:val="Alaviitteenviite"/>
        </w:rPr>
        <w:footnoteRef/>
      </w:r>
      <w:r>
        <w:t xml:space="preserve"> </w:t>
      </w:r>
      <w:r>
        <w:rPr>
          <w:lang w:val="hu-HU"/>
        </w:rPr>
        <w:t>Employment and Social Policy Committee</w:t>
      </w:r>
    </w:p>
  </w:footnote>
  <w:footnote w:id="3">
    <w:p w:rsidR="006425F0" w:rsidRPr="005E5E82" w:rsidRDefault="006425F0" w:rsidP="00AE0AEC">
      <w:pPr>
        <w:spacing w:line="240" w:lineRule="auto"/>
      </w:pPr>
      <w:r>
        <w:rPr>
          <w:rStyle w:val="Alaviitteenviite"/>
        </w:rPr>
        <w:footnoteRef/>
      </w:r>
      <w:r>
        <w:t xml:space="preserve"> </w:t>
      </w:r>
      <w:r w:rsidRPr="00DF5496">
        <w:rPr>
          <w:sz w:val="20"/>
        </w:rPr>
        <w:t>The Euro Plus Pact was adopted on 25</w:t>
      </w:r>
      <w:r w:rsidRPr="00DF5496">
        <w:rPr>
          <w:sz w:val="20"/>
          <w:vertAlign w:val="superscript"/>
        </w:rPr>
        <w:t>th</w:t>
      </w:r>
      <w:r w:rsidRPr="00DF5496">
        <w:rPr>
          <w:sz w:val="20"/>
        </w:rPr>
        <w:t xml:space="preserve"> March 2011 by the European Council. The Pact stipulates a range of targets meant to strengthen competitiveness and convergence of MSs. Eurozone countries are fully covered, six non Euro-zone countries also joined the Pact (BG, DK, LV, LT, Pl, RO), whilst four member states did not enter (CZ, HU, SE, UK).</w:t>
      </w:r>
    </w:p>
  </w:footnote>
  <w:footnote w:id="4">
    <w:p w:rsidR="006425F0" w:rsidRPr="00DF5496" w:rsidRDefault="006425F0" w:rsidP="00AE0AEC">
      <w:pPr>
        <w:pStyle w:val="Alaviitteenteksti"/>
        <w:spacing w:line="240" w:lineRule="auto"/>
        <w:rPr>
          <w:lang w:val="hu-HU"/>
        </w:rPr>
      </w:pPr>
      <w:r>
        <w:rPr>
          <w:rStyle w:val="Alaviitteenviite"/>
        </w:rPr>
        <w:footnoteRef/>
      </w:r>
      <w:r>
        <w:t xml:space="preserve"> The three strands of OMC are: (i.) social protection, (ii.) pension, (iii.) health care and longterm case,  </w:t>
      </w:r>
    </w:p>
  </w:footnote>
  <w:footnote w:id="5">
    <w:p w:rsidR="006425F0" w:rsidRPr="00DC1183" w:rsidRDefault="006425F0" w:rsidP="005021BF">
      <w:pPr>
        <w:pStyle w:val="Default"/>
        <w:rPr>
          <w:rFonts w:ascii="Arial" w:hAnsi="Arial" w:cs="Arial"/>
          <w:sz w:val="20"/>
          <w:szCs w:val="20"/>
        </w:rPr>
      </w:pPr>
      <w:r w:rsidRPr="003F6BE3">
        <w:rPr>
          <w:rStyle w:val="Alaviitteenviite"/>
          <w:rFonts w:asciiTheme="minorHAnsi" w:hAnsiTheme="minorHAnsi"/>
          <w:sz w:val="20"/>
          <w:szCs w:val="20"/>
        </w:rPr>
        <w:footnoteRef/>
      </w:r>
      <w:r w:rsidRPr="003F6BE3">
        <w:rPr>
          <w:rFonts w:asciiTheme="minorHAnsi" w:hAnsiTheme="minorHAnsi"/>
          <w:sz w:val="20"/>
          <w:szCs w:val="20"/>
        </w:rPr>
        <w:t xml:space="preserve"> </w:t>
      </w:r>
      <w:r w:rsidRPr="00DC1183">
        <w:rPr>
          <w:rFonts w:ascii="Arial" w:hAnsi="Arial" w:cs="Arial"/>
          <w:sz w:val="20"/>
          <w:szCs w:val="20"/>
        </w:rPr>
        <w:t>Definition of ‘ARoP’: Share of persons aged 0+ with an equalised disposable income below 60% of the national equalised median income. Equalised median income is defined as the household's total disposable income divided by its "equivalent size", to take account of the size and composition of the household, and is attributed to each household member. Equalization is made on the basis of the OECD modified scale. Source Eurostat, EU SILC (European Union 2014b p479)</w:t>
      </w:r>
    </w:p>
  </w:footnote>
  <w:footnote w:id="6">
    <w:p w:rsidR="006425F0" w:rsidRPr="00DC1183" w:rsidRDefault="006425F0" w:rsidP="005021BF">
      <w:pPr>
        <w:pStyle w:val="Default"/>
        <w:rPr>
          <w:rFonts w:ascii="Arial" w:hAnsi="Arial" w:cs="Arial"/>
          <w:sz w:val="20"/>
          <w:szCs w:val="20"/>
        </w:rPr>
      </w:pPr>
      <w:r w:rsidRPr="00DC1183">
        <w:rPr>
          <w:rStyle w:val="Alaviitteenviite"/>
          <w:rFonts w:cs="Arial"/>
          <w:sz w:val="20"/>
          <w:szCs w:val="20"/>
        </w:rPr>
        <w:footnoteRef/>
      </w:r>
      <w:r w:rsidRPr="00DC1183">
        <w:rPr>
          <w:rFonts w:ascii="Arial" w:hAnsi="Arial" w:cs="Arial"/>
          <w:sz w:val="20"/>
          <w:szCs w:val="20"/>
        </w:rPr>
        <w:t xml:space="preserve"> Definition of ‘Share of population in very low work intensity (VLWI) households’: People aged 0-59, living in households, where working-age adults (18-59) work less than 20% of their total work potential during the past year. Source Eurostat, EU SILC (European Union 2014b p479)</w:t>
      </w:r>
    </w:p>
  </w:footnote>
  <w:footnote w:id="7">
    <w:p w:rsidR="006425F0" w:rsidRPr="00BB6E10" w:rsidRDefault="006425F0" w:rsidP="005021BF">
      <w:pPr>
        <w:pStyle w:val="Default"/>
        <w:rPr>
          <w:rFonts w:ascii="Arial" w:hAnsi="Arial" w:cs="Arial"/>
          <w:sz w:val="20"/>
          <w:szCs w:val="20"/>
        </w:rPr>
      </w:pPr>
      <w:r w:rsidRPr="00DC1183">
        <w:rPr>
          <w:rStyle w:val="Alaviitteenviite"/>
          <w:rFonts w:cs="Arial"/>
          <w:sz w:val="20"/>
          <w:szCs w:val="20"/>
        </w:rPr>
        <w:footnoteRef/>
      </w:r>
      <w:r w:rsidRPr="00DC1183">
        <w:rPr>
          <w:rFonts w:ascii="Arial" w:hAnsi="Arial" w:cs="Arial"/>
          <w:sz w:val="20"/>
          <w:szCs w:val="20"/>
        </w:rPr>
        <w:t xml:space="preserve"> Definition of ‘Serious Material Deprivation</w:t>
      </w:r>
      <w:r w:rsidRPr="00BB6E10">
        <w:rPr>
          <w:rFonts w:ascii="Arial" w:hAnsi="Arial" w:cs="Arial"/>
          <w:sz w:val="20"/>
          <w:szCs w:val="20"/>
        </w:rPr>
        <w:t xml:space="preserve"> Rate’: Share of population living in households lacking at least 4 items out of the following 9 items: i) to pay rent or utility bills, ii) keep home adequately warm, iii) face unexpected expenses, iv) eat meat, fish or a protein equivalent every second day, v) a week holiday away from home, or could not afford (even if wanted to) vi) a car, vii) a washing machine, viii) a colour TV, or ix) a telephone. Source Eurostat, EU SILC (European Union 2014b p479)</w:t>
      </w:r>
    </w:p>
  </w:footnote>
  <w:footnote w:id="8">
    <w:p w:rsidR="006425F0" w:rsidRPr="003F6BE3" w:rsidRDefault="006425F0" w:rsidP="00BB6E10">
      <w:pPr>
        <w:pStyle w:val="Alaviitteenteksti"/>
        <w:spacing w:line="240" w:lineRule="auto"/>
        <w:rPr>
          <w:lang w:val="hu-HU"/>
        </w:rPr>
      </w:pPr>
      <w:r w:rsidRPr="00BB6E10">
        <w:rPr>
          <w:rStyle w:val="Alaviitteenviite"/>
          <w:rFonts w:cs="Arial"/>
        </w:rPr>
        <w:footnoteRef/>
      </w:r>
      <w:r w:rsidRPr="00BB6E10">
        <w:rPr>
          <w:rFonts w:cs="Arial"/>
        </w:rPr>
        <w:t xml:space="preserve"> Definition of ‘At risk of poverty or social exclusion rate’: The sum of persons who are: at-risk-of-poverty or severely materially deprived or living in households with very low work intensity as a share of the total population, source Eurostat, EU SILC (European Union 2014</w:t>
      </w:r>
      <w:r>
        <w:t xml:space="preserve"> b p479)</w:t>
      </w:r>
    </w:p>
  </w:footnote>
  <w:footnote w:id="9">
    <w:p w:rsidR="006425F0" w:rsidRPr="00B27F9C" w:rsidRDefault="006425F0">
      <w:pPr>
        <w:pStyle w:val="Alaviitteenteksti"/>
        <w:rPr>
          <w:lang w:val="hu-HU"/>
        </w:rPr>
      </w:pPr>
      <w:r>
        <w:rPr>
          <w:rStyle w:val="Alaviitteenviite"/>
        </w:rPr>
        <w:footnoteRef/>
      </w:r>
      <w:r w:rsidRPr="00B27F9C">
        <w:rPr>
          <w:lang w:val="hu-HU"/>
        </w:rPr>
        <w:t xml:space="preserve"> </w:t>
      </w:r>
      <w:hyperlink r:id="rId1" w:history="1">
        <w:r w:rsidRPr="00B27F9C">
          <w:rPr>
            <w:rStyle w:val="Hyperlinkki"/>
            <w:lang w:val="hu-HU"/>
          </w:rPr>
          <w:t>http://ec.europa.eu/public_opinion/index_en.htm</w:t>
        </w:r>
      </w:hyperlink>
      <w:r w:rsidRPr="00B27F9C">
        <w:rPr>
          <w:lang w:val="hu-HU"/>
        </w:rPr>
        <w:t xml:space="preserve"> </w:t>
      </w:r>
    </w:p>
  </w:footnote>
  <w:footnote w:id="10">
    <w:p w:rsidR="006425F0" w:rsidRPr="00B27F9C" w:rsidRDefault="006425F0">
      <w:pPr>
        <w:pStyle w:val="Alaviitteenteksti"/>
        <w:rPr>
          <w:lang w:val="hu-HU"/>
        </w:rPr>
      </w:pPr>
      <w:r>
        <w:rPr>
          <w:rStyle w:val="Alaviitteenviite"/>
        </w:rPr>
        <w:footnoteRef/>
      </w:r>
      <w:r w:rsidRPr="00B27F9C">
        <w:rPr>
          <w:lang w:val="hu-HU"/>
        </w:rPr>
        <w:t xml:space="preserve"> </w:t>
      </w:r>
      <w:hyperlink r:id="rId2" w:history="1">
        <w:r w:rsidRPr="00B27F9C">
          <w:rPr>
            <w:rStyle w:val="Hyperlinkki"/>
            <w:lang w:val="hu-HU"/>
          </w:rPr>
          <w:t>http://www.europeansocialsurvey.org/about/</w:t>
        </w:r>
      </w:hyperlink>
      <w:r w:rsidRPr="00B27F9C">
        <w:rPr>
          <w:lang w:val="hu-HU"/>
        </w:rPr>
        <w:t xml:space="preserve"> </w:t>
      </w:r>
    </w:p>
  </w:footnote>
  <w:footnote w:id="11">
    <w:p w:rsidR="006425F0" w:rsidRDefault="006425F0" w:rsidP="00AA2CBE">
      <w:pPr>
        <w:pStyle w:val="Alaviitteenteksti"/>
        <w:spacing w:line="240" w:lineRule="auto"/>
      </w:pPr>
      <w:r>
        <w:rPr>
          <w:rStyle w:val="Alaviitteenviite"/>
        </w:rPr>
        <w:footnoteRef/>
      </w:r>
      <w:r>
        <w:t xml:space="preserve"> It would probably be necessary to extend the number of socio-economic covariates included in the hypermatrices at NUTS 3. However the census hub is nevertheless a very promising framework upon which to build.</w:t>
      </w:r>
    </w:p>
  </w:footnote>
  <w:footnote w:id="12">
    <w:p w:rsidR="006425F0" w:rsidRPr="00E72A31" w:rsidRDefault="006425F0" w:rsidP="000410BE">
      <w:pPr>
        <w:pStyle w:val="Alaviitteenteksti"/>
        <w:rPr>
          <w:lang w:val="hu-HU"/>
        </w:rPr>
      </w:pPr>
      <w:r>
        <w:rPr>
          <w:rStyle w:val="Alaviitteenviite"/>
        </w:rPr>
        <w:footnoteRef/>
      </w:r>
      <w:r>
        <w:t xml:space="preserve"> </w:t>
      </w:r>
      <w:r>
        <w:rPr>
          <w:lang w:val="hu-HU"/>
        </w:rPr>
        <w:t xml:space="preserve">Compiled </w:t>
      </w:r>
      <w:r w:rsidRPr="000410BE">
        <w:rPr>
          <w:lang w:val="hu-HU"/>
        </w:rPr>
        <w:t xml:space="preserve">from </w:t>
      </w:r>
      <w:r w:rsidRPr="000410BE">
        <w:t>European Commission 2014a)</w:t>
      </w:r>
    </w:p>
  </w:footnote>
  <w:footnote w:id="13">
    <w:p w:rsidR="006425F0" w:rsidRDefault="006425F0" w:rsidP="00F468C9">
      <w:pPr>
        <w:pStyle w:val="Alaviitteenteksti"/>
        <w:spacing w:line="240" w:lineRule="auto"/>
        <w:rPr>
          <w:lang w:val="hu-HU"/>
        </w:rPr>
      </w:pPr>
      <w:r>
        <w:rPr>
          <w:rStyle w:val="Alaviitteenviite"/>
        </w:rPr>
        <w:footnoteRef/>
      </w:r>
      <w:r>
        <w:t xml:space="preserve"> Social Protection Committee (2012a), Directorate-General for Employment, Social Affairs and Inclusion and Social Protection Committee (2012)</w:t>
      </w:r>
    </w:p>
  </w:footnote>
  <w:footnote w:id="14">
    <w:p w:rsidR="006425F0" w:rsidRDefault="006425F0" w:rsidP="00F468C9">
      <w:pPr>
        <w:pStyle w:val="Alaviitteenteksti"/>
        <w:rPr>
          <w:lang w:val="hu-HU"/>
        </w:rPr>
      </w:pPr>
      <w:r>
        <w:rPr>
          <w:rStyle w:val="Alaviitteenviite"/>
        </w:rPr>
        <w:footnoteRef/>
      </w:r>
      <w:r>
        <w:t xml:space="preserve"> People in unemployment status for at least two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5F0" w:rsidRDefault="006425F0">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E16F1"/>
    <w:multiLevelType w:val="hybridMultilevel"/>
    <w:tmpl w:val="A2787088"/>
    <w:lvl w:ilvl="0" w:tplc="1428BEF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F556A4"/>
    <w:multiLevelType w:val="hybridMultilevel"/>
    <w:tmpl w:val="3B5E1036"/>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E94E5A"/>
    <w:multiLevelType w:val="hybridMultilevel"/>
    <w:tmpl w:val="B6E62CB0"/>
    <w:lvl w:ilvl="0" w:tplc="24065C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B75017"/>
    <w:multiLevelType w:val="multilevel"/>
    <w:tmpl w:val="6148A720"/>
    <w:lvl w:ilvl="0">
      <w:start w:val="1"/>
      <w:numFmt w:val="decimal"/>
      <w:pStyle w:val="Otsikko1"/>
      <w:lvlText w:val="%1"/>
      <w:lvlJc w:val="left"/>
      <w:pPr>
        <w:tabs>
          <w:tab w:val="num" w:pos="510"/>
        </w:tabs>
        <w:ind w:left="510" w:hanging="510"/>
      </w:pPr>
    </w:lvl>
    <w:lvl w:ilvl="1">
      <w:start w:val="1"/>
      <w:numFmt w:val="decimal"/>
      <w:pStyle w:val="Otsikko2"/>
      <w:lvlText w:val="%1.%2"/>
      <w:lvlJc w:val="left"/>
      <w:pPr>
        <w:tabs>
          <w:tab w:val="num" w:pos="879"/>
        </w:tabs>
        <w:ind w:left="879" w:hanging="737"/>
      </w:pPr>
    </w:lvl>
    <w:lvl w:ilvl="2">
      <w:start w:val="1"/>
      <w:numFmt w:val="decimal"/>
      <w:pStyle w:val="Otsikko3"/>
      <w:lvlText w:val="%1.%2.%3"/>
      <w:lvlJc w:val="left"/>
      <w:pPr>
        <w:tabs>
          <w:tab w:val="num" w:pos="1021"/>
        </w:tabs>
        <w:ind w:left="1021" w:hanging="1021"/>
      </w:pPr>
    </w:lvl>
    <w:lvl w:ilvl="3">
      <w:start w:val="1"/>
      <w:numFmt w:val="decimal"/>
      <w:pStyle w:val="Otsikko4"/>
      <w:lvlText w:val="%1.%2.%3.%4"/>
      <w:lvlJc w:val="left"/>
      <w:pPr>
        <w:tabs>
          <w:tab w:val="num" w:pos="1304"/>
        </w:tabs>
        <w:ind w:left="1304" w:hanging="1304"/>
      </w:pPr>
    </w:lvl>
    <w:lvl w:ilvl="4">
      <w:start w:val="1"/>
      <w:numFmt w:val="decimal"/>
      <w:pStyle w:val="Otsikko5"/>
      <w:lvlText w:val="%1.%2.%3.%4.%5"/>
      <w:lvlJc w:val="left"/>
      <w:pPr>
        <w:tabs>
          <w:tab w:val="num" w:pos="1644"/>
        </w:tabs>
        <w:ind w:left="1644" w:hanging="1644"/>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4">
    <w:nsid w:val="16241127"/>
    <w:multiLevelType w:val="hybridMultilevel"/>
    <w:tmpl w:val="4BEE4910"/>
    <w:lvl w:ilvl="0" w:tplc="B5A4DD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FA11AFA"/>
    <w:multiLevelType w:val="hybridMultilevel"/>
    <w:tmpl w:val="44386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6CA4883"/>
    <w:multiLevelType w:val="hybridMultilevel"/>
    <w:tmpl w:val="3B6CE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735963"/>
    <w:multiLevelType w:val="hybridMultilevel"/>
    <w:tmpl w:val="C8449710"/>
    <w:lvl w:ilvl="0" w:tplc="2432DBB8">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0E496C"/>
    <w:multiLevelType w:val="hybridMultilevel"/>
    <w:tmpl w:val="CF8245B2"/>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4695249"/>
    <w:multiLevelType w:val="hybridMultilevel"/>
    <w:tmpl w:val="0BB8DC98"/>
    <w:lvl w:ilvl="0" w:tplc="100849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60642E2"/>
    <w:multiLevelType w:val="hybridMultilevel"/>
    <w:tmpl w:val="AB00CB9A"/>
    <w:lvl w:ilvl="0" w:tplc="D12C26F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88168D0"/>
    <w:multiLevelType w:val="hybridMultilevel"/>
    <w:tmpl w:val="9A121B9C"/>
    <w:lvl w:ilvl="0" w:tplc="B5A4DD1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431124E3"/>
    <w:multiLevelType w:val="hybridMultilevel"/>
    <w:tmpl w:val="20EC5EC4"/>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27E6B92"/>
    <w:multiLevelType w:val="hybridMultilevel"/>
    <w:tmpl w:val="22D47068"/>
    <w:lvl w:ilvl="0" w:tplc="E2161B9A">
      <w:start w:val="1"/>
      <w:numFmt w:val="bullet"/>
      <w:lvlText w:val="–"/>
      <w:lvlJc w:val="left"/>
      <w:pPr>
        <w:tabs>
          <w:tab w:val="num" w:pos="720"/>
        </w:tabs>
        <w:ind w:left="720" w:hanging="360"/>
      </w:pPr>
      <w:rPr>
        <w:rFonts w:ascii="Times New Roman" w:hAnsi="Times New Roman" w:hint="default"/>
      </w:rPr>
    </w:lvl>
    <w:lvl w:ilvl="1" w:tplc="247616A4">
      <w:start w:val="1"/>
      <w:numFmt w:val="bullet"/>
      <w:lvlText w:val="–"/>
      <w:lvlJc w:val="left"/>
      <w:pPr>
        <w:tabs>
          <w:tab w:val="num" w:pos="1440"/>
        </w:tabs>
        <w:ind w:left="1440" w:hanging="360"/>
      </w:pPr>
      <w:rPr>
        <w:rFonts w:ascii="Times New Roman" w:hAnsi="Times New Roman" w:hint="default"/>
      </w:rPr>
    </w:lvl>
    <w:lvl w:ilvl="2" w:tplc="0276A582" w:tentative="1">
      <w:start w:val="1"/>
      <w:numFmt w:val="bullet"/>
      <w:lvlText w:val="–"/>
      <w:lvlJc w:val="left"/>
      <w:pPr>
        <w:tabs>
          <w:tab w:val="num" w:pos="2160"/>
        </w:tabs>
        <w:ind w:left="2160" w:hanging="360"/>
      </w:pPr>
      <w:rPr>
        <w:rFonts w:ascii="Times New Roman" w:hAnsi="Times New Roman" w:hint="default"/>
      </w:rPr>
    </w:lvl>
    <w:lvl w:ilvl="3" w:tplc="08201322" w:tentative="1">
      <w:start w:val="1"/>
      <w:numFmt w:val="bullet"/>
      <w:lvlText w:val="–"/>
      <w:lvlJc w:val="left"/>
      <w:pPr>
        <w:tabs>
          <w:tab w:val="num" w:pos="2880"/>
        </w:tabs>
        <w:ind w:left="2880" w:hanging="360"/>
      </w:pPr>
      <w:rPr>
        <w:rFonts w:ascii="Times New Roman" w:hAnsi="Times New Roman" w:hint="default"/>
      </w:rPr>
    </w:lvl>
    <w:lvl w:ilvl="4" w:tplc="82B830F0" w:tentative="1">
      <w:start w:val="1"/>
      <w:numFmt w:val="bullet"/>
      <w:lvlText w:val="–"/>
      <w:lvlJc w:val="left"/>
      <w:pPr>
        <w:tabs>
          <w:tab w:val="num" w:pos="3600"/>
        </w:tabs>
        <w:ind w:left="3600" w:hanging="360"/>
      </w:pPr>
      <w:rPr>
        <w:rFonts w:ascii="Times New Roman" w:hAnsi="Times New Roman" w:hint="default"/>
      </w:rPr>
    </w:lvl>
    <w:lvl w:ilvl="5" w:tplc="CC0C61B4" w:tentative="1">
      <w:start w:val="1"/>
      <w:numFmt w:val="bullet"/>
      <w:lvlText w:val="–"/>
      <w:lvlJc w:val="left"/>
      <w:pPr>
        <w:tabs>
          <w:tab w:val="num" w:pos="4320"/>
        </w:tabs>
        <w:ind w:left="4320" w:hanging="360"/>
      </w:pPr>
      <w:rPr>
        <w:rFonts w:ascii="Times New Roman" w:hAnsi="Times New Roman" w:hint="default"/>
      </w:rPr>
    </w:lvl>
    <w:lvl w:ilvl="6" w:tplc="B1023D84" w:tentative="1">
      <w:start w:val="1"/>
      <w:numFmt w:val="bullet"/>
      <w:lvlText w:val="–"/>
      <w:lvlJc w:val="left"/>
      <w:pPr>
        <w:tabs>
          <w:tab w:val="num" w:pos="5040"/>
        </w:tabs>
        <w:ind w:left="5040" w:hanging="360"/>
      </w:pPr>
      <w:rPr>
        <w:rFonts w:ascii="Times New Roman" w:hAnsi="Times New Roman" w:hint="default"/>
      </w:rPr>
    </w:lvl>
    <w:lvl w:ilvl="7" w:tplc="63C4DAC4" w:tentative="1">
      <w:start w:val="1"/>
      <w:numFmt w:val="bullet"/>
      <w:lvlText w:val="–"/>
      <w:lvlJc w:val="left"/>
      <w:pPr>
        <w:tabs>
          <w:tab w:val="num" w:pos="5760"/>
        </w:tabs>
        <w:ind w:left="5760" w:hanging="360"/>
      </w:pPr>
      <w:rPr>
        <w:rFonts w:ascii="Times New Roman" w:hAnsi="Times New Roman" w:hint="default"/>
      </w:rPr>
    </w:lvl>
    <w:lvl w:ilvl="8" w:tplc="3B64BAC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6F35F57"/>
    <w:multiLevelType w:val="hybridMultilevel"/>
    <w:tmpl w:val="957EA5F0"/>
    <w:lvl w:ilvl="0" w:tplc="2432DBB8">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7F04E8B"/>
    <w:multiLevelType w:val="hybridMultilevel"/>
    <w:tmpl w:val="CB9A8B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nsid w:val="5B132DA2"/>
    <w:multiLevelType w:val="hybridMultilevel"/>
    <w:tmpl w:val="F1B0A5DC"/>
    <w:lvl w:ilvl="0" w:tplc="631A6256">
      <w:start w:val="1"/>
      <w:numFmt w:val="upperLetter"/>
      <w:lvlText w:val="%1.)"/>
      <w:lvlJc w:val="left"/>
      <w:pPr>
        <w:ind w:left="720" w:hanging="360"/>
      </w:pPr>
      <w:rPr>
        <w:rFonts w:asciiTheme="minorHAnsi" w:eastAsiaTheme="minorHAnsi" w:hAnsiTheme="minorHAnsi" w:cs="Calibri,Bol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B5D56BA"/>
    <w:multiLevelType w:val="hybridMultilevel"/>
    <w:tmpl w:val="18B2C406"/>
    <w:lvl w:ilvl="0" w:tplc="B5A4DD1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F905F36"/>
    <w:multiLevelType w:val="hybridMultilevel"/>
    <w:tmpl w:val="B1C0C5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09F756D"/>
    <w:multiLevelType w:val="hybridMultilevel"/>
    <w:tmpl w:val="F306D25A"/>
    <w:lvl w:ilvl="0" w:tplc="BA0CCC94">
      <w:start w:val="1"/>
      <w:numFmt w:val="lowerLetter"/>
      <w:lvlText w:val="%1.)"/>
      <w:lvlJc w:val="left"/>
      <w:pPr>
        <w:ind w:left="-1422" w:hanging="360"/>
      </w:pPr>
      <w:rPr>
        <w:rFonts w:hint="default"/>
      </w:rPr>
    </w:lvl>
    <w:lvl w:ilvl="1" w:tplc="08090019">
      <w:start w:val="1"/>
      <w:numFmt w:val="lowerLetter"/>
      <w:lvlText w:val="%2."/>
      <w:lvlJc w:val="left"/>
      <w:pPr>
        <w:ind w:left="-702" w:hanging="360"/>
      </w:pPr>
    </w:lvl>
    <w:lvl w:ilvl="2" w:tplc="0809001B">
      <w:start w:val="1"/>
      <w:numFmt w:val="lowerRoman"/>
      <w:lvlText w:val="%3."/>
      <w:lvlJc w:val="right"/>
      <w:pPr>
        <w:ind w:left="18" w:hanging="180"/>
      </w:pPr>
    </w:lvl>
    <w:lvl w:ilvl="3" w:tplc="0809000F" w:tentative="1">
      <w:start w:val="1"/>
      <w:numFmt w:val="decimal"/>
      <w:lvlText w:val="%4."/>
      <w:lvlJc w:val="left"/>
      <w:pPr>
        <w:ind w:left="738" w:hanging="360"/>
      </w:pPr>
    </w:lvl>
    <w:lvl w:ilvl="4" w:tplc="08090019" w:tentative="1">
      <w:start w:val="1"/>
      <w:numFmt w:val="lowerLetter"/>
      <w:lvlText w:val="%5."/>
      <w:lvlJc w:val="left"/>
      <w:pPr>
        <w:ind w:left="1458" w:hanging="360"/>
      </w:pPr>
    </w:lvl>
    <w:lvl w:ilvl="5" w:tplc="0809001B" w:tentative="1">
      <w:start w:val="1"/>
      <w:numFmt w:val="lowerRoman"/>
      <w:lvlText w:val="%6."/>
      <w:lvlJc w:val="right"/>
      <w:pPr>
        <w:ind w:left="2178" w:hanging="180"/>
      </w:pPr>
    </w:lvl>
    <w:lvl w:ilvl="6" w:tplc="0809000F" w:tentative="1">
      <w:start w:val="1"/>
      <w:numFmt w:val="decimal"/>
      <w:lvlText w:val="%7."/>
      <w:lvlJc w:val="left"/>
      <w:pPr>
        <w:ind w:left="2898" w:hanging="360"/>
      </w:pPr>
    </w:lvl>
    <w:lvl w:ilvl="7" w:tplc="08090019" w:tentative="1">
      <w:start w:val="1"/>
      <w:numFmt w:val="lowerLetter"/>
      <w:lvlText w:val="%8."/>
      <w:lvlJc w:val="left"/>
      <w:pPr>
        <w:ind w:left="3618" w:hanging="360"/>
      </w:pPr>
    </w:lvl>
    <w:lvl w:ilvl="8" w:tplc="0809001B" w:tentative="1">
      <w:start w:val="1"/>
      <w:numFmt w:val="lowerRoman"/>
      <w:lvlText w:val="%9."/>
      <w:lvlJc w:val="right"/>
      <w:pPr>
        <w:ind w:left="4338" w:hanging="180"/>
      </w:pPr>
    </w:lvl>
  </w:abstractNum>
  <w:abstractNum w:abstractNumId="20">
    <w:nsid w:val="6A493409"/>
    <w:multiLevelType w:val="hybridMultilevel"/>
    <w:tmpl w:val="152213FE"/>
    <w:lvl w:ilvl="0" w:tplc="1428BEF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B0B5B89"/>
    <w:multiLevelType w:val="hybridMultilevel"/>
    <w:tmpl w:val="B28C206C"/>
    <w:lvl w:ilvl="0" w:tplc="2432DBB8">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6F1C6019"/>
    <w:multiLevelType w:val="hybridMultilevel"/>
    <w:tmpl w:val="EEC6D5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403732C"/>
    <w:multiLevelType w:val="hybridMultilevel"/>
    <w:tmpl w:val="35B0EF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7C9C4D25"/>
    <w:multiLevelType w:val="hybridMultilevel"/>
    <w:tmpl w:val="B652E40C"/>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CF87FE9"/>
    <w:multiLevelType w:val="hybridMultilevel"/>
    <w:tmpl w:val="E45E8EC8"/>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3"/>
  </w:num>
  <w:num w:numId="4">
    <w:abstractNumId w:val="20"/>
  </w:num>
  <w:num w:numId="5">
    <w:abstractNumId w:val="0"/>
  </w:num>
  <w:num w:numId="6">
    <w:abstractNumId w:val="5"/>
  </w:num>
  <w:num w:numId="7">
    <w:abstractNumId w:val="9"/>
  </w:num>
  <w:num w:numId="8">
    <w:abstractNumId w:val="21"/>
  </w:num>
  <w:num w:numId="9">
    <w:abstractNumId w:val="19"/>
  </w:num>
  <w:num w:numId="10">
    <w:abstractNumId w:val="1"/>
  </w:num>
  <w:num w:numId="11">
    <w:abstractNumId w:val="18"/>
  </w:num>
  <w:num w:numId="12">
    <w:abstractNumId w:val="4"/>
  </w:num>
  <w:num w:numId="13">
    <w:abstractNumId w:val="11"/>
  </w:num>
  <w:num w:numId="14">
    <w:abstractNumId w:val="13"/>
  </w:num>
  <w:num w:numId="15">
    <w:abstractNumId w:val="22"/>
  </w:num>
  <w:num w:numId="16">
    <w:abstractNumId w:val="8"/>
  </w:num>
  <w:num w:numId="17">
    <w:abstractNumId w:val="10"/>
  </w:num>
  <w:num w:numId="18">
    <w:abstractNumId w:val="25"/>
  </w:num>
  <w:num w:numId="19">
    <w:abstractNumId w:val="15"/>
  </w:num>
  <w:num w:numId="20">
    <w:abstractNumId w:val="16"/>
  </w:num>
  <w:num w:numId="21">
    <w:abstractNumId w:val="7"/>
  </w:num>
  <w:num w:numId="22">
    <w:abstractNumId w:val="14"/>
  </w:num>
  <w:num w:numId="23">
    <w:abstractNumId w:val="24"/>
  </w:num>
  <w:num w:numId="24">
    <w:abstractNumId w:val="12"/>
  </w:num>
  <w:num w:numId="25">
    <w:abstractNumId w:val="2"/>
  </w:num>
  <w:num w:numId="26">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de-DE" w:vendorID="9" w:dllVersion="512" w:checkStyle="1"/>
  <w:activeWritingStyle w:appName="MSWord" w:lang="sv-SE" w:vendorID="666" w:dllVersion="513" w:checkStyle="1"/>
  <w:activeWritingStyle w:appName="MSWord" w:lang="sv-SE" w:vendorID="22" w:dllVersion="513" w:checkStyle="1"/>
  <w:activeWritingStyle w:appName="MSWord" w:lang="hu-HU" w:vendorID="7"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142"/>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 V2&lt;/Style&gt;&lt;LeftDelim&gt;{&lt;/LeftDelim&gt;&lt;RightDelim&gt;}&lt;/RightDelim&gt;&lt;FontName&gt;Arial&lt;/FontName&gt;&lt;FontSize&gt;11&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5tas95vtezst4e55d1xv0twzf0xa2fpdr02&quot;&gt;TiPSE Poverty Map Paper&lt;record-ids&gt;&lt;item&gt;2&lt;/item&gt;&lt;item&gt;4&lt;/item&gt;&lt;item&gt;6&lt;/item&gt;&lt;item&gt;7&lt;/item&gt;&lt;item&gt;8&lt;/item&gt;&lt;item&gt;10&lt;/item&gt;&lt;item&gt;17&lt;/item&gt;&lt;item&gt;46&lt;/item&gt;&lt;item&gt;47&lt;/item&gt;&lt;item&gt;48&lt;/item&gt;&lt;item&gt;49&lt;/item&gt;&lt;item&gt;50&lt;/item&gt;&lt;item&gt;51&lt;/item&gt;&lt;item&gt;52&lt;/item&gt;&lt;item&gt;53&lt;/item&gt;&lt;item&gt;54&lt;/item&gt;&lt;item&gt;55&lt;/item&gt;&lt;item&gt;57&lt;/item&gt;&lt;/record-ids&gt;&lt;/item&gt;&lt;/Libraries&gt;"/>
  </w:docVars>
  <w:rsids>
    <w:rsidRoot w:val="00EE5EB2"/>
    <w:rsid w:val="0000028F"/>
    <w:rsid w:val="000006F2"/>
    <w:rsid w:val="00000B0C"/>
    <w:rsid w:val="00000E90"/>
    <w:rsid w:val="00001202"/>
    <w:rsid w:val="00001391"/>
    <w:rsid w:val="000017E6"/>
    <w:rsid w:val="000020BF"/>
    <w:rsid w:val="00002167"/>
    <w:rsid w:val="0000251E"/>
    <w:rsid w:val="000063BF"/>
    <w:rsid w:val="000067E6"/>
    <w:rsid w:val="00006BE0"/>
    <w:rsid w:val="000076AC"/>
    <w:rsid w:val="00007B80"/>
    <w:rsid w:val="0001056B"/>
    <w:rsid w:val="00010A5E"/>
    <w:rsid w:val="000113CF"/>
    <w:rsid w:val="0001183B"/>
    <w:rsid w:val="0001287A"/>
    <w:rsid w:val="00012ECC"/>
    <w:rsid w:val="00013758"/>
    <w:rsid w:val="00013BDE"/>
    <w:rsid w:val="000140DE"/>
    <w:rsid w:val="0001452A"/>
    <w:rsid w:val="000153D9"/>
    <w:rsid w:val="000165A2"/>
    <w:rsid w:val="00016B2C"/>
    <w:rsid w:val="00017847"/>
    <w:rsid w:val="00017991"/>
    <w:rsid w:val="00017F32"/>
    <w:rsid w:val="000201E4"/>
    <w:rsid w:val="000202B2"/>
    <w:rsid w:val="000213DB"/>
    <w:rsid w:val="000216BC"/>
    <w:rsid w:val="00021E5B"/>
    <w:rsid w:val="00022713"/>
    <w:rsid w:val="000230A7"/>
    <w:rsid w:val="000231EB"/>
    <w:rsid w:val="000236B3"/>
    <w:rsid w:val="000238A4"/>
    <w:rsid w:val="0002484E"/>
    <w:rsid w:val="00025AF4"/>
    <w:rsid w:val="0002608A"/>
    <w:rsid w:val="000261B6"/>
    <w:rsid w:val="0002775E"/>
    <w:rsid w:val="00030665"/>
    <w:rsid w:val="00031896"/>
    <w:rsid w:val="000321CA"/>
    <w:rsid w:val="00032B51"/>
    <w:rsid w:val="00033EFC"/>
    <w:rsid w:val="000345D3"/>
    <w:rsid w:val="000346BE"/>
    <w:rsid w:val="00034A1E"/>
    <w:rsid w:val="00034DDE"/>
    <w:rsid w:val="00034E16"/>
    <w:rsid w:val="00034ECB"/>
    <w:rsid w:val="00035675"/>
    <w:rsid w:val="000371DC"/>
    <w:rsid w:val="000375E7"/>
    <w:rsid w:val="00037ACA"/>
    <w:rsid w:val="0004050C"/>
    <w:rsid w:val="00040905"/>
    <w:rsid w:val="000410BE"/>
    <w:rsid w:val="000412CF"/>
    <w:rsid w:val="00041655"/>
    <w:rsid w:val="0004374E"/>
    <w:rsid w:val="00044645"/>
    <w:rsid w:val="00045B9A"/>
    <w:rsid w:val="00047F52"/>
    <w:rsid w:val="0005053A"/>
    <w:rsid w:val="00050BD6"/>
    <w:rsid w:val="00051CAE"/>
    <w:rsid w:val="00051F7E"/>
    <w:rsid w:val="00052DAE"/>
    <w:rsid w:val="0005364B"/>
    <w:rsid w:val="00053C31"/>
    <w:rsid w:val="00053C9F"/>
    <w:rsid w:val="00054197"/>
    <w:rsid w:val="000544ED"/>
    <w:rsid w:val="00054EE7"/>
    <w:rsid w:val="00055011"/>
    <w:rsid w:val="00055AEC"/>
    <w:rsid w:val="000561E7"/>
    <w:rsid w:val="00056948"/>
    <w:rsid w:val="00056CCD"/>
    <w:rsid w:val="000630F9"/>
    <w:rsid w:val="00063552"/>
    <w:rsid w:val="00064076"/>
    <w:rsid w:val="0006417B"/>
    <w:rsid w:val="00064A7E"/>
    <w:rsid w:val="00065BDB"/>
    <w:rsid w:val="00067257"/>
    <w:rsid w:val="0006726B"/>
    <w:rsid w:val="0006781E"/>
    <w:rsid w:val="000679AE"/>
    <w:rsid w:val="00067CB5"/>
    <w:rsid w:val="00070603"/>
    <w:rsid w:val="000711F8"/>
    <w:rsid w:val="000720FE"/>
    <w:rsid w:val="00073A83"/>
    <w:rsid w:val="00074A6D"/>
    <w:rsid w:val="00074B9A"/>
    <w:rsid w:val="000750A5"/>
    <w:rsid w:val="000754A4"/>
    <w:rsid w:val="000757B4"/>
    <w:rsid w:val="00075DAB"/>
    <w:rsid w:val="0007656C"/>
    <w:rsid w:val="000766C9"/>
    <w:rsid w:val="0007691F"/>
    <w:rsid w:val="00076CE3"/>
    <w:rsid w:val="000775D8"/>
    <w:rsid w:val="000778C1"/>
    <w:rsid w:val="00077EC7"/>
    <w:rsid w:val="00080C5E"/>
    <w:rsid w:val="000818BC"/>
    <w:rsid w:val="00082A1A"/>
    <w:rsid w:val="00083584"/>
    <w:rsid w:val="00083B2D"/>
    <w:rsid w:val="000848D0"/>
    <w:rsid w:val="00084B93"/>
    <w:rsid w:val="00084E99"/>
    <w:rsid w:val="00085161"/>
    <w:rsid w:val="000858C8"/>
    <w:rsid w:val="00086448"/>
    <w:rsid w:val="00086B1F"/>
    <w:rsid w:val="00087463"/>
    <w:rsid w:val="000876F1"/>
    <w:rsid w:val="00090D3C"/>
    <w:rsid w:val="00091E7B"/>
    <w:rsid w:val="000932C8"/>
    <w:rsid w:val="00093EAA"/>
    <w:rsid w:val="000955C3"/>
    <w:rsid w:val="00095FAC"/>
    <w:rsid w:val="0009793F"/>
    <w:rsid w:val="000A1667"/>
    <w:rsid w:val="000A221D"/>
    <w:rsid w:val="000A2B1D"/>
    <w:rsid w:val="000A4357"/>
    <w:rsid w:val="000A5445"/>
    <w:rsid w:val="000A55A7"/>
    <w:rsid w:val="000A5C93"/>
    <w:rsid w:val="000A6B6E"/>
    <w:rsid w:val="000A752A"/>
    <w:rsid w:val="000B0354"/>
    <w:rsid w:val="000B0A14"/>
    <w:rsid w:val="000B129F"/>
    <w:rsid w:val="000B141D"/>
    <w:rsid w:val="000B14AC"/>
    <w:rsid w:val="000B1C1D"/>
    <w:rsid w:val="000B321B"/>
    <w:rsid w:val="000B3347"/>
    <w:rsid w:val="000B3B35"/>
    <w:rsid w:val="000B4AD8"/>
    <w:rsid w:val="000B4BBC"/>
    <w:rsid w:val="000B51AD"/>
    <w:rsid w:val="000B6112"/>
    <w:rsid w:val="000B79E1"/>
    <w:rsid w:val="000B7AC9"/>
    <w:rsid w:val="000C02FC"/>
    <w:rsid w:val="000C0B1C"/>
    <w:rsid w:val="000C0C31"/>
    <w:rsid w:val="000C232A"/>
    <w:rsid w:val="000C2F94"/>
    <w:rsid w:val="000C3116"/>
    <w:rsid w:val="000C3408"/>
    <w:rsid w:val="000C3800"/>
    <w:rsid w:val="000C39F1"/>
    <w:rsid w:val="000C41E1"/>
    <w:rsid w:val="000C4473"/>
    <w:rsid w:val="000C47EA"/>
    <w:rsid w:val="000C4907"/>
    <w:rsid w:val="000C57FB"/>
    <w:rsid w:val="000C5BDC"/>
    <w:rsid w:val="000C5FA3"/>
    <w:rsid w:val="000C694E"/>
    <w:rsid w:val="000C7175"/>
    <w:rsid w:val="000C7211"/>
    <w:rsid w:val="000D0B9C"/>
    <w:rsid w:val="000D202D"/>
    <w:rsid w:val="000D250C"/>
    <w:rsid w:val="000D29D3"/>
    <w:rsid w:val="000D34E9"/>
    <w:rsid w:val="000D3760"/>
    <w:rsid w:val="000D3E21"/>
    <w:rsid w:val="000D3F73"/>
    <w:rsid w:val="000D4AAA"/>
    <w:rsid w:val="000D4C04"/>
    <w:rsid w:val="000D4F4C"/>
    <w:rsid w:val="000D5AE1"/>
    <w:rsid w:val="000D5B2A"/>
    <w:rsid w:val="000D5C54"/>
    <w:rsid w:val="000D621B"/>
    <w:rsid w:val="000D6230"/>
    <w:rsid w:val="000D6D23"/>
    <w:rsid w:val="000E00AC"/>
    <w:rsid w:val="000E205E"/>
    <w:rsid w:val="000E2716"/>
    <w:rsid w:val="000E27F4"/>
    <w:rsid w:val="000E292D"/>
    <w:rsid w:val="000E42A3"/>
    <w:rsid w:val="000E4847"/>
    <w:rsid w:val="000E49F0"/>
    <w:rsid w:val="000E4A6B"/>
    <w:rsid w:val="000E54B7"/>
    <w:rsid w:val="000E5A82"/>
    <w:rsid w:val="000E6776"/>
    <w:rsid w:val="000E69C6"/>
    <w:rsid w:val="000E7061"/>
    <w:rsid w:val="000E73F1"/>
    <w:rsid w:val="000E75A3"/>
    <w:rsid w:val="000F04EB"/>
    <w:rsid w:val="000F1573"/>
    <w:rsid w:val="000F4604"/>
    <w:rsid w:val="000F4747"/>
    <w:rsid w:val="000F5B25"/>
    <w:rsid w:val="000F5BFE"/>
    <w:rsid w:val="000F5CA4"/>
    <w:rsid w:val="000F5D42"/>
    <w:rsid w:val="000F5EC5"/>
    <w:rsid w:val="000F7F2F"/>
    <w:rsid w:val="001016C7"/>
    <w:rsid w:val="00101F6B"/>
    <w:rsid w:val="001020E0"/>
    <w:rsid w:val="0010210C"/>
    <w:rsid w:val="0010294C"/>
    <w:rsid w:val="00102AAD"/>
    <w:rsid w:val="00102CEF"/>
    <w:rsid w:val="0010333F"/>
    <w:rsid w:val="00103677"/>
    <w:rsid w:val="00103CF5"/>
    <w:rsid w:val="00103D07"/>
    <w:rsid w:val="00103E0C"/>
    <w:rsid w:val="0010441A"/>
    <w:rsid w:val="00105086"/>
    <w:rsid w:val="0010576D"/>
    <w:rsid w:val="00106186"/>
    <w:rsid w:val="001069FE"/>
    <w:rsid w:val="001078B6"/>
    <w:rsid w:val="00110672"/>
    <w:rsid w:val="001122B4"/>
    <w:rsid w:val="00112E49"/>
    <w:rsid w:val="00112EA9"/>
    <w:rsid w:val="0011367E"/>
    <w:rsid w:val="001138DF"/>
    <w:rsid w:val="001155F9"/>
    <w:rsid w:val="001158E3"/>
    <w:rsid w:val="00116375"/>
    <w:rsid w:val="00117328"/>
    <w:rsid w:val="0011739D"/>
    <w:rsid w:val="00117A2A"/>
    <w:rsid w:val="0012005B"/>
    <w:rsid w:val="0012085E"/>
    <w:rsid w:val="00121BCB"/>
    <w:rsid w:val="00122932"/>
    <w:rsid w:val="001232C7"/>
    <w:rsid w:val="001233FC"/>
    <w:rsid w:val="001238A1"/>
    <w:rsid w:val="00123957"/>
    <w:rsid w:val="00124AE2"/>
    <w:rsid w:val="00124C53"/>
    <w:rsid w:val="00124E1D"/>
    <w:rsid w:val="0012683A"/>
    <w:rsid w:val="00126F04"/>
    <w:rsid w:val="00127104"/>
    <w:rsid w:val="0012724A"/>
    <w:rsid w:val="00127417"/>
    <w:rsid w:val="00127468"/>
    <w:rsid w:val="001324DF"/>
    <w:rsid w:val="00133443"/>
    <w:rsid w:val="001337C3"/>
    <w:rsid w:val="00133DA4"/>
    <w:rsid w:val="00134A21"/>
    <w:rsid w:val="001355B8"/>
    <w:rsid w:val="00135747"/>
    <w:rsid w:val="001358B1"/>
    <w:rsid w:val="00135A3D"/>
    <w:rsid w:val="0013603B"/>
    <w:rsid w:val="00136EFB"/>
    <w:rsid w:val="0013791B"/>
    <w:rsid w:val="00141052"/>
    <w:rsid w:val="0014164F"/>
    <w:rsid w:val="00142531"/>
    <w:rsid w:val="001443BC"/>
    <w:rsid w:val="00144969"/>
    <w:rsid w:val="00145352"/>
    <w:rsid w:val="001456F6"/>
    <w:rsid w:val="00146EEB"/>
    <w:rsid w:val="00147F93"/>
    <w:rsid w:val="00150783"/>
    <w:rsid w:val="001510C6"/>
    <w:rsid w:val="001522ED"/>
    <w:rsid w:val="00152E8C"/>
    <w:rsid w:val="00153949"/>
    <w:rsid w:val="001552EA"/>
    <w:rsid w:val="001555AA"/>
    <w:rsid w:val="0015602A"/>
    <w:rsid w:val="001566B2"/>
    <w:rsid w:val="00157086"/>
    <w:rsid w:val="00161317"/>
    <w:rsid w:val="0016195B"/>
    <w:rsid w:val="0016274A"/>
    <w:rsid w:val="00163017"/>
    <w:rsid w:val="001640B2"/>
    <w:rsid w:val="001644F5"/>
    <w:rsid w:val="00164958"/>
    <w:rsid w:val="001649A4"/>
    <w:rsid w:val="00164B49"/>
    <w:rsid w:val="00165D18"/>
    <w:rsid w:val="00165DFB"/>
    <w:rsid w:val="00167721"/>
    <w:rsid w:val="00170ACD"/>
    <w:rsid w:val="00170CBC"/>
    <w:rsid w:val="00171736"/>
    <w:rsid w:val="0017265C"/>
    <w:rsid w:val="00172B10"/>
    <w:rsid w:val="001737DD"/>
    <w:rsid w:val="0017418D"/>
    <w:rsid w:val="00174BD5"/>
    <w:rsid w:val="00174CBA"/>
    <w:rsid w:val="001758F2"/>
    <w:rsid w:val="0017595F"/>
    <w:rsid w:val="00175B67"/>
    <w:rsid w:val="00176E13"/>
    <w:rsid w:val="00177B65"/>
    <w:rsid w:val="001803F8"/>
    <w:rsid w:val="0018124A"/>
    <w:rsid w:val="001813C9"/>
    <w:rsid w:val="00181D4E"/>
    <w:rsid w:val="0018352F"/>
    <w:rsid w:val="00184360"/>
    <w:rsid w:val="0018444A"/>
    <w:rsid w:val="0018445E"/>
    <w:rsid w:val="00184AC0"/>
    <w:rsid w:val="00184DC6"/>
    <w:rsid w:val="00185DBC"/>
    <w:rsid w:val="00186983"/>
    <w:rsid w:val="00186BC7"/>
    <w:rsid w:val="001903D6"/>
    <w:rsid w:val="0019070F"/>
    <w:rsid w:val="001914B2"/>
    <w:rsid w:val="0019223A"/>
    <w:rsid w:val="00192B0C"/>
    <w:rsid w:val="00192C13"/>
    <w:rsid w:val="001933F0"/>
    <w:rsid w:val="00193784"/>
    <w:rsid w:val="00193A7A"/>
    <w:rsid w:val="00193DC7"/>
    <w:rsid w:val="0019503C"/>
    <w:rsid w:val="0019589D"/>
    <w:rsid w:val="001A0854"/>
    <w:rsid w:val="001A09FA"/>
    <w:rsid w:val="001A264C"/>
    <w:rsid w:val="001A281D"/>
    <w:rsid w:val="001A357B"/>
    <w:rsid w:val="001A3658"/>
    <w:rsid w:val="001A3A68"/>
    <w:rsid w:val="001A43C8"/>
    <w:rsid w:val="001A48C9"/>
    <w:rsid w:val="001A4A11"/>
    <w:rsid w:val="001A4A16"/>
    <w:rsid w:val="001A4FDA"/>
    <w:rsid w:val="001A5DFE"/>
    <w:rsid w:val="001A7088"/>
    <w:rsid w:val="001A72FA"/>
    <w:rsid w:val="001A7CF5"/>
    <w:rsid w:val="001A7DE9"/>
    <w:rsid w:val="001B06C0"/>
    <w:rsid w:val="001B06D3"/>
    <w:rsid w:val="001B2097"/>
    <w:rsid w:val="001B312D"/>
    <w:rsid w:val="001B32AF"/>
    <w:rsid w:val="001B332E"/>
    <w:rsid w:val="001B35A9"/>
    <w:rsid w:val="001B38EA"/>
    <w:rsid w:val="001B4D83"/>
    <w:rsid w:val="001B4FB4"/>
    <w:rsid w:val="001B5463"/>
    <w:rsid w:val="001B5DA9"/>
    <w:rsid w:val="001C068B"/>
    <w:rsid w:val="001C0EBB"/>
    <w:rsid w:val="001C1159"/>
    <w:rsid w:val="001C1BDD"/>
    <w:rsid w:val="001C35B1"/>
    <w:rsid w:val="001C3A8C"/>
    <w:rsid w:val="001C4224"/>
    <w:rsid w:val="001C4CCC"/>
    <w:rsid w:val="001C4CD5"/>
    <w:rsid w:val="001C539B"/>
    <w:rsid w:val="001C5ABE"/>
    <w:rsid w:val="001C7C0E"/>
    <w:rsid w:val="001D0257"/>
    <w:rsid w:val="001D342C"/>
    <w:rsid w:val="001D360D"/>
    <w:rsid w:val="001D39C1"/>
    <w:rsid w:val="001D41E7"/>
    <w:rsid w:val="001D435C"/>
    <w:rsid w:val="001D491F"/>
    <w:rsid w:val="001D6E37"/>
    <w:rsid w:val="001D6FCE"/>
    <w:rsid w:val="001D7873"/>
    <w:rsid w:val="001D7DCE"/>
    <w:rsid w:val="001E010B"/>
    <w:rsid w:val="001E065A"/>
    <w:rsid w:val="001E117C"/>
    <w:rsid w:val="001E1583"/>
    <w:rsid w:val="001E1A1C"/>
    <w:rsid w:val="001E1CA1"/>
    <w:rsid w:val="001E24BA"/>
    <w:rsid w:val="001E3840"/>
    <w:rsid w:val="001E3ED5"/>
    <w:rsid w:val="001E4469"/>
    <w:rsid w:val="001E48E4"/>
    <w:rsid w:val="001E4F64"/>
    <w:rsid w:val="001E5A0B"/>
    <w:rsid w:val="001E5F9A"/>
    <w:rsid w:val="001E6504"/>
    <w:rsid w:val="001E6CE5"/>
    <w:rsid w:val="001F012B"/>
    <w:rsid w:val="001F0F87"/>
    <w:rsid w:val="001F2182"/>
    <w:rsid w:val="001F288D"/>
    <w:rsid w:val="001F2983"/>
    <w:rsid w:val="001F3B17"/>
    <w:rsid w:val="001F3B68"/>
    <w:rsid w:val="001F426D"/>
    <w:rsid w:val="001F428F"/>
    <w:rsid w:val="001F43F4"/>
    <w:rsid w:val="001F5F1A"/>
    <w:rsid w:val="001F6BE7"/>
    <w:rsid w:val="001F7573"/>
    <w:rsid w:val="001F7A3F"/>
    <w:rsid w:val="00200292"/>
    <w:rsid w:val="002005F6"/>
    <w:rsid w:val="002005FD"/>
    <w:rsid w:val="0020078E"/>
    <w:rsid w:val="002008F4"/>
    <w:rsid w:val="00201098"/>
    <w:rsid w:val="002010FF"/>
    <w:rsid w:val="002011F9"/>
    <w:rsid w:val="0020231D"/>
    <w:rsid w:val="00204005"/>
    <w:rsid w:val="00204D37"/>
    <w:rsid w:val="00205306"/>
    <w:rsid w:val="00205E2A"/>
    <w:rsid w:val="0020601F"/>
    <w:rsid w:val="002074B9"/>
    <w:rsid w:val="00210090"/>
    <w:rsid w:val="00210BDE"/>
    <w:rsid w:val="00211179"/>
    <w:rsid w:val="00211287"/>
    <w:rsid w:val="00212FFC"/>
    <w:rsid w:val="0021324D"/>
    <w:rsid w:val="00213880"/>
    <w:rsid w:val="00214130"/>
    <w:rsid w:val="002147C8"/>
    <w:rsid w:val="00214E9A"/>
    <w:rsid w:val="002154C2"/>
    <w:rsid w:val="00215B72"/>
    <w:rsid w:val="00215EDC"/>
    <w:rsid w:val="00217E31"/>
    <w:rsid w:val="002200D9"/>
    <w:rsid w:val="002205A7"/>
    <w:rsid w:val="00220791"/>
    <w:rsid w:val="00220E58"/>
    <w:rsid w:val="00222F0A"/>
    <w:rsid w:val="0022390E"/>
    <w:rsid w:val="00224958"/>
    <w:rsid w:val="00224A28"/>
    <w:rsid w:val="00225964"/>
    <w:rsid w:val="00226092"/>
    <w:rsid w:val="0022682D"/>
    <w:rsid w:val="00226871"/>
    <w:rsid w:val="00227526"/>
    <w:rsid w:val="00227946"/>
    <w:rsid w:val="0023036B"/>
    <w:rsid w:val="00232225"/>
    <w:rsid w:val="00232EC6"/>
    <w:rsid w:val="0023324F"/>
    <w:rsid w:val="00233E96"/>
    <w:rsid w:val="002342F3"/>
    <w:rsid w:val="00234889"/>
    <w:rsid w:val="00235036"/>
    <w:rsid w:val="0023544B"/>
    <w:rsid w:val="00235B1B"/>
    <w:rsid w:val="00235C20"/>
    <w:rsid w:val="00236C3D"/>
    <w:rsid w:val="00237847"/>
    <w:rsid w:val="00237E61"/>
    <w:rsid w:val="002401F9"/>
    <w:rsid w:val="00240F54"/>
    <w:rsid w:val="002418BE"/>
    <w:rsid w:val="002419F4"/>
    <w:rsid w:val="002421A5"/>
    <w:rsid w:val="00242599"/>
    <w:rsid w:val="00242F8B"/>
    <w:rsid w:val="00244819"/>
    <w:rsid w:val="00244F05"/>
    <w:rsid w:val="002458E2"/>
    <w:rsid w:val="00245BCF"/>
    <w:rsid w:val="00245D9F"/>
    <w:rsid w:val="00246B3F"/>
    <w:rsid w:val="00246B4C"/>
    <w:rsid w:val="0024704A"/>
    <w:rsid w:val="00247073"/>
    <w:rsid w:val="00251F9E"/>
    <w:rsid w:val="00252190"/>
    <w:rsid w:val="00253711"/>
    <w:rsid w:val="00254782"/>
    <w:rsid w:val="00254997"/>
    <w:rsid w:val="002551D7"/>
    <w:rsid w:val="00255476"/>
    <w:rsid w:val="00255596"/>
    <w:rsid w:val="00256C08"/>
    <w:rsid w:val="00256CCE"/>
    <w:rsid w:val="002571E8"/>
    <w:rsid w:val="00257897"/>
    <w:rsid w:val="0025795C"/>
    <w:rsid w:val="00260458"/>
    <w:rsid w:val="00260759"/>
    <w:rsid w:val="002609CB"/>
    <w:rsid w:val="00261846"/>
    <w:rsid w:val="002627DE"/>
    <w:rsid w:val="00262ABB"/>
    <w:rsid w:val="00264785"/>
    <w:rsid w:val="00265F3D"/>
    <w:rsid w:val="00265FCF"/>
    <w:rsid w:val="00266E65"/>
    <w:rsid w:val="00266F82"/>
    <w:rsid w:val="00267206"/>
    <w:rsid w:val="0026789F"/>
    <w:rsid w:val="00267928"/>
    <w:rsid w:val="00267B2C"/>
    <w:rsid w:val="0027046F"/>
    <w:rsid w:val="0027063C"/>
    <w:rsid w:val="002707BC"/>
    <w:rsid w:val="00271198"/>
    <w:rsid w:val="00271AE3"/>
    <w:rsid w:val="002735B3"/>
    <w:rsid w:val="00273722"/>
    <w:rsid w:val="00273A3A"/>
    <w:rsid w:val="00273F42"/>
    <w:rsid w:val="002742E8"/>
    <w:rsid w:val="00274D01"/>
    <w:rsid w:val="00276709"/>
    <w:rsid w:val="00276F23"/>
    <w:rsid w:val="00277045"/>
    <w:rsid w:val="00277BAC"/>
    <w:rsid w:val="00280122"/>
    <w:rsid w:val="00280462"/>
    <w:rsid w:val="00280DAD"/>
    <w:rsid w:val="002822C7"/>
    <w:rsid w:val="0028616F"/>
    <w:rsid w:val="00287A8B"/>
    <w:rsid w:val="00290383"/>
    <w:rsid w:val="00291573"/>
    <w:rsid w:val="00293504"/>
    <w:rsid w:val="00293DF3"/>
    <w:rsid w:val="00294CB2"/>
    <w:rsid w:val="00295871"/>
    <w:rsid w:val="002967A9"/>
    <w:rsid w:val="00296823"/>
    <w:rsid w:val="00297F5A"/>
    <w:rsid w:val="002A0D2E"/>
    <w:rsid w:val="002A1040"/>
    <w:rsid w:val="002A19E9"/>
    <w:rsid w:val="002A2CB0"/>
    <w:rsid w:val="002A38AF"/>
    <w:rsid w:val="002A3E19"/>
    <w:rsid w:val="002A41F9"/>
    <w:rsid w:val="002A4E27"/>
    <w:rsid w:val="002A5FF9"/>
    <w:rsid w:val="002A6210"/>
    <w:rsid w:val="002A6678"/>
    <w:rsid w:val="002A692E"/>
    <w:rsid w:val="002A6DE0"/>
    <w:rsid w:val="002A73C2"/>
    <w:rsid w:val="002A74E1"/>
    <w:rsid w:val="002A7DF8"/>
    <w:rsid w:val="002B045D"/>
    <w:rsid w:val="002B09F4"/>
    <w:rsid w:val="002B3A47"/>
    <w:rsid w:val="002B4ED5"/>
    <w:rsid w:val="002B6353"/>
    <w:rsid w:val="002B6894"/>
    <w:rsid w:val="002B7D59"/>
    <w:rsid w:val="002C00C7"/>
    <w:rsid w:val="002C0CB3"/>
    <w:rsid w:val="002C130D"/>
    <w:rsid w:val="002C1832"/>
    <w:rsid w:val="002C1B81"/>
    <w:rsid w:val="002C1BC1"/>
    <w:rsid w:val="002C2AD4"/>
    <w:rsid w:val="002C6129"/>
    <w:rsid w:val="002C6277"/>
    <w:rsid w:val="002C70AA"/>
    <w:rsid w:val="002C7F7E"/>
    <w:rsid w:val="002D0318"/>
    <w:rsid w:val="002D2759"/>
    <w:rsid w:val="002D4BF9"/>
    <w:rsid w:val="002D542B"/>
    <w:rsid w:val="002D5AA7"/>
    <w:rsid w:val="002D5CE4"/>
    <w:rsid w:val="002D6107"/>
    <w:rsid w:val="002D6531"/>
    <w:rsid w:val="002D66BF"/>
    <w:rsid w:val="002D7500"/>
    <w:rsid w:val="002D7F22"/>
    <w:rsid w:val="002E0193"/>
    <w:rsid w:val="002E0E85"/>
    <w:rsid w:val="002E2567"/>
    <w:rsid w:val="002E257B"/>
    <w:rsid w:val="002E26A0"/>
    <w:rsid w:val="002E2872"/>
    <w:rsid w:val="002E2D82"/>
    <w:rsid w:val="002E38CA"/>
    <w:rsid w:val="002E3AB0"/>
    <w:rsid w:val="002E4263"/>
    <w:rsid w:val="002E4904"/>
    <w:rsid w:val="002E4907"/>
    <w:rsid w:val="002E50FF"/>
    <w:rsid w:val="002E5184"/>
    <w:rsid w:val="002E52A6"/>
    <w:rsid w:val="002E5386"/>
    <w:rsid w:val="002E5783"/>
    <w:rsid w:val="002E5F59"/>
    <w:rsid w:val="002E60FD"/>
    <w:rsid w:val="002E6532"/>
    <w:rsid w:val="002E6680"/>
    <w:rsid w:val="002E6C4C"/>
    <w:rsid w:val="002F0188"/>
    <w:rsid w:val="002F0B0B"/>
    <w:rsid w:val="002F0B42"/>
    <w:rsid w:val="002F0FD4"/>
    <w:rsid w:val="002F107C"/>
    <w:rsid w:val="002F121E"/>
    <w:rsid w:val="002F206B"/>
    <w:rsid w:val="002F326A"/>
    <w:rsid w:val="002F38B3"/>
    <w:rsid w:val="002F4897"/>
    <w:rsid w:val="002F59AA"/>
    <w:rsid w:val="002F661A"/>
    <w:rsid w:val="002F717E"/>
    <w:rsid w:val="002F7A1C"/>
    <w:rsid w:val="002F7AE3"/>
    <w:rsid w:val="003004C2"/>
    <w:rsid w:val="003008EC"/>
    <w:rsid w:val="003016AB"/>
    <w:rsid w:val="003028B8"/>
    <w:rsid w:val="0030322D"/>
    <w:rsid w:val="00303F10"/>
    <w:rsid w:val="0030445F"/>
    <w:rsid w:val="00304558"/>
    <w:rsid w:val="003053AE"/>
    <w:rsid w:val="00306116"/>
    <w:rsid w:val="0030618A"/>
    <w:rsid w:val="003063CB"/>
    <w:rsid w:val="0030641F"/>
    <w:rsid w:val="00307F3C"/>
    <w:rsid w:val="00310810"/>
    <w:rsid w:val="00310A28"/>
    <w:rsid w:val="00311099"/>
    <w:rsid w:val="0031283D"/>
    <w:rsid w:val="00312B44"/>
    <w:rsid w:val="003132F9"/>
    <w:rsid w:val="00314CCB"/>
    <w:rsid w:val="00316139"/>
    <w:rsid w:val="003162E0"/>
    <w:rsid w:val="00317DA0"/>
    <w:rsid w:val="003200D7"/>
    <w:rsid w:val="00320501"/>
    <w:rsid w:val="00321056"/>
    <w:rsid w:val="00321745"/>
    <w:rsid w:val="00322C67"/>
    <w:rsid w:val="003234F3"/>
    <w:rsid w:val="00324460"/>
    <w:rsid w:val="00325151"/>
    <w:rsid w:val="00325DF3"/>
    <w:rsid w:val="00326086"/>
    <w:rsid w:val="0032621C"/>
    <w:rsid w:val="003271AE"/>
    <w:rsid w:val="00327559"/>
    <w:rsid w:val="003275A6"/>
    <w:rsid w:val="003308CD"/>
    <w:rsid w:val="00330B77"/>
    <w:rsid w:val="00330D40"/>
    <w:rsid w:val="0033284E"/>
    <w:rsid w:val="00333959"/>
    <w:rsid w:val="003346E4"/>
    <w:rsid w:val="00334CEC"/>
    <w:rsid w:val="00335482"/>
    <w:rsid w:val="00335A82"/>
    <w:rsid w:val="00335E0D"/>
    <w:rsid w:val="00335EBC"/>
    <w:rsid w:val="00336652"/>
    <w:rsid w:val="00336A61"/>
    <w:rsid w:val="00336B6A"/>
    <w:rsid w:val="00336CCB"/>
    <w:rsid w:val="00337C7F"/>
    <w:rsid w:val="00340154"/>
    <w:rsid w:val="00340B7A"/>
    <w:rsid w:val="00341258"/>
    <w:rsid w:val="00341807"/>
    <w:rsid w:val="003429F0"/>
    <w:rsid w:val="00342E94"/>
    <w:rsid w:val="00343C2F"/>
    <w:rsid w:val="0034456D"/>
    <w:rsid w:val="00344710"/>
    <w:rsid w:val="00344CD3"/>
    <w:rsid w:val="0034507A"/>
    <w:rsid w:val="0034667A"/>
    <w:rsid w:val="00346999"/>
    <w:rsid w:val="00346D4E"/>
    <w:rsid w:val="00346E28"/>
    <w:rsid w:val="00346F6D"/>
    <w:rsid w:val="00350416"/>
    <w:rsid w:val="00350666"/>
    <w:rsid w:val="00350D67"/>
    <w:rsid w:val="003511C9"/>
    <w:rsid w:val="003511EB"/>
    <w:rsid w:val="00351709"/>
    <w:rsid w:val="003524C9"/>
    <w:rsid w:val="0035392E"/>
    <w:rsid w:val="00355255"/>
    <w:rsid w:val="00356071"/>
    <w:rsid w:val="00356086"/>
    <w:rsid w:val="00356F35"/>
    <w:rsid w:val="003570F1"/>
    <w:rsid w:val="003573F3"/>
    <w:rsid w:val="00361043"/>
    <w:rsid w:val="00361448"/>
    <w:rsid w:val="00362778"/>
    <w:rsid w:val="00362DBA"/>
    <w:rsid w:val="00362DEE"/>
    <w:rsid w:val="003630B0"/>
    <w:rsid w:val="003637EB"/>
    <w:rsid w:val="00363E65"/>
    <w:rsid w:val="0036430A"/>
    <w:rsid w:val="003649CA"/>
    <w:rsid w:val="00366226"/>
    <w:rsid w:val="00367E4F"/>
    <w:rsid w:val="00367EB0"/>
    <w:rsid w:val="003705CD"/>
    <w:rsid w:val="00370889"/>
    <w:rsid w:val="003711B3"/>
    <w:rsid w:val="003719EB"/>
    <w:rsid w:val="00371A39"/>
    <w:rsid w:val="00372936"/>
    <w:rsid w:val="00372DE1"/>
    <w:rsid w:val="00373929"/>
    <w:rsid w:val="003747B6"/>
    <w:rsid w:val="00374AB1"/>
    <w:rsid w:val="003752A0"/>
    <w:rsid w:val="00375946"/>
    <w:rsid w:val="00375BE9"/>
    <w:rsid w:val="00375EF5"/>
    <w:rsid w:val="00376527"/>
    <w:rsid w:val="0037789D"/>
    <w:rsid w:val="00377F72"/>
    <w:rsid w:val="0038166F"/>
    <w:rsid w:val="00381CFE"/>
    <w:rsid w:val="003822DC"/>
    <w:rsid w:val="00382335"/>
    <w:rsid w:val="0038256D"/>
    <w:rsid w:val="00382A20"/>
    <w:rsid w:val="00382E94"/>
    <w:rsid w:val="003835AE"/>
    <w:rsid w:val="00384379"/>
    <w:rsid w:val="003848CA"/>
    <w:rsid w:val="00385F6F"/>
    <w:rsid w:val="003860D6"/>
    <w:rsid w:val="00386725"/>
    <w:rsid w:val="00387A47"/>
    <w:rsid w:val="00390680"/>
    <w:rsid w:val="00390969"/>
    <w:rsid w:val="00390EAC"/>
    <w:rsid w:val="00391521"/>
    <w:rsid w:val="00391960"/>
    <w:rsid w:val="00391969"/>
    <w:rsid w:val="00392031"/>
    <w:rsid w:val="0039222F"/>
    <w:rsid w:val="003937A3"/>
    <w:rsid w:val="003938EF"/>
    <w:rsid w:val="00393E13"/>
    <w:rsid w:val="00394353"/>
    <w:rsid w:val="003945E2"/>
    <w:rsid w:val="00394679"/>
    <w:rsid w:val="00395ADD"/>
    <w:rsid w:val="00395D99"/>
    <w:rsid w:val="00396CDC"/>
    <w:rsid w:val="003971C8"/>
    <w:rsid w:val="00397647"/>
    <w:rsid w:val="003A0177"/>
    <w:rsid w:val="003A1836"/>
    <w:rsid w:val="003A33EB"/>
    <w:rsid w:val="003A4766"/>
    <w:rsid w:val="003A501B"/>
    <w:rsid w:val="003A72A6"/>
    <w:rsid w:val="003A73A1"/>
    <w:rsid w:val="003A7A02"/>
    <w:rsid w:val="003B0B9A"/>
    <w:rsid w:val="003B12D7"/>
    <w:rsid w:val="003B17E4"/>
    <w:rsid w:val="003B217A"/>
    <w:rsid w:val="003B2BBC"/>
    <w:rsid w:val="003B2F34"/>
    <w:rsid w:val="003B41EB"/>
    <w:rsid w:val="003B4DF1"/>
    <w:rsid w:val="003B6927"/>
    <w:rsid w:val="003B6CFA"/>
    <w:rsid w:val="003B75DA"/>
    <w:rsid w:val="003B7BFC"/>
    <w:rsid w:val="003C0198"/>
    <w:rsid w:val="003C05E9"/>
    <w:rsid w:val="003C18A5"/>
    <w:rsid w:val="003C1C4A"/>
    <w:rsid w:val="003C1E88"/>
    <w:rsid w:val="003C2B96"/>
    <w:rsid w:val="003C31B4"/>
    <w:rsid w:val="003C3E1B"/>
    <w:rsid w:val="003C46EB"/>
    <w:rsid w:val="003C54C6"/>
    <w:rsid w:val="003C6AD6"/>
    <w:rsid w:val="003C6B4A"/>
    <w:rsid w:val="003C753A"/>
    <w:rsid w:val="003C76C9"/>
    <w:rsid w:val="003C794D"/>
    <w:rsid w:val="003D026B"/>
    <w:rsid w:val="003D02EA"/>
    <w:rsid w:val="003D0525"/>
    <w:rsid w:val="003D0638"/>
    <w:rsid w:val="003D1330"/>
    <w:rsid w:val="003D13BD"/>
    <w:rsid w:val="003D1894"/>
    <w:rsid w:val="003D1CA1"/>
    <w:rsid w:val="003D2476"/>
    <w:rsid w:val="003D36A7"/>
    <w:rsid w:val="003D3868"/>
    <w:rsid w:val="003D4812"/>
    <w:rsid w:val="003D4AAC"/>
    <w:rsid w:val="003D4AC0"/>
    <w:rsid w:val="003D4D91"/>
    <w:rsid w:val="003D5518"/>
    <w:rsid w:val="003D6738"/>
    <w:rsid w:val="003D6CF2"/>
    <w:rsid w:val="003D73C8"/>
    <w:rsid w:val="003D76B1"/>
    <w:rsid w:val="003D7774"/>
    <w:rsid w:val="003D7AD5"/>
    <w:rsid w:val="003D7B3B"/>
    <w:rsid w:val="003E3A50"/>
    <w:rsid w:val="003E3B09"/>
    <w:rsid w:val="003E40B4"/>
    <w:rsid w:val="003E4170"/>
    <w:rsid w:val="003E51E2"/>
    <w:rsid w:val="003E6A8B"/>
    <w:rsid w:val="003E700A"/>
    <w:rsid w:val="003E715A"/>
    <w:rsid w:val="003F00CA"/>
    <w:rsid w:val="003F0E17"/>
    <w:rsid w:val="003F1E76"/>
    <w:rsid w:val="003F24CE"/>
    <w:rsid w:val="003F3EF1"/>
    <w:rsid w:val="003F41AB"/>
    <w:rsid w:val="003F51C5"/>
    <w:rsid w:val="003F5E85"/>
    <w:rsid w:val="003F6783"/>
    <w:rsid w:val="003F6AEC"/>
    <w:rsid w:val="003F6C51"/>
    <w:rsid w:val="003F7C2B"/>
    <w:rsid w:val="004003B9"/>
    <w:rsid w:val="00400CCB"/>
    <w:rsid w:val="00400E38"/>
    <w:rsid w:val="00401204"/>
    <w:rsid w:val="00402074"/>
    <w:rsid w:val="00402C1C"/>
    <w:rsid w:val="00403521"/>
    <w:rsid w:val="00403C20"/>
    <w:rsid w:val="0040404A"/>
    <w:rsid w:val="0040498C"/>
    <w:rsid w:val="00404B5C"/>
    <w:rsid w:val="00404F97"/>
    <w:rsid w:val="004053AC"/>
    <w:rsid w:val="004056FF"/>
    <w:rsid w:val="004066DC"/>
    <w:rsid w:val="0040684F"/>
    <w:rsid w:val="004069CA"/>
    <w:rsid w:val="00407633"/>
    <w:rsid w:val="00410147"/>
    <w:rsid w:val="004106C9"/>
    <w:rsid w:val="00410E5D"/>
    <w:rsid w:val="00411BE6"/>
    <w:rsid w:val="0041215F"/>
    <w:rsid w:val="00412310"/>
    <w:rsid w:val="0041249C"/>
    <w:rsid w:val="004129AF"/>
    <w:rsid w:val="00413CE6"/>
    <w:rsid w:val="004144EA"/>
    <w:rsid w:val="00414F51"/>
    <w:rsid w:val="00415862"/>
    <w:rsid w:val="00416927"/>
    <w:rsid w:val="004209D7"/>
    <w:rsid w:val="00420F4C"/>
    <w:rsid w:val="00421586"/>
    <w:rsid w:val="00422996"/>
    <w:rsid w:val="00423E76"/>
    <w:rsid w:val="00424FBB"/>
    <w:rsid w:val="00426E1E"/>
    <w:rsid w:val="0042721F"/>
    <w:rsid w:val="00427D00"/>
    <w:rsid w:val="004303C4"/>
    <w:rsid w:val="00430686"/>
    <w:rsid w:val="00430B63"/>
    <w:rsid w:val="00430F39"/>
    <w:rsid w:val="0043149C"/>
    <w:rsid w:val="00431565"/>
    <w:rsid w:val="00431886"/>
    <w:rsid w:val="004344FA"/>
    <w:rsid w:val="004345B8"/>
    <w:rsid w:val="00434634"/>
    <w:rsid w:val="00435844"/>
    <w:rsid w:val="00435BBC"/>
    <w:rsid w:val="00436621"/>
    <w:rsid w:val="0043696D"/>
    <w:rsid w:val="00436F2F"/>
    <w:rsid w:val="004377FB"/>
    <w:rsid w:val="00437D67"/>
    <w:rsid w:val="00442D41"/>
    <w:rsid w:val="0044301B"/>
    <w:rsid w:val="004431D0"/>
    <w:rsid w:val="00443259"/>
    <w:rsid w:val="004437E7"/>
    <w:rsid w:val="004454F2"/>
    <w:rsid w:val="00445569"/>
    <w:rsid w:val="00445CA6"/>
    <w:rsid w:val="00446288"/>
    <w:rsid w:val="0044674E"/>
    <w:rsid w:val="00446A29"/>
    <w:rsid w:val="00447854"/>
    <w:rsid w:val="00447A79"/>
    <w:rsid w:val="00450F35"/>
    <w:rsid w:val="00451299"/>
    <w:rsid w:val="00451EC5"/>
    <w:rsid w:val="004528B4"/>
    <w:rsid w:val="00452917"/>
    <w:rsid w:val="00452BA5"/>
    <w:rsid w:val="00453265"/>
    <w:rsid w:val="004539E7"/>
    <w:rsid w:val="00453A34"/>
    <w:rsid w:val="00454401"/>
    <w:rsid w:val="00454C39"/>
    <w:rsid w:val="00454E2A"/>
    <w:rsid w:val="00454FB3"/>
    <w:rsid w:val="0045507E"/>
    <w:rsid w:val="00455209"/>
    <w:rsid w:val="00455D6B"/>
    <w:rsid w:val="00457530"/>
    <w:rsid w:val="00460005"/>
    <w:rsid w:val="0046051E"/>
    <w:rsid w:val="00460FFD"/>
    <w:rsid w:val="00461CF3"/>
    <w:rsid w:val="00461D0D"/>
    <w:rsid w:val="00461E31"/>
    <w:rsid w:val="00462260"/>
    <w:rsid w:val="004628E8"/>
    <w:rsid w:val="004655D1"/>
    <w:rsid w:val="00465EC5"/>
    <w:rsid w:val="00465F14"/>
    <w:rsid w:val="004662DA"/>
    <w:rsid w:val="00466F28"/>
    <w:rsid w:val="00467115"/>
    <w:rsid w:val="00467383"/>
    <w:rsid w:val="0047003F"/>
    <w:rsid w:val="00470AAD"/>
    <w:rsid w:val="00473821"/>
    <w:rsid w:val="0047528B"/>
    <w:rsid w:val="00475AB3"/>
    <w:rsid w:val="0047662B"/>
    <w:rsid w:val="004806D6"/>
    <w:rsid w:val="004812B1"/>
    <w:rsid w:val="0048187E"/>
    <w:rsid w:val="0048298D"/>
    <w:rsid w:val="00482CEF"/>
    <w:rsid w:val="00483791"/>
    <w:rsid w:val="00483AD5"/>
    <w:rsid w:val="00484305"/>
    <w:rsid w:val="0048433B"/>
    <w:rsid w:val="00484A22"/>
    <w:rsid w:val="00486130"/>
    <w:rsid w:val="00486CF9"/>
    <w:rsid w:val="00487327"/>
    <w:rsid w:val="00487BD9"/>
    <w:rsid w:val="00490AF9"/>
    <w:rsid w:val="00490E1F"/>
    <w:rsid w:val="004929E9"/>
    <w:rsid w:val="00492A81"/>
    <w:rsid w:val="00492C1B"/>
    <w:rsid w:val="00493199"/>
    <w:rsid w:val="00493B38"/>
    <w:rsid w:val="00493C92"/>
    <w:rsid w:val="00495C95"/>
    <w:rsid w:val="004967E1"/>
    <w:rsid w:val="00497EB7"/>
    <w:rsid w:val="004A057E"/>
    <w:rsid w:val="004A11D8"/>
    <w:rsid w:val="004A2820"/>
    <w:rsid w:val="004A2F39"/>
    <w:rsid w:val="004A2F61"/>
    <w:rsid w:val="004A31C6"/>
    <w:rsid w:val="004A3666"/>
    <w:rsid w:val="004A39B3"/>
    <w:rsid w:val="004A4FF6"/>
    <w:rsid w:val="004A5816"/>
    <w:rsid w:val="004A5B3B"/>
    <w:rsid w:val="004A5D38"/>
    <w:rsid w:val="004A6152"/>
    <w:rsid w:val="004A678B"/>
    <w:rsid w:val="004A6CA1"/>
    <w:rsid w:val="004A77B5"/>
    <w:rsid w:val="004A7E57"/>
    <w:rsid w:val="004B0CD7"/>
    <w:rsid w:val="004B0D5C"/>
    <w:rsid w:val="004B1004"/>
    <w:rsid w:val="004B1109"/>
    <w:rsid w:val="004B2E41"/>
    <w:rsid w:val="004B32A5"/>
    <w:rsid w:val="004B3372"/>
    <w:rsid w:val="004B485B"/>
    <w:rsid w:val="004B4C38"/>
    <w:rsid w:val="004B5647"/>
    <w:rsid w:val="004B5D42"/>
    <w:rsid w:val="004B5DBA"/>
    <w:rsid w:val="004B5DCA"/>
    <w:rsid w:val="004B60E6"/>
    <w:rsid w:val="004B6400"/>
    <w:rsid w:val="004B641B"/>
    <w:rsid w:val="004B6625"/>
    <w:rsid w:val="004B6F31"/>
    <w:rsid w:val="004B701E"/>
    <w:rsid w:val="004B7235"/>
    <w:rsid w:val="004C0104"/>
    <w:rsid w:val="004C1755"/>
    <w:rsid w:val="004C260F"/>
    <w:rsid w:val="004C2A5F"/>
    <w:rsid w:val="004C2B82"/>
    <w:rsid w:val="004C460D"/>
    <w:rsid w:val="004C4F95"/>
    <w:rsid w:val="004C6434"/>
    <w:rsid w:val="004C652F"/>
    <w:rsid w:val="004C7D49"/>
    <w:rsid w:val="004C7D91"/>
    <w:rsid w:val="004D010A"/>
    <w:rsid w:val="004D028B"/>
    <w:rsid w:val="004D0730"/>
    <w:rsid w:val="004D233E"/>
    <w:rsid w:val="004D2DFC"/>
    <w:rsid w:val="004D32E8"/>
    <w:rsid w:val="004D3E0D"/>
    <w:rsid w:val="004D4A49"/>
    <w:rsid w:val="004D51CD"/>
    <w:rsid w:val="004D64B7"/>
    <w:rsid w:val="004E09A6"/>
    <w:rsid w:val="004E0ACE"/>
    <w:rsid w:val="004E266B"/>
    <w:rsid w:val="004E2B35"/>
    <w:rsid w:val="004E330F"/>
    <w:rsid w:val="004E40C5"/>
    <w:rsid w:val="004E4E54"/>
    <w:rsid w:val="004E63C7"/>
    <w:rsid w:val="004E6737"/>
    <w:rsid w:val="004E6CB4"/>
    <w:rsid w:val="004E6D6D"/>
    <w:rsid w:val="004E6EDF"/>
    <w:rsid w:val="004E72F4"/>
    <w:rsid w:val="004E7DD5"/>
    <w:rsid w:val="004E7FEE"/>
    <w:rsid w:val="004F0EDD"/>
    <w:rsid w:val="004F179E"/>
    <w:rsid w:val="004F261F"/>
    <w:rsid w:val="004F3C45"/>
    <w:rsid w:val="004F4190"/>
    <w:rsid w:val="004F6164"/>
    <w:rsid w:val="004F61B9"/>
    <w:rsid w:val="004F6C49"/>
    <w:rsid w:val="004F6CC7"/>
    <w:rsid w:val="004F7808"/>
    <w:rsid w:val="004F785F"/>
    <w:rsid w:val="004F7A81"/>
    <w:rsid w:val="005007A3"/>
    <w:rsid w:val="00501048"/>
    <w:rsid w:val="00501288"/>
    <w:rsid w:val="005012D6"/>
    <w:rsid w:val="00502184"/>
    <w:rsid w:val="005021BF"/>
    <w:rsid w:val="0050228C"/>
    <w:rsid w:val="00503721"/>
    <w:rsid w:val="00504D9D"/>
    <w:rsid w:val="00505452"/>
    <w:rsid w:val="00507C5B"/>
    <w:rsid w:val="00507DA2"/>
    <w:rsid w:val="005107B5"/>
    <w:rsid w:val="005112FB"/>
    <w:rsid w:val="00512D1B"/>
    <w:rsid w:val="0051341F"/>
    <w:rsid w:val="0051371C"/>
    <w:rsid w:val="0051479A"/>
    <w:rsid w:val="00514985"/>
    <w:rsid w:val="005151D7"/>
    <w:rsid w:val="005156AF"/>
    <w:rsid w:val="00516151"/>
    <w:rsid w:val="005169AD"/>
    <w:rsid w:val="00517175"/>
    <w:rsid w:val="00517649"/>
    <w:rsid w:val="005202AA"/>
    <w:rsid w:val="0052046A"/>
    <w:rsid w:val="005217A3"/>
    <w:rsid w:val="00521BA2"/>
    <w:rsid w:val="00521FE8"/>
    <w:rsid w:val="00522698"/>
    <w:rsid w:val="00523674"/>
    <w:rsid w:val="00523B02"/>
    <w:rsid w:val="00523D62"/>
    <w:rsid w:val="00524BC5"/>
    <w:rsid w:val="005253E1"/>
    <w:rsid w:val="00525613"/>
    <w:rsid w:val="0053026B"/>
    <w:rsid w:val="00531791"/>
    <w:rsid w:val="00533023"/>
    <w:rsid w:val="005330B9"/>
    <w:rsid w:val="00533E0F"/>
    <w:rsid w:val="005355FE"/>
    <w:rsid w:val="005356B5"/>
    <w:rsid w:val="00535D74"/>
    <w:rsid w:val="00535F58"/>
    <w:rsid w:val="005368F7"/>
    <w:rsid w:val="00536C3C"/>
    <w:rsid w:val="005371CC"/>
    <w:rsid w:val="005376D5"/>
    <w:rsid w:val="005409B5"/>
    <w:rsid w:val="0054367E"/>
    <w:rsid w:val="00543FA4"/>
    <w:rsid w:val="00544768"/>
    <w:rsid w:val="00544FCA"/>
    <w:rsid w:val="005459A8"/>
    <w:rsid w:val="00545E77"/>
    <w:rsid w:val="005460FA"/>
    <w:rsid w:val="00546D91"/>
    <w:rsid w:val="00546FEE"/>
    <w:rsid w:val="0054799C"/>
    <w:rsid w:val="00547E40"/>
    <w:rsid w:val="005505B9"/>
    <w:rsid w:val="00550CF7"/>
    <w:rsid w:val="00550DD5"/>
    <w:rsid w:val="00551C08"/>
    <w:rsid w:val="00552733"/>
    <w:rsid w:val="005535F1"/>
    <w:rsid w:val="00553651"/>
    <w:rsid w:val="00554197"/>
    <w:rsid w:val="005541E4"/>
    <w:rsid w:val="00554B91"/>
    <w:rsid w:val="005550D0"/>
    <w:rsid w:val="00555183"/>
    <w:rsid w:val="00555381"/>
    <w:rsid w:val="005566B0"/>
    <w:rsid w:val="00556AF5"/>
    <w:rsid w:val="00556D25"/>
    <w:rsid w:val="005571FF"/>
    <w:rsid w:val="00560641"/>
    <w:rsid w:val="0056095C"/>
    <w:rsid w:val="00560F65"/>
    <w:rsid w:val="0056216C"/>
    <w:rsid w:val="0056240A"/>
    <w:rsid w:val="00562868"/>
    <w:rsid w:val="005628AD"/>
    <w:rsid w:val="00564205"/>
    <w:rsid w:val="005647BC"/>
    <w:rsid w:val="005649A4"/>
    <w:rsid w:val="00565393"/>
    <w:rsid w:val="005658E2"/>
    <w:rsid w:val="005659CC"/>
    <w:rsid w:val="00566D2A"/>
    <w:rsid w:val="00566F14"/>
    <w:rsid w:val="005671C8"/>
    <w:rsid w:val="0056738E"/>
    <w:rsid w:val="005674F3"/>
    <w:rsid w:val="005703AA"/>
    <w:rsid w:val="005715AF"/>
    <w:rsid w:val="00571677"/>
    <w:rsid w:val="005724E9"/>
    <w:rsid w:val="00572B35"/>
    <w:rsid w:val="005734A8"/>
    <w:rsid w:val="005739AA"/>
    <w:rsid w:val="00573A7D"/>
    <w:rsid w:val="00574D4A"/>
    <w:rsid w:val="00574F6B"/>
    <w:rsid w:val="005804CE"/>
    <w:rsid w:val="00580616"/>
    <w:rsid w:val="00580BC9"/>
    <w:rsid w:val="00580C2A"/>
    <w:rsid w:val="005812F3"/>
    <w:rsid w:val="00581657"/>
    <w:rsid w:val="0058167B"/>
    <w:rsid w:val="0058169D"/>
    <w:rsid w:val="00582DA6"/>
    <w:rsid w:val="005831E8"/>
    <w:rsid w:val="005831F5"/>
    <w:rsid w:val="005852DD"/>
    <w:rsid w:val="00587451"/>
    <w:rsid w:val="0059040F"/>
    <w:rsid w:val="005907B4"/>
    <w:rsid w:val="00590EF7"/>
    <w:rsid w:val="00590F92"/>
    <w:rsid w:val="0059201D"/>
    <w:rsid w:val="00592095"/>
    <w:rsid w:val="00592922"/>
    <w:rsid w:val="0059313B"/>
    <w:rsid w:val="0059347D"/>
    <w:rsid w:val="00593886"/>
    <w:rsid w:val="00593BEB"/>
    <w:rsid w:val="00593EFA"/>
    <w:rsid w:val="005941C2"/>
    <w:rsid w:val="005943B5"/>
    <w:rsid w:val="0059445E"/>
    <w:rsid w:val="00595873"/>
    <w:rsid w:val="00595F3B"/>
    <w:rsid w:val="005960D2"/>
    <w:rsid w:val="00596D61"/>
    <w:rsid w:val="00597F76"/>
    <w:rsid w:val="005A12A2"/>
    <w:rsid w:val="005A2AF1"/>
    <w:rsid w:val="005A37AB"/>
    <w:rsid w:val="005A58B6"/>
    <w:rsid w:val="005A5D6F"/>
    <w:rsid w:val="005A6AE3"/>
    <w:rsid w:val="005A6AEA"/>
    <w:rsid w:val="005A6C6F"/>
    <w:rsid w:val="005A731C"/>
    <w:rsid w:val="005A7BAD"/>
    <w:rsid w:val="005B0A2D"/>
    <w:rsid w:val="005B0DE9"/>
    <w:rsid w:val="005B137C"/>
    <w:rsid w:val="005B2879"/>
    <w:rsid w:val="005B2CD3"/>
    <w:rsid w:val="005B2F2B"/>
    <w:rsid w:val="005B346C"/>
    <w:rsid w:val="005B3D76"/>
    <w:rsid w:val="005B447E"/>
    <w:rsid w:val="005B4758"/>
    <w:rsid w:val="005B5790"/>
    <w:rsid w:val="005B5FDF"/>
    <w:rsid w:val="005B65C6"/>
    <w:rsid w:val="005B7383"/>
    <w:rsid w:val="005B779A"/>
    <w:rsid w:val="005B7B5C"/>
    <w:rsid w:val="005C0029"/>
    <w:rsid w:val="005C00B9"/>
    <w:rsid w:val="005C0145"/>
    <w:rsid w:val="005C0147"/>
    <w:rsid w:val="005C0BE9"/>
    <w:rsid w:val="005C13F8"/>
    <w:rsid w:val="005C1775"/>
    <w:rsid w:val="005C1A28"/>
    <w:rsid w:val="005C2119"/>
    <w:rsid w:val="005C32D8"/>
    <w:rsid w:val="005C3423"/>
    <w:rsid w:val="005C36A4"/>
    <w:rsid w:val="005C37AF"/>
    <w:rsid w:val="005C4CC5"/>
    <w:rsid w:val="005C6675"/>
    <w:rsid w:val="005C7CBA"/>
    <w:rsid w:val="005D056D"/>
    <w:rsid w:val="005D0882"/>
    <w:rsid w:val="005D13B8"/>
    <w:rsid w:val="005D1C9E"/>
    <w:rsid w:val="005D200C"/>
    <w:rsid w:val="005D26EA"/>
    <w:rsid w:val="005D28D1"/>
    <w:rsid w:val="005D29F4"/>
    <w:rsid w:val="005D2AB0"/>
    <w:rsid w:val="005D5616"/>
    <w:rsid w:val="005D5755"/>
    <w:rsid w:val="005D6174"/>
    <w:rsid w:val="005D7BFE"/>
    <w:rsid w:val="005D7C57"/>
    <w:rsid w:val="005E1A85"/>
    <w:rsid w:val="005E1B0F"/>
    <w:rsid w:val="005E3104"/>
    <w:rsid w:val="005E4676"/>
    <w:rsid w:val="005E55E2"/>
    <w:rsid w:val="005E5E53"/>
    <w:rsid w:val="005E5E82"/>
    <w:rsid w:val="005E5F2D"/>
    <w:rsid w:val="005E778B"/>
    <w:rsid w:val="005E7DEB"/>
    <w:rsid w:val="005F142A"/>
    <w:rsid w:val="005F2315"/>
    <w:rsid w:val="005F2FDD"/>
    <w:rsid w:val="005F3194"/>
    <w:rsid w:val="005F323E"/>
    <w:rsid w:val="005F33CE"/>
    <w:rsid w:val="005F3919"/>
    <w:rsid w:val="005F3CCC"/>
    <w:rsid w:val="005F4911"/>
    <w:rsid w:val="005F4B5C"/>
    <w:rsid w:val="005F4E29"/>
    <w:rsid w:val="005F4F6F"/>
    <w:rsid w:val="005F50FC"/>
    <w:rsid w:val="005F521E"/>
    <w:rsid w:val="005F538E"/>
    <w:rsid w:val="005F5D07"/>
    <w:rsid w:val="005F5F2B"/>
    <w:rsid w:val="005F6962"/>
    <w:rsid w:val="005F69CE"/>
    <w:rsid w:val="005F6BC3"/>
    <w:rsid w:val="005F6F0E"/>
    <w:rsid w:val="005F7D5B"/>
    <w:rsid w:val="005F7E23"/>
    <w:rsid w:val="00600549"/>
    <w:rsid w:val="006005EE"/>
    <w:rsid w:val="00600AF7"/>
    <w:rsid w:val="00600CFF"/>
    <w:rsid w:val="006014AE"/>
    <w:rsid w:val="00601BAD"/>
    <w:rsid w:val="00601D72"/>
    <w:rsid w:val="00603C42"/>
    <w:rsid w:val="00603DC0"/>
    <w:rsid w:val="00603FCB"/>
    <w:rsid w:val="00604CC4"/>
    <w:rsid w:val="0060506C"/>
    <w:rsid w:val="00605433"/>
    <w:rsid w:val="00605531"/>
    <w:rsid w:val="0060629E"/>
    <w:rsid w:val="006063D5"/>
    <w:rsid w:val="006100B6"/>
    <w:rsid w:val="00610405"/>
    <w:rsid w:val="006109BA"/>
    <w:rsid w:val="00610AC8"/>
    <w:rsid w:val="00610BE7"/>
    <w:rsid w:val="00611230"/>
    <w:rsid w:val="006131A0"/>
    <w:rsid w:val="0061330E"/>
    <w:rsid w:val="0061373E"/>
    <w:rsid w:val="00613AE5"/>
    <w:rsid w:val="00615784"/>
    <w:rsid w:val="00616205"/>
    <w:rsid w:val="00616CDA"/>
    <w:rsid w:val="00617297"/>
    <w:rsid w:val="00617362"/>
    <w:rsid w:val="00617478"/>
    <w:rsid w:val="00617571"/>
    <w:rsid w:val="00617A4A"/>
    <w:rsid w:val="00617CE1"/>
    <w:rsid w:val="00620CF5"/>
    <w:rsid w:val="006214D8"/>
    <w:rsid w:val="0062191B"/>
    <w:rsid w:val="00622043"/>
    <w:rsid w:val="00622E7B"/>
    <w:rsid w:val="006232E5"/>
    <w:rsid w:val="00623636"/>
    <w:rsid w:val="00623AEF"/>
    <w:rsid w:val="0062447A"/>
    <w:rsid w:val="00625031"/>
    <w:rsid w:val="00625AFF"/>
    <w:rsid w:val="00625CF3"/>
    <w:rsid w:val="0062696A"/>
    <w:rsid w:val="00627D31"/>
    <w:rsid w:val="00630513"/>
    <w:rsid w:val="00631A2F"/>
    <w:rsid w:val="00631A6D"/>
    <w:rsid w:val="006322E1"/>
    <w:rsid w:val="0063274E"/>
    <w:rsid w:val="0063281A"/>
    <w:rsid w:val="00632E59"/>
    <w:rsid w:val="00634EB5"/>
    <w:rsid w:val="006351F2"/>
    <w:rsid w:val="0063584F"/>
    <w:rsid w:val="006358A4"/>
    <w:rsid w:val="00636012"/>
    <w:rsid w:val="00636E28"/>
    <w:rsid w:val="0063732F"/>
    <w:rsid w:val="00637487"/>
    <w:rsid w:val="00637E1B"/>
    <w:rsid w:val="0064005D"/>
    <w:rsid w:val="00640777"/>
    <w:rsid w:val="00640B5C"/>
    <w:rsid w:val="00641CB9"/>
    <w:rsid w:val="00641EE4"/>
    <w:rsid w:val="006424AB"/>
    <w:rsid w:val="006425A1"/>
    <w:rsid w:val="006425E0"/>
    <w:rsid w:val="006425F0"/>
    <w:rsid w:val="00642B50"/>
    <w:rsid w:val="0064418B"/>
    <w:rsid w:val="006441FA"/>
    <w:rsid w:val="00645FF6"/>
    <w:rsid w:val="00647371"/>
    <w:rsid w:val="006473FF"/>
    <w:rsid w:val="006478C2"/>
    <w:rsid w:val="00647AAB"/>
    <w:rsid w:val="00650C17"/>
    <w:rsid w:val="006519B9"/>
    <w:rsid w:val="00652DD6"/>
    <w:rsid w:val="00655359"/>
    <w:rsid w:val="00656443"/>
    <w:rsid w:val="00657299"/>
    <w:rsid w:val="006606D5"/>
    <w:rsid w:val="0066247D"/>
    <w:rsid w:val="006624B1"/>
    <w:rsid w:val="00662CE3"/>
    <w:rsid w:val="00663006"/>
    <w:rsid w:val="0066377D"/>
    <w:rsid w:val="00663EF8"/>
    <w:rsid w:val="0066429B"/>
    <w:rsid w:val="0066466B"/>
    <w:rsid w:val="006646D9"/>
    <w:rsid w:val="006647B9"/>
    <w:rsid w:val="006648FB"/>
    <w:rsid w:val="00664DFB"/>
    <w:rsid w:val="00664F4E"/>
    <w:rsid w:val="00666645"/>
    <w:rsid w:val="00670DF1"/>
    <w:rsid w:val="006719C1"/>
    <w:rsid w:val="00671FA8"/>
    <w:rsid w:val="00672297"/>
    <w:rsid w:val="00672BF6"/>
    <w:rsid w:val="00672D39"/>
    <w:rsid w:val="006738B4"/>
    <w:rsid w:val="0067593C"/>
    <w:rsid w:val="00675A2D"/>
    <w:rsid w:val="00675EA7"/>
    <w:rsid w:val="00676302"/>
    <w:rsid w:val="00676B18"/>
    <w:rsid w:val="00680762"/>
    <w:rsid w:val="00683AB8"/>
    <w:rsid w:val="006844CD"/>
    <w:rsid w:val="00685036"/>
    <w:rsid w:val="006855DD"/>
    <w:rsid w:val="00685ED7"/>
    <w:rsid w:val="00686BF7"/>
    <w:rsid w:val="0068763E"/>
    <w:rsid w:val="006907E0"/>
    <w:rsid w:val="00690C57"/>
    <w:rsid w:val="006913B0"/>
    <w:rsid w:val="0069151D"/>
    <w:rsid w:val="006915E2"/>
    <w:rsid w:val="006915EA"/>
    <w:rsid w:val="006918FC"/>
    <w:rsid w:val="00691D1E"/>
    <w:rsid w:val="00691FE8"/>
    <w:rsid w:val="006922C2"/>
    <w:rsid w:val="00692B36"/>
    <w:rsid w:val="00694E36"/>
    <w:rsid w:val="00694FEF"/>
    <w:rsid w:val="00695659"/>
    <w:rsid w:val="006961A6"/>
    <w:rsid w:val="0069718B"/>
    <w:rsid w:val="006977F9"/>
    <w:rsid w:val="006A0171"/>
    <w:rsid w:val="006A01C3"/>
    <w:rsid w:val="006A0AF0"/>
    <w:rsid w:val="006A0CBB"/>
    <w:rsid w:val="006A155D"/>
    <w:rsid w:val="006A1874"/>
    <w:rsid w:val="006A1C02"/>
    <w:rsid w:val="006A1DF6"/>
    <w:rsid w:val="006A20E6"/>
    <w:rsid w:val="006A2C01"/>
    <w:rsid w:val="006A2C98"/>
    <w:rsid w:val="006A3846"/>
    <w:rsid w:val="006A38D1"/>
    <w:rsid w:val="006A4239"/>
    <w:rsid w:val="006A4E94"/>
    <w:rsid w:val="006A5F53"/>
    <w:rsid w:val="006A631F"/>
    <w:rsid w:val="006A7148"/>
    <w:rsid w:val="006A774A"/>
    <w:rsid w:val="006A7D86"/>
    <w:rsid w:val="006B0102"/>
    <w:rsid w:val="006B1012"/>
    <w:rsid w:val="006B17BF"/>
    <w:rsid w:val="006B3FEB"/>
    <w:rsid w:val="006B545B"/>
    <w:rsid w:val="006B54F3"/>
    <w:rsid w:val="006B57A5"/>
    <w:rsid w:val="006B5896"/>
    <w:rsid w:val="006B5E7A"/>
    <w:rsid w:val="006C0961"/>
    <w:rsid w:val="006C1415"/>
    <w:rsid w:val="006C1596"/>
    <w:rsid w:val="006C17F2"/>
    <w:rsid w:val="006C1EDD"/>
    <w:rsid w:val="006C20A5"/>
    <w:rsid w:val="006C2123"/>
    <w:rsid w:val="006C23FC"/>
    <w:rsid w:val="006C2617"/>
    <w:rsid w:val="006C2C0E"/>
    <w:rsid w:val="006C2E74"/>
    <w:rsid w:val="006C33A1"/>
    <w:rsid w:val="006C35A5"/>
    <w:rsid w:val="006C3CC8"/>
    <w:rsid w:val="006C40BF"/>
    <w:rsid w:val="006C4131"/>
    <w:rsid w:val="006C4285"/>
    <w:rsid w:val="006C42D0"/>
    <w:rsid w:val="006C4AC4"/>
    <w:rsid w:val="006C56D9"/>
    <w:rsid w:val="006C61FD"/>
    <w:rsid w:val="006C6A7D"/>
    <w:rsid w:val="006C6D13"/>
    <w:rsid w:val="006D00A8"/>
    <w:rsid w:val="006D0A68"/>
    <w:rsid w:val="006D13E0"/>
    <w:rsid w:val="006D13FA"/>
    <w:rsid w:val="006D22F7"/>
    <w:rsid w:val="006D2C4A"/>
    <w:rsid w:val="006D36FE"/>
    <w:rsid w:val="006D380B"/>
    <w:rsid w:val="006D3C6B"/>
    <w:rsid w:val="006D3CE3"/>
    <w:rsid w:val="006D5C2E"/>
    <w:rsid w:val="006D6890"/>
    <w:rsid w:val="006D72E1"/>
    <w:rsid w:val="006D7F0D"/>
    <w:rsid w:val="006D7F3B"/>
    <w:rsid w:val="006D7FBF"/>
    <w:rsid w:val="006E0667"/>
    <w:rsid w:val="006E17AD"/>
    <w:rsid w:val="006E3053"/>
    <w:rsid w:val="006E565F"/>
    <w:rsid w:val="006E5BF3"/>
    <w:rsid w:val="006E5F2B"/>
    <w:rsid w:val="006E76D9"/>
    <w:rsid w:val="006E7A94"/>
    <w:rsid w:val="006F0E73"/>
    <w:rsid w:val="006F0EE1"/>
    <w:rsid w:val="006F1C96"/>
    <w:rsid w:val="006F3218"/>
    <w:rsid w:val="006F336D"/>
    <w:rsid w:val="006F4045"/>
    <w:rsid w:val="006F48B9"/>
    <w:rsid w:val="006F54A0"/>
    <w:rsid w:val="006F5A5C"/>
    <w:rsid w:val="006F66FB"/>
    <w:rsid w:val="006F7F00"/>
    <w:rsid w:val="0070177E"/>
    <w:rsid w:val="00701F99"/>
    <w:rsid w:val="00702603"/>
    <w:rsid w:val="00702617"/>
    <w:rsid w:val="007027B2"/>
    <w:rsid w:val="00702897"/>
    <w:rsid w:val="00702AE8"/>
    <w:rsid w:val="00702CFB"/>
    <w:rsid w:val="0070354E"/>
    <w:rsid w:val="00705372"/>
    <w:rsid w:val="00706883"/>
    <w:rsid w:val="0070738A"/>
    <w:rsid w:val="00707EAA"/>
    <w:rsid w:val="007104E5"/>
    <w:rsid w:val="007114C7"/>
    <w:rsid w:val="00712764"/>
    <w:rsid w:val="00712CC9"/>
    <w:rsid w:val="007146D2"/>
    <w:rsid w:val="00714717"/>
    <w:rsid w:val="00715983"/>
    <w:rsid w:val="00715F9E"/>
    <w:rsid w:val="0072085E"/>
    <w:rsid w:val="00721715"/>
    <w:rsid w:val="00721BDA"/>
    <w:rsid w:val="00723487"/>
    <w:rsid w:val="00723871"/>
    <w:rsid w:val="00723962"/>
    <w:rsid w:val="00723EA4"/>
    <w:rsid w:val="00724424"/>
    <w:rsid w:val="007250D9"/>
    <w:rsid w:val="007254E4"/>
    <w:rsid w:val="007255F5"/>
    <w:rsid w:val="00725E62"/>
    <w:rsid w:val="00726CC0"/>
    <w:rsid w:val="00727269"/>
    <w:rsid w:val="0072780A"/>
    <w:rsid w:val="00727BDE"/>
    <w:rsid w:val="00730E8C"/>
    <w:rsid w:val="00731BD3"/>
    <w:rsid w:val="00731C1D"/>
    <w:rsid w:val="00731CC9"/>
    <w:rsid w:val="00731DCD"/>
    <w:rsid w:val="00732257"/>
    <w:rsid w:val="00732E3B"/>
    <w:rsid w:val="00732F51"/>
    <w:rsid w:val="00732FD8"/>
    <w:rsid w:val="00733CCA"/>
    <w:rsid w:val="00734193"/>
    <w:rsid w:val="00735393"/>
    <w:rsid w:val="007359B1"/>
    <w:rsid w:val="007419F7"/>
    <w:rsid w:val="00742272"/>
    <w:rsid w:val="00743764"/>
    <w:rsid w:val="00744346"/>
    <w:rsid w:val="0074467E"/>
    <w:rsid w:val="00745C96"/>
    <w:rsid w:val="00745F63"/>
    <w:rsid w:val="00746AD6"/>
    <w:rsid w:val="00747297"/>
    <w:rsid w:val="00747DAC"/>
    <w:rsid w:val="00750FBE"/>
    <w:rsid w:val="0075160D"/>
    <w:rsid w:val="00752E2A"/>
    <w:rsid w:val="00754AB1"/>
    <w:rsid w:val="00755765"/>
    <w:rsid w:val="00755930"/>
    <w:rsid w:val="007566B2"/>
    <w:rsid w:val="007570F4"/>
    <w:rsid w:val="00757356"/>
    <w:rsid w:val="0075781A"/>
    <w:rsid w:val="007607C5"/>
    <w:rsid w:val="007610CD"/>
    <w:rsid w:val="00762C3C"/>
    <w:rsid w:val="007631FF"/>
    <w:rsid w:val="00764B8C"/>
    <w:rsid w:val="00764BA1"/>
    <w:rsid w:val="00765039"/>
    <w:rsid w:val="00765738"/>
    <w:rsid w:val="00766D75"/>
    <w:rsid w:val="00767035"/>
    <w:rsid w:val="00770688"/>
    <w:rsid w:val="007708AC"/>
    <w:rsid w:val="00771E40"/>
    <w:rsid w:val="0077212C"/>
    <w:rsid w:val="007726A2"/>
    <w:rsid w:val="00772EE5"/>
    <w:rsid w:val="00773124"/>
    <w:rsid w:val="00774698"/>
    <w:rsid w:val="007748DB"/>
    <w:rsid w:val="00774F4B"/>
    <w:rsid w:val="007750B0"/>
    <w:rsid w:val="00775612"/>
    <w:rsid w:val="007759D0"/>
    <w:rsid w:val="007766C7"/>
    <w:rsid w:val="00776A31"/>
    <w:rsid w:val="00776B91"/>
    <w:rsid w:val="00776FE1"/>
    <w:rsid w:val="007775FA"/>
    <w:rsid w:val="007803AB"/>
    <w:rsid w:val="007810C4"/>
    <w:rsid w:val="00782009"/>
    <w:rsid w:val="007828ED"/>
    <w:rsid w:val="00782B92"/>
    <w:rsid w:val="00783B19"/>
    <w:rsid w:val="007845D4"/>
    <w:rsid w:val="007849F5"/>
    <w:rsid w:val="00784B03"/>
    <w:rsid w:val="007857D9"/>
    <w:rsid w:val="00785D78"/>
    <w:rsid w:val="00786835"/>
    <w:rsid w:val="00786E19"/>
    <w:rsid w:val="00787C73"/>
    <w:rsid w:val="00791013"/>
    <w:rsid w:val="00791139"/>
    <w:rsid w:val="00791B17"/>
    <w:rsid w:val="00792830"/>
    <w:rsid w:val="007931FE"/>
    <w:rsid w:val="00794083"/>
    <w:rsid w:val="0079408A"/>
    <w:rsid w:val="0079481E"/>
    <w:rsid w:val="00794D25"/>
    <w:rsid w:val="0079546B"/>
    <w:rsid w:val="007956D9"/>
    <w:rsid w:val="00795A75"/>
    <w:rsid w:val="00796664"/>
    <w:rsid w:val="00796772"/>
    <w:rsid w:val="00796BE5"/>
    <w:rsid w:val="00796D91"/>
    <w:rsid w:val="00796ECD"/>
    <w:rsid w:val="0079758A"/>
    <w:rsid w:val="007975AF"/>
    <w:rsid w:val="0079778D"/>
    <w:rsid w:val="00797E60"/>
    <w:rsid w:val="007A0AA6"/>
    <w:rsid w:val="007A1C20"/>
    <w:rsid w:val="007A25E5"/>
    <w:rsid w:val="007A279F"/>
    <w:rsid w:val="007A2C9B"/>
    <w:rsid w:val="007A32B4"/>
    <w:rsid w:val="007A3B12"/>
    <w:rsid w:val="007A3D62"/>
    <w:rsid w:val="007A420A"/>
    <w:rsid w:val="007A5481"/>
    <w:rsid w:val="007A57CA"/>
    <w:rsid w:val="007A60D0"/>
    <w:rsid w:val="007A6BC3"/>
    <w:rsid w:val="007A7741"/>
    <w:rsid w:val="007B0404"/>
    <w:rsid w:val="007B1110"/>
    <w:rsid w:val="007B1910"/>
    <w:rsid w:val="007B2CD6"/>
    <w:rsid w:val="007B2D3C"/>
    <w:rsid w:val="007B3DB8"/>
    <w:rsid w:val="007B4DC3"/>
    <w:rsid w:val="007B50F3"/>
    <w:rsid w:val="007B598F"/>
    <w:rsid w:val="007B5CF3"/>
    <w:rsid w:val="007B60DE"/>
    <w:rsid w:val="007B61F3"/>
    <w:rsid w:val="007B77EB"/>
    <w:rsid w:val="007B78B4"/>
    <w:rsid w:val="007B799D"/>
    <w:rsid w:val="007C06BB"/>
    <w:rsid w:val="007C1DB4"/>
    <w:rsid w:val="007C2E15"/>
    <w:rsid w:val="007C30CC"/>
    <w:rsid w:val="007C3275"/>
    <w:rsid w:val="007C37B0"/>
    <w:rsid w:val="007C37C3"/>
    <w:rsid w:val="007C39B5"/>
    <w:rsid w:val="007C3FFD"/>
    <w:rsid w:val="007C511E"/>
    <w:rsid w:val="007C5A7D"/>
    <w:rsid w:val="007C79C2"/>
    <w:rsid w:val="007D0055"/>
    <w:rsid w:val="007D02E9"/>
    <w:rsid w:val="007D1558"/>
    <w:rsid w:val="007D1642"/>
    <w:rsid w:val="007D2C33"/>
    <w:rsid w:val="007D3006"/>
    <w:rsid w:val="007D30CA"/>
    <w:rsid w:val="007D3364"/>
    <w:rsid w:val="007D34CF"/>
    <w:rsid w:val="007D4160"/>
    <w:rsid w:val="007D41A1"/>
    <w:rsid w:val="007D45DE"/>
    <w:rsid w:val="007D5355"/>
    <w:rsid w:val="007D5F80"/>
    <w:rsid w:val="007D61B4"/>
    <w:rsid w:val="007D6303"/>
    <w:rsid w:val="007D70F2"/>
    <w:rsid w:val="007D7466"/>
    <w:rsid w:val="007E03CC"/>
    <w:rsid w:val="007E1F52"/>
    <w:rsid w:val="007E27C4"/>
    <w:rsid w:val="007E3915"/>
    <w:rsid w:val="007E4470"/>
    <w:rsid w:val="007E4955"/>
    <w:rsid w:val="007E4CC6"/>
    <w:rsid w:val="007E59B3"/>
    <w:rsid w:val="007E6D3B"/>
    <w:rsid w:val="007E745A"/>
    <w:rsid w:val="007F0498"/>
    <w:rsid w:val="007F19B7"/>
    <w:rsid w:val="007F3409"/>
    <w:rsid w:val="007F3436"/>
    <w:rsid w:val="007F4312"/>
    <w:rsid w:val="007F487A"/>
    <w:rsid w:val="007F4ABE"/>
    <w:rsid w:val="007F58D1"/>
    <w:rsid w:val="007F7488"/>
    <w:rsid w:val="007F7C12"/>
    <w:rsid w:val="00800440"/>
    <w:rsid w:val="00802831"/>
    <w:rsid w:val="00802CFB"/>
    <w:rsid w:val="00803A67"/>
    <w:rsid w:val="00804F7A"/>
    <w:rsid w:val="0080548D"/>
    <w:rsid w:val="0080622A"/>
    <w:rsid w:val="0080653B"/>
    <w:rsid w:val="008065E4"/>
    <w:rsid w:val="00806670"/>
    <w:rsid w:val="00810650"/>
    <w:rsid w:val="00811551"/>
    <w:rsid w:val="00812482"/>
    <w:rsid w:val="008124A2"/>
    <w:rsid w:val="00812596"/>
    <w:rsid w:val="0081303E"/>
    <w:rsid w:val="008142D3"/>
    <w:rsid w:val="00814D53"/>
    <w:rsid w:val="0081694E"/>
    <w:rsid w:val="008171C6"/>
    <w:rsid w:val="008179C2"/>
    <w:rsid w:val="00817F63"/>
    <w:rsid w:val="008202CA"/>
    <w:rsid w:val="0082190F"/>
    <w:rsid w:val="00822864"/>
    <w:rsid w:val="008230B1"/>
    <w:rsid w:val="00823B25"/>
    <w:rsid w:val="00823D5A"/>
    <w:rsid w:val="0082483C"/>
    <w:rsid w:val="00824FAA"/>
    <w:rsid w:val="008254A9"/>
    <w:rsid w:val="00826748"/>
    <w:rsid w:val="0082730B"/>
    <w:rsid w:val="00827380"/>
    <w:rsid w:val="0082742A"/>
    <w:rsid w:val="008278CA"/>
    <w:rsid w:val="00827C96"/>
    <w:rsid w:val="008302AA"/>
    <w:rsid w:val="0083059A"/>
    <w:rsid w:val="008306B8"/>
    <w:rsid w:val="0083294C"/>
    <w:rsid w:val="00832B7E"/>
    <w:rsid w:val="00833597"/>
    <w:rsid w:val="008343C6"/>
    <w:rsid w:val="00834A55"/>
    <w:rsid w:val="0083524C"/>
    <w:rsid w:val="00835D2F"/>
    <w:rsid w:val="00836798"/>
    <w:rsid w:val="00836A32"/>
    <w:rsid w:val="00837CE7"/>
    <w:rsid w:val="008402A5"/>
    <w:rsid w:val="0084089E"/>
    <w:rsid w:val="008414C5"/>
    <w:rsid w:val="00841EB1"/>
    <w:rsid w:val="008432BD"/>
    <w:rsid w:val="00843594"/>
    <w:rsid w:val="0084378D"/>
    <w:rsid w:val="008439CC"/>
    <w:rsid w:val="00843E3B"/>
    <w:rsid w:val="008446C7"/>
    <w:rsid w:val="00844768"/>
    <w:rsid w:val="00844D4C"/>
    <w:rsid w:val="0084589F"/>
    <w:rsid w:val="00846160"/>
    <w:rsid w:val="00847FCD"/>
    <w:rsid w:val="00850FA9"/>
    <w:rsid w:val="0085241A"/>
    <w:rsid w:val="00852538"/>
    <w:rsid w:val="00852637"/>
    <w:rsid w:val="00853B7C"/>
    <w:rsid w:val="0085432D"/>
    <w:rsid w:val="008544A4"/>
    <w:rsid w:val="008550C3"/>
    <w:rsid w:val="00855A27"/>
    <w:rsid w:val="00855D5A"/>
    <w:rsid w:val="00855E03"/>
    <w:rsid w:val="0085628B"/>
    <w:rsid w:val="008563F0"/>
    <w:rsid w:val="008564B4"/>
    <w:rsid w:val="008567E3"/>
    <w:rsid w:val="00856A84"/>
    <w:rsid w:val="00856EA6"/>
    <w:rsid w:val="008618D5"/>
    <w:rsid w:val="0086232B"/>
    <w:rsid w:val="00862902"/>
    <w:rsid w:val="0086314C"/>
    <w:rsid w:val="0086364C"/>
    <w:rsid w:val="00864470"/>
    <w:rsid w:val="00864F00"/>
    <w:rsid w:val="0086523C"/>
    <w:rsid w:val="00865FEA"/>
    <w:rsid w:val="0086607C"/>
    <w:rsid w:val="00866B47"/>
    <w:rsid w:val="00866F0B"/>
    <w:rsid w:val="00867014"/>
    <w:rsid w:val="00867274"/>
    <w:rsid w:val="00867A5A"/>
    <w:rsid w:val="00867BE1"/>
    <w:rsid w:val="00870852"/>
    <w:rsid w:val="0087125A"/>
    <w:rsid w:val="00872457"/>
    <w:rsid w:val="00872D70"/>
    <w:rsid w:val="00872E6B"/>
    <w:rsid w:val="00873A9D"/>
    <w:rsid w:val="00874491"/>
    <w:rsid w:val="008750DE"/>
    <w:rsid w:val="00876692"/>
    <w:rsid w:val="0087685F"/>
    <w:rsid w:val="008773E8"/>
    <w:rsid w:val="00877C2B"/>
    <w:rsid w:val="008801C7"/>
    <w:rsid w:val="008802AA"/>
    <w:rsid w:val="00880E45"/>
    <w:rsid w:val="00881200"/>
    <w:rsid w:val="0088317F"/>
    <w:rsid w:val="008831A1"/>
    <w:rsid w:val="008836CB"/>
    <w:rsid w:val="008837B4"/>
    <w:rsid w:val="00883F31"/>
    <w:rsid w:val="008842D1"/>
    <w:rsid w:val="00884FC7"/>
    <w:rsid w:val="00885A95"/>
    <w:rsid w:val="008872DB"/>
    <w:rsid w:val="00887473"/>
    <w:rsid w:val="00887F5C"/>
    <w:rsid w:val="0089020B"/>
    <w:rsid w:val="0089102B"/>
    <w:rsid w:val="0089147A"/>
    <w:rsid w:val="00891ADF"/>
    <w:rsid w:val="00891E41"/>
    <w:rsid w:val="00891F2A"/>
    <w:rsid w:val="008924D7"/>
    <w:rsid w:val="00892CA5"/>
    <w:rsid w:val="00893585"/>
    <w:rsid w:val="00893B56"/>
    <w:rsid w:val="00893D93"/>
    <w:rsid w:val="00895002"/>
    <w:rsid w:val="008952B1"/>
    <w:rsid w:val="008954CB"/>
    <w:rsid w:val="008957AC"/>
    <w:rsid w:val="00895C3B"/>
    <w:rsid w:val="00895DF5"/>
    <w:rsid w:val="008971E8"/>
    <w:rsid w:val="008A027A"/>
    <w:rsid w:val="008A0864"/>
    <w:rsid w:val="008A1AB6"/>
    <w:rsid w:val="008A1AD3"/>
    <w:rsid w:val="008A307D"/>
    <w:rsid w:val="008A32A9"/>
    <w:rsid w:val="008A4306"/>
    <w:rsid w:val="008A48A6"/>
    <w:rsid w:val="008A58AE"/>
    <w:rsid w:val="008A5AF4"/>
    <w:rsid w:val="008A651D"/>
    <w:rsid w:val="008A78BE"/>
    <w:rsid w:val="008B0848"/>
    <w:rsid w:val="008B1A6E"/>
    <w:rsid w:val="008B2334"/>
    <w:rsid w:val="008B2A8E"/>
    <w:rsid w:val="008B2D8B"/>
    <w:rsid w:val="008B2DCC"/>
    <w:rsid w:val="008B2E99"/>
    <w:rsid w:val="008B30B9"/>
    <w:rsid w:val="008B3CCF"/>
    <w:rsid w:val="008B3FD1"/>
    <w:rsid w:val="008B412B"/>
    <w:rsid w:val="008B42DE"/>
    <w:rsid w:val="008B4F31"/>
    <w:rsid w:val="008B5A4D"/>
    <w:rsid w:val="008B5DAC"/>
    <w:rsid w:val="008B67BC"/>
    <w:rsid w:val="008B69D5"/>
    <w:rsid w:val="008B7B84"/>
    <w:rsid w:val="008B7E56"/>
    <w:rsid w:val="008C13F0"/>
    <w:rsid w:val="008C20BA"/>
    <w:rsid w:val="008C232B"/>
    <w:rsid w:val="008C24E8"/>
    <w:rsid w:val="008C2D1E"/>
    <w:rsid w:val="008C2E05"/>
    <w:rsid w:val="008C3D90"/>
    <w:rsid w:val="008C41F7"/>
    <w:rsid w:val="008C48F1"/>
    <w:rsid w:val="008C4AA9"/>
    <w:rsid w:val="008C4E05"/>
    <w:rsid w:val="008C5E12"/>
    <w:rsid w:val="008C79B1"/>
    <w:rsid w:val="008D0421"/>
    <w:rsid w:val="008D1874"/>
    <w:rsid w:val="008D1C6A"/>
    <w:rsid w:val="008D2B71"/>
    <w:rsid w:val="008D4921"/>
    <w:rsid w:val="008D5889"/>
    <w:rsid w:val="008D5CD4"/>
    <w:rsid w:val="008D6005"/>
    <w:rsid w:val="008E13A2"/>
    <w:rsid w:val="008E2633"/>
    <w:rsid w:val="008E2857"/>
    <w:rsid w:val="008E2FD9"/>
    <w:rsid w:val="008E3130"/>
    <w:rsid w:val="008E3D80"/>
    <w:rsid w:val="008E40BA"/>
    <w:rsid w:val="008E4357"/>
    <w:rsid w:val="008E4E43"/>
    <w:rsid w:val="008E4F38"/>
    <w:rsid w:val="008E5889"/>
    <w:rsid w:val="008E58F5"/>
    <w:rsid w:val="008E5CC2"/>
    <w:rsid w:val="008E5FA1"/>
    <w:rsid w:val="008E67A7"/>
    <w:rsid w:val="008E697F"/>
    <w:rsid w:val="008E72B0"/>
    <w:rsid w:val="008F0522"/>
    <w:rsid w:val="008F0D22"/>
    <w:rsid w:val="008F0DE9"/>
    <w:rsid w:val="008F14A5"/>
    <w:rsid w:val="008F172F"/>
    <w:rsid w:val="008F1BAC"/>
    <w:rsid w:val="008F1DAE"/>
    <w:rsid w:val="008F2301"/>
    <w:rsid w:val="008F28F1"/>
    <w:rsid w:val="008F2C27"/>
    <w:rsid w:val="008F3543"/>
    <w:rsid w:val="008F4653"/>
    <w:rsid w:val="008F5B69"/>
    <w:rsid w:val="008F5C2F"/>
    <w:rsid w:val="008F6657"/>
    <w:rsid w:val="008F6897"/>
    <w:rsid w:val="008F7D45"/>
    <w:rsid w:val="00900872"/>
    <w:rsid w:val="00900A3C"/>
    <w:rsid w:val="00901461"/>
    <w:rsid w:val="00901D94"/>
    <w:rsid w:val="0090248D"/>
    <w:rsid w:val="009027B9"/>
    <w:rsid w:val="00903468"/>
    <w:rsid w:val="009049F1"/>
    <w:rsid w:val="00905673"/>
    <w:rsid w:val="0090771F"/>
    <w:rsid w:val="00907C2C"/>
    <w:rsid w:val="00907E98"/>
    <w:rsid w:val="00911975"/>
    <w:rsid w:val="00913528"/>
    <w:rsid w:val="0091495B"/>
    <w:rsid w:val="00914D0C"/>
    <w:rsid w:val="009156C1"/>
    <w:rsid w:val="00915918"/>
    <w:rsid w:val="0091603D"/>
    <w:rsid w:val="00916400"/>
    <w:rsid w:val="00916850"/>
    <w:rsid w:val="00917530"/>
    <w:rsid w:val="00920073"/>
    <w:rsid w:val="00920EB4"/>
    <w:rsid w:val="00922324"/>
    <w:rsid w:val="00922549"/>
    <w:rsid w:val="00922826"/>
    <w:rsid w:val="00922F7A"/>
    <w:rsid w:val="0092457F"/>
    <w:rsid w:val="0092470D"/>
    <w:rsid w:val="009250D9"/>
    <w:rsid w:val="00925741"/>
    <w:rsid w:val="00925B2D"/>
    <w:rsid w:val="009266C5"/>
    <w:rsid w:val="009268EC"/>
    <w:rsid w:val="00926DE6"/>
    <w:rsid w:val="00927A69"/>
    <w:rsid w:val="009309AB"/>
    <w:rsid w:val="00930B97"/>
    <w:rsid w:val="00930CC4"/>
    <w:rsid w:val="00932A6A"/>
    <w:rsid w:val="00932FBE"/>
    <w:rsid w:val="0093340F"/>
    <w:rsid w:val="00933934"/>
    <w:rsid w:val="0093414F"/>
    <w:rsid w:val="0093418C"/>
    <w:rsid w:val="00934DAA"/>
    <w:rsid w:val="0093513E"/>
    <w:rsid w:val="0093559E"/>
    <w:rsid w:val="00936224"/>
    <w:rsid w:val="0093632B"/>
    <w:rsid w:val="00936501"/>
    <w:rsid w:val="00936AB1"/>
    <w:rsid w:val="009373B3"/>
    <w:rsid w:val="0093747B"/>
    <w:rsid w:val="00940982"/>
    <w:rsid w:val="0094202A"/>
    <w:rsid w:val="009429FC"/>
    <w:rsid w:val="00942BB8"/>
    <w:rsid w:val="00943057"/>
    <w:rsid w:val="0094368D"/>
    <w:rsid w:val="00943759"/>
    <w:rsid w:val="00943BCE"/>
    <w:rsid w:val="009457B9"/>
    <w:rsid w:val="00945940"/>
    <w:rsid w:val="00945FCB"/>
    <w:rsid w:val="00946B3E"/>
    <w:rsid w:val="00946F2F"/>
    <w:rsid w:val="009472D4"/>
    <w:rsid w:val="00950896"/>
    <w:rsid w:val="00950A98"/>
    <w:rsid w:val="00950EE3"/>
    <w:rsid w:val="00951054"/>
    <w:rsid w:val="0095163E"/>
    <w:rsid w:val="0095164C"/>
    <w:rsid w:val="009537C4"/>
    <w:rsid w:val="00953B36"/>
    <w:rsid w:val="0095411C"/>
    <w:rsid w:val="009541E4"/>
    <w:rsid w:val="009548CA"/>
    <w:rsid w:val="009556EC"/>
    <w:rsid w:val="00956017"/>
    <w:rsid w:val="00956CB4"/>
    <w:rsid w:val="00956CEA"/>
    <w:rsid w:val="00956E3A"/>
    <w:rsid w:val="009578AA"/>
    <w:rsid w:val="0096112E"/>
    <w:rsid w:val="009611FF"/>
    <w:rsid w:val="00963AE1"/>
    <w:rsid w:val="00963B1A"/>
    <w:rsid w:val="00963BFD"/>
    <w:rsid w:val="009650AF"/>
    <w:rsid w:val="00965790"/>
    <w:rsid w:val="00966B3E"/>
    <w:rsid w:val="00966B91"/>
    <w:rsid w:val="00967807"/>
    <w:rsid w:val="0096783E"/>
    <w:rsid w:val="009709A2"/>
    <w:rsid w:val="00970D52"/>
    <w:rsid w:val="00970D5D"/>
    <w:rsid w:val="0097111F"/>
    <w:rsid w:val="00971187"/>
    <w:rsid w:val="00972293"/>
    <w:rsid w:val="0097275D"/>
    <w:rsid w:val="00972AFD"/>
    <w:rsid w:val="00973540"/>
    <w:rsid w:val="00973669"/>
    <w:rsid w:val="0097407B"/>
    <w:rsid w:val="0097516F"/>
    <w:rsid w:val="00975B57"/>
    <w:rsid w:val="00977586"/>
    <w:rsid w:val="00980210"/>
    <w:rsid w:val="00981BBD"/>
    <w:rsid w:val="009821C8"/>
    <w:rsid w:val="0098312E"/>
    <w:rsid w:val="009853D0"/>
    <w:rsid w:val="00985458"/>
    <w:rsid w:val="00985990"/>
    <w:rsid w:val="00986069"/>
    <w:rsid w:val="009860F3"/>
    <w:rsid w:val="0098711D"/>
    <w:rsid w:val="009871A0"/>
    <w:rsid w:val="00987AB3"/>
    <w:rsid w:val="00987B29"/>
    <w:rsid w:val="00990F22"/>
    <w:rsid w:val="00990F74"/>
    <w:rsid w:val="009916C1"/>
    <w:rsid w:val="00991788"/>
    <w:rsid w:val="009918AE"/>
    <w:rsid w:val="00992775"/>
    <w:rsid w:val="00992A1F"/>
    <w:rsid w:val="00994A96"/>
    <w:rsid w:val="0099687D"/>
    <w:rsid w:val="00997032"/>
    <w:rsid w:val="009971EB"/>
    <w:rsid w:val="009972C5"/>
    <w:rsid w:val="00997D31"/>
    <w:rsid w:val="00997FCE"/>
    <w:rsid w:val="009A07DB"/>
    <w:rsid w:val="009A0E71"/>
    <w:rsid w:val="009A1010"/>
    <w:rsid w:val="009A10AD"/>
    <w:rsid w:val="009A1A1F"/>
    <w:rsid w:val="009A2176"/>
    <w:rsid w:val="009A2193"/>
    <w:rsid w:val="009A27DB"/>
    <w:rsid w:val="009A27DF"/>
    <w:rsid w:val="009A2A4F"/>
    <w:rsid w:val="009A32E9"/>
    <w:rsid w:val="009A349F"/>
    <w:rsid w:val="009A3AE9"/>
    <w:rsid w:val="009A3E78"/>
    <w:rsid w:val="009A4993"/>
    <w:rsid w:val="009A4D3E"/>
    <w:rsid w:val="009A69D7"/>
    <w:rsid w:val="009A6A4D"/>
    <w:rsid w:val="009A713C"/>
    <w:rsid w:val="009A7160"/>
    <w:rsid w:val="009A7FB3"/>
    <w:rsid w:val="009B0927"/>
    <w:rsid w:val="009B0C9B"/>
    <w:rsid w:val="009B1B84"/>
    <w:rsid w:val="009B4113"/>
    <w:rsid w:val="009B4348"/>
    <w:rsid w:val="009B52BC"/>
    <w:rsid w:val="009B5331"/>
    <w:rsid w:val="009B5EDC"/>
    <w:rsid w:val="009B60EA"/>
    <w:rsid w:val="009B669F"/>
    <w:rsid w:val="009B6701"/>
    <w:rsid w:val="009B7E64"/>
    <w:rsid w:val="009B7F1E"/>
    <w:rsid w:val="009B7F39"/>
    <w:rsid w:val="009C08E5"/>
    <w:rsid w:val="009C0A44"/>
    <w:rsid w:val="009C1A63"/>
    <w:rsid w:val="009C21AD"/>
    <w:rsid w:val="009C2535"/>
    <w:rsid w:val="009C2A54"/>
    <w:rsid w:val="009C2FA9"/>
    <w:rsid w:val="009C2FC0"/>
    <w:rsid w:val="009C2FF7"/>
    <w:rsid w:val="009C3139"/>
    <w:rsid w:val="009C4CE7"/>
    <w:rsid w:val="009C4F94"/>
    <w:rsid w:val="009C5213"/>
    <w:rsid w:val="009C5E98"/>
    <w:rsid w:val="009C6996"/>
    <w:rsid w:val="009C7A0A"/>
    <w:rsid w:val="009D0719"/>
    <w:rsid w:val="009D4725"/>
    <w:rsid w:val="009D4EC0"/>
    <w:rsid w:val="009D6084"/>
    <w:rsid w:val="009D647B"/>
    <w:rsid w:val="009D67B9"/>
    <w:rsid w:val="009D6D77"/>
    <w:rsid w:val="009D7549"/>
    <w:rsid w:val="009D7AD5"/>
    <w:rsid w:val="009E0AF5"/>
    <w:rsid w:val="009E177E"/>
    <w:rsid w:val="009E2912"/>
    <w:rsid w:val="009E2A89"/>
    <w:rsid w:val="009E2BFF"/>
    <w:rsid w:val="009E39FA"/>
    <w:rsid w:val="009E4664"/>
    <w:rsid w:val="009E4A16"/>
    <w:rsid w:val="009E4ED3"/>
    <w:rsid w:val="009E527B"/>
    <w:rsid w:val="009E5432"/>
    <w:rsid w:val="009E5AB5"/>
    <w:rsid w:val="009E763E"/>
    <w:rsid w:val="009E78E7"/>
    <w:rsid w:val="009F05D2"/>
    <w:rsid w:val="009F0982"/>
    <w:rsid w:val="009F0A39"/>
    <w:rsid w:val="009F0D2B"/>
    <w:rsid w:val="009F1733"/>
    <w:rsid w:val="009F1846"/>
    <w:rsid w:val="009F1DBB"/>
    <w:rsid w:val="009F3094"/>
    <w:rsid w:val="009F3571"/>
    <w:rsid w:val="009F3E56"/>
    <w:rsid w:val="009F46F0"/>
    <w:rsid w:val="009F5490"/>
    <w:rsid w:val="009F5912"/>
    <w:rsid w:val="009F5DE5"/>
    <w:rsid w:val="009F75EB"/>
    <w:rsid w:val="009F7F7F"/>
    <w:rsid w:val="00A0036C"/>
    <w:rsid w:val="00A00726"/>
    <w:rsid w:val="00A00D7A"/>
    <w:rsid w:val="00A027E1"/>
    <w:rsid w:val="00A0297C"/>
    <w:rsid w:val="00A0449B"/>
    <w:rsid w:val="00A04C05"/>
    <w:rsid w:val="00A053FF"/>
    <w:rsid w:val="00A056EE"/>
    <w:rsid w:val="00A05E8E"/>
    <w:rsid w:val="00A05F11"/>
    <w:rsid w:val="00A0671A"/>
    <w:rsid w:val="00A06918"/>
    <w:rsid w:val="00A06E55"/>
    <w:rsid w:val="00A076E3"/>
    <w:rsid w:val="00A1124C"/>
    <w:rsid w:val="00A11BD3"/>
    <w:rsid w:val="00A12DD8"/>
    <w:rsid w:val="00A1333C"/>
    <w:rsid w:val="00A13988"/>
    <w:rsid w:val="00A13F05"/>
    <w:rsid w:val="00A1421F"/>
    <w:rsid w:val="00A1464D"/>
    <w:rsid w:val="00A1746D"/>
    <w:rsid w:val="00A1752B"/>
    <w:rsid w:val="00A17C27"/>
    <w:rsid w:val="00A20060"/>
    <w:rsid w:val="00A20102"/>
    <w:rsid w:val="00A20428"/>
    <w:rsid w:val="00A20540"/>
    <w:rsid w:val="00A208E9"/>
    <w:rsid w:val="00A229A7"/>
    <w:rsid w:val="00A230BA"/>
    <w:rsid w:val="00A24CE2"/>
    <w:rsid w:val="00A25015"/>
    <w:rsid w:val="00A2520F"/>
    <w:rsid w:val="00A25C86"/>
    <w:rsid w:val="00A30468"/>
    <w:rsid w:val="00A31410"/>
    <w:rsid w:val="00A32473"/>
    <w:rsid w:val="00A32C77"/>
    <w:rsid w:val="00A33B46"/>
    <w:rsid w:val="00A33EC5"/>
    <w:rsid w:val="00A344E3"/>
    <w:rsid w:val="00A34723"/>
    <w:rsid w:val="00A35646"/>
    <w:rsid w:val="00A35A0B"/>
    <w:rsid w:val="00A36210"/>
    <w:rsid w:val="00A36829"/>
    <w:rsid w:val="00A36C45"/>
    <w:rsid w:val="00A37D69"/>
    <w:rsid w:val="00A41725"/>
    <w:rsid w:val="00A418EB"/>
    <w:rsid w:val="00A4258A"/>
    <w:rsid w:val="00A426AC"/>
    <w:rsid w:val="00A42C51"/>
    <w:rsid w:val="00A43302"/>
    <w:rsid w:val="00A439F7"/>
    <w:rsid w:val="00A447A1"/>
    <w:rsid w:val="00A447F8"/>
    <w:rsid w:val="00A44ABA"/>
    <w:rsid w:val="00A455AF"/>
    <w:rsid w:val="00A458E9"/>
    <w:rsid w:val="00A46F77"/>
    <w:rsid w:val="00A472AA"/>
    <w:rsid w:val="00A503FA"/>
    <w:rsid w:val="00A5056B"/>
    <w:rsid w:val="00A515C2"/>
    <w:rsid w:val="00A518D2"/>
    <w:rsid w:val="00A52D41"/>
    <w:rsid w:val="00A53484"/>
    <w:rsid w:val="00A53945"/>
    <w:rsid w:val="00A5479D"/>
    <w:rsid w:val="00A56E7C"/>
    <w:rsid w:val="00A575DF"/>
    <w:rsid w:val="00A57EF4"/>
    <w:rsid w:val="00A61F68"/>
    <w:rsid w:val="00A64BFF"/>
    <w:rsid w:val="00A64F3A"/>
    <w:rsid w:val="00A6637D"/>
    <w:rsid w:val="00A66F73"/>
    <w:rsid w:val="00A67414"/>
    <w:rsid w:val="00A6766E"/>
    <w:rsid w:val="00A67B37"/>
    <w:rsid w:val="00A67B9E"/>
    <w:rsid w:val="00A67BAC"/>
    <w:rsid w:val="00A67E83"/>
    <w:rsid w:val="00A701BF"/>
    <w:rsid w:val="00A705E6"/>
    <w:rsid w:val="00A70E2D"/>
    <w:rsid w:val="00A70E3F"/>
    <w:rsid w:val="00A713D8"/>
    <w:rsid w:val="00A71475"/>
    <w:rsid w:val="00A7201E"/>
    <w:rsid w:val="00A722BC"/>
    <w:rsid w:val="00A73D24"/>
    <w:rsid w:val="00A74819"/>
    <w:rsid w:val="00A748B4"/>
    <w:rsid w:val="00A75531"/>
    <w:rsid w:val="00A76373"/>
    <w:rsid w:val="00A766DB"/>
    <w:rsid w:val="00A774E3"/>
    <w:rsid w:val="00A77650"/>
    <w:rsid w:val="00A81529"/>
    <w:rsid w:val="00A81A4C"/>
    <w:rsid w:val="00A824F2"/>
    <w:rsid w:val="00A83160"/>
    <w:rsid w:val="00A8342E"/>
    <w:rsid w:val="00A84005"/>
    <w:rsid w:val="00A85123"/>
    <w:rsid w:val="00A86CDF"/>
    <w:rsid w:val="00A87074"/>
    <w:rsid w:val="00A879D3"/>
    <w:rsid w:val="00A912BA"/>
    <w:rsid w:val="00A9269D"/>
    <w:rsid w:val="00A9303F"/>
    <w:rsid w:val="00A93094"/>
    <w:rsid w:val="00A9313E"/>
    <w:rsid w:val="00A94126"/>
    <w:rsid w:val="00A94B9B"/>
    <w:rsid w:val="00A94E70"/>
    <w:rsid w:val="00A95787"/>
    <w:rsid w:val="00A96BFF"/>
    <w:rsid w:val="00A96C4F"/>
    <w:rsid w:val="00A97056"/>
    <w:rsid w:val="00A97142"/>
    <w:rsid w:val="00A97A2A"/>
    <w:rsid w:val="00A97C04"/>
    <w:rsid w:val="00A97C6D"/>
    <w:rsid w:val="00A97F05"/>
    <w:rsid w:val="00AA0031"/>
    <w:rsid w:val="00AA016D"/>
    <w:rsid w:val="00AA0C5C"/>
    <w:rsid w:val="00AA1232"/>
    <w:rsid w:val="00AA1278"/>
    <w:rsid w:val="00AA1354"/>
    <w:rsid w:val="00AA149B"/>
    <w:rsid w:val="00AA1FC7"/>
    <w:rsid w:val="00AA2CBE"/>
    <w:rsid w:val="00AA3FBB"/>
    <w:rsid w:val="00AA4941"/>
    <w:rsid w:val="00AA49FC"/>
    <w:rsid w:val="00AA5EFE"/>
    <w:rsid w:val="00AA620F"/>
    <w:rsid w:val="00AA78EC"/>
    <w:rsid w:val="00AB0E4B"/>
    <w:rsid w:val="00AB0F53"/>
    <w:rsid w:val="00AB16E7"/>
    <w:rsid w:val="00AB1713"/>
    <w:rsid w:val="00AB1AC6"/>
    <w:rsid w:val="00AB1E22"/>
    <w:rsid w:val="00AB1F33"/>
    <w:rsid w:val="00AB24A2"/>
    <w:rsid w:val="00AB5100"/>
    <w:rsid w:val="00AB58CB"/>
    <w:rsid w:val="00AB5C3B"/>
    <w:rsid w:val="00AB6CD2"/>
    <w:rsid w:val="00AB6E3B"/>
    <w:rsid w:val="00AB73B0"/>
    <w:rsid w:val="00AB7B73"/>
    <w:rsid w:val="00AC05F0"/>
    <w:rsid w:val="00AC07B4"/>
    <w:rsid w:val="00AC098F"/>
    <w:rsid w:val="00AC09B5"/>
    <w:rsid w:val="00AC0D28"/>
    <w:rsid w:val="00AC10A4"/>
    <w:rsid w:val="00AC1E5B"/>
    <w:rsid w:val="00AC264E"/>
    <w:rsid w:val="00AC298C"/>
    <w:rsid w:val="00AC29B5"/>
    <w:rsid w:val="00AC3DC1"/>
    <w:rsid w:val="00AC475C"/>
    <w:rsid w:val="00AC4AB0"/>
    <w:rsid w:val="00AC541E"/>
    <w:rsid w:val="00AC6AFD"/>
    <w:rsid w:val="00AC6C96"/>
    <w:rsid w:val="00AC7588"/>
    <w:rsid w:val="00AD1AAC"/>
    <w:rsid w:val="00AD2926"/>
    <w:rsid w:val="00AD295F"/>
    <w:rsid w:val="00AD30F4"/>
    <w:rsid w:val="00AD3A1B"/>
    <w:rsid w:val="00AD45B0"/>
    <w:rsid w:val="00AD4735"/>
    <w:rsid w:val="00AD5AEB"/>
    <w:rsid w:val="00AD5CBA"/>
    <w:rsid w:val="00AD5F8A"/>
    <w:rsid w:val="00AD6689"/>
    <w:rsid w:val="00AE0357"/>
    <w:rsid w:val="00AE0730"/>
    <w:rsid w:val="00AE0924"/>
    <w:rsid w:val="00AE0AEC"/>
    <w:rsid w:val="00AE154F"/>
    <w:rsid w:val="00AE30AC"/>
    <w:rsid w:val="00AE3F79"/>
    <w:rsid w:val="00AE416B"/>
    <w:rsid w:val="00AE470F"/>
    <w:rsid w:val="00AE4DF7"/>
    <w:rsid w:val="00AE5E68"/>
    <w:rsid w:val="00AE6057"/>
    <w:rsid w:val="00AE6DD1"/>
    <w:rsid w:val="00AE7BE9"/>
    <w:rsid w:val="00AE7D4D"/>
    <w:rsid w:val="00AF0423"/>
    <w:rsid w:val="00AF09AC"/>
    <w:rsid w:val="00AF173E"/>
    <w:rsid w:val="00AF1D98"/>
    <w:rsid w:val="00AF2A9E"/>
    <w:rsid w:val="00AF3EAB"/>
    <w:rsid w:val="00AF42BB"/>
    <w:rsid w:val="00AF4B97"/>
    <w:rsid w:val="00AF5102"/>
    <w:rsid w:val="00AF577F"/>
    <w:rsid w:val="00AF6C49"/>
    <w:rsid w:val="00AF71B6"/>
    <w:rsid w:val="00AF738B"/>
    <w:rsid w:val="00AF7930"/>
    <w:rsid w:val="00B00118"/>
    <w:rsid w:val="00B010E1"/>
    <w:rsid w:val="00B01E5B"/>
    <w:rsid w:val="00B022BE"/>
    <w:rsid w:val="00B023B6"/>
    <w:rsid w:val="00B02ADB"/>
    <w:rsid w:val="00B02B94"/>
    <w:rsid w:val="00B02C69"/>
    <w:rsid w:val="00B03C3F"/>
    <w:rsid w:val="00B03F70"/>
    <w:rsid w:val="00B04E68"/>
    <w:rsid w:val="00B05AF4"/>
    <w:rsid w:val="00B065F6"/>
    <w:rsid w:val="00B06E00"/>
    <w:rsid w:val="00B10AE5"/>
    <w:rsid w:val="00B118AB"/>
    <w:rsid w:val="00B122B8"/>
    <w:rsid w:val="00B1377F"/>
    <w:rsid w:val="00B13AEC"/>
    <w:rsid w:val="00B13D05"/>
    <w:rsid w:val="00B13F17"/>
    <w:rsid w:val="00B14D18"/>
    <w:rsid w:val="00B14D2F"/>
    <w:rsid w:val="00B15EFF"/>
    <w:rsid w:val="00B160D8"/>
    <w:rsid w:val="00B16D27"/>
    <w:rsid w:val="00B16D62"/>
    <w:rsid w:val="00B16E57"/>
    <w:rsid w:val="00B16F1F"/>
    <w:rsid w:val="00B1744C"/>
    <w:rsid w:val="00B17CAC"/>
    <w:rsid w:val="00B2296A"/>
    <w:rsid w:val="00B23260"/>
    <w:rsid w:val="00B23ED6"/>
    <w:rsid w:val="00B24FCB"/>
    <w:rsid w:val="00B2540B"/>
    <w:rsid w:val="00B25778"/>
    <w:rsid w:val="00B26E0A"/>
    <w:rsid w:val="00B271A5"/>
    <w:rsid w:val="00B27F9C"/>
    <w:rsid w:val="00B30CDE"/>
    <w:rsid w:val="00B31613"/>
    <w:rsid w:val="00B32090"/>
    <w:rsid w:val="00B32855"/>
    <w:rsid w:val="00B32C93"/>
    <w:rsid w:val="00B33066"/>
    <w:rsid w:val="00B33244"/>
    <w:rsid w:val="00B335A8"/>
    <w:rsid w:val="00B344A7"/>
    <w:rsid w:val="00B35680"/>
    <w:rsid w:val="00B35E7E"/>
    <w:rsid w:val="00B35F0F"/>
    <w:rsid w:val="00B36030"/>
    <w:rsid w:val="00B3647B"/>
    <w:rsid w:val="00B3666E"/>
    <w:rsid w:val="00B369F0"/>
    <w:rsid w:val="00B4129C"/>
    <w:rsid w:val="00B415A9"/>
    <w:rsid w:val="00B41B18"/>
    <w:rsid w:val="00B423CD"/>
    <w:rsid w:val="00B42ABB"/>
    <w:rsid w:val="00B43417"/>
    <w:rsid w:val="00B43949"/>
    <w:rsid w:val="00B43C0F"/>
    <w:rsid w:val="00B449F5"/>
    <w:rsid w:val="00B45885"/>
    <w:rsid w:val="00B45A99"/>
    <w:rsid w:val="00B465BD"/>
    <w:rsid w:val="00B50477"/>
    <w:rsid w:val="00B51379"/>
    <w:rsid w:val="00B5162F"/>
    <w:rsid w:val="00B5234D"/>
    <w:rsid w:val="00B529FF"/>
    <w:rsid w:val="00B53043"/>
    <w:rsid w:val="00B5317C"/>
    <w:rsid w:val="00B5352F"/>
    <w:rsid w:val="00B537AA"/>
    <w:rsid w:val="00B544E4"/>
    <w:rsid w:val="00B558FE"/>
    <w:rsid w:val="00B57304"/>
    <w:rsid w:val="00B60596"/>
    <w:rsid w:val="00B60963"/>
    <w:rsid w:val="00B60BE9"/>
    <w:rsid w:val="00B61F2F"/>
    <w:rsid w:val="00B63058"/>
    <w:rsid w:val="00B64191"/>
    <w:rsid w:val="00B644D0"/>
    <w:rsid w:val="00B648A6"/>
    <w:rsid w:val="00B64C03"/>
    <w:rsid w:val="00B65567"/>
    <w:rsid w:val="00B6567D"/>
    <w:rsid w:val="00B65F25"/>
    <w:rsid w:val="00B661B5"/>
    <w:rsid w:val="00B663B1"/>
    <w:rsid w:val="00B66FFA"/>
    <w:rsid w:val="00B670F4"/>
    <w:rsid w:val="00B67689"/>
    <w:rsid w:val="00B678A9"/>
    <w:rsid w:val="00B67C63"/>
    <w:rsid w:val="00B70C9E"/>
    <w:rsid w:val="00B71502"/>
    <w:rsid w:val="00B7162B"/>
    <w:rsid w:val="00B7189B"/>
    <w:rsid w:val="00B7213B"/>
    <w:rsid w:val="00B72C00"/>
    <w:rsid w:val="00B73790"/>
    <w:rsid w:val="00B73B58"/>
    <w:rsid w:val="00B73DE7"/>
    <w:rsid w:val="00B74515"/>
    <w:rsid w:val="00B746DF"/>
    <w:rsid w:val="00B75E47"/>
    <w:rsid w:val="00B75FBA"/>
    <w:rsid w:val="00B764B7"/>
    <w:rsid w:val="00B7701D"/>
    <w:rsid w:val="00B77082"/>
    <w:rsid w:val="00B805D5"/>
    <w:rsid w:val="00B809D8"/>
    <w:rsid w:val="00B80C0B"/>
    <w:rsid w:val="00B80CBD"/>
    <w:rsid w:val="00B816E7"/>
    <w:rsid w:val="00B82C31"/>
    <w:rsid w:val="00B83265"/>
    <w:rsid w:val="00B83C02"/>
    <w:rsid w:val="00B83EB5"/>
    <w:rsid w:val="00B852AA"/>
    <w:rsid w:val="00B85F2B"/>
    <w:rsid w:val="00B86947"/>
    <w:rsid w:val="00B86DF5"/>
    <w:rsid w:val="00B8753C"/>
    <w:rsid w:val="00B879AB"/>
    <w:rsid w:val="00B90D9E"/>
    <w:rsid w:val="00B91E3B"/>
    <w:rsid w:val="00B925BF"/>
    <w:rsid w:val="00B92F86"/>
    <w:rsid w:val="00B93310"/>
    <w:rsid w:val="00B93650"/>
    <w:rsid w:val="00B93C95"/>
    <w:rsid w:val="00B9428C"/>
    <w:rsid w:val="00B94333"/>
    <w:rsid w:val="00B94385"/>
    <w:rsid w:val="00B9613A"/>
    <w:rsid w:val="00B96333"/>
    <w:rsid w:val="00B963BC"/>
    <w:rsid w:val="00BA02D7"/>
    <w:rsid w:val="00BA1021"/>
    <w:rsid w:val="00BA1E78"/>
    <w:rsid w:val="00BA26B6"/>
    <w:rsid w:val="00BA2914"/>
    <w:rsid w:val="00BA29C2"/>
    <w:rsid w:val="00BA2C67"/>
    <w:rsid w:val="00BA3121"/>
    <w:rsid w:val="00BA3542"/>
    <w:rsid w:val="00BA4B8E"/>
    <w:rsid w:val="00BA5A4A"/>
    <w:rsid w:val="00BA5A6A"/>
    <w:rsid w:val="00BA5D81"/>
    <w:rsid w:val="00BA61DB"/>
    <w:rsid w:val="00BA6DD5"/>
    <w:rsid w:val="00BA7DD4"/>
    <w:rsid w:val="00BB0AF3"/>
    <w:rsid w:val="00BB0AFE"/>
    <w:rsid w:val="00BB16E9"/>
    <w:rsid w:val="00BB176C"/>
    <w:rsid w:val="00BB1DAF"/>
    <w:rsid w:val="00BB1EE3"/>
    <w:rsid w:val="00BB2549"/>
    <w:rsid w:val="00BB3653"/>
    <w:rsid w:val="00BB3C20"/>
    <w:rsid w:val="00BB4310"/>
    <w:rsid w:val="00BB495C"/>
    <w:rsid w:val="00BB5A9A"/>
    <w:rsid w:val="00BB6E10"/>
    <w:rsid w:val="00BB72E8"/>
    <w:rsid w:val="00BC0693"/>
    <w:rsid w:val="00BC1832"/>
    <w:rsid w:val="00BC19FF"/>
    <w:rsid w:val="00BC1C98"/>
    <w:rsid w:val="00BC3B09"/>
    <w:rsid w:val="00BC438F"/>
    <w:rsid w:val="00BC45F5"/>
    <w:rsid w:val="00BC4F19"/>
    <w:rsid w:val="00BC5643"/>
    <w:rsid w:val="00BC569D"/>
    <w:rsid w:val="00BC5794"/>
    <w:rsid w:val="00BC5FFE"/>
    <w:rsid w:val="00BC76DD"/>
    <w:rsid w:val="00BC795C"/>
    <w:rsid w:val="00BC7FA8"/>
    <w:rsid w:val="00BD006F"/>
    <w:rsid w:val="00BD01AA"/>
    <w:rsid w:val="00BD0263"/>
    <w:rsid w:val="00BD221E"/>
    <w:rsid w:val="00BD27EA"/>
    <w:rsid w:val="00BD28CA"/>
    <w:rsid w:val="00BD3AEC"/>
    <w:rsid w:val="00BD42D4"/>
    <w:rsid w:val="00BD4DC8"/>
    <w:rsid w:val="00BD5EED"/>
    <w:rsid w:val="00BD6A24"/>
    <w:rsid w:val="00BD6B19"/>
    <w:rsid w:val="00BD7E1B"/>
    <w:rsid w:val="00BE021D"/>
    <w:rsid w:val="00BE0B72"/>
    <w:rsid w:val="00BE0C92"/>
    <w:rsid w:val="00BE0EEF"/>
    <w:rsid w:val="00BE15DB"/>
    <w:rsid w:val="00BE1F43"/>
    <w:rsid w:val="00BE3176"/>
    <w:rsid w:val="00BE3EEA"/>
    <w:rsid w:val="00BE3F8B"/>
    <w:rsid w:val="00BE40E9"/>
    <w:rsid w:val="00BE4664"/>
    <w:rsid w:val="00BE5D6C"/>
    <w:rsid w:val="00BE69B0"/>
    <w:rsid w:val="00BE6CB5"/>
    <w:rsid w:val="00BE6D46"/>
    <w:rsid w:val="00BE7D1B"/>
    <w:rsid w:val="00BF09EE"/>
    <w:rsid w:val="00BF0BD5"/>
    <w:rsid w:val="00BF0DFA"/>
    <w:rsid w:val="00BF137C"/>
    <w:rsid w:val="00BF1F6B"/>
    <w:rsid w:val="00BF2178"/>
    <w:rsid w:val="00BF21C8"/>
    <w:rsid w:val="00BF2787"/>
    <w:rsid w:val="00BF3A89"/>
    <w:rsid w:val="00BF3BF9"/>
    <w:rsid w:val="00BF55DB"/>
    <w:rsid w:val="00BF5663"/>
    <w:rsid w:val="00BF58E8"/>
    <w:rsid w:val="00BF5B2A"/>
    <w:rsid w:val="00BF6A84"/>
    <w:rsid w:val="00BF6E4C"/>
    <w:rsid w:val="00BF7BCC"/>
    <w:rsid w:val="00C0013E"/>
    <w:rsid w:val="00C00E90"/>
    <w:rsid w:val="00C01085"/>
    <w:rsid w:val="00C01363"/>
    <w:rsid w:val="00C018F4"/>
    <w:rsid w:val="00C01D41"/>
    <w:rsid w:val="00C03473"/>
    <w:rsid w:val="00C035DF"/>
    <w:rsid w:val="00C03C79"/>
    <w:rsid w:val="00C04C28"/>
    <w:rsid w:val="00C05C2C"/>
    <w:rsid w:val="00C06036"/>
    <w:rsid w:val="00C06FF7"/>
    <w:rsid w:val="00C075CE"/>
    <w:rsid w:val="00C10104"/>
    <w:rsid w:val="00C10CA7"/>
    <w:rsid w:val="00C10EC0"/>
    <w:rsid w:val="00C1293E"/>
    <w:rsid w:val="00C12DE7"/>
    <w:rsid w:val="00C12ECE"/>
    <w:rsid w:val="00C13247"/>
    <w:rsid w:val="00C13489"/>
    <w:rsid w:val="00C151FF"/>
    <w:rsid w:val="00C152B5"/>
    <w:rsid w:val="00C15BB3"/>
    <w:rsid w:val="00C15EE3"/>
    <w:rsid w:val="00C15F53"/>
    <w:rsid w:val="00C16405"/>
    <w:rsid w:val="00C164E3"/>
    <w:rsid w:val="00C16540"/>
    <w:rsid w:val="00C1683E"/>
    <w:rsid w:val="00C169DF"/>
    <w:rsid w:val="00C169E4"/>
    <w:rsid w:val="00C175E5"/>
    <w:rsid w:val="00C17611"/>
    <w:rsid w:val="00C17A46"/>
    <w:rsid w:val="00C17AEF"/>
    <w:rsid w:val="00C20E68"/>
    <w:rsid w:val="00C20F99"/>
    <w:rsid w:val="00C214F2"/>
    <w:rsid w:val="00C219E2"/>
    <w:rsid w:val="00C21F6C"/>
    <w:rsid w:val="00C223C5"/>
    <w:rsid w:val="00C233EF"/>
    <w:rsid w:val="00C23408"/>
    <w:rsid w:val="00C237D5"/>
    <w:rsid w:val="00C237FB"/>
    <w:rsid w:val="00C23870"/>
    <w:rsid w:val="00C2389C"/>
    <w:rsid w:val="00C24D1F"/>
    <w:rsid w:val="00C24DBB"/>
    <w:rsid w:val="00C24E1A"/>
    <w:rsid w:val="00C26D7F"/>
    <w:rsid w:val="00C27242"/>
    <w:rsid w:val="00C27657"/>
    <w:rsid w:val="00C27BBE"/>
    <w:rsid w:val="00C300AA"/>
    <w:rsid w:val="00C3011F"/>
    <w:rsid w:val="00C3023D"/>
    <w:rsid w:val="00C308B5"/>
    <w:rsid w:val="00C312F3"/>
    <w:rsid w:val="00C3239B"/>
    <w:rsid w:val="00C32CEE"/>
    <w:rsid w:val="00C32FD4"/>
    <w:rsid w:val="00C330BC"/>
    <w:rsid w:val="00C3368A"/>
    <w:rsid w:val="00C3591C"/>
    <w:rsid w:val="00C359A0"/>
    <w:rsid w:val="00C35DCF"/>
    <w:rsid w:val="00C364F9"/>
    <w:rsid w:val="00C365E9"/>
    <w:rsid w:val="00C36DAF"/>
    <w:rsid w:val="00C36DC2"/>
    <w:rsid w:val="00C37296"/>
    <w:rsid w:val="00C378CB"/>
    <w:rsid w:val="00C401EE"/>
    <w:rsid w:val="00C409E5"/>
    <w:rsid w:val="00C40B54"/>
    <w:rsid w:val="00C41148"/>
    <w:rsid w:val="00C41436"/>
    <w:rsid w:val="00C41DFE"/>
    <w:rsid w:val="00C41F7A"/>
    <w:rsid w:val="00C43045"/>
    <w:rsid w:val="00C4351D"/>
    <w:rsid w:val="00C437B4"/>
    <w:rsid w:val="00C4444F"/>
    <w:rsid w:val="00C44F68"/>
    <w:rsid w:val="00C451AE"/>
    <w:rsid w:val="00C4581C"/>
    <w:rsid w:val="00C458FF"/>
    <w:rsid w:val="00C462FA"/>
    <w:rsid w:val="00C5108F"/>
    <w:rsid w:val="00C51904"/>
    <w:rsid w:val="00C51F35"/>
    <w:rsid w:val="00C54C35"/>
    <w:rsid w:val="00C559AA"/>
    <w:rsid w:val="00C55E68"/>
    <w:rsid w:val="00C56138"/>
    <w:rsid w:val="00C564F3"/>
    <w:rsid w:val="00C56B65"/>
    <w:rsid w:val="00C56D5C"/>
    <w:rsid w:val="00C5797A"/>
    <w:rsid w:val="00C57D50"/>
    <w:rsid w:val="00C60829"/>
    <w:rsid w:val="00C61157"/>
    <w:rsid w:val="00C6122E"/>
    <w:rsid w:val="00C618BB"/>
    <w:rsid w:val="00C62DB9"/>
    <w:rsid w:val="00C6377F"/>
    <w:rsid w:val="00C639D1"/>
    <w:rsid w:val="00C643C0"/>
    <w:rsid w:val="00C6579A"/>
    <w:rsid w:val="00C6582F"/>
    <w:rsid w:val="00C65983"/>
    <w:rsid w:val="00C66BC1"/>
    <w:rsid w:val="00C66CF8"/>
    <w:rsid w:val="00C7004C"/>
    <w:rsid w:val="00C70916"/>
    <w:rsid w:val="00C7101D"/>
    <w:rsid w:val="00C741AE"/>
    <w:rsid w:val="00C74765"/>
    <w:rsid w:val="00C75447"/>
    <w:rsid w:val="00C75A8E"/>
    <w:rsid w:val="00C809EC"/>
    <w:rsid w:val="00C8131F"/>
    <w:rsid w:val="00C81476"/>
    <w:rsid w:val="00C81736"/>
    <w:rsid w:val="00C82741"/>
    <w:rsid w:val="00C82CDE"/>
    <w:rsid w:val="00C8307E"/>
    <w:rsid w:val="00C840B2"/>
    <w:rsid w:val="00C8458E"/>
    <w:rsid w:val="00C85262"/>
    <w:rsid w:val="00C8677A"/>
    <w:rsid w:val="00C86F04"/>
    <w:rsid w:val="00C87341"/>
    <w:rsid w:val="00C87414"/>
    <w:rsid w:val="00C901E1"/>
    <w:rsid w:val="00C9035F"/>
    <w:rsid w:val="00C907E1"/>
    <w:rsid w:val="00C9165C"/>
    <w:rsid w:val="00C91978"/>
    <w:rsid w:val="00C91DAE"/>
    <w:rsid w:val="00C93170"/>
    <w:rsid w:val="00C933C8"/>
    <w:rsid w:val="00C935AA"/>
    <w:rsid w:val="00C93921"/>
    <w:rsid w:val="00C93943"/>
    <w:rsid w:val="00C93967"/>
    <w:rsid w:val="00C94340"/>
    <w:rsid w:val="00C94391"/>
    <w:rsid w:val="00C947E3"/>
    <w:rsid w:val="00C9487C"/>
    <w:rsid w:val="00C94D7E"/>
    <w:rsid w:val="00C95C69"/>
    <w:rsid w:val="00C95EAB"/>
    <w:rsid w:val="00C962EB"/>
    <w:rsid w:val="00C963D2"/>
    <w:rsid w:val="00C96D95"/>
    <w:rsid w:val="00C96EB0"/>
    <w:rsid w:val="00CA0A66"/>
    <w:rsid w:val="00CA1124"/>
    <w:rsid w:val="00CA190F"/>
    <w:rsid w:val="00CA1CAD"/>
    <w:rsid w:val="00CA1EAA"/>
    <w:rsid w:val="00CA1ED4"/>
    <w:rsid w:val="00CA27EF"/>
    <w:rsid w:val="00CA2C90"/>
    <w:rsid w:val="00CA2F9F"/>
    <w:rsid w:val="00CA3F0D"/>
    <w:rsid w:val="00CA53E3"/>
    <w:rsid w:val="00CA570A"/>
    <w:rsid w:val="00CA624D"/>
    <w:rsid w:val="00CA6BED"/>
    <w:rsid w:val="00CA6E28"/>
    <w:rsid w:val="00CA72BB"/>
    <w:rsid w:val="00CA744B"/>
    <w:rsid w:val="00CA74F1"/>
    <w:rsid w:val="00CA7598"/>
    <w:rsid w:val="00CB1BF4"/>
    <w:rsid w:val="00CB1F45"/>
    <w:rsid w:val="00CB204E"/>
    <w:rsid w:val="00CB23E7"/>
    <w:rsid w:val="00CB2CF4"/>
    <w:rsid w:val="00CB2FAA"/>
    <w:rsid w:val="00CB30A4"/>
    <w:rsid w:val="00CB372A"/>
    <w:rsid w:val="00CB4348"/>
    <w:rsid w:val="00CB58B7"/>
    <w:rsid w:val="00CB5B3E"/>
    <w:rsid w:val="00CB5EEC"/>
    <w:rsid w:val="00CB6F88"/>
    <w:rsid w:val="00CC0055"/>
    <w:rsid w:val="00CC174E"/>
    <w:rsid w:val="00CC1762"/>
    <w:rsid w:val="00CC1E8F"/>
    <w:rsid w:val="00CC26AD"/>
    <w:rsid w:val="00CC3160"/>
    <w:rsid w:val="00CC3D0C"/>
    <w:rsid w:val="00CC4A0C"/>
    <w:rsid w:val="00CC4CB6"/>
    <w:rsid w:val="00CC50EF"/>
    <w:rsid w:val="00CC6141"/>
    <w:rsid w:val="00CC62B6"/>
    <w:rsid w:val="00CC6619"/>
    <w:rsid w:val="00CC7212"/>
    <w:rsid w:val="00CC7C03"/>
    <w:rsid w:val="00CC7C09"/>
    <w:rsid w:val="00CD0428"/>
    <w:rsid w:val="00CD12AF"/>
    <w:rsid w:val="00CD14F2"/>
    <w:rsid w:val="00CD1712"/>
    <w:rsid w:val="00CD180E"/>
    <w:rsid w:val="00CD1A39"/>
    <w:rsid w:val="00CD2284"/>
    <w:rsid w:val="00CD296D"/>
    <w:rsid w:val="00CD300F"/>
    <w:rsid w:val="00CD3548"/>
    <w:rsid w:val="00CD43B3"/>
    <w:rsid w:val="00CD49B6"/>
    <w:rsid w:val="00CD61F9"/>
    <w:rsid w:val="00CD728A"/>
    <w:rsid w:val="00CD7890"/>
    <w:rsid w:val="00CD79AC"/>
    <w:rsid w:val="00CE0E9B"/>
    <w:rsid w:val="00CE112A"/>
    <w:rsid w:val="00CE1171"/>
    <w:rsid w:val="00CE1323"/>
    <w:rsid w:val="00CE1941"/>
    <w:rsid w:val="00CE2DE9"/>
    <w:rsid w:val="00CE2F9B"/>
    <w:rsid w:val="00CE487F"/>
    <w:rsid w:val="00CE4975"/>
    <w:rsid w:val="00CE4B35"/>
    <w:rsid w:val="00CE5202"/>
    <w:rsid w:val="00CE52B1"/>
    <w:rsid w:val="00CE6204"/>
    <w:rsid w:val="00CE6399"/>
    <w:rsid w:val="00CE6FEC"/>
    <w:rsid w:val="00CE7BF9"/>
    <w:rsid w:val="00CF018B"/>
    <w:rsid w:val="00CF01B0"/>
    <w:rsid w:val="00CF0D0E"/>
    <w:rsid w:val="00CF16EB"/>
    <w:rsid w:val="00CF2120"/>
    <w:rsid w:val="00CF346F"/>
    <w:rsid w:val="00CF38F0"/>
    <w:rsid w:val="00CF4476"/>
    <w:rsid w:val="00CF4FE6"/>
    <w:rsid w:val="00CF534C"/>
    <w:rsid w:val="00CF5A6B"/>
    <w:rsid w:val="00CF729B"/>
    <w:rsid w:val="00D00516"/>
    <w:rsid w:val="00D00748"/>
    <w:rsid w:val="00D007A0"/>
    <w:rsid w:val="00D00E35"/>
    <w:rsid w:val="00D01774"/>
    <w:rsid w:val="00D02743"/>
    <w:rsid w:val="00D02E6A"/>
    <w:rsid w:val="00D043D7"/>
    <w:rsid w:val="00D05275"/>
    <w:rsid w:val="00D06229"/>
    <w:rsid w:val="00D06E7F"/>
    <w:rsid w:val="00D077F3"/>
    <w:rsid w:val="00D1036D"/>
    <w:rsid w:val="00D10FA6"/>
    <w:rsid w:val="00D12501"/>
    <w:rsid w:val="00D12793"/>
    <w:rsid w:val="00D13C79"/>
    <w:rsid w:val="00D13ED0"/>
    <w:rsid w:val="00D14D7B"/>
    <w:rsid w:val="00D1520F"/>
    <w:rsid w:val="00D16C24"/>
    <w:rsid w:val="00D170D4"/>
    <w:rsid w:val="00D20B13"/>
    <w:rsid w:val="00D21DA1"/>
    <w:rsid w:val="00D21FAC"/>
    <w:rsid w:val="00D258F4"/>
    <w:rsid w:val="00D25CEF"/>
    <w:rsid w:val="00D26D97"/>
    <w:rsid w:val="00D2717A"/>
    <w:rsid w:val="00D271E8"/>
    <w:rsid w:val="00D272BF"/>
    <w:rsid w:val="00D27D69"/>
    <w:rsid w:val="00D3112D"/>
    <w:rsid w:val="00D31BAA"/>
    <w:rsid w:val="00D31C5F"/>
    <w:rsid w:val="00D327F9"/>
    <w:rsid w:val="00D3303D"/>
    <w:rsid w:val="00D339CB"/>
    <w:rsid w:val="00D33B04"/>
    <w:rsid w:val="00D33CF3"/>
    <w:rsid w:val="00D34263"/>
    <w:rsid w:val="00D34737"/>
    <w:rsid w:val="00D347B6"/>
    <w:rsid w:val="00D34974"/>
    <w:rsid w:val="00D35390"/>
    <w:rsid w:val="00D354FE"/>
    <w:rsid w:val="00D35740"/>
    <w:rsid w:val="00D35A47"/>
    <w:rsid w:val="00D35AC8"/>
    <w:rsid w:val="00D35D00"/>
    <w:rsid w:val="00D36673"/>
    <w:rsid w:val="00D37537"/>
    <w:rsid w:val="00D37FE5"/>
    <w:rsid w:val="00D40398"/>
    <w:rsid w:val="00D4106B"/>
    <w:rsid w:val="00D42D86"/>
    <w:rsid w:val="00D434F8"/>
    <w:rsid w:val="00D43575"/>
    <w:rsid w:val="00D44111"/>
    <w:rsid w:val="00D44341"/>
    <w:rsid w:val="00D4494A"/>
    <w:rsid w:val="00D4526F"/>
    <w:rsid w:val="00D461DA"/>
    <w:rsid w:val="00D46E1E"/>
    <w:rsid w:val="00D47035"/>
    <w:rsid w:val="00D473F7"/>
    <w:rsid w:val="00D47BF2"/>
    <w:rsid w:val="00D50839"/>
    <w:rsid w:val="00D50C1A"/>
    <w:rsid w:val="00D50D33"/>
    <w:rsid w:val="00D50E76"/>
    <w:rsid w:val="00D50F6C"/>
    <w:rsid w:val="00D51D8B"/>
    <w:rsid w:val="00D52459"/>
    <w:rsid w:val="00D5376C"/>
    <w:rsid w:val="00D540C8"/>
    <w:rsid w:val="00D54140"/>
    <w:rsid w:val="00D54BDB"/>
    <w:rsid w:val="00D54ED0"/>
    <w:rsid w:val="00D55C29"/>
    <w:rsid w:val="00D56E1F"/>
    <w:rsid w:val="00D6046F"/>
    <w:rsid w:val="00D60597"/>
    <w:rsid w:val="00D60B58"/>
    <w:rsid w:val="00D61043"/>
    <w:rsid w:val="00D617BD"/>
    <w:rsid w:val="00D62340"/>
    <w:rsid w:val="00D62884"/>
    <w:rsid w:val="00D63A30"/>
    <w:rsid w:val="00D6464A"/>
    <w:rsid w:val="00D658AA"/>
    <w:rsid w:val="00D65D7C"/>
    <w:rsid w:val="00D7090B"/>
    <w:rsid w:val="00D709BC"/>
    <w:rsid w:val="00D71267"/>
    <w:rsid w:val="00D714E0"/>
    <w:rsid w:val="00D72924"/>
    <w:rsid w:val="00D729B9"/>
    <w:rsid w:val="00D74624"/>
    <w:rsid w:val="00D74F24"/>
    <w:rsid w:val="00D76F5D"/>
    <w:rsid w:val="00D7761E"/>
    <w:rsid w:val="00D80513"/>
    <w:rsid w:val="00D81045"/>
    <w:rsid w:val="00D814B3"/>
    <w:rsid w:val="00D82011"/>
    <w:rsid w:val="00D825B9"/>
    <w:rsid w:val="00D82636"/>
    <w:rsid w:val="00D8472B"/>
    <w:rsid w:val="00D85BEC"/>
    <w:rsid w:val="00D85F1D"/>
    <w:rsid w:val="00D86488"/>
    <w:rsid w:val="00D8660E"/>
    <w:rsid w:val="00D86B21"/>
    <w:rsid w:val="00D873C5"/>
    <w:rsid w:val="00D91BAB"/>
    <w:rsid w:val="00D91E7E"/>
    <w:rsid w:val="00D92624"/>
    <w:rsid w:val="00D947AB"/>
    <w:rsid w:val="00D94F42"/>
    <w:rsid w:val="00D94FDD"/>
    <w:rsid w:val="00D9559A"/>
    <w:rsid w:val="00D95DE2"/>
    <w:rsid w:val="00D95FA4"/>
    <w:rsid w:val="00D96671"/>
    <w:rsid w:val="00D979F5"/>
    <w:rsid w:val="00D97A21"/>
    <w:rsid w:val="00D97B0E"/>
    <w:rsid w:val="00D97C8F"/>
    <w:rsid w:val="00DA0FAF"/>
    <w:rsid w:val="00DA329A"/>
    <w:rsid w:val="00DA40B1"/>
    <w:rsid w:val="00DA561B"/>
    <w:rsid w:val="00DA5761"/>
    <w:rsid w:val="00DA5BF1"/>
    <w:rsid w:val="00DA7666"/>
    <w:rsid w:val="00DA7E17"/>
    <w:rsid w:val="00DA7F9D"/>
    <w:rsid w:val="00DB0F27"/>
    <w:rsid w:val="00DB110F"/>
    <w:rsid w:val="00DB161C"/>
    <w:rsid w:val="00DB2B08"/>
    <w:rsid w:val="00DB2D63"/>
    <w:rsid w:val="00DB3171"/>
    <w:rsid w:val="00DB39AF"/>
    <w:rsid w:val="00DB3C46"/>
    <w:rsid w:val="00DB3EA8"/>
    <w:rsid w:val="00DB4585"/>
    <w:rsid w:val="00DB4A78"/>
    <w:rsid w:val="00DB5983"/>
    <w:rsid w:val="00DB5C15"/>
    <w:rsid w:val="00DC0ADF"/>
    <w:rsid w:val="00DC1183"/>
    <w:rsid w:val="00DC13BD"/>
    <w:rsid w:val="00DC1A9E"/>
    <w:rsid w:val="00DC1F49"/>
    <w:rsid w:val="00DC2492"/>
    <w:rsid w:val="00DC2B10"/>
    <w:rsid w:val="00DC3415"/>
    <w:rsid w:val="00DC3FF8"/>
    <w:rsid w:val="00DC40EC"/>
    <w:rsid w:val="00DC4DEA"/>
    <w:rsid w:val="00DC5D82"/>
    <w:rsid w:val="00DC6991"/>
    <w:rsid w:val="00DD0182"/>
    <w:rsid w:val="00DD0566"/>
    <w:rsid w:val="00DD09D0"/>
    <w:rsid w:val="00DD0FB7"/>
    <w:rsid w:val="00DD2C8D"/>
    <w:rsid w:val="00DD3FEB"/>
    <w:rsid w:val="00DD44D4"/>
    <w:rsid w:val="00DD5270"/>
    <w:rsid w:val="00DD5777"/>
    <w:rsid w:val="00DD57A3"/>
    <w:rsid w:val="00DD5F34"/>
    <w:rsid w:val="00DE08AD"/>
    <w:rsid w:val="00DE0A4B"/>
    <w:rsid w:val="00DE11C1"/>
    <w:rsid w:val="00DE16BB"/>
    <w:rsid w:val="00DE261B"/>
    <w:rsid w:val="00DE2F7E"/>
    <w:rsid w:val="00DE36FF"/>
    <w:rsid w:val="00DE3DDE"/>
    <w:rsid w:val="00DE3E0E"/>
    <w:rsid w:val="00DE539F"/>
    <w:rsid w:val="00DE5723"/>
    <w:rsid w:val="00DE5991"/>
    <w:rsid w:val="00DE647B"/>
    <w:rsid w:val="00DE68BB"/>
    <w:rsid w:val="00DE758E"/>
    <w:rsid w:val="00DE7A98"/>
    <w:rsid w:val="00DE7C7F"/>
    <w:rsid w:val="00DF100D"/>
    <w:rsid w:val="00DF2648"/>
    <w:rsid w:val="00DF347F"/>
    <w:rsid w:val="00DF3767"/>
    <w:rsid w:val="00DF3931"/>
    <w:rsid w:val="00DF437A"/>
    <w:rsid w:val="00DF5496"/>
    <w:rsid w:val="00DF5D62"/>
    <w:rsid w:val="00DF61A5"/>
    <w:rsid w:val="00DF6C1B"/>
    <w:rsid w:val="00DF7215"/>
    <w:rsid w:val="00DF7B5E"/>
    <w:rsid w:val="00DF7C00"/>
    <w:rsid w:val="00E00700"/>
    <w:rsid w:val="00E013CA"/>
    <w:rsid w:val="00E0202C"/>
    <w:rsid w:val="00E03405"/>
    <w:rsid w:val="00E04393"/>
    <w:rsid w:val="00E04DDA"/>
    <w:rsid w:val="00E04FAD"/>
    <w:rsid w:val="00E05301"/>
    <w:rsid w:val="00E07759"/>
    <w:rsid w:val="00E07ADF"/>
    <w:rsid w:val="00E11A48"/>
    <w:rsid w:val="00E131FA"/>
    <w:rsid w:val="00E15915"/>
    <w:rsid w:val="00E15CB6"/>
    <w:rsid w:val="00E161C2"/>
    <w:rsid w:val="00E17D69"/>
    <w:rsid w:val="00E2073B"/>
    <w:rsid w:val="00E20D80"/>
    <w:rsid w:val="00E20E72"/>
    <w:rsid w:val="00E2167F"/>
    <w:rsid w:val="00E21E2F"/>
    <w:rsid w:val="00E233B6"/>
    <w:rsid w:val="00E23FDE"/>
    <w:rsid w:val="00E240F8"/>
    <w:rsid w:val="00E2510F"/>
    <w:rsid w:val="00E2674B"/>
    <w:rsid w:val="00E26799"/>
    <w:rsid w:val="00E267C6"/>
    <w:rsid w:val="00E27192"/>
    <w:rsid w:val="00E272DD"/>
    <w:rsid w:val="00E31B04"/>
    <w:rsid w:val="00E32125"/>
    <w:rsid w:val="00E329F1"/>
    <w:rsid w:val="00E32D77"/>
    <w:rsid w:val="00E33F73"/>
    <w:rsid w:val="00E34155"/>
    <w:rsid w:val="00E359E0"/>
    <w:rsid w:val="00E36546"/>
    <w:rsid w:val="00E36A6D"/>
    <w:rsid w:val="00E3709B"/>
    <w:rsid w:val="00E42A94"/>
    <w:rsid w:val="00E42F73"/>
    <w:rsid w:val="00E433BF"/>
    <w:rsid w:val="00E4427D"/>
    <w:rsid w:val="00E45451"/>
    <w:rsid w:val="00E45546"/>
    <w:rsid w:val="00E456CC"/>
    <w:rsid w:val="00E459DA"/>
    <w:rsid w:val="00E45C29"/>
    <w:rsid w:val="00E460E3"/>
    <w:rsid w:val="00E462AB"/>
    <w:rsid w:val="00E46736"/>
    <w:rsid w:val="00E47FA2"/>
    <w:rsid w:val="00E504B5"/>
    <w:rsid w:val="00E50F1D"/>
    <w:rsid w:val="00E51210"/>
    <w:rsid w:val="00E512AA"/>
    <w:rsid w:val="00E51830"/>
    <w:rsid w:val="00E51A0B"/>
    <w:rsid w:val="00E51D7E"/>
    <w:rsid w:val="00E52951"/>
    <w:rsid w:val="00E54223"/>
    <w:rsid w:val="00E5467E"/>
    <w:rsid w:val="00E55455"/>
    <w:rsid w:val="00E55986"/>
    <w:rsid w:val="00E55E49"/>
    <w:rsid w:val="00E56B55"/>
    <w:rsid w:val="00E572F5"/>
    <w:rsid w:val="00E57973"/>
    <w:rsid w:val="00E61C29"/>
    <w:rsid w:val="00E63AB0"/>
    <w:rsid w:val="00E65413"/>
    <w:rsid w:val="00E66FFF"/>
    <w:rsid w:val="00E67B37"/>
    <w:rsid w:val="00E702E2"/>
    <w:rsid w:val="00E70E19"/>
    <w:rsid w:val="00E71EE0"/>
    <w:rsid w:val="00E7233B"/>
    <w:rsid w:val="00E73EE1"/>
    <w:rsid w:val="00E74229"/>
    <w:rsid w:val="00E74873"/>
    <w:rsid w:val="00E74AD2"/>
    <w:rsid w:val="00E75887"/>
    <w:rsid w:val="00E75A4B"/>
    <w:rsid w:val="00E761B4"/>
    <w:rsid w:val="00E763D0"/>
    <w:rsid w:val="00E77D57"/>
    <w:rsid w:val="00E808CF"/>
    <w:rsid w:val="00E80B41"/>
    <w:rsid w:val="00E80BB1"/>
    <w:rsid w:val="00E81B67"/>
    <w:rsid w:val="00E824FB"/>
    <w:rsid w:val="00E82B4A"/>
    <w:rsid w:val="00E869DB"/>
    <w:rsid w:val="00E8707C"/>
    <w:rsid w:val="00E9077A"/>
    <w:rsid w:val="00E9079F"/>
    <w:rsid w:val="00E90918"/>
    <w:rsid w:val="00E90C83"/>
    <w:rsid w:val="00E90F0F"/>
    <w:rsid w:val="00E90F8D"/>
    <w:rsid w:val="00E92550"/>
    <w:rsid w:val="00E94A27"/>
    <w:rsid w:val="00E9606D"/>
    <w:rsid w:val="00E97039"/>
    <w:rsid w:val="00E97594"/>
    <w:rsid w:val="00E97FD3"/>
    <w:rsid w:val="00EA028D"/>
    <w:rsid w:val="00EA0549"/>
    <w:rsid w:val="00EA065A"/>
    <w:rsid w:val="00EA1FF2"/>
    <w:rsid w:val="00EA2368"/>
    <w:rsid w:val="00EA269D"/>
    <w:rsid w:val="00EA27B7"/>
    <w:rsid w:val="00EA3D91"/>
    <w:rsid w:val="00EA3FEB"/>
    <w:rsid w:val="00EA41BC"/>
    <w:rsid w:val="00EA49FA"/>
    <w:rsid w:val="00EA59E4"/>
    <w:rsid w:val="00EA6868"/>
    <w:rsid w:val="00EA68A1"/>
    <w:rsid w:val="00EA6B25"/>
    <w:rsid w:val="00EA6B3E"/>
    <w:rsid w:val="00EA6DE2"/>
    <w:rsid w:val="00EA7236"/>
    <w:rsid w:val="00EB097B"/>
    <w:rsid w:val="00EB1AE4"/>
    <w:rsid w:val="00EB1DD1"/>
    <w:rsid w:val="00EB42C7"/>
    <w:rsid w:val="00EB50F1"/>
    <w:rsid w:val="00EB57B8"/>
    <w:rsid w:val="00EB57D7"/>
    <w:rsid w:val="00EB78AE"/>
    <w:rsid w:val="00EC219A"/>
    <w:rsid w:val="00EC431A"/>
    <w:rsid w:val="00EC5106"/>
    <w:rsid w:val="00EC5B0E"/>
    <w:rsid w:val="00EC5CCD"/>
    <w:rsid w:val="00EC609E"/>
    <w:rsid w:val="00EC60F9"/>
    <w:rsid w:val="00EC622F"/>
    <w:rsid w:val="00EC66B9"/>
    <w:rsid w:val="00EC6772"/>
    <w:rsid w:val="00EC6B10"/>
    <w:rsid w:val="00EC6E84"/>
    <w:rsid w:val="00EC714C"/>
    <w:rsid w:val="00EC7BEF"/>
    <w:rsid w:val="00EC7CCA"/>
    <w:rsid w:val="00ED043E"/>
    <w:rsid w:val="00ED04D0"/>
    <w:rsid w:val="00ED055B"/>
    <w:rsid w:val="00ED0DF2"/>
    <w:rsid w:val="00ED1455"/>
    <w:rsid w:val="00ED1A09"/>
    <w:rsid w:val="00ED1DC5"/>
    <w:rsid w:val="00ED1E41"/>
    <w:rsid w:val="00ED2DF9"/>
    <w:rsid w:val="00ED62B1"/>
    <w:rsid w:val="00ED733F"/>
    <w:rsid w:val="00ED778B"/>
    <w:rsid w:val="00EE12B1"/>
    <w:rsid w:val="00EE1DBD"/>
    <w:rsid w:val="00EE234F"/>
    <w:rsid w:val="00EE2736"/>
    <w:rsid w:val="00EE2A58"/>
    <w:rsid w:val="00EE2CF2"/>
    <w:rsid w:val="00EE2EB0"/>
    <w:rsid w:val="00EE2F1E"/>
    <w:rsid w:val="00EE30EE"/>
    <w:rsid w:val="00EE339A"/>
    <w:rsid w:val="00EE4070"/>
    <w:rsid w:val="00EE4797"/>
    <w:rsid w:val="00EE51F2"/>
    <w:rsid w:val="00EE53DF"/>
    <w:rsid w:val="00EE5647"/>
    <w:rsid w:val="00EE584E"/>
    <w:rsid w:val="00EE5EB2"/>
    <w:rsid w:val="00EE615E"/>
    <w:rsid w:val="00EE65A3"/>
    <w:rsid w:val="00EE6B13"/>
    <w:rsid w:val="00EE6BDF"/>
    <w:rsid w:val="00EE735E"/>
    <w:rsid w:val="00EE7619"/>
    <w:rsid w:val="00EF0EB2"/>
    <w:rsid w:val="00EF122C"/>
    <w:rsid w:val="00EF2062"/>
    <w:rsid w:val="00EF24DB"/>
    <w:rsid w:val="00EF294F"/>
    <w:rsid w:val="00EF3FD4"/>
    <w:rsid w:val="00EF4A8B"/>
    <w:rsid w:val="00EF4C9E"/>
    <w:rsid w:val="00EF5133"/>
    <w:rsid w:val="00EF5ABB"/>
    <w:rsid w:val="00EF707E"/>
    <w:rsid w:val="00EF7620"/>
    <w:rsid w:val="00EF787A"/>
    <w:rsid w:val="00F0060F"/>
    <w:rsid w:val="00F007DB"/>
    <w:rsid w:val="00F00B28"/>
    <w:rsid w:val="00F01107"/>
    <w:rsid w:val="00F018BA"/>
    <w:rsid w:val="00F01A90"/>
    <w:rsid w:val="00F01CEF"/>
    <w:rsid w:val="00F02EC2"/>
    <w:rsid w:val="00F04605"/>
    <w:rsid w:val="00F0660E"/>
    <w:rsid w:val="00F07615"/>
    <w:rsid w:val="00F10015"/>
    <w:rsid w:val="00F12460"/>
    <w:rsid w:val="00F13AAC"/>
    <w:rsid w:val="00F1414F"/>
    <w:rsid w:val="00F1415F"/>
    <w:rsid w:val="00F144DC"/>
    <w:rsid w:val="00F145C7"/>
    <w:rsid w:val="00F1473C"/>
    <w:rsid w:val="00F14786"/>
    <w:rsid w:val="00F148D9"/>
    <w:rsid w:val="00F15206"/>
    <w:rsid w:val="00F154EB"/>
    <w:rsid w:val="00F15C0A"/>
    <w:rsid w:val="00F163DD"/>
    <w:rsid w:val="00F1655A"/>
    <w:rsid w:val="00F17DE6"/>
    <w:rsid w:val="00F2111E"/>
    <w:rsid w:val="00F22298"/>
    <w:rsid w:val="00F2254B"/>
    <w:rsid w:val="00F23C61"/>
    <w:rsid w:val="00F240B4"/>
    <w:rsid w:val="00F24187"/>
    <w:rsid w:val="00F2446E"/>
    <w:rsid w:val="00F2447A"/>
    <w:rsid w:val="00F24A6D"/>
    <w:rsid w:val="00F24BE0"/>
    <w:rsid w:val="00F26442"/>
    <w:rsid w:val="00F27717"/>
    <w:rsid w:val="00F30627"/>
    <w:rsid w:val="00F31048"/>
    <w:rsid w:val="00F3108B"/>
    <w:rsid w:val="00F310A6"/>
    <w:rsid w:val="00F312BF"/>
    <w:rsid w:val="00F31E2F"/>
    <w:rsid w:val="00F323FB"/>
    <w:rsid w:val="00F33031"/>
    <w:rsid w:val="00F3413D"/>
    <w:rsid w:val="00F345F8"/>
    <w:rsid w:val="00F35730"/>
    <w:rsid w:val="00F35768"/>
    <w:rsid w:val="00F378D5"/>
    <w:rsid w:val="00F40264"/>
    <w:rsid w:val="00F404A9"/>
    <w:rsid w:val="00F41F67"/>
    <w:rsid w:val="00F427FD"/>
    <w:rsid w:val="00F43F4B"/>
    <w:rsid w:val="00F44106"/>
    <w:rsid w:val="00F44991"/>
    <w:rsid w:val="00F44EA2"/>
    <w:rsid w:val="00F452BD"/>
    <w:rsid w:val="00F4545E"/>
    <w:rsid w:val="00F45CA7"/>
    <w:rsid w:val="00F468C9"/>
    <w:rsid w:val="00F471F1"/>
    <w:rsid w:val="00F47AA4"/>
    <w:rsid w:val="00F520B0"/>
    <w:rsid w:val="00F5252C"/>
    <w:rsid w:val="00F54C22"/>
    <w:rsid w:val="00F55996"/>
    <w:rsid w:val="00F6064B"/>
    <w:rsid w:val="00F614B0"/>
    <w:rsid w:val="00F61E50"/>
    <w:rsid w:val="00F627E1"/>
    <w:rsid w:val="00F63597"/>
    <w:rsid w:val="00F6424B"/>
    <w:rsid w:val="00F64274"/>
    <w:rsid w:val="00F65332"/>
    <w:rsid w:val="00F65E0F"/>
    <w:rsid w:val="00F65E94"/>
    <w:rsid w:val="00F66408"/>
    <w:rsid w:val="00F666CC"/>
    <w:rsid w:val="00F66798"/>
    <w:rsid w:val="00F70179"/>
    <w:rsid w:val="00F71174"/>
    <w:rsid w:val="00F71949"/>
    <w:rsid w:val="00F71EF5"/>
    <w:rsid w:val="00F72A5D"/>
    <w:rsid w:val="00F73191"/>
    <w:rsid w:val="00F732BB"/>
    <w:rsid w:val="00F73BFB"/>
    <w:rsid w:val="00F74444"/>
    <w:rsid w:val="00F744AD"/>
    <w:rsid w:val="00F75781"/>
    <w:rsid w:val="00F75DF0"/>
    <w:rsid w:val="00F75F62"/>
    <w:rsid w:val="00F76176"/>
    <w:rsid w:val="00F763B1"/>
    <w:rsid w:val="00F767D3"/>
    <w:rsid w:val="00F778C0"/>
    <w:rsid w:val="00F77EB8"/>
    <w:rsid w:val="00F804E6"/>
    <w:rsid w:val="00F807E0"/>
    <w:rsid w:val="00F8096D"/>
    <w:rsid w:val="00F80D87"/>
    <w:rsid w:val="00F81158"/>
    <w:rsid w:val="00F815D0"/>
    <w:rsid w:val="00F81992"/>
    <w:rsid w:val="00F81A14"/>
    <w:rsid w:val="00F81CB2"/>
    <w:rsid w:val="00F823AA"/>
    <w:rsid w:val="00F82843"/>
    <w:rsid w:val="00F836F4"/>
    <w:rsid w:val="00F83D32"/>
    <w:rsid w:val="00F84A4E"/>
    <w:rsid w:val="00F85163"/>
    <w:rsid w:val="00F85D7C"/>
    <w:rsid w:val="00F863A3"/>
    <w:rsid w:val="00F87521"/>
    <w:rsid w:val="00F8798F"/>
    <w:rsid w:val="00F87D80"/>
    <w:rsid w:val="00F87EE6"/>
    <w:rsid w:val="00F9054A"/>
    <w:rsid w:val="00F91F57"/>
    <w:rsid w:val="00F922FB"/>
    <w:rsid w:val="00F933E1"/>
    <w:rsid w:val="00F9372F"/>
    <w:rsid w:val="00F9415E"/>
    <w:rsid w:val="00F948D3"/>
    <w:rsid w:val="00F94EF7"/>
    <w:rsid w:val="00F94F3B"/>
    <w:rsid w:val="00F9549F"/>
    <w:rsid w:val="00F9591C"/>
    <w:rsid w:val="00F96297"/>
    <w:rsid w:val="00F9666E"/>
    <w:rsid w:val="00F977BC"/>
    <w:rsid w:val="00F97F16"/>
    <w:rsid w:val="00FA011B"/>
    <w:rsid w:val="00FA0510"/>
    <w:rsid w:val="00FA1D83"/>
    <w:rsid w:val="00FA1F75"/>
    <w:rsid w:val="00FA2E94"/>
    <w:rsid w:val="00FA3BBE"/>
    <w:rsid w:val="00FA4312"/>
    <w:rsid w:val="00FA4DD6"/>
    <w:rsid w:val="00FA53AB"/>
    <w:rsid w:val="00FA5813"/>
    <w:rsid w:val="00FA5DD0"/>
    <w:rsid w:val="00FA5E6E"/>
    <w:rsid w:val="00FA6271"/>
    <w:rsid w:val="00FA630F"/>
    <w:rsid w:val="00FA69CA"/>
    <w:rsid w:val="00FA6CFC"/>
    <w:rsid w:val="00FA701F"/>
    <w:rsid w:val="00FB0AAC"/>
    <w:rsid w:val="00FB1201"/>
    <w:rsid w:val="00FB2102"/>
    <w:rsid w:val="00FB2682"/>
    <w:rsid w:val="00FB2BE1"/>
    <w:rsid w:val="00FB2DC9"/>
    <w:rsid w:val="00FB3001"/>
    <w:rsid w:val="00FB446A"/>
    <w:rsid w:val="00FB4DDA"/>
    <w:rsid w:val="00FB693B"/>
    <w:rsid w:val="00FB73E9"/>
    <w:rsid w:val="00FB776F"/>
    <w:rsid w:val="00FB7ECD"/>
    <w:rsid w:val="00FC0604"/>
    <w:rsid w:val="00FC0629"/>
    <w:rsid w:val="00FC0B66"/>
    <w:rsid w:val="00FC0C6F"/>
    <w:rsid w:val="00FC0D02"/>
    <w:rsid w:val="00FC14C9"/>
    <w:rsid w:val="00FC2290"/>
    <w:rsid w:val="00FC22F4"/>
    <w:rsid w:val="00FC2BB5"/>
    <w:rsid w:val="00FC2F4B"/>
    <w:rsid w:val="00FC3FA2"/>
    <w:rsid w:val="00FC43CD"/>
    <w:rsid w:val="00FC525E"/>
    <w:rsid w:val="00FC52CD"/>
    <w:rsid w:val="00FC6BEF"/>
    <w:rsid w:val="00FC7555"/>
    <w:rsid w:val="00FC7850"/>
    <w:rsid w:val="00FC7861"/>
    <w:rsid w:val="00FC78FE"/>
    <w:rsid w:val="00FC7A96"/>
    <w:rsid w:val="00FD0284"/>
    <w:rsid w:val="00FD055F"/>
    <w:rsid w:val="00FD0DDA"/>
    <w:rsid w:val="00FD1861"/>
    <w:rsid w:val="00FD1930"/>
    <w:rsid w:val="00FD2174"/>
    <w:rsid w:val="00FD2251"/>
    <w:rsid w:val="00FD3959"/>
    <w:rsid w:val="00FD4684"/>
    <w:rsid w:val="00FD4D19"/>
    <w:rsid w:val="00FD4E25"/>
    <w:rsid w:val="00FD55AF"/>
    <w:rsid w:val="00FD589D"/>
    <w:rsid w:val="00FD5CF8"/>
    <w:rsid w:val="00FD6BDD"/>
    <w:rsid w:val="00FD77A6"/>
    <w:rsid w:val="00FE13D1"/>
    <w:rsid w:val="00FE15F7"/>
    <w:rsid w:val="00FE1600"/>
    <w:rsid w:val="00FE1BCB"/>
    <w:rsid w:val="00FE1EC3"/>
    <w:rsid w:val="00FE2100"/>
    <w:rsid w:val="00FE2E0A"/>
    <w:rsid w:val="00FE2E1C"/>
    <w:rsid w:val="00FE2E86"/>
    <w:rsid w:val="00FE2F2A"/>
    <w:rsid w:val="00FE2F84"/>
    <w:rsid w:val="00FE2FD3"/>
    <w:rsid w:val="00FE4DED"/>
    <w:rsid w:val="00FE516E"/>
    <w:rsid w:val="00FE53E3"/>
    <w:rsid w:val="00FE627A"/>
    <w:rsid w:val="00FE6E70"/>
    <w:rsid w:val="00FE706D"/>
    <w:rsid w:val="00FE7D45"/>
    <w:rsid w:val="00FF0BF7"/>
    <w:rsid w:val="00FF2665"/>
    <w:rsid w:val="00FF26FE"/>
    <w:rsid w:val="00FF2EE9"/>
    <w:rsid w:val="00FF2F7B"/>
    <w:rsid w:val="00FF3E15"/>
    <w:rsid w:val="00FF6439"/>
    <w:rsid w:val="00FF678D"/>
    <w:rsid w:val="00FF79E6"/>
    <w:rsid w:val="00FF7B93"/>
    <w:rsid w:val="00FF7E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A1133DA-8313-4A53-BFD9-4A4A39ED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320" w:lineRule="atLeast"/>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93784"/>
    <w:pPr>
      <w:spacing w:before="120"/>
    </w:pPr>
    <w:rPr>
      <w:rFonts w:ascii="Arial" w:hAnsi="Arial"/>
      <w:sz w:val="22"/>
      <w:lang w:eastAsia="en-US"/>
    </w:rPr>
  </w:style>
  <w:style w:type="paragraph" w:styleId="Otsikko1">
    <w:name w:val="heading 1"/>
    <w:aliases w:val="ESPON Heading 1"/>
    <w:basedOn w:val="Normaali"/>
    <w:next w:val="Normaali"/>
    <w:link w:val="Otsikko1Char"/>
    <w:qFormat/>
    <w:rsid w:val="00637487"/>
    <w:pPr>
      <w:keepNext/>
      <w:numPr>
        <w:numId w:val="1"/>
      </w:numPr>
      <w:spacing w:before="480" w:after="120"/>
      <w:outlineLvl w:val="0"/>
    </w:pPr>
    <w:rPr>
      <w:b/>
      <w:kern w:val="28"/>
      <w:sz w:val="28"/>
    </w:rPr>
  </w:style>
  <w:style w:type="paragraph" w:styleId="Otsikko2">
    <w:name w:val="heading 2"/>
    <w:aliases w:val="ESPON Heading 2"/>
    <w:basedOn w:val="Normaali"/>
    <w:next w:val="Normaali"/>
    <w:qFormat/>
    <w:rsid w:val="00AE5E68"/>
    <w:pPr>
      <w:keepNext/>
      <w:numPr>
        <w:ilvl w:val="1"/>
        <w:numId w:val="1"/>
      </w:numPr>
      <w:tabs>
        <w:tab w:val="clear" w:pos="879"/>
        <w:tab w:val="num" w:pos="4848"/>
      </w:tabs>
      <w:spacing w:after="120"/>
      <w:ind w:left="737"/>
      <w:outlineLvl w:val="1"/>
    </w:pPr>
    <w:rPr>
      <w:b/>
      <w:sz w:val="24"/>
    </w:rPr>
  </w:style>
  <w:style w:type="paragraph" w:styleId="Otsikko3">
    <w:name w:val="heading 3"/>
    <w:aliases w:val="ESPON Heading 3"/>
    <w:basedOn w:val="Normaali"/>
    <w:next w:val="Normaali"/>
    <w:qFormat/>
    <w:rsid w:val="00AF6C49"/>
    <w:pPr>
      <w:keepNext/>
      <w:numPr>
        <w:ilvl w:val="2"/>
        <w:numId w:val="1"/>
      </w:numPr>
      <w:spacing w:after="120"/>
      <w:outlineLvl w:val="2"/>
    </w:pPr>
    <w:rPr>
      <w:b/>
    </w:rPr>
  </w:style>
  <w:style w:type="paragraph" w:styleId="Otsikko4">
    <w:name w:val="heading 4"/>
    <w:aliases w:val="ESPON Heading 4"/>
    <w:basedOn w:val="Normaali"/>
    <w:next w:val="Normaali"/>
    <w:qFormat/>
    <w:rsid w:val="00AF6C49"/>
    <w:pPr>
      <w:keepNext/>
      <w:numPr>
        <w:ilvl w:val="3"/>
        <w:numId w:val="1"/>
      </w:numPr>
      <w:spacing w:after="120"/>
      <w:outlineLvl w:val="3"/>
    </w:pPr>
    <w:rPr>
      <w:b/>
      <w:sz w:val="24"/>
    </w:rPr>
  </w:style>
  <w:style w:type="paragraph" w:styleId="Otsikko5">
    <w:name w:val="heading 5"/>
    <w:aliases w:val="ESPON Heading 5"/>
    <w:basedOn w:val="Normaali"/>
    <w:next w:val="Normaali"/>
    <w:qFormat/>
    <w:rsid w:val="00AF6C49"/>
    <w:pPr>
      <w:numPr>
        <w:ilvl w:val="4"/>
        <w:numId w:val="1"/>
      </w:numPr>
      <w:spacing w:after="120"/>
      <w:outlineLvl w:val="4"/>
    </w:pPr>
    <w:rPr>
      <w:b/>
      <w:sz w:val="24"/>
    </w:rPr>
  </w:style>
  <w:style w:type="paragraph" w:styleId="Otsikko6">
    <w:name w:val="heading 6"/>
    <w:basedOn w:val="Normaali"/>
    <w:next w:val="Normaali"/>
    <w:qFormat/>
    <w:rsid w:val="00AF6C49"/>
    <w:pPr>
      <w:numPr>
        <w:ilvl w:val="5"/>
        <w:numId w:val="1"/>
      </w:numPr>
      <w:spacing w:before="240" w:after="60"/>
      <w:outlineLvl w:val="5"/>
    </w:pPr>
    <w:rPr>
      <w:i/>
    </w:rPr>
  </w:style>
  <w:style w:type="paragraph" w:styleId="Otsikko7">
    <w:name w:val="heading 7"/>
    <w:basedOn w:val="Normaali"/>
    <w:next w:val="Normaali"/>
    <w:qFormat/>
    <w:rsid w:val="00CF018B"/>
    <w:pPr>
      <w:numPr>
        <w:ilvl w:val="6"/>
        <w:numId w:val="1"/>
      </w:numPr>
      <w:spacing w:before="240" w:after="60"/>
      <w:outlineLvl w:val="6"/>
    </w:pPr>
  </w:style>
  <w:style w:type="paragraph" w:styleId="Otsikko8">
    <w:name w:val="heading 8"/>
    <w:basedOn w:val="Normaali"/>
    <w:next w:val="Normaali"/>
    <w:qFormat/>
    <w:rsid w:val="00CF018B"/>
    <w:pPr>
      <w:numPr>
        <w:ilvl w:val="7"/>
        <w:numId w:val="1"/>
      </w:numPr>
      <w:spacing w:before="240" w:after="60"/>
      <w:outlineLvl w:val="7"/>
    </w:pPr>
    <w:rPr>
      <w:i/>
    </w:rPr>
  </w:style>
  <w:style w:type="paragraph" w:styleId="Otsikko9">
    <w:name w:val="heading 9"/>
    <w:basedOn w:val="Normaali"/>
    <w:next w:val="Normaali"/>
    <w:qFormat/>
    <w:rsid w:val="00CF018B"/>
    <w:pPr>
      <w:numPr>
        <w:ilvl w:val="8"/>
        <w:numId w:val="1"/>
      </w:numPr>
      <w:spacing w:before="240" w:after="60"/>
      <w:outlineLvl w:val="8"/>
    </w:pPr>
    <w:rPr>
      <w:b/>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isluet1">
    <w:name w:val="toc 1"/>
    <w:aliases w:val="ESPON Index 1"/>
    <w:basedOn w:val="Normaali"/>
    <w:next w:val="Normaali"/>
    <w:autoRedefine/>
    <w:uiPriority w:val="39"/>
    <w:rsid w:val="00967807"/>
    <w:pPr>
      <w:tabs>
        <w:tab w:val="right" w:leader="dot" w:pos="9356"/>
      </w:tabs>
      <w:spacing w:before="0" w:line="360" w:lineRule="auto"/>
      <w:ind w:left="907" w:right="1134" w:hanging="907"/>
    </w:pPr>
    <w:rPr>
      <w:noProof/>
    </w:rPr>
  </w:style>
  <w:style w:type="paragraph" w:styleId="Sisluet5">
    <w:name w:val="toc 5"/>
    <w:aliases w:val="ESPON Index 5"/>
    <w:basedOn w:val="Normaali"/>
    <w:next w:val="Normaali"/>
    <w:autoRedefine/>
    <w:semiHidden/>
    <w:rsid w:val="00CF018B"/>
    <w:pPr>
      <w:tabs>
        <w:tab w:val="right" w:leader="dot" w:pos="9356"/>
      </w:tabs>
      <w:spacing w:line="240" w:lineRule="auto"/>
      <w:ind w:left="1134" w:right="1134" w:hanging="1134"/>
    </w:pPr>
    <w:rPr>
      <w:rFonts w:ascii="Verdana" w:hAnsi="Verdana"/>
      <w:noProof/>
    </w:rPr>
  </w:style>
  <w:style w:type="paragraph" w:styleId="Yltunniste">
    <w:name w:val="header"/>
    <w:basedOn w:val="Normaali"/>
    <w:rsid w:val="00CF018B"/>
    <w:pPr>
      <w:tabs>
        <w:tab w:val="center" w:pos="4536"/>
        <w:tab w:val="right" w:pos="9072"/>
      </w:tabs>
    </w:pPr>
  </w:style>
  <w:style w:type="paragraph" w:styleId="Sisluet2">
    <w:name w:val="toc 2"/>
    <w:aliases w:val="ESPON Index 2"/>
    <w:basedOn w:val="Normaali"/>
    <w:next w:val="Normaali"/>
    <w:autoRedefine/>
    <w:uiPriority w:val="39"/>
    <w:rsid w:val="00BB5A9A"/>
    <w:pPr>
      <w:tabs>
        <w:tab w:val="right" w:leader="dot" w:pos="9356"/>
      </w:tabs>
      <w:spacing w:line="360" w:lineRule="auto"/>
      <w:ind w:left="1191" w:right="1134" w:hanging="907"/>
    </w:pPr>
  </w:style>
  <w:style w:type="paragraph" w:styleId="Sisluet3">
    <w:name w:val="toc 3"/>
    <w:aliases w:val="ESPON Index 3"/>
    <w:basedOn w:val="Normaali"/>
    <w:next w:val="Normaali"/>
    <w:autoRedefine/>
    <w:uiPriority w:val="39"/>
    <w:rsid w:val="00CF018B"/>
    <w:pPr>
      <w:tabs>
        <w:tab w:val="right" w:leader="dot" w:pos="9356"/>
      </w:tabs>
      <w:spacing w:line="240" w:lineRule="auto"/>
      <w:ind w:left="907" w:right="1134" w:hanging="907"/>
    </w:pPr>
  </w:style>
  <w:style w:type="paragraph" w:styleId="Sisluet4">
    <w:name w:val="toc 4"/>
    <w:aliases w:val="ESPON Index 4"/>
    <w:basedOn w:val="Normaali"/>
    <w:next w:val="Normaali"/>
    <w:autoRedefine/>
    <w:semiHidden/>
    <w:rsid w:val="00CF018B"/>
    <w:pPr>
      <w:tabs>
        <w:tab w:val="right" w:leader="dot" w:pos="9356"/>
      </w:tabs>
      <w:spacing w:line="240" w:lineRule="auto"/>
      <w:ind w:left="1021" w:right="1134" w:hanging="1021"/>
    </w:pPr>
    <w:rPr>
      <w:rFonts w:ascii="Verdana" w:hAnsi="Verdana"/>
      <w:noProof/>
    </w:rPr>
  </w:style>
  <w:style w:type="paragraph" w:styleId="Sisluet6">
    <w:name w:val="toc 6"/>
    <w:aliases w:val="ESPON Index 6"/>
    <w:basedOn w:val="Normaali"/>
    <w:next w:val="Normaali"/>
    <w:autoRedefine/>
    <w:semiHidden/>
    <w:rsid w:val="00CF018B"/>
    <w:pPr>
      <w:tabs>
        <w:tab w:val="right" w:leader="dot" w:pos="9356"/>
      </w:tabs>
      <w:spacing w:line="240" w:lineRule="auto"/>
      <w:ind w:left="907" w:right="1134" w:hanging="907"/>
    </w:pPr>
    <w:rPr>
      <w:rFonts w:ascii="Verdana" w:hAnsi="Verdana"/>
      <w:b/>
      <w:noProof/>
    </w:rPr>
  </w:style>
  <w:style w:type="paragraph" w:styleId="Sisluet7">
    <w:name w:val="toc 7"/>
    <w:aliases w:val="ESPON Index 7"/>
    <w:basedOn w:val="Normaali"/>
    <w:next w:val="Normaali"/>
    <w:autoRedefine/>
    <w:semiHidden/>
    <w:rsid w:val="00CF018B"/>
    <w:pPr>
      <w:tabs>
        <w:tab w:val="right" w:leader="dot" w:pos="9356"/>
      </w:tabs>
      <w:spacing w:line="240" w:lineRule="auto"/>
      <w:ind w:left="907" w:right="1134" w:hanging="907"/>
    </w:pPr>
    <w:rPr>
      <w:rFonts w:ascii="Verdana" w:hAnsi="Verdana"/>
    </w:rPr>
  </w:style>
  <w:style w:type="paragraph" w:styleId="Sisluet8">
    <w:name w:val="toc 8"/>
    <w:basedOn w:val="Normaali"/>
    <w:next w:val="Normaali"/>
    <w:autoRedefine/>
    <w:semiHidden/>
    <w:rsid w:val="00CF018B"/>
    <w:pPr>
      <w:ind w:left="1400"/>
    </w:pPr>
  </w:style>
  <w:style w:type="paragraph" w:styleId="Sisluet9">
    <w:name w:val="toc 9"/>
    <w:basedOn w:val="Normaali"/>
    <w:next w:val="Normaali"/>
    <w:autoRedefine/>
    <w:semiHidden/>
    <w:rsid w:val="00CF018B"/>
    <w:pPr>
      <w:ind w:left="1600"/>
    </w:pPr>
  </w:style>
  <w:style w:type="paragraph" w:styleId="Alatunniste">
    <w:name w:val="footer"/>
    <w:basedOn w:val="Normaali"/>
    <w:link w:val="AlatunnisteChar"/>
    <w:uiPriority w:val="99"/>
    <w:rsid w:val="00CF018B"/>
    <w:pPr>
      <w:tabs>
        <w:tab w:val="center" w:pos="4536"/>
        <w:tab w:val="right" w:pos="9072"/>
      </w:tabs>
    </w:pPr>
  </w:style>
  <w:style w:type="character" w:customStyle="1" w:styleId="Otsikko1Char">
    <w:name w:val="Otsikko 1 Char"/>
    <w:aliases w:val="ESPON Heading 1 Char"/>
    <w:basedOn w:val="Kappaleenoletusfontti"/>
    <w:link w:val="Otsikko1"/>
    <w:rsid w:val="00056948"/>
    <w:rPr>
      <w:rFonts w:ascii="Arial" w:hAnsi="Arial"/>
      <w:b/>
      <w:kern w:val="28"/>
      <w:sz w:val="28"/>
      <w:lang w:eastAsia="en-US"/>
    </w:rPr>
  </w:style>
  <w:style w:type="paragraph" w:styleId="Kuvaotsikko">
    <w:name w:val="caption"/>
    <w:basedOn w:val="Normaali"/>
    <w:next w:val="Normaali"/>
    <w:uiPriority w:val="35"/>
    <w:qFormat/>
    <w:rsid w:val="00D95FA4"/>
    <w:rPr>
      <w:b/>
      <w:bCs/>
    </w:rPr>
  </w:style>
  <w:style w:type="table" w:styleId="TaulukkoRuudukko">
    <w:name w:val="Table Grid"/>
    <w:basedOn w:val="Normaalitaulukko"/>
    <w:uiPriority w:val="59"/>
    <w:rsid w:val="00AF6C4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ki">
    <w:name w:val="Hyperlink"/>
    <w:basedOn w:val="Kappaleenoletusfontti"/>
    <w:uiPriority w:val="99"/>
    <w:rsid w:val="00C82741"/>
    <w:rPr>
      <w:color w:val="0000FF"/>
      <w:u w:val="single"/>
    </w:rPr>
  </w:style>
  <w:style w:type="paragraph" w:styleId="Asiakirjanrakenneruutu">
    <w:name w:val="Document Map"/>
    <w:basedOn w:val="Normaali"/>
    <w:semiHidden/>
    <w:rsid w:val="003630B0"/>
    <w:rPr>
      <w:rFonts w:cs="Tahoma"/>
    </w:rPr>
  </w:style>
  <w:style w:type="paragraph" w:styleId="NormaaliWWW">
    <w:name w:val="Normal (Web)"/>
    <w:basedOn w:val="Normaali"/>
    <w:uiPriority w:val="99"/>
    <w:rsid w:val="00AF6C49"/>
    <w:pPr>
      <w:spacing w:before="100" w:beforeAutospacing="1" w:after="100" w:afterAutospacing="1" w:line="240" w:lineRule="auto"/>
      <w:jc w:val="left"/>
    </w:pPr>
    <w:rPr>
      <w:sz w:val="24"/>
      <w:szCs w:val="24"/>
      <w:lang w:val="de-DE" w:eastAsia="de-DE"/>
    </w:rPr>
  </w:style>
  <w:style w:type="character" w:styleId="AvattuHyperlinkki">
    <w:name w:val="FollowedHyperlink"/>
    <w:basedOn w:val="Kappaleenoletusfontti"/>
    <w:rsid w:val="00AF6C49"/>
    <w:rPr>
      <w:rFonts w:ascii="Arial" w:hAnsi="Arial"/>
      <w:color w:val="800080"/>
      <w:u w:val="single"/>
    </w:rPr>
  </w:style>
  <w:style w:type="paragraph" w:styleId="Kuvaotsikkoluettelo">
    <w:name w:val="table of figures"/>
    <w:basedOn w:val="Normaali"/>
    <w:next w:val="Normaali"/>
    <w:uiPriority w:val="99"/>
    <w:rsid w:val="005B346C"/>
  </w:style>
  <w:style w:type="character" w:styleId="Kommentinviite">
    <w:name w:val="annotation reference"/>
    <w:basedOn w:val="Kappaleenoletusfontti"/>
    <w:semiHidden/>
    <w:rsid w:val="004E266B"/>
    <w:rPr>
      <w:sz w:val="16"/>
      <w:szCs w:val="16"/>
    </w:rPr>
  </w:style>
  <w:style w:type="paragraph" w:styleId="Kommentinteksti">
    <w:name w:val="annotation text"/>
    <w:basedOn w:val="Normaali"/>
    <w:link w:val="KommentintekstiChar"/>
    <w:rsid w:val="004E266B"/>
  </w:style>
  <w:style w:type="paragraph" w:styleId="Kommentinotsikko">
    <w:name w:val="annotation subject"/>
    <w:basedOn w:val="Kommentinteksti"/>
    <w:next w:val="Kommentinteksti"/>
    <w:semiHidden/>
    <w:rsid w:val="004E266B"/>
    <w:rPr>
      <w:b/>
      <w:bCs/>
    </w:rPr>
  </w:style>
  <w:style w:type="paragraph" w:styleId="Seliteteksti">
    <w:name w:val="Balloon Text"/>
    <w:basedOn w:val="Normaali"/>
    <w:semiHidden/>
    <w:rsid w:val="001B06C0"/>
    <w:rPr>
      <w:rFonts w:ascii="Tahoma" w:hAnsi="Tahoma" w:cs="Tahoma"/>
      <w:sz w:val="16"/>
      <w:szCs w:val="16"/>
    </w:rPr>
  </w:style>
  <w:style w:type="character" w:styleId="Alaviitteenviite">
    <w:name w:val="footnote reference"/>
    <w:aliases w:val="Footnote symbol,Times 10 Point,Exposant 3 Point"/>
    <w:basedOn w:val="Kappaleenoletusfontti"/>
    <w:uiPriority w:val="99"/>
    <w:unhideWhenUsed/>
    <w:rsid w:val="00AF6C49"/>
    <w:rPr>
      <w:rFonts w:ascii="Arial" w:hAnsi="Arial"/>
      <w:vertAlign w:val="superscript"/>
    </w:rPr>
  </w:style>
  <w:style w:type="character" w:customStyle="1" w:styleId="AlatunnisteChar">
    <w:name w:val="Alatunniste Char"/>
    <w:basedOn w:val="Kappaleenoletusfontti"/>
    <w:link w:val="Alatunniste"/>
    <w:uiPriority w:val="99"/>
    <w:rsid w:val="004929E9"/>
    <w:rPr>
      <w:rFonts w:ascii="Arial" w:hAnsi="Arial"/>
      <w:sz w:val="22"/>
      <w:lang w:eastAsia="en-US"/>
    </w:rPr>
  </w:style>
  <w:style w:type="paragraph" w:customStyle="1" w:styleId="ESPONColophon">
    <w:name w:val="ESPON Colophon"/>
    <w:basedOn w:val="Normaali"/>
    <w:rsid w:val="00AF6C49"/>
    <w:pPr>
      <w:spacing w:before="0"/>
      <w:ind w:right="5103"/>
      <w:jc w:val="left"/>
    </w:pPr>
    <w:rPr>
      <w:sz w:val="16"/>
    </w:rPr>
  </w:style>
  <w:style w:type="character" w:styleId="Sivunumero">
    <w:name w:val="page number"/>
    <w:basedOn w:val="Kappaleenoletusfontti"/>
    <w:rsid w:val="00AF6C49"/>
    <w:rPr>
      <w:rFonts w:ascii="Arial" w:hAnsi="Arial"/>
    </w:rPr>
  </w:style>
  <w:style w:type="paragraph" w:customStyle="1" w:styleId="ESPONText">
    <w:name w:val="ESPON Text"/>
    <w:basedOn w:val="Normaali"/>
    <w:rsid w:val="00AF6C49"/>
    <w:pPr>
      <w:spacing w:before="0" w:after="120"/>
    </w:pPr>
    <w:rPr>
      <w:lang w:eastAsia="de-DE"/>
    </w:rPr>
  </w:style>
  <w:style w:type="paragraph" w:customStyle="1" w:styleId="ESPONSubtitle">
    <w:name w:val="ESPON Subtitle"/>
    <w:basedOn w:val="Normaali"/>
    <w:next w:val="ESPONText"/>
    <w:rsid w:val="00AF6C49"/>
    <w:pPr>
      <w:autoSpaceDE w:val="0"/>
      <w:autoSpaceDN w:val="0"/>
      <w:adjustRightInd w:val="0"/>
      <w:spacing w:after="240"/>
      <w:jc w:val="left"/>
    </w:pPr>
    <w:rPr>
      <w:b/>
      <w:color w:val="000000"/>
      <w:sz w:val="32"/>
    </w:rPr>
  </w:style>
  <w:style w:type="paragraph" w:styleId="Alaviitteenteksti">
    <w:name w:val="footnote text"/>
    <w:aliases w:val="Schriftart: 9 pt,Schriftart: 10 pt,Schriftart: 8 pt,WB-Fußnotentext,fn,Footnotes,Footnote ak"/>
    <w:basedOn w:val="Normaali"/>
    <w:link w:val="AlaviitteentekstiChar"/>
    <w:uiPriority w:val="99"/>
    <w:semiHidden/>
    <w:rsid w:val="00F75F62"/>
    <w:rPr>
      <w:sz w:val="20"/>
    </w:rPr>
  </w:style>
  <w:style w:type="paragraph" w:customStyle="1" w:styleId="Style10ptBoldRightBefore0pt">
    <w:name w:val="Style 10 pt Bold Right Before:  0 pt"/>
    <w:basedOn w:val="ESPONText"/>
    <w:rsid w:val="00074A6D"/>
    <w:pPr>
      <w:shd w:val="clear" w:color="auto" w:fill="000080"/>
      <w:jc w:val="right"/>
    </w:pPr>
    <w:rPr>
      <w:b/>
      <w:bCs/>
      <w:sz w:val="20"/>
    </w:rPr>
  </w:style>
  <w:style w:type="paragraph" w:styleId="Luettelokappale">
    <w:name w:val="List Paragraph"/>
    <w:basedOn w:val="Normaali"/>
    <w:uiPriority w:val="34"/>
    <w:qFormat/>
    <w:rsid w:val="007631FF"/>
    <w:pPr>
      <w:ind w:left="720"/>
      <w:contextualSpacing/>
    </w:pPr>
  </w:style>
  <w:style w:type="character" w:customStyle="1" w:styleId="AlaviitteentekstiChar">
    <w:name w:val="Alaviitteen teksti Char"/>
    <w:aliases w:val="Schriftart: 9 pt Char,Schriftart: 10 pt Char,Schriftart: 8 pt Char,WB-Fußnotentext Char,fn Char,Footnotes Char,Footnote ak Char"/>
    <w:link w:val="Alaviitteenteksti"/>
    <w:uiPriority w:val="99"/>
    <w:semiHidden/>
    <w:locked/>
    <w:rsid w:val="0012683A"/>
    <w:rPr>
      <w:rFonts w:ascii="Arial" w:hAnsi="Arial"/>
      <w:lang w:eastAsia="en-US"/>
    </w:rPr>
  </w:style>
  <w:style w:type="table" w:customStyle="1" w:styleId="LightGrid1">
    <w:name w:val="Light Grid1"/>
    <w:basedOn w:val="Normaalitaulukko"/>
    <w:uiPriority w:val="62"/>
    <w:rsid w:val="009D67B9"/>
    <w:rPr>
      <w:rFonts w:asciiTheme="minorHAnsi" w:eastAsiaTheme="minorEastAsia" w:hAnsiTheme="minorHAnsi" w:cstheme="minorBidi"/>
      <w:sz w:val="22"/>
      <w:szCs w:val="22"/>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Korostus">
    <w:name w:val="Emphasis"/>
    <w:basedOn w:val="Kappaleenoletusfontti"/>
    <w:uiPriority w:val="20"/>
    <w:qFormat/>
    <w:rsid w:val="00EF294F"/>
    <w:rPr>
      <w:i/>
      <w:iCs/>
    </w:rPr>
  </w:style>
  <w:style w:type="character" w:styleId="Voimakas">
    <w:name w:val="Strong"/>
    <w:basedOn w:val="Kappaleenoletusfontti"/>
    <w:uiPriority w:val="22"/>
    <w:qFormat/>
    <w:rsid w:val="007146D2"/>
    <w:rPr>
      <w:b/>
      <w:bCs/>
    </w:rPr>
  </w:style>
  <w:style w:type="character" w:customStyle="1" w:styleId="rightside">
    <w:name w:val="right_side"/>
    <w:basedOn w:val="Kappaleenoletusfontti"/>
    <w:rsid w:val="009F1733"/>
  </w:style>
  <w:style w:type="paragraph" w:customStyle="1" w:styleId="Default">
    <w:name w:val="Default"/>
    <w:rsid w:val="002E52A6"/>
    <w:pPr>
      <w:autoSpaceDE w:val="0"/>
      <w:autoSpaceDN w:val="0"/>
      <w:adjustRightInd w:val="0"/>
      <w:spacing w:line="240" w:lineRule="auto"/>
      <w:jc w:val="left"/>
    </w:pPr>
    <w:rPr>
      <w:rFonts w:ascii="Calibri" w:hAnsi="Calibri" w:cs="Calibri"/>
      <w:color w:val="000000"/>
      <w:sz w:val="24"/>
      <w:szCs w:val="24"/>
      <w:lang w:val="de-DE"/>
    </w:rPr>
  </w:style>
  <w:style w:type="paragraph" w:customStyle="1" w:styleId="Pa5">
    <w:name w:val="Pa5"/>
    <w:basedOn w:val="Default"/>
    <w:next w:val="Default"/>
    <w:uiPriority w:val="99"/>
    <w:rsid w:val="00490AF9"/>
    <w:pPr>
      <w:spacing w:after="180" w:line="221" w:lineRule="atLeast"/>
    </w:pPr>
    <w:rPr>
      <w:rFonts w:ascii="Times New Roman" w:hAnsi="Times New Roman" w:cs="Times New Roman"/>
      <w:color w:val="auto"/>
    </w:rPr>
  </w:style>
  <w:style w:type="character" w:customStyle="1" w:styleId="A10">
    <w:name w:val="A10"/>
    <w:uiPriority w:val="99"/>
    <w:rsid w:val="00490AF9"/>
    <w:rPr>
      <w:color w:val="211D1E"/>
      <w:sz w:val="12"/>
      <w:szCs w:val="12"/>
    </w:rPr>
  </w:style>
  <w:style w:type="character" w:customStyle="1" w:styleId="A3">
    <w:name w:val="A3"/>
    <w:uiPriority w:val="99"/>
    <w:rsid w:val="00335A82"/>
    <w:rPr>
      <w:rFonts w:cs="Gill Sans MT"/>
      <w:color w:val="211D1E"/>
      <w:sz w:val="28"/>
      <w:szCs w:val="28"/>
    </w:rPr>
  </w:style>
  <w:style w:type="paragraph" w:customStyle="1" w:styleId="Pa1">
    <w:name w:val="Pa1"/>
    <w:basedOn w:val="Default"/>
    <w:next w:val="Default"/>
    <w:uiPriority w:val="99"/>
    <w:rsid w:val="00335A82"/>
    <w:pPr>
      <w:spacing w:line="581" w:lineRule="atLeast"/>
    </w:pPr>
    <w:rPr>
      <w:rFonts w:ascii="Perpetua Titling MT" w:hAnsi="Perpetua Titling MT" w:cs="Times New Roman"/>
      <w:color w:val="auto"/>
    </w:rPr>
  </w:style>
  <w:style w:type="character" w:customStyle="1" w:styleId="A2">
    <w:name w:val="A2"/>
    <w:uiPriority w:val="99"/>
    <w:rsid w:val="00335A82"/>
    <w:rPr>
      <w:rFonts w:cs="Perpetua Titling MT"/>
      <w:color w:val="33275E"/>
      <w:sz w:val="38"/>
      <w:szCs w:val="38"/>
    </w:rPr>
  </w:style>
  <w:style w:type="character" w:customStyle="1" w:styleId="highlight">
    <w:name w:val="highlight"/>
    <w:basedOn w:val="Kappaleenoletusfontti"/>
    <w:rsid w:val="00B63058"/>
  </w:style>
  <w:style w:type="character" w:customStyle="1" w:styleId="hps">
    <w:name w:val="hps"/>
    <w:basedOn w:val="Kappaleenoletusfontti"/>
    <w:rsid w:val="004B4C38"/>
    <w:rPr>
      <w:rFonts w:cs="Times New Roman"/>
    </w:rPr>
  </w:style>
  <w:style w:type="character" w:customStyle="1" w:styleId="longtext">
    <w:name w:val="long_text"/>
    <w:basedOn w:val="Kappaleenoletusfontti"/>
    <w:rsid w:val="004B4C38"/>
    <w:rPr>
      <w:rFonts w:cs="Times New Roman"/>
    </w:rPr>
  </w:style>
  <w:style w:type="character" w:customStyle="1" w:styleId="maintitle">
    <w:name w:val="maintitle"/>
    <w:basedOn w:val="Kappaleenoletusfontti"/>
    <w:rsid w:val="00B14D18"/>
  </w:style>
  <w:style w:type="character" w:customStyle="1" w:styleId="definition">
    <w:name w:val="definition"/>
    <w:basedOn w:val="Kappaleenoletusfontti"/>
    <w:rsid w:val="006A155D"/>
  </w:style>
  <w:style w:type="table" w:styleId="TaulukkoLuettelo3">
    <w:name w:val="Table List 3"/>
    <w:basedOn w:val="Normaalitaulukko"/>
    <w:rsid w:val="00566D2A"/>
    <w:pPr>
      <w:spacing w:before="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Normaalivarjostus1-korostus3">
    <w:name w:val="Medium Shading 1 Accent 3"/>
    <w:basedOn w:val="Normaalitaulukko"/>
    <w:uiPriority w:val="63"/>
    <w:rsid w:val="00CC7C09"/>
    <w:pPr>
      <w:spacing w:line="240" w:lineRule="auto"/>
      <w:jc w:val="left"/>
    </w:pPr>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Normaalivarjostus1">
    <w:name w:val="Medium Shading 1"/>
    <w:basedOn w:val="Normaalitaulukko"/>
    <w:uiPriority w:val="63"/>
    <w:rsid w:val="00CC7C09"/>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ulukkoPerinteinen1">
    <w:name w:val="Table Classic 1"/>
    <w:basedOn w:val="Normaalitaulukko"/>
    <w:rsid w:val="00CC7C09"/>
    <w:pPr>
      <w:spacing w:before="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rsid w:val="00CC7C09"/>
    <w:pPr>
      <w:spacing w:before="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4">
    <w:name w:val="Table Columns 4"/>
    <w:basedOn w:val="Normaalitaulukko"/>
    <w:rsid w:val="00CC7C09"/>
    <w:pPr>
      <w:spacing w:before="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3">
    <w:name w:val="Table Columns 3"/>
    <w:basedOn w:val="Normaalitaulukko"/>
    <w:rsid w:val="00CC7C09"/>
    <w:pPr>
      <w:spacing w:before="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leaf">
    <w:name w:val="leaf"/>
    <w:basedOn w:val="Kappaleenoletusfontti"/>
    <w:rsid w:val="003D13BD"/>
  </w:style>
  <w:style w:type="character" w:customStyle="1" w:styleId="st">
    <w:name w:val="st"/>
    <w:basedOn w:val="Kappaleenoletusfontti"/>
    <w:rsid w:val="00D06229"/>
  </w:style>
  <w:style w:type="table" w:styleId="TaulukkoYksinkertainen2">
    <w:name w:val="Table Simple 2"/>
    <w:basedOn w:val="Normaalitaulukko"/>
    <w:rsid w:val="00C93921"/>
    <w:pPr>
      <w:spacing w:before="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KommentintekstiChar">
    <w:name w:val="Kommentin teksti Char"/>
    <w:basedOn w:val="Kappaleenoletusfontti"/>
    <w:link w:val="Kommentinteksti"/>
    <w:uiPriority w:val="99"/>
    <w:rsid w:val="005021BF"/>
    <w:rPr>
      <w:rFonts w:ascii="Arial" w:hAnsi="Arial"/>
      <w:sz w:val="22"/>
      <w:lang w:eastAsia="en-US"/>
    </w:rPr>
  </w:style>
  <w:style w:type="character" w:customStyle="1" w:styleId="A4">
    <w:name w:val="A4"/>
    <w:uiPriority w:val="99"/>
    <w:rsid w:val="00967807"/>
    <w:rPr>
      <w:rFonts w:cs="EC Square Sans Pro"/>
      <w:color w:val="000000"/>
      <w:sz w:val="20"/>
      <w:szCs w:val="20"/>
    </w:rPr>
  </w:style>
  <w:style w:type="paragraph" w:customStyle="1" w:styleId="ZDGName">
    <w:name w:val="Z_DGName"/>
    <w:basedOn w:val="Normaali"/>
    <w:rsid w:val="00967807"/>
    <w:pPr>
      <w:widowControl w:val="0"/>
      <w:autoSpaceDE w:val="0"/>
      <w:autoSpaceDN w:val="0"/>
      <w:spacing w:before="0" w:line="240" w:lineRule="auto"/>
      <w:ind w:right="85"/>
      <w:jc w:val="left"/>
    </w:pPr>
    <w:rPr>
      <w:rFonts w:cs="Arial"/>
      <w:sz w:val="16"/>
      <w:szCs w:val="16"/>
      <w:lang w:eastAsia="en-GB"/>
    </w:rPr>
  </w:style>
  <w:style w:type="paragraph" w:styleId="Sisllysluettelonotsikko">
    <w:name w:val="TOC Heading"/>
    <w:basedOn w:val="Otsikko1"/>
    <w:next w:val="Normaali"/>
    <w:uiPriority w:val="39"/>
    <w:semiHidden/>
    <w:unhideWhenUsed/>
    <w:qFormat/>
    <w:rsid w:val="00967807"/>
    <w:pPr>
      <w:keepLines/>
      <w:numPr>
        <w:numId w:val="0"/>
      </w:numPr>
      <w:spacing w:after="0" w:line="276" w:lineRule="auto"/>
      <w:jc w:val="left"/>
      <w:outlineLvl w:val="9"/>
    </w:pPr>
    <w:rPr>
      <w:rFonts w:asciiTheme="majorHAnsi" w:eastAsiaTheme="majorEastAsia" w:hAnsiTheme="majorHAnsi" w:cstheme="majorBidi"/>
      <w:bCs/>
      <w:color w:val="365F91" w:themeColor="accent1" w:themeShade="BF"/>
      <w:kern w:val="0"/>
      <w:szCs w:val="28"/>
      <w:lang w:val="en-US" w:eastAsia="ja-JP"/>
    </w:rPr>
  </w:style>
  <w:style w:type="character" w:customStyle="1" w:styleId="apple-converted-space">
    <w:name w:val="apple-converted-space"/>
    <w:basedOn w:val="Kappaleenoletusfontti"/>
    <w:rsid w:val="00443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4260">
      <w:bodyDiv w:val="1"/>
      <w:marLeft w:val="0"/>
      <w:marRight w:val="0"/>
      <w:marTop w:val="0"/>
      <w:marBottom w:val="0"/>
      <w:divBdr>
        <w:top w:val="none" w:sz="0" w:space="0" w:color="auto"/>
        <w:left w:val="none" w:sz="0" w:space="0" w:color="auto"/>
        <w:bottom w:val="none" w:sz="0" w:space="0" w:color="auto"/>
        <w:right w:val="none" w:sz="0" w:space="0" w:color="auto"/>
      </w:divBdr>
    </w:div>
    <w:div w:id="33969781">
      <w:bodyDiv w:val="1"/>
      <w:marLeft w:val="0"/>
      <w:marRight w:val="0"/>
      <w:marTop w:val="0"/>
      <w:marBottom w:val="0"/>
      <w:divBdr>
        <w:top w:val="none" w:sz="0" w:space="0" w:color="auto"/>
        <w:left w:val="none" w:sz="0" w:space="0" w:color="auto"/>
        <w:bottom w:val="none" w:sz="0" w:space="0" w:color="auto"/>
        <w:right w:val="none" w:sz="0" w:space="0" w:color="auto"/>
      </w:divBdr>
    </w:div>
    <w:div w:id="78067066">
      <w:bodyDiv w:val="1"/>
      <w:marLeft w:val="0"/>
      <w:marRight w:val="0"/>
      <w:marTop w:val="0"/>
      <w:marBottom w:val="0"/>
      <w:divBdr>
        <w:top w:val="none" w:sz="0" w:space="0" w:color="auto"/>
        <w:left w:val="none" w:sz="0" w:space="0" w:color="auto"/>
        <w:bottom w:val="none" w:sz="0" w:space="0" w:color="auto"/>
        <w:right w:val="none" w:sz="0" w:space="0" w:color="auto"/>
      </w:divBdr>
    </w:div>
    <w:div w:id="94715347">
      <w:bodyDiv w:val="1"/>
      <w:marLeft w:val="0"/>
      <w:marRight w:val="0"/>
      <w:marTop w:val="0"/>
      <w:marBottom w:val="0"/>
      <w:divBdr>
        <w:top w:val="none" w:sz="0" w:space="0" w:color="auto"/>
        <w:left w:val="none" w:sz="0" w:space="0" w:color="auto"/>
        <w:bottom w:val="none" w:sz="0" w:space="0" w:color="auto"/>
        <w:right w:val="none" w:sz="0" w:space="0" w:color="auto"/>
      </w:divBdr>
    </w:div>
    <w:div w:id="95634866">
      <w:bodyDiv w:val="1"/>
      <w:marLeft w:val="0"/>
      <w:marRight w:val="0"/>
      <w:marTop w:val="0"/>
      <w:marBottom w:val="0"/>
      <w:divBdr>
        <w:top w:val="none" w:sz="0" w:space="0" w:color="auto"/>
        <w:left w:val="none" w:sz="0" w:space="0" w:color="auto"/>
        <w:bottom w:val="none" w:sz="0" w:space="0" w:color="auto"/>
        <w:right w:val="none" w:sz="0" w:space="0" w:color="auto"/>
      </w:divBdr>
    </w:div>
    <w:div w:id="120727837">
      <w:bodyDiv w:val="1"/>
      <w:marLeft w:val="0"/>
      <w:marRight w:val="0"/>
      <w:marTop w:val="0"/>
      <w:marBottom w:val="0"/>
      <w:divBdr>
        <w:top w:val="none" w:sz="0" w:space="0" w:color="auto"/>
        <w:left w:val="none" w:sz="0" w:space="0" w:color="auto"/>
        <w:bottom w:val="none" w:sz="0" w:space="0" w:color="auto"/>
        <w:right w:val="none" w:sz="0" w:space="0" w:color="auto"/>
      </w:divBdr>
    </w:div>
    <w:div w:id="128744721">
      <w:bodyDiv w:val="1"/>
      <w:marLeft w:val="0"/>
      <w:marRight w:val="0"/>
      <w:marTop w:val="0"/>
      <w:marBottom w:val="0"/>
      <w:divBdr>
        <w:top w:val="none" w:sz="0" w:space="0" w:color="auto"/>
        <w:left w:val="none" w:sz="0" w:space="0" w:color="auto"/>
        <w:bottom w:val="none" w:sz="0" w:space="0" w:color="auto"/>
        <w:right w:val="none" w:sz="0" w:space="0" w:color="auto"/>
      </w:divBdr>
    </w:div>
    <w:div w:id="129203121">
      <w:bodyDiv w:val="1"/>
      <w:marLeft w:val="0"/>
      <w:marRight w:val="0"/>
      <w:marTop w:val="0"/>
      <w:marBottom w:val="0"/>
      <w:divBdr>
        <w:top w:val="none" w:sz="0" w:space="0" w:color="auto"/>
        <w:left w:val="none" w:sz="0" w:space="0" w:color="auto"/>
        <w:bottom w:val="none" w:sz="0" w:space="0" w:color="auto"/>
        <w:right w:val="none" w:sz="0" w:space="0" w:color="auto"/>
      </w:divBdr>
      <w:divsChild>
        <w:div w:id="171071939">
          <w:marLeft w:val="0"/>
          <w:marRight w:val="0"/>
          <w:marTop w:val="0"/>
          <w:marBottom w:val="0"/>
          <w:divBdr>
            <w:top w:val="none" w:sz="0" w:space="0" w:color="auto"/>
            <w:left w:val="none" w:sz="0" w:space="0" w:color="auto"/>
            <w:bottom w:val="none" w:sz="0" w:space="0" w:color="auto"/>
            <w:right w:val="none" w:sz="0" w:space="0" w:color="auto"/>
          </w:divBdr>
        </w:div>
        <w:div w:id="979462111">
          <w:marLeft w:val="0"/>
          <w:marRight w:val="0"/>
          <w:marTop w:val="0"/>
          <w:marBottom w:val="0"/>
          <w:divBdr>
            <w:top w:val="none" w:sz="0" w:space="0" w:color="auto"/>
            <w:left w:val="none" w:sz="0" w:space="0" w:color="auto"/>
            <w:bottom w:val="none" w:sz="0" w:space="0" w:color="auto"/>
            <w:right w:val="none" w:sz="0" w:space="0" w:color="auto"/>
          </w:divBdr>
        </w:div>
        <w:div w:id="55782177">
          <w:marLeft w:val="0"/>
          <w:marRight w:val="0"/>
          <w:marTop w:val="0"/>
          <w:marBottom w:val="0"/>
          <w:divBdr>
            <w:top w:val="none" w:sz="0" w:space="0" w:color="auto"/>
            <w:left w:val="none" w:sz="0" w:space="0" w:color="auto"/>
            <w:bottom w:val="none" w:sz="0" w:space="0" w:color="auto"/>
            <w:right w:val="none" w:sz="0" w:space="0" w:color="auto"/>
          </w:divBdr>
        </w:div>
        <w:div w:id="937107081">
          <w:marLeft w:val="0"/>
          <w:marRight w:val="0"/>
          <w:marTop w:val="0"/>
          <w:marBottom w:val="0"/>
          <w:divBdr>
            <w:top w:val="none" w:sz="0" w:space="0" w:color="auto"/>
            <w:left w:val="none" w:sz="0" w:space="0" w:color="auto"/>
            <w:bottom w:val="none" w:sz="0" w:space="0" w:color="auto"/>
            <w:right w:val="none" w:sz="0" w:space="0" w:color="auto"/>
          </w:divBdr>
        </w:div>
      </w:divsChild>
    </w:div>
    <w:div w:id="163594973">
      <w:bodyDiv w:val="1"/>
      <w:marLeft w:val="0"/>
      <w:marRight w:val="0"/>
      <w:marTop w:val="0"/>
      <w:marBottom w:val="0"/>
      <w:divBdr>
        <w:top w:val="none" w:sz="0" w:space="0" w:color="auto"/>
        <w:left w:val="none" w:sz="0" w:space="0" w:color="auto"/>
        <w:bottom w:val="none" w:sz="0" w:space="0" w:color="auto"/>
        <w:right w:val="none" w:sz="0" w:space="0" w:color="auto"/>
      </w:divBdr>
    </w:div>
    <w:div w:id="164982731">
      <w:bodyDiv w:val="1"/>
      <w:marLeft w:val="0"/>
      <w:marRight w:val="0"/>
      <w:marTop w:val="0"/>
      <w:marBottom w:val="0"/>
      <w:divBdr>
        <w:top w:val="none" w:sz="0" w:space="0" w:color="auto"/>
        <w:left w:val="none" w:sz="0" w:space="0" w:color="auto"/>
        <w:bottom w:val="none" w:sz="0" w:space="0" w:color="auto"/>
        <w:right w:val="none" w:sz="0" w:space="0" w:color="auto"/>
      </w:divBdr>
      <w:divsChild>
        <w:div w:id="1283611576">
          <w:marLeft w:val="0"/>
          <w:marRight w:val="0"/>
          <w:marTop w:val="0"/>
          <w:marBottom w:val="0"/>
          <w:divBdr>
            <w:top w:val="none" w:sz="0" w:space="0" w:color="auto"/>
            <w:left w:val="none" w:sz="0" w:space="0" w:color="auto"/>
            <w:bottom w:val="none" w:sz="0" w:space="0" w:color="auto"/>
            <w:right w:val="none" w:sz="0" w:space="0" w:color="auto"/>
          </w:divBdr>
        </w:div>
        <w:div w:id="1381705548">
          <w:marLeft w:val="0"/>
          <w:marRight w:val="0"/>
          <w:marTop w:val="0"/>
          <w:marBottom w:val="0"/>
          <w:divBdr>
            <w:top w:val="none" w:sz="0" w:space="0" w:color="auto"/>
            <w:left w:val="none" w:sz="0" w:space="0" w:color="auto"/>
            <w:bottom w:val="none" w:sz="0" w:space="0" w:color="auto"/>
            <w:right w:val="none" w:sz="0" w:space="0" w:color="auto"/>
          </w:divBdr>
        </w:div>
        <w:div w:id="355615075">
          <w:marLeft w:val="0"/>
          <w:marRight w:val="0"/>
          <w:marTop w:val="0"/>
          <w:marBottom w:val="0"/>
          <w:divBdr>
            <w:top w:val="none" w:sz="0" w:space="0" w:color="auto"/>
            <w:left w:val="none" w:sz="0" w:space="0" w:color="auto"/>
            <w:bottom w:val="none" w:sz="0" w:space="0" w:color="auto"/>
            <w:right w:val="none" w:sz="0" w:space="0" w:color="auto"/>
          </w:divBdr>
        </w:div>
        <w:div w:id="495536153">
          <w:marLeft w:val="0"/>
          <w:marRight w:val="0"/>
          <w:marTop w:val="0"/>
          <w:marBottom w:val="0"/>
          <w:divBdr>
            <w:top w:val="none" w:sz="0" w:space="0" w:color="auto"/>
            <w:left w:val="none" w:sz="0" w:space="0" w:color="auto"/>
            <w:bottom w:val="none" w:sz="0" w:space="0" w:color="auto"/>
            <w:right w:val="none" w:sz="0" w:space="0" w:color="auto"/>
          </w:divBdr>
        </w:div>
        <w:div w:id="252134136">
          <w:marLeft w:val="0"/>
          <w:marRight w:val="0"/>
          <w:marTop w:val="0"/>
          <w:marBottom w:val="0"/>
          <w:divBdr>
            <w:top w:val="none" w:sz="0" w:space="0" w:color="auto"/>
            <w:left w:val="none" w:sz="0" w:space="0" w:color="auto"/>
            <w:bottom w:val="none" w:sz="0" w:space="0" w:color="auto"/>
            <w:right w:val="none" w:sz="0" w:space="0" w:color="auto"/>
          </w:divBdr>
        </w:div>
        <w:div w:id="1323702576">
          <w:marLeft w:val="0"/>
          <w:marRight w:val="0"/>
          <w:marTop w:val="0"/>
          <w:marBottom w:val="0"/>
          <w:divBdr>
            <w:top w:val="none" w:sz="0" w:space="0" w:color="auto"/>
            <w:left w:val="none" w:sz="0" w:space="0" w:color="auto"/>
            <w:bottom w:val="none" w:sz="0" w:space="0" w:color="auto"/>
            <w:right w:val="none" w:sz="0" w:space="0" w:color="auto"/>
          </w:divBdr>
        </w:div>
        <w:div w:id="1225608355">
          <w:marLeft w:val="0"/>
          <w:marRight w:val="0"/>
          <w:marTop w:val="0"/>
          <w:marBottom w:val="0"/>
          <w:divBdr>
            <w:top w:val="none" w:sz="0" w:space="0" w:color="auto"/>
            <w:left w:val="none" w:sz="0" w:space="0" w:color="auto"/>
            <w:bottom w:val="none" w:sz="0" w:space="0" w:color="auto"/>
            <w:right w:val="none" w:sz="0" w:space="0" w:color="auto"/>
          </w:divBdr>
        </w:div>
        <w:div w:id="905192021">
          <w:marLeft w:val="0"/>
          <w:marRight w:val="0"/>
          <w:marTop w:val="0"/>
          <w:marBottom w:val="0"/>
          <w:divBdr>
            <w:top w:val="none" w:sz="0" w:space="0" w:color="auto"/>
            <w:left w:val="none" w:sz="0" w:space="0" w:color="auto"/>
            <w:bottom w:val="none" w:sz="0" w:space="0" w:color="auto"/>
            <w:right w:val="none" w:sz="0" w:space="0" w:color="auto"/>
          </w:divBdr>
        </w:div>
        <w:div w:id="1009915505">
          <w:marLeft w:val="0"/>
          <w:marRight w:val="0"/>
          <w:marTop w:val="0"/>
          <w:marBottom w:val="0"/>
          <w:divBdr>
            <w:top w:val="none" w:sz="0" w:space="0" w:color="auto"/>
            <w:left w:val="none" w:sz="0" w:space="0" w:color="auto"/>
            <w:bottom w:val="none" w:sz="0" w:space="0" w:color="auto"/>
            <w:right w:val="none" w:sz="0" w:space="0" w:color="auto"/>
          </w:divBdr>
        </w:div>
        <w:div w:id="2030717707">
          <w:marLeft w:val="0"/>
          <w:marRight w:val="0"/>
          <w:marTop w:val="0"/>
          <w:marBottom w:val="0"/>
          <w:divBdr>
            <w:top w:val="none" w:sz="0" w:space="0" w:color="auto"/>
            <w:left w:val="none" w:sz="0" w:space="0" w:color="auto"/>
            <w:bottom w:val="none" w:sz="0" w:space="0" w:color="auto"/>
            <w:right w:val="none" w:sz="0" w:space="0" w:color="auto"/>
          </w:divBdr>
        </w:div>
      </w:divsChild>
    </w:div>
    <w:div w:id="182401897">
      <w:bodyDiv w:val="1"/>
      <w:marLeft w:val="0"/>
      <w:marRight w:val="0"/>
      <w:marTop w:val="0"/>
      <w:marBottom w:val="0"/>
      <w:divBdr>
        <w:top w:val="none" w:sz="0" w:space="0" w:color="auto"/>
        <w:left w:val="none" w:sz="0" w:space="0" w:color="auto"/>
        <w:bottom w:val="none" w:sz="0" w:space="0" w:color="auto"/>
        <w:right w:val="none" w:sz="0" w:space="0" w:color="auto"/>
      </w:divBdr>
    </w:div>
    <w:div w:id="235827484">
      <w:bodyDiv w:val="1"/>
      <w:marLeft w:val="0"/>
      <w:marRight w:val="0"/>
      <w:marTop w:val="0"/>
      <w:marBottom w:val="0"/>
      <w:divBdr>
        <w:top w:val="none" w:sz="0" w:space="0" w:color="auto"/>
        <w:left w:val="none" w:sz="0" w:space="0" w:color="auto"/>
        <w:bottom w:val="none" w:sz="0" w:space="0" w:color="auto"/>
        <w:right w:val="none" w:sz="0" w:space="0" w:color="auto"/>
      </w:divBdr>
    </w:div>
    <w:div w:id="238290424">
      <w:bodyDiv w:val="1"/>
      <w:marLeft w:val="0"/>
      <w:marRight w:val="0"/>
      <w:marTop w:val="0"/>
      <w:marBottom w:val="0"/>
      <w:divBdr>
        <w:top w:val="none" w:sz="0" w:space="0" w:color="auto"/>
        <w:left w:val="none" w:sz="0" w:space="0" w:color="auto"/>
        <w:bottom w:val="none" w:sz="0" w:space="0" w:color="auto"/>
        <w:right w:val="none" w:sz="0" w:space="0" w:color="auto"/>
      </w:divBdr>
    </w:div>
    <w:div w:id="249512796">
      <w:bodyDiv w:val="1"/>
      <w:marLeft w:val="0"/>
      <w:marRight w:val="0"/>
      <w:marTop w:val="0"/>
      <w:marBottom w:val="0"/>
      <w:divBdr>
        <w:top w:val="none" w:sz="0" w:space="0" w:color="auto"/>
        <w:left w:val="none" w:sz="0" w:space="0" w:color="auto"/>
        <w:bottom w:val="none" w:sz="0" w:space="0" w:color="auto"/>
        <w:right w:val="none" w:sz="0" w:space="0" w:color="auto"/>
      </w:divBdr>
      <w:divsChild>
        <w:div w:id="492918875">
          <w:marLeft w:val="0"/>
          <w:marRight w:val="0"/>
          <w:marTop w:val="0"/>
          <w:marBottom w:val="0"/>
          <w:divBdr>
            <w:top w:val="none" w:sz="0" w:space="0" w:color="auto"/>
            <w:left w:val="none" w:sz="0" w:space="0" w:color="auto"/>
            <w:bottom w:val="none" w:sz="0" w:space="0" w:color="auto"/>
            <w:right w:val="none" w:sz="0" w:space="0" w:color="auto"/>
          </w:divBdr>
        </w:div>
        <w:div w:id="941646364">
          <w:marLeft w:val="0"/>
          <w:marRight w:val="0"/>
          <w:marTop w:val="0"/>
          <w:marBottom w:val="0"/>
          <w:divBdr>
            <w:top w:val="none" w:sz="0" w:space="0" w:color="auto"/>
            <w:left w:val="none" w:sz="0" w:space="0" w:color="auto"/>
            <w:bottom w:val="none" w:sz="0" w:space="0" w:color="auto"/>
            <w:right w:val="none" w:sz="0" w:space="0" w:color="auto"/>
          </w:divBdr>
        </w:div>
        <w:div w:id="2072847025">
          <w:marLeft w:val="0"/>
          <w:marRight w:val="0"/>
          <w:marTop w:val="0"/>
          <w:marBottom w:val="0"/>
          <w:divBdr>
            <w:top w:val="none" w:sz="0" w:space="0" w:color="auto"/>
            <w:left w:val="none" w:sz="0" w:space="0" w:color="auto"/>
            <w:bottom w:val="none" w:sz="0" w:space="0" w:color="auto"/>
            <w:right w:val="none" w:sz="0" w:space="0" w:color="auto"/>
          </w:divBdr>
        </w:div>
        <w:div w:id="2014717920">
          <w:marLeft w:val="0"/>
          <w:marRight w:val="0"/>
          <w:marTop w:val="0"/>
          <w:marBottom w:val="0"/>
          <w:divBdr>
            <w:top w:val="none" w:sz="0" w:space="0" w:color="auto"/>
            <w:left w:val="none" w:sz="0" w:space="0" w:color="auto"/>
            <w:bottom w:val="none" w:sz="0" w:space="0" w:color="auto"/>
            <w:right w:val="none" w:sz="0" w:space="0" w:color="auto"/>
          </w:divBdr>
        </w:div>
        <w:div w:id="1600486453">
          <w:marLeft w:val="0"/>
          <w:marRight w:val="0"/>
          <w:marTop w:val="0"/>
          <w:marBottom w:val="0"/>
          <w:divBdr>
            <w:top w:val="none" w:sz="0" w:space="0" w:color="auto"/>
            <w:left w:val="none" w:sz="0" w:space="0" w:color="auto"/>
            <w:bottom w:val="none" w:sz="0" w:space="0" w:color="auto"/>
            <w:right w:val="none" w:sz="0" w:space="0" w:color="auto"/>
          </w:divBdr>
        </w:div>
        <w:div w:id="508831369">
          <w:marLeft w:val="0"/>
          <w:marRight w:val="0"/>
          <w:marTop w:val="0"/>
          <w:marBottom w:val="0"/>
          <w:divBdr>
            <w:top w:val="none" w:sz="0" w:space="0" w:color="auto"/>
            <w:left w:val="none" w:sz="0" w:space="0" w:color="auto"/>
            <w:bottom w:val="none" w:sz="0" w:space="0" w:color="auto"/>
            <w:right w:val="none" w:sz="0" w:space="0" w:color="auto"/>
          </w:divBdr>
        </w:div>
        <w:div w:id="1542012050">
          <w:marLeft w:val="0"/>
          <w:marRight w:val="0"/>
          <w:marTop w:val="0"/>
          <w:marBottom w:val="0"/>
          <w:divBdr>
            <w:top w:val="none" w:sz="0" w:space="0" w:color="auto"/>
            <w:left w:val="none" w:sz="0" w:space="0" w:color="auto"/>
            <w:bottom w:val="none" w:sz="0" w:space="0" w:color="auto"/>
            <w:right w:val="none" w:sz="0" w:space="0" w:color="auto"/>
          </w:divBdr>
        </w:div>
        <w:div w:id="1336037598">
          <w:marLeft w:val="0"/>
          <w:marRight w:val="0"/>
          <w:marTop w:val="0"/>
          <w:marBottom w:val="0"/>
          <w:divBdr>
            <w:top w:val="none" w:sz="0" w:space="0" w:color="auto"/>
            <w:left w:val="none" w:sz="0" w:space="0" w:color="auto"/>
            <w:bottom w:val="none" w:sz="0" w:space="0" w:color="auto"/>
            <w:right w:val="none" w:sz="0" w:space="0" w:color="auto"/>
          </w:divBdr>
        </w:div>
        <w:div w:id="1805150539">
          <w:marLeft w:val="0"/>
          <w:marRight w:val="0"/>
          <w:marTop w:val="0"/>
          <w:marBottom w:val="0"/>
          <w:divBdr>
            <w:top w:val="none" w:sz="0" w:space="0" w:color="auto"/>
            <w:left w:val="none" w:sz="0" w:space="0" w:color="auto"/>
            <w:bottom w:val="none" w:sz="0" w:space="0" w:color="auto"/>
            <w:right w:val="none" w:sz="0" w:space="0" w:color="auto"/>
          </w:divBdr>
        </w:div>
      </w:divsChild>
    </w:div>
    <w:div w:id="253905147">
      <w:bodyDiv w:val="1"/>
      <w:marLeft w:val="0"/>
      <w:marRight w:val="0"/>
      <w:marTop w:val="0"/>
      <w:marBottom w:val="0"/>
      <w:divBdr>
        <w:top w:val="none" w:sz="0" w:space="0" w:color="auto"/>
        <w:left w:val="none" w:sz="0" w:space="0" w:color="auto"/>
        <w:bottom w:val="none" w:sz="0" w:space="0" w:color="auto"/>
        <w:right w:val="none" w:sz="0" w:space="0" w:color="auto"/>
      </w:divBdr>
    </w:div>
    <w:div w:id="274947561">
      <w:bodyDiv w:val="1"/>
      <w:marLeft w:val="0"/>
      <w:marRight w:val="0"/>
      <w:marTop w:val="0"/>
      <w:marBottom w:val="0"/>
      <w:divBdr>
        <w:top w:val="none" w:sz="0" w:space="0" w:color="auto"/>
        <w:left w:val="none" w:sz="0" w:space="0" w:color="auto"/>
        <w:bottom w:val="none" w:sz="0" w:space="0" w:color="auto"/>
        <w:right w:val="none" w:sz="0" w:space="0" w:color="auto"/>
      </w:divBdr>
    </w:div>
    <w:div w:id="282274254">
      <w:bodyDiv w:val="1"/>
      <w:marLeft w:val="0"/>
      <w:marRight w:val="0"/>
      <w:marTop w:val="0"/>
      <w:marBottom w:val="0"/>
      <w:divBdr>
        <w:top w:val="none" w:sz="0" w:space="0" w:color="auto"/>
        <w:left w:val="none" w:sz="0" w:space="0" w:color="auto"/>
        <w:bottom w:val="none" w:sz="0" w:space="0" w:color="auto"/>
        <w:right w:val="none" w:sz="0" w:space="0" w:color="auto"/>
      </w:divBdr>
    </w:div>
    <w:div w:id="320698561">
      <w:bodyDiv w:val="1"/>
      <w:marLeft w:val="0"/>
      <w:marRight w:val="0"/>
      <w:marTop w:val="0"/>
      <w:marBottom w:val="0"/>
      <w:divBdr>
        <w:top w:val="none" w:sz="0" w:space="0" w:color="auto"/>
        <w:left w:val="none" w:sz="0" w:space="0" w:color="auto"/>
        <w:bottom w:val="none" w:sz="0" w:space="0" w:color="auto"/>
        <w:right w:val="none" w:sz="0" w:space="0" w:color="auto"/>
      </w:divBdr>
    </w:div>
    <w:div w:id="325475433">
      <w:bodyDiv w:val="1"/>
      <w:marLeft w:val="0"/>
      <w:marRight w:val="0"/>
      <w:marTop w:val="0"/>
      <w:marBottom w:val="0"/>
      <w:divBdr>
        <w:top w:val="none" w:sz="0" w:space="0" w:color="auto"/>
        <w:left w:val="none" w:sz="0" w:space="0" w:color="auto"/>
        <w:bottom w:val="none" w:sz="0" w:space="0" w:color="auto"/>
        <w:right w:val="none" w:sz="0" w:space="0" w:color="auto"/>
      </w:divBdr>
    </w:div>
    <w:div w:id="358893538">
      <w:bodyDiv w:val="1"/>
      <w:marLeft w:val="0"/>
      <w:marRight w:val="0"/>
      <w:marTop w:val="0"/>
      <w:marBottom w:val="0"/>
      <w:divBdr>
        <w:top w:val="none" w:sz="0" w:space="0" w:color="auto"/>
        <w:left w:val="none" w:sz="0" w:space="0" w:color="auto"/>
        <w:bottom w:val="none" w:sz="0" w:space="0" w:color="auto"/>
        <w:right w:val="none" w:sz="0" w:space="0" w:color="auto"/>
      </w:divBdr>
      <w:divsChild>
        <w:div w:id="1893148147">
          <w:marLeft w:val="0"/>
          <w:marRight w:val="0"/>
          <w:marTop w:val="0"/>
          <w:marBottom w:val="0"/>
          <w:divBdr>
            <w:top w:val="none" w:sz="0" w:space="0" w:color="auto"/>
            <w:left w:val="none" w:sz="0" w:space="0" w:color="auto"/>
            <w:bottom w:val="none" w:sz="0" w:space="0" w:color="auto"/>
            <w:right w:val="none" w:sz="0" w:space="0" w:color="auto"/>
          </w:divBdr>
        </w:div>
        <w:div w:id="1699814670">
          <w:marLeft w:val="0"/>
          <w:marRight w:val="0"/>
          <w:marTop w:val="0"/>
          <w:marBottom w:val="0"/>
          <w:divBdr>
            <w:top w:val="none" w:sz="0" w:space="0" w:color="auto"/>
            <w:left w:val="none" w:sz="0" w:space="0" w:color="auto"/>
            <w:bottom w:val="none" w:sz="0" w:space="0" w:color="auto"/>
            <w:right w:val="none" w:sz="0" w:space="0" w:color="auto"/>
          </w:divBdr>
        </w:div>
        <w:div w:id="1039744072">
          <w:marLeft w:val="0"/>
          <w:marRight w:val="0"/>
          <w:marTop w:val="0"/>
          <w:marBottom w:val="0"/>
          <w:divBdr>
            <w:top w:val="none" w:sz="0" w:space="0" w:color="auto"/>
            <w:left w:val="none" w:sz="0" w:space="0" w:color="auto"/>
            <w:bottom w:val="none" w:sz="0" w:space="0" w:color="auto"/>
            <w:right w:val="none" w:sz="0" w:space="0" w:color="auto"/>
          </w:divBdr>
        </w:div>
        <w:div w:id="800074158">
          <w:marLeft w:val="0"/>
          <w:marRight w:val="0"/>
          <w:marTop w:val="0"/>
          <w:marBottom w:val="0"/>
          <w:divBdr>
            <w:top w:val="none" w:sz="0" w:space="0" w:color="auto"/>
            <w:left w:val="none" w:sz="0" w:space="0" w:color="auto"/>
            <w:bottom w:val="none" w:sz="0" w:space="0" w:color="auto"/>
            <w:right w:val="none" w:sz="0" w:space="0" w:color="auto"/>
          </w:divBdr>
        </w:div>
        <w:div w:id="341903656">
          <w:marLeft w:val="0"/>
          <w:marRight w:val="0"/>
          <w:marTop w:val="0"/>
          <w:marBottom w:val="0"/>
          <w:divBdr>
            <w:top w:val="none" w:sz="0" w:space="0" w:color="auto"/>
            <w:left w:val="none" w:sz="0" w:space="0" w:color="auto"/>
            <w:bottom w:val="none" w:sz="0" w:space="0" w:color="auto"/>
            <w:right w:val="none" w:sz="0" w:space="0" w:color="auto"/>
          </w:divBdr>
        </w:div>
        <w:div w:id="1264656330">
          <w:marLeft w:val="0"/>
          <w:marRight w:val="0"/>
          <w:marTop w:val="0"/>
          <w:marBottom w:val="0"/>
          <w:divBdr>
            <w:top w:val="none" w:sz="0" w:space="0" w:color="auto"/>
            <w:left w:val="none" w:sz="0" w:space="0" w:color="auto"/>
            <w:bottom w:val="none" w:sz="0" w:space="0" w:color="auto"/>
            <w:right w:val="none" w:sz="0" w:space="0" w:color="auto"/>
          </w:divBdr>
        </w:div>
      </w:divsChild>
    </w:div>
    <w:div w:id="388306098">
      <w:bodyDiv w:val="1"/>
      <w:marLeft w:val="0"/>
      <w:marRight w:val="0"/>
      <w:marTop w:val="0"/>
      <w:marBottom w:val="0"/>
      <w:divBdr>
        <w:top w:val="none" w:sz="0" w:space="0" w:color="auto"/>
        <w:left w:val="none" w:sz="0" w:space="0" w:color="auto"/>
        <w:bottom w:val="none" w:sz="0" w:space="0" w:color="auto"/>
        <w:right w:val="none" w:sz="0" w:space="0" w:color="auto"/>
      </w:divBdr>
      <w:divsChild>
        <w:div w:id="449323170">
          <w:marLeft w:val="0"/>
          <w:marRight w:val="0"/>
          <w:marTop w:val="0"/>
          <w:marBottom w:val="0"/>
          <w:divBdr>
            <w:top w:val="none" w:sz="0" w:space="0" w:color="auto"/>
            <w:left w:val="none" w:sz="0" w:space="0" w:color="auto"/>
            <w:bottom w:val="none" w:sz="0" w:space="0" w:color="auto"/>
            <w:right w:val="none" w:sz="0" w:space="0" w:color="auto"/>
          </w:divBdr>
        </w:div>
        <w:div w:id="13505004">
          <w:marLeft w:val="0"/>
          <w:marRight w:val="0"/>
          <w:marTop w:val="0"/>
          <w:marBottom w:val="0"/>
          <w:divBdr>
            <w:top w:val="none" w:sz="0" w:space="0" w:color="auto"/>
            <w:left w:val="none" w:sz="0" w:space="0" w:color="auto"/>
            <w:bottom w:val="none" w:sz="0" w:space="0" w:color="auto"/>
            <w:right w:val="none" w:sz="0" w:space="0" w:color="auto"/>
          </w:divBdr>
        </w:div>
        <w:div w:id="255019218">
          <w:marLeft w:val="0"/>
          <w:marRight w:val="0"/>
          <w:marTop w:val="0"/>
          <w:marBottom w:val="0"/>
          <w:divBdr>
            <w:top w:val="none" w:sz="0" w:space="0" w:color="auto"/>
            <w:left w:val="none" w:sz="0" w:space="0" w:color="auto"/>
            <w:bottom w:val="none" w:sz="0" w:space="0" w:color="auto"/>
            <w:right w:val="none" w:sz="0" w:space="0" w:color="auto"/>
          </w:divBdr>
        </w:div>
        <w:div w:id="987170543">
          <w:marLeft w:val="0"/>
          <w:marRight w:val="0"/>
          <w:marTop w:val="0"/>
          <w:marBottom w:val="0"/>
          <w:divBdr>
            <w:top w:val="none" w:sz="0" w:space="0" w:color="auto"/>
            <w:left w:val="none" w:sz="0" w:space="0" w:color="auto"/>
            <w:bottom w:val="none" w:sz="0" w:space="0" w:color="auto"/>
            <w:right w:val="none" w:sz="0" w:space="0" w:color="auto"/>
          </w:divBdr>
        </w:div>
        <w:div w:id="85274147">
          <w:marLeft w:val="0"/>
          <w:marRight w:val="0"/>
          <w:marTop w:val="0"/>
          <w:marBottom w:val="0"/>
          <w:divBdr>
            <w:top w:val="none" w:sz="0" w:space="0" w:color="auto"/>
            <w:left w:val="none" w:sz="0" w:space="0" w:color="auto"/>
            <w:bottom w:val="none" w:sz="0" w:space="0" w:color="auto"/>
            <w:right w:val="none" w:sz="0" w:space="0" w:color="auto"/>
          </w:divBdr>
        </w:div>
        <w:div w:id="139424897">
          <w:marLeft w:val="0"/>
          <w:marRight w:val="0"/>
          <w:marTop w:val="0"/>
          <w:marBottom w:val="0"/>
          <w:divBdr>
            <w:top w:val="none" w:sz="0" w:space="0" w:color="auto"/>
            <w:left w:val="none" w:sz="0" w:space="0" w:color="auto"/>
            <w:bottom w:val="none" w:sz="0" w:space="0" w:color="auto"/>
            <w:right w:val="none" w:sz="0" w:space="0" w:color="auto"/>
          </w:divBdr>
        </w:div>
      </w:divsChild>
    </w:div>
    <w:div w:id="412357200">
      <w:bodyDiv w:val="1"/>
      <w:marLeft w:val="0"/>
      <w:marRight w:val="0"/>
      <w:marTop w:val="0"/>
      <w:marBottom w:val="0"/>
      <w:divBdr>
        <w:top w:val="none" w:sz="0" w:space="0" w:color="auto"/>
        <w:left w:val="none" w:sz="0" w:space="0" w:color="auto"/>
        <w:bottom w:val="none" w:sz="0" w:space="0" w:color="auto"/>
        <w:right w:val="none" w:sz="0" w:space="0" w:color="auto"/>
      </w:divBdr>
    </w:div>
    <w:div w:id="441924858">
      <w:bodyDiv w:val="1"/>
      <w:marLeft w:val="0"/>
      <w:marRight w:val="0"/>
      <w:marTop w:val="0"/>
      <w:marBottom w:val="0"/>
      <w:divBdr>
        <w:top w:val="none" w:sz="0" w:space="0" w:color="auto"/>
        <w:left w:val="none" w:sz="0" w:space="0" w:color="auto"/>
        <w:bottom w:val="none" w:sz="0" w:space="0" w:color="auto"/>
        <w:right w:val="none" w:sz="0" w:space="0" w:color="auto"/>
      </w:divBdr>
      <w:divsChild>
        <w:div w:id="1418214942">
          <w:marLeft w:val="1195"/>
          <w:marRight w:val="0"/>
          <w:marTop w:val="77"/>
          <w:marBottom w:val="0"/>
          <w:divBdr>
            <w:top w:val="none" w:sz="0" w:space="0" w:color="auto"/>
            <w:left w:val="none" w:sz="0" w:space="0" w:color="auto"/>
            <w:bottom w:val="none" w:sz="0" w:space="0" w:color="auto"/>
            <w:right w:val="none" w:sz="0" w:space="0" w:color="auto"/>
          </w:divBdr>
        </w:div>
        <w:div w:id="1571378289">
          <w:marLeft w:val="1195"/>
          <w:marRight w:val="0"/>
          <w:marTop w:val="77"/>
          <w:marBottom w:val="0"/>
          <w:divBdr>
            <w:top w:val="none" w:sz="0" w:space="0" w:color="auto"/>
            <w:left w:val="none" w:sz="0" w:space="0" w:color="auto"/>
            <w:bottom w:val="none" w:sz="0" w:space="0" w:color="auto"/>
            <w:right w:val="none" w:sz="0" w:space="0" w:color="auto"/>
          </w:divBdr>
        </w:div>
      </w:divsChild>
    </w:div>
    <w:div w:id="505171505">
      <w:bodyDiv w:val="1"/>
      <w:marLeft w:val="0"/>
      <w:marRight w:val="0"/>
      <w:marTop w:val="0"/>
      <w:marBottom w:val="0"/>
      <w:divBdr>
        <w:top w:val="none" w:sz="0" w:space="0" w:color="auto"/>
        <w:left w:val="none" w:sz="0" w:space="0" w:color="auto"/>
        <w:bottom w:val="none" w:sz="0" w:space="0" w:color="auto"/>
        <w:right w:val="none" w:sz="0" w:space="0" w:color="auto"/>
      </w:divBdr>
    </w:div>
    <w:div w:id="522473280">
      <w:bodyDiv w:val="1"/>
      <w:marLeft w:val="0"/>
      <w:marRight w:val="0"/>
      <w:marTop w:val="0"/>
      <w:marBottom w:val="0"/>
      <w:divBdr>
        <w:top w:val="none" w:sz="0" w:space="0" w:color="auto"/>
        <w:left w:val="none" w:sz="0" w:space="0" w:color="auto"/>
        <w:bottom w:val="none" w:sz="0" w:space="0" w:color="auto"/>
        <w:right w:val="none" w:sz="0" w:space="0" w:color="auto"/>
      </w:divBdr>
    </w:div>
    <w:div w:id="530998053">
      <w:bodyDiv w:val="1"/>
      <w:marLeft w:val="0"/>
      <w:marRight w:val="0"/>
      <w:marTop w:val="0"/>
      <w:marBottom w:val="0"/>
      <w:divBdr>
        <w:top w:val="none" w:sz="0" w:space="0" w:color="auto"/>
        <w:left w:val="none" w:sz="0" w:space="0" w:color="auto"/>
        <w:bottom w:val="none" w:sz="0" w:space="0" w:color="auto"/>
        <w:right w:val="none" w:sz="0" w:space="0" w:color="auto"/>
      </w:divBdr>
    </w:div>
    <w:div w:id="546376617">
      <w:bodyDiv w:val="1"/>
      <w:marLeft w:val="0"/>
      <w:marRight w:val="0"/>
      <w:marTop w:val="0"/>
      <w:marBottom w:val="0"/>
      <w:divBdr>
        <w:top w:val="none" w:sz="0" w:space="0" w:color="auto"/>
        <w:left w:val="none" w:sz="0" w:space="0" w:color="auto"/>
        <w:bottom w:val="none" w:sz="0" w:space="0" w:color="auto"/>
        <w:right w:val="none" w:sz="0" w:space="0" w:color="auto"/>
      </w:divBdr>
    </w:div>
    <w:div w:id="564948877">
      <w:bodyDiv w:val="1"/>
      <w:marLeft w:val="0"/>
      <w:marRight w:val="0"/>
      <w:marTop w:val="0"/>
      <w:marBottom w:val="0"/>
      <w:divBdr>
        <w:top w:val="none" w:sz="0" w:space="0" w:color="auto"/>
        <w:left w:val="none" w:sz="0" w:space="0" w:color="auto"/>
        <w:bottom w:val="none" w:sz="0" w:space="0" w:color="auto"/>
        <w:right w:val="none" w:sz="0" w:space="0" w:color="auto"/>
      </w:divBdr>
    </w:div>
    <w:div w:id="591009472">
      <w:bodyDiv w:val="1"/>
      <w:marLeft w:val="0"/>
      <w:marRight w:val="0"/>
      <w:marTop w:val="0"/>
      <w:marBottom w:val="0"/>
      <w:divBdr>
        <w:top w:val="none" w:sz="0" w:space="0" w:color="auto"/>
        <w:left w:val="none" w:sz="0" w:space="0" w:color="auto"/>
        <w:bottom w:val="none" w:sz="0" w:space="0" w:color="auto"/>
        <w:right w:val="none" w:sz="0" w:space="0" w:color="auto"/>
      </w:divBdr>
    </w:div>
    <w:div w:id="601912139">
      <w:bodyDiv w:val="1"/>
      <w:marLeft w:val="0"/>
      <w:marRight w:val="0"/>
      <w:marTop w:val="0"/>
      <w:marBottom w:val="0"/>
      <w:divBdr>
        <w:top w:val="none" w:sz="0" w:space="0" w:color="auto"/>
        <w:left w:val="none" w:sz="0" w:space="0" w:color="auto"/>
        <w:bottom w:val="none" w:sz="0" w:space="0" w:color="auto"/>
        <w:right w:val="none" w:sz="0" w:space="0" w:color="auto"/>
      </w:divBdr>
    </w:div>
    <w:div w:id="609318055">
      <w:bodyDiv w:val="1"/>
      <w:marLeft w:val="0"/>
      <w:marRight w:val="0"/>
      <w:marTop w:val="0"/>
      <w:marBottom w:val="0"/>
      <w:divBdr>
        <w:top w:val="none" w:sz="0" w:space="0" w:color="auto"/>
        <w:left w:val="none" w:sz="0" w:space="0" w:color="auto"/>
        <w:bottom w:val="none" w:sz="0" w:space="0" w:color="auto"/>
        <w:right w:val="none" w:sz="0" w:space="0" w:color="auto"/>
      </w:divBdr>
    </w:div>
    <w:div w:id="621958674">
      <w:bodyDiv w:val="1"/>
      <w:marLeft w:val="0"/>
      <w:marRight w:val="0"/>
      <w:marTop w:val="0"/>
      <w:marBottom w:val="0"/>
      <w:divBdr>
        <w:top w:val="none" w:sz="0" w:space="0" w:color="auto"/>
        <w:left w:val="none" w:sz="0" w:space="0" w:color="auto"/>
        <w:bottom w:val="none" w:sz="0" w:space="0" w:color="auto"/>
        <w:right w:val="none" w:sz="0" w:space="0" w:color="auto"/>
      </w:divBdr>
    </w:div>
    <w:div w:id="639311936">
      <w:bodyDiv w:val="1"/>
      <w:marLeft w:val="0"/>
      <w:marRight w:val="0"/>
      <w:marTop w:val="0"/>
      <w:marBottom w:val="0"/>
      <w:divBdr>
        <w:top w:val="none" w:sz="0" w:space="0" w:color="auto"/>
        <w:left w:val="none" w:sz="0" w:space="0" w:color="auto"/>
        <w:bottom w:val="none" w:sz="0" w:space="0" w:color="auto"/>
        <w:right w:val="none" w:sz="0" w:space="0" w:color="auto"/>
      </w:divBdr>
    </w:div>
    <w:div w:id="641152263">
      <w:bodyDiv w:val="1"/>
      <w:marLeft w:val="0"/>
      <w:marRight w:val="0"/>
      <w:marTop w:val="0"/>
      <w:marBottom w:val="0"/>
      <w:divBdr>
        <w:top w:val="none" w:sz="0" w:space="0" w:color="auto"/>
        <w:left w:val="none" w:sz="0" w:space="0" w:color="auto"/>
        <w:bottom w:val="none" w:sz="0" w:space="0" w:color="auto"/>
        <w:right w:val="none" w:sz="0" w:space="0" w:color="auto"/>
      </w:divBdr>
    </w:div>
    <w:div w:id="650600694">
      <w:bodyDiv w:val="1"/>
      <w:marLeft w:val="0"/>
      <w:marRight w:val="0"/>
      <w:marTop w:val="0"/>
      <w:marBottom w:val="0"/>
      <w:divBdr>
        <w:top w:val="none" w:sz="0" w:space="0" w:color="auto"/>
        <w:left w:val="none" w:sz="0" w:space="0" w:color="auto"/>
        <w:bottom w:val="none" w:sz="0" w:space="0" w:color="auto"/>
        <w:right w:val="none" w:sz="0" w:space="0" w:color="auto"/>
      </w:divBdr>
    </w:div>
    <w:div w:id="654842727">
      <w:bodyDiv w:val="1"/>
      <w:marLeft w:val="0"/>
      <w:marRight w:val="0"/>
      <w:marTop w:val="0"/>
      <w:marBottom w:val="0"/>
      <w:divBdr>
        <w:top w:val="none" w:sz="0" w:space="0" w:color="auto"/>
        <w:left w:val="none" w:sz="0" w:space="0" w:color="auto"/>
        <w:bottom w:val="none" w:sz="0" w:space="0" w:color="auto"/>
        <w:right w:val="none" w:sz="0" w:space="0" w:color="auto"/>
      </w:divBdr>
    </w:div>
    <w:div w:id="670180696">
      <w:bodyDiv w:val="1"/>
      <w:marLeft w:val="0"/>
      <w:marRight w:val="0"/>
      <w:marTop w:val="0"/>
      <w:marBottom w:val="0"/>
      <w:divBdr>
        <w:top w:val="none" w:sz="0" w:space="0" w:color="auto"/>
        <w:left w:val="none" w:sz="0" w:space="0" w:color="auto"/>
        <w:bottom w:val="none" w:sz="0" w:space="0" w:color="auto"/>
        <w:right w:val="none" w:sz="0" w:space="0" w:color="auto"/>
      </w:divBdr>
    </w:div>
    <w:div w:id="681200122">
      <w:bodyDiv w:val="1"/>
      <w:marLeft w:val="0"/>
      <w:marRight w:val="0"/>
      <w:marTop w:val="0"/>
      <w:marBottom w:val="0"/>
      <w:divBdr>
        <w:top w:val="none" w:sz="0" w:space="0" w:color="auto"/>
        <w:left w:val="none" w:sz="0" w:space="0" w:color="auto"/>
        <w:bottom w:val="none" w:sz="0" w:space="0" w:color="auto"/>
        <w:right w:val="none" w:sz="0" w:space="0" w:color="auto"/>
      </w:divBdr>
      <w:divsChild>
        <w:div w:id="896281828">
          <w:marLeft w:val="0"/>
          <w:marRight w:val="0"/>
          <w:marTop w:val="0"/>
          <w:marBottom w:val="0"/>
          <w:divBdr>
            <w:top w:val="none" w:sz="0" w:space="0" w:color="auto"/>
            <w:left w:val="none" w:sz="0" w:space="0" w:color="auto"/>
            <w:bottom w:val="none" w:sz="0" w:space="0" w:color="auto"/>
            <w:right w:val="none" w:sz="0" w:space="0" w:color="auto"/>
          </w:divBdr>
        </w:div>
        <w:div w:id="770051608">
          <w:marLeft w:val="0"/>
          <w:marRight w:val="0"/>
          <w:marTop w:val="0"/>
          <w:marBottom w:val="0"/>
          <w:divBdr>
            <w:top w:val="none" w:sz="0" w:space="0" w:color="auto"/>
            <w:left w:val="none" w:sz="0" w:space="0" w:color="auto"/>
            <w:bottom w:val="none" w:sz="0" w:space="0" w:color="auto"/>
            <w:right w:val="none" w:sz="0" w:space="0" w:color="auto"/>
          </w:divBdr>
        </w:div>
        <w:div w:id="1094282088">
          <w:marLeft w:val="0"/>
          <w:marRight w:val="0"/>
          <w:marTop w:val="0"/>
          <w:marBottom w:val="0"/>
          <w:divBdr>
            <w:top w:val="none" w:sz="0" w:space="0" w:color="auto"/>
            <w:left w:val="none" w:sz="0" w:space="0" w:color="auto"/>
            <w:bottom w:val="none" w:sz="0" w:space="0" w:color="auto"/>
            <w:right w:val="none" w:sz="0" w:space="0" w:color="auto"/>
          </w:divBdr>
        </w:div>
        <w:div w:id="434062451">
          <w:marLeft w:val="0"/>
          <w:marRight w:val="0"/>
          <w:marTop w:val="0"/>
          <w:marBottom w:val="0"/>
          <w:divBdr>
            <w:top w:val="none" w:sz="0" w:space="0" w:color="auto"/>
            <w:left w:val="none" w:sz="0" w:space="0" w:color="auto"/>
            <w:bottom w:val="none" w:sz="0" w:space="0" w:color="auto"/>
            <w:right w:val="none" w:sz="0" w:space="0" w:color="auto"/>
          </w:divBdr>
        </w:div>
        <w:div w:id="2131627931">
          <w:marLeft w:val="0"/>
          <w:marRight w:val="0"/>
          <w:marTop w:val="0"/>
          <w:marBottom w:val="0"/>
          <w:divBdr>
            <w:top w:val="none" w:sz="0" w:space="0" w:color="auto"/>
            <w:left w:val="none" w:sz="0" w:space="0" w:color="auto"/>
            <w:bottom w:val="none" w:sz="0" w:space="0" w:color="auto"/>
            <w:right w:val="none" w:sz="0" w:space="0" w:color="auto"/>
          </w:divBdr>
        </w:div>
        <w:div w:id="1276449941">
          <w:marLeft w:val="0"/>
          <w:marRight w:val="0"/>
          <w:marTop w:val="0"/>
          <w:marBottom w:val="0"/>
          <w:divBdr>
            <w:top w:val="none" w:sz="0" w:space="0" w:color="auto"/>
            <w:left w:val="none" w:sz="0" w:space="0" w:color="auto"/>
            <w:bottom w:val="none" w:sz="0" w:space="0" w:color="auto"/>
            <w:right w:val="none" w:sz="0" w:space="0" w:color="auto"/>
          </w:divBdr>
        </w:div>
      </w:divsChild>
    </w:div>
    <w:div w:id="694187350">
      <w:bodyDiv w:val="1"/>
      <w:marLeft w:val="0"/>
      <w:marRight w:val="0"/>
      <w:marTop w:val="0"/>
      <w:marBottom w:val="0"/>
      <w:divBdr>
        <w:top w:val="none" w:sz="0" w:space="0" w:color="auto"/>
        <w:left w:val="none" w:sz="0" w:space="0" w:color="auto"/>
        <w:bottom w:val="none" w:sz="0" w:space="0" w:color="auto"/>
        <w:right w:val="none" w:sz="0" w:space="0" w:color="auto"/>
      </w:divBdr>
    </w:div>
    <w:div w:id="694968693">
      <w:bodyDiv w:val="1"/>
      <w:marLeft w:val="0"/>
      <w:marRight w:val="0"/>
      <w:marTop w:val="0"/>
      <w:marBottom w:val="0"/>
      <w:divBdr>
        <w:top w:val="none" w:sz="0" w:space="0" w:color="auto"/>
        <w:left w:val="none" w:sz="0" w:space="0" w:color="auto"/>
        <w:bottom w:val="none" w:sz="0" w:space="0" w:color="auto"/>
        <w:right w:val="none" w:sz="0" w:space="0" w:color="auto"/>
      </w:divBdr>
    </w:div>
    <w:div w:id="701830706">
      <w:bodyDiv w:val="1"/>
      <w:marLeft w:val="0"/>
      <w:marRight w:val="0"/>
      <w:marTop w:val="0"/>
      <w:marBottom w:val="0"/>
      <w:divBdr>
        <w:top w:val="none" w:sz="0" w:space="0" w:color="auto"/>
        <w:left w:val="none" w:sz="0" w:space="0" w:color="auto"/>
        <w:bottom w:val="none" w:sz="0" w:space="0" w:color="auto"/>
        <w:right w:val="none" w:sz="0" w:space="0" w:color="auto"/>
      </w:divBdr>
    </w:div>
    <w:div w:id="714306143">
      <w:bodyDiv w:val="1"/>
      <w:marLeft w:val="0"/>
      <w:marRight w:val="0"/>
      <w:marTop w:val="0"/>
      <w:marBottom w:val="0"/>
      <w:divBdr>
        <w:top w:val="none" w:sz="0" w:space="0" w:color="auto"/>
        <w:left w:val="none" w:sz="0" w:space="0" w:color="auto"/>
        <w:bottom w:val="none" w:sz="0" w:space="0" w:color="auto"/>
        <w:right w:val="none" w:sz="0" w:space="0" w:color="auto"/>
      </w:divBdr>
    </w:div>
    <w:div w:id="751199696">
      <w:bodyDiv w:val="1"/>
      <w:marLeft w:val="0"/>
      <w:marRight w:val="0"/>
      <w:marTop w:val="0"/>
      <w:marBottom w:val="0"/>
      <w:divBdr>
        <w:top w:val="none" w:sz="0" w:space="0" w:color="auto"/>
        <w:left w:val="none" w:sz="0" w:space="0" w:color="auto"/>
        <w:bottom w:val="none" w:sz="0" w:space="0" w:color="auto"/>
        <w:right w:val="none" w:sz="0" w:space="0" w:color="auto"/>
      </w:divBdr>
    </w:div>
    <w:div w:id="784736160">
      <w:bodyDiv w:val="1"/>
      <w:marLeft w:val="0"/>
      <w:marRight w:val="0"/>
      <w:marTop w:val="0"/>
      <w:marBottom w:val="0"/>
      <w:divBdr>
        <w:top w:val="none" w:sz="0" w:space="0" w:color="auto"/>
        <w:left w:val="none" w:sz="0" w:space="0" w:color="auto"/>
        <w:bottom w:val="none" w:sz="0" w:space="0" w:color="auto"/>
        <w:right w:val="none" w:sz="0" w:space="0" w:color="auto"/>
      </w:divBdr>
      <w:divsChild>
        <w:div w:id="1217088996">
          <w:marLeft w:val="0"/>
          <w:marRight w:val="0"/>
          <w:marTop w:val="0"/>
          <w:marBottom w:val="0"/>
          <w:divBdr>
            <w:top w:val="none" w:sz="0" w:space="0" w:color="auto"/>
            <w:left w:val="none" w:sz="0" w:space="0" w:color="auto"/>
            <w:bottom w:val="none" w:sz="0" w:space="0" w:color="auto"/>
            <w:right w:val="none" w:sz="0" w:space="0" w:color="auto"/>
          </w:divBdr>
        </w:div>
        <w:div w:id="1141270635">
          <w:marLeft w:val="0"/>
          <w:marRight w:val="0"/>
          <w:marTop w:val="0"/>
          <w:marBottom w:val="0"/>
          <w:divBdr>
            <w:top w:val="none" w:sz="0" w:space="0" w:color="auto"/>
            <w:left w:val="none" w:sz="0" w:space="0" w:color="auto"/>
            <w:bottom w:val="none" w:sz="0" w:space="0" w:color="auto"/>
            <w:right w:val="none" w:sz="0" w:space="0" w:color="auto"/>
          </w:divBdr>
        </w:div>
        <w:div w:id="177353435">
          <w:marLeft w:val="0"/>
          <w:marRight w:val="0"/>
          <w:marTop w:val="0"/>
          <w:marBottom w:val="0"/>
          <w:divBdr>
            <w:top w:val="none" w:sz="0" w:space="0" w:color="auto"/>
            <w:left w:val="none" w:sz="0" w:space="0" w:color="auto"/>
            <w:bottom w:val="none" w:sz="0" w:space="0" w:color="auto"/>
            <w:right w:val="none" w:sz="0" w:space="0" w:color="auto"/>
          </w:divBdr>
        </w:div>
        <w:div w:id="311299922">
          <w:marLeft w:val="0"/>
          <w:marRight w:val="0"/>
          <w:marTop w:val="0"/>
          <w:marBottom w:val="0"/>
          <w:divBdr>
            <w:top w:val="none" w:sz="0" w:space="0" w:color="auto"/>
            <w:left w:val="none" w:sz="0" w:space="0" w:color="auto"/>
            <w:bottom w:val="none" w:sz="0" w:space="0" w:color="auto"/>
            <w:right w:val="none" w:sz="0" w:space="0" w:color="auto"/>
          </w:divBdr>
        </w:div>
        <w:div w:id="1319576668">
          <w:marLeft w:val="0"/>
          <w:marRight w:val="0"/>
          <w:marTop w:val="0"/>
          <w:marBottom w:val="0"/>
          <w:divBdr>
            <w:top w:val="none" w:sz="0" w:space="0" w:color="auto"/>
            <w:left w:val="none" w:sz="0" w:space="0" w:color="auto"/>
            <w:bottom w:val="none" w:sz="0" w:space="0" w:color="auto"/>
            <w:right w:val="none" w:sz="0" w:space="0" w:color="auto"/>
          </w:divBdr>
        </w:div>
        <w:div w:id="2034266191">
          <w:marLeft w:val="0"/>
          <w:marRight w:val="0"/>
          <w:marTop w:val="0"/>
          <w:marBottom w:val="0"/>
          <w:divBdr>
            <w:top w:val="none" w:sz="0" w:space="0" w:color="auto"/>
            <w:left w:val="none" w:sz="0" w:space="0" w:color="auto"/>
            <w:bottom w:val="none" w:sz="0" w:space="0" w:color="auto"/>
            <w:right w:val="none" w:sz="0" w:space="0" w:color="auto"/>
          </w:divBdr>
        </w:div>
        <w:div w:id="875193466">
          <w:marLeft w:val="0"/>
          <w:marRight w:val="0"/>
          <w:marTop w:val="0"/>
          <w:marBottom w:val="0"/>
          <w:divBdr>
            <w:top w:val="none" w:sz="0" w:space="0" w:color="auto"/>
            <w:left w:val="none" w:sz="0" w:space="0" w:color="auto"/>
            <w:bottom w:val="none" w:sz="0" w:space="0" w:color="auto"/>
            <w:right w:val="none" w:sz="0" w:space="0" w:color="auto"/>
          </w:divBdr>
        </w:div>
        <w:div w:id="1150250981">
          <w:marLeft w:val="0"/>
          <w:marRight w:val="0"/>
          <w:marTop w:val="0"/>
          <w:marBottom w:val="0"/>
          <w:divBdr>
            <w:top w:val="none" w:sz="0" w:space="0" w:color="auto"/>
            <w:left w:val="none" w:sz="0" w:space="0" w:color="auto"/>
            <w:bottom w:val="none" w:sz="0" w:space="0" w:color="auto"/>
            <w:right w:val="none" w:sz="0" w:space="0" w:color="auto"/>
          </w:divBdr>
        </w:div>
        <w:div w:id="1535844102">
          <w:marLeft w:val="0"/>
          <w:marRight w:val="0"/>
          <w:marTop w:val="0"/>
          <w:marBottom w:val="0"/>
          <w:divBdr>
            <w:top w:val="none" w:sz="0" w:space="0" w:color="auto"/>
            <w:left w:val="none" w:sz="0" w:space="0" w:color="auto"/>
            <w:bottom w:val="none" w:sz="0" w:space="0" w:color="auto"/>
            <w:right w:val="none" w:sz="0" w:space="0" w:color="auto"/>
          </w:divBdr>
        </w:div>
      </w:divsChild>
    </w:div>
    <w:div w:id="823424676">
      <w:bodyDiv w:val="1"/>
      <w:marLeft w:val="0"/>
      <w:marRight w:val="0"/>
      <w:marTop w:val="0"/>
      <w:marBottom w:val="0"/>
      <w:divBdr>
        <w:top w:val="none" w:sz="0" w:space="0" w:color="auto"/>
        <w:left w:val="none" w:sz="0" w:space="0" w:color="auto"/>
        <w:bottom w:val="none" w:sz="0" w:space="0" w:color="auto"/>
        <w:right w:val="none" w:sz="0" w:space="0" w:color="auto"/>
      </w:divBdr>
    </w:div>
    <w:div w:id="856699746">
      <w:bodyDiv w:val="1"/>
      <w:marLeft w:val="0"/>
      <w:marRight w:val="0"/>
      <w:marTop w:val="0"/>
      <w:marBottom w:val="0"/>
      <w:divBdr>
        <w:top w:val="none" w:sz="0" w:space="0" w:color="auto"/>
        <w:left w:val="none" w:sz="0" w:space="0" w:color="auto"/>
        <w:bottom w:val="none" w:sz="0" w:space="0" w:color="auto"/>
        <w:right w:val="none" w:sz="0" w:space="0" w:color="auto"/>
      </w:divBdr>
    </w:div>
    <w:div w:id="867521533">
      <w:bodyDiv w:val="1"/>
      <w:marLeft w:val="0"/>
      <w:marRight w:val="0"/>
      <w:marTop w:val="0"/>
      <w:marBottom w:val="0"/>
      <w:divBdr>
        <w:top w:val="none" w:sz="0" w:space="0" w:color="auto"/>
        <w:left w:val="none" w:sz="0" w:space="0" w:color="auto"/>
        <w:bottom w:val="none" w:sz="0" w:space="0" w:color="auto"/>
        <w:right w:val="none" w:sz="0" w:space="0" w:color="auto"/>
      </w:divBdr>
    </w:div>
    <w:div w:id="874929250">
      <w:bodyDiv w:val="1"/>
      <w:marLeft w:val="0"/>
      <w:marRight w:val="0"/>
      <w:marTop w:val="0"/>
      <w:marBottom w:val="0"/>
      <w:divBdr>
        <w:top w:val="none" w:sz="0" w:space="0" w:color="auto"/>
        <w:left w:val="none" w:sz="0" w:space="0" w:color="auto"/>
        <w:bottom w:val="none" w:sz="0" w:space="0" w:color="auto"/>
        <w:right w:val="none" w:sz="0" w:space="0" w:color="auto"/>
      </w:divBdr>
    </w:div>
    <w:div w:id="905336027">
      <w:bodyDiv w:val="1"/>
      <w:marLeft w:val="0"/>
      <w:marRight w:val="0"/>
      <w:marTop w:val="0"/>
      <w:marBottom w:val="0"/>
      <w:divBdr>
        <w:top w:val="none" w:sz="0" w:space="0" w:color="auto"/>
        <w:left w:val="none" w:sz="0" w:space="0" w:color="auto"/>
        <w:bottom w:val="none" w:sz="0" w:space="0" w:color="auto"/>
        <w:right w:val="none" w:sz="0" w:space="0" w:color="auto"/>
      </w:divBdr>
    </w:div>
    <w:div w:id="931820376">
      <w:bodyDiv w:val="1"/>
      <w:marLeft w:val="0"/>
      <w:marRight w:val="0"/>
      <w:marTop w:val="0"/>
      <w:marBottom w:val="0"/>
      <w:divBdr>
        <w:top w:val="none" w:sz="0" w:space="0" w:color="auto"/>
        <w:left w:val="none" w:sz="0" w:space="0" w:color="auto"/>
        <w:bottom w:val="none" w:sz="0" w:space="0" w:color="auto"/>
        <w:right w:val="none" w:sz="0" w:space="0" w:color="auto"/>
      </w:divBdr>
    </w:div>
    <w:div w:id="977343537">
      <w:bodyDiv w:val="1"/>
      <w:marLeft w:val="0"/>
      <w:marRight w:val="0"/>
      <w:marTop w:val="0"/>
      <w:marBottom w:val="0"/>
      <w:divBdr>
        <w:top w:val="none" w:sz="0" w:space="0" w:color="auto"/>
        <w:left w:val="none" w:sz="0" w:space="0" w:color="auto"/>
        <w:bottom w:val="none" w:sz="0" w:space="0" w:color="auto"/>
        <w:right w:val="none" w:sz="0" w:space="0" w:color="auto"/>
      </w:divBdr>
    </w:div>
    <w:div w:id="1030060612">
      <w:bodyDiv w:val="1"/>
      <w:marLeft w:val="0"/>
      <w:marRight w:val="0"/>
      <w:marTop w:val="0"/>
      <w:marBottom w:val="0"/>
      <w:divBdr>
        <w:top w:val="none" w:sz="0" w:space="0" w:color="auto"/>
        <w:left w:val="none" w:sz="0" w:space="0" w:color="auto"/>
        <w:bottom w:val="none" w:sz="0" w:space="0" w:color="auto"/>
        <w:right w:val="none" w:sz="0" w:space="0" w:color="auto"/>
      </w:divBdr>
    </w:div>
    <w:div w:id="1053507522">
      <w:bodyDiv w:val="1"/>
      <w:marLeft w:val="0"/>
      <w:marRight w:val="0"/>
      <w:marTop w:val="0"/>
      <w:marBottom w:val="0"/>
      <w:divBdr>
        <w:top w:val="none" w:sz="0" w:space="0" w:color="auto"/>
        <w:left w:val="none" w:sz="0" w:space="0" w:color="auto"/>
        <w:bottom w:val="none" w:sz="0" w:space="0" w:color="auto"/>
        <w:right w:val="none" w:sz="0" w:space="0" w:color="auto"/>
      </w:divBdr>
    </w:div>
    <w:div w:id="1076703611">
      <w:bodyDiv w:val="1"/>
      <w:marLeft w:val="0"/>
      <w:marRight w:val="0"/>
      <w:marTop w:val="0"/>
      <w:marBottom w:val="0"/>
      <w:divBdr>
        <w:top w:val="none" w:sz="0" w:space="0" w:color="auto"/>
        <w:left w:val="none" w:sz="0" w:space="0" w:color="auto"/>
        <w:bottom w:val="none" w:sz="0" w:space="0" w:color="auto"/>
        <w:right w:val="none" w:sz="0" w:space="0" w:color="auto"/>
      </w:divBdr>
    </w:div>
    <w:div w:id="1114786627">
      <w:bodyDiv w:val="1"/>
      <w:marLeft w:val="0"/>
      <w:marRight w:val="0"/>
      <w:marTop w:val="0"/>
      <w:marBottom w:val="0"/>
      <w:divBdr>
        <w:top w:val="none" w:sz="0" w:space="0" w:color="auto"/>
        <w:left w:val="none" w:sz="0" w:space="0" w:color="auto"/>
        <w:bottom w:val="none" w:sz="0" w:space="0" w:color="auto"/>
        <w:right w:val="none" w:sz="0" w:space="0" w:color="auto"/>
      </w:divBdr>
    </w:div>
    <w:div w:id="1169371637">
      <w:bodyDiv w:val="1"/>
      <w:marLeft w:val="0"/>
      <w:marRight w:val="0"/>
      <w:marTop w:val="0"/>
      <w:marBottom w:val="0"/>
      <w:divBdr>
        <w:top w:val="none" w:sz="0" w:space="0" w:color="auto"/>
        <w:left w:val="none" w:sz="0" w:space="0" w:color="auto"/>
        <w:bottom w:val="none" w:sz="0" w:space="0" w:color="auto"/>
        <w:right w:val="none" w:sz="0" w:space="0" w:color="auto"/>
      </w:divBdr>
    </w:div>
    <w:div w:id="1187866184">
      <w:bodyDiv w:val="1"/>
      <w:marLeft w:val="0"/>
      <w:marRight w:val="0"/>
      <w:marTop w:val="0"/>
      <w:marBottom w:val="0"/>
      <w:divBdr>
        <w:top w:val="none" w:sz="0" w:space="0" w:color="auto"/>
        <w:left w:val="none" w:sz="0" w:space="0" w:color="auto"/>
        <w:bottom w:val="none" w:sz="0" w:space="0" w:color="auto"/>
        <w:right w:val="none" w:sz="0" w:space="0" w:color="auto"/>
      </w:divBdr>
    </w:div>
    <w:div w:id="1192105886">
      <w:bodyDiv w:val="1"/>
      <w:marLeft w:val="0"/>
      <w:marRight w:val="0"/>
      <w:marTop w:val="0"/>
      <w:marBottom w:val="0"/>
      <w:divBdr>
        <w:top w:val="none" w:sz="0" w:space="0" w:color="auto"/>
        <w:left w:val="none" w:sz="0" w:space="0" w:color="auto"/>
        <w:bottom w:val="none" w:sz="0" w:space="0" w:color="auto"/>
        <w:right w:val="none" w:sz="0" w:space="0" w:color="auto"/>
      </w:divBdr>
      <w:divsChild>
        <w:div w:id="862861938">
          <w:marLeft w:val="0"/>
          <w:marRight w:val="0"/>
          <w:marTop w:val="0"/>
          <w:marBottom w:val="0"/>
          <w:divBdr>
            <w:top w:val="none" w:sz="0" w:space="0" w:color="auto"/>
            <w:left w:val="none" w:sz="0" w:space="0" w:color="auto"/>
            <w:bottom w:val="none" w:sz="0" w:space="0" w:color="auto"/>
            <w:right w:val="none" w:sz="0" w:space="0" w:color="auto"/>
          </w:divBdr>
        </w:div>
        <w:div w:id="967860088">
          <w:marLeft w:val="0"/>
          <w:marRight w:val="0"/>
          <w:marTop w:val="0"/>
          <w:marBottom w:val="0"/>
          <w:divBdr>
            <w:top w:val="none" w:sz="0" w:space="0" w:color="auto"/>
            <w:left w:val="none" w:sz="0" w:space="0" w:color="auto"/>
            <w:bottom w:val="none" w:sz="0" w:space="0" w:color="auto"/>
            <w:right w:val="none" w:sz="0" w:space="0" w:color="auto"/>
          </w:divBdr>
        </w:div>
        <w:div w:id="535234998">
          <w:marLeft w:val="0"/>
          <w:marRight w:val="0"/>
          <w:marTop w:val="0"/>
          <w:marBottom w:val="0"/>
          <w:divBdr>
            <w:top w:val="none" w:sz="0" w:space="0" w:color="auto"/>
            <w:left w:val="none" w:sz="0" w:space="0" w:color="auto"/>
            <w:bottom w:val="none" w:sz="0" w:space="0" w:color="auto"/>
            <w:right w:val="none" w:sz="0" w:space="0" w:color="auto"/>
          </w:divBdr>
        </w:div>
        <w:div w:id="688678544">
          <w:marLeft w:val="0"/>
          <w:marRight w:val="0"/>
          <w:marTop w:val="0"/>
          <w:marBottom w:val="0"/>
          <w:divBdr>
            <w:top w:val="none" w:sz="0" w:space="0" w:color="auto"/>
            <w:left w:val="none" w:sz="0" w:space="0" w:color="auto"/>
            <w:bottom w:val="none" w:sz="0" w:space="0" w:color="auto"/>
            <w:right w:val="none" w:sz="0" w:space="0" w:color="auto"/>
          </w:divBdr>
        </w:div>
      </w:divsChild>
    </w:div>
    <w:div w:id="1197040631">
      <w:bodyDiv w:val="1"/>
      <w:marLeft w:val="0"/>
      <w:marRight w:val="0"/>
      <w:marTop w:val="0"/>
      <w:marBottom w:val="0"/>
      <w:divBdr>
        <w:top w:val="none" w:sz="0" w:space="0" w:color="auto"/>
        <w:left w:val="none" w:sz="0" w:space="0" w:color="auto"/>
        <w:bottom w:val="none" w:sz="0" w:space="0" w:color="auto"/>
        <w:right w:val="none" w:sz="0" w:space="0" w:color="auto"/>
      </w:divBdr>
    </w:div>
    <w:div w:id="1239827695">
      <w:bodyDiv w:val="1"/>
      <w:marLeft w:val="0"/>
      <w:marRight w:val="0"/>
      <w:marTop w:val="0"/>
      <w:marBottom w:val="0"/>
      <w:divBdr>
        <w:top w:val="none" w:sz="0" w:space="0" w:color="auto"/>
        <w:left w:val="none" w:sz="0" w:space="0" w:color="auto"/>
        <w:bottom w:val="none" w:sz="0" w:space="0" w:color="auto"/>
        <w:right w:val="none" w:sz="0" w:space="0" w:color="auto"/>
      </w:divBdr>
    </w:div>
    <w:div w:id="1257787801">
      <w:bodyDiv w:val="1"/>
      <w:marLeft w:val="0"/>
      <w:marRight w:val="0"/>
      <w:marTop w:val="0"/>
      <w:marBottom w:val="0"/>
      <w:divBdr>
        <w:top w:val="none" w:sz="0" w:space="0" w:color="auto"/>
        <w:left w:val="none" w:sz="0" w:space="0" w:color="auto"/>
        <w:bottom w:val="none" w:sz="0" w:space="0" w:color="auto"/>
        <w:right w:val="none" w:sz="0" w:space="0" w:color="auto"/>
      </w:divBdr>
    </w:div>
    <w:div w:id="1274746844">
      <w:bodyDiv w:val="1"/>
      <w:marLeft w:val="0"/>
      <w:marRight w:val="0"/>
      <w:marTop w:val="0"/>
      <w:marBottom w:val="0"/>
      <w:divBdr>
        <w:top w:val="none" w:sz="0" w:space="0" w:color="auto"/>
        <w:left w:val="none" w:sz="0" w:space="0" w:color="auto"/>
        <w:bottom w:val="none" w:sz="0" w:space="0" w:color="auto"/>
        <w:right w:val="none" w:sz="0" w:space="0" w:color="auto"/>
      </w:divBdr>
    </w:div>
    <w:div w:id="1301107410">
      <w:bodyDiv w:val="1"/>
      <w:marLeft w:val="0"/>
      <w:marRight w:val="0"/>
      <w:marTop w:val="0"/>
      <w:marBottom w:val="0"/>
      <w:divBdr>
        <w:top w:val="none" w:sz="0" w:space="0" w:color="auto"/>
        <w:left w:val="none" w:sz="0" w:space="0" w:color="auto"/>
        <w:bottom w:val="none" w:sz="0" w:space="0" w:color="auto"/>
        <w:right w:val="none" w:sz="0" w:space="0" w:color="auto"/>
      </w:divBdr>
    </w:div>
    <w:div w:id="1303392312">
      <w:bodyDiv w:val="1"/>
      <w:marLeft w:val="0"/>
      <w:marRight w:val="0"/>
      <w:marTop w:val="0"/>
      <w:marBottom w:val="0"/>
      <w:divBdr>
        <w:top w:val="none" w:sz="0" w:space="0" w:color="auto"/>
        <w:left w:val="none" w:sz="0" w:space="0" w:color="auto"/>
        <w:bottom w:val="none" w:sz="0" w:space="0" w:color="auto"/>
        <w:right w:val="none" w:sz="0" w:space="0" w:color="auto"/>
      </w:divBdr>
      <w:divsChild>
        <w:div w:id="674378817">
          <w:marLeft w:val="0"/>
          <w:marRight w:val="0"/>
          <w:marTop w:val="0"/>
          <w:marBottom w:val="0"/>
          <w:divBdr>
            <w:top w:val="none" w:sz="0" w:space="0" w:color="auto"/>
            <w:left w:val="none" w:sz="0" w:space="0" w:color="auto"/>
            <w:bottom w:val="none" w:sz="0" w:space="0" w:color="auto"/>
            <w:right w:val="none" w:sz="0" w:space="0" w:color="auto"/>
          </w:divBdr>
        </w:div>
        <w:div w:id="1221285807">
          <w:marLeft w:val="0"/>
          <w:marRight w:val="0"/>
          <w:marTop w:val="0"/>
          <w:marBottom w:val="0"/>
          <w:divBdr>
            <w:top w:val="none" w:sz="0" w:space="0" w:color="auto"/>
            <w:left w:val="none" w:sz="0" w:space="0" w:color="auto"/>
            <w:bottom w:val="none" w:sz="0" w:space="0" w:color="auto"/>
            <w:right w:val="none" w:sz="0" w:space="0" w:color="auto"/>
          </w:divBdr>
        </w:div>
        <w:div w:id="164711552">
          <w:marLeft w:val="0"/>
          <w:marRight w:val="0"/>
          <w:marTop w:val="0"/>
          <w:marBottom w:val="0"/>
          <w:divBdr>
            <w:top w:val="none" w:sz="0" w:space="0" w:color="auto"/>
            <w:left w:val="none" w:sz="0" w:space="0" w:color="auto"/>
            <w:bottom w:val="none" w:sz="0" w:space="0" w:color="auto"/>
            <w:right w:val="none" w:sz="0" w:space="0" w:color="auto"/>
          </w:divBdr>
        </w:div>
        <w:div w:id="2022851583">
          <w:marLeft w:val="0"/>
          <w:marRight w:val="0"/>
          <w:marTop w:val="0"/>
          <w:marBottom w:val="0"/>
          <w:divBdr>
            <w:top w:val="none" w:sz="0" w:space="0" w:color="auto"/>
            <w:left w:val="none" w:sz="0" w:space="0" w:color="auto"/>
            <w:bottom w:val="none" w:sz="0" w:space="0" w:color="auto"/>
            <w:right w:val="none" w:sz="0" w:space="0" w:color="auto"/>
          </w:divBdr>
        </w:div>
        <w:div w:id="818611669">
          <w:marLeft w:val="0"/>
          <w:marRight w:val="0"/>
          <w:marTop w:val="0"/>
          <w:marBottom w:val="0"/>
          <w:divBdr>
            <w:top w:val="none" w:sz="0" w:space="0" w:color="auto"/>
            <w:left w:val="none" w:sz="0" w:space="0" w:color="auto"/>
            <w:bottom w:val="none" w:sz="0" w:space="0" w:color="auto"/>
            <w:right w:val="none" w:sz="0" w:space="0" w:color="auto"/>
          </w:divBdr>
        </w:div>
      </w:divsChild>
    </w:div>
    <w:div w:id="1311179212">
      <w:bodyDiv w:val="1"/>
      <w:marLeft w:val="0"/>
      <w:marRight w:val="0"/>
      <w:marTop w:val="0"/>
      <w:marBottom w:val="0"/>
      <w:divBdr>
        <w:top w:val="none" w:sz="0" w:space="0" w:color="auto"/>
        <w:left w:val="none" w:sz="0" w:space="0" w:color="auto"/>
        <w:bottom w:val="none" w:sz="0" w:space="0" w:color="auto"/>
        <w:right w:val="none" w:sz="0" w:space="0" w:color="auto"/>
      </w:divBdr>
    </w:div>
    <w:div w:id="1326737569">
      <w:bodyDiv w:val="1"/>
      <w:marLeft w:val="0"/>
      <w:marRight w:val="0"/>
      <w:marTop w:val="0"/>
      <w:marBottom w:val="0"/>
      <w:divBdr>
        <w:top w:val="none" w:sz="0" w:space="0" w:color="auto"/>
        <w:left w:val="none" w:sz="0" w:space="0" w:color="auto"/>
        <w:bottom w:val="none" w:sz="0" w:space="0" w:color="auto"/>
        <w:right w:val="none" w:sz="0" w:space="0" w:color="auto"/>
      </w:divBdr>
      <w:divsChild>
        <w:div w:id="1315140971">
          <w:marLeft w:val="0"/>
          <w:marRight w:val="0"/>
          <w:marTop w:val="0"/>
          <w:marBottom w:val="0"/>
          <w:divBdr>
            <w:top w:val="none" w:sz="0" w:space="0" w:color="auto"/>
            <w:left w:val="none" w:sz="0" w:space="0" w:color="auto"/>
            <w:bottom w:val="none" w:sz="0" w:space="0" w:color="auto"/>
            <w:right w:val="none" w:sz="0" w:space="0" w:color="auto"/>
          </w:divBdr>
        </w:div>
        <w:div w:id="1153646535">
          <w:marLeft w:val="0"/>
          <w:marRight w:val="0"/>
          <w:marTop w:val="0"/>
          <w:marBottom w:val="0"/>
          <w:divBdr>
            <w:top w:val="none" w:sz="0" w:space="0" w:color="auto"/>
            <w:left w:val="none" w:sz="0" w:space="0" w:color="auto"/>
            <w:bottom w:val="none" w:sz="0" w:space="0" w:color="auto"/>
            <w:right w:val="none" w:sz="0" w:space="0" w:color="auto"/>
          </w:divBdr>
        </w:div>
        <w:div w:id="1354957255">
          <w:marLeft w:val="0"/>
          <w:marRight w:val="0"/>
          <w:marTop w:val="0"/>
          <w:marBottom w:val="0"/>
          <w:divBdr>
            <w:top w:val="none" w:sz="0" w:space="0" w:color="auto"/>
            <w:left w:val="none" w:sz="0" w:space="0" w:color="auto"/>
            <w:bottom w:val="none" w:sz="0" w:space="0" w:color="auto"/>
            <w:right w:val="none" w:sz="0" w:space="0" w:color="auto"/>
          </w:divBdr>
        </w:div>
        <w:div w:id="739987027">
          <w:marLeft w:val="0"/>
          <w:marRight w:val="0"/>
          <w:marTop w:val="0"/>
          <w:marBottom w:val="0"/>
          <w:divBdr>
            <w:top w:val="none" w:sz="0" w:space="0" w:color="auto"/>
            <w:left w:val="none" w:sz="0" w:space="0" w:color="auto"/>
            <w:bottom w:val="none" w:sz="0" w:space="0" w:color="auto"/>
            <w:right w:val="none" w:sz="0" w:space="0" w:color="auto"/>
          </w:divBdr>
        </w:div>
        <w:div w:id="1606379606">
          <w:marLeft w:val="0"/>
          <w:marRight w:val="0"/>
          <w:marTop w:val="0"/>
          <w:marBottom w:val="0"/>
          <w:divBdr>
            <w:top w:val="none" w:sz="0" w:space="0" w:color="auto"/>
            <w:left w:val="none" w:sz="0" w:space="0" w:color="auto"/>
            <w:bottom w:val="none" w:sz="0" w:space="0" w:color="auto"/>
            <w:right w:val="none" w:sz="0" w:space="0" w:color="auto"/>
          </w:divBdr>
        </w:div>
      </w:divsChild>
    </w:div>
    <w:div w:id="1328289560">
      <w:bodyDiv w:val="1"/>
      <w:marLeft w:val="0"/>
      <w:marRight w:val="0"/>
      <w:marTop w:val="0"/>
      <w:marBottom w:val="0"/>
      <w:divBdr>
        <w:top w:val="none" w:sz="0" w:space="0" w:color="auto"/>
        <w:left w:val="none" w:sz="0" w:space="0" w:color="auto"/>
        <w:bottom w:val="none" w:sz="0" w:space="0" w:color="auto"/>
        <w:right w:val="none" w:sz="0" w:space="0" w:color="auto"/>
      </w:divBdr>
    </w:div>
    <w:div w:id="1330133026">
      <w:bodyDiv w:val="1"/>
      <w:marLeft w:val="0"/>
      <w:marRight w:val="0"/>
      <w:marTop w:val="0"/>
      <w:marBottom w:val="0"/>
      <w:divBdr>
        <w:top w:val="none" w:sz="0" w:space="0" w:color="auto"/>
        <w:left w:val="none" w:sz="0" w:space="0" w:color="auto"/>
        <w:bottom w:val="none" w:sz="0" w:space="0" w:color="auto"/>
        <w:right w:val="none" w:sz="0" w:space="0" w:color="auto"/>
      </w:divBdr>
    </w:div>
    <w:div w:id="1363508464">
      <w:bodyDiv w:val="1"/>
      <w:marLeft w:val="0"/>
      <w:marRight w:val="0"/>
      <w:marTop w:val="0"/>
      <w:marBottom w:val="0"/>
      <w:divBdr>
        <w:top w:val="none" w:sz="0" w:space="0" w:color="auto"/>
        <w:left w:val="none" w:sz="0" w:space="0" w:color="auto"/>
        <w:bottom w:val="none" w:sz="0" w:space="0" w:color="auto"/>
        <w:right w:val="none" w:sz="0" w:space="0" w:color="auto"/>
      </w:divBdr>
    </w:div>
    <w:div w:id="1364405009">
      <w:bodyDiv w:val="1"/>
      <w:marLeft w:val="0"/>
      <w:marRight w:val="0"/>
      <w:marTop w:val="0"/>
      <w:marBottom w:val="0"/>
      <w:divBdr>
        <w:top w:val="none" w:sz="0" w:space="0" w:color="auto"/>
        <w:left w:val="none" w:sz="0" w:space="0" w:color="auto"/>
        <w:bottom w:val="none" w:sz="0" w:space="0" w:color="auto"/>
        <w:right w:val="none" w:sz="0" w:space="0" w:color="auto"/>
      </w:divBdr>
    </w:div>
    <w:div w:id="1377656257">
      <w:bodyDiv w:val="1"/>
      <w:marLeft w:val="0"/>
      <w:marRight w:val="0"/>
      <w:marTop w:val="0"/>
      <w:marBottom w:val="0"/>
      <w:divBdr>
        <w:top w:val="none" w:sz="0" w:space="0" w:color="auto"/>
        <w:left w:val="none" w:sz="0" w:space="0" w:color="auto"/>
        <w:bottom w:val="none" w:sz="0" w:space="0" w:color="auto"/>
        <w:right w:val="none" w:sz="0" w:space="0" w:color="auto"/>
      </w:divBdr>
    </w:div>
    <w:div w:id="1386293732">
      <w:bodyDiv w:val="1"/>
      <w:marLeft w:val="0"/>
      <w:marRight w:val="0"/>
      <w:marTop w:val="0"/>
      <w:marBottom w:val="0"/>
      <w:divBdr>
        <w:top w:val="none" w:sz="0" w:space="0" w:color="auto"/>
        <w:left w:val="none" w:sz="0" w:space="0" w:color="auto"/>
        <w:bottom w:val="none" w:sz="0" w:space="0" w:color="auto"/>
        <w:right w:val="none" w:sz="0" w:space="0" w:color="auto"/>
      </w:divBdr>
    </w:div>
    <w:div w:id="1386878120">
      <w:bodyDiv w:val="1"/>
      <w:marLeft w:val="0"/>
      <w:marRight w:val="0"/>
      <w:marTop w:val="0"/>
      <w:marBottom w:val="0"/>
      <w:divBdr>
        <w:top w:val="none" w:sz="0" w:space="0" w:color="auto"/>
        <w:left w:val="none" w:sz="0" w:space="0" w:color="auto"/>
        <w:bottom w:val="none" w:sz="0" w:space="0" w:color="auto"/>
        <w:right w:val="none" w:sz="0" w:space="0" w:color="auto"/>
      </w:divBdr>
      <w:divsChild>
        <w:div w:id="1006902682">
          <w:marLeft w:val="0"/>
          <w:marRight w:val="0"/>
          <w:marTop w:val="0"/>
          <w:marBottom w:val="0"/>
          <w:divBdr>
            <w:top w:val="none" w:sz="0" w:space="0" w:color="auto"/>
            <w:left w:val="none" w:sz="0" w:space="0" w:color="auto"/>
            <w:bottom w:val="none" w:sz="0" w:space="0" w:color="auto"/>
            <w:right w:val="none" w:sz="0" w:space="0" w:color="auto"/>
          </w:divBdr>
        </w:div>
        <w:div w:id="1052000431">
          <w:marLeft w:val="0"/>
          <w:marRight w:val="0"/>
          <w:marTop w:val="0"/>
          <w:marBottom w:val="0"/>
          <w:divBdr>
            <w:top w:val="none" w:sz="0" w:space="0" w:color="auto"/>
            <w:left w:val="none" w:sz="0" w:space="0" w:color="auto"/>
            <w:bottom w:val="none" w:sz="0" w:space="0" w:color="auto"/>
            <w:right w:val="none" w:sz="0" w:space="0" w:color="auto"/>
          </w:divBdr>
        </w:div>
        <w:div w:id="415782777">
          <w:marLeft w:val="0"/>
          <w:marRight w:val="0"/>
          <w:marTop w:val="0"/>
          <w:marBottom w:val="0"/>
          <w:divBdr>
            <w:top w:val="none" w:sz="0" w:space="0" w:color="auto"/>
            <w:left w:val="none" w:sz="0" w:space="0" w:color="auto"/>
            <w:bottom w:val="none" w:sz="0" w:space="0" w:color="auto"/>
            <w:right w:val="none" w:sz="0" w:space="0" w:color="auto"/>
          </w:divBdr>
        </w:div>
        <w:div w:id="1556619101">
          <w:marLeft w:val="0"/>
          <w:marRight w:val="0"/>
          <w:marTop w:val="0"/>
          <w:marBottom w:val="0"/>
          <w:divBdr>
            <w:top w:val="none" w:sz="0" w:space="0" w:color="auto"/>
            <w:left w:val="none" w:sz="0" w:space="0" w:color="auto"/>
            <w:bottom w:val="none" w:sz="0" w:space="0" w:color="auto"/>
            <w:right w:val="none" w:sz="0" w:space="0" w:color="auto"/>
          </w:divBdr>
        </w:div>
        <w:div w:id="837580491">
          <w:marLeft w:val="0"/>
          <w:marRight w:val="0"/>
          <w:marTop w:val="0"/>
          <w:marBottom w:val="0"/>
          <w:divBdr>
            <w:top w:val="none" w:sz="0" w:space="0" w:color="auto"/>
            <w:left w:val="none" w:sz="0" w:space="0" w:color="auto"/>
            <w:bottom w:val="none" w:sz="0" w:space="0" w:color="auto"/>
            <w:right w:val="none" w:sz="0" w:space="0" w:color="auto"/>
          </w:divBdr>
        </w:div>
        <w:div w:id="1929459917">
          <w:marLeft w:val="0"/>
          <w:marRight w:val="0"/>
          <w:marTop w:val="0"/>
          <w:marBottom w:val="0"/>
          <w:divBdr>
            <w:top w:val="none" w:sz="0" w:space="0" w:color="auto"/>
            <w:left w:val="none" w:sz="0" w:space="0" w:color="auto"/>
            <w:bottom w:val="none" w:sz="0" w:space="0" w:color="auto"/>
            <w:right w:val="none" w:sz="0" w:space="0" w:color="auto"/>
          </w:divBdr>
        </w:div>
        <w:div w:id="563680563">
          <w:marLeft w:val="0"/>
          <w:marRight w:val="0"/>
          <w:marTop w:val="0"/>
          <w:marBottom w:val="0"/>
          <w:divBdr>
            <w:top w:val="none" w:sz="0" w:space="0" w:color="auto"/>
            <w:left w:val="none" w:sz="0" w:space="0" w:color="auto"/>
            <w:bottom w:val="none" w:sz="0" w:space="0" w:color="auto"/>
            <w:right w:val="none" w:sz="0" w:space="0" w:color="auto"/>
          </w:divBdr>
        </w:div>
        <w:div w:id="1244873787">
          <w:marLeft w:val="0"/>
          <w:marRight w:val="0"/>
          <w:marTop w:val="0"/>
          <w:marBottom w:val="0"/>
          <w:divBdr>
            <w:top w:val="none" w:sz="0" w:space="0" w:color="auto"/>
            <w:left w:val="none" w:sz="0" w:space="0" w:color="auto"/>
            <w:bottom w:val="none" w:sz="0" w:space="0" w:color="auto"/>
            <w:right w:val="none" w:sz="0" w:space="0" w:color="auto"/>
          </w:divBdr>
        </w:div>
        <w:div w:id="504710606">
          <w:marLeft w:val="0"/>
          <w:marRight w:val="0"/>
          <w:marTop w:val="0"/>
          <w:marBottom w:val="0"/>
          <w:divBdr>
            <w:top w:val="none" w:sz="0" w:space="0" w:color="auto"/>
            <w:left w:val="none" w:sz="0" w:space="0" w:color="auto"/>
            <w:bottom w:val="none" w:sz="0" w:space="0" w:color="auto"/>
            <w:right w:val="none" w:sz="0" w:space="0" w:color="auto"/>
          </w:divBdr>
        </w:div>
        <w:div w:id="233127193">
          <w:marLeft w:val="0"/>
          <w:marRight w:val="0"/>
          <w:marTop w:val="0"/>
          <w:marBottom w:val="0"/>
          <w:divBdr>
            <w:top w:val="none" w:sz="0" w:space="0" w:color="auto"/>
            <w:left w:val="none" w:sz="0" w:space="0" w:color="auto"/>
            <w:bottom w:val="none" w:sz="0" w:space="0" w:color="auto"/>
            <w:right w:val="none" w:sz="0" w:space="0" w:color="auto"/>
          </w:divBdr>
        </w:div>
        <w:div w:id="1893153061">
          <w:marLeft w:val="0"/>
          <w:marRight w:val="0"/>
          <w:marTop w:val="0"/>
          <w:marBottom w:val="0"/>
          <w:divBdr>
            <w:top w:val="none" w:sz="0" w:space="0" w:color="auto"/>
            <w:left w:val="none" w:sz="0" w:space="0" w:color="auto"/>
            <w:bottom w:val="none" w:sz="0" w:space="0" w:color="auto"/>
            <w:right w:val="none" w:sz="0" w:space="0" w:color="auto"/>
          </w:divBdr>
        </w:div>
      </w:divsChild>
    </w:div>
    <w:div w:id="1411122717">
      <w:bodyDiv w:val="1"/>
      <w:marLeft w:val="0"/>
      <w:marRight w:val="0"/>
      <w:marTop w:val="0"/>
      <w:marBottom w:val="0"/>
      <w:divBdr>
        <w:top w:val="none" w:sz="0" w:space="0" w:color="auto"/>
        <w:left w:val="none" w:sz="0" w:space="0" w:color="auto"/>
        <w:bottom w:val="none" w:sz="0" w:space="0" w:color="auto"/>
        <w:right w:val="none" w:sz="0" w:space="0" w:color="auto"/>
      </w:divBdr>
      <w:divsChild>
        <w:div w:id="1011373753">
          <w:marLeft w:val="0"/>
          <w:marRight w:val="0"/>
          <w:marTop w:val="0"/>
          <w:marBottom w:val="0"/>
          <w:divBdr>
            <w:top w:val="none" w:sz="0" w:space="0" w:color="auto"/>
            <w:left w:val="none" w:sz="0" w:space="0" w:color="auto"/>
            <w:bottom w:val="none" w:sz="0" w:space="0" w:color="auto"/>
            <w:right w:val="none" w:sz="0" w:space="0" w:color="auto"/>
          </w:divBdr>
        </w:div>
        <w:div w:id="180629270">
          <w:marLeft w:val="0"/>
          <w:marRight w:val="0"/>
          <w:marTop w:val="0"/>
          <w:marBottom w:val="0"/>
          <w:divBdr>
            <w:top w:val="none" w:sz="0" w:space="0" w:color="auto"/>
            <w:left w:val="none" w:sz="0" w:space="0" w:color="auto"/>
            <w:bottom w:val="none" w:sz="0" w:space="0" w:color="auto"/>
            <w:right w:val="none" w:sz="0" w:space="0" w:color="auto"/>
          </w:divBdr>
        </w:div>
        <w:div w:id="1950700405">
          <w:marLeft w:val="0"/>
          <w:marRight w:val="0"/>
          <w:marTop w:val="0"/>
          <w:marBottom w:val="0"/>
          <w:divBdr>
            <w:top w:val="none" w:sz="0" w:space="0" w:color="auto"/>
            <w:left w:val="none" w:sz="0" w:space="0" w:color="auto"/>
            <w:bottom w:val="none" w:sz="0" w:space="0" w:color="auto"/>
            <w:right w:val="none" w:sz="0" w:space="0" w:color="auto"/>
          </w:divBdr>
        </w:div>
      </w:divsChild>
    </w:div>
    <w:div w:id="1414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1881058">
          <w:marLeft w:val="0"/>
          <w:marRight w:val="0"/>
          <w:marTop w:val="0"/>
          <w:marBottom w:val="0"/>
          <w:divBdr>
            <w:top w:val="none" w:sz="0" w:space="0" w:color="auto"/>
            <w:left w:val="none" w:sz="0" w:space="0" w:color="auto"/>
            <w:bottom w:val="none" w:sz="0" w:space="0" w:color="auto"/>
            <w:right w:val="none" w:sz="0" w:space="0" w:color="auto"/>
          </w:divBdr>
        </w:div>
        <w:div w:id="1577478595">
          <w:marLeft w:val="0"/>
          <w:marRight w:val="0"/>
          <w:marTop w:val="0"/>
          <w:marBottom w:val="0"/>
          <w:divBdr>
            <w:top w:val="none" w:sz="0" w:space="0" w:color="auto"/>
            <w:left w:val="none" w:sz="0" w:space="0" w:color="auto"/>
            <w:bottom w:val="none" w:sz="0" w:space="0" w:color="auto"/>
            <w:right w:val="none" w:sz="0" w:space="0" w:color="auto"/>
          </w:divBdr>
        </w:div>
        <w:div w:id="410352095">
          <w:marLeft w:val="0"/>
          <w:marRight w:val="0"/>
          <w:marTop w:val="0"/>
          <w:marBottom w:val="0"/>
          <w:divBdr>
            <w:top w:val="none" w:sz="0" w:space="0" w:color="auto"/>
            <w:left w:val="none" w:sz="0" w:space="0" w:color="auto"/>
            <w:bottom w:val="none" w:sz="0" w:space="0" w:color="auto"/>
            <w:right w:val="none" w:sz="0" w:space="0" w:color="auto"/>
          </w:divBdr>
        </w:div>
        <w:div w:id="467826090">
          <w:marLeft w:val="0"/>
          <w:marRight w:val="0"/>
          <w:marTop w:val="0"/>
          <w:marBottom w:val="0"/>
          <w:divBdr>
            <w:top w:val="none" w:sz="0" w:space="0" w:color="auto"/>
            <w:left w:val="none" w:sz="0" w:space="0" w:color="auto"/>
            <w:bottom w:val="none" w:sz="0" w:space="0" w:color="auto"/>
            <w:right w:val="none" w:sz="0" w:space="0" w:color="auto"/>
          </w:divBdr>
        </w:div>
        <w:div w:id="930623347">
          <w:marLeft w:val="0"/>
          <w:marRight w:val="0"/>
          <w:marTop w:val="0"/>
          <w:marBottom w:val="0"/>
          <w:divBdr>
            <w:top w:val="none" w:sz="0" w:space="0" w:color="auto"/>
            <w:left w:val="none" w:sz="0" w:space="0" w:color="auto"/>
            <w:bottom w:val="none" w:sz="0" w:space="0" w:color="auto"/>
            <w:right w:val="none" w:sz="0" w:space="0" w:color="auto"/>
          </w:divBdr>
        </w:div>
        <w:div w:id="1933246535">
          <w:marLeft w:val="0"/>
          <w:marRight w:val="0"/>
          <w:marTop w:val="0"/>
          <w:marBottom w:val="0"/>
          <w:divBdr>
            <w:top w:val="none" w:sz="0" w:space="0" w:color="auto"/>
            <w:left w:val="none" w:sz="0" w:space="0" w:color="auto"/>
            <w:bottom w:val="none" w:sz="0" w:space="0" w:color="auto"/>
            <w:right w:val="none" w:sz="0" w:space="0" w:color="auto"/>
          </w:divBdr>
        </w:div>
        <w:div w:id="785391113">
          <w:marLeft w:val="0"/>
          <w:marRight w:val="0"/>
          <w:marTop w:val="0"/>
          <w:marBottom w:val="0"/>
          <w:divBdr>
            <w:top w:val="none" w:sz="0" w:space="0" w:color="auto"/>
            <w:left w:val="none" w:sz="0" w:space="0" w:color="auto"/>
            <w:bottom w:val="none" w:sz="0" w:space="0" w:color="auto"/>
            <w:right w:val="none" w:sz="0" w:space="0" w:color="auto"/>
          </w:divBdr>
        </w:div>
      </w:divsChild>
    </w:div>
    <w:div w:id="1435638605">
      <w:bodyDiv w:val="1"/>
      <w:marLeft w:val="0"/>
      <w:marRight w:val="0"/>
      <w:marTop w:val="0"/>
      <w:marBottom w:val="0"/>
      <w:divBdr>
        <w:top w:val="none" w:sz="0" w:space="0" w:color="auto"/>
        <w:left w:val="none" w:sz="0" w:space="0" w:color="auto"/>
        <w:bottom w:val="none" w:sz="0" w:space="0" w:color="auto"/>
        <w:right w:val="none" w:sz="0" w:space="0" w:color="auto"/>
      </w:divBdr>
    </w:div>
    <w:div w:id="1450706042">
      <w:bodyDiv w:val="1"/>
      <w:marLeft w:val="0"/>
      <w:marRight w:val="0"/>
      <w:marTop w:val="0"/>
      <w:marBottom w:val="0"/>
      <w:divBdr>
        <w:top w:val="none" w:sz="0" w:space="0" w:color="auto"/>
        <w:left w:val="none" w:sz="0" w:space="0" w:color="auto"/>
        <w:bottom w:val="none" w:sz="0" w:space="0" w:color="auto"/>
        <w:right w:val="none" w:sz="0" w:space="0" w:color="auto"/>
      </w:divBdr>
    </w:div>
    <w:div w:id="1451822145">
      <w:bodyDiv w:val="1"/>
      <w:marLeft w:val="0"/>
      <w:marRight w:val="0"/>
      <w:marTop w:val="0"/>
      <w:marBottom w:val="0"/>
      <w:divBdr>
        <w:top w:val="none" w:sz="0" w:space="0" w:color="auto"/>
        <w:left w:val="none" w:sz="0" w:space="0" w:color="auto"/>
        <w:bottom w:val="none" w:sz="0" w:space="0" w:color="auto"/>
        <w:right w:val="none" w:sz="0" w:space="0" w:color="auto"/>
      </w:divBdr>
    </w:div>
    <w:div w:id="1458177475">
      <w:bodyDiv w:val="1"/>
      <w:marLeft w:val="0"/>
      <w:marRight w:val="0"/>
      <w:marTop w:val="0"/>
      <w:marBottom w:val="0"/>
      <w:divBdr>
        <w:top w:val="none" w:sz="0" w:space="0" w:color="auto"/>
        <w:left w:val="none" w:sz="0" w:space="0" w:color="auto"/>
        <w:bottom w:val="none" w:sz="0" w:space="0" w:color="auto"/>
        <w:right w:val="none" w:sz="0" w:space="0" w:color="auto"/>
      </w:divBdr>
      <w:divsChild>
        <w:div w:id="1684672003">
          <w:marLeft w:val="0"/>
          <w:marRight w:val="0"/>
          <w:marTop w:val="0"/>
          <w:marBottom w:val="0"/>
          <w:divBdr>
            <w:top w:val="none" w:sz="0" w:space="0" w:color="auto"/>
            <w:left w:val="none" w:sz="0" w:space="0" w:color="auto"/>
            <w:bottom w:val="none" w:sz="0" w:space="0" w:color="auto"/>
            <w:right w:val="none" w:sz="0" w:space="0" w:color="auto"/>
          </w:divBdr>
        </w:div>
        <w:div w:id="416941963">
          <w:marLeft w:val="0"/>
          <w:marRight w:val="0"/>
          <w:marTop w:val="0"/>
          <w:marBottom w:val="0"/>
          <w:divBdr>
            <w:top w:val="none" w:sz="0" w:space="0" w:color="auto"/>
            <w:left w:val="none" w:sz="0" w:space="0" w:color="auto"/>
            <w:bottom w:val="none" w:sz="0" w:space="0" w:color="auto"/>
            <w:right w:val="none" w:sz="0" w:space="0" w:color="auto"/>
          </w:divBdr>
        </w:div>
      </w:divsChild>
    </w:div>
    <w:div w:id="1500002674">
      <w:bodyDiv w:val="1"/>
      <w:marLeft w:val="0"/>
      <w:marRight w:val="0"/>
      <w:marTop w:val="0"/>
      <w:marBottom w:val="0"/>
      <w:divBdr>
        <w:top w:val="none" w:sz="0" w:space="0" w:color="auto"/>
        <w:left w:val="none" w:sz="0" w:space="0" w:color="auto"/>
        <w:bottom w:val="none" w:sz="0" w:space="0" w:color="auto"/>
        <w:right w:val="none" w:sz="0" w:space="0" w:color="auto"/>
      </w:divBdr>
    </w:div>
    <w:div w:id="1504083666">
      <w:bodyDiv w:val="1"/>
      <w:marLeft w:val="0"/>
      <w:marRight w:val="0"/>
      <w:marTop w:val="0"/>
      <w:marBottom w:val="0"/>
      <w:divBdr>
        <w:top w:val="none" w:sz="0" w:space="0" w:color="auto"/>
        <w:left w:val="none" w:sz="0" w:space="0" w:color="auto"/>
        <w:bottom w:val="none" w:sz="0" w:space="0" w:color="auto"/>
        <w:right w:val="none" w:sz="0" w:space="0" w:color="auto"/>
      </w:divBdr>
    </w:div>
    <w:div w:id="1516112901">
      <w:bodyDiv w:val="1"/>
      <w:marLeft w:val="0"/>
      <w:marRight w:val="0"/>
      <w:marTop w:val="0"/>
      <w:marBottom w:val="0"/>
      <w:divBdr>
        <w:top w:val="none" w:sz="0" w:space="0" w:color="auto"/>
        <w:left w:val="none" w:sz="0" w:space="0" w:color="auto"/>
        <w:bottom w:val="none" w:sz="0" w:space="0" w:color="auto"/>
        <w:right w:val="none" w:sz="0" w:space="0" w:color="auto"/>
      </w:divBdr>
    </w:div>
    <w:div w:id="1520587752">
      <w:bodyDiv w:val="1"/>
      <w:marLeft w:val="0"/>
      <w:marRight w:val="0"/>
      <w:marTop w:val="0"/>
      <w:marBottom w:val="0"/>
      <w:divBdr>
        <w:top w:val="none" w:sz="0" w:space="0" w:color="auto"/>
        <w:left w:val="none" w:sz="0" w:space="0" w:color="auto"/>
        <w:bottom w:val="none" w:sz="0" w:space="0" w:color="auto"/>
        <w:right w:val="none" w:sz="0" w:space="0" w:color="auto"/>
      </w:divBdr>
      <w:divsChild>
        <w:div w:id="1838308039">
          <w:marLeft w:val="0"/>
          <w:marRight w:val="0"/>
          <w:marTop w:val="0"/>
          <w:marBottom w:val="0"/>
          <w:divBdr>
            <w:top w:val="none" w:sz="0" w:space="0" w:color="auto"/>
            <w:left w:val="none" w:sz="0" w:space="0" w:color="auto"/>
            <w:bottom w:val="none" w:sz="0" w:space="0" w:color="auto"/>
            <w:right w:val="none" w:sz="0" w:space="0" w:color="auto"/>
          </w:divBdr>
        </w:div>
        <w:div w:id="575826160">
          <w:marLeft w:val="0"/>
          <w:marRight w:val="0"/>
          <w:marTop w:val="0"/>
          <w:marBottom w:val="0"/>
          <w:divBdr>
            <w:top w:val="none" w:sz="0" w:space="0" w:color="auto"/>
            <w:left w:val="none" w:sz="0" w:space="0" w:color="auto"/>
            <w:bottom w:val="none" w:sz="0" w:space="0" w:color="auto"/>
            <w:right w:val="none" w:sz="0" w:space="0" w:color="auto"/>
          </w:divBdr>
        </w:div>
      </w:divsChild>
    </w:div>
    <w:div w:id="1532960528">
      <w:bodyDiv w:val="1"/>
      <w:marLeft w:val="0"/>
      <w:marRight w:val="0"/>
      <w:marTop w:val="0"/>
      <w:marBottom w:val="0"/>
      <w:divBdr>
        <w:top w:val="none" w:sz="0" w:space="0" w:color="auto"/>
        <w:left w:val="none" w:sz="0" w:space="0" w:color="auto"/>
        <w:bottom w:val="none" w:sz="0" w:space="0" w:color="auto"/>
        <w:right w:val="none" w:sz="0" w:space="0" w:color="auto"/>
      </w:divBdr>
      <w:divsChild>
        <w:div w:id="1084107036">
          <w:marLeft w:val="0"/>
          <w:marRight w:val="0"/>
          <w:marTop w:val="0"/>
          <w:marBottom w:val="0"/>
          <w:divBdr>
            <w:top w:val="none" w:sz="0" w:space="0" w:color="auto"/>
            <w:left w:val="none" w:sz="0" w:space="0" w:color="auto"/>
            <w:bottom w:val="none" w:sz="0" w:space="0" w:color="auto"/>
            <w:right w:val="none" w:sz="0" w:space="0" w:color="auto"/>
          </w:divBdr>
        </w:div>
        <w:div w:id="608240259">
          <w:marLeft w:val="0"/>
          <w:marRight w:val="0"/>
          <w:marTop w:val="0"/>
          <w:marBottom w:val="0"/>
          <w:divBdr>
            <w:top w:val="none" w:sz="0" w:space="0" w:color="auto"/>
            <w:left w:val="none" w:sz="0" w:space="0" w:color="auto"/>
            <w:bottom w:val="none" w:sz="0" w:space="0" w:color="auto"/>
            <w:right w:val="none" w:sz="0" w:space="0" w:color="auto"/>
          </w:divBdr>
        </w:div>
      </w:divsChild>
    </w:div>
    <w:div w:id="1533152049">
      <w:bodyDiv w:val="1"/>
      <w:marLeft w:val="0"/>
      <w:marRight w:val="0"/>
      <w:marTop w:val="0"/>
      <w:marBottom w:val="0"/>
      <w:divBdr>
        <w:top w:val="none" w:sz="0" w:space="0" w:color="auto"/>
        <w:left w:val="none" w:sz="0" w:space="0" w:color="auto"/>
        <w:bottom w:val="none" w:sz="0" w:space="0" w:color="auto"/>
        <w:right w:val="none" w:sz="0" w:space="0" w:color="auto"/>
      </w:divBdr>
    </w:div>
    <w:div w:id="1593584743">
      <w:bodyDiv w:val="1"/>
      <w:marLeft w:val="0"/>
      <w:marRight w:val="0"/>
      <w:marTop w:val="0"/>
      <w:marBottom w:val="0"/>
      <w:divBdr>
        <w:top w:val="none" w:sz="0" w:space="0" w:color="auto"/>
        <w:left w:val="none" w:sz="0" w:space="0" w:color="auto"/>
        <w:bottom w:val="none" w:sz="0" w:space="0" w:color="auto"/>
        <w:right w:val="none" w:sz="0" w:space="0" w:color="auto"/>
      </w:divBdr>
    </w:div>
    <w:div w:id="1603612963">
      <w:bodyDiv w:val="1"/>
      <w:marLeft w:val="0"/>
      <w:marRight w:val="0"/>
      <w:marTop w:val="0"/>
      <w:marBottom w:val="0"/>
      <w:divBdr>
        <w:top w:val="none" w:sz="0" w:space="0" w:color="auto"/>
        <w:left w:val="none" w:sz="0" w:space="0" w:color="auto"/>
        <w:bottom w:val="none" w:sz="0" w:space="0" w:color="auto"/>
        <w:right w:val="none" w:sz="0" w:space="0" w:color="auto"/>
      </w:divBdr>
    </w:div>
    <w:div w:id="1668052046">
      <w:bodyDiv w:val="1"/>
      <w:marLeft w:val="0"/>
      <w:marRight w:val="0"/>
      <w:marTop w:val="0"/>
      <w:marBottom w:val="0"/>
      <w:divBdr>
        <w:top w:val="none" w:sz="0" w:space="0" w:color="auto"/>
        <w:left w:val="none" w:sz="0" w:space="0" w:color="auto"/>
        <w:bottom w:val="none" w:sz="0" w:space="0" w:color="auto"/>
        <w:right w:val="none" w:sz="0" w:space="0" w:color="auto"/>
      </w:divBdr>
    </w:div>
    <w:div w:id="1731004392">
      <w:bodyDiv w:val="1"/>
      <w:marLeft w:val="0"/>
      <w:marRight w:val="0"/>
      <w:marTop w:val="0"/>
      <w:marBottom w:val="0"/>
      <w:divBdr>
        <w:top w:val="none" w:sz="0" w:space="0" w:color="auto"/>
        <w:left w:val="none" w:sz="0" w:space="0" w:color="auto"/>
        <w:bottom w:val="none" w:sz="0" w:space="0" w:color="auto"/>
        <w:right w:val="none" w:sz="0" w:space="0" w:color="auto"/>
      </w:divBdr>
      <w:divsChild>
        <w:div w:id="1369336398">
          <w:marLeft w:val="0"/>
          <w:marRight w:val="0"/>
          <w:marTop w:val="0"/>
          <w:marBottom w:val="0"/>
          <w:divBdr>
            <w:top w:val="none" w:sz="0" w:space="0" w:color="auto"/>
            <w:left w:val="none" w:sz="0" w:space="0" w:color="auto"/>
            <w:bottom w:val="none" w:sz="0" w:space="0" w:color="auto"/>
            <w:right w:val="none" w:sz="0" w:space="0" w:color="auto"/>
          </w:divBdr>
          <w:divsChild>
            <w:div w:id="2134707252">
              <w:marLeft w:val="0"/>
              <w:marRight w:val="0"/>
              <w:marTop w:val="0"/>
              <w:marBottom w:val="0"/>
              <w:divBdr>
                <w:top w:val="none" w:sz="0" w:space="0" w:color="auto"/>
                <w:left w:val="none" w:sz="0" w:space="0" w:color="auto"/>
                <w:bottom w:val="none" w:sz="0" w:space="0" w:color="auto"/>
                <w:right w:val="none" w:sz="0" w:space="0" w:color="auto"/>
              </w:divBdr>
              <w:divsChild>
                <w:div w:id="87510727">
                  <w:marLeft w:val="0"/>
                  <w:marRight w:val="0"/>
                  <w:marTop w:val="0"/>
                  <w:marBottom w:val="0"/>
                  <w:divBdr>
                    <w:top w:val="none" w:sz="0" w:space="0" w:color="auto"/>
                    <w:left w:val="none" w:sz="0" w:space="0" w:color="auto"/>
                    <w:bottom w:val="none" w:sz="0" w:space="0" w:color="auto"/>
                    <w:right w:val="none" w:sz="0" w:space="0" w:color="auto"/>
                  </w:divBdr>
                </w:div>
                <w:div w:id="860437296">
                  <w:marLeft w:val="0"/>
                  <w:marRight w:val="0"/>
                  <w:marTop w:val="0"/>
                  <w:marBottom w:val="0"/>
                  <w:divBdr>
                    <w:top w:val="none" w:sz="0" w:space="0" w:color="auto"/>
                    <w:left w:val="none" w:sz="0" w:space="0" w:color="auto"/>
                    <w:bottom w:val="none" w:sz="0" w:space="0" w:color="auto"/>
                    <w:right w:val="none" w:sz="0" w:space="0" w:color="auto"/>
                  </w:divBdr>
                  <w:divsChild>
                    <w:div w:id="829056409">
                      <w:marLeft w:val="0"/>
                      <w:marRight w:val="0"/>
                      <w:marTop w:val="0"/>
                      <w:marBottom w:val="0"/>
                      <w:divBdr>
                        <w:top w:val="none" w:sz="0" w:space="0" w:color="auto"/>
                        <w:left w:val="none" w:sz="0" w:space="0" w:color="auto"/>
                        <w:bottom w:val="none" w:sz="0" w:space="0" w:color="auto"/>
                        <w:right w:val="none" w:sz="0" w:space="0" w:color="auto"/>
                      </w:divBdr>
                      <w:divsChild>
                        <w:div w:id="1372263180">
                          <w:marLeft w:val="0"/>
                          <w:marRight w:val="0"/>
                          <w:marTop w:val="0"/>
                          <w:marBottom w:val="0"/>
                          <w:divBdr>
                            <w:top w:val="none" w:sz="0" w:space="0" w:color="auto"/>
                            <w:left w:val="none" w:sz="0" w:space="0" w:color="auto"/>
                            <w:bottom w:val="none" w:sz="0" w:space="0" w:color="auto"/>
                            <w:right w:val="none" w:sz="0" w:space="0" w:color="auto"/>
                          </w:divBdr>
                          <w:divsChild>
                            <w:div w:id="153121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530546">
                  <w:marLeft w:val="0"/>
                  <w:marRight w:val="0"/>
                  <w:marTop w:val="0"/>
                  <w:marBottom w:val="0"/>
                  <w:divBdr>
                    <w:top w:val="none" w:sz="0" w:space="0" w:color="auto"/>
                    <w:left w:val="none" w:sz="0" w:space="0" w:color="auto"/>
                    <w:bottom w:val="none" w:sz="0" w:space="0" w:color="auto"/>
                    <w:right w:val="none" w:sz="0" w:space="0" w:color="auto"/>
                  </w:divBdr>
                  <w:divsChild>
                    <w:div w:id="646591050">
                      <w:marLeft w:val="0"/>
                      <w:marRight w:val="0"/>
                      <w:marTop w:val="0"/>
                      <w:marBottom w:val="0"/>
                      <w:divBdr>
                        <w:top w:val="none" w:sz="0" w:space="0" w:color="auto"/>
                        <w:left w:val="none" w:sz="0" w:space="0" w:color="auto"/>
                        <w:bottom w:val="none" w:sz="0" w:space="0" w:color="auto"/>
                        <w:right w:val="none" w:sz="0" w:space="0" w:color="auto"/>
                      </w:divBdr>
                      <w:divsChild>
                        <w:div w:id="1298490616">
                          <w:marLeft w:val="0"/>
                          <w:marRight w:val="0"/>
                          <w:marTop w:val="0"/>
                          <w:marBottom w:val="0"/>
                          <w:divBdr>
                            <w:top w:val="none" w:sz="0" w:space="0" w:color="auto"/>
                            <w:left w:val="none" w:sz="0" w:space="0" w:color="auto"/>
                            <w:bottom w:val="none" w:sz="0" w:space="0" w:color="auto"/>
                            <w:right w:val="none" w:sz="0" w:space="0" w:color="auto"/>
                          </w:divBdr>
                          <w:divsChild>
                            <w:div w:id="2133092581">
                              <w:marLeft w:val="0"/>
                              <w:marRight w:val="0"/>
                              <w:marTop w:val="0"/>
                              <w:marBottom w:val="0"/>
                              <w:divBdr>
                                <w:top w:val="none" w:sz="0" w:space="0" w:color="auto"/>
                                <w:left w:val="none" w:sz="0" w:space="0" w:color="auto"/>
                                <w:bottom w:val="none" w:sz="0" w:space="0" w:color="auto"/>
                                <w:right w:val="none" w:sz="0" w:space="0" w:color="auto"/>
                              </w:divBdr>
                              <w:divsChild>
                                <w:div w:id="521404960">
                                  <w:marLeft w:val="0"/>
                                  <w:marRight w:val="0"/>
                                  <w:marTop w:val="0"/>
                                  <w:marBottom w:val="0"/>
                                  <w:divBdr>
                                    <w:top w:val="none" w:sz="0" w:space="0" w:color="auto"/>
                                    <w:left w:val="none" w:sz="0" w:space="0" w:color="auto"/>
                                    <w:bottom w:val="none" w:sz="0" w:space="0" w:color="auto"/>
                                    <w:right w:val="none" w:sz="0" w:space="0" w:color="auto"/>
                                  </w:divBdr>
                                </w:div>
                                <w:div w:id="374744651">
                                  <w:marLeft w:val="0"/>
                                  <w:marRight w:val="0"/>
                                  <w:marTop w:val="0"/>
                                  <w:marBottom w:val="0"/>
                                  <w:divBdr>
                                    <w:top w:val="none" w:sz="0" w:space="0" w:color="auto"/>
                                    <w:left w:val="none" w:sz="0" w:space="0" w:color="auto"/>
                                    <w:bottom w:val="none" w:sz="0" w:space="0" w:color="auto"/>
                                    <w:right w:val="none" w:sz="0" w:space="0" w:color="auto"/>
                                  </w:divBdr>
                                </w:div>
                                <w:div w:id="1100684270">
                                  <w:marLeft w:val="0"/>
                                  <w:marRight w:val="0"/>
                                  <w:marTop w:val="0"/>
                                  <w:marBottom w:val="0"/>
                                  <w:divBdr>
                                    <w:top w:val="none" w:sz="0" w:space="0" w:color="auto"/>
                                    <w:left w:val="none" w:sz="0" w:space="0" w:color="auto"/>
                                    <w:bottom w:val="none" w:sz="0" w:space="0" w:color="auto"/>
                                    <w:right w:val="none" w:sz="0" w:space="0" w:color="auto"/>
                                  </w:divBdr>
                                </w:div>
                                <w:div w:id="25324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373139">
                  <w:marLeft w:val="0"/>
                  <w:marRight w:val="0"/>
                  <w:marTop w:val="0"/>
                  <w:marBottom w:val="0"/>
                  <w:divBdr>
                    <w:top w:val="none" w:sz="0" w:space="0" w:color="auto"/>
                    <w:left w:val="none" w:sz="0" w:space="0" w:color="auto"/>
                    <w:bottom w:val="none" w:sz="0" w:space="0" w:color="auto"/>
                    <w:right w:val="none" w:sz="0" w:space="0" w:color="auto"/>
                  </w:divBdr>
                  <w:divsChild>
                    <w:div w:id="1018851737">
                      <w:marLeft w:val="0"/>
                      <w:marRight w:val="0"/>
                      <w:marTop w:val="0"/>
                      <w:marBottom w:val="0"/>
                      <w:divBdr>
                        <w:top w:val="none" w:sz="0" w:space="0" w:color="auto"/>
                        <w:left w:val="none" w:sz="0" w:space="0" w:color="auto"/>
                        <w:bottom w:val="none" w:sz="0" w:space="0" w:color="auto"/>
                        <w:right w:val="none" w:sz="0" w:space="0" w:color="auto"/>
                      </w:divBdr>
                      <w:divsChild>
                        <w:div w:id="1859466192">
                          <w:marLeft w:val="0"/>
                          <w:marRight w:val="0"/>
                          <w:marTop w:val="0"/>
                          <w:marBottom w:val="0"/>
                          <w:divBdr>
                            <w:top w:val="none" w:sz="0" w:space="0" w:color="auto"/>
                            <w:left w:val="none" w:sz="0" w:space="0" w:color="auto"/>
                            <w:bottom w:val="none" w:sz="0" w:space="0" w:color="auto"/>
                            <w:right w:val="none" w:sz="0" w:space="0" w:color="auto"/>
                          </w:divBdr>
                        </w:div>
                        <w:div w:id="1347363179">
                          <w:marLeft w:val="0"/>
                          <w:marRight w:val="0"/>
                          <w:marTop w:val="0"/>
                          <w:marBottom w:val="0"/>
                          <w:divBdr>
                            <w:top w:val="none" w:sz="0" w:space="0" w:color="auto"/>
                            <w:left w:val="none" w:sz="0" w:space="0" w:color="auto"/>
                            <w:bottom w:val="none" w:sz="0" w:space="0" w:color="auto"/>
                            <w:right w:val="none" w:sz="0" w:space="0" w:color="auto"/>
                          </w:divBdr>
                          <w:divsChild>
                            <w:div w:id="1005204209">
                              <w:marLeft w:val="0"/>
                              <w:marRight w:val="0"/>
                              <w:marTop w:val="0"/>
                              <w:marBottom w:val="0"/>
                              <w:divBdr>
                                <w:top w:val="none" w:sz="0" w:space="0" w:color="auto"/>
                                <w:left w:val="none" w:sz="0" w:space="0" w:color="auto"/>
                                <w:bottom w:val="none" w:sz="0" w:space="0" w:color="auto"/>
                                <w:right w:val="none" w:sz="0" w:space="0" w:color="auto"/>
                              </w:divBdr>
                            </w:div>
                          </w:divsChild>
                        </w:div>
                        <w:div w:id="85267809">
                          <w:marLeft w:val="0"/>
                          <w:marRight w:val="0"/>
                          <w:marTop w:val="0"/>
                          <w:marBottom w:val="0"/>
                          <w:divBdr>
                            <w:top w:val="none" w:sz="0" w:space="0" w:color="auto"/>
                            <w:left w:val="none" w:sz="0" w:space="0" w:color="auto"/>
                            <w:bottom w:val="none" w:sz="0" w:space="0" w:color="auto"/>
                            <w:right w:val="none" w:sz="0" w:space="0" w:color="auto"/>
                          </w:divBdr>
                        </w:div>
                        <w:div w:id="914709628">
                          <w:marLeft w:val="0"/>
                          <w:marRight w:val="0"/>
                          <w:marTop w:val="0"/>
                          <w:marBottom w:val="0"/>
                          <w:divBdr>
                            <w:top w:val="none" w:sz="0" w:space="0" w:color="auto"/>
                            <w:left w:val="none" w:sz="0" w:space="0" w:color="auto"/>
                            <w:bottom w:val="none" w:sz="0" w:space="0" w:color="auto"/>
                            <w:right w:val="none" w:sz="0" w:space="0" w:color="auto"/>
                          </w:divBdr>
                        </w:div>
                        <w:div w:id="210195695">
                          <w:marLeft w:val="0"/>
                          <w:marRight w:val="0"/>
                          <w:marTop w:val="0"/>
                          <w:marBottom w:val="0"/>
                          <w:divBdr>
                            <w:top w:val="none" w:sz="0" w:space="0" w:color="auto"/>
                            <w:left w:val="none" w:sz="0" w:space="0" w:color="auto"/>
                            <w:bottom w:val="none" w:sz="0" w:space="0" w:color="auto"/>
                            <w:right w:val="none" w:sz="0" w:space="0" w:color="auto"/>
                          </w:divBdr>
                          <w:divsChild>
                            <w:div w:id="446511438">
                              <w:marLeft w:val="0"/>
                              <w:marRight w:val="0"/>
                              <w:marTop w:val="0"/>
                              <w:marBottom w:val="0"/>
                              <w:divBdr>
                                <w:top w:val="none" w:sz="0" w:space="0" w:color="auto"/>
                                <w:left w:val="none" w:sz="0" w:space="0" w:color="auto"/>
                                <w:bottom w:val="none" w:sz="0" w:space="0" w:color="auto"/>
                                <w:right w:val="none" w:sz="0" w:space="0" w:color="auto"/>
                              </w:divBdr>
                            </w:div>
                          </w:divsChild>
                        </w:div>
                        <w:div w:id="1813791476">
                          <w:marLeft w:val="0"/>
                          <w:marRight w:val="0"/>
                          <w:marTop w:val="0"/>
                          <w:marBottom w:val="0"/>
                          <w:divBdr>
                            <w:top w:val="none" w:sz="0" w:space="0" w:color="auto"/>
                            <w:left w:val="none" w:sz="0" w:space="0" w:color="auto"/>
                            <w:bottom w:val="none" w:sz="0" w:space="0" w:color="auto"/>
                            <w:right w:val="none" w:sz="0" w:space="0" w:color="auto"/>
                          </w:divBdr>
                        </w:div>
                        <w:div w:id="551891304">
                          <w:marLeft w:val="0"/>
                          <w:marRight w:val="0"/>
                          <w:marTop w:val="0"/>
                          <w:marBottom w:val="0"/>
                          <w:divBdr>
                            <w:top w:val="none" w:sz="0" w:space="0" w:color="auto"/>
                            <w:left w:val="none" w:sz="0" w:space="0" w:color="auto"/>
                            <w:bottom w:val="none" w:sz="0" w:space="0" w:color="auto"/>
                            <w:right w:val="none" w:sz="0" w:space="0" w:color="auto"/>
                          </w:divBdr>
                        </w:div>
                        <w:div w:id="984896770">
                          <w:marLeft w:val="0"/>
                          <w:marRight w:val="0"/>
                          <w:marTop w:val="0"/>
                          <w:marBottom w:val="0"/>
                          <w:divBdr>
                            <w:top w:val="none" w:sz="0" w:space="0" w:color="auto"/>
                            <w:left w:val="none" w:sz="0" w:space="0" w:color="auto"/>
                            <w:bottom w:val="none" w:sz="0" w:space="0" w:color="auto"/>
                            <w:right w:val="none" w:sz="0" w:space="0" w:color="auto"/>
                          </w:divBdr>
                          <w:divsChild>
                            <w:div w:id="100729504">
                              <w:marLeft w:val="0"/>
                              <w:marRight w:val="0"/>
                              <w:marTop w:val="0"/>
                              <w:marBottom w:val="0"/>
                              <w:divBdr>
                                <w:top w:val="none" w:sz="0" w:space="0" w:color="auto"/>
                                <w:left w:val="none" w:sz="0" w:space="0" w:color="auto"/>
                                <w:bottom w:val="none" w:sz="0" w:space="0" w:color="auto"/>
                                <w:right w:val="none" w:sz="0" w:space="0" w:color="auto"/>
                              </w:divBdr>
                            </w:div>
                          </w:divsChild>
                        </w:div>
                        <w:div w:id="1033916658">
                          <w:marLeft w:val="0"/>
                          <w:marRight w:val="0"/>
                          <w:marTop w:val="0"/>
                          <w:marBottom w:val="0"/>
                          <w:divBdr>
                            <w:top w:val="none" w:sz="0" w:space="0" w:color="auto"/>
                            <w:left w:val="none" w:sz="0" w:space="0" w:color="auto"/>
                            <w:bottom w:val="none" w:sz="0" w:space="0" w:color="auto"/>
                            <w:right w:val="none" w:sz="0" w:space="0" w:color="auto"/>
                          </w:divBdr>
                        </w:div>
                        <w:div w:id="1932397182">
                          <w:marLeft w:val="0"/>
                          <w:marRight w:val="0"/>
                          <w:marTop w:val="0"/>
                          <w:marBottom w:val="0"/>
                          <w:divBdr>
                            <w:top w:val="none" w:sz="0" w:space="0" w:color="auto"/>
                            <w:left w:val="none" w:sz="0" w:space="0" w:color="auto"/>
                            <w:bottom w:val="none" w:sz="0" w:space="0" w:color="auto"/>
                            <w:right w:val="none" w:sz="0" w:space="0" w:color="auto"/>
                          </w:divBdr>
                        </w:div>
                        <w:div w:id="1520781153">
                          <w:marLeft w:val="0"/>
                          <w:marRight w:val="0"/>
                          <w:marTop w:val="0"/>
                          <w:marBottom w:val="0"/>
                          <w:divBdr>
                            <w:top w:val="none" w:sz="0" w:space="0" w:color="auto"/>
                            <w:left w:val="none" w:sz="0" w:space="0" w:color="auto"/>
                            <w:bottom w:val="none" w:sz="0" w:space="0" w:color="auto"/>
                            <w:right w:val="none" w:sz="0" w:space="0" w:color="auto"/>
                          </w:divBdr>
                          <w:divsChild>
                            <w:div w:id="254365967">
                              <w:marLeft w:val="0"/>
                              <w:marRight w:val="0"/>
                              <w:marTop w:val="0"/>
                              <w:marBottom w:val="0"/>
                              <w:divBdr>
                                <w:top w:val="none" w:sz="0" w:space="0" w:color="auto"/>
                                <w:left w:val="none" w:sz="0" w:space="0" w:color="auto"/>
                                <w:bottom w:val="none" w:sz="0" w:space="0" w:color="auto"/>
                                <w:right w:val="none" w:sz="0" w:space="0" w:color="auto"/>
                              </w:divBdr>
                            </w:div>
                          </w:divsChild>
                        </w:div>
                        <w:div w:id="2100640157">
                          <w:marLeft w:val="0"/>
                          <w:marRight w:val="0"/>
                          <w:marTop w:val="0"/>
                          <w:marBottom w:val="0"/>
                          <w:divBdr>
                            <w:top w:val="none" w:sz="0" w:space="0" w:color="auto"/>
                            <w:left w:val="none" w:sz="0" w:space="0" w:color="auto"/>
                            <w:bottom w:val="none" w:sz="0" w:space="0" w:color="auto"/>
                            <w:right w:val="none" w:sz="0" w:space="0" w:color="auto"/>
                          </w:divBdr>
                        </w:div>
                        <w:div w:id="1665821306">
                          <w:marLeft w:val="0"/>
                          <w:marRight w:val="0"/>
                          <w:marTop w:val="0"/>
                          <w:marBottom w:val="0"/>
                          <w:divBdr>
                            <w:top w:val="none" w:sz="0" w:space="0" w:color="auto"/>
                            <w:left w:val="none" w:sz="0" w:space="0" w:color="auto"/>
                            <w:bottom w:val="none" w:sz="0" w:space="0" w:color="auto"/>
                            <w:right w:val="none" w:sz="0" w:space="0" w:color="auto"/>
                          </w:divBdr>
                        </w:div>
                        <w:div w:id="497695241">
                          <w:marLeft w:val="0"/>
                          <w:marRight w:val="0"/>
                          <w:marTop w:val="0"/>
                          <w:marBottom w:val="0"/>
                          <w:divBdr>
                            <w:top w:val="none" w:sz="0" w:space="0" w:color="auto"/>
                            <w:left w:val="none" w:sz="0" w:space="0" w:color="auto"/>
                            <w:bottom w:val="none" w:sz="0" w:space="0" w:color="auto"/>
                            <w:right w:val="none" w:sz="0" w:space="0" w:color="auto"/>
                          </w:divBdr>
                          <w:divsChild>
                            <w:div w:id="1639336786">
                              <w:marLeft w:val="0"/>
                              <w:marRight w:val="0"/>
                              <w:marTop w:val="0"/>
                              <w:marBottom w:val="0"/>
                              <w:divBdr>
                                <w:top w:val="none" w:sz="0" w:space="0" w:color="auto"/>
                                <w:left w:val="none" w:sz="0" w:space="0" w:color="auto"/>
                                <w:bottom w:val="none" w:sz="0" w:space="0" w:color="auto"/>
                                <w:right w:val="none" w:sz="0" w:space="0" w:color="auto"/>
                              </w:divBdr>
                            </w:div>
                          </w:divsChild>
                        </w:div>
                        <w:div w:id="36273931">
                          <w:marLeft w:val="0"/>
                          <w:marRight w:val="0"/>
                          <w:marTop w:val="0"/>
                          <w:marBottom w:val="0"/>
                          <w:divBdr>
                            <w:top w:val="none" w:sz="0" w:space="0" w:color="auto"/>
                            <w:left w:val="none" w:sz="0" w:space="0" w:color="auto"/>
                            <w:bottom w:val="none" w:sz="0" w:space="0" w:color="auto"/>
                            <w:right w:val="none" w:sz="0" w:space="0" w:color="auto"/>
                          </w:divBdr>
                        </w:div>
                        <w:div w:id="857158040">
                          <w:marLeft w:val="0"/>
                          <w:marRight w:val="0"/>
                          <w:marTop w:val="0"/>
                          <w:marBottom w:val="0"/>
                          <w:divBdr>
                            <w:top w:val="none" w:sz="0" w:space="0" w:color="auto"/>
                            <w:left w:val="none" w:sz="0" w:space="0" w:color="auto"/>
                            <w:bottom w:val="none" w:sz="0" w:space="0" w:color="auto"/>
                            <w:right w:val="none" w:sz="0" w:space="0" w:color="auto"/>
                          </w:divBdr>
                          <w:divsChild>
                            <w:div w:id="172255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37629">
                      <w:marLeft w:val="0"/>
                      <w:marRight w:val="0"/>
                      <w:marTop w:val="0"/>
                      <w:marBottom w:val="0"/>
                      <w:divBdr>
                        <w:top w:val="none" w:sz="0" w:space="0" w:color="auto"/>
                        <w:left w:val="none" w:sz="0" w:space="0" w:color="auto"/>
                        <w:bottom w:val="none" w:sz="0" w:space="0" w:color="auto"/>
                        <w:right w:val="none" w:sz="0" w:space="0" w:color="auto"/>
                      </w:divBdr>
                      <w:divsChild>
                        <w:div w:id="363214760">
                          <w:marLeft w:val="0"/>
                          <w:marRight w:val="0"/>
                          <w:marTop w:val="0"/>
                          <w:marBottom w:val="0"/>
                          <w:divBdr>
                            <w:top w:val="none" w:sz="0" w:space="0" w:color="auto"/>
                            <w:left w:val="none" w:sz="0" w:space="0" w:color="auto"/>
                            <w:bottom w:val="none" w:sz="0" w:space="0" w:color="auto"/>
                            <w:right w:val="none" w:sz="0" w:space="0" w:color="auto"/>
                          </w:divBdr>
                        </w:div>
                        <w:div w:id="8716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7798">
                  <w:marLeft w:val="0"/>
                  <w:marRight w:val="0"/>
                  <w:marTop w:val="0"/>
                  <w:marBottom w:val="0"/>
                  <w:divBdr>
                    <w:top w:val="none" w:sz="0" w:space="0" w:color="auto"/>
                    <w:left w:val="none" w:sz="0" w:space="0" w:color="auto"/>
                    <w:bottom w:val="none" w:sz="0" w:space="0" w:color="auto"/>
                    <w:right w:val="none" w:sz="0" w:space="0" w:color="auto"/>
                  </w:divBdr>
                  <w:divsChild>
                    <w:div w:id="369503027">
                      <w:marLeft w:val="0"/>
                      <w:marRight w:val="0"/>
                      <w:marTop w:val="0"/>
                      <w:marBottom w:val="0"/>
                      <w:divBdr>
                        <w:top w:val="none" w:sz="0" w:space="0" w:color="auto"/>
                        <w:left w:val="none" w:sz="0" w:space="0" w:color="auto"/>
                        <w:bottom w:val="none" w:sz="0" w:space="0" w:color="auto"/>
                        <w:right w:val="none" w:sz="0" w:space="0" w:color="auto"/>
                      </w:divBdr>
                      <w:divsChild>
                        <w:div w:id="1736314486">
                          <w:marLeft w:val="0"/>
                          <w:marRight w:val="0"/>
                          <w:marTop w:val="0"/>
                          <w:marBottom w:val="0"/>
                          <w:divBdr>
                            <w:top w:val="none" w:sz="0" w:space="0" w:color="auto"/>
                            <w:left w:val="none" w:sz="0" w:space="0" w:color="auto"/>
                            <w:bottom w:val="none" w:sz="0" w:space="0" w:color="auto"/>
                            <w:right w:val="none" w:sz="0" w:space="0" w:color="auto"/>
                          </w:divBdr>
                          <w:divsChild>
                            <w:div w:id="21125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50721">
              <w:marLeft w:val="0"/>
              <w:marRight w:val="0"/>
              <w:marTop w:val="0"/>
              <w:marBottom w:val="0"/>
              <w:divBdr>
                <w:top w:val="none" w:sz="0" w:space="0" w:color="auto"/>
                <w:left w:val="none" w:sz="0" w:space="0" w:color="auto"/>
                <w:bottom w:val="none" w:sz="0" w:space="0" w:color="auto"/>
                <w:right w:val="none" w:sz="0" w:space="0" w:color="auto"/>
              </w:divBdr>
              <w:divsChild>
                <w:div w:id="389694874">
                  <w:marLeft w:val="0"/>
                  <w:marRight w:val="0"/>
                  <w:marTop w:val="0"/>
                  <w:marBottom w:val="0"/>
                  <w:divBdr>
                    <w:top w:val="none" w:sz="0" w:space="0" w:color="auto"/>
                    <w:left w:val="none" w:sz="0" w:space="0" w:color="auto"/>
                    <w:bottom w:val="none" w:sz="0" w:space="0" w:color="auto"/>
                    <w:right w:val="none" w:sz="0" w:space="0" w:color="auto"/>
                  </w:divBdr>
                  <w:divsChild>
                    <w:div w:id="695890639">
                      <w:marLeft w:val="0"/>
                      <w:marRight w:val="0"/>
                      <w:marTop w:val="0"/>
                      <w:marBottom w:val="0"/>
                      <w:divBdr>
                        <w:top w:val="none" w:sz="0" w:space="0" w:color="auto"/>
                        <w:left w:val="none" w:sz="0" w:space="0" w:color="auto"/>
                        <w:bottom w:val="none" w:sz="0" w:space="0" w:color="auto"/>
                        <w:right w:val="none" w:sz="0" w:space="0" w:color="auto"/>
                      </w:divBdr>
                    </w:div>
                    <w:div w:id="334499544">
                      <w:marLeft w:val="0"/>
                      <w:marRight w:val="0"/>
                      <w:marTop w:val="0"/>
                      <w:marBottom w:val="0"/>
                      <w:divBdr>
                        <w:top w:val="none" w:sz="0" w:space="0" w:color="auto"/>
                        <w:left w:val="none" w:sz="0" w:space="0" w:color="auto"/>
                        <w:bottom w:val="none" w:sz="0" w:space="0" w:color="auto"/>
                        <w:right w:val="none" w:sz="0" w:space="0" w:color="auto"/>
                      </w:divBdr>
                    </w:div>
                    <w:div w:id="2113890702">
                      <w:marLeft w:val="0"/>
                      <w:marRight w:val="0"/>
                      <w:marTop w:val="0"/>
                      <w:marBottom w:val="0"/>
                      <w:divBdr>
                        <w:top w:val="none" w:sz="0" w:space="0" w:color="auto"/>
                        <w:left w:val="none" w:sz="0" w:space="0" w:color="auto"/>
                        <w:bottom w:val="none" w:sz="0" w:space="0" w:color="auto"/>
                        <w:right w:val="none" w:sz="0" w:space="0" w:color="auto"/>
                      </w:divBdr>
                      <w:divsChild>
                        <w:div w:id="428158491">
                          <w:marLeft w:val="0"/>
                          <w:marRight w:val="0"/>
                          <w:marTop w:val="0"/>
                          <w:marBottom w:val="0"/>
                          <w:divBdr>
                            <w:top w:val="none" w:sz="0" w:space="0" w:color="auto"/>
                            <w:left w:val="none" w:sz="0" w:space="0" w:color="auto"/>
                            <w:bottom w:val="none" w:sz="0" w:space="0" w:color="auto"/>
                            <w:right w:val="none" w:sz="0" w:space="0" w:color="auto"/>
                          </w:divBdr>
                        </w:div>
                        <w:div w:id="1834641853">
                          <w:marLeft w:val="0"/>
                          <w:marRight w:val="0"/>
                          <w:marTop w:val="0"/>
                          <w:marBottom w:val="0"/>
                          <w:divBdr>
                            <w:top w:val="none" w:sz="0" w:space="0" w:color="auto"/>
                            <w:left w:val="none" w:sz="0" w:space="0" w:color="auto"/>
                            <w:bottom w:val="none" w:sz="0" w:space="0" w:color="auto"/>
                            <w:right w:val="none" w:sz="0" w:space="0" w:color="auto"/>
                          </w:divBdr>
                        </w:div>
                        <w:div w:id="19570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1698">
                  <w:marLeft w:val="0"/>
                  <w:marRight w:val="0"/>
                  <w:marTop w:val="0"/>
                  <w:marBottom w:val="0"/>
                  <w:divBdr>
                    <w:top w:val="none" w:sz="0" w:space="0" w:color="auto"/>
                    <w:left w:val="none" w:sz="0" w:space="0" w:color="auto"/>
                    <w:bottom w:val="none" w:sz="0" w:space="0" w:color="auto"/>
                    <w:right w:val="none" w:sz="0" w:space="0" w:color="auto"/>
                  </w:divBdr>
                  <w:divsChild>
                    <w:div w:id="1734692457">
                      <w:marLeft w:val="0"/>
                      <w:marRight w:val="0"/>
                      <w:marTop w:val="0"/>
                      <w:marBottom w:val="0"/>
                      <w:divBdr>
                        <w:top w:val="none" w:sz="0" w:space="0" w:color="auto"/>
                        <w:left w:val="none" w:sz="0" w:space="0" w:color="auto"/>
                        <w:bottom w:val="none" w:sz="0" w:space="0" w:color="auto"/>
                        <w:right w:val="none" w:sz="0" w:space="0" w:color="auto"/>
                      </w:divBdr>
                    </w:div>
                  </w:divsChild>
                </w:div>
                <w:div w:id="1631786099">
                  <w:marLeft w:val="0"/>
                  <w:marRight w:val="0"/>
                  <w:marTop w:val="0"/>
                  <w:marBottom w:val="0"/>
                  <w:divBdr>
                    <w:top w:val="none" w:sz="0" w:space="0" w:color="auto"/>
                    <w:left w:val="none" w:sz="0" w:space="0" w:color="auto"/>
                    <w:bottom w:val="none" w:sz="0" w:space="0" w:color="auto"/>
                    <w:right w:val="none" w:sz="0" w:space="0" w:color="auto"/>
                  </w:divBdr>
                  <w:divsChild>
                    <w:div w:id="1516965378">
                      <w:marLeft w:val="0"/>
                      <w:marRight w:val="0"/>
                      <w:marTop w:val="0"/>
                      <w:marBottom w:val="0"/>
                      <w:divBdr>
                        <w:top w:val="none" w:sz="0" w:space="0" w:color="auto"/>
                        <w:left w:val="none" w:sz="0" w:space="0" w:color="auto"/>
                        <w:bottom w:val="none" w:sz="0" w:space="0" w:color="auto"/>
                        <w:right w:val="none" w:sz="0" w:space="0" w:color="auto"/>
                      </w:divBdr>
                    </w:div>
                  </w:divsChild>
                </w:div>
                <w:div w:id="857767478">
                  <w:marLeft w:val="0"/>
                  <w:marRight w:val="0"/>
                  <w:marTop w:val="0"/>
                  <w:marBottom w:val="0"/>
                  <w:divBdr>
                    <w:top w:val="none" w:sz="0" w:space="0" w:color="auto"/>
                    <w:left w:val="none" w:sz="0" w:space="0" w:color="auto"/>
                    <w:bottom w:val="none" w:sz="0" w:space="0" w:color="auto"/>
                    <w:right w:val="none" w:sz="0" w:space="0" w:color="auto"/>
                  </w:divBdr>
                  <w:divsChild>
                    <w:div w:id="18966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16644">
      <w:bodyDiv w:val="1"/>
      <w:marLeft w:val="0"/>
      <w:marRight w:val="0"/>
      <w:marTop w:val="0"/>
      <w:marBottom w:val="0"/>
      <w:divBdr>
        <w:top w:val="none" w:sz="0" w:space="0" w:color="auto"/>
        <w:left w:val="none" w:sz="0" w:space="0" w:color="auto"/>
        <w:bottom w:val="none" w:sz="0" w:space="0" w:color="auto"/>
        <w:right w:val="none" w:sz="0" w:space="0" w:color="auto"/>
      </w:divBdr>
    </w:div>
    <w:div w:id="1797062691">
      <w:bodyDiv w:val="1"/>
      <w:marLeft w:val="0"/>
      <w:marRight w:val="0"/>
      <w:marTop w:val="0"/>
      <w:marBottom w:val="0"/>
      <w:divBdr>
        <w:top w:val="none" w:sz="0" w:space="0" w:color="auto"/>
        <w:left w:val="none" w:sz="0" w:space="0" w:color="auto"/>
        <w:bottom w:val="none" w:sz="0" w:space="0" w:color="auto"/>
        <w:right w:val="none" w:sz="0" w:space="0" w:color="auto"/>
      </w:divBdr>
      <w:divsChild>
        <w:div w:id="773981105">
          <w:marLeft w:val="0"/>
          <w:marRight w:val="0"/>
          <w:marTop w:val="0"/>
          <w:marBottom w:val="0"/>
          <w:divBdr>
            <w:top w:val="none" w:sz="0" w:space="0" w:color="auto"/>
            <w:left w:val="none" w:sz="0" w:space="0" w:color="auto"/>
            <w:bottom w:val="none" w:sz="0" w:space="0" w:color="auto"/>
            <w:right w:val="none" w:sz="0" w:space="0" w:color="auto"/>
          </w:divBdr>
        </w:div>
        <w:div w:id="441726804">
          <w:marLeft w:val="0"/>
          <w:marRight w:val="0"/>
          <w:marTop w:val="0"/>
          <w:marBottom w:val="0"/>
          <w:divBdr>
            <w:top w:val="none" w:sz="0" w:space="0" w:color="auto"/>
            <w:left w:val="none" w:sz="0" w:space="0" w:color="auto"/>
            <w:bottom w:val="none" w:sz="0" w:space="0" w:color="auto"/>
            <w:right w:val="none" w:sz="0" w:space="0" w:color="auto"/>
          </w:divBdr>
        </w:div>
        <w:div w:id="650400840">
          <w:marLeft w:val="0"/>
          <w:marRight w:val="0"/>
          <w:marTop w:val="0"/>
          <w:marBottom w:val="0"/>
          <w:divBdr>
            <w:top w:val="none" w:sz="0" w:space="0" w:color="auto"/>
            <w:left w:val="none" w:sz="0" w:space="0" w:color="auto"/>
            <w:bottom w:val="none" w:sz="0" w:space="0" w:color="auto"/>
            <w:right w:val="none" w:sz="0" w:space="0" w:color="auto"/>
          </w:divBdr>
        </w:div>
      </w:divsChild>
    </w:div>
    <w:div w:id="1806580638">
      <w:bodyDiv w:val="1"/>
      <w:marLeft w:val="0"/>
      <w:marRight w:val="0"/>
      <w:marTop w:val="0"/>
      <w:marBottom w:val="0"/>
      <w:divBdr>
        <w:top w:val="none" w:sz="0" w:space="0" w:color="auto"/>
        <w:left w:val="none" w:sz="0" w:space="0" w:color="auto"/>
        <w:bottom w:val="none" w:sz="0" w:space="0" w:color="auto"/>
        <w:right w:val="none" w:sz="0" w:space="0" w:color="auto"/>
      </w:divBdr>
      <w:divsChild>
        <w:div w:id="1659915385">
          <w:marLeft w:val="0"/>
          <w:marRight w:val="0"/>
          <w:marTop w:val="0"/>
          <w:marBottom w:val="0"/>
          <w:divBdr>
            <w:top w:val="none" w:sz="0" w:space="0" w:color="auto"/>
            <w:left w:val="none" w:sz="0" w:space="0" w:color="auto"/>
            <w:bottom w:val="none" w:sz="0" w:space="0" w:color="auto"/>
            <w:right w:val="none" w:sz="0" w:space="0" w:color="auto"/>
          </w:divBdr>
        </w:div>
        <w:div w:id="1749762640">
          <w:marLeft w:val="0"/>
          <w:marRight w:val="0"/>
          <w:marTop w:val="0"/>
          <w:marBottom w:val="0"/>
          <w:divBdr>
            <w:top w:val="none" w:sz="0" w:space="0" w:color="auto"/>
            <w:left w:val="none" w:sz="0" w:space="0" w:color="auto"/>
            <w:bottom w:val="none" w:sz="0" w:space="0" w:color="auto"/>
            <w:right w:val="none" w:sz="0" w:space="0" w:color="auto"/>
          </w:divBdr>
        </w:div>
        <w:div w:id="472989235">
          <w:marLeft w:val="0"/>
          <w:marRight w:val="0"/>
          <w:marTop w:val="0"/>
          <w:marBottom w:val="0"/>
          <w:divBdr>
            <w:top w:val="none" w:sz="0" w:space="0" w:color="auto"/>
            <w:left w:val="none" w:sz="0" w:space="0" w:color="auto"/>
            <w:bottom w:val="none" w:sz="0" w:space="0" w:color="auto"/>
            <w:right w:val="none" w:sz="0" w:space="0" w:color="auto"/>
          </w:divBdr>
        </w:div>
        <w:div w:id="1093014293">
          <w:marLeft w:val="0"/>
          <w:marRight w:val="0"/>
          <w:marTop w:val="0"/>
          <w:marBottom w:val="0"/>
          <w:divBdr>
            <w:top w:val="none" w:sz="0" w:space="0" w:color="auto"/>
            <w:left w:val="none" w:sz="0" w:space="0" w:color="auto"/>
            <w:bottom w:val="none" w:sz="0" w:space="0" w:color="auto"/>
            <w:right w:val="none" w:sz="0" w:space="0" w:color="auto"/>
          </w:divBdr>
        </w:div>
        <w:div w:id="367605089">
          <w:marLeft w:val="0"/>
          <w:marRight w:val="0"/>
          <w:marTop w:val="0"/>
          <w:marBottom w:val="0"/>
          <w:divBdr>
            <w:top w:val="none" w:sz="0" w:space="0" w:color="auto"/>
            <w:left w:val="none" w:sz="0" w:space="0" w:color="auto"/>
            <w:bottom w:val="none" w:sz="0" w:space="0" w:color="auto"/>
            <w:right w:val="none" w:sz="0" w:space="0" w:color="auto"/>
          </w:divBdr>
        </w:div>
        <w:div w:id="1541624019">
          <w:marLeft w:val="0"/>
          <w:marRight w:val="0"/>
          <w:marTop w:val="0"/>
          <w:marBottom w:val="0"/>
          <w:divBdr>
            <w:top w:val="none" w:sz="0" w:space="0" w:color="auto"/>
            <w:left w:val="none" w:sz="0" w:space="0" w:color="auto"/>
            <w:bottom w:val="none" w:sz="0" w:space="0" w:color="auto"/>
            <w:right w:val="none" w:sz="0" w:space="0" w:color="auto"/>
          </w:divBdr>
        </w:div>
        <w:div w:id="1584022955">
          <w:marLeft w:val="0"/>
          <w:marRight w:val="0"/>
          <w:marTop w:val="0"/>
          <w:marBottom w:val="0"/>
          <w:divBdr>
            <w:top w:val="none" w:sz="0" w:space="0" w:color="auto"/>
            <w:left w:val="none" w:sz="0" w:space="0" w:color="auto"/>
            <w:bottom w:val="none" w:sz="0" w:space="0" w:color="auto"/>
            <w:right w:val="none" w:sz="0" w:space="0" w:color="auto"/>
          </w:divBdr>
        </w:div>
        <w:div w:id="1021205760">
          <w:marLeft w:val="0"/>
          <w:marRight w:val="0"/>
          <w:marTop w:val="0"/>
          <w:marBottom w:val="0"/>
          <w:divBdr>
            <w:top w:val="none" w:sz="0" w:space="0" w:color="auto"/>
            <w:left w:val="none" w:sz="0" w:space="0" w:color="auto"/>
            <w:bottom w:val="none" w:sz="0" w:space="0" w:color="auto"/>
            <w:right w:val="none" w:sz="0" w:space="0" w:color="auto"/>
          </w:divBdr>
        </w:div>
        <w:div w:id="1900167186">
          <w:marLeft w:val="0"/>
          <w:marRight w:val="0"/>
          <w:marTop w:val="0"/>
          <w:marBottom w:val="0"/>
          <w:divBdr>
            <w:top w:val="none" w:sz="0" w:space="0" w:color="auto"/>
            <w:left w:val="none" w:sz="0" w:space="0" w:color="auto"/>
            <w:bottom w:val="none" w:sz="0" w:space="0" w:color="auto"/>
            <w:right w:val="none" w:sz="0" w:space="0" w:color="auto"/>
          </w:divBdr>
        </w:div>
        <w:div w:id="183784511">
          <w:marLeft w:val="0"/>
          <w:marRight w:val="0"/>
          <w:marTop w:val="0"/>
          <w:marBottom w:val="0"/>
          <w:divBdr>
            <w:top w:val="none" w:sz="0" w:space="0" w:color="auto"/>
            <w:left w:val="none" w:sz="0" w:space="0" w:color="auto"/>
            <w:bottom w:val="none" w:sz="0" w:space="0" w:color="auto"/>
            <w:right w:val="none" w:sz="0" w:space="0" w:color="auto"/>
          </w:divBdr>
        </w:div>
        <w:div w:id="502160743">
          <w:marLeft w:val="0"/>
          <w:marRight w:val="0"/>
          <w:marTop w:val="0"/>
          <w:marBottom w:val="0"/>
          <w:divBdr>
            <w:top w:val="none" w:sz="0" w:space="0" w:color="auto"/>
            <w:left w:val="none" w:sz="0" w:space="0" w:color="auto"/>
            <w:bottom w:val="none" w:sz="0" w:space="0" w:color="auto"/>
            <w:right w:val="none" w:sz="0" w:space="0" w:color="auto"/>
          </w:divBdr>
        </w:div>
        <w:div w:id="1514685631">
          <w:marLeft w:val="0"/>
          <w:marRight w:val="0"/>
          <w:marTop w:val="0"/>
          <w:marBottom w:val="0"/>
          <w:divBdr>
            <w:top w:val="none" w:sz="0" w:space="0" w:color="auto"/>
            <w:left w:val="none" w:sz="0" w:space="0" w:color="auto"/>
            <w:bottom w:val="none" w:sz="0" w:space="0" w:color="auto"/>
            <w:right w:val="none" w:sz="0" w:space="0" w:color="auto"/>
          </w:divBdr>
        </w:div>
      </w:divsChild>
    </w:div>
    <w:div w:id="1844467437">
      <w:bodyDiv w:val="1"/>
      <w:marLeft w:val="0"/>
      <w:marRight w:val="0"/>
      <w:marTop w:val="0"/>
      <w:marBottom w:val="0"/>
      <w:divBdr>
        <w:top w:val="none" w:sz="0" w:space="0" w:color="auto"/>
        <w:left w:val="none" w:sz="0" w:space="0" w:color="auto"/>
        <w:bottom w:val="none" w:sz="0" w:space="0" w:color="auto"/>
        <w:right w:val="none" w:sz="0" w:space="0" w:color="auto"/>
      </w:divBdr>
      <w:divsChild>
        <w:div w:id="511383203">
          <w:marLeft w:val="0"/>
          <w:marRight w:val="0"/>
          <w:marTop w:val="0"/>
          <w:marBottom w:val="0"/>
          <w:divBdr>
            <w:top w:val="none" w:sz="0" w:space="0" w:color="auto"/>
            <w:left w:val="none" w:sz="0" w:space="0" w:color="auto"/>
            <w:bottom w:val="none" w:sz="0" w:space="0" w:color="auto"/>
            <w:right w:val="none" w:sz="0" w:space="0" w:color="auto"/>
          </w:divBdr>
        </w:div>
        <w:div w:id="50203054">
          <w:marLeft w:val="0"/>
          <w:marRight w:val="0"/>
          <w:marTop w:val="0"/>
          <w:marBottom w:val="0"/>
          <w:divBdr>
            <w:top w:val="none" w:sz="0" w:space="0" w:color="auto"/>
            <w:left w:val="none" w:sz="0" w:space="0" w:color="auto"/>
            <w:bottom w:val="none" w:sz="0" w:space="0" w:color="auto"/>
            <w:right w:val="none" w:sz="0" w:space="0" w:color="auto"/>
          </w:divBdr>
        </w:div>
      </w:divsChild>
    </w:div>
    <w:div w:id="1845363728">
      <w:bodyDiv w:val="1"/>
      <w:marLeft w:val="0"/>
      <w:marRight w:val="0"/>
      <w:marTop w:val="0"/>
      <w:marBottom w:val="0"/>
      <w:divBdr>
        <w:top w:val="none" w:sz="0" w:space="0" w:color="auto"/>
        <w:left w:val="none" w:sz="0" w:space="0" w:color="auto"/>
        <w:bottom w:val="none" w:sz="0" w:space="0" w:color="auto"/>
        <w:right w:val="none" w:sz="0" w:space="0" w:color="auto"/>
      </w:divBdr>
    </w:div>
    <w:div w:id="1862543561">
      <w:bodyDiv w:val="1"/>
      <w:marLeft w:val="0"/>
      <w:marRight w:val="0"/>
      <w:marTop w:val="0"/>
      <w:marBottom w:val="0"/>
      <w:divBdr>
        <w:top w:val="none" w:sz="0" w:space="0" w:color="auto"/>
        <w:left w:val="none" w:sz="0" w:space="0" w:color="auto"/>
        <w:bottom w:val="none" w:sz="0" w:space="0" w:color="auto"/>
        <w:right w:val="none" w:sz="0" w:space="0" w:color="auto"/>
      </w:divBdr>
    </w:div>
    <w:div w:id="1886066505">
      <w:bodyDiv w:val="1"/>
      <w:marLeft w:val="0"/>
      <w:marRight w:val="0"/>
      <w:marTop w:val="0"/>
      <w:marBottom w:val="0"/>
      <w:divBdr>
        <w:top w:val="none" w:sz="0" w:space="0" w:color="auto"/>
        <w:left w:val="none" w:sz="0" w:space="0" w:color="auto"/>
        <w:bottom w:val="none" w:sz="0" w:space="0" w:color="auto"/>
        <w:right w:val="none" w:sz="0" w:space="0" w:color="auto"/>
      </w:divBdr>
    </w:div>
    <w:div w:id="1896164048">
      <w:bodyDiv w:val="1"/>
      <w:marLeft w:val="0"/>
      <w:marRight w:val="0"/>
      <w:marTop w:val="0"/>
      <w:marBottom w:val="0"/>
      <w:divBdr>
        <w:top w:val="none" w:sz="0" w:space="0" w:color="auto"/>
        <w:left w:val="none" w:sz="0" w:space="0" w:color="auto"/>
        <w:bottom w:val="none" w:sz="0" w:space="0" w:color="auto"/>
        <w:right w:val="none" w:sz="0" w:space="0" w:color="auto"/>
      </w:divBdr>
    </w:div>
    <w:div w:id="1921476608">
      <w:bodyDiv w:val="1"/>
      <w:marLeft w:val="0"/>
      <w:marRight w:val="0"/>
      <w:marTop w:val="0"/>
      <w:marBottom w:val="0"/>
      <w:divBdr>
        <w:top w:val="none" w:sz="0" w:space="0" w:color="auto"/>
        <w:left w:val="none" w:sz="0" w:space="0" w:color="auto"/>
        <w:bottom w:val="none" w:sz="0" w:space="0" w:color="auto"/>
        <w:right w:val="none" w:sz="0" w:space="0" w:color="auto"/>
      </w:divBdr>
    </w:div>
    <w:div w:id="1994873308">
      <w:bodyDiv w:val="1"/>
      <w:marLeft w:val="0"/>
      <w:marRight w:val="0"/>
      <w:marTop w:val="0"/>
      <w:marBottom w:val="0"/>
      <w:divBdr>
        <w:top w:val="none" w:sz="0" w:space="0" w:color="auto"/>
        <w:left w:val="none" w:sz="0" w:space="0" w:color="auto"/>
        <w:bottom w:val="none" w:sz="0" w:space="0" w:color="auto"/>
        <w:right w:val="none" w:sz="0" w:space="0" w:color="auto"/>
      </w:divBdr>
    </w:div>
    <w:div w:id="2015181907">
      <w:bodyDiv w:val="1"/>
      <w:marLeft w:val="0"/>
      <w:marRight w:val="0"/>
      <w:marTop w:val="0"/>
      <w:marBottom w:val="0"/>
      <w:divBdr>
        <w:top w:val="none" w:sz="0" w:space="0" w:color="auto"/>
        <w:left w:val="none" w:sz="0" w:space="0" w:color="auto"/>
        <w:bottom w:val="none" w:sz="0" w:space="0" w:color="auto"/>
        <w:right w:val="none" w:sz="0" w:space="0" w:color="auto"/>
      </w:divBdr>
    </w:div>
    <w:div w:id="2025088720">
      <w:bodyDiv w:val="1"/>
      <w:marLeft w:val="0"/>
      <w:marRight w:val="0"/>
      <w:marTop w:val="0"/>
      <w:marBottom w:val="0"/>
      <w:divBdr>
        <w:top w:val="none" w:sz="0" w:space="0" w:color="auto"/>
        <w:left w:val="none" w:sz="0" w:space="0" w:color="auto"/>
        <w:bottom w:val="none" w:sz="0" w:space="0" w:color="auto"/>
        <w:right w:val="none" w:sz="0" w:space="0" w:color="auto"/>
      </w:divBdr>
    </w:div>
    <w:div w:id="2039433080">
      <w:bodyDiv w:val="1"/>
      <w:marLeft w:val="0"/>
      <w:marRight w:val="0"/>
      <w:marTop w:val="0"/>
      <w:marBottom w:val="0"/>
      <w:divBdr>
        <w:top w:val="none" w:sz="0" w:space="0" w:color="auto"/>
        <w:left w:val="none" w:sz="0" w:space="0" w:color="auto"/>
        <w:bottom w:val="none" w:sz="0" w:space="0" w:color="auto"/>
        <w:right w:val="none" w:sz="0" w:space="0" w:color="auto"/>
      </w:divBdr>
      <w:divsChild>
        <w:div w:id="1453939577">
          <w:marLeft w:val="0"/>
          <w:marRight w:val="0"/>
          <w:marTop w:val="0"/>
          <w:marBottom w:val="0"/>
          <w:divBdr>
            <w:top w:val="none" w:sz="0" w:space="0" w:color="auto"/>
            <w:left w:val="none" w:sz="0" w:space="0" w:color="auto"/>
            <w:bottom w:val="none" w:sz="0" w:space="0" w:color="auto"/>
            <w:right w:val="none" w:sz="0" w:space="0" w:color="auto"/>
          </w:divBdr>
        </w:div>
        <w:div w:id="1124495505">
          <w:marLeft w:val="0"/>
          <w:marRight w:val="0"/>
          <w:marTop w:val="0"/>
          <w:marBottom w:val="0"/>
          <w:divBdr>
            <w:top w:val="none" w:sz="0" w:space="0" w:color="auto"/>
            <w:left w:val="none" w:sz="0" w:space="0" w:color="auto"/>
            <w:bottom w:val="none" w:sz="0" w:space="0" w:color="auto"/>
            <w:right w:val="none" w:sz="0" w:space="0" w:color="auto"/>
          </w:divBdr>
        </w:div>
        <w:div w:id="293757008">
          <w:marLeft w:val="0"/>
          <w:marRight w:val="0"/>
          <w:marTop w:val="0"/>
          <w:marBottom w:val="0"/>
          <w:divBdr>
            <w:top w:val="none" w:sz="0" w:space="0" w:color="auto"/>
            <w:left w:val="none" w:sz="0" w:space="0" w:color="auto"/>
            <w:bottom w:val="none" w:sz="0" w:space="0" w:color="auto"/>
            <w:right w:val="none" w:sz="0" w:space="0" w:color="auto"/>
          </w:divBdr>
        </w:div>
        <w:div w:id="160436560">
          <w:marLeft w:val="0"/>
          <w:marRight w:val="0"/>
          <w:marTop w:val="0"/>
          <w:marBottom w:val="0"/>
          <w:divBdr>
            <w:top w:val="none" w:sz="0" w:space="0" w:color="auto"/>
            <w:left w:val="none" w:sz="0" w:space="0" w:color="auto"/>
            <w:bottom w:val="none" w:sz="0" w:space="0" w:color="auto"/>
            <w:right w:val="none" w:sz="0" w:space="0" w:color="auto"/>
          </w:divBdr>
        </w:div>
        <w:div w:id="621766270">
          <w:marLeft w:val="0"/>
          <w:marRight w:val="0"/>
          <w:marTop w:val="0"/>
          <w:marBottom w:val="0"/>
          <w:divBdr>
            <w:top w:val="none" w:sz="0" w:space="0" w:color="auto"/>
            <w:left w:val="none" w:sz="0" w:space="0" w:color="auto"/>
            <w:bottom w:val="none" w:sz="0" w:space="0" w:color="auto"/>
            <w:right w:val="none" w:sz="0" w:space="0" w:color="auto"/>
          </w:divBdr>
        </w:div>
        <w:div w:id="529728565">
          <w:marLeft w:val="0"/>
          <w:marRight w:val="0"/>
          <w:marTop w:val="0"/>
          <w:marBottom w:val="0"/>
          <w:divBdr>
            <w:top w:val="none" w:sz="0" w:space="0" w:color="auto"/>
            <w:left w:val="none" w:sz="0" w:space="0" w:color="auto"/>
            <w:bottom w:val="none" w:sz="0" w:space="0" w:color="auto"/>
            <w:right w:val="none" w:sz="0" w:space="0" w:color="auto"/>
          </w:divBdr>
        </w:div>
        <w:div w:id="1584409426">
          <w:marLeft w:val="0"/>
          <w:marRight w:val="0"/>
          <w:marTop w:val="0"/>
          <w:marBottom w:val="0"/>
          <w:divBdr>
            <w:top w:val="none" w:sz="0" w:space="0" w:color="auto"/>
            <w:left w:val="none" w:sz="0" w:space="0" w:color="auto"/>
            <w:bottom w:val="none" w:sz="0" w:space="0" w:color="auto"/>
            <w:right w:val="none" w:sz="0" w:space="0" w:color="auto"/>
          </w:divBdr>
        </w:div>
        <w:div w:id="1958559290">
          <w:marLeft w:val="0"/>
          <w:marRight w:val="0"/>
          <w:marTop w:val="0"/>
          <w:marBottom w:val="0"/>
          <w:divBdr>
            <w:top w:val="none" w:sz="0" w:space="0" w:color="auto"/>
            <w:left w:val="none" w:sz="0" w:space="0" w:color="auto"/>
            <w:bottom w:val="none" w:sz="0" w:space="0" w:color="auto"/>
            <w:right w:val="none" w:sz="0" w:space="0" w:color="auto"/>
          </w:divBdr>
        </w:div>
        <w:div w:id="1495486351">
          <w:marLeft w:val="0"/>
          <w:marRight w:val="0"/>
          <w:marTop w:val="0"/>
          <w:marBottom w:val="0"/>
          <w:divBdr>
            <w:top w:val="none" w:sz="0" w:space="0" w:color="auto"/>
            <w:left w:val="none" w:sz="0" w:space="0" w:color="auto"/>
            <w:bottom w:val="none" w:sz="0" w:space="0" w:color="auto"/>
            <w:right w:val="none" w:sz="0" w:space="0" w:color="auto"/>
          </w:divBdr>
        </w:div>
        <w:div w:id="845704106">
          <w:marLeft w:val="0"/>
          <w:marRight w:val="0"/>
          <w:marTop w:val="0"/>
          <w:marBottom w:val="0"/>
          <w:divBdr>
            <w:top w:val="none" w:sz="0" w:space="0" w:color="auto"/>
            <w:left w:val="none" w:sz="0" w:space="0" w:color="auto"/>
            <w:bottom w:val="none" w:sz="0" w:space="0" w:color="auto"/>
            <w:right w:val="none" w:sz="0" w:space="0" w:color="auto"/>
          </w:divBdr>
        </w:div>
      </w:divsChild>
    </w:div>
    <w:div w:id="2040816566">
      <w:bodyDiv w:val="1"/>
      <w:marLeft w:val="0"/>
      <w:marRight w:val="0"/>
      <w:marTop w:val="0"/>
      <w:marBottom w:val="0"/>
      <w:divBdr>
        <w:top w:val="none" w:sz="0" w:space="0" w:color="auto"/>
        <w:left w:val="none" w:sz="0" w:space="0" w:color="auto"/>
        <w:bottom w:val="none" w:sz="0" w:space="0" w:color="auto"/>
        <w:right w:val="none" w:sz="0" w:space="0" w:color="auto"/>
      </w:divBdr>
      <w:divsChild>
        <w:div w:id="1099714862">
          <w:marLeft w:val="0"/>
          <w:marRight w:val="0"/>
          <w:marTop w:val="0"/>
          <w:marBottom w:val="0"/>
          <w:divBdr>
            <w:top w:val="none" w:sz="0" w:space="0" w:color="auto"/>
            <w:left w:val="none" w:sz="0" w:space="0" w:color="auto"/>
            <w:bottom w:val="none" w:sz="0" w:space="0" w:color="auto"/>
            <w:right w:val="none" w:sz="0" w:space="0" w:color="auto"/>
          </w:divBdr>
          <w:divsChild>
            <w:div w:id="1280914938">
              <w:marLeft w:val="0"/>
              <w:marRight w:val="0"/>
              <w:marTop w:val="0"/>
              <w:marBottom w:val="0"/>
              <w:divBdr>
                <w:top w:val="none" w:sz="0" w:space="0" w:color="auto"/>
                <w:left w:val="none" w:sz="0" w:space="0" w:color="auto"/>
                <w:bottom w:val="none" w:sz="0" w:space="0" w:color="auto"/>
                <w:right w:val="none" w:sz="0" w:space="0" w:color="auto"/>
              </w:divBdr>
            </w:div>
            <w:div w:id="1304894708">
              <w:marLeft w:val="0"/>
              <w:marRight w:val="0"/>
              <w:marTop w:val="0"/>
              <w:marBottom w:val="0"/>
              <w:divBdr>
                <w:top w:val="none" w:sz="0" w:space="0" w:color="auto"/>
                <w:left w:val="none" w:sz="0" w:space="0" w:color="auto"/>
                <w:bottom w:val="none" w:sz="0" w:space="0" w:color="auto"/>
                <w:right w:val="none" w:sz="0" w:space="0" w:color="auto"/>
              </w:divBdr>
            </w:div>
            <w:div w:id="15380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5153">
      <w:bodyDiv w:val="1"/>
      <w:marLeft w:val="0"/>
      <w:marRight w:val="0"/>
      <w:marTop w:val="0"/>
      <w:marBottom w:val="0"/>
      <w:divBdr>
        <w:top w:val="none" w:sz="0" w:space="0" w:color="auto"/>
        <w:left w:val="none" w:sz="0" w:space="0" w:color="auto"/>
        <w:bottom w:val="none" w:sz="0" w:space="0" w:color="auto"/>
        <w:right w:val="none" w:sz="0" w:space="0" w:color="auto"/>
      </w:divBdr>
      <w:divsChild>
        <w:div w:id="1246187260">
          <w:marLeft w:val="0"/>
          <w:marRight w:val="0"/>
          <w:marTop w:val="0"/>
          <w:marBottom w:val="0"/>
          <w:divBdr>
            <w:top w:val="none" w:sz="0" w:space="0" w:color="auto"/>
            <w:left w:val="none" w:sz="0" w:space="0" w:color="auto"/>
            <w:bottom w:val="none" w:sz="0" w:space="0" w:color="auto"/>
            <w:right w:val="none" w:sz="0" w:space="0" w:color="auto"/>
          </w:divBdr>
        </w:div>
        <w:div w:id="954409282">
          <w:marLeft w:val="0"/>
          <w:marRight w:val="0"/>
          <w:marTop w:val="0"/>
          <w:marBottom w:val="0"/>
          <w:divBdr>
            <w:top w:val="none" w:sz="0" w:space="0" w:color="auto"/>
            <w:left w:val="none" w:sz="0" w:space="0" w:color="auto"/>
            <w:bottom w:val="none" w:sz="0" w:space="0" w:color="auto"/>
            <w:right w:val="none" w:sz="0" w:space="0" w:color="auto"/>
          </w:divBdr>
        </w:div>
        <w:div w:id="1979071871">
          <w:marLeft w:val="0"/>
          <w:marRight w:val="0"/>
          <w:marTop w:val="0"/>
          <w:marBottom w:val="0"/>
          <w:divBdr>
            <w:top w:val="none" w:sz="0" w:space="0" w:color="auto"/>
            <w:left w:val="none" w:sz="0" w:space="0" w:color="auto"/>
            <w:bottom w:val="none" w:sz="0" w:space="0" w:color="auto"/>
            <w:right w:val="none" w:sz="0" w:space="0" w:color="auto"/>
          </w:divBdr>
        </w:div>
        <w:div w:id="1291479438">
          <w:marLeft w:val="0"/>
          <w:marRight w:val="0"/>
          <w:marTop w:val="0"/>
          <w:marBottom w:val="0"/>
          <w:divBdr>
            <w:top w:val="none" w:sz="0" w:space="0" w:color="auto"/>
            <w:left w:val="none" w:sz="0" w:space="0" w:color="auto"/>
            <w:bottom w:val="none" w:sz="0" w:space="0" w:color="auto"/>
            <w:right w:val="none" w:sz="0" w:space="0" w:color="auto"/>
          </w:divBdr>
        </w:div>
        <w:div w:id="145244598">
          <w:marLeft w:val="0"/>
          <w:marRight w:val="0"/>
          <w:marTop w:val="0"/>
          <w:marBottom w:val="0"/>
          <w:divBdr>
            <w:top w:val="none" w:sz="0" w:space="0" w:color="auto"/>
            <w:left w:val="none" w:sz="0" w:space="0" w:color="auto"/>
            <w:bottom w:val="none" w:sz="0" w:space="0" w:color="auto"/>
            <w:right w:val="none" w:sz="0" w:space="0" w:color="auto"/>
          </w:divBdr>
        </w:div>
        <w:div w:id="2010480392">
          <w:marLeft w:val="0"/>
          <w:marRight w:val="0"/>
          <w:marTop w:val="0"/>
          <w:marBottom w:val="0"/>
          <w:divBdr>
            <w:top w:val="none" w:sz="0" w:space="0" w:color="auto"/>
            <w:left w:val="none" w:sz="0" w:space="0" w:color="auto"/>
            <w:bottom w:val="none" w:sz="0" w:space="0" w:color="auto"/>
            <w:right w:val="none" w:sz="0" w:space="0" w:color="auto"/>
          </w:divBdr>
        </w:div>
        <w:div w:id="169639668">
          <w:marLeft w:val="0"/>
          <w:marRight w:val="0"/>
          <w:marTop w:val="0"/>
          <w:marBottom w:val="0"/>
          <w:divBdr>
            <w:top w:val="none" w:sz="0" w:space="0" w:color="auto"/>
            <w:left w:val="none" w:sz="0" w:space="0" w:color="auto"/>
            <w:bottom w:val="none" w:sz="0" w:space="0" w:color="auto"/>
            <w:right w:val="none" w:sz="0" w:space="0" w:color="auto"/>
          </w:divBdr>
        </w:div>
      </w:divsChild>
    </w:div>
    <w:div w:id="2077699294">
      <w:bodyDiv w:val="1"/>
      <w:marLeft w:val="0"/>
      <w:marRight w:val="0"/>
      <w:marTop w:val="0"/>
      <w:marBottom w:val="0"/>
      <w:divBdr>
        <w:top w:val="none" w:sz="0" w:space="0" w:color="auto"/>
        <w:left w:val="none" w:sz="0" w:space="0" w:color="auto"/>
        <w:bottom w:val="none" w:sz="0" w:space="0" w:color="auto"/>
        <w:right w:val="none" w:sz="0" w:space="0" w:color="auto"/>
      </w:divBdr>
    </w:div>
    <w:div w:id="2106723260">
      <w:bodyDiv w:val="1"/>
      <w:marLeft w:val="0"/>
      <w:marRight w:val="0"/>
      <w:marTop w:val="0"/>
      <w:marBottom w:val="0"/>
      <w:divBdr>
        <w:top w:val="none" w:sz="0" w:space="0" w:color="auto"/>
        <w:left w:val="none" w:sz="0" w:space="0" w:color="auto"/>
        <w:bottom w:val="none" w:sz="0" w:space="0" w:color="auto"/>
        <w:right w:val="none" w:sz="0" w:space="0" w:color="auto"/>
      </w:divBdr>
      <w:divsChild>
        <w:div w:id="589123956">
          <w:marLeft w:val="0"/>
          <w:marRight w:val="0"/>
          <w:marTop w:val="0"/>
          <w:marBottom w:val="0"/>
          <w:divBdr>
            <w:top w:val="none" w:sz="0" w:space="0" w:color="auto"/>
            <w:left w:val="none" w:sz="0" w:space="0" w:color="auto"/>
            <w:bottom w:val="none" w:sz="0" w:space="0" w:color="auto"/>
            <w:right w:val="none" w:sz="0" w:space="0" w:color="auto"/>
          </w:divBdr>
        </w:div>
        <w:div w:id="1883861664">
          <w:marLeft w:val="0"/>
          <w:marRight w:val="0"/>
          <w:marTop w:val="0"/>
          <w:marBottom w:val="0"/>
          <w:divBdr>
            <w:top w:val="none" w:sz="0" w:space="0" w:color="auto"/>
            <w:left w:val="none" w:sz="0" w:space="0" w:color="auto"/>
            <w:bottom w:val="none" w:sz="0" w:space="0" w:color="auto"/>
            <w:right w:val="none" w:sz="0" w:space="0" w:color="auto"/>
          </w:divBdr>
        </w:div>
      </w:divsChild>
    </w:div>
    <w:div w:id="213065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ec.europa.eu/social/main.jsp?catId=758" TargetMode="External"/><Relationship Id="rId26" Type="http://schemas.openxmlformats.org/officeDocument/2006/relationships/diagramQuickStyle" Target="diagrams/quickStyle1.xm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epp.eurostat.ec.europa.eu/portal/page/portal/employment_unemployment_lfs/introduction" TargetMode="External"/><Relationship Id="rId34" Type="http://schemas.openxmlformats.org/officeDocument/2006/relationships/hyperlink" Target="http://www.europarl.europa.eu/summits/lis1_en.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diagramLayout" Target="diagrams/layout1.xml"/><Relationship Id="rId33" Type="http://schemas.openxmlformats.org/officeDocument/2006/relationships/hyperlink" Target="http://ec.europa.eu/regional_policy/sources/docoffic/2014/working/wd_2014_en.pdf"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epp.eurostat.ec.europa.eu/cache/ITY_SDDS/EN/demoreg_esms.htm" TargetMode="External"/><Relationship Id="rId29" Type="http://schemas.openxmlformats.org/officeDocument/2006/relationships/hyperlink" Target="http://ec.europa.eu/regional_policy/how/policy/doc/strategic_report/2013/factsheet11_social_inclusion_infr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diagramData" Target="diagrams/data1.xml"/><Relationship Id="rId32" Type="http://schemas.openxmlformats.org/officeDocument/2006/relationships/hyperlink" Target="http://ec.europa.eu/regional_policy/how/policy/doc/strategic_report/2013/swd_strat_report_2013_en.pdf" TargetMode="Externa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epp.eurostat.ec.europa.eu/portal/page/portal/nuts_nomenclature/history_nuts" TargetMode="External"/><Relationship Id="rId28" Type="http://schemas.microsoft.com/office/2007/relationships/diagramDrawing" Target="diagrams/drawing1.xml"/><Relationship Id="rId36"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yperlink" Target="http://epp.eurostat.ec.europa.eu/cache/ITY_SDDS/EN/hlth_res_esms.htm" TargetMode="External"/><Relationship Id="rId31" Type="http://schemas.openxmlformats.org/officeDocument/2006/relationships/hyperlink" Target="http://ec.europa.eu/regional_policy/how/policy/doc/strategic_report/2013/factsheet12_human_capit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pon.eu" TargetMode="External"/><Relationship Id="rId22" Type="http://schemas.openxmlformats.org/officeDocument/2006/relationships/hyperlink" Target="http://epp.eurostat.ec.europa.eu/portal/page/portal/income_social_inclusion_living_conditions/documents/tab/Tab/EU-SILC%20sample%20size.pdf" TargetMode="External"/><Relationship Id="rId27" Type="http://schemas.openxmlformats.org/officeDocument/2006/relationships/diagramColors" Target="diagrams/colors1.xml"/><Relationship Id="rId30" Type="http://schemas.openxmlformats.org/officeDocument/2006/relationships/hyperlink" Target="http://ec.europa.eu/regional_policy/how/policy/doc/strategic_report/2013/factsheet10_labour_market.pdf" TargetMode="External"/><Relationship Id="rId35" Type="http://schemas.openxmlformats.org/officeDocument/2006/relationships/hyperlink" Target="http://en.wikipedia.org/wiki/Gini_coefficien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uropeansocialsurvey.org/about/" TargetMode="External"/><Relationship Id="rId1" Type="http://schemas.openxmlformats.org/officeDocument/2006/relationships/hyperlink" Target="http://ec.europa.eu/public_opinion/index_en.h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B8F72BD-07DA-45F0-ADF0-0E7E7576B76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GB"/>
        </a:p>
      </dgm:t>
    </dgm:pt>
    <dgm:pt modelId="{D9A377EB-8583-4E9A-AB27-19DEB59E15AE}">
      <dgm:prSet phldrT="[Szöveg]" custT="1"/>
      <dgm:spPr>
        <a:solidFill>
          <a:schemeClr val="accent3">
            <a:lumMod val="50000"/>
          </a:schemeClr>
        </a:solidFill>
      </dgm:spPr>
      <dgm:t>
        <a:bodyPr/>
        <a:lstStyle/>
        <a:p>
          <a:r>
            <a:rPr lang="hu-HU" sz="1000" b="1"/>
            <a:t>Poverty and social exclusion (P&amp;SE )</a:t>
          </a:r>
          <a:endParaRPr lang="en-GB" sz="1000" b="1"/>
        </a:p>
      </dgm:t>
    </dgm:pt>
    <dgm:pt modelId="{1BB55CC0-75ED-4B1F-B96B-0CBF4061E653}" type="parTrans" cxnId="{092401AC-DB2B-48B0-A7DA-3EF292F6B25E}">
      <dgm:prSet/>
      <dgm:spPr/>
      <dgm:t>
        <a:bodyPr/>
        <a:lstStyle/>
        <a:p>
          <a:endParaRPr lang="en-GB"/>
        </a:p>
      </dgm:t>
    </dgm:pt>
    <dgm:pt modelId="{3D96BB49-FF43-444A-A5BE-3CA03EA9802B}" type="sibTrans" cxnId="{092401AC-DB2B-48B0-A7DA-3EF292F6B25E}">
      <dgm:prSet/>
      <dgm:spPr/>
      <dgm:t>
        <a:bodyPr/>
        <a:lstStyle/>
        <a:p>
          <a:endParaRPr lang="en-GB"/>
        </a:p>
      </dgm:t>
    </dgm:pt>
    <dgm:pt modelId="{37B4C5B2-6FB7-4EB2-BA11-BB898055CB72}">
      <dgm:prSet phldrT="[Szöveg]"/>
      <dgm:spPr>
        <a:solidFill>
          <a:schemeClr val="accent2"/>
        </a:solidFill>
      </dgm:spPr>
      <dgm:t>
        <a:bodyPr/>
        <a:lstStyle/>
        <a:p>
          <a:r>
            <a:rPr lang="hu-HU"/>
            <a:t>4 NUTS 2 level proxy indicators covering 2 dimensions of of P&amp;SE  (income and health)</a:t>
          </a:r>
        </a:p>
        <a:p>
          <a:r>
            <a:rPr lang="hu-HU"/>
            <a:t>TiPSE collection drawn from Eurostat</a:t>
          </a:r>
          <a:endParaRPr lang="en-GB"/>
        </a:p>
      </dgm:t>
    </dgm:pt>
    <dgm:pt modelId="{ED2184C4-344A-4876-982F-7AEEBBB27FE6}" type="parTrans" cxnId="{03DA2E61-4D29-4194-BA30-A9B64BE95635}">
      <dgm:prSet/>
      <dgm:spPr/>
      <dgm:t>
        <a:bodyPr/>
        <a:lstStyle/>
        <a:p>
          <a:endParaRPr lang="en-GB"/>
        </a:p>
      </dgm:t>
    </dgm:pt>
    <dgm:pt modelId="{B104BFEA-84F1-474F-85F2-77A03DE1E5E9}" type="sibTrans" cxnId="{03DA2E61-4D29-4194-BA30-A9B64BE95635}">
      <dgm:prSet/>
      <dgm:spPr/>
      <dgm:t>
        <a:bodyPr/>
        <a:lstStyle/>
        <a:p>
          <a:endParaRPr lang="en-GB"/>
        </a:p>
      </dgm:t>
    </dgm:pt>
    <dgm:pt modelId="{6ED02043-C6C6-451A-8529-C252D0FF68D7}">
      <dgm:prSet/>
      <dgm:spPr>
        <a:solidFill>
          <a:schemeClr val="accent2"/>
        </a:solidFill>
      </dgm:spPr>
      <dgm:t>
        <a:bodyPr/>
        <a:lstStyle/>
        <a:p>
          <a:r>
            <a:rPr lang="hu-HU"/>
            <a:t>18 NUTS 3 level proxy indicators covering 8 dimensions under 4 domains of P&amp;SE    2001, 2011 series</a:t>
          </a:r>
        </a:p>
        <a:p>
          <a:r>
            <a:rPr lang="hu-HU"/>
            <a:t>TiPSE collection drawn from Census data </a:t>
          </a:r>
          <a:endParaRPr lang="en-GB"/>
        </a:p>
      </dgm:t>
    </dgm:pt>
    <dgm:pt modelId="{2BF2130C-7F54-4BD3-84E5-E21FE9074674}" type="parTrans" cxnId="{8D888197-B818-47BD-9E7D-5188DB857D0A}">
      <dgm:prSet/>
      <dgm:spPr/>
      <dgm:t>
        <a:bodyPr/>
        <a:lstStyle/>
        <a:p>
          <a:endParaRPr lang="en-GB"/>
        </a:p>
      </dgm:t>
    </dgm:pt>
    <dgm:pt modelId="{D3022F55-A42B-4D4F-A42E-5EAAFC5D5E90}" type="sibTrans" cxnId="{8D888197-B818-47BD-9E7D-5188DB857D0A}">
      <dgm:prSet/>
      <dgm:spPr/>
      <dgm:t>
        <a:bodyPr/>
        <a:lstStyle/>
        <a:p>
          <a:endParaRPr lang="en-GB"/>
        </a:p>
      </dgm:t>
    </dgm:pt>
    <dgm:pt modelId="{1DEB84AC-219C-4817-9F2D-24A97488E470}" type="asst">
      <dgm:prSet phldrT="[Szöveg]"/>
      <dgm:spPr/>
      <dgm:t>
        <a:bodyPr/>
        <a:lstStyle/>
        <a:p>
          <a:r>
            <a:rPr lang="hu-HU"/>
            <a:t>NUTS 1 or NUTS 2 level proxy indicators, few in numbers covering 1 domain of P&amp;SE    Eurostat EU2020 inclusion growth indicators</a:t>
          </a:r>
          <a:endParaRPr lang="en-GB"/>
        </a:p>
      </dgm:t>
    </dgm:pt>
    <dgm:pt modelId="{AF44790D-48DF-41CE-A7E5-49CC83605E1E}" type="sibTrans" cxnId="{69CDC55A-6AE5-47EC-9DEC-7BD0F9652FD3}">
      <dgm:prSet/>
      <dgm:spPr/>
      <dgm:t>
        <a:bodyPr/>
        <a:lstStyle/>
        <a:p>
          <a:endParaRPr lang="en-GB"/>
        </a:p>
      </dgm:t>
    </dgm:pt>
    <dgm:pt modelId="{4FADEF00-2C51-48B8-8961-75D9A9C5A00F}" type="parTrans" cxnId="{69CDC55A-6AE5-47EC-9DEC-7BD0F9652FD3}">
      <dgm:prSet/>
      <dgm:spPr/>
      <dgm:t>
        <a:bodyPr/>
        <a:lstStyle/>
        <a:p>
          <a:endParaRPr lang="en-GB"/>
        </a:p>
      </dgm:t>
    </dgm:pt>
    <dgm:pt modelId="{67DB9988-6E74-42EA-919E-C7BCB53D10C6}" type="asst">
      <dgm:prSet custT="1"/>
      <dgm:spPr>
        <a:solidFill>
          <a:schemeClr val="accent2">
            <a:lumMod val="40000"/>
            <a:lumOff val="60000"/>
          </a:schemeClr>
        </a:solidFill>
      </dgm:spPr>
      <dgm:t>
        <a:bodyPr/>
        <a:lstStyle/>
        <a:p>
          <a:r>
            <a:rPr lang="hu-HU" sz="800">
              <a:solidFill>
                <a:sysClr val="windowText" lastClr="000000"/>
              </a:solidFill>
            </a:rPr>
            <a:t>Experimental composit indicator combining 6 indicators that represent all 4 domains of </a:t>
          </a:r>
        </a:p>
        <a:p>
          <a:r>
            <a:rPr lang="hu-HU" sz="800">
              <a:solidFill>
                <a:sysClr val="windowText" lastClr="000000"/>
              </a:solidFill>
            </a:rPr>
            <a:t>P&amp;SE  TiPSE collection 2011</a:t>
          </a:r>
          <a:endParaRPr lang="en-GB" sz="800">
            <a:solidFill>
              <a:sysClr val="windowText" lastClr="000000"/>
            </a:solidFill>
          </a:endParaRPr>
        </a:p>
      </dgm:t>
    </dgm:pt>
    <dgm:pt modelId="{BE667A60-B812-4F28-8BEF-B0628E0E8354}" type="parTrans" cxnId="{00258FC8-18D7-4A56-B71A-A11D9BBD6845}">
      <dgm:prSet/>
      <dgm:spPr>
        <a:ln>
          <a:solidFill>
            <a:schemeClr val="tx2"/>
          </a:solidFill>
        </a:ln>
      </dgm:spPr>
      <dgm:t>
        <a:bodyPr/>
        <a:lstStyle/>
        <a:p>
          <a:endParaRPr lang="en-GB"/>
        </a:p>
      </dgm:t>
    </dgm:pt>
    <dgm:pt modelId="{DCADFBAD-48E2-4B2A-BABF-E2D4F0B35482}" type="sibTrans" cxnId="{00258FC8-18D7-4A56-B71A-A11D9BBD6845}">
      <dgm:prSet/>
      <dgm:spPr/>
      <dgm:t>
        <a:bodyPr/>
        <a:lstStyle/>
        <a:p>
          <a:endParaRPr lang="en-GB"/>
        </a:p>
      </dgm:t>
    </dgm:pt>
    <dgm:pt modelId="{F1EDBE3A-36C6-4CD5-B4FC-0BF1DC231954}" type="asst">
      <dgm:prSet/>
      <dgm:spPr/>
      <dgm:t>
        <a:bodyPr/>
        <a:lstStyle/>
        <a:p>
          <a:r>
            <a:rPr lang="hu-HU"/>
            <a:t>Other NUTS 2 level proxy indicators recommended by the ISG of SPC</a:t>
          </a:r>
        </a:p>
        <a:p>
          <a:r>
            <a:rPr lang="hu-HU"/>
            <a:t>From  Eurostat LFS  (longterm unemployment, youth unemployment, early leavers from education)</a:t>
          </a:r>
        </a:p>
      </dgm:t>
    </dgm:pt>
    <dgm:pt modelId="{405B3E3A-DCC6-4B37-A0B8-847827BC295B}" type="parTrans" cxnId="{B04F9953-8DDB-46DF-83CF-45EF73EBA7EF}">
      <dgm:prSet/>
      <dgm:spPr/>
      <dgm:t>
        <a:bodyPr/>
        <a:lstStyle/>
        <a:p>
          <a:endParaRPr lang="hu-HU"/>
        </a:p>
      </dgm:t>
    </dgm:pt>
    <dgm:pt modelId="{28E86569-9C70-422A-8AA4-DE2EFA7DA69C}" type="sibTrans" cxnId="{B04F9953-8DDB-46DF-83CF-45EF73EBA7EF}">
      <dgm:prSet/>
      <dgm:spPr/>
      <dgm:t>
        <a:bodyPr/>
        <a:lstStyle/>
        <a:p>
          <a:endParaRPr lang="hu-HU"/>
        </a:p>
      </dgm:t>
    </dgm:pt>
    <dgm:pt modelId="{E5A2D98B-6634-4BB4-A7BD-E5BBD95606C2}" type="pres">
      <dgm:prSet presAssocID="{BB8F72BD-07DA-45F0-ADF0-0E7E7576B76C}" presName="hierChild1" presStyleCnt="0">
        <dgm:presLayoutVars>
          <dgm:orgChart val="1"/>
          <dgm:chPref val="1"/>
          <dgm:dir/>
          <dgm:animOne val="branch"/>
          <dgm:animLvl val="lvl"/>
          <dgm:resizeHandles/>
        </dgm:presLayoutVars>
      </dgm:prSet>
      <dgm:spPr/>
      <dgm:t>
        <a:bodyPr/>
        <a:lstStyle/>
        <a:p>
          <a:endParaRPr lang="en-GB"/>
        </a:p>
      </dgm:t>
    </dgm:pt>
    <dgm:pt modelId="{86C5926B-D9C9-4BCC-AE35-85ECDD8F32EC}" type="pres">
      <dgm:prSet presAssocID="{D9A377EB-8583-4E9A-AB27-19DEB59E15AE}" presName="hierRoot1" presStyleCnt="0">
        <dgm:presLayoutVars>
          <dgm:hierBranch val="init"/>
        </dgm:presLayoutVars>
      </dgm:prSet>
      <dgm:spPr/>
      <dgm:t>
        <a:bodyPr/>
        <a:lstStyle/>
        <a:p>
          <a:endParaRPr lang="en-GB"/>
        </a:p>
      </dgm:t>
    </dgm:pt>
    <dgm:pt modelId="{114D3A60-5DB7-40E5-B262-0DB578497262}" type="pres">
      <dgm:prSet presAssocID="{D9A377EB-8583-4E9A-AB27-19DEB59E15AE}" presName="rootComposite1" presStyleCnt="0"/>
      <dgm:spPr/>
      <dgm:t>
        <a:bodyPr/>
        <a:lstStyle/>
        <a:p>
          <a:endParaRPr lang="en-GB"/>
        </a:p>
      </dgm:t>
    </dgm:pt>
    <dgm:pt modelId="{8DD59F37-AB08-4A46-9570-6A2428B773F0}" type="pres">
      <dgm:prSet presAssocID="{D9A377EB-8583-4E9A-AB27-19DEB59E15AE}" presName="rootText1" presStyleLbl="node0" presStyleIdx="0" presStyleCnt="1" custScaleX="133894" custScaleY="148581">
        <dgm:presLayoutVars>
          <dgm:chPref val="3"/>
        </dgm:presLayoutVars>
      </dgm:prSet>
      <dgm:spPr/>
      <dgm:t>
        <a:bodyPr/>
        <a:lstStyle/>
        <a:p>
          <a:endParaRPr lang="en-GB"/>
        </a:p>
      </dgm:t>
    </dgm:pt>
    <dgm:pt modelId="{8EA9D67B-A958-4EC9-8C4C-EFB721B391FF}" type="pres">
      <dgm:prSet presAssocID="{D9A377EB-8583-4E9A-AB27-19DEB59E15AE}" presName="rootConnector1" presStyleLbl="node1" presStyleIdx="0" presStyleCnt="0"/>
      <dgm:spPr/>
      <dgm:t>
        <a:bodyPr/>
        <a:lstStyle/>
        <a:p>
          <a:endParaRPr lang="en-GB"/>
        </a:p>
      </dgm:t>
    </dgm:pt>
    <dgm:pt modelId="{1B1DE7C4-7754-48DD-865B-660C00E0B9A5}" type="pres">
      <dgm:prSet presAssocID="{D9A377EB-8583-4E9A-AB27-19DEB59E15AE}" presName="hierChild2" presStyleCnt="0"/>
      <dgm:spPr/>
      <dgm:t>
        <a:bodyPr/>
        <a:lstStyle/>
        <a:p>
          <a:endParaRPr lang="en-GB"/>
        </a:p>
      </dgm:t>
    </dgm:pt>
    <dgm:pt modelId="{EF818500-7519-425C-8C3E-17AF873D3A98}" type="pres">
      <dgm:prSet presAssocID="{ED2184C4-344A-4876-982F-7AEEBBB27FE6}" presName="Name37" presStyleLbl="parChTrans1D2" presStyleIdx="0" presStyleCnt="4"/>
      <dgm:spPr/>
      <dgm:t>
        <a:bodyPr/>
        <a:lstStyle/>
        <a:p>
          <a:endParaRPr lang="en-GB"/>
        </a:p>
      </dgm:t>
    </dgm:pt>
    <dgm:pt modelId="{A13641C9-C906-49B1-8873-615EB89EE98A}" type="pres">
      <dgm:prSet presAssocID="{37B4C5B2-6FB7-4EB2-BA11-BB898055CB72}" presName="hierRoot2" presStyleCnt="0">
        <dgm:presLayoutVars>
          <dgm:hierBranch val="init"/>
        </dgm:presLayoutVars>
      </dgm:prSet>
      <dgm:spPr/>
      <dgm:t>
        <a:bodyPr/>
        <a:lstStyle/>
        <a:p>
          <a:endParaRPr lang="en-GB"/>
        </a:p>
      </dgm:t>
    </dgm:pt>
    <dgm:pt modelId="{0A80F386-09C4-4D17-A168-BF442D7D349F}" type="pres">
      <dgm:prSet presAssocID="{37B4C5B2-6FB7-4EB2-BA11-BB898055CB72}" presName="rootComposite" presStyleCnt="0"/>
      <dgm:spPr/>
      <dgm:t>
        <a:bodyPr/>
        <a:lstStyle/>
        <a:p>
          <a:endParaRPr lang="en-GB"/>
        </a:p>
      </dgm:t>
    </dgm:pt>
    <dgm:pt modelId="{A793CCA8-BDFB-4D3C-9EB6-19B4044341D6}" type="pres">
      <dgm:prSet presAssocID="{37B4C5B2-6FB7-4EB2-BA11-BB898055CB72}" presName="rootText" presStyleLbl="node2" presStyleIdx="0" presStyleCnt="2" custScaleX="195640" custScaleY="130936">
        <dgm:presLayoutVars>
          <dgm:chPref val="3"/>
        </dgm:presLayoutVars>
      </dgm:prSet>
      <dgm:spPr/>
      <dgm:t>
        <a:bodyPr/>
        <a:lstStyle/>
        <a:p>
          <a:endParaRPr lang="en-GB"/>
        </a:p>
      </dgm:t>
    </dgm:pt>
    <dgm:pt modelId="{E7E4DF89-23B3-48EE-9021-F78325BB4A11}" type="pres">
      <dgm:prSet presAssocID="{37B4C5B2-6FB7-4EB2-BA11-BB898055CB72}" presName="rootConnector" presStyleLbl="node2" presStyleIdx="0" presStyleCnt="2"/>
      <dgm:spPr/>
      <dgm:t>
        <a:bodyPr/>
        <a:lstStyle/>
        <a:p>
          <a:endParaRPr lang="en-GB"/>
        </a:p>
      </dgm:t>
    </dgm:pt>
    <dgm:pt modelId="{7CC1AB3C-33D7-4013-92D2-515F40204EF1}" type="pres">
      <dgm:prSet presAssocID="{37B4C5B2-6FB7-4EB2-BA11-BB898055CB72}" presName="hierChild4" presStyleCnt="0"/>
      <dgm:spPr/>
      <dgm:t>
        <a:bodyPr/>
        <a:lstStyle/>
        <a:p>
          <a:endParaRPr lang="en-GB"/>
        </a:p>
      </dgm:t>
    </dgm:pt>
    <dgm:pt modelId="{4B4827D0-0E85-4656-9B60-1B0A5E478D7F}" type="pres">
      <dgm:prSet presAssocID="{37B4C5B2-6FB7-4EB2-BA11-BB898055CB72}" presName="hierChild5" presStyleCnt="0"/>
      <dgm:spPr/>
      <dgm:t>
        <a:bodyPr/>
        <a:lstStyle/>
        <a:p>
          <a:endParaRPr lang="en-GB"/>
        </a:p>
      </dgm:t>
    </dgm:pt>
    <dgm:pt modelId="{41AB95FE-D007-444B-8E43-D194947BF676}" type="pres">
      <dgm:prSet presAssocID="{2BF2130C-7F54-4BD3-84E5-E21FE9074674}" presName="Name37" presStyleLbl="parChTrans1D2" presStyleIdx="1" presStyleCnt="4"/>
      <dgm:spPr/>
      <dgm:t>
        <a:bodyPr/>
        <a:lstStyle/>
        <a:p>
          <a:endParaRPr lang="en-GB"/>
        </a:p>
      </dgm:t>
    </dgm:pt>
    <dgm:pt modelId="{7974C6D3-6CF3-41FD-9546-C59F9016B083}" type="pres">
      <dgm:prSet presAssocID="{6ED02043-C6C6-451A-8529-C252D0FF68D7}" presName="hierRoot2" presStyleCnt="0">
        <dgm:presLayoutVars>
          <dgm:hierBranch val="init"/>
        </dgm:presLayoutVars>
      </dgm:prSet>
      <dgm:spPr/>
      <dgm:t>
        <a:bodyPr/>
        <a:lstStyle/>
        <a:p>
          <a:endParaRPr lang="en-GB"/>
        </a:p>
      </dgm:t>
    </dgm:pt>
    <dgm:pt modelId="{2559B942-C8AD-483C-A843-F9F3517A8294}" type="pres">
      <dgm:prSet presAssocID="{6ED02043-C6C6-451A-8529-C252D0FF68D7}" presName="rootComposite" presStyleCnt="0"/>
      <dgm:spPr/>
      <dgm:t>
        <a:bodyPr/>
        <a:lstStyle/>
        <a:p>
          <a:endParaRPr lang="en-GB"/>
        </a:p>
      </dgm:t>
    </dgm:pt>
    <dgm:pt modelId="{2BF2CAE7-88A2-4AE9-901D-FFF4227CCB0A}" type="pres">
      <dgm:prSet presAssocID="{6ED02043-C6C6-451A-8529-C252D0FF68D7}" presName="rootText" presStyleLbl="node2" presStyleIdx="1" presStyleCnt="2" custScaleX="207611" custScaleY="125444">
        <dgm:presLayoutVars>
          <dgm:chPref val="3"/>
        </dgm:presLayoutVars>
      </dgm:prSet>
      <dgm:spPr/>
      <dgm:t>
        <a:bodyPr/>
        <a:lstStyle/>
        <a:p>
          <a:endParaRPr lang="en-GB"/>
        </a:p>
      </dgm:t>
    </dgm:pt>
    <dgm:pt modelId="{CA5A92FE-B7E7-4B2E-99CA-BC0EA847CE25}" type="pres">
      <dgm:prSet presAssocID="{6ED02043-C6C6-451A-8529-C252D0FF68D7}" presName="rootConnector" presStyleLbl="node2" presStyleIdx="1" presStyleCnt="2"/>
      <dgm:spPr/>
      <dgm:t>
        <a:bodyPr/>
        <a:lstStyle/>
        <a:p>
          <a:endParaRPr lang="en-GB"/>
        </a:p>
      </dgm:t>
    </dgm:pt>
    <dgm:pt modelId="{7E8973BC-655F-423D-9C3C-E6D9E5977A94}" type="pres">
      <dgm:prSet presAssocID="{6ED02043-C6C6-451A-8529-C252D0FF68D7}" presName="hierChild4" presStyleCnt="0"/>
      <dgm:spPr/>
      <dgm:t>
        <a:bodyPr/>
        <a:lstStyle/>
        <a:p>
          <a:endParaRPr lang="en-GB"/>
        </a:p>
      </dgm:t>
    </dgm:pt>
    <dgm:pt modelId="{6BED6755-EA47-4DF4-BC3A-21E711CA0BE3}" type="pres">
      <dgm:prSet presAssocID="{6ED02043-C6C6-451A-8529-C252D0FF68D7}" presName="hierChild5" presStyleCnt="0"/>
      <dgm:spPr/>
      <dgm:t>
        <a:bodyPr/>
        <a:lstStyle/>
        <a:p>
          <a:endParaRPr lang="en-GB"/>
        </a:p>
      </dgm:t>
    </dgm:pt>
    <dgm:pt modelId="{EEE3C077-32ED-489E-A90C-1FFD3C8F2815}" type="pres">
      <dgm:prSet presAssocID="{BE667A60-B812-4F28-8BEF-B0628E0E8354}" presName="Name111" presStyleLbl="parChTrans1D3" presStyleIdx="0" presStyleCnt="1"/>
      <dgm:spPr/>
      <dgm:t>
        <a:bodyPr/>
        <a:lstStyle/>
        <a:p>
          <a:endParaRPr lang="en-GB"/>
        </a:p>
      </dgm:t>
    </dgm:pt>
    <dgm:pt modelId="{133F5E40-4256-4403-B4DC-66FE86F5A9C4}" type="pres">
      <dgm:prSet presAssocID="{67DB9988-6E74-42EA-919E-C7BCB53D10C6}" presName="hierRoot3" presStyleCnt="0">
        <dgm:presLayoutVars>
          <dgm:hierBranch val="init"/>
        </dgm:presLayoutVars>
      </dgm:prSet>
      <dgm:spPr/>
      <dgm:t>
        <a:bodyPr/>
        <a:lstStyle/>
        <a:p>
          <a:endParaRPr lang="en-GB"/>
        </a:p>
      </dgm:t>
    </dgm:pt>
    <dgm:pt modelId="{33C57BCB-08A2-49E6-87B7-B07B0C5D9F5C}" type="pres">
      <dgm:prSet presAssocID="{67DB9988-6E74-42EA-919E-C7BCB53D10C6}" presName="rootComposite3" presStyleCnt="0"/>
      <dgm:spPr/>
      <dgm:t>
        <a:bodyPr/>
        <a:lstStyle/>
        <a:p>
          <a:endParaRPr lang="en-GB"/>
        </a:p>
      </dgm:t>
    </dgm:pt>
    <dgm:pt modelId="{27DC71E6-B3FA-42BB-8F6A-78571C142A04}" type="pres">
      <dgm:prSet presAssocID="{67DB9988-6E74-42EA-919E-C7BCB53D10C6}" presName="rootText3" presStyleLbl="asst2" presStyleIdx="0" presStyleCnt="1" custScaleX="234665">
        <dgm:presLayoutVars>
          <dgm:chPref val="3"/>
        </dgm:presLayoutVars>
      </dgm:prSet>
      <dgm:spPr/>
      <dgm:t>
        <a:bodyPr/>
        <a:lstStyle/>
        <a:p>
          <a:endParaRPr lang="en-GB"/>
        </a:p>
      </dgm:t>
    </dgm:pt>
    <dgm:pt modelId="{7C7DE0A9-0DC3-492F-9320-26CD9ABE2559}" type="pres">
      <dgm:prSet presAssocID="{67DB9988-6E74-42EA-919E-C7BCB53D10C6}" presName="rootConnector3" presStyleLbl="asst2" presStyleIdx="0" presStyleCnt="1"/>
      <dgm:spPr/>
      <dgm:t>
        <a:bodyPr/>
        <a:lstStyle/>
        <a:p>
          <a:endParaRPr lang="en-GB"/>
        </a:p>
      </dgm:t>
    </dgm:pt>
    <dgm:pt modelId="{3E42EA80-2988-4B9F-873F-1FAA20B6F942}" type="pres">
      <dgm:prSet presAssocID="{67DB9988-6E74-42EA-919E-C7BCB53D10C6}" presName="hierChild6" presStyleCnt="0"/>
      <dgm:spPr/>
      <dgm:t>
        <a:bodyPr/>
        <a:lstStyle/>
        <a:p>
          <a:endParaRPr lang="en-GB"/>
        </a:p>
      </dgm:t>
    </dgm:pt>
    <dgm:pt modelId="{55F88B47-2671-4184-9393-C8965F94F70E}" type="pres">
      <dgm:prSet presAssocID="{67DB9988-6E74-42EA-919E-C7BCB53D10C6}" presName="hierChild7" presStyleCnt="0"/>
      <dgm:spPr/>
      <dgm:t>
        <a:bodyPr/>
        <a:lstStyle/>
        <a:p>
          <a:endParaRPr lang="en-GB"/>
        </a:p>
      </dgm:t>
    </dgm:pt>
    <dgm:pt modelId="{9139E0F2-3F9F-4995-9557-4A881EADFEB7}" type="pres">
      <dgm:prSet presAssocID="{D9A377EB-8583-4E9A-AB27-19DEB59E15AE}" presName="hierChild3" presStyleCnt="0"/>
      <dgm:spPr/>
      <dgm:t>
        <a:bodyPr/>
        <a:lstStyle/>
        <a:p>
          <a:endParaRPr lang="en-GB"/>
        </a:p>
      </dgm:t>
    </dgm:pt>
    <dgm:pt modelId="{A3111604-BEFB-4E91-9B06-CD1D737314F0}" type="pres">
      <dgm:prSet presAssocID="{4FADEF00-2C51-48B8-8961-75D9A9C5A00F}" presName="Name111" presStyleLbl="parChTrans1D2" presStyleIdx="2" presStyleCnt="4"/>
      <dgm:spPr/>
      <dgm:t>
        <a:bodyPr/>
        <a:lstStyle/>
        <a:p>
          <a:endParaRPr lang="en-GB"/>
        </a:p>
      </dgm:t>
    </dgm:pt>
    <dgm:pt modelId="{54B00D06-E831-4EA2-A05C-18BB52F119DE}" type="pres">
      <dgm:prSet presAssocID="{1DEB84AC-219C-4817-9F2D-24A97488E470}" presName="hierRoot3" presStyleCnt="0">
        <dgm:presLayoutVars>
          <dgm:hierBranch val="init"/>
        </dgm:presLayoutVars>
      </dgm:prSet>
      <dgm:spPr/>
      <dgm:t>
        <a:bodyPr/>
        <a:lstStyle/>
        <a:p>
          <a:endParaRPr lang="en-GB"/>
        </a:p>
      </dgm:t>
    </dgm:pt>
    <dgm:pt modelId="{B938ACE5-2E74-42DD-8D68-4A0A77E67E68}" type="pres">
      <dgm:prSet presAssocID="{1DEB84AC-219C-4817-9F2D-24A97488E470}" presName="rootComposite3" presStyleCnt="0"/>
      <dgm:spPr/>
      <dgm:t>
        <a:bodyPr/>
        <a:lstStyle/>
        <a:p>
          <a:endParaRPr lang="en-GB"/>
        </a:p>
      </dgm:t>
    </dgm:pt>
    <dgm:pt modelId="{502567B8-5477-40BE-8AAC-A07C19F68D23}" type="pres">
      <dgm:prSet presAssocID="{1DEB84AC-219C-4817-9F2D-24A97488E470}" presName="rootText3" presStyleLbl="asst1" presStyleIdx="0" presStyleCnt="2" custScaleX="160779" custScaleY="141277">
        <dgm:presLayoutVars>
          <dgm:chPref val="3"/>
        </dgm:presLayoutVars>
      </dgm:prSet>
      <dgm:spPr/>
      <dgm:t>
        <a:bodyPr/>
        <a:lstStyle/>
        <a:p>
          <a:endParaRPr lang="en-GB"/>
        </a:p>
      </dgm:t>
    </dgm:pt>
    <dgm:pt modelId="{4AB2E839-32BB-468B-BF48-094F4F5A723B}" type="pres">
      <dgm:prSet presAssocID="{1DEB84AC-219C-4817-9F2D-24A97488E470}" presName="rootConnector3" presStyleLbl="asst1" presStyleIdx="0" presStyleCnt="2"/>
      <dgm:spPr/>
      <dgm:t>
        <a:bodyPr/>
        <a:lstStyle/>
        <a:p>
          <a:endParaRPr lang="en-GB"/>
        </a:p>
      </dgm:t>
    </dgm:pt>
    <dgm:pt modelId="{FB6FA1BF-1BAD-4686-BC1D-18432B547508}" type="pres">
      <dgm:prSet presAssocID="{1DEB84AC-219C-4817-9F2D-24A97488E470}" presName="hierChild6" presStyleCnt="0"/>
      <dgm:spPr/>
      <dgm:t>
        <a:bodyPr/>
        <a:lstStyle/>
        <a:p>
          <a:endParaRPr lang="en-GB"/>
        </a:p>
      </dgm:t>
    </dgm:pt>
    <dgm:pt modelId="{ABCD3D82-DCC4-4619-8401-6C56FA60DC78}" type="pres">
      <dgm:prSet presAssocID="{1DEB84AC-219C-4817-9F2D-24A97488E470}" presName="hierChild7" presStyleCnt="0"/>
      <dgm:spPr/>
      <dgm:t>
        <a:bodyPr/>
        <a:lstStyle/>
        <a:p>
          <a:endParaRPr lang="en-GB"/>
        </a:p>
      </dgm:t>
    </dgm:pt>
    <dgm:pt modelId="{99E8163E-B72D-4E75-9F18-62148A8ABF6F}" type="pres">
      <dgm:prSet presAssocID="{405B3E3A-DCC6-4B37-A0B8-847827BC295B}" presName="Name111" presStyleLbl="parChTrans1D2" presStyleIdx="3" presStyleCnt="4"/>
      <dgm:spPr/>
      <dgm:t>
        <a:bodyPr/>
        <a:lstStyle/>
        <a:p>
          <a:endParaRPr lang="hu-HU"/>
        </a:p>
      </dgm:t>
    </dgm:pt>
    <dgm:pt modelId="{DF608686-C001-44CA-9D89-891E2CC5288E}" type="pres">
      <dgm:prSet presAssocID="{F1EDBE3A-36C6-4CD5-B4FC-0BF1DC231954}" presName="hierRoot3" presStyleCnt="0">
        <dgm:presLayoutVars>
          <dgm:hierBranch val="init"/>
        </dgm:presLayoutVars>
      </dgm:prSet>
      <dgm:spPr/>
    </dgm:pt>
    <dgm:pt modelId="{98E1213E-6316-410C-8CB0-6E45F671C767}" type="pres">
      <dgm:prSet presAssocID="{F1EDBE3A-36C6-4CD5-B4FC-0BF1DC231954}" presName="rootComposite3" presStyleCnt="0"/>
      <dgm:spPr/>
    </dgm:pt>
    <dgm:pt modelId="{9D6CE487-C173-4B83-832F-E418BC917DA6}" type="pres">
      <dgm:prSet presAssocID="{F1EDBE3A-36C6-4CD5-B4FC-0BF1DC231954}" presName="rootText3" presStyleLbl="asst1" presStyleIdx="1" presStyleCnt="2" custScaleX="201690" custScaleY="145560">
        <dgm:presLayoutVars>
          <dgm:chPref val="3"/>
        </dgm:presLayoutVars>
      </dgm:prSet>
      <dgm:spPr/>
      <dgm:t>
        <a:bodyPr/>
        <a:lstStyle/>
        <a:p>
          <a:endParaRPr lang="hu-HU"/>
        </a:p>
      </dgm:t>
    </dgm:pt>
    <dgm:pt modelId="{0C25E14B-6D84-44AE-840C-2845E8ABE4E6}" type="pres">
      <dgm:prSet presAssocID="{F1EDBE3A-36C6-4CD5-B4FC-0BF1DC231954}" presName="rootConnector3" presStyleLbl="asst1" presStyleIdx="1" presStyleCnt="2"/>
      <dgm:spPr/>
      <dgm:t>
        <a:bodyPr/>
        <a:lstStyle/>
        <a:p>
          <a:endParaRPr lang="hu-HU"/>
        </a:p>
      </dgm:t>
    </dgm:pt>
    <dgm:pt modelId="{1BFA6748-3B99-4C8D-8FBD-C98BD3CDEC38}" type="pres">
      <dgm:prSet presAssocID="{F1EDBE3A-36C6-4CD5-B4FC-0BF1DC231954}" presName="hierChild6" presStyleCnt="0"/>
      <dgm:spPr/>
    </dgm:pt>
    <dgm:pt modelId="{32269E49-1DFD-4A82-940C-76356CD16ED8}" type="pres">
      <dgm:prSet presAssocID="{F1EDBE3A-36C6-4CD5-B4FC-0BF1DC231954}" presName="hierChild7" presStyleCnt="0"/>
      <dgm:spPr/>
    </dgm:pt>
  </dgm:ptLst>
  <dgm:cxnLst>
    <dgm:cxn modelId="{69CDC55A-6AE5-47EC-9DEC-7BD0F9652FD3}" srcId="{D9A377EB-8583-4E9A-AB27-19DEB59E15AE}" destId="{1DEB84AC-219C-4817-9F2D-24A97488E470}" srcOrd="0" destOrd="0" parTransId="{4FADEF00-2C51-48B8-8961-75D9A9C5A00F}" sibTransId="{AF44790D-48DF-41CE-A7E5-49CC83605E1E}"/>
    <dgm:cxn modelId="{E04A50FB-9AF5-4F82-839A-34DC44446D28}" type="presOf" srcId="{D9A377EB-8583-4E9A-AB27-19DEB59E15AE}" destId="{8EA9D67B-A958-4EC9-8C4C-EFB721B391FF}" srcOrd="1" destOrd="0" presId="urn:microsoft.com/office/officeart/2005/8/layout/orgChart1"/>
    <dgm:cxn modelId="{8D888197-B818-47BD-9E7D-5188DB857D0A}" srcId="{D9A377EB-8583-4E9A-AB27-19DEB59E15AE}" destId="{6ED02043-C6C6-451A-8529-C252D0FF68D7}" srcOrd="2" destOrd="0" parTransId="{2BF2130C-7F54-4BD3-84E5-E21FE9074674}" sibTransId="{D3022F55-A42B-4D4F-A42E-5EAAFC5D5E90}"/>
    <dgm:cxn modelId="{0057613B-9B02-457E-A2F9-92B13C5413CA}" type="presOf" srcId="{67DB9988-6E74-42EA-919E-C7BCB53D10C6}" destId="{7C7DE0A9-0DC3-492F-9320-26CD9ABE2559}" srcOrd="1" destOrd="0" presId="urn:microsoft.com/office/officeart/2005/8/layout/orgChart1"/>
    <dgm:cxn modelId="{62C9C400-0F45-40B1-9197-5A872245B2B1}" type="presOf" srcId="{1DEB84AC-219C-4817-9F2D-24A97488E470}" destId="{502567B8-5477-40BE-8AAC-A07C19F68D23}" srcOrd="0" destOrd="0" presId="urn:microsoft.com/office/officeart/2005/8/layout/orgChart1"/>
    <dgm:cxn modelId="{32155363-5A12-4E2C-BE92-D2BB8FD618A4}" type="presOf" srcId="{37B4C5B2-6FB7-4EB2-BA11-BB898055CB72}" destId="{A793CCA8-BDFB-4D3C-9EB6-19B4044341D6}" srcOrd="0" destOrd="0" presId="urn:microsoft.com/office/officeart/2005/8/layout/orgChart1"/>
    <dgm:cxn modelId="{555CB3C1-29F5-474D-A19E-0E4A417336E0}" type="presOf" srcId="{6ED02043-C6C6-451A-8529-C252D0FF68D7}" destId="{CA5A92FE-B7E7-4B2E-99CA-BC0EA847CE25}" srcOrd="1" destOrd="0" presId="urn:microsoft.com/office/officeart/2005/8/layout/orgChart1"/>
    <dgm:cxn modelId="{0CE09E29-F492-41C7-92C1-7A58D62D1AD0}" type="presOf" srcId="{37B4C5B2-6FB7-4EB2-BA11-BB898055CB72}" destId="{E7E4DF89-23B3-48EE-9021-F78325BB4A11}" srcOrd="1" destOrd="0" presId="urn:microsoft.com/office/officeart/2005/8/layout/orgChart1"/>
    <dgm:cxn modelId="{23DB1B63-B3BD-4C0A-B220-F77E7794D13E}" type="presOf" srcId="{BB8F72BD-07DA-45F0-ADF0-0E7E7576B76C}" destId="{E5A2D98B-6634-4BB4-A7BD-E5BBD95606C2}" srcOrd="0" destOrd="0" presId="urn:microsoft.com/office/officeart/2005/8/layout/orgChart1"/>
    <dgm:cxn modelId="{812E591D-DB96-421D-9F1A-7D7172A1249E}" type="presOf" srcId="{2BF2130C-7F54-4BD3-84E5-E21FE9074674}" destId="{41AB95FE-D007-444B-8E43-D194947BF676}" srcOrd="0" destOrd="0" presId="urn:microsoft.com/office/officeart/2005/8/layout/orgChart1"/>
    <dgm:cxn modelId="{53A234FD-9F85-43F8-8D37-34382D2729FA}" type="presOf" srcId="{4FADEF00-2C51-48B8-8961-75D9A9C5A00F}" destId="{A3111604-BEFB-4E91-9B06-CD1D737314F0}" srcOrd="0" destOrd="0" presId="urn:microsoft.com/office/officeart/2005/8/layout/orgChart1"/>
    <dgm:cxn modelId="{D8CF719B-C954-458F-B290-EA281E6D2B1B}" type="presOf" srcId="{405B3E3A-DCC6-4B37-A0B8-847827BC295B}" destId="{99E8163E-B72D-4E75-9F18-62148A8ABF6F}" srcOrd="0" destOrd="0" presId="urn:microsoft.com/office/officeart/2005/8/layout/orgChart1"/>
    <dgm:cxn modelId="{3EFB9ED1-316E-4C75-A08A-1D84A0ADDAE4}" type="presOf" srcId="{67DB9988-6E74-42EA-919E-C7BCB53D10C6}" destId="{27DC71E6-B3FA-42BB-8F6A-78571C142A04}" srcOrd="0" destOrd="0" presId="urn:microsoft.com/office/officeart/2005/8/layout/orgChart1"/>
    <dgm:cxn modelId="{03DA2E61-4D29-4194-BA30-A9B64BE95635}" srcId="{D9A377EB-8583-4E9A-AB27-19DEB59E15AE}" destId="{37B4C5B2-6FB7-4EB2-BA11-BB898055CB72}" srcOrd="1" destOrd="0" parTransId="{ED2184C4-344A-4876-982F-7AEEBBB27FE6}" sibTransId="{B104BFEA-84F1-474F-85F2-77A03DE1E5E9}"/>
    <dgm:cxn modelId="{EC6C68B6-F7EC-4B19-A72A-1EA250F4302A}" type="presOf" srcId="{F1EDBE3A-36C6-4CD5-B4FC-0BF1DC231954}" destId="{0C25E14B-6D84-44AE-840C-2845E8ABE4E6}" srcOrd="1" destOrd="0" presId="urn:microsoft.com/office/officeart/2005/8/layout/orgChart1"/>
    <dgm:cxn modelId="{092401AC-DB2B-48B0-A7DA-3EF292F6B25E}" srcId="{BB8F72BD-07DA-45F0-ADF0-0E7E7576B76C}" destId="{D9A377EB-8583-4E9A-AB27-19DEB59E15AE}" srcOrd="0" destOrd="0" parTransId="{1BB55CC0-75ED-4B1F-B96B-0CBF4061E653}" sibTransId="{3D96BB49-FF43-444A-A5BE-3CA03EA9802B}"/>
    <dgm:cxn modelId="{4DD478F0-A1FF-4EB6-B3B2-1019AEEA04FE}" type="presOf" srcId="{1DEB84AC-219C-4817-9F2D-24A97488E470}" destId="{4AB2E839-32BB-468B-BF48-094F4F5A723B}" srcOrd="1" destOrd="0" presId="urn:microsoft.com/office/officeart/2005/8/layout/orgChart1"/>
    <dgm:cxn modelId="{B04F9953-8DDB-46DF-83CF-45EF73EBA7EF}" srcId="{D9A377EB-8583-4E9A-AB27-19DEB59E15AE}" destId="{F1EDBE3A-36C6-4CD5-B4FC-0BF1DC231954}" srcOrd="3" destOrd="0" parTransId="{405B3E3A-DCC6-4B37-A0B8-847827BC295B}" sibTransId="{28E86569-9C70-422A-8AA4-DE2EFA7DA69C}"/>
    <dgm:cxn modelId="{52C85972-9406-469F-ADD5-7B0CC900CE08}" type="presOf" srcId="{ED2184C4-344A-4876-982F-7AEEBBB27FE6}" destId="{EF818500-7519-425C-8C3E-17AF873D3A98}" srcOrd="0" destOrd="0" presId="urn:microsoft.com/office/officeart/2005/8/layout/orgChart1"/>
    <dgm:cxn modelId="{A38511CD-FB1A-497F-B538-B0F73E03BF14}" type="presOf" srcId="{6ED02043-C6C6-451A-8529-C252D0FF68D7}" destId="{2BF2CAE7-88A2-4AE9-901D-FFF4227CCB0A}" srcOrd="0" destOrd="0" presId="urn:microsoft.com/office/officeart/2005/8/layout/orgChart1"/>
    <dgm:cxn modelId="{E32FD717-107B-46BF-8914-40C93E801C1D}" type="presOf" srcId="{F1EDBE3A-36C6-4CD5-B4FC-0BF1DC231954}" destId="{9D6CE487-C173-4B83-832F-E418BC917DA6}" srcOrd="0" destOrd="0" presId="urn:microsoft.com/office/officeart/2005/8/layout/orgChart1"/>
    <dgm:cxn modelId="{D4956F59-5D47-4639-BA5D-6F501CD56B34}" type="presOf" srcId="{D9A377EB-8583-4E9A-AB27-19DEB59E15AE}" destId="{8DD59F37-AB08-4A46-9570-6A2428B773F0}" srcOrd="0" destOrd="0" presId="urn:microsoft.com/office/officeart/2005/8/layout/orgChart1"/>
    <dgm:cxn modelId="{246084B5-0949-448B-872F-2CCF7C21F2C3}" type="presOf" srcId="{BE667A60-B812-4F28-8BEF-B0628E0E8354}" destId="{EEE3C077-32ED-489E-A90C-1FFD3C8F2815}" srcOrd="0" destOrd="0" presId="urn:microsoft.com/office/officeart/2005/8/layout/orgChart1"/>
    <dgm:cxn modelId="{00258FC8-18D7-4A56-B71A-A11D9BBD6845}" srcId="{6ED02043-C6C6-451A-8529-C252D0FF68D7}" destId="{67DB9988-6E74-42EA-919E-C7BCB53D10C6}" srcOrd="0" destOrd="0" parTransId="{BE667A60-B812-4F28-8BEF-B0628E0E8354}" sibTransId="{DCADFBAD-48E2-4B2A-BABF-E2D4F0B35482}"/>
    <dgm:cxn modelId="{404099AA-549B-42C8-ABAF-5667DBE2422B}" type="presParOf" srcId="{E5A2D98B-6634-4BB4-A7BD-E5BBD95606C2}" destId="{86C5926B-D9C9-4BCC-AE35-85ECDD8F32EC}" srcOrd="0" destOrd="0" presId="urn:microsoft.com/office/officeart/2005/8/layout/orgChart1"/>
    <dgm:cxn modelId="{39FF29FC-3CF7-4C94-B5CB-C843316E78D2}" type="presParOf" srcId="{86C5926B-D9C9-4BCC-AE35-85ECDD8F32EC}" destId="{114D3A60-5DB7-40E5-B262-0DB578497262}" srcOrd="0" destOrd="0" presId="urn:microsoft.com/office/officeart/2005/8/layout/orgChart1"/>
    <dgm:cxn modelId="{32F93F78-786D-40E0-8A68-44730A8E8102}" type="presParOf" srcId="{114D3A60-5DB7-40E5-B262-0DB578497262}" destId="{8DD59F37-AB08-4A46-9570-6A2428B773F0}" srcOrd="0" destOrd="0" presId="urn:microsoft.com/office/officeart/2005/8/layout/orgChart1"/>
    <dgm:cxn modelId="{1E458AAD-CD0D-4F98-BCDC-9931CE8FB587}" type="presParOf" srcId="{114D3A60-5DB7-40E5-B262-0DB578497262}" destId="{8EA9D67B-A958-4EC9-8C4C-EFB721B391FF}" srcOrd="1" destOrd="0" presId="urn:microsoft.com/office/officeart/2005/8/layout/orgChart1"/>
    <dgm:cxn modelId="{3A87ED8D-D4CA-4DF4-82BC-1E66BA9F775C}" type="presParOf" srcId="{86C5926B-D9C9-4BCC-AE35-85ECDD8F32EC}" destId="{1B1DE7C4-7754-48DD-865B-660C00E0B9A5}" srcOrd="1" destOrd="0" presId="urn:microsoft.com/office/officeart/2005/8/layout/orgChart1"/>
    <dgm:cxn modelId="{A80EAAE2-8F1C-463C-B53B-E7E9E1619FEF}" type="presParOf" srcId="{1B1DE7C4-7754-48DD-865B-660C00E0B9A5}" destId="{EF818500-7519-425C-8C3E-17AF873D3A98}" srcOrd="0" destOrd="0" presId="urn:microsoft.com/office/officeart/2005/8/layout/orgChart1"/>
    <dgm:cxn modelId="{5315C1BB-EA08-4A46-96E3-31D768563CAF}" type="presParOf" srcId="{1B1DE7C4-7754-48DD-865B-660C00E0B9A5}" destId="{A13641C9-C906-49B1-8873-615EB89EE98A}" srcOrd="1" destOrd="0" presId="urn:microsoft.com/office/officeart/2005/8/layout/orgChart1"/>
    <dgm:cxn modelId="{100D4A54-C870-4002-95F1-7ADBCC19C655}" type="presParOf" srcId="{A13641C9-C906-49B1-8873-615EB89EE98A}" destId="{0A80F386-09C4-4D17-A168-BF442D7D349F}" srcOrd="0" destOrd="0" presId="urn:microsoft.com/office/officeart/2005/8/layout/orgChart1"/>
    <dgm:cxn modelId="{7B9FEA46-B458-4A7D-9721-3039ACF263FE}" type="presParOf" srcId="{0A80F386-09C4-4D17-A168-BF442D7D349F}" destId="{A793CCA8-BDFB-4D3C-9EB6-19B4044341D6}" srcOrd="0" destOrd="0" presId="urn:microsoft.com/office/officeart/2005/8/layout/orgChart1"/>
    <dgm:cxn modelId="{60FF51A3-2453-43AD-A6DC-A9D3B3281830}" type="presParOf" srcId="{0A80F386-09C4-4D17-A168-BF442D7D349F}" destId="{E7E4DF89-23B3-48EE-9021-F78325BB4A11}" srcOrd="1" destOrd="0" presId="urn:microsoft.com/office/officeart/2005/8/layout/orgChart1"/>
    <dgm:cxn modelId="{86687054-9A09-40AF-B665-90FA1ED56BD6}" type="presParOf" srcId="{A13641C9-C906-49B1-8873-615EB89EE98A}" destId="{7CC1AB3C-33D7-4013-92D2-515F40204EF1}" srcOrd="1" destOrd="0" presId="urn:microsoft.com/office/officeart/2005/8/layout/orgChart1"/>
    <dgm:cxn modelId="{EBA84E2A-A876-4698-A5B4-3610393D74E2}" type="presParOf" srcId="{A13641C9-C906-49B1-8873-615EB89EE98A}" destId="{4B4827D0-0E85-4656-9B60-1B0A5E478D7F}" srcOrd="2" destOrd="0" presId="urn:microsoft.com/office/officeart/2005/8/layout/orgChart1"/>
    <dgm:cxn modelId="{00D7916F-65CE-49AE-B7D3-EF1EE88F3CD0}" type="presParOf" srcId="{1B1DE7C4-7754-48DD-865B-660C00E0B9A5}" destId="{41AB95FE-D007-444B-8E43-D194947BF676}" srcOrd="2" destOrd="0" presId="urn:microsoft.com/office/officeart/2005/8/layout/orgChart1"/>
    <dgm:cxn modelId="{3CCC28EB-405C-49B4-9741-D9910FEC58FE}" type="presParOf" srcId="{1B1DE7C4-7754-48DD-865B-660C00E0B9A5}" destId="{7974C6D3-6CF3-41FD-9546-C59F9016B083}" srcOrd="3" destOrd="0" presId="urn:microsoft.com/office/officeart/2005/8/layout/orgChart1"/>
    <dgm:cxn modelId="{D8BFBC21-D59A-41A2-A7CF-9D21FBD9FCAF}" type="presParOf" srcId="{7974C6D3-6CF3-41FD-9546-C59F9016B083}" destId="{2559B942-C8AD-483C-A843-F9F3517A8294}" srcOrd="0" destOrd="0" presId="urn:microsoft.com/office/officeart/2005/8/layout/orgChart1"/>
    <dgm:cxn modelId="{A215FE1D-0ACD-476C-AC0D-92C3E8094864}" type="presParOf" srcId="{2559B942-C8AD-483C-A843-F9F3517A8294}" destId="{2BF2CAE7-88A2-4AE9-901D-FFF4227CCB0A}" srcOrd="0" destOrd="0" presId="urn:microsoft.com/office/officeart/2005/8/layout/orgChart1"/>
    <dgm:cxn modelId="{FEB63511-FF5B-4F5D-AFE6-53FC4952BDEA}" type="presParOf" srcId="{2559B942-C8AD-483C-A843-F9F3517A8294}" destId="{CA5A92FE-B7E7-4B2E-99CA-BC0EA847CE25}" srcOrd="1" destOrd="0" presId="urn:microsoft.com/office/officeart/2005/8/layout/orgChart1"/>
    <dgm:cxn modelId="{F769250F-9A40-4B67-B747-794D49AEFD30}" type="presParOf" srcId="{7974C6D3-6CF3-41FD-9546-C59F9016B083}" destId="{7E8973BC-655F-423D-9C3C-E6D9E5977A94}" srcOrd="1" destOrd="0" presId="urn:microsoft.com/office/officeart/2005/8/layout/orgChart1"/>
    <dgm:cxn modelId="{D59232E9-F51A-438D-9D93-3856BEE074A6}" type="presParOf" srcId="{7974C6D3-6CF3-41FD-9546-C59F9016B083}" destId="{6BED6755-EA47-4DF4-BC3A-21E711CA0BE3}" srcOrd="2" destOrd="0" presId="urn:microsoft.com/office/officeart/2005/8/layout/orgChart1"/>
    <dgm:cxn modelId="{F60926D0-3977-4C0B-8B73-33CB957819D8}" type="presParOf" srcId="{6BED6755-EA47-4DF4-BC3A-21E711CA0BE3}" destId="{EEE3C077-32ED-489E-A90C-1FFD3C8F2815}" srcOrd="0" destOrd="0" presId="urn:microsoft.com/office/officeart/2005/8/layout/orgChart1"/>
    <dgm:cxn modelId="{6184A28C-3865-4584-9277-446EC851A71E}" type="presParOf" srcId="{6BED6755-EA47-4DF4-BC3A-21E711CA0BE3}" destId="{133F5E40-4256-4403-B4DC-66FE86F5A9C4}" srcOrd="1" destOrd="0" presId="urn:microsoft.com/office/officeart/2005/8/layout/orgChart1"/>
    <dgm:cxn modelId="{27439FE4-9079-43D6-9240-05198535E576}" type="presParOf" srcId="{133F5E40-4256-4403-B4DC-66FE86F5A9C4}" destId="{33C57BCB-08A2-49E6-87B7-B07B0C5D9F5C}" srcOrd="0" destOrd="0" presId="urn:microsoft.com/office/officeart/2005/8/layout/orgChart1"/>
    <dgm:cxn modelId="{8C1F3549-6E07-401D-9046-A6E6DD93E7BB}" type="presParOf" srcId="{33C57BCB-08A2-49E6-87B7-B07B0C5D9F5C}" destId="{27DC71E6-B3FA-42BB-8F6A-78571C142A04}" srcOrd="0" destOrd="0" presId="urn:microsoft.com/office/officeart/2005/8/layout/orgChart1"/>
    <dgm:cxn modelId="{D7564FB9-B7CD-4DB7-AE3E-5AD99EA05391}" type="presParOf" srcId="{33C57BCB-08A2-49E6-87B7-B07B0C5D9F5C}" destId="{7C7DE0A9-0DC3-492F-9320-26CD9ABE2559}" srcOrd="1" destOrd="0" presId="urn:microsoft.com/office/officeart/2005/8/layout/orgChart1"/>
    <dgm:cxn modelId="{BFFEF8B5-0C56-4DDE-9E5B-38D1BDE49F80}" type="presParOf" srcId="{133F5E40-4256-4403-B4DC-66FE86F5A9C4}" destId="{3E42EA80-2988-4B9F-873F-1FAA20B6F942}" srcOrd="1" destOrd="0" presId="urn:microsoft.com/office/officeart/2005/8/layout/orgChart1"/>
    <dgm:cxn modelId="{F77EAAEE-CDC9-41D9-996D-F2B7CBA2A8B3}" type="presParOf" srcId="{133F5E40-4256-4403-B4DC-66FE86F5A9C4}" destId="{55F88B47-2671-4184-9393-C8965F94F70E}" srcOrd="2" destOrd="0" presId="urn:microsoft.com/office/officeart/2005/8/layout/orgChart1"/>
    <dgm:cxn modelId="{B9A996AB-1C82-4881-9400-F61C13BCAC59}" type="presParOf" srcId="{86C5926B-D9C9-4BCC-AE35-85ECDD8F32EC}" destId="{9139E0F2-3F9F-4995-9557-4A881EADFEB7}" srcOrd="2" destOrd="0" presId="urn:microsoft.com/office/officeart/2005/8/layout/orgChart1"/>
    <dgm:cxn modelId="{6B5D7A3D-7369-4AB3-B72D-9F94C4362CF4}" type="presParOf" srcId="{9139E0F2-3F9F-4995-9557-4A881EADFEB7}" destId="{A3111604-BEFB-4E91-9B06-CD1D737314F0}" srcOrd="0" destOrd="0" presId="urn:microsoft.com/office/officeart/2005/8/layout/orgChart1"/>
    <dgm:cxn modelId="{89B617B7-DF97-4776-AFD1-EE742A1E4B3E}" type="presParOf" srcId="{9139E0F2-3F9F-4995-9557-4A881EADFEB7}" destId="{54B00D06-E831-4EA2-A05C-18BB52F119DE}" srcOrd="1" destOrd="0" presId="urn:microsoft.com/office/officeart/2005/8/layout/orgChart1"/>
    <dgm:cxn modelId="{2F255A97-878A-4E83-8AA7-5770B7563420}" type="presParOf" srcId="{54B00D06-E831-4EA2-A05C-18BB52F119DE}" destId="{B938ACE5-2E74-42DD-8D68-4A0A77E67E68}" srcOrd="0" destOrd="0" presId="urn:microsoft.com/office/officeart/2005/8/layout/orgChart1"/>
    <dgm:cxn modelId="{82BA8679-74FE-41A6-ADE2-7EB191E30913}" type="presParOf" srcId="{B938ACE5-2E74-42DD-8D68-4A0A77E67E68}" destId="{502567B8-5477-40BE-8AAC-A07C19F68D23}" srcOrd="0" destOrd="0" presId="urn:microsoft.com/office/officeart/2005/8/layout/orgChart1"/>
    <dgm:cxn modelId="{9C1DE00B-66C7-4A8B-A09F-E5469FF53766}" type="presParOf" srcId="{B938ACE5-2E74-42DD-8D68-4A0A77E67E68}" destId="{4AB2E839-32BB-468B-BF48-094F4F5A723B}" srcOrd="1" destOrd="0" presId="urn:microsoft.com/office/officeart/2005/8/layout/orgChart1"/>
    <dgm:cxn modelId="{541D91B5-AED2-4E2A-AC28-44166BD5EF9B}" type="presParOf" srcId="{54B00D06-E831-4EA2-A05C-18BB52F119DE}" destId="{FB6FA1BF-1BAD-4686-BC1D-18432B547508}" srcOrd="1" destOrd="0" presId="urn:microsoft.com/office/officeart/2005/8/layout/orgChart1"/>
    <dgm:cxn modelId="{819B4F7F-1BA9-4293-B2DB-F61C70D11B69}" type="presParOf" srcId="{54B00D06-E831-4EA2-A05C-18BB52F119DE}" destId="{ABCD3D82-DCC4-4619-8401-6C56FA60DC78}" srcOrd="2" destOrd="0" presId="urn:microsoft.com/office/officeart/2005/8/layout/orgChart1"/>
    <dgm:cxn modelId="{07743C6D-CED6-4CDB-9B82-195DD0E84C0C}" type="presParOf" srcId="{9139E0F2-3F9F-4995-9557-4A881EADFEB7}" destId="{99E8163E-B72D-4E75-9F18-62148A8ABF6F}" srcOrd="2" destOrd="0" presId="urn:microsoft.com/office/officeart/2005/8/layout/orgChart1"/>
    <dgm:cxn modelId="{634B7A7A-38B0-49D7-883F-439422026C6D}" type="presParOf" srcId="{9139E0F2-3F9F-4995-9557-4A881EADFEB7}" destId="{DF608686-C001-44CA-9D89-891E2CC5288E}" srcOrd="3" destOrd="0" presId="urn:microsoft.com/office/officeart/2005/8/layout/orgChart1"/>
    <dgm:cxn modelId="{2D9B017A-58FF-4993-BC5A-8BF3D037F29C}" type="presParOf" srcId="{DF608686-C001-44CA-9D89-891E2CC5288E}" destId="{98E1213E-6316-410C-8CB0-6E45F671C767}" srcOrd="0" destOrd="0" presId="urn:microsoft.com/office/officeart/2005/8/layout/orgChart1"/>
    <dgm:cxn modelId="{AFB27DBD-C183-4D16-8EF7-6F3A5C47E093}" type="presParOf" srcId="{98E1213E-6316-410C-8CB0-6E45F671C767}" destId="{9D6CE487-C173-4B83-832F-E418BC917DA6}" srcOrd="0" destOrd="0" presId="urn:microsoft.com/office/officeart/2005/8/layout/orgChart1"/>
    <dgm:cxn modelId="{C7D5B29E-E268-46F1-98A7-92F7A66D09FC}" type="presParOf" srcId="{98E1213E-6316-410C-8CB0-6E45F671C767}" destId="{0C25E14B-6D84-44AE-840C-2845E8ABE4E6}" srcOrd="1" destOrd="0" presId="urn:microsoft.com/office/officeart/2005/8/layout/orgChart1"/>
    <dgm:cxn modelId="{59615EF9-720A-4F2E-B891-2926DF341876}" type="presParOf" srcId="{DF608686-C001-44CA-9D89-891E2CC5288E}" destId="{1BFA6748-3B99-4C8D-8FBD-C98BD3CDEC38}" srcOrd="1" destOrd="0" presId="urn:microsoft.com/office/officeart/2005/8/layout/orgChart1"/>
    <dgm:cxn modelId="{0C8FBFBC-C83F-458C-8EF6-ACCD20C9A77D}" type="presParOf" srcId="{DF608686-C001-44CA-9D89-891E2CC5288E}" destId="{32269E49-1DFD-4A82-940C-76356CD16ED8}" srcOrd="2"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E8163E-B72D-4E75-9F18-62148A8ABF6F}">
      <dsp:nvSpPr>
        <dsp:cNvPr id="0" name=""/>
        <dsp:cNvSpPr/>
      </dsp:nvSpPr>
      <dsp:spPr>
        <a:xfrm>
          <a:off x="2919011" y="923192"/>
          <a:ext cx="130406" cy="712761"/>
        </a:xfrm>
        <a:custGeom>
          <a:avLst/>
          <a:gdLst/>
          <a:ahLst/>
          <a:cxnLst/>
          <a:rect l="0" t="0" r="0" b="0"/>
          <a:pathLst>
            <a:path>
              <a:moveTo>
                <a:pt x="0" y="0"/>
              </a:moveTo>
              <a:lnTo>
                <a:pt x="0" y="712761"/>
              </a:lnTo>
              <a:lnTo>
                <a:pt x="130406" y="71276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111604-BEFB-4E91-9B06-CD1D737314F0}">
      <dsp:nvSpPr>
        <dsp:cNvPr id="0" name=""/>
        <dsp:cNvSpPr/>
      </dsp:nvSpPr>
      <dsp:spPr>
        <a:xfrm>
          <a:off x="2788605" y="923192"/>
          <a:ext cx="130406" cy="699463"/>
        </a:xfrm>
        <a:custGeom>
          <a:avLst/>
          <a:gdLst/>
          <a:ahLst/>
          <a:cxnLst/>
          <a:rect l="0" t="0" r="0" b="0"/>
          <a:pathLst>
            <a:path>
              <a:moveTo>
                <a:pt x="130406" y="0"/>
              </a:moveTo>
              <a:lnTo>
                <a:pt x="130406" y="699463"/>
              </a:lnTo>
              <a:lnTo>
                <a:pt x="0" y="699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E3C077-32ED-489E-A90C-1FFD3C8F2815}">
      <dsp:nvSpPr>
        <dsp:cNvPr id="0" name=""/>
        <dsp:cNvSpPr/>
      </dsp:nvSpPr>
      <dsp:spPr>
        <a:xfrm>
          <a:off x="4133899" y="3127699"/>
          <a:ext cx="130406" cy="571302"/>
        </a:xfrm>
        <a:custGeom>
          <a:avLst/>
          <a:gdLst/>
          <a:ahLst/>
          <a:cxnLst/>
          <a:rect l="0" t="0" r="0" b="0"/>
          <a:pathLst>
            <a:path>
              <a:moveTo>
                <a:pt x="130406" y="0"/>
              </a:moveTo>
              <a:lnTo>
                <a:pt x="130406" y="571302"/>
              </a:lnTo>
              <a:lnTo>
                <a:pt x="0" y="571302"/>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41AB95FE-D007-444B-8E43-D194947BF676}">
      <dsp:nvSpPr>
        <dsp:cNvPr id="0" name=""/>
        <dsp:cNvSpPr/>
      </dsp:nvSpPr>
      <dsp:spPr>
        <a:xfrm>
          <a:off x="2919011" y="923192"/>
          <a:ext cx="1345293" cy="1425523"/>
        </a:xfrm>
        <a:custGeom>
          <a:avLst/>
          <a:gdLst/>
          <a:ahLst/>
          <a:cxnLst/>
          <a:rect l="0" t="0" r="0" b="0"/>
          <a:pathLst>
            <a:path>
              <a:moveTo>
                <a:pt x="0" y="0"/>
              </a:moveTo>
              <a:lnTo>
                <a:pt x="0" y="1295117"/>
              </a:lnTo>
              <a:lnTo>
                <a:pt x="1345293" y="1295117"/>
              </a:lnTo>
              <a:lnTo>
                <a:pt x="1345293" y="14255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F818500-7519-425C-8C3E-17AF873D3A98}">
      <dsp:nvSpPr>
        <dsp:cNvPr id="0" name=""/>
        <dsp:cNvSpPr/>
      </dsp:nvSpPr>
      <dsp:spPr>
        <a:xfrm>
          <a:off x="1499381" y="923192"/>
          <a:ext cx="1419630" cy="1425523"/>
        </a:xfrm>
        <a:custGeom>
          <a:avLst/>
          <a:gdLst/>
          <a:ahLst/>
          <a:cxnLst/>
          <a:rect l="0" t="0" r="0" b="0"/>
          <a:pathLst>
            <a:path>
              <a:moveTo>
                <a:pt x="1419630" y="0"/>
              </a:moveTo>
              <a:lnTo>
                <a:pt x="1419630" y="1295117"/>
              </a:lnTo>
              <a:lnTo>
                <a:pt x="0" y="1295117"/>
              </a:lnTo>
              <a:lnTo>
                <a:pt x="0" y="14255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D59F37-AB08-4A46-9570-6A2428B773F0}">
      <dsp:nvSpPr>
        <dsp:cNvPr id="0" name=""/>
        <dsp:cNvSpPr/>
      </dsp:nvSpPr>
      <dsp:spPr>
        <a:xfrm>
          <a:off x="2087555" y="532"/>
          <a:ext cx="1662912" cy="922659"/>
        </a:xfrm>
        <a:prstGeom prst="rect">
          <a:avLst/>
        </a:prstGeom>
        <a:solidFill>
          <a:schemeClr val="accent3">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hu-HU" sz="1000" b="1" kern="1200"/>
            <a:t>Poverty and social exclusion (P&amp;SE )</a:t>
          </a:r>
          <a:endParaRPr lang="en-GB" sz="1000" b="1" kern="1200"/>
        </a:p>
      </dsp:txBody>
      <dsp:txXfrm>
        <a:off x="2087555" y="532"/>
        <a:ext cx="1662912" cy="922659"/>
      </dsp:txXfrm>
    </dsp:sp>
    <dsp:sp modelId="{A793CCA8-BDFB-4D3C-9EB6-19B4044341D6}">
      <dsp:nvSpPr>
        <dsp:cNvPr id="0" name=""/>
        <dsp:cNvSpPr/>
      </dsp:nvSpPr>
      <dsp:spPr>
        <a:xfrm>
          <a:off x="284493" y="2348716"/>
          <a:ext cx="2429774" cy="813087"/>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hu-HU" sz="1100" kern="1200"/>
            <a:t>4 NUTS 2 level proxy indicators covering 2 dimensions of of P&amp;SE  (income and health)</a:t>
          </a:r>
        </a:p>
        <a:p>
          <a:pPr lvl="0" algn="ctr" defTabSz="488950">
            <a:lnSpc>
              <a:spcPct val="90000"/>
            </a:lnSpc>
            <a:spcBef>
              <a:spcPct val="0"/>
            </a:spcBef>
            <a:spcAft>
              <a:spcPct val="35000"/>
            </a:spcAft>
          </a:pPr>
          <a:r>
            <a:rPr lang="hu-HU" sz="1100" kern="1200"/>
            <a:t>TiPSE collection drawn from Eurostat</a:t>
          </a:r>
          <a:endParaRPr lang="en-GB" sz="1100" kern="1200"/>
        </a:p>
      </dsp:txBody>
      <dsp:txXfrm>
        <a:off x="284493" y="2348716"/>
        <a:ext cx="2429774" cy="813087"/>
      </dsp:txXfrm>
    </dsp:sp>
    <dsp:sp modelId="{2BF2CAE7-88A2-4AE9-901D-FFF4227CCB0A}">
      <dsp:nvSpPr>
        <dsp:cNvPr id="0" name=""/>
        <dsp:cNvSpPr/>
      </dsp:nvSpPr>
      <dsp:spPr>
        <a:xfrm>
          <a:off x="2975080" y="2348716"/>
          <a:ext cx="2578449" cy="778983"/>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hu-HU" sz="1100" kern="1200"/>
            <a:t>18 NUTS 3 level proxy indicators covering 8 dimensions under 4 domains of P&amp;SE    2001, 2011 series</a:t>
          </a:r>
        </a:p>
        <a:p>
          <a:pPr lvl="0" algn="ctr" defTabSz="488950">
            <a:lnSpc>
              <a:spcPct val="90000"/>
            </a:lnSpc>
            <a:spcBef>
              <a:spcPct val="0"/>
            </a:spcBef>
            <a:spcAft>
              <a:spcPct val="35000"/>
            </a:spcAft>
          </a:pPr>
          <a:r>
            <a:rPr lang="hu-HU" sz="1100" kern="1200"/>
            <a:t>TiPSE collection drawn from Census data </a:t>
          </a:r>
          <a:endParaRPr lang="en-GB" sz="1100" kern="1200"/>
        </a:p>
      </dsp:txBody>
      <dsp:txXfrm>
        <a:off x="2975080" y="2348716"/>
        <a:ext cx="2578449" cy="778983"/>
      </dsp:txXfrm>
    </dsp:sp>
    <dsp:sp modelId="{27DC71E6-B3FA-42BB-8F6A-78571C142A04}">
      <dsp:nvSpPr>
        <dsp:cNvPr id="0" name=""/>
        <dsp:cNvSpPr/>
      </dsp:nvSpPr>
      <dsp:spPr>
        <a:xfrm>
          <a:off x="1219449" y="3388511"/>
          <a:ext cx="2914450" cy="620980"/>
        </a:xfrm>
        <a:prstGeom prst="rect">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hu-HU" sz="800" kern="1200">
              <a:solidFill>
                <a:sysClr val="windowText" lastClr="000000"/>
              </a:solidFill>
            </a:rPr>
            <a:t>Experimental composit indicator combining 6 indicators that represent all 4 domains of </a:t>
          </a:r>
        </a:p>
        <a:p>
          <a:pPr lvl="0" algn="ctr" defTabSz="355600">
            <a:lnSpc>
              <a:spcPct val="90000"/>
            </a:lnSpc>
            <a:spcBef>
              <a:spcPct val="0"/>
            </a:spcBef>
            <a:spcAft>
              <a:spcPct val="35000"/>
            </a:spcAft>
          </a:pPr>
          <a:r>
            <a:rPr lang="hu-HU" sz="800" kern="1200">
              <a:solidFill>
                <a:sysClr val="windowText" lastClr="000000"/>
              </a:solidFill>
            </a:rPr>
            <a:t>P&amp;SE  TiPSE collection 2011</a:t>
          </a:r>
          <a:endParaRPr lang="en-GB" sz="800" kern="1200">
            <a:solidFill>
              <a:sysClr val="windowText" lastClr="000000"/>
            </a:solidFill>
          </a:endParaRPr>
        </a:p>
      </dsp:txBody>
      <dsp:txXfrm>
        <a:off x="1219449" y="3388511"/>
        <a:ext cx="2914450" cy="620980"/>
      </dsp:txXfrm>
    </dsp:sp>
    <dsp:sp modelId="{502567B8-5477-40BE-8AAC-A07C19F68D23}">
      <dsp:nvSpPr>
        <dsp:cNvPr id="0" name=""/>
        <dsp:cNvSpPr/>
      </dsp:nvSpPr>
      <dsp:spPr>
        <a:xfrm>
          <a:off x="791791" y="1184004"/>
          <a:ext cx="1996814" cy="87730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hu-HU" sz="1100" kern="1200"/>
            <a:t>NUTS 1 or NUTS 2 level proxy indicators, few in numbers covering 1 domain of P&amp;SE    Eurostat EU2020 inclusion growth indicators</a:t>
          </a:r>
          <a:endParaRPr lang="en-GB" sz="1100" kern="1200"/>
        </a:p>
      </dsp:txBody>
      <dsp:txXfrm>
        <a:off x="791791" y="1184004"/>
        <a:ext cx="1996814" cy="877303"/>
      </dsp:txXfrm>
    </dsp:sp>
    <dsp:sp modelId="{9D6CE487-C173-4B83-832F-E418BC917DA6}">
      <dsp:nvSpPr>
        <dsp:cNvPr id="0" name=""/>
        <dsp:cNvSpPr/>
      </dsp:nvSpPr>
      <dsp:spPr>
        <a:xfrm>
          <a:off x="3049417" y="1184004"/>
          <a:ext cx="2504913" cy="90389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hu-HU" sz="1100" kern="1200"/>
            <a:t>Other NUTS 2 level proxy indicators recommended by the ISG of SPC</a:t>
          </a:r>
        </a:p>
        <a:p>
          <a:pPr lvl="0" algn="ctr" defTabSz="488950">
            <a:lnSpc>
              <a:spcPct val="90000"/>
            </a:lnSpc>
            <a:spcBef>
              <a:spcPct val="0"/>
            </a:spcBef>
            <a:spcAft>
              <a:spcPct val="35000"/>
            </a:spcAft>
          </a:pPr>
          <a:r>
            <a:rPr lang="hu-HU" sz="1100" kern="1200"/>
            <a:t>From  Eurostat LFS  (longterm unemployment, youth unemployment, early leavers from education)</a:t>
          </a:r>
        </a:p>
      </dsp:txBody>
      <dsp:txXfrm>
        <a:off x="3049417" y="1184004"/>
        <a:ext cx="2504913" cy="90389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3AC5DD1F21B411FA42EFE529C350E30"/>
        <w:category>
          <w:name w:val="General"/>
          <w:gallery w:val="placeholder"/>
        </w:category>
        <w:types>
          <w:type w:val="bbPlcHdr"/>
        </w:types>
        <w:behaviors>
          <w:behavior w:val="content"/>
        </w:behaviors>
        <w:guid w:val="{FF7C952A-7A91-4E89-A3A1-6947C5F63558}"/>
      </w:docPartPr>
      <w:docPartBody>
        <w:p w:rsidR="004E66EC" w:rsidRDefault="009047A7" w:rsidP="009047A7">
          <w:pPr>
            <w:pStyle w:val="53AC5DD1F21B411FA42EFE529C350E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w:charset w:val="EE"/>
    <w:family w:val="swiss"/>
    <w:pitch w:val="variable"/>
    <w:sig w:usb0="00000007" w:usb1="00000000" w:usb2="00000000" w:usb3="00000000" w:csb0="00000003" w:csb1="00000000"/>
  </w:font>
  <w:font w:name="Perpetua Titling MT">
    <w:charset w:val="00"/>
    <w:family w:val="roman"/>
    <w:pitch w:val="variable"/>
    <w:sig w:usb0="00000003" w:usb1="00000000" w:usb2="00000000" w:usb3="00000000" w:csb0="00000001"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7A7"/>
    <w:rsid w:val="00065319"/>
    <w:rsid w:val="001732A3"/>
    <w:rsid w:val="00272A60"/>
    <w:rsid w:val="00311A6D"/>
    <w:rsid w:val="003938EF"/>
    <w:rsid w:val="00417C56"/>
    <w:rsid w:val="004E66EC"/>
    <w:rsid w:val="005E0EE4"/>
    <w:rsid w:val="00682C9B"/>
    <w:rsid w:val="007C5FB3"/>
    <w:rsid w:val="007D350E"/>
    <w:rsid w:val="008C7CA8"/>
    <w:rsid w:val="00901E9E"/>
    <w:rsid w:val="009047A7"/>
    <w:rsid w:val="00A466FE"/>
    <w:rsid w:val="00B927B2"/>
    <w:rsid w:val="00CB7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53AC5DD1F21B411FA42EFE529C350E30">
    <w:name w:val="53AC5DD1F21B411FA42EFE529C350E30"/>
    <w:rsid w:val="009047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5545BE707EE41963776E429A300E2" ma:contentTypeVersion="0" ma:contentTypeDescription="Create a new document." ma:contentTypeScope="" ma:versionID="1960ad8117ed82e40aadc2475d47e6b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38846-E4BC-4808-B43A-213D0B51DBFA}">
  <ds:schemaRefs>
    <ds:schemaRef ds:uri="http://schemas.microsoft.com/sharepoint/v3/contenttype/forms"/>
  </ds:schemaRefs>
</ds:datastoreItem>
</file>

<file path=customXml/itemProps2.xml><?xml version="1.0" encoding="utf-8"?>
<ds:datastoreItem xmlns:ds="http://schemas.openxmlformats.org/officeDocument/2006/customXml" ds:itemID="{10ED32BF-A22B-41B9-9F81-3181BD71591D}">
  <ds:schemaRefs>
    <ds:schemaRef ds:uri="http://schemas.microsoft.com/office/2006/metadata/properties"/>
  </ds:schemaRefs>
</ds:datastoreItem>
</file>

<file path=customXml/itemProps3.xml><?xml version="1.0" encoding="utf-8"?>
<ds:datastoreItem xmlns:ds="http://schemas.openxmlformats.org/officeDocument/2006/customXml" ds:itemID="{5896C497-2871-45A9-BB77-2CEA3F3C1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F38027-9000-4839-8855-67D828E3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7557</Words>
  <Characters>61215</Characters>
  <Application>Microsoft Office Word</Application>
  <DocSecurity>0</DocSecurity>
  <Lines>510</Lines>
  <Paragraphs>137</Paragraphs>
  <ScaleCrop>false</ScaleCrop>
  <HeadingPairs>
    <vt:vector size="8" baseType="variant">
      <vt:variant>
        <vt:lpstr>Otsikko</vt:lpstr>
      </vt:variant>
      <vt:variant>
        <vt:i4>1</vt:i4>
      </vt:variant>
      <vt:variant>
        <vt:lpstr>Title</vt:lpstr>
      </vt:variant>
      <vt:variant>
        <vt:i4>1</vt:i4>
      </vt:variant>
      <vt:variant>
        <vt:lpstr>Cím</vt:lpstr>
      </vt:variant>
      <vt:variant>
        <vt:i4>1</vt:i4>
      </vt:variant>
      <vt:variant>
        <vt:lpstr>Titel</vt:lpstr>
      </vt:variant>
      <vt:variant>
        <vt:i4>1</vt:i4>
      </vt:variant>
    </vt:vector>
  </HeadingPairs>
  <TitlesOfParts>
    <vt:vector size="4" baseType="lpstr">
      <vt:lpstr>Version 1 22/09/2008</vt:lpstr>
      <vt:lpstr>Version 1 22/09/2008</vt:lpstr>
      <vt:lpstr>Version 1 22/09/2008</vt:lpstr>
      <vt:lpstr>Version 1 22/09/2008</vt:lpstr>
    </vt:vector>
  </TitlesOfParts>
  <Company>BBR</Company>
  <LinksUpToDate>false</LinksUpToDate>
  <CharactersWithSpaces>68635</CharactersWithSpaces>
  <SharedDoc>false</SharedDoc>
  <HLinks>
    <vt:vector size="408" baseType="variant">
      <vt:variant>
        <vt:i4>1835105</vt:i4>
      </vt:variant>
      <vt:variant>
        <vt:i4>531</vt:i4>
      </vt:variant>
      <vt:variant>
        <vt:i4>0</vt:i4>
      </vt:variant>
      <vt:variant>
        <vt:i4>5</vt:i4>
      </vt:variant>
      <vt:variant>
        <vt:lpwstr>http://www.espon.eu/main/Menu_Projects/Menu_ESPON2006Projects/Menu_StudiesScientificSupportProjects/smallandmediumcities.html</vt:lpwstr>
      </vt:variant>
      <vt:variant>
        <vt:lpwstr/>
      </vt:variant>
      <vt:variant>
        <vt:i4>6029340</vt:i4>
      </vt:variant>
      <vt:variant>
        <vt:i4>528</vt:i4>
      </vt:variant>
      <vt:variant>
        <vt:i4>0</vt:i4>
      </vt:variant>
      <vt:variant>
        <vt:i4>5</vt:i4>
      </vt:variant>
      <vt:variant>
        <vt:lpwstr>http://www.abdn.ac.uk/irr/arkleton/conf2000/papers.shtml</vt:lpwstr>
      </vt:variant>
      <vt:variant>
        <vt:lpwstr/>
      </vt:variant>
      <vt:variant>
        <vt:i4>4063279</vt:i4>
      </vt:variant>
      <vt:variant>
        <vt:i4>525</vt:i4>
      </vt:variant>
      <vt:variant>
        <vt:i4>0</vt:i4>
      </vt:variant>
      <vt:variant>
        <vt:i4>5</vt:i4>
      </vt:variant>
      <vt:variant>
        <vt:lpwstr>http://ec.europa.eu/regional_policy/sources/docoffic/official/reports/cohesion5/index_en.cfm</vt:lpwstr>
      </vt:variant>
      <vt:variant>
        <vt:lpwstr/>
      </vt:variant>
      <vt:variant>
        <vt:i4>8126554</vt:i4>
      </vt:variant>
      <vt:variant>
        <vt:i4>522</vt:i4>
      </vt:variant>
      <vt:variant>
        <vt:i4>0</vt:i4>
      </vt:variant>
      <vt:variant>
        <vt:i4>5</vt:i4>
      </vt:variant>
      <vt:variant>
        <vt:lpwstr>http://ec.europa.eu/agriculture/cap-post-2013/communication/index_en.htm</vt:lpwstr>
      </vt:variant>
      <vt:variant>
        <vt:lpwstr/>
      </vt:variant>
      <vt:variant>
        <vt:i4>2883679</vt:i4>
      </vt:variant>
      <vt:variant>
        <vt:i4>519</vt:i4>
      </vt:variant>
      <vt:variant>
        <vt:i4>0</vt:i4>
      </vt:variant>
      <vt:variant>
        <vt:i4>5</vt:i4>
      </vt:variant>
      <vt:variant>
        <vt:lpwstr>http://ec.europa.eu/regional_policy/sources/docgener/focus/2008_01_rural.pdf</vt:lpwstr>
      </vt:variant>
      <vt:variant>
        <vt:lpwstr/>
      </vt:variant>
      <vt:variant>
        <vt:i4>1507331</vt:i4>
      </vt:variant>
      <vt:variant>
        <vt:i4>516</vt:i4>
      </vt:variant>
      <vt:variant>
        <vt:i4>0</vt:i4>
      </vt:variant>
      <vt:variant>
        <vt:i4>5</vt:i4>
      </vt:variant>
      <vt:variant>
        <vt:lpwstr>http://www.espon.eu/main/Menu_Projects/Menu_AppliedResearch/demifer.html</vt:lpwstr>
      </vt:variant>
      <vt:variant>
        <vt:lpwstr/>
      </vt:variant>
      <vt:variant>
        <vt:i4>7995501</vt:i4>
      </vt:variant>
      <vt:variant>
        <vt:i4>513</vt:i4>
      </vt:variant>
      <vt:variant>
        <vt:i4>0</vt:i4>
      </vt:variant>
      <vt:variant>
        <vt:i4>5</vt:i4>
      </vt:variant>
      <vt:variant>
        <vt:lpwstr>http://www.eu-territorial-agenda.eu/Pages/Default.aspx</vt:lpwstr>
      </vt:variant>
      <vt:variant>
        <vt:lpwstr/>
      </vt:variant>
      <vt:variant>
        <vt:i4>2097188</vt:i4>
      </vt:variant>
      <vt:variant>
        <vt:i4>510</vt:i4>
      </vt:variant>
      <vt:variant>
        <vt:i4>0</vt:i4>
      </vt:variant>
      <vt:variant>
        <vt:i4>5</vt:i4>
      </vt:variant>
      <vt:variant>
        <vt:lpwstr>http://www.espon.eu/main/Menu_Projects/Menu_AppliedResearch/tiptap.html</vt:lpwstr>
      </vt:variant>
      <vt:variant>
        <vt:lpwstr/>
      </vt:variant>
      <vt:variant>
        <vt:i4>8061041</vt:i4>
      </vt:variant>
      <vt:variant>
        <vt:i4>507</vt:i4>
      </vt:variant>
      <vt:variant>
        <vt:i4>0</vt:i4>
      </vt:variant>
      <vt:variant>
        <vt:i4>5</vt:i4>
      </vt:variant>
      <vt:variant>
        <vt:lpwstr>http://www.espon.eu/main/Menu_Projects/Menu_ScientificPlatform/typologycompilation.html</vt:lpwstr>
      </vt:variant>
      <vt:variant>
        <vt:lpwstr/>
      </vt:variant>
      <vt:variant>
        <vt:i4>7340057</vt:i4>
      </vt:variant>
      <vt:variant>
        <vt:i4>504</vt:i4>
      </vt:variant>
      <vt:variant>
        <vt:i4>0</vt:i4>
      </vt:variant>
      <vt:variant>
        <vt:i4>5</vt:i4>
      </vt:variant>
      <vt:variant>
        <vt:lpwstr>http://www.espon.eu/main/Menu_Projects/Menu_ESPON2006Projects/Menu_ThematicProjects/urbanrural.html</vt:lpwstr>
      </vt:variant>
      <vt:variant>
        <vt:lpwstr/>
      </vt:variant>
      <vt:variant>
        <vt:i4>1441845</vt:i4>
      </vt:variant>
      <vt:variant>
        <vt:i4>350</vt:i4>
      </vt:variant>
      <vt:variant>
        <vt:i4>0</vt:i4>
      </vt:variant>
      <vt:variant>
        <vt:i4>5</vt:i4>
      </vt:variant>
      <vt:variant>
        <vt:lpwstr/>
      </vt:variant>
      <vt:variant>
        <vt:lpwstr>_Toc287882830</vt:lpwstr>
      </vt:variant>
      <vt:variant>
        <vt:i4>1507381</vt:i4>
      </vt:variant>
      <vt:variant>
        <vt:i4>344</vt:i4>
      </vt:variant>
      <vt:variant>
        <vt:i4>0</vt:i4>
      </vt:variant>
      <vt:variant>
        <vt:i4>5</vt:i4>
      </vt:variant>
      <vt:variant>
        <vt:lpwstr/>
      </vt:variant>
      <vt:variant>
        <vt:lpwstr>_Toc287882829</vt:lpwstr>
      </vt:variant>
      <vt:variant>
        <vt:i4>1507381</vt:i4>
      </vt:variant>
      <vt:variant>
        <vt:i4>338</vt:i4>
      </vt:variant>
      <vt:variant>
        <vt:i4>0</vt:i4>
      </vt:variant>
      <vt:variant>
        <vt:i4>5</vt:i4>
      </vt:variant>
      <vt:variant>
        <vt:lpwstr/>
      </vt:variant>
      <vt:variant>
        <vt:lpwstr>_Toc287882828</vt:lpwstr>
      </vt:variant>
      <vt:variant>
        <vt:i4>1507381</vt:i4>
      </vt:variant>
      <vt:variant>
        <vt:i4>332</vt:i4>
      </vt:variant>
      <vt:variant>
        <vt:i4>0</vt:i4>
      </vt:variant>
      <vt:variant>
        <vt:i4>5</vt:i4>
      </vt:variant>
      <vt:variant>
        <vt:lpwstr/>
      </vt:variant>
      <vt:variant>
        <vt:lpwstr>_Toc287882827</vt:lpwstr>
      </vt:variant>
      <vt:variant>
        <vt:i4>1507381</vt:i4>
      </vt:variant>
      <vt:variant>
        <vt:i4>323</vt:i4>
      </vt:variant>
      <vt:variant>
        <vt:i4>0</vt:i4>
      </vt:variant>
      <vt:variant>
        <vt:i4>5</vt:i4>
      </vt:variant>
      <vt:variant>
        <vt:lpwstr/>
      </vt:variant>
      <vt:variant>
        <vt:lpwstr>_Toc287882826</vt:lpwstr>
      </vt:variant>
      <vt:variant>
        <vt:i4>1507381</vt:i4>
      </vt:variant>
      <vt:variant>
        <vt:i4>317</vt:i4>
      </vt:variant>
      <vt:variant>
        <vt:i4>0</vt:i4>
      </vt:variant>
      <vt:variant>
        <vt:i4>5</vt:i4>
      </vt:variant>
      <vt:variant>
        <vt:lpwstr/>
      </vt:variant>
      <vt:variant>
        <vt:lpwstr>_Toc287882825</vt:lpwstr>
      </vt:variant>
      <vt:variant>
        <vt:i4>1507381</vt:i4>
      </vt:variant>
      <vt:variant>
        <vt:i4>311</vt:i4>
      </vt:variant>
      <vt:variant>
        <vt:i4>0</vt:i4>
      </vt:variant>
      <vt:variant>
        <vt:i4>5</vt:i4>
      </vt:variant>
      <vt:variant>
        <vt:lpwstr/>
      </vt:variant>
      <vt:variant>
        <vt:lpwstr>_Toc287882824</vt:lpwstr>
      </vt:variant>
      <vt:variant>
        <vt:i4>1507381</vt:i4>
      </vt:variant>
      <vt:variant>
        <vt:i4>305</vt:i4>
      </vt:variant>
      <vt:variant>
        <vt:i4>0</vt:i4>
      </vt:variant>
      <vt:variant>
        <vt:i4>5</vt:i4>
      </vt:variant>
      <vt:variant>
        <vt:lpwstr/>
      </vt:variant>
      <vt:variant>
        <vt:lpwstr>_Toc287882823</vt:lpwstr>
      </vt:variant>
      <vt:variant>
        <vt:i4>1507381</vt:i4>
      </vt:variant>
      <vt:variant>
        <vt:i4>299</vt:i4>
      </vt:variant>
      <vt:variant>
        <vt:i4>0</vt:i4>
      </vt:variant>
      <vt:variant>
        <vt:i4>5</vt:i4>
      </vt:variant>
      <vt:variant>
        <vt:lpwstr/>
      </vt:variant>
      <vt:variant>
        <vt:lpwstr>_Toc287882822</vt:lpwstr>
      </vt:variant>
      <vt:variant>
        <vt:i4>1507381</vt:i4>
      </vt:variant>
      <vt:variant>
        <vt:i4>293</vt:i4>
      </vt:variant>
      <vt:variant>
        <vt:i4>0</vt:i4>
      </vt:variant>
      <vt:variant>
        <vt:i4>5</vt:i4>
      </vt:variant>
      <vt:variant>
        <vt:lpwstr/>
      </vt:variant>
      <vt:variant>
        <vt:lpwstr>_Toc287882821</vt:lpwstr>
      </vt:variant>
      <vt:variant>
        <vt:i4>1507381</vt:i4>
      </vt:variant>
      <vt:variant>
        <vt:i4>287</vt:i4>
      </vt:variant>
      <vt:variant>
        <vt:i4>0</vt:i4>
      </vt:variant>
      <vt:variant>
        <vt:i4>5</vt:i4>
      </vt:variant>
      <vt:variant>
        <vt:lpwstr/>
      </vt:variant>
      <vt:variant>
        <vt:lpwstr>_Toc287882820</vt:lpwstr>
      </vt:variant>
      <vt:variant>
        <vt:i4>1310773</vt:i4>
      </vt:variant>
      <vt:variant>
        <vt:i4>281</vt:i4>
      </vt:variant>
      <vt:variant>
        <vt:i4>0</vt:i4>
      </vt:variant>
      <vt:variant>
        <vt:i4>5</vt:i4>
      </vt:variant>
      <vt:variant>
        <vt:lpwstr/>
      </vt:variant>
      <vt:variant>
        <vt:lpwstr>_Toc287882819</vt:lpwstr>
      </vt:variant>
      <vt:variant>
        <vt:i4>1310773</vt:i4>
      </vt:variant>
      <vt:variant>
        <vt:i4>275</vt:i4>
      </vt:variant>
      <vt:variant>
        <vt:i4>0</vt:i4>
      </vt:variant>
      <vt:variant>
        <vt:i4>5</vt:i4>
      </vt:variant>
      <vt:variant>
        <vt:lpwstr/>
      </vt:variant>
      <vt:variant>
        <vt:lpwstr>_Toc287882818</vt:lpwstr>
      </vt:variant>
      <vt:variant>
        <vt:i4>1310773</vt:i4>
      </vt:variant>
      <vt:variant>
        <vt:i4>269</vt:i4>
      </vt:variant>
      <vt:variant>
        <vt:i4>0</vt:i4>
      </vt:variant>
      <vt:variant>
        <vt:i4>5</vt:i4>
      </vt:variant>
      <vt:variant>
        <vt:lpwstr/>
      </vt:variant>
      <vt:variant>
        <vt:lpwstr>_Toc287882817</vt:lpwstr>
      </vt:variant>
      <vt:variant>
        <vt:i4>1310773</vt:i4>
      </vt:variant>
      <vt:variant>
        <vt:i4>263</vt:i4>
      </vt:variant>
      <vt:variant>
        <vt:i4>0</vt:i4>
      </vt:variant>
      <vt:variant>
        <vt:i4>5</vt:i4>
      </vt:variant>
      <vt:variant>
        <vt:lpwstr/>
      </vt:variant>
      <vt:variant>
        <vt:lpwstr>_Toc287882816</vt:lpwstr>
      </vt:variant>
      <vt:variant>
        <vt:i4>1310773</vt:i4>
      </vt:variant>
      <vt:variant>
        <vt:i4>254</vt:i4>
      </vt:variant>
      <vt:variant>
        <vt:i4>0</vt:i4>
      </vt:variant>
      <vt:variant>
        <vt:i4>5</vt:i4>
      </vt:variant>
      <vt:variant>
        <vt:lpwstr/>
      </vt:variant>
      <vt:variant>
        <vt:lpwstr>_Toc287882810</vt:lpwstr>
      </vt:variant>
      <vt:variant>
        <vt:i4>1114169</vt:i4>
      </vt:variant>
      <vt:variant>
        <vt:i4>245</vt:i4>
      </vt:variant>
      <vt:variant>
        <vt:i4>0</vt:i4>
      </vt:variant>
      <vt:variant>
        <vt:i4>5</vt:i4>
      </vt:variant>
      <vt:variant>
        <vt:lpwstr/>
      </vt:variant>
      <vt:variant>
        <vt:lpwstr>_Toc287882440</vt:lpwstr>
      </vt:variant>
      <vt:variant>
        <vt:i4>1441849</vt:i4>
      </vt:variant>
      <vt:variant>
        <vt:i4>239</vt:i4>
      </vt:variant>
      <vt:variant>
        <vt:i4>0</vt:i4>
      </vt:variant>
      <vt:variant>
        <vt:i4>5</vt:i4>
      </vt:variant>
      <vt:variant>
        <vt:lpwstr/>
      </vt:variant>
      <vt:variant>
        <vt:lpwstr>_Toc287882439</vt:lpwstr>
      </vt:variant>
      <vt:variant>
        <vt:i4>1441849</vt:i4>
      </vt:variant>
      <vt:variant>
        <vt:i4>233</vt:i4>
      </vt:variant>
      <vt:variant>
        <vt:i4>0</vt:i4>
      </vt:variant>
      <vt:variant>
        <vt:i4>5</vt:i4>
      </vt:variant>
      <vt:variant>
        <vt:lpwstr/>
      </vt:variant>
      <vt:variant>
        <vt:lpwstr>_Toc287882438</vt:lpwstr>
      </vt:variant>
      <vt:variant>
        <vt:i4>1441849</vt:i4>
      </vt:variant>
      <vt:variant>
        <vt:i4>227</vt:i4>
      </vt:variant>
      <vt:variant>
        <vt:i4>0</vt:i4>
      </vt:variant>
      <vt:variant>
        <vt:i4>5</vt:i4>
      </vt:variant>
      <vt:variant>
        <vt:lpwstr/>
      </vt:variant>
      <vt:variant>
        <vt:lpwstr>_Toc287882437</vt:lpwstr>
      </vt:variant>
      <vt:variant>
        <vt:i4>1441849</vt:i4>
      </vt:variant>
      <vt:variant>
        <vt:i4>221</vt:i4>
      </vt:variant>
      <vt:variant>
        <vt:i4>0</vt:i4>
      </vt:variant>
      <vt:variant>
        <vt:i4>5</vt:i4>
      </vt:variant>
      <vt:variant>
        <vt:lpwstr/>
      </vt:variant>
      <vt:variant>
        <vt:lpwstr>_Toc287882436</vt:lpwstr>
      </vt:variant>
      <vt:variant>
        <vt:i4>1441849</vt:i4>
      </vt:variant>
      <vt:variant>
        <vt:i4>215</vt:i4>
      </vt:variant>
      <vt:variant>
        <vt:i4>0</vt:i4>
      </vt:variant>
      <vt:variant>
        <vt:i4>5</vt:i4>
      </vt:variant>
      <vt:variant>
        <vt:lpwstr/>
      </vt:variant>
      <vt:variant>
        <vt:lpwstr>_Toc287882435</vt:lpwstr>
      </vt:variant>
      <vt:variant>
        <vt:i4>1441849</vt:i4>
      </vt:variant>
      <vt:variant>
        <vt:i4>209</vt:i4>
      </vt:variant>
      <vt:variant>
        <vt:i4>0</vt:i4>
      </vt:variant>
      <vt:variant>
        <vt:i4>5</vt:i4>
      </vt:variant>
      <vt:variant>
        <vt:lpwstr/>
      </vt:variant>
      <vt:variant>
        <vt:lpwstr>_Toc287882434</vt:lpwstr>
      </vt:variant>
      <vt:variant>
        <vt:i4>1441849</vt:i4>
      </vt:variant>
      <vt:variant>
        <vt:i4>203</vt:i4>
      </vt:variant>
      <vt:variant>
        <vt:i4>0</vt:i4>
      </vt:variant>
      <vt:variant>
        <vt:i4>5</vt:i4>
      </vt:variant>
      <vt:variant>
        <vt:lpwstr/>
      </vt:variant>
      <vt:variant>
        <vt:lpwstr>_Toc287882433</vt:lpwstr>
      </vt:variant>
      <vt:variant>
        <vt:i4>1441849</vt:i4>
      </vt:variant>
      <vt:variant>
        <vt:i4>197</vt:i4>
      </vt:variant>
      <vt:variant>
        <vt:i4>0</vt:i4>
      </vt:variant>
      <vt:variant>
        <vt:i4>5</vt:i4>
      </vt:variant>
      <vt:variant>
        <vt:lpwstr/>
      </vt:variant>
      <vt:variant>
        <vt:lpwstr>_Toc287882432</vt:lpwstr>
      </vt:variant>
      <vt:variant>
        <vt:i4>1441849</vt:i4>
      </vt:variant>
      <vt:variant>
        <vt:i4>191</vt:i4>
      </vt:variant>
      <vt:variant>
        <vt:i4>0</vt:i4>
      </vt:variant>
      <vt:variant>
        <vt:i4>5</vt:i4>
      </vt:variant>
      <vt:variant>
        <vt:lpwstr/>
      </vt:variant>
      <vt:variant>
        <vt:lpwstr>_Toc287882431</vt:lpwstr>
      </vt:variant>
      <vt:variant>
        <vt:i4>1441849</vt:i4>
      </vt:variant>
      <vt:variant>
        <vt:i4>185</vt:i4>
      </vt:variant>
      <vt:variant>
        <vt:i4>0</vt:i4>
      </vt:variant>
      <vt:variant>
        <vt:i4>5</vt:i4>
      </vt:variant>
      <vt:variant>
        <vt:lpwstr/>
      </vt:variant>
      <vt:variant>
        <vt:lpwstr>_Toc287882430</vt:lpwstr>
      </vt:variant>
      <vt:variant>
        <vt:i4>1507385</vt:i4>
      </vt:variant>
      <vt:variant>
        <vt:i4>179</vt:i4>
      </vt:variant>
      <vt:variant>
        <vt:i4>0</vt:i4>
      </vt:variant>
      <vt:variant>
        <vt:i4>5</vt:i4>
      </vt:variant>
      <vt:variant>
        <vt:lpwstr/>
      </vt:variant>
      <vt:variant>
        <vt:lpwstr>_Toc287882429</vt:lpwstr>
      </vt:variant>
      <vt:variant>
        <vt:i4>1507385</vt:i4>
      </vt:variant>
      <vt:variant>
        <vt:i4>173</vt:i4>
      </vt:variant>
      <vt:variant>
        <vt:i4>0</vt:i4>
      </vt:variant>
      <vt:variant>
        <vt:i4>5</vt:i4>
      </vt:variant>
      <vt:variant>
        <vt:lpwstr/>
      </vt:variant>
      <vt:variant>
        <vt:lpwstr>_Toc287882428</vt:lpwstr>
      </vt:variant>
      <vt:variant>
        <vt:i4>1507385</vt:i4>
      </vt:variant>
      <vt:variant>
        <vt:i4>167</vt:i4>
      </vt:variant>
      <vt:variant>
        <vt:i4>0</vt:i4>
      </vt:variant>
      <vt:variant>
        <vt:i4>5</vt:i4>
      </vt:variant>
      <vt:variant>
        <vt:lpwstr/>
      </vt:variant>
      <vt:variant>
        <vt:lpwstr>_Toc287882427</vt:lpwstr>
      </vt:variant>
      <vt:variant>
        <vt:i4>1507385</vt:i4>
      </vt:variant>
      <vt:variant>
        <vt:i4>161</vt:i4>
      </vt:variant>
      <vt:variant>
        <vt:i4>0</vt:i4>
      </vt:variant>
      <vt:variant>
        <vt:i4>5</vt:i4>
      </vt:variant>
      <vt:variant>
        <vt:lpwstr/>
      </vt:variant>
      <vt:variant>
        <vt:lpwstr>_Toc287882426</vt:lpwstr>
      </vt:variant>
      <vt:variant>
        <vt:i4>1507385</vt:i4>
      </vt:variant>
      <vt:variant>
        <vt:i4>155</vt:i4>
      </vt:variant>
      <vt:variant>
        <vt:i4>0</vt:i4>
      </vt:variant>
      <vt:variant>
        <vt:i4>5</vt:i4>
      </vt:variant>
      <vt:variant>
        <vt:lpwstr/>
      </vt:variant>
      <vt:variant>
        <vt:lpwstr>_Toc287882425</vt:lpwstr>
      </vt:variant>
      <vt:variant>
        <vt:i4>1507385</vt:i4>
      </vt:variant>
      <vt:variant>
        <vt:i4>149</vt:i4>
      </vt:variant>
      <vt:variant>
        <vt:i4>0</vt:i4>
      </vt:variant>
      <vt:variant>
        <vt:i4>5</vt:i4>
      </vt:variant>
      <vt:variant>
        <vt:lpwstr/>
      </vt:variant>
      <vt:variant>
        <vt:lpwstr>_Toc287882424</vt:lpwstr>
      </vt:variant>
      <vt:variant>
        <vt:i4>1507385</vt:i4>
      </vt:variant>
      <vt:variant>
        <vt:i4>143</vt:i4>
      </vt:variant>
      <vt:variant>
        <vt:i4>0</vt:i4>
      </vt:variant>
      <vt:variant>
        <vt:i4>5</vt:i4>
      </vt:variant>
      <vt:variant>
        <vt:lpwstr/>
      </vt:variant>
      <vt:variant>
        <vt:lpwstr>_Toc287882423</vt:lpwstr>
      </vt:variant>
      <vt:variant>
        <vt:i4>1507385</vt:i4>
      </vt:variant>
      <vt:variant>
        <vt:i4>137</vt:i4>
      </vt:variant>
      <vt:variant>
        <vt:i4>0</vt:i4>
      </vt:variant>
      <vt:variant>
        <vt:i4>5</vt:i4>
      </vt:variant>
      <vt:variant>
        <vt:lpwstr/>
      </vt:variant>
      <vt:variant>
        <vt:lpwstr>_Toc287882422</vt:lpwstr>
      </vt:variant>
      <vt:variant>
        <vt:i4>1507385</vt:i4>
      </vt:variant>
      <vt:variant>
        <vt:i4>131</vt:i4>
      </vt:variant>
      <vt:variant>
        <vt:i4>0</vt:i4>
      </vt:variant>
      <vt:variant>
        <vt:i4>5</vt:i4>
      </vt:variant>
      <vt:variant>
        <vt:lpwstr/>
      </vt:variant>
      <vt:variant>
        <vt:lpwstr>_Toc287882421</vt:lpwstr>
      </vt:variant>
      <vt:variant>
        <vt:i4>1507385</vt:i4>
      </vt:variant>
      <vt:variant>
        <vt:i4>125</vt:i4>
      </vt:variant>
      <vt:variant>
        <vt:i4>0</vt:i4>
      </vt:variant>
      <vt:variant>
        <vt:i4>5</vt:i4>
      </vt:variant>
      <vt:variant>
        <vt:lpwstr/>
      </vt:variant>
      <vt:variant>
        <vt:lpwstr>_Toc287882420</vt:lpwstr>
      </vt:variant>
      <vt:variant>
        <vt:i4>1310777</vt:i4>
      </vt:variant>
      <vt:variant>
        <vt:i4>119</vt:i4>
      </vt:variant>
      <vt:variant>
        <vt:i4>0</vt:i4>
      </vt:variant>
      <vt:variant>
        <vt:i4>5</vt:i4>
      </vt:variant>
      <vt:variant>
        <vt:lpwstr/>
      </vt:variant>
      <vt:variant>
        <vt:lpwstr>_Toc287882419</vt:lpwstr>
      </vt:variant>
      <vt:variant>
        <vt:i4>1310777</vt:i4>
      </vt:variant>
      <vt:variant>
        <vt:i4>113</vt:i4>
      </vt:variant>
      <vt:variant>
        <vt:i4>0</vt:i4>
      </vt:variant>
      <vt:variant>
        <vt:i4>5</vt:i4>
      </vt:variant>
      <vt:variant>
        <vt:lpwstr/>
      </vt:variant>
      <vt:variant>
        <vt:lpwstr>_Toc287882418</vt:lpwstr>
      </vt:variant>
      <vt:variant>
        <vt:i4>1310777</vt:i4>
      </vt:variant>
      <vt:variant>
        <vt:i4>107</vt:i4>
      </vt:variant>
      <vt:variant>
        <vt:i4>0</vt:i4>
      </vt:variant>
      <vt:variant>
        <vt:i4>5</vt:i4>
      </vt:variant>
      <vt:variant>
        <vt:lpwstr/>
      </vt:variant>
      <vt:variant>
        <vt:lpwstr>_Toc287882417</vt:lpwstr>
      </vt:variant>
      <vt:variant>
        <vt:i4>1310777</vt:i4>
      </vt:variant>
      <vt:variant>
        <vt:i4>101</vt:i4>
      </vt:variant>
      <vt:variant>
        <vt:i4>0</vt:i4>
      </vt:variant>
      <vt:variant>
        <vt:i4>5</vt:i4>
      </vt:variant>
      <vt:variant>
        <vt:lpwstr/>
      </vt:variant>
      <vt:variant>
        <vt:lpwstr>_Toc287882416</vt:lpwstr>
      </vt:variant>
      <vt:variant>
        <vt:i4>1310777</vt:i4>
      </vt:variant>
      <vt:variant>
        <vt:i4>95</vt:i4>
      </vt:variant>
      <vt:variant>
        <vt:i4>0</vt:i4>
      </vt:variant>
      <vt:variant>
        <vt:i4>5</vt:i4>
      </vt:variant>
      <vt:variant>
        <vt:lpwstr/>
      </vt:variant>
      <vt:variant>
        <vt:lpwstr>_Toc287882415</vt:lpwstr>
      </vt:variant>
      <vt:variant>
        <vt:i4>1310777</vt:i4>
      </vt:variant>
      <vt:variant>
        <vt:i4>89</vt:i4>
      </vt:variant>
      <vt:variant>
        <vt:i4>0</vt:i4>
      </vt:variant>
      <vt:variant>
        <vt:i4>5</vt:i4>
      </vt:variant>
      <vt:variant>
        <vt:lpwstr/>
      </vt:variant>
      <vt:variant>
        <vt:lpwstr>_Toc287882414</vt:lpwstr>
      </vt:variant>
      <vt:variant>
        <vt:i4>1310777</vt:i4>
      </vt:variant>
      <vt:variant>
        <vt:i4>83</vt:i4>
      </vt:variant>
      <vt:variant>
        <vt:i4>0</vt:i4>
      </vt:variant>
      <vt:variant>
        <vt:i4>5</vt:i4>
      </vt:variant>
      <vt:variant>
        <vt:lpwstr/>
      </vt:variant>
      <vt:variant>
        <vt:lpwstr>_Toc287882413</vt:lpwstr>
      </vt:variant>
      <vt:variant>
        <vt:i4>1310777</vt:i4>
      </vt:variant>
      <vt:variant>
        <vt:i4>77</vt:i4>
      </vt:variant>
      <vt:variant>
        <vt:i4>0</vt:i4>
      </vt:variant>
      <vt:variant>
        <vt:i4>5</vt:i4>
      </vt:variant>
      <vt:variant>
        <vt:lpwstr/>
      </vt:variant>
      <vt:variant>
        <vt:lpwstr>_Toc287882412</vt:lpwstr>
      </vt:variant>
      <vt:variant>
        <vt:i4>1310777</vt:i4>
      </vt:variant>
      <vt:variant>
        <vt:i4>71</vt:i4>
      </vt:variant>
      <vt:variant>
        <vt:i4>0</vt:i4>
      </vt:variant>
      <vt:variant>
        <vt:i4>5</vt:i4>
      </vt:variant>
      <vt:variant>
        <vt:lpwstr/>
      </vt:variant>
      <vt:variant>
        <vt:lpwstr>_Toc287882411</vt:lpwstr>
      </vt:variant>
      <vt:variant>
        <vt:i4>1310777</vt:i4>
      </vt:variant>
      <vt:variant>
        <vt:i4>65</vt:i4>
      </vt:variant>
      <vt:variant>
        <vt:i4>0</vt:i4>
      </vt:variant>
      <vt:variant>
        <vt:i4>5</vt:i4>
      </vt:variant>
      <vt:variant>
        <vt:lpwstr/>
      </vt:variant>
      <vt:variant>
        <vt:lpwstr>_Toc287882410</vt:lpwstr>
      </vt:variant>
      <vt:variant>
        <vt:i4>1376313</vt:i4>
      </vt:variant>
      <vt:variant>
        <vt:i4>59</vt:i4>
      </vt:variant>
      <vt:variant>
        <vt:i4>0</vt:i4>
      </vt:variant>
      <vt:variant>
        <vt:i4>5</vt:i4>
      </vt:variant>
      <vt:variant>
        <vt:lpwstr/>
      </vt:variant>
      <vt:variant>
        <vt:lpwstr>_Toc287882409</vt:lpwstr>
      </vt:variant>
      <vt:variant>
        <vt:i4>1376313</vt:i4>
      </vt:variant>
      <vt:variant>
        <vt:i4>53</vt:i4>
      </vt:variant>
      <vt:variant>
        <vt:i4>0</vt:i4>
      </vt:variant>
      <vt:variant>
        <vt:i4>5</vt:i4>
      </vt:variant>
      <vt:variant>
        <vt:lpwstr/>
      </vt:variant>
      <vt:variant>
        <vt:lpwstr>_Toc287882408</vt:lpwstr>
      </vt:variant>
      <vt:variant>
        <vt:i4>1376313</vt:i4>
      </vt:variant>
      <vt:variant>
        <vt:i4>47</vt:i4>
      </vt:variant>
      <vt:variant>
        <vt:i4>0</vt:i4>
      </vt:variant>
      <vt:variant>
        <vt:i4>5</vt:i4>
      </vt:variant>
      <vt:variant>
        <vt:lpwstr/>
      </vt:variant>
      <vt:variant>
        <vt:lpwstr>_Toc287882407</vt:lpwstr>
      </vt:variant>
      <vt:variant>
        <vt:i4>1376313</vt:i4>
      </vt:variant>
      <vt:variant>
        <vt:i4>41</vt:i4>
      </vt:variant>
      <vt:variant>
        <vt:i4>0</vt:i4>
      </vt:variant>
      <vt:variant>
        <vt:i4>5</vt:i4>
      </vt:variant>
      <vt:variant>
        <vt:lpwstr/>
      </vt:variant>
      <vt:variant>
        <vt:lpwstr>_Toc287882406</vt:lpwstr>
      </vt:variant>
      <vt:variant>
        <vt:i4>1376313</vt:i4>
      </vt:variant>
      <vt:variant>
        <vt:i4>35</vt:i4>
      </vt:variant>
      <vt:variant>
        <vt:i4>0</vt:i4>
      </vt:variant>
      <vt:variant>
        <vt:i4>5</vt:i4>
      </vt:variant>
      <vt:variant>
        <vt:lpwstr/>
      </vt:variant>
      <vt:variant>
        <vt:lpwstr>_Toc287882405</vt:lpwstr>
      </vt:variant>
      <vt:variant>
        <vt:i4>1376313</vt:i4>
      </vt:variant>
      <vt:variant>
        <vt:i4>29</vt:i4>
      </vt:variant>
      <vt:variant>
        <vt:i4>0</vt:i4>
      </vt:variant>
      <vt:variant>
        <vt:i4>5</vt:i4>
      </vt:variant>
      <vt:variant>
        <vt:lpwstr/>
      </vt:variant>
      <vt:variant>
        <vt:lpwstr>_Toc287882404</vt:lpwstr>
      </vt:variant>
      <vt:variant>
        <vt:i4>1376313</vt:i4>
      </vt:variant>
      <vt:variant>
        <vt:i4>23</vt:i4>
      </vt:variant>
      <vt:variant>
        <vt:i4>0</vt:i4>
      </vt:variant>
      <vt:variant>
        <vt:i4>5</vt:i4>
      </vt:variant>
      <vt:variant>
        <vt:lpwstr/>
      </vt:variant>
      <vt:variant>
        <vt:lpwstr>_Toc287882403</vt:lpwstr>
      </vt:variant>
      <vt:variant>
        <vt:i4>1376313</vt:i4>
      </vt:variant>
      <vt:variant>
        <vt:i4>17</vt:i4>
      </vt:variant>
      <vt:variant>
        <vt:i4>0</vt:i4>
      </vt:variant>
      <vt:variant>
        <vt:i4>5</vt:i4>
      </vt:variant>
      <vt:variant>
        <vt:lpwstr/>
      </vt:variant>
      <vt:variant>
        <vt:lpwstr>_Toc287882402</vt:lpwstr>
      </vt:variant>
      <vt:variant>
        <vt:i4>1376313</vt:i4>
      </vt:variant>
      <vt:variant>
        <vt:i4>11</vt:i4>
      </vt:variant>
      <vt:variant>
        <vt:i4>0</vt:i4>
      </vt:variant>
      <vt:variant>
        <vt:i4>5</vt:i4>
      </vt:variant>
      <vt:variant>
        <vt:lpwstr/>
      </vt:variant>
      <vt:variant>
        <vt:lpwstr>_Toc287882401</vt:lpwstr>
      </vt:variant>
      <vt:variant>
        <vt:i4>1376313</vt:i4>
      </vt:variant>
      <vt:variant>
        <vt:i4>5</vt:i4>
      </vt:variant>
      <vt:variant>
        <vt:i4>0</vt:i4>
      </vt:variant>
      <vt:variant>
        <vt:i4>5</vt:i4>
      </vt:variant>
      <vt:variant>
        <vt:lpwstr/>
      </vt:variant>
      <vt:variant>
        <vt:lpwstr>_Toc287882400</vt:lpwstr>
      </vt:variant>
      <vt:variant>
        <vt:i4>1703959</vt:i4>
      </vt:variant>
      <vt:variant>
        <vt:i4>0</vt:i4>
      </vt:variant>
      <vt:variant>
        <vt:i4>0</vt:i4>
      </vt:variant>
      <vt:variant>
        <vt:i4>5</vt:i4>
      </vt:variant>
      <vt:variant>
        <vt:lpwstr>http://www.espon.eu/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1 22/09/2008</dc:title>
  <dc:creator>mehlbye</dc:creator>
  <cp:lastModifiedBy>Petri Kahila</cp:lastModifiedBy>
  <cp:revision>2</cp:revision>
  <cp:lastPrinted>2014-07-25T13:40:00Z</cp:lastPrinted>
  <dcterms:created xsi:type="dcterms:W3CDTF">2014-10-16T23:34:00Z</dcterms:created>
  <dcterms:modified xsi:type="dcterms:W3CDTF">2014-10-16T23:34:00Z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0x0101000B55545BE707EE41963776E429A300E2</vt:lpwstr>
  </property>
</Properties>
</file>