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1326" w:rsidRDefault="00121307" w:rsidP="00955892">
      <w:pPr>
        <w:rPr>
          <w:iCs/>
        </w:rPr>
      </w:pPr>
      <w:bookmarkStart w:id="0" w:name="_Toc221439757"/>
      <w:r w:rsidRPr="00121307">
        <w:rPr>
          <w:noProof/>
          <w:lang w:eastAsia="en-GB"/>
        </w:rPr>
        <w:pict>
          <v:shapetype id="_x0000_t202" coordsize="21600,21600" o:spt="202" path="m,l,21600r21600,l21600,xe">
            <v:stroke joinstyle="miter"/>
            <v:path gradientshapeok="t" o:connecttype="rect"/>
          </v:shapetype>
          <v:shape id="Text Box 303" o:spid="_x0000_s1026" type="#_x0000_t202" style="position:absolute;left:0;text-align:left;margin-left:20.55pt;margin-top:512.75pt;width:554pt;height:80.4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" filled="f" stroked="f">
            <v:textbox style="mso-fit-shape-to-text:t">
              <w:txbxContent>
                <w:p w:rsidR="00C21326" w:rsidRDefault="00C21326" w:rsidP="00C21326">
                  <w:pPr>
                    <w:jc w:val="center"/>
                    <w:rPr>
                      <w:rFonts w:cs="Arial"/>
                      <w:sz w:val="56"/>
                      <w:szCs w:val="32"/>
                      <w:lang w:val="en-US"/>
                    </w:rPr>
                  </w:pPr>
                  <w:r w:rsidRPr="00170815">
                    <w:rPr>
                      <w:rFonts w:cs="Arial"/>
                      <w:sz w:val="56"/>
                      <w:szCs w:val="32"/>
                      <w:lang w:val="en-US"/>
                    </w:rPr>
                    <w:t>Final Report</w:t>
                  </w:r>
                </w:p>
                <w:p w:rsidR="00C21326" w:rsidRPr="00170815" w:rsidRDefault="00C21326" w:rsidP="00C21326">
                  <w:pPr>
                    <w:jc w:val="center"/>
                    <w:rPr>
                      <w:rFonts w:cs="Arial"/>
                      <w:sz w:val="56"/>
                      <w:szCs w:val="32"/>
                      <w:lang w:val="en-US"/>
                    </w:rPr>
                  </w:pPr>
                  <w:r>
                    <w:rPr>
                      <w:rFonts w:cs="Arial"/>
                      <w:sz w:val="56"/>
                      <w:szCs w:val="32"/>
                      <w:lang w:val="en-US"/>
                    </w:rPr>
                    <w:t>Part B Main Report</w:t>
                  </w:r>
                </w:p>
                <w:p w:rsidR="00C21326" w:rsidRDefault="00C21326" w:rsidP="00C21326">
                  <w:pPr>
                    <w:jc w:val="center"/>
                    <w:rPr>
                      <w:rFonts w:cs="Arial"/>
                      <w:sz w:val="32"/>
                      <w:szCs w:val="32"/>
                      <w:lang w:val="en-US"/>
                    </w:rPr>
                  </w:pPr>
                  <w:r>
                    <w:rPr>
                      <w:rFonts w:cs="Arial"/>
                      <w:sz w:val="32"/>
                      <w:szCs w:val="32"/>
                      <w:lang w:val="en-US"/>
                    </w:rPr>
                    <w:t>Edited by Andrew Copus</w:t>
                  </w:r>
                </w:p>
                <w:p w:rsidR="00C21326" w:rsidRDefault="00C21326" w:rsidP="00C21326">
                  <w:pPr>
                    <w:jc w:val="center"/>
                    <w:rPr>
                      <w:rFonts w:cs="Arial"/>
                      <w:sz w:val="32"/>
                      <w:szCs w:val="32"/>
                      <w:lang w:val="en-US"/>
                    </w:rPr>
                  </w:pPr>
                  <w:r>
                    <w:rPr>
                      <w:rFonts w:cs="Arial"/>
                      <w:sz w:val="32"/>
                      <w:szCs w:val="32"/>
                      <w:lang w:val="en-US"/>
                    </w:rPr>
                    <w:t>The James Hutton Institute, Aberdeen</w:t>
                  </w:r>
                </w:p>
                <w:p w:rsidR="00C21326" w:rsidRPr="00FE01AC" w:rsidRDefault="00C21326" w:rsidP="00C21326">
                  <w:pPr>
                    <w:jc w:val="center"/>
                    <w:rPr>
                      <w:rFonts w:cs="Arial"/>
                      <w:sz w:val="32"/>
                      <w:szCs w:val="32"/>
                      <w:lang w:val="en-US"/>
                    </w:rPr>
                  </w:pPr>
                  <w:r>
                    <w:rPr>
                      <w:rFonts w:cs="Arial"/>
                      <w:sz w:val="32"/>
                      <w:szCs w:val="32"/>
                      <w:lang w:val="en-US"/>
                    </w:rPr>
                    <w:t>November 2014</w:t>
                  </w:r>
                </w:p>
              </w:txbxContent>
            </v:textbox>
          </v:shape>
        </w:pict>
      </w:r>
      <w:r w:rsidRPr="00121307">
        <w:rPr>
          <w:noProof/>
          <w:lang w:eastAsia="en-GB"/>
        </w:rPr>
        <w:pict>
          <v:shape id="Text Box 302" o:spid="_x0000_s1027" type="#_x0000_t202" style="position:absolute;left:0;text-align:left;margin-left:20.55pt;margin-top:458.55pt;width:554pt;height:31.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" filled="f" stroked="f">
            <v:textbox style="mso-fit-shape-to-text:t">
              <w:txbxContent>
                <w:p w:rsidR="00C21326" w:rsidRPr="00DC3CE6" w:rsidRDefault="00C21326" w:rsidP="00C2132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v:textbox>
          </v:shape>
        </w:pict>
      </w:r>
      <w:r w:rsidRPr="00121307">
        <w:rPr>
          <w:noProof/>
          <w:lang w:eastAsia="en-GB"/>
        </w:rPr>
        <w:pict>
          <v:shape id="Text Box 301" o:spid="_x0000_s1028" type="#_x0000_t202" style="position:absolute;left:0;text-align:left;margin-left:20.6pt;margin-top:291.35pt;width:554pt;height:14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" filled="f" stroked="f">
            <v:textbox>
              <w:txbxContent>
                <w:p w:rsidR="00C21326" w:rsidRDefault="00C21326" w:rsidP="00C21326">
                  <w:pPr>
                    <w:ind w:left="426" w:right="530"/>
                    <w:jc w:val="center"/>
                    <w:rPr>
                      <w:rFonts w:cs="Arial"/>
                      <w:sz w:val="60"/>
                      <w:szCs w:val="60"/>
                    </w:rPr>
                  </w:pPr>
                  <w:proofErr w:type="spellStart"/>
                  <w:r>
                    <w:rPr>
                      <w:rFonts w:cs="Arial"/>
                      <w:sz w:val="60"/>
                      <w:szCs w:val="60"/>
                    </w:rPr>
                    <w:t>TiPSE</w:t>
                  </w:r>
                  <w:proofErr w:type="spellEnd"/>
                </w:p>
                <w:p w:rsidR="00C21326" w:rsidRPr="00721B03" w:rsidRDefault="00C21326" w:rsidP="00C2132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v:textbox>
          </v:shape>
        </w:pict>
      </w:r>
      <w:r w:rsidR="00955892">
        <w:rPr>
          <w:noProof/>
          <w:lang w:eastAsia="en-GB"/>
        </w:rPr>
        <w:drawing>
          <wp:inline distT="0" distB="0" distL="0" distR="0">
            <wp:extent cx="7570470" cy="10706735"/>
            <wp:effectExtent l="0" t="0" r="0" b="0"/>
            <wp:docPr id="11" name="Picture 11" descr="Cover-TPG-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ver-TPG-White"/>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126"/>
                    <a:stretch>
                      <a:fillRect/>
                    </a:stretch>
                  </pic:blipFill>
                  <pic:spPr bwMode="auto">
                    <a:xfrm>
                      <a:off x="0" y="0"/>
                      <a:ext cx="7570470" cy="10706735"/>
                    </a:xfrm>
                    <a:prstGeom prst="rect">
                      <a:avLst/>
                    </a:prstGeom>
                    <a:noFill/>
                    <a:ln>
                      <a:noFill/>
                    </a:ln>
                  </pic:spPr>
                </pic:pic>
              </a:graphicData>
            </a:graphic>
          </wp:inline>
        </w:drawing>
      </w:r>
    </w:p>
    <w:p w:rsidR="00430686" w:rsidRPr="00EF4C9E" w:rsidRDefault="00430686" w:rsidP="00CE483C">
      <w:pPr>
        <w:spacing w:before="0"/>
        <w:ind w:left="-1757"/>
        <w:rPr>
          <w:iCs/>
        </w:rPr>
      </w:pPr>
    </w:p>
    <w:bookmarkEnd w:id="0"/>
    <w:p w:rsidR="00956CB4" w:rsidRPr="00EF4C9E" w:rsidRDefault="00956CB4" w:rsidP="00006BE0">
      <w:pPr>
        <w:pStyle w:val="ESPONText"/>
      </w:pPr>
    </w:p>
    <w:p w:rsidR="00390969" w:rsidRPr="00EF4C9E" w:rsidRDefault="00390969" w:rsidP="00ED043E">
      <w:pPr>
        <w:pStyle w:val="ESPONColophon"/>
        <w:ind w:left="810"/>
        <w:sectPr w:rsidR="00390969" w:rsidRPr="00EF4C9E" w:rsidSect="00955892">
          <w:footerReference w:type="default" r:id="rId9"/>
          <w:pgSz w:w="11906" w:h="16838" w:code="9"/>
          <w:pgMar w:top="0" w:right="0" w:bottom="0" w:left="0" w:header="720" w:footer="720" w:gutter="0"/>
          <w:pgNumType w:fmt="lowerRoman" w:start="1"/>
          <w:cols w:space="720"/>
          <w:titlePg/>
        </w:sectPr>
      </w:pPr>
    </w:p>
    <w:p w:rsidR="00ED043E" w:rsidRPr="00EF4C9E" w:rsidRDefault="00ED043E" w:rsidP="00AF6C49">
      <w:pPr>
        <w:pStyle w:val="ESPONColophon"/>
      </w:pPr>
    </w:p>
    <w:p w:rsidR="00ED043E" w:rsidRPr="00EF4C9E" w:rsidRDefault="00301DD9" w:rsidP="00560F65">
      <w:pPr>
        <w:pStyle w:val="ESPONColophon"/>
        <w:ind w:left="810"/>
      </w:pPr>
      <w:r w:rsidRPr="00301DD9">
        <w:t>This report presents the results of an Applied Research Project conducted within the framework of the ESPON 2013 Programme, partly financed by the European Regional Development</w:t>
      </w:r>
      <w:r w:rsidR="00560F65" w:rsidRPr="00EF4C9E">
        <w:t>.</w:t>
      </w:r>
    </w:p>
    <w:p w:rsidR="00560F65" w:rsidRPr="00EF4C9E" w:rsidRDefault="00560F65" w:rsidP="00560F65">
      <w:pPr>
        <w:pStyle w:val="ESPONColophon"/>
        <w:ind w:left="810"/>
      </w:pPr>
    </w:p>
    <w:p w:rsidR="00ED043E" w:rsidRPr="00EF4C9E" w:rsidRDefault="00ED043E" w:rsidP="00ED043E">
      <w:pPr>
        <w:pStyle w:val="ESPONColophon"/>
        <w:ind w:left="810"/>
      </w:pPr>
      <w:r w:rsidRPr="00EF4C9E">
        <w:t>The partnership behind the ESPON Programme consists of the EU Commission and the Member States of the EU27, plus Iceland, Liechtenstein, Norway and Switzerland. Each partner is represented in the ESPON Monitoring Committee.</w:t>
      </w:r>
    </w:p>
    <w:p w:rsidR="00ED043E" w:rsidRPr="00EF4C9E" w:rsidRDefault="00ED043E" w:rsidP="00ED043E">
      <w:pPr>
        <w:pStyle w:val="ESPONColophon"/>
        <w:ind w:left="810"/>
      </w:pPr>
    </w:p>
    <w:p w:rsidR="00ED043E" w:rsidRPr="00EF4C9E" w:rsidRDefault="00ED043E" w:rsidP="00ED043E">
      <w:pPr>
        <w:pStyle w:val="ESPONColophon"/>
        <w:ind w:left="810"/>
      </w:pPr>
      <w:r w:rsidRPr="00EF4C9E">
        <w:t>This report does not necessarily reflect the opinion of the members of the Monitoring Committee.</w:t>
      </w:r>
    </w:p>
    <w:p w:rsidR="00ED043E" w:rsidRPr="00EF4C9E" w:rsidRDefault="00ED043E" w:rsidP="00ED043E">
      <w:pPr>
        <w:pStyle w:val="ESPONColophon"/>
        <w:ind w:left="810"/>
      </w:pPr>
    </w:p>
    <w:p w:rsidR="00ED043E" w:rsidRPr="00EF4C9E" w:rsidRDefault="00ED043E" w:rsidP="00ED043E">
      <w:pPr>
        <w:pStyle w:val="ESPONColophon"/>
        <w:ind w:left="810"/>
      </w:pPr>
      <w:r w:rsidRPr="00EF4C9E">
        <w:t xml:space="preserve">Information on the ESPON Programme and projects can be found on </w:t>
      </w:r>
      <w:hyperlink r:id="rId10" w:history="1">
        <w:r w:rsidRPr="00EF4C9E">
          <w:rPr>
            <w:rStyle w:val="Hyperlink"/>
          </w:rPr>
          <w:t>www.espon.eu</w:t>
        </w:r>
      </w:hyperlink>
    </w:p>
    <w:p w:rsidR="00ED043E" w:rsidRPr="00EF4C9E" w:rsidRDefault="00ED043E" w:rsidP="00ED043E">
      <w:pPr>
        <w:pStyle w:val="ESPONColophon"/>
        <w:ind w:left="810"/>
      </w:pPr>
    </w:p>
    <w:p w:rsidR="00ED043E" w:rsidRPr="00EF4C9E" w:rsidRDefault="00ED043E" w:rsidP="00ED043E">
      <w:pPr>
        <w:pStyle w:val="ESPONColophon"/>
        <w:ind w:left="810"/>
      </w:pPr>
      <w:r w:rsidRPr="00EF4C9E">
        <w:t>The web site provides the possibility to download and examine the most recent documents produced by finalised and ongoing ESPON projects.</w:t>
      </w:r>
    </w:p>
    <w:p w:rsidR="00ED043E" w:rsidRPr="00EF4C9E" w:rsidRDefault="00ED043E" w:rsidP="00ED043E">
      <w:pPr>
        <w:pStyle w:val="ESPONColophon"/>
        <w:ind w:left="810"/>
      </w:pPr>
    </w:p>
    <w:p w:rsidR="00ED043E" w:rsidRPr="00EF4C9E" w:rsidRDefault="00ED043E" w:rsidP="00ED043E">
      <w:pPr>
        <w:pStyle w:val="ESPONColophon"/>
        <w:ind w:left="810"/>
      </w:pPr>
      <w:r w:rsidRPr="00EF4C9E">
        <w:t>This basic report exists only in an electronic version.</w:t>
      </w:r>
    </w:p>
    <w:p w:rsidR="00ED043E" w:rsidRPr="00EF4C9E" w:rsidRDefault="00ED043E" w:rsidP="00ED043E">
      <w:pPr>
        <w:pStyle w:val="ESPONColophon"/>
        <w:ind w:left="810"/>
      </w:pPr>
    </w:p>
    <w:p w:rsidR="00895002" w:rsidRPr="00EF4C9E" w:rsidRDefault="00895002" w:rsidP="00ED043E">
      <w:pPr>
        <w:pStyle w:val="ESPONColophon"/>
        <w:ind w:left="810"/>
      </w:pPr>
      <w:r w:rsidRPr="00EF4C9E">
        <w:t xml:space="preserve">ISBN number </w:t>
      </w:r>
      <w:r w:rsidR="00394F86">
        <w:t>–</w:t>
      </w:r>
      <w:r w:rsidRPr="00EF4C9E">
        <w:t xml:space="preserve"> </w:t>
      </w:r>
      <w:r w:rsidR="00394F86">
        <w:t>987-2-919777-42-6</w:t>
      </w:r>
    </w:p>
    <w:p w:rsidR="00895002" w:rsidRPr="00EF4C9E" w:rsidRDefault="00895002" w:rsidP="00ED043E">
      <w:pPr>
        <w:pStyle w:val="ESPONColophon"/>
        <w:ind w:left="810"/>
      </w:pPr>
    </w:p>
    <w:p w:rsidR="00ED043E" w:rsidRPr="00EF4C9E" w:rsidRDefault="00E460E1" w:rsidP="00ED043E">
      <w:pPr>
        <w:pStyle w:val="ESPONColophon"/>
        <w:ind w:left="810"/>
      </w:pPr>
      <w:proofErr w:type="gramStart"/>
      <w:r>
        <w:t>© ESPON,</w:t>
      </w:r>
      <w:r w:rsidR="00066656">
        <w:t xml:space="preserve"> </w:t>
      </w:r>
      <w:proofErr w:type="spellStart"/>
      <w:r w:rsidR="00560F65" w:rsidRPr="00EF4C9E">
        <w:t>Nordregio</w:t>
      </w:r>
      <w:proofErr w:type="spellEnd"/>
      <w:r>
        <w:t xml:space="preserve"> and James Hutton Institute</w:t>
      </w:r>
      <w:r w:rsidR="00ED043E" w:rsidRPr="00EF4C9E">
        <w:t>, 201</w:t>
      </w:r>
      <w:r w:rsidR="00F817A8">
        <w:t>4</w:t>
      </w:r>
      <w:r w:rsidR="00ED043E" w:rsidRPr="00EF4C9E">
        <w:t>.</w:t>
      </w:r>
      <w:proofErr w:type="gramEnd"/>
    </w:p>
    <w:p w:rsidR="00ED043E" w:rsidRPr="00EF4C9E" w:rsidRDefault="00ED043E" w:rsidP="00ED043E">
      <w:pPr>
        <w:pStyle w:val="ESPONColophon"/>
        <w:ind w:left="810"/>
      </w:pPr>
    </w:p>
    <w:p w:rsidR="00ED043E" w:rsidRPr="00EF4C9E" w:rsidRDefault="00ED043E" w:rsidP="00ED043E">
      <w:pPr>
        <w:pStyle w:val="ESPONColophon"/>
        <w:ind w:left="810"/>
      </w:pPr>
      <w:r w:rsidRPr="00EF4C9E">
        <w:t>Printing, reproduction or quotation is authorised provided the source is acknowledged and a copy is forwarded to the ESPON Coordination Unit in Luxembourg.</w:t>
      </w:r>
    </w:p>
    <w:p w:rsidR="00ED043E" w:rsidRPr="00EF4C9E" w:rsidRDefault="00ED043E" w:rsidP="00ED043E">
      <w:pPr>
        <w:pStyle w:val="ESPONColophon"/>
        <w:ind w:left="810"/>
      </w:pPr>
    </w:p>
    <w:p w:rsidR="005703AA" w:rsidRPr="00EF4C9E" w:rsidRDefault="005703AA" w:rsidP="00A9269D">
      <w:pPr>
        <w:pStyle w:val="ESPONText"/>
      </w:pPr>
    </w:p>
    <w:p w:rsidR="005703AA" w:rsidRPr="00EF4C9E" w:rsidRDefault="005703AA" w:rsidP="00AA149B">
      <w:pPr>
        <w:pStyle w:val="ESPONText"/>
        <w:rPr>
          <w:sz w:val="32"/>
          <w:szCs w:val="32"/>
        </w:rPr>
      </w:pPr>
      <w:r w:rsidRPr="00EF4C9E">
        <w:br w:type="column"/>
      </w:r>
      <w:r w:rsidRPr="00EF4C9E">
        <w:rPr>
          <w:sz w:val="32"/>
          <w:szCs w:val="32"/>
        </w:rPr>
        <w:lastRenderedPageBreak/>
        <w:t>LIST OF ABBREVIATIONS</w:t>
      </w:r>
    </w:p>
    <w:p w:rsidR="007C1C7B" w:rsidRDefault="007C1C7B" w:rsidP="005703AA">
      <w:pPr>
        <w:pStyle w:val="ESPONText"/>
        <w:spacing w:after="0"/>
      </w:pPr>
      <w:proofErr w:type="spellStart"/>
      <w:r>
        <w:t>ARoP</w:t>
      </w:r>
      <w:proofErr w:type="spellEnd"/>
      <w:r>
        <w:tab/>
        <w:t>At Risk of Poverty (rate)</w:t>
      </w:r>
    </w:p>
    <w:p w:rsidR="000A68E9" w:rsidRDefault="000A68E9" w:rsidP="005703AA">
      <w:pPr>
        <w:pStyle w:val="ESPONText"/>
        <w:spacing w:after="0"/>
      </w:pPr>
      <w:r>
        <w:t>CLLD</w:t>
      </w:r>
      <w:r>
        <w:tab/>
        <w:t>Community Led Local Development</w:t>
      </w:r>
    </w:p>
    <w:p w:rsidR="005703AA" w:rsidRPr="00EF4C9E" w:rsidRDefault="00E32D77" w:rsidP="005703AA">
      <w:pPr>
        <w:pStyle w:val="ESPONText"/>
        <w:spacing w:after="0"/>
      </w:pPr>
      <w:r w:rsidRPr="00EF4C9E">
        <w:t>MS</w:t>
      </w:r>
      <w:r w:rsidRPr="00EF4C9E">
        <w:tab/>
        <w:t>Member State</w:t>
      </w:r>
    </w:p>
    <w:p w:rsidR="00E32D77" w:rsidRPr="00EF4C9E" w:rsidRDefault="00E32D77" w:rsidP="005703AA">
      <w:pPr>
        <w:pStyle w:val="ESPONText"/>
        <w:spacing w:after="0"/>
      </w:pPr>
      <w:r w:rsidRPr="00EF4C9E">
        <w:t>NMS</w:t>
      </w:r>
      <w:r w:rsidRPr="00EF4C9E">
        <w:tab/>
        <w:t>New Member States</w:t>
      </w:r>
    </w:p>
    <w:p w:rsidR="008E697F" w:rsidRDefault="008E697F" w:rsidP="005703AA">
      <w:pPr>
        <w:pStyle w:val="ESPONText"/>
        <w:spacing w:after="0"/>
      </w:pPr>
      <w:r>
        <w:t>NSI</w:t>
      </w:r>
      <w:r>
        <w:tab/>
        <w:t>National Statistical Institute</w:t>
      </w:r>
    </w:p>
    <w:p w:rsidR="00E32D77" w:rsidRDefault="00E32D77" w:rsidP="005703AA">
      <w:pPr>
        <w:pStyle w:val="ESPONText"/>
        <w:spacing w:after="0"/>
      </w:pPr>
      <w:r w:rsidRPr="00EF4C9E">
        <w:t>OMC</w:t>
      </w:r>
      <w:r w:rsidRPr="00EF4C9E">
        <w:tab/>
        <w:t>Open Method of Coordination</w:t>
      </w:r>
    </w:p>
    <w:p w:rsidR="007C1C7B" w:rsidRDefault="007C1C7B" w:rsidP="005703AA">
      <w:pPr>
        <w:pStyle w:val="ESPONText"/>
        <w:spacing w:after="0"/>
      </w:pPr>
      <w:r>
        <w:t>PSE</w:t>
      </w:r>
      <w:r>
        <w:tab/>
        <w:t>Poverty and Social Exclusion</w:t>
      </w:r>
    </w:p>
    <w:p w:rsidR="007C1C7B" w:rsidRDefault="007C1C7B" w:rsidP="005703AA">
      <w:pPr>
        <w:pStyle w:val="ESPONText"/>
        <w:spacing w:after="0"/>
      </w:pPr>
      <w:r>
        <w:t>SE</w:t>
      </w:r>
      <w:r>
        <w:tab/>
        <w:t>Social Exclusion</w:t>
      </w:r>
    </w:p>
    <w:p w:rsidR="00F34C48" w:rsidRDefault="00F34C48" w:rsidP="005703AA">
      <w:pPr>
        <w:pStyle w:val="ESPONText"/>
        <w:spacing w:after="0"/>
      </w:pPr>
      <w:r>
        <w:t>SGI</w:t>
      </w:r>
      <w:r>
        <w:tab/>
        <w:t>Services of General Interest</w:t>
      </w:r>
    </w:p>
    <w:p w:rsidR="007D30CA" w:rsidRPr="00EF4C9E" w:rsidRDefault="007D30CA" w:rsidP="005703AA">
      <w:pPr>
        <w:pStyle w:val="ESPONText"/>
        <w:spacing w:after="0"/>
      </w:pPr>
      <w:r>
        <w:t>TPG</w:t>
      </w:r>
      <w:r>
        <w:tab/>
        <w:t>Transnational Project Group</w:t>
      </w:r>
    </w:p>
    <w:p w:rsidR="0061373E" w:rsidRPr="00EF4C9E" w:rsidRDefault="00E32D77" w:rsidP="00987C7B">
      <w:pPr>
        <w:pStyle w:val="ESPONText"/>
      </w:pPr>
      <w:r w:rsidRPr="00EF4C9E">
        <w:t>WB</w:t>
      </w:r>
      <w:r w:rsidRPr="00EF4C9E">
        <w:tab/>
        <w:t>World Bank</w:t>
      </w:r>
    </w:p>
    <w:p w:rsidR="005703AA" w:rsidRPr="00EF4C9E" w:rsidRDefault="005703AA" w:rsidP="005703AA">
      <w:pPr>
        <w:pStyle w:val="ESPONText"/>
        <w:spacing w:after="0"/>
        <w:rPr>
          <w:szCs w:val="22"/>
        </w:rPr>
      </w:pPr>
      <w:r w:rsidRPr="00EF4C9E">
        <w:rPr>
          <w:sz w:val="32"/>
          <w:szCs w:val="32"/>
        </w:rPr>
        <w:t>Standard Abbreviations for Country Names:</w:t>
      </w:r>
    </w:p>
    <w:p w:rsidR="00AF6C49" w:rsidRPr="00EF4C9E" w:rsidRDefault="00AF6C49" w:rsidP="005703AA">
      <w:pPr>
        <w:pStyle w:val="ESPONText"/>
        <w:spacing w:after="0"/>
        <w:rPr>
          <w:sz w:val="32"/>
          <w:szCs w:val="32"/>
        </w:rPr>
        <w:sectPr w:rsidR="00AF6C49" w:rsidRPr="00EF4C9E" w:rsidSect="005703AA">
          <w:type w:val="continuous"/>
          <w:pgSz w:w="11906" w:h="16838"/>
          <w:pgMar w:top="1644" w:right="851" w:bottom="1644" w:left="1701" w:header="720" w:footer="720" w:gutter="0"/>
          <w:pgNumType w:fmt="lowerRoman" w:start="1"/>
          <w:cols w:space="720"/>
        </w:sectPr>
      </w:pPr>
    </w:p>
    <w:p w:rsidR="007D30CA" w:rsidRDefault="007D30CA" w:rsidP="0017265C">
      <w:pPr>
        <w:pStyle w:val="ESPONText"/>
        <w:spacing w:after="0"/>
      </w:pPr>
      <w:r>
        <w:lastRenderedPageBreak/>
        <w:t>AL</w:t>
      </w:r>
      <w:r>
        <w:tab/>
        <w:t>Albania</w:t>
      </w:r>
    </w:p>
    <w:p w:rsidR="005703AA" w:rsidRPr="00EF4C9E" w:rsidRDefault="005703AA" w:rsidP="0017265C">
      <w:pPr>
        <w:pStyle w:val="ESPONText"/>
        <w:spacing w:after="0"/>
      </w:pPr>
      <w:r w:rsidRPr="00EF4C9E">
        <w:t>AT</w:t>
      </w:r>
      <w:r w:rsidRPr="00EF4C9E">
        <w:tab/>
        <w:t>Austria</w:t>
      </w:r>
    </w:p>
    <w:p w:rsidR="005703AA" w:rsidRPr="00EF4C9E" w:rsidRDefault="005703AA" w:rsidP="0017265C">
      <w:pPr>
        <w:pStyle w:val="ESPONText"/>
        <w:spacing w:after="0"/>
      </w:pPr>
      <w:r w:rsidRPr="00EF4C9E">
        <w:t>BE</w:t>
      </w:r>
      <w:r w:rsidRPr="00EF4C9E">
        <w:tab/>
        <w:t>Belgium</w:t>
      </w:r>
    </w:p>
    <w:p w:rsidR="005703AA" w:rsidRPr="00EF4C9E" w:rsidRDefault="005703AA" w:rsidP="0017265C">
      <w:pPr>
        <w:pStyle w:val="ESPONText"/>
        <w:spacing w:after="0"/>
      </w:pPr>
      <w:r w:rsidRPr="00EF4C9E">
        <w:t>BG</w:t>
      </w:r>
      <w:r w:rsidRPr="00EF4C9E">
        <w:tab/>
        <w:t>Bulgaria</w:t>
      </w:r>
    </w:p>
    <w:p w:rsidR="005703AA" w:rsidRPr="00EF4C9E" w:rsidRDefault="005703AA" w:rsidP="0017265C">
      <w:pPr>
        <w:pStyle w:val="ESPONText"/>
        <w:spacing w:after="0"/>
      </w:pPr>
      <w:r w:rsidRPr="00EF4C9E">
        <w:t>CH</w:t>
      </w:r>
      <w:r w:rsidRPr="00EF4C9E">
        <w:tab/>
        <w:t>Switzerland</w:t>
      </w:r>
    </w:p>
    <w:p w:rsidR="007D30CA" w:rsidRDefault="007D30CA" w:rsidP="0017265C">
      <w:pPr>
        <w:pStyle w:val="ESPONText"/>
        <w:spacing w:after="0"/>
      </w:pPr>
      <w:r>
        <w:t>CR</w:t>
      </w:r>
      <w:r>
        <w:tab/>
        <w:t>Croatia</w:t>
      </w:r>
    </w:p>
    <w:p w:rsidR="005703AA" w:rsidRPr="00EF4C9E" w:rsidRDefault="005703AA" w:rsidP="0017265C">
      <w:pPr>
        <w:pStyle w:val="ESPONText"/>
        <w:spacing w:after="0"/>
      </w:pPr>
      <w:r w:rsidRPr="00EF4C9E">
        <w:t>CY</w:t>
      </w:r>
      <w:r w:rsidRPr="00EF4C9E">
        <w:tab/>
        <w:t>Cyprus</w:t>
      </w:r>
    </w:p>
    <w:p w:rsidR="005703AA" w:rsidRPr="00EF4C9E" w:rsidRDefault="005703AA" w:rsidP="0017265C">
      <w:pPr>
        <w:pStyle w:val="ESPONText"/>
        <w:spacing w:after="0"/>
      </w:pPr>
      <w:r w:rsidRPr="00EF4C9E">
        <w:t>CZ</w:t>
      </w:r>
      <w:r w:rsidRPr="00EF4C9E">
        <w:tab/>
        <w:t>Czech Republic</w:t>
      </w:r>
    </w:p>
    <w:p w:rsidR="005703AA" w:rsidRPr="007D30CA" w:rsidRDefault="005703AA" w:rsidP="0017265C">
      <w:pPr>
        <w:pStyle w:val="ESPONText"/>
        <w:spacing w:after="0"/>
      </w:pPr>
      <w:r w:rsidRPr="007D30CA">
        <w:t>DE</w:t>
      </w:r>
      <w:r w:rsidRPr="007D30CA">
        <w:tab/>
        <w:t>Germany</w:t>
      </w:r>
    </w:p>
    <w:p w:rsidR="005703AA" w:rsidRPr="00694E36" w:rsidRDefault="005703AA" w:rsidP="0017265C">
      <w:pPr>
        <w:pStyle w:val="ESPONText"/>
        <w:spacing w:after="0"/>
        <w:rPr>
          <w:lang w:val="fi-FI"/>
        </w:rPr>
      </w:pPr>
      <w:r w:rsidRPr="00694E36">
        <w:rPr>
          <w:lang w:val="fi-FI"/>
        </w:rPr>
        <w:t>DK</w:t>
      </w:r>
      <w:r w:rsidRPr="00694E36">
        <w:rPr>
          <w:lang w:val="fi-FI"/>
        </w:rPr>
        <w:tab/>
        <w:t>Denmark</w:t>
      </w:r>
    </w:p>
    <w:p w:rsidR="005703AA" w:rsidRPr="00694E36" w:rsidRDefault="005703AA" w:rsidP="0017265C">
      <w:pPr>
        <w:pStyle w:val="ESPONText"/>
        <w:spacing w:after="0"/>
        <w:rPr>
          <w:lang w:val="fi-FI"/>
        </w:rPr>
      </w:pPr>
      <w:r w:rsidRPr="00694E36">
        <w:rPr>
          <w:lang w:val="fi-FI"/>
        </w:rPr>
        <w:t>EE</w:t>
      </w:r>
      <w:r w:rsidRPr="00694E36">
        <w:rPr>
          <w:lang w:val="fi-FI"/>
        </w:rPr>
        <w:tab/>
        <w:t>Estonia</w:t>
      </w:r>
    </w:p>
    <w:p w:rsidR="005703AA" w:rsidRPr="00694E36" w:rsidRDefault="005703AA" w:rsidP="0017265C">
      <w:pPr>
        <w:pStyle w:val="ESPONText"/>
        <w:spacing w:after="0"/>
        <w:rPr>
          <w:lang w:val="fi-FI"/>
        </w:rPr>
      </w:pPr>
      <w:r w:rsidRPr="00694E36">
        <w:rPr>
          <w:lang w:val="fi-FI"/>
        </w:rPr>
        <w:t>ES</w:t>
      </w:r>
      <w:r w:rsidRPr="00694E36">
        <w:rPr>
          <w:lang w:val="fi-FI"/>
        </w:rPr>
        <w:tab/>
        <w:t>Spain</w:t>
      </w:r>
    </w:p>
    <w:p w:rsidR="005703AA" w:rsidRPr="00377F72" w:rsidRDefault="005703AA" w:rsidP="0017265C">
      <w:pPr>
        <w:pStyle w:val="ESPONText"/>
        <w:spacing w:after="0"/>
        <w:rPr>
          <w:lang w:val="sv-SE"/>
        </w:rPr>
      </w:pPr>
      <w:r w:rsidRPr="00377F72">
        <w:rPr>
          <w:lang w:val="sv-SE"/>
        </w:rPr>
        <w:t>FI</w:t>
      </w:r>
      <w:r w:rsidRPr="00377F72">
        <w:rPr>
          <w:lang w:val="sv-SE"/>
        </w:rPr>
        <w:tab/>
        <w:t>Finland</w:t>
      </w:r>
    </w:p>
    <w:p w:rsidR="005703AA" w:rsidRPr="00377F72" w:rsidRDefault="005703AA" w:rsidP="0017265C">
      <w:pPr>
        <w:pStyle w:val="ESPONText"/>
        <w:spacing w:after="0"/>
        <w:rPr>
          <w:lang w:val="sv-SE"/>
        </w:rPr>
      </w:pPr>
      <w:r w:rsidRPr="00377F72">
        <w:rPr>
          <w:lang w:val="sv-SE"/>
        </w:rPr>
        <w:t>FR</w:t>
      </w:r>
      <w:r w:rsidRPr="00377F72">
        <w:rPr>
          <w:lang w:val="sv-SE"/>
        </w:rPr>
        <w:tab/>
        <w:t>France</w:t>
      </w:r>
    </w:p>
    <w:p w:rsidR="007D30CA" w:rsidRPr="00377F72" w:rsidRDefault="007D30CA" w:rsidP="0017265C">
      <w:pPr>
        <w:pStyle w:val="ESPONText"/>
        <w:spacing w:after="0"/>
        <w:rPr>
          <w:lang w:val="sv-SE"/>
        </w:rPr>
      </w:pPr>
      <w:r w:rsidRPr="00377F72">
        <w:rPr>
          <w:lang w:val="sv-SE"/>
        </w:rPr>
        <w:t>FY</w:t>
      </w:r>
      <w:r w:rsidRPr="00377F72">
        <w:rPr>
          <w:lang w:val="sv-SE"/>
        </w:rPr>
        <w:tab/>
        <w:t>FYROM</w:t>
      </w:r>
    </w:p>
    <w:p w:rsidR="005703AA" w:rsidRPr="00EF4C9E" w:rsidRDefault="007D30CA" w:rsidP="0017265C">
      <w:pPr>
        <w:pStyle w:val="ESPONText"/>
        <w:spacing w:after="0"/>
      </w:pPr>
      <w:r>
        <w:t>EL</w:t>
      </w:r>
      <w:r w:rsidR="005703AA" w:rsidRPr="00EF4C9E">
        <w:tab/>
        <w:t>Greece</w:t>
      </w:r>
    </w:p>
    <w:p w:rsidR="005703AA" w:rsidRPr="00EF4C9E" w:rsidRDefault="005703AA" w:rsidP="0017265C">
      <w:pPr>
        <w:pStyle w:val="ESPONText"/>
        <w:spacing w:after="0"/>
      </w:pPr>
      <w:r w:rsidRPr="00EF4C9E">
        <w:t>HU</w:t>
      </w:r>
      <w:r w:rsidRPr="00EF4C9E">
        <w:tab/>
        <w:t>Hungary</w:t>
      </w:r>
    </w:p>
    <w:p w:rsidR="005703AA" w:rsidRPr="00EF4C9E" w:rsidRDefault="005703AA" w:rsidP="0017265C">
      <w:pPr>
        <w:pStyle w:val="ESPONText"/>
        <w:spacing w:after="0"/>
      </w:pPr>
      <w:r w:rsidRPr="00EF4C9E">
        <w:t>IE</w:t>
      </w:r>
      <w:r w:rsidRPr="00EF4C9E">
        <w:tab/>
        <w:t>Ireland</w:t>
      </w:r>
    </w:p>
    <w:p w:rsidR="007D30CA" w:rsidRDefault="007D30CA" w:rsidP="0017265C">
      <w:pPr>
        <w:pStyle w:val="ESPONText"/>
        <w:spacing w:after="0"/>
      </w:pPr>
      <w:r>
        <w:t>IS</w:t>
      </w:r>
      <w:r>
        <w:tab/>
        <w:t>Iceland</w:t>
      </w:r>
    </w:p>
    <w:p w:rsidR="005703AA" w:rsidRPr="00EF4C9E" w:rsidRDefault="005703AA" w:rsidP="0017265C">
      <w:pPr>
        <w:pStyle w:val="ESPONText"/>
        <w:spacing w:after="0"/>
      </w:pPr>
      <w:proofErr w:type="gramStart"/>
      <w:r w:rsidRPr="00EF4C9E">
        <w:lastRenderedPageBreak/>
        <w:t>IT</w:t>
      </w:r>
      <w:proofErr w:type="gramEnd"/>
      <w:r w:rsidRPr="00EF4C9E">
        <w:tab/>
        <w:t>Italy</w:t>
      </w:r>
    </w:p>
    <w:p w:rsidR="007D30CA" w:rsidRDefault="007D30CA" w:rsidP="0017265C">
      <w:pPr>
        <w:pStyle w:val="ESPONText"/>
        <w:spacing w:after="0"/>
      </w:pPr>
      <w:r>
        <w:t>KO</w:t>
      </w:r>
      <w:r>
        <w:tab/>
        <w:t>Kosovo</w:t>
      </w:r>
    </w:p>
    <w:p w:rsidR="005703AA" w:rsidRPr="00694E36" w:rsidRDefault="005703AA" w:rsidP="0017265C">
      <w:pPr>
        <w:pStyle w:val="ESPONText"/>
        <w:spacing w:after="0"/>
        <w:rPr>
          <w:lang w:val="fi-FI"/>
        </w:rPr>
      </w:pPr>
      <w:r w:rsidRPr="00694E36">
        <w:rPr>
          <w:lang w:val="fi-FI"/>
        </w:rPr>
        <w:t>LI</w:t>
      </w:r>
      <w:r w:rsidRPr="00694E36">
        <w:rPr>
          <w:lang w:val="fi-FI"/>
        </w:rPr>
        <w:tab/>
        <w:t>Liechtenstein</w:t>
      </w:r>
    </w:p>
    <w:p w:rsidR="005703AA" w:rsidRPr="00694E36" w:rsidRDefault="005703AA" w:rsidP="0017265C">
      <w:pPr>
        <w:pStyle w:val="ESPONText"/>
        <w:spacing w:after="0"/>
        <w:rPr>
          <w:lang w:val="fi-FI"/>
        </w:rPr>
      </w:pPr>
      <w:r w:rsidRPr="00694E36">
        <w:rPr>
          <w:lang w:val="fi-FI"/>
        </w:rPr>
        <w:t>LT</w:t>
      </w:r>
      <w:r w:rsidRPr="00694E36">
        <w:rPr>
          <w:lang w:val="fi-FI"/>
        </w:rPr>
        <w:tab/>
        <w:t>Lithuania</w:t>
      </w:r>
    </w:p>
    <w:p w:rsidR="005703AA" w:rsidRPr="00694E36" w:rsidRDefault="005703AA" w:rsidP="0017265C">
      <w:pPr>
        <w:pStyle w:val="ESPONText"/>
        <w:spacing w:after="0"/>
        <w:rPr>
          <w:lang w:val="fi-FI"/>
        </w:rPr>
      </w:pPr>
      <w:r w:rsidRPr="00694E36">
        <w:rPr>
          <w:lang w:val="fi-FI"/>
        </w:rPr>
        <w:t>LU</w:t>
      </w:r>
      <w:r w:rsidRPr="00694E36">
        <w:rPr>
          <w:lang w:val="fi-FI"/>
        </w:rPr>
        <w:tab/>
        <w:t>Luxemburg</w:t>
      </w:r>
    </w:p>
    <w:p w:rsidR="005703AA" w:rsidRPr="00694E36" w:rsidRDefault="005703AA" w:rsidP="0017265C">
      <w:pPr>
        <w:pStyle w:val="ESPONText"/>
        <w:spacing w:after="0"/>
        <w:rPr>
          <w:lang w:val="fi-FI"/>
        </w:rPr>
      </w:pPr>
      <w:r w:rsidRPr="00694E36">
        <w:rPr>
          <w:lang w:val="fi-FI"/>
        </w:rPr>
        <w:t>LV</w:t>
      </w:r>
      <w:r w:rsidRPr="00694E36">
        <w:rPr>
          <w:lang w:val="fi-FI"/>
        </w:rPr>
        <w:tab/>
        <w:t>Latvia</w:t>
      </w:r>
    </w:p>
    <w:p w:rsidR="007D30CA" w:rsidRPr="00694E36" w:rsidRDefault="007D30CA" w:rsidP="0017265C">
      <w:pPr>
        <w:pStyle w:val="ESPONText"/>
        <w:spacing w:after="0"/>
        <w:rPr>
          <w:lang w:val="fi-FI"/>
        </w:rPr>
      </w:pPr>
      <w:r w:rsidRPr="00694E36">
        <w:rPr>
          <w:lang w:val="fi-FI"/>
        </w:rPr>
        <w:t>MO</w:t>
      </w:r>
      <w:r w:rsidRPr="00694E36">
        <w:rPr>
          <w:lang w:val="fi-FI"/>
        </w:rPr>
        <w:tab/>
        <w:t>Montenegro</w:t>
      </w:r>
    </w:p>
    <w:p w:rsidR="005703AA" w:rsidRPr="00694E36" w:rsidRDefault="005703AA" w:rsidP="0017265C">
      <w:pPr>
        <w:pStyle w:val="ESPONText"/>
        <w:spacing w:after="0"/>
        <w:rPr>
          <w:lang w:val="fi-FI"/>
        </w:rPr>
      </w:pPr>
      <w:r w:rsidRPr="00694E36">
        <w:rPr>
          <w:lang w:val="fi-FI"/>
        </w:rPr>
        <w:t>MT</w:t>
      </w:r>
      <w:r w:rsidRPr="00694E36">
        <w:rPr>
          <w:lang w:val="fi-FI"/>
        </w:rPr>
        <w:tab/>
        <w:t>Malta</w:t>
      </w:r>
    </w:p>
    <w:p w:rsidR="005703AA" w:rsidRPr="00EF4C9E" w:rsidRDefault="005703AA" w:rsidP="0017265C">
      <w:pPr>
        <w:pStyle w:val="ESPONText"/>
        <w:spacing w:after="0"/>
      </w:pPr>
      <w:r w:rsidRPr="00EF4C9E">
        <w:t>NO</w:t>
      </w:r>
      <w:r w:rsidRPr="00EF4C9E">
        <w:tab/>
        <w:t>Norway</w:t>
      </w:r>
    </w:p>
    <w:p w:rsidR="005703AA" w:rsidRPr="00EF4C9E" w:rsidRDefault="005703AA" w:rsidP="0017265C">
      <w:pPr>
        <w:pStyle w:val="ESPONText"/>
        <w:spacing w:after="0"/>
      </w:pPr>
      <w:r w:rsidRPr="00EF4C9E">
        <w:t>NL</w:t>
      </w:r>
      <w:r w:rsidRPr="00EF4C9E">
        <w:tab/>
        <w:t>Netherlands</w:t>
      </w:r>
    </w:p>
    <w:p w:rsidR="005703AA" w:rsidRPr="00EF4C9E" w:rsidRDefault="005703AA" w:rsidP="0017265C">
      <w:pPr>
        <w:pStyle w:val="ESPONText"/>
        <w:spacing w:after="0"/>
      </w:pPr>
      <w:r w:rsidRPr="00EF4C9E">
        <w:t>PL</w:t>
      </w:r>
      <w:r w:rsidRPr="00EF4C9E">
        <w:tab/>
        <w:t>Poland</w:t>
      </w:r>
    </w:p>
    <w:p w:rsidR="005703AA" w:rsidRPr="00EF4C9E" w:rsidRDefault="005703AA" w:rsidP="0017265C">
      <w:pPr>
        <w:pStyle w:val="ESPONText"/>
        <w:spacing w:after="0"/>
      </w:pPr>
      <w:r w:rsidRPr="00EF4C9E">
        <w:t>PT</w:t>
      </w:r>
      <w:r w:rsidRPr="00EF4C9E">
        <w:tab/>
        <w:t>Portugal</w:t>
      </w:r>
    </w:p>
    <w:p w:rsidR="005703AA" w:rsidRPr="001640B2" w:rsidRDefault="005703AA" w:rsidP="0017265C">
      <w:pPr>
        <w:pStyle w:val="ESPONText"/>
        <w:spacing w:after="0"/>
        <w:rPr>
          <w:lang w:val="sv-SE"/>
        </w:rPr>
      </w:pPr>
      <w:r w:rsidRPr="001640B2">
        <w:rPr>
          <w:lang w:val="sv-SE"/>
        </w:rPr>
        <w:t>RO</w:t>
      </w:r>
      <w:r w:rsidRPr="001640B2">
        <w:rPr>
          <w:lang w:val="sv-SE"/>
        </w:rPr>
        <w:tab/>
        <w:t>Romania</w:t>
      </w:r>
    </w:p>
    <w:p w:rsidR="007D30CA" w:rsidRPr="001640B2" w:rsidRDefault="007D30CA" w:rsidP="0017265C">
      <w:pPr>
        <w:pStyle w:val="ESPONText"/>
        <w:spacing w:after="0"/>
        <w:rPr>
          <w:lang w:val="sv-SE"/>
        </w:rPr>
      </w:pPr>
      <w:r w:rsidRPr="001640B2">
        <w:rPr>
          <w:lang w:val="sv-SE"/>
        </w:rPr>
        <w:t>SB</w:t>
      </w:r>
      <w:r w:rsidRPr="001640B2">
        <w:rPr>
          <w:lang w:val="sv-SE"/>
        </w:rPr>
        <w:tab/>
        <w:t>Serbia</w:t>
      </w:r>
    </w:p>
    <w:p w:rsidR="005703AA" w:rsidRPr="00694E36" w:rsidRDefault="005703AA" w:rsidP="0017265C">
      <w:pPr>
        <w:pStyle w:val="ESPONText"/>
        <w:spacing w:after="0"/>
        <w:rPr>
          <w:lang w:val="fi-FI"/>
        </w:rPr>
      </w:pPr>
      <w:r w:rsidRPr="00694E36">
        <w:rPr>
          <w:lang w:val="fi-FI"/>
        </w:rPr>
        <w:t>SE</w:t>
      </w:r>
      <w:r w:rsidRPr="00694E36">
        <w:rPr>
          <w:lang w:val="fi-FI"/>
        </w:rPr>
        <w:tab/>
        <w:t>Sweden</w:t>
      </w:r>
    </w:p>
    <w:p w:rsidR="005703AA" w:rsidRPr="00694E36" w:rsidRDefault="005703AA" w:rsidP="0017265C">
      <w:pPr>
        <w:pStyle w:val="ESPONText"/>
        <w:spacing w:after="0"/>
        <w:rPr>
          <w:lang w:val="fi-FI"/>
        </w:rPr>
      </w:pPr>
      <w:r w:rsidRPr="00694E36">
        <w:rPr>
          <w:lang w:val="fi-FI"/>
        </w:rPr>
        <w:t>SI</w:t>
      </w:r>
      <w:r w:rsidRPr="00694E36">
        <w:rPr>
          <w:lang w:val="fi-FI"/>
        </w:rPr>
        <w:tab/>
        <w:t>Slovenia</w:t>
      </w:r>
    </w:p>
    <w:p w:rsidR="005703AA" w:rsidRPr="00694E36" w:rsidRDefault="005703AA" w:rsidP="0017265C">
      <w:pPr>
        <w:pStyle w:val="ESPONText"/>
        <w:spacing w:after="0"/>
        <w:rPr>
          <w:lang w:val="fi-FI"/>
        </w:rPr>
      </w:pPr>
      <w:r w:rsidRPr="00694E36">
        <w:rPr>
          <w:lang w:val="fi-FI"/>
        </w:rPr>
        <w:t>SK</w:t>
      </w:r>
      <w:r w:rsidRPr="00694E36">
        <w:rPr>
          <w:lang w:val="fi-FI"/>
        </w:rPr>
        <w:tab/>
        <w:t>Slovakia</w:t>
      </w:r>
    </w:p>
    <w:p w:rsidR="005703AA" w:rsidRPr="00EF4C9E" w:rsidRDefault="005703AA" w:rsidP="0017265C">
      <w:pPr>
        <w:pStyle w:val="ESPONText"/>
        <w:spacing w:after="0"/>
      </w:pPr>
      <w:r w:rsidRPr="00EF4C9E">
        <w:t>TR</w:t>
      </w:r>
      <w:r w:rsidRPr="00EF4C9E">
        <w:tab/>
        <w:t>Turkey</w:t>
      </w:r>
    </w:p>
    <w:p w:rsidR="005703AA" w:rsidRPr="00EF4C9E" w:rsidRDefault="005703AA" w:rsidP="005703AA">
      <w:pPr>
        <w:pStyle w:val="ESPONText"/>
        <w:spacing w:after="0"/>
      </w:pPr>
      <w:r w:rsidRPr="00EF4C9E">
        <w:t>UK</w:t>
      </w:r>
      <w:r w:rsidRPr="00EF4C9E">
        <w:tab/>
        <w:t>United Kingdom</w:t>
      </w:r>
    </w:p>
    <w:p w:rsidR="005703AA" w:rsidRPr="00EF4C9E" w:rsidRDefault="005703AA" w:rsidP="005703AA">
      <w:pPr>
        <w:pStyle w:val="ESPONText"/>
        <w:spacing w:after="0"/>
        <w:sectPr w:rsidR="005703AA" w:rsidRPr="00EF4C9E" w:rsidSect="00164958">
          <w:type w:val="continuous"/>
          <w:pgSz w:w="11906" w:h="16838"/>
          <w:pgMar w:top="1644" w:right="851" w:bottom="1644" w:left="1701" w:header="720" w:footer="720" w:gutter="0"/>
          <w:pgNumType w:fmt="lowerRoman" w:start="1"/>
          <w:cols w:num="2" w:space="720"/>
        </w:sectPr>
      </w:pPr>
    </w:p>
    <w:p w:rsidR="003A0177" w:rsidRPr="00EF4C9E" w:rsidRDefault="003A0177" w:rsidP="00987C7B">
      <w:pPr>
        <w:pStyle w:val="ESPONText"/>
        <w:spacing w:before="240"/>
      </w:pPr>
      <w:r w:rsidRPr="00EF4C9E">
        <w:lastRenderedPageBreak/>
        <w:t xml:space="preserve">The </w:t>
      </w:r>
      <w:proofErr w:type="spellStart"/>
      <w:r w:rsidR="00377F72">
        <w:t>TiPSE</w:t>
      </w:r>
      <w:proofErr w:type="spellEnd"/>
      <w:r w:rsidR="0061373E" w:rsidRPr="00EF4C9E">
        <w:t xml:space="preserve"> research team comprises </w:t>
      </w:r>
      <w:r w:rsidR="00345829">
        <w:t>7</w:t>
      </w:r>
      <w:r w:rsidRPr="00EF4C9E">
        <w:t xml:space="preserve"> partners from </w:t>
      </w:r>
      <w:r w:rsidR="0061373E" w:rsidRPr="00EF4C9E">
        <w:t>5</w:t>
      </w:r>
      <w:r w:rsidRPr="00EF4C9E">
        <w:t xml:space="preserve"> EU Member States:</w:t>
      </w:r>
    </w:p>
    <w:tbl>
      <w:tblPr>
        <w:tblW w:w="9009"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tblPr>
      <w:tblGrid>
        <w:gridCol w:w="539"/>
        <w:gridCol w:w="5635"/>
        <w:gridCol w:w="567"/>
        <w:gridCol w:w="2268"/>
      </w:tblGrid>
      <w:tr w:rsidR="003A0177" w:rsidRPr="00EF4C9E" w:rsidTr="00007B80">
        <w:trPr>
          <w:trHeight w:val="255"/>
        </w:trPr>
        <w:tc>
          <w:tcPr>
            <w:tcW w:w="539"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3A0177" w:rsidRPr="00EF4C9E" w:rsidRDefault="003A0177" w:rsidP="00FD3959">
            <w:pPr>
              <w:spacing w:before="0" w:line="240" w:lineRule="auto"/>
              <w:jc w:val="right"/>
              <w:rPr>
                <w:rFonts w:cs="Arial"/>
                <w:b/>
                <w:bCs/>
                <w:sz w:val="20"/>
                <w:lang w:eastAsia="en-GB"/>
              </w:rPr>
            </w:pPr>
            <w:r w:rsidRPr="00EF4C9E">
              <w:rPr>
                <w:rFonts w:cs="Arial"/>
                <w:b/>
                <w:bCs/>
                <w:sz w:val="20"/>
                <w:lang w:eastAsia="en-GB"/>
              </w:rPr>
              <w:t>No.</w:t>
            </w:r>
          </w:p>
        </w:tc>
        <w:tc>
          <w:tcPr>
            <w:tcW w:w="5635"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3A0177" w:rsidRPr="00EF4C9E" w:rsidRDefault="003A0177" w:rsidP="00FD3959">
            <w:pPr>
              <w:spacing w:before="0" w:line="240" w:lineRule="auto"/>
              <w:jc w:val="left"/>
              <w:rPr>
                <w:rFonts w:cs="Arial"/>
                <w:b/>
                <w:bCs/>
                <w:sz w:val="20"/>
                <w:lang w:eastAsia="en-GB"/>
              </w:rPr>
            </w:pPr>
            <w:r w:rsidRPr="00EF4C9E">
              <w:rPr>
                <w:rFonts w:cs="Arial"/>
                <w:b/>
                <w:bCs/>
                <w:sz w:val="20"/>
                <w:lang w:eastAsia="en-GB"/>
              </w:rPr>
              <w:t>Partner</w:t>
            </w:r>
          </w:p>
        </w:tc>
        <w:tc>
          <w:tcPr>
            <w:tcW w:w="567"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3A0177" w:rsidRPr="00EF4C9E" w:rsidRDefault="003A0177" w:rsidP="00FD3959">
            <w:pPr>
              <w:spacing w:before="0" w:line="240" w:lineRule="auto"/>
              <w:jc w:val="left"/>
              <w:rPr>
                <w:rFonts w:cs="Arial"/>
                <w:b/>
                <w:bCs/>
                <w:sz w:val="20"/>
                <w:lang w:eastAsia="en-GB"/>
              </w:rPr>
            </w:pPr>
            <w:r w:rsidRPr="00EF4C9E">
              <w:rPr>
                <w:rFonts w:cs="Arial"/>
                <w:b/>
                <w:bCs/>
                <w:sz w:val="20"/>
                <w:lang w:eastAsia="en-GB"/>
              </w:rPr>
              <w:t>MS</w:t>
            </w:r>
          </w:p>
        </w:tc>
        <w:tc>
          <w:tcPr>
            <w:tcW w:w="2268" w:type="dxa"/>
            <w:tcBorders>
              <w:top w:val="single" w:sz="4" w:space="0" w:color="auto"/>
              <w:bottom w:val="single" w:sz="4" w:space="0" w:color="auto"/>
            </w:tcBorders>
            <w:tcMar>
              <w:top w:w="0" w:type="dxa"/>
              <w:left w:w="40" w:type="dxa"/>
              <w:bottom w:w="0" w:type="dxa"/>
              <w:right w:w="40" w:type="dxa"/>
            </w:tcMar>
            <w:vAlign w:val="center"/>
          </w:tcPr>
          <w:p w:rsidR="003A0177" w:rsidRPr="00EF4C9E" w:rsidRDefault="003A0177" w:rsidP="00FD3959">
            <w:pPr>
              <w:spacing w:before="0" w:line="240" w:lineRule="auto"/>
              <w:jc w:val="left"/>
              <w:rPr>
                <w:rFonts w:cs="Arial"/>
                <w:b/>
                <w:bCs/>
                <w:sz w:val="20"/>
                <w:lang w:eastAsia="en-GB"/>
              </w:rPr>
            </w:pPr>
            <w:r w:rsidRPr="00EF4C9E">
              <w:rPr>
                <w:rFonts w:cs="Arial"/>
                <w:b/>
                <w:bCs/>
                <w:sz w:val="20"/>
                <w:lang w:eastAsia="en-GB"/>
              </w:rPr>
              <w:t>Principal Researchers</w:t>
            </w:r>
          </w:p>
        </w:tc>
      </w:tr>
      <w:tr w:rsidR="0061373E" w:rsidRPr="00EF4C9E" w:rsidTr="00007B80">
        <w:trPr>
          <w:trHeight w:val="255"/>
        </w:trPr>
        <w:tc>
          <w:tcPr>
            <w:tcW w:w="539" w:type="dxa"/>
            <w:tcBorders>
              <w:top w:val="single" w:sz="4" w:space="0" w:color="auto"/>
            </w:tcBorders>
            <w:shd w:val="clear" w:color="auto" w:fill="auto"/>
            <w:tcMar>
              <w:top w:w="0" w:type="dxa"/>
              <w:left w:w="40" w:type="dxa"/>
              <w:bottom w:w="0" w:type="dxa"/>
              <w:right w:w="40" w:type="dxa"/>
            </w:tcMar>
            <w:vAlign w:val="center"/>
          </w:tcPr>
          <w:p w:rsidR="0061373E" w:rsidRPr="00EF4C9E" w:rsidRDefault="0061373E" w:rsidP="000006F2">
            <w:pPr>
              <w:spacing w:before="0" w:line="240" w:lineRule="auto"/>
              <w:jc w:val="center"/>
              <w:rPr>
                <w:rFonts w:cs="Arial"/>
                <w:color w:val="000000"/>
                <w:sz w:val="20"/>
                <w:lang w:eastAsia="en-GB"/>
              </w:rPr>
            </w:pPr>
            <w:r w:rsidRPr="00EF4C9E">
              <w:rPr>
                <w:rFonts w:cs="Arial"/>
                <w:color w:val="000000"/>
                <w:sz w:val="20"/>
                <w:lang w:eastAsia="en-GB"/>
              </w:rPr>
              <w:t>LP</w:t>
            </w:r>
          </w:p>
        </w:tc>
        <w:tc>
          <w:tcPr>
            <w:tcW w:w="5635" w:type="dxa"/>
            <w:tcBorders>
              <w:top w:val="single" w:sz="4" w:space="0" w:color="auto"/>
            </w:tcBorders>
            <w:shd w:val="clear" w:color="auto" w:fill="auto"/>
            <w:tcMar>
              <w:top w:w="0" w:type="dxa"/>
              <w:left w:w="40" w:type="dxa"/>
              <w:bottom w:w="0" w:type="dxa"/>
              <w:right w:w="40" w:type="dxa"/>
            </w:tcMar>
            <w:vAlign w:val="center"/>
          </w:tcPr>
          <w:p w:rsidR="0061373E" w:rsidRPr="00EF4C9E" w:rsidRDefault="0061373E" w:rsidP="000006F2">
            <w:pPr>
              <w:spacing w:before="0" w:line="240" w:lineRule="auto"/>
              <w:jc w:val="left"/>
              <w:rPr>
                <w:rFonts w:cs="Arial"/>
                <w:color w:val="000000"/>
                <w:sz w:val="20"/>
                <w:lang w:eastAsia="en-GB"/>
              </w:rPr>
            </w:pPr>
            <w:proofErr w:type="spellStart"/>
            <w:r w:rsidRPr="00EF4C9E">
              <w:rPr>
                <w:rFonts w:cs="Arial"/>
                <w:color w:val="000000"/>
                <w:sz w:val="20"/>
                <w:lang w:eastAsia="en-GB"/>
              </w:rPr>
              <w:t>Nordregio</w:t>
            </w:r>
            <w:proofErr w:type="spellEnd"/>
            <w:r w:rsidRPr="00EF4C9E">
              <w:rPr>
                <w:rFonts w:cs="Arial"/>
                <w:color w:val="000000"/>
                <w:sz w:val="20"/>
                <w:lang w:eastAsia="en-GB"/>
              </w:rPr>
              <w:t xml:space="preserve"> - Nordic Centre for Spatial Development</w:t>
            </w:r>
          </w:p>
        </w:tc>
        <w:tc>
          <w:tcPr>
            <w:tcW w:w="567" w:type="dxa"/>
            <w:tcBorders>
              <w:top w:val="single" w:sz="4" w:space="0" w:color="auto"/>
            </w:tcBorders>
            <w:shd w:val="clear" w:color="auto" w:fill="auto"/>
            <w:noWrap/>
            <w:tcMar>
              <w:top w:w="0" w:type="dxa"/>
              <w:left w:w="40" w:type="dxa"/>
              <w:bottom w:w="0" w:type="dxa"/>
              <w:right w:w="40" w:type="dxa"/>
            </w:tcMar>
            <w:vAlign w:val="center"/>
          </w:tcPr>
          <w:p w:rsidR="0061373E" w:rsidRPr="00EF4C9E" w:rsidRDefault="0061373E" w:rsidP="000006F2">
            <w:pPr>
              <w:spacing w:before="0" w:line="240" w:lineRule="auto"/>
              <w:jc w:val="left"/>
              <w:rPr>
                <w:rFonts w:cs="Arial"/>
                <w:sz w:val="20"/>
                <w:lang w:eastAsia="en-GB"/>
              </w:rPr>
            </w:pPr>
            <w:r w:rsidRPr="00EF4C9E">
              <w:rPr>
                <w:rFonts w:cs="Arial"/>
                <w:sz w:val="20"/>
                <w:lang w:eastAsia="en-GB"/>
              </w:rPr>
              <w:t>SE</w:t>
            </w:r>
          </w:p>
        </w:tc>
        <w:tc>
          <w:tcPr>
            <w:tcW w:w="2268" w:type="dxa"/>
            <w:tcBorders>
              <w:top w:val="single" w:sz="4" w:space="0" w:color="auto"/>
            </w:tcBorders>
            <w:tcMar>
              <w:top w:w="0" w:type="dxa"/>
              <w:left w:w="40" w:type="dxa"/>
              <w:bottom w:w="0" w:type="dxa"/>
              <w:right w:w="40" w:type="dxa"/>
            </w:tcMar>
            <w:vAlign w:val="center"/>
          </w:tcPr>
          <w:p w:rsidR="0061373E" w:rsidRPr="00EF4C9E" w:rsidRDefault="0061373E" w:rsidP="000006F2">
            <w:pPr>
              <w:spacing w:before="0" w:line="240" w:lineRule="auto"/>
              <w:jc w:val="left"/>
              <w:rPr>
                <w:rFonts w:cs="Arial"/>
                <w:sz w:val="20"/>
                <w:lang w:eastAsia="en-GB"/>
              </w:rPr>
            </w:pPr>
            <w:r w:rsidRPr="00EF4C9E">
              <w:rPr>
                <w:rFonts w:cs="Arial"/>
                <w:sz w:val="20"/>
                <w:lang w:eastAsia="en-GB"/>
              </w:rPr>
              <w:t>Petri Kahila</w:t>
            </w:r>
          </w:p>
        </w:tc>
      </w:tr>
      <w:tr w:rsidR="0061373E" w:rsidRPr="00EF4C9E" w:rsidTr="00007B80">
        <w:trPr>
          <w:trHeight w:val="255"/>
        </w:trPr>
        <w:tc>
          <w:tcPr>
            <w:tcW w:w="539" w:type="dxa"/>
            <w:shd w:val="clear" w:color="auto" w:fill="auto"/>
            <w:tcMar>
              <w:top w:w="0" w:type="dxa"/>
              <w:left w:w="40" w:type="dxa"/>
              <w:bottom w:w="0" w:type="dxa"/>
              <w:right w:w="40" w:type="dxa"/>
            </w:tcMar>
            <w:vAlign w:val="center"/>
          </w:tcPr>
          <w:p w:rsidR="0061373E" w:rsidRPr="00EF4C9E" w:rsidRDefault="0061373E" w:rsidP="000006F2">
            <w:pPr>
              <w:spacing w:before="0" w:line="240" w:lineRule="auto"/>
              <w:jc w:val="center"/>
              <w:rPr>
                <w:rFonts w:cs="Arial"/>
                <w:bCs/>
                <w:color w:val="000000"/>
                <w:sz w:val="20"/>
                <w:lang w:eastAsia="en-GB"/>
              </w:rPr>
            </w:pPr>
            <w:r w:rsidRPr="00EF4C9E">
              <w:rPr>
                <w:rFonts w:cs="Arial"/>
                <w:bCs/>
                <w:color w:val="000000"/>
                <w:sz w:val="20"/>
                <w:lang w:eastAsia="en-GB"/>
              </w:rPr>
              <w:t>2</w:t>
            </w:r>
          </w:p>
        </w:tc>
        <w:tc>
          <w:tcPr>
            <w:tcW w:w="5635" w:type="dxa"/>
            <w:shd w:val="clear" w:color="auto" w:fill="auto"/>
            <w:tcMar>
              <w:top w:w="0" w:type="dxa"/>
              <w:left w:w="40" w:type="dxa"/>
              <w:bottom w:w="0" w:type="dxa"/>
              <w:right w:w="40" w:type="dxa"/>
            </w:tcMar>
            <w:vAlign w:val="center"/>
          </w:tcPr>
          <w:p w:rsidR="0061373E" w:rsidRPr="00EF4C9E" w:rsidRDefault="0061373E" w:rsidP="000006F2">
            <w:pPr>
              <w:spacing w:before="0" w:line="240" w:lineRule="auto"/>
              <w:jc w:val="left"/>
              <w:rPr>
                <w:rFonts w:cs="Arial"/>
                <w:bCs/>
                <w:color w:val="000000"/>
                <w:sz w:val="20"/>
                <w:lang w:eastAsia="en-GB"/>
              </w:rPr>
            </w:pPr>
            <w:r w:rsidRPr="00EF4C9E">
              <w:rPr>
                <w:rFonts w:cs="Arial"/>
                <w:bCs/>
                <w:color w:val="000000"/>
                <w:sz w:val="20"/>
                <w:lang w:eastAsia="en-GB"/>
              </w:rPr>
              <w:t>UHI Millennium Institute</w:t>
            </w:r>
          </w:p>
        </w:tc>
        <w:tc>
          <w:tcPr>
            <w:tcW w:w="567" w:type="dxa"/>
            <w:shd w:val="clear" w:color="auto" w:fill="auto"/>
            <w:noWrap/>
            <w:tcMar>
              <w:top w:w="0" w:type="dxa"/>
              <w:left w:w="40" w:type="dxa"/>
              <w:bottom w:w="0" w:type="dxa"/>
              <w:right w:w="40" w:type="dxa"/>
            </w:tcMar>
            <w:vAlign w:val="center"/>
          </w:tcPr>
          <w:p w:rsidR="0061373E" w:rsidRPr="00EF4C9E" w:rsidRDefault="0061373E" w:rsidP="000006F2">
            <w:pPr>
              <w:spacing w:before="0" w:line="240" w:lineRule="auto"/>
              <w:jc w:val="left"/>
              <w:rPr>
                <w:rFonts w:cs="Arial"/>
                <w:bCs/>
                <w:sz w:val="20"/>
                <w:lang w:eastAsia="en-GB"/>
              </w:rPr>
            </w:pPr>
            <w:r w:rsidRPr="00EF4C9E">
              <w:rPr>
                <w:rFonts w:cs="Arial"/>
                <w:bCs/>
                <w:sz w:val="20"/>
                <w:lang w:eastAsia="en-GB"/>
              </w:rPr>
              <w:t>UK</w:t>
            </w:r>
          </w:p>
        </w:tc>
        <w:tc>
          <w:tcPr>
            <w:tcW w:w="2268" w:type="dxa"/>
            <w:tcMar>
              <w:top w:w="0" w:type="dxa"/>
              <w:left w:w="40" w:type="dxa"/>
              <w:bottom w:w="0" w:type="dxa"/>
              <w:right w:w="40" w:type="dxa"/>
            </w:tcMar>
            <w:vAlign w:val="center"/>
          </w:tcPr>
          <w:p w:rsidR="0061373E" w:rsidRPr="00EF4C9E" w:rsidRDefault="00F817A8" w:rsidP="000006F2">
            <w:pPr>
              <w:spacing w:before="0" w:line="240" w:lineRule="auto"/>
              <w:jc w:val="left"/>
              <w:rPr>
                <w:rFonts w:cs="Arial"/>
                <w:bCs/>
                <w:sz w:val="20"/>
                <w:lang w:eastAsia="en-GB"/>
              </w:rPr>
            </w:pPr>
            <w:r>
              <w:rPr>
                <w:rFonts w:cs="Arial"/>
                <w:bCs/>
                <w:sz w:val="20"/>
                <w:lang w:eastAsia="en-GB"/>
              </w:rPr>
              <w:t>Philomena de Lima</w:t>
            </w:r>
          </w:p>
        </w:tc>
      </w:tr>
      <w:tr w:rsidR="0061373E" w:rsidRPr="00EF4C9E" w:rsidTr="00007B80">
        <w:trPr>
          <w:trHeight w:val="285"/>
        </w:trPr>
        <w:tc>
          <w:tcPr>
            <w:tcW w:w="539" w:type="dxa"/>
            <w:shd w:val="clear" w:color="auto" w:fill="auto"/>
            <w:tcMar>
              <w:top w:w="0" w:type="dxa"/>
              <w:left w:w="40" w:type="dxa"/>
              <w:bottom w:w="0" w:type="dxa"/>
              <w:right w:w="40" w:type="dxa"/>
            </w:tcMar>
            <w:vAlign w:val="center"/>
          </w:tcPr>
          <w:p w:rsidR="0061373E" w:rsidRPr="00EF4C9E" w:rsidRDefault="0061373E" w:rsidP="000006F2">
            <w:pPr>
              <w:spacing w:before="0" w:line="240" w:lineRule="auto"/>
              <w:jc w:val="center"/>
              <w:rPr>
                <w:rFonts w:cs="Arial"/>
                <w:color w:val="000000"/>
                <w:sz w:val="20"/>
                <w:lang w:eastAsia="en-GB"/>
              </w:rPr>
            </w:pPr>
            <w:r w:rsidRPr="00EF4C9E">
              <w:rPr>
                <w:rFonts w:cs="Arial"/>
                <w:color w:val="000000"/>
                <w:sz w:val="20"/>
                <w:lang w:eastAsia="en-GB"/>
              </w:rPr>
              <w:t>3</w:t>
            </w:r>
          </w:p>
        </w:tc>
        <w:tc>
          <w:tcPr>
            <w:tcW w:w="5635" w:type="dxa"/>
            <w:shd w:val="clear" w:color="auto" w:fill="auto"/>
            <w:tcMar>
              <w:top w:w="0" w:type="dxa"/>
              <w:left w:w="40" w:type="dxa"/>
              <w:bottom w:w="0" w:type="dxa"/>
              <w:right w:w="40" w:type="dxa"/>
            </w:tcMar>
            <w:vAlign w:val="center"/>
          </w:tcPr>
          <w:p w:rsidR="0061373E" w:rsidRPr="00EF4C9E" w:rsidRDefault="0061373E" w:rsidP="000006F2">
            <w:pPr>
              <w:spacing w:before="0" w:line="240" w:lineRule="auto"/>
              <w:jc w:val="left"/>
              <w:rPr>
                <w:rFonts w:cs="Arial"/>
                <w:color w:val="000000"/>
                <w:sz w:val="20"/>
                <w:lang w:eastAsia="en-GB"/>
              </w:rPr>
            </w:pPr>
            <w:r w:rsidRPr="00EF4C9E">
              <w:rPr>
                <w:rFonts w:cs="Arial"/>
                <w:color w:val="000000"/>
                <w:sz w:val="20"/>
                <w:lang w:eastAsia="en-GB"/>
              </w:rPr>
              <w:t>Newcastle University</w:t>
            </w:r>
          </w:p>
        </w:tc>
        <w:tc>
          <w:tcPr>
            <w:tcW w:w="567" w:type="dxa"/>
            <w:shd w:val="clear" w:color="auto" w:fill="auto"/>
            <w:noWrap/>
            <w:tcMar>
              <w:top w:w="0" w:type="dxa"/>
              <w:left w:w="40" w:type="dxa"/>
              <w:bottom w:w="0" w:type="dxa"/>
              <w:right w:w="40" w:type="dxa"/>
            </w:tcMar>
            <w:vAlign w:val="center"/>
          </w:tcPr>
          <w:p w:rsidR="0061373E" w:rsidRPr="00EF4C9E" w:rsidRDefault="0061373E" w:rsidP="000006F2">
            <w:pPr>
              <w:spacing w:before="0" w:line="240" w:lineRule="auto"/>
              <w:jc w:val="left"/>
              <w:rPr>
                <w:rFonts w:cs="Arial"/>
                <w:sz w:val="20"/>
                <w:lang w:eastAsia="en-GB"/>
              </w:rPr>
            </w:pPr>
            <w:r w:rsidRPr="00EF4C9E">
              <w:rPr>
                <w:rFonts w:cs="Arial"/>
                <w:sz w:val="20"/>
                <w:lang w:eastAsia="en-GB"/>
              </w:rPr>
              <w:t>UK</w:t>
            </w:r>
          </w:p>
        </w:tc>
        <w:tc>
          <w:tcPr>
            <w:tcW w:w="2268" w:type="dxa"/>
            <w:tcMar>
              <w:top w:w="0" w:type="dxa"/>
              <w:left w:w="40" w:type="dxa"/>
              <w:bottom w:w="0" w:type="dxa"/>
              <w:right w:w="40" w:type="dxa"/>
            </w:tcMar>
            <w:vAlign w:val="center"/>
          </w:tcPr>
          <w:p w:rsidR="0061373E" w:rsidRPr="00EF4C9E" w:rsidRDefault="0061373E" w:rsidP="0061373E">
            <w:pPr>
              <w:spacing w:before="0" w:line="240" w:lineRule="auto"/>
              <w:jc w:val="left"/>
              <w:rPr>
                <w:rFonts w:cs="Arial"/>
                <w:sz w:val="20"/>
                <w:lang w:eastAsia="en-GB"/>
              </w:rPr>
            </w:pPr>
            <w:r w:rsidRPr="00EF4C9E">
              <w:rPr>
                <w:rFonts w:cs="Arial"/>
                <w:sz w:val="20"/>
                <w:lang w:eastAsia="en-GB"/>
              </w:rPr>
              <w:t xml:space="preserve">Mark </w:t>
            </w:r>
            <w:proofErr w:type="spellStart"/>
            <w:r w:rsidRPr="00EF4C9E">
              <w:rPr>
                <w:rFonts w:cs="Arial"/>
                <w:sz w:val="20"/>
                <w:lang w:eastAsia="en-GB"/>
              </w:rPr>
              <w:t>Shucksmith</w:t>
            </w:r>
            <w:proofErr w:type="spellEnd"/>
          </w:p>
        </w:tc>
      </w:tr>
      <w:tr w:rsidR="0061373E" w:rsidRPr="00EF4C9E" w:rsidTr="00007B80">
        <w:trPr>
          <w:trHeight w:val="255"/>
        </w:trPr>
        <w:tc>
          <w:tcPr>
            <w:tcW w:w="539" w:type="dxa"/>
            <w:shd w:val="clear" w:color="auto" w:fill="auto"/>
            <w:tcMar>
              <w:top w:w="0" w:type="dxa"/>
              <w:left w:w="40" w:type="dxa"/>
              <w:bottom w:w="0" w:type="dxa"/>
              <w:right w:w="40" w:type="dxa"/>
            </w:tcMar>
            <w:vAlign w:val="center"/>
          </w:tcPr>
          <w:p w:rsidR="0061373E" w:rsidRPr="00EF4C9E" w:rsidRDefault="0061373E" w:rsidP="000006F2">
            <w:pPr>
              <w:spacing w:before="0" w:line="240" w:lineRule="auto"/>
              <w:jc w:val="center"/>
              <w:rPr>
                <w:rFonts w:cs="Arial"/>
                <w:color w:val="000000"/>
                <w:sz w:val="20"/>
                <w:lang w:eastAsia="en-GB"/>
              </w:rPr>
            </w:pPr>
            <w:r w:rsidRPr="00EF4C9E">
              <w:rPr>
                <w:rFonts w:cs="Arial"/>
                <w:color w:val="000000"/>
                <w:sz w:val="20"/>
                <w:lang w:eastAsia="en-GB"/>
              </w:rPr>
              <w:t>4</w:t>
            </w:r>
          </w:p>
        </w:tc>
        <w:tc>
          <w:tcPr>
            <w:tcW w:w="5635" w:type="dxa"/>
            <w:shd w:val="clear" w:color="auto" w:fill="auto"/>
            <w:tcMar>
              <w:top w:w="0" w:type="dxa"/>
              <w:left w:w="40" w:type="dxa"/>
              <w:bottom w:w="0" w:type="dxa"/>
              <w:right w:w="40" w:type="dxa"/>
            </w:tcMar>
            <w:vAlign w:val="center"/>
          </w:tcPr>
          <w:p w:rsidR="0061373E" w:rsidRPr="00EF4C9E" w:rsidRDefault="0061373E" w:rsidP="000006F2">
            <w:pPr>
              <w:spacing w:before="0" w:line="240" w:lineRule="auto"/>
              <w:jc w:val="left"/>
              <w:rPr>
                <w:rFonts w:cs="Arial"/>
                <w:color w:val="000000"/>
                <w:sz w:val="20"/>
                <w:lang w:eastAsia="en-GB"/>
              </w:rPr>
            </w:pPr>
            <w:r w:rsidRPr="00EF4C9E">
              <w:rPr>
                <w:rFonts w:cs="Arial"/>
                <w:color w:val="000000"/>
                <w:sz w:val="20"/>
                <w:lang w:eastAsia="en-GB"/>
              </w:rPr>
              <w:t>Institute of Economics Hungarian Academy of Sciences</w:t>
            </w:r>
          </w:p>
        </w:tc>
        <w:tc>
          <w:tcPr>
            <w:tcW w:w="567" w:type="dxa"/>
            <w:shd w:val="clear" w:color="auto" w:fill="auto"/>
            <w:noWrap/>
            <w:tcMar>
              <w:top w:w="0" w:type="dxa"/>
              <w:left w:w="40" w:type="dxa"/>
              <w:bottom w:w="0" w:type="dxa"/>
              <w:right w:w="40" w:type="dxa"/>
            </w:tcMar>
            <w:vAlign w:val="center"/>
          </w:tcPr>
          <w:p w:rsidR="0061373E" w:rsidRPr="00EF4C9E" w:rsidRDefault="0061373E" w:rsidP="000006F2">
            <w:pPr>
              <w:spacing w:before="0" w:line="240" w:lineRule="auto"/>
              <w:jc w:val="left"/>
              <w:rPr>
                <w:rFonts w:cs="Arial"/>
                <w:sz w:val="20"/>
                <w:lang w:eastAsia="en-GB"/>
              </w:rPr>
            </w:pPr>
            <w:r w:rsidRPr="00EF4C9E">
              <w:rPr>
                <w:rFonts w:cs="Arial"/>
                <w:sz w:val="20"/>
                <w:lang w:eastAsia="en-GB"/>
              </w:rPr>
              <w:t>HU</w:t>
            </w:r>
          </w:p>
        </w:tc>
        <w:tc>
          <w:tcPr>
            <w:tcW w:w="2268" w:type="dxa"/>
            <w:tcMar>
              <w:top w:w="0" w:type="dxa"/>
              <w:left w:w="40" w:type="dxa"/>
              <w:bottom w:w="0" w:type="dxa"/>
              <w:right w:w="40" w:type="dxa"/>
            </w:tcMar>
            <w:vAlign w:val="center"/>
          </w:tcPr>
          <w:p w:rsidR="0061373E" w:rsidRPr="00EF4C9E" w:rsidRDefault="0061373E" w:rsidP="00007B80">
            <w:pPr>
              <w:spacing w:before="0" w:line="240" w:lineRule="auto"/>
              <w:jc w:val="left"/>
              <w:rPr>
                <w:rFonts w:cs="Arial"/>
                <w:sz w:val="20"/>
                <w:lang w:eastAsia="en-GB"/>
              </w:rPr>
            </w:pPr>
            <w:proofErr w:type="spellStart"/>
            <w:r w:rsidRPr="00EF4C9E">
              <w:rPr>
                <w:rFonts w:cs="Arial"/>
                <w:sz w:val="20"/>
                <w:lang w:eastAsia="en-GB"/>
              </w:rPr>
              <w:t>Katalin</w:t>
            </w:r>
            <w:proofErr w:type="spellEnd"/>
            <w:r w:rsidRPr="00EF4C9E">
              <w:rPr>
                <w:rFonts w:cs="Arial"/>
                <w:sz w:val="20"/>
                <w:lang w:eastAsia="en-GB"/>
              </w:rPr>
              <w:t xml:space="preserve"> </w:t>
            </w:r>
            <w:proofErr w:type="spellStart"/>
            <w:r w:rsidRPr="00EF4C9E">
              <w:rPr>
                <w:rFonts w:cs="Arial"/>
                <w:sz w:val="20"/>
                <w:lang w:eastAsia="en-GB"/>
              </w:rPr>
              <w:t>Kovác</w:t>
            </w:r>
            <w:r w:rsidR="00007B80" w:rsidRPr="00EF4C9E">
              <w:rPr>
                <w:rFonts w:cs="Arial"/>
                <w:sz w:val="20"/>
                <w:lang w:eastAsia="en-GB"/>
              </w:rPr>
              <w:t>s</w:t>
            </w:r>
            <w:proofErr w:type="spellEnd"/>
          </w:p>
        </w:tc>
      </w:tr>
      <w:tr w:rsidR="0061373E" w:rsidRPr="00EF4C9E" w:rsidTr="00007B80">
        <w:trPr>
          <w:trHeight w:val="255"/>
        </w:trPr>
        <w:tc>
          <w:tcPr>
            <w:tcW w:w="539" w:type="dxa"/>
            <w:shd w:val="clear" w:color="auto" w:fill="auto"/>
            <w:tcMar>
              <w:top w:w="0" w:type="dxa"/>
              <w:left w:w="40" w:type="dxa"/>
              <w:bottom w:w="0" w:type="dxa"/>
              <w:right w:w="40" w:type="dxa"/>
            </w:tcMar>
            <w:vAlign w:val="center"/>
          </w:tcPr>
          <w:p w:rsidR="0061373E" w:rsidRPr="00EF4C9E" w:rsidRDefault="0061373E" w:rsidP="00FD3959">
            <w:pPr>
              <w:spacing w:before="0" w:line="240" w:lineRule="auto"/>
              <w:jc w:val="center"/>
              <w:rPr>
                <w:rFonts w:cs="Arial"/>
                <w:color w:val="000000"/>
                <w:sz w:val="20"/>
                <w:lang w:eastAsia="en-GB"/>
              </w:rPr>
            </w:pPr>
            <w:r w:rsidRPr="00EF4C9E">
              <w:rPr>
                <w:rFonts w:cs="Arial"/>
                <w:color w:val="000000"/>
                <w:sz w:val="20"/>
                <w:lang w:eastAsia="en-GB"/>
              </w:rPr>
              <w:t>5</w:t>
            </w:r>
          </w:p>
        </w:tc>
        <w:tc>
          <w:tcPr>
            <w:tcW w:w="5635" w:type="dxa"/>
            <w:shd w:val="clear" w:color="auto" w:fill="auto"/>
            <w:tcMar>
              <w:top w:w="0" w:type="dxa"/>
              <w:left w:w="40" w:type="dxa"/>
              <w:bottom w:w="0" w:type="dxa"/>
              <w:right w:w="40" w:type="dxa"/>
            </w:tcMar>
            <w:vAlign w:val="center"/>
          </w:tcPr>
          <w:p w:rsidR="0061373E" w:rsidRPr="00EF4C9E" w:rsidRDefault="0061373E" w:rsidP="00FD3959">
            <w:pPr>
              <w:spacing w:before="0" w:line="240" w:lineRule="auto"/>
              <w:jc w:val="left"/>
              <w:rPr>
                <w:rFonts w:cs="Arial"/>
                <w:color w:val="000000"/>
                <w:sz w:val="20"/>
                <w:lang w:eastAsia="en-GB"/>
              </w:rPr>
            </w:pPr>
            <w:r w:rsidRPr="00EF4C9E">
              <w:rPr>
                <w:rFonts w:cs="Arial"/>
                <w:color w:val="000000"/>
                <w:sz w:val="20"/>
                <w:lang w:eastAsia="en-GB"/>
              </w:rPr>
              <w:t>ILS - Research Institute for Regional and Urban Development</w:t>
            </w:r>
          </w:p>
        </w:tc>
        <w:tc>
          <w:tcPr>
            <w:tcW w:w="567" w:type="dxa"/>
            <w:shd w:val="clear" w:color="auto" w:fill="auto"/>
            <w:noWrap/>
            <w:tcMar>
              <w:top w:w="0" w:type="dxa"/>
              <w:left w:w="40" w:type="dxa"/>
              <w:bottom w:w="0" w:type="dxa"/>
              <w:right w:w="40" w:type="dxa"/>
            </w:tcMar>
            <w:vAlign w:val="center"/>
          </w:tcPr>
          <w:p w:rsidR="0061373E" w:rsidRPr="00EF4C9E" w:rsidRDefault="0061373E" w:rsidP="00FD3959">
            <w:pPr>
              <w:spacing w:before="0" w:line="240" w:lineRule="auto"/>
              <w:jc w:val="left"/>
              <w:rPr>
                <w:rFonts w:cs="Arial"/>
                <w:sz w:val="20"/>
                <w:lang w:eastAsia="en-GB"/>
              </w:rPr>
            </w:pPr>
            <w:r w:rsidRPr="00EF4C9E">
              <w:rPr>
                <w:rFonts w:cs="Arial"/>
                <w:sz w:val="20"/>
                <w:lang w:eastAsia="en-GB"/>
              </w:rPr>
              <w:t>DE</w:t>
            </w:r>
          </w:p>
        </w:tc>
        <w:tc>
          <w:tcPr>
            <w:tcW w:w="2268" w:type="dxa"/>
            <w:tcMar>
              <w:top w:w="0" w:type="dxa"/>
              <w:left w:w="40" w:type="dxa"/>
              <w:bottom w:w="0" w:type="dxa"/>
              <w:right w:w="40" w:type="dxa"/>
            </w:tcMar>
            <w:vAlign w:val="center"/>
          </w:tcPr>
          <w:p w:rsidR="0061373E" w:rsidRPr="00EF4C9E" w:rsidRDefault="0061373E" w:rsidP="00FD3959">
            <w:pPr>
              <w:spacing w:before="0" w:line="240" w:lineRule="auto"/>
              <w:jc w:val="left"/>
              <w:rPr>
                <w:rFonts w:cs="Arial"/>
                <w:sz w:val="20"/>
                <w:lang w:eastAsia="en-GB"/>
              </w:rPr>
            </w:pPr>
            <w:r w:rsidRPr="00EF4C9E">
              <w:rPr>
                <w:rFonts w:cs="Arial"/>
                <w:sz w:val="20"/>
                <w:lang w:eastAsia="en-GB"/>
              </w:rPr>
              <w:t>Sabine Weck</w:t>
            </w:r>
          </w:p>
        </w:tc>
      </w:tr>
      <w:tr w:rsidR="0061373E" w:rsidRPr="00EF4C9E" w:rsidTr="00007B80">
        <w:trPr>
          <w:trHeight w:val="285"/>
        </w:trPr>
        <w:tc>
          <w:tcPr>
            <w:tcW w:w="539" w:type="dxa"/>
            <w:shd w:val="clear" w:color="auto" w:fill="auto"/>
            <w:tcMar>
              <w:top w:w="0" w:type="dxa"/>
              <w:left w:w="40" w:type="dxa"/>
              <w:bottom w:w="0" w:type="dxa"/>
              <w:right w:w="40" w:type="dxa"/>
            </w:tcMar>
            <w:vAlign w:val="center"/>
          </w:tcPr>
          <w:p w:rsidR="0061373E" w:rsidRPr="00EF4C9E" w:rsidRDefault="0061373E" w:rsidP="00FD3959">
            <w:pPr>
              <w:spacing w:before="0" w:line="240" w:lineRule="auto"/>
              <w:jc w:val="center"/>
              <w:rPr>
                <w:rFonts w:cs="Arial"/>
                <w:color w:val="000000"/>
                <w:sz w:val="20"/>
                <w:lang w:eastAsia="en-GB"/>
              </w:rPr>
            </w:pPr>
            <w:r w:rsidRPr="00EF4C9E">
              <w:rPr>
                <w:rFonts w:cs="Arial"/>
                <w:color w:val="000000"/>
                <w:sz w:val="20"/>
                <w:lang w:eastAsia="en-GB"/>
              </w:rPr>
              <w:t>6</w:t>
            </w:r>
          </w:p>
        </w:tc>
        <w:tc>
          <w:tcPr>
            <w:tcW w:w="5635" w:type="dxa"/>
            <w:shd w:val="clear" w:color="auto" w:fill="auto"/>
            <w:tcMar>
              <w:top w:w="0" w:type="dxa"/>
              <w:left w:w="40" w:type="dxa"/>
              <w:bottom w:w="0" w:type="dxa"/>
              <w:right w:w="40" w:type="dxa"/>
            </w:tcMar>
            <w:vAlign w:val="center"/>
          </w:tcPr>
          <w:p w:rsidR="0061373E" w:rsidRPr="00201079" w:rsidRDefault="0061373E" w:rsidP="0061373E">
            <w:pPr>
              <w:spacing w:before="0" w:line="240" w:lineRule="auto"/>
              <w:jc w:val="left"/>
              <w:rPr>
                <w:rFonts w:cs="Arial"/>
                <w:color w:val="000000"/>
                <w:sz w:val="20"/>
                <w:lang w:eastAsia="en-GB"/>
              </w:rPr>
            </w:pPr>
            <w:r w:rsidRPr="00201079">
              <w:rPr>
                <w:rFonts w:cs="Arial"/>
                <w:color w:val="000000"/>
                <w:sz w:val="20"/>
                <w:lang w:eastAsia="en-GB"/>
              </w:rPr>
              <w:t xml:space="preserve">EKKE - </w:t>
            </w:r>
            <w:r w:rsidRPr="00201079">
              <w:rPr>
                <w:rFonts w:cs="Arial"/>
                <w:sz w:val="20"/>
              </w:rPr>
              <w:t>National Centre for Social Research</w:t>
            </w:r>
          </w:p>
        </w:tc>
        <w:tc>
          <w:tcPr>
            <w:tcW w:w="567" w:type="dxa"/>
            <w:shd w:val="clear" w:color="auto" w:fill="auto"/>
            <w:noWrap/>
            <w:tcMar>
              <w:top w:w="0" w:type="dxa"/>
              <w:left w:w="40" w:type="dxa"/>
              <w:bottom w:w="0" w:type="dxa"/>
              <w:right w:w="40" w:type="dxa"/>
            </w:tcMar>
            <w:vAlign w:val="center"/>
          </w:tcPr>
          <w:p w:rsidR="0061373E" w:rsidRPr="00201079" w:rsidRDefault="0061373E" w:rsidP="00FD3959">
            <w:pPr>
              <w:spacing w:before="0" w:line="240" w:lineRule="auto"/>
              <w:jc w:val="left"/>
              <w:rPr>
                <w:rFonts w:cs="Arial"/>
                <w:sz w:val="20"/>
                <w:lang w:eastAsia="en-GB"/>
              </w:rPr>
            </w:pPr>
            <w:r w:rsidRPr="00201079">
              <w:rPr>
                <w:rFonts w:cs="Arial"/>
                <w:sz w:val="20"/>
                <w:lang w:eastAsia="en-GB"/>
              </w:rPr>
              <w:t>EL</w:t>
            </w:r>
          </w:p>
        </w:tc>
        <w:tc>
          <w:tcPr>
            <w:tcW w:w="2268" w:type="dxa"/>
            <w:tcMar>
              <w:top w:w="0" w:type="dxa"/>
              <w:left w:w="40" w:type="dxa"/>
              <w:bottom w:w="0" w:type="dxa"/>
              <w:right w:w="40" w:type="dxa"/>
            </w:tcMar>
            <w:vAlign w:val="center"/>
          </w:tcPr>
          <w:p w:rsidR="0061373E" w:rsidRPr="00201079" w:rsidRDefault="0061373E" w:rsidP="00FD3959">
            <w:pPr>
              <w:spacing w:before="0" w:line="240" w:lineRule="auto"/>
              <w:jc w:val="left"/>
              <w:rPr>
                <w:rFonts w:cs="Arial"/>
                <w:sz w:val="20"/>
                <w:lang w:eastAsia="en-GB"/>
              </w:rPr>
            </w:pPr>
            <w:r w:rsidRPr="00201079">
              <w:rPr>
                <w:rFonts w:cs="Arial"/>
                <w:sz w:val="20"/>
                <w:lang w:eastAsia="en-GB"/>
              </w:rPr>
              <w:t xml:space="preserve">Thomas </w:t>
            </w:r>
            <w:proofErr w:type="spellStart"/>
            <w:r w:rsidRPr="00201079">
              <w:rPr>
                <w:rFonts w:cs="Arial"/>
                <w:sz w:val="20"/>
                <w:lang w:eastAsia="en-GB"/>
              </w:rPr>
              <w:t>Maloutas</w:t>
            </w:r>
            <w:proofErr w:type="spellEnd"/>
          </w:p>
        </w:tc>
      </w:tr>
      <w:tr w:rsidR="00F817A8" w:rsidRPr="00EF4C9E" w:rsidTr="00007B80">
        <w:trPr>
          <w:trHeight w:val="285"/>
        </w:trPr>
        <w:tc>
          <w:tcPr>
            <w:tcW w:w="539" w:type="dxa"/>
            <w:shd w:val="clear" w:color="auto" w:fill="auto"/>
            <w:tcMar>
              <w:top w:w="0" w:type="dxa"/>
              <w:left w:w="40" w:type="dxa"/>
              <w:bottom w:w="0" w:type="dxa"/>
              <w:right w:w="40" w:type="dxa"/>
            </w:tcMar>
            <w:vAlign w:val="center"/>
          </w:tcPr>
          <w:p w:rsidR="00F817A8" w:rsidRPr="00EF4C9E" w:rsidRDefault="00F817A8" w:rsidP="00FD3959">
            <w:pPr>
              <w:spacing w:before="0" w:line="240" w:lineRule="auto"/>
              <w:jc w:val="center"/>
              <w:rPr>
                <w:rFonts w:cs="Arial"/>
                <w:color w:val="000000"/>
                <w:sz w:val="20"/>
                <w:lang w:eastAsia="en-GB"/>
              </w:rPr>
            </w:pPr>
            <w:r>
              <w:rPr>
                <w:rFonts w:cs="Arial"/>
                <w:color w:val="000000"/>
                <w:sz w:val="20"/>
                <w:lang w:eastAsia="en-GB"/>
              </w:rPr>
              <w:t>7</w:t>
            </w:r>
          </w:p>
        </w:tc>
        <w:tc>
          <w:tcPr>
            <w:tcW w:w="5635" w:type="dxa"/>
            <w:shd w:val="clear" w:color="auto" w:fill="auto"/>
            <w:tcMar>
              <w:top w:w="0" w:type="dxa"/>
              <w:left w:w="40" w:type="dxa"/>
              <w:bottom w:w="0" w:type="dxa"/>
              <w:right w:w="40" w:type="dxa"/>
            </w:tcMar>
            <w:vAlign w:val="center"/>
          </w:tcPr>
          <w:p w:rsidR="00F817A8" w:rsidRPr="00201079" w:rsidRDefault="00F817A8" w:rsidP="0061373E">
            <w:pPr>
              <w:spacing w:before="0" w:line="240" w:lineRule="auto"/>
              <w:jc w:val="left"/>
              <w:rPr>
                <w:rFonts w:cs="Arial"/>
                <w:color w:val="000000"/>
                <w:sz w:val="20"/>
                <w:lang w:eastAsia="en-GB"/>
              </w:rPr>
            </w:pPr>
            <w:r>
              <w:rPr>
                <w:rFonts w:cs="Arial"/>
                <w:color w:val="000000"/>
                <w:sz w:val="20"/>
                <w:lang w:eastAsia="en-GB"/>
              </w:rPr>
              <w:t>The James Hutton Institute</w:t>
            </w:r>
          </w:p>
        </w:tc>
        <w:tc>
          <w:tcPr>
            <w:tcW w:w="567" w:type="dxa"/>
            <w:shd w:val="clear" w:color="auto" w:fill="auto"/>
            <w:noWrap/>
            <w:tcMar>
              <w:top w:w="0" w:type="dxa"/>
              <w:left w:w="40" w:type="dxa"/>
              <w:bottom w:w="0" w:type="dxa"/>
              <w:right w:w="40" w:type="dxa"/>
            </w:tcMar>
            <w:vAlign w:val="center"/>
          </w:tcPr>
          <w:p w:rsidR="00F817A8" w:rsidRPr="00201079" w:rsidRDefault="00F817A8" w:rsidP="00FD3959">
            <w:pPr>
              <w:spacing w:before="0" w:line="240" w:lineRule="auto"/>
              <w:jc w:val="left"/>
              <w:rPr>
                <w:rFonts w:cs="Arial"/>
                <w:sz w:val="20"/>
                <w:lang w:eastAsia="en-GB"/>
              </w:rPr>
            </w:pPr>
            <w:r>
              <w:rPr>
                <w:rFonts w:cs="Arial"/>
                <w:sz w:val="20"/>
                <w:lang w:eastAsia="en-GB"/>
              </w:rPr>
              <w:t>UK</w:t>
            </w:r>
          </w:p>
        </w:tc>
        <w:tc>
          <w:tcPr>
            <w:tcW w:w="2268" w:type="dxa"/>
            <w:tcMar>
              <w:top w:w="0" w:type="dxa"/>
              <w:left w:w="40" w:type="dxa"/>
              <w:bottom w:w="0" w:type="dxa"/>
              <w:right w:w="40" w:type="dxa"/>
            </w:tcMar>
            <w:vAlign w:val="center"/>
          </w:tcPr>
          <w:p w:rsidR="00F817A8" w:rsidRPr="00201079" w:rsidRDefault="00F817A8" w:rsidP="00FD3959">
            <w:pPr>
              <w:spacing w:before="0" w:line="240" w:lineRule="auto"/>
              <w:jc w:val="left"/>
              <w:rPr>
                <w:rFonts w:cs="Arial"/>
                <w:sz w:val="20"/>
                <w:lang w:eastAsia="en-GB"/>
              </w:rPr>
            </w:pPr>
            <w:r>
              <w:rPr>
                <w:rFonts w:cs="Arial"/>
                <w:sz w:val="20"/>
                <w:lang w:eastAsia="en-GB"/>
              </w:rPr>
              <w:t>Andrew Copus</w:t>
            </w:r>
          </w:p>
        </w:tc>
      </w:tr>
    </w:tbl>
    <w:p w:rsidR="00D95FA4" w:rsidRDefault="00ED4582" w:rsidP="00BE1A9A">
      <w:pPr>
        <w:jc w:val="center"/>
        <w:rPr>
          <w:b/>
          <w:sz w:val="28"/>
        </w:rPr>
      </w:pPr>
      <w:r>
        <w:br w:type="column"/>
      </w:r>
      <w:r w:rsidR="004314B6">
        <w:lastRenderedPageBreak/>
        <w:br w:type="column"/>
      </w:r>
      <w:r w:rsidR="00C82741" w:rsidRPr="00BE1A9A">
        <w:rPr>
          <w:b/>
          <w:sz w:val="28"/>
        </w:rPr>
        <w:lastRenderedPageBreak/>
        <w:t>CONTENTS</w:t>
      </w:r>
    </w:p>
    <w:p w:rsidR="00877EF5" w:rsidRPr="00BE1A9A" w:rsidRDefault="00877EF5" w:rsidP="00BE1A9A">
      <w:pPr>
        <w:jc w:val="center"/>
        <w:rPr>
          <w:b/>
        </w:rPr>
      </w:pPr>
    </w:p>
    <w:p w:rsidR="004C5AF1" w:rsidRDefault="00121307">
      <w:pPr>
        <w:pStyle w:val="TOC1"/>
        <w:rPr>
          <w:rFonts w:asciiTheme="minorHAnsi" w:eastAsiaTheme="minorEastAsia" w:hAnsiTheme="minorHAnsi" w:cstheme="minorBidi"/>
          <w:b w:val="0"/>
          <w:szCs w:val="22"/>
          <w:lang w:eastAsia="en-GB"/>
        </w:rPr>
      </w:pPr>
      <w:r w:rsidRPr="00121307">
        <w:rPr>
          <w:szCs w:val="22"/>
        </w:rPr>
        <w:fldChar w:fldCharType="begin"/>
      </w:r>
      <w:r w:rsidR="00877EF5">
        <w:rPr>
          <w:szCs w:val="22"/>
        </w:rPr>
        <w:instrText xml:space="preserve"> TOC \o "1-2" \h \z \u </w:instrText>
      </w:r>
      <w:r w:rsidRPr="00121307">
        <w:rPr>
          <w:szCs w:val="22"/>
        </w:rPr>
        <w:fldChar w:fldCharType="separate"/>
      </w:r>
      <w:hyperlink w:anchor="_Toc410375309" w:history="1">
        <w:r w:rsidR="004C5AF1" w:rsidRPr="00052672">
          <w:rPr>
            <w:rStyle w:val="Hyperlink"/>
          </w:rPr>
          <w:t>1</w:t>
        </w:r>
        <w:r w:rsidR="004C5AF1">
          <w:rPr>
            <w:rFonts w:asciiTheme="minorHAnsi" w:eastAsiaTheme="minorEastAsia" w:hAnsiTheme="minorHAnsi" w:cstheme="minorBidi"/>
            <w:b w:val="0"/>
            <w:szCs w:val="22"/>
            <w:lang w:eastAsia="en-GB"/>
          </w:rPr>
          <w:tab/>
        </w:r>
        <w:r w:rsidR="004C5AF1" w:rsidRPr="00052672">
          <w:rPr>
            <w:rStyle w:val="Hyperlink"/>
          </w:rPr>
          <w:t>Concepts, indicators and policy context</w:t>
        </w:r>
        <w:r w:rsidR="004C5AF1">
          <w:rPr>
            <w:webHidden/>
          </w:rPr>
          <w:tab/>
        </w:r>
        <w:r>
          <w:rPr>
            <w:webHidden/>
          </w:rPr>
          <w:fldChar w:fldCharType="begin"/>
        </w:r>
        <w:r w:rsidR="004C5AF1">
          <w:rPr>
            <w:webHidden/>
          </w:rPr>
          <w:instrText xml:space="preserve"> PAGEREF _Toc410375309 \h </w:instrText>
        </w:r>
        <w:r>
          <w:rPr>
            <w:webHidden/>
          </w:rPr>
        </w:r>
        <w:r>
          <w:rPr>
            <w:webHidden/>
          </w:rPr>
          <w:fldChar w:fldCharType="separate"/>
        </w:r>
        <w:r w:rsidR="004C5AF1">
          <w:rPr>
            <w:webHidden/>
          </w:rPr>
          <w:t>1</w:t>
        </w:r>
        <w:r>
          <w:rPr>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10" w:history="1">
        <w:r w:rsidR="004C5AF1" w:rsidRPr="00052672">
          <w:rPr>
            <w:rStyle w:val="Hyperlink"/>
            <w:noProof/>
          </w:rPr>
          <w:t>1.1</w:t>
        </w:r>
        <w:r w:rsidR="004C5AF1">
          <w:rPr>
            <w:rFonts w:asciiTheme="minorHAnsi" w:eastAsiaTheme="minorEastAsia" w:hAnsiTheme="minorHAnsi" w:cstheme="minorBidi"/>
            <w:noProof/>
            <w:szCs w:val="22"/>
            <w:lang w:eastAsia="en-GB"/>
          </w:rPr>
          <w:tab/>
        </w:r>
        <w:r w:rsidR="004C5AF1" w:rsidRPr="00052672">
          <w:rPr>
            <w:rStyle w:val="Hyperlink"/>
            <w:noProof/>
          </w:rPr>
          <w:t xml:space="preserve">What is meant by the terms </w:t>
        </w:r>
        <w:r w:rsidR="004C5AF1" w:rsidRPr="00052672">
          <w:rPr>
            <w:rStyle w:val="Hyperlink"/>
            <w:i/>
            <w:iCs/>
            <w:noProof/>
          </w:rPr>
          <w:t>poverty</w:t>
        </w:r>
        <w:r w:rsidR="004C5AF1" w:rsidRPr="00052672">
          <w:rPr>
            <w:rStyle w:val="Hyperlink"/>
            <w:noProof/>
          </w:rPr>
          <w:t xml:space="preserve"> and </w:t>
        </w:r>
        <w:r w:rsidR="004C5AF1" w:rsidRPr="00052672">
          <w:rPr>
            <w:rStyle w:val="Hyperlink"/>
            <w:i/>
            <w:iCs/>
            <w:noProof/>
          </w:rPr>
          <w:t>social exclusion (PSE)</w:t>
        </w:r>
        <w:r w:rsidR="004C5AF1" w:rsidRPr="00052672">
          <w:rPr>
            <w:rStyle w:val="Hyperlink"/>
            <w:noProof/>
          </w:rPr>
          <w:t>?</w:t>
        </w:r>
        <w:r w:rsidR="004C5AF1">
          <w:rPr>
            <w:noProof/>
            <w:webHidden/>
          </w:rPr>
          <w:tab/>
        </w:r>
        <w:r>
          <w:rPr>
            <w:noProof/>
            <w:webHidden/>
          </w:rPr>
          <w:fldChar w:fldCharType="begin"/>
        </w:r>
        <w:r w:rsidR="004C5AF1">
          <w:rPr>
            <w:noProof/>
            <w:webHidden/>
          </w:rPr>
          <w:instrText xml:space="preserve"> PAGEREF _Toc410375310 \h </w:instrText>
        </w:r>
        <w:r>
          <w:rPr>
            <w:noProof/>
            <w:webHidden/>
          </w:rPr>
        </w:r>
        <w:r>
          <w:rPr>
            <w:noProof/>
            <w:webHidden/>
          </w:rPr>
          <w:fldChar w:fldCharType="separate"/>
        </w:r>
        <w:r w:rsidR="004C5AF1">
          <w:rPr>
            <w:noProof/>
            <w:webHidden/>
          </w:rPr>
          <w:t>1</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11" w:history="1">
        <w:r w:rsidR="004C5AF1" w:rsidRPr="00052672">
          <w:rPr>
            <w:rStyle w:val="Hyperlink"/>
            <w:noProof/>
          </w:rPr>
          <w:t>1.2</w:t>
        </w:r>
        <w:r w:rsidR="004C5AF1">
          <w:rPr>
            <w:rFonts w:asciiTheme="minorHAnsi" w:eastAsiaTheme="minorEastAsia" w:hAnsiTheme="minorHAnsi" w:cstheme="minorBidi"/>
            <w:noProof/>
            <w:szCs w:val="22"/>
            <w:lang w:eastAsia="en-GB"/>
          </w:rPr>
          <w:tab/>
        </w:r>
        <w:r w:rsidR="004C5AF1" w:rsidRPr="00052672">
          <w:rPr>
            <w:rStyle w:val="Hyperlink"/>
            <w:noProof/>
          </w:rPr>
          <w:t>Poverty and Social Exclusion as Spatial Phenomena</w:t>
        </w:r>
        <w:r w:rsidR="004C5AF1">
          <w:rPr>
            <w:noProof/>
            <w:webHidden/>
          </w:rPr>
          <w:tab/>
        </w:r>
        <w:r>
          <w:rPr>
            <w:noProof/>
            <w:webHidden/>
          </w:rPr>
          <w:fldChar w:fldCharType="begin"/>
        </w:r>
        <w:r w:rsidR="004C5AF1">
          <w:rPr>
            <w:noProof/>
            <w:webHidden/>
          </w:rPr>
          <w:instrText xml:space="preserve"> PAGEREF _Toc410375311 \h </w:instrText>
        </w:r>
        <w:r>
          <w:rPr>
            <w:noProof/>
            <w:webHidden/>
          </w:rPr>
        </w:r>
        <w:r>
          <w:rPr>
            <w:noProof/>
            <w:webHidden/>
          </w:rPr>
          <w:fldChar w:fldCharType="separate"/>
        </w:r>
        <w:r w:rsidR="004C5AF1">
          <w:rPr>
            <w:noProof/>
            <w:webHidden/>
          </w:rPr>
          <w:t>3</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12" w:history="1">
        <w:r w:rsidR="004C5AF1" w:rsidRPr="00052672">
          <w:rPr>
            <w:rStyle w:val="Hyperlink"/>
            <w:noProof/>
          </w:rPr>
          <w:t>1.3</w:t>
        </w:r>
        <w:r w:rsidR="004C5AF1">
          <w:rPr>
            <w:rFonts w:asciiTheme="minorHAnsi" w:eastAsiaTheme="minorEastAsia" w:hAnsiTheme="minorHAnsi" w:cstheme="minorBidi"/>
            <w:noProof/>
            <w:szCs w:val="22"/>
            <w:lang w:eastAsia="en-GB"/>
          </w:rPr>
          <w:tab/>
        </w:r>
        <w:r w:rsidR="004C5AF1" w:rsidRPr="00052672">
          <w:rPr>
            <w:rStyle w:val="Hyperlink"/>
            <w:noProof/>
          </w:rPr>
          <w:t>How are Poverty and Social Exclusion generally measured?</w:t>
        </w:r>
        <w:r w:rsidR="004C5AF1">
          <w:rPr>
            <w:noProof/>
            <w:webHidden/>
          </w:rPr>
          <w:tab/>
        </w:r>
        <w:r>
          <w:rPr>
            <w:noProof/>
            <w:webHidden/>
          </w:rPr>
          <w:fldChar w:fldCharType="begin"/>
        </w:r>
        <w:r w:rsidR="004C5AF1">
          <w:rPr>
            <w:noProof/>
            <w:webHidden/>
          </w:rPr>
          <w:instrText xml:space="preserve"> PAGEREF _Toc410375312 \h </w:instrText>
        </w:r>
        <w:r>
          <w:rPr>
            <w:noProof/>
            <w:webHidden/>
          </w:rPr>
        </w:r>
        <w:r>
          <w:rPr>
            <w:noProof/>
            <w:webHidden/>
          </w:rPr>
          <w:fldChar w:fldCharType="separate"/>
        </w:r>
        <w:r w:rsidR="004C5AF1">
          <w:rPr>
            <w:noProof/>
            <w:webHidden/>
          </w:rPr>
          <w:t>4</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13" w:history="1">
        <w:r w:rsidR="004C5AF1" w:rsidRPr="00052672">
          <w:rPr>
            <w:rStyle w:val="Hyperlink"/>
            <w:rFonts w:eastAsia="Calibri"/>
            <w:noProof/>
            <w:lang w:eastAsia="en-GB"/>
          </w:rPr>
          <w:t>1.4</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The role of PSE in EU and Member State policy</w:t>
        </w:r>
        <w:r w:rsidR="004C5AF1">
          <w:rPr>
            <w:noProof/>
            <w:webHidden/>
          </w:rPr>
          <w:tab/>
        </w:r>
        <w:r>
          <w:rPr>
            <w:noProof/>
            <w:webHidden/>
          </w:rPr>
          <w:fldChar w:fldCharType="begin"/>
        </w:r>
        <w:r w:rsidR="004C5AF1">
          <w:rPr>
            <w:noProof/>
            <w:webHidden/>
          </w:rPr>
          <w:instrText xml:space="preserve"> PAGEREF _Toc410375313 \h </w:instrText>
        </w:r>
        <w:r>
          <w:rPr>
            <w:noProof/>
            <w:webHidden/>
          </w:rPr>
        </w:r>
        <w:r>
          <w:rPr>
            <w:noProof/>
            <w:webHidden/>
          </w:rPr>
          <w:fldChar w:fldCharType="separate"/>
        </w:r>
        <w:r w:rsidR="004C5AF1">
          <w:rPr>
            <w:noProof/>
            <w:webHidden/>
          </w:rPr>
          <w:t>5</w:t>
        </w:r>
        <w:r>
          <w:rPr>
            <w:noProof/>
            <w:webHidden/>
          </w:rPr>
          <w:fldChar w:fldCharType="end"/>
        </w:r>
      </w:hyperlink>
    </w:p>
    <w:p w:rsidR="004C5AF1" w:rsidRDefault="00121307">
      <w:pPr>
        <w:pStyle w:val="TOC1"/>
        <w:rPr>
          <w:rFonts w:asciiTheme="minorHAnsi" w:eastAsiaTheme="minorEastAsia" w:hAnsiTheme="minorHAnsi" w:cstheme="minorBidi"/>
          <w:b w:val="0"/>
          <w:szCs w:val="22"/>
          <w:lang w:eastAsia="en-GB"/>
        </w:rPr>
      </w:pPr>
      <w:hyperlink w:anchor="_Toc410375314" w:history="1">
        <w:r w:rsidR="004C5AF1" w:rsidRPr="00052672">
          <w:rPr>
            <w:rStyle w:val="Hyperlink"/>
            <w:rFonts w:eastAsia="Calibri"/>
            <w:lang w:eastAsia="en-GB"/>
          </w:rPr>
          <w:t>2</w:t>
        </w:r>
        <w:r w:rsidR="004C5AF1">
          <w:rPr>
            <w:rFonts w:asciiTheme="minorHAnsi" w:eastAsiaTheme="minorEastAsia" w:hAnsiTheme="minorHAnsi" w:cstheme="minorBidi"/>
            <w:b w:val="0"/>
            <w:szCs w:val="22"/>
            <w:lang w:eastAsia="en-GB"/>
          </w:rPr>
          <w:tab/>
        </w:r>
        <w:r w:rsidR="004C5AF1" w:rsidRPr="00052672">
          <w:rPr>
            <w:rStyle w:val="Hyperlink"/>
            <w:rFonts w:eastAsia="Calibri"/>
            <w:lang w:eastAsia="en-GB"/>
          </w:rPr>
          <w:t>What Eurostat data can tell us about patterns of Poverty and Social Exclusion</w:t>
        </w:r>
        <w:r w:rsidR="004C5AF1">
          <w:rPr>
            <w:webHidden/>
          </w:rPr>
          <w:tab/>
        </w:r>
        <w:r>
          <w:rPr>
            <w:webHidden/>
          </w:rPr>
          <w:fldChar w:fldCharType="begin"/>
        </w:r>
        <w:r w:rsidR="004C5AF1">
          <w:rPr>
            <w:webHidden/>
          </w:rPr>
          <w:instrText xml:space="preserve"> PAGEREF _Toc410375314 \h </w:instrText>
        </w:r>
        <w:r>
          <w:rPr>
            <w:webHidden/>
          </w:rPr>
        </w:r>
        <w:r>
          <w:rPr>
            <w:webHidden/>
          </w:rPr>
          <w:fldChar w:fldCharType="separate"/>
        </w:r>
        <w:r w:rsidR="004C5AF1">
          <w:rPr>
            <w:webHidden/>
          </w:rPr>
          <w:t>8</w:t>
        </w:r>
        <w:r>
          <w:rPr>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15" w:history="1">
        <w:r w:rsidR="004C5AF1" w:rsidRPr="00052672">
          <w:rPr>
            <w:rStyle w:val="Hyperlink"/>
            <w:noProof/>
          </w:rPr>
          <w:t>2.1</w:t>
        </w:r>
        <w:r w:rsidR="004C5AF1">
          <w:rPr>
            <w:rFonts w:asciiTheme="minorHAnsi" w:eastAsiaTheme="minorEastAsia" w:hAnsiTheme="minorHAnsi" w:cstheme="minorBidi"/>
            <w:noProof/>
            <w:szCs w:val="22"/>
            <w:lang w:eastAsia="en-GB"/>
          </w:rPr>
          <w:tab/>
        </w:r>
        <w:r w:rsidR="004C5AF1" w:rsidRPr="00052672">
          <w:rPr>
            <w:rStyle w:val="Hyperlink"/>
            <w:noProof/>
          </w:rPr>
          <w:t>The EU2020 Target Monitoring Indicators</w:t>
        </w:r>
        <w:r w:rsidR="004C5AF1">
          <w:rPr>
            <w:noProof/>
            <w:webHidden/>
          </w:rPr>
          <w:tab/>
        </w:r>
        <w:r>
          <w:rPr>
            <w:noProof/>
            <w:webHidden/>
          </w:rPr>
          <w:fldChar w:fldCharType="begin"/>
        </w:r>
        <w:r w:rsidR="004C5AF1">
          <w:rPr>
            <w:noProof/>
            <w:webHidden/>
          </w:rPr>
          <w:instrText xml:space="preserve"> PAGEREF _Toc410375315 \h </w:instrText>
        </w:r>
        <w:r>
          <w:rPr>
            <w:noProof/>
            <w:webHidden/>
          </w:rPr>
        </w:r>
        <w:r>
          <w:rPr>
            <w:noProof/>
            <w:webHidden/>
          </w:rPr>
          <w:fldChar w:fldCharType="separate"/>
        </w:r>
        <w:r w:rsidR="004C5AF1">
          <w:rPr>
            <w:noProof/>
            <w:webHidden/>
          </w:rPr>
          <w:t>8</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16" w:history="1">
        <w:r w:rsidR="004C5AF1" w:rsidRPr="00052672">
          <w:rPr>
            <w:rStyle w:val="Hyperlink"/>
            <w:rFonts w:eastAsia="Calibri"/>
            <w:noProof/>
            <w:lang w:eastAsia="en-GB"/>
          </w:rPr>
          <w:t>2.2</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A Typology of Countries according to PSE</w:t>
        </w:r>
        <w:r w:rsidR="004C5AF1">
          <w:rPr>
            <w:noProof/>
            <w:webHidden/>
          </w:rPr>
          <w:tab/>
        </w:r>
        <w:r>
          <w:rPr>
            <w:noProof/>
            <w:webHidden/>
          </w:rPr>
          <w:fldChar w:fldCharType="begin"/>
        </w:r>
        <w:r w:rsidR="004C5AF1">
          <w:rPr>
            <w:noProof/>
            <w:webHidden/>
          </w:rPr>
          <w:instrText xml:space="preserve"> PAGEREF _Toc410375316 \h </w:instrText>
        </w:r>
        <w:r>
          <w:rPr>
            <w:noProof/>
            <w:webHidden/>
          </w:rPr>
        </w:r>
        <w:r>
          <w:rPr>
            <w:noProof/>
            <w:webHidden/>
          </w:rPr>
          <w:fldChar w:fldCharType="separate"/>
        </w:r>
        <w:r w:rsidR="004C5AF1">
          <w:rPr>
            <w:noProof/>
            <w:webHidden/>
          </w:rPr>
          <w:t>13</w:t>
        </w:r>
        <w:r>
          <w:rPr>
            <w:noProof/>
            <w:webHidden/>
          </w:rPr>
          <w:fldChar w:fldCharType="end"/>
        </w:r>
      </w:hyperlink>
    </w:p>
    <w:p w:rsidR="004C5AF1" w:rsidRDefault="00121307">
      <w:pPr>
        <w:pStyle w:val="TOC1"/>
        <w:rPr>
          <w:rFonts w:asciiTheme="minorHAnsi" w:eastAsiaTheme="minorEastAsia" w:hAnsiTheme="minorHAnsi" w:cstheme="minorBidi"/>
          <w:b w:val="0"/>
          <w:szCs w:val="22"/>
          <w:lang w:eastAsia="en-GB"/>
        </w:rPr>
      </w:pPr>
      <w:hyperlink w:anchor="_Toc410375317" w:history="1">
        <w:r w:rsidR="004C5AF1" w:rsidRPr="00052672">
          <w:rPr>
            <w:rStyle w:val="Hyperlink"/>
            <w:rFonts w:eastAsia="Calibri"/>
            <w:lang w:eastAsia="en-GB"/>
          </w:rPr>
          <w:t>3</w:t>
        </w:r>
        <w:r w:rsidR="004C5AF1">
          <w:rPr>
            <w:rFonts w:asciiTheme="minorHAnsi" w:eastAsiaTheme="minorEastAsia" w:hAnsiTheme="minorHAnsi" w:cstheme="minorBidi"/>
            <w:b w:val="0"/>
            <w:szCs w:val="22"/>
            <w:lang w:eastAsia="en-GB"/>
          </w:rPr>
          <w:tab/>
        </w:r>
        <w:r w:rsidR="004C5AF1" w:rsidRPr="00052672">
          <w:rPr>
            <w:rStyle w:val="Hyperlink"/>
            <w:rFonts w:eastAsia="Calibri"/>
            <w:lang w:eastAsia="en-GB"/>
          </w:rPr>
          <w:t>Mapping patterns of Income Poverty</w:t>
        </w:r>
        <w:r w:rsidR="004C5AF1">
          <w:rPr>
            <w:webHidden/>
          </w:rPr>
          <w:tab/>
        </w:r>
        <w:r>
          <w:rPr>
            <w:webHidden/>
          </w:rPr>
          <w:fldChar w:fldCharType="begin"/>
        </w:r>
        <w:r w:rsidR="004C5AF1">
          <w:rPr>
            <w:webHidden/>
          </w:rPr>
          <w:instrText xml:space="preserve"> PAGEREF _Toc410375317 \h </w:instrText>
        </w:r>
        <w:r>
          <w:rPr>
            <w:webHidden/>
          </w:rPr>
        </w:r>
        <w:r>
          <w:rPr>
            <w:webHidden/>
          </w:rPr>
          <w:fldChar w:fldCharType="separate"/>
        </w:r>
        <w:r w:rsidR="004C5AF1">
          <w:rPr>
            <w:webHidden/>
          </w:rPr>
          <w:t>15</w:t>
        </w:r>
        <w:r>
          <w:rPr>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18" w:history="1">
        <w:r w:rsidR="004C5AF1" w:rsidRPr="00052672">
          <w:rPr>
            <w:rStyle w:val="Hyperlink"/>
            <w:noProof/>
          </w:rPr>
          <w:t>3.1</w:t>
        </w:r>
        <w:r w:rsidR="004C5AF1">
          <w:rPr>
            <w:rFonts w:asciiTheme="minorHAnsi" w:eastAsiaTheme="minorEastAsia" w:hAnsiTheme="minorHAnsi" w:cstheme="minorBidi"/>
            <w:noProof/>
            <w:szCs w:val="22"/>
            <w:lang w:eastAsia="en-GB"/>
          </w:rPr>
          <w:tab/>
        </w:r>
        <w:r w:rsidR="004C5AF1" w:rsidRPr="00052672">
          <w:rPr>
            <w:rStyle w:val="Hyperlink"/>
            <w:noProof/>
          </w:rPr>
          <w:t>Data Sources and Methodology</w:t>
        </w:r>
        <w:r w:rsidR="004C5AF1">
          <w:rPr>
            <w:noProof/>
            <w:webHidden/>
          </w:rPr>
          <w:tab/>
        </w:r>
        <w:r>
          <w:rPr>
            <w:noProof/>
            <w:webHidden/>
          </w:rPr>
          <w:fldChar w:fldCharType="begin"/>
        </w:r>
        <w:r w:rsidR="004C5AF1">
          <w:rPr>
            <w:noProof/>
            <w:webHidden/>
          </w:rPr>
          <w:instrText xml:space="preserve"> PAGEREF _Toc410375318 \h </w:instrText>
        </w:r>
        <w:r>
          <w:rPr>
            <w:noProof/>
            <w:webHidden/>
          </w:rPr>
        </w:r>
        <w:r>
          <w:rPr>
            <w:noProof/>
            <w:webHidden/>
          </w:rPr>
          <w:fldChar w:fldCharType="separate"/>
        </w:r>
        <w:r w:rsidR="004C5AF1">
          <w:rPr>
            <w:noProof/>
            <w:webHidden/>
          </w:rPr>
          <w:t>15</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19" w:history="1">
        <w:r w:rsidR="004C5AF1" w:rsidRPr="00052672">
          <w:rPr>
            <w:rStyle w:val="Hyperlink"/>
            <w:rFonts w:eastAsia="Calibri"/>
            <w:noProof/>
            <w:lang w:eastAsia="en-GB"/>
          </w:rPr>
          <w:t>3.2</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Interpreting ARoP rates</w:t>
        </w:r>
        <w:r w:rsidR="004C5AF1">
          <w:rPr>
            <w:noProof/>
            <w:webHidden/>
          </w:rPr>
          <w:tab/>
        </w:r>
        <w:r>
          <w:rPr>
            <w:noProof/>
            <w:webHidden/>
          </w:rPr>
          <w:fldChar w:fldCharType="begin"/>
        </w:r>
        <w:r w:rsidR="004C5AF1">
          <w:rPr>
            <w:noProof/>
            <w:webHidden/>
          </w:rPr>
          <w:instrText xml:space="preserve"> PAGEREF _Toc410375319 \h </w:instrText>
        </w:r>
        <w:r>
          <w:rPr>
            <w:noProof/>
            <w:webHidden/>
          </w:rPr>
        </w:r>
        <w:r>
          <w:rPr>
            <w:noProof/>
            <w:webHidden/>
          </w:rPr>
          <w:fldChar w:fldCharType="separate"/>
        </w:r>
        <w:r w:rsidR="004C5AF1">
          <w:rPr>
            <w:noProof/>
            <w:webHidden/>
          </w:rPr>
          <w:t>16</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20" w:history="1">
        <w:r w:rsidR="004C5AF1" w:rsidRPr="00052672">
          <w:rPr>
            <w:rStyle w:val="Hyperlink"/>
            <w:rFonts w:eastAsia="Calibri"/>
            <w:noProof/>
            <w:lang w:eastAsia="en-GB"/>
          </w:rPr>
          <w:t>3.3</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ARoP rate Maps at NUTS 3</w:t>
        </w:r>
        <w:r w:rsidR="004C5AF1">
          <w:rPr>
            <w:noProof/>
            <w:webHidden/>
          </w:rPr>
          <w:tab/>
        </w:r>
        <w:r>
          <w:rPr>
            <w:noProof/>
            <w:webHidden/>
          </w:rPr>
          <w:fldChar w:fldCharType="begin"/>
        </w:r>
        <w:r w:rsidR="004C5AF1">
          <w:rPr>
            <w:noProof/>
            <w:webHidden/>
          </w:rPr>
          <w:instrText xml:space="preserve"> PAGEREF _Toc410375320 \h </w:instrText>
        </w:r>
        <w:r>
          <w:rPr>
            <w:noProof/>
            <w:webHidden/>
          </w:rPr>
        </w:r>
        <w:r>
          <w:rPr>
            <w:noProof/>
            <w:webHidden/>
          </w:rPr>
          <w:fldChar w:fldCharType="separate"/>
        </w:r>
        <w:r w:rsidR="004C5AF1">
          <w:rPr>
            <w:noProof/>
            <w:webHidden/>
          </w:rPr>
          <w:t>17</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21" w:history="1">
        <w:r w:rsidR="004C5AF1" w:rsidRPr="00052672">
          <w:rPr>
            <w:rStyle w:val="Hyperlink"/>
            <w:noProof/>
            <w:lang w:eastAsia="en-GB"/>
          </w:rPr>
          <w:t>3.4</w:t>
        </w:r>
        <w:r w:rsidR="004C5AF1">
          <w:rPr>
            <w:rFonts w:asciiTheme="minorHAnsi" w:eastAsiaTheme="minorEastAsia" w:hAnsiTheme="minorHAnsi" w:cstheme="minorBidi"/>
            <w:noProof/>
            <w:szCs w:val="22"/>
            <w:lang w:eastAsia="en-GB"/>
          </w:rPr>
          <w:tab/>
        </w:r>
        <w:r w:rsidR="004C5AF1" w:rsidRPr="00052672">
          <w:rPr>
            <w:rStyle w:val="Hyperlink"/>
            <w:noProof/>
            <w:lang w:eastAsia="en-GB"/>
          </w:rPr>
          <w:t>Using the ESPON Typologies to explore the geography of ARoP rates</w:t>
        </w:r>
        <w:r w:rsidR="004C5AF1">
          <w:rPr>
            <w:noProof/>
            <w:webHidden/>
          </w:rPr>
          <w:tab/>
        </w:r>
        <w:r>
          <w:rPr>
            <w:noProof/>
            <w:webHidden/>
          </w:rPr>
          <w:fldChar w:fldCharType="begin"/>
        </w:r>
        <w:r w:rsidR="004C5AF1">
          <w:rPr>
            <w:noProof/>
            <w:webHidden/>
          </w:rPr>
          <w:instrText xml:space="preserve"> PAGEREF _Toc410375321 \h </w:instrText>
        </w:r>
        <w:r>
          <w:rPr>
            <w:noProof/>
            <w:webHidden/>
          </w:rPr>
        </w:r>
        <w:r>
          <w:rPr>
            <w:noProof/>
            <w:webHidden/>
          </w:rPr>
          <w:fldChar w:fldCharType="separate"/>
        </w:r>
        <w:r w:rsidR="004C5AF1">
          <w:rPr>
            <w:noProof/>
            <w:webHidden/>
          </w:rPr>
          <w:t>21</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22" w:history="1">
        <w:r w:rsidR="004C5AF1" w:rsidRPr="00052672">
          <w:rPr>
            <w:rStyle w:val="Hyperlink"/>
            <w:rFonts w:eastAsia="Calibri"/>
            <w:noProof/>
            <w:lang w:eastAsia="en-GB"/>
          </w:rPr>
          <w:t>3.5</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Associations between poverty rates and some potential socio-economic drivers of poverty</w:t>
        </w:r>
        <w:r w:rsidR="004C5AF1">
          <w:rPr>
            <w:noProof/>
            <w:webHidden/>
          </w:rPr>
          <w:tab/>
        </w:r>
        <w:r>
          <w:rPr>
            <w:noProof/>
            <w:webHidden/>
          </w:rPr>
          <w:fldChar w:fldCharType="begin"/>
        </w:r>
        <w:r w:rsidR="004C5AF1">
          <w:rPr>
            <w:noProof/>
            <w:webHidden/>
          </w:rPr>
          <w:instrText xml:space="preserve"> PAGEREF _Toc410375322 \h </w:instrText>
        </w:r>
        <w:r>
          <w:rPr>
            <w:noProof/>
            <w:webHidden/>
          </w:rPr>
        </w:r>
        <w:r>
          <w:rPr>
            <w:noProof/>
            <w:webHidden/>
          </w:rPr>
          <w:fldChar w:fldCharType="separate"/>
        </w:r>
        <w:r w:rsidR="004C5AF1">
          <w:rPr>
            <w:noProof/>
            <w:webHidden/>
          </w:rPr>
          <w:t>22</w:t>
        </w:r>
        <w:r>
          <w:rPr>
            <w:noProof/>
            <w:webHidden/>
          </w:rPr>
          <w:fldChar w:fldCharType="end"/>
        </w:r>
      </w:hyperlink>
    </w:p>
    <w:p w:rsidR="004C5AF1" w:rsidRDefault="00121307">
      <w:pPr>
        <w:pStyle w:val="TOC1"/>
        <w:rPr>
          <w:rFonts w:asciiTheme="minorHAnsi" w:eastAsiaTheme="minorEastAsia" w:hAnsiTheme="minorHAnsi" w:cstheme="minorBidi"/>
          <w:b w:val="0"/>
          <w:szCs w:val="22"/>
          <w:lang w:eastAsia="en-GB"/>
        </w:rPr>
      </w:pPr>
      <w:hyperlink w:anchor="_Toc410375323" w:history="1">
        <w:r w:rsidR="004C5AF1" w:rsidRPr="00052672">
          <w:rPr>
            <w:rStyle w:val="Hyperlink"/>
            <w:rFonts w:eastAsia="Calibri"/>
            <w:lang w:eastAsia="en-GB"/>
          </w:rPr>
          <w:t>4</w:t>
        </w:r>
        <w:r w:rsidR="004C5AF1">
          <w:rPr>
            <w:rFonts w:asciiTheme="minorHAnsi" w:eastAsiaTheme="minorEastAsia" w:hAnsiTheme="minorHAnsi" w:cstheme="minorBidi"/>
            <w:b w:val="0"/>
            <w:szCs w:val="22"/>
            <w:lang w:eastAsia="en-GB"/>
          </w:rPr>
          <w:tab/>
        </w:r>
        <w:r w:rsidR="004C5AF1" w:rsidRPr="00052672">
          <w:rPr>
            <w:rStyle w:val="Hyperlink"/>
            <w:rFonts w:eastAsia="Calibri"/>
            <w:lang w:eastAsia="en-GB"/>
          </w:rPr>
          <w:t>Mapping Patterns of Social Exclusion</w:t>
        </w:r>
        <w:r w:rsidR="004C5AF1">
          <w:rPr>
            <w:webHidden/>
          </w:rPr>
          <w:tab/>
        </w:r>
        <w:r>
          <w:rPr>
            <w:webHidden/>
          </w:rPr>
          <w:fldChar w:fldCharType="begin"/>
        </w:r>
        <w:r w:rsidR="004C5AF1">
          <w:rPr>
            <w:webHidden/>
          </w:rPr>
          <w:instrText xml:space="preserve"> PAGEREF _Toc410375323 \h </w:instrText>
        </w:r>
        <w:r>
          <w:rPr>
            <w:webHidden/>
          </w:rPr>
        </w:r>
        <w:r>
          <w:rPr>
            <w:webHidden/>
          </w:rPr>
          <w:fldChar w:fldCharType="separate"/>
        </w:r>
        <w:r w:rsidR="004C5AF1">
          <w:rPr>
            <w:webHidden/>
          </w:rPr>
          <w:t>25</w:t>
        </w:r>
        <w:r>
          <w:rPr>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24" w:history="1">
        <w:r w:rsidR="004C5AF1" w:rsidRPr="00052672">
          <w:rPr>
            <w:rStyle w:val="Hyperlink"/>
            <w:rFonts w:eastAsia="Calibri"/>
            <w:noProof/>
            <w:lang w:eastAsia="en-GB"/>
          </w:rPr>
          <w:t>4.1</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Domains and Dimensions</w:t>
        </w:r>
        <w:r w:rsidR="004C5AF1">
          <w:rPr>
            <w:noProof/>
            <w:webHidden/>
          </w:rPr>
          <w:tab/>
        </w:r>
        <w:r>
          <w:rPr>
            <w:noProof/>
            <w:webHidden/>
          </w:rPr>
          <w:fldChar w:fldCharType="begin"/>
        </w:r>
        <w:r w:rsidR="004C5AF1">
          <w:rPr>
            <w:noProof/>
            <w:webHidden/>
          </w:rPr>
          <w:instrText xml:space="preserve"> PAGEREF _Toc410375324 \h </w:instrText>
        </w:r>
        <w:r>
          <w:rPr>
            <w:noProof/>
            <w:webHidden/>
          </w:rPr>
        </w:r>
        <w:r>
          <w:rPr>
            <w:noProof/>
            <w:webHidden/>
          </w:rPr>
          <w:fldChar w:fldCharType="separate"/>
        </w:r>
        <w:r w:rsidR="004C5AF1">
          <w:rPr>
            <w:noProof/>
            <w:webHidden/>
          </w:rPr>
          <w:t>25</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25" w:history="1">
        <w:r w:rsidR="004C5AF1" w:rsidRPr="00052672">
          <w:rPr>
            <w:rStyle w:val="Hyperlink"/>
            <w:rFonts w:eastAsia="Calibri"/>
            <w:noProof/>
            <w:lang w:eastAsia="en-GB"/>
          </w:rPr>
          <w:t>4.2</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National attempts to monitor and map social exclusion</w:t>
        </w:r>
        <w:r w:rsidR="004C5AF1">
          <w:rPr>
            <w:noProof/>
            <w:webHidden/>
          </w:rPr>
          <w:tab/>
        </w:r>
        <w:r>
          <w:rPr>
            <w:noProof/>
            <w:webHidden/>
          </w:rPr>
          <w:fldChar w:fldCharType="begin"/>
        </w:r>
        <w:r w:rsidR="004C5AF1">
          <w:rPr>
            <w:noProof/>
            <w:webHidden/>
          </w:rPr>
          <w:instrText xml:space="preserve"> PAGEREF _Toc410375325 \h </w:instrText>
        </w:r>
        <w:r>
          <w:rPr>
            <w:noProof/>
            <w:webHidden/>
          </w:rPr>
        </w:r>
        <w:r>
          <w:rPr>
            <w:noProof/>
            <w:webHidden/>
          </w:rPr>
          <w:fldChar w:fldCharType="separate"/>
        </w:r>
        <w:r w:rsidR="004C5AF1">
          <w:rPr>
            <w:noProof/>
            <w:webHidden/>
          </w:rPr>
          <w:t>26</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26" w:history="1">
        <w:r w:rsidR="004C5AF1" w:rsidRPr="00052672">
          <w:rPr>
            <w:rStyle w:val="Hyperlink"/>
            <w:rFonts w:eastAsia="Calibri"/>
            <w:noProof/>
            <w:lang w:eastAsia="en-GB"/>
          </w:rPr>
          <w:t>4.3</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Data Sources for European-wide mapping of the risk of social exclusion</w:t>
        </w:r>
        <w:r w:rsidR="004C5AF1">
          <w:rPr>
            <w:noProof/>
            <w:webHidden/>
          </w:rPr>
          <w:tab/>
        </w:r>
        <w:r>
          <w:rPr>
            <w:noProof/>
            <w:webHidden/>
          </w:rPr>
          <w:fldChar w:fldCharType="begin"/>
        </w:r>
        <w:r w:rsidR="004C5AF1">
          <w:rPr>
            <w:noProof/>
            <w:webHidden/>
          </w:rPr>
          <w:instrText xml:space="preserve"> PAGEREF _Toc410375326 \h </w:instrText>
        </w:r>
        <w:r>
          <w:rPr>
            <w:noProof/>
            <w:webHidden/>
          </w:rPr>
        </w:r>
        <w:r>
          <w:rPr>
            <w:noProof/>
            <w:webHidden/>
          </w:rPr>
          <w:fldChar w:fldCharType="separate"/>
        </w:r>
        <w:r w:rsidR="004C5AF1">
          <w:rPr>
            <w:noProof/>
            <w:webHidden/>
          </w:rPr>
          <w:t>29</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27" w:history="1">
        <w:r w:rsidR="004C5AF1" w:rsidRPr="00052672">
          <w:rPr>
            <w:rStyle w:val="Hyperlink"/>
            <w:rFonts w:eastAsia="Calibri"/>
            <w:noProof/>
            <w:lang w:eastAsia="en-GB"/>
          </w:rPr>
          <w:t>4.4</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Searching for spatial organisation in patterns of social exclusion</w:t>
        </w:r>
        <w:r w:rsidR="004C5AF1">
          <w:rPr>
            <w:noProof/>
            <w:webHidden/>
          </w:rPr>
          <w:tab/>
        </w:r>
        <w:r>
          <w:rPr>
            <w:noProof/>
            <w:webHidden/>
          </w:rPr>
          <w:fldChar w:fldCharType="begin"/>
        </w:r>
        <w:r w:rsidR="004C5AF1">
          <w:rPr>
            <w:noProof/>
            <w:webHidden/>
          </w:rPr>
          <w:instrText xml:space="preserve"> PAGEREF _Toc410375327 \h </w:instrText>
        </w:r>
        <w:r>
          <w:rPr>
            <w:noProof/>
            <w:webHidden/>
          </w:rPr>
        </w:r>
        <w:r>
          <w:rPr>
            <w:noProof/>
            <w:webHidden/>
          </w:rPr>
          <w:fldChar w:fldCharType="separate"/>
        </w:r>
        <w:r w:rsidR="004C5AF1">
          <w:rPr>
            <w:noProof/>
            <w:webHidden/>
          </w:rPr>
          <w:t>31</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28" w:history="1">
        <w:r w:rsidR="004C5AF1" w:rsidRPr="00052672">
          <w:rPr>
            <w:rStyle w:val="Hyperlink"/>
            <w:rFonts w:eastAsia="Calibri"/>
            <w:noProof/>
            <w:lang w:eastAsia="en-GB"/>
          </w:rPr>
          <w:t>4.5</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Discussion</w:t>
        </w:r>
        <w:r w:rsidR="004C5AF1">
          <w:rPr>
            <w:noProof/>
            <w:webHidden/>
          </w:rPr>
          <w:tab/>
        </w:r>
        <w:r>
          <w:rPr>
            <w:noProof/>
            <w:webHidden/>
          </w:rPr>
          <w:fldChar w:fldCharType="begin"/>
        </w:r>
        <w:r w:rsidR="004C5AF1">
          <w:rPr>
            <w:noProof/>
            <w:webHidden/>
          </w:rPr>
          <w:instrText xml:space="preserve"> PAGEREF _Toc410375328 \h </w:instrText>
        </w:r>
        <w:r>
          <w:rPr>
            <w:noProof/>
            <w:webHidden/>
          </w:rPr>
        </w:r>
        <w:r>
          <w:rPr>
            <w:noProof/>
            <w:webHidden/>
          </w:rPr>
          <w:fldChar w:fldCharType="separate"/>
        </w:r>
        <w:r w:rsidR="004C5AF1">
          <w:rPr>
            <w:noProof/>
            <w:webHidden/>
          </w:rPr>
          <w:t>37</w:t>
        </w:r>
        <w:r>
          <w:rPr>
            <w:noProof/>
            <w:webHidden/>
          </w:rPr>
          <w:fldChar w:fldCharType="end"/>
        </w:r>
      </w:hyperlink>
    </w:p>
    <w:p w:rsidR="004C5AF1" w:rsidRDefault="00121307">
      <w:pPr>
        <w:pStyle w:val="TOC1"/>
        <w:rPr>
          <w:rFonts w:asciiTheme="minorHAnsi" w:eastAsiaTheme="minorEastAsia" w:hAnsiTheme="minorHAnsi" w:cstheme="minorBidi"/>
          <w:b w:val="0"/>
          <w:szCs w:val="22"/>
          <w:lang w:eastAsia="en-GB"/>
        </w:rPr>
      </w:pPr>
      <w:hyperlink w:anchor="_Toc410375329" w:history="1">
        <w:r w:rsidR="004C5AF1" w:rsidRPr="00052672">
          <w:rPr>
            <w:rStyle w:val="Hyperlink"/>
            <w:rFonts w:eastAsia="Calibri"/>
            <w:lang w:eastAsia="en-GB"/>
          </w:rPr>
          <w:t>5</w:t>
        </w:r>
        <w:r w:rsidR="004C5AF1">
          <w:rPr>
            <w:rFonts w:asciiTheme="minorHAnsi" w:eastAsiaTheme="minorEastAsia" w:hAnsiTheme="minorHAnsi" w:cstheme="minorBidi"/>
            <w:b w:val="0"/>
            <w:szCs w:val="22"/>
            <w:lang w:eastAsia="en-GB"/>
          </w:rPr>
          <w:tab/>
        </w:r>
        <w:r w:rsidR="004C5AF1" w:rsidRPr="00052672">
          <w:rPr>
            <w:rStyle w:val="Hyperlink"/>
            <w:rFonts w:eastAsia="Calibri"/>
            <w:lang w:eastAsia="en-GB"/>
          </w:rPr>
          <w:t>Local Complexity of Pattern and Process – some findings from the Case Studies</w:t>
        </w:r>
        <w:r w:rsidR="004C5AF1">
          <w:rPr>
            <w:webHidden/>
          </w:rPr>
          <w:tab/>
        </w:r>
        <w:r>
          <w:rPr>
            <w:webHidden/>
          </w:rPr>
          <w:fldChar w:fldCharType="begin"/>
        </w:r>
        <w:r w:rsidR="004C5AF1">
          <w:rPr>
            <w:webHidden/>
          </w:rPr>
          <w:instrText xml:space="preserve"> PAGEREF _Toc410375329 \h </w:instrText>
        </w:r>
        <w:r>
          <w:rPr>
            <w:webHidden/>
          </w:rPr>
        </w:r>
        <w:r>
          <w:rPr>
            <w:webHidden/>
          </w:rPr>
          <w:fldChar w:fldCharType="separate"/>
        </w:r>
        <w:r w:rsidR="004C5AF1">
          <w:rPr>
            <w:webHidden/>
          </w:rPr>
          <w:t>39</w:t>
        </w:r>
        <w:r>
          <w:rPr>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30" w:history="1">
        <w:r w:rsidR="004C5AF1" w:rsidRPr="00052672">
          <w:rPr>
            <w:rStyle w:val="Hyperlink"/>
            <w:noProof/>
            <w:lang w:val="en-US"/>
          </w:rPr>
          <w:t>5.1</w:t>
        </w:r>
        <w:r w:rsidR="004C5AF1">
          <w:rPr>
            <w:rFonts w:asciiTheme="minorHAnsi" w:eastAsiaTheme="minorEastAsia" w:hAnsiTheme="minorHAnsi" w:cstheme="minorBidi"/>
            <w:noProof/>
            <w:szCs w:val="22"/>
            <w:lang w:eastAsia="en-GB"/>
          </w:rPr>
          <w:tab/>
        </w:r>
        <w:r w:rsidR="004C5AF1" w:rsidRPr="00052672">
          <w:rPr>
            <w:rStyle w:val="Hyperlink"/>
            <w:noProof/>
            <w:lang w:val="en-US"/>
          </w:rPr>
          <w:t>Summary of Findings</w:t>
        </w:r>
        <w:r w:rsidR="004C5AF1">
          <w:rPr>
            <w:noProof/>
            <w:webHidden/>
          </w:rPr>
          <w:tab/>
        </w:r>
        <w:r>
          <w:rPr>
            <w:noProof/>
            <w:webHidden/>
          </w:rPr>
          <w:fldChar w:fldCharType="begin"/>
        </w:r>
        <w:r w:rsidR="004C5AF1">
          <w:rPr>
            <w:noProof/>
            <w:webHidden/>
          </w:rPr>
          <w:instrText xml:space="preserve"> PAGEREF _Toc410375330 \h </w:instrText>
        </w:r>
        <w:r>
          <w:rPr>
            <w:noProof/>
            <w:webHidden/>
          </w:rPr>
        </w:r>
        <w:r>
          <w:rPr>
            <w:noProof/>
            <w:webHidden/>
          </w:rPr>
          <w:fldChar w:fldCharType="separate"/>
        </w:r>
        <w:r w:rsidR="004C5AF1">
          <w:rPr>
            <w:noProof/>
            <w:webHidden/>
          </w:rPr>
          <w:t>41</w:t>
        </w:r>
        <w:r>
          <w:rPr>
            <w:noProof/>
            <w:webHidden/>
          </w:rPr>
          <w:fldChar w:fldCharType="end"/>
        </w:r>
      </w:hyperlink>
    </w:p>
    <w:p w:rsidR="004C5AF1" w:rsidRDefault="00121307">
      <w:pPr>
        <w:pStyle w:val="TOC1"/>
        <w:rPr>
          <w:rFonts w:asciiTheme="minorHAnsi" w:eastAsiaTheme="minorEastAsia" w:hAnsiTheme="minorHAnsi" w:cstheme="minorBidi"/>
          <w:b w:val="0"/>
          <w:szCs w:val="22"/>
          <w:lang w:eastAsia="en-GB"/>
        </w:rPr>
      </w:pPr>
      <w:hyperlink w:anchor="_Toc410375331" w:history="1">
        <w:r w:rsidR="004C5AF1" w:rsidRPr="00052672">
          <w:rPr>
            <w:rStyle w:val="Hyperlink"/>
            <w:rFonts w:eastAsia="Calibri"/>
            <w:lang w:eastAsia="en-GB"/>
          </w:rPr>
          <w:t>6</w:t>
        </w:r>
        <w:r w:rsidR="004C5AF1">
          <w:rPr>
            <w:rFonts w:asciiTheme="minorHAnsi" w:eastAsiaTheme="minorEastAsia" w:hAnsiTheme="minorHAnsi" w:cstheme="minorBidi"/>
            <w:b w:val="0"/>
            <w:szCs w:val="22"/>
            <w:lang w:eastAsia="en-GB"/>
          </w:rPr>
          <w:tab/>
        </w:r>
        <w:r w:rsidR="004C5AF1" w:rsidRPr="00052672">
          <w:rPr>
            <w:rStyle w:val="Hyperlink"/>
            <w:rFonts w:eastAsia="Calibri"/>
            <w:lang w:eastAsia="en-GB"/>
          </w:rPr>
          <w:t>Implications of these findings for EU Cohesion policy, and for MS policy</w:t>
        </w:r>
        <w:r w:rsidR="004C5AF1">
          <w:rPr>
            <w:webHidden/>
          </w:rPr>
          <w:tab/>
        </w:r>
        <w:r>
          <w:rPr>
            <w:webHidden/>
          </w:rPr>
          <w:fldChar w:fldCharType="begin"/>
        </w:r>
        <w:r w:rsidR="004C5AF1">
          <w:rPr>
            <w:webHidden/>
          </w:rPr>
          <w:instrText xml:space="preserve"> PAGEREF _Toc410375331 \h </w:instrText>
        </w:r>
        <w:r>
          <w:rPr>
            <w:webHidden/>
          </w:rPr>
        </w:r>
        <w:r>
          <w:rPr>
            <w:webHidden/>
          </w:rPr>
          <w:fldChar w:fldCharType="separate"/>
        </w:r>
        <w:r w:rsidR="004C5AF1">
          <w:rPr>
            <w:webHidden/>
          </w:rPr>
          <w:t>45</w:t>
        </w:r>
        <w:r>
          <w:rPr>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32" w:history="1">
        <w:r w:rsidR="004C5AF1" w:rsidRPr="00052672">
          <w:rPr>
            <w:rStyle w:val="Hyperlink"/>
            <w:rFonts w:eastAsia="Calibri"/>
            <w:noProof/>
            <w:lang w:eastAsia="en-GB"/>
          </w:rPr>
          <w:t>6.1</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Underlying concepts and principles</w:t>
        </w:r>
        <w:r w:rsidR="004C5AF1">
          <w:rPr>
            <w:noProof/>
            <w:webHidden/>
          </w:rPr>
          <w:tab/>
        </w:r>
        <w:r>
          <w:rPr>
            <w:noProof/>
            <w:webHidden/>
          </w:rPr>
          <w:fldChar w:fldCharType="begin"/>
        </w:r>
        <w:r w:rsidR="004C5AF1">
          <w:rPr>
            <w:noProof/>
            <w:webHidden/>
          </w:rPr>
          <w:instrText xml:space="preserve"> PAGEREF _Toc410375332 \h </w:instrText>
        </w:r>
        <w:r>
          <w:rPr>
            <w:noProof/>
            <w:webHidden/>
          </w:rPr>
        </w:r>
        <w:r>
          <w:rPr>
            <w:noProof/>
            <w:webHidden/>
          </w:rPr>
          <w:fldChar w:fldCharType="separate"/>
        </w:r>
        <w:r w:rsidR="004C5AF1">
          <w:rPr>
            <w:noProof/>
            <w:webHidden/>
          </w:rPr>
          <w:t>45</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33" w:history="1">
        <w:r w:rsidR="004C5AF1" w:rsidRPr="00052672">
          <w:rPr>
            <w:rStyle w:val="Hyperlink"/>
            <w:rFonts w:eastAsia="Calibri"/>
            <w:noProof/>
            <w:lang w:eastAsia="en-GB"/>
          </w:rPr>
          <w:t>6.2</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Poverty</w:t>
        </w:r>
        <w:r w:rsidR="004C5AF1">
          <w:rPr>
            <w:noProof/>
            <w:webHidden/>
          </w:rPr>
          <w:tab/>
        </w:r>
        <w:r>
          <w:rPr>
            <w:noProof/>
            <w:webHidden/>
          </w:rPr>
          <w:fldChar w:fldCharType="begin"/>
        </w:r>
        <w:r w:rsidR="004C5AF1">
          <w:rPr>
            <w:noProof/>
            <w:webHidden/>
          </w:rPr>
          <w:instrText xml:space="preserve"> PAGEREF _Toc410375333 \h </w:instrText>
        </w:r>
        <w:r>
          <w:rPr>
            <w:noProof/>
            <w:webHidden/>
          </w:rPr>
        </w:r>
        <w:r>
          <w:rPr>
            <w:noProof/>
            <w:webHidden/>
          </w:rPr>
          <w:fldChar w:fldCharType="separate"/>
        </w:r>
        <w:r w:rsidR="004C5AF1">
          <w:rPr>
            <w:noProof/>
            <w:webHidden/>
          </w:rPr>
          <w:t>46</w:t>
        </w:r>
        <w:r>
          <w:rPr>
            <w:noProof/>
            <w:webHidden/>
          </w:rPr>
          <w:fldChar w:fldCharType="end"/>
        </w:r>
      </w:hyperlink>
    </w:p>
    <w:p w:rsidR="004C5AF1" w:rsidRDefault="00121307">
      <w:pPr>
        <w:pStyle w:val="TOC2"/>
        <w:rPr>
          <w:rFonts w:asciiTheme="minorHAnsi" w:eastAsiaTheme="minorEastAsia" w:hAnsiTheme="minorHAnsi" w:cstheme="minorBidi"/>
          <w:noProof/>
          <w:szCs w:val="22"/>
          <w:lang w:eastAsia="en-GB"/>
        </w:rPr>
      </w:pPr>
      <w:hyperlink w:anchor="_Toc410375334" w:history="1">
        <w:r w:rsidR="004C5AF1" w:rsidRPr="00052672">
          <w:rPr>
            <w:rStyle w:val="Hyperlink"/>
            <w:rFonts w:eastAsia="Calibri"/>
            <w:noProof/>
            <w:lang w:eastAsia="en-GB"/>
          </w:rPr>
          <w:t>6.3</w:t>
        </w:r>
        <w:r w:rsidR="004C5AF1">
          <w:rPr>
            <w:rFonts w:asciiTheme="minorHAnsi" w:eastAsiaTheme="minorEastAsia" w:hAnsiTheme="minorHAnsi" w:cstheme="minorBidi"/>
            <w:noProof/>
            <w:szCs w:val="22"/>
            <w:lang w:eastAsia="en-GB"/>
          </w:rPr>
          <w:tab/>
        </w:r>
        <w:r w:rsidR="004C5AF1" w:rsidRPr="00052672">
          <w:rPr>
            <w:rStyle w:val="Hyperlink"/>
            <w:rFonts w:eastAsia="Calibri"/>
            <w:noProof/>
            <w:lang w:eastAsia="en-GB"/>
          </w:rPr>
          <w:t>Social Exclusion</w:t>
        </w:r>
        <w:r w:rsidR="004C5AF1">
          <w:rPr>
            <w:noProof/>
            <w:webHidden/>
          </w:rPr>
          <w:tab/>
        </w:r>
        <w:r>
          <w:rPr>
            <w:noProof/>
            <w:webHidden/>
          </w:rPr>
          <w:fldChar w:fldCharType="begin"/>
        </w:r>
        <w:r w:rsidR="004C5AF1">
          <w:rPr>
            <w:noProof/>
            <w:webHidden/>
          </w:rPr>
          <w:instrText xml:space="preserve"> PAGEREF _Toc410375334 \h </w:instrText>
        </w:r>
        <w:r>
          <w:rPr>
            <w:noProof/>
            <w:webHidden/>
          </w:rPr>
        </w:r>
        <w:r>
          <w:rPr>
            <w:noProof/>
            <w:webHidden/>
          </w:rPr>
          <w:fldChar w:fldCharType="separate"/>
        </w:r>
        <w:r w:rsidR="004C5AF1">
          <w:rPr>
            <w:noProof/>
            <w:webHidden/>
          </w:rPr>
          <w:t>47</w:t>
        </w:r>
        <w:r>
          <w:rPr>
            <w:noProof/>
            <w:webHidden/>
          </w:rPr>
          <w:fldChar w:fldCharType="end"/>
        </w:r>
      </w:hyperlink>
    </w:p>
    <w:p w:rsidR="004C5AF1" w:rsidRDefault="00121307">
      <w:pPr>
        <w:pStyle w:val="TOC1"/>
        <w:rPr>
          <w:rFonts w:asciiTheme="minorHAnsi" w:eastAsiaTheme="minorEastAsia" w:hAnsiTheme="minorHAnsi" w:cstheme="minorBidi"/>
          <w:b w:val="0"/>
          <w:szCs w:val="22"/>
          <w:lang w:eastAsia="en-GB"/>
        </w:rPr>
      </w:pPr>
      <w:hyperlink w:anchor="_Toc410375335" w:history="1">
        <w:r w:rsidR="004C5AF1" w:rsidRPr="00052672">
          <w:rPr>
            <w:rStyle w:val="Hyperlink"/>
            <w:lang w:val="en-US"/>
          </w:rPr>
          <w:t>7</w:t>
        </w:r>
        <w:r w:rsidR="004C5AF1">
          <w:rPr>
            <w:rFonts w:asciiTheme="minorHAnsi" w:eastAsiaTheme="minorEastAsia" w:hAnsiTheme="minorHAnsi" w:cstheme="minorBidi"/>
            <w:b w:val="0"/>
            <w:szCs w:val="22"/>
            <w:lang w:eastAsia="en-GB"/>
          </w:rPr>
          <w:tab/>
        </w:r>
        <w:r w:rsidR="004C5AF1" w:rsidRPr="00052672">
          <w:rPr>
            <w:rStyle w:val="Hyperlink"/>
            <w:lang w:val="en-US"/>
          </w:rPr>
          <w:t>Some Guidelines for future monitoring of Poverty and Social Exclusion</w:t>
        </w:r>
        <w:r w:rsidR="004C5AF1">
          <w:rPr>
            <w:webHidden/>
          </w:rPr>
          <w:tab/>
        </w:r>
        <w:r>
          <w:rPr>
            <w:webHidden/>
          </w:rPr>
          <w:fldChar w:fldCharType="begin"/>
        </w:r>
        <w:r w:rsidR="004C5AF1">
          <w:rPr>
            <w:webHidden/>
          </w:rPr>
          <w:instrText xml:space="preserve"> PAGEREF _Toc410375335 \h </w:instrText>
        </w:r>
        <w:r>
          <w:rPr>
            <w:webHidden/>
          </w:rPr>
        </w:r>
        <w:r>
          <w:rPr>
            <w:webHidden/>
          </w:rPr>
          <w:fldChar w:fldCharType="separate"/>
        </w:r>
        <w:r w:rsidR="004C5AF1">
          <w:rPr>
            <w:webHidden/>
          </w:rPr>
          <w:t>49</w:t>
        </w:r>
        <w:r>
          <w:rPr>
            <w:webHidden/>
          </w:rPr>
          <w:fldChar w:fldCharType="end"/>
        </w:r>
      </w:hyperlink>
    </w:p>
    <w:p w:rsidR="004C5AF1" w:rsidRDefault="00121307">
      <w:pPr>
        <w:pStyle w:val="TOC1"/>
        <w:rPr>
          <w:rFonts w:asciiTheme="minorHAnsi" w:eastAsiaTheme="minorEastAsia" w:hAnsiTheme="minorHAnsi" w:cstheme="minorBidi"/>
          <w:b w:val="0"/>
          <w:szCs w:val="22"/>
          <w:lang w:eastAsia="en-GB"/>
        </w:rPr>
      </w:pPr>
      <w:hyperlink w:anchor="_Toc410375336" w:history="1">
        <w:r w:rsidR="004C5AF1" w:rsidRPr="00052672">
          <w:rPr>
            <w:rStyle w:val="Hyperlink"/>
          </w:rPr>
          <w:t>8</w:t>
        </w:r>
        <w:r w:rsidR="004C5AF1">
          <w:rPr>
            <w:rFonts w:asciiTheme="minorHAnsi" w:eastAsiaTheme="minorEastAsia" w:hAnsiTheme="minorHAnsi" w:cstheme="minorBidi"/>
            <w:b w:val="0"/>
            <w:szCs w:val="22"/>
            <w:lang w:eastAsia="en-GB"/>
          </w:rPr>
          <w:tab/>
        </w:r>
        <w:r w:rsidR="004C5AF1" w:rsidRPr="00052672">
          <w:rPr>
            <w:rStyle w:val="Hyperlink"/>
          </w:rPr>
          <w:t>Further Research</w:t>
        </w:r>
        <w:r w:rsidR="004C5AF1">
          <w:rPr>
            <w:webHidden/>
          </w:rPr>
          <w:tab/>
        </w:r>
        <w:r>
          <w:rPr>
            <w:webHidden/>
          </w:rPr>
          <w:fldChar w:fldCharType="begin"/>
        </w:r>
        <w:r w:rsidR="004C5AF1">
          <w:rPr>
            <w:webHidden/>
          </w:rPr>
          <w:instrText xml:space="preserve"> PAGEREF _Toc410375336 \h </w:instrText>
        </w:r>
        <w:r>
          <w:rPr>
            <w:webHidden/>
          </w:rPr>
        </w:r>
        <w:r>
          <w:rPr>
            <w:webHidden/>
          </w:rPr>
          <w:fldChar w:fldCharType="separate"/>
        </w:r>
        <w:r w:rsidR="004C5AF1">
          <w:rPr>
            <w:webHidden/>
          </w:rPr>
          <w:t>51</w:t>
        </w:r>
        <w:r>
          <w:rPr>
            <w:webHidden/>
          </w:rPr>
          <w:fldChar w:fldCharType="end"/>
        </w:r>
      </w:hyperlink>
    </w:p>
    <w:p w:rsidR="004C5AF1" w:rsidRDefault="00121307">
      <w:pPr>
        <w:pStyle w:val="TOC1"/>
        <w:rPr>
          <w:rFonts w:asciiTheme="minorHAnsi" w:eastAsiaTheme="minorEastAsia" w:hAnsiTheme="minorHAnsi" w:cstheme="minorBidi"/>
          <w:b w:val="0"/>
          <w:szCs w:val="22"/>
          <w:lang w:eastAsia="en-GB"/>
        </w:rPr>
      </w:pPr>
      <w:hyperlink w:anchor="_Toc410375337" w:history="1">
        <w:r w:rsidR="004C5AF1" w:rsidRPr="00052672">
          <w:rPr>
            <w:rStyle w:val="Hyperlink"/>
          </w:rPr>
          <w:t>REFERENCES</w:t>
        </w:r>
        <w:r w:rsidR="004C5AF1">
          <w:rPr>
            <w:webHidden/>
          </w:rPr>
          <w:tab/>
        </w:r>
        <w:r>
          <w:rPr>
            <w:webHidden/>
          </w:rPr>
          <w:fldChar w:fldCharType="begin"/>
        </w:r>
        <w:r w:rsidR="004C5AF1">
          <w:rPr>
            <w:webHidden/>
          </w:rPr>
          <w:instrText xml:space="preserve"> PAGEREF _Toc410375337 \h </w:instrText>
        </w:r>
        <w:r>
          <w:rPr>
            <w:webHidden/>
          </w:rPr>
        </w:r>
        <w:r>
          <w:rPr>
            <w:webHidden/>
          </w:rPr>
          <w:fldChar w:fldCharType="separate"/>
        </w:r>
        <w:r w:rsidR="004C5AF1">
          <w:rPr>
            <w:webHidden/>
          </w:rPr>
          <w:t>53</w:t>
        </w:r>
        <w:r>
          <w:rPr>
            <w:webHidden/>
          </w:rPr>
          <w:fldChar w:fldCharType="end"/>
        </w:r>
      </w:hyperlink>
    </w:p>
    <w:p w:rsidR="002F3D04" w:rsidRDefault="00121307" w:rsidP="008B31B9">
      <w:pPr>
        <w:pStyle w:val="ESPONText"/>
        <w:rPr>
          <w:szCs w:val="22"/>
        </w:rPr>
      </w:pPr>
      <w:r>
        <w:rPr>
          <w:szCs w:val="22"/>
        </w:rPr>
        <w:fldChar w:fldCharType="end"/>
      </w:r>
    </w:p>
    <w:p w:rsidR="00BF09EE" w:rsidRPr="00B14383" w:rsidRDefault="00ED4582" w:rsidP="00B14383">
      <w:pPr>
        <w:pStyle w:val="ESPONText"/>
        <w:jc w:val="center"/>
        <w:rPr>
          <w:b/>
          <w:sz w:val="32"/>
        </w:rPr>
      </w:pPr>
      <w:r>
        <w:rPr>
          <w:szCs w:val="22"/>
        </w:rPr>
        <w:br w:type="column"/>
      </w:r>
      <w:r w:rsidR="005B346C" w:rsidRPr="00B14383">
        <w:rPr>
          <w:b/>
          <w:sz w:val="32"/>
        </w:rPr>
        <w:lastRenderedPageBreak/>
        <w:t>TABLES</w:t>
      </w:r>
    </w:p>
    <w:p w:rsidR="00687F37" w:rsidRDefault="00121307">
      <w:pPr>
        <w:pStyle w:val="TableofFigures"/>
        <w:tabs>
          <w:tab w:val="right" w:pos="9344"/>
        </w:tabs>
        <w:rPr>
          <w:rFonts w:asciiTheme="minorHAnsi" w:eastAsiaTheme="minorEastAsia" w:hAnsiTheme="minorHAnsi" w:cstheme="minorBidi"/>
          <w:noProof/>
          <w:szCs w:val="22"/>
          <w:lang w:eastAsia="en-GB"/>
        </w:rPr>
      </w:pPr>
      <w:r w:rsidRPr="00EF4C9E">
        <w:fldChar w:fldCharType="begin"/>
      </w:r>
      <w:r w:rsidR="00EA1FF2" w:rsidRPr="00EF4C9E">
        <w:instrText xml:space="preserve"> TOC \h \z \c "Table" </w:instrText>
      </w:r>
      <w:r w:rsidRPr="00EF4C9E">
        <w:fldChar w:fldCharType="separate"/>
      </w:r>
      <w:hyperlink w:anchor="_Toc404011323" w:history="1">
        <w:r w:rsidR="00687F37" w:rsidRPr="00A769CB">
          <w:rPr>
            <w:rStyle w:val="Hyperlink"/>
            <w:noProof/>
          </w:rPr>
          <w:t>Table 1: The Structure of Social Exclusion</w:t>
        </w:r>
        <w:r w:rsidR="00687F37">
          <w:rPr>
            <w:noProof/>
            <w:webHidden/>
          </w:rPr>
          <w:tab/>
        </w:r>
        <w:r>
          <w:rPr>
            <w:noProof/>
            <w:webHidden/>
          </w:rPr>
          <w:fldChar w:fldCharType="begin"/>
        </w:r>
        <w:r w:rsidR="00687F37">
          <w:rPr>
            <w:noProof/>
            <w:webHidden/>
          </w:rPr>
          <w:instrText xml:space="preserve"> PAGEREF _Toc404011323 \h </w:instrText>
        </w:r>
        <w:r>
          <w:rPr>
            <w:noProof/>
            <w:webHidden/>
          </w:rPr>
        </w:r>
        <w:r>
          <w:rPr>
            <w:noProof/>
            <w:webHidden/>
          </w:rPr>
          <w:fldChar w:fldCharType="separate"/>
        </w:r>
        <w:r w:rsidR="00901AB1">
          <w:rPr>
            <w:noProof/>
            <w:webHidden/>
          </w:rPr>
          <w:t>25</w:t>
        </w:r>
        <w:r>
          <w:rPr>
            <w:noProof/>
            <w:webHidden/>
          </w:rPr>
          <w:fldChar w:fldCharType="end"/>
        </w:r>
      </w:hyperlink>
    </w:p>
    <w:p w:rsidR="00687F37" w:rsidRDefault="00121307">
      <w:pPr>
        <w:pStyle w:val="TableofFigures"/>
        <w:tabs>
          <w:tab w:val="right" w:pos="9344"/>
        </w:tabs>
        <w:rPr>
          <w:rFonts w:asciiTheme="minorHAnsi" w:eastAsiaTheme="minorEastAsia" w:hAnsiTheme="minorHAnsi" w:cstheme="minorBidi"/>
          <w:noProof/>
          <w:szCs w:val="22"/>
          <w:lang w:eastAsia="en-GB"/>
        </w:rPr>
      </w:pPr>
      <w:hyperlink w:anchor="_Toc404011324" w:history="1">
        <w:r w:rsidR="00687F37" w:rsidRPr="00A769CB">
          <w:rPr>
            <w:rStyle w:val="Hyperlink"/>
            <w:noProof/>
          </w:rPr>
          <w:t>Table 2: Social Exclusion Domains, Dimensions and the number of mapped indicators</w:t>
        </w:r>
        <w:r w:rsidR="00687F37">
          <w:rPr>
            <w:noProof/>
            <w:webHidden/>
          </w:rPr>
          <w:tab/>
        </w:r>
        <w:r>
          <w:rPr>
            <w:noProof/>
            <w:webHidden/>
          </w:rPr>
          <w:fldChar w:fldCharType="begin"/>
        </w:r>
        <w:r w:rsidR="00687F37">
          <w:rPr>
            <w:noProof/>
            <w:webHidden/>
          </w:rPr>
          <w:instrText xml:space="preserve"> PAGEREF _Toc404011324 \h </w:instrText>
        </w:r>
        <w:r>
          <w:rPr>
            <w:noProof/>
            <w:webHidden/>
          </w:rPr>
        </w:r>
        <w:r>
          <w:rPr>
            <w:noProof/>
            <w:webHidden/>
          </w:rPr>
          <w:fldChar w:fldCharType="separate"/>
        </w:r>
        <w:r w:rsidR="00901AB1">
          <w:rPr>
            <w:noProof/>
            <w:webHidden/>
          </w:rPr>
          <w:t>30</w:t>
        </w:r>
        <w:r>
          <w:rPr>
            <w:noProof/>
            <w:webHidden/>
          </w:rPr>
          <w:fldChar w:fldCharType="end"/>
        </w:r>
      </w:hyperlink>
    </w:p>
    <w:p w:rsidR="00687F37" w:rsidRDefault="00121307">
      <w:pPr>
        <w:pStyle w:val="TableofFigures"/>
        <w:tabs>
          <w:tab w:val="right" w:pos="9344"/>
        </w:tabs>
        <w:rPr>
          <w:rFonts w:asciiTheme="minorHAnsi" w:eastAsiaTheme="minorEastAsia" w:hAnsiTheme="minorHAnsi" w:cstheme="minorBidi"/>
          <w:noProof/>
          <w:szCs w:val="22"/>
          <w:lang w:eastAsia="en-GB"/>
        </w:rPr>
      </w:pPr>
      <w:hyperlink w:anchor="_Toc404011325" w:history="1">
        <w:r w:rsidR="00687F37" w:rsidRPr="00A769CB">
          <w:rPr>
            <w:rStyle w:val="Hyperlink"/>
            <w:noProof/>
          </w:rPr>
          <w:t>Table 3: The Case Studies; some key characteristics</w:t>
        </w:r>
        <w:r w:rsidR="00687F37">
          <w:rPr>
            <w:noProof/>
            <w:webHidden/>
          </w:rPr>
          <w:tab/>
        </w:r>
        <w:r>
          <w:rPr>
            <w:noProof/>
            <w:webHidden/>
          </w:rPr>
          <w:fldChar w:fldCharType="begin"/>
        </w:r>
        <w:r w:rsidR="00687F37">
          <w:rPr>
            <w:noProof/>
            <w:webHidden/>
          </w:rPr>
          <w:instrText xml:space="preserve"> PAGEREF _Toc404011325 \h </w:instrText>
        </w:r>
        <w:r>
          <w:rPr>
            <w:noProof/>
            <w:webHidden/>
          </w:rPr>
        </w:r>
        <w:r>
          <w:rPr>
            <w:noProof/>
            <w:webHidden/>
          </w:rPr>
          <w:fldChar w:fldCharType="separate"/>
        </w:r>
        <w:r w:rsidR="00901AB1">
          <w:rPr>
            <w:noProof/>
            <w:webHidden/>
          </w:rPr>
          <w:t>40</w:t>
        </w:r>
        <w:r>
          <w:rPr>
            <w:noProof/>
            <w:webHidden/>
          </w:rPr>
          <w:fldChar w:fldCharType="end"/>
        </w:r>
      </w:hyperlink>
    </w:p>
    <w:p w:rsidR="00877EF5" w:rsidRDefault="00121307" w:rsidP="008D5EBF">
      <w:pPr>
        <w:pStyle w:val="ESPONText"/>
        <w:tabs>
          <w:tab w:val="left" w:pos="9072"/>
        </w:tabs>
        <w:spacing w:before="240" w:after="0"/>
        <w:jc w:val="center"/>
      </w:pPr>
      <w:r w:rsidRPr="00EF4C9E">
        <w:fldChar w:fldCharType="end"/>
      </w:r>
    </w:p>
    <w:p w:rsidR="00BF09EE" w:rsidRPr="008D5EBF" w:rsidRDefault="005B346C" w:rsidP="008D5EBF">
      <w:pPr>
        <w:pStyle w:val="ESPONText"/>
        <w:tabs>
          <w:tab w:val="left" w:pos="9072"/>
        </w:tabs>
        <w:spacing w:before="240" w:after="0"/>
        <w:jc w:val="center"/>
        <w:rPr>
          <w:b/>
          <w:sz w:val="32"/>
        </w:rPr>
      </w:pPr>
      <w:r w:rsidRPr="008D5EBF">
        <w:rPr>
          <w:b/>
          <w:sz w:val="32"/>
        </w:rPr>
        <w:t>FIGURES</w:t>
      </w:r>
    </w:p>
    <w:p w:rsidR="00687F37" w:rsidRDefault="00121307">
      <w:pPr>
        <w:pStyle w:val="TableofFigures"/>
        <w:tabs>
          <w:tab w:val="right" w:pos="9344"/>
        </w:tabs>
        <w:rPr>
          <w:rFonts w:asciiTheme="minorHAnsi" w:eastAsiaTheme="minorEastAsia" w:hAnsiTheme="minorHAnsi" w:cstheme="minorBidi"/>
          <w:noProof/>
          <w:szCs w:val="22"/>
          <w:lang w:eastAsia="en-GB"/>
        </w:rPr>
      </w:pPr>
      <w:r w:rsidRPr="00EF4C9E">
        <w:fldChar w:fldCharType="begin"/>
      </w:r>
      <w:r w:rsidR="005B346C" w:rsidRPr="00EF4C9E">
        <w:instrText xml:space="preserve"> TOC \h \z \c "Figure" </w:instrText>
      </w:r>
      <w:r w:rsidRPr="00EF4C9E">
        <w:fldChar w:fldCharType="separate"/>
      </w:r>
      <w:hyperlink w:anchor="_Toc404011332" w:history="1">
        <w:r w:rsidR="00687F37" w:rsidRPr="00F8554C">
          <w:rPr>
            <w:rStyle w:val="Hyperlink"/>
            <w:noProof/>
          </w:rPr>
          <w:t>Figure 1: Key Concepts; Income Poverty, Social Exclusion and Deprivation</w:t>
        </w:r>
        <w:r w:rsidR="00687F37">
          <w:rPr>
            <w:noProof/>
            <w:webHidden/>
          </w:rPr>
          <w:tab/>
        </w:r>
        <w:r>
          <w:rPr>
            <w:noProof/>
            <w:webHidden/>
          </w:rPr>
          <w:fldChar w:fldCharType="begin"/>
        </w:r>
        <w:r w:rsidR="00687F37">
          <w:rPr>
            <w:noProof/>
            <w:webHidden/>
          </w:rPr>
          <w:instrText xml:space="preserve"> PAGEREF _Toc404011332 \h </w:instrText>
        </w:r>
        <w:r>
          <w:rPr>
            <w:noProof/>
            <w:webHidden/>
          </w:rPr>
        </w:r>
        <w:r>
          <w:rPr>
            <w:noProof/>
            <w:webHidden/>
          </w:rPr>
          <w:fldChar w:fldCharType="separate"/>
        </w:r>
        <w:r w:rsidR="00901AB1">
          <w:rPr>
            <w:noProof/>
            <w:webHidden/>
          </w:rPr>
          <w:t>3</w:t>
        </w:r>
        <w:r>
          <w:rPr>
            <w:noProof/>
            <w:webHidden/>
          </w:rPr>
          <w:fldChar w:fldCharType="end"/>
        </w:r>
      </w:hyperlink>
    </w:p>
    <w:p w:rsidR="00687F37" w:rsidRDefault="00121307">
      <w:pPr>
        <w:pStyle w:val="TableofFigures"/>
        <w:tabs>
          <w:tab w:val="right" w:pos="9344"/>
        </w:tabs>
        <w:rPr>
          <w:rFonts w:asciiTheme="minorHAnsi" w:eastAsiaTheme="minorEastAsia" w:hAnsiTheme="minorHAnsi" w:cstheme="minorBidi"/>
          <w:noProof/>
          <w:szCs w:val="22"/>
          <w:lang w:eastAsia="en-GB"/>
        </w:rPr>
      </w:pPr>
      <w:hyperlink w:anchor="_Toc404011333" w:history="1">
        <w:r w:rsidR="00687F37" w:rsidRPr="00F8554C">
          <w:rPr>
            <w:rStyle w:val="Hyperlink"/>
            <w:noProof/>
          </w:rPr>
          <w:t>Figure 2: The ARoP Rate</w:t>
        </w:r>
        <w:r w:rsidR="00687F37">
          <w:rPr>
            <w:noProof/>
            <w:webHidden/>
          </w:rPr>
          <w:tab/>
        </w:r>
        <w:r>
          <w:rPr>
            <w:noProof/>
            <w:webHidden/>
          </w:rPr>
          <w:fldChar w:fldCharType="begin"/>
        </w:r>
        <w:r w:rsidR="00687F37">
          <w:rPr>
            <w:noProof/>
            <w:webHidden/>
          </w:rPr>
          <w:instrText xml:space="preserve"> PAGEREF _Toc404011333 \h </w:instrText>
        </w:r>
        <w:r>
          <w:rPr>
            <w:noProof/>
            <w:webHidden/>
          </w:rPr>
        </w:r>
        <w:r>
          <w:rPr>
            <w:noProof/>
            <w:webHidden/>
          </w:rPr>
          <w:fldChar w:fldCharType="separate"/>
        </w:r>
        <w:r w:rsidR="00901AB1">
          <w:rPr>
            <w:noProof/>
            <w:webHidden/>
          </w:rPr>
          <w:t>17</w:t>
        </w:r>
        <w:r>
          <w:rPr>
            <w:noProof/>
            <w:webHidden/>
          </w:rPr>
          <w:fldChar w:fldCharType="end"/>
        </w:r>
      </w:hyperlink>
    </w:p>
    <w:p w:rsidR="00687F37" w:rsidRDefault="00121307">
      <w:pPr>
        <w:pStyle w:val="TableofFigures"/>
        <w:tabs>
          <w:tab w:val="right" w:pos="9344"/>
        </w:tabs>
        <w:rPr>
          <w:rFonts w:asciiTheme="minorHAnsi" w:eastAsiaTheme="minorEastAsia" w:hAnsiTheme="minorHAnsi" w:cstheme="minorBidi"/>
          <w:noProof/>
          <w:szCs w:val="22"/>
          <w:lang w:eastAsia="en-GB"/>
        </w:rPr>
      </w:pPr>
      <w:hyperlink w:anchor="_Toc404011334" w:history="1">
        <w:r w:rsidR="00687F37" w:rsidRPr="00F8554C">
          <w:rPr>
            <w:rStyle w:val="Hyperlink"/>
            <w:noProof/>
          </w:rPr>
          <w:t>Figure 3: At Risk of Poverty by Urban-Rural Type, Selected Countries</w:t>
        </w:r>
        <w:r w:rsidR="00687F37">
          <w:rPr>
            <w:noProof/>
            <w:webHidden/>
          </w:rPr>
          <w:tab/>
        </w:r>
        <w:r>
          <w:rPr>
            <w:noProof/>
            <w:webHidden/>
          </w:rPr>
          <w:fldChar w:fldCharType="begin"/>
        </w:r>
        <w:r w:rsidR="00687F37">
          <w:rPr>
            <w:noProof/>
            <w:webHidden/>
          </w:rPr>
          <w:instrText xml:space="preserve"> PAGEREF _Toc404011334 \h </w:instrText>
        </w:r>
        <w:r>
          <w:rPr>
            <w:noProof/>
            <w:webHidden/>
          </w:rPr>
        </w:r>
        <w:r>
          <w:rPr>
            <w:noProof/>
            <w:webHidden/>
          </w:rPr>
          <w:fldChar w:fldCharType="separate"/>
        </w:r>
        <w:r w:rsidR="00901AB1">
          <w:rPr>
            <w:noProof/>
            <w:webHidden/>
          </w:rPr>
          <w:t>22</w:t>
        </w:r>
        <w:r>
          <w:rPr>
            <w:noProof/>
            <w:webHidden/>
          </w:rPr>
          <w:fldChar w:fldCharType="end"/>
        </w:r>
      </w:hyperlink>
    </w:p>
    <w:p w:rsidR="00877EF5" w:rsidRDefault="00121307" w:rsidP="008D5EBF">
      <w:pPr>
        <w:pStyle w:val="ESPONText"/>
        <w:tabs>
          <w:tab w:val="left" w:pos="9072"/>
        </w:tabs>
        <w:spacing w:before="240" w:after="0"/>
        <w:jc w:val="center"/>
      </w:pPr>
      <w:r w:rsidRPr="00EF4C9E">
        <w:fldChar w:fldCharType="end"/>
      </w:r>
    </w:p>
    <w:p w:rsidR="00205306" w:rsidRPr="00B56EC9" w:rsidRDefault="002E30FB" w:rsidP="008D5EBF">
      <w:pPr>
        <w:pStyle w:val="ESPONText"/>
        <w:tabs>
          <w:tab w:val="left" w:pos="9072"/>
        </w:tabs>
        <w:spacing w:before="240" w:after="0"/>
        <w:jc w:val="center"/>
        <w:rPr>
          <w:b/>
          <w:sz w:val="32"/>
          <w:szCs w:val="32"/>
        </w:rPr>
      </w:pPr>
      <w:r w:rsidRPr="00B56EC9">
        <w:rPr>
          <w:b/>
          <w:sz w:val="32"/>
          <w:szCs w:val="32"/>
        </w:rPr>
        <w:t>MAPS</w:t>
      </w:r>
    </w:p>
    <w:p w:rsidR="00687F37" w:rsidRDefault="00121307">
      <w:pPr>
        <w:pStyle w:val="TableofFigures"/>
        <w:tabs>
          <w:tab w:val="right" w:leader="dot" w:pos="9344"/>
        </w:tabs>
        <w:rPr>
          <w:rFonts w:asciiTheme="minorHAnsi" w:eastAsiaTheme="minorEastAsia" w:hAnsiTheme="minorHAnsi" w:cstheme="minorBidi"/>
          <w:noProof/>
          <w:szCs w:val="22"/>
          <w:lang w:eastAsia="en-GB"/>
        </w:rPr>
      </w:pPr>
      <w:r>
        <w:fldChar w:fldCharType="begin"/>
      </w:r>
      <w:r w:rsidR="002E30FB">
        <w:instrText xml:space="preserve"> TOC \h \z \c "Map" </w:instrText>
      </w:r>
      <w:r>
        <w:fldChar w:fldCharType="separate"/>
      </w:r>
      <w:hyperlink w:anchor="_Toc404011373" w:history="1">
        <w:r w:rsidR="00687F37" w:rsidRPr="00074296">
          <w:rPr>
            <w:rStyle w:val="Hyperlink"/>
            <w:noProof/>
          </w:rPr>
          <w:t>Map 1: At Risk of Poverty Rates (Eurostat) 2013</w:t>
        </w:r>
        <w:r w:rsidR="00687F37">
          <w:rPr>
            <w:noProof/>
            <w:webHidden/>
          </w:rPr>
          <w:tab/>
        </w:r>
        <w:r>
          <w:rPr>
            <w:noProof/>
            <w:webHidden/>
          </w:rPr>
          <w:fldChar w:fldCharType="begin"/>
        </w:r>
        <w:r w:rsidR="00687F37">
          <w:rPr>
            <w:noProof/>
            <w:webHidden/>
          </w:rPr>
          <w:instrText xml:space="preserve"> PAGEREF _Toc404011373 \h </w:instrText>
        </w:r>
        <w:r>
          <w:rPr>
            <w:noProof/>
            <w:webHidden/>
          </w:rPr>
        </w:r>
        <w:r>
          <w:rPr>
            <w:noProof/>
            <w:webHidden/>
          </w:rPr>
          <w:fldChar w:fldCharType="separate"/>
        </w:r>
        <w:r w:rsidR="00901AB1">
          <w:rPr>
            <w:noProof/>
            <w:webHidden/>
          </w:rPr>
          <w:t>10</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74" w:history="1">
        <w:r w:rsidR="00687F37" w:rsidRPr="00074296">
          <w:rPr>
            <w:rStyle w:val="Hyperlink"/>
            <w:noProof/>
          </w:rPr>
          <w:t>Map 2: Low Work Intensity (Eurostat) 2013</w:t>
        </w:r>
        <w:r w:rsidR="00687F37">
          <w:rPr>
            <w:noProof/>
            <w:webHidden/>
          </w:rPr>
          <w:tab/>
        </w:r>
        <w:r>
          <w:rPr>
            <w:noProof/>
            <w:webHidden/>
          </w:rPr>
          <w:fldChar w:fldCharType="begin"/>
        </w:r>
        <w:r w:rsidR="00687F37">
          <w:rPr>
            <w:noProof/>
            <w:webHidden/>
          </w:rPr>
          <w:instrText xml:space="preserve"> PAGEREF _Toc404011374 \h </w:instrText>
        </w:r>
        <w:r>
          <w:rPr>
            <w:noProof/>
            <w:webHidden/>
          </w:rPr>
        </w:r>
        <w:r>
          <w:rPr>
            <w:noProof/>
            <w:webHidden/>
          </w:rPr>
          <w:fldChar w:fldCharType="separate"/>
        </w:r>
        <w:r w:rsidR="00901AB1">
          <w:rPr>
            <w:noProof/>
            <w:webHidden/>
          </w:rPr>
          <w:t>11</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75" w:history="1">
        <w:r w:rsidR="00687F37" w:rsidRPr="00074296">
          <w:rPr>
            <w:rStyle w:val="Hyperlink"/>
            <w:noProof/>
          </w:rPr>
          <w:t>Map 3: Severe Material Deprivation (Eurostat) 2013</w:t>
        </w:r>
        <w:r w:rsidR="00687F37">
          <w:rPr>
            <w:noProof/>
            <w:webHidden/>
          </w:rPr>
          <w:tab/>
        </w:r>
        <w:r>
          <w:rPr>
            <w:noProof/>
            <w:webHidden/>
          </w:rPr>
          <w:fldChar w:fldCharType="begin"/>
        </w:r>
        <w:r w:rsidR="00687F37">
          <w:rPr>
            <w:noProof/>
            <w:webHidden/>
          </w:rPr>
          <w:instrText xml:space="preserve"> PAGEREF _Toc404011375 \h </w:instrText>
        </w:r>
        <w:r>
          <w:rPr>
            <w:noProof/>
            <w:webHidden/>
          </w:rPr>
        </w:r>
        <w:r>
          <w:rPr>
            <w:noProof/>
            <w:webHidden/>
          </w:rPr>
          <w:fldChar w:fldCharType="separate"/>
        </w:r>
        <w:r w:rsidR="00901AB1">
          <w:rPr>
            <w:noProof/>
            <w:webHidden/>
          </w:rPr>
          <w:t>12</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76" w:history="1">
        <w:r w:rsidR="00687F37" w:rsidRPr="00074296">
          <w:rPr>
            <w:rStyle w:val="Hyperlink"/>
            <w:noProof/>
          </w:rPr>
          <w:t>Map 4: Poverty and Social Exclusion Typology and Welfare Regime classification</w:t>
        </w:r>
        <w:r w:rsidR="00687F37">
          <w:rPr>
            <w:noProof/>
            <w:webHidden/>
          </w:rPr>
          <w:tab/>
        </w:r>
        <w:r>
          <w:rPr>
            <w:noProof/>
            <w:webHidden/>
          </w:rPr>
          <w:fldChar w:fldCharType="begin"/>
        </w:r>
        <w:r w:rsidR="00687F37">
          <w:rPr>
            <w:noProof/>
            <w:webHidden/>
          </w:rPr>
          <w:instrText xml:space="preserve"> PAGEREF _Toc404011376 \h </w:instrText>
        </w:r>
        <w:r>
          <w:rPr>
            <w:noProof/>
            <w:webHidden/>
          </w:rPr>
        </w:r>
        <w:r>
          <w:rPr>
            <w:noProof/>
            <w:webHidden/>
          </w:rPr>
          <w:fldChar w:fldCharType="separate"/>
        </w:r>
        <w:r w:rsidR="00901AB1">
          <w:rPr>
            <w:noProof/>
            <w:webHidden/>
          </w:rPr>
          <w:t>14</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77" w:history="1">
        <w:r w:rsidR="00687F37" w:rsidRPr="00074296">
          <w:rPr>
            <w:rStyle w:val="Hyperlink"/>
            <w:noProof/>
          </w:rPr>
          <w:t>Map 5: Regional At Risk of Poverty Rates 2011</w:t>
        </w:r>
        <w:r w:rsidR="00687F37">
          <w:rPr>
            <w:noProof/>
            <w:webHidden/>
          </w:rPr>
          <w:tab/>
        </w:r>
        <w:r>
          <w:rPr>
            <w:noProof/>
            <w:webHidden/>
          </w:rPr>
          <w:fldChar w:fldCharType="begin"/>
        </w:r>
        <w:r w:rsidR="00687F37">
          <w:rPr>
            <w:noProof/>
            <w:webHidden/>
          </w:rPr>
          <w:instrText xml:space="preserve"> PAGEREF _Toc404011377 \h </w:instrText>
        </w:r>
        <w:r>
          <w:rPr>
            <w:noProof/>
            <w:webHidden/>
          </w:rPr>
        </w:r>
        <w:r>
          <w:rPr>
            <w:noProof/>
            <w:webHidden/>
          </w:rPr>
          <w:fldChar w:fldCharType="separate"/>
        </w:r>
        <w:r w:rsidR="00901AB1">
          <w:rPr>
            <w:noProof/>
            <w:webHidden/>
          </w:rPr>
          <w:t>18</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78" w:history="1">
        <w:r w:rsidR="00687F37" w:rsidRPr="00074296">
          <w:rPr>
            <w:rStyle w:val="Hyperlink"/>
            <w:noProof/>
          </w:rPr>
          <w:t>Map 6: Regional At-Risk-of-Poverty Rates expressed as National Quintiles</w:t>
        </w:r>
        <w:r w:rsidR="00687F37">
          <w:rPr>
            <w:noProof/>
            <w:webHidden/>
          </w:rPr>
          <w:tab/>
        </w:r>
        <w:r>
          <w:rPr>
            <w:noProof/>
            <w:webHidden/>
          </w:rPr>
          <w:fldChar w:fldCharType="begin"/>
        </w:r>
        <w:r w:rsidR="00687F37">
          <w:rPr>
            <w:noProof/>
            <w:webHidden/>
          </w:rPr>
          <w:instrText xml:space="preserve"> PAGEREF _Toc404011378 \h </w:instrText>
        </w:r>
        <w:r>
          <w:rPr>
            <w:noProof/>
            <w:webHidden/>
          </w:rPr>
        </w:r>
        <w:r>
          <w:rPr>
            <w:noProof/>
            <w:webHidden/>
          </w:rPr>
          <w:fldChar w:fldCharType="separate"/>
        </w:r>
        <w:r w:rsidR="00901AB1">
          <w:rPr>
            <w:noProof/>
            <w:webHidden/>
          </w:rPr>
          <w:t>19</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79" w:history="1">
        <w:r w:rsidR="00687F37" w:rsidRPr="00074296">
          <w:rPr>
            <w:rStyle w:val="Hyperlink"/>
            <w:noProof/>
          </w:rPr>
          <w:t>Map 7: Regional At Risk of Poverty Rates expressed as national indices</w:t>
        </w:r>
        <w:r w:rsidR="00687F37">
          <w:rPr>
            <w:noProof/>
            <w:webHidden/>
          </w:rPr>
          <w:tab/>
        </w:r>
        <w:r>
          <w:rPr>
            <w:noProof/>
            <w:webHidden/>
          </w:rPr>
          <w:fldChar w:fldCharType="begin"/>
        </w:r>
        <w:r w:rsidR="00687F37">
          <w:rPr>
            <w:noProof/>
            <w:webHidden/>
          </w:rPr>
          <w:instrText xml:space="preserve"> PAGEREF _Toc404011379 \h </w:instrText>
        </w:r>
        <w:r>
          <w:rPr>
            <w:noProof/>
            <w:webHidden/>
          </w:rPr>
        </w:r>
        <w:r>
          <w:rPr>
            <w:noProof/>
            <w:webHidden/>
          </w:rPr>
          <w:fldChar w:fldCharType="separate"/>
        </w:r>
        <w:r w:rsidR="00901AB1">
          <w:rPr>
            <w:noProof/>
            <w:webHidden/>
          </w:rPr>
          <w:t>20</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80" w:history="1">
        <w:r w:rsidR="00687F37" w:rsidRPr="00074296">
          <w:rPr>
            <w:rStyle w:val="Hyperlink"/>
            <w:noProof/>
          </w:rPr>
          <w:t>Map 8: Domain 1: Gender Ratio in Economic Activity Rates - An Example of variation according to Macro-Regions.</w:t>
        </w:r>
        <w:r w:rsidR="00687F37">
          <w:rPr>
            <w:noProof/>
            <w:webHidden/>
          </w:rPr>
          <w:tab/>
        </w:r>
        <w:r>
          <w:rPr>
            <w:noProof/>
            <w:webHidden/>
          </w:rPr>
          <w:fldChar w:fldCharType="begin"/>
        </w:r>
        <w:r w:rsidR="00687F37">
          <w:rPr>
            <w:noProof/>
            <w:webHidden/>
          </w:rPr>
          <w:instrText xml:space="preserve"> PAGEREF _Toc404011380 \h </w:instrText>
        </w:r>
        <w:r>
          <w:rPr>
            <w:noProof/>
            <w:webHidden/>
          </w:rPr>
        </w:r>
        <w:r>
          <w:rPr>
            <w:noProof/>
            <w:webHidden/>
          </w:rPr>
          <w:fldChar w:fldCharType="separate"/>
        </w:r>
        <w:r w:rsidR="00901AB1">
          <w:rPr>
            <w:noProof/>
            <w:webHidden/>
          </w:rPr>
          <w:t>33</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81" w:history="1">
        <w:r w:rsidR="00687F37" w:rsidRPr="00074296">
          <w:rPr>
            <w:rStyle w:val="Hyperlink"/>
            <w:noProof/>
          </w:rPr>
          <w:t>Map 9: Domain 2: Ratio of Population without a High Qualification - An Example of exclusion concentrated in Rural Areas</w:t>
        </w:r>
        <w:r w:rsidR="00687F37">
          <w:rPr>
            <w:noProof/>
            <w:webHidden/>
          </w:rPr>
          <w:tab/>
        </w:r>
        <w:r>
          <w:rPr>
            <w:noProof/>
            <w:webHidden/>
          </w:rPr>
          <w:fldChar w:fldCharType="begin"/>
        </w:r>
        <w:r w:rsidR="00687F37">
          <w:rPr>
            <w:noProof/>
            <w:webHidden/>
          </w:rPr>
          <w:instrText xml:space="preserve"> PAGEREF _Toc404011381 \h </w:instrText>
        </w:r>
        <w:r>
          <w:rPr>
            <w:noProof/>
            <w:webHidden/>
          </w:rPr>
        </w:r>
        <w:r>
          <w:rPr>
            <w:noProof/>
            <w:webHidden/>
          </w:rPr>
          <w:fldChar w:fldCharType="separate"/>
        </w:r>
        <w:r w:rsidR="00901AB1">
          <w:rPr>
            <w:noProof/>
            <w:webHidden/>
          </w:rPr>
          <w:t>34</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82" w:history="1">
        <w:r w:rsidR="00687F37" w:rsidRPr="00074296">
          <w:rPr>
            <w:rStyle w:val="Hyperlink"/>
            <w:noProof/>
          </w:rPr>
          <w:t>Map 10: Domain 3: Old Age Dependency rates - An Example of exclusion concentrated in Rural Areas</w:t>
        </w:r>
        <w:r w:rsidR="00687F37">
          <w:rPr>
            <w:noProof/>
            <w:webHidden/>
          </w:rPr>
          <w:tab/>
        </w:r>
        <w:r>
          <w:rPr>
            <w:noProof/>
            <w:webHidden/>
          </w:rPr>
          <w:fldChar w:fldCharType="begin"/>
        </w:r>
        <w:r w:rsidR="00687F37">
          <w:rPr>
            <w:noProof/>
            <w:webHidden/>
          </w:rPr>
          <w:instrText xml:space="preserve"> PAGEREF _Toc404011382 \h </w:instrText>
        </w:r>
        <w:r>
          <w:rPr>
            <w:noProof/>
            <w:webHidden/>
          </w:rPr>
        </w:r>
        <w:r>
          <w:rPr>
            <w:noProof/>
            <w:webHidden/>
          </w:rPr>
          <w:fldChar w:fldCharType="separate"/>
        </w:r>
        <w:r w:rsidR="00901AB1">
          <w:rPr>
            <w:noProof/>
            <w:webHidden/>
          </w:rPr>
          <w:t>35</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83" w:history="1">
        <w:r w:rsidR="00687F37" w:rsidRPr="00074296">
          <w:rPr>
            <w:rStyle w:val="Hyperlink"/>
            <w:noProof/>
          </w:rPr>
          <w:t>Map 11: Domain 4: Citizenship – An Example of exclusion concentrated in Metropolitan Areas</w:t>
        </w:r>
        <w:r w:rsidR="00687F37">
          <w:rPr>
            <w:noProof/>
            <w:webHidden/>
          </w:rPr>
          <w:tab/>
        </w:r>
        <w:r>
          <w:rPr>
            <w:noProof/>
            <w:webHidden/>
          </w:rPr>
          <w:fldChar w:fldCharType="begin"/>
        </w:r>
        <w:r w:rsidR="00687F37">
          <w:rPr>
            <w:noProof/>
            <w:webHidden/>
          </w:rPr>
          <w:instrText xml:space="preserve"> PAGEREF _Toc404011383 \h </w:instrText>
        </w:r>
        <w:r>
          <w:rPr>
            <w:noProof/>
            <w:webHidden/>
          </w:rPr>
        </w:r>
        <w:r>
          <w:rPr>
            <w:noProof/>
            <w:webHidden/>
          </w:rPr>
          <w:fldChar w:fldCharType="separate"/>
        </w:r>
        <w:r w:rsidR="00901AB1">
          <w:rPr>
            <w:noProof/>
            <w:webHidden/>
          </w:rPr>
          <w:t>36</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84" w:history="1">
        <w:r w:rsidR="00687F37" w:rsidRPr="00074296">
          <w:rPr>
            <w:rStyle w:val="Hyperlink"/>
            <w:noProof/>
          </w:rPr>
          <w:t>Map 12: The Composite Vulnerability of Regions according to Risk Factors of Exclusion, 2011 – within Country Differences (l), between Country Differences (r)</w:t>
        </w:r>
        <w:r w:rsidR="00687F37">
          <w:rPr>
            <w:noProof/>
            <w:webHidden/>
          </w:rPr>
          <w:tab/>
        </w:r>
        <w:r>
          <w:rPr>
            <w:noProof/>
            <w:webHidden/>
          </w:rPr>
          <w:fldChar w:fldCharType="begin"/>
        </w:r>
        <w:r w:rsidR="00687F37">
          <w:rPr>
            <w:noProof/>
            <w:webHidden/>
          </w:rPr>
          <w:instrText xml:space="preserve"> PAGEREF _Toc404011384 \h </w:instrText>
        </w:r>
        <w:r>
          <w:rPr>
            <w:noProof/>
            <w:webHidden/>
          </w:rPr>
        </w:r>
        <w:r>
          <w:rPr>
            <w:noProof/>
            <w:webHidden/>
          </w:rPr>
          <w:fldChar w:fldCharType="separate"/>
        </w:r>
        <w:r w:rsidR="00901AB1">
          <w:rPr>
            <w:noProof/>
            <w:webHidden/>
          </w:rPr>
          <w:t>38</w:t>
        </w:r>
        <w:r>
          <w:rPr>
            <w:noProof/>
            <w:webHidden/>
          </w:rPr>
          <w:fldChar w:fldCharType="end"/>
        </w:r>
      </w:hyperlink>
    </w:p>
    <w:p w:rsidR="00687F37" w:rsidRDefault="00121307">
      <w:pPr>
        <w:pStyle w:val="TableofFigures"/>
        <w:tabs>
          <w:tab w:val="right" w:leader="dot" w:pos="9344"/>
        </w:tabs>
        <w:rPr>
          <w:rFonts w:asciiTheme="minorHAnsi" w:eastAsiaTheme="minorEastAsia" w:hAnsiTheme="minorHAnsi" w:cstheme="minorBidi"/>
          <w:noProof/>
          <w:szCs w:val="22"/>
          <w:lang w:eastAsia="en-GB"/>
        </w:rPr>
      </w:pPr>
      <w:hyperlink w:anchor="_Toc404011385" w:history="1">
        <w:r w:rsidR="00687F37" w:rsidRPr="00074296">
          <w:rPr>
            <w:rStyle w:val="Hyperlink"/>
            <w:noProof/>
            <w:lang w:val="en-US"/>
          </w:rPr>
          <w:t>Map 13: The ten case studies selected for analysis and their thematic focus</w:t>
        </w:r>
        <w:r w:rsidR="00687F37">
          <w:rPr>
            <w:noProof/>
            <w:webHidden/>
          </w:rPr>
          <w:tab/>
        </w:r>
        <w:r>
          <w:rPr>
            <w:noProof/>
            <w:webHidden/>
          </w:rPr>
          <w:fldChar w:fldCharType="begin"/>
        </w:r>
        <w:r w:rsidR="00687F37">
          <w:rPr>
            <w:noProof/>
            <w:webHidden/>
          </w:rPr>
          <w:instrText xml:space="preserve"> PAGEREF _Toc404011385 \h </w:instrText>
        </w:r>
        <w:r>
          <w:rPr>
            <w:noProof/>
            <w:webHidden/>
          </w:rPr>
        </w:r>
        <w:r>
          <w:rPr>
            <w:noProof/>
            <w:webHidden/>
          </w:rPr>
          <w:fldChar w:fldCharType="separate"/>
        </w:r>
        <w:r w:rsidR="00901AB1">
          <w:rPr>
            <w:noProof/>
            <w:webHidden/>
          </w:rPr>
          <w:t>39</w:t>
        </w:r>
        <w:r>
          <w:rPr>
            <w:noProof/>
            <w:webHidden/>
          </w:rPr>
          <w:fldChar w:fldCharType="end"/>
        </w:r>
      </w:hyperlink>
    </w:p>
    <w:p w:rsidR="00170815" w:rsidRPr="002E30FB" w:rsidRDefault="00121307" w:rsidP="002E30FB">
      <w:pPr>
        <w:sectPr w:rsidR="00170815" w:rsidRPr="002E30FB" w:rsidSect="00164958">
          <w:footerReference w:type="default" r:id="rId11"/>
          <w:type w:val="continuous"/>
          <w:pgSz w:w="11906" w:h="16838"/>
          <w:pgMar w:top="1644" w:right="851" w:bottom="1644" w:left="1701" w:header="720" w:footer="720" w:gutter="0"/>
          <w:pgNumType w:fmt="lowerRoman" w:start="1"/>
          <w:cols w:space="720"/>
        </w:sectPr>
      </w:pPr>
      <w:r>
        <w:fldChar w:fldCharType="end"/>
      </w:r>
      <w:r w:rsidR="00ED4582">
        <w:br w:type="column"/>
      </w:r>
      <w:bookmarkStart w:id="1" w:name="_GoBack"/>
      <w:bookmarkEnd w:id="1"/>
    </w:p>
    <w:p w:rsidR="00E438A5" w:rsidRPr="00706E38" w:rsidRDefault="00E438A5" w:rsidP="00955892">
      <w:pPr>
        <w:pStyle w:val="Heading1"/>
      </w:pPr>
      <w:bookmarkStart w:id="2" w:name="_Toc401068749"/>
      <w:bookmarkStart w:id="3" w:name="_Toc410375309"/>
      <w:r w:rsidRPr="00955892">
        <w:lastRenderedPageBreak/>
        <w:t>Concepts</w:t>
      </w:r>
      <w:r w:rsidRPr="00706E38">
        <w:t>, indicators and policy context</w:t>
      </w:r>
      <w:bookmarkEnd w:id="2"/>
      <w:bookmarkEnd w:id="3"/>
    </w:p>
    <w:p w:rsidR="00E438A5" w:rsidRPr="00706E38" w:rsidRDefault="00E438A5" w:rsidP="00E438A5">
      <w:pPr>
        <w:pStyle w:val="Heading2"/>
      </w:pPr>
      <w:bookmarkStart w:id="4" w:name="_Toc410375310"/>
      <w:r w:rsidRPr="00706E38">
        <w:t xml:space="preserve">What </w:t>
      </w:r>
      <w:r w:rsidR="00801CF7" w:rsidRPr="00706E38">
        <w:t>is</w:t>
      </w:r>
      <w:r w:rsidRPr="00706E38">
        <w:t xml:space="preserve"> mean</w:t>
      </w:r>
      <w:r w:rsidR="00801CF7" w:rsidRPr="00706E38">
        <w:t>t</w:t>
      </w:r>
      <w:r w:rsidRPr="00706E38">
        <w:t xml:space="preserve"> by the terms </w:t>
      </w:r>
      <w:r w:rsidRPr="00706E38">
        <w:rPr>
          <w:i/>
          <w:iCs/>
        </w:rPr>
        <w:t>poverty</w:t>
      </w:r>
      <w:r w:rsidRPr="00706E38">
        <w:t xml:space="preserve"> and </w:t>
      </w:r>
      <w:r w:rsidRPr="00706E38">
        <w:rPr>
          <w:i/>
          <w:iCs/>
        </w:rPr>
        <w:t>social exclusion (PSE)</w:t>
      </w:r>
      <w:r w:rsidRPr="00706E38">
        <w:t>?</w:t>
      </w:r>
      <w:bookmarkEnd w:id="4"/>
    </w:p>
    <w:p w:rsidR="00195B65" w:rsidRPr="00706E38" w:rsidRDefault="00195B65" w:rsidP="00801CF7">
      <w:pPr>
        <w:rPr>
          <w:lang w:eastAsia="en-GB"/>
        </w:rPr>
      </w:pPr>
      <w:r w:rsidRPr="00706E38">
        <w:rPr>
          <w:lang w:eastAsia="en-GB"/>
        </w:rPr>
        <w:t>This project is about poverty and social exclusion. It is important to be as clear as possible at the outset about what we understand by these terms, and how they relate to similar concepts, such as disadvantage.</w:t>
      </w:r>
    </w:p>
    <w:p w:rsidR="00801CF7" w:rsidRPr="00706E38" w:rsidRDefault="00801CF7" w:rsidP="00801CF7">
      <w:pPr>
        <w:rPr>
          <w:lang w:eastAsia="en-GB"/>
        </w:rPr>
      </w:pPr>
      <w:r w:rsidRPr="00706E38">
        <w:rPr>
          <w:lang w:eastAsia="en-GB"/>
        </w:rPr>
        <w:t xml:space="preserve">The distinctive feature about poverty and social exclusion as a subject for academic research is the fact that it seems impossible to escape being “normative” – in other words all the definitions which follow derive from a view of what </w:t>
      </w:r>
      <w:r w:rsidRPr="00706E38">
        <w:rPr>
          <w:b/>
          <w:i/>
          <w:lang w:eastAsia="en-GB"/>
        </w:rPr>
        <w:t xml:space="preserve">should be, </w:t>
      </w:r>
      <w:r w:rsidRPr="00706E38">
        <w:rPr>
          <w:lang w:eastAsia="en-GB"/>
        </w:rPr>
        <w:t>or what</w:t>
      </w:r>
      <w:r w:rsidRPr="00706E38">
        <w:rPr>
          <w:b/>
          <w:i/>
          <w:lang w:eastAsia="en-GB"/>
        </w:rPr>
        <w:t xml:space="preserve"> </w:t>
      </w:r>
      <w:r w:rsidRPr="00706E38">
        <w:rPr>
          <w:lang w:eastAsia="en-GB"/>
        </w:rPr>
        <w:t>is considered</w:t>
      </w:r>
      <w:r w:rsidRPr="00706E38">
        <w:rPr>
          <w:b/>
          <w:i/>
          <w:lang w:eastAsia="en-GB"/>
        </w:rPr>
        <w:t xml:space="preserve"> </w:t>
      </w:r>
      <w:r w:rsidRPr="00706E38">
        <w:rPr>
          <w:lang w:eastAsia="en-GB"/>
        </w:rPr>
        <w:t xml:space="preserve">acceptable. </w:t>
      </w:r>
    </w:p>
    <w:p w:rsidR="00801CF7" w:rsidRPr="00706E38" w:rsidRDefault="00801CF7" w:rsidP="00801CF7">
      <w:r w:rsidRPr="00706E38">
        <w:rPr>
          <w:b/>
        </w:rPr>
        <w:t xml:space="preserve">Poverty </w:t>
      </w:r>
      <w:r w:rsidRPr="00706E38">
        <w:t>is commonly defined in two ways:</w:t>
      </w:r>
    </w:p>
    <w:p w:rsidR="00801CF7" w:rsidRPr="00706E38" w:rsidRDefault="00801CF7" w:rsidP="00F80427">
      <w:pPr>
        <w:pStyle w:val="ListParagraph"/>
        <w:numPr>
          <w:ilvl w:val="0"/>
          <w:numId w:val="3"/>
        </w:numPr>
      </w:pPr>
      <w:r w:rsidRPr="00706E38">
        <w:rPr>
          <w:i/>
        </w:rPr>
        <w:t>Absolute poverty</w:t>
      </w:r>
      <w:r w:rsidRPr="00706E38">
        <w:t xml:space="preserve"> is generally used in the context of less developed countries, and is characterised by deprivation in respect to a range of basic human needs.</w:t>
      </w:r>
    </w:p>
    <w:p w:rsidR="00801CF7" w:rsidRPr="00706E38" w:rsidRDefault="00801CF7" w:rsidP="00F80427">
      <w:pPr>
        <w:pStyle w:val="ListParagraph"/>
        <w:numPr>
          <w:ilvl w:val="0"/>
          <w:numId w:val="3"/>
        </w:numPr>
      </w:pPr>
      <w:r w:rsidRPr="00706E38">
        <w:rPr>
          <w:i/>
        </w:rPr>
        <w:t>Relative poverty</w:t>
      </w:r>
      <w:r w:rsidRPr="00706E38">
        <w:t xml:space="preserve"> is more commonly used in the European and US context, and is usually specified in terms of income (or access to/consumption of</w:t>
      </w:r>
      <w:proofErr w:type="gramStart"/>
      <w:r w:rsidRPr="00706E38">
        <w:t>,  material</w:t>
      </w:r>
      <w:proofErr w:type="gramEnd"/>
      <w:r w:rsidRPr="00706E38">
        <w:t xml:space="preserve"> resources) below a minimum acceptable level. </w:t>
      </w:r>
    </w:p>
    <w:p w:rsidR="00801CF7" w:rsidRPr="00706E38" w:rsidRDefault="00801CF7" w:rsidP="00801CF7">
      <w:r w:rsidRPr="00706E38">
        <w:rPr>
          <w:b/>
        </w:rPr>
        <w:t>Social Exclusion</w:t>
      </w:r>
      <w:r w:rsidRPr="00706E38">
        <w:t xml:space="preserve"> is a more complex, multi-faceted concept. Many would argue that it includes poverty within its broader definition. It may be distinguished from the more specific concept of poverty in a variety of ways:</w:t>
      </w:r>
    </w:p>
    <w:p w:rsidR="00801CF7" w:rsidRPr="00706E38" w:rsidRDefault="00801CF7" w:rsidP="00F80427">
      <w:pPr>
        <w:pStyle w:val="ListParagraph"/>
        <w:numPr>
          <w:ilvl w:val="0"/>
          <w:numId w:val="4"/>
        </w:numPr>
      </w:pPr>
      <w:r w:rsidRPr="00706E38">
        <w:t xml:space="preserve">It tends to characterise </w:t>
      </w:r>
      <w:r w:rsidRPr="00706E38">
        <w:rPr>
          <w:i/>
        </w:rPr>
        <w:t>groups</w:t>
      </w:r>
      <w:r w:rsidRPr="00706E38">
        <w:t>, rather than individuals.</w:t>
      </w:r>
    </w:p>
    <w:p w:rsidR="00801CF7" w:rsidRPr="00706E38" w:rsidRDefault="00801CF7" w:rsidP="00F80427">
      <w:pPr>
        <w:pStyle w:val="ListParagraph"/>
        <w:numPr>
          <w:ilvl w:val="0"/>
          <w:numId w:val="4"/>
        </w:numPr>
      </w:pPr>
      <w:r w:rsidRPr="00706E38">
        <w:t xml:space="preserve">It relates not only to income or physical wellbeing, but also to </w:t>
      </w:r>
      <w:r w:rsidRPr="00706E38">
        <w:rPr>
          <w:i/>
        </w:rPr>
        <w:t>inclusion</w:t>
      </w:r>
      <w:r w:rsidRPr="00706E38">
        <w:t xml:space="preserve"> within various aspects of society, including the labour market, administrative systems, association and community, institutions and democracy. These are sometimes referred to collectively as “normal citizenship”.</w:t>
      </w:r>
    </w:p>
    <w:p w:rsidR="00801CF7" w:rsidRPr="00706E38" w:rsidRDefault="00801CF7" w:rsidP="00F80427">
      <w:pPr>
        <w:pStyle w:val="ListParagraph"/>
        <w:numPr>
          <w:ilvl w:val="0"/>
          <w:numId w:val="4"/>
        </w:numPr>
      </w:pPr>
      <w:r w:rsidRPr="00706E38">
        <w:t xml:space="preserve">It is essentially </w:t>
      </w:r>
      <w:r w:rsidRPr="00706E38">
        <w:rPr>
          <w:i/>
        </w:rPr>
        <w:t>relational</w:t>
      </w:r>
      <w:r w:rsidRPr="00706E38">
        <w:t>, whereas poverty concerns distribution of resources.</w:t>
      </w:r>
    </w:p>
    <w:p w:rsidR="00801CF7" w:rsidRPr="00706E38" w:rsidRDefault="00801CF7" w:rsidP="00F80427">
      <w:pPr>
        <w:pStyle w:val="ListParagraph"/>
        <w:numPr>
          <w:ilvl w:val="0"/>
          <w:numId w:val="4"/>
        </w:numPr>
      </w:pPr>
      <w:r w:rsidRPr="00706E38">
        <w:t xml:space="preserve">It is conceived as a dynamic social and economic </w:t>
      </w:r>
      <w:r w:rsidRPr="00706E38">
        <w:rPr>
          <w:i/>
        </w:rPr>
        <w:t>process</w:t>
      </w:r>
      <w:r w:rsidRPr="00706E38">
        <w:t>, rather than a state, or an arithmetic calculation.</w:t>
      </w:r>
    </w:p>
    <w:p w:rsidR="00801CF7" w:rsidRPr="00706E38" w:rsidRDefault="00801CF7" w:rsidP="00F80427">
      <w:pPr>
        <w:pStyle w:val="ListParagraph"/>
        <w:numPr>
          <w:ilvl w:val="0"/>
          <w:numId w:val="4"/>
        </w:numPr>
      </w:pPr>
      <w:r w:rsidRPr="00706E38">
        <w:t xml:space="preserve">It seems to have originated in a French discourse during the 1960s and 1970s, and has been more influential across “continental” Europe, (whilst poverty is a more commonly used concept in the UK and Ireland). </w:t>
      </w:r>
    </w:p>
    <w:p w:rsidR="00801CF7" w:rsidRPr="00706E38" w:rsidRDefault="00801CF7" w:rsidP="00801CF7">
      <w:r w:rsidRPr="00706E38">
        <w:rPr>
          <w:b/>
        </w:rPr>
        <w:t>Poverty and Social Exclusion</w:t>
      </w:r>
      <w:r w:rsidRPr="00706E38">
        <w:t xml:space="preserve">: It has become conventional in the context of EU policy to combine both of the above concepts, and thus avoid the difficulty of drawing a line between them. It is important to recognise, however that such a formulation introduces difficulties in some contexts. For example in the wealthier Member States the groups which may be identified as experiencing exclusion cannot easily be conceived as being in poverty. On the other hand, in some of the less prosperous parts of the New Member States it may be argued that poverty may be ameliorated </w:t>
      </w:r>
      <w:r w:rsidRPr="00706E38">
        <w:lastRenderedPageBreak/>
        <w:t xml:space="preserve">relatively quickly, whilst some aspects of social exclusion are more deeply rooted, being, </w:t>
      </w:r>
      <w:r w:rsidR="00195B65" w:rsidRPr="00706E38">
        <w:t>for example</w:t>
      </w:r>
      <w:r w:rsidRPr="00706E38">
        <w:t>, associated with minority groups.</w:t>
      </w:r>
    </w:p>
    <w:p w:rsidR="00801CF7" w:rsidRPr="00706E38" w:rsidRDefault="00801CF7" w:rsidP="00801CF7">
      <w:pPr>
        <w:rPr>
          <w:i/>
        </w:rPr>
      </w:pPr>
      <w:r w:rsidRPr="00706E38">
        <w:t xml:space="preserve">Talbot, Madanipour and </w:t>
      </w:r>
      <w:proofErr w:type="spellStart"/>
      <w:r w:rsidRPr="00706E38">
        <w:t>Shucksmith</w:t>
      </w:r>
      <w:proofErr w:type="spellEnd"/>
      <w:r w:rsidRPr="00706E38">
        <w:t xml:space="preserve"> (</w:t>
      </w:r>
      <w:r w:rsidR="00471C90" w:rsidRPr="00706E38">
        <w:t>Annex</w:t>
      </w:r>
      <w:r w:rsidR="0070486B" w:rsidRPr="00706E38">
        <w:t xml:space="preserve"> 1</w:t>
      </w:r>
      <w:r w:rsidRPr="00706E38">
        <w:t>, p8-9) provide the following statement, which neatly summarises the approach adopted in this project: “</w:t>
      </w:r>
      <w:r w:rsidRPr="00706E38">
        <w:rPr>
          <w:i/>
        </w:rPr>
        <w:t>In the TIPSE project we take the view,… that poverty and social exclusion are closely related, but nevertheless are distinct phenomena. Within a policy context, at least, poverty is usually considered a relatively narrow income-based concept, which is amenable to quantification and definition according to specific benchmarks…. Social exclusion, on the other hand, is a multi-dimensional characteristic, defined according to context, and often assessed in more qualitative ways. …social exclusion is often a process rather than simply a state at a point in time: it refers to both processes and consequent situations… Poverty and social exclusion are not necessarily associated or co-located, since social exclusion is not always a function of low income.”</w:t>
      </w:r>
    </w:p>
    <w:p w:rsidR="00B476C4" w:rsidRPr="00706E38" w:rsidRDefault="00B476C4" w:rsidP="00B476C4">
      <w:r w:rsidRPr="00706E38">
        <w:rPr>
          <w:b/>
        </w:rPr>
        <w:t>Different kinds of Poverty and Social Exclusion: Domains and Dimensions</w:t>
      </w:r>
      <w:r w:rsidRPr="00706E38">
        <w:t>: The multi-faceted nature of PSE has already been noted. The review of concepts (</w:t>
      </w:r>
      <w:r w:rsidR="00471C90" w:rsidRPr="00706E38">
        <w:t>Annex</w:t>
      </w:r>
      <w:r w:rsidRPr="00706E38">
        <w:t xml:space="preserve"> 1) suggested a simple thematic structure </w:t>
      </w:r>
      <w:r w:rsidR="00EF50DB" w:rsidRPr="00706E38">
        <w:t xml:space="preserve">(similar to that proposed by the UNDP (2011)), </w:t>
      </w:r>
      <w:r w:rsidRPr="00706E38">
        <w:t>which helpfully summarises the range of relevant issues within four broad “domains”:</w:t>
      </w:r>
    </w:p>
    <w:p w:rsidR="00B476C4" w:rsidRPr="00706E38" w:rsidRDefault="00B476C4" w:rsidP="00F80427">
      <w:pPr>
        <w:pStyle w:val="ListParagraph"/>
        <w:numPr>
          <w:ilvl w:val="0"/>
          <w:numId w:val="7"/>
        </w:numPr>
      </w:pPr>
      <w:r w:rsidRPr="00706E38">
        <w:t>Earning a living</w:t>
      </w:r>
    </w:p>
    <w:p w:rsidR="00B476C4" w:rsidRPr="00706E38" w:rsidRDefault="00B476C4" w:rsidP="00F80427">
      <w:pPr>
        <w:pStyle w:val="ListParagraph"/>
        <w:numPr>
          <w:ilvl w:val="0"/>
          <w:numId w:val="7"/>
        </w:numPr>
      </w:pPr>
      <w:r w:rsidRPr="00706E38">
        <w:t>Access to basic services</w:t>
      </w:r>
    </w:p>
    <w:p w:rsidR="00B476C4" w:rsidRPr="00706E38" w:rsidRDefault="00B476C4" w:rsidP="00F80427">
      <w:pPr>
        <w:pStyle w:val="ListParagraph"/>
        <w:numPr>
          <w:ilvl w:val="0"/>
          <w:numId w:val="7"/>
        </w:numPr>
      </w:pPr>
      <w:r w:rsidRPr="00706E38">
        <w:t>Social environment</w:t>
      </w:r>
    </w:p>
    <w:p w:rsidR="00B476C4" w:rsidRPr="00706E38" w:rsidRDefault="00B476C4" w:rsidP="00F80427">
      <w:pPr>
        <w:pStyle w:val="ListParagraph"/>
        <w:numPr>
          <w:ilvl w:val="0"/>
          <w:numId w:val="7"/>
        </w:numPr>
      </w:pPr>
      <w:r w:rsidRPr="00706E38">
        <w:t>Political participation</w:t>
      </w:r>
    </w:p>
    <w:p w:rsidR="00B476C4" w:rsidRPr="00706E38" w:rsidRDefault="00B476C4" w:rsidP="00B476C4">
      <w:r w:rsidRPr="00706E38">
        <w:t>Each of these domains is further subdivided into a series of more specific “dimensions”. This structure has proved a helpful framework for the organisation of empirical material (see section 4 in particular).</w:t>
      </w:r>
    </w:p>
    <w:p w:rsidR="00BB46DA" w:rsidRPr="00706E38" w:rsidRDefault="00BB46DA" w:rsidP="00801CF7">
      <w:r w:rsidRPr="00706E38">
        <w:rPr>
          <w:b/>
        </w:rPr>
        <w:t>Closely related concepts:</w:t>
      </w:r>
      <w:r w:rsidRPr="00706E38">
        <w:t xml:space="preserve"> Before moving on to consider what the research literature tell us about how poverty and social exclusion tend to be distributed across space, it will be helpful to take note of some other concepts/terminology which are commonly used.</w:t>
      </w:r>
    </w:p>
    <w:p w:rsidR="009B10A4" w:rsidRPr="00706E38" w:rsidRDefault="009B10A4" w:rsidP="009B10A4">
      <w:r w:rsidRPr="00706E38">
        <w:rPr>
          <w:i/>
        </w:rPr>
        <w:t>Deprivation</w:t>
      </w:r>
      <w:r w:rsidRPr="00706E38">
        <w:t xml:space="preserve"> is commonly associated with poverty. It has, for example, long been the preferred measure upon which to base allocation of regeneration funding in the UK. A definition originating almost three decades ago (Townsend 1987, p140) continues to be cited: “People can be said to be deprived if they lack the material standards of diet, clothing, housing, household facilities, working, environmental and locational conditions and facilities which are ordinarily available in their society, and do not participate in or have access to the forms of employment, occupation, education, recreation and family and social activities and relationships which are commonly experienced or accepted.” Thus deprivation has links to poverty, in that material aspects are generally associated with a lack of financial resources, but deprivation </w:t>
      </w:r>
      <w:r w:rsidRPr="00706E38">
        <w:lastRenderedPageBreak/>
        <w:t xml:space="preserve">can also be social, and thus also partly overlaps with social exclusion. In practice, due to availability of indicators, it has been operationalised as </w:t>
      </w:r>
      <w:r w:rsidRPr="00706E38">
        <w:rPr>
          <w:i/>
        </w:rPr>
        <w:t>material deprivation</w:t>
      </w:r>
      <w:r w:rsidRPr="00706E38">
        <w:t xml:space="preserve">. </w:t>
      </w:r>
    </w:p>
    <w:p w:rsidR="002C6601" w:rsidRPr="00706E38" w:rsidRDefault="002C6601" w:rsidP="002C6601">
      <w:pPr>
        <w:keepNext/>
      </w:pPr>
      <w:r w:rsidRPr="00706E38">
        <w:rPr>
          <w:noProof/>
          <w:lang w:eastAsia="en-GB"/>
        </w:rPr>
        <w:drawing>
          <wp:inline distT="0" distB="0" distL="0" distR="0">
            <wp:extent cx="3819525" cy="26860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9525" cy="2686050"/>
                    </a:xfrm>
                    <a:prstGeom prst="rect">
                      <a:avLst/>
                    </a:prstGeom>
                    <a:noFill/>
                    <a:ln>
                      <a:noFill/>
                    </a:ln>
                  </pic:spPr>
                </pic:pic>
              </a:graphicData>
            </a:graphic>
          </wp:inline>
        </w:drawing>
      </w:r>
    </w:p>
    <w:p w:rsidR="002C6601" w:rsidRPr="00706E38" w:rsidRDefault="002C6601" w:rsidP="002C6601">
      <w:pPr>
        <w:pStyle w:val="Caption"/>
      </w:pPr>
      <w:bookmarkStart w:id="5" w:name="_Toc404011332"/>
      <w:r w:rsidRPr="00706E38">
        <w:t xml:space="preserve">Figure </w:t>
      </w:r>
      <w:fldSimple w:instr=" SEQ Figure \* ARABIC ">
        <w:r w:rsidR="000F31D5" w:rsidRPr="00706E38">
          <w:rPr>
            <w:noProof/>
          </w:rPr>
          <w:t>1</w:t>
        </w:r>
      </w:fldSimple>
      <w:r w:rsidRPr="00706E38">
        <w:t>: Key Concepts; Income Poverty, Social Exclusion and Deprivation</w:t>
      </w:r>
      <w:bookmarkEnd w:id="5"/>
    </w:p>
    <w:p w:rsidR="00907FD5" w:rsidRPr="00706E38" w:rsidRDefault="00907FD5" w:rsidP="00907FD5">
      <w:pPr>
        <w:spacing w:before="0"/>
      </w:pPr>
      <w:r w:rsidRPr="00706E38">
        <w:t>Source: Own elaboration</w:t>
      </w:r>
    </w:p>
    <w:p w:rsidR="009C09D3" w:rsidRPr="00706E38" w:rsidRDefault="009C09D3" w:rsidP="00801CF7">
      <w:r w:rsidRPr="00706E38">
        <w:t>Some have argued (</w:t>
      </w:r>
      <w:proofErr w:type="spellStart"/>
      <w:r w:rsidRPr="00706E38">
        <w:t>R</w:t>
      </w:r>
      <w:r w:rsidR="00CF1AA0" w:rsidRPr="00706E38">
        <w:t>ingen</w:t>
      </w:r>
      <w:proofErr w:type="spellEnd"/>
      <w:r w:rsidR="00CF1AA0" w:rsidRPr="00706E38">
        <w:t xml:space="preserve"> 1988</w:t>
      </w:r>
      <w:r w:rsidRPr="00706E38">
        <w:t xml:space="preserve">) that assessing material deprivation is in fact a more </w:t>
      </w:r>
      <w:r w:rsidRPr="00706E38">
        <w:rPr>
          <w:i/>
        </w:rPr>
        <w:t xml:space="preserve">direct </w:t>
      </w:r>
      <w:r w:rsidRPr="00706E38">
        <w:t xml:space="preserve">approach to poverty than the measurement of disposable income. </w:t>
      </w:r>
      <w:r w:rsidR="003C496C" w:rsidRPr="00706E38">
        <w:t>Several a</w:t>
      </w:r>
      <w:r w:rsidRPr="00706E38">
        <w:t>nalys</w:t>
      </w:r>
      <w:r w:rsidR="003C496C" w:rsidRPr="00706E38">
        <w:t>e</w:t>
      </w:r>
      <w:r w:rsidRPr="00706E38">
        <w:t xml:space="preserve">s of the distribution of material deprivation, on the one hand, and </w:t>
      </w:r>
      <w:r w:rsidR="00453C8A" w:rsidRPr="00706E38">
        <w:t xml:space="preserve">income on the other, </w:t>
      </w:r>
      <w:r w:rsidR="003C496C" w:rsidRPr="00706E38">
        <w:t xml:space="preserve">using European Household Panel Survey data, </w:t>
      </w:r>
      <w:r w:rsidR="000D7F52" w:rsidRPr="00706E38">
        <w:t>have</w:t>
      </w:r>
      <w:r w:rsidR="00453C8A" w:rsidRPr="00706E38">
        <w:t xml:space="preserve"> shown that </w:t>
      </w:r>
      <w:r w:rsidR="003C496C" w:rsidRPr="00706E38">
        <w:t xml:space="preserve">“a relatively weak relationship exists between income poverty and deprivation. A substantial proportion of those on low incomes are not suffering deprivation…” (Whelan, </w:t>
      </w:r>
      <w:r w:rsidR="008C7CD9" w:rsidRPr="00706E38">
        <w:t>et al</w:t>
      </w:r>
      <w:r w:rsidR="003C496C" w:rsidRPr="00706E38">
        <w:rPr>
          <w:rFonts w:cs="Arial"/>
        </w:rPr>
        <w:t xml:space="preserve"> 2002</w:t>
      </w:r>
      <w:r w:rsidR="008C7CD9" w:rsidRPr="00706E38">
        <w:rPr>
          <w:rFonts w:cs="Arial"/>
        </w:rPr>
        <w:t>a p93 see also Whelan et al 2002b</w:t>
      </w:r>
      <w:r w:rsidR="003C496C" w:rsidRPr="00706E38">
        <w:rPr>
          <w:rFonts w:cs="Arial"/>
        </w:rPr>
        <w:t>).</w:t>
      </w:r>
      <w:r w:rsidR="00453C8A" w:rsidRPr="00706E38">
        <w:t xml:space="preserve"> </w:t>
      </w:r>
      <w:r w:rsidR="00A66D55" w:rsidRPr="00706E38">
        <w:t>The intersection between income poverty and deprivation has been termed “</w:t>
      </w:r>
      <w:r w:rsidR="00A66D55" w:rsidRPr="00706E38">
        <w:rPr>
          <w:i/>
        </w:rPr>
        <w:t>consistent” poverty.</w:t>
      </w:r>
      <w:r w:rsidR="00A66D55" w:rsidRPr="00706E38">
        <w:t xml:space="preserve"> </w:t>
      </w:r>
      <w:r w:rsidR="003C496C" w:rsidRPr="00706E38">
        <w:t>One of the key reasons for the mismatch</w:t>
      </w:r>
      <w:r w:rsidR="00A66D55" w:rsidRPr="00706E38">
        <w:t xml:space="preserve"> between</w:t>
      </w:r>
      <w:r w:rsidR="003C496C" w:rsidRPr="00706E38">
        <w:t xml:space="preserve"> </w:t>
      </w:r>
      <w:r w:rsidR="00A66D55" w:rsidRPr="00706E38">
        <w:t xml:space="preserve">income poverty and deprivation </w:t>
      </w:r>
      <w:r w:rsidR="003C496C" w:rsidRPr="00706E38">
        <w:t>is the fact that the population below the</w:t>
      </w:r>
      <w:r w:rsidR="00B3336F" w:rsidRPr="00706E38">
        <w:t xml:space="preserve"> poverty line seems to be rather fluid. Deprivation is more likely for those households which endure income poverty for prolonged periods</w:t>
      </w:r>
      <w:r w:rsidR="007B4109" w:rsidRPr="00706E38">
        <w:t>, and whose reserves are exhausted</w:t>
      </w:r>
      <w:r w:rsidR="00B3336F" w:rsidRPr="00706E38">
        <w:t xml:space="preserve">. </w:t>
      </w:r>
      <w:r w:rsidR="00453C8A" w:rsidRPr="00706E38">
        <w:t>Th</w:t>
      </w:r>
      <w:r w:rsidR="002449B3" w:rsidRPr="00706E38">
        <w:t xml:space="preserve">ese are sometimes described as being in </w:t>
      </w:r>
      <w:r w:rsidR="000D7F52" w:rsidRPr="00706E38">
        <w:t>“</w:t>
      </w:r>
      <w:r w:rsidR="000D7F52" w:rsidRPr="00706E38">
        <w:rPr>
          <w:i/>
        </w:rPr>
        <w:t>persistent</w:t>
      </w:r>
      <w:r w:rsidR="000D7F52" w:rsidRPr="00706E38">
        <w:t>”</w:t>
      </w:r>
      <w:r w:rsidR="002449B3" w:rsidRPr="00706E38">
        <w:t xml:space="preserve"> poverty</w:t>
      </w:r>
      <w:r w:rsidR="000D7F52" w:rsidRPr="00706E38">
        <w:t xml:space="preserve"> </w:t>
      </w:r>
      <w:r w:rsidR="00874253" w:rsidRPr="00706E38">
        <w:t>(</w:t>
      </w:r>
      <w:proofErr w:type="spellStart"/>
      <w:r w:rsidR="00874253" w:rsidRPr="00706E38">
        <w:t>F</w:t>
      </w:r>
      <w:r w:rsidR="00874253" w:rsidRPr="00706E38">
        <w:rPr>
          <w:rFonts w:cs="Arial"/>
        </w:rPr>
        <w:t>ö</w:t>
      </w:r>
      <w:r w:rsidR="00874253" w:rsidRPr="00706E38">
        <w:t>rster</w:t>
      </w:r>
      <w:proofErr w:type="spellEnd"/>
      <w:r w:rsidR="00874253" w:rsidRPr="00706E38">
        <w:t xml:space="preserve"> et al 2004)</w:t>
      </w:r>
      <w:r w:rsidR="002C6601" w:rsidRPr="00706E38">
        <w:t xml:space="preserve"> </w:t>
      </w:r>
      <w:r w:rsidR="002449B3" w:rsidRPr="00706E38">
        <w:t>These concepts</w:t>
      </w:r>
      <w:r w:rsidR="00453C8A" w:rsidRPr="00706E38">
        <w:t xml:space="preserve"> seem to have </w:t>
      </w:r>
      <w:r w:rsidR="002449B3" w:rsidRPr="00706E38">
        <w:t>influenced</w:t>
      </w:r>
      <w:r w:rsidR="00453C8A" w:rsidRPr="00706E38">
        <w:t xml:space="preserve"> the way in which the EU currently monitors its progress towards its poverty and social exclusion targets (see below).</w:t>
      </w:r>
    </w:p>
    <w:p w:rsidR="00801CF7" w:rsidRPr="00706E38" w:rsidRDefault="00801CF7" w:rsidP="00801CF7">
      <w:pPr>
        <w:pStyle w:val="Heading2"/>
      </w:pPr>
      <w:bookmarkStart w:id="6" w:name="_Toc410375311"/>
      <w:r w:rsidRPr="00706E38">
        <w:t>Poverty and Social Exclusion as Spatial Phenomena</w:t>
      </w:r>
      <w:bookmarkEnd w:id="6"/>
    </w:p>
    <w:p w:rsidR="00801CF7" w:rsidRPr="00706E38" w:rsidRDefault="00801CF7" w:rsidP="00801CF7">
      <w:r w:rsidRPr="00706E38">
        <w:t xml:space="preserve">Here the objective is not to describe the geography of poverty and social exclusion, </w:t>
      </w:r>
      <w:r w:rsidRPr="00706E38">
        <w:rPr>
          <w:i/>
        </w:rPr>
        <w:t>per se</w:t>
      </w:r>
      <w:r w:rsidRPr="00706E38">
        <w:t>, but rather to consider the processes which may lead to spatial differentiation. Having said this, the question of scale immediately arises. It is unlikely that processes associated with macro-regional contrasts between (for example) the New Member States, especially Bulgaria and Romania, and the “pentagon” at the heart of Europe, or between the “Mediterranean Arc” and the Nordic Member States, are of any relevance when considering micro-scale variations between urban neighbourhoods</w:t>
      </w:r>
      <w:r w:rsidR="007B4109" w:rsidRPr="00706E38">
        <w:t>, and vice versa</w:t>
      </w:r>
      <w:r w:rsidRPr="00706E38">
        <w:t>.</w:t>
      </w:r>
    </w:p>
    <w:p w:rsidR="00801CF7" w:rsidRPr="00706E38" w:rsidRDefault="00801CF7" w:rsidP="00801CF7">
      <w:r w:rsidRPr="00706E38">
        <w:lastRenderedPageBreak/>
        <w:t>In fact the academic literature on poverty and social exclusion tells us little about macro scale disparities (which are perhaps seen as just one element of broader regional analyses). Poverty and social exclusion experts have instead focused upon what may be seen as a “chicken and egg” problem: whether micro-scale patterns simply reflect geographical variations in resource endowments, or the tendency for poor/excluded people to congregate, or whether vicious circles of negative feedback reinforce and exacerbate the disparities. The latter is commonly referred to as the “neighbourhood effect”. Potential explanations relate to property market mechanisms, planning processes, social stereotyping and fear, and limitations to access and mobility.</w:t>
      </w:r>
    </w:p>
    <w:p w:rsidR="00801CF7" w:rsidRPr="00706E38" w:rsidRDefault="00801CF7" w:rsidP="00801CF7">
      <w:r w:rsidRPr="00706E38">
        <w:t xml:space="preserve">A more “concrete” issue is whether poverty and social exclusion is associated with rural/sparse/peripheral localities, or whether it is associated with dense urban environments, or those particularly affected by structural changes in the economy. The answer is in part inter-connected with the macro-scale patterns mentioned in the previous paragraph: - </w:t>
      </w:r>
      <w:r w:rsidR="00047743" w:rsidRPr="00706E38">
        <w:t xml:space="preserve">Eurostat analysis has suggested that </w:t>
      </w:r>
      <w:r w:rsidRPr="00706E38">
        <w:t xml:space="preserve">poverty is broadly associated with </w:t>
      </w:r>
      <w:proofErr w:type="spellStart"/>
      <w:r w:rsidRPr="00706E38">
        <w:t>rurality</w:t>
      </w:r>
      <w:proofErr w:type="spellEnd"/>
      <w:r w:rsidRPr="00706E38">
        <w:t xml:space="preserve"> in the New Member States, and in the East and South, but with urban neighbourhoods in the Old Member States and the Centre and North</w:t>
      </w:r>
      <w:r w:rsidRPr="00706E38">
        <w:rPr>
          <w:rStyle w:val="FootnoteReference"/>
        </w:rPr>
        <w:footnoteReference w:id="1"/>
      </w:r>
      <w:r w:rsidRPr="00706E38">
        <w:t>. Throughout Europe social exclusion may be associated with geographical remoteness or isolation, often exacerbated by poor access to services of general interest (SGI).</w:t>
      </w:r>
    </w:p>
    <w:p w:rsidR="00801CF7" w:rsidRPr="00706E38" w:rsidRDefault="00801CF7" w:rsidP="00801CF7">
      <w:r w:rsidRPr="00706E38">
        <w:t xml:space="preserve">It is a key task for the </w:t>
      </w:r>
      <w:proofErr w:type="spellStart"/>
      <w:r w:rsidRPr="00706E38">
        <w:t>TiPSE</w:t>
      </w:r>
      <w:proofErr w:type="spellEnd"/>
      <w:r w:rsidRPr="00706E38">
        <w:t xml:space="preserve"> project to enhance the understanding of the spatial distribution of poverty and social exclusion, in relation (for example) to the different contexts identified by the ESPON typologies</w:t>
      </w:r>
      <w:r w:rsidR="00246737" w:rsidRPr="00706E38">
        <w:t xml:space="preserve"> </w:t>
      </w:r>
      <w:proofErr w:type="gramStart"/>
      <w:r w:rsidR="00246737" w:rsidRPr="00706E38">
        <w:t>( see</w:t>
      </w:r>
      <w:proofErr w:type="gramEnd"/>
      <w:r w:rsidR="00246737" w:rsidRPr="00706E38">
        <w:t xml:space="preserve"> S</w:t>
      </w:r>
      <w:r w:rsidR="002C6601" w:rsidRPr="00706E38">
        <w:t xml:space="preserve">ection </w:t>
      </w:r>
      <w:r w:rsidR="00246737" w:rsidRPr="00706E38">
        <w:t>3</w:t>
      </w:r>
      <w:r w:rsidR="002C6601" w:rsidRPr="00706E38">
        <w:t>)</w:t>
      </w:r>
      <w:r w:rsidRPr="00706E38">
        <w:t>.</w:t>
      </w:r>
    </w:p>
    <w:p w:rsidR="00276709" w:rsidRPr="00706E38" w:rsidRDefault="00E438A5" w:rsidP="00E438A5">
      <w:pPr>
        <w:pStyle w:val="Heading2"/>
        <w:rPr>
          <w:noProof/>
        </w:rPr>
      </w:pPr>
      <w:bookmarkStart w:id="7" w:name="_Toc410375312"/>
      <w:r w:rsidRPr="00706E38">
        <w:rPr>
          <w:noProof/>
        </w:rPr>
        <w:t>How are Poverty and Social Exclusion generally measured?</w:t>
      </w:r>
      <w:bookmarkEnd w:id="7"/>
    </w:p>
    <w:p w:rsidR="00E438A5" w:rsidRPr="00706E38" w:rsidRDefault="00AB1BE3" w:rsidP="00E438A5">
      <w:pPr>
        <w:rPr>
          <w:noProof/>
        </w:rPr>
      </w:pPr>
      <w:r w:rsidRPr="00706E38">
        <w:rPr>
          <w:noProof/>
        </w:rPr>
        <w:t xml:space="preserve">In the light of the complexity of the conceptual background, and the subtle differences between the various academic perspectives on the phenomena, it is perhaps encouraging that, when faced with the challenge of measurement, data availability constraints dictate that some of the fine distinctions disappear. In particular, social exclusion and disadvantage, when </w:t>
      </w:r>
      <w:r w:rsidR="00226D40" w:rsidRPr="00706E38">
        <w:rPr>
          <w:noProof/>
        </w:rPr>
        <w:t>operationalised, turn out to be fairly similar species.</w:t>
      </w:r>
    </w:p>
    <w:p w:rsidR="00C53375" w:rsidRPr="00706E38" w:rsidRDefault="005A085A" w:rsidP="00E438A5">
      <w:pPr>
        <w:rPr>
          <w:noProof/>
        </w:rPr>
      </w:pPr>
      <w:r w:rsidRPr="00706E38">
        <w:rPr>
          <w:noProof/>
        </w:rPr>
        <w:t xml:space="preserve">There are broadly three types of data which are commonly used as indicators of poverty or social exclusion. </w:t>
      </w:r>
      <w:r w:rsidR="00C53375" w:rsidRPr="00706E38">
        <w:rPr>
          <w:noProof/>
        </w:rPr>
        <w:t xml:space="preserve">The first is </w:t>
      </w:r>
      <w:r w:rsidR="00C53375" w:rsidRPr="00706E38">
        <w:rPr>
          <w:i/>
          <w:noProof/>
        </w:rPr>
        <w:t>administrative</w:t>
      </w:r>
      <w:r w:rsidR="00C53375" w:rsidRPr="00706E38">
        <w:rPr>
          <w:noProof/>
        </w:rPr>
        <w:t xml:space="preserve"> or “</w:t>
      </w:r>
      <w:r w:rsidR="00C53375" w:rsidRPr="00706E38">
        <w:rPr>
          <w:i/>
          <w:noProof/>
        </w:rPr>
        <w:t>register</w:t>
      </w:r>
      <w:r w:rsidR="00C53375" w:rsidRPr="00706E38">
        <w:rPr>
          <w:noProof/>
        </w:rPr>
        <w:t xml:space="preserve">” data, such as income data collected by tax authorities, or information associated with the delivery of social welfare payments. Clearly these kinds of data are the most comprehensive and reliable, but they may also be problematic, especially when spatially </w:t>
      </w:r>
      <w:r w:rsidR="00C53375" w:rsidRPr="00706E38">
        <w:rPr>
          <w:noProof/>
        </w:rPr>
        <w:lastRenderedPageBreak/>
        <w:t xml:space="preserve">disaggregated, in terms of the disclosure of personal information. Furthermore they </w:t>
      </w:r>
      <w:r w:rsidR="00CF3768" w:rsidRPr="00706E38">
        <w:rPr>
          <w:noProof/>
        </w:rPr>
        <w:t>cannot</w:t>
      </w:r>
      <w:r w:rsidR="00C53375" w:rsidRPr="00706E38">
        <w:rPr>
          <w:noProof/>
        </w:rPr>
        <w:t xml:space="preserve"> cover the less material aspects of social exclusion.</w:t>
      </w:r>
    </w:p>
    <w:p w:rsidR="00226D40" w:rsidRPr="00706E38" w:rsidRDefault="00C53375" w:rsidP="00E438A5">
      <w:pPr>
        <w:rPr>
          <w:noProof/>
        </w:rPr>
      </w:pPr>
      <w:r w:rsidRPr="00706E38">
        <w:rPr>
          <w:noProof/>
        </w:rPr>
        <w:t>The second (more common) type of data</w:t>
      </w:r>
      <w:r w:rsidR="005A085A" w:rsidRPr="00706E38">
        <w:rPr>
          <w:noProof/>
        </w:rPr>
        <w:t xml:space="preserve"> is </w:t>
      </w:r>
      <w:r w:rsidR="005A085A" w:rsidRPr="00706E38">
        <w:rPr>
          <w:i/>
          <w:noProof/>
        </w:rPr>
        <w:t>survey</w:t>
      </w:r>
      <w:r w:rsidR="005A085A" w:rsidRPr="00706E38">
        <w:rPr>
          <w:noProof/>
        </w:rPr>
        <w:t xml:space="preserve"> data, collected for a sample of individuals or households. This provides an opportunity both to explore income and expenditure in detail, and to ask specific questions about “direct” poverty indicators, usually </w:t>
      </w:r>
      <w:r w:rsidR="00CF3768" w:rsidRPr="00706E38">
        <w:rPr>
          <w:noProof/>
        </w:rPr>
        <w:t xml:space="preserve">in terms of the </w:t>
      </w:r>
      <w:r w:rsidR="005A085A" w:rsidRPr="00706E38">
        <w:rPr>
          <w:noProof/>
        </w:rPr>
        <w:t xml:space="preserve">ability to afford a specific range of goods and services, or subjective perceptions of financial stress. </w:t>
      </w:r>
    </w:p>
    <w:p w:rsidR="00C53375" w:rsidRPr="00706E38" w:rsidRDefault="00C53375" w:rsidP="00E438A5">
      <w:pPr>
        <w:rPr>
          <w:noProof/>
        </w:rPr>
      </w:pPr>
      <w:r w:rsidRPr="00706E38">
        <w:rPr>
          <w:noProof/>
        </w:rPr>
        <w:t xml:space="preserve">The third type of data </w:t>
      </w:r>
      <w:r w:rsidR="005D7FC3" w:rsidRPr="00706E38">
        <w:rPr>
          <w:noProof/>
        </w:rPr>
        <w:t>differs rather fundamentally from the first two in several ways. Proxy indicators are frequently derived from Population Census, or other secondary data sources. Unlike register or survey data, these are generally aggregated over regions or small areas, and expressed as ratios to the total population or a segment of it.</w:t>
      </w:r>
    </w:p>
    <w:p w:rsidR="001059C8" w:rsidRPr="00706E38" w:rsidRDefault="00983895" w:rsidP="00E438A5">
      <w:pPr>
        <w:rPr>
          <w:noProof/>
        </w:rPr>
      </w:pPr>
      <w:r w:rsidRPr="00706E38">
        <w:rPr>
          <w:noProof/>
        </w:rPr>
        <w:t xml:space="preserve">The most commonly used poverty indicators are the at-risk-of-poverty (ARoP) rate, the poverty </w:t>
      </w:r>
      <w:r w:rsidR="00E460E1" w:rsidRPr="00706E38">
        <w:rPr>
          <w:noProof/>
        </w:rPr>
        <w:t>gap, the inter-quintile sha</w:t>
      </w:r>
      <w:r w:rsidRPr="00706E38">
        <w:rPr>
          <w:noProof/>
        </w:rPr>
        <w:t>re ratio, and the material deprivation indicator. These were described in detail in Annex 2 of the TiPSE Inception Report. The first of these is the focus o</w:t>
      </w:r>
      <w:r w:rsidR="00246737" w:rsidRPr="00706E38">
        <w:rPr>
          <w:noProof/>
        </w:rPr>
        <w:t>f</w:t>
      </w:r>
      <w:r w:rsidRPr="00706E38">
        <w:rPr>
          <w:noProof/>
        </w:rPr>
        <w:t xml:space="preserve"> Section 3 of this report. There are no generally accepted indicators of social exclusion, though some of the indicators defined in conjunction with the </w:t>
      </w:r>
      <w:r w:rsidR="007D4E66" w:rsidRPr="00706E38">
        <w:rPr>
          <w:noProof/>
        </w:rPr>
        <w:t xml:space="preserve">EU’s </w:t>
      </w:r>
      <w:r w:rsidRPr="00706E38">
        <w:rPr>
          <w:noProof/>
        </w:rPr>
        <w:t>Lisbon and EU2020 strategies (the Laeken indicators</w:t>
      </w:r>
      <w:r w:rsidR="007D4E66" w:rsidRPr="00706E38">
        <w:rPr>
          <w:noProof/>
        </w:rPr>
        <w:t xml:space="preserve">) </w:t>
      </w:r>
      <w:r w:rsidRPr="00706E38">
        <w:rPr>
          <w:noProof/>
        </w:rPr>
        <w:t>could be considered candidates.</w:t>
      </w:r>
      <w:r w:rsidR="007D4E66" w:rsidRPr="00706E38">
        <w:rPr>
          <w:noProof/>
        </w:rPr>
        <w:t xml:space="preserve"> These were listed and described in Annex 3 of the Inception Report.</w:t>
      </w:r>
      <w:r w:rsidR="00246737" w:rsidRPr="00706E38">
        <w:rPr>
          <w:noProof/>
        </w:rPr>
        <w:t xml:space="preserve"> The TiPSE approach has been to begin by defining the different facets of exclusion, based upon the conceptual literature, and to use this as a guide in the search for appropriate indicators (Section 4).</w:t>
      </w:r>
    </w:p>
    <w:p w:rsidR="00E438A5" w:rsidRPr="00706E38" w:rsidRDefault="00E438A5" w:rsidP="00E438A5">
      <w:pPr>
        <w:pStyle w:val="Heading2"/>
        <w:rPr>
          <w:rFonts w:eastAsia="Calibri"/>
          <w:lang w:eastAsia="en-GB"/>
        </w:rPr>
      </w:pPr>
      <w:bookmarkStart w:id="8" w:name="_Toc410375313"/>
      <w:r w:rsidRPr="00706E38">
        <w:rPr>
          <w:rFonts w:eastAsia="Calibri"/>
          <w:lang w:eastAsia="en-GB"/>
        </w:rPr>
        <w:t xml:space="preserve">The role of PSE in EU </w:t>
      </w:r>
      <w:r w:rsidR="00E36FA0" w:rsidRPr="00706E38">
        <w:rPr>
          <w:rFonts w:eastAsia="Calibri"/>
          <w:lang w:eastAsia="en-GB"/>
        </w:rPr>
        <w:t xml:space="preserve">and Member State </w:t>
      </w:r>
      <w:r w:rsidR="00BD4E3F" w:rsidRPr="00706E38">
        <w:rPr>
          <w:rFonts w:eastAsia="Calibri"/>
          <w:lang w:eastAsia="en-GB"/>
        </w:rPr>
        <w:t>policy</w:t>
      </w:r>
      <w:bookmarkEnd w:id="8"/>
    </w:p>
    <w:p w:rsidR="00E36FA0" w:rsidRPr="00706E38" w:rsidRDefault="00E36FA0" w:rsidP="00E36FA0">
      <w:pPr>
        <w:pStyle w:val="Heading3"/>
      </w:pPr>
      <w:bookmarkStart w:id="9" w:name="_Ref341335016"/>
      <w:r w:rsidRPr="00706E38">
        <w:t>EU Policy</w:t>
      </w:r>
      <w:bookmarkEnd w:id="9"/>
    </w:p>
    <w:p w:rsidR="00E36FA0" w:rsidRPr="00706E38" w:rsidRDefault="00E36FA0" w:rsidP="00E36FA0">
      <w:r w:rsidRPr="00706E38">
        <w:t xml:space="preserve">The EU has no specific, dedicated, Community policy to address poverty and social exclusion. Whilst a number of community policies, especially Cohesion policy, undoubtedly have some impact, poverty and social exclusion are mainly tackled through interventions organised at the Member State level. Since 2000 these have been ‘orchestrated’ through a procedure known as the Open Method of Coordination (OMC), within the structures provided first by the Lisbon Objectives (2000-10) and more recently by EU2020 (2010-20). The key poverty and social exclusion target in the context of EU2020 </w:t>
      </w:r>
      <w:r w:rsidR="00895237" w:rsidRPr="00706E38">
        <w:t>was</w:t>
      </w:r>
      <w:r w:rsidRPr="00706E38">
        <w:t xml:space="preserve"> to lift 20 million people out of poverty by the year 2020.</w:t>
      </w:r>
    </w:p>
    <w:p w:rsidR="00F20285" w:rsidRPr="00706E38" w:rsidRDefault="00E36FA0" w:rsidP="00E36FA0">
      <w:r w:rsidRPr="00706E38">
        <w:t>Talbot</w:t>
      </w:r>
      <w:r w:rsidR="00471C90" w:rsidRPr="00706E38">
        <w:t xml:space="preserve"> et al</w:t>
      </w:r>
      <w:r w:rsidRPr="00706E38">
        <w:t xml:space="preserve"> (</w:t>
      </w:r>
      <w:r w:rsidR="00471C90" w:rsidRPr="00706E38">
        <w:t>Annex</w:t>
      </w:r>
      <w:r w:rsidR="00D519A8" w:rsidRPr="00706E38">
        <w:t xml:space="preserve"> 1</w:t>
      </w:r>
      <w:r w:rsidRPr="00706E38">
        <w:t xml:space="preserve"> p13-17) describe the evolution of th</w:t>
      </w:r>
      <w:r w:rsidR="00471C90" w:rsidRPr="00706E38">
        <w:t xml:space="preserve">e EU </w:t>
      </w:r>
      <w:r w:rsidRPr="00706E38">
        <w:t xml:space="preserve">policy </w:t>
      </w:r>
      <w:r w:rsidR="00471C90" w:rsidRPr="00706E38">
        <w:t>approach</w:t>
      </w:r>
      <w:r w:rsidRPr="00706E38">
        <w:t xml:space="preserve"> in detail, noting a shift in objectives from poverty towards social exclusion during the 1990s, and then an apparent drift back towards a narrower focus on poverty in recent years. They also draw attention to the increasing association between interventions intended to tackle poverty and social exclusion and the economic growth agenda. This has resulted in a particular focus upon labour market aspects of social exclusion. Thus the term “active inclusion” has become associated with incentives to encourage the unemployed away from reliance upon benefits, and towards some </w:t>
      </w:r>
      <w:r w:rsidRPr="00706E38">
        <w:lastRenderedPageBreak/>
        <w:t>form of e</w:t>
      </w:r>
      <w:r w:rsidR="00A34E66" w:rsidRPr="00706E38">
        <w:t>mployment, even if poorly paid.</w:t>
      </w:r>
      <w:r w:rsidR="00F20285" w:rsidRPr="00706E38">
        <w:t xml:space="preserve"> </w:t>
      </w:r>
      <w:r w:rsidR="00A34E66" w:rsidRPr="00706E38">
        <w:t xml:space="preserve">The concentration of the EU social policy discourse on labour market issues, or in terms of the </w:t>
      </w:r>
      <w:proofErr w:type="spellStart"/>
      <w:r w:rsidR="00A34E66" w:rsidRPr="00706E38">
        <w:t>TiPSE</w:t>
      </w:r>
      <w:proofErr w:type="spellEnd"/>
      <w:r w:rsidR="00A34E66" w:rsidRPr="00706E38">
        <w:t xml:space="preserve"> conceptual framework, the first domain (earning a living) is further described in Annex 10 (p7-</w:t>
      </w:r>
      <w:r w:rsidR="00F20285" w:rsidRPr="00706E38">
        <w:t>8).</w:t>
      </w:r>
    </w:p>
    <w:p w:rsidR="00A34E66" w:rsidRPr="00706E38" w:rsidRDefault="00A34E66" w:rsidP="00E36FA0">
      <w:r w:rsidRPr="00706E38">
        <w:t>Talbot et al also note (</w:t>
      </w:r>
      <w:r w:rsidR="00F20285" w:rsidRPr="00706E38">
        <w:t xml:space="preserve">Annex 10 </w:t>
      </w:r>
      <w:r w:rsidRPr="00706E38">
        <w:t xml:space="preserve">p8-9) that the EU policy literature acknowledges the fact that exclusion is a process, and </w:t>
      </w:r>
      <w:proofErr w:type="gramStart"/>
      <w:r w:rsidRPr="00706E38">
        <w:t>that policy response</w:t>
      </w:r>
      <w:r w:rsidR="007B13D0" w:rsidRPr="00706E38">
        <w:t>s</w:t>
      </w:r>
      <w:proofErr w:type="gramEnd"/>
      <w:r w:rsidR="007B13D0" w:rsidRPr="00706E38">
        <w:t xml:space="preserve"> need</w:t>
      </w:r>
      <w:r w:rsidRPr="00706E38">
        <w:t xml:space="preserve"> to be integrated</w:t>
      </w:r>
      <w:r w:rsidR="007B13D0" w:rsidRPr="00706E38">
        <w:t>, and coherent</w:t>
      </w:r>
      <w:r w:rsidRPr="00706E38">
        <w:t xml:space="preserve">. Furthermore, they point to a potential </w:t>
      </w:r>
      <w:r w:rsidR="00F20285" w:rsidRPr="00706E38">
        <w:t>tension</w:t>
      </w:r>
      <w:r w:rsidRPr="00706E38">
        <w:t xml:space="preserve"> between two overarching objectives, the </w:t>
      </w:r>
      <w:r w:rsidR="00F20285" w:rsidRPr="00706E38">
        <w:t xml:space="preserve">(spatially blind) </w:t>
      </w:r>
      <w:r w:rsidRPr="00706E38">
        <w:t xml:space="preserve">need to </w:t>
      </w:r>
      <w:r w:rsidR="00F20285" w:rsidRPr="00706E38">
        <w:t xml:space="preserve">maximise economic growth, and the territorial cohesion objective, which has a tendency to slip towards a redistributive rationale. Emphasising the need for every locality to realise its own potential, by fully utilising its full range of territorial assets is the approach articulated by DG </w:t>
      </w:r>
      <w:proofErr w:type="spellStart"/>
      <w:r w:rsidR="00F20285" w:rsidRPr="00706E38">
        <w:t>Regio</w:t>
      </w:r>
      <w:proofErr w:type="spellEnd"/>
      <w:r w:rsidR="00F20285" w:rsidRPr="00706E38">
        <w:t xml:space="preserve"> in its </w:t>
      </w:r>
      <w:r w:rsidR="007B13D0" w:rsidRPr="00706E38">
        <w:t>Green Paper (</w:t>
      </w:r>
      <w:r w:rsidR="00E80C42">
        <w:t>C</w:t>
      </w:r>
      <w:r w:rsidR="007B13D0" w:rsidRPr="00706E38">
        <w:t>EC 200</w:t>
      </w:r>
      <w:r w:rsidR="00E80C42">
        <w:t>8</w:t>
      </w:r>
      <w:r w:rsidR="007B13D0" w:rsidRPr="00706E38">
        <w:t>), though OMC, and the EU social policy discourse more generally, tend to adopt a focus upon vulnerable groups, rather than territorial concentrations of exclusion (Annex 10 p9-10).</w:t>
      </w:r>
    </w:p>
    <w:p w:rsidR="00E36FA0" w:rsidRPr="00706E38" w:rsidRDefault="00B52D1C" w:rsidP="000A737F">
      <w:pPr>
        <w:spacing w:after="240"/>
      </w:pPr>
      <w:r w:rsidRPr="00706E38">
        <w:t xml:space="preserve">The policy structure employed to further the EU’s objectives in relation to poverty and social inclusion is the subject of the first section of Annex 10. Talbot et al (Annex 10 p4) list the ways </w:t>
      </w:r>
      <w:r w:rsidR="00CA5350" w:rsidRPr="00706E38">
        <w:t>“</w:t>
      </w:r>
      <w:r w:rsidRPr="00706E38">
        <w:t xml:space="preserve">in which </w:t>
      </w:r>
      <w:r w:rsidR="000A737F" w:rsidRPr="00706E38">
        <w:t>EU-level activity steers and focuses attention” on certain aspects of poverty and social exclusion, as follows:</w:t>
      </w:r>
    </w:p>
    <w:p w:rsidR="000A737F" w:rsidRPr="00706E38" w:rsidRDefault="000A737F" w:rsidP="00F80427">
      <w:pPr>
        <w:pStyle w:val="ListParagraph"/>
        <w:numPr>
          <w:ilvl w:val="0"/>
          <w:numId w:val="17"/>
        </w:numPr>
        <w:spacing w:before="0" w:line="276" w:lineRule="auto"/>
        <w:rPr>
          <w:rFonts w:cs="Arial"/>
        </w:rPr>
      </w:pPr>
      <w:r w:rsidRPr="00706E38">
        <w:rPr>
          <w:rFonts w:cs="Arial"/>
        </w:rPr>
        <w:t>the Social Agreement;</w:t>
      </w:r>
    </w:p>
    <w:p w:rsidR="000A737F" w:rsidRPr="00706E38" w:rsidRDefault="000A737F" w:rsidP="00F80427">
      <w:pPr>
        <w:pStyle w:val="ListParagraph"/>
        <w:numPr>
          <w:ilvl w:val="0"/>
          <w:numId w:val="17"/>
        </w:numPr>
        <w:spacing w:before="0" w:line="276" w:lineRule="auto"/>
        <w:rPr>
          <w:rFonts w:cs="Arial"/>
          <w:szCs w:val="22"/>
        </w:rPr>
      </w:pPr>
      <w:r w:rsidRPr="00706E38">
        <w:rPr>
          <w:rFonts w:cs="Arial"/>
          <w:szCs w:val="22"/>
        </w:rPr>
        <w:t>the inclusive growth strand of the Europe 2020 Strategy;</w:t>
      </w:r>
    </w:p>
    <w:p w:rsidR="000A737F" w:rsidRPr="00706E38" w:rsidRDefault="000A737F" w:rsidP="00F80427">
      <w:pPr>
        <w:pStyle w:val="ListParagraph"/>
        <w:numPr>
          <w:ilvl w:val="0"/>
          <w:numId w:val="17"/>
        </w:numPr>
        <w:spacing w:before="0" w:line="276" w:lineRule="auto"/>
        <w:rPr>
          <w:rFonts w:cs="Arial"/>
          <w:szCs w:val="22"/>
        </w:rPr>
      </w:pPr>
      <w:r w:rsidRPr="00706E38">
        <w:rPr>
          <w:rFonts w:cs="Arial"/>
          <w:szCs w:val="22"/>
        </w:rPr>
        <w:t>the Social Protection Committee’s work;</w:t>
      </w:r>
    </w:p>
    <w:p w:rsidR="000A737F" w:rsidRPr="00706E38" w:rsidRDefault="000A737F" w:rsidP="00F80427">
      <w:pPr>
        <w:pStyle w:val="ListParagraph"/>
        <w:numPr>
          <w:ilvl w:val="0"/>
          <w:numId w:val="17"/>
        </w:numPr>
        <w:spacing w:before="0" w:line="276" w:lineRule="auto"/>
        <w:rPr>
          <w:rFonts w:cs="Arial"/>
          <w:szCs w:val="22"/>
        </w:rPr>
      </w:pPr>
      <w:r w:rsidRPr="00706E38">
        <w:rPr>
          <w:rFonts w:cs="Arial"/>
          <w:szCs w:val="22"/>
        </w:rPr>
        <w:t>the Social Investment Package;</w:t>
      </w:r>
    </w:p>
    <w:p w:rsidR="000A737F" w:rsidRPr="00706E38" w:rsidRDefault="000A737F" w:rsidP="00F80427">
      <w:pPr>
        <w:pStyle w:val="ListParagraph"/>
        <w:numPr>
          <w:ilvl w:val="0"/>
          <w:numId w:val="17"/>
        </w:numPr>
        <w:spacing w:before="0" w:line="276" w:lineRule="auto"/>
        <w:rPr>
          <w:rFonts w:cs="Arial"/>
          <w:szCs w:val="22"/>
        </w:rPr>
      </w:pPr>
      <w:r w:rsidRPr="00706E38">
        <w:rPr>
          <w:rFonts w:cs="Arial"/>
          <w:szCs w:val="22"/>
        </w:rPr>
        <w:t xml:space="preserve">the Territorial Agenda 2020; and </w:t>
      </w:r>
    </w:p>
    <w:p w:rsidR="000A737F" w:rsidRPr="00706E38" w:rsidRDefault="000A737F" w:rsidP="00F80427">
      <w:pPr>
        <w:pStyle w:val="ListParagraph"/>
        <w:numPr>
          <w:ilvl w:val="0"/>
          <w:numId w:val="17"/>
        </w:numPr>
        <w:spacing w:before="0" w:line="276" w:lineRule="auto"/>
        <w:rPr>
          <w:rFonts w:cs="Arial"/>
          <w:szCs w:val="22"/>
        </w:rPr>
      </w:pPr>
      <w:proofErr w:type="gramStart"/>
      <w:r w:rsidRPr="00706E38">
        <w:rPr>
          <w:rFonts w:cs="Arial"/>
          <w:szCs w:val="22"/>
        </w:rPr>
        <w:t>funding</w:t>
      </w:r>
      <w:proofErr w:type="gramEnd"/>
      <w:r w:rsidRPr="00706E38">
        <w:rPr>
          <w:rFonts w:cs="Arial"/>
          <w:szCs w:val="22"/>
        </w:rPr>
        <w:t xml:space="preserve"> via the European Structural and Investment Fund.</w:t>
      </w:r>
    </w:p>
    <w:p w:rsidR="000A737F" w:rsidRPr="00706E38" w:rsidRDefault="000A737F" w:rsidP="000A737F">
      <w:r w:rsidRPr="00706E38">
        <w:t xml:space="preserve">The first of these is </w:t>
      </w:r>
      <w:proofErr w:type="gramStart"/>
      <w:r w:rsidRPr="00706E38">
        <w:t>a</w:t>
      </w:r>
      <w:proofErr w:type="gramEnd"/>
      <w:r w:rsidRPr="00706E38">
        <w:t xml:space="preserve"> incorporated within the Treaty of Amsterdam, and gives the</w:t>
      </w:r>
      <w:r w:rsidR="00CA5350" w:rsidRPr="00706E38">
        <w:t xml:space="preserve"> EU power to act to protect wor</w:t>
      </w:r>
      <w:r w:rsidRPr="00706E38">
        <w:t>ker</w:t>
      </w:r>
      <w:r w:rsidR="00CA5350" w:rsidRPr="00706E38">
        <w:t>’</w:t>
      </w:r>
      <w:r w:rsidRPr="00706E38">
        <w:t>s rights and gender equality. The second (EU2020 strategy) provides (as we have already seen) a specific and quantified goal with regard to poverty and social exclusion, but also a broad range of aspirations relating to employment, skills and the labour market environment.</w:t>
      </w:r>
    </w:p>
    <w:p w:rsidR="00CA5350" w:rsidRPr="00706E38" w:rsidRDefault="00CA5350" w:rsidP="000A737F">
      <w:r w:rsidRPr="00706E38">
        <w:t>The Social Protection Committee predates the EU2020 strategy and plays a key role in operationalising the OMC, by advising the Council of the European Union on recommendations to the MS. One of the key ways in which it does this is through a series of annual reports to the Council.</w:t>
      </w:r>
      <w:r w:rsidR="00022B6E" w:rsidRPr="00706E38">
        <w:t xml:space="preserve"> </w:t>
      </w:r>
      <w:r w:rsidRPr="00706E38">
        <w:t>Similarly the Territorial Agenda 2020 (COPTA 2011) and its predecessor (COPTA 20</w:t>
      </w:r>
      <w:r w:rsidR="002B1818" w:rsidRPr="00706E38">
        <w:t>07</w:t>
      </w:r>
      <w:r w:rsidRPr="00706E38">
        <w:t>) represent the collective voice of the MS</w:t>
      </w:r>
      <w:r w:rsidR="00022B6E" w:rsidRPr="00706E38">
        <w:t xml:space="preserve"> on the broad subject of territorial development, including a specific clause on social exclusion.</w:t>
      </w:r>
    </w:p>
    <w:p w:rsidR="00022B6E" w:rsidRPr="00706E38" w:rsidRDefault="00022B6E" w:rsidP="000A737F">
      <w:r w:rsidRPr="00706E38">
        <w:t xml:space="preserve">In terms of EU funding address territorial aspects of social exclusion and poverty, the key source is the European Structural and Investment Funds (ESIF) and the Cohesion Fund in particular. The Social Investment Package encourages MS to prioritise (national) investment to alleviate poverty and exclusion through their welfare systems, but also seeks to steer ESIF funding towards social investment. In territorial </w:t>
      </w:r>
      <w:r w:rsidRPr="00706E38">
        <w:lastRenderedPageBreak/>
        <w:t>terms the new Community Led Local Development (CLLD) instrument would seem to be particularly promising</w:t>
      </w:r>
      <w:r w:rsidR="00E31018" w:rsidRPr="00706E38">
        <w:t>, especially</w:t>
      </w:r>
      <w:r w:rsidRPr="00706E38">
        <w:t xml:space="preserve"> if implemented across the funds (i.e. beyond </w:t>
      </w:r>
      <w:r w:rsidR="00E31018" w:rsidRPr="00706E38">
        <w:t xml:space="preserve">the </w:t>
      </w:r>
      <w:r w:rsidRPr="00706E38">
        <w:t xml:space="preserve">rural development </w:t>
      </w:r>
      <w:r w:rsidR="00E31018" w:rsidRPr="00706E38">
        <w:t xml:space="preserve">context </w:t>
      </w:r>
      <w:r w:rsidRPr="00706E38">
        <w:t>as a continuation of LEADER).</w:t>
      </w:r>
    </w:p>
    <w:p w:rsidR="00E31018" w:rsidRPr="00706E38" w:rsidRDefault="00E31018" w:rsidP="000A737F">
      <w:r w:rsidRPr="00706E38">
        <w:t>After reviewing these implementation mechanisms Talbot et al (Annex 10 p7) conclude “Such mechanisms at the EU level may not sum to a mainstream ‘social policy’, but they do give a clear indication of what the EU assesses to be the main issues. While not ‘directing’ MS social policy, the EU’s discourse serves to emphasise and incentivise certain issues at the EU level and at minimum provides a context in which national social policies are reported to the EU.”</w:t>
      </w:r>
    </w:p>
    <w:p w:rsidR="00E36FA0" w:rsidRPr="00706E38" w:rsidRDefault="00BD4E3F" w:rsidP="00E36FA0">
      <w:pPr>
        <w:pStyle w:val="Heading3"/>
      </w:pPr>
      <w:r w:rsidRPr="00706E38">
        <w:t>Member State Policies</w:t>
      </w:r>
    </w:p>
    <w:p w:rsidR="00E36FA0" w:rsidRPr="00706E38" w:rsidRDefault="00E36FA0" w:rsidP="00E36FA0">
      <w:r w:rsidRPr="00706E38">
        <w:t xml:space="preserve">The OMC inevitably has some tendency to drive convergence in Member State policies. The authors of </w:t>
      </w:r>
      <w:r w:rsidR="00471C90" w:rsidRPr="00706E38">
        <w:t>Annex</w:t>
      </w:r>
      <w:r w:rsidR="00D519A8" w:rsidRPr="00706E38">
        <w:t xml:space="preserve"> 1</w:t>
      </w:r>
      <w:r w:rsidRPr="00706E38">
        <w:t xml:space="preserve"> identify two broad tendencies in this respect (p19-20). The first is the increasing emphasis upon “active inclusion” incentives, whilst the second is a focus upon minorities or vulnerable groups, the most well-known being the Roma. In addition, there is an underlying movement (which probably does not come from the OMC) towards “neo-liberalisation”, rolling back of welfare state approaches, marketization of the public sector, and (especially in the context of austerity) reductions in social security expenditure.</w:t>
      </w:r>
    </w:p>
    <w:p w:rsidR="00E36FA0" w:rsidRPr="00706E38" w:rsidRDefault="00E36FA0" w:rsidP="00E36FA0">
      <w:r w:rsidRPr="00706E38">
        <w:t xml:space="preserve">This convergence has not yet, however, erased the heritage of different welfare regime traditions. The seminal work of </w:t>
      </w:r>
      <w:proofErr w:type="spellStart"/>
      <w:r w:rsidRPr="00706E38">
        <w:t>Esping</w:t>
      </w:r>
      <w:proofErr w:type="spellEnd"/>
      <w:r w:rsidRPr="00706E38">
        <w:t>-Anders</w:t>
      </w:r>
      <w:r w:rsidR="00D31E3D">
        <w:t>e</w:t>
      </w:r>
      <w:r w:rsidRPr="00706E38">
        <w:t>n is well known in this respect. Taking account of subsequen</w:t>
      </w:r>
      <w:r w:rsidR="00D519A8" w:rsidRPr="00706E38">
        <w:t xml:space="preserve">t development of the typology, </w:t>
      </w:r>
      <w:r w:rsidRPr="00706E38">
        <w:t xml:space="preserve">Talbot, Madanipour and </w:t>
      </w:r>
      <w:proofErr w:type="spellStart"/>
      <w:r w:rsidRPr="00706E38">
        <w:t>Shucksmith</w:t>
      </w:r>
      <w:proofErr w:type="spellEnd"/>
      <w:r w:rsidRPr="00706E38">
        <w:t xml:space="preserve"> (p23) propose the following classification:</w:t>
      </w:r>
    </w:p>
    <w:p w:rsidR="00E36FA0" w:rsidRPr="00706E38" w:rsidRDefault="008C6DAA" w:rsidP="00F80427">
      <w:pPr>
        <w:pStyle w:val="ListParagraph"/>
        <w:numPr>
          <w:ilvl w:val="0"/>
          <w:numId w:val="18"/>
        </w:numPr>
        <w:spacing w:line="276" w:lineRule="auto"/>
        <w:jc w:val="left"/>
        <w:rPr>
          <w:lang w:val="en-US"/>
        </w:rPr>
      </w:pPr>
      <w:r w:rsidRPr="00706E38">
        <w:rPr>
          <w:b/>
          <w:lang w:val="en-US"/>
        </w:rPr>
        <w:t>Society-based</w:t>
      </w:r>
      <w:r w:rsidR="00E36FA0" w:rsidRPr="00706E38">
        <w:rPr>
          <w:lang w:val="en-US"/>
        </w:rPr>
        <w:t xml:space="preserve">, represented by countries such Finland, Sweden, or Denmark (also called </w:t>
      </w:r>
      <w:r w:rsidRPr="00706E38">
        <w:rPr>
          <w:lang w:val="en-US"/>
        </w:rPr>
        <w:t xml:space="preserve">Universalistic, </w:t>
      </w:r>
      <w:r w:rsidR="00E36FA0" w:rsidRPr="00706E38">
        <w:rPr>
          <w:lang w:val="en-US"/>
        </w:rPr>
        <w:t>Nordic or Social Democratic Model).</w:t>
      </w:r>
    </w:p>
    <w:p w:rsidR="00E36FA0" w:rsidRPr="00706E38" w:rsidRDefault="008C6DAA" w:rsidP="00F80427">
      <w:pPr>
        <w:pStyle w:val="ListParagraph"/>
        <w:numPr>
          <w:ilvl w:val="0"/>
          <w:numId w:val="18"/>
        </w:numPr>
        <w:spacing w:before="0" w:line="276" w:lineRule="auto"/>
        <w:jc w:val="left"/>
        <w:rPr>
          <w:lang w:val="en-US"/>
        </w:rPr>
      </w:pPr>
      <w:r w:rsidRPr="00706E38">
        <w:rPr>
          <w:b/>
          <w:lang w:val="en-US"/>
        </w:rPr>
        <w:t>Individual</w:t>
      </w:r>
      <w:r w:rsidR="00E36FA0" w:rsidRPr="00706E38">
        <w:rPr>
          <w:lang w:val="en-US"/>
        </w:rPr>
        <w:t>, represented best by the UK and Ireland</w:t>
      </w:r>
      <w:r w:rsidRPr="00706E38">
        <w:rPr>
          <w:lang w:val="en-US"/>
        </w:rPr>
        <w:t xml:space="preserve"> (sometimes called “Anglo </w:t>
      </w:r>
      <w:proofErr w:type="gramStart"/>
      <w:r w:rsidRPr="00706E38">
        <w:rPr>
          <w:lang w:val="en-US"/>
        </w:rPr>
        <w:t>Saxon,</w:t>
      </w:r>
      <w:proofErr w:type="gramEnd"/>
      <w:r w:rsidRPr="00706E38">
        <w:rPr>
          <w:lang w:val="en-US"/>
        </w:rPr>
        <w:t xml:space="preserve"> or “Neo-Liberal”)</w:t>
      </w:r>
      <w:r w:rsidR="00E36FA0" w:rsidRPr="00706E38">
        <w:rPr>
          <w:lang w:val="en-US"/>
        </w:rPr>
        <w:t>.</w:t>
      </w:r>
    </w:p>
    <w:p w:rsidR="00E36FA0" w:rsidRPr="00706E38" w:rsidRDefault="008C6DAA" w:rsidP="00F80427">
      <w:pPr>
        <w:pStyle w:val="ListParagraph"/>
        <w:numPr>
          <w:ilvl w:val="0"/>
          <w:numId w:val="18"/>
        </w:numPr>
        <w:spacing w:before="0" w:line="276" w:lineRule="auto"/>
        <w:jc w:val="left"/>
        <w:rPr>
          <w:lang w:val="en-US"/>
        </w:rPr>
      </w:pPr>
      <w:r w:rsidRPr="00706E38">
        <w:rPr>
          <w:b/>
          <w:lang w:val="en-US"/>
        </w:rPr>
        <w:t>State-based</w:t>
      </w:r>
      <w:r w:rsidR="00E36FA0" w:rsidRPr="00706E38">
        <w:rPr>
          <w:lang w:val="en-US"/>
        </w:rPr>
        <w:t xml:space="preserve">, represented by countries such as Germany and Austria, France and Belgium (also called </w:t>
      </w:r>
      <w:r w:rsidRPr="00706E38">
        <w:rPr>
          <w:lang w:val="en-US"/>
        </w:rPr>
        <w:t>“Corporatist”, “Statist” or “</w:t>
      </w:r>
      <w:proofErr w:type="spellStart"/>
      <w:r w:rsidRPr="00706E38">
        <w:rPr>
          <w:lang w:val="en-US"/>
        </w:rPr>
        <w:t>Bismarkian</w:t>
      </w:r>
      <w:proofErr w:type="spellEnd"/>
      <w:r w:rsidRPr="00706E38">
        <w:rPr>
          <w:lang w:val="en-US"/>
        </w:rPr>
        <w:t>”</w:t>
      </w:r>
      <w:r w:rsidR="00E36FA0" w:rsidRPr="00706E38">
        <w:rPr>
          <w:lang w:val="en-US"/>
        </w:rPr>
        <w:t>).</w:t>
      </w:r>
    </w:p>
    <w:p w:rsidR="00E36FA0" w:rsidRPr="00706E38" w:rsidRDefault="008C6DAA" w:rsidP="00F80427">
      <w:pPr>
        <w:pStyle w:val="ListParagraph"/>
        <w:numPr>
          <w:ilvl w:val="0"/>
          <w:numId w:val="18"/>
        </w:numPr>
        <w:spacing w:before="0" w:line="276" w:lineRule="auto"/>
        <w:jc w:val="left"/>
        <w:rPr>
          <w:lang w:val="en-US"/>
        </w:rPr>
      </w:pPr>
      <w:r w:rsidRPr="00706E38">
        <w:rPr>
          <w:b/>
          <w:lang w:val="en-US"/>
        </w:rPr>
        <w:t>Familial</w:t>
      </w:r>
      <w:r w:rsidR="00E36FA0" w:rsidRPr="00706E38">
        <w:rPr>
          <w:lang w:val="en-US"/>
        </w:rPr>
        <w:t>, represented by countries such as Greece, Portugal, Italy or Spain (also called Mediterranean or Southern Model).</w:t>
      </w:r>
    </w:p>
    <w:p w:rsidR="00E36FA0" w:rsidRPr="00706E38" w:rsidRDefault="00E36FA0" w:rsidP="00F80427">
      <w:pPr>
        <w:pStyle w:val="ListParagraph"/>
        <w:numPr>
          <w:ilvl w:val="0"/>
          <w:numId w:val="18"/>
        </w:numPr>
        <w:spacing w:before="0" w:line="276" w:lineRule="auto"/>
        <w:jc w:val="left"/>
        <w:rPr>
          <w:lang w:val="en-US"/>
        </w:rPr>
      </w:pPr>
      <w:r w:rsidRPr="00706E38">
        <w:rPr>
          <w:b/>
          <w:lang w:val="en-US"/>
        </w:rPr>
        <w:t>Transit</w:t>
      </w:r>
      <w:r w:rsidR="008C6DAA" w:rsidRPr="00706E38">
        <w:rPr>
          <w:b/>
          <w:lang w:val="en-US"/>
        </w:rPr>
        <w:t>ional</w:t>
      </w:r>
      <w:r w:rsidRPr="00706E38">
        <w:rPr>
          <w:lang w:val="en-US"/>
        </w:rPr>
        <w:t xml:space="preserve">, covered essentially by the central and eastern European countries, and representing a quite heterogeneous group, so that e.g. </w:t>
      </w:r>
      <w:proofErr w:type="spellStart"/>
      <w:r w:rsidRPr="00706E38">
        <w:rPr>
          <w:lang w:val="en-US"/>
        </w:rPr>
        <w:t>Fenger</w:t>
      </w:r>
      <w:proofErr w:type="spellEnd"/>
      <w:r w:rsidRPr="00706E38">
        <w:rPr>
          <w:lang w:val="en-US"/>
        </w:rPr>
        <w:t xml:space="preserve"> (2007) distinguishes further between former USSR-type of countries, Post-communist European type and developing welfare states type of countries. </w:t>
      </w:r>
    </w:p>
    <w:p w:rsidR="00E36FA0" w:rsidRPr="00706E38" w:rsidRDefault="00E36FA0" w:rsidP="00E36FA0">
      <w:r w:rsidRPr="00706E38">
        <w:t xml:space="preserve">Although such a classification </w:t>
      </w:r>
      <w:r w:rsidR="008C6DAA" w:rsidRPr="00706E38">
        <w:t>a very helpful heuristic tool</w:t>
      </w:r>
      <w:r w:rsidRPr="00706E38">
        <w:t xml:space="preserve">, </w:t>
      </w:r>
      <w:r w:rsidR="002449B3" w:rsidRPr="00706E38">
        <w:t>it should be kept in mind that these are ideal types</w:t>
      </w:r>
      <w:r w:rsidRPr="00706E38">
        <w:t xml:space="preserve">, </w:t>
      </w:r>
      <w:r w:rsidR="002449B3" w:rsidRPr="00706E38">
        <w:t xml:space="preserve">and attaching them to specific countries is debateable, </w:t>
      </w:r>
      <w:r w:rsidRPr="00706E38">
        <w:t xml:space="preserve">since the reality is that the policy outcome in each </w:t>
      </w:r>
      <w:r w:rsidR="002449B3" w:rsidRPr="00706E38">
        <w:t>country</w:t>
      </w:r>
      <w:r w:rsidRPr="00706E38">
        <w:t xml:space="preserve"> reflects a unique balance between social and political “culture”, differing availability of resources, specific geographic characteristics, and governance structures (</w:t>
      </w:r>
      <w:r w:rsidR="008C6DAA" w:rsidRPr="00706E38">
        <w:t>Annex 1</w:t>
      </w:r>
      <w:r w:rsidRPr="00706E38">
        <w:t xml:space="preserve"> p23-28). </w:t>
      </w:r>
      <w:r w:rsidR="002449B3" w:rsidRPr="00706E38">
        <w:t>Furthermore, each country’s policy is constantly evolving.</w:t>
      </w:r>
    </w:p>
    <w:p w:rsidR="00F214F8" w:rsidRPr="00706E38" w:rsidRDefault="00F214F8" w:rsidP="00E36FA0">
      <w:r w:rsidRPr="00706E38">
        <w:lastRenderedPageBreak/>
        <w:t>Annex 10 explores the differences in social policy ethos between the countries of the five Welfare model groups</w:t>
      </w:r>
      <w:r w:rsidR="008155E4" w:rsidRPr="00706E38">
        <w:t>,</w:t>
      </w:r>
      <w:r w:rsidRPr="00706E38">
        <w:t xml:space="preserve"> through a review of </w:t>
      </w:r>
      <w:r w:rsidR="008155E4" w:rsidRPr="00706E38">
        <w:t xml:space="preserve">National Reform Plans, </w:t>
      </w:r>
      <w:r w:rsidRPr="00706E38">
        <w:t>National Reports on Strategies for Social Protection and Social Inclusion</w:t>
      </w:r>
      <w:r w:rsidR="008155E4" w:rsidRPr="00706E38">
        <w:t>,</w:t>
      </w:r>
      <w:r w:rsidRPr="00706E38">
        <w:t xml:space="preserve"> National Social Plans</w:t>
      </w:r>
      <w:r w:rsidR="008155E4" w:rsidRPr="00706E38">
        <w:t>,</w:t>
      </w:r>
      <w:r w:rsidRPr="00706E38">
        <w:t xml:space="preserve"> and other reports or studies produced at a MS level. These suggest both a degree of continuing distinctiveness between the five Welfare types, but also a significant </w:t>
      </w:r>
      <w:r w:rsidR="008155E4" w:rsidRPr="00706E38">
        <w:t>convergence towards a common approach. However, it is clear that the appearance of convergence is in part engendered by the reporting guidelines and the EU-level policy discourse, and it is difficult to tell to what extent subtle distinctions between MS, and Welfare types, tend to be masked by the reporting process.</w:t>
      </w:r>
    </w:p>
    <w:p w:rsidR="00E438A5" w:rsidRPr="00706E38" w:rsidRDefault="00E438A5" w:rsidP="003C619B">
      <w:pPr>
        <w:pStyle w:val="Heading1"/>
        <w:rPr>
          <w:rFonts w:eastAsia="Calibri"/>
          <w:lang w:eastAsia="en-GB"/>
        </w:rPr>
      </w:pPr>
      <w:bookmarkStart w:id="10" w:name="_Toc401068750"/>
      <w:bookmarkStart w:id="11" w:name="_Toc410375314"/>
      <w:r w:rsidRPr="00706E38">
        <w:rPr>
          <w:rFonts w:eastAsia="Calibri"/>
          <w:lang w:eastAsia="en-GB"/>
        </w:rPr>
        <w:t xml:space="preserve">What Eurostat </w:t>
      </w:r>
      <w:r w:rsidR="00710EA0" w:rsidRPr="00706E38">
        <w:rPr>
          <w:rFonts w:eastAsia="Calibri"/>
          <w:lang w:eastAsia="en-GB"/>
        </w:rPr>
        <w:t xml:space="preserve">data </w:t>
      </w:r>
      <w:r w:rsidRPr="00706E38">
        <w:rPr>
          <w:rFonts w:eastAsia="Calibri"/>
          <w:lang w:eastAsia="en-GB"/>
        </w:rPr>
        <w:t>can tell us about patterns of P</w:t>
      </w:r>
      <w:r w:rsidR="006144FE" w:rsidRPr="00706E38">
        <w:rPr>
          <w:rFonts w:eastAsia="Calibri"/>
          <w:lang w:eastAsia="en-GB"/>
        </w:rPr>
        <w:t>overty and Social Exclusion</w:t>
      </w:r>
      <w:bookmarkEnd w:id="10"/>
      <w:bookmarkEnd w:id="11"/>
    </w:p>
    <w:p w:rsidR="00C45C21" w:rsidRPr="00706E38" w:rsidRDefault="00913DEB" w:rsidP="00C45C21">
      <w:r w:rsidRPr="00706E38">
        <w:t>As we already noted, the OMC (and therefore the development of European poverty and social exclusion indicators) predated the EU 2020 strategy by almost ten years. This early evolution is briefly described in Annex 11. Here we will i</w:t>
      </w:r>
      <w:r w:rsidR="00C45C21" w:rsidRPr="00706E38">
        <w:t xml:space="preserve">nstead </w:t>
      </w:r>
      <w:r w:rsidRPr="00706E38">
        <w:t xml:space="preserve">focus initially upon the current </w:t>
      </w:r>
      <w:r w:rsidR="00C45C21" w:rsidRPr="00706E38">
        <w:t>EU2020 indicator</w:t>
      </w:r>
      <w:r w:rsidRPr="00706E38">
        <w:t xml:space="preserve"> set.</w:t>
      </w:r>
      <w:r w:rsidR="006144FE" w:rsidRPr="00706E38">
        <w:t xml:space="preserve"> This is followed by a description of a typology of ESPON countries, clustered according to their poverty and social exclusion profile.</w:t>
      </w:r>
    </w:p>
    <w:p w:rsidR="00E36FA0" w:rsidRPr="00706E38" w:rsidRDefault="00E36FA0" w:rsidP="00E36FA0">
      <w:pPr>
        <w:pStyle w:val="Heading2"/>
        <w:spacing w:before="240"/>
      </w:pPr>
      <w:bookmarkStart w:id="12" w:name="_Toc410375315"/>
      <w:r w:rsidRPr="00706E38">
        <w:t>The EU20</w:t>
      </w:r>
      <w:r w:rsidR="00BD4E3F" w:rsidRPr="00706E38">
        <w:t>20 Target Monitoring Indicators</w:t>
      </w:r>
      <w:bookmarkEnd w:id="12"/>
    </w:p>
    <w:p w:rsidR="00E36FA0" w:rsidRPr="00706E38" w:rsidRDefault="00E36FA0" w:rsidP="00E36FA0">
      <w:r w:rsidRPr="00706E38">
        <w:t xml:space="preserve">The EU2020 target (lifting 20 million people out of poverty by 2020) has been operationalized in terms of three indicators: </w:t>
      </w:r>
    </w:p>
    <w:p w:rsidR="00E36FA0" w:rsidRPr="00706E38" w:rsidRDefault="00E36FA0" w:rsidP="00E36FA0">
      <w:pPr>
        <w:numPr>
          <w:ilvl w:val="0"/>
          <w:numId w:val="2"/>
        </w:numPr>
        <w:tabs>
          <w:tab w:val="clear" w:pos="360"/>
          <w:tab w:val="num" w:pos="0"/>
        </w:tabs>
        <w:spacing w:line="300" w:lineRule="auto"/>
        <w:ind w:left="357" w:hanging="357"/>
      </w:pPr>
      <w:r w:rsidRPr="00706E38">
        <w:t xml:space="preserve">The </w:t>
      </w:r>
      <w:proofErr w:type="gramStart"/>
      <w:r w:rsidRPr="00706E38">
        <w:t>number of persons at risk</w:t>
      </w:r>
      <w:proofErr w:type="gramEnd"/>
      <w:r w:rsidRPr="00706E38">
        <w:t xml:space="preserve"> of poverty</w:t>
      </w:r>
      <w:r w:rsidR="00014D5D" w:rsidRPr="00706E38">
        <w:t xml:space="preserve"> – the number of persons in households whose </w:t>
      </w:r>
      <w:proofErr w:type="spellStart"/>
      <w:r w:rsidR="00014D5D" w:rsidRPr="00706E38">
        <w:t>equivalised</w:t>
      </w:r>
      <w:proofErr w:type="spellEnd"/>
      <w:r w:rsidR="00014D5D" w:rsidRPr="00706E38">
        <w:rPr>
          <w:rStyle w:val="FootnoteReference"/>
        </w:rPr>
        <w:footnoteReference w:id="2"/>
      </w:r>
      <w:r w:rsidR="00014D5D" w:rsidRPr="00706E38">
        <w:t xml:space="preserve"> disposable income is less than 60% of the national median</w:t>
      </w:r>
      <w:r w:rsidRPr="00706E38">
        <w:t>.</w:t>
      </w:r>
    </w:p>
    <w:p w:rsidR="00E36FA0" w:rsidRPr="00706E38" w:rsidRDefault="00E36FA0" w:rsidP="00E36FA0">
      <w:pPr>
        <w:numPr>
          <w:ilvl w:val="0"/>
          <w:numId w:val="2"/>
        </w:numPr>
        <w:tabs>
          <w:tab w:val="clear" w:pos="360"/>
          <w:tab w:val="num" w:pos="0"/>
        </w:tabs>
        <w:spacing w:before="0" w:line="300" w:lineRule="auto"/>
      </w:pPr>
      <w:r w:rsidRPr="00706E38">
        <w:t>The number of persons not able to afford four of the nine items indicative of material deprivation.</w:t>
      </w:r>
    </w:p>
    <w:p w:rsidR="00E36FA0" w:rsidRPr="00706E38" w:rsidRDefault="00E36FA0" w:rsidP="00E36FA0">
      <w:pPr>
        <w:numPr>
          <w:ilvl w:val="0"/>
          <w:numId w:val="2"/>
        </w:numPr>
        <w:tabs>
          <w:tab w:val="clear" w:pos="360"/>
          <w:tab w:val="num" w:pos="0"/>
        </w:tabs>
        <w:spacing w:before="0" w:line="300" w:lineRule="auto"/>
      </w:pPr>
      <w:r w:rsidRPr="00706E38">
        <w:t>The number of persons living in households where adults (together) work less than 20% of a full time year.</w:t>
      </w:r>
    </w:p>
    <w:p w:rsidR="00E36FA0" w:rsidRPr="00706E38" w:rsidRDefault="00895237" w:rsidP="00E36FA0">
      <w:pPr>
        <w:spacing w:before="0"/>
      </w:pPr>
      <w:r w:rsidRPr="00706E38">
        <w:t>The three indicators above, added together but avoiding “double counting” of individuals constitute the means of monitoring the EU2020 goal in aggregate terms, though differences in the way in which Member States define their targets mean that it cannot be reconciled directly with the 28 national objectives</w:t>
      </w:r>
      <w:r w:rsidRPr="00706E38">
        <w:rPr>
          <w:rStyle w:val="FootnoteReference"/>
        </w:rPr>
        <w:footnoteReference w:id="3"/>
      </w:r>
      <w:r w:rsidR="00E36FA0" w:rsidRPr="00706E38">
        <w:t>.</w:t>
      </w:r>
    </w:p>
    <w:p w:rsidR="00E36FA0" w:rsidRPr="00706E38" w:rsidRDefault="00E36FA0" w:rsidP="00E36FA0">
      <w:r w:rsidRPr="00706E38">
        <w:t xml:space="preserve">Data requirements for the three EU2020 indicators are satisfied from the Survey of Incomes and Living </w:t>
      </w:r>
      <w:r w:rsidR="00DD03C7" w:rsidRPr="00706E38">
        <w:t>Conditions</w:t>
      </w:r>
      <w:r w:rsidRPr="00706E38">
        <w:t xml:space="preserve"> (EU-SILC). Although, in the context of the EU2020 targets, monitoring is only required at Member State level, Eurostat publishes </w:t>
      </w:r>
      <w:r w:rsidR="00913DEB" w:rsidRPr="00706E38">
        <w:lastRenderedPageBreak/>
        <w:t>regional</w:t>
      </w:r>
      <w:r w:rsidRPr="00706E38">
        <w:t xml:space="preserve"> data for the three constituent indicators. Coverage varies from country to country, some at NUTS 2, some NUTS 1, and some for the whole country (NUTS 0). In most countries the most recent data relates to 201</w:t>
      </w:r>
      <w:r w:rsidR="00544F54" w:rsidRPr="00706E38">
        <w:t>3</w:t>
      </w:r>
      <w:r w:rsidRPr="00706E38">
        <w:t>.</w:t>
      </w:r>
    </w:p>
    <w:p w:rsidR="00266178" w:rsidRPr="00706E38" w:rsidRDefault="00E36FA0" w:rsidP="00E36FA0">
      <w:r w:rsidRPr="00706E38">
        <w:t xml:space="preserve">The three indicators are mapped on the pages which follow. The </w:t>
      </w:r>
      <w:r w:rsidR="00544F54" w:rsidRPr="00706E38">
        <w:t>notes under each map</w:t>
      </w:r>
      <w:r w:rsidRPr="00706E38">
        <w:t xml:space="preserve"> show very clearly that the most detailed regional data </w:t>
      </w:r>
      <w:r w:rsidR="00544F54" w:rsidRPr="00706E38">
        <w:t xml:space="preserve">(NUTS 2) </w:t>
      </w:r>
      <w:r w:rsidRPr="00706E38">
        <w:t xml:space="preserve">is available for the “At Risk of Poverty” indicator. In this case NUTS 2 data is </w:t>
      </w:r>
      <w:r w:rsidR="006A6029" w:rsidRPr="00706E38">
        <w:t xml:space="preserve">currently </w:t>
      </w:r>
      <w:r w:rsidRPr="00706E38">
        <w:t xml:space="preserve">available for </w:t>
      </w:r>
      <w:r w:rsidR="006A6029" w:rsidRPr="00706E38">
        <w:t>19</w:t>
      </w:r>
      <w:r w:rsidRPr="00706E38">
        <w:t xml:space="preserve"> </w:t>
      </w:r>
      <w:proofErr w:type="gramStart"/>
      <w:r w:rsidRPr="00706E38">
        <w:t>countries,</w:t>
      </w:r>
      <w:proofErr w:type="gramEnd"/>
      <w:r w:rsidRPr="00706E38">
        <w:t xml:space="preserve"> and NUTS 1 for </w:t>
      </w:r>
      <w:r w:rsidR="006A6029" w:rsidRPr="00706E38">
        <w:t>4</w:t>
      </w:r>
      <w:r w:rsidRPr="00706E38">
        <w:t xml:space="preserve"> countries. Of the remaining </w:t>
      </w:r>
      <w:r w:rsidR="006A6029" w:rsidRPr="00706E38">
        <w:t>9</w:t>
      </w:r>
      <w:r w:rsidRPr="00706E38">
        <w:t xml:space="preserve"> countries in which there is no regional data, three do not have any NUTS region subdivision (</w:t>
      </w:r>
      <w:proofErr w:type="spellStart"/>
      <w:r w:rsidR="006A6029" w:rsidRPr="00706E38">
        <w:t>i.e</w:t>
      </w:r>
      <w:proofErr w:type="spellEnd"/>
      <w:r w:rsidR="006A6029" w:rsidRPr="00706E38">
        <w:t xml:space="preserve"> they have only one region).</w:t>
      </w:r>
      <w:r w:rsidR="0062293B" w:rsidRPr="00706E38">
        <w:t xml:space="preserve"> </w:t>
      </w:r>
      <w:r w:rsidRPr="00706E38">
        <w:t xml:space="preserve">For </w:t>
      </w:r>
      <w:r w:rsidR="0062293B" w:rsidRPr="00706E38">
        <w:t xml:space="preserve">the </w:t>
      </w:r>
      <w:r w:rsidRPr="00706E38">
        <w:t xml:space="preserve">“Low Work Intensity” </w:t>
      </w:r>
      <w:r w:rsidR="0062293B" w:rsidRPr="00706E38">
        <w:t xml:space="preserve">and Severe Deprivation” </w:t>
      </w:r>
      <w:r w:rsidRPr="00706E38">
        <w:t>indicator</w:t>
      </w:r>
      <w:r w:rsidR="0062293B" w:rsidRPr="00706E38">
        <w:t>s</w:t>
      </w:r>
      <w:r w:rsidRPr="00706E38">
        <w:t xml:space="preserve"> NUTS 2 data is available for 14 countries, NUTS 1 for </w:t>
      </w:r>
      <w:r w:rsidR="00544F54" w:rsidRPr="00706E38">
        <w:t>5</w:t>
      </w:r>
      <w:r w:rsidRPr="00706E38">
        <w:t xml:space="preserve"> countries. </w:t>
      </w:r>
      <w:r w:rsidR="00266178" w:rsidRPr="00706E38">
        <w:t>T</w:t>
      </w:r>
      <w:r w:rsidRPr="00706E38">
        <w:t>he remaining 1</w:t>
      </w:r>
      <w:r w:rsidR="00544F54" w:rsidRPr="00706E38">
        <w:t>3</w:t>
      </w:r>
      <w:r w:rsidRPr="00706E38">
        <w:t xml:space="preserve"> countries provide only national data.</w:t>
      </w:r>
    </w:p>
    <w:p w:rsidR="00D97BC9" w:rsidRPr="00706E38" w:rsidRDefault="00D97BC9" w:rsidP="00D97BC9">
      <w:r w:rsidRPr="00706E38">
        <w:t xml:space="preserve">Although there has been some improvement during the past three years, the above summary shows rather clearly the relatively low level of regional data provided by the Eurostat data series, and illustrates the basic rationale for the </w:t>
      </w:r>
      <w:proofErr w:type="spellStart"/>
      <w:r w:rsidRPr="00706E38">
        <w:t>TiPSE</w:t>
      </w:r>
      <w:proofErr w:type="spellEnd"/>
      <w:r w:rsidRPr="00706E38">
        <w:t xml:space="preserve"> project.</w:t>
      </w:r>
    </w:p>
    <w:p w:rsidR="00D97BC9" w:rsidRPr="00706E38" w:rsidRDefault="00D97BC9" w:rsidP="00D97BC9">
      <w:r w:rsidRPr="00706E38">
        <w:t>The three maps also provide some helpful first hints about broad “macro-regional” differences in poverty across the EU. When interpreting the “At Risk of Poverty” map it is important to keep in mind two characteristics of the indicator: The first is that it can be viewed as an indicator of the degree of disparity within each country, rather than as a measure of the absolute level of poverty. The second is that each country uses its own national median disposable income as a benchmark, and therefore (in this sense) the indicator for each country is not directly comparable with others.</w:t>
      </w:r>
    </w:p>
    <w:p w:rsidR="00D97BC9" w:rsidRPr="00706E38" w:rsidRDefault="00D97BC9" w:rsidP="00E36FA0">
      <w:r w:rsidRPr="00706E38">
        <w:br w:type="column"/>
      </w:r>
      <w:r w:rsidR="00121307" w:rsidRPr="00706E38">
        <w:lastRenderedPageBreak/>
        <w:fldChar w:fldCharType="begin"/>
      </w:r>
      <w:r w:rsidRPr="00706E38">
        <w:instrText xml:space="preserve"> REF _Ref341697451 \h </w:instrText>
      </w:r>
      <w:r w:rsidR="00121307" w:rsidRPr="00706E38">
        <w:fldChar w:fldCharType="separate"/>
      </w:r>
      <w:r w:rsidR="000F31D5" w:rsidRPr="00706E38">
        <w:t xml:space="preserve">Map </w:t>
      </w:r>
      <w:r w:rsidR="000F31D5" w:rsidRPr="00706E38">
        <w:rPr>
          <w:noProof/>
        </w:rPr>
        <w:t>1</w:t>
      </w:r>
      <w:r w:rsidR="00121307" w:rsidRPr="00706E38">
        <w:fldChar w:fldCharType="end"/>
      </w:r>
      <w:r w:rsidRPr="00706E38">
        <w:t xml:space="preserve"> shows the broad-brush, macro-regional pattern of income inequality across Europe. The highest rates of “at risk of poverty” are revealed in an arc running south from Latvia to Greece and Turkey, west to southern Italy, western France, and Spain, and across to the UK and Ireland. The lowest levels are found in Austria, the Czech Republic, Southern Germany and Northern Italy. Some of the larger cities of the New Member States (e.g. Bucharest), appear as “islands” of lower rates of poverty. This hints at some interesting urban-rural contrasts, to which we shall return later.</w:t>
      </w:r>
    </w:p>
    <w:p w:rsidR="00D97BC9" w:rsidRPr="00706E38" w:rsidRDefault="00D97BC9" w:rsidP="00D97BC9">
      <w:pPr>
        <w:keepNext/>
      </w:pPr>
      <w:r w:rsidRPr="00706E38">
        <w:rPr>
          <w:noProof/>
          <w:lang w:eastAsia="en-GB"/>
        </w:rPr>
        <w:drawing>
          <wp:inline distT="0" distB="0" distL="0" distR="0">
            <wp:extent cx="5275097" cy="6008914"/>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1.jpg"/>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5912" b="3504"/>
                    <a:stretch/>
                  </pic:blipFill>
                  <pic:spPr bwMode="auto">
                    <a:xfrm>
                      <a:off x="0" y="0"/>
                      <a:ext cx="5278755" cy="601308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7BC9" w:rsidRPr="00706E38" w:rsidRDefault="00D97BC9" w:rsidP="00D97BC9">
      <w:pPr>
        <w:pStyle w:val="Caption"/>
      </w:pPr>
      <w:bookmarkStart w:id="13" w:name="_Ref341697451"/>
      <w:bookmarkStart w:id="14" w:name="_Toc404011373"/>
      <w:r w:rsidRPr="00706E38">
        <w:t xml:space="preserve">Map </w:t>
      </w:r>
      <w:fldSimple w:instr=" SEQ Map \* ARABIC ">
        <w:r w:rsidR="000F31D5" w:rsidRPr="00706E38">
          <w:rPr>
            <w:noProof/>
          </w:rPr>
          <w:t>1</w:t>
        </w:r>
      </w:fldSimple>
      <w:bookmarkEnd w:id="13"/>
      <w:r w:rsidRPr="00706E38">
        <w:t>: At Risk of Poverty Rates (Eurostat) 2013</w:t>
      </w:r>
      <w:bookmarkEnd w:id="14"/>
    </w:p>
    <w:p w:rsidR="009B10A4" w:rsidRPr="00706E38" w:rsidRDefault="00D97BC9" w:rsidP="009B10A4">
      <w:r w:rsidRPr="00706E38">
        <w:br w:type="column"/>
      </w:r>
      <w:r w:rsidR="009B10A4" w:rsidRPr="00706E38">
        <w:lastRenderedPageBreak/>
        <w:t>The Low Work Intensity map (</w:t>
      </w:r>
      <w:r w:rsidR="00121307" w:rsidRPr="00706E38">
        <w:fldChar w:fldCharType="begin"/>
      </w:r>
      <w:r w:rsidR="009B10A4" w:rsidRPr="00706E38">
        <w:instrText xml:space="preserve"> REF _Ref341700161 \h </w:instrText>
      </w:r>
      <w:r w:rsidR="00121307" w:rsidRPr="00706E38">
        <w:fldChar w:fldCharType="separate"/>
      </w:r>
      <w:r w:rsidR="000F31D5" w:rsidRPr="00706E38">
        <w:t xml:space="preserve">Map </w:t>
      </w:r>
      <w:r w:rsidR="000F31D5" w:rsidRPr="00706E38">
        <w:rPr>
          <w:noProof/>
        </w:rPr>
        <w:t>2</w:t>
      </w:r>
      <w:r w:rsidR="00121307" w:rsidRPr="00706E38">
        <w:fldChar w:fldCharType="end"/>
      </w:r>
      <w:r w:rsidR="009B10A4" w:rsidRPr="00706E38">
        <w:t>) shows a rather different pattern. Although S</w:t>
      </w:r>
      <w:r w:rsidR="00A41CA9" w:rsidRPr="00706E38">
        <w:t>outhern</w:t>
      </w:r>
      <w:r w:rsidR="009B10A4" w:rsidRPr="00706E38">
        <w:t xml:space="preserve"> Italy, parts of Hungary, and Southern Spain are again highlighted, some new areas also show up as problematic; these include Ireland, Wallonia, Jutland, Lithuania and Eastern Finland. However the lack of regional detail makes some parts of the map (such as Germany) more difficult to interpret. </w:t>
      </w:r>
    </w:p>
    <w:p w:rsidR="0004166B" w:rsidRPr="00706E38" w:rsidRDefault="00F404C7" w:rsidP="00E36FA0">
      <w:pPr>
        <w:keepNext/>
      </w:pPr>
      <w:r w:rsidRPr="00706E38">
        <w:rPr>
          <w:noProof/>
          <w:lang w:eastAsia="en-GB"/>
        </w:rPr>
        <w:drawing>
          <wp:inline distT="0" distB="0" distL="0" distR="0">
            <wp:extent cx="5284197" cy="618704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2.jpg"/>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5580" b="1590"/>
                    <a:stretch/>
                  </pic:blipFill>
                  <pic:spPr bwMode="auto">
                    <a:xfrm>
                      <a:off x="0" y="0"/>
                      <a:ext cx="5278755" cy="618067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266178" w:rsidRPr="00706E38" w:rsidRDefault="00E36FA0" w:rsidP="00E36FA0">
      <w:pPr>
        <w:pStyle w:val="Caption"/>
      </w:pPr>
      <w:bookmarkStart w:id="15" w:name="_Ref341700161"/>
      <w:bookmarkStart w:id="16" w:name="_Toc404011374"/>
      <w:r w:rsidRPr="00706E38">
        <w:t xml:space="preserve">Map </w:t>
      </w:r>
      <w:fldSimple w:instr=" SEQ Map \* ARABIC ">
        <w:r w:rsidR="000F31D5" w:rsidRPr="00706E38">
          <w:rPr>
            <w:noProof/>
          </w:rPr>
          <w:t>2</w:t>
        </w:r>
      </w:fldSimple>
      <w:bookmarkEnd w:id="15"/>
      <w:r w:rsidRPr="00706E38">
        <w:t xml:space="preserve">: Low Work Intensity </w:t>
      </w:r>
      <w:r w:rsidR="00BA5ECB" w:rsidRPr="00706E38">
        <w:t>(Eurostat) 201</w:t>
      </w:r>
      <w:r w:rsidR="00E80A26" w:rsidRPr="00706E38">
        <w:t>3</w:t>
      </w:r>
      <w:bookmarkEnd w:id="16"/>
    </w:p>
    <w:p w:rsidR="00D97BC9" w:rsidRPr="00706E38" w:rsidRDefault="00D97BC9" w:rsidP="00D97BC9">
      <w:r w:rsidRPr="00706E38">
        <w:br w:type="column"/>
      </w:r>
      <w:r w:rsidRPr="00706E38">
        <w:lastRenderedPageBreak/>
        <w:t>Similarly, the Severe Deprivation map (</w:t>
      </w:r>
      <w:r w:rsidR="00121307" w:rsidRPr="00706E38">
        <w:fldChar w:fldCharType="begin"/>
      </w:r>
      <w:r w:rsidRPr="00706E38">
        <w:instrText xml:space="preserve"> REF _Ref341700602 \h </w:instrText>
      </w:r>
      <w:r w:rsidR="00121307" w:rsidRPr="00706E38">
        <w:fldChar w:fldCharType="separate"/>
      </w:r>
      <w:r w:rsidR="000F31D5" w:rsidRPr="00706E38">
        <w:t xml:space="preserve">Map </w:t>
      </w:r>
      <w:r w:rsidR="000F31D5" w:rsidRPr="00706E38">
        <w:rPr>
          <w:noProof/>
        </w:rPr>
        <w:t>3</w:t>
      </w:r>
      <w:r w:rsidR="00121307" w:rsidRPr="00706E38">
        <w:fldChar w:fldCharType="end"/>
      </w:r>
      <w:r w:rsidRPr="00706E38">
        <w:t>) suffers from “low definition”. Nevertheless the pattern in Eastern Europe is very similar to that of the At Risk indicator. In the West and North, (especially Spain and the UK) however, there is little evidence of high levels of deprivation.</w:t>
      </w:r>
    </w:p>
    <w:p w:rsidR="00D97BC9" w:rsidRPr="00706E38" w:rsidRDefault="00D97BC9" w:rsidP="00D97BC9"/>
    <w:p w:rsidR="0004166B" w:rsidRPr="00706E38" w:rsidRDefault="00F404C7" w:rsidP="00E36FA0">
      <w:pPr>
        <w:keepNext/>
      </w:pPr>
      <w:r w:rsidRPr="00706E38">
        <w:rPr>
          <w:noProof/>
          <w:lang w:eastAsia="en-GB"/>
        </w:rPr>
        <w:drawing>
          <wp:inline distT="0" distB="0" distL="0" distR="0">
            <wp:extent cx="5284198" cy="6187044"/>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3.jpg"/>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5740" b="1430"/>
                    <a:stretch/>
                  </pic:blipFill>
                  <pic:spPr bwMode="auto">
                    <a:xfrm>
                      <a:off x="0" y="0"/>
                      <a:ext cx="5278755" cy="618067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36FA0" w:rsidRPr="00706E38" w:rsidRDefault="00E36FA0" w:rsidP="00E36FA0">
      <w:pPr>
        <w:pStyle w:val="Caption"/>
      </w:pPr>
      <w:bookmarkStart w:id="17" w:name="_Ref341700602"/>
      <w:bookmarkStart w:id="18" w:name="_Toc404011375"/>
      <w:r w:rsidRPr="00706E38">
        <w:t xml:space="preserve">Map </w:t>
      </w:r>
      <w:fldSimple w:instr=" SEQ Map \* ARABIC ">
        <w:r w:rsidR="000F31D5" w:rsidRPr="00706E38">
          <w:rPr>
            <w:noProof/>
          </w:rPr>
          <w:t>3</w:t>
        </w:r>
      </w:fldSimple>
      <w:bookmarkEnd w:id="17"/>
      <w:r w:rsidRPr="00706E38">
        <w:t xml:space="preserve">: Severe Material Deprivation </w:t>
      </w:r>
      <w:r w:rsidR="00BA5ECB" w:rsidRPr="00706E38">
        <w:t>(Eurostat) 201</w:t>
      </w:r>
      <w:r w:rsidR="00E80A26" w:rsidRPr="00706E38">
        <w:t>3</w:t>
      </w:r>
      <w:bookmarkEnd w:id="18"/>
    </w:p>
    <w:p w:rsidR="00D97BC9" w:rsidRPr="00706E38" w:rsidRDefault="00D97BC9" w:rsidP="00D97BC9"/>
    <w:p w:rsidR="00246737" w:rsidRPr="00706E38" w:rsidRDefault="00D97BC9" w:rsidP="00246737">
      <w:pPr>
        <w:pStyle w:val="Heading2"/>
        <w:rPr>
          <w:rFonts w:eastAsia="Calibri"/>
          <w:lang w:eastAsia="en-GB"/>
        </w:rPr>
      </w:pPr>
      <w:r w:rsidRPr="00706E38">
        <w:rPr>
          <w:rFonts w:eastAsia="Calibri"/>
          <w:lang w:eastAsia="en-GB"/>
        </w:rPr>
        <w:br w:type="column"/>
      </w:r>
      <w:bookmarkStart w:id="19" w:name="_Toc410375316"/>
      <w:r w:rsidR="00BC1B30" w:rsidRPr="00706E38">
        <w:rPr>
          <w:rFonts w:eastAsia="Calibri"/>
          <w:lang w:eastAsia="en-GB"/>
        </w:rPr>
        <w:lastRenderedPageBreak/>
        <w:t xml:space="preserve">A </w:t>
      </w:r>
      <w:r w:rsidR="00246737" w:rsidRPr="00706E38">
        <w:rPr>
          <w:rFonts w:eastAsia="Calibri"/>
          <w:lang w:eastAsia="en-GB"/>
        </w:rPr>
        <w:t>Typolog</w:t>
      </w:r>
      <w:r w:rsidR="00BC1B30" w:rsidRPr="00706E38">
        <w:rPr>
          <w:rFonts w:eastAsia="Calibri"/>
          <w:lang w:eastAsia="en-GB"/>
        </w:rPr>
        <w:t>y of Countries according to PSE</w:t>
      </w:r>
      <w:bookmarkEnd w:id="19"/>
    </w:p>
    <w:p w:rsidR="00BC1B30" w:rsidRPr="00706E38" w:rsidRDefault="00BC1B30" w:rsidP="00BC1B30">
      <w:r w:rsidRPr="00706E38">
        <w:t xml:space="preserve">This typology seeks to identify groups of countries with similar profiles in terms poverty and social exclusion. It is based upon a cluster analysis using a range of poverty and social exclusion indicators which are available at the national level. </w:t>
      </w:r>
      <w:r w:rsidR="005202B0" w:rsidRPr="00706E38">
        <w:t>The results provide an interesting “cross reference” to the widely accepted welfare regime classification (Section 1.4), and may also serve to inform the policy implications (Section 5).</w:t>
      </w:r>
    </w:p>
    <w:p w:rsidR="00EF6D8A" w:rsidRPr="00706E38" w:rsidRDefault="007229D2" w:rsidP="00BC1B30">
      <w:r w:rsidRPr="00706E38">
        <w:t xml:space="preserve">After eliminating strongly correlated indicators </w:t>
      </w:r>
      <w:r w:rsidR="00EF6D8A" w:rsidRPr="00706E38">
        <w:t xml:space="preserve">a </w:t>
      </w:r>
      <w:r w:rsidRPr="00706E38">
        <w:t xml:space="preserve">database consisting of 21 variables, and covering 30 ESPON countries was available. </w:t>
      </w:r>
      <w:r w:rsidR="005202B0" w:rsidRPr="00706E38">
        <w:t xml:space="preserve">Full details of the methodology are provided in Annex </w:t>
      </w:r>
      <w:r w:rsidR="00471C90" w:rsidRPr="00706E38">
        <w:t>9</w:t>
      </w:r>
      <w:r w:rsidR="005202B0" w:rsidRPr="00706E38">
        <w:t>. Here we shall focus upon the results.</w:t>
      </w:r>
    </w:p>
    <w:p w:rsidR="005202B0" w:rsidRPr="00706E38" w:rsidRDefault="005202B0" w:rsidP="00BC1B30">
      <w:r w:rsidRPr="00706E38">
        <w:t>Five clusters were identified, as follows</w:t>
      </w:r>
      <w:r w:rsidR="00A5404C" w:rsidRPr="00706E38">
        <w:t>:</w:t>
      </w:r>
      <w:r w:rsidR="007229D2" w:rsidRPr="00706E38">
        <w:t xml:space="preserve"> </w:t>
      </w:r>
    </w:p>
    <w:p w:rsidR="005202B0" w:rsidRPr="00706E38" w:rsidRDefault="005202B0" w:rsidP="005202B0">
      <w:pPr>
        <w:spacing w:before="60"/>
      </w:pPr>
      <w:r w:rsidRPr="00706E38">
        <w:rPr>
          <w:b/>
        </w:rPr>
        <w:t xml:space="preserve">Cluster 1: </w:t>
      </w:r>
      <w:r w:rsidRPr="00706E38">
        <w:rPr>
          <w:b/>
          <w:i/>
        </w:rPr>
        <w:t>“Inclusive Centre”</w:t>
      </w:r>
      <w:r w:rsidRPr="00706E38">
        <w:t xml:space="preserve"> (Austria, Cyprus, Czech Republic, Germany, Luxembourg, Malta, Slovenia, Switzerland)</w:t>
      </w:r>
    </w:p>
    <w:p w:rsidR="005202B0" w:rsidRPr="00706E38" w:rsidRDefault="005202B0" w:rsidP="005202B0">
      <w:pPr>
        <w:spacing w:before="60"/>
      </w:pPr>
      <w:r w:rsidRPr="00706E38">
        <w:rPr>
          <w:b/>
          <w:lang w:val="en-US"/>
        </w:rPr>
        <w:t xml:space="preserve">Cluster 2: </w:t>
      </w:r>
      <w:r w:rsidRPr="00706E38">
        <w:rPr>
          <w:b/>
          <w:i/>
          <w:lang w:val="en-US"/>
        </w:rPr>
        <w:t>“Competitive North-West”</w:t>
      </w:r>
      <w:r w:rsidRPr="00706E38">
        <w:rPr>
          <w:lang w:val="en-US"/>
        </w:rPr>
        <w:t xml:space="preserve"> (</w:t>
      </w:r>
      <w:r w:rsidRPr="00706E38">
        <w:rPr>
          <w:lang w:val="de-DE"/>
        </w:rPr>
        <w:t xml:space="preserve">Belgium, Denmark, Finland, France, Iceland, Ireland, Netherlands, Norway, Sweden, </w:t>
      </w:r>
      <w:r w:rsidRPr="00706E38">
        <w:t>United Kingdom)</w:t>
      </w:r>
    </w:p>
    <w:p w:rsidR="005202B0" w:rsidRPr="00706E38" w:rsidRDefault="005202B0" w:rsidP="005202B0">
      <w:pPr>
        <w:spacing w:before="60"/>
      </w:pPr>
      <w:r w:rsidRPr="00706E38">
        <w:rPr>
          <w:b/>
        </w:rPr>
        <w:t>Cluster 3:</w:t>
      </w:r>
      <w:r w:rsidRPr="00706E38">
        <w:t xml:space="preserve"> </w:t>
      </w:r>
      <w:r w:rsidRPr="00706E38">
        <w:rPr>
          <w:b/>
          <w:i/>
        </w:rPr>
        <w:t>“</w:t>
      </w:r>
      <w:r w:rsidR="00453AFE" w:rsidRPr="00706E38">
        <w:rPr>
          <w:b/>
          <w:i/>
          <w:lang w:val="en-US"/>
        </w:rPr>
        <w:t>Emerging</w:t>
      </w:r>
      <w:r w:rsidRPr="00706E38">
        <w:rPr>
          <w:b/>
          <w:i/>
          <w:lang w:val="en-US"/>
        </w:rPr>
        <w:t xml:space="preserve"> East” </w:t>
      </w:r>
      <w:r w:rsidRPr="00706E38">
        <w:rPr>
          <w:lang w:val="en-US"/>
        </w:rPr>
        <w:t>(</w:t>
      </w:r>
      <w:r w:rsidRPr="00706E38">
        <w:t>Bulgaria, Estonia, Hungary, Latvia, Lithuania, Poland, Slovakia)</w:t>
      </w:r>
    </w:p>
    <w:p w:rsidR="005202B0" w:rsidRPr="00706E38" w:rsidRDefault="005202B0" w:rsidP="005202B0">
      <w:pPr>
        <w:spacing w:before="60"/>
      </w:pPr>
      <w:r w:rsidRPr="00706E38">
        <w:rPr>
          <w:b/>
        </w:rPr>
        <w:t>Cluster 4:</w:t>
      </w:r>
      <w:r w:rsidRPr="00706E38">
        <w:t xml:space="preserve"> </w:t>
      </w:r>
      <w:r w:rsidRPr="00706E38">
        <w:rPr>
          <w:b/>
          <w:i/>
        </w:rPr>
        <w:t>“</w:t>
      </w:r>
      <w:r w:rsidRPr="00706E38">
        <w:rPr>
          <w:b/>
          <w:i/>
          <w:lang w:val="en-US"/>
        </w:rPr>
        <w:t xml:space="preserve">Mediterranean </w:t>
      </w:r>
      <w:r w:rsidR="00453AFE" w:rsidRPr="00706E38">
        <w:rPr>
          <w:b/>
          <w:i/>
          <w:lang w:val="en-US"/>
        </w:rPr>
        <w:t>Adjustment</w:t>
      </w:r>
      <w:r w:rsidRPr="00706E38">
        <w:rPr>
          <w:b/>
          <w:i/>
          <w:lang w:val="en-US"/>
        </w:rPr>
        <w:t>”</w:t>
      </w:r>
      <w:r w:rsidRPr="00706E38">
        <w:rPr>
          <w:lang w:val="en-US"/>
        </w:rPr>
        <w:t xml:space="preserve"> (G</w:t>
      </w:r>
      <w:r w:rsidRPr="00706E38">
        <w:t>reece, Italy, Portugal, Spain</w:t>
      </w:r>
      <w:r w:rsidR="007229D2" w:rsidRPr="00706E38">
        <w:t>)</w:t>
      </w:r>
    </w:p>
    <w:p w:rsidR="005202B0" w:rsidRPr="00706E38" w:rsidRDefault="005202B0" w:rsidP="005202B0">
      <w:pPr>
        <w:spacing w:before="60"/>
      </w:pPr>
      <w:r w:rsidRPr="00706E38">
        <w:rPr>
          <w:b/>
        </w:rPr>
        <w:t>Cluster 5:</w:t>
      </w:r>
      <w:r w:rsidRPr="00706E38">
        <w:t xml:space="preserve"> </w:t>
      </w:r>
      <w:r w:rsidRPr="00706E38">
        <w:rPr>
          <w:b/>
          <w:i/>
        </w:rPr>
        <w:t>Romania</w:t>
      </w:r>
    </w:p>
    <w:p w:rsidR="00B427EE" w:rsidRPr="00706E38" w:rsidRDefault="00B427EE" w:rsidP="005202B0">
      <w:pPr>
        <w:spacing w:before="60"/>
        <w:rPr>
          <w:sz w:val="18"/>
        </w:rPr>
      </w:pPr>
      <w:r w:rsidRPr="00706E38">
        <w:rPr>
          <w:sz w:val="18"/>
        </w:rPr>
        <w:t>Note: Croatia and Liechtenstein were excluded from the analysis due to data availability constraints.</w:t>
      </w:r>
    </w:p>
    <w:p w:rsidR="005202B0" w:rsidRPr="00706E38" w:rsidRDefault="007229D2" w:rsidP="005202B0">
      <w:pPr>
        <w:spacing w:before="60"/>
      </w:pPr>
      <w:r w:rsidRPr="00706E38">
        <w:t>Clearly these clusters have elements in common with the welfare regime classification</w:t>
      </w:r>
      <w:r w:rsidR="00A5404C" w:rsidRPr="00706E38">
        <w:t xml:space="preserve"> (see </w:t>
      </w:r>
      <w:r w:rsidR="00121307" w:rsidRPr="00706E38">
        <w:fldChar w:fldCharType="begin"/>
      </w:r>
      <w:r w:rsidR="00A5404C" w:rsidRPr="00706E38">
        <w:instrText xml:space="preserve"> REF _Ref385092819 \h </w:instrText>
      </w:r>
      <w:r w:rsidR="00121307" w:rsidRPr="00706E38">
        <w:fldChar w:fldCharType="separate"/>
      </w:r>
      <w:r w:rsidR="000F31D5" w:rsidRPr="00706E38">
        <w:t xml:space="preserve">Map </w:t>
      </w:r>
      <w:r w:rsidR="000F31D5" w:rsidRPr="00706E38">
        <w:rPr>
          <w:noProof/>
        </w:rPr>
        <w:t>4</w:t>
      </w:r>
      <w:r w:rsidR="00121307" w:rsidRPr="00706E38">
        <w:fldChar w:fldCharType="end"/>
      </w:r>
      <w:r w:rsidR="00A5404C" w:rsidRPr="00706E38">
        <w:t>)</w:t>
      </w:r>
      <w:r w:rsidRPr="00706E38">
        <w:t xml:space="preserve"> – the key example being the separation of the Mediterranean </w:t>
      </w:r>
      <w:r w:rsidR="00EF6D8A" w:rsidRPr="00706E38">
        <w:t>(Famili</w:t>
      </w:r>
      <w:r w:rsidR="00453AFE" w:rsidRPr="00706E38">
        <w:t>al</w:t>
      </w:r>
      <w:r w:rsidR="00EF6D8A" w:rsidRPr="00706E38">
        <w:t xml:space="preserve">) </w:t>
      </w:r>
      <w:r w:rsidRPr="00706E38">
        <w:t>countries (Cluster 4), and to a lesser extent the former socialist New Member States (Cluster 3).</w:t>
      </w:r>
      <w:r w:rsidR="00A5404C" w:rsidRPr="00706E38">
        <w:t xml:space="preserve"> However there are also interesting differences, combining the </w:t>
      </w:r>
      <w:r w:rsidR="00453AFE" w:rsidRPr="00706E38">
        <w:t>Individual</w:t>
      </w:r>
      <w:r w:rsidR="00A5404C" w:rsidRPr="00706E38">
        <w:t xml:space="preserve"> and </w:t>
      </w:r>
      <w:r w:rsidR="00453AFE" w:rsidRPr="00706E38">
        <w:t>Society-based</w:t>
      </w:r>
      <w:r w:rsidR="00A5404C" w:rsidRPr="00706E38">
        <w:t xml:space="preserve"> types with parts of the </w:t>
      </w:r>
      <w:r w:rsidR="00453AFE" w:rsidRPr="00706E38">
        <w:t>State-based</w:t>
      </w:r>
      <w:r w:rsidR="00A5404C" w:rsidRPr="00706E38">
        <w:t>. This underlines the fact that this is a typology based upon the profile of poverty and social exclusion, whereas the welfare regime classification considers only the policy response.</w:t>
      </w:r>
      <w:r w:rsidR="00EF6D8A" w:rsidRPr="00706E38">
        <w:t xml:space="preserve"> A brief description of the five types follows.</w:t>
      </w:r>
    </w:p>
    <w:p w:rsidR="00EF6D8A" w:rsidRPr="00706E38" w:rsidRDefault="00EF6D8A" w:rsidP="00EF6D8A">
      <w:r w:rsidRPr="00706E38">
        <w:rPr>
          <w:b/>
          <w:i/>
          <w:lang w:val="en-US"/>
        </w:rPr>
        <w:t>Inclusive Centre</w:t>
      </w:r>
      <w:r w:rsidRPr="00706E38">
        <w:rPr>
          <w:b/>
          <w:i/>
        </w:rPr>
        <w:t>:</w:t>
      </w:r>
      <w:r w:rsidRPr="00706E38">
        <w:t xml:space="preserve"> This type of countries is characterised by high employment rates, comparatively good values as regards health care, education and housing, high rates of foreign-born population as well as distinctively low share of severe material deprivation and in-work at risk-of-poverty rates. Nevertheless, this seems to be the least homogenous cluster; with strong variation in indicators relating to education, and the proportion of foreign born persons..</w:t>
      </w:r>
    </w:p>
    <w:p w:rsidR="00EF6D8A" w:rsidRPr="00706E38" w:rsidRDefault="00EF6D8A" w:rsidP="00EF6D8A">
      <w:r w:rsidRPr="00706E38">
        <w:rPr>
          <w:b/>
          <w:i/>
          <w:lang w:val="en-US"/>
        </w:rPr>
        <w:t>Competitive North-West</w:t>
      </w:r>
      <w:r w:rsidRPr="00706E38">
        <w:rPr>
          <w:i/>
          <w:lang w:val="en-US"/>
        </w:rPr>
        <w:t>:</w:t>
      </w:r>
      <w:r w:rsidR="003A049A" w:rsidRPr="00706E38">
        <w:rPr>
          <w:i/>
          <w:lang w:val="en-US"/>
        </w:rPr>
        <w:t xml:space="preserve"> </w:t>
      </w:r>
      <w:r w:rsidR="003A049A" w:rsidRPr="00706E38">
        <w:rPr>
          <w:lang w:val="en-US"/>
        </w:rPr>
        <w:t>This cluster exhibits</w:t>
      </w:r>
      <w:r w:rsidRPr="00706E38">
        <w:t xml:space="preserve"> the best values as regards the </w:t>
      </w:r>
      <w:r w:rsidR="003A049A" w:rsidRPr="00706E38">
        <w:t>labour</w:t>
      </w:r>
      <w:r w:rsidRPr="00706E38">
        <w:t xml:space="preserve"> market, an outstanding share of people with tertiary education</w:t>
      </w:r>
      <w:r w:rsidR="003A049A" w:rsidRPr="00706E38">
        <w:t>,</w:t>
      </w:r>
      <w:r w:rsidRPr="00706E38">
        <w:t xml:space="preserve"> the highest </w:t>
      </w:r>
      <w:r w:rsidR="003A049A" w:rsidRPr="00706E38">
        <w:t>life</w:t>
      </w:r>
      <w:r w:rsidRPr="00706E38">
        <w:t xml:space="preserve"> expectancy at birth, good housing conditions</w:t>
      </w:r>
      <w:r w:rsidR="003A049A" w:rsidRPr="00706E38">
        <w:t>, a</w:t>
      </w:r>
      <w:r w:rsidRPr="00706E38">
        <w:t xml:space="preserve"> distinctively low </w:t>
      </w:r>
      <w:r w:rsidR="00F34C48" w:rsidRPr="00706E38">
        <w:t>rate</w:t>
      </w:r>
      <w:r w:rsidRPr="00706E38">
        <w:t xml:space="preserve"> of severe material deprivation</w:t>
      </w:r>
      <w:r w:rsidR="003A049A" w:rsidRPr="00706E38">
        <w:t>,</w:t>
      </w:r>
      <w:r w:rsidRPr="00706E38">
        <w:t xml:space="preserve"> and </w:t>
      </w:r>
      <w:r w:rsidR="003A049A" w:rsidRPr="00706E38">
        <w:t xml:space="preserve">low </w:t>
      </w:r>
      <w:r w:rsidRPr="00706E38">
        <w:t>in-work at risk-of-poverty rates. However, the share of for</w:t>
      </w:r>
      <w:r w:rsidR="003A049A" w:rsidRPr="00706E38">
        <w:t>eign-born population, and</w:t>
      </w:r>
      <w:r w:rsidRPr="00706E38">
        <w:t xml:space="preserve"> the share of single persons with children</w:t>
      </w:r>
      <w:r w:rsidR="003A049A" w:rsidRPr="00706E38">
        <w:t xml:space="preserve"> are both high</w:t>
      </w:r>
      <w:r w:rsidRPr="00706E38">
        <w:t xml:space="preserve">. </w:t>
      </w:r>
      <w:r w:rsidR="003A049A" w:rsidRPr="00706E38">
        <w:lastRenderedPageBreak/>
        <w:t>This cluster has</w:t>
      </w:r>
      <w:r w:rsidRPr="00706E38">
        <w:t xml:space="preserve"> the highest homogeneity</w:t>
      </w:r>
      <w:r w:rsidR="003A049A" w:rsidRPr="00706E38">
        <w:t>, with the exception of the low work intensity indicator.</w:t>
      </w:r>
    </w:p>
    <w:p w:rsidR="00D97BC9" w:rsidRPr="00706E38" w:rsidRDefault="00D97BC9" w:rsidP="00D97BC9">
      <w:r w:rsidRPr="00706E38">
        <w:rPr>
          <w:b/>
          <w:i/>
          <w:lang w:val="en-US"/>
        </w:rPr>
        <w:t>Emerging East</w:t>
      </w:r>
      <w:r w:rsidRPr="00706E38">
        <w:rPr>
          <w:b/>
          <w:i/>
        </w:rPr>
        <w:t>:</w:t>
      </w:r>
      <w:r w:rsidRPr="00706E38">
        <w:rPr>
          <w:i/>
        </w:rPr>
        <w:t xml:space="preserve"> </w:t>
      </w:r>
      <w:r w:rsidRPr="00706E38">
        <w:t>This cluster including post-communist countries ranks in the middle of all clusters as regards the quality of the employment market and the educational sector. It is characterised by the lowest life expectancy at birth, is highly challenged by the poor conditions of its housing markets as well as by one of the highest values concerning material deprivation. However, in both dimensions this group of countries shows high dissimilarities: Whereas the share of households with 6 or more persons varies between Estonia with the lowest and Poland with the highest value, the severe material deprivation rate shows the highest range; although all countries have comparatively inflated rates, Bulgaria shows by far the highest value (44.1%).</w:t>
      </w:r>
    </w:p>
    <w:p w:rsidR="003C7EB7" w:rsidRPr="00706E38" w:rsidRDefault="00453AFE" w:rsidP="003C7EB7">
      <w:pPr>
        <w:keepNext/>
      </w:pPr>
      <w:r w:rsidRPr="00706E38">
        <w:rPr>
          <w:noProof/>
          <w:lang w:eastAsia="en-GB"/>
        </w:rPr>
        <w:drawing>
          <wp:inline distT="0" distB="0" distL="0" distR="0">
            <wp:extent cx="4935839" cy="5295014"/>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36928" cy="5296182"/>
                    </a:xfrm>
                    <a:prstGeom prst="rect">
                      <a:avLst/>
                    </a:prstGeom>
                    <a:noFill/>
                  </pic:spPr>
                </pic:pic>
              </a:graphicData>
            </a:graphic>
          </wp:inline>
        </w:drawing>
      </w:r>
    </w:p>
    <w:p w:rsidR="003C7EB7" w:rsidRPr="00706E38" w:rsidRDefault="003C7EB7" w:rsidP="003C7EB7">
      <w:pPr>
        <w:pStyle w:val="Caption"/>
      </w:pPr>
      <w:bookmarkStart w:id="20" w:name="_Ref385092819"/>
      <w:bookmarkStart w:id="21" w:name="_Toc383425984"/>
      <w:bookmarkStart w:id="22" w:name="_Toc404011376"/>
      <w:r w:rsidRPr="00706E38">
        <w:t xml:space="preserve">Map </w:t>
      </w:r>
      <w:fldSimple w:instr=" SEQ Map \* ARABIC ">
        <w:r w:rsidR="000F31D5" w:rsidRPr="00706E38">
          <w:rPr>
            <w:noProof/>
          </w:rPr>
          <w:t>4</w:t>
        </w:r>
      </w:fldSimple>
      <w:bookmarkEnd w:id="20"/>
      <w:r w:rsidRPr="00706E38">
        <w:t xml:space="preserve">: </w:t>
      </w:r>
      <w:bookmarkEnd w:id="21"/>
      <w:r w:rsidRPr="00706E38">
        <w:t>Poverty and Social Exclusion Typology and Welfare Regime classification</w:t>
      </w:r>
      <w:bookmarkEnd w:id="22"/>
    </w:p>
    <w:p w:rsidR="00EF6D8A" w:rsidRPr="00706E38" w:rsidRDefault="00EF6D8A" w:rsidP="00EF6D8A">
      <w:r w:rsidRPr="00706E38">
        <w:rPr>
          <w:b/>
          <w:i/>
          <w:lang w:val="en-US"/>
        </w:rPr>
        <w:t xml:space="preserve">Mediterranean </w:t>
      </w:r>
      <w:r w:rsidR="00453AFE" w:rsidRPr="00706E38">
        <w:rPr>
          <w:b/>
          <w:i/>
          <w:lang w:val="en-US"/>
        </w:rPr>
        <w:t>Adjustment</w:t>
      </w:r>
      <w:r w:rsidRPr="00706E38">
        <w:rPr>
          <w:i/>
        </w:rPr>
        <w:t xml:space="preserve">: </w:t>
      </w:r>
      <w:r w:rsidRPr="00706E38">
        <w:t xml:space="preserve">All countries in this cluster are hit hard by the economic and fiscal crisis and consequently show the worst conditions on the employment </w:t>
      </w:r>
      <w:r w:rsidRPr="00706E38">
        <w:lastRenderedPageBreak/>
        <w:t xml:space="preserve">market. The cluster is characterised by elevated income disparities, the highest shares of employed persons in elementary occupation and the lowest employment rates. Whereas the </w:t>
      </w:r>
      <w:r w:rsidR="003C7EB7" w:rsidRPr="00706E38">
        <w:t>life</w:t>
      </w:r>
      <w:r w:rsidRPr="00706E38">
        <w:t xml:space="preserve"> expectancy is comparatively high, indicators illustrating the quality of education are partly even lower than in Cluster 5 (Romania) (with exception of the share of persons with tertiary education). Moreover, this cluster is highly challenged by an ageing population and a comparatively high rate of working poor.</w:t>
      </w:r>
      <w:r w:rsidR="003C7EB7" w:rsidRPr="00706E38">
        <w:t xml:space="preserve"> The cluster </w:t>
      </w:r>
      <w:r w:rsidRPr="00706E38">
        <w:t>is very homogenous in almost every indicator; only few</w:t>
      </w:r>
      <w:r w:rsidR="003C7EB7" w:rsidRPr="00706E38">
        <w:t xml:space="preserve"> indicators vary significantly</w:t>
      </w:r>
      <w:r w:rsidRPr="00706E38">
        <w:t xml:space="preserve">. </w:t>
      </w:r>
    </w:p>
    <w:p w:rsidR="00981772" w:rsidRPr="00706E38" w:rsidRDefault="00EF6D8A" w:rsidP="00EF6D8A">
      <w:r w:rsidRPr="00706E38">
        <w:rPr>
          <w:b/>
          <w:i/>
        </w:rPr>
        <w:t>Romania:</w:t>
      </w:r>
      <w:r w:rsidRPr="00706E38">
        <w:t xml:space="preserve"> </w:t>
      </w:r>
      <w:r w:rsidR="00981772" w:rsidRPr="00706E38">
        <w:t xml:space="preserve">Romania seems to be an outlier as regards its profile of poverty and social exclusion. It is one of the countries achieving the worst values in terms of the employment market, tertiary education and severe material deprivation. Moreover, Romania shows, by far, the poorest housing market conditions, the highest value of in-work-poverty and, at the same time, the lowest share of foreign-born population. Thus, several indicators are distinctively higher or lower than in the other four clusters; the economic, physical and social situation remains clearly behind the levels of the other countries. </w:t>
      </w:r>
    </w:p>
    <w:p w:rsidR="003C7EB7" w:rsidRPr="00706E38" w:rsidRDefault="00F76C4A" w:rsidP="00EF6D8A">
      <w:r w:rsidRPr="00706E38">
        <w:t>In this section we have tried to “paint the background picture” of broad, national scale variations in poverty and social exclusion. The next two sections will consider regional (NUTS 3) patterns in poverty and social exclusion respectively, whilst in Section 5 we will focus upon processes which lead to poverty or exclusion at a local level.</w:t>
      </w:r>
    </w:p>
    <w:p w:rsidR="00E438A5" w:rsidRPr="00706E38" w:rsidRDefault="00710EA0" w:rsidP="003C619B">
      <w:pPr>
        <w:pStyle w:val="Heading1"/>
        <w:rPr>
          <w:rFonts w:eastAsia="Calibri"/>
          <w:lang w:eastAsia="en-GB"/>
        </w:rPr>
      </w:pPr>
      <w:bookmarkStart w:id="23" w:name="_Toc401068751"/>
      <w:bookmarkStart w:id="24" w:name="_Toc410375317"/>
      <w:r w:rsidRPr="00706E38">
        <w:rPr>
          <w:rFonts w:eastAsia="Calibri"/>
          <w:lang w:eastAsia="en-GB"/>
        </w:rPr>
        <w:t xml:space="preserve">Mapping patterns of </w:t>
      </w:r>
      <w:r w:rsidR="008D1AB1" w:rsidRPr="00706E38">
        <w:rPr>
          <w:rFonts w:eastAsia="Calibri"/>
          <w:lang w:eastAsia="en-GB"/>
        </w:rPr>
        <w:t xml:space="preserve">Income </w:t>
      </w:r>
      <w:r w:rsidRPr="00706E38">
        <w:rPr>
          <w:rFonts w:eastAsia="Calibri"/>
          <w:lang w:eastAsia="en-GB"/>
        </w:rPr>
        <w:t>Poverty</w:t>
      </w:r>
      <w:bookmarkEnd w:id="23"/>
      <w:bookmarkEnd w:id="24"/>
    </w:p>
    <w:p w:rsidR="0094533D" w:rsidRPr="00706E38" w:rsidRDefault="001059C8" w:rsidP="0094533D">
      <w:pPr>
        <w:pStyle w:val="Heading2"/>
      </w:pPr>
      <w:bookmarkStart w:id="25" w:name="_Toc410375318"/>
      <w:r w:rsidRPr="00706E38">
        <w:t>Data Sources and Me</w:t>
      </w:r>
      <w:r w:rsidR="0094533D" w:rsidRPr="00706E38">
        <w:t>thodology</w:t>
      </w:r>
      <w:bookmarkEnd w:id="25"/>
    </w:p>
    <w:p w:rsidR="001336C3" w:rsidRPr="00706E38" w:rsidRDefault="001336C3" w:rsidP="001336C3">
      <w:pPr>
        <w:rPr>
          <w:rFonts w:eastAsia="Calibri"/>
          <w:szCs w:val="22"/>
          <w:lang w:eastAsia="en-GB"/>
        </w:rPr>
      </w:pPr>
      <w:r w:rsidRPr="00706E38">
        <w:t xml:space="preserve">We now focus upon the first of the three indicators presented above; the at-risk-of-poverty (ARoP) rate. </w:t>
      </w:r>
      <w:r w:rsidRPr="00706E38">
        <w:rPr>
          <w:rFonts w:eastAsia="Calibri"/>
          <w:szCs w:val="22"/>
          <w:lang w:eastAsia="en-GB"/>
        </w:rPr>
        <w:t>As already explained</w:t>
      </w:r>
      <w:r w:rsidR="00A6160B" w:rsidRPr="00706E38">
        <w:rPr>
          <w:rFonts w:eastAsia="Calibri"/>
          <w:szCs w:val="22"/>
          <w:lang w:eastAsia="en-GB"/>
        </w:rPr>
        <w:t>,</w:t>
      </w:r>
      <w:r w:rsidRPr="00706E38">
        <w:rPr>
          <w:rFonts w:eastAsia="Calibri"/>
          <w:szCs w:val="22"/>
          <w:lang w:eastAsia="en-GB"/>
        </w:rPr>
        <w:t xml:space="preserve"> </w:t>
      </w:r>
      <w:r w:rsidR="00A6160B" w:rsidRPr="00706E38">
        <w:rPr>
          <w:rFonts w:eastAsia="Calibri"/>
          <w:szCs w:val="22"/>
          <w:lang w:eastAsia="en-GB"/>
        </w:rPr>
        <w:t>t</w:t>
      </w:r>
      <w:r w:rsidRPr="00706E38">
        <w:rPr>
          <w:rFonts w:eastAsia="Calibri"/>
          <w:szCs w:val="22"/>
          <w:lang w:eastAsia="en-GB"/>
        </w:rPr>
        <w:t>he EU-SILC survey allows some regiona</w:t>
      </w:r>
      <w:r w:rsidR="00A6160B" w:rsidRPr="00706E38">
        <w:rPr>
          <w:rFonts w:eastAsia="Calibri"/>
          <w:szCs w:val="22"/>
          <w:lang w:eastAsia="en-GB"/>
        </w:rPr>
        <w:t>l disaggregation, down to NUTS 2</w:t>
      </w:r>
      <w:r w:rsidRPr="00706E38">
        <w:rPr>
          <w:rFonts w:eastAsia="Calibri"/>
          <w:szCs w:val="22"/>
          <w:lang w:eastAsia="en-GB"/>
        </w:rPr>
        <w:t xml:space="preserve"> in some countries, and NUTS 1 in some others. However the samples are not designed as a basis for regional indicators, and in most countries another approach is necessary to produce the ARoP rate indicator at NUTS 3.</w:t>
      </w:r>
    </w:p>
    <w:p w:rsidR="008D1AB1" w:rsidRPr="00706E38" w:rsidRDefault="008D1AB1" w:rsidP="008D1AB1">
      <w:r w:rsidRPr="00706E38">
        <w:t xml:space="preserve">The TiPSE TPG </w:t>
      </w:r>
      <w:r w:rsidR="0002170F" w:rsidRPr="00706E38">
        <w:t>was tasked with</w:t>
      </w:r>
      <w:r w:rsidRPr="00706E38">
        <w:t xml:space="preserve"> poverty mapping in approximately 20 European countries, paralleling work being carried out in the New Member States</w:t>
      </w:r>
      <w:r w:rsidR="00C370D7" w:rsidRPr="00706E38">
        <w:t xml:space="preserve"> of Central and Eastern Europe</w:t>
      </w:r>
      <w:r w:rsidRPr="00706E38">
        <w:t>, by a team from the World Bank.</w:t>
      </w:r>
    </w:p>
    <w:p w:rsidR="00187485" w:rsidRPr="00706E38" w:rsidRDefault="001336C3" w:rsidP="00E438A5">
      <w:pPr>
        <w:rPr>
          <w:rFonts w:eastAsia="Calibri"/>
          <w:szCs w:val="22"/>
          <w:lang w:eastAsia="en-GB"/>
        </w:rPr>
      </w:pPr>
      <w:r w:rsidRPr="00706E38">
        <w:rPr>
          <w:rFonts w:eastAsia="Calibri"/>
          <w:szCs w:val="22"/>
          <w:lang w:eastAsia="en-GB"/>
        </w:rPr>
        <w:t>The World Bank have been using a regression modelling technique</w:t>
      </w:r>
      <w:r w:rsidR="00443A6C" w:rsidRPr="00706E38">
        <w:rPr>
          <w:rFonts w:eastAsia="Calibri"/>
          <w:szCs w:val="22"/>
          <w:lang w:eastAsia="en-GB"/>
        </w:rPr>
        <w:t xml:space="preserve"> (PovMap)</w:t>
      </w:r>
      <w:r w:rsidRPr="00706E38">
        <w:rPr>
          <w:rFonts w:eastAsia="Calibri"/>
          <w:szCs w:val="22"/>
          <w:lang w:eastAsia="en-GB"/>
        </w:rPr>
        <w:t xml:space="preserve">, which </w:t>
      </w:r>
      <w:r w:rsidR="00A6160B" w:rsidRPr="00706E38">
        <w:rPr>
          <w:rFonts w:eastAsia="Calibri"/>
          <w:szCs w:val="22"/>
          <w:lang w:eastAsia="en-GB"/>
        </w:rPr>
        <w:t>combines</w:t>
      </w:r>
      <w:r w:rsidRPr="00706E38">
        <w:rPr>
          <w:rFonts w:eastAsia="Calibri"/>
          <w:szCs w:val="22"/>
          <w:lang w:eastAsia="en-GB"/>
        </w:rPr>
        <w:t xml:space="preserve"> </w:t>
      </w:r>
      <w:r w:rsidR="00AF3FF8" w:rsidRPr="00706E38">
        <w:rPr>
          <w:rFonts w:eastAsia="Calibri"/>
          <w:szCs w:val="22"/>
          <w:lang w:eastAsia="en-GB"/>
        </w:rPr>
        <w:t xml:space="preserve">(household or individual) </w:t>
      </w:r>
      <w:r w:rsidRPr="00706E38">
        <w:rPr>
          <w:rFonts w:eastAsia="Calibri"/>
          <w:szCs w:val="22"/>
          <w:lang w:eastAsia="en-GB"/>
        </w:rPr>
        <w:t xml:space="preserve">information from both a sample survey (in this case EU-SILC) and population census </w:t>
      </w:r>
      <w:r w:rsidR="002946B1" w:rsidRPr="00706E38">
        <w:rPr>
          <w:rFonts w:eastAsia="Calibri"/>
          <w:szCs w:val="22"/>
          <w:lang w:eastAsia="en-GB"/>
        </w:rPr>
        <w:t>micro</w:t>
      </w:r>
      <w:r w:rsidRPr="00706E38">
        <w:rPr>
          <w:rFonts w:eastAsia="Calibri"/>
          <w:szCs w:val="22"/>
          <w:lang w:eastAsia="en-GB"/>
        </w:rPr>
        <w:t>data</w:t>
      </w:r>
      <w:r w:rsidR="00443A6C" w:rsidRPr="00706E38">
        <w:rPr>
          <w:rFonts w:eastAsia="Calibri"/>
          <w:szCs w:val="22"/>
          <w:lang w:eastAsia="en-GB"/>
        </w:rPr>
        <w:t>,</w:t>
      </w:r>
      <w:r w:rsidRPr="00706E38">
        <w:rPr>
          <w:rFonts w:eastAsia="Calibri"/>
          <w:szCs w:val="22"/>
          <w:lang w:eastAsia="en-GB"/>
        </w:rPr>
        <w:t xml:space="preserve"> to generate estimates of various poverty indicators, including ARoP rates</w:t>
      </w:r>
      <w:r w:rsidR="00443A6C" w:rsidRPr="00706E38">
        <w:rPr>
          <w:rFonts w:eastAsia="Calibri"/>
          <w:szCs w:val="22"/>
          <w:lang w:eastAsia="en-GB"/>
        </w:rPr>
        <w:t>,</w:t>
      </w:r>
      <w:r w:rsidRPr="00706E38">
        <w:rPr>
          <w:rFonts w:eastAsia="Calibri"/>
          <w:szCs w:val="22"/>
          <w:lang w:eastAsia="en-GB"/>
        </w:rPr>
        <w:t xml:space="preserve"> for small areas and regions.</w:t>
      </w:r>
      <w:r w:rsidR="00A6160B" w:rsidRPr="00706E38">
        <w:rPr>
          <w:rFonts w:eastAsia="Calibri"/>
          <w:szCs w:val="22"/>
          <w:lang w:eastAsia="en-GB"/>
        </w:rPr>
        <w:t xml:space="preserve"> This </w:t>
      </w:r>
      <w:r w:rsidR="00C370D7" w:rsidRPr="00706E38">
        <w:rPr>
          <w:rFonts w:eastAsia="Calibri"/>
          <w:szCs w:val="22"/>
          <w:lang w:eastAsia="en-GB"/>
        </w:rPr>
        <w:t>was</w:t>
      </w:r>
      <w:r w:rsidR="00A6160B" w:rsidRPr="00706E38">
        <w:rPr>
          <w:rFonts w:eastAsia="Calibri"/>
          <w:szCs w:val="22"/>
          <w:lang w:eastAsia="en-GB"/>
        </w:rPr>
        <w:t xml:space="preserve"> also </w:t>
      </w:r>
      <w:r w:rsidR="00C370D7" w:rsidRPr="00706E38">
        <w:rPr>
          <w:rFonts w:eastAsia="Calibri"/>
          <w:szCs w:val="22"/>
          <w:lang w:eastAsia="en-GB"/>
        </w:rPr>
        <w:t>assumed to be</w:t>
      </w:r>
      <w:r w:rsidR="00A6160B" w:rsidRPr="00706E38">
        <w:rPr>
          <w:rFonts w:eastAsia="Calibri"/>
          <w:szCs w:val="22"/>
          <w:lang w:eastAsia="en-GB"/>
        </w:rPr>
        <w:t xml:space="preserve"> the preferred approach to producing NUTS 3 ARoP rates for the remaining (EU15 and non EU ESPON countries).</w:t>
      </w:r>
    </w:p>
    <w:p w:rsidR="00A6160B" w:rsidRPr="00706E38" w:rsidRDefault="00A6160B" w:rsidP="00E438A5">
      <w:pPr>
        <w:rPr>
          <w:rFonts w:eastAsia="Calibri"/>
          <w:szCs w:val="22"/>
          <w:lang w:eastAsia="en-GB"/>
        </w:rPr>
      </w:pPr>
      <w:r w:rsidRPr="00706E38">
        <w:rPr>
          <w:rFonts w:eastAsia="Calibri"/>
          <w:szCs w:val="22"/>
          <w:lang w:eastAsia="en-GB"/>
        </w:rPr>
        <w:lastRenderedPageBreak/>
        <w:t>However the raw data requirements of PovMap have proved rather difficult to satisfy from the available secondary data sources, which were never designed to be used for this purpose.</w:t>
      </w:r>
      <w:r w:rsidR="0032569D" w:rsidRPr="00706E38">
        <w:rPr>
          <w:rFonts w:eastAsia="Calibri"/>
          <w:szCs w:val="22"/>
          <w:lang w:eastAsia="en-GB"/>
        </w:rPr>
        <w:t xml:space="preserve"> The key challenges have included:</w:t>
      </w:r>
    </w:p>
    <w:p w:rsidR="002946B1" w:rsidRPr="00706E38" w:rsidRDefault="002946B1" w:rsidP="00F80427">
      <w:pPr>
        <w:pStyle w:val="ListParagraph"/>
        <w:numPr>
          <w:ilvl w:val="0"/>
          <w:numId w:val="8"/>
        </w:numPr>
        <w:rPr>
          <w:rFonts w:eastAsia="Calibri"/>
          <w:szCs w:val="22"/>
          <w:lang w:eastAsia="en-GB"/>
        </w:rPr>
      </w:pPr>
      <w:r w:rsidRPr="00706E38">
        <w:rPr>
          <w:rFonts w:eastAsia="Calibri"/>
          <w:szCs w:val="22"/>
          <w:lang w:eastAsia="en-GB"/>
        </w:rPr>
        <w:t>The absence of any regional classification below the whole country, in the EU-SILC data for some countries. Some sub-national “cluster” data is required for the PovMap methodology to work.</w:t>
      </w:r>
    </w:p>
    <w:p w:rsidR="0032569D" w:rsidRPr="00706E38" w:rsidRDefault="0032569D" w:rsidP="00F80427">
      <w:pPr>
        <w:pStyle w:val="ListParagraph"/>
        <w:numPr>
          <w:ilvl w:val="0"/>
          <w:numId w:val="8"/>
        </w:numPr>
        <w:rPr>
          <w:rFonts w:eastAsia="Calibri"/>
          <w:szCs w:val="22"/>
          <w:lang w:eastAsia="en-GB"/>
        </w:rPr>
      </w:pPr>
      <w:r w:rsidRPr="00706E38">
        <w:rPr>
          <w:rFonts w:eastAsia="Calibri"/>
          <w:szCs w:val="22"/>
          <w:lang w:eastAsia="en-GB"/>
        </w:rPr>
        <w:t>A relatively small number of EU-SILC variables which can be “harmonised” with population census variables. It is necessary for each matched variable to have exactly the same definition, and if categorical, to have identical categories.</w:t>
      </w:r>
    </w:p>
    <w:p w:rsidR="0032569D" w:rsidRPr="00706E38" w:rsidRDefault="0032569D" w:rsidP="00F80427">
      <w:pPr>
        <w:pStyle w:val="ListParagraph"/>
        <w:numPr>
          <w:ilvl w:val="0"/>
          <w:numId w:val="8"/>
        </w:numPr>
        <w:rPr>
          <w:rFonts w:eastAsia="Calibri"/>
          <w:szCs w:val="22"/>
          <w:lang w:eastAsia="en-GB"/>
        </w:rPr>
      </w:pPr>
      <w:r w:rsidRPr="00706E38">
        <w:rPr>
          <w:rFonts w:eastAsia="Calibri"/>
          <w:szCs w:val="22"/>
          <w:lang w:eastAsia="en-GB"/>
        </w:rPr>
        <w:t>Non-availability of Census microdata, sometimes due to disclosure rules, sometimes because the traditional census has been replaced by analysis of registers and administrative records.</w:t>
      </w:r>
    </w:p>
    <w:p w:rsidR="0032569D" w:rsidRPr="00706E38" w:rsidRDefault="0032569D" w:rsidP="00F80427">
      <w:pPr>
        <w:pStyle w:val="ListParagraph"/>
        <w:numPr>
          <w:ilvl w:val="0"/>
          <w:numId w:val="8"/>
        </w:numPr>
        <w:rPr>
          <w:rFonts w:eastAsia="Calibri"/>
          <w:szCs w:val="22"/>
          <w:lang w:eastAsia="en-GB"/>
        </w:rPr>
      </w:pPr>
      <w:r w:rsidRPr="00706E38">
        <w:rPr>
          <w:rFonts w:eastAsia="Calibri"/>
          <w:szCs w:val="22"/>
          <w:lang w:eastAsia="en-GB"/>
        </w:rPr>
        <w:t>Delays in publication of 2011 census data, meaning that the most recent data is from 2001.</w:t>
      </w:r>
    </w:p>
    <w:p w:rsidR="00C370D7" w:rsidRPr="00706E38" w:rsidRDefault="00C370D7" w:rsidP="00C370D7">
      <w:pPr>
        <w:rPr>
          <w:rFonts w:eastAsia="Calibri"/>
          <w:szCs w:val="22"/>
          <w:lang w:eastAsia="en-GB"/>
        </w:rPr>
      </w:pPr>
      <w:r w:rsidRPr="00706E38">
        <w:rPr>
          <w:rFonts w:eastAsia="Calibri"/>
          <w:szCs w:val="22"/>
          <w:lang w:eastAsia="en-GB"/>
        </w:rPr>
        <w:t>On a more positive note, it has become evident that a number of countries,</w:t>
      </w:r>
      <w:r w:rsidR="00AF3FF8" w:rsidRPr="00706E38">
        <w:rPr>
          <w:rFonts w:eastAsia="Calibri"/>
          <w:szCs w:val="22"/>
          <w:lang w:eastAsia="en-GB"/>
        </w:rPr>
        <w:t xml:space="preserve"> including the Nordic countries</w:t>
      </w:r>
      <w:r w:rsidRPr="00706E38">
        <w:rPr>
          <w:rFonts w:eastAsia="Calibri"/>
          <w:szCs w:val="22"/>
          <w:lang w:eastAsia="en-GB"/>
        </w:rPr>
        <w:t xml:space="preserve"> and the Netherlands</w:t>
      </w:r>
      <w:r w:rsidR="00AF3FF8" w:rsidRPr="00706E38">
        <w:rPr>
          <w:rFonts w:eastAsia="Calibri"/>
          <w:szCs w:val="22"/>
          <w:lang w:eastAsia="en-GB"/>
        </w:rPr>
        <w:t>,</w:t>
      </w:r>
      <w:r w:rsidRPr="00706E38">
        <w:rPr>
          <w:rFonts w:eastAsia="Calibri"/>
          <w:szCs w:val="22"/>
          <w:lang w:eastAsia="en-GB"/>
        </w:rPr>
        <w:t xml:space="preserve"> are able to provide regional ARoP rates which are based upon register data (and therefore not subject to sampling</w:t>
      </w:r>
      <w:r w:rsidR="002946B1" w:rsidRPr="00706E38">
        <w:rPr>
          <w:rFonts w:eastAsia="Calibri"/>
          <w:szCs w:val="22"/>
          <w:lang w:eastAsia="en-GB"/>
        </w:rPr>
        <w:t xml:space="preserve"> or estimation </w:t>
      </w:r>
      <w:r w:rsidRPr="00706E38">
        <w:rPr>
          <w:rFonts w:eastAsia="Calibri"/>
          <w:szCs w:val="22"/>
          <w:lang w:eastAsia="en-GB"/>
        </w:rPr>
        <w:t xml:space="preserve">errors). In other countries, (Ireland, France) the national statistical agency has published estimates at NUTS 3. In a few countries a simpler version of the PovMap approach, based upon </w:t>
      </w:r>
      <w:r w:rsidR="00AF3FF8" w:rsidRPr="00706E38">
        <w:rPr>
          <w:rFonts w:eastAsia="Calibri"/>
          <w:szCs w:val="22"/>
          <w:lang w:eastAsia="en-GB"/>
        </w:rPr>
        <w:t>area data rather than data for individual households (Copus and Coombes 2013) has been used by TiPSE researchers, whilst in a few more, simpler</w:t>
      </w:r>
      <w:r w:rsidR="002946B1" w:rsidRPr="00706E38">
        <w:rPr>
          <w:rFonts w:eastAsia="Calibri"/>
          <w:szCs w:val="22"/>
          <w:lang w:eastAsia="en-GB"/>
        </w:rPr>
        <w:t>,</w:t>
      </w:r>
      <w:r w:rsidR="00AF3FF8" w:rsidRPr="00706E38">
        <w:rPr>
          <w:rFonts w:eastAsia="Calibri"/>
          <w:szCs w:val="22"/>
          <w:lang w:eastAsia="en-GB"/>
        </w:rPr>
        <w:t xml:space="preserve"> ad hoc</w:t>
      </w:r>
      <w:r w:rsidR="002946B1" w:rsidRPr="00706E38">
        <w:rPr>
          <w:rFonts w:eastAsia="Calibri"/>
          <w:szCs w:val="22"/>
          <w:lang w:eastAsia="en-GB"/>
        </w:rPr>
        <w:t>,</w:t>
      </w:r>
      <w:r w:rsidR="00AF3FF8" w:rsidRPr="00706E38">
        <w:rPr>
          <w:rFonts w:eastAsia="Calibri"/>
          <w:szCs w:val="22"/>
          <w:lang w:eastAsia="en-GB"/>
        </w:rPr>
        <w:t xml:space="preserve"> univariate apportionment procedures were developed.</w:t>
      </w:r>
      <w:r w:rsidR="00D1493A" w:rsidRPr="00706E38">
        <w:rPr>
          <w:rFonts w:eastAsia="Calibri"/>
          <w:szCs w:val="22"/>
          <w:lang w:eastAsia="en-GB"/>
        </w:rPr>
        <w:t xml:space="preserve"> All these approaches are fully explained and documented in </w:t>
      </w:r>
      <w:r w:rsidR="00471C90" w:rsidRPr="00706E38">
        <w:rPr>
          <w:rFonts w:eastAsia="Calibri"/>
          <w:szCs w:val="22"/>
          <w:lang w:eastAsia="en-GB"/>
        </w:rPr>
        <w:t>Annex 5</w:t>
      </w:r>
      <w:r w:rsidR="00D1493A" w:rsidRPr="00706E38">
        <w:rPr>
          <w:rFonts w:eastAsia="Calibri"/>
          <w:szCs w:val="22"/>
          <w:lang w:eastAsia="en-GB"/>
        </w:rPr>
        <w:t>.</w:t>
      </w:r>
    </w:p>
    <w:p w:rsidR="0094533D" w:rsidRPr="00706E38" w:rsidRDefault="0094533D" w:rsidP="0094533D">
      <w:pPr>
        <w:pStyle w:val="Heading2"/>
        <w:rPr>
          <w:rFonts w:eastAsia="Calibri"/>
          <w:lang w:eastAsia="en-GB"/>
        </w:rPr>
      </w:pPr>
      <w:bookmarkStart w:id="26" w:name="_Toc410375319"/>
      <w:r w:rsidRPr="00706E38">
        <w:rPr>
          <w:rFonts w:eastAsia="Calibri"/>
          <w:lang w:eastAsia="en-GB"/>
        </w:rPr>
        <w:t>Interpreting ARoP rates</w:t>
      </w:r>
      <w:bookmarkEnd w:id="26"/>
    </w:p>
    <w:p w:rsidR="0094533D" w:rsidRPr="00706E38" w:rsidRDefault="008E02E9" w:rsidP="0094533D">
      <w:r w:rsidRPr="00706E38">
        <w:t>The ARo</w:t>
      </w:r>
      <w:r w:rsidR="0094533D" w:rsidRPr="00706E38">
        <w:t xml:space="preserve">P indicator has some rather unusual characteristics, which makes it rather tricky to interpret. It is both an indicator of the regional </w:t>
      </w:r>
      <w:r w:rsidR="0094533D" w:rsidRPr="00706E38">
        <w:rPr>
          <w:i/>
        </w:rPr>
        <w:t>level</w:t>
      </w:r>
      <w:r w:rsidR="0094533D" w:rsidRPr="00706E38">
        <w:t xml:space="preserve"> of income, and its </w:t>
      </w:r>
      <w:r w:rsidR="0094533D" w:rsidRPr="00706E38">
        <w:rPr>
          <w:i/>
        </w:rPr>
        <w:t>distribution</w:t>
      </w:r>
      <w:r w:rsidR="0094533D" w:rsidRPr="00706E38">
        <w:t xml:space="preserve">. The relative strength of these two sources of variation depends upon the choice of “benchmark” to define the “60%” of median disposable income. Thus if a single European benchmark was used the </w:t>
      </w:r>
      <w:r w:rsidRPr="00706E38">
        <w:t>ARo</w:t>
      </w:r>
      <w:r w:rsidR="0094533D" w:rsidRPr="00706E38">
        <w:t>P rate in any individual region would be closely correlated with the median disposable income level. At the other extreme, if each region had its own AR</w:t>
      </w:r>
      <w:r w:rsidR="00A41CA9" w:rsidRPr="00706E38">
        <w:t>o</w:t>
      </w:r>
      <w:r w:rsidR="0094533D" w:rsidRPr="00706E38">
        <w:t>P benchmark, based upon its median income, variation in the AR</w:t>
      </w:r>
      <w:r w:rsidR="00A41CA9" w:rsidRPr="00706E38">
        <w:t>o</w:t>
      </w:r>
      <w:r w:rsidR="0094533D" w:rsidRPr="00706E38">
        <w:t xml:space="preserve">P would be entirely a function of the local income distribution – or degree of inequity (Eurostat 2004). To express it </w:t>
      </w:r>
      <w:r w:rsidRPr="00706E38">
        <w:t>another way the geography of ARo</w:t>
      </w:r>
      <w:r w:rsidR="0094533D" w:rsidRPr="00706E38">
        <w:t xml:space="preserve">P rates is a complex combination of variations in income levels and distributions.  In terms of Figure 2, regional rates vary partly as a result of </w:t>
      </w:r>
      <w:r w:rsidR="0094533D" w:rsidRPr="00706E38">
        <w:rPr>
          <w:i/>
        </w:rPr>
        <w:t>shifts</w:t>
      </w:r>
      <w:r w:rsidR="0094533D" w:rsidRPr="00706E38">
        <w:t xml:space="preserve"> in the income distribution curve to the left or right, and partly due to changes in the </w:t>
      </w:r>
      <w:r w:rsidR="0094533D" w:rsidRPr="00706E38">
        <w:rPr>
          <w:i/>
        </w:rPr>
        <w:t>shape</w:t>
      </w:r>
      <w:r w:rsidR="0094533D" w:rsidRPr="00706E38">
        <w:t xml:space="preserve"> of the distribution.</w:t>
      </w:r>
    </w:p>
    <w:p w:rsidR="0094533D" w:rsidRPr="00706E38" w:rsidRDefault="0094533D" w:rsidP="005A3320">
      <w:pPr>
        <w:keepNext/>
        <w:ind w:left="709"/>
      </w:pPr>
      <w:r w:rsidRPr="00706E38">
        <w:rPr>
          <w:noProof/>
          <w:lang w:eastAsia="en-GB"/>
        </w:rPr>
        <w:lastRenderedPageBreak/>
        <w:drawing>
          <wp:inline distT="0" distB="0" distL="0" distR="0">
            <wp:extent cx="4216400" cy="22339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27171" cy="2239607"/>
                    </a:xfrm>
                    <a:prstGeom prst="rect">
                      <a:avLst/>
                    </a:prstGeom>
                    <a:noFill/>
                  </pic:spPr>
                </pic:pic>
              </a:graphicData>
            </a:graphic>
          </wp:inline>
        </w:drawing>
      </w:r>
    </w:p>
    <w:p w:rsidR="0094533D" w:rsidRPr="00706E38" w:rsidRDefault="0094533D" w:rsidP="0094533D">
      <w:pPr>
        <w:pStyle w:val="Caption"/>
        <w:rPr>
          <w:rFonts w:eastAsia="Calibri"/>
          <w:szCs w:val="22"/>
          <w:lang w:eastAsia="en-GB"/>
        </w:rPr>
      </w:pPr>
      <w:bookmarkStart w:id="27" w:name="_Toc404011333"/>
      <w:r w:rsidRPr="00706E38">
        <w:t xml:space="preserve">Figure </w:t>
      </w:r>
      <w:fldSimple w:instr=" SEQ Figure \* ARABIC ">
        <w:r w:rsidR="000F31D5" w:rsidRPr="00706E38">
          <w:rPr>
            <w:noProof/>
          </w:rPr>
          <w:t>2</w:t>
        </w:r>
      </w:fldSimple>
      <w:r w:rsidRPr="00706E38">
        <w:t>: The ARoP Rate</w:t>
      </w:r>
      <w:bookmarkEnd w:id="27"/>
    </w:p>
    <w:p w:rsidR="008302AD" w:rsidRPr="00706E38" w:rsidRDefault="00FB3E37" w:rsidP="00C370D7">
      <w:pPr>
        <w:rPr>
          <w:rFonts w:eastAsia="Calibri"/>
          <w:szCs w:val="22"/>
          <w:lang w:eastAsia="en-GB"/>
        </w:rPr>
      </w:pPr>
      <w:r w:rsidRPr="00706E38">
        <w:rPr>
          <w:rFonts w:eastAsia="Calibri"/>
          <w:szCs w:val="22"/>
          <w:lang w:eastAsia="en-GB"/>
        </w:rPr>
        <w:t xml:space="preserve">The EU2020 ARoP indicator is specified in terms of national benchmarks. It therefore reflects both income levels and distribution within each region. In addition the poverty line varies from country to country, raising questions of comparability. If </w:t>
      </w:r>
      <w:r w:rsidR="001059C8" w:rsidRPr="00706E38">
        <w:rPr>
          <w:rFonts w:eastAsia="Calibri"/>
          <w:szCs w:val="22"/>
          <w:lang w:eastAsia="en-GB"/>
        </w:rPr>
        <w:t>the principal concern is within-</w:t>
      </w:r>
      <w:r w:rsidRPr="00706E38">
        <w:rPr>
          <w:rFonts w:eastAsia="Calibri"/>
          <w:szCs w:val="22"/>
          <w:lang w:eastAsia="en-GB"/>
        </w:rPr>
        <w:t xml:space="preserve">country variation this is not an issue. </w:t>
      </w:r>
      <w:r w:rsidR="008302AD" w:rsidRPr="00706E38">
        <w:rPr>
          <w:rFonts w:eastAsia="Calibri"/>
          <w:szCs w:val="22"/>
          <w:lang w:eastAsia="en-GB"/>
        </w:rPr>
        <w:t xml:space="preserve">On the other hand in order to better illustrate macro-scale patterns it would have been preferable to estimate the rates on the basis of a standardised poverty line. Unfortunately the variety of sources and estimation methodologies which have been involved in the TiPSE data collection precludes this. </w:t>
      </w:r>
    </w:p>
    <w:p w:rsidR="0094533D" w:rsidRPr="00706E38" w:rsidRDefault="008302AD" w:rsidP="00C370D7">
      <w:pPr>
        <w:rPr>
          <w:rFonts w:eastAsia="Calibri"/>
          <w:szCs w:val="22"/>
          <w:lang w:eastAsia="en-GB"/>
        </w:rPr>
      </w:pPr>
      <w:r w:rsidRPr="00706E38">
        <w:rPr>
          <w:rFonts w:eastAsia="Calibri"/>
          <w:szCs w:val="22"/>
          <w:lang w:eastAsia="en-GB"/>
        </w:rPr>
        <w:t>Thus the following</w:t>
      </w:r>
      <w:r w:rsidR="00FB3E37" w:rsidRPr="00706E38">
        <w:rPr>
          <w:rFonts w:eastAsia="Calibri"/>
          <w:szCs w:val="22"/>
          <w:lang w:eastAsia="en-GB"/>
        </w:rPr>
        <w:t xml:space="preserve"> composite maps of the ESPON space</w:t>
      </w:r>
      <w:r w:rsidRPr="00706E38">
        <w:rPr>
          <w:rFonts w:eastAsia="Calibri"/>
          <w:szCs w:val="22"/>
          <w:lang w:eastAsia="en-GB"/>
        </w:rPr>
        <w:t xml:space="preserve"> require</w:t>
      </w:r>
      <w:r w:rsidR="00FB3E37" w:rsidRPr="00706E38">
        <w:rPr>
          <w:rFonts w:eastAsia="Calibri"/>
          <w:szCs w:val="22"/>
          <w:lang w:eastAsia="en-GB"/>
        </w:rPr>
        <w:t xml:space="preserve"> careful interpretation. </w:t>
      </w:r>
      <w:r w:rsidR="000733D9" w:rsidRPr="00706E38">
        <w:rPr>
          <w:rFonts w:eastAsia="Calibri"/>
          <w:szCs w:val="22"/>
          <w:lang w:eastAsia="en-GB"/>
        </w:rPr>
        <w:t xml:space="preserve">First </w:t>
      </w:r>
      <w:r w:rsidR="00FB3E37" w:rsidRPr="00706E38">
        <w:rPr>
          <w:rFonts w:eastAsia="Calibri"/>
          <w:szCs w:val="22"/>
          <w:lang w:eastAsia="en-GB"/>
        </w:rPr>
        <w:t xml:space="preserve">the </w:t>
      </w:r>
      <w:r w:rsidR="000733D9" w:rsidRPr="00706E38">
        <w:rPr>
          <w:rFonts w:eastAsia="Calibri"/>
          <w:szCs w:val="22"/>
          <w:lang w:eastAsia="en-GB"/>
        </w:rPr>
        <w:t xml:space="preserve">(unadjusted) </w:t>
      </w:r>
      <w:r w:rsidR="00FB3E37" w:rsidRPr="00706E38">
        <w:rPr>
          <w:rFonts w:eastAsia="Calibri"/>
          <w:szCs w:val="22"/>
          <w:lang w:eastAsia="en-GB"/>
        </w:rPr>
        <w:t xml:space="preserve">map of available NUTS 3 ARoP rates is presented, </w:t>
      </w:r>
      <w:r w:rsidR="000733D9" w:rsidRPr="00706E38">
        <w:rPr>
          <w:rFonts w:eastAsia="Calibri"/>
          <w:szCs w:val="22"/>
          <w:lang w:eastAsia="en-GB"/>
        </w:rPr>
        <w:t>followed by</w:t>
      </w:r>
      <w:r w:rsidR="00FB3E37" w:rsidRPr="00706E38">
        <w:rPr>
          <w:rFonts w:eastAsia="Calibri"/>
          <w:szCs w:val="22"/>
          <w:lang w:eastAsia="en-GB"/>
        </w:rPr>
        <w:t xml:space="preserve"> two </w:t>
      </w:r>
      <w:r w:rsidRPr="00706E38">
        <w:rPr>
          <w:rFonts w:eastAsia="Calibri"/>
          <w:szCs w:val="22"/>
          <w:lang w:eastAsia="en-GB"/>
        </w:rPr>
        <w:t xml:space="preserve">further versions illustrating simple adjustments which can </w:t>
      </w:r>
      <w:r w:rsidR="000733D9" w:rsidRPr="00706E38">
        <w:rPr>
          <w:rFonts w:eastAsia="Calibri"/>
          <w:szCs w:val="22"/>
          <w:lang w:eastAsia="en-GB"/>
        </w:rPr>
        <w:t>aid the understanding</w:t>
      </w:r>
      <w:r w:rsidRPr="00706E38">
        <w:rPr>
          <w:rFonts w:eastAsia="Calibri"/>
          <w:szCs w:val="22"/>
          <w:lang w:eastAsia="en-GB"/>
        </w:rPr>
        <w:t xml:space="preserve"> of the macro-scale pattern.</w:t>
      </w:r>
    </w:p>
    <w:p w:rsidR="003C619B" w:rsidRPr="00706E38" w:rsidRDefault="008A111B" w:rsidP="003C619B">
      <w:pPr>
        <w:pStyle w:val="Heading2"/>
        <w:rPr>
          <w:rFonts w:eastAsia="Calibri"/>
          <w:lang w:eastAsia="en-GB"/>
        </w:rPr>
      </w:pPr>
      <w:bookmarkStart w:id="28" w:name="_Toc410375320"/>
      <w:r w:rsidRPr="00706E38">
        <w:rPr>
          <w:rFonts w:eastAsia="Calibri"/>
          <w:lang w:eastAsia="en-GB"/>
        </w:rPr>
        <w:t xml:space="preserve">ARoP rate </w:t>
      </w:r>
      <w:r w:rsidR="00D1493A" w:rsidRPr="00706E38">
        <w:rPr>
          <w:rFonts w:eastAsia="Calibri"/>
          <w:lang w:eastAsia="en-GB"/>
        </w:rPr>
        <w:t>Maps</w:t>
      </w:r>
      <w:r w:rsidRPr="00706E38">
        <w:rPr>
          <w:rFonts w:eastAsia="Calibri"/>
          <w:lang w:eastAsia="en-GB"/>
        </w:rPr>
        <w:t xml:space="preserve"> at NUTS 3</w:t>
      </w:r>
      <w:bookmarkEnd w:id="28"/>
    </w:p>
    <w:p w:rsidR="00D1493A" w:rsidRPr="00706E38" w:rsidRDefault="00D1493A" w:rsidP="00D1493A">
      <w:pPr>
        <w:rPr>
          <w:rFonts w:eastAsia="Calibri"/>
          <w:lang w:eastAsia="en-GB"/>
        </w:rPr>
      </w:pPr>
      <w:r w:rsidRPr="00706E38">
        <w:rPr>
          <w:rFonts w:eastAsia="Calibri"/>
          <w:lang w:eastAsia="en-GB"/>
        </w:rPr>
        <w:t xml:space="preserve">Map </w:t>
      </w:r>
      <w:r w:rsidR="008B5A13" w:rsidRPr="00706E38">
        <w:rPr>
          <w:rFonts w:eastAsia="Calibri"/>
          <w:lang w:eastAsia="en-GB"/>
        </w:rPr>
        <w:t>5</w:t>
      </w:r>
      <w:r w:rsidRPr="00706E38">
        <w:rPr>
          <w:rFonts w:eastAsia="Calibri"/>
          <w:lang w:eastAsia="en-GB"/>
        </w:rPr>
        <w:t xml:space="preserve"> shows all the NUTS 3 ARoP rates estimated or collected by the </w:t>
      </w:r>
      <w:r w:rsidR="00EB4E37" w:rsidRPr="00706E38">
        <w:rPr>
          <w:rFonts w:eastAsia="Calibri"/>
          <w:lang w:eastAsia="en-GB"/>
        </w:rPr>
        <w:t xml:space="preserve">TiPSE research team. </w:t>
      </w:r>
      <w:r w:rsidR="00295077" w:rsidRPr="00706E38">
        <w:rPr>
          <w:rFonts w:eastAsia="Calibri"/>
          <w:lang w:eastAsia="en-GB"/>
        </w:rPr>
        <w:t>The year which the estimates represent is 2011 in the majority of countries, though there is some variation (see Annex 5, Table 1)</w:t>
      </w:r>
      <w:r w:rsidR="00295077" w:rsidRPr="00706E38">
        <w:rPr>
          <w:rStyle w:val="FootnoteReference"/>
          <w:rFonts w:eastAsia="Calibri"/>
          <w:lang w:eastAsia="en-GB"/>
        </w:rPr>
        <w:footnoteReference w:id="4"/>
      </w:r>
      <w:r w:rsidR="00295077" w:rsidRPr="00706E38">
        <w:rPr>
          <w:rFonts w:eastAsia="Calibri"/>
          <w:lang w:eastAsia="en-GB"/>
        </w:rPr>
        <w:t xml:space="preserve">. </w:t>
      </w:r>
      <w:r w:rsidR="000733D9" w:rsidRPr="00706E38">
        <w:rPr>
          <w:rFonts w:eastAsia="Calibri"/>
          <w:lang w:eastAsia="en-GB"/>
        </w:rPr>
        <w:t>As already explained</w:t>
      </w:r>
      <w:r w:rsidR="00EB4E37" w:rsidRPr="00706E38">
        <w:rPr>
          <w:rFonts w:eastAsia="Calibri"/>
          <w:lang w:eastAsia="en-GB"/>
        </w:rPr>
        <w:t xml:space="preserve"> each country has a different poverty threshold, depending upon the distribution of household disposable income </w:t>
      </w:r>
      <w:r w:rsidR="00966658" w:rsidRPr="00706E38">
        <w:rPr>
          <w:rFonts w:eastAsia="Calibri"/>
          <w:lang w:eastAsia="en-GB"/>
        </w:rPr>
        <w:t>across its population. These range from €20,362 in Switzerland to €5,520 in Greece. From one perspective this could be said to be justified by differences in the cost of living, and by different expectations or perceptions of poverty. Nevertheless it seems problematic that such differences take place abruptly along national borders, and either the map must be carefully interpreted with this in mind, or some form of adjustment m</w:t>
      </w:r>
      <w:r w:rsidR="002946B1" w:rsidRPr="00706E38">
        <w:rPr>
          <w:rFonts w:eastAsia="Calibri"/>
          <w:lang w:eastAsia="en-GB"/>
        </w:rPr>
        <w:t>ust</w:t>
      </w:r>
      <w:r w:rsidR="00966658" w:rsidRPr="00706E38">
        <w:rPr>
          <w:rFonts w:eastAsia="Calibri"/>
          <w:lang w:eastAsia="en-GB"/>
        </w:rPr>
        <w:t xml:space="preserve"> be attempted.</w:t>
      </w:r>
    </w:p>
    <w:p w:rsidR="00D1493A" w:rsidRPr="00706E38" w:rsidRDefault="00966658" w:rsidP="00D1493A">
      <w:pPr>
        <w:rPr>
          <w:rFonts w:eastAsia="Calibri"/>
          <w:lang w:eastAsia="en-GB"/>
        </w:rPr>
      </w:pPr>
      <w:r w:rsidRPr="00706E38">
        <w:rPr>
          <w:rFonts w:eastAsia="Calibri"/>
          <w:lang w:eastAsia="en-GB"/>
        </w:rPr>
        <w:lastRenderedPageBreak/>
        <w:t xml:space="preserve">Taking the first of these options, the pattern revealed by Map </w:t>
      </w:r>
      <w:r w:rsidR="008B5A13" w:rsidRPr="00706E38">
        <w:rPr>
          <w:rFonts w:eastAsia="Calibri"/>
          <w:lang w:eastAsia="en-GB"/>
        </w:rPr>
        <w:t>5</w:t>
      </w:r>
      <w:r w:rsidRPr="00706E38">
        <w:rPr>
          <w:rFonts w:eastAsia="Calibri"/>
          <w:lang w:eastAsia="en-GB"/>
        </w:rPr>
        <w:t xml:space="preserve"> is mostly quite reassuring. </w:t>
      </w:r>
      <w:r w:rsidR="001458E2" w:rsidRPr="00706E38">
        <w:rPr>
          <w:rFonts w:eastAsia="Calibri"/>
          <w:lang w:eastAsia="en-GB"/>
        </w:rPr>
        <w:t>The highest rates of poverty (</w:t>
      </w:r>
      <w:r w:rsidR="002946B1" w:rsidRPr="00706E38">
        <w:rPr>
          <w:rFonts w:eastAsia="Calibri"/>
          <w:lang w:eastAsia="en-GB"/>
        </w:rPr>
        <w:t>similar to</w:t>
      </w:r>
      <w:r w:rsidR="001458E2" w:rsidRPr="00706E38">
        <w:rPr>
          <w:rFonts w:eastAsia="Calibri"/>
          <w:lang w:eastAsia="en-GB"/>
        </w:rPr>
        <w:t xml:space="preserve"> Map 1) are in Southern Spain, Southern Italy, Greece</w:t>
      </w:r>
      <w:r w:rsidR="00394F86" w:rsidRPr="00706E38">
        <w:rPr>
          <w:rFonts w:eastAsia="Calibri"/>
          <w:lang w:eastAsia="en-GB"/>
        </w:rPr>
        <w:t>, Turkey, Romania and Bulgaria</w:t>
      </w:r>
      <w:r w:rsidR="001458E2" w:rsidRPr="00706E38">
        <w:rPr>
          <w:rFonts w:eastAsia="Calibri"/>
          <w:lang w:eastAsia="en-GB"/>
        </w:rPr>
        <w:t>, whilst the lowest rates are generally found in Northern Italy, Austria, Southern Germany, Netherlands the South of England, Norwa</w:t>
      </w:r>
      <w:r w:rsidR="00712858" w:rsidRPr="00706E38">
        <w:rPr>
          <w:rFonts w:eastAsia="Calibri"/>
          <w:lang w:eastAsia="en-GB"/>
        </w:rPr>
        <w:t>y, Southern Sweden and Iceland.</w:t>
      </w:r>
    </w:p>
    <w:p w:rsidR="00C65A99" w:rsidRPr="00706E38" w:rsidRDefault="00C65A99" w:rsidP="00C65A99">
      <w:pPr>
        <w:keepNext/>
      </w:pPr>
      <w:r w:rsidRPr="00706E38">
        <w:rPr>
          <w:noProof/>
          <w:lang w:eastAsia="en-GB"/>
        </w:rPr>
        <w:drawing>
          <wp:inline distT="0" distB="0" distL="0" distR="0">
            <wp:extent cx="5264150" cy="6129757"/>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5.jpg"/>
                    <pic:cNvPicPr/>
                  </pic:nvPicPr>
                  <pic:blipFill rotWithShape="1">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772" b="4853"/>
                    <a:stretch/>
                  </pic:blipFill>
                  <pic:spPr bwMode="auto">
                    <a:xfrm>
                      <a:off x="0" y="0"/>
                      <a:ext cx="5266051" cy="613197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65A99" w:rsidRPr="00706E38" w:rsidRDefault="00C65A99" w:rsidP="00C65A99">
      <w:pPr>
        <w:pStyle w:val="Caption"/>
      </w:pPr>
      <w:bookmarkStart w:id="29" w:name="_Toc404011377"/>
      <w:r w:rsidRPr="00706E38">
        <w:t xml:space="preserve">Map </w:t>
      </w:r>
      <w:fldSimple w:instr=" SEQ Map \* ARABIC ">
        <w:r w:rsidR="000F31D5" w:rsidRPr="00706E38">
          <w:rPr>
            <w:noProof/>
          </w:rPr>
          <w:t>5</w:t>
        </w:r>
      </w:fldSimple>
      <w:r w:rsidRPr="00706E38">
        <w:t xml:space="preserve">: </w:t>
      </w:r>
      <w:r w:rsidR="008A111B" w:rsidRPr="00706E38">
        <w:t>Regional</w:t>
      </w:r>
      <w:r w:rsidRPr="00706E38">
        <w:t xml:space="preserve"> At Risk of Poverty Rates</w:t>
      </w:r>
      <w:r w:rsidR="00295077" w:rsidRPr="00706E38">
        <w:t xml:space="preserve"> 2011</w:t>
      </w:r>
      <w:bookmarkEnd w:id="29"/>
    </w:p>
    <w:p w:rsidR="004240D7" w:rsidRPr="00706E38" w:rsidRDefault="004240D7" w:rsidP="00D1493A">
      <w:pPr>
        <w:rPr>
          <w:rFonts w:eastAsia="Calibri"/>
          <w:lang w:eastAsia="en-GB"/>
        </w:rPr>
      </w:pPr>
      <w:r w:rsidRPr="00706E38">
        <w:rPr>
          <w:rFonts w:eastAsia="Calibri"/>
          <w:lang w:eastAsia="en-GB"/>
        </w:rPr>
        <w:t xml:space="preserve">In Map </w:t>
      </w:r>
      <w:r w:rsidR="008B5A13" w:rsidRPr="00706E38">
        <w:rPr>
          <w:rFonts w:eastAsia="Calibri"/>
          <w:lang w:eastAsia="en-GB"/>
        </w:rPr>
        <w:t>6</w:t>
      </w:r>
      <w:r w:rsidRPr="00706E38">
        <w:rPr>
          <w:rFonts w:eastAsia="Calibri"/>
          <w:lang w:eastAsia="en-GB"/>
        </w:rPr>
        <w:t xml:space="preserve"> the ARoP rates are shown as within-country-quintiles</w:t>
      </w:r>
      <w:r w:rsidR="008A111B" w:rsidRPr="00706E38">
        <w:rPr>
          <w:rFonts w:eastAsia="Calibri"/>
          <w:lang w:eastAsia="en-GB"/>
        </w:rPr>
        <w:t xml:space="preserve">, </w:t>
      </w:r>
      <w:r w:rsidR="00002117" w:rsidRPr="00706E38">
        <w:rPr>
          <w:rFonts w:eastAsia="Calibri"/>
          <w:lang w:eastAsia="en-GB"/>
        </w:rPr>
        <w:t>assigning</w:t>
      </w:r>
      <w:r w:rsidR="008A111B" w:rsidRPr="00706E38">
        <w:rPr>
          <w:rFonts w:eastAsia="Calibri"/>
          <w:lang w:eastAsia="en-GB"/>
        </w:rPr>
        <w:t xml:space="preserve"> the regions of each countr</w:t>
      </w:r>
      <w:r w:rsidR="00002117" w:rsidRPr="00706E38">
        <w:rPr>
          <w:rFonts w:eastAsia="Calibri"/>
          <w:lang w:eastAsia="en-GB"/>
        </w:rPr>
        <w:t>y</w:t>
      </w:r>
      <w:r w:rsidR="008A111B" w:rsidRPr="00706E38">
        <w:rPr>
          <w:rFonts w:eastAsia="Calibri"/>
          <w:lang w:eastAsia="en-GB"/>
        </w:rPr>
        <w:t xml:space="preserve"> into five equal groups according to their rank</w:t>
      </w:r>
      <w:r w:rsidR="00002117" w:rsidRPr="00706E38">
        <w:rPr>
          <w:rFonts w:eastAsia="Calibri"/>
          <w:lang w:eastAsia="en-GB"/>
        </w:rPr>
        <w:t>s in terms of the ARoP rate</w:t>
      </w:r>
      <w:r w:rsidRPr="00706E38">
        <w:rPr>
          <w:rFonts w:eastAsia="Calibri"/>
          <w:lang w:eastAsia="en-GB"/>
        </w:rPr>
        <w:t>. Th</w:t>
      </w:r>
      <w:r w:rsidR="00002117" w:rsidRPr="00706E38">
        <w:rPr>
          <w:rFonts w:eastAsia="Calibri"/>
          <w:lang w:eastAsia="en-GB"/>
        </w:rPr>
        <w:t>us the</w:t>
      </w:r>
      <w:r w:rsidRPr="00706E38">
        <w:rPr>
          <w:rFonts w:eastAsia="Calibri"/>
          <w:lang w:eastAsia="en-GB"/>
        </w:rPr>
        <w:t xml:space="preserve"> darkest reds pick out those regions within the highest 20% in each countr</w:t>
      </w:r>
      <w:r w:rsidR="00957B16" w:rsidRPr="00706E38">
        <w:rPr>
          <w:rFonts w:eastAsia="Calibri"/>
          <w:lang w:eastAsia="en-GB"/>
        </w:rPr>
        <w:t>y</w:t>
      </w:r>
      <w:r w:rsidRPr="00706E38">
        <w:rPr>
          <w:rFonts w:eastAsia="Calibri"/>
          <w:lang w:eastAsia="en-GB"/>
        </w:rPr>
        <w:t>, whilst the palest yellow regions are those in the 20% of regions with the lowest ARoP rates.</w:t>
      </w:r>
      <w:r w:rsidR="00EB0C79" w:rsidRPr="00706E38">
        <w:rPr>
          <w:rFonts w:eastAsia="Calibri"/>
          <w:lang w:eastAsia="en-GB"/>
        </w:rPr>
        <w:t xml:space="preserve"> In this map broad macro-regional disparities are “downplayed” </w:t>
      </w:r>
      <w:r w:rsidR="00EB0C79" w:rsidRPr="00706E38">
        <w:rPr>
          <w:rFonts w:eastAsia="Calibri"/>
          <w:lang w:eastAsia="en-GB"/>
        </w:rPr>
        <w:lastRenderedPageBreak/>
        <w:t xml:space="preserve">and more localised variation is emphasised. The pattern reveals a tendency for lower ARoP rates in the vicinity of capitals and other large cities (but not necessarily in the cities themselves, if tightly bounded), and relatively high rates of income poverty in remoter regions (such as Eastern Turkey, the Southern parts of Italy, </w:t>
      </w:r>
      <w:r w:rsidR="00957B16" w:rsidRPr="00706E38">
        <w:rPr>
          <w:rFonts w:eastAsia="Calibri"/>
          <w:lang w:eastAsia="en-GB"/>
        </w:rPr>
        <w:t xml:space="preserve">Greece, </w:t>
      </w:r>
      <w:r w:rsidR="00EB0C79" w:rsidRPr="00706E38">
        <w:rPr>
          <w:rFonts w:eastAsia="Calibri"/>
          <w:lang w:eastAsia="en-GB"/>
        </w:rPr>
        <w:t xml:space="preserve">France and Spain, South-West Ireland, West Wales, Western Scotland, Eastern Germany, </w:t>
      </w:r>
      <w:r w:rsidR="00957B16" w:rsidRPr="00706E38">
        <w:rPr>
          <w:rFonts w:eastAsia="Calibri"/>
          <w:lang w:eastAsia="en-GB"/>
        </w:rPr>
        <w:t>Northern Sweden and Eastern Finland. The area along the Franco-Belgian border, and the North-East coast of the Netherlands also show up as having relatively high rates of income poverty.</w:t>
      </w:r>
    </w:p>
    <w:p w:rsidR="003E4B8D" w:rsidRPr="00706E38" w:rsidRDefault="00164C98" w:rsidP="003E4B8D">
      <w:pPr>
        <w:keepNext/>
      </w:pPr>
      <w:r w:rsidRPr="00706E38">
        <w:rPr>
          <w:noProof/>
          <w:lang w:eastAsia="en-GB"/>
        </w:rPr>
        <w:drawing>
          <wp:inline distT="0" distB="0" distL="0" distR="0">
            <wp:extent cx="5196273" cy="6047589"/>
            <wp:effectExtent l="0" t="0" r="444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6.jpg"/>
                    <pic:cNvPicPr/>
                  </pic:nvPicPr>
                  <pic:blipFill rotWithShape="1">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3155" b="4512"/>
                    <a:stretch/>
                  </pic:blipFill>
                  <pic:spPr bwMode="auto">
                    <a:xfrm>
                      <a:off x="0" y="0"/>
                      <a:ext cx="5206674" cy="6059694"/>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57778" w:rsidRPr="00706E38" w:rsidRDefault="003E4B8D" w:rsidP="003E4B8D">
      <w:pPr>
        <w:pStyle w:val="Caption"/>
        <w:rPr>
          <w:rFonts w:cs="Arial"/>
          <w:szCs w:val="22"/>
          <w:lang w:eastAsia="en-GB"/>
        </w:rPr>
      </w:pPr>
      <w:bookmarkStart w:id="30" w:name="_Toc404011378"/>
      <w:r w:rsidRPr="00706E38">
        <w:t xml:space="preserve">Map </w:t>
      </w:r>
      <w:fldSimple w:instr=" SEQ Map \* ARABIC ">
        <w:r w:rsidR="000F31D5" w:rsidRPr="00706E38">
          <w:rPr>
            <w:noProof/>
          </w:rPr>
          <w:t>6</w:t>
        </w:r>
      </w:fldSimple>
      <w:r w:rsidRPr="00706E38">
        <w:t xml:space="preserve">: </w:t>
      </w:r>
      <w:r w:rsidR="008A111B" w:rsidRPr="00706E38">
        <w:t>Regional</w:t>
      </w:r>
      <w:r w:rsidR="004304DE" w:rsidRPr="00706E38">
        <w:t xml:space="preserve"> </w:t>
      </w:r>
      <w:r w:rsidR="00BA70F0" w:rsidRPr="00706E38">
        <w:t>At-Risk-</w:t>
      </w:r>
      <w:r w:rsidRPr="00706E38">
        <w:t>of</w:t>
      </w:r>
      <w:r w:rsidR="00BA70F0" w:rsidRPr="00706E38">
        <w:t>-</w:t>
      </w:r>
      <w:r w:rsidR="008A111B" w:rsidRPr="00706E38">
        <w:t>Poverty Rates expressed as</w:t>
      </w:r>
      <w:r w:rsidRPr="00706E38">
        <w:t xml:space="preserve"> National Quintiles</w:t>
      </w:r>
      <w:bookmarkEnd w:id="30"/>
    </w:p>
    <w:p w:rsidR="00C65A99" w:rsidRPr="00706E38" w:rsidRDefault="00C65A99" w:rsidP="00C65A99">
      <w:pPr>
        <w:rPr>
          <w:rFonts w:eastAsia="Calibri"/>
          <w:lang w:eastAsia="en-GB"/>
        </w:rPr>
      </w:pPr>
      <w:r w:rsidRPr="00706E38">
        <w:rPr>
          <w:rFonts w:eastAsia="Calibri"/>
          <w:lang w:eastAsia="en-GB"/>
        </w:rPr>
        <w:t xml:space="preserve">Map 7 shows the same ARoP data, but this time expressed as an index of the national mean. The difference between this approach and the previous map is that the index reflects the scale/degree of the disparity between each region and the </w:t>
      </w:r>
      <w:r w:rsidRPr="00706E38">
        <w:rPr>
          <w:rFonts w:eastAsia="Calibri"/>
          <w:lang w:eastAsia="en-GB"/>
        </w:rPr>
        <w:lastRenderedPageBreak/>
        <w:t>national mean, a metric which is to some extent lost in the quintile approach. Map 6 therefore enables us to pick out the more extreme values, both positive and negative. Some of these reinforce the generalisations derived from Map 4 (for example low rates around capital cities, high rates in Southern Italy and Spain). Others are less expected, such as the low rates of poverty along the border between Spain and France, in Brittany, and in parts of Northern England.</w:t>
      </w:r>
    </w:p>
    <w:p w:rsidR="003E4B8D" w:rsidRPr="00706E38" w:rsidRDefault="00164C98" w:rsidP="003E4B8D">
      <w:pPr>
        <w:keepNext/>
      </w:pPr>
      <w:r w:rsidRPr="00706E38">
        <w:rPr>
          <w:noProof/>
          <w:lang w:eastAsia="en-GB"/>
        </w:rPr>
        <w:drawing>
          <wp:inline distT="0" distB="0" distL="0" distR="0">
            <wp:extent cx="5276059" cy="6238875"/>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 7.jpg"/>
                    <pic:cNvPicPr/>
                  </pic:nvPicPr>
                  <pic:blipFill rotWithShape="1">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2899" b="3448"/>
                    <a:stretch/>
                  </pic:blipFill>
                  <pic:spPr bwMode="auto">
                    <a:xfrm>
                      <a:off x="0" y="0"/>
                      <a:ext cx="5278755" cy="624206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A111B" w:rsidRPr="00706E38" w:rsidRDefault="003E4B8D" w:rsidP="003E4B8D">
      <w:pPr>
        <w:pStyle w:val="Caption"/>
      </w:pPr>
      <w:bookmarkStart w:id="31" w:name="_Toc404011379"/>
      <w:r w:rsidRPr="00706E38">
        <w:t xml:space="preserve">Map </w:t>
      </w:r>
      <w:fldSimple w:instr=" SEQ Map \* ARABIC ">
        <w:r w:rsidR="000F31D5" w:rsidRPr="00706E38">
          <w:rPr>
            <w:noProof/>
          </w:rPr>
          <w:t>7</w:t>
        </w:r>
      </w:fldSimple>
      <w:r w:rsidRPr="00706E38">
        <w:t xml:space="preserve">: </w:t>
      </w:r>
      <w:r w:rsidR="008A111B" w:rsidRPr="00706E38">
        <w:t>Regional</w:t>
      </w:r>
      <w:r w:rsidR="004304DE" w:rsidRPr="00706E38">
        <w:t xml:space="preserve"> </w:t>
      </w:r>
      <w:r w:rsidR="008A111B" w:rsidRPr="00706E38">
        <w:t>At Risk of Poverty Rates expressed as national indices</w:t>
      </w:r>
      <w:bookmarkEnd w:id="31"/>
    </w:p>
    <w:p w:rsidR="00C57778" w:rsidRPr="00706E38" w:rsidRDefault="008A111B" w:rsidP="005A3320">
      <w:pPr>
        <w:spacing w:before="0"/>
        <w:rPr>
          <w:rFonts w:cs="Arial"/>
          <w:szCs w:val="22"/>
          <w:lang w:eastAsia="en-GB"/>
        </w:rPr>
      </w:pPr>
      <w:r w:rsidRPr="00706E38">
        <w:t>(</w:t>
      </w:r>
      <w:r w:rsidR="003E4B8D" w:rsidRPr="00706E38">
        <w:t>National Average =100</w:t>
      </w:r>
      <w:r w:rsidRPr="00706E38">
        <w:t>)</w:t>
      </w:r>
    </w:p>
    <w:p w:rsidR="004304DE" w:rsidRPr="00706E38" w:rsidRDefault="00281857" w:rsidP="00D1493A">
      <w:pPr>
        <w:pStyle w:val="Heading2"/>
        <w:rPr>
          <w:lang w:eastAsia="en-GB"/>
        </w:rPr>
      </w:pPr>
      <w:r w:rsidRPr="00706E38">
        <w:rPr>
          <w:lang w:eastAsia="en-GB"/>
        </w:rPr>
        <w:br w:type="column"/>
      </w:r>
      <w:bookmarkStart w:id="32" w:name="_Toc410375321"/>
      <w:r w:rsidR="00D1493A" w:rsidRPr="00706E38">
        <w:rPr>
          <w:lang w:eastAsia="en-GB"/>
        </w:rPr>
        <w:lastRenderedPageBreak/>
        <w:t xml:space="preserve">Using the </w:t>
      </w:r>
      <w:r w:rsidR="004304DE" w:rsidRPr="00706E38">
        <w:rPr>
          <w:lang w:eastAsia="en-GB"/>
        </w:rPr>
        <w:t>ESPON Typologies</w:t>
      </w:r>
      <w:r w:rsidR="00D1493A" w:rsidRPr="00706E38">
        <w:rPr>
          <w:lang w:eastAsia="en-GB"/>
        </w:rPr>
        <w:t xml:space="preserve"> to explore the geography of ARoP rates</w:t>
      </w:r>
      <w:bookmarkEnd w:id="32"/>
    </w:p>
    <w:p w:rsidR="002D6E5C" w:rsidRPr="00706E38" w:rsidRDefault="00124A06" w:rsidP="002D6E5C">
      <w:pPr>
        <w:rPr>
          <w:lang w:eastAsia="en-GB"/>
        </w:rPr>
      </w:pPr>
      <w:r w:rsidRPr="00706E38">
        <w:rPr>
          <w:lang w:eastAsia="en-GB"/>
        </w:rPr>
        <w:t xml:space="preserve">The above maps and commentary provide some initial first impressions of the spatial variation of income poverty at the NUTS 3 level. However they do not take us very far in terms of developing an explanation of the </w:t>
      </w:r>
      <w:r w:rsidR="00281857" w:rsidRPr="00706E38">
        <w:rPr>
          <w:lang w:eastAsia="en-GB"/>
        </w:rPr>
        <w:t xml:space="preserve">processes which cause regional differentiation in income poverty. One simple way to begin to shed light upon such processes is to use the ESPON regional typologies to explore how ARoP rates vary in different kinds of region. A large number of typologies have been devised within the auspices of the ESPON programme. In the following analysis we will restrict ourselves to what may be described as the “core” typologies, </w:t>
      </w:r>
      <w:r w:rsidR="0051544A" w:rsidRPr="00706E38">
        <w:rPr>
          <w:lang w:eastAsia="en-GB"/>
        </w:rPr>
        <w:t xml:space="preserve">(identified by the ESPON Typology Compilation project) </w:t>
      </w:r>
      <w:r w:rsidR="00281857" w:rsidRPr="00706E38">
        <w:rPr>
          <w:lang w:eastAsia="en-GB"/>
        </w:rPr>
        <w:t>which relate to rurality, metropolitan regions, border regions, islands, mountain regions, coastal regions, and r</w:t>
      </w:r>
      <w:r w:rsidR="00CE7B1D" w:rsidRPr="00706E38">
        <w:rPr>
          <w:lang w:eastAsia="en-GB"/>
        </w:rPr>
        <w:t>egions in industrial transition</w:t>
      </w:r>
      <w:r w:rsidR="002D6E5C" w:rsidRPr="00706E38">
        <w:rPr>
          <w:rStyle w:val="FootnoteReference"/>
          <w:rFonts w:cs="Arial"/>
          <w:szCs w:val="22"/>
          <w:lang w:eastAsia="en-GB"/>
        </w:rPr>
        <w:footnoteReference w:id="5"/>
      </w:r>
      <w:r w:rsidR="00281857" w:rsidRPr="00706E38">
        <w:rPr>
          <w:lang w:eastAsia="en-GB"/>
        </w:rPr>
        <w:t>.</w:t>
      </w:r>
      <w:r w:rsidR="002D6E5C" w:rsidRPr="00706E38">
        <w:rPr>
          <w:lang w:eastAsia="en-GB"/>
        </w:rPr>
        <w:t xml:space="preserve"> Two typologies (sparsely populated regions and outermost regions) have been excluded from this review, since they relate to a relatively small number of regions. </w:t>
      </w:r>
    </w:p>
    <w:p w:rsidR="004304DE" w:rsidRPr="00706E38" w:rsidRDefault="002D6E5C" w:rsidP="002D6E5C">
      <w:pPr>
        <w:rPr>
          <w:lang w:eastAsia="en-GB"/>
        </w:rPr>
      </w:pPr>
      <w:r w:rsidRPr="00706E38">
        <w:rPr>
          <w:lang w:eastAsia="en-GB"/>
        </w:rPr>
        <w:t>The review has been implemented through a series of simple bar charts, which present ARoP rates averaged across each type of region within each country. This approach both avoids including data from countries in which a typology is not relevant (such as island regions in Austria), and means that we are not combining data from different countries, with different poverty lines.</w:t>
      </w:r>
    </w:p>
    <w:p w:rsidR="00AA2995" w:rsidRPr="00706E38" w:rsidRDefault="00AA2995" w:rsidP="009B44DC">
      <w:r w:rsidRPr="00706E38">
        <w:t>The full set of graphs is presented in Annex 7. Here one of the graphs and its interpretation is provided as an example, whilst the interpretation of the others are briefly summarised.</w:t>
      </w:r>
    </w:p>
    <w:p w:rsidR="00525793" w:rsidRPr="00706E38" w:rsidRDefault="000D4182" w:rsidP="00525793">
      <w:r w:rsidRPr="00706E38">
        <w:t xml:space="preserve">Figure </w:t>
      </w:r>
      <w:r w:rsidR="008B5A13" w:rsidRPr="00706E38">
        <w:t>3</w:t>
      </w:r>
      <w:r w:rsidR="00AA2995" w:rsidRPr="00706E38">
        <w:t xml:space="preserve"> shows average poverty rates in twenty countries, grouping NUTS 3 regions according to</w:t>
      </w:r>
      <w:r w:rsidRPr="00706E38">
        <w:t xml:space="preserve"> rurality and accessibility (Dijkstra and Poelman 2011). The five categories are predominantly urban, intermediate close to a city, intermediate remote, predominantly rural close to a city, and predominantly rural remote. There are ve</w:t>
      </w:r>
      <w:r w:rsidR="00CE7B1D" w:rsidRPr="00706E38">
        <w:t>r</w:t>
      </w:r>
      <w:r w:rsidRPr="00706E38">
        <w:t>y few regions in the third category, and for this reason we do not distinguish accessible and remote intermediate r</w:t>
      </w:r>
      <w:r w:rsidR="00525793" w:rsidRPr="00706E38">
        <w:t>egions.</w:t>
      </w:r>
    </w:p>
    <w:p w:rsidR="00525793" w:rsidRPr="00706E38" w:rsidRDefault="000D4182" w:rsidP="00525793">
      <w:pPr>
        <w:rPr>
          <w:noProof/>
          <w:lang w:eastAsia="en-GB"/>
        </w:rPr>
      </w:pPr>
      <w:r w:rsidRPr="00706E38">
        <w:t xml:space="preserve">Figure </w:t>
      </w:r>
      <w:r w:rsidR="008B5A13" w:rsidRPr="00706E38">
        <w:t>3</w:t>
      </w:r>
      <w:r w:rsidRPr="00706E38">
        <w:t xml:space="preserve"> shows that there are some quite substantial differences between ARoP rates across this typology. In four central countries (Austria, Belgium, Germany and Netherlands) income poverty rates are higher in urban areas than in intermediate or rural areas. In </w:t>
      </w:r>
      <w:r w:rsidR="00C6345F" w:rsidRPr="00706E38">
        <w:t>eleven countries</w:t>
      </w:r>
      <w:r w:rsidRPr="00706E38">
        <w:t>, income poverty rates are higher in rural and/or intermediate regions. The strongest associations with rurality are in the Mediterranean countries (Spain, Portugal Greece and Italy).</w:t>
      </w:r>
      <w:r w:rsidR="00C6345F" w:rsidRPr="00706E38">
        <w:t xml:space="preserve"> In the remaining five </w:t>
      </w:r>
      <w:r w:rsidR="00C6345F" w:rsidRPr="00706E38">
        <w:lastRenderedPageBreak/>
        <w:t>countries (UK, France, Sweden, Austria and Norway there the average poverty rates of the rural intermediate and urban areas show only small differences</w:t>
      </w:r>
      <w:r w:rsidR="00895065" w:rsidRPr="00706E38">
        <w:t>.</w:t>
      </w:r>
      <w:r w:rsidR="00525793" w:rsidRPr="00706E38">
        <w:rPr>
          <w:noProof/>
          <w:lang w:eastAsia="en-GB"/>
        </w:rPr>
        <w:t xml:space="preserve"> </w:t>
      </w:r>
    </w:p>
    <w:p w:rsidR="00525793" w:rsidRPr="00706E38" w:rsidRDefault="00525793" w:rsidP="00525793">
      <w:pPr>
        <w:rPr>
          <w:noProof/>
          <w:lang w:eastAsia="en-GB"/>
        </w:rPr>
      </w:pPr>
    </w:p>
    <w:p w:rsidR="00525793" w:rsidRPr="00706E38" w:rsidRDefault="00525793" w:rsidP="00525793">
      <w:r w:rsidRPr="00706E38">
        <w:rPr>
          <w:noProof/>
          <w:lang w:eastAsia="en-GB"/>
        </w:rPr>
        <w:drawing>
          <wp:inline distT="0" distB="0" distL="0" distR="0">
            <wp:extent cx="5797047" cy="1989811"/>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03343" cy="1991972"/>
                    </a:xfrm>
                    <a:prstGeom prst="rect">
                      <a:avLst/>
                    </a:prstGeom>
                    <a:noFill/>
                  </pic:spPr>
                </pic:pic>
              </a:graphicData>
            </a:graphic>
          </wp:inline>
        </w:drawing>
      </w:r>
    </w:p>
    <w:p w:rsidR="00525793" w:rsidRPr="00706E38" w:rsidRDefault="00525793" w:rsidP="00525793">
      <w:pPr>
        <w:pStyle w:val="Caption"/>
      </w:pPr>
      <w:bookmarkStart w:id="33" w:name="_Toc404011334"/>
      <w:r w:rsidRPr="00706E38">
        <w:t xml:space="preserve">Figure </w:t>
      </w:r>
      <w:fldSimple w:instr=" SEQ Figure \* ARABIC ">
        <w:r w:rsidR="000F31D5" w:rsidRPr="00706E38">
          <w:rPr>
            <w:noProof/>
          </w:rPr>
          <w:t>3</w:t>
        </w:r>
      </w:fldSimple>
      <w:r w:rsidRPr="00706E38">
        <w:t>: At Risk of Poverty by Urban-Rural Type, Selected Countries</w:t>
      </w:r>
      <w:bookmarkEnd w:id="33"/>
    </w:p>
    <w:p w:rsidR="00525793" w:rsidRPr="00706E38" w:rsidRDefault="00525793" w:rsidP="00525793">
      <w:pPr>
        <w:rPr>
          <w:lang w:eastAsia="en-GB"/>
        </w:rPr>
      </w:pPr>
      <w:r w:rsidRPr="00706E38">
        <w:rPr>
          <w:lang w:eastAsia="en-GB"/>
        </w:rPr>
        <w:t>The other typologies and graphs, taken together with Map 1, suggest the following tentative generalisations:</w:t>
      </w:r>
    </w:p>
    <w:p w:rsidR="00712858" w:rsidRPr="00706E38" w:rsidRDefault="00712858" w:rsidP="00525793">
      <w:pPr>
        <w:rPr>
          <w:lang w:eastAsia="en-GB"/>
        </w:rPr>
      </w:pPr>
      <w:r w:rsidRPr="00706E38">
        <w:rPr>
          <w:lang w:eastAsia="en-GB"/>
        </w:rPr>
        <w:t>The</w:t>
      </w:r>
      <w:r w:rsidR="00C4227F" w:rsidRPr="00706E38">
        <w:rPr>
          <w:lang w:eastAsia="en-GB"/>
        </w:rPr>
        <w:t xml:space="preserve"> relationship between capital cities, and secondary cities, and ARoP rates is complex. Broadly speaking large cities in the North and West of Europe often contain areas with high rates of income poverty, whilst in the South and East cities tend to have relatively lower rates.</w:t>
      </w:r>
    </w:p>
    <w:p w:rsidR="00C4227F" w:rsidRPr="00706E38" w:rsidRDefault="00C4227F" w:rsidP="00525793">
      <w:pPr>
        <w:rPr>
          <w:lang w:eastAsia="en-GB"/>
        </w:rPr>
      </w:pPr>
      <w:r w:rsidRPr="00706E38">
        <w:rPr>
          <w:lang w:eastAsia="en-GB"/>
        </w:rPr>
        <w:t>Accessible rural areas, especially those close to larger cities and capitals, tend to have relatively low rates of income poverty.</w:t>
      </w:r>
    </w:p>
    <w:p w:rsidR="00A53BD7" w:rsidRPr="00706E38" w:rsidRDefault="00A53BD7" w:rsidP="00525793">
      <w:pPr>
        <w:rPr>
          <w:lang w:eastAsia="en-GB"/>
        </w:rPr>
      </w:pPr>
      <w:r w:rsidRPr="00706E38">
        <w:rPr>
          <w:lang w:eastAsia="en-GB"/>
        </w:rPr>
        <w:t>Remote rural regions often exhibit relatively high ARoP rates.</w:t>
      </w:r>
    </w:p>
    <w:p w:rsidR="00C4227F" w:rsidRPr="00706E38" w:rsidRDefault="00C4227F" w:rsidP="00525793">
      <w:pPr>
        <w:rPr>
          <w:lang w:eastAsia="en-GB"/>
        </w:rPr>
      </w:pPr>
      <w:r w:rsidRPr="00706E38">
        <w:rPr>
          <w:lang w:eastAsia="en-GB"/>
        </w:rPr>
        <w:t>Island regions tend to have higher ARoP rates than mainland regions.</w:t>
      </w:r>
    </w:p>
    <w:p w:rsidR="00C4227F" w:rsidRPr="00706E38" w:rsidRDefault="00C4227F" w:rsidP="00525793">
      <w:pPr>
        <w:rPr>
          <w:lang w:eastAsia="en-GB"/>
        </w:rPr>
      </w:pPr>
      <w:r w:rsidRPr="00706E38">
        <w:rPr>
          <w:lang w:eastAsia="en-GB"/>
        </w:rPr>
        <w:t>The relationship between mountain regions, border regions and industrial regions and poverty rates is variable, depending upon national and macro-region context.</w:t>
      </w:r>
    </w:p>
    <w:p w:rsidR="00E96801" w:rsidRPr="00706E38" w:rsidRDefault="00E96801" w:rsidP="00E96801">
      <w:pPr>
        <w:pStyle w:val="Heading2"/>
        <w:rPr>
          <w:rFonts w:eastAsia="Calibri"/>
          <w:lang w:eastAsia="en-GB"/>
        </w:rPr>
      </w:pPr>
      <w:bookmarkStart w:id="34" w:name="_Toc410375322"/>
      <w:r w:rsidRPr="00706E38">
        <w:rPr>
          <w:rFonts w:eastAsia="Calibri"/>
          <w:lang w:eastAsia="en-GB"/>
        </w:rPr>
        <w:t>Associations between poverty rates and some potential socio-economic drivers of poverty</w:t>
      </w:r>
      <w:bookmarkEnd w:id="34"/>
    </w:p>
    <w:p w:rsidR="00E96801" w:rsidRPr="00706E38" w:rsidRDefault="00E96801" w:rsidP="00E96801">
      <w:pPr>
        <w:rPr>
          <w:rFonts w:eastAsia="Calibri"/>
          <w:szCs w:val="22"/>
          <w:lang w:eastAsia="en-GB"/>
        </w:rPr>
      </w:pPr>
      <w:r w:rsidRPr="00706E38">
        <w:rPr>
          <w:rFonts w:eastAsia="Calibri"/>
          <w:szCs w:val="22"/>
          <w:lang w:eastAsia="en-GB"/>
        </w:rPr>
        <w:t>The majority of the ESPON typologies relate to geographical features, rather than socio-economic characteristics. The latter may be explored through correlation analysis with a selection of key indicators from the Eurostat Regio database, and from the Population Census variables collected by the TiPSE project as part of the efforts to map aspects of social exclusion. In choosing indicators the underlying aim is to identify socio-economic characteristics which seem likely to be associated with spatial variations in poverty rates. The selection of indicators will necessarily be constrained by data availability at NUTS 3. It is of course acknowledged that correlations are not evidence of causality, but they may nevertheless provide valuable pointers to policy approaches and targeting.</w:t>
      </w:r>
    </w:p>
    <w:p w:rsidR="00E96801" w:rsidRPr="00706E38" w:rsidRDefault="00E96801" w:rsidP="00E96801">
      <w:pPr>
        <w:rPr>
          <w:rFonts w:eastAsia="Calibri"/>
          <w:szCs w:val="22"/>
          <w:lang w:eastAsia="en-GB"/>
        </w:rPr>
      </w:pPr>
      <w:r w:rsidRPr="00706E38">
        <w:rPr>
          <w:rFonts w:eastAsia="Calibri"/>
          <w:szCs w:val="22"/>
          <w:lang w:eastAsia="en-GB"/>
        </w:rPr>
        <w:lastRenderedPageBreak/>
        <w:t>The selected indicators fall into five broad groups, according to assumptions about the way in which they may be associated with regional variations in the incidence of poverty:</w:t>
      </w:r>
    </w:p>
    <w:p w:rsidR="00E96801" w:rsidRPr="00706E38" w:rsidRDefault="00E96801" w:rsidP="00E96801">
      <w:pPr>
        <w:rPr>
          <w:rFonts w:eastAsia="Calibri"/>
          <w:szCs w:val="22"/>
          <w:lang w:eastAsia="en-GB"/>
        </w:rPr>
      </w:pPr>
      <w:r w:rsidRPr="00706E38">
        <w:rPr>
          <w:rFonts w:eastAsia="Calibri"/>
          <w:szCs w:val="22"/>
          <w:lang w:eastAsia="en-GB"/>
        </w:rPr>
        <w:t>1.</w:t>
      </w:r>
      <w:r w:rsidRPr="00706E38">
        <w:rPr>
          <w:rFonts w:eastAsia="Calibri"/>
          <w:szCs w:val="22"/>
          <w:lang w:eastAsia="en-GB"/>
        </w:rPr>
        <w:tab/>
      </w:r>
      <w:r w:rsidRPr="00706E38">
        <w:rPr>
          <w:rFonts w:eastAsia="Calibri"/>
          <w:b/>
          <w:szCs w:val="22"/>
          <w:lang w:eastAsia="en-GB"/>
        </w:rPr>
        <w:t>Agglomeration</w:t>
      </w:r>
      <w:r w:rsidRPr="00706E38">
        <w:rPr>
          <w:rFonts w:eastAsia="Calibri"/>
          <w:szCs w:val="22"/>
          <w:lang w:eastAsia="en-GB"/>
        </w:rPr>
        <w:t xml:space="preserve"> - The first group of indicators represent the assumption that low rates of poverty may be associated with agglomerative advantages. Access to larger centres of economic activity may increase earning potential, while peripherality may increase vulnerability to poverty.</w:t>
      </w:r>
    </w:p>
    <w:p w:rsidR="00E96801" w:rsidRPr="00706E38" w:rsidRDefault="00E96801" w:rsidP="00E96801">
      <w:pPr>
        <w:rPr>
          <w:rFonts w:eastAsia="Calibri"/>
          <w:szCs w:val="22"/>
          <w:lang w:eastAsia="en-GB"/>
        </w:rPr>
      </w:pPr>
      <w:r w:rsidRPr="00706E38">
        <w:rPr>
          <w:rFonts w:eastAsia="Calibri"/>
          <w:szCs w:val="22"/>
          <w:lang w:eastAsia="en-GB"/>
        </w:rPr>
        <w:t>2.</w:t>
      </w:r>
      <w:r w:rsidRPr="00706E38">
        <w:rPr>
          <w:rFonts w:eastAsia="Calibri"/>
          <w:szCs w:val="22"/>
          <w:lang w:eastAsia="en-GB"/>
        </w:rPr>
        <w:tab/>
      </w:r>
      <w:r w:rsidRPr="00706E38">
        <w:rPr>
          <w:rFonts w:eastAsia="Calibri"/>
          <w:b/>
          <w:szCs w:val="22"/>
          <w:lang w:eastAsia="en-GB"/>
        </w:rPr>
        <w:t>Productivity</w:t>
      </w:r>
      <w:r w:rsidRPr="00706E38">
        <w:rPr>
          <w:rFonts w:eastAsia="Calibri"/>
          <w:szCs w:val="22"/>
          <w:lang w:eastAsia="en-GB"/>
        </w:rPr>
        <w:t xml:space="preserve"> - The second category of indicator is derived from the assumption that higher productivity in a region may be associated with lower poverty rates.</w:t>
      </w:r>
    </w:p>
    <w:p w:rsidR="00E96801" w:rsidRPr="00706E38" w:rsidRDefault="00E96801" w:rsidP="00E96801">
      <w:pPr>
        <w:rPr>
          <w:rFonts w:eastAsia="Calibri"/>
          <w:szCs w:val="22"/>
          <w:lang w:eastAsia="en-GB"/>
        </w:rPr>
      </w:pPr>
      <w:r w:rsidRPr="00706E38">
        <w:rPr>
          <w:rFonts w:eastAsia="Calibri"/>
          <w:szCs w:val="22"/>
          <w:lang w:eastAsia="en-GB"/>
        </w:rPr>
        <w:t>3.</w:t>
      </w:r>
      <w:r w:rsidRPr="00706E38">
        <w:rPr>
          <w:rFonts w:eastAsia="Calibri"/>
          <w:szCs w:val="22"/>
          <w:lang w:eastAsia="en-GB"/>
        </w:rPr>
        <w:tab/>
      </w:r>
      <w:r w:rsidRPr="00706E38">
        <w:rPr>
          <w:rFonts w:eastAsia="Calibri"/>
          <w:b/>
          <w:szCs w:val="22"/>
          <w:lang w:eastAsia="en-GB"/>
        </w:rPr>
        <w:t>Labour market</w:t>
      </w:r>
      <w:r w:rsidRPr="00706E38">
        <w:rPr>
          <w:rFonts w:eastAsia="Calibri"/>
          <w:szCs w:val="22"/>
          <w:lang w:eastAsia="en-GB"/>
        </w:rPr>
        <w:t xml:space="preserve"> – Poverty rates are often associated with labour market characteristics, high levels of inactivity or unemployment are assumed to be lead to a higher incidence of poverty.</w:t>
      </w:r>
    </w:p>
    <w:p w:rsidR="00E96801" w:rsidRPr="00706E38" w:rsidRDefault="00E96801" w:rsidP="00E96801">
      <w:pPr>
        <w:rPr>
          <w:rFonts w:eastAsia="Calibri"/>
          <w:szCs w:val="22"/>
          <w:lang w:eastAsia="en-GB"/>
        </w:rPr>
      </w:pPr>
      <w:r w:rsidRPr="00706E38">
        <w:rPr>
          <w:rFonts w:eastAsia="Calibri"/>
          <w:szCs w:val="22"/>
          <w:lang w:eastAsia="en-GB"/>
        </w:rPr>
        <w:t>4.</w:t>
      </w:r>
      <w:r w:rsidRPr="00706E38">
        <w:rPr>
          <w:rFonts w:eastAsia="Calibri"/>
          <w:szCs w:val="22"/>
          <w:lang w:eastAsia="en-GB"/>
        </w:rPr>
        <w:tab/>
      </w:r>
      <w:r w:rsidRPr="00706E38">
        <w:rPr>
          <w:rFonts w:eastAsia="Calibri"/>
          <w:b/>
          <w:szCs w:val="22"/>
          <w:lang w:eastAsia="en-GB"/>
        </w:rPr>
        <w:t>Sectoral structure</w:t>
      </w:r>
      <w:r w:rsidRPr="00706E38">
        <w:rPr>
          <w:rFonts w:eastAsia="Calibri"/>
          <w:szCs w:val="22"/>
          <w:lang w:eastAsia="en-GB"/>
        </w:rPr>
        <w:t xml:space="preserve"> – Poverty can be caused by lags in adjustment of the economy to a changing economic environment or the impact of globalisation. It is reasonable to assume that regions with a high incidence of poverty may have particular structural characteristics.</w:t>
      </w:r>
    </w:p>
    <w:p w:rsidR="00E96801" w:rsidRPr="00706E38" w:rsidRDefault="00E96801" w:rsidP="00E96801">
      <w:pPr>
        <w:rPr>
          <w:rFonts w:eastAsia="Calibri"/>
          <w:szCs w:val="22"/>
          <w:lang w:eastAsia="en-GB"/>
        </w:rPr>
      </w:pPr>
      <w:r w:rsidRPr="00706E38">
        <w:rPr>
          <w:rFonts w:eastAsia="Calibri"/>
          <w:szCs w:val="22"/>
          <w:lang w:eastAsia="en-GB"/>
        </w:rPr>
        <w:t>5.</w:t>
      </w:r>
      <w:r w:rsidRPr="00706E38">
        <w:rPr>
          <w:rFonts w:eastAsia="Calibri"/>
          <w:szCs w:val="22"/>
          <w:lang w:eastAsia="en-GB"/>
        </w:rPr>
        <w:tab/>
      </w:r>
      <w:r w:rsidRPr="00706E38">
        <w:rPr>
          <w:rFonts w:eastAsia="Calibri"/>
          <w:b/>
          <w:szCs w:val="22"/>
          <w:lang w:eastAsia="en-GB"/>
        </w:rPr>
        <w:t>Human capital</w:t>
      </w:r>
      <w:r w:rsidRPr="00706E38">
        <w:rPr>
          <w:rFonts w:eastAsia="Calibri"/>
          <w:szCs w:val="22"/>
          <w:lang w:eastAsia="en-GB"/>
        </w:rPr>
        <w:t xml:space="preserve"> – In addition to sectoral characteristics, it is conceivable that high rates of poverty may be associated with social characteristics, such as education and skills, age, household/family structures, ethnicity or citizenship.</w:t>
      </w:r>
    </w:p>
    <w:p w:rsidR="00E96801" w:rsidRPr="00706E38" w:rsidRDefault="00E96801" w:rsidP="00E96801">
      <w:pPr>
        <w:rPr>
          <w:rFonts w:eastAsia="Calibri"/>
          <w:szCs w:val="22"/>
          <w:lang w:eastAsia="en-GB"/>
        </w:rPr>
      </w:pPr>
      <w:r w:rsidRPr="00706E38">
        <w:rPr>
          <w:rFonts w:eastAsia="Calibri"/>
          <w:szCs w:val="22"/>
          <w:lang w:eastAsia="en-GB"/>
        </w:rPr>
        <w:t>Full details of the 31 indicators used in the correlation analysis are presented in Annex 7.</w:t>
      </w:r>
    </w:p>
    <w:p w:rsidR="00E96801" w:rsidRPr="00706E38" w:rsidRDefault="00E96801" w:rsidP="00E96801">
      <w:pPr>
        <w:rPr>
          <w:rFonts w:eastAsia="Calibri"/>
          <w:szCs w:val="22"/>
          <w:lang w:eastAsia="en-GB"/>
        </w:rPr>
      </w:pPr>
      <w:r w:rsidRPr="00706E38">
        <w:rPr>
          <w:rFonts w:eastAsia="Calibri"/>
          <w:szCs w:val="22"/>
          <w:lang w:eastAsia="en-GB"/>
        </w:rPr>
        <w:t xml:space="preserve">The methodology used to explore relationships between ARoP rates and the indicators listed in Table 2 was simple. Pearson product moment correlation coefficients were calculated between the ARoP rate and each of the 31 indicators, first for the full set of regions within the ESPON space for which data was available, and then for sub-sets of regions, EU15 and EU12, and a grouping based upon the welfare regimes classification. </w:t>
      </w:r>
    </w:p>
    <w:p w:rsidR="00E96801" w:rsidRPr="00706E38" w:rsidRDefault="00E96801" w:rsidP="00E96801">
      <w:pPr>
        <w:rPr>
          <w:rFonts w:eastAsia="Calibri"/>
          <w:szCs w:val="22"/>
          <w:lang w:eastAsia="en-GB"/>
        </w:rPr>
      </w:pPr>
      <w:r w:rsidRPr="00706E38">
        <w:rPr>
          <w:rFonts w:eastAsia="Calibri"/>
          <w:szCs w:val="22"/>
          <w:lang w:eastAsia="en-GB"/>
        </w:rPr>
        <w:t xml:space="preserve">It might be anticipated that correlations based upon the full set of 1,448 ESPON space regions would be strongest. However this is not the case, and it becomes clear that slightly different patterns of relationships pertain in different parts of Europe. </w:t>
      </w:r>
      <w:r w:rsidR="0065456B" w:rsidRPr="00706E38">
        <w:rPr>
          <w:rFonts w:eastAsia="Calibri"/>
          <w:szCs w:val="22"/>
          <w:lang w:eastAsia="en-GB"/>
        </w:rPr>
        <w:t>The strongest association</w:t>
      </w:r>
      <w:r w:rsidRPr="00706E38">
        <w:rPr>
          <w:rFonts w:eastAsia="Calibri"/>
          <w:szCs w:val="22"/>
          <w:lang w:eastAsia="en-GB"/>
        </w:rPr>
        <w:t xml:space="preserve"> which is sustained across the ESPON space</w:t>
      </w:r>
      <w:r w:rsidR="0065456B" w:rsidRPr="00706E38">
        <w:rPr>
          <w:rFonts w:eastAsia="Calibri"/>
          <w:szCs w:val="22"/>
          <w:lang w:eastAsia="en-GB"/>
        </w:rPr>
        <w:t>,</w:t>
      </w:r>
      <w:r w:rsidRPr="00706E38">
        <w:rPr>
          <w:rFonts w:eastAsia="Calibri"/>
          <w:szCs w:val="22"/>
          <w:lang w:eastAsia="en-GB"/>
        </w:rPr>
        <w:t xml:space="preserve"> is between poverty rates and unemployment rates. Employment rates are also closely related to poverty rates. Youth unemployment rates and long term unemployment rates are close behind.</w:t>
      </w:r>
    </w:p>
    <w:p w:rsidR="00E96801" w:rsidRPr="00706E38" w:rsidRDefault="00E96801" w:rsidP="00E96801">
      <w:pPr>
        <w:rPr>
          <w:rFonts w:eastAsia="Calibri"/>
          <w:szCs w:val="22"/>
          <w:lang w:eastAsia="en-GB"/>
        </w:rPr>
      </w:pPr>
      <w:r w:rsidRPr="00706E38">
        <w:rPr>
          <w:rFonts w:eastAsia="Calibri"/>
          <w:szCs w:val="22"/>
          <w:lang w:eastAsia="en-GB"/>
        </w:rPr>
        <w:t xml:space="preserve">We begin to see different relationships in different parts of the ESPON space as soon as we separate the EU15, from the New Member States (NMS) of the EU12 . The difference may be summed up as follows: In the EU15 countries poverty is strongly associated with labour market characteristics, and employment in elementary </w:t>
      </w:r>
      <w:r w:rsidRPr="00706E38">
        <w:rPr>
          <w:rFonts w:eastAsia="Calibri"/>
          <w:szCs w:val="22"/>
          <w:lang w:eastAsia="en-GB"/>
        </w:rPr>
        <w:lastRenderedPageBreak/>
        <w:t>occupations. By contrast, in the NMS accessibility, primary sector employment, education and skills, and productivity are all much more important than labour market characteristics.</w:t>
      </w:r>
    </w:p>
    <w:p w:rsidR="0065456B" w:rsidRPr="00706E38" w:rsidRDefault="0065456B" w:rsidP="0065456B">
      <w:r w:rsidRPr="00706E38">
        <w:t>The fact that GDP per capita is strongly (negatively) associated with poverty rates in the NMS suggests that here overall performance of regional economies plays a key role, whereas in the EU15 the low correlation coefficient suggests that regional performance is less influential than distributional effects.</w:t>
      </w:r>
    </w:p>
    <w:p w:rsidR="0065456B" w:rsidRPr="00706E38" w:rsidRDefault="0065456B" w:rsidP="0065456B">
      <w:r w:rsidRPr="00706E38">
        <w:t>The classification of countries according to welfare regime suggests some further interesting relationships between ARoP rates and the economic and social characteristics of the constituent regions.</w:t>
      </w:r>
    </w:p>
    <w:p w:rsidR="0065456B" w:rsidRPr="00706E38" w:rsidRDefault="0065456B" w:rsidP="0065456B">
      <w:r w:rsidRPr="00706E38">
        <w:t xml:space="preserve">Of the five welfare regime groups the strongest and clearest relationship with labour market characteristics is in the Society-based group, where coefficients rise to &gt;0.8 for unemployment and youth unemployment. Old age dependency rates are also strongly (positively) correlated with poverty rates in the Nordic states. </w:t>
      </w:r>
    </w:p>
    <w:p w:rsidR="0065456B" w:rsidRPr="00706E38" w:rsidRDefault="0065456B" w:rsidP="0065456B">
      <w:r w:rsidRPr="00706E38">
        <w:t>In the individual welfare regime group the number of regions is smaller, and it may be that this explains the relatively small number of strong associations. The presence of lone parents, and persons in elementary occupations, are both associated with elevated poverty rates. Population density is also positively associated with poverty, reinforcing the findings of the analysis of poverty rates according to metropolitan regions (Annex 7), where the UK was one of the few countries in which metropolitan poverty rates were higher than those for non-metropolitan regions.</w:t>
      </w:r>
    </w:p>
    <w:p w:rsidR="0065456B" w:rsidRPr="00706E38" w:rsidRDefault="0065456B" w:rsidP="0065456B">
      <w:r w:rsidRPr="00706E38">
        <w:t>In the countries with “State-based” welfare regimes labour market characteristics were again strongly associated with poverty, though youth unemployment was less closely correlated than in the countries in the society based regime group. Age related dependency does not seem to play such a strong role here</w:t>
      </w:r>
      <w:r w:rsidR="000005EC" w:rsidRPr="00706E38">
        <w:t>, and r</w:t>
      </w:r>
      <w:r w:rsidRPr="00706E38">
        <w:t>egional productivity and accessibility/agglomeration are only very</w:t>
      </w:r>
      <w:r w:rsidR="000005EC" w:rsidRPr="00706E38">
        <w:t xml:space="preserve"> weakly associated with poverty</w:t>
      </w:r>
      <w:r w:rsidRPr="00706E38">
        <w:t>.</w:t>
      </w:r>
    </w:p>
    <w:p w:rsidR="000005EC" w:rsidRPr="00706E38" w:rsidRDefault="0065456B" w:rsidP="0065456B">
      <w:r w:rsidRPr="00706E38">
        <w:t>Turning to the “Family-based” welfare regimes, accessibility and child dependency rates have distinctive associations with poverty. Overall regional performance (GDP per capita) is also important here. Labour market indicators exhibit less strong associati</w:t>
      </w:r>
      <w:r w:rsidR="000005EC" w:rsidRPr="00706E38">
        <w:t xml:space="preserve">ons than in the Society-based group, </w:t>
      </w:r>
      <w:r w:rsidRPr="00706E38">
        <w:t xml:space="preserve">whilst employment in elementary occupations is associated as strongly with poverty as it is in the </w:t>
      </w:r>
      <w:r w:rsidR="000005EC" w:rsidRPr="00706E38">
        <w:t>Individual</w:t>
      </w:r>
      <w:r w:rsidRPr="00706E38">
        <w:t xml:space="preserve"> welfare regime countries.</w:t>
      </w:r>
    </w:p>
    <w:p w:rsidR="0065456B" w:rsidRPr="00706E38" w:rsidRDefault="0065456B" w:rsidP="0065456B">
      <w:r w:rsidRPr="00706E38">
        <w:t xml:space="preserve">Finally, the </w:t>
      </w:r>
      <w:r w:rsidR="000005EC" w:rsidRPr="00706E38">
        <w:t>Transitional countries</w:t>
      </w:r>
      <w:r w:rsidRPr="00706E38">
        <w:t xml:space="preserve"> share certain key characteristics with the previous group, notably the fact that poverty is strongly associated with overall regional economic performance, and with accessibility. However, here education and training, and employment in the primary sector, are also strongly associated with variations in poverty.</w:t>
      </w:r>
    </w:p>
    <w:p w:rsidR="00901AB1" w:rsidRDefault="00901AB1" w:rsidP="00E96801">
      <w:pPr>
        <w:rPr>
          <w:rFonts w:eastAsia="Calibri"/>
          <w:i/>
          <w:szCs w:val="22"/>
          <w:lang w:eastAsia="en-GB"/>
        </w:rPr>
      </w:pPr>
    </w:p>
    <w:p w:rsidR="000D1151" w:rsidRPr="00706E38" w:rsidRDefault="000733D9" w:rsidP="00E96801">
      <w:pPr>
        <w:rPr>
          <w:rFonts w:eastAsia="Calibri"/>
          <w:i/>
          <w:szCs w:val="22"/>
          <w:lang w:eastAsia="en-GB"/>
        </w:rPr>
      </w:pPr>
      <w:r w:rsidRPr="00706E38">
        <w:rPr>
          <w:rFonts w:eastAsia="Calibri"/>
          <w:i/>
          <w:szCs w:val="22"/>
          <w:lang w:eastAsia="en-GB"/>
        </w:rPr>
        <w:lastRenderedPageBreak/>
        <w:t>Further</w:t>
      </w:r>
      <w:r w:rsidR="000D1151" w:rsidRPr="00706E38">
        <w:rPr>
          <w:rFonts w:eastAsia="Calibri"/>
          <w:i/>
          <w:szCs w:val="22"/>
          <w:lang w:eastAsia="en-GB"/>
        </w:rPr>
        <w:t xml:space="preserve"> Reflections on </w:t>
      </w:r>
      <w:r w:rsidRPr="00706E38">
        <w:rPr>
          <w:rFonts w:eastAsia="Calibri"/>
          <w:i/>
          <w:szCs w:val="22"/>
          <w:lang w:eastAsia="en-GB"/>
        </w:rPr>
        <w:t xml:space="preserve">the adequacy of </w:t>
      </w:r>
      <w:r w:rsidR="000D1151" w:rsidRPr="00706E38">
        <w:rPr>
          <w:rFonts w:eastAsia="Calibri"/>
          <w:i/>
          <w:szCs w:val="22"/>
          <w:lang w:eastAsia="en-GB"/>
        </w:rPr>
        <w:t xml:space="preserve">the ARoP </w:t>
      </w:r>
      <w:r w:rsidRPr="00706E38">
        <w:rPr>
          <w:rFonts w:eastAsia="Calibri"/>
          <w:i/>
          <w:szCs w:val="22"/>
          <w:lang w:eastAsia="en-GB"/>
        </w:rPr>
        <w:t>Rate as a Poverty</w:t>
      </w:r>
      <w:r w:rsidR="000D1151" w:rsidRPr="00706E38">
        <w:rPr>
          <w:rFonts w:eastAsia="Calibri"/>
          <w:i/>
          <w:szCs w:val="22"/>
          <w:lang w:eastAsia="en-GB"/>
        </w:rPr>
        <w:t xml:space="preserve"> Indicator</w:t>
      </w:r>
    </w:p>
    <w:p w:rsidR="003B5B3A" w:rsidRPr="00706E38" w:rsidRDefault="000D1151" w:rsidP="003B5B3A">
      <w:pPr>
        <w:rPr>
          <w:rFonts w:eastAsia="Calibri"/>
          <w:szCs w:val="22"/>
          <w:lang w:eastAsia="en-GB"/>
        </w:rPr>
      </w:pPr>
      <w:r w:rsidRPr="00706E38">
        <w:rPr>
          <w:rFonts w:eastAsia="Calibri"/>
          <w:szCs w:val="22"/>
          <w:lang w:eastAsia="en-GB"/>
        </w:rPr>
        <w:t>I</w:t>
      </w:r>
      <w:r w:rsidR="00874253" w:rsidRPr="00706E38">
        <w:rPr>
          <w:rFonts w:eastAsia="Calibri"/>
          <w:szCs w:val="22"/>
          <w:lang w:eastAsia="en-GB"/>
        </w:rPr>
        <w:t xml:space="preserve">t is important to recognise the fact that measures related to disposable income may not identify all individuals and groups who are experiencing poverty in a narrow financial sense. In our Interim Report we noted a </w:t>
      </w:r>
      <w:r w:rsidR="008664CE" w:rsidRPr="00706E38">
        <w:rPr>
          <w:rFonts w:eastAsia="Calibri"/>
          <w:szCs w:val="22"/>
          <w:lang w:eastAsia="en-GB"/>
        </w:rPr>
        <w:t>suggestion</w:t>
      </w:r>
      <w:r w:rsidR="00874253" w:rsidRPr="00706E38">
        <w:rPr>
          <w:rFonts w:eastAsia="Calibri"/>
          <w:szCs w:val="22"/>
          <w:lang w:eastAsia="en-GB"/>
        </w:rPr>
        <w:t xml:space="preserve"> to adjust ARoP rates by excluding housing costs </w:t>
      </w:r>
      <w:r w:rsidR="00874253" w:rsidRPr="00706E38">
        <w:t>(rent and mortgage interest) from disposable income</w:t>
      </w:r>
      <w:r w:rsidR="0041794A" w:rsidRPr="00706E38">
        <w:t>. The rationale for this change was that housing costs are the most significant component of regional differences in the cost of living within countries, and that excluding them is a way to “level the playing field” between the regions. Analysis by the Commission suggested that this adjustment would (on average) increase the A</w:t>
      </w:r>
      <w:r w:rsidR="008664CE" w:rsidRPr="00706E38">
        <w:t>RoP</w:t>
      </w:r>
      <w:r w:rsidR="0041794A" w:rsidRPr="00706E38">
        <w:t xml:space="preserve"> rate (from 16% to 22% for the EU27), affecting some Member States more than others, and reducing the difference between urban and rural areas.</w:t>
      </w:r>
    </w:p>
    <w:p w:rsidR="00E84B0F" w:rsidRPr="00706E38" w:rsidRDefault="0041794A" w:rsidP="003B5B3A">
      <w:pPr>
        <w:rPr>
          <w:rFonts w:eastAsia="Calibri"/>
          <w:szCs w:val="22"/>
          <w:lang w:eastAsia="en-GB"/>
        </w:rPr>
      </w:pPr>
      <w:r w:rsidRPr="00706E38">
        <w:rPr>
          <w:rFonts w:eastAsia="Calibri"/>
          <w:szCs w:val="22"/>
          <w:lang w:eastAsia="en-GB"/>
        </w:rPr>
        <w:t xml:space="preserve">In fact, because of the variety of </w:t>
      </w:r>
      <w:r w:rsidR="008664CE" w:rsidRPr="00706E38">
        <w:rPr>
          <w:rFonts w:eastAsia="Calibri"/>
          <w:szCs w:val="22"/>
          <w:lang w:eastAsia="en-GB"/>
        </w:rPr>
        <w:t xml:space="preserve">estimation </w:t>
      </w:r>
      <w:r w:rsidRPr="00706E38">
        <w:rPr>
          <w:rFonts w:eastAsia="Calibri"/>
          <w:szCs w:val="22"/>
          <w:lang w:eastAsia="en-GB"/>
        </w:rPr>
        <w:t>methods adopted in different countries, it has only proved possible to calculate “after housing cost” ARoP rates fo</w:t>
      </w:r>
      <w:r w:rsidR="00E84B0F" w:rsidRPr="00706E38">
        <w:rPr>
          <w:rFonts w:eastAsia="Calibri"/>
          <w:szCs w:val="22"/>
          <w:lang w:eastAsia="en-GB"/>
        </w:rPr>
        <w:t>r three countries (AT, GR, UK).</w:t>
      </w:r>
    </w:p>
    <w:p w:rsidR="00874253" w:rsidRPr="00706E38" w:rsidRDefault="0041794A" w:rsidP="003B5B3A">
      <w:pPr>
        <w:rPr>
          <w:rFonts w:eastAsia="Calibri"/>
          <w:szCs w:val="22"/>
          <w:lang w:eastAsia="en-GB"/>
        </w:rPr>
      </w:pPr>
      <w:r w:rsidRPr="00706E38">
        <w:rPr>
          <w:rFonts w:eastAsia="Calibri"/>
          <w:szCs w:val="22"/>
          <w:lang w:eastAsia="en-GB"/>
        </w:rPr>
        <w:t>However recent research in the UK (</w:t>
      </w:r>
      <w:r w:rsidR="008664CE" w:rsidRPr="00706E38">
        <w:t>Hirsch</w:t>
      </w:r>
      <w:r w:rsidR="00AB1109" w:rsidRPr="00706E38">
        <w:t>,</w:t>
      </w:r>
      <w:r w:rsidR="008664CE" w:rsidRPr="00706E38">
        <w:t xml:space="preserve"> et al</w:t>
      </w:r>
      <w:r w:rsidR="00AB1109" w:rsidRPr="00706E38">
        <w:t>.,</w:t>
      </w:r>
      <w:r w:rsidR="008664CE" w:rsidRPr="00706E38">
        <w:t xml:space="preserve"> 2013</w:t>
      </w:r>
      <w:r w:rsidRPr="00706E38">
        <w:rPr>
          <w:rFonts w:eastAsia="Calibri"/>
          <w:szCs w:val="22"/>
          <w:lang w:eastAsia="en-GB"/>
        </w:rPr>
        <w:t>) suggests that housing costs are not the only form of expenditure which varies subst</w:t>
      </w:r>
      <w:r w:rsidR="00E84B0F" w:rsidRPr="00706E38">
        <w:rPr>
          <w:rFonts w:eastAsia="Calibri"/>
          <w:szCs w:val="22"/>
          <w:lang w:eastAsia="en-GB"/>
        </w:rPr>
        <w:t xml:space="preserve">antially between regions. A broad range of consumer goods, </w:t>
      </w:r>
      <w:r w:rsidR="001059C8" w:rsidRPr="00706E38">
        <w:rPr>
          <w:rFonts w:eastAsia="Calibri"/>
          <w:szCs w:val="22"/>
          <w:lang w:eastAsia="en-GB"/>
        </w:rPr>
        <w:t xml:space="preserve">food and </w:t>
      </w:r>
      <w:r w:rsidR="00E84B0F" w:rsidRPr="00706E38">
        <w:rPr>
          <w:rFonts w:eastAsia="Calibri"/>
          <w:szCs w:val="22"/>
          <w:lang w:eastAsia="en-GB"/>
        </w:rPr>
        <w:t xml:space="preserve">fuels all tend to be higher in remote rural or island areas. In addition sparsity and climate may impact upon the </w:t>
      </w:r>
      <w:r w:rsidR="000D1151" w:rsidRPr="00706E38">
        <w:rPr>
          <w:rFonts w:eastAsia="Calibri"/>
          <w:szCs w:val="22"/>
          <w:lang w:eastAsia="en-GB"/>
        </w:rPr>
        <w:t xml:space="preserve">average </w:t>
      </w:r>
      <w:r w:rsidR="00E84B0F" w:rsidRPr="00706E38">
        <w:rPr>
          <w:rFonts w:eastAsia="Calibri"/>
          <w:szCs w:val="22"/>
          <w:lang w:eastAsia="en-GB"/>
        </w:rPr>
        <w:t>expenditure profile of families in these areas, increasing the travel cost of daily life, and the cost of heating the home.</w:t>
      </w:r>
    </w:p>
    <w:p w:rsidR="00E84B0F" w:rsidRPr="00706E38" w:rsidRDefault="00E84B0F" w:rsidP="003B5B3A">
      <w:pPr>
        <w:rPr>
          <w:rFonts w:eastAsia="Calibri"/>
          <w:szCs w:val="22"/>
          <w:lang w:eastAsia="en-GB"/>
        </w:rPr>
      </w:pPr>
      <w:r w:rsidRPr="00706E38">
        <w:rPr>
          <w:rFonts w:eastAsia="Calibri"/>
          <w:szCs w:val="22"/>
          <w:lang w:eastAsia="en-GB"/>
        </w:rPr>
        <w:t xml:space="preserve">Of course it would not be realistic to call for detailed regional living cost indicators, and for the present this issue can best be noted in the form of a caveat to the basic (before housing cost) ARoP rate. However to adjust for </w:t>
      </w:r>
      <w:r w:rsidR="008664CE" w:rsidRPr="00706E38">
        <w:rPr>
          <w:rFonts w:eastAsia="Calibri"/>
          <w:szCs w:val="22"/>
          <w:lang w:eastAsia="en-GB"/>
        </w:rPr>
        <w:t>housing cost but to ignore the very significant cost increases associated with insularity and peripherality would appear to introduce an unintentional urban bias in the indicator.</w:t>
      </w:r>
    </w:p>
    <w:p w:rsidR="003C619B" w:rsidRPr="00706E38" w:rsidRDefault="00710EA0" w:rsidP="00D33F73">
      <w:pPr>
        <w:pStyle w:val="Heading1"/>
        <w:rPr>
          <w:rFonts w:eastAsia="Calibri"/>
          <w:lang w:eastAsia="en-GB"/>
        </w:rPr>
      </w:pPr>
      <w:bookmarkStart w:id="35" w:name="_Toc401068752"/>
      <w:bookmarkStart w:id="36" w:name="_Toc410375323"/>
      <w:r w:rsidRPr="00706E38">
        <w:rPr>
          <w:rFonts w:eastAsia="Calibri"/>
          <w:lang w:eastAsia="en-GB"/>
        </w:rPr>
        <w:t>Mapping Patterns of Social Exclusion</w:t>
      </w:r>
      <w:bookmarkEnd w:id="35"/>
      <w:bookmarkEnd w:id="36"/>
    </w:p>
    <w:p w:rsidR="00590C69" w:rsidRPr="00706E38" w:rsidRDefault="00590C69" w:rsidP="00590C69">
      <w:pPr>
        <w:pStyle w:val="Heading2"/>
        <w:rPr>
          <w:rFonts w:eastAsia="Calibri"/>
          <w:lang w:eastAsia="en-GB"/>
        </w:rPr>
      </w:pPr>
      <w:bookmarkStart w:id="37" w:name="_Toc410375324"/>
      <w:r w:rsidRPr="00706E38">
        <w:rPr>
          <w:rFonts w:eastAsia="Calibri"/>
          <w:lang w:eastAsia="en-GB"/>
        </w:rPr>
        <w:t>Domains and Dimensions</w:t>
      </w:r>
      <w:bookmarkEnd w:id="37"/>
    </w:p>
    <w:p w:rsidR="00293E98" w:rsidRPr="00706E38" w:rsidRDefault="00293E98" w:rsidP="00293E98">
      <w:pPr>
        <w:rPr>
          <w:rFonts w:eastAsia="Calibri"/>
          <w:lang w:eastAsia="en-GB"/>
        </w:rPr>
      </w:pPr>
      <w:r w:rsidRPr="00706E38">
        <w:rPr>
          <w:rFonts w:eastAsia="Calibri"/>
          <w:lang w:eastAsia="en-GB"/>
        </w:rPr>
        <w:t>As we have already established in Section 1, Social Exclusion is a multi-faceted concept – it is very difficult to represent it with a single indicator, or a single map. Our review of the literature led us to conclude that it may be represented as comprising four broad “Domains”, each of which may be further disaggregated into individual “Dimensions”. The full list is presented in Table 1. This classification is derived from the conceptual literature – it is not based upon an empirical analysis. Indeed it should not be implied that each of the domains and dimensions should be equally well served in terms of secondary data availability. Sadly this is far from the case.</w:t>
      </w:r>
    </w:p>
    <w:p w:rsidR="00293E98" w:rsidRPr="00706E38" w:rsidRDefault="00901AB1" w:rsidP="00293E98">
      <w:pPr>
        <w:pStyle w:val="Caption"/>
        <w:rPr>
          <w:rFonts w:eastAsia="Calibri"/>
          <w:lang w:eastAsia="en-GB"/>
        </w:rPr>
      </w:pPr>
      <w:bookmarkStart w:id="38" w:name="_Toc404011323"/>
      <w:r>
        <w:br w:type="column"/>
      </w:r>
      <w:r w:rsidR="00293E98" w:rsidRPr="00706E38">
        <w:lastRenderedPageBreak/>
        <w:t xml:space="preserve">Table </w:t>
      </w:r>
      <w:fldSimple w:instr=" SEQ Table \* ARABIC ">
        <w:r w:rsidR="000F31D5" w:rsidRPr="00706E38">
          <w:rPr>
            <w:noProof/>
          </w:rPr>
          <w:t>1</w:t>
        </w:r>
      </w:fldSimple>
      <w:r w:rsidR="00293E98" w:rsidRPr="00706E38">
        <w:t>: The Structure of Social Exclusion</w:t>
      </w:r>
      <w:bookmarkEnd w:id="38"/>
    </w:p>
    <w:tbl>
      <w:tblPr>
        <w:tblStyle w:val="TableGrid"/>
        <w:tblW w:w="0" w:type="auto"/>
        <w:tblLook w:val="04A0"/>
      </w:tblPr>
      <w:tblGrid>
        <w:gridCol w:w="2533"/>
        <w:gridCol w:w="2657"/>
        <w:gridCol w:w="3333"/>
      </w:tblGrid>
      <w:tr w:rsidR="00706E38" w:rsidRPr="00706E38" w:rsidTr="00124467">
        <w:trPr>
          <w:trHeight w:val="20"/>
        </w:trPr>
        <w:tc>
          <w:tcPr>
            <w:tcW w:w="0" w:type="auto"/>
            <w:shd w:val="clear" w:color="auto" w:fill="auto"/>
            <w:vAlign w:val="center"/>
          </w:tcPr>
          <w:p w:rsidR="00293E98" w:rsidRPr="00706E38" w:rsidRDefault="00293E98" w:rsidP="00124467">
            <w:pPr>
              <w:jc w:val="center"/>
              <w:rPr>
                <w:b/>
              </w:rPr>
            </w:pPr>
            <w:r w:rsidRPr="00706E38">
              <w:rPr>
                <w:b/>
              </w:rPr>
              <w:t>DOMAIN</w:t>
            </w:r>
          </w:p>
        </w:tc>
        <w:tc>
          <w:tcPr>
            <w:tcW w:w="0" w:type="auto"/>
            <w:shd w:val="clear" w:color="auto" w:fill="auto"/>
            <w:vAlign w:val="center"/>
          </w:tcPr>
          <w:p w:rsidR="00293E98" w:rsidRPr="00706E38" w:rsidRDefault="00293E98" w:rsidP="00124467">
            <w:pPr>
              <w:jc w:val="left"/>
              <w:rPr>
                <w:b/>
              </w:rPr>
            </w:pPr>
            <w:r w:rsidRPr="00706E38">
              <w:rPr>
                <w:b/>
              </w:rPr>
              <w:t>Dimension</w:t>
            </w:r>
          </w:p>
        </w:tc>
        <w:tc>
          <w:tcPr>
            <w:tcW w:w="0" w:type="auto"/>
            <w:shd w:val="clear" w:color="auto" w:fill="auto"/>
            <w:vAlign w:val="center"/>
          </w:tcPr>
          <w:p w:rsidR="00293E98" w:rsidRPr="00706E38" w:rsidRDefault="00293E98" w:rsidP="00124467">
            <w:pPr>
              <w:jc w:val="left"/>
              <w:rPr>
                <w:b/>
              </w:rPr>
            </w:pPr>
            <w:r w:rsidRPr="00706E38">
              <w:rPr>
                <w:b/>
              </w:rPr>
              <w:t>Examples/ Descriptions</w:t>
            </w:r>
          </w:p>
        </w:tc>
      </w:tr>
      <w:tr w:rsidR="00706E38" w:rsidRPr="00706E38" w:rsidTr="00124467">
        <w:trPr>
          <w:trHeight w:val="201"/>
        </w:trPr>
        <w:tc>
          <w:tcPr>
            <w:tcW w:w="0" w:type="auto"/>
            <w:vMerge w:val="restart"/>
            <w:shd w:val="clear" w:color="auto" w:fill="auto"/>
            <w:vAlign w:val="center"/>
          </w:tcPr>
          <w:p w:rsidR="00293E98" w:rsidRPr="00706E38" w:rsidRDefault="00293E98" w:rsidP="00124467">
            <w:pPr>
              <w:jc w:val="left"/>
              <w:rPr>
                <w:b/>
              </w:rPr>
            </w:pPr>
            <w:r w:rsidRPr="00706E38">
              <w:rPr>
                <w:b/>
              </w:rPr>
              <w:t>1. EARNING A LIVING</w:t>
            </w:r>
          </w:p>
        </w:tc>
        <w:tc>
          <w:tcPr>
            <w:tcW w:w="0" w:type="auto"/>
            <w:shd w:val="clear" w:color="auto" w:fill="auto"/>
            <w:vAlign w:val="center"/>
          </w:tcPr>
          <w:p w:rsidR="00293E98" w:rsidRPr="00706E38" w:rsidRDefault="00293E98" w:rsidP="00124467">
            <w:pPr>
              <w:jc w:val="left"/>
              <w:rPr>
                <w:b/>
              </w:rPr>
            </w:pPr>
            <w:r w:rsidRPr="00706E38">
              <w:rPr>
                <w:b/>
              </w:rPr>
              <w:t>(a) Income</w:t>
            </w:r>
          </w:p>
        </w:tc>
        <w:tc>
          <w:tcPr>
            <w:tcW w:w="0" w:type="auto"/>
            <w:shd w:val="clear" w:color="auto" w:fill="auto"/>
            <w:vAlign w:val="center"/>
          </w:tcPr>
          <w:p w:rsidR="00293E98" w:rsidRPr="00706E38" w:rsidRDefault="00293E98" w:rsidP="00124467">
            <w:pPr>
              <w:spacing w:line="240" w:lineRule="auto"/>
              <w:jc w:val="left"/>
              <w:rPr>
                <w:rFonts w:cs="Arial"/>
                <w:bCs/>
                <w:szCs w:val="22"/>
                <w:lang w:eastAsia="en-GB"/>
              </w:rPr>
            </w:pPr>
            <w:r w:rsidRPr="00706E38">
              <w:rPr>
                <w:rFonts w:cs="Arial"/>
                <w:bCs/>
                <w:szCs w:val="22"/>
                <w:lang w:eastAsia="en-GB"/>
              </w:rPr>
              <w:t>Disposable income</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line="240" w:lineRule="auto"/>
              <w:jc w:val="left"/>
              <w:rPr>
                <w:rFonts w:cs="Arial"/>
                <w:szCs w:val="22"/>
                <w:lang w:eastAsia="en-GB"/>
              </w:rPr>
            </w:pPr>
          </w:p>
        </w:tc>
        <w:tc>
          <w:tcPr>
            <w:tcW w:w="0" w:type="auto"/>
            <w:vMerge w:val="restart"/>
            <w:shd w:val="clear" w:color="auto" w:fill="auto"/>
            <w:vAlign w:val="center"/>
          </w:tcPr>
          <w:p w:rsidR="00293E98" w:rsidRPr="00706E38" w:rsidRDefault="00293E98" w:rsidP="00124467">
            <w:pPr>
              <w:spacing w:line="240" w:lineRule="auto"/>
              <w:jc w:val="left"/>
              <w:rPr>
                <w:rFonts w:cs="Arial"/>
                <w:b/>
                <w:szCs w:val="22"/>
                <w:lang w:eastAsia="en-GB"/>
              </w:rPr>
            </w:pPr>
            <w:r w:rsidRPr="00706E38">
              <w:rPr>
                <w:rFonts w:cs="Arial"/>
                <w:b/>
                <w:szCs w:val="22"/>
                <w:lang w:eastAsia="en-GB"/>
              </w:rPr>
              <w:t>(b) Employment</w:t>
            </w: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Employed</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Unemployed</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Inactive</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Long term unemployed</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Jobless households</w:t>
            </w:r>
          </w:p>
        </w:tc>
      </w:tr>
      <w:tr w:rsidR="00706E38" w:rsidRPr="00706E38" w:rsidTr="00124467">
        <w:trPr>
          <w:trHeight w:val="20"/>
        </w:trPr>
        <w:tc>
          <w:tcPr>
            <w:tcW w:w="0" w:type="auto"/>
            <w:vMerge w:val="restart"/>
            <w:shd w:val="clear" w:color="auto" w:fill="auto"/>
            <w:vAlign w:val="center"/>
          </w:tcPr>
          <w:p w:rsidR="00293E98" w:rsidRPr="00706E38" w:rsidRDefault="00293E98" w:rsidP="00124467">
            <w:pPr>
              <w:spacing w:line="240" w:lineRule="auto"/>
              <w:jc w:val="left"/>
              <w:rPr>
                <w:rFonts w:cs="Arial"/>
                <w:b/>
                <w:bCs/>
                <w:szCs w:val="22"/>
                <w:lang w:eastAsia="en-GB"/>
              </w:rPr>
            </w:pPr>
            <w:r w:rsidRPr="00706E38">
              <w:rPr>
                <w:rFonts w:cs="Arial"/>
                <w:b/>
                <w:bCs/>
                <w:szCs w:val="22"/>
                <w:lang w:eastAsia="en-GB"/>
              </w:rPr>
              <w:t>2. ACCESS TO SERVICES</w:t>
            </w:r>
          </w:p>
        </w:tc>
        <w:tc>
          <w:tcPr>
            <w:tcW w:w="0" w:type="auto"/>
            <w:vMerge w:val="restart"/>
            <w:shd w:val="clear" w:color="auto" w:fill="auto"/>
            <w:vAlign w:val="center"/>
          </w:tcPr>
          <w:p w:rsidR="00293E98" w:rsidRPr="00706E38" w:rsidRDefault="00293E98" w:rsidP="00124467">
            <w:pPr>
              <w:spacing w:line="240" w:lineRule="auto"/>
              <w:jc w:val="left"/>
              <w:rPr>
                <w:rFonts w:cs="Arial"/>
                <w:b/>
                <w:bCs/>
                <w:szCs w:val="22"/>
                <w:lang w:eastAsia="en-GB"/>
              </w:rPr>
            </w:pPr>
            <w:r w:rsidRPr="00706E38">
              <w:rPr>
                <w:rFonts w:cs="Arial"/>
                <w:b/>
                <w:bCs/>
                <w:szCs w:val="22"/>
                <w:lang w:eastAsia="en-GB"/>
              </w:rPr>
              <w:t>(a) Health</w:t>
            </w: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Access to primary health</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Healthy life expectancy</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line="240" w:lineRule="auto"/>
              <w:jc w:val="left"/>
              <w:rPr>
                <w:rFonts w:cs="Arial"/>
                <w:bCs/>
                <w:szCs w:val="22"/>
                <w:lang w:eastAsia="en-GB"/>
              </w:rPr>
            </w:pPr>
          </w:p>
        </w:tc>
        <w:tc>
          <w:tcPr>
            <w:tcW w:w="0" w:type="auto"/>
            <w:vMerge w:val="restart"/>
            <w:shd w:val="clear" w:color="auto" w:fill="auto"/>
            <w:vAlign w:val="center"/>
          </w:tcPr>
          <w:p w:rsidR="00293E98" w:rsidRPr="00706E38" w:rsidRDefault="00293E98" w:rsidP="00124467">
            <w:pPr>
              <w:spacing w:line="240" w:lineRule="auto"/>
              <w:jc w:val="left"/>
              <w:rPr>
                <w:rFonts w:cs="Arial"/>
                <w:b/>
                <w:bCs/>
                <w:szCs w:val="22"/>
                <w:lang w:eastAsia="en-GB"/>
              </w:rPr>
            </w:pPr>
            <w:r w:rsidRPr="00706E38">
              <w:rPr>
                <w:rFonts w:cs="Arial"/>
                <w:b/>
                <w:bCs/>
                <w:szCs w:val="22"/>
                <w:lang w:eastAsia="en-GB"/>
              </w:rPr>
              <w:t>(b) Education</w:t>
            </w: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Access to different kinds of school, college, cultural facility</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Attainment (ISCED levels)</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val="restart"/>
            <w:shd w:val="clear" w:color="auto" w:fill="auto"/>
            <w:vAlign w:val="center"/>
          </w:tcPr>
          <w:p w:rsidR="00293E98" w:rsidRPr="00706E38" w:rsidRDefault="00293E98" w:rsidP="00124467">
            <w:pPr>
              <w:spacing w:before="0" w:line="240" w:lineRule="auto"/>
              <w:jc w:val="left"/>
              <w:rPr>
                <w:rFonts w:cs="Arial"/>
                <w:b/>
                <w:szCs w:val="22"/>
                <w:lang w:eastAsia="en-GB"/>
              </w:rPr>
            </w:pPr>
            <w:r w:rsidRPr="00706E38">
              <w:rPr>
                <w:rFonts w:cs="Arial"/>
                <w:b/>
                <w:szCs w:val="22"/>
                <w:lang w:eastAsia="en-GB"/>
              </w:rPr>
              <w:t>(c) Housing</w:t>
            </w: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Tenure status</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Density</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Amenities</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line="240" w:lineRule="auto"/>
              <w:jc w:val="left"/>
              <w:rPr>
                <w:rFonts w:cs="Arial"/>
                <w:bCs/>
                <w:szCs w:val="22"/>
                <w:lang w:eastAsia="en-GB"/>
              </w:rPr>
            </w:pPr>
          </w:p>
        </w:tc>
        <w:tc>
          <w:tcPr>
            <w:tcW w:w="0" w:type="auto"/>
            <w:vMerge w:val="restart"/>
            <w:shd w:val="clear" w:color="auto" w:fill="auto"/>
            <w:vAlign w:val="center"/>
          </w:tcPr>
          <w:p w:rsidR="00293E98" w:rsidRPr="00706E38" w:rsidRDefault="00293E98" w:rsidP="00124467">
            <w:pPr>
              <w:spacing w:line="240" w:lineRule="auto"/>
              <w:jc w:val="left"/>
              <w:rPr>
                <w:rFonts w:cs="Arial"/>
                <w:b/>
                <w:bCs/>
                <w:szCs w:val="22"/>
                <w:lang w:eastAsia="en-GB"/>
              </w:rPr>
            </w:pPr>
            <w:r w:rsidRPr="00706E38">
              <w:rPr>
                <w:rFonts w:cs="Arial"/>
                <w:b/>
                <w:bCs/>
                <w:szCs w:val="22"/>
                <w:lang w:eastAsia="en-GB"/>
              </w:rPr>
              <w:t>(d) Transport and Communication</w:t>
            </w:r>
          </w:p>
        </w:tc>
        <w:tc>
          <w:tcPr>
            <w:tcW w:w="0" w:type="auto"/>
            <w:shd w:val="clear" w:color="auto" w:fill="auto"/>
            <w:vAlign w:val="center"/>
          </w:tcPr>
          <w:p w:rsidR="00293E98" w:rsidRPr="00706E38" w:rsidRDefault="00293E98" w:rsidP="00124467">
            <w:pPr>
              <w:spacing w:line="240" w:lineRule="auto"/>
              <w:jc w:val="left"/>
              <w:rPr>
                <w:rFonts w:cs="Arial"/>
                <w:bCs/>
                <w:szCs w:val="22"/>
                <w:lang w:eastAsia="en-GB"/>
              </w:rPr>
            </w:pPr>
            <w:r w:rsidRPr="00706E38">
              <w:rPr>
                <w:rFonts w:cs="Arial"/>
                <w:bCs/>
                <w:szCs w:val="22"/>
                <w:lang w:eastAsia="en-GB"/>
              </w:rPr>
              <w:t>Post Office</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Broadband</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Public transport</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before="0"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before="0" w:line="240" w:lineRule="auto"/>
              <w:jc w:val="left"/>
              <w:rPr>
                <w:rFonts w:cs="Arial"/>
                <w:b/>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szCs w:val="22"/>
                <w:lang w:eastAsia="en-GB"/>
              </w:rPr>
            </w:pPr>
            <w:r w:rsidRPr="00706E38">
              <w:rPr>
                <w:rFonts w:cs="Arial"/>
                <w:szCs w:val="22"/>
                <w:lang w:eastAsia="en-GB"/>
              </w:rPr>
              <w:t>Car availabil</w:t>
            </w:r>
            <w:r w:rsidR="00F34C48" w:rsidRPr="00706E38">
              <w:rPr>
                <w:rFonts w:cs="Arial"/>
                <w:szCs w:val="22"/>
                <w:lang w:eastAsia="en-GB"/>
              </w:rPr>
              <w:t>i</w:t>
            </w:r>
            <w:r w:rsidRPr="00706E38">
              <w:rPr>
                <w:rFonts w:cs="Arial"/>
                <w:szCs w:val="22"/>
                <w:lang w:eastAsia="en-GB"/>
              </w:rPr>
              <w:t>ty</w:t>
            </w:r>
          </w:p>
        </w:tc>
      </w:tr>
      <w:tr w:rsidR="00706E38" w:rsidRPr="00706E38" w:rsidTr="00124467">
        <w:trPr>
          <w:trHeight w:val="20"/>
        </w:trPr>
        <w:tc>
          <w:tcPr>
            <w:tcW w:w="0" w:type="auto"/>
            <w:vMerge w:val="restart"/>
            <w:shd w:val="clear" w:color="auto" w:fill="auto"/>
            <w:vAlign w:val="center"/>
          </w:tcPr>
          <w:p w:rsidR="00293E98" w:rsidRPr="00706E38" w:rsidRDefault="00293E98" w:rsidP="00124467">
            <w:pPr>
              <w:jc w:val="left"/>
              <w:rPr>
                <w:b/>
              </w:rPr>
            </w:pPr>
            <w:r w:rsidRPr="00706E38">
              <w:rPr>
                <w:b/>
              </w:rPr>
              <w:t>3. SOCIAL ENVIRONMENT</w:t>
            </w:r>
          </w:p>
        </w:tc>
        <w:tc>
          <w:tcPr>
            <w:tcW w:w="0" w:type="auto"/>
            <w:shd w:val="clear" w:color="auto" w:fill="auto"/>
            <w:vAlign w:val="center"/>
          </w:tcPr>
          <w:p w:rsidR="00293E98" w:rsidRPr="00706E38" w:rsidRDefault="00293E98" w:rsidP="00124467">
            <w:pPr>
              <w:spacing w:line="240" w:lineRule="auto"/>
              <w:jc w:val="left"/>
              <w:rPr>
                <w:rFonts w:cs="Arial"/>
                <w:b/>
                <w:bCs/>
                <w:szCs w:val="22"/>
                <w:lang w:eastAsia="en-GB"/>
              </w:rPr>
            </w:pPr>
            <w:r w:rsidRPr="00706E38">
              <w:rPr>
                <w:rFonts w:cs="Arial"/>
                <w:b/>
                <w:bCs/>
                <w:szCs w:val="22"/>
                <w:lang w:eastAsia="en-GB"/>
              </w:rPr>
              <w:t>(a) Age</w:t>
            </w:r>
          </w:p>
        </w:tc>
        <w:tc>
          <w:tcPr>
            <w:tcW w:w="0" w:type="auto"/>
            <w:shd w:val="clear" w:color="auto" w:fill="auto"/>
            <w:vAlign w:val="center"/>
          </w:tcPr>
          <w:p w:rsidR="00293E98" w:rsidRPr="00706E38" w:rsidRDefault="00293E98" w:rsidP="00124467">
            <w:pPr>
              <w:jc w:val="left"/>
            </w:pPr>
            <w:r w:rsidRPr="00706E38">
              <w:t>Dependency rates</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line="240" w:lineRule="auto"/>
              <w:jc w:val="left"/>
              <w:rPr>
                <w:rFonts w:cs="Arial"/>
                <w:bCs/>
                <w:szCs w:val="22"/>
                <w:lang w:eastAsia="en-GB"/>
              </w:rPr>
            </w:pPr>
          </w:p>
        </w:tc>
        <w:tc>
          <w:tcPr>
            <w:tcW w:w="0" w:type="auto"/>
            <w:shd w:val="clear" w:color="auto" w:fill="auto"/>
            <w:vAlign w:val="center"/>
          </w:tcPr>
          <w:p w:rsidR="00293E98" w:rsidRPr="00706E38" w:rsidRDefault="00293E98" w:rsidP="00124467">
            <w:pPr>
              <w:spacing w:line="240" w:lineRule="auto"/>
              <w:jc w:val="left"/>
              <w:rPr>
                <w:rFonts w:cs="Arial"/>
                <w:b/>
                <w:bCs/>
                <w:szCs w:val="22"/>
                <w:lang w:eastAsia="en-GB"/>
              </w:rPr>
            </w:pPr>
            <w:r w:rsidRPr="00706E38">
              <w:rPr>
                <w:rFonts w:cs="Arial"/>
                <w:b/>
                <w:bCs/>
                <w:szCs w:val="22"/>
                <w:lang w:eastAsia="en-GB"/>
              </w:rPr>
              <w:t>(b) Ethnic composition</w:t>
            </w:r>
          </w:p>
        </w:tc>
        <w:tc>
          <w:tcPr>
            <w:tcW w:w="0" w:type="auto"/>
            <w:shd w:val="clear" w:color="auto" w:fill="auto"/>
            <w:vAlign w:val="center"/>
          </w:tcPr>
          <w:p w:rsidR="00293E98" w:rsidRPr="00706E38" w:rsidRDefault="00293E98" w:rsidP="00124467">
            <w:pPr>
              <w:spacing w:line="240" w:lineRule="auto"/>
              <w:jc w:val="left"/>
              <w:rPr>
                <w:rFonts w:cs="Arial"/>
                <w:bCs/>
                <w:szCs w:val="22"/>
                <w:lang w:eastAsia="en-GB"/>
              </w:rPr>
            </w:pPr>
            <w:r w:rsidRPr="00706E38">
              <w:rPr>
                <w:rFonts w:cs="Arial"/>
                <w:bCs/>
                <w:szCs w:val="22"/>
                <w:lang w:eastAsia="en-GB"/>
              </w:rPr>
              <w:t>Proportion from minorities</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line="240" w:lineRule="auto"/>
              <w:jc w:val="left"/>
              <w:rPr>
                <w:rFonts w:cs="Arial"/>
                <w:bCs/>
                <w:szCs w:val="22"/>
                <w:lang w:eastAsia="en-GB"/>
              </w:rPr>
            </w:pPr>
          </w:p>
        </w:tc>
        <w:tc>
          <w:tcPr>
            <w:tcW w:w="0" w:type="auto"/>
            <w:shd w:val="clear" w:color="auto" w:fill="auto"/>
            <w:vAlign w:val="center"/>
          </w:tcPr>
          <w:p w:rsidR="00293E98" w:rsidRPr="00706E38" w:rsidRDefault="00293E98" w:rsidP="00124467">
            <w:pPr>
              <w:spacing w:line="240" w:lineRule="auto"/>
              <w:jc w:val="left"/>
              <w:rPr>
                <w:rFonts w:cs="Arial"/>
                <w:b/>
                <w:bCs/>
                <w:szCs w:val="22"/>
                <w:lang w:eastAsia="en-GB"/>
              </w:rPr>
            </w:pPr>
            <w:r w:rsidRPr="00706E38">
              <w:rPr>
                <w:rFonts w:cs="Arial"/>
                <w:b/>
                <w:bCs/>
                <w:szCs w:val="22"/>
                <w:lang w:eastAsia="en-GB"/>
              </w:rPr>
              <w:t>(c) Migrants</w:t>
            </w:r>
          </w:p>
        </w:tc>
        <w:tc>
          <w:tcPr>
            <w:tcW w:w="0" w:type="auto"/>
            <w:shd w:val="clear" w:color="auto" w:fill="auto"/>
            <w:vAlign w:val="center"/>
          </w:tcPr>
          <w:p w:rsidR="00293E98" w:rsidRPr="00706E38" w:rsidRDefault="00293E98" w:rsidP="00124467">
            <w:pPr>
              <w:spacing w:line="240" w:lineRule="auto"/>
              <w:jc w:val="left"/>
              <w:rPr>
                <w:rFonts w:cs="Arial"/>
                <w:bCs/>
                <w:szCs w:val="22"/>
                <w:lang w:eastAsia="en-GB"/>
              </w:rPr>
            </w:pPr>
            <w:r w:rsidRPr="00706E38">
              <w:rPr>
                <w:rFonts w:cs="Arial"/>
                <w:bCs/>
                <w:szCs w:val="22"/>
                <w:lang w:eastAsia="en-GB"/>
              </w:rPr>
              <w:t>Migrants as share of population</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line="240" w:lineRule="auto"/>
              <w:jc w:val="left"/>
              <w:rPr>
                <w:rFonts w:cs="Arial"/>
                <w:bCs/>
                <w:szCs w:val="22"/>
                <w:lang w:eastAsia="en-GB"/>
              </w:rPr>
            </w:pPr>
          </w:p>
        </w:tc>
        <w:tc>
          <w:tcPr>
            <w:tcW w:w="0" w:type="auto"/>
            <w:shd w:val="clear" w:color="auto" w:fill="auto"/>
            <w:vAlign w:val="center"/>
          </w:tcPr>
          <w:p w:rsidR="00293E98" w:rsidRPr="00706E38" w:rsidRDefault="00293E98" w:rsidP="00124467">
            <w:pPr>
              <w:spacing w:line="240" w:lineRule="auto"/>
              <w:jc w:val="left"/>
              <w:rPr>
                <w:rFonts w:cs="Arial"/>
                <w:b/>
                <w:bCs/>
                <w:szCs w:val="22"/>
                <w:lang w:eastAsia="en-GB"/>
              </w:rPr>
            </w:pPr>
            <w:r w:rsidRPr="00706E38">
              <w:rPr>
                <w:rFonts w:cs="Arial"/>
                <w:b/>
                <w:bCs/>
                <w:szCs w:val="22"/>
                <w:lang w:eastAsia="en-GB"/>
              </w:rPr>
              <w:t>(d) Crime and safety</w:t>
            </w:r>
          </w:p>
        </w:tc>
        <w:tc>
          <w:tcPr>
            <w:tcW w:w="0" w:type="auto"/>
            <w:shd w:val="clear" w:color="auto" w:fill="auto"/>
            <w:vAlign w:val="center"/>
          </w:tcPr>
          <w:p w:rsidR="00293E98" w:rsidRPr="00706E38" w:rsidRDefault="00293E98" w:rsidP="00124467">
            <w:pPr>
              <w:spacing w:line="240" w:lineRule="auto"/>
              <w:jc w:val="left"/>
              <w:rPr>
                <w:rFonts w:cs="Arial"/>
                <w:bCs/>
                <w:szCs w:val="22"/>
                <w:lang w:eastAsia="en-GB"/>
              </w:rPr>
            </w:pPr>
            <w:r w:rsidRPr="00706E38">
              <w:rPr>
                <w:rFonts w:cs="Arial"/>
                <w:bCs/>
                <w:szCs w:val="22"/>
                <w:lang w:eastAsia="en-GB"/>
              </w:rPr>
              <w:t>Crime rates</w:t>
            </w:r>
          </w:p>
        </w:tc>
      </w:tr>
      <w:tr w:rsidR="00706E38" w:rsidRPr="00706E38" w:rsidTr="00124467">
        <w:trPr>
          <w:trHeight w:val="20"/>
        </w:trPr>
        <w:tc>
          <w:tcPr>
            <w:tcW w:w="0" w:type="auto"/>
            <w:vMerge w:val="restart"/>
            <w:shd w:val="clear" w:color="auto" w:fill="auto"/>
            <w:vAlign w:val="center"/>
          </w:tcPr>
          <w:p w:rsidR="00293E98" w:rsidRPr="00706E38" w:rsidRDefault="00293E98" w:rsidP="00124467">
            <w:pPr>
              <w:jc w:val="left"/>
              <w:rPr>
                <w:b/>
              </w:rPr>
            </w:pPr>
            <w:r w:rsidRPr="00706E38">
              <w:rPr>
                <w:b/>
              </w:rPr>
              <w:t>4. POLITICAL PARTICIPATION</w:t>
            </w:r>
          </w:p>
        </w:tc>
        <w:tc>
          <w:tcPr>
            <w:tcW w:w="0" w:type="auto"/>
            <w:vMerge w:val="restart"/>
            <w:shd w:val="clear" w:color="auto" w:fill="auto"/>
            <w:vAlign w:val="center"/>
          </w:tcPr>
          <w:p w:rsidR="00293E98" w:rsidRPr="00706E38" w:rsidRDefault="00293E98" w:rsidP="00124467">
            <w:pPr>
              <w:jc w:val="left"/>
              <w:rPr>
                <w:b/>
              </w:rPr>
            </w:pPr>
            <w:r w:rsidRPr="00706E38">
              <w:rPr>
                <w:b/>
              </w:rPr>
              <w:t>(a) Citizenship</w:t>
            </w:r>
          </w:p>
        </w:tc>
        <w:tc>
          <w:tcPr>
            <w:tcW w:w="0" w:type="auto"/>
            <w:shd w:val="clear" w:color="auto" w:fill="auto"/>
            <w:vAlign w:val="center"/>
          </w:tcPr>
          <w:p w:rsidR="00293E98" w:rsidRPr="00706E38" w:rsidRDefault="00293E98" w:rsidP="00124467">
            <w:pPr>
              <w:spacing w:line="240" w:lineRule="auto"/>
              <w:jc w:val="left"/>
              <w:rPr>
                <w:rFonts w:cs="Arial"/>
                <w:szCs w:val="22"/>
                <w:lang w:eastAsia="en-GB"/>
              </w:rPr>
            </w:pPr>
            <w:r w:rsidRPr="00706E38">
              <w:rPr>
                <w:rFonts w:cs="Arial"/>
                <w:szCs w:val="22"/>
                <w:lang w:eastAsia="en-GB"/>
              </w:rPr>
              <w:t>Voters</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line="240" w:lineRule="auto"/>
              <w:jc w:val="left"/>
              <w:rPr>
                <w:rFonts w:cs="Arial"/>
                <w:szCs w:val="22"/>
                <w:lang w:eastAsia="en-GB"/>
              </w:rPr>
            </w:pPr>
          </w:p>
        </w:tc>
        <w:tc>
          <w:tcPr>
            <w:tcW w:w="0" w:type="auto"/>
            <w:shd w:val="clear" w:color="auto" w:fill="auto"/>
            <w:vAlign w:val="center"/>
          </w:tcPr>
          <w:p w:rsidR="00293E98" w:rsidRPr="00706E38" w:rsidRDefault="00293E98" w:rsidP="00124467">
            <w:pPr>
              <w:spacing w:line="240" w:lineRule="auto"/>
              <w:jc w:val="left"/>
              <w:rPr>
                <w:rFonts w:cs="Arial"/>
                <w:szCs w:val="22"/>
                <w:lang w:eastAsia="en-GB"/>
              </w:rPr>
            </w:pPr>
            <w:r w:rsidRPr="00706E38">
              <w:rPr>
                <w:rFonts w:cs="Arial"/>
                <w:szCs w:val="22"/>
                <w:lang w:eastAsia="en-GB"/>
              </w:rPr>
              <w:t>Civic engagement</w:t>
            </w:r>
          </w:p>
        </w:tc>
      </w:tr>
      <w:tr w:rsidR="00706E38" w:rsidRPr="00706E38" w:rsidTr="00124467">
        <w:trPr>
          <w:trHeight w:val="20"/>
        </w:trPr>
        <w:tc>
          <w:tcPr>
            <w:tcW w:w="0" w:type="auto"/>
            <w:vMerge/>
            <w:shd w:val="clear" w:color="auto" w:fill="auto"/>
            <w:vAlign w:val="center"/>
          </w:tcPr>
          <w:p w:rsidR="00293E98" w:rsidRPr="00706E38" w:rsidRDefault="00293E98" w:rsidP="00124467">
            <w:pPr>
              <w:spacing w:line="240" w:lineRule="auto"/>
              <w:jc w:val="left"/>
              <w:rPr>
                <w:rFonts w:cs="Arial"/>
                <w:szCs w:val="22"/>
                <w:lang w:eastAsia="en-GB"/>
              </w:rPr>
            </w:pPr>
          </w:p>
        </w:tc>
        <w:tc>
          <w:tcPr>
            <w:tcW w:w="0" w:type="auto"/>
            <w:vMerge/>
            <w:shd w:val="clear" w:color="auto" w:fill="auto"/>
            <w:vAlign w:val="center"/>
          </w:tcPr>
          <w:p w:rsidR="00293E98" w:rsidRPr="00706E38" w:rsidRDefault="00293E98" w:rsidP="00124467">
            <w:pPr>
              <w:spacing w:line="240" w:lineRule="auto"/>
              <w:jc w:val="left"/>
              <w:rPr>
                <w:rFonts w:cs="Arial"/>
                <w:szCs w:val="22"/>
                <w:lang w:eastAsia="en-GB"/>
              </w:rPr>
            </w:pPr>
          </w:p>
        </w:tc>
        <w:tc>
          <w:tcPr>
            <w:tcW w:w="0" w:type="auto"/>
            <w:shd w:val="clear" w:color="auto" w:fill="auto"/>
            <w:vAlign w:val="center"/>
          </w:tcPr>
          <w:p w:rsidR="00293E98" w:rsidRPr="00706E38" w:rsidRDefault="00293E98" w:rsidP="00124467">
            <w:pPr>
              <w:spacing w:before="0" w:line="240" w:lineRule="auto"/>
              <w:jc w:val="left"/>
              <w:rPr>
                <w:rFonts w:cs="Arial"/>
                <w:bCs/>
                <w:szCs w:val="22"/>
                <w:lang w:eastAsia="en-GB"/>
              </w:rPr>
            </w:pPr>
            <w:r w:rsidRPr="00706E38">
              <w:rPr>
                <w:rFonts w:cs="Arial"/>
                <w:bCs/>
                <w:szCs w:val="22"/>
                <w:lang w:eastAsia="en-GB"/>
              </w:rPr>
              <w:t>Membership of NGOs</w:t>
            </w:r>
          </w:p>
        </w:tc>
      </w:tr>
    </w:tbl>
    <w:p w:rsidR="00293E98" w:rsidRPr="00706E38" w:rsidRDefault="00293E98" w:rsidP="00293E98">
      <w:pPr>
        <w:rPr>
          <w:rFonts w:eastAsia="Calibri"/>
          <w:lang w:eastAsia="en-GB"/>
        </w:rPr>
      </w:pPr>
    </w:p>
    <w:p w:rsidR="00293E98" w:rsidRPr="00706E38" w:rsidRDefault="00293E98" w:rsidP="00293E98">
      <w:pPr>
        <w:pStyle w:val="Heading2"/>
        <w:rPr>
          <w:rFonts w:eastAsia="Calibri"/>
          <w:lang w:eastAsia="en-GB"/>
        </w:rPr>
      </w:pPr>
      <w:bookmarkStart w:id="39" w:name="_Toc410375325"/>
      <w:r w:rsidRPr="00706E38">
        <w:rPr>
          <w:rFonts w:eastAsia="Calibri"/>
          <w:lang w:eastAsia="en-GB"/>
        </w:rPr>
        <w:t>National attempts to monitor and map social exclusion</w:t>
      </w:r>
      <w:bookmarkEnd w:id="39"/>
    </w:p>
    <w:p w:rsidR="00293E98" w:rsidRPr="00706E38" w:rsidRDefault="00293E98" w:rsidP="00293E98">
      <w:pPr>
        <w:rPr>
          <w:rFonts w:eastAsia="Calibri"/>
          <w:szCs w:val="22"/>
          <w:lang w:eastAsia="en-GB"/>
        </w:rPr>
      </w:pPr>
      <w:r w:rsidRPr="00706E38">
        <w:rPr>
          <w:rFonts w:eastAsia="Calibri"/>
          <w:szCs w:val="22"/>
          <w:lang w:eastAsia="en-GB"/>
        </w:rPr>
        <w:t xml:space="preserve">The macro-region review </w:t>
      </w:r>
      <w:r w:rsidR="00D502C8" w:rsidRPr="00706E38">
        <w:rPr>
          <w:rFonts w:eastAsia="Calibri"/>
          <w:szCs w:val="22"/>
          <w:lang w:eastAsia="en-GB"/>
        </w:rPr>
        <w:t xml:space="preserve">chapters in </w:t>
      </w:r>
      <w:r w:rsidR="00471C90" w:rsidRPr="00706E38">
        <w:rPr>
          <w:rFonts w:eastAsia="Calibri"/>
          <w:szCs w:val="22"/>
          <w:lang w:eastAsia="en-GB"/>
        </w:rPr>
        <w:t>Annex</w:t>
      </w:r>
      <w:r w:rsidR="00D502C8" w:rsidRPr="00706E38">
        <w:rPr>
          <w:rFonts w:eastAsia="Calibri"/>
          <w:szCs w:val="22"/>
          <w:lang w:eastAsia="en-GB"/>
        </w:rPr>
        <w:t xml:space="preserve"> </w:t>
      </w:r>
      <w:r w:rsidRPr="00706E38">
        <w:rPr>
          <w:rFonts w:eastAsia="Calibri"/>
          <w:szCs w:val="22"/>
          <w:lang w:eastAsia="en-GB"/>
        </w:rPr>
        <w:t>8 provide a rich source of information on how measuring and mapping of social exclusion is handled by the NSIs and by relevant government departments within ESPON countries.</w:t>
      </w:r>
    </w:p>
    <w:p w:rsidR="00293E98" w:rsidRPr="00706E38" w:rsidRDefault="00293E98" w:rsidP="00293E98">
      <w:r w:rsidRPr="00706E38">
        <w:t>As might be expected, - given that the concept originated in the French literature, -France has a national observatory on poverty and social exclusion (ONPES), tasked with monitoring poverty and social exclusion. The work of ONPES has recently been supplemented by the Freyssinet Working Group – which is developing regional (mostly NUTS 2) social exclusion indicators.</w:t>
      </w:r>
    </w:p>
    <w:p w:rsidR="00A72EC9" w:rsidRPr="00706E38" w:rsidRDefault="00A72EC9" w:rsidP="00293E98">
      <w:r w:rsidRPr="00706E38">
        <w:t xml:space="preserve">In the Netherlands register data is combined with a number of sample surveys as the basis for regular reports entitled “The social state of the Netherlands”. The Netherlands Institute for Social Research operationalises “social exclusion” as a combination of material deprivation, insufficient access to basic social rights (access </w:t>
      </w:r>
      <w:r w:rsidRPr="00706E38">
        <w:lastRenderedPageBreak/>
        <w:t xml:space="preserve">to institutions and provisions and access to adequate housing and safe environment), inadequate social participation and inadequate normative integration. </w:t>
      </w:r>
    </w:p>
    <w:p w:rsidR="00293E98" w:rsidRPr="00706E38" w:rsidRDefault="00293E98" w:rsidP="00293E98">
      <w:r w:rsidRPr="00706E38">
        <w:t>The UK and Ireland constitute the “</w:t>
      </w:r>
      <w:r w:rsidR="00A043A1" w:rsidRPr="00706E38">
        <w:t>Individual</w:t>
      </w:r>
      <w:r w:rsidRPr="00706E38">
        <w:t>” group in the classification of welfare regimes, and here the narrower notion of income poverty, tied closely to employment, and placing some emphasis upon material deprivation, is preferred to the concept of social exclusion. The</w:t>
      </w:r>
      <w:r w:rsidR="00A043A1" w:rsidRPr="00706E38">
        <w:t xml:space="preserve">se MS also </w:t>
      </w:r>
      <w:r w:rsidRPr="00706E38">
        <w:t>have a relatively long history of working with regional/local indicators of poverty and disadvantage. There is a very substantial academic literature, notably centred around attempts to operationalise the concept of “multiple deprivation”. Multiple deprivation is not the same as social exclusion</w:t>
      </w:r>
      <w:r w:rsidRPr="00706E38">
        <w:rPr>
          <w:rStyle w:val="FootnoteReference"/>
        </w:rPr>
        <w:footnoteReference w:id="6"/>
      </w:r>
      <w:r w:rsidRPr="00706E38">
        <w:t xml:space="preserve"> – although it shares with exclusion the breadth involvement across different aspects of life, it has at its heart the notion of resource scarcity which is closer to income poverty. Multiple deprivation goes beyond using ownership of consumer goods as an indicator of poverty, and includes less tangible aspects of “wellbeing”. </w:t>
      </w:r>
    </w:p>
    <w:p w:rsidR="00293E98" w:rsidRPr="00706E38" w:rsidRDefault="00293E98" w:rsidP="00293E98">
      <w:r w:rsidRPr="00706E38">
        <w:t xml:space="preserve">The </w:t>
      </w:r>
      <w:r w:rsidR="00A043A1" w:rsidRPr="00706E38">
        <w:t>UK multiple deprivation indices</w:t>
      </w:r>
      <w:r w:rsidRPr="00706E38">
        <w:t xml:space="preserve"> are generated for very small areas. They utilize a range of raw data, mainly from the population census, and from government administrative databases. The overall index is built up from a series of “domains”, such as income, employment, health and disability, education skills and training, housing and services, living environment, and crime. These vary slightly between the four countries of the UK. In all the variants domains are combined to form a single weighted average index of disadvantage for each small area. The</w:t>
      </w:r>
      <w:r w:rsidR="00A043A1" w:rsidRPr="00706E38">
        <w:t>se indices</w:t>
      </w:r>
      <w:r w:rsidRPr="00706E38">
        <w:t xml:space="preserve"> are quite widely used to support bids for spatially targeted policy expenditure.</w:t>
      </w:r>
    </w:p>
    <w:p w:rsidR="00293E98" w:rsidRPr="00706E38" w:rsidRDefault="00293E98" w:rsidP="00A043A1">
      <w:r w:rsidRPr="00706E38">
        <w:t xml:space="preserve">In the Nordic countries the ethos of the Welfare State predates the concept of social exclusion. There is a sense in which the pre-existence of the Nordic Welfare State, which places a strong emphasis upon equality of opportunity and access to resources by all societal groups (by gender, age, ethnicity, location etc) renders an explicit focus upon social exclusion redundant. This probably explains the absence of any specific attempts to separately monitor social exclusion </w:t>
      </w:r>
      <w:r w:rsidRPr="00706E38">
        <w:rPr>
          <w:i/>
        </w:rPr>
        <w:t>per se</w:t>
      </w:r>
      <w:r w:rsidRPr="00706E38">
        <w:t xml:space="preserve">. Nevertheless the underlying principle of inclusion is very much woven into the policy fabric of these countries. </w:t>
      </w:r>
    </w:p>
    <w:p w:rsidR="00293E98" w:rsidRPr="00706E38" w:rsidRDefault="00293E98" w:rsidP="00293E98">
      <w:r w:rsidRPr="00706E38">
        <w:t>There are, however some differences in emphasis between the Nordic countries, Denmark, for instance paying particular attention to housing and household structures, and Norway and Iceland to the “earning a living” domain. Sweden covers employment, income, education and health, but not housing. In Finland many indicators are used for monitoring; they relate to three of the four TiPSE social exclusion domains (political participation is not addressed).</w:t>
      </w:r>
    </w:p>
    <w:p w:rsidR="00293E98" w:rsidRPr="00706E38" w:rsidRDefault="00293E98" w:rsidP="00293E98">
      <w:pPr>
        <w:rPr>
          <w:rFonts w:eastAsia="Calibri"/>
          <w:szCs w:val="22"/>
          <w:lang w:eastAsia="en-GB"/>
        </w:rPr>
      </w:pPr>
      <w:r w:rsidRPr="00706E38">
        <w:rPr>
          <w:rFonts w:eastAsia="Calibri"/>
          <w:szCs w:val="22"/>
          <w:lang w:eastAsia="en-GB"/>
        </w:rPr>
        <w:lastRenderedPageBreak/>
        <w:t>In the Baltic States the focus upon social exclusion was introduced as part of the accession process. Particularly important issues are labour market inclusion (to combat long term unemployment), more inclusive policies relating to ethnic minorities, especially in education, and (in the context of combating demographic decline) enhanced maternity leave rights. Interestingly, attempts to stimulate more involvement of the second and third sectors in health care could be regarded as initiatives to support the fourth domain (political participation).</w:t>
      </w:r>
    </w:p>
    <w:p w:rsidR="00293E98" w:rsidRPr="00706E38" w:rsidRDefault="00293E98" w:rsidP="00293E98">
      <w:pPr>
        <w:rPr>
          <w:rFonts w:eastAsia="Calibri"/>
          <w:szCs w:val="22"/>
          <w:lang w:eastAsia="en-GB"/>
        </w:rPr>
      </w:pPr>
      <w:r w:rsidRPr="00706E38">
        <w:rPr>
          <w:rFonts w:eastAsia="Calibri"/>
          <w:szCs w:val="22"/>
          <w:lang w:eastAsia="en-GB"/>
        </w:rPr>
        <w:t xml:space="preserve">In the Mediterranean countries the concept of social exclusion has been adopted in the context of high level policy documents (such as the National Action Plans). Here social exclusion indicators are dominated by those relating to the “earning a living” domain. There are some indicators relating to “access to services” and the “social environment”, but none relating to “political participation”. However there seems to be a tendency to fall back on macro-economic indicators which have an at best indirect link with social exclusion. National initiatives to measure social exclusion </w:t>
      </w:r>
      <w:r w:rsidR="00A043A1" w:rsidRPr="00706E38">
        <w:rPr>
          <w:rFonts w:eastAsia="Calibri"/>
          <w:szCs w:val="22"/>
          <w:lang w:eastAsia="en-GB"/>
        </w:rPr>
        <w:t>are</w:t>
      </w:r>
      <w:r w:rsidRPr="00706E38">
        <w:rPr>
          <w:rFonts w:eastAsia="Calibri"/>
          <w:szCs w:val="22"/>
          <w:lang w:eastAsia="en-GB"/>
        </w:rPr>
        <w:t xml:space="preserve"> not very evident. In the Mediterranean context the traditional role of familial support has perhaps slowed the full adoption of social exclusion as a policy principle. Recent austerity programmes have simultaneously reduced the capacity of this informal “safety net” and at the same time undermined the ability of the state to fill the gap.</w:t>
      </w:r>
    </w:p>
    <w:p w:rsidR="00293E98" w:rsidRPr="00706E38" w:rsidRDefault="00293E98" w:rsidP="00293E98">
      <w:pPr>
        <w:rPr>
          <w:rFonts w:eastAsia="Calibri"/>
          <w:szCs w:val="22"/>
          <w:lang w:eastAsia="en-GB"/>
        </w:rPr>
      </w:pPr>
      <w:r w:rsidRPr="00706E38">
        <w:rPr>
          <w:rFonts w:eastAsia="Calibri"/>
          <w:szCs w:val="22"/>
          <w:lang w:eastAsia="en-GB"/>
        </w:rPr>
        <w:t>A number of academic analyses of social exclusion, originating in the Mediterranean countries, have adopted the concepts, and attempted to measure and map across the domains, in a way which seems independent and disconnected from the policy discourse. These studies are valuable examples of practical implementation of the use of various data sources to measure social exclusion, but it is striking to note that there seems to have been little or no “buy in” by national governments, like that (for example) in France, Netherlands or UK.</w:t>
      </w:r>
    </w:p>
    <w:p w:rsidR="00293E98" w:rsidRPr="00706E38" w:rsidRDefault="00124467" w:rsidP="00293E98">
      <w:pPr>
        <w:rPr>
          <w:rFonts w:eastAsia="Calibri"/>
          <w:szCs w:val="22"/>
          <w:lang w:eastAsia="en-GB"/>
        </w:rPr>
      </w:pPr>
      <w:r w:rsidRPr="00706E38">
        <w:rPr>
          <w:rFonts w:eastAsia="Calibri"/>
          <w:szCs w:val="22"/>
          <w:lang w:eastAsia="en-GB"/>
        </w:rPr>
        <w:t>In the post-</w:t>
      </w:r>
      <w:r w:rsidR="00293E98" w:rsidRPr="00706E38">
        <w:rPr>
          <w:rFonts w:eastAsia="Calibri"/>
          <w:szCs w:val="22"/>
          <w:lang w:eastAsia="en-GB"/>
        </w:rPr>
        <w:t>socialist countries of East-Central macro region social exclusion (as a concept) and the development of indicators has an interesting and unique history. In their socialist past poverty was usually associated with stages in the life cycle, rather than social groups or different geographical contexts. It was defined in narrow income/material terms. Economic transition, and accession to the EU brought with it both increasing inequality and the broader concept of social exclusion. In this context the term “social exclusion” became associated with the various manifestations of increasing (income/material) inequality. So here too, but for different reasons, the concept and usage of social exclusion became weighted towards the first (earning a living) domain.</w:t>
      </w:r>
    </w:p>
    <w:p w:rsidR="00293E98" w:rsidRPr="00706E38" w:rsidRDefault="00293E98" w:rsidP="00293E98">
      <w:pPr>
        <w:rPr>
          <w:rFonts w:eastAsia="Calibri"/>
          <w:szCs w:val="22"/>
          <w:lang w:eastAsia="en-GB"/>
        </w:rPr>
      </w:pPr>
      <w:r w:rsidRPr="00706E38">
        <w:rPr>
          <w:rFonts w:eastAsia="Calibri"/>
          <w:szCs w:val="22"/>
          <w:lang w:eastAsia="en-GB"/>
        </w:rPr>
        <w:t xml:space="preserve">The Hungarian Most Disadvantaged Micro-Regions (MDM) programme of 2007 provides an interesting example with many echoes of the UK Indices of Multiple Deprivation. This is a programme targeted at LAU 1 areas which has evolved from the early 1990s, when it was very much focused upon the “earning a living domain”. The 2007 analysis incorporated more than thirty indicators, organised within five “domains” relating to economic development, infrastructure, demography and </w:t>
      </w:r>
      <w:r w:rsidRPr="00706E38">
        <w:rPr>
          <w:rFonts w:eastAsia="Calibri"/>
          <w:szCs w:val="22"/>
          <w:lang w:eastAsia="en-GB"/>
        </w:rPr>
        <w:lastRenderedPageBreak/>
        <w:t>housing, social environment, and employment. A synthetic index was generated using a ranking system. This led to the designation of 47 local areas as “most disadvantaged”, and 94 as “disadvantaged”. These areas were allocated support for “neo-endogenous” development programmes. Clearly the focus of this exercise was broader than “social exclusion” – equating more closely to the UK concept of deprivation. However it is still a very interesting example of the way in which policy targeting can be guided by a (micro)regional statistical analysis.</w:t>
      </w:r>
    </w:p>
    <w:p w:rsidR="00710EA0" w:rsidRPr="00706E38" w:rsidRDefault="00710EA0" w:rsidP="00710EA0">
      <w:pPr>
        <w:pStyle w:val="Heading2"/>
        <w:rPr>
          <w:rFonts w:eastAsia="Calibri"/>
          <w:lang w:eastAsia="en-GB"/>
        </w:rPr>
      </w:pPr>
      <w:bookmarkStart w:id="40" w:name="_Toc410375326"/>
      <w:r w:rsidRPr="00706E38">
        <w:rPr>
          <w:rFonts w:eastAsia="Calibri"/>
          <w:lang w:eastAsia="en-GB"/>
        </w:rPr>
        <w:t xml:space="preserve">Data Sources </w:t>
      </w:r>
      <w:r w:rsidR="008D5EBF" w:rsidRPr="00706E38">
        <w:rPr>
          <w:rFonts w:eastAsia="Calibri"/>
          <w:lang w:eastAsia="en-GB"/>
        </w:rPr>
        <w:t>for European-wide m</w:t>
      </w:r>
      <w:r w:rsidR="00590C69" w:rsidRPr="00706E38">
        <w:rPr>
          <w:rFonts w:eastAsia="Calibri"/>
          <w:lang w:eastAsia="en-GB"/>
        </w:rPr>
        <w:t>apping</w:t>
      </w:r>
      <w:r w:rsidR="008D5EBF" w:rsidRPr="00706E38">
        <w:rPr>
          <w:rFonts w:eastAsia="Calibri"/>
          <w:lang w:eastAsia="en-GB"/>
        </w:rPr>
        <w:t xml:space="preserve"> of the risk of social e</w:t>
      </w:r>
      <w:r w:rsidR="00F622B7" w:rsidRPr="00706E38">
        <w:rPr>
          <w:rFonts w:eastAsia="Calibri"/>
          <w:lang w:eastAsia="en-GB"/>
        </w:rPr>
        <w:t>xclusion</w:t>
      </w:r>
      <w:bookmarkEnd w:id="40"/>
    </w:p>
    <w:p w:rsidR="00F622B7" w:rsidRPr="00706E38" w:rsidRDefault="00F622B7" w:rsidP="00F622B7">
      <w:pPr>
        <w:rPr>
          <w:rFonts w:eastAsia="Calibri"/>
          <w:szCs w:val="22"/>
          <w:lang w:eastAsia="en-GB"/>
        </w:rPr>
      </w:pPr>
      <w:r w:rsidRPr="00706E38">
        <w:rPr>
          <w:rFonts w:eastAsia="Calibri"/>
          <w:szCs w:val="22"/>
          <w:lang w:eastAsia="en-GB"/>
        </w:rPr>
        <w:t xml:space="preserve">The inclusion of the word “risk” in the above heading is very deliberate. It is worth emphasising </w:t>
      </w:r>
      <w:r w:rsidR="008D5EBF" w:rsidRPr="00706E38">
        <w:rPr>
          <w:rFonts w:eastAsia="Calibri"/>
          <w:szCs w:val="22"/>
          <w:lang w:eastAsia="en-GB"/>
        </w:rPr>
        <w:t xml:space="preserve">at this point that </w:t>
      </w:r>
      <w:r w:rsidRPr="00706E38">
        <w:rPr>
          <w:rFonts w:eastAsia="Calibri"/>
          <w:szCs w:val="22"/>
          <w:lang w:eastAsia="en-GB"/>
        </w:rPr>
        <w:t>that all the indicators are proxies, and that the maps should not be viewed as showing rates of exclusion, but patterns of</w:t>
      </w:r>
      <w:r w:rsidRPr="00706E38">
        <w:rPr>
          <w:rFonts w:eastAsia="Calibri"/>
          <w:b/>
          <w:szCs w:val="22"/>
          <w:lang w:eastAsia="en-GB"/>
        </w:rPr>
        <w:t xml:space="preserve"> </w:t>
      </w:r>
      <w:r w:rsidRPr="00706E38">
        <w:rPr>
          <w:rFonts w:eastAsia="Calibri"/>
          <w:szCs w:val="22"/>
          <w:lang w:eastAsia="en-GB"/>
        </w:rPr>
        <w:t>the variation in</w:t>
      </w:r>
      <w:r w:rsidRPr="00706E38">
        <w:rPr>
          <w:rFonts w:eastAsia="Calibri"/>
          <w:b/>
          <w:szCs w:val="22"/>
          <w:lang w:eastAsia="en-GB"/>
        </w:rPr>
        <w:t xml:space="preserve"> the risk of exclusion</w:t>
      </w:r>
      <w:r w:rsidRPr="00706E38">
        <w:rPr>
          <w:rFonts w:eastAsia="Calibri"/>
          <w:szCs w:val="22"/>
          <w:lang w:eastAsia="en-GB"/>
        </w:rPr>
        <w:t>.</w:t>
      </w:r>
    </w:p>
    <w:p w:rsidR="00590C69" w:rsidRPr="00706E38" w:rsidRDefault="00590C69" w:rsidP="00590C69">
      <w:pPr>
        <w:rPr>
          <w:rFonts w:eastAsia="Calibri"/>
          <w:lang w:eastAsia="en-GB"/>
        </w:rPr>
      </w:pPr>
      <w:r w:rsidRPr="00706E38">
        <w:rPr>
          <w:rFonts w:eastAsia="Calibri"/>
          <w:lang w:eastAsia="en-GB"/>
        </w:rPr>
        <w:t xml:space="preserve">Having established the broad structure of social exclusion, in terms of domains and dimensions, the project team considered available data sources. </w:t>
      </w:r>
    </w:p>
    <w:p w:rsidR="000C7FB7" w:rsidRPr="00706E38" w:rsidRDefault="000C7FB7" w:rsidP="00E438A5">
      <w:pPr>
        <w:rPr>
          <w:rFonts w:eastAsia="Calibri"/>
          <w:lang w:eastAsia="en-GB"/>
        </w:rPr>
      </w:pPr>
      <w:r w:rsidRPr="00706E38">
        <w:rPr>
          <w:rFonts w:eastAsia="Calibri"/>
          <w:lang w:eastAsia="en-GB"/>
        </w:rPr>
        <w:t xml:space="preserve">We have already noted that the EU policy discourse relating to social exclusion has tended to be excessively focused upon the first domain, especially the “earning a living” dimension. It is possible that this is at least in part a consequence of the relative abundance of indicators derived from the Labour Force Survey (LFS). Apart from the </w:t>
      </w:r>
      <w:r w:rsidR="007E074F" w:rsidRPr="00706E38">
        <w:rPr>
          <w:rFonts w:eastAsia="Calibri"/>
          <w:lang w:eastAsia="en-GB"/>
        </w:rPr>
        <w:t>ambition to “rebalance” our analysis away from “earning a living” the LFS has the major shortcoming that it is a sample survey designed to be representative only</w:t>
      </w:r>
      <w:r w:rsidR="00AA34B0" w:rsidRPr="00706E38">
        <w:rPr>
          <w:rFonts w:eastAsia="Calibri"/>
          <w:lang w:eastAsia="en-GB"/>
        </w:rPr>
        <w:t xml:space="preserve"> at NUTS 2 (or above). As a consequence only a few relevant variables are available at NUTS 3 from the Eurostat Regio database. These were reviewed in Section 4 of the TiPSE Interim Report.</w:t>
      </w:r>
    </w:p>
    <w:p w:rsidR="008E0D1A" w:rsidRPr="00706E38" w:rsidRDefault="00D33F73" w:rsidP="00E438A5">
      <w:pPr>
        <w:rPr>
          <w:rFonts w:eastAsia="Calibri"/>
          <w:lang w:eastAsia="en-GB"/>
        </w:rPr>
      </w:pPr>
      <w:r w:rsidRPr="00706E38">
        <w:rPr>
          <w:rFonts w:eastAsia="Calibri"/>
          <w:lang w:eastAsia="en-GB"/>
        </w:rPr>
        <w:t>T</w:t>
      </w:r>
      <w:r w:rsidR="008E0D1A" w:rsidRPr="00706E38">
        <w:rPr>
          <w:rFonts w:eastAsia="Calibri"/>
          <w:lang w:eastAsia="en-GB"/>
        </w:rPr>
        <w:t xml:space="preserve">he relatively low level of regional detail available through the Eurostat database and the LFS prompted the TiPSE team to consider an </w:t>
      </w:r>
      <w:r w:rsidR="00415661" w:rsidRPr="00706E38">
        <w:rPr>
          <w:rFonts w:eastAsia="Calibri"/>
          <w:lang w:eastAsia="en-GB"/>
        </w:rPr>
        <w:t xml:space="preserve">alternative – the decennial population census. A few variables from 2001 are already incorporated in the Eurostat database, but several more which are of relevance to social exclusion have not previously been assembled </w:t>
      </w:r>
      <w:r w:rsidRPr="00706E38">
        <w:rPr>
          <w:rFonts w:eastAsia="Calibri"/>
          <w:lang w:eastAsia="en-GB"/>
        </w:rPr>
        <w:t>for NUTS 3 regions across</w:t>
      </w:r>
      <w:r w:rsidR="00415661" w:rsidRPr="00706E38">
        <w:rPr>
          <w:rFonts w:eastAsia="Calibri"/>
          <w:lang w:eastAsia="en-GB"/>
        </w:rPr>
        <w:t xml:space="preserve"> the ESPON space.</w:t>
      </w:r>
    </w:p>
    <w:p w:rsidR="00415661" w:rsidRPr="00706E38" w:rsidRDefault="00415661" w:rsidP="00415661">
      <w:r w:rsidRPr="00706E38">
        <w:t xml:space="preserve">Until recently there was no EU legislation governing population census, and the NSIs have, over the years developed a range of different approaches, so that the idea that each country can supply roughly the same data, collected through a traditional 100% census, is </w:t>
      </w:r>
      <w:r w:rsidR="00D33F73" w:rsidRPr="00706E38">
        <w:t xml:space="preserve">now </w:t>
      </w:r>
      <w:r w:rsidRPr="00706E38">
        <w:t>a long way from the reality. A recent Eurostat bulletin listed seven different approaches, which are (with one exception) based upon three basic components, a conventional census (questionnaires completed by every household), a census based on extracting data from a continuously maintained register of residents, and sample surveys:</w:t>
      </w:r>
    </w:p>
    <w:p w:rsidR="00415661" w:rsidRPr="00706E38" w:rsidRDefault="00415661" w:rsidP="00F80427">
      <w:pPr>
        <w:numPr>
          <w:ilvl w:val="0"/>
          <w:numId w:val="6"/>
        </w:numPr>
        <w:spacing w:before="0" w:line="240" w:lineRule="auto"/>
        <w:ind w:left="357" w:hanging="357"/>
      </w:pPr>
      <w:r w:rsidRPr="00706E38">
        <w:t>Conventional census (e.g. UK, IE)</w:t>
      </w:r>
    </w:p>
    <w:p w:rsidR="00415661" w:rsidRPr="00706E38" w:rsidRDefault="00415661" w:rsidP="00F80427">
      <w:pPr>
        <w:numPr>
          <w:ilvl w:val="0"/>
          <w:numId w:val="6"/>
        </w:numPr>
        <w:spacing w:before="0" w:line="240" w:lineRule="auto"/>
        <w:ind w:left="357" w:hanging="357"/>
      </w:pPr>
      <w:r w:rsidRPr="00706E38">
        <w:t>Census based on a register (e.g. SE)</w:t>
      </w:r>
    </w:p>
    <w:p w:rsidR="00415661" w:rsidRPr="00706E38" w:rsidRDefault="00415661" w:rsidP="00F80427">
      <w:pPr>
        <w:numPr>
          <w:ilvl w:val="0"/>
          <w:numId w:val="6"/>
        </w:numPr>
        <w:spacing w:before="0" w:line="240" w:lineRule="auto"/>
        <w:ind w:left="357" w:hanging="357"/>
      </w:pPr>
      <w:r w:rsidRPr="00706E38">
        <w:t>Combined conventional census and sample survey.</w:t>
      </w:r>
    </w:p>
    <w:p w:rsidR="00415661" w:rsidRPr="00706E38" w:rsidRDefault="00415661" w:rsidP="00F80427">
      <w:pPr>
        <w:numPr>
          <w:ilvl w:val="0"/>
          <w:numId w:val="6"/>
        </w:numPr>
        <w:spacing w:before="0" w:line="240" w:lineRule="auto"/>
        <w:ind w:left="357" w:hanging="357"/>
      </w:pPr>
      <w:r w:rsidRPr="00706E38">
        <w:t>Combined register-based census and sample survey (e.g. AT)</w:t>
      </w:r>
    </w:p>
    <w:p w:rsidR="00415661" w:rsidRPr="00706E38" w:rsidRDefault="00415661" w:rsidP="00F80427">
      <w:pPr>
        <w:numPr>
          <w:ilvl w:val="0"/>
          <w:numId w:val="6"/>
        </w:numPr>
        <w:spacing w:before="0" w:line="240" w:lineRule="auto"/>
        <w:ind w:left="357" w:hanging="357"/>
      </w:pPr>
      <w:r w:rsidRPr="00706E38">
        <w:lastRenderedPageBreak/>
        <w:t>Combined conventi</w:t>
      </w:r>
      <w:r w:rsidR="00340AD0" w:rsidRPr="00706E38">
        <w:t>onal and register-based census</w:t>
      </w:r>
    </w:p>
    <w:p w:rsidR="00415661" w:rsidRPr="00706E38" w:rsidRDefault="00415661" w:rsidP="00F80427">
      <w:pPr>
        <w:numPr>
          <w:ilvl w:val="0"/>
          <w:numId w:val="6"/>
        </w:numPr>
        <w:spacing w:before="0" w:line="240" w:lineRule="auto"/>
        <w:ind w:left="357" w:hanging="357"/>
      </w:pPr>
      <w:r w:rsidRPr="00706E38">
        <w:t>Combined conventional and register-based census and sample survey (e.g. DE)</w:t>
      </w:r>
    </w:p>
    <w:p w:rsidR="00415661" w:rsidRPr="00706E38" w:rsidRDefault="00415661" w:rsidP="00F80427">
      <w:pPr>
        <w:numPr>
          <w:ilvl w:val="0"/>
          <w:numId w:val="6"/>
        </w:numPr>
        <w:spacing w:before="0" w:line="240" w:lineRule="auto"/>
        <w:ind w:left="357" w:hanging="357"/>
      </w:pPr>
      <w:r w:rsidRPr="00706E38">
        <w:t>Rolling (partial) census (e.g. FR)</w:t>
      </w:r>
    </w:p>
    <w:p w:rsidR="00415661" w:rsidRPr="00706E38" w:rsidRDefault="00415661" w:rsidP="00415661">
      <w:pPr>
        <w:spacing w:before="240"/>
      </w:pPr>
      <w:r w:rsidRPr="00706E38">
        <w:t>Add to this the variation in census dates/frequency, different questions, different definitions for individual variables, and differences in the level of detail in the published results, and it becomes clear why so little harmonised data is available through the Eurostat online database.</w:t>
      </w:r>
    </w:p>
    <w:p w:rsidR="00AA34B0" w:rsidRPr="00706E38" w:rsidRDefault="00415661" w:rsidP="00E438A5">
      <w:pPr>
        <w:rPr>
          <w:rFonts w:eastAsia="Calibri"/>
          <w:lang w:eastAsia="en-GB"/>
        </w:rPr>
      </w:pPr>
      <w:r w:rsidRPr="00706E38">
        <w:t>However, in 2008 a European regulation (No 763) was passed, with the intention of standardising census data in terms of output, whilst respecting the individual MS approaches to data collection. Two more regulations added detail in 2009 (1201) and 2010 (519). These regulations establish</w:t>
      </w:r>
      <w:r w:rsidR="00340AD0" w:rsidRPr="00706E38">
        <w:t>ed</w:t>
      </w:r>
      <w:r w:rsidRPr="00706E38">
        <w:t xml:space="preserve"> the date of the next ‘Census’ as 2011, set out a standard list of variables and definitions, specify sampling and quality control, and make provision for Eurostat to act as a ‘one-stop-shop’ for data access. The latter will be achieved through an ‘EU Census Hub’ which will provide access to data through a standard set of three-dimensional tables known as ‘hypercubes’.</w:t>
      </w:r>
      <w:r w:rsidR="00552C28" w:rsidRPr="00706E38">
        <w:t xml:space="preserve"> A pilot version of the Eurostat Census Hub has been a valuable source for 2011 data, supplemented by data </w:t>
      </w:r>
      <w:r w:rsidR="00A65653" w:rsidRPr="00706E38">
        <w:t>available from the NSIs direct.</w:t>
      </w:r>
      <w:r w:rsidR="00552C28" w:rsidRPr="00706E38">
        <w:t xml:space="preserve"> </w:t>
      </w:r>
    </w:p>
    <w:p w:rsidR="00F622B7" w:rsidRPr="00706E38" w:rsidRDefault="00F622B7" w:rsidP="00F622B7">
      <w:pPr>
        <w:pStyle w:val="Caption"/>
      </w:pPr>
      <w:bookmarkStart w:id="41" w:name="_Toc399530238"/>
      <w:bookmarkStart w:id="42" w:name="_Toc404011324"/>
      <w:r w:rsidRPr="00706E38">
        <w:t xml:space="preserve">Table </w:t>
      </w:r>
      <w:fldSimple w:instr=" SEQ Table \* ARABIC ">
        <w:r w:rsidR="000F31D5" w:rsidRPr="00706E38">
          <w:rPr>
            <w:noProof/>
          </w:rPr>
          <w:t>2</w:t>
        </w:r>
      </w:fldSimple>
      <w:r w:rsidRPr="00706E38">
        <w:t>: Social Exclusion Domains, Dimensions and the number of mapped indicators</w:t>
      </w:r>
      <w:bookmarkEnd w:id="41"/>
      <w:bookmarkEnd w:id="42"/>
    </w:p>
    <w:tbl>
      <w:tblPr>
        <w:tblW w:w="5000" w:type="pct"/>
        <w:tblBorders>
          <w:top w:val="single" w:sz="4" w:space="0" w:color="auto"/>
          <w:left w:val="single" w:sz="4" w:space="0" w:color="auto"/>
          <w:bottom w:val="single" w:sz="4" w:space="0" w:color="auto"/>
          <w:right w:val="single" w:sz="4" w:space="0" w:color="auto"/>
        </w:tblBorders>
        <w:tblLook w:val="04A0"/>
      </w:tblPr>
      <w:tblGrid>
        <w:gridCol w:w="2839"/>
        <w:gridCol w:w="2840"/>
        <w:gridCol w:w="1422"/>
        <w:gridCol w:w="1422"/>
      </w:tblGrid>
      <w:tr w:rsidR="00706E38" w:rsidRPr="00706E38" w:rsidTr="00F622B7">
        <w:tc>
          <w:tcPr>
            <w:tcW w:w="1665" w:type="pct"/>
            <w:vMerge w:val="restart"/>
            <w:tcBorders>
              <w:top w:val="single" w:sz="4" w:space="0" w:color="auto"/>
              <w:bottom w:val="nil"/>
              <w:right w:val="single" w:sz="4" w:space="0" w:color="auto"/>
            </w:tcBorders>
            <w:vAlign w:val="bottom"/>
          </w:tcPr>
          <w:p w:rsidR="00552C28" w:rsidRPr="00706E38" w:rsidRDefault="00F622B7" w:rsidP="00F622B7">
            <w:pPr>
              <w:spacing w:before="0"/>
              <w:jc w:val="left"/>
              <w:rPr>
                <w:b/>
              </w:rPr>
            </w:pPr>
            <w:r w:rsidRPr="00706E38">
              <w:rPr>
                <w:b/>
              </w:rPr>
              <w:t>Domain</w:t>
            </w:r>
          </w:p>
        </w:tc>
        <w:tc>
          <w:tcPr>
            <w:tcW w:w="1666" w:type="pct"/>
            <w:vMerge w:val="restart"/>
            <w:tcBorders>
              <w:top w:val="single" w:sz="4" w:space="0" w:color="auto"/>
              <w:left w:val="single" w:sz="4" w:space="0" w:color="auto"/>
              <w:bottom w:val="nil"/>
              <w:right w:val="single" w:sz="4" w:space="0" w:color="auto"/>
            </w:tcBorders>
            <w:vAlign w:val="bottom"/>
          </w:tcPr>
          <w:p w:rsidR="00552C28" w:rsidRPr="00706E38" w:rsidRDefault="00F622B7" w:rsidP="00F622B7">
            <w:pPr>
              <w:spacing w:before="0"/>
              <w:jc w:val="left"/>
              <w:rPr>
                <w:b/>
              </w:rPr>
            </w:pPr>
            <w:r w:rsidRPr="00706E38">
              <w:rPr>
                <w:b/>
              </w:rPr>
              <w:t>Dimension</w:t>
            </w:r>
          </w:p>
        </w:tc>
        <w:tc>
          <w:tcPr>
            <w:tcW w:w="1668" w:type="pct"/>
            <w:gridSpan w:val="2"/>
            <w:tcBorders>
              <w:top w:val="single" w:sz="4" w:space="0" w:color="auto"/>
              <w:left w:val="single" w:sz="4" w:space="0" w:color="auto"/>
              <w:bottom w:val="nil"/>
            </w:tcBorders>
          </w:tcPr>
          <w:p w:rsidR="00552C28" w:rsidRPr="00706E38" w:rsidRDefault="00552C28" w:rsidP="00F622B7">
            <w:pPr>
              <w:spacing w:before="0" w:line="240" w:lineRule="auto"/>
              <w:rPr>
                <w:b/>
              </w:rPr>
            </w:pPr>
            <w:r w:rsidRPr="00706E38">
              <w:rPr>
                <w:b/>
              </w:rPr>
              <w:t>Number of indicators</w:t>
            </w:r>
          </w:p>
        </w:tc>
      </w:tr>
      <w:tr w:rsidR="00706E38" w:rsidRPr="00706E38" w:rsidTr="00F622B7">
        <w:tc>
          <w:tcPr>
            <w:tcW w:w="1665" w:type="pct"/>
            <w:vMerge/>
            <w:tcBorders>
              <w:top w:val="nil"/>
              <w:bottom w:val="single" w:sz="4" w:space="0" w:color="auto"/>
              <w:right w:val="single" w:sz="4" w:space="0" w:color="auto"/>
            </w:tcBorders>
          </w:tcPr>
          <w:p w:rsidR="00552C28" w:rsidRPr="00706E38" w:rsidRDefault="00552C28" w:rsidP="00BE1E46">
            <w:pPr>
              <w:rPr>
                <w:i/>
              </w:rPr>
            </w:pPr>
          </w:p>
        </w:tc>
        <w:tc>
          <w:tcPr>
            <w:tcW w:w="1666" w:type="pct"/>
            <w:vMerge/>
            <w:tcBorders>
              <w:top w:val="nil"/>
              <w:left w:val="single" w:sz="4" w:space="0" w:color="auto"/>
              <w:bottom w:val="single" w:sz="4" w:space="0" w:color="auto"/>
              <w:right w:val="single" w:sz="4" w:space="0" w:color="auto"/>
            </w:tcBorders>
          </w:tcPr>
          <w:p w:rsidR="00552C28" w:rsidRPr="00706E38" w:rsidRDefault="00552C28" w:rsidP="00BE1E46">
            <w:pPr>
              <w:rPr>
                <w:i/>
              </w:rPr>
            </w:pPr>
          </w:p>
        </w:tc>
        <w:tc>
          <w:tcPr>
            <w:tcW w:w="834" w:type="pct"/>
            <w:tcBorders>
              <w:top w:val="nil"/>
              <w:left w:val="single" w:sz="4" w:space="0" w:color="auto"/>
              <w:bottom w:val="single" w:sz="4" w:space="0" w:color="auto"/>
            </w:tcBorders>
          </w:tcPr>
          <w:p w:rsidR="00552C28" w:rsidRPr="00706E38" w:rsidRDefault="00552C28" w:rsidP="00F622B7">
            <w:pPr>
              <w:spacing w:line="240" w:lineRule="auto"/>
              <w:rPr>
                <w:i/>
              </w:rPr>
            </w:pPr>
            <w:r w:rsidRPr="00706E38">
              <w:rPr>
                <w:i/>
              </w:rPr>
              <w:t>(2001)</w:t>
            </w:r>
          </w:p>
        </w:tc>
        <w:tc>
          <w:tcPr>
            <w:tcW w:w="834" w:type="pct"/>
            <w:tcBorders>
              <w:top w:val="nil"/>
              <w:bottom w:val="single" w:sz="4" w:space="0" w:color="auto"/>
            </w:tcBorders>
          </w:tcPr>
          <w:p w:rsidR="00552C28" w:rsidRPr="00706E38" w:rsidRDefault="00552C28" w:rsidP="00F622B7">
            <w:pPr>
              <w:spacing w:line="240" w:lineRule="auto"/>
              <w:rPr>
                <w:i/>
              </w:rPr>
            </w:pPr>
            <w:r w:rsidRPr="00706E38">
              <w:rPr>
                <w:i/>
              </w:rPr>
              <w:t>(2011)</w:t>
            </w:r>
          </w:p>
        </w:tc>
      </w:tr>
      <w:tr w:rsidR="00706E38" w:rsidRPr="00706E38" w:rsidTr="00F622B7">
        <w:tc>
          <w:tcPr>
            <w:tcW w:w="1665" w:type="pct"/>
            <w:vMerge w:val="restart"/>
            <w:tcBorders>
              <w:top w:val="single" w:sz="4" w:space="0" w:color="auto"/>
              <w:bottom w:val="nil"/>
              <w:right w:val="single" w:sz="4" w:space="0" w:color="auto"/>
            </w:tcBorders>
          </w:tcPr>
          <w:p w:rsidR="00552C28" w:rsidRPr="00706E38" w:rsidRDefault="00552C28" w:rsidP="00BE1E46">
            <w:pPr>
              <w:spacing w:before="0"/>
              <w:rPr>
                <w:b/>
              </w:rPr>
            </w:pPr>
            <w:r w:rsidRPr="00706E38">
              <w:rPr>
                <w:b/>
              </w:rPr>
              <w:t>Earning a living</w:t>
            </w:r>
          </w:p>
        </w:tc>
        <w:tc>
          <w:tcPr>
            <w:tcW w:w="1666" w:type="pct"/>
            <w:tcBorders>
              <w:top w:val="single" w:sz="4" w:space="0" w:color="auto"/>
              <w:left w:val="single" w:sz="4" w:space="0" w:color="auto"/>
              <w:bottom w:val="nil"/>
              <w:right w:val="single" w:sz="4" w:space="0" w:color="auto"/>
            </w:tcBorders>
          </w:tcPr>
          <w:p w:rsidR="00552C28" w:rsidRPr="00706E38" w:rsidRDefault="00552C28" w:rsidP="00BE1E46">
            <w:pPr>
              <w:spacing w:before="0"/>
            </w:pPr>
            <w:r w:rsidRPr="00706E38">
              <w:t>Income earned by tax payers</w:t>
            </w:r>
          </w:p>
        </w:tc>
        <w:tc>
          <w:tcPr>
            <w:tcW w:w="834" w:type="pct"/>
            <w:tcBorders>
              <w:top w:val="single" w:sz="4" w:space="0" w:color="auto"/>
              <w:left w:val="single" w:sz="4" w:space="0" w:color="auto"/>
              <w:bottom w:val="nil"/>
            </w:tcBorders>
          </w:tcPr>
          <w:p w:rsidR="00552C28" w:rsidRPr="00706E38" w:rsidRDefault="00552C28" w:rsidP="00BE1E46">
            <w:pPr>
              <w:spacing w:before="0"/>
              <w:jc w:val="center"/>
            </w:pPr>
            <w:r w:rsidRPr="00706E38">
              <w:t>2</w:t>
            </w:r>
          </w:p>
        </w:tc>
        <w:tc>
          <w:tcPr>
            <w:tcW w:w="834" w:type="pct"/>
            <w:tcBorders>
              <w:top w:val="single" w:sz="4" w:space="0" w:color="auto"/>
              <w:bottom w:val="nil"/>
            </w:tcBorders>
          </w:tcPr>
          <w:p w:rsidR="00552C28" w:rsidRPr="00706E38" w:rsidRDefault="00552C28" w:rsidP="00BE1E46">
            <w:pPr>
              <w:spacing w:before="0"/>
              <w:jc w:val="center"/>
            </w:pPr>
            <w:r w:rsidRPr="00706E38">
              <w:t>2</w:t>
            </w:r>
          </w:p>
        </w:tc>
      </w:tr>
      <w:tr w:rsidR="00706E38" w:rsidRPr="00706E38" w:rsidTr="00F622B7">
        <w:tc>
          <w:tcPr>
            <w:tcW w:w="1665" w:type="pct"/>
            <w:vMerge/>
            <w:tcBorders>
              <w:top w:val="nil"/>
              <w:bottom w:val="single" w:sz="4" w:space="0" w:color="auto"/>
              <w:right w:val="single" w:sz="4" w:space="0" w:color="auto"/>
            </w:tcBorders>
          </w:tcPr>
          <w:p w:rsidR="00552C28" w:rsidRPr="00706E38" w:rsidRDefault="00552C28" w:rsidP="00BE1E46">
            <w:pPr>
              <w:spacing w:before="0"/>
              <w:rPr>
                <w:b/>
              </w:rPr>
            </w:pPr>
          </w:p>
        </w:tc>
        <w:tc>
          <w:tcPr>
            <w:tcW w:w="1666" w:type="pct"/>
            <w:tcBorders>
              <w:top w:val="nil"/>
              <w:left w:val="single" w:sz="4" w:space="0" w:color="auto"/>
              <w:bottom w:val="single" w:sz="4" w:space="0" w:color="auto"/>
              <w:right w:val="single" w:sz="4" w:space="0" w:color="auto"/>
            </w:tcBorders>
          </w:tcPr>
          <w:p w:rsidR="00552C28" w:rsidRPr="00706E38" w:rsidRDefault="00552C28" w:rsidP="00BE1E46">
            <w:pPr>
              <w:spacing w:before="0"/>
            </w:pPr>
            <w:r w:rsidRPr="00706E38">
              <w:t>Employment</w:t>
            </w:r>
          </w:p>
        </w:tc>
        <w:tc>
          <w:tcPr>
            <w:tcW w:w="834" w:type="pct"/>
            <w:tcBorders>
              <w:top w:val="nil"/>
              <w:left w:val="single" w:sz="4" w:space="0" w:color="auto"/>
              <w:bottom w:val="single" w:sz="4" w:space="0" w:color="auto"/>
            </w:tcBorders>
          </w:tcPr>
          <w:p w:rsidR="00552C28" w:rsidRPr="00706E38" w:rsidRDefault="00552C28" w:rsidP="00BE1E46">
            <w:pPr>
              <w:spacing w:before="0"/>
              <w:jc w:val="center"/>
            </w:pPr>
            <w:r w:rsidRPr="00706E38">
              <w:t>27</w:t>
            </w:r>
          </w:p>
        </w:tc>
        <w:tc>
          <w:tcPr>
            <w:tcW w:w="834" w:type="pct"/>
            <w:tcBorders>
              <w:top w:val="nil"/>
              <w:bottom w:val="single" w:sz="4" w:space="0" w:color="auto"/>
            </w:tcBorders>
          </w:tcPr>
          <w:p w:rsidR="00552C28" w:rsidRPr="00706E38" w:rsidRDefault="00552C28" w:rsidP="00BE1E46">
            <w:pPr>
              <w:spacing w:before="0"/>
              <w:jc w:val="center"/>
            </w:pPr>
            <w:r w:rsidRPr="00706E38">
              <w:t>4</w:t>
            </w:r>
          </w:p>
        </w:tc>
      </w:tr>
      <w:tr w:rsidR="00706E38" w:rsidRPr="00706E38" w:rsidTr="00F622B7">
        <w:tc>
          <w:tcPr>
            <w:tcW w:w="1665" w:type="pct"/>
            <w:vMerge w:val="restart"/>
            <w:tcBorders>
              <w:top w:val="single" w:sz="4" w:space="0" w:color="auto"/>
              <w:right w:val="single" w:sz="4" w:space="0" w:color="auto"/>
            </w:tcBorders>
          </w:tcPr>
          <w:p w:rsidR="00552C28" w:rsidRPr="00706E38" w:rsidRDefault="00552C28" w:rsidP="00BE1E46">
            <w:pPr>
              <w:spacing w:before="0"/>
              <w:rPr>
                <w:b/>
              </w:rPr>
            </w:pPr>
            <w:r w:rsidRPr="00706E38">
              <w:rPr>
                <w:b/>
              </w:rPr>
              <w:t>Access to basic services</w:t>
            </w:r>
          </w:p>
        </w:tc>
        <w:tc>
          <w:tcPr>
            <w:tcW w:w="1666" w:type="pct"/>
            <w:tcBorders>
              <w:top w:val="single" w:sz="4" w:space="0" w:color="auto"/>
              <w:left w:val="single" w:sz="4" w:space="0" w:color="auto"/>
              <w:right w:val="single" w:sz="4" w:space="0" w:color="auto"/>
            </w:tcBorders>
          </w:tcPr>
          <w:p w:rsidR="00552C28" w:rsidRPr="00706E38" w:rsidRDefault="00552C28" w:rsidP="00BE1E46">
            <w:pPr>
              <w:spacing w:before="0"/>
            </w:pPr>
            <w:r w:rsidRPr="00706E38">
              <w:t>Health</w:t>
            </w:r>
          </w:p>
        </w:tc>
        <w:tc>
          <w:tcPr>
            <w:tcW w:w="834" w:type="pct"/>
            <w:tcBorders>
              <w:top w:val="single" w:sz="4" w:space="0" w:color="auto"/>
              <w:left w:val="single" w:sz="4" w:space="0" w:color="auto"/>
            </w:tcBorders>
          </w:tcPr>
          <w:p w:rsidR="00552C28" w:rsidRPr="00706E38" w:rsidRDefault="00552C28" w:rsidP="00BE1E46">
            <w:pPr>
              <w:spacing w:before="0"/>
              <w:jc w:val="center"/>
            </w:pPr>
            <w:r w:rsidRPr="00706E38">
              <w:t>3</w:t>
            </w:r>
          </w:p>
        </w:tc>
        <w:tc>
          <w:tcPr>
            <w:tcW w:w="834" w:type="pct"/>
            <w:tcBorders>
              <w:top w:val="single" w:sz="4" w:space="0" w:color="auto"/>
            </w:tcBorders>
          </w:tcPr>
          <w:p w:rsidR="00552C28" w:rsidRPr="00706E38" w:rsidRDefault="00552C28" w:rsidP="00BE1E46">
            <w:pPr>
              <w:spacing w:before="0"/>
              <w:jc w:val="center"/>
            </w:pPr>
            <w:r w:rsidRPr="00706E38">
              <w:t>3</w:t>
            </w:r>
          </w:p>
        </w:tc>
      </w:tr>
      <w:tr w:rsidR="00706E38" w:rsidRPr="00706E38" w:rsidTr="00F622B7">
        <w:tc>
          <w:tcPr>
            <w:tcW w:w="1665" w:type="pct"/>
            <w:vMerge/>
            <w:tcBorders>
              <w:right w:val="single" w:sz="4" w:space="0" w:color="auto"/>
            </w:tcBorders>
          </w:tcPr>
          <w:p w:rsidR="00552C28" w:rsidRPr="00706E38" w:rsidRDefault="00552C28" w:rsidP="00BE1E46">
            <w:pPr>
              <w:spacing w:before="0"/>
              <w:rPr>
                <w:b/>
              </w:rPr>
            </w:pPr>
          </w:p>
        </w:tc>
        <w:tc>
          <w:tcPr>
            <w:tcW w:w="1666" w:type="pct"/>
            <w:tcBorders>
              <w:left w:val="single" w:sz="4" w:space="0" w:color="auto"/>
              <w:right w:val="single" w:sz="4" w:space="0" w:color="auto"/>
            </w:tcBorders>
          </w:tcPr>
          <w:p w:rsidR="00552C28" w:rsidRPr="00706E38" w:rsidRDefault="00552C28" w:rsidP="00BE1E46">
            <w:pPr>
              <w:spacing w:before="0"/>
            </w:pPr>
            <w:r w:rsidRPr="00706E38">
              <w:t>Education</w:t>
            </w:r>
          </w:p>
        </w:tc>
        <w:tc>
          <w:tcPr>
            <w:tcW w:w="834" w:type="pct"/>
            <w:tcBorders>
              <w:left w:val="single" w:sz="4" w:space="0" w:color="auto"/>
            </w:tcBorders>
          </w:tcPr>
          <w:p w:rsidR="00552C28" w:rsidRPr="00706E38" w:rsidRDefault="00552C28" w:rsidP="00BE1E46">
            <w:pPr>
              <w:spacing w:before="0"/>
              <w:jc w:val="center"/>
            </w:pPr>
            <w:r w:rsidRPr="00706E38">
              <w:t>2</w:t>
            </w:r>
          </w:p>
        </w:tc>
        <w:tc>
          <w:tcPr>
            <w:tcW w:w="834" w:type="pct"/>
          </w:tcPr>
          <w:p w:rsidR="00552C28" w:rsidRPr="00706E38" w:rsidRDefault="00552C28" w:rsidP="00BE1E46">
            <w:pPr>
              <w:spacing w:before="0"/>
              <w:jc w:val="center"/>
            </w:pPr>
            <w:r w:rsidRPr="00706E38">
              <w:t>2</w:t>
            </w:r>
          </w:p>
        </w:tc>
      </w:tr>
      <w:tr w:rsidR="00706E38" w:rsidRPr="00706E38" w:rsidTr="00F622B7">
        <w:tc>
          <w:tcPr>
            <w:tcW w:w="1665" w:type="pct"/>
            <w:vMerge/>
            <w:tcBorders>
              <w:bottom w:val="single" w:sz="4" w:space="0" w:color="auto"/>
              <w:right w:val="single" w:sz="4" w:space="0" w:color="auto"/>
            </w:tcBorders>
          </w:tcPr>
          <w:p w:rsidR="00552C28" w:rsidRPr="00706E38" w:rsidRDefault="00552C28" w:rsidP="00BE1E46">
            <w:pPr>
              <w:spacing w:before="0"/>
              <w:rPr>
                <w:b/>
              </w:rPr>
            </w:pPr>
          </w:p>
        </w:tc>
        <w:tc>
          <w:tcPr>
            <w:tcW w:w="1666" w:type="pct"/>
            <w:tcBorders>
              <w:left w:val="single" w:sz="4" w:space="0" w:color="auto"/>
              <w:bottom w:val="single" w:sz="4" w:space="0" w:color="auto"/>
              <w:right w:val="single" w:sz="4" w:space="0" w:color="auto"/>
            </w:tcBorders>
          </w:tcPr>
          <w:p w:rsidR="00552C28" w:rsidRPr="00706E38" w:rsidRDefault="00552C28" w:rsidP="00BE1E46">
            <w:pPr>
              <w:spacing w:before="0"/>
            </w:pPr>
            <w:r w:rsidRPr="00706E38">
              <w:t>Housing</w:t>
            </w:r>
          </w:p>
        </w:tc>
        <w:tc>
          <w:tcPr>
            <w:tcW w:w="834" w:type="pct"/>
            <w:tcBorders>
              <w:left w:val="single" w:sz="4" w:space="0" w:color="auto"/>
              <w:bottom w:val="single" w:sz="4" w:space="0" w:color="auto"/>
            </w:tcBorders>
          </w:tcPr>
          <w:p w:rsidR="00552C28" w:rsidRPr="00706E38" w:rsidRDefault="00552C28" w:rsidP="00BE1E46">
            <w:pPr>
              <w:spacing w:before="0"/>
              <w:jc w:val="center"/>
            </w:pPr>
            <w:r w:rsidRPr="00706E38">
              <w:t>6</w:t>
            </w:r>
          </w:p>
        </w:tc>
        <w:tc>
          <w:tcPr>
            <w:tcW w:w="834" w:type="pct"/>
            <w:tcBorders>
              <w:bottom w:val="single" w:sz="4" w:space="0" w:color="auto"/>
            </w:tcBorders>
          </w:tcPr>
          <w:p w:rsidR="00552C28" w:rsidRPr="00706E38" w:rsidRDefault="00552C28" w:rsidP="00BE1E46">
            <w:pPr>
              <w:spacing w:before="0"/>
              <w:jc w:val="center"/>
            </w:pPr>
            <w:r w:rsidRPr="00706E38">
              <w:t>3</w:t>
            </w:r>
          </w:p>
        </w:tc>
      </w:tr>
      <w:tr w:rsidR="00706E38" w:rsidRPr="00706E38" w:rsidTr="00F622B7">
        <w:tc>
          <w:tcPr>
            <w:tcW w:w="1665" w:type="pct"/>
            <w:vMerge w:val="restart"/>
            <w:tcBorders>
              <w:top w:val="single" w:sz="4" w:space="0" w:color="auto"/>
              <w:bottom w:val="nil"/>
              <w:right w:val="single" w:sz="4" w:space="0" w:color="auto"/>
            </w:tcBorders>
          </w:tcPr>
          <w:p w:rsidR="00552C28" w:rsidRPr="00706E38" w:rsidRDefault="00552C28" w:rsidP="00BE1E46">
            <w:pPr>
              <w:spacing w:before="0"/>
              <w:rPr>
                <w:b/>
              </w:rPr>
            </w:pPr>
            <w:r w:rsidRPr="00706E38">
              <w:rPr>
                <w:b/>
              </w:rPr>
              <w:t>Social environment</w:t>
            </w:r>
          </w:p>
        </w:tc>
        <w:tc>
          <w:tcPr>
            <w:tcW w:w="1666" w:type="pct"/>
            <w:tcBorders>
              <w:top w:val="single" w:sz="4" w:space="0" w:color="auto"/>
              <w:left w:val="single" w:sz="4" w:space="0" w:color="auto"/>
              <w:bottom w:val="nil"/>
              <w:right w:val="single" w:sz="4" w:space="0" w:color="auto"/>
            </w:tcBorders>
          </w:tcPr>
          <w:p w:rsidR="00552C28" w:rsidRPr="00706E38" w:rsidRDefault="00552C28" w:rsidP="00BE1E46">
            <w:pPr>
              <w:spacing w:before="0"/>
            </w:pPr>
            <w:r w:rsidRPr="00706E38">
              <w:t>Age</w:t>
            </w:r>
          </w:p>
        </w:tc>
        <w:tc>
          <w:tcPr>
            <w:tcW w:w="834" w:type="pct"/>
            <w:tcBorders>
              <w:top w:val="single" w:sz="4" w:space="0" w:color="auto"/>
              <w:left w:val="single" w:sz="4" w:space="0" w:color="auto"/>
              <w:bottom w:val="nil"/>
            </w:tcBorders>
          </w:tcPr>
          <w:p w:rsidR="00552C28" w:rsidRPr="00706E38" w:rsidRDefault="00552C28" w:rsidP="00BE1E46">
            <w:pPr>
              <w:spacing w:before="0"/>
              <w:jc w:val="center"/>
            </w:pPr>
            <w:r w:rsidRPr="00706E38">
              <w:t>3</w:t>
            </w:r>
          </w:p>
        </w:tc>
        <w:tc>
          <w:tcPr>
            <w:tcW w:w="834" w:type="pct"/>
            <w:tcBorders>
              <w:top w:val="single" w:sz="4" w:space="0" w:color="auto"/>
              <w:bottom w:val="nil"/>
            </w:tcBorders>
          </w:tcPr>
          <w:p w:rsidR="00552C28" w:rsidRPr="00706E38" w:rsidRDefault="00552C28" w:rsidP="00BE1E46">
            <w:pPr>
              <w:spacing w:before="0"/>
              <w:jc w:val="center"/>
            </w:pPr>
            <w:r w:rsidRPr="00706E38">
              <w:t>3</w:t>
            </w:r>
          </w:p>
        </w:tc>
      </w:tr>
      <w:tr w:rsidR="00706E38" w:rsidRPr="00706E38" w:rsidTr="00F622B7">
        <w:tc>
          <w:tcPr>
            <w:tcW w:w="1665" w:type="pct"/>
            <w:vMerge/>
            <w:tcBorders>
              <w:top w:val="nil"/>
              <w:bottom w:val="nil"/>
              <w:right w:val="single" w:sz="4" w:space="0" w:color="auto"/>
            </w:tcBorders>
          </w:tcPr>
          <w:p w:rsidR="00552C28" w:rsidRPr="00706E38" w:rsidRDefault="00552C28" w:rsidP="00BE1E46">
            <w:pPr>
              <w:spacing w:before="0"/>
              <w:rPr>
                <w:b/>
              </w:rPr>
            </w:pPr>
          </w:p>
        </w:tc>
        <w:tc>
          <w:tcPr>
            <w:tcW w:w="1666" w:type="pct"/>
            <w:tcBorders>
              <w:top w:val="nil"/>
              <w:left w:val="single" w:sz="4" w:space="0" w:color="auto"/>
              <w:bottom w:val="nil"/>
              <w:right w:val="single" w:sz="4" w:space="0" w:color="auto"/>
            </w:tcBorders>
          </w:tcPr>
          <w:p w:rsidR="00552C28" w:rsidRPr="00706E38" w:rsidRDefault="00552C28" w:rsidP="00BE1E46">
            <w:pPr>
              <w:spacing w:before="0"/>
            </w:pPr>
            <w:r w:rsidRPr="00706E38">
              <w:t>Ethnic composition</w:t>
            </w:r>
          </w:p>
        </w:tc>
        <w:tc>
          <w:tcPr>
            <w:tcW w:w="834" w:type="pct"/>
            <w:tcBorders>
              <w:top w:val="nil"/>
              <w:left w:val="single" w:sz="4" w:space="0" w:color="auto"/>
              <w:bottom w:val="nil"/>
            </w:tcBorders>
          </w:tcPr>
          <w:p w:rsidR="00552C28" w:rsidRPr="00706E38" w:rsidRDefault="00552C28" w:rsidP="00BE1E46">
            <w:pPr>
              <w:spacing w:before="0"/>
              <w:jc w:val="center"/>
            </w:pPr>
            <w:r w:rsidRPr="00706E38">
              <w:t>1</w:t>
            </w:r>
          </w:p>
        </w:tc>
        <w:tc>
          <w:tcPr>
            <w:tcW w:w="834" w:type="pct"/>
            <w:tcBorders>
              <w:top w:val="nil"/>
              <w:bottom w:val="nil"/>
            </w:tcBorders>
          </w:tcPr>
          <w:p w:rsidR="00552C28" w:rsidRPr="00706E38" w:rsidRDefault="00552C28" w:rsidP="00BE1E46">
            <w:pPr>
              <w:spacing w:before="0"/>
              <w:jc w:val="center"/>
            </w:pPr>
            <w:r w:rsidRPr="00706E38">
              <w:t>1</w:t>
            </w:r>
          </w:p>
        </w:tc>
      </w:tr>
      <w:tr w:rsidR="00706E38" w:rsidRPr="00706E38" w:rsidTr="00F622B7">
        <w:tc>
          <w:tcPr>
            <w:tcW w:w="1665" w:type="pct"/>
            <w:vMerge/>
            <w:tcBorders>
              <w:top w:val="nil"/>
              <w:bottom w:val="nil"/>
              <w:right w:val="single" w:sz="4" w:space="0" w:color="auto"/>
            </w:tcBorders>
          </w:tcPr>
          <w:p w:rsidR="00552C28" w:rsidRPr="00706E38" w:rsidRDefault="00552C28" w:rsidP="00BE1E46">
            <w:pPr>
              <w:spacing w:before="0"/>
              <w:rPr>
                <w:b/>
              </w:rPr>
            </w:pPr>
          </w:p>
        </w:tc>
        <w:tc>
          <w:tcPr>
            <w:tcW w:w="1666" w:type="pct"/>
            <w:tcBorders>
              <w:top w:val="nil"/>
              <w:left w:val="single" w:sz="4" w:space="0" w:color="auto"/>
              <w:bottom w:val="nil"/>
              <w:right w:val="single" w:sz="4" w:space="0" w:color="auto"/>
            </w:tcBorders>
          </w:tcPr>
          <w:p w:rsidR="00552C28" w:rsidRPr="00706E38" w:rsidRDefault="00552C28" w:rsidP="00BE1E46">
            <w:pPr>
              <w:spacing w:before="0"/>
            </w:pPr>
            <w:r w:rsidRPr="00706E38">
              <w:t>Immigrants</w:t>
            </w:r>
          </w:p>
        </w:tc>
        <w:tc>
          <w:tcPr>
            <w:tcW w:w="834" w:type="pct"/>
            <w:tcBorders>
              <w:top w:val="nil"/>
              <w:left w:val="single" w:sz="4" w:space="0" w:color="auto"/>
              <w:bottom w:val="nil"/>
            </w:tcBorders>
          </w:tcPr>
          <w:p w:rsidR="00552C28" w:rsidRPr="00706E38" w:rsidRDefault="00552C28" w:rsidP="00BE1E46">
            <w:pPr>
              <w:spacing w:before="0"/>
              <w:jc w:val="center"/>
            </w:pPr>
            <w:r w:rsidRPr="00706E38">
              <w:t>1</w:t>
            </w:r>
          </w:p>
        </w:tc>
        <w:tc>
          <w:tcPr>
            <w:tcW w:w="834" w:type="pct"/>
            <w:tcBorders>
              <w:top w:val="nil"/>
              <w:bottom w:val="nil"/>
            </w:tcBorders>
          </w:tcPr>
          <w:p w:rsidR="00552C28" w:rsidRPr="00706E38" w:rsidRDefault="00552C28" w:rsidP="00BE1E46">
            <w:pPr>
              <w:spacing w:before="0"/>
              <w:jc w:val="center"/>
            </w:pPr>
            <w:r w:rsidRPr="00706E38">
              <w:t>1</w:t>
            </w:r>
          </w:p>
        </w:tc>
      </w:tr>
      <w:tr w:rsidR="00706E38" w:rsidRPr="00706E38" w:rsidTr="00F622B7">
        <w:tc>
          <w:tcPr>
            <w:tcW w:w="1665" w:type="pct"/>
            <w:vMerge/>
            <w:tcBorders>
              <w:top w:val="nil"/>
              <w:bottom w:val="single" w:sz="4" w:space="0" w:color="auto"/>
              <w:right w:val="single" w:sz="4" w:space="0" w:color="auto"/>
            </w:tcBorders>
          </w:tcPr>
          <w:p w:rsidR="00552C28" w:rsidRPr="00706E38" w:rsidRDefault="00552C28" w:rsidP="00BE1E46">
            <w:pPr>
              <w:spacing w:before="0"/>
              <w:rPr>
                <w:b/>
              </w:rPr>
            </w:pPr>
          </w:p>
        </w:tc>
        <w:tc>
          <w:tcPr>
            <w:tcW w:w="1666" w:type="pct"/>
            <w:tcBorders>
              <w:top w:val="nil"/>
              <w:left w:val="single" w:sz="4" w:space="0" w:color="auto"/>
              <w:bottom w:val="single" w:sz="4" w:space="0" w:color="auto"/>
              <w:right w:val="single" w:sz="4" w:space="0" w:color="auto"/>
            </w:tcBorders>
          </w:tcPr>
          <w:p w:rsidR="00552C28" w:rsidRPr="00706E38" w:rsidRDefault="00552C28" w:rsidP="00BE1E46">
            <w:pPr>
              <w:spacing w:before="0"/>
            </w:pPr>
            <w:r w:rsidRPr="00706E38">
              <w:t>Household structure</w:t>
            </w:r>
          </w:p>
        </w:tc>
        <w:tc>
          <w:tcPr>
            <w:tcW w:w="834" w:type="pct"/>
            <w:tcBorders>
              <w:top w:val="nil"/>
              <w:left w:val="single" w:sz="4" w:space="0" w:color="auto"/>
              <w:bottom w:val="single" w:sz="4" w:space="0" w:color="auto"/>
            </w:tcBorders>
          </w:tcPr>
          <w:p w:rsidR="00552C28" w:rsidRPr="00706E38" w:rsidRDefault="00552C28" w:rsidP="00BE1E46">
            <w:pPr>
              <w:spacing w:before="0"/>
              <w:jc w:val="center"/>
            </w:pPr>
            <w:r w:rsidRPr="00706E38">
              <w:t>4</w:t>
            </w:r>
          </w:p>
        </w:tc>
        <w:tc>
          <w:tcPr>
            <w:tcW w:w="834" w:type="pct"/>
            <w:tcBorders>
              <w:top w:val="nil"/>
              <w:bottom w:val="single" w:sz="4" w:space="0" w:color="auto"/>
            </w:tcBorders>
          </w:tcPr>
          <w:p w:rsidR="00552C28" w:rsidRPr="00706E38" w:rsidRDefault="00552C28" w:rsidP="00BE1E46">
            <w:pPr>
              <w:spacing w:before="0"/>
              <w:jc w:val="center"/>
            </w:pPr>
            <w:r w:rsidRPr="00706E38">
              <w:t>2</w:t>
            </w:r>
          </w:p>
        </w:tc>
      </w:tr>
      <w:tr w:rsidR="00706E38" w:rsidRPr="00706E38" w:rsidTr="00F622B7">
        <w:tc>
          <w:tcPr>
            <w:tcW w:w="1665" w:type="pct"/>
            <w:tcBorders>
              <w:top w:val="single" w:sz="4" w:space="0" w:color="auto"/>
              <w:bottom w:val="single" w:sz="4" w:space="0" w:color="auto"/>
              <w:right w:val="single" w:sz="4" w:space="0" w:color="auto"/>
            </w:tcBorders>
          </w:tcPr>
          <w:p w:rsidR="00552C28" w:rsidRPr="00706E38" w:rsidRDefault="00552C28" w:rsidP="00BE1E46">
            <w:pPr>
              <w:spacing w:before="0"/>
              <w:rPr>
                <w:b/>
              </w:rPr>
            </w:pPr>
            <w:r w:rsidRPr="00706E38">
              <w:rPr>
                <w:b/>
              </w:rPr>
              <w:t>Political participation</w:t>
            </w:r>
          </w:p>
        </w:tc>
        <w:tc>
          <w:tcPr>
            <w:tcW w:w="1666" w:type="pct"/>
            <w:tcBorders>
              <w:top w:val="single" w:sz="4" w:space="0" w:color="auto"/>
              <w:left w:val="single" w:sz="4" w:space="0" w:color="auto"/>
              <w:bottom w:val="single" w:sz="4" w:space="0" w:color="auto"/>
              <w:right w:val="single" w:sz="4" w:space="0" w:color="auto"/>
            </w:tcBorders>
          </w:tcPr>
          <w:p w:rsidR="00552C28" w:rsidRPr="00706E38" w:rsidRDefault="00552C28" w:rsidP="00BE1E46">
            <w:pPr>
              <w:spacing w:before="0"/>
            </w:pPr>
            <w:r w:rsidRPr="00706E38">
              <w:t>Citizenship</w:t>
            </w:r>
          </w:p>
        </w:tc>
        <w:tc>
          <w:tcPr>
            <w:tcW w:w="834" w:type="pct"/>
            <w:tcBorders>
              <w:top w:val="single" w:sz="4" w:space="0" w:color="auto"/>
              <w:left w:val="single" w:sz="4" w:space="0" w:color="auto"/>
              <w:bottom w:val="single" w:sz="4" w:space="0" w:color="auto"/>
            </w:tcBorders>
          </w:tcPr>
          <w:p w:rsidR="00552C28" w:rsidRPr="00706E38" w:rsidRDefault="00552C28" w:rsidP="00BE1E46">
            <w:pPr>
              <w:spacing w:before="0"/>
              <w:jc w:val="center"/>
            </w:pPr>
            <w:r w:rsidRPr="00706E38">
              <w:t>1</w:t>
            </w:r>
          </w:p>
        </w:tc>
        <w:tc>
          <w:tcPr>
            <w:tcW w:w="834" w:type="pct"/>
            <w:tcBorders>
              <w:top w:val="single" w:sz="4" w:space="0" w:color="auto"/>
              <w:bottom w:val="single" w:sz="4" w:space="0" w:color="auto"/>
            </w:tcBorders>
          </w:tcPr>
          <w:p w:rsidR="00552C28" w:rsidRPr="00706E38" w:rsidRDefault="00552C28" w:rsidP="00BE1E46">
            <w:pPr>
              <w:spacing w:before="0"/>
              <w:jc w:val="center"/>
            </w:pPr>
            <w:r w:rsidRPr="00706E38">
              <w:t>1</w:t>
            </w:r>
          </w:p>
        </w:tc>
      </w:tr>
      <w:tr w:rsidR="00706E38" w:rsidRPr="00706E38" w:rsidTr="00F622B7">
        <w:tc>
          <w:tcPr>
            <w:tcW w:w="1665" w:type="pct"/>
            <w:tcBorders>
              <w:top w:val="single" w:sz="4" w:space="0" w:color="auto"/>
              <w:left w:val="nil"/>
              <w:bottom w:val="nil"/>
              <w:right w:val="nil"/>
            </w:tcBorders>
          </w:tcPr>
          <w:p w:rsidR="00F622B7" w:rsidRPr="00706E38" w:rsidRDefault="00F622B7" w:rsidP="00BE1E46">
            <w:pPr>
              <w:spacing w:before="0"/>
              <w:rPr>
                <w:b/>
              </w:rPr>
            </w:pPr>
          </w:p>
        </w:tc>
        <w:tc>
          <w:tcPr>
            <w:tcW w:w="1666" w:type="pct"/>
            <w:tcBorders>
              <w:top w:val="single" w:sz="4" w:space="0" w:color="auto"/>
              <w:left w:val="nil"/>
              <w:bottom w:val="nil"/>
              <w:right w:val="single" w:sz="4" w:space="0" w:color="auto"/>
            </w:tcBorders>
          </w:tcPr>
          <w:p w:rsidR="00F622B7" w:rsidRPr="00706E38" w:rsidRDefault="00F622B7" w:rsidP="00BE1E46">
            <w:pPr>
              <w:spacing w:before="0"/>
            </w:pPr>
          </w:p>
        </w:tc>
        <w:tc>
          <w:tcPr>
            <w:tcW w:w="834" w:type="pct"/>
            <w:tcBorders>
              <w:top w:val="single" w:sz="4" w:space="0" w:color="auto"/>
              <w:left w:val="single" w:sz="4" w:space="0" w:color="auto"/>
              <w:bottom w:val="single" w:sz="4" w:space="0" w:color="auto"/>
            </w:tcBorders>
          </w:tcPr>
          <w:p w:rsidR="00F622B7" w:rsidRPr="00706E38" w:rsidRDefault="00F622B7" w:rsidP="00BE1E46">
            <w:pPr>
              <w:spacing w:before="0"/>
              <w:jc w:val="center"/>
              <w:rPr>
                <w:b/>
              </w:rPr>
            </w:pPr>
            <w:r w:rsidRPr="00706E38">
              <w:rPr>
                <w:b/>
              </w:rPr>
              <w:t>50</w:t>
            </w:r>
          </w:p>
        </w:tc>
        <w:tc>
          <w:tcPr>
            <w:tcW w:w="834" w:type="pct"/>
            <w:tcBorders>
              <w:top w:val="single" w:sz="4" w:space="0" w:color="auto"/>
              <w:bottom w:val="single" w:sz="4" w:space="0" w:color="auto"/>
            </w:tcBorders>
          </w:tcPr>
          <w:p w:rsidR="00F622B7" w:rsidRPr="00706E38" w:rsidRDefault="00F622B7" w:rsidP="00BE1E46">
            <w:pPr>
              <w:spacing w:before="0"/>
              <w:jc w:val="center"/>
              <w:rPr>
                <w:b/>
              </w:rPr>
            </w:pPr>
            <w:r w:rsidRPr="00706E38">
              <w:rPr>
                <w:b/>
              </w:rPr>
              <w:t>22</w:t>
            </w:r>
          </w:p>
        </w:tc>
      </w:tr>
    </w:tbl>
    <w:p w:rsidR="00C65A99" w:rsidRPr="00706E38" w:rsidRDefault="00C65A99" w:rsidP="00C65A99">
      <w:pPr>
        <w:rPr>
          <w:rFonts w:eastAsia="Calibri"/>
          <w:szCs w:val="22"/>
          <w:lang w:eastAsia="en-GB"/>
        </w:rPr>
      </w:pPr>
      <w:r w:rsidRPr="00706E38">
        <w:rPr>
          <w:rFonts w:eastAsia="Calibri"/>
          <w:szCs w:val="22"/>
          <w:lang w:eastAsia="en-GB"/>
        </w:rPr>
        <w:t>Combining data collected from the Eurostat database with that derived from NSI sources, it proved possible to produce fifty maps of (2001) indicators considered relevant to social exclusion (Table 2). Of these more than half related to the first domain (earning a living). At the other extreme the fourth domain (political participation) was represented by a single map. A small number of the dimensions included in Table 1 had to be omitted due to the absence of any suitable proxy variables. Full details of these indicators are provided in Annex 3 and Annex 6.</w:t>
      </w:r>
    </w:p>
    <w:p w:rsidR="001E296C" w:rsidRPr="00706E38" w:rsidRDefault="001E296C" w:rsidP="001E296C">
      <w:pPr>
        <w:rPr>
          <w:rFonts w:eastAsia="Calibri"/>
          <w:szCs w:val="22"/>
          <w:lang w:eastAsia="en-GB"/>
        </w:rPr>
      </w:pPr>
      <w:r w:rsidRPr="00706E38">
        <w:rPr>
          <w:rFonts w:eastAsia="Calibri"/>
          <w:szCs w:val="22"/>
          <w:lang w:eastAsia="en-GB"/>
        </w:rPr>
        <w:lastRenderedPageBreak/>
        <w:t xml:space="preserve">The 50 2011 indicators were assessed by the TiPSE research partners within four “macro-region” contexts: Atlantic-Central, Nordic and Baltic, Mediterranean, and East-Central-Balkan (see Annex 8). Consideration was given to four criteria: </w:t>
      </w:r>
      <w:r w:rsidRPr="00706E38">
        <w:rPr>
          <w:rFonts w:eastAsia="Calibri"/>
          <w:b/>
          <w:szCs w:val="22"/>
          <w:lang w:eastAsia="en-GB"/>
        </w:rPr>
        <w:t>coverage, harmonisation, discrimination and interpretability</w:t>
      </w:r>
      <w:r w:rsidRPr="00706E38">
        <w:rPr>
          <w:rFonts w:eastAsia="Calibri"/>
          <w:szCs w:val="22"/>
          <w:lang w:eastAsia="en-GB"/>
        </w:rPr>
        <w:t>. As a consequence of this assessment the number of indicators collected for 2011 was reduced to 22.</w:t>
      </w:r>
    </w:p>
    <w:p w:rsidR="00F7003D" w:rsidRPr="00706E38" w:rsidRDefault="00F7003D" w:rsidP="00F7003D">
      <w:r w:rsidRPr="00706E38">
        <w:t xml:space="preserve">The TiPSE research team studied the outputs of various ESPON projects in order to have an insight into their applied indicator structure and find linkages to their potential coverage on poverty and social exclusion. Key projects included: </w:t>
      </w:r>
    </w:p>
    <w:p w:rsidR="00F7003D" w:rsidRPr="00706E38" w:rsidRDefault="00F7003D" w:rsidP="00F80427">
      <w:pPr>
        <w:pStyle w:val="ListParagraph"/>
        <w:numPr>
          <w:ilvl w:val="0"/>
          <w:numId w:val="16"/>
        </w:numPr>
        <w:spacing w:before="0" w:after="120"/>
      </w:pPr>
      <w:r w:rsidRPr="00706E38">
        <w:t xml:space="preserve">DEMIFER, dealing with demographic and migratory flows in Europe, </w:t>
      </w:r>
    </w:p>
    <w:p w:rsidR="00F7003D" w:rsidRPr="00706E38" w:rsidRDefault="00F7003D" w:rsidP="00F80427">
      <w:pPr>
        <w:pStyle w:val="ListParagraph"/>
        <w:numPr>
          <w:ilvl w:val="0"/>
          <w:numId w:val="16"/>
        </w:numPr>
        <w:spacing w:before="0" w:after="120"/>
      </w:pPr>
      <w:r w:rsidRPr="00706E38">
        <w:t>ECR2, analysing the resilience of European regions against the economic crisis,</w:t>
      </w:r>
    </w:p>
    <w:p w:rsidR="00F7003D" w:rsidRPr="00706E38" w:rsidRDefault="00F7003D" w:rsidP="00F80427">
      <w:pPr>
        <w:pStyle w:val="ListParagraph"/>
        <w:numPr>
          <w:ilvl w:val="0"/>
          <w:numId w:val="16"/>
        </w:numPr>
        <w:spacing w:before="0" w:after="120"/>
      </w:pPr>
      <w:r w:rsidRPr="00706E38">
        <w:t>SIESTA, setting up a structure of indicators related to the Europe 2020 goals,</w:t>
      </w:r>
    </w:p>
    <w:p w:rsidR="00F7003D" w:rsidRPr="00706E38" w:rsidRDefault="00F7003D" w:rsidP="00F80427">
      <w:pPr>
        <w:pStyle w:val="ListParagraph"/>
        <w:numPr>
          <w:ilvl w:val="0"/>
          <w:numId w:val="16"/>
        </w:numPr>
        <w:spacing w:before="0" w:after="120"/>
      </w:pPr>
      <w:r w:rsidRPr="00706E38">
        <w:t xml:space="preserve">EDORA, on the development opportunities in European rural regions, </w:t>
      </w:r>
    </w:p>
    <w:p w:rsidR="00F7003D" w:rsidRPr="00706E38" w:rsidRDefault="00F7003D" w:rsidP="00F80427">
      <w:pPr>
        <w:pStyle w:val="ListParagraph"/>
        <w:numPr>
          <w:ilvl w:val="0"/>
          <w:numId w:val="16"/>
        </w:numPr>
        <w:spacing w:before="0" w:after="120"/>
      </w:pPr>
      <w:r w:rsidRPr="00706E38">
        <w:t>SeGI dealing with perspectives for services of general interest in territorial cohesion,</w:t>
      </w:r>
    </w:p>
    <w:p w:rsidR="00F7003D" w:rsidRPr="00706E38" w:rsidRDefault="00F7003D" w:rsidP="00F80427">
      <w:pPr>
        <w:pStyle w:val="ListParagraph"/>
        <w:numPr>
          <w:ilvl w:val="0"/>
          <w:numId w:val="16"/>
        </w:numPr>
        <w:spacing w:before="0" w:after="120"/>
      </w:pPr>
      <w:r w:rsidRPr="00706E38">
        <w:t>and SEMIGRA which is about the (gender) selective migration in rural regions.</w:t>
      </w:r>
    </w:p>
    <w:p w:rsidR="00F7003D" w:rsidRPr="00706E38" w:rsidRDefault="00F7003D" w:rsidP="00F7003D">
      <w:pPr>
        <w:rPr>
          <w:rFonts w:eastAsia="Calibri"/>
          <w:szCs w:val="22"/>
          <w:lang w:eastAsia="en-GB"/>
        </w:rPr>
      </w:pPr>
      <w:r w:rsidRPr="00706E38">
        <w:rPr>
          <w:rFonts w:eastAsia="Calibri"/>
          <w:szCs w:val="22"/>
          <w:lang w:eastAsia="en-GB"/>
        </w:rPr>
        <w:t>However, after careful consideration of the indicators employed by these projects it was decided that the disadvantages of incorporating indicators from these sources would outweigh the benefits. The principal considerations were:</w:t>
      </w:r>
    </w:p>
    <w:p w:rsidR="00F7003D" w:rsidRPr="00706E38" w:rsidRDefault="00F7003D" w:rsidP="00F80427">
      <w:pPr>
        <w:pStyle w:val="ListParagraph"/>
        <w:numPr>
          <w:ilvl w:val="0"/>
          <w:numId w:val="19"/>
        </w:numPr>
        <w:rPr>
          <w:rFonts w:eastAsia="Calibri"/>
          <w:szCs w:val="22"/>
          <w:lang w:eastAsia="en-GB"/>
        </w:rPr>
      </w:pPr>
      <w:r w:rsidRPr="00706E38">
        <w:rPr>
          <w:rFonts w:eastAsia="Calibri"/>
          <w:szCs w:val="22"/>
          <w:lang w:eastAsia="en-GB"/>
        </w:rPr>
        <w:t xml:space="preserve">Most of the indicators available from these projects are in any case derived from sources </w:t>
      </w:r>
      <w:r w:rsidR="003C7012" w:rsidRPr="00706E38">
        <w:rPr>
          <w:rFonts w:eastAsia="Calibri"/>
          <w:szCs w:val="22"/>
          <w:lang w:eastAsia="en-GB"/>
        </w:rPr>
        <w:t xml:space="preserve">(e.g. Eurostat) </w:t>
      </w:r>
      <w:r w:rsidRPr="00706E38">
        <w:rPr>
          <w:rFonts w:eastAsia="Calibri"/>
          <w:szCs w:val="22"/>
          <w:lang w:eastAsia="en-GB"/>
        </w:rPr>
        <w:t>already considered by the TiPSE project team.</w:t>
      </w:r>
    </w:p>
    <w:p w:rsidR="003C7012" w:rsidRPr="00706E38" w:rsidRDefault="003C7012" w:rsidP="00F80427">
      <w:pPr>
        <w:pStyle w:val="ListParagraph"/>
        <w:numPr>
          <w:ilvl w:val="0"/>
          <w:numId w:val="19"/>
        </w:numPr>
        <w:rPr>
          <w:rFonts w:eastAsia="Calibri"/>
          <w:szCs w:val="22"/>
          <w:lang w:eastAsia="en-GB"/>
        </w:rPr>
      </w:pPr>
      <w:r w:rsidRPr="00706E38">
        <w:rPr>
          <w:rFonts w:eastAsia="Calibri"/>
          <w:szCs w:val="22"/>
          <w:lang w:eastAsia="en-GB"/>
        </w:rPr>
        <w:t>Some were only available at NUTS 2 or NUTS 1.</w:t>
      </w:r>
    </w:p>
    <w:p w:rsidR="003C7012" w:rsidRPr="00706E38" w:rsidRDefault="003C7012" w:rsidP="00F80427">
      <w:pPr>
        <w:pStyle w:val="ListParagraph"/>
        <w:numPr>
          <w:ilvl w:val="0"/>
          <w:numId w:val="19"/>
        </w:numPr>
        <w:rPr>
          <w:rFonts w:eastAsia="Calibri"/>
          <w:szCs w:val="22"/>
          <w:lang w:eastAsia="en-GB"/>
        </w:rPr>
      </w:pPr>
      <w:r w:rsidRPr="00706E38">
        <w:rPr>
          <w:rFonts w:eastAsia="Calibri"/>
          <w:szCs w:val="22"/>
          <w:lang w:eastAsia="en-GB"/>
        </w:rPr>
        <w:t>The 2011 Census database compiled by the TiPSE research team is more up-to-date, has superior NUTS 3 coverage, and is more directly comparable with the 2001 Census data which we had already compiled.</w:t>
      </w:r>
    </w:p>
    <w:p w:rsidR="00F7003D" w:rsidRPr="00706E38" w:rsidRDefault="00F7003D" w:rsidP="00F7003D">
      <w:pPr>
        <w:rPr>
          <w:rFonts w:eastAsia="Calibri"/>
          <w:szCs w:val="22"/>
          <w:lang w:eastAsia="en-GB"/>
        </w:rPr>
      </w:pPr>
      <w:r w:rsidRPr="00706E38">
        <w:rPr>
          <w:rFonts w:eastAsia="Calibri"/>
          <w:szCs w:val="22"/>
          <w:lang w:eastAsia="en-GB"/>
        </w:rPr>
        <w:t xml:space="preserve">After a detailed and honest assessment of the many weaknesses of the proxy indicators which comprise the </w:t>
      </w:r>
      <w:r w:rsidR="003C7012" w:rsidRPr="00706E38">
        <w:rPr>
          <w:rFonts w:eastAsia="Calibri"/>
          <w:szCs w:val="22"/>
          <w:lang w:eastAsia="en-GB"/>
        </w:rPr>
        <w:t xml:space="preserve">TiPSE </w:t>
      </w:r>
      <w:r w:rsidRPr="00706E38">
        <w:rPr>
          <w:rFonts w:eastAsia="Calibri"/>
          <w:szCs w:val="22"/>
          <w:lang w:eastAsia="en-GB"/>
        </w:rPr>
        <w:t>Census-based database, Tagai concludes (Annex 8 p142):</w:t>
      </w:r>
    </w:p>
    <w:p w:rsidR="00F7003D" w:rsidRPr="00706E38" w:rsidRDefault="00F7003D" w:rsidP="00F7003D">
      <w:pPr>
        <w:rPr>
          <w:rFonts w:eastAsia="Calibri"/>
          <w:i/>
          <w:szCs w:val="22"/>
          <w:lang w:eastAsia="en-GB"/>
        </w:rPr>
      </w:pPr>
      <w:r w:rsidRPr="00706E38">
        <w:rPr>
          <w:rFonts w:eastAsia="Calibri"/>
          <w:szCs w:val="22"/>
          <w:lang w:eastAsia="en-GB"/>
        </w:rPr>
        <w:t>“</w:t>
      </w:r>
      <w:r w:rsidRPr="00706E38">
        <w:rPr>
          <w:i/>
        </w:rPr>
        <w:t>Despite these limitations the indicators selected for the analysis of spatial patterns of social exclusion are suitable. They illustrate directly or (usually) indirectly the symptoms of exclusion related to the analysed domains and dimensions. Considerations on certain limitations do not annul the outlined patterns – but they show where the applied indicators do not work – and by refining the patterns they can contribute to a more careful interpretation of the spatiality of exclusion in Europe. In this way, these reflections can be one type of source for further development of measurements for analysing (and monitoring) social exclusion...”</w:t>
      </w:r>
    </w:p>
    <w:p w:rsidR="00552C28" w:rsidRPr="00706E38" w:rsidRDefault="00552C28" w:rsidP="00E438A5">
      <w:pPr>
        <w:rPr>
          <w:rFonts w:eastAsia="Calibri"/>
          <w:szCs w:val="22"/>
          <w:lang w:eastAsia="en-GB"/>
        </w:rPr>
      </w:pPr>
    </w:p>
    <w:p w:rsidR="008D5EBF" w:rsidRPr="00706E38" w:rsidRDefault="008D5EBF" w:rsidP="008D5EBF">
      <w:pPr>
        <w:pStyle w:val="Heading2"/>
        <w:rPr>
          <w:rFonts w:eastAsia="Calibri"/>
          <w:lang w:eastAsia="en-GB"/>
        </w:rPr>
      </w:pPr>
      <w:bookmarkStart w:id="43" w:name="_Toc410375327"/>
      <w:r w:rsidRPr="00706E38">
        <w:rPr>
          <w:rFonts w:eastAsia="Calibri"/>
          <w:lang w:eastAsia="en-GB"/>
        </w:rPr>
        <w:t>Searching for spatial organisation in patterns of social exclusion</w:t>
      </w:r>
      <w:bookmarkEnd w:id="43"/>
    </w:p>
    <w:p w:rsidR="0070033F" w:rsidRPr="00706E38" w:rsidRDefault="0070033F" w:rsidP="00E438A5">
      <w:pPr>
        <w:rPr>
          <w:rFonts w:eastAsia="Calibri"/>
          <w:szCs w:val="22"/>
          <w:lang w:eastAsia="en-GB"/>
        </w:rPr>
      </w:pPr>
      <w:r w:rsidRPr="00706E38">
        <w:rPr>
          <w:rFonts w:eastAsia="Calibri"/>
          <w:szCs w:val="22"/>
          <w:lang w:eastAsia="en-GB"/>
        </w:rPr>
        <w:t xml:space="preserve">The patterns of social exclusion which the proxy indicators imply may be described at a range of scales. Our brief review will focus first on hints of </w:t>
      </w:r>
      <w:r w:rsidR="007762F9" w:rsidRPr="00706E38">
        <w:rPr>
          <w:rFonts w:eastAsia="Calibri"/>
          <w:szCs w:val="22"/>
          <w:lang w:eastAsia="en-GB"/>
        </w:rPr>
        <w:t>recognisable and “explainable” patterns</w:t>
      </w:r>
      <w:r w:rsidRPr="00706E38">
        <w:rPr>
          <w:rFonts w:eastAsia="Calibri"/>
          <w:szCs w:val="22"/>
          <w:lang w:eastAsia="en-GB"/>
        </w:rPr>
        <w:t xml:space="preserve"> which were detected by researchers reviewing the maps for </w:t>
      </w:r>
      <w:r w:rsidRPr="00706E38">
        <w:rPr>
          <w:rFonts w:eastAsia="Calibri"/>
          <w:szCs w:val="22"/>
          <w:lang w:eastAsia="en-GB"/>
        </w:rPr>
        <w:lastRenderedPageBreak/>
        <w:t>four geographic “macro regions” before attempting to draw these together at a European scale. Further detail is provided in Annex 8.</w:t>
      </w:r>
    </w:p>
    <w:p w:rsidR="008E4C04" w:rsidRPr="00706E38" w:rsidRDefault="008E4C04" w:rsidP="00E438A5">
      <w:pPr>
        <w:rPr>
          <w:rFonts w:eastAsia="Calibri"/>
          <w:szCs w:val="22"/>
          <w:lang w:eastAsia="en-GB"/>
        </w:rPr>
      </w:pPr>
      <w:r w:rsidRPr="00706E38">
        <w:rPr>
          <w:rFonts w:eastAsia="Calibri"/>
          <w:szCs w:val="22"/>
          <w:lang w:eastAsia="en-GB"/>
        </w:rPr>
        <w:t xml:space="preserve">In the Atlantic-Central macro-region Copus and Weck observed that different dimensions exhibited </w:t>
      </w:r>
      <w:r w:rsidR="007762F9" w:rsidRPr="00706E38">
        <w:rPr>
          <w:rFonts w:eastAsia="Calibri"/>
          <w:szCs w:val="22"/>
          <w:lang w:eastAsia="en-GB"/>
        </w:rPr>
        <w:t xml:space="preserve">a range of </w:t>
      </w:r>
      <w:r w:rsidRPr="00706E38">
        <w:rPr>
          <w:rFonts w:eastAsia="Calibri"/>
          <w:szCs w:val="22"/>
          <w:lang w:eastAsia="en-GB"/>
        </w:rPr>
        <w:t xml:space="preserve">different kinds of spatial pattern, </w:t>
      </w:r>
      <w:r w:rsidR="007762F9" w:rsidRPr="00706E38">
        <w:rPr>
          <w:rFonts w:eastAsia="Calibri"/>
          <w:szCs w:val="22"/>
          <w:lang w:eastAsia="en-GB"/>
        </w:rPr>
        <w:t>with proxies being higher in urban,</w:t>
      </w:r>
      <w:r w:rsidRPr="00706E38">
        <w:rPr>
          <w:rFonts w:eastAsia="Calibri"/>
          <w:szCs w:val="22"/>
          <w:lang w:eastAsia="en-GB"/>
        </w:rPr>
        <w:t xml:space="preserve"> rural</w:t>
      </w:r>
      <w:r w:rsidR="007762F9" w:rsidRPr="00706E38">
        <w:rPr>
          <w:rFonts w:eastAsia="Calibri"/>
          <w:szCs w:val="22"/>
          <w:lang w:eastAsia="en-GB"/>
        </w:rPr>
        <w:t xml:space="preserve">, </w:t>
      </w:r>
      <w:r w:rsidRPr="00706E38">
        <w:rPr>
          <w:rFonts w:eastAsia="Calibri"/>
          <w:szCs w:val="22"/>
          <w:lang w:eastAsia="en-GB"/>
        </w:rPr>
        <w:t>coastal</w:t>
      </w:r>
      <w:r w:rsidR="007762F9" w:rsidRPr="00706E38">
        <w:rPr>
          <w:rFonts w:eastAsia="Calibri"/>
          <w:szCs w:val="22"/>
          <w:lang w:eastAsia="en-GB"/>
        </w:rPr>
        <w:t xml:space="preserve">, or </w:t>
      </w:r>
      <w:r w:rsidRPr="00706E38">
        <w:rPr>
          <w:rFonts w:eastAsia="Calibri"/>
          <w:szCs w:val="22"/>
          <w:lang w:eastAsia="en-GB"/>
        </w:rPr>
        <w:t>peripher</w:t>
      </w:r>
      <w:r w:rsidR="007762F9" w:rsidRPr="00706E38">
        <w:rPr>
          <w:rFonts w:eastAsia="Calibri"/>
          <w:szCs w:val="22"/>
          <w:lang w:eastAsia="en-GB"/>
        </w:rPr>
        <w:t>al regions</w:t>
      </w:r>
      <w:r w:rsidRPr="00706E38">
        <w:rPr>
          <w:rFonts w:eastAsia="Calibri"/>
          <w:szCs w:val="22"/>
          <w:lang w:eastAsia="en-GB"/>
        </w:rPr>
        <w:t xml:space="preserve">, and </w:t>
      </w:r>
      <w:r w:rsidR="007762F9" w:rsidRPr="00706E38">
        <w:rPr>
          <w:rFonts w:eastAsia="Calibri"/>
          <w:szCs w:val="22"/>
          <w:lang w:eastAsia="en-GB"/>
        </w:rPr>
        <w:t xml:space="preserve">other </w:t>
      </w:r>
      <w:r w:rsidRPr="00706E38">
        <w:rPr>
          <w:rFonts w:eastAsia="Calibri"/>
          <w:szCs w:val="22"/>
          <w:lang w:eastAsia="en-GB"/>
        </w:rPr>
        <w:t xml:space="preserve">concentrations which were </w:t>
      </w:r>
      <w:r w:rsidR="007762F9" w:rsidRPr="00706E38">
        <w:rPr>
          <w:rFonts w:eastAsia="Calibri"/>
          <w:szCs w:val="22"/>
          <w:lang w:eastAsia="en-GB"/>
        </w:rPr>
        <w:t xml:space="preserve">related to specific characteristics of </w:t>
      </w:r>
      <w:r w:rsidRPr="00706E38">
        <w:rPr>
          <w:rFonts w:eastAsia="Calibri"/>
          <w:szCs w:val="22"/>
          <w:lang w:eastAsia="en-GB"/>
        </w:rPr>
        <w:t xml:space="preserve">individual </w:t>
      </w:r>
      <w:r w:rsidR="007762F9" w:rsidRPr="00706E38">
        <w:rPr>
          <w:rFonts w:eastAsia="Calibri"/>
          <w:szCs w:val="22"/>
          <w:lang w:eastAsia="en-GB"/>
        </w:rPr>
        <w:t>localities or regions</w:t>
      </w:r>
      <w:r w:rsidRPr="00706E38">
        <w:rPr>
          <w:rFonts w:eastAsia="Calibri"/>
          <w:szCs w:val="22"/>
          <w:lang w:eastAsia="en-GB"/>
        </w:rPr>
        <w:t>.</w:t>
      </w:r>
    </w:p>
    <w:p w:rsidR="00BE6E7A" w:rsidRPr="00706E38" w:rsidRDefault="001D2AC6" w:rsidP="00E438A5">
      <w:pPr>
        <w:rPr>
          <w:rFonts w:eastAsia="Calibri"/>
          <w:szCs w:val="22"/>
          <w:lang w:eastAsia="en-GB"/>
        </w:rPr>
      </w:pPr>
      <w:r w:rsidRPr="00706E38">
        <w:rPr>
          <w:rFonts w:eastAsia="Calibri"/>
          <w:szCs w:val="22"/>
          <w:lang w:eastAsia="en-GB"/>
        </w:rPr>
        <w:t xml:space="preserve">In the Nordic-Baltic macro-region </w:t>
      </w:r>
      <w:r w:rsidR="00F411FB" w:rsidRPr="00706E38">
        <w:rPr>
          <w:rFonts w:eastAsia="Calibri"/>
          <w:szCs w:val="22"/>
          <w:lang w:eastAsia="en-GB"/>
        </w:rPr>
        <w:t>Dym</w:t>
      </w:r>
      <w:r w:rsidR="00F411FB" w:rsidRPr="00706E38">
        <w:rPr>
          <w:rFonts w:eastAsia="Calibri" w:cs="Arial"/>
          <w:szCs w:val="22"/>
          <w:lang w:eastAsia="en-GB"/>
        </w:rPr>
        <w:t>é</w:t>
      </w:r>
      <w:r w:rsidR="00F411FB" w:rsidRPr="00706E38">
        <w:rPr>
          <w:rFonts w:eastAsia="Calibri"/>
          <w:szCs w:val="22"/>
          <w:lang w:eastAsia="en-GB"/>
        </w:rPr>
        <w:t xml:space="preserve">n </w:t>
      </w:r>
      <w:r w:rsidR="00F411FB" w:rsidRPr="00706E38">
        <w:rPr>
          <w:rFonts w:eastAsia="Calibri"/>
          <w:i/>
          <w:szCs w:val="22"/>
          <w:lang w:eastAsia="en-GB"/>
        </w:rPr>
        <w:t>et al</w:t>
      </w:r>
      <w:r w:rsidR="00F411FB" w:rsidRPr="00706E38">
        <w:rPr>
          <w:rFonts w:eastAsia="Calibri"/>
          <w:szCs w:val="22"/>
          <w:lang w:eastAsia="en-GB"/>
        </w:rPr>
        <w:t xml:space="preserve"> noted a tendency for lower levels of social exclusion indicators in capital cities compared with more remote regions, and a rather clear contrast in levels, across all domains, between the Nordic and Baltic countries.</w:t>
      </w:r>
    </w:p>
    <w:p w:rsidR="00F7003D" w:rsidRPr="00706E38" w:rsidRDefault="00F7003D" w:rsidP="00F7003D">
      <w:pPr>
        <w:rPr>
          <w:rFonts w:eastAsia="Calibri"/>
          <w:szCs w:val="22"/>
          <w:lang w:eastAsia="en-GB"/>
        </w:rPr>
      </w:pPr>
      <w:r w:rsidRPr="00706E38">
        <w:rPr>
          <w:rFonts w:eastAsia="Calibri"/>
          <w:szCs w:val="22"/>
          <w:lang w:eastAsia="en-GB"/>
        </w:rPr>
        <w:t xml:space="preserve">In the Mediterranean macro-region Kandylis </w:t>
      </w:r>
      <w:r w:rsidRPr="00706E38">
        <w:rPr>
          <w:rFonts w:eastAsia="Calibri"/>
          <w:i/>
          <w:szCs w:val="22"/>
          <w:lang w:eastAsia="en-GB"/>
        </w:rPr>
        <w:t>et al</w:t>
      </w:r>
      <w:r w:rsidRPr="00706E38">
        <w:rPr>
          <w:rFonts w:eastAsia="Calibri"/>
          <w:szCs w:val="22"/>
          <w:lang w:eastAsia="en-GB"/>
        </w:rPr>
        <w:t xml:space="preserve"> remarked on the inconsistency between countries in terms of availability of social inclusion indicators, making comparisons difficult. They suggested that the link between indicators and the theoretical rational was sometimes tenuous. Finally they pointed out that data on immigrants and political participation were rather serious gaps in coverage for several of the Mediterranean countries.</w:t>
      </w:r>
    </w:p>
    <w:p w:rsidR="00F7003D" w:rsidRPr="00706E38" w:rsidRDefault="00F7003D" w:rsidP="00E438A5">
      <w:pPr>
        <w:rPr>
          <w:rFonts w:eastAsia="Calibri"/>
          <w:szCs w:val="22"/>
          <w:lang w:eastAsia="en-GB"/>
        </w:rPr>
      </w:pPr>
      <w:r w:rsidRPr="00706E38">
        <w:rPr>
          <w:rFonts w:eastAsia="Calibri"/>
          <w:szCs w:val="22"/>
          <w:lang w:eastAsia="en-GB"/>
        </w:rPr>
        <w:t xml:space="preserve">Tagai </w:t>
      </w:r>
      <w:r w:rsidRPr="00706E38">
        <w:rPr>
          <w:rFonts w:eastAsia="Calibri"/>
          <w:i/>
          <w:szCs w:val="22"/>
          <w:lang w:eastAsia="en-GB"/>
        </w:rPr>
        <w:t>et al</w:t>
      </w:r>
      <w:r w:rsidRPr="00706E38">
        <w:rPr>
          <w:rFonts w:eastAsia="Calibri"/>
          <w:szCs w:val="22"/>
          <w:lang w:eastAsia="en-GB"/>
        </w:rPr>
        <w:t>, in their review of the East-Central-Balkan macro region noted that urban and capital regions seem to have less exclusion than rural or peripheral regions, and that there is some evidence of a general East-West gradient.</w:t>
      </w:r>
    </w:p>
    <w:p w:rsidR="00C65A99" w:rsidRPr="00706E38" w:rsidRDefault="00C65A99" w:rsidP="00C65A99">
      <w:pPr>
        <w:rPr>
          <w:rFonts w:eastAsia="Calibri"/>
          <w:szCs w:val="22"/>
          <w:lang w:eastAsia="en-GB"/>
        </w:rPr>
      </w:pPr>
      <w:r w:rsidRPr="00706E38">
        <w:rPr>
          <w:rFonts w:eastAsia="Calibri"/>
          <w:szCs w:val="22"/>
          <w:lang w:eastAsia="en-GB"/>
        </w:rPr>
        <w:t xml:space="preserve">Summing up, on the basis of maps of the entire ESPON space Tagai points to four broad patterns of differentiation as revealed by the four domains and various dimensions of social exclusion: The first of these is between the </w:t>
      </w:r>
      <w:r w:rsidRPr="00706E38">
        <w:rPr>
          <w:rFonts w:eastAsia="Calibri"/>
          <w:b/>
          <w:szCs w:val="22"/>
          <w:lang w:eastAsia="en-GB"/>
        </w:rPr>
        <w:t>macro-regions</w:t>
      </w:r>
      <w:r w:rsidRPr="00706E38">
        <w:rPr>
          <w:rFonts w:eastAsia="Calibri"/>
          <w:szCs w:val="22"/>
          <w:lang w:eastAsia="en-GB"/>
        </w:rPr>
        <w:t xml:space="preserve">, especially between the former socialist countries and North-West Europe, and between the Mediterranean countries and the Northern countries. The second is </w:t>
      </w:r>
      <w:r w:rsidRPr="00706E38">
        <w:rPr>
          <w:rFonts w:eastAsia="Calibri"/>
          <w:b/>
          <w:szCs w:val="22"/>
          <w:lang w:eastAsia="en-GB"/>
        </w:rPr>
        <w:t>urban-rural</w:t>
      </w:r>
      <w:r w:rsidRPr="00706E38">
        <w:rPr>
          <w:rFonts w:eastAsia="Calibri"/>
          <w:szCs w:val="22"/>
          <w:lang w:eastAsia="en-GB"/>
        </w:rPr>
        <w:t xml:space="preserve"> differentiation. The third is termed “</w:t>
      </w:r>
      <w:r w:rsidRPr="00706E38">
        <w:rPr>
          <w:rFonts w:eastAsia="Calibri"/>
          <w:b/>
          <w:szCs w:val="22"/>
          <w:lang w:eastAsia="en-GB"/>
        </w:rPr>
        <w:t>peripherality</w:t>
      </w:r>
      <w:r w:rsidRPr="00706E38">
        <w:rPr>
          <w:rFonts w:eastAsia="Calibri"/>
          <w:szCs w:val="22"/>
          <w:lang w:eastAsia="en-GB"/>
        </w:rPr>
        <w:t>”, but should not be confused with the specific technical usage; it is used here as a generic term for regions with specific geographic “marginality”; islands, mountains, coasts, or border areas. The final pattern relates to (socio-economic) “</w:t>
      </w:r>
      <w:r w:rsidRPr="00706E38">
        <w:rPr>
          <w:rFonts w:eastAsia="Calibri"/>
          <w:b/>
          <w:szCs w:val="22"/>
          <w:lang w:eastAsia="en-GB"/>
        </w:rPr>
        <w:t>place specific</w:t>
      </w:r>
      <w:r w:rsidRPr="00706E38">
        <w:rPr>
          <w:rFonts w:eastAsia="Calibri"/>
          <w:szCs w:val="22"/>
          <w:lang w:eastAsia="en-GB"/>
        </w:rPr>
        <w:t>” issues, including areas which have failed to adapt their industrial structure, areas with particularly severe issues of demographic ageing, or outmigration, and regions with specific issues relating to ethnic minority groups.</w:t>
      </w:r>
      <w:r w:rsidR="002D6B90" w:rsidRPr="00706E38">
        <w:rPr>
          <w:rFonts w:eastAsia="Calibri"/>
          <w:szCs w:val="22"/>
          <w:lang w:eastAsia="en-GB"/>
        </w:rPr>
        <w:t xml:space="preserve"> The four examples of maps (maps 8-12) included below illustrate the first two of these kinds of variation. The full set of maps may be found in Annex 8.</w:t>
      </w:r>
    </w:p>
    <w:p w:rsidR="008C616B" w:rsidRPr="00706E38" w:rsidRDefault="008B31B9" w:rsidP="008C616B">
      <w:pPr>
        <w:keepNext/>
      </w:pPr>
      <w:r>
        <w:rPr>
          <w:noProof/>
          <w:lang w:eastAsia="en-GB"/>
        </w:rPr>
        <w:lastRenderedPageBreak/>
        <w:drawing>
          <wp:inline distT="0" distB="0" distL="0" distR="0">
            <wp:extent cx="5263116" cy="5932967"/>
            <wp:effectExtent l="0" t="0" r="0" b="0"/>
            <wp:docPr id="14" name="Kép 13" descr="Activity_GGap_Census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ity_GGap_Census_2001.png"/>
                    <pic:cNvPicPr/>
                  </pic:nvPicPr>
                  <pic:blipFill rotWithShape="1">
                    <a:blip r:embed="rId22" cstate="print"/>
                    <a:srcRect t="15582" b="4647"/>
                    <a:stretch/>
                  </pic:blipFill>
                  <pic:spPr bwMode="auto">
                    <a:xfrm>
                      <a:off x="0" y="0"/>
                      <a:ext cx="5270472" cy="594125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C7F99" w:rsidRPr="00706E38" w:rsidRDefault="008C616B" w:rsidP="008C616B">
      <w:pPr>
        <w:pStyle w:val="Caption"/>
      </w:pPr>
      <w:bookmarkStart w:id="44" w:name="_Toc404011380"/>
      <w:r w:rsidRPr="00706E38">
        <w:t xml:space="preserve">Map </w:t>
      </w:r>
      <w:fldSimple w:instr=" SEQ Map \* ARABIC ">
        <w:r w:rsidR="000F31D5" w:rsidRPr="00706E38">
          <w:rPr>
            <w:noProof/>
          </w:rPr>
          <w:t>8</w:t>
        </w:r>
      </w:fldSimple>
      <w:r w:rsidRPr="00706E38">
        <w:t xml:space="preserve">: Domain 1: Gender Ratio in Economic Activity Rates - An Example of </w:t>
      </w:r>
      <w:r w:rsidR="00002117" w:rsidRPr="00706E38">
        <w:t xml:space="preserve">variation according to </w:t>
      </w:r>
      <w:r w:rsidRPr="00706E38">
        <w:t>Macro-Region</w:t>
      </w:r>
      <w:r w:rsidR="00002117" w:rsidRPr="00706E38">
        <w:t>s</w:t>
      </w:r>
      <w:r w:rsidR="000C7F99" w:rsidRPr="00706E38">
        <w:t>.</w:t>
      </w:r>
      <w:bookmarkEnd w:id="44"/>
    </w:p>
    <w:p w:rsidR="000C7F99" w:rsidRPr="00706E38" w:rsidRDefault="000C7F99" w:rsidP="000C7F99">
      <w:pPr>
        <w:rPr>
          <w:rFonts w:eastAsia="Calibri"/>
          <w:szCs w:val="22"/>
          <w:lang w:eastAsia="en-GB"/>
        </w:rPr>
      </w:pPr>
      <w:r w:rsidRPr="00706E38">
        <w:rPr>
          <w:rFonts w:eastAsia="Calibri"/>
          <w:szCs w:val="22"/>
          <w:lang w:eastAsia="en-GB"/>
        </w:rPr>
        <w:t>Within a single domain different dimensions may exhibit different patterns. For example within the Earning a living domain disposable income varies fairly systematically between the New Member States 12 of the East, and the EU15 in the North and West, it also varies (even within countries) along a North-South axis. However urban-rural and “peripheral” differentiation is apparent in the activity rates dimension, whilst unemployment rates exhibit a complex pattern which is impossible to fully describe or explain without reference to changing national and local social and economic environments. In the case of the latter urban-rural differences are opposite in the North and West, compared with the New Member States, being higher in urban areas in the former, and higher in rural areas in the latter.</w:t>
      </w:r>
    </w:p>
    <w:p w:rsidR="008C616B" w:rsidRPr="00706E38" w:rsidRDefault="008B31B9" w:rsidP="008C616B">
      <w:pPr>
        <w:keepNext/>
      </w:pPr>
      <w:r>
        <w:rPr>
          <w:noProof/>
          <w:lang w:eastAsia="en-GB"/>
        </w:rPr>
        <w:lastRenderedPageBreak/>
        <w:drawing>
          <wp:inline distT="0" distB="0" distL="0" distR="0">
            <wp:extent cx="5263116" cy="5922335"/>
            <wp:effectExtent l="0" t="0" r="0" b="2540"/>
            <wp:docPr id="6" name="Kép 18" descr="No_High_qualification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_High_qualification_2001.png"/>
                    <pic:cNvPicPr/>
                  </pic:nvPicPr>
                  <pic:blipFill rotWithShape="1">
                    <a:blip r:embed="rId23" cstate="print"/>
                    <a:srcRect t="15440" b="4933"/>
                    <a:stretch/>
                  </pic:blipFill>
                  <pic:spPr bwMode="auto">
                    <a:xfrm>
                      <a:off x="0" y="0"/>
                      <a:ext cx="5270472" cy="593061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C616B" w:rsidRPr="00706E38" w:rsidRDefault="008C616B" w:rsidP="008C616B">
      <w:pPr>
        <w:pStyle w:val="Caption"/>
      </w:pPr>
      <w:bookmarkStart w:id="45" w:name="_Toc404011381"/>
      <w:r w:rsidRPr="00706E38">
        <w:t xml:space="preserve">Map </w:t>
      </w:r>
      <w:fldSimple w:instr=" SEQ Map \* ARABIC ">
        <w:r w:rsidR="000F31D5" w:rsidRPr="00706E38">
          <w:rPr>
            <w:noProof/>
          </w:rPr>
          <w:t>9</w:t>
        </w:r>
      </w:fldSimple>
      <w:r w:rsidRPr="00706E38">
        <w:t xml:space="preserve">: Domain 2: Ratio of Population without a High Qualification - An Example of </w:t>
      </w:r>
      <w:r w:rsidR="00002117" w:rsidRPr="00706E38">
        <w:t>exclusion concentrated in Rural Areas</w:t>
      </w:r>
      <w:bookmarkEnd w:id="45"/>
    </w:p>
    <w:p w:rsidR="000C7F99" w:rsidRPr="00706E38" w:rsidRDefault="000C7F99" w:rsidP="000C7F99">
      <w:pPr>
        <w:rPr>
          <w:rFonts w:eastAsia="Calibri"/>
          <w:szCs w:val="22"/>
          <w:lang w:eastAsia="en-GB"/>
        </w:rPr>
      </w:pPr>
      <w:r w:rsidRPr="00706E38">
        <w:rPr>
          <w:rFonts w:eastAsia="Calibri"/>
          <w:szCs w:val="22"/>
          <w:lang w:eastAsia="en-GB"/>
        </w:rPr>
        <w:t>Tagai points out (Annex 8 p132) that a comparison of maps for 2</w:t>
      </w:r>
      <w:r w:rsidR="00BB2208" w:rsidRPr="00706E38">
        <w:rPr>
          <w:rFonts w:eastAsia="Calibri"/>
          <w:szCs w:val="22"/>
          <w:lang w:eastAsia="en-GB"/>
        </w:rPr>
        <w:t xml:space="preserve">001 and 2011 is a rather crude </w:t>
      </w:r>
      <w:r w:rsidRPr="00706E38">
        <w:rPr>
          <w:rFonts w:eastAsia="Calibri"/>
          <w:szCs w:val="22"/>
          <w:lang w:eastAsia="en-GB"/>
        </w:rPr>
        <w:t xml:space="preserve">way to study the process of change in social exclusion over time. However some broad pointers are observed. For example disposable incomes seem to have improved in the New Member States of the East, remained stable in countries of the centre, and declined slightly in the UK. In-work poverty (as proxied by the share of the workforce employed in elementary occupations), seems to have been exacerbated in the Mediterranean countries and some New Member States. </w:t>
      </w:r>
    </w:p>
    <w:p w:rsidR="008C616B" w:rsidRPr="00706E38" w:rsidRDefault="008B31B9" w:rsidP="008C616B">
      <w:pPr>
        <w:keepNext/>
      </w:pPr>
      <w:r>
        <w:rPr>
          <w:noProof/>
          <w:lang w:eastAsia="en-GB"/>
        </w:rPr>
        <w:lastRenderedPageBreak/>
        <w:drawing>
          <wp:inline distT="0" distB="0" distL="0" distR="0">
            <wp:extent cx="5263116" cy="5932968"/>
            <wp:effectExtent l="0" t="0" r="0" b="0"/>
            <wp:docPr id="25" name="Kép 24" descr="ODependency_rate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ependency_rate_2001.png"/>
                    <pic:cNvPicPr/>
                  </pic:nvPicPr>
                  <pic:blipFill rotWithShape="1">
                    <a:blip r:embed="rId24" cstate="print"/>
                    <a:srcRect t="15440" b="4789"/>
                    <a:stretch/>
                  </pic:blipFill>
                  <pic:spPr bwMode="auto">
                    <a:xfrm>
                      <a:off x="0" y="0"/>
                      <a:ext cx="5270472" cy="594126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C616B" w:rsidRPr="00706E38" w:rsidRDefault="008C616B" w:rsidP="008C616B">
      <w:pPr>
        <w:pStyle w:val="Caption"/>
      </w:pPr>
      <w:bookmarkStart w:id="46" w:name="_Toc404011382"/>
      <w:r w:rsidRPr="00706E38">
        <w:t xml:space="preserve">Map </w:t>
      </w:r>
      <w:fldSimple w:instr=" SEQ Map \* ARABIC ">
        <w:r w:rsidR="000F31D5" w:rsidRPr="00706E38">
          <w:rPr>
            <w:noProof/>
          </w:rPr>
          <w:t>10</w:t>
        </w:r>
      </w:fldSimple>
      <w:r w:rsidRPr="00706E38">
        <w:t xml:space="preserve">: Domain 3: Old Age Dependency rates - </w:t>
      </w:r>
      <w:r w:rsidR="00002117" w:rsidRPr="00706E38">
        <w:t>An Example of exclusion concentrated in Rural Areas</w:t>
      </w:r>
      <w:bookmarkEnd w:id="46"/>
    </w:p>
    <w:p w:rsidR="000C7F99" w:rsidRPr="00706E38" w:rsidRDefault="000C7F99" w:rsidP="000C7F99">
      <w:pPr>
        <w:rPr>
          <w:rFonts w:eastAsia="Calibri"/>
          <w:szCs w:val="22"/>
          <w:lang w:eastAsia="en-GB"/>
        </w:rPr>
      </w:pPr>
      <w:r w:rsidRPr="00706E38">
        <w:rPr>
          <w:rFonts w:eastAsia="Calibri"/>
          <w:szCs w:val="22"/>
          <w:lang w:eastAsia="en-GB"/>
        </w:rPr>
        <w:t>In the access to services domain (education, health and housing) there was a general reduction in implied levels of exclusion between 2001 and 2011, though the improvement was consistently stronger in the North, West and Centre of Europe, compared with the East and South.</w:t>
      </w:r>
    </w:p>
    <w:p w:rsidR="000C7F99" w:rsidRPr="00706E38" w:rsidRDefault="000C7F99" w:rsidP="000C7F99">
      <w:pPr>
        <w:rPr>
          <w:rFonts w:eastAsia="Calibri"/>
          <w:szCs w:val="22"/>
          <w:lang w:eastAsia="en-GB"/>
        </w:rPr>
      </w:pPr>
      <w:r w:rsidRPr="00706E38">
        <w:rPr>
          <w:rFonts w:eastAsia="Calibri"/>
          <w:szCs w:val="22"/>
          <w:lang w:eastAsia="en-GB"/>
        </w:rPr>
        <w:t>In the social environment domain the issue of old age dependency increased throughout Europe, but especially in Germany. Macro-regional differences in the incidence of lone parents, and the tendency for lone parent households to concentrate in urban regions decline between 2001 and 2011. On the other hand there was some evidence to suggest increasing micro-regional concentration of the Roma in parts of East Central Europe and the Balkans.</w:t>
      </w:r>
    </w:p>
    <w:p w:rsidR="008C616B" w:rsidRPr="00706E38" w:rsidRDefault="008B31B9" w:rsidP="008C616B">
      <w:pPr>
        <w:keepNext/>
      </w:pPr>
      <w:r>
        <w:rPr>
          <w:noProof/>
          <w:lang w:eastAsia="en-GB"/>
        </w:rPr>
        <w:lastRenderedPageBreak/>
        <w:drawing>
          <wp:inline distT="0" distB="0" distL="0" distR="0">
            <wp:extent cx="5263116" cy="5964866"/>
            <wp:effectExtent l="0" t="0" r="0" b="0"/>
            <wp:docPr id="31" name="Kép 30" descr="Non_citizen_population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n_citizen_population_2001.png"/>
                    <pic:cNvPicPr/>
                  </pic:nvPicPr>
                  <pic:blipFill rotWithShape="1">
                    <a:blip r:embed="rId25" cstate="print"/>
                    <a:srcRect t="15440" b="4361"/>
                    <a:stretch/>
                  </pic:blipFill>
                  <pic:spPr bwMode="auto">
                    <a:xfrm>
                      <a:off x="0" y="0"/>
                      <a:ext cx="5270472" cy="597320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C616B" w:rsidRPr="00706E38" w:rsidRDefault="008C616B" w:rsidP="008C616B">
      <w:pPr>
        <w:pStyle w:val="Caption"/>
        <w:spacing w:after="240"/>
      </w:pPr>
      <w:bookmarkStart w:id="47" w:name="_Toc404011383"/>
      <w:r w:rsidRPr="00706E38">
        <w:t xml:space="preserve">Map </w:t>
      </w:r>
      <w:fldSimple w:instr=" SEQ Map \* ARABIC ">
        <w:r w:rsidR="000F31D5" w:rsidRPr="00706E38">
          <w:rPr>
            <w:noProof/>
          </w:rPr>
          <w:t>11</w:t>
        </w:r>
      </w:fldSimple>
      <w:r w:rsidRPr="00706E38">
        <w:t xml:space="preserve">: Domain 4: Citizenship – </w:t>
      </w:r>
      <w:r w:rsidR="00002117" w:rsidRPr="00706E38">
        <w:t>An Example of exclusion concentrated in Metropolitan Areas</w:t>
      </w:r>
      <w:bookmarkEnd w:id="47"/>
    </w:p>
    <w:p w:rsidR="00453D71" w:rsidRPr="00706E38" w:rsidRDefault="00542452" w:rsidP="00E438A5">
      <w:pPr>
        <w:rPr>
          <w:rFonts w:eastAsia="Calibri"/>
          <w:szCs w:val="22"/>
          <w:lang w:eastAsia="en-GB"/>
        </w:rPr>
      </w:pPr>
      <w:r w:rsidRPr="00706E38">
        <w:rPr>
          <w:rFonts w:eastAsia="Calibri"/>
          <w:szCs w:val="22"/>
          <w:lang w:eastAsia="en-GB"/>
        </w:rPr>
        <w:t xml:space="preserve">The political participation domain was very inadequately covered by indicators. However the citizenship map reflects the profound importance of migration flows both into the South and East </w:t>
      </w:r>
      <w:r w:rsidR="0051544A" w:rsidRPr="00706E38">
        <w:rPr>
          <w:rFonts w:eastAsia="Calibri"/>
          <w:szCs w:val="22"/>
          <w:lang w:eastAsia="en-GB"/>
        </w:rPr>
        <w:t xml:space="preserve">(which have been explored by the ESPON ITAN project) </w:t>
      </w:r>
      <w:r w:rsidRPr="00706E38">
        <w:rPr>
          <w:rFonts w:eastAsia="Calibri"/>
          <w:szCs w:val="22"/>
          <w:lang w:eastAsia="en-GB"/>
        </w:rPr>
        <w:t>and across Europe towards the Centre and North-West.</w:t>
      </w:r>
    </w:p>
    <w:p w:rsidR="00542452" w:rsidRPr="00706E38" w:rsidRDefault="00542452" w:rsidP="00E438A5">
      <w:pPr>
        <w:rPr>
          <w:rFonts w:eastAsia="Calibri"/>
          <w:szCs w:val="22"/>
          <w:lang w:eastAsia="en-GB"/>
        </w:rPr>
      </w:pPr>
      <w:r w:rsidRPr="00706E38">
        <w:rPr>
          <w:rFonts w:eastAsia="Calibri"/>
          <w:szCs w:val="22"/>
          <w:lang w:eastAsia="en-GB"/>
        </w:rPr>
        <w:t>Tagai sums up the broad changes between 2001 and 2011 by asserting that broad East-West and North-South differences</w:t>
      </w:r>
      <w:r w:rsidR="008C616B" w:rsidRPr="00706E38">
        <w:rPr>
          <w:rFonts w:eastAsia="Calibri"/>
          <w:szCs w:val="22"/>
          <w:lang w:eastAsia="en-GB"/>
        </w:rPr>
        <w:t>, together with those associated with geographical marginality</w:t>
      </w:r>
      <w:r w:rsidRPr="00706E38">
        <w:rPr>
          <w:rFonts w:eastAsia="Calibri"/>
          <w:szCs w:val="22"/>
          <w:lang w:eastAsia="en-GB"/>
        </w:rPr>
        <w:t xml:space="preserve"> have been </w:t>
      </w:r>
      <w:r w:rsidR="00F36F7E">
        <w:rPr>
          <w:rFonts w:eastAsia="Calibri"/>
          <w:szCs w:val="22"/>
          <w:lang w:eastAsia="en-GB"/>
        </w:rPr>
        <w:t>slightly ameliorated</w:t>
      </w:r>
      <w:r w:rsidRPr="00706E38">
        <w:rPr>
          <w:rFonts w:eastAsia="Calibri"/>
          <w:szCs w:val="22"/>
          <w:lang w:eastAsia="en-GB"/>
        </w:rPr>
        <w:t xml:space="preserve">, urban-rural disparities have in many respects increased, </w:t>
      </w:r>
      <w:r w:rsidR="00F36F7E">
        <w:rPr>
          <w:rFonts w:eastAsia="Calibri"/>
          <w:szCs w:val="22"/>
          <w:lang w:eastAsia="en-GB"/>
        </w:rPr>
        <w:t>and</w:t>
      </w:r>
      <w:r w:rsidR="008C616B" w:rsidRPr="00706E38">
        <w:rPr>
          <w:rFonts w:eastAsia="Calibri"/>
          <w:szCs w:val="22"/>
          <w:lang w:eastAsia="en-GB"/>
        </w:rPr>
        <w:t xml:space="preserve"> the situation of regions experiencing multiple disadvantages has worsened.</w:t>
      </w:r>
    </w:p>
    <w:p w:rsidR="00710EA0" w:rsidRPr="00706E38" w:rsidRDefault="00710EA0" w:rsidP="00710EA0">
      <w:pPr>
        <w:pStyle w:val="Heading2"/>
        <w:rPr>
          <w:rFonts w:eastAsia="Calibri"/>
          <w:lang w:eastAsia="en-GB"/>
        </w:rPr>
      </w:pPr>
      <w:bookmarkStart w:id="48" w:name="_Toc410375328"/>
      <w:r w:rsidRPr="00706E38">
        <w:rPr>
          <w:rFonts w:eastAsia="Calibri"/>
          <w:lang w:eastAsia="en-GB"/>
        </w:rPr>
        <w:lastRenderedPageBreak/>
        <w:t>Discussion</w:t>
      </w:r>
      <w:bookmarkEnd w:id="48"/>
    </w:p>
    <w:p w:rsidR="00F029D0" w:rsidRPr="00706E38" w:rsidRDefault="00F029D0" w:rsidP="00F029D0">
      <w:pPr>
        <w:rPr>
          <w:rFonts w:eastAsia="Calibri"/>
          <w:lang w:eastAsia="en-GB"/>
        </w:rPr>
      </w:pPr>
      <w:r w:rsidRPr="00706E38">
        <w:rPr>
          <w:rFonts w:eastAsia="Calibri"/>
          <w:lang w:eastAsia="en-GB"/>
        </w:rPr>
        <w:t xml:space="preserve">Unlike the relatively unambiguous concept of income poverty, and the simple metric of the ARoP rate, social exclusion is </w:t>
      </w:r>
      <w:r w:rsidR="00FB513E" w:rsidRPr="00706E38">
        <w:rPr>
          <w:rFonts w:eastAsia="Calibri"/>
          <w:lang w:eastAsia="en-GB"/>
        </w:rPr>
        <w:t>a frustratingly flexible notion;</w:t>
      </w:r>
      <w:r w:rsidRPr="00706E38">
        <w:rPr>
          <w:rFonts w:eastAsia="Calibri"/>
          <w:lang w:eastAsia="en-GB"/>
        </w:rPr>
        <w:t xml:space="preserve"> </w:t>
      </w:r>
      <w:r w:rsidR="00FB513E" w:rsidRPr="00706E38">
        <w:rPr>
          <w:rFonts w:eastAsia="Calibri"/>
          <w:lang w:eastAsia="en-GB"/>
        </w:rPr>
        <w:t xml:space="preserve">it is intrinsically subjective, and </w:t>
      </w:r>
      <w:r w:rsidRPr="00706E38">
        <w:rPr>
          <w:rFonts w:eastAsia="Calibri"/>
          <w:lang w:eastAsia="en-GB"/>
        </w:rPr>
        <w:t xml:space="preserve">is more wholeheartedly accepted in some European countries than others. </w:t>
      </w:r>
      <w:r w:rsidR="0091723D" w:rsidRPr="00706E38">
        <w:rPr>
          <w:rFonts w:eastAsia="Calibri"/>
          <w:lang w:eastAsia="en-GB"/>
        </w:rPr>
        <w:t xml:space="preserve">It is a process, rather than a state defined by a simple (binary or in-out) criterion. </w:t>
      </w:r>
      <w:r w:rsidRPr="00706E38">
        <w:rPr>
          <w:rFonts w:eastAsia="Calibri"/>
          <w:lang w:eastAsia="en-GB"/>
        </w:rPr>
        <w:t xml:space="preserve">Mapping it is a </w:t>
      </w:r>
      <w:r w:rsidR="00A72EC9" w:rsidRPr="00706E38">
        <w:rPr>
          <w:rFonts w:eastAsia="Calibri"/>
          <w:lang w:eastAsia="en-GB"/>
        </w:rPr>
        <w:t>tough</w:t>
      </w:r>
      <w:r w:rsidRPr="00706E38">
        <w:rPr>
          <w:rFonts w:eastAsia="Calibri"/>
          <w:lang w:eastAsia="en-GB"/>
        </w:rPr>
        <w:t xml:space="preserve"> challenge, and it is inevitable that the outcome will raise questions from both academic and practitioner readers.</w:t>
      </w:r>
    </w:p>
    <w:p w:rsidR="00C110B5" w:rsidRPr="00706E38" w:rsidRDefault="00D90D9A" w:rsidP="00F029D0">
      <w:pPr>
        <w:rPr>
          <w:rFonts w:eastAsia="Calibri"/>
          <w:lang w:eastAsia="en-GB"/>
        </w:rPr>
      </w:pPr>
      <w:r w:rsidRPr="00706E38">
        <w:rPr>
          <w:rFonts w:eastAsia="Calibri"/>
          <w:lang w:eastAsia="en-GB"/>
        </w:rPr>
        <w:t>Two</w:t>
      </w:r>
      <w:r w:rsidR="00FB513E" w:rsidRPr="00706E38">
        <w:rPr>
          <w:rFonts w:eastAsia="Calibri"/>
          <w:lang w:eastAsia="en-GB"/>
        </w:rPr>
        <w:t xml:space="preserve"> issues conspire to confound this task: </w:t>
      </w:r>
    </w:p>
    <w:p w:rsidR="00C110B5" w:rsidRPr="00706E38" w:rsidRDefault="00FB513E" w:rsidP="00F80427">
      <w:pPr>
        <w:pStyle w:val="ListParagraph"/>
        <w:numPr>
          <w:ilvl w:val="0"/>
          <w:numId w:val="11"/>
        </w:numPr>
        <w:rPr>
          <w:rFonts w:eastAsia="Calibri"/>
          <w:lang w:eastAsia="en-GB"/>
        </w:rPr>
      </w:pPr>
      <w:r w:rsidRPr="00706E38">
        <w:rPr>
          <w:rFonts w:eastAsia="Calibri"/>
          <w:lang w:eastAsia="en-GB"/>
        </w:rPr>
        <w:t>The first relates to data; the difficulty of direct measurement necessitating a reliance upon proxies</w:t>
      </w:r>
      <w:r w:rsidR="004B3F5D" w:rsidRPr="00706E38">
        <w:rPr>
          <w:rFonts w:eastAsia="Calibri"/>
          <w:lang w:eastAsia="en-GB"/>
        </w:rPr>
        <w:t xml:space="preserve"> for exclusion </w:t>
      </w:r>
      <w:r w:rsidR="004B3F5D" w:rsidRPr="00706E38">
        <w:rPr>
          <w:rFonts w:eastAsia="Calibri"/>
          <w:i/>
          <w:u w:val="single"/>
          <w:lang w:eastAsia="en-GB"/>
        </w:rPr>
        <w:t>risk</w:t>
      </w:r>
      <w:r w:rsidRPr="00706E38">
        <w:rPr>
          <w:rFonts w:eastAsia="Calibri"/>
          <w:lang w:eastAsia="en-GB"/>
        </w:rPr>
        <w:t xml:space="preserve">, which </w:t>
      </w:r>
      <w:r w:rsidR="00D90D9A" w:rsidRPr="00706E38">
        <w:rPr>
          <w:rFonts w:eastAsia="Calibri"/>
          <w:lang w:eastAsia="en-GB"/>
        </w:rPr>
        <w:t>leave substantial gaps, both in terms of dimensions, and in terms of geographic coverage.</w:t>
      </w:r>
      <w:r w:rsidR="00C110B5" w:rsidRPr="00706E38">
        <w:rPr>
          <w:rFonts w:eastAsia="Calibri"/>
          <w:lang w:eastAsia="en-GB"/>
        </w:rPr>
        <w:t xml:space="preserve"> Furthermore</w:t>
      </w:r>
      <w:r w:rsidR="00D90D9A" w:rsidRPr="00706E38">
        <w:rPr>
          <w:rFonts w:eastAsia="Calibri"/>
          <w:lang w:eastAsia="en-GB"/>
        </w:rPr>
        <w:t xml:space="preserve"> </w:t>
      </w:r>
      <w:r w:rsidR="00C110B5" w:rsidRPr="00706E38">
        <w:rPr>
          <w:rFonts w:eastAsia="Calibri"/>
          <w:lang w:eastAsia="en-GB"/>
        </w:rPr>
        <w:t>NUTS 3 analysis is probably too coarse grained to correctly capture micro-spatial patterns</w:t>
      </w:r>
      <w:r w:rsidR="00F069DA" w:rsidRPr="00706E38">
        <w:rPr>
          <w:rFonts w:eastAsia="Calibri"/>
          <w:lang w:eastAsia="en-GB"/>
        </w:rPr>
        <w:t>. Indicators averaged over a NUTS 3 region can be misleading, since they can be equally produced by highly concentrated</w:t>
      </w:r>
      <w:r w:rsidR="00FF7A45" w:rsidRPr="00706E38">
        <w:rPr>
          <w:rFonts w:eastAsia="Calibri"/>
          <w:lang w:eastAsia="en-GB"/>
        </w:rPr>
        <w:t>,</w:t>
      </w:r>
      <w:r w:rsidR="00F069DA" w:rsidRPr="00706E38">
        <w:rPr>
          <w:rFonts w:eastAsia="Calibri"/>
          <w:lang w:eastAsia="en-GB"/>
        </w:rPr>
        <w:t xml:space="preserve"> (for </w:t>
      </w:r>
      <w:r w:rsidR="00FF7A45" w:rsidRPr="00706E38">
        <w:rPr>
          <w:rFonts w:eastAsia="Calibri"/>
          <w:lang w:eastAsia="en-GB"/>
        </w:rPr>
        <w:t>example</w:t>
      </w:r>
      <w:r w:rsidR="00F069DA" w:rsidRPr="00706E38">
        <w:rPr>
          <w:rFonts w:eastAsia="Calibri"/>
          <w:lang w:eastAsia="en-GB"/>
        </w:rPr>
        <w:t xml:space="preserve"> in the main towns and villages)</w:t>
      </w:r>
      <w:r w:rsidR="00FF7A45" w:rsidRPr="00706E38">
        <w:rPr>
          <w:rFonts w:eastAsia="Calibri"/>
          <w:lang w:eastAsia="en-GB"/>
        </w:rPr>
        <w:t>,</w:t>
      </w:r>
      <w:r w:rsidR="00F069DA" w:rsidRPr="00706E38">
        <w:rPr>
          <w:rFonts w:eastAsia="Calibri"/>
          <w:lang w:eastAsia="en-GB"/>
        </w:rPr>
        <w:t xml:space="preserve"> or dispersed patterns.</w:t>
      </w:r>
    </w:p>
    <w:p w:rsidR="004B3F5D" w:rsidRPr="00706E38" w:rsidRDefault="00D90D9A" w:rsidP="00F80427">
      <w:pPr>
        <w:pStyle w:val="ListParagraph"/>
        <w:numPr>
          <w:ilvl w:val="0"/>
          <w:numId w:val="11"/>
        </w:numPr>
        <w:rPr>
          <w:rFonts w:eastAsia="Calibri"/>
          <w:lang w:eastAsia="en-GB"/>
        </w:rPr>
      </w:pPr>
      <w:r w:rsidRPr="00706E38">
        <w:rPr>
          <w:rFonts w:eastAsia="Calibri"/>
          <w:lang w:eastAsia="en-GB"/>
        </w:rPr>
        <w:t xml:space="preserve">The second problem is </w:t>
      </w:r>
      <w:r w:rsidR="00C110B5" w:rsidRPr="00706E38">
        <w:rPr>
          <w:rFonts w:eastAsia="Calibri"/>
          <w:lang w:eastAsia="en-GB"/>
        </w:rPr>
        <w:t xml:space="preserve">the fact that there seems to be very little consistency of </w:t>
      </w:r>
      <w:r w:rsidR="00FF7A45" w:rsidRPr="00706E38">
        <w:rPr>
          <w:rFonts w:eastAsia="Calibri"/>
          <w:lang w:eastAsia="en-GB"/>
        </w:rPr>
        <w:t xml:space="preserve">macro-scale </w:t>
      </w:r>
      <w:r w:rsidR="00C110B5" w:rsidRPr="00706E38">
        <w:rPr>
          <w:rFonts w:eastAsia="Calibri"/>
          <w:lang w:eastAsia="en-GB"/>
        </w:rPr>
        <w:t>geographic distribution of the proxies</w:t>
      </w:r>
      <w:r w:rsidR="004B3F5D" w:rsidRPr="00706E38">
        <w:rPr>
          <w:rFonts w:eastAsia="Calibri"/>
          <w:lang w:eastAsia="en-GB"/>
        </w:rPr>
        <w:t xml:space="preserve"> for risk</w:t>
      </w:r>
      <w:r w:rsidR="00C110B5" w:rsidRPr="00706E38">
        <w:rPr>
          <w:rFonts w:eastAsia="Calibri"/>
          <w:lang w:eastAsia="en-GB"/>
        </w:rPr>
        <w:t xml:space="preserve">, within dimensions, let alone across the domains. This may be partly a consequence of inadequacies of the variables as proxies for the </w:t>
      </w:r>
      <w:r w:rsidR="004B3F5D" w:rsidRPr="00706E38">
        <w:rPr>
          <w:rFonts w:eastAsia="Calibri"/>
          <w:lang w:eastAsia="en-GB"/>
        </w:rPr>
        <w:t>aspects of risk</w:t>
      </w:r>
      <w:r w:rsidR="00C110B5" w:rsidRPr="00706E38">
        <w:rPr>
          <w:rFonts w:eastAsia="Calibri"/>
          <w:lang w:eastAsia="en-GB"/>
        </w:rPr>
        <w:t xml:space="preserve"> they are intended to capture, and partly a consequence of </w:t>
      </w:r>
      <w:r w:rsidR="006D0FC7" w:rsidRPr="00706E38">
        <w:rPr>
          <w:rFonts w:eastAsia="Calibri"/>
          <w:lang w:eastAsia="en-GB"/>
        </w:rPr>
        <w:t xml:space="preserve">the </w:t>
      </w:r>
      <w:r w:rsidR="0019639A" w:rsidRPr="00706E38">
        <w:rPr>
          <w:rFonts w:eastAsia="Calibri"/>
          <w:lang w:eastAsia="en-GB"/>
        </w:rPr>
        <w:t>above-</w:t>
      </w:r>
      <w:r w:rsidR="006D0FC7" w:rsidRPr="00706E38">
        <w:rPr>
          <w:rFonts w:eastAsia="Calibri"/>
          <w:lang w:eastAsia="en-GB"/>
        </w:rPr>
        <w:t xml:space="preserve">mentioned shortcomings of NUTS 3 analysis. </w:t>
      </w:r>
    </w:p>
    <w:p w:rsidR="00F029D0" w:rsidRPr="00706E38" w:rsidRDefault="004B3F5D" w:rsidP="004B3F5D">
      <w:pPr>
        <w:rPr>
          <w:rFonts w:eastAsia="Calibri"/>
          <w:lang w:eastAsia="en-GB"/>
        </w:rPr>
      </w:pPr>
      <w:r w:rsidRPr="00706E38">
        <w:rPr>
          <w:rFonts w:eastAsia="Calibri"/>
          <w:lang w:eastAsia="en-GB"/>
        </w:rPr>
        <w:t>The above points underline the importance of distinguishing social exclusion, as a phenomen</w:t>
      </w:r>
      <w:r w:rsidR="000512EF" w:rsidRPr="00706E38">
        <w:rPr>
          <w:rFonts w:eastAsia="Calibri"/>
          <w:lang w:eastAsia="en-GB"/>
        </w:rPr>
        <w:t>on</w:t>
      </w:r>
      <w:r w:rsidRPr="00706E38">
        <w:rPr>
          <w:rFonts w:eastAsia="Calibri"/>
          <w:lang w:eastAsia="en-GB"/>
        </w:rPr>
        <w:t xml:space="preserve"> which is near impossible to measure directly, from risk factors which we may attempt to measure through proxy indicators. An important finding of the work reported above is that the various risk factors may have very different spatial manifestations. One element of risk may be commonly associated with large urban areas, another with remote, inaccessible and sparsely populated areas</w:t>
      </w:r>
      <w:r w:rsidR="0057749A" w:rsidRPr="00706E38">
        <w:rPr>
          <w:rFonts w:eastAsia="Calibri"/>
          <w:lang w:eastAsia="en-GB"/>
        </w:rPr>
        <w:t xml:space="preserve">, </w:t>
      </w:r>
      <w:r w:rsidR="00F851C2" w:rsidRPr="00706E38">
        <w:rPr>
          <w:rFonts w:eastAsia="Calibri"/>
          <w:lang w:eastAsia="en-GB"/>
        </w:rPr>
        <w:t xml:space="preserve">or islands, </w:t>
      </w:r>
      <w:r w:rsidR="0057749A" w:rsidRPr="00706E38">
        <w:rPr>
          <w:rFonts w:eastAsia="Calibri"/>
          <w:lang w:eastAsia="en-GB"/>
        </w:rPr>
        <w:t xml:space="preserve">another with industrial restructuring, or with national policy </w:t>
      </w:r>
      <w:r w:rsidR="00F851C2" w:rsidRPr="00706E38">
        <w:rPr>
          <w:rFonts w:eastAsia="Calibri"/>
          <w:lang w:eastAsia="en-GB"/>
        </w:rPr>
        <w:t>legacies</w:t>
      </w:r>
      <w:r w:rsidR="0057749A" w:rsidRPr="00706E38">
        <w:rPr>
          <w:rFonts w:eastAsia="Calibri"/>
          <w:lang w:eastAsia="en-GB"/>
        </w:rPr>
        <w:t>. A high risk in one domain or dimension may easily be co-located with minimal risk from others.</w:t>
      </w:r>
      <w:r w:rsidR="000512EF" w:rsidRPr="00706E38">
        <w:rPr>
          <w:rFonts w:eastAsia="Calibri"/>
          <w:lang w:eastAsia="en-GB"/>
        </w:rPr>
        <w:t xml:space="preserve"> This has </w:t>
      </w:r>
      <w:r w:rsidR="00A16A37" w:rsidRPr="00706E38">
        <w:rPr>
          <w:rFonts w:eastAsia="Calibri"/>
          <w:lang w:eastAsia="en-GB"/>
        </w:rPr>
        <w:t>perplexing</w:t>
      </w:r>
      <w:r w:rsidR="000512EF" w:rsidRPr="00706E38">
        <w:rPr>
          <w:rFonts w:eastAsia="Calibri"/>
          <w:lang w:eastAsia="en-GB"/>
        </w:rPr>
        <w:t xml:space="preserve"> implications both for any attempt to estimate a cumulative or total risk of exclusion across the domains, and in terms of policy implications (Section </w:t>
      </w:r>
      <w:r w:rsidR="0019639A" w:rsidRPr="00706E38">
        <w:rPr>
          <w:rFonts w:eastAsia="Calibri"/>
          <w:lang w:eastAsia="en-GB"/>
        </w:rPr>
        <w:t>6).</w:t>
      </w:r>
    </w:p>
    <w:p w:rsidR="00116651" w:rsidRPr="00706E38" w:rsidRDefault="00DB1290" w:rsidP="00116651">
      <w:pPr>
        <w:spacing w:before="0"/>
        <w:rPr>
          <w:rFonts w:eastAsia="Calibri"/>
          <w:lang w:eastAsia="en-GB"/>
        </w:rPr>
      </w:pPr>
      <w:r w:rsidRPr="00706E38">
        <w:rPr>
          <w:rFonts w:eastAsia="Calibri"/>
          <w:lang w:eastAsia="en-GB"/>
        </w:rPr>
        <w:t xml:space="preserve">It is not unusual, within national contexts, to attempt to generate a synthetic index of exclusion (or deprivation/disadvantage) using small area statistics. Several examples have been given above. This raises the question whether such a composite social exclusion indicator might be feasible at the scale of NUTS 3 across the ESPON space. </w:t>
      </w:r>
      <w:r w:rsidR="00116651" w:rsidRPr="00706E38">
        <w:rPr>
          <w:rFonts w:eastAsia="Calibri"/>
          <w:lang w:eastAsia="en-GB"/>
        </w:rPr>
        <w:t>A number of challenges arise. These include:</w:t>
      </w:r>
    </w:p>
    <w:p w:rsidR="00116651" w:rsidRPr="00706E38" w:rsidRDefault="00116651" w:rsidP="00F80427">
      <w:pPr>
        <w:pStyle w:val="ListParagraph"/>
        <w:numPr>
          <w:ilvl w:val="0"/>
          <w:numId w:val="12"/>
        </w:numPr>
        <w:spacing w:before="0"/>
        <w:rPr>
          <w:rFonts w:eastAsia="Calibri"/>
          <w:lang w:eastAsia="en-GB"/>
        </w:rPr>
      </w:pPr>
      <w:r w:rsidRPr="00706E38">
        <w:rPr>
          <w:rFonts w:eastAsia="Calibri"/>
          <w:lang w:eastAsia="en-GB"/>
        </w:rPr>
        <w:t>Dealing with the significant number of gaps in the database</w:t>
      </w:r>
    </w:p>
    <w:p w:rsidR="00116651" w:rsidRPr="00706E38" w:rsidRDefault="00116651" w:rsidP="00F80427">
      <w:pPr>
        <w:pStyle w:val="ListParagraph"/>
        <w:numPr>
          <w:ilvl w:val="0"/>
          <w:numId w:val="12"/>
        </w:numPr>
        <w:rPr>
          <w:rFonts w:eastAsia="Calibri"/>
          <w:lang w:eastAsia="en-GB"/>
        </w:rPr>
      </w:pPr>
      <w:r w:rsidRPr="00706E38">
        <w:rPr>
          <w:rFonts w:eastAsia="Calibri"/>
          <w:lang w:eastAsia="en-GB"/>
        </w:rPr>
        <w:t>Differences in definition between countries.</w:t>
      </w:r>
    </w:p>
    <w:p w:rsidR="00116651" w:rsidRPr="00706E38" w:rsidRDefault="00116651" w:rsidP="00F80427">
      <w:pPr>
        <w:pStyle w:val="ListParagraph"/>
        <w:numPr>
          <w:ilvl w:val="0"/>
          <w:numId w:val="12"/>
        </w:numPr>
        <w:rPr>
          <w:rFonts w:eastAsia="Calibri"/>
          <w:lang w:eastAsia="en-GB"/>
        </w:rPr>
      </w:pPr>
      <w:r w:rsidRPr="00706E38">
        <w:rPr>
          <w:rFonts w:eastAsia="Calibri"/>
          <w:lang w:eastAsia="en-GB"/>
        </w:rPr>
        <w:t>Differences in the way in which exclusion processes take place within different geographic and cultural contexts – and the resulting lack of comparability in the interpretation of an indicator in different parts of Europe.</w:t>
      </w:r>
    </w:p>
    <w:p w:rsidR="00116651" w:rsidRPr="00706E38" w:rsidRDefault="00116651" w:rsidP="00F80427">
      <w:pPr>
        <w:pStyle w:val="ListParagraph"/>
        <w:numPr>
          <w:ilvl w:val="0"/>
          <w:numId w:val="12"/>
        </w:numPr>
        <w:rPr>
          <w:rFonts w:eastAsia="Calibri"/>
          <w:lang w:eastAsia="en-GB"/>
        </w:rPr>
      </w:pPr>
      <w:r w:rsidRPr="00706E38">
        <w:rPr>
          <w:rFonts w:eastAsia="Calibri"/>
          <w:lang w:eastAsia="en-GB"/>
        </w:rPr>
        <w:lastRenderedPageBreak/>
        <w:t xml:space="preserve">The fact that different dimensions and domains exhibit different spatial distributions – leading to considerations about how they could be combined without some element of “cancelling out” interactions. </w:t>
      </w:r>
    </w:p>
    <w:p w:rsidR="00116651" w:rsidRPr="00706E38" w:rsidRDefault="00116651" w:rsidP="00F80427">
      <w:pPr>
        <w:pStyle w:val="ListParagraph"/>
        <w:numPr>
          <w:ilvl w:val="0"/>
          <w:numId w:val="12"/>
        </w:numPr>
        <w:rPr>
          <w:rFonts w:eastAsia="Calibri"/>
          <w:lang w:eastAsia="en-GB"/>
        </w:rPr>
      </w:pPr>
      <w:r w:rsidRPr="00706E38">
        <w:rPr>
          <w:rFonts w:eastAsia="Calibri"/>
          <w:lang w:eastAsia="en-GB"/>
        </w:rPr>
        <w:t>Deciding on the relative weight of different indicators within the synthetic index.</w:t>
      </w:r>
    </w:p>
    <w:p w:rsidR="00DB1290" w:rsidRDefault="00B1632B" w:rsidP="000512EF">
      <w:pPr>
        <w:rPr>
          <w:rFonts w:eastAsia="Calibri"/>
          <w:lang w:eastAsia="en-GB"/>
        </w:rPr>
      </w:pPr>
      <w:r w:rsidRPr="00706E38">
        <w:rPr>
          <w:rFonts w:eastAsia="Calibri"/>
          <w:lang w:eastAsia="en-GB"/>
        </w:rPr>
        <w:t>T</w:t>
      </w:r>
      <w:r w:rsidR="00DB1290" w:rsidRPr="00706E38">
        <w:rPr>
          <w:rFonts w:eastAsia="Calibri"/>
          <w:lang w:eastAsia="en-GB"/>
        </w:rPr>
        <w:t>h</w:t>
      </w:r>
      <w:r w:rsidR="00116651" w:rsidRPr="00706E38">
        <w:rPr>
          <w:rFonts w:eastAsia="Calibri"/>
          <w:lang w:eastAsia="en-GB"/>
        </w:rPr>
        <w:t>ese</w:t>
      </w:r>
      <w:r w:rsidR="00DB1290" w:rsidRPr="00706E38">
        <w:rPr>
          <w:rFonts w:eastAsia="Calibri"/>
          <w:lang w:eastAsia="en-GB"/>
        </w:rPr>
        <w:t xml:space="preserve"> issue</w:t>
      </w:r>
      <w:r w:rsidR="00116651" w:rsidRPr="00706E38">
        <w:rPr>
          <w:rFonts w:eastAsia="Calibri"/>
          <w:lang w:eastAsia="en-GB"/>
        </w:rPr>
        <w:t>s</w:t>
      </w:r>
      <w:r w:rsidR="00DB1290" w:rsidRPr="00706E38">
        <w:rPr>
          <w:rFonts w:eastAsia="Calibri"/>
          <w:lang w:eastAsia="en-GB"/>
        </w:rPr>
        <w:t xml:space="preserve"> h</w:t>
      </w:r>
      <w:r w:rsidR="006605CF" w:rsidRPr="00706E38">
        <w:rPr>
          <w:rFonts w:eastAsia="Calibri"/>
          <w:lang w:eastAsia="en-GB"/>
        </w:rPr>
        <w:t>a</w:t>
      </w:r>
      <w:r w:rsidR="00116651" w:rsidRPr="00706E38">
        <w:rPr>
          <w:rFonts w:eastAsia="Calibri"/>
          <w:lang w:eastAsia="en-GB"/>
        </w:rPr>
        <w:t>ve</w:t>
      </w:r>
      <w:r w:rsidR="006605CF" w:rsidRPr="00706E38">
        <w:rPr>
          <w:rFonts w:eastAsia="Calibri"/>
          <w:lang w:eastAsia="en-GB"/>
        </w:rPr>
        <w:t xml:space="preserve"> been explored in some detail,</w:t>
      </w:r>
      <w:r w:rsidR="00DB1290" w:rsidRPr="00706E38">
        <w:rPr>
          <w:rFonts w:eastAsia="Calibri"/>
          <w:lang w:eastAsia="en-GB"/>
        </w:rPr>
        <w:t xml:space="preserve"> using </w:t>
      </w:r>
      <w:r w:rsidR="00FF7A45" w:rsidRPr="00706E38">
        <w:rPr>
          <w:rFonts w:eastAsia="Calibri"/>
          <w:lang w:eastAsia="en-GB"/>
        </w:rPr>
        <w:t xml:space="preserve">2011 </w:t>
      </w:r>
      <w:r w:rsidR="00DB1290" w:rsidRPr="00706E38">
        <w:rPr>
          <w:rFonts w:eastAsia="Calibri"/>
          <w:lang w:eastAsia="en-GB"/>
        </w:rPr>
        <w:t>data</w:t>
      </w:r>
      <w:r w:rsidR="00116651" w:rsidRPr="00706E38">
        <w:rPr>
          <w:rFonts w:eastAsia="Calibri"/>
          <w:lang w:eastAsia="en-GB"/>
        </w:rPr>
        <w:t xml:space="preserve">. </w:t>
      </w:r>
      <w:r w:rsidR="00086E64" w:rsidRPr="00706E38">
        <w:rPr>
          <w:rFonts w:eastAsia="Calibri"/>
          <w:lang w:eastAsia="en-GB"/>
        </w:rPr>
        <w:t xml:space="preserve">Rather than combining indicators for different domains into a synthetic index, the method </w:t>
      </w:r>
      <w:r w:rsidR="00AB7025" w:rsidRPr="00706E38">
        <w:rPr>
          <w:rFonts w:eastAsia="Calibri"/>
          <w:lang w:eastAsia="en-GB"/>
        </w:rPr>
        <w:t xml:space="preserve">explored in Annex 8 </w:t>
      </w:r>
      <w:r w:rsidR="00086E64" w:rsidRPr="00706E38">
        <w:rPr>
          <w:rFonts w:eastAsia="Calibri"/>
          <w:lang w:eastAsia="en-GB"/>
        </w:rPr>
        <w:t xml:space="preserve">essentially counts the number of domains </w:t>
      </w:r>
      <w:r w:rsidR="005E04F8" w:rsidRPr="00706E38">
        <w:rPr>
          <w:rFonts w:eastAsia="Calibri"/>
          <w:lang w:eastAsia="en-GB"/>
        </w:rPr>
        <w:t xml:space="preserve">for which a region exceeds a risk threshold. </w:t>
      </w:r>
      <w:r w:rsidR="00116651" w:rsidRPr="00706E38">
        <w:rPr>
          <w:rFonts w:eastAsia="Calibri"/>
          <w:lang w:eastAsia="en-GB"/>
        </w:rPr>
        <w:t xml:space="preserve">The method </w:t>
      </w:r>
      <w:r w:rsidR="005E04F8" w:rsidRPr="00706E38">
        <w:rPr>
          <w:rFonts w:eastAsia="Calibri"/>
          <w:lang w:eastAsia="en-GB"/>
        </w:rPr>
        <w:t xml:space="preserve">also </w:t>
      </w:r>
      <w:r w:rsidR="00116651" w:rsidRPr="00706E38">
        <w:rPr>
          <w:rFonts w:eastAsia="Calibri"/>
          <w:lang w:eastAsia="en-GB"/>
        </w:rPr>
        <w:t xml:space="preserve">seeks to overcome poor harmonisation of indicators by distinguishing variation </w:t>
      </w:r>
      <w:r w:rsidR="00116651" w:rsidRPr="00706E38">
        <w:rPr>
          <w:rFonts w:eastAsia="Calibri"/>
          <w:i/>
          <w:lang w:eastAsia="en-GB"/>
        </w:rPr>
        <w:t>within</w:t>
      </w:r>
      <w:r w:rsidR="00116651" w:rsidRPr="00706E38">
        <w:rPr>
          <w:rFonts w:eastAsia="Calibri"/>
          <w:lang w:eastAsia="en-GB"/>
        </w:rPr>
        <w:t xml:space="preserve"> countries from variation </w:t>
      </w:r>
      <w:r w:rsidR="00116651" w:rsidRPr="00706E38">
        <w:rPr>
          <w:rFonts w:eastAsia="Calibri"/>
          <w:i/>
          <w:lang w:eastAsia="en-GB"/>
        </w:rPr>
        <w:t>between</w:t>
      </w:r>
      <w:r w:rsidR="00116651" w:rsidRPr="00706E38">
        <w:rPr>
          <w:rFonts w:eastAsia="Calibri"/>
          <w:lang w:eastAsia="en-GB"/>
        </w:rPr>
        <w:t xml:space="preserve"> countries. The results are fully</w:t>
      </w:r>
      <w:r w:rsidR="00DB1290" w:rsidRPr="00706E38">
        <w:rPr>
          <w:rFonts w:eastAsia="Calibri"/>
          <w:lang w:eastAsia="en-GB"/>
        </w:rPr>
        <w:t xml:space="preserve"> rep</w:t>
      </w:r>
      <w:r w:rsidR="00471C90" w:rsidRPr="00706E38">
        <w:rPr>
          <w:rFonts w:eastAsia="Calibri"/>
          <w:lang w:eastAsia="en-GB"/>
        </w:rPr>
        <w:t xml:space="preserve">orted in </w:t>
      </w:r>
      <w:r w:rsidR="00DB1290" w:rsidRPr="00706E38">
        <w:rPr>
          <w:rFonts w:eastAsia="Calibri"/>
          <w:lang w:eastAsia="en-GB"/>
        </w:rPr>
        <w:t xml:space="preserve">Annex </w:t>
      </w:r>
      <w:r w:rsidR="00471C90" w:rsidRPr="00706E38">
        <w:rPr>
          <w:rFonts w:eastAsia="Calibri"/>
          <w:lang w:eastAsia="en-GB"/>
        </w:rPr>
        <w:t>8</w:t>
      </w:r>
      <w:r w:rsidR="00DB1290" w:rsidRPr="00706E38">
        <w:rPr>
          <w:rFonts w:eastAsia="Calibri"/>
          <w:lang w:eastAsia="en-GB"/>
        </w:rPr>
        <w:t>.</w:t>
      </w:r>
      <w:r w:rsidR="0032591D" w:rsidRPr="00706E38">
        <w:rPr>
          <w:rFonts w:eastAsia="Calibri"/>
          <w:lang w:eastAsia="en-GB"/>
        </w:rPr>
        <w:t xml:space="preserve"> </w:t>
      </w:r>
      <w:r w:rsidR="00116651" w:rsidRPr="00706E38">
        <w:rPr>
          <w:rFonts w:eastAsia="Calibri"/>
          <w:lang w:eastAsia="en-GB"/>
        </w:rPr>
        <w:t>The overall social exclusion index maps are reproduced below as Map 12.</w:t>
      </w:r>
    </w:p>
    <w:p w:rsidR="001D6DA9" w:rsidRDefault="001D6DA9" w:rsidP="001D6DA9"/>
    <w:tbl>
      <w:tblPr>
        <w:tblStyle w:val="TableGrid"/>
        <w:tblW w:w="8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220"/>
        <w:gridCol w:w="4220"/>
      </w:tblGrid>
      <w:tr w:rsidR="001D6DA9" w:rsidTr="001D6DA9">
        <w:tc>
          <w:tcPr>
            <w:tcW w:w="4220" w:type="dxa"/>
          </w:tcPr>
          <w:p w:rsidR="001D6DA9" w:rsidRDefault="001D6DA9" w:rsidP="00CC3048">
            <w:pPr>
              <w:jc w:val="center"/>
            </w:pPr>
            <w:r>
              <w:rPr>
                <w:noProof/>
                <w:lang w:eastAsia="en-GB"/>
              </w:rPr>
              <w:drawing>
                <wp:inline distT="0" distB="0" distL="0" distR="0">
                  <wp:extent cx="2520000" cy="2890964"/>
                  <wp:effectExtent l="19050" t="0" r="0" b="0"/>
                  <wp:docPr id="57" name="Kép 56" descr="CS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S_2011.png"/>
                          <pic:cNvPicPr/>
                        </pic:nvPicPr>
                        <pic:blipFill>
                          <a:blip r:embed="rId26" cstate="screen"/>
                          <a:srcRect/>
                          <a:stretch>
                            <a:fillRect/>
                          </a:stretch>
                        </pic:blipFill>
                        <pic:spPr>
                          <a:xfrm>
                            <a:off x="0" y="0"/>
                            <a:ext cx="2520000" cy="2890964"/>
                          </a:xfrm>
                          <a:prstGeom prst="rect">
                            <a:avLst/>
                          </a:prstGeom>
                        </pic:spPr>
                      </pic:pic>
                    </a:graphicData>
                  </a:graphic>
                </wp:inline>
              </w:drawing>
            </w:r>
          </w:p>
        </w:tc>
        <w:tc>
          <w:tcPr>
            <w:tcW w:w="4220" w:type="dxa"/>
          </w:tcPr>
          <w:p w:rsidR="001D6DA9" w:rsidRDefault="001D6DA9" w:rsidP="00CC3048">
            <w:pPr>
              <w:jc w:val="center"/>
            </w:pPr>
            <w:r>
              <w:rPr>
                <w:noProof/>
                <w:lang w:eastAsia="en-GB"/>
              </w:rPr>
              <w:drawing>
                <wp:inline distT="0" distB="0" distL="0" distR="0">
                  <wp:extent cx="2520000" cy="2905714"/>
                  <wp:effectExtent l="19050" t="0" r="0" b="0"/>
                  <wp:docPr id="12" name="Kép 57" descr="CT_2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_2011.png"/>
                          <pic:cNvPicPr/>
                        </pic:nvPicPr>
                        <pic:blipFill>
                          <a:blip r:embed="rId27" cstate="screen"/>
                          <a:srcRect/>
                          <a:stretch>
                            <a:fillRect/>
                          </a:stretch>
                        </pic:blipFill>
                        <pic:spPr>
                          <a:xfrm>
                            <a:off x="0" y="0"/>
                            <a:ext cx="2520000" cy="2905714"/>
                          </a:xfrm>
                          <a:prstGeom prst="rect">
                            <a:avLst/>
                          </a:prstGeom>
                        </pic:spPr>
                      </pic:pic>
                    </a:graphicData>
                  </a:graphic>
                </wp:inline>
              </w:drawing>
            </w:r>
          </w:p>
        </w:tc>
      </w:tr>
    </w:tbl>
    <w:p w:rsidR="006605CF" w:rsidRPr="00706E38" w:rsidRDefault="006605CF" w:rsidP="006605CF">
      <w:pPr>
        <w:pStyle w:val="Caption"/>
      </w:pPr>
      <w:bookmarkStart w:id="49" w:name="_Toc400654949"/>
      <w:bookmarkStart w:id="50" w:name="_Toc404011384"/>
      <w:r w:rsidRPr="00706E38">
        <w:t xml:space="preserve">Map </w:t>
      </w:r>
      <w:fldSimple w:instr=" SEQ Map \* ARABIC ">
        <w:r w:rsidR="000F31D5" w:rsidRPr="00706E38">
          <w:rPr>
            <w:noProof/>
          </w:rPr>
          <w:t>12</w:t>
        </w:r>
      </w:fldSimple>
      <w:r w:rsidRPr="00706E38">
        <w:t>: The Composite Vulnerability of Regions according to Risk Factors of Exclusion, 2011 – within Country Differences (l), between Country Differences (r)</w:t>
      </w:r>
      <w:bookmarkEnd w:id="49"/>
      <w:bookmarkEnd w:id="50"/>
    </w:p>
    <w:p w:rsidR="009E1CB6" w:rsidRPr="00706E38" w:rsidRDefault="004E7CAF" w:rsidP="0019639A">
      <w:pPr>
        <w:pStyle w:val="Heading1"/>
        <w:rPr>
          <w:rFonts w:eastAsia="Calibri"/>
          <w:lang w:eastAsia="en-GB"/>
        </w:rPr>
      </w:pPr>
      <w:bookmarkStart w:id="51" w:name="_Toc401068753"/>
      <w:r w:rsidRPr="00706E38">
        <w:rPr>
          <w:rFonts w:eastAsia="Calibri"/>
          <w:lang w:eastAsia="en-GB"/>
        </w:rPr>
        <w:br w:type="column"/>
      </w:r>
      <w:bookmarkStart w:id="52" w:name="_Toc410375329"/>
      <w:r w:rsidR="009E1CB6" w:rsidRPr="00706E38">
        <w:rPr>
          <w:rFonts w:eastAsia="Calibri"/>
          <w:lang w:eastAsia="en-GB"/>
        </w:rPr>
        <w:lastRenderedPageBreak/>
        <w:t>Local Complexity of Pattern and Process – some findings from the Case Studies</w:t>
      </w:r>
      <w:bookmarkEnd w:id="51"/>
      <w:bookmarkEnd w:id="52"/>
    </w:p>
    <w:p w:rsidR="00290978" w:rsidRPr="00706E38" w:rsidRDefault="00290978" w:rsidP="00290978">
      <w:r w:rsidRPr="00706E38">
        <w:t>The case studies are intended to provide in-depth (mainly qualitative) analyses for different types of regions. Much of the TiPSE analysis (especially poverty mapping and social exclusion mapping), takes place at a NUTS 3 level. However, analysis on a smaller, sub-regional scale is also helpful, since poverty and social exclusion are often concentrated below the regional level, in smaller localities. The case studies thus have the objective to illustrate these fine-grained processes in the set of selected regions, to understand the underlying factors and their interdependencies, and to analyse policy development and responses.</w:t>
      </w:r>
    </w:p>
    <w:p w:rsidR="00290978" w:rsidRPr="00706E38" w:rsidRDefault="00290978" w:rsidP="00290978">
      <w:pPr>
        <w:rPr>
          <w:lang w:val="en-US"/>
        </w:rPr>
      </w:pPr>
      <w:r w:rsidRPr="00706E38">
        <w:rPr>
          <w:lang w:val="en-US"/>
        </w:rPr>
        <w:t>Ten case stud</w:t>
      </w:r>
      <w:r w:rsidR="009B10A4" w:rsidRPr="00706E38">
        <w:rPr>
          <w:lang w:val="en-US"/>
        </w:rPr>
        <w:t xml:space="preserve">y areas </w:t>
      </w:r>
      <w:r w:rsidR="00F76C4A" w:rsidRPr="00706E38">
        <w:rPr>
          <w:lang w:val="en-US"/>
        </w:rPr>
        <w:t>(Map 12)</w:t>
      </w:r>
      <w:r w:rsidRPr="00706E38">
        <w:rPr>
          <w:lang w:val="en-US"/>
        </w:rPr>
        <w:t xml:space="preserve"> were selected to represent different European macro regions, territorial and socio-economic typologies, and welfare regimes.</w:t>
      </w:r>
    </w:p>
    <w:p w:rsidR="00290978" w:rsidRPr="00706E38" w:rsidRDefault="004E7CAF" w:rsidP="00290978">
      <w:r w:rsidRPr="00706E38">
        <w:rPr>
          <w:noProof/>
          <w:lang w:eastAsia="en-GB"/>
        </w:rPr>
        <w:drawing>
          <wp:inline distT="0" distB="0" distL="0" distR="0">
            <wp:extent cx="5177642" cy="5177642"/>
            <wp:effectExtent l="0" t="0" r="4445"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CSA_template_freigestellt.tif"/>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71995" cy="5171995"/>
                    </a:xfrm>
                    <a:prstGeom prst="rect">
                      <a:avLst/>
                    </a:prstGeom>
                  </pic:spPr>
                </pic:pic>
              </a:graphicData>
            </a:graphic>
          </wp:inline>
        </w:drawing>
      </w:r>
    </w:p>
    <w:p w:rsidR="00290978" w:rsidRPr="00706E38" w:rsidRDefault="00290978" w:rsidP="00290978">
      <w:pPr>
        <w:pStyle w:val="Caption"/>
        <w:rPr>
          <w:b w:val="0"/>
          <w:szCs w:val="22"/>
          <w:lang w:val="en-US"/>
        </w:rPr>
      </w:pPr>
      <w:bookmarkStart w:id="53" w:name="_Ref341971027"/>
      <w:bookmarkStart w:id="54" w:name="_Toc343698342"/>
      <w:bookmarkStart w:id="55" w:name="_Toc404011385"/>
      <w:r w:rsidRPr="00706E38">
        <w:rPr>
          <w:szCs w:val="22"/>
          <w:lang w:val="en-US"/>
        </w:rPr>
        <w:t xml:space="preserve">Map </w:t>
      </w:r>
      <w:r w:rsidR="00121307" w:rsidRPr="00706E38">
        <w:rPr>
          <w:szCs w:val="22"/>
        </w:rPr>
        <w:fldChar w:fldCharType="begin"/>
      </w:r>
      <w:r w:rsidRPr="00706E38">
        <w:rPr>
          <w:szCs w:val="22"/>
          <w:lang w:val="en-US"/>
        </w:rPr>
        <w:instrText xml:space="preserve"> SEQ Map \* ARABIC </w:instrText>
      </w:r>
      <w:r w:rsidR="00121307" w:rsidRPr="00706E38">
        <w:rPr>
          <w:szCs w:val="22"/>
        </w:rPr>
        <w:fldChar w:fldCharType="separate"/>
      </w:r>
      <w:r w:rsidR="000F31D5" w:rsidRPr="00706E38">
        <w:rPr>
          <w:noProof/>
          <w:szCs w:val="22"/>
          <w:lang w:val="en-US"/>
        </w:rPr>
        <w:t>13</w:t>
      </w:r>
      <w:r w:rsidR="00121307" w:rsidRPr="00706E38">
        <w:rPr>
          <w:szCs w:val="22"/>
        </w:rPr>
        <w:fldChar w:fldCharType="end"/>
      </w:r>
      <w:bookmarkEnd w:id="53"/>
      <w:r w:rsidRPr="00706E38">
        <w:rPr>
          <w:szCs w:val="22"/>
          <w:lang w:val="en-US"/>
        </w:rPr>
        <w:t>: The ten case studies selected for analysis and their thematic focus</w:t>
      </w:r>
      <w:bookmarkEnd w:id="54"/>
      <w:bookmarkEnd w:id="55"/>
    </w:p>
    <w:p w:rsidR="00290978" w:rsidRPr="00706E38" w:rsidRDefault="005A3320" w:rsidP="00290978">
      <w:pPr>
        <w:pStyle w:val="Caption"/>
        <w:keepNext/>
      </w:pPr>
      <w:r w:rsidRPr="00706E38">
        <w:br w:type="column"/>
      </w:r>
      <w:bookmarkStart w:id="56" w:name="_Toc404011325"/>
      <w:r w:rsidR="00290978" w:rsidRPr="00706E38">
        <w:lastRenderedPageBreak/>
        <w:t xml:space="preserve">Table </w:t>
      </w:r>
      <w:fldSimple w:instr=" SEQ Table \* ARABIC ">
        <w:r w:rsidR="000F31D5" w:rsidRPr="00706E38">
          <w:rPr>
            <w:noProof/>
          </w:rPr>
          <w:t>3</w:t>
        </w:r>
      </w:fldSimple>
      <w:r w:rsidR="00290978" w:rsidRPr="00706E38">
        <w:t>: The Case Studies; some key characteristics</w:t>
      </w:r>
      <w:bookmarkEnd w:id="56"/>
    </w:p>
    <w:tbl>
      <w:tblPr>
        <w:tblStyle w:val="LightGrid1"/>
        <w:tblW w:w="0" w:type="auto"/>
        <w:tblBorders>
          <w:left w:val="none" w:sz="0" w:space="0" w:color="auto"/>
          <w:right w:val="none" w:sz="0" w:space="0" w:color="auto"/>
          <w:insideV w:val="none" w:sz="0" w:space="0" w:color="auto"/>
        </w:tblBorders>
        <w:shd w:val="clear" w:color="auto" w:fill="FFFFFF" w:themeFill="background1"/>
        <w:tblLook w:val="04A0"/>
      </w:tblPr>
      <w:tblGrid>
        <w:gridCol w:w="1116"/>
        <w:gridCol w:w="2404"/>
        <w:gridCol w:w="5003"/>
      </w:tblGrid>
      <w:tr w:rsidR="00706E38" w:rsidRPr="00706E38" w:rsidTr="00132CC8">
        <w:trPr>
          <w:cnfStyle w:val="100000000000"/>
        </w:trPr>
        <w:tc>
          <w:tcPr>
            <w:cnfStyle w:val="001000000000"/>
            <w:tcW w:w="0" w:type="auto"/>
            <w:shd w:val="clear" w:color="auto" w:fill="D9D9D9" w:themeFill="background1" w:themeFillShade="D9"/>
            <w:vAlign w:val="center"/>
          </w:tcPr>
          <w:p w:rsidR="00290978" w:rsidRPr="00706E38" w:rsidRDefault="00290978" w:rsidP="00132CC8">
            <w:pPr>
              <w:spacing w:before="60" w:after="60" w:line="276" w:lineRule="auto"/>
              <w:contextualSpacing/>
              <w:jc w:val="left"/>
              <w:rPr>
                <w:rFonts w:cs="Arial"/>
                <w:sz w:val="20"/>
                <w:szCs w:val="20"/>
                <w:lang w:val="en-GB"/>
              </w:rPr>
            </w:pPr>
            <w:r w:rsidRPr="00706E38">
              <w:rPr>
                <w:rFonts w:cs="Arial"/>
                <w:sz w:val="20"/>
                <w:szCs w:val="20"/>
                <w:lang w:val="en-GB"/>
              </w:rPr>
              <w:t>Nuts 3 Code</w:t>
            </w:r>
          </w:p>
        </w:tc>
        <w:tc>
          <w:tcPr>
            <w:tcW w:w="0" w:type="auto"/>
            <w:shd w:val="clear" w:color="auto" w:fill="D9D9D9" w:themeFill="background1" w:themeFillShade="D9"/>
            <w:vAlign w:val="center"/>
          </w:tcPr>
          <w:p w:rsidR="00290978" w:rsidRPr="00706E38" w:rsidRDefault="00290978" w:rsidP="00132CC8">
            <w:pPr>
              <w:spacing w:before="60" w:after="60" w:line="276" w:lineRule="auto"/>
              <w:contextualSpacing/>
              <w:jc w:val="left"/>
              <w:cnfStyle w:val="100000000000"/>
              <w:rPr>
                <w:rFonts w:cs="Arial"/>
                <w:sz w:val="20"/>
                <w:szCs w:val="20"/>
                <w:lang w:val="en-GB"/>
              </w:rPr>
            </w:pPr>
            <w:r w:rsidRPr="00706E38">
              <w:rPr>
                <w:rFonts w:cs="Arial"/>
                <w:sz w:val="20"/>
                <w:szCs w:val="20"/>
                <w:lang w:val="en-GB"/>
              </w:rPr>
              <w:t>Case Studies</w:t>
            </w:r>
          </w:p>
        </w:tc>
        <w:tc>
          <w:tcPr>
            <w:tcW w:w="0" w:type="auto"/>
            <w:shd w:val="clear" w:color="auto" w:fill="D9D9D9" w:themeFill="background1" w:themeFillShade="D9"/>
            <w:vAlign w:val="center"/>
          </w:tcPr>
          <w:p w:rsidR="00290978" w:rsidRPr="00706E38" w:rsidRDefault="00290978" w:rsidP="00F80427">
            <w:pPr>
              <w:pStyle w:val="ListParagraph"/>
              <w:numPr>
                <w:ilvl w:val="0"/>
                <w:numId w:val="9"/>
              </w:numPr>
              <w:spacing w:before="60" w:after="60" w:line="276" w:lineRule="auto"/>
              <w:ind w:left="714" w:hanging="357"/>
              <w:jc w:val="left"/>
              <w:cnfStyle w:val="100000000000"/>
              <w:rPr>
                <w:rFonts w:cs="Arial"/>
                <w:sz w:val="20"/>
                <w:szCs w:val="20"/>
                <w:lang w:val="en-GB"/>
              </w:rPr>
            </w:pPr>
            <w:r w:rsidRPr="00706E38">
              <w:rPr>
                <w:rFonts w:cs="Arial"/>
                <w:sz w:val="20"/>
                <w:szCs w:val="20"/>
                <w:lang w:val="en-GB"/>
              </w:rPr>
              <w:t>European Macro Region</w:t>
            </w:r>
          </w:p>
          <w:p w:rsidR="00290978" w:rsidRPr="00706E38" w:rsidRDefault="00290978" w:rsidP="00F80427">
            <w:pPr>
              <w:pStyle w:val="ListParagraph"/>
              <w:numPr>
                <w:ilvl w:val="0"/>
                <w:numId w:val="9"/>
              </w:numPr>
              <w:spacing w:before="60" w:after="60" w:line="276" w:lineRule="auto"/>
              <w:ind w:left="714" w:hanging="357"/>
              <w:jc w:val="left"/>
              <w:cnfStyle w:val="100000000000"/>
              <w:rPr>
                <w:rFonts w:cs="Arial"/>
                <w:sz w:val="20"/>
                <w:szCs w:val="20"/>
                <w:lang w:val="en-GB"/>
              </w:rPr>
            </w:pPr>
            <w:r w:rsidRPr="00706E38">
              <w:rPr>
                <w:rFonts w:cs="Arial"/>
                <w:sz w:val="20"/>
                <w:szCs w:val="20"/>
                <w:lang w:val="en-GB"/>
              </w:rPr>
              <w:t>Territorial characteristics according to ESPON typologies</w:t>
            </w:r>
          </w:p>
          <w:p w:rsidR="00290978" w:rsidRPr="00706E38" w:rsidRDefault="00290978" w:rsidP="00F80427">
            <w:pPr>
              <w:pStyle w:val="ListParagraph"/>
              <w:numPr>
                <w:ilvl w:val="0"/>
                <w:numId w:val="9"/>
              </w:numPr>
              <w:spacing w:before="60" w:after="60" w:line="276" w:lineRule="auto"/>
              <w:ind w:left="714" w:hanging="357"/>
              <w:jc w:val="left"/>
              <w:cnfStyle w:val="100000000000"/>
              <w:rPr>
                <w:rFonts w:eastAsiaTheme="minorEastAsia" w:cs="Arial"/>
                <w:sz w:val="20"/>
                <w:szCs w:val="20"/>
                <w:lang w:val="en-GB"/>
              </w:rPr>
            </w:pPr>
            <w:r w:rsidRPr="00706E38">
              <w:rPr>
                <w:rFonts w:cs="Arial"/>
                <w:sz w:val="20"/>
                <w:szCs w:val="20"/>
                <w:lang w:val="en-GB"/>
              </w:rPr>
              <w:t>Welfare Regimes</w:t>
            </w:r>
          </w:p>
        </w:tc>
      </w:tr>
      <w:tr w:rsidR="00706E38" w:rsidRPr="00706E38" w:rsidTr="00132CC8">
        <w:trPr>
          <w:cnfStyle w:val="000000100000"/>
        </w:trPr>
        <w:tc>
          <w:tcPr>
            <w:cnfStyle w:val="001000000000"/>
            <w:tcW w:w="0" w:type="auto"/>
            <w:shd w:val="clear" w:color="auto" w:fill="FFFFFF" w:themeFill="background1"/>
          </w:tcPr>
          <w:p w:rsidR="00290978" w:rsidRPr="00706E38" w:rsidRDefault="00290978" w:rsidP="00132CC8">
            <w:pPr>
              <w:spacing w:before="60" w:after="60" w:line="276" w:lineRule="auto"/>
              <w:jc w:val="left"/>
              <w:rPr>
                <w:rFonts w:cs="Arial"/>
                <w:sz w:val="20"/>
                <w:szCs w:val="20"/>
                <w:lang w:val="en-GB"/>
              </w:rPr>
            </w:pPr>
            <w:r w:rsidRPr="00706E38">
              <w:rPr>
                <w:rFonts w:cs="Arial"/>
                <w:bCs w:val="0"/>
                <w:sz w:val="20"/>
                <w:szCs w:val="20"/>
                <w:lang w:val="en-GB"/>
              </w:rPr>
              <w:t>DEA52</w:t>
            </w:r>
          </w:p>
        </w:tc>
        <w:tc>
          <w:tcPr>
            <w:tcW w:w="0" w:type="auto"/>
            <w:shd w:val="clear" w:color="auto" w:fill="auto"/>
          </w:tcPr>
          <w:p w:rsidR="00290978" w:rsidRPr="00706E38" w:rsidRDefault="00290978" w:rsidP="00132CC8">
            <w:pPr>
              <w:spacing w:before="60" w:after="60" w:line="276" w:lineRule="auto"/>
              <w:jc w:val="left"/>
              <w:cnfStyle w:val="000000100000"/>
              <w:rPr>
                <w:rFonts w:cs="Arial"/>
                <w:bCs/>
                <w:sz w:val="20"/>
                <w:szCs w:val="20"/>
                <w:lang w:val="en-GB"/>
              </w:rPr>
            </w:pPr>
            <w:r w:rsidRPr="00706E38">
              <w:rPr>
                <w:rFonts w:cs="Arial"/>
                <w:sz w:val="20"/>
                <w:szCs w:val="20"/>
                <w:lang w:val="en-GB"/>
              </w:rPr>
              <w:t>Dortmund, Germany</w:t>
            </w:r>
          </w:p>
        </w:tc>
        <w:tc>
          <w:tcPr>
            <w:tcW w:w="0" w:type="auto"/>
            <w:shd w:val="clear" w:color="auto" w:fill="auto"/>
          </w:tcPr>
          <w:p w:rsidR="00290978" w:rsidRPr="00706E38" w:rsidRDefault="00290978" w:rsidP="00F80427">
            <w:pPr>
              <w:pStyle w:val="ListParagraph"/>
              <w:numPr>
                <w:ilvl w:val="0"/>
                <w:numId w:val="9"/>
              </w:numPr>
              <w:spacing w:before="60" w:after="60" w:line="276" w:lineRule="auto"/>
              <w:cnfStyle w:val="000000100000"/>
              <w:rPr>
                <w:rFonts w:cs="Arial"/>
                <w:sz w:val="20"/>
                <w:szCs w:val="20"/>
                <w:lang w:val="en-GB"/>
              </w:rPr>
            </w:pPr>
            <w:r w:rsidRPr="00706E38">
              <w:rPr>
                <w:rFonts w:cs="Arial"/>
                <w:sz w:val="20"/>
                <w:szCs w:val="20"/>
                <w:lang w:val="en-GB"/>
              </w:rPr>
              <w:t>Atlantic/Central Region</w:t>
            </w:r>
          </w:p>
          <w:p w:rsidR="00290978" w:rsidRPr="00706E38" w:rsidRDefault="00290978" w:rsidP="00F80427">
            <w:pPr>
              <w:pStyle w:val="ListParagraph"/>
              <w:numPr>
                <w:ilvl w:val="0"/>
                <w:numId w:val="9"/>
              </w:numPr>
              <w:spacing w:before="60" w:after="60" w:line="276" w:lineRule="auto"/>
              <w:cnfStyle w:val="000000100000"/>
              <w:rPr>
                <w:rFonts w:cs="Arial"/>
                <w:sz w:val="20"/>
                <w:szCs w:val="20"/>
                <w:lang w:val="en-GB"/>
              </w:rPr>
            </w:pPr>
            <w:r w:rsidRPr="00706E38">
              <w:rPr>
                <w:rFonts w:cs="Arial"/>
                <w:sz w:val="20"/>
                <w:szCs w:val="20"/>
                <w:lang w:val="en-GB"/>
              </w:rPr>
              <w:t>predominantly urban, in industrial transition</w:t>
            </w:r>
          </w:p>
          <w:p w:rsidR="00290978" w:rsidRPr="00706E38" w:rsidRDefault="006605CF" w:rsidP="00F80427">
            <w:pPr>
              <w:pStyle w:val="ListParagraph"/>
              <w:numPr>
                <w:ilvl w:val="0"/>
                <w:numId w:val="9"/>
              </w:numPr>
              <w:spacing w:before="60" w:after="60" w:line="276" w:lineRule="auto"/>
              <w:cnfStyle w:val="000000100000"/>
              <w:rPr>
                <w:rFonts w:cs="Arial"/>
                <w:sz w:val="20"/>
                <w:szCs w:val="20"/>
                <w:lang w:val="en-GB"/>
              </w:rPr>
            </w:pPr>
            <w:r w:rsidRPr="00706E38">
              <w:rPr>
                <w:rFonts w:cs="Arial"/>
                <w:sz w:val="20"/>
                <w:szCs w:val="20"/>
                <w:lang w:val="en-GB"/>
              </w:rPr>
              <w:t>State-based</w:t>
            </w:r>
          </w:p>
        </w:tc>
      </w:tr>
      <w:tr w:rsidR="00706E38" w:rsidRPr="00706E38" w:rsidTr="00132CC8">
        <w:trPr>
          <w:cnfStyle w:val="000000010000"/>
        </w:trPr>
        <w:tc>
          <w:tcPr>
            <w:cnfStyle w:val="001000000000"/>
            <w:tcW w:w="0" w:type="auto"/>
            <w:shd w:val="clear" w:color="auto" w:fill="auto"/>
          </w:tcPr>
          <w:p w:rsidR="00290978" w:rsidRPr="00706E38" w:rsidRDefault="00290978" w:rsidP="00132CC8">
            <w:pPr>
              <w:spacing w:before="60" w:after="60" w:line="276" w:lineRule="auto"/>
              <w:jc w:val="left"/>
              <w:rPr>
                <w:rFonts w:cs="Arial"/>
                <w:sz w:val="20"/>
                <w:szCs w:val="20"/>
                <w:lang w:val="en-GB"/>
              </w:rPr>
            </w:pPr>
            <w:r w:rsidRPr="00706E38">
              <w:rPr>
                <w:rFonts w:cs="Arial"/>
                <w:bCs w:val="0"/>
                <w:sz w:val="20"/>
                <w:szCs w:val="20"/>
                <w:lang w:val="en-GB"/>
              </w:rPr>
              <w:t>EL 300</w:t>
            </w:r>
          </w:p>
        </w:tc>
        <w:tc>
          <w:tcPr>
            <w:tcW w:w="0" w:type="auto"/>
            <w:shd w:val="clear" w:color="auto" w:fill="auto"/>
          </w:tcPr>
          <w:p w:rsidR="00290978" w:rsidRPr="00706E38" w:rsidRDefault="00290978" w:rsidP="00132CC8">
            <w:pPr>
              <w:spacing w:before="60" w:after="60" w:line="276" w:lineRule="auto"/>
              <w:jc w:val="left"/>
              <w:cnfStyle w:val="000000010000"/>
              <w:rPr>
                <w:rFonts w:cs="Arial"/>
                <w:bCs/>
                <w:sz w:val="20"/>
                <w:szCs w:val="20"/>
                <w:lang w:val="en-GB"/>
              </w:rPr>
            </w:pPr>
            <w:r w:rsidRPr="00706E38">
              <w:rPr>
                <w:rFonts w:cs="Arial"/>
                <w:sz w:val="20"/>
                <w:szCs w:val="20"/>
                <w:lang w:val="en-GB"/>
              </w:rPr>
              <w:t xml:space="preserve">Attiki, Greece </w:t>
            </w:r>
          </w:p>
        </w:tc>
        <w:tc>
          <w:tcPr>
            <w:tcW w:w="0" w:type="auto"/>
            <w:shd w:val="clear" w:color="auto" w:fill="auto"/>
          </w:tcPr>
          <w:p w:rsidR="00290978" w:rsidRPr="00706E38" w:rsidRDefault="00290978" w:rsidP="00F80427">
            <w:pPr>
              <w:pStyle w:val="ListParagraph"/>
              <w:numPr>
                <w:ilvl w:val="0"/>
                <w:numId w:val="9"/>
              </w:numPr>
              <w:spacing w:before="60" w:after="60" w:line="276" w:lineRule="auto"/>
              <w:cnfStyle w:val="000000010000"/>
              <w:rPr>
                <w:rFonts w:cs="Arial"/>
                <w:sz w:val="20"/>
                <w:szCs w:val="20"/>
                <w:lang w:val="en-GB"/>
              </w:rPr>
            </w:pPr>
            <w:r w:rsidRPr="00706E38">
              <w:rPr>
                <w:rFonts w:cs="Arial"/>
                <w:sz w:val="20"/>
                <w:szCs w:val="20"/>
                <w:lang w:val="en-GB"/>
              </w:rPr>
              <w:t>Mediterranean/Southern countries</w:t>
            </w:r>
          </w:p>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predominantly urban</w:t>
            </w:r>
          </w:p>
          <w:p w:rsidR="00290978" w:rsidRPr="00706E38" w:rsidRDefault="006605CF" w:rsidP="00F80427">
            <w:pPr>
              <w:pStyle w:val="ListParagraph"/>
              <w:numPr>
                <w:ilvl w:val="0"/>
                <w:numId w:val="9"/>
              </w:numPr>
              <w:spacing w:before="60" w:after="60" w:line="276" w:lineRule="auto"/>
              <w:ind w:left="714" w:hanging="357"/>
              <w:jc w:val="left"/>
              <w:cnfStyle w:val="000000010000"/>
              <w:rPr>
                <w:rFonts w:cs="Arial"/>
                <w:sz w:val="20"/>
                <w:szCs w:val="20"/>
                <w:lang w:val="en-GB"/>
              </w:rPr>
            </w:pPr>
            <w:r w:rsidRPr="00706E38">
              <w:rPr>
                <w:rFonts w:cs="Arial"/>
                <w:sz w:val="20"/>
                <w:szCs w:val="20"/>
                <w:lang w:val="en-GB"/>
              </w:rPr>
              <w:t>Familial</w:t>
            </w:r>
          </w:p>
        </w:tc>
      </w:tr>
      <w:tr w:rsidR="00706E38" w:rsidRPr="00706E38" w:rsidTr="00132CC8">
        <w:trPr>
          <w:cnfStyle w:val="000000100000"/>
        </w:trPr>
        <w:tc>
          <w:tcPr>
            <w:cnfStyle w:val="001000000000"/>
            <w:tcW w:w="0" w:type="auto"/>
            <w:shd w:val="clear" w:color="auto" w:fill="auto"/>
          </w:tcPr>
          <w:p w:rsidR="00290978" w:rsidRPr="00706E38" w:rsidRDefault="00290978" w:rsidP="00132CC8">
            <w:pPr>
              <w:spacing w:before="60" w:after="60" w:line="276" w:lineRule="auto"/>
              <w:jc w:val="left"/>
              <w:rPr>
                <w:rFonts w:cs="Arial"/>
                <w:sz w:val="20"/>
                <w:szCs w:val="20"/>
                <w:lang w:val="en-GB"/>
              </w:rPr>
            </w:pPr>
            <w:r w:rsidRPr="00706E38">
              <w:rPr>
                <w:rFonts w:cs="Arial"/>
                <w:sz w:val="20"/>
                <w:szCs w:val="20"/>
                <w:lang w:val="en-GB"/>
              </w:rPr>
              <w:t>ES 421</w:t>
            </w:r>
          </w:p>
        </w:tc>
        <w:tc>
          <w:tcPr>
            <w:tcW w:w="0" w:type="auto"/>
            <w:shd w:val="clear" w:color="auto" w:fill="auto"/>
          </w:tcPr>
          <w:p w:rsidR="00290978" w:rsidRPr="00706E38" w:rsidRDefault="00A72EC9" w:rsidP="00132CC8">
            <w:pPr>
              <w:spacing w:before="60" w:after="60" w:line="276" w:lineRule="auto"/>
              <w:jc w:val="left"/>
              <w:cnfStyle w:val="000000100000"/>
              <w:rPr>
                <w:rFonts w:cs="Arial"/>
                <w:sz w:val="20"/>
                <w:szCs w:val="20"/>
                <w:lang w:val="en-GB"/>
              </w:rPr>
            </w:pPr>
            <w:r w:rsidRPr="00706E38">
              <w:rPr>
                <w:rFonts w:cs="Arial"/>
                <w:sz w:val="20"/>
                <w:szCs w:val="20"/>
                <w:lang w:val="en-GB"/>
              </w:rPr>
              <w:t>Albacete, La Manchuela, Spain</w:t>
            </w:r>
          </w:p>
        </w:tc>
        <w:tc>
          <w:tcPr>
            <w:tcW w:w="0" w:type="auto"/>
            <w:shd w:val="clear" w:color="auto" w:fill="auto"/>
          </w:tcPr>
          <w:p w:rsidR="00290978" w:rsidRPr="00706E38" w:rsidRDefault="00290978" w:rsidP="00F80427">
            <w:pPr>
              <w:pStyle w:val="ListParagraph"/>
              <w:numPr>
                <w:ilvl w:val="0"/>
                <w:numId w:val="9"/>
              </w:numPr>
              <w:spacing w:before="60" w:after="60" w:line="276" w:lineRule="auto"/>
              <w:jc w:val="left"/>
              <w:cnfStyle w:val="000000100000"/>
              <w:rPr>
                <w:rFonts w:cs="Arial"/>
                <w:sz w:val="20"/>
                <w:szCs w:val="20"/>
                <w:lang w:val="en-GB"/>
              </w:rPr>
            </w:pPr>
            <w:r w:rsidRPr="00706E38">
              <w:rPr>
                <w:rFonts w:cs="Arial"/>
                <w:sz w:val="20"/>
                <w:szCs w:val="20"/>
                <w:lang w:val="en-GB"/>
              </w:rPr>
              <w:t>Mediterranean/Southern countries</w:t>
            </w:r>
          </w:p>
          <w:p w:rsidR="00290978" w:rsidRPr="00706E38" w:rsidRDefault="00290978" w:rsidP="00F80427">
            <w:pPr>
              <w:pStyle w:val="ListParagraph"/>
              <w:numPr>
                <w:ilvl w:val="0"/>
                <w:numId w:val="9"/>
              </w:numPr>
              <w:spacing w:before="60" w:after="60" w:line="276" w:lineRule="auto"/>
              <w:jc w:val="left"/>
              <w:cnfStyle w:val="000000100000"/>
              <w:rPr>
                <w:rFonts w:cs="Arial"/>
                <w:sz w:val="20"/>
                <w:szCs w:val="20"/>
                <w:lang w:val="en-GB"/>
              </w:rPr>
            </w:pPr>
            <w:r w:rsidRPr="00706E38">
              <w:rPr>
                <w:rFonts w:cs="Arial"/>
                <w:sz w:val="20"/>
                <w:szCs w:val="20"/>
                <w:lang w:val="en-GB"/>
              </w:rPr>
              <w:t>predominantly rural, remote area</w:t>
            </w:r>
          </w:p>
          <w:p w:rsidR="00290978" w:rsidRPr="00706E38" w:rsidRDefault="006605CF" w:rsidP="00F80427">
            <w:pPr>
              <w:pStyle w:val="ListParagraph"/>
              <w:numPr>
                <w:ilvl w:val="0"/>
                <w:numId w:val="9"/>
              </w:numPr>
              <w:spacing w:before="60" w:after="60" w:line="276" w:lineRule="auto"/>
              <w:ind w:left="714" w:hanging="357"/>
              <w:jc w:val="left"/>
              <w:cnfStyle w:val="000000100000"/>
              <w:rPr>
                <w:rFonts w:cs="Arial"/>
                <w:sz w:val="20"/>
                <w:szCs w:val="20"/>
                <w:lang w:val="en-GB"/>
              </w:rPr>
            </w:pPr>
            <w:r w:rsidRPr="00706E38">
              <w:rPr>
                <w:rFonts w:cs="Arial"/>
                <w:sz w:val="20"/>
                <w:szCs w:val="20"/>
                <w:lang w:val="en-GB"/>
              </w:rPr>
              <w:t>Familial</w:t>
            </w:r>
          </w:p>
        </w:tc>
      </w:tr>
      <w:tr w:rsidR="00706E38" w:rsidRPr="00706E38" w:rsidTr="00132CC8">
        <w:trPr>
          <w:cnfStyle w:val="000000010000"/>
        </w:trPr>
        <w:tc>
          <w:tcPr>
            <w:cnfStyle w:val="001000000000"/>
            <w:tcW w:w="0" w:type="auto"/>
            <w:shd w:val="clear" w:color="auto" w:fill="auto"/>
          </w:tcPr>
          <w:p w:rsidR="00290978" w:rsidRPr="00706E38" w:rsidRDefault="00290978" w:rsidP="00132CC8">
            <w:pPr>
              <w:spacing w:before="60" w:after="60" w:line="276" w:lineRule="auto"/>
              <w:jc w:val="left"/>
              <w:rPr>
                <w:rFonts w:cs="Arial"/>
                <w:bCs w:val="0"/>
                <w:sz w:val="20"/>
                <w:szCs w:val="20"/>
                <w:lang w:val="en-GB"/>
              </w:rPr>
            </w:pPr>
            <w:r w:rsidRPr="00706E38">
              <w:rPr>
                <w:rFonts w:cs="Arial"/>
                <w:bCs w:val="0"/>
                <w:sz w:val="20"/>
                <w:szCs w:val="20"/>
                <w:lang w:val="en-GB"/>
              </w:rPr>
              <w:t>FI133/</w:t>
            </w:r>
          </w:p>
          <w:p w:rsidR="00290978" w:rsidRPr="00706E38" w:rsidRDefault="00290978" w:rsidP="00132CC8">
            <w:pPr>
              <w:spacing w:before="60" w:after="60" w:line="276" w:lineRule="auto"/>
              <w:jc w:val="left"/>
              <w:rPr>
                <w:rFonts w:cs="Arial"/>
                <w:bCs w:val="0"/>
                <w:sz w:val="20"/>
                <w:szCs w:val="20"/>
                <w:lang w:val="en-GB"/>
              </w:rPr>
            </w:pPr>
            <w:r w:rsidRPr="00706E38">
              <w:rPr>
                <w:rFonts w:cs="Arial"/>
                <w:bCs w:val="0"/>
                <w:sz w:val="20"/>
                <w:szCs w:val="20"/>
                <w:lang w:val="en-GB"/>
              </w:rPr>
              <w:t>FI1D3</w:t>
            </w:r>
          </w:p>
        </w:tc>
        <w:tc>
          <w:tcPr>
            <w:tcW w:w="0" w:type="auto"/>
            <w:shd w:val="clear" w:color="auto" w:fill="auto"/>
          </w:tcPr>
          <w:p w:rsidR="00290978" w:rsidRPr="00706E38" w:rsidRDefault="00290978" w:rsidP="00132CC8">
            <w:pPr>
              <w:spacing w:before="60" w:after="60" w:line="276" w:lineRule="auto"/>
              <w:jc w:val="left"/>
              <w:cnfStyle w:val="000000010000"/>
              <w:rPr>
                <w:rFonts w:cs="Arial"/>
                <w:bCs/>
                <w:sz w:val="20"/>
                <w:szCs w:val="20"/>
                <w:lang w:val="en-GB"/>
              </w:rPr>
            </w:pPr>
            <w:r w:rsidRPr="00706E38">
              <w:rPr>
                <w:rFonts w:cs="Arial"/>
                <w:bCs/>
                <w:sz w:val="20"/>
                <w:szCs w:val="20"/>
                <w:lang w:val="en-GB"/>
              </w:rPr>
              <w:t>Lieksa,</w:t>
            </w:r>
            <w:r w:rsidRPr="00706E38">
              <w:rPr>
                <w:rFonts w:cs="Arial"/>
                <w:sz w:val="20"/>
                <w:szCs w:val="20"/>
                <w:lang w:val="en-GB"/>
              </w:rPr>
              <w:t xml:space="preserve"> Pohjois-Karjala, Finland </w:t>
            </w:r>
          </w:p>
        </w:tc>
        <w:tc>
          <w:tcPr>
            <w:tcW w:w="0" w:type="auto"/>
            <w:shd w:val="clear" w:color="auto" w:fill="auto"/>
          </w:tcPr>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Nordic/Baltic Region</w:t>
            </w:r>
          </w:p>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predominantly rural, remote area</w:t>
            </w:r>
          </w:p>
          <w:p w:rsidR="00290978" w:rsidRPr="00706E38" w:rsidRDefault="006605CF" w:rsidP="00F80427">
            <w:pPr>
              <w:pStyle w:val="ListParagraph"/>
              <w:numPr>
                <w:ilvl w:val="0"/>
                <w:numId w:val="9"/>
              </w:numPr>
              <w:spacing w:before="60" w:after="60" w:line="276" w:lineRule="auto"/>
              <w:ind w:left="714" w:hanging="357"/>
              <w:jc w:val="left"/>
              <w:cnfStyle w:val="000000010000"/>
              <w:rPr>
                <w:rFonts w:cs="Arial"/>
                <w:sz w:val="20"/>
                <w:szCs w:val="20"/>
                <w:lang w:val="en-GB"/>
              </w:rPr>
            </w:pPr>
            <w:r w:rsidRPr="00706E38">
              <w:rPr>
                <w:rFonts w:cs="Arial"/>
                <w:sz w:val="20"/>
                <w:szCs w:val="20"/>
                <w:lang w:val="en-GB"/>
              </w:rPr>
              <w:t>Society-based</w:t>
            </w:r>
          </w:p>
        </w:tc>
      </w:tr>
      <w:tr w:rsidR="00706E38" w:rsidRPr="00706E38" w:rsidTr="00132CC8">
        <w:trPr>
          <w:cnfStyle w:val="000000100000"/>
        </w:trPr>
        <w:tc>
          <w:tcPr>
            <w:cnfStyle w:val="001000000000"/>
            <w:tcW w:w="0" w:type="auto"/>
            <w:shd w:val="clear" w:color="auto" w:fill="auto"/>
          </w:tcPr>
          <w:p w:rsidR="00290978" w:rsidRPr="00706E38" w:rsidRDefault="00290978" w:rsidP="00132CC8">
            <w:pPr>
              <w:spacing w:before="60" w:after="60" w:line="276" w:lineRule="auto"/>
              <w:jc w:val="left"/>
              <w:rPr>
                <w:rFonts w:cs="Arial"/>
                <w:sz w:val="20"/>
                <w:szCs w:val="20"/>
                <w:lang w:val="en-GB"/>
              </w:rPr>
            </w:pPr>
            <w:r w:rsidRPr="00706E38">
              <w:rPr>
                <w:rFonts w:cs="Arial"/>
                <w:bCs w:val="0"/>
                <w:sz w:val="20"/>
                <w:szCs w:val="20"/>
                <w:lang w:val="en-GB"/>
              </w:rPr>
              <w:t>HU313</w:t>
            </w:r>
          </w:p>
        </w:tc>
        <w:tc>
          <w:tcPr>
            <w:tcW w:w="0" w:type="auto"/>
            <w:shd w:val="clear" w:color="auto" w:fill="auto"/>
          </w:tcPr>
          <w:p w:rsidR="00290978" w:rsidRPr="00706E38" w:rsidRDefault="00290978" w:rsidP="00132CC8">
            <w:pPr>
              <w:spacing w:before="60" w:after="60" w:line="276" w:lineRule="auto"/>
              <w:jc w:val="left"/>
              <w:cnfStyle w:val="000000100000"/>
              <w:rPr>
                <w:rFonts w:cs="Arial"/>
                <w:bCs/>
                <w:sz w:val="20"/>
                <w:szCs w:val="20"/>
                <w:lang w:val="en-GB"/>
              </w:rPr>
            </w:pPr>
            <w:r w:rsidRPr="00706E38">
              <w:rPr>
                <w:rFonts w:cs="Arial"/>
                <w:sz w:val="20"/>
                <w:szCs w:val="20"/>
                <w:lang w:val="en-GB"/>
              </w:rPr>
              <w:t xml:space="preserve">Nógrád, Hungary </w:t>
            </w:r>
          </w:p>
        </w:tc>
        <w:tc>
          <w:tcPr>
            <w:tcW w:w="0" w:type="auto"/>
            <w:shd w:val="clear" w:color="auto" w:fill="auto"/>
          </w:tcPr>
          <w:p w:rsidR="00290978" w:rsidRPr="00706E38" w:rsidRDefault="00290978" w:rsidP="00F80427">
            <w:pPr>
              <w:pStyle w:val="ListParagraph"/>
              <w:numPr>
                <w:ilvl w:val="0"/>
                <w:numId w:val="9"/>
              </w:numPr>
              <w:spacing w:before="60" w:after="60" w:line="276" w:lineRule="auto"/>
              <w:jc w:val="left"/>
              <w:cnfStyle w:val="000000100000"/>
              <w:rPr>
                <w:rFonts w:cs="Arial"/>
                <w:sz w:val="20"/>
                <w:szCs w:val="20"/>
                <w:lang w:val="en-GB"/>
              </w:rPr>
            </w:pPr>
            <w:r w:rsidRPr="00706E38">
              <w:rPr>
                <w:rFonts w:cs="Arial"/>
                <w:sz w:val="20"/>
                <w:szCs w:val="20"/>
                <w:lang w:val="en-GB"/>
              </w:rPr>
              <w:t>East Europe/New Member States</w:t>
            </w:r>
          </w:p>
          <w:p w:rsidR="00290978" w:rsidRPr="00706E38" w:rsidRDefault="00290978" w:rsidP="00F80427">
            <w:pPr>
              <w:pStyle w:val="ListParagraph"/>
              <w:numPr>
                <w:ilvl w:val="0"/>
                <w:numId w:val="9"/>
              </w:numPr>
              <w:spacing w:before="60" w:after="60" w:line="276" w:lineRule="auto"/>
              <w:jc w:val="left"/>
              <w:cnfStyle w:val="000000100000"/>
              <w:rPr>
                <w:rFonts w:cs="Arial"/>
                <w:sz w:val="20"/>
                <w:szCs w:val="20"/>
                <w:lang w:val="en-GB"/>
              </w:rPr>
            </w:pPr>
            <w:r w:rsidRPr="00706E38">
              <w:rPr>
                <w:rFonts w:cs="Arial"/>
                <w:sz w:val="20"/>
                <w:szCs w:val="20"/>
                <w:lang w:val="en-GB"/>
              </w:rPr>
              <w:t>predominantly rural, remote area, in industrial transition</w:t>
            </w:r>
          </w:p>
          <w:p w:rsidR="00290978" w:rsidRPr="00706E38" w:rsidRDefault="00290978" w:rsidP="00F80427">
            <w:pPr>
              <w:pStyle w:val="ListParagraph"/>
              <w:numPr>
                <w:ilvl w:val="0"/>
                <w:numId w:val="9"/>
              </w:numPr>
              <w:spacing w:before="60" w:after="60" w:line="276" w:lineRule="auto"/>
              <w:ind w:left="714" w:hanging="357"/>
              <w:jc w:val="left"/>
              <w:cnfStyle w:val="000000100000"/>
              <w:rPr>
                <w:rFonts w:cs="Arial"/>
                <w:sz w:val="20"/>
                <w:szCs w:val="20"/>
                <w:lang w:val="en-GB"/>
              </w:rPr>
            </w:pPr>
            <w:r w:rsidRPr="00706E38">
              <w:rPr>
                <w:rFonts w:cs="Arial"/>
                <w:sz w:val="20"/>
                <w:szCs w:val="20"/>
                <w:lang w:val="en-GB"/>
              </w:rPr>
              <w:t>Transit</w:t>
            </w:r>
            <w:r w:rsidR="006605CF" w:rsidRPr="00706E38">
              <w:rPr>
                <w:rFonts w:cs="Arial"/>
                <w:sz w:val="20"/>
                <w:szCs w:val="20"/>
                <w:lang w:val="en-GB"/>
              </w:rPr>
              <w:t>i</w:t>
            </w:r>
            <w:r w:rsidRPr="00706E38">
              <w:rPr>
                <w:rFonts w:cs="Arial"/>
                <w:sz w:val="20"/>
                <w:szCs w:val="20"/>
                <w:lang w:val="en-GB"/>
              </w:rPr>
              <w:t>o</w:t>
            </w:r>
            <w:r w:rsidR="006605CF" w:rsidRPr="00706E38">
              <w:rPr>
                <w:rFonts w:cs="Arial"/>
                <w:sz w:val="20"/>
                <w:szCs w:val="20"/>
                <w:lang w:val="en-GB"/>
              </w:rPr>
              <w:t>nal</w:t>
            </w:r>
          </w:p>
        </w:tc>
      </w:tr>
      <w:tr w:rsidR="00706E38" w:rsidRPr="00706E38" w:rsidTr="00132CC8">
        <w:trPr>
          <w:cnfStyle w:val="000000010000"/>
        </w:trPr>
        <w:tc>
          <w:tcPr>
            <w:cnfStyle w:val="001000000000"/>
            <w:tcW w:w="0" w:type="auto"/>
            <w:shd w:val="clear" w:color="auto" w:fill="auto"/>
          </w:tcPr>
          <w:p w:rsidR="00290978" w:rsidRPr="00706E38" w:rsidRDefault="00290978" w:rsidP="00132CC8">
            <w:pPr>
              <w:spacing w:before="60" w:after="60" w:line="276" w:lineRule="auto"/>
              <w:jc w:val="left"/>
              <w:rPr>
                <w:rFonts w:cs="Arial"/>
                <w:sz w:val="20"/>
                <w:szCs w:val="20"/>
                <w:lang w:val="en-GB"/>
              </w:rPr>
            </w:pPr>
            <w:r w:rsidRPr="00706E38">
              <w:rPr>
                <w:rFonts w:cs="Arial"/>
                <w:sz w:val="20"/>
                <w:szCs w:val="20"/>
                <w:lang w:val="en-GB"/>
              </w:rPr>
              <w:t>PT114</w:t>
            </w:r>
          </w:p>
        </w:tc>
        <w:tc>
          <w:tcPr>
            <w:tcW w:w="0" w:type="auto"/>
            <w:shd w:val="clear" w:color="auto" w:fill="auto"/>
          </w:tcPr>
          <w:p w:rsidR="00290978" w:rsidRPr="00706E38" w:rsidRDefault="00290978" w:rsidP="00132CC8">
            <w:pPr>
              <w:spacing w:before="60" w:after="60" w:line="276" w:lineRule="auto"/>
              <w:jc w:val="left"/>
              <w:cnfStyle w:val="000000010000"/>
              <w:rPr>
                <w:rFonts w:cs="Arial"/>
                <w:sz w:val="20"/>
                <w:szCs w:val="20"/>
                <w:lang w:val="en-GB"/>
              </w:rPr>
            </w:pPr>
            <w:r w:rsidRPr="00706E38">
              <w:rPr>
                <w:rFonts w:cs="Arial"/>
                <w:sz w:val="20"/>
                <w:szCs w:val="20"/>
                <w:lang w:val="en-GB"/>
              </w:rPr>
              <w:t xml:space="preserve">Porto, Portugal </w:t>
            </w:r>
          </w:p>
        </w:tc>
        <w:tc>
          <w:tcPr>
            <w:tcW w:w="0" w:type="auto"/>
            <w:shd w:val="clear" w:color="auto" w:fill="auto"/>
          </w:tcPr>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Mediterranean/Southern countries</w:t>
            </w:r>
          </w:p>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predominantly urban, in industrial transition</w:t>
            </w:r>
          </w:p>
          <w:p w:rsidR="00290978" w:rsidRPr="00706E38" w:rsidRDefault="006605CF" w:rsidP="00F80427">
            <w:pPr>
              <w:pStyle w:val="ListParagraph"/>
              <w:numPr>
                <w:ilvl w:val="0"/>
                <w:numId w:val="9"/>
              </w:numPr>
              <w:spacing w:before="60" w:after="60" w:line="276" w:lineRule="auto"/>
              <w:ind w:left="714" w:hanging="357"/>
              <w:jc w:val="left"/>
              <w:cnfStyle w:val="000000010000"/>
              <w:rPr>
                <w:rFonts w:cs="Arial"/>
                <w:sz w:val="20"/>
                <w:szCs w:val="20"/>
                <w:lang w:val="en-GB"/>
              </w:rPr>
            </w:pPr>
            <w:r w:rsidRPr="00706E38">
              <w:rPr>
                <w:rFonts w:cs="Arial"/>
                <w:sz w:val="20"/>
                <w:szCs w:val="20"/>
                <w:lang w:val="en-GB"/>
              </w:rPr>
              <w:t>Familial</w:t>
            </w:r>
          </w:p>
        </w:tc>
      </w:tr>
      <w:tr w:rsidR="00706E38" w:rsidRPr="00706E38" w:rsidTr="00132CC8">
        <w:trPr>
          <w:cnfStyle w:val="000000100000"/>
        </w:trPr>
        <w:tc>
          <w:tcPr>
            <w:cnfStyle w:val="001000000000"/>
            <w:tcW w:w="0" w:type="auto"/>
            <w:shd w:val="clear" w:color="auto" w:fill="auto"/>
          </w:tcPr>
          <w:p w:rsidR="00290978" w:rsidRPr="00706E38" w:rsidRDefault="00290978" w:rsidP="00132CC8">
            <w:pPr>
              <w:spacing w:before="60" w:after="60" w:line="276" w:lineRule="auto"/>
              <w:jc w:val="left"/>
              <w:rPr>
                <w:rFonts w:cs="Arial"/>
                <w:sz w:val="20"/>
                <w:szCs w:val="20"/>
                <w:lang w:val="en-GB"/>
              </w:rPr>
            </w:pPr>
            <w:r w:rsidRPr="00706E38">
              <w:rPr>
                <w:rFonts w:cs="Arial"/>
                <w:sz w:val="20"/>
                <w:szCs w:val="20"/>
                <w:lang w:val="en-GB"/>
              </w:rPr>
              <w:t>SE110</w:t>
            </w:r>
          </w:p>
        </w:tc>
        <w:tc>
          <w:tcPr>
            <w:tcW w:w="0" w:type="auto"/>
            <w:shd w:val="clear" w:color="auto" w:fill="auto"/>
          </w:tcPr>
          <w:p w:rsidR="00290978" w:rsidRPr="00706E38" w:rsidRDefault="00290978" w:rsidP="00132CC8">
            <w:pPr>
              <w:spacing w:before="60" w:after="60" w:line="276" w:lineRule="auto"/>
              <w:jc w:val="left"/>
              <w:cnfStyle w:val="000000100000"/>
              <w:rPr>
                <w:rFonts w:cs="Arial"/>
                <w:sz w:val="20"/>
                <w:szCs w:val="20"/>
                <w:lang w:val="en-GB"/>
              </w:rPr>
            </w:pPr>
            <w:r w:rsidRPr="00706E38">
              <w:rPr>
                <w:rFonts w:cs="Arial"/>
                <w:sz w:val="20"/>
                <w:szCs w:val="20"/>
                <w:lang w:val="en-GB"/>
              </w:rPr>
              <w:t xml:space="preserve">Botkyrka, Stockholms län, Sweden </w:t>
            </w:r>
          </w:p>
        </w:tc>
        <w:tc>
          <w:tcPr>
            <w:tcW w:w="0" w:type="auto"/>
            <w:shd w:val="clear" w:color="auto" w:fill="auto"/>
          </w:tcPr>
          <w:p w:rsidR="00290978" w:rsidRPr="00706E38" w:rsidRDefault="00290978" w:rsidP="00F80427">
            <w:pPr>
              <w:pStyle w:val="ListParagraph"/>
              <w:numPr>
                <w:ilvl w:val="0"/>
                <w:numId w:val="9"/>
              </w:numPr>
              <w:spacing w:before="60" w:after="60" w:line="276" w:lineRule="auto"/>
              <w:jc w:val="left"/>
              <w:cnfStyle w:val="000000100000"/>
              <w:rPr>
                <w:rFonts w:cs="Arial"/>
                <w:sz w:val="20"/>
                <w:szCs w:val="20"/>
                <w:lang w:val="en-GB"/>
              </w:rPr>
            </w:pPr>
            <w:r w:rsidRPr="00706E38">
              <w:rPr>
                <w:rFonts w:cs="Arial"/>
                <w:sz w:val="20"/>
                <w:szCs w:val="20"/>
                <w:lang w:val="en-GB"/>
              </w:rPr>
              <w:t>Nordic/Baltic Region</w:t>
            </w:r>
          </w:p>
          <w:p w:rsidR="00290978" w:rsidRPr="00706E38" w:rsidRDefault="00290978" w:rsidP="00F80427">
            <w:pPr>
              <w:pStyle w:val="ListParagraph"/>
              <w:numPr>
                <w:ilvl w:val="0"/>
                <w:numId w:val="9"/>
              </w:numPr>
              <w:spacing w:before="60" w:after="60" w:line="276" w:lineRule="auto"/>
              <w:jc w:val="left"/>
              <w:cnfStyle w:val="000000100000"/>
              <w:rPr>
                <w:rFonts w:cs="Arial"/>
                <w:sz w:val="20"/>
                <w:szCs w:val="20"/>
                <w:lang w:val="en-GB"/>
              </w:rPr>
            </w:pPr>
            <w:r w:rsidRPr="00706E38">
              <w:rPr>
                <w:rFonts w:cs="Arial"/>
                <w:sz w:val="20"/>
                <w:szCs w:val="20"/>
                <w:lang w:val="en-GB"/>
              </w:rPr>
              <w:t>predominantly urban</w:t>
            </w:r>
          </w:p>
          <w:p w:rsidR="00290978" w:rsidRPr="00706E38" w:rsidRDefault="006605CF" w:rsidP="00F80427">
            <w:pPr>
              <w:pStyle w:val="ListParagraph"/>
              <w:numPr>
                <w:ilvl w:val="0"/>
                <w:numId w:val="9"/>
              </w:numPr>
              <w:spacing w:before="60" w:after="60" w:line="276" w:lineRule="auto"/>
              <w:ind w:left="714" w:hanging="357"/>
              <w:jc w:val="left"/>
              <w:cnfStyle w:val="000000100000"/>
              <w:rPr>
                <w:rFonts w:cs="Arial"/>
                <w:sz w:val="20"/>
                <w:szCs w:val="20"/>
                <w:lang w:val="en-GB"/>
              </w:rPr>
            </w:pPr>
            <w:r w:rsidRPr="00706E38">
              <w:rPr>
                <w:rFonts w:cs="Arial"/>
                <w:sz w:val="20"/>
                <w:szCs w:val="20"/>
                <w:lang w:val="en-GB"/>
              </w:rPr>
              <w:t>State-based</w:t>
            </w:r>
          </w:p>
        </w:tc>
      </w:tr>
      <w:tr w:rsidR="00706E38" w:rsidRPr="00706E38" w:rsidTr="00132CC8">
        <w:trPr>
          <w:cnfStyle w:val="000000010000"/>
        </w:trPr>
        <w:tc>
          <w:tcPr>
            <w:cnfStyle w:val="001000000000"/>
            <w:tcW w:w="0" w:type="auto"/>
            <w:shd w:val="clear" w:color="auto" w:fill="auto"/>
          </w:tcPr>
          <w:p w:rsidR="00290978" w:rsidRPr="00706E38" w:rsidRDefault="00290978" w:rsidP="00132CC8">
            <w:pPr>
              <w:spacing w:before="60" w:after="60" w:line="276" w:lineRule="auto"/>
              <w:jc w:val="left"/>
              <w:rPr>
                <w:rFonts w:cs="Arial"/>
                <w:sz w:val="20"/>
                <w:szCs w:val="20"/>
                <w:lang w:val="en-GB"/>
              </w:rPr>
            </w:pPr>
            <w:r w:rsidRPr="00706E38">
              <w:rPr>
                <w:rFonts w:cs="Arial"/>
                <w:sz w:val="20"/>
                <w:szCs w:val="20"/>
                <w:lang w:val="en-GB"/>
              </w:rPr>
              <w:t>SK032</w:t>
            </w:r>
          </w:p>
        </w:tc>
        <w:tc>
          <w:tcPr>
            <w:tcW w:w="0" w:type="auto"/>
            <w:shd w:val="clear" w:color="auto" w:fill="auto"/>
          </w:tcPr>
          <w:p w:rsidR="00290978" w:rsidRPr="00706E38" w:rsidRDefault="00290978" w:rsidP="00132CC8">
            <w:pPr>
              <w:spacing w:before="60" w:after="60" w:line="276" w:lineRule="auto"/>
              <w:jc w:val="left"/>
              <w:cnfStyle w:val="000000010000"/>
              <w:rPr>
                <w:rFonts w:cs="Arial"/>
                <w:sz w:val="20"/>
                <w:szCs w:val="20"/>
                <w:lang w:val="en-GB"/>
              </w:rPr>
            </w:pPr>
            <w:r w:rsidRPr="00706E38">
              <w:rPr>
                <w:rFonts w:cs="Arial"/>
                <w:sz w:val="20"/>
                <w:szCs w:val="20"/>
                <w:lang w:val="en-GB"/>
              </w:rPr>
              <w:t xml:space="preserve">Banskobystrický kraj, Slovakia </w:t>
            </w:r>
          </w:p>
        </w:tc>
        <w:tc>
          <w:tcPr>
            <w:tcW w:w="0" w:type="auto"/>
            <w:shd w:val="clear" w:color="auto" w:fill="auto"/>
          </w:tcPr>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East Europe/New Member States</w:t>
            </w:r>
          </w:p>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 xml:space="preserve">predominantly rural, mountainous region, in industrial transition </w:t>
            </w:r>
          </w:p>
          <w:p w:rsidR="00290978" w:rsidRPr="00706E38" w:rsidRDefault="00290978" w:rsidP="00F80427">
            <w:pPr>
              <w:pStyle w:val="ListParagraph"/>
              <w:numPr>
                <w:ilvl w:val="0"/>
                <w:numId w:val="9"/>
              </w:numPr>
              <w:spacing w:before="60" w:after="60" w:line="276" w:lineRule="auto"/>
              <w:ind w:left="714" w:hanging="357"/>
              <w:jc w:val="left"/>
              <w:cnfStyle w:val="000000010000"/>
              <w:rPr>
                <w:rFonts w:cs="Arial"/>
                <w:sz w:val="20"/>
                <w:szCs w:val="20"/>
                <w:lang w:val="en-GB"/>
              </w:rPr>
            </w:pPr>
            <w:r w:rsidRPr="00706E38">
              <w:rPr>
                <w:rFonts w:cs="Arial"/>
                <w:sz w:val="20"/>
                <w:szCs w:val="20"/>
                <w:lang w:val="en-GB"/>
              </w:rPr>
              <w:t>Transit</w:t>
            </w:r>
            <w:r w:rsidR="006605CF" w:rsidRPr="00706E38">
              <w:rPr>
                <w:rFonts w:cs="Arial"/>
                <w:sz w:val="20"/>
                <w:szCs w:val="20"/>
                <w:lang w:val="en-GB"/>
              </w:rPr>
              <w:t>ional</w:t>
            </w:r>
          </w:p>
        </w:tc>
      </w:tr>
      <w:tr w:rsidR="00706E38" w:rsidRPr="00706E38" w:rsidTr="00132CC8">
        <w:trPr>
          <w:cnfStyle w:val="000000100000"/>
        </w:trPr>
        <w:tc>
          <w:tcPr>
            <w:cnfStyle w:val="001000000000"/>
            <w:tcW w:w="0" w:type="auto"/>
            <w:shd w:val="clear" w:color="auto" w:fill="auto"/>
          </w:tcPr>
          <w:p w:rsidR="00290978" w:rsidRPr="00706E38" w:rsidRDefault="00290978" w:rsidP="00132CC8">
            <w:pPr>
              <w:spacing w:before="60" w:after="60" w:line="276" w:lineRule="auto"/>
              <w:jc w:val="left"/>
              <w:rPr>
                <w:rFonts w:cs="Arial"/>
                <w:sz w:val="20"/>
                <w:szCs w:val="20"/>
                <w:lang w:val="en-GB"/>
              </w:rPr>
            </w:pPr>
            <w:r w:rsidRPr="00706E38">
              <w:rPr>
                <w:rFonts w:cs="Arial"/>
                <w:sz w:val="20"/>
                <w:szCs w:val="20"/>
                <w:lang w:val="en-GB"/>
              </w:rPr>
              <w:t>TR310</w:t>
            </w:r>
          </w:p>
        </w:tc>
        <w:tc>
          <w:tcPr>
            <w:tcW w:w="0" w:type="auto"/>
            <w:shd w:val="clear" w:color="auto" w:fill="auto"/>
          </w:tcPr>
          <w:p w:rsidR="00290978" w:rsidRPr="00706E38" w:rsidRDefault="00290978" w:rsidP="00132CC8">
            <w:pPr>
              <w:spacing w:before="60" w:after="60" w:line="276" w:lineRule="auto"/>
              <w:jc w:val="left"/>
              <w:cnfStyle w:val="000000100000"/>
              <w:rPr>
                <w:rFonts w:cs="Arial"/>
                <w:sz w:val="20"/>
                <w:szCs w:val="20"/>
                <w:lang w:val="en-GB"/>
              </w:rPr>
            </w:pPr>
            <w:r w:rsidRPr="00706E38">
              <w:rPr>
                <w:rFonts w:cs="Arial"/>
                <w:sz w:val="20"/>
                <w:szCs w:val="20"/>
                <w:lang w:val="en-GB"/>
              </w:rPr>
              <w:t xml:space="preserve">Izmir, Turkey </w:t>
            </w:r>
          </w:p>
        </w:tc>
        <w:tc>
          <w:tcPr>
            <w:tcW w:w="0" w:type="auto"/>
            <w:shd w:val="clear" w:color="auto" w:fill="auto"/>
          </w:tcPr>
          <w:p w:rsidR="00290978" w:rsidRPr="00706E38" w:rsidRDefault="00290978" w:rsidP="00F80427">
            <w:pPr>
              <w:pStyle w:val="ListParagraph"/>
              <w:numPr>
                <w:ilvl w:val="0"/>
                <w:numId w:val="9"/>
              </w:numPr>
              <w:spacing w:before="60" w:after="60" w:line="276" w:lineRule="auto"/>
              <w:jc w:val="left"/>
              <w:cnfStyle w:val="000000100000"/>
              <w:rPr>
                <w:rFonts w:cs="Arial"/>
                <w:sz w:val="20"/>
                <w:szCs w:val="20"/>
                <w:lang w:val="en-GB"/>
              </w:rPr>
            </w:pPr>
            <w:r w:rsidRPr="00706E38">
              <w:rPr>
                <w:rFonts w:cs="Arial"/>
                <w:sz w:val="20"/>
                <w:szCs w:val="20"/>
                <w:lang w:val="en-GB"/>
              </w:rPr>
              <w:t>Mediterranean/Southern countries</w:t>
            </w:r>
          </w:p>
          <w:p w:rsidR="00290978" w:rsidRPr="00706E38" w:rsidRDefault="00290978" w:rsidP="00F80427">
            <w:pPr>
              <w:pStyle w:val="ListParagraph"/>
              <w:numPr>
                <w:ilvl w:val="0"/>
                <w:numId w:val="9"/>
              </w:numPr>
              <w:spacing w:before="60" w:after="60" w:line="276" w:lineRule="auto"/>
              <w:jc w:val="left"/>
              <w:cnfStyle w:val="000000100000"/>
              <w:rPr>
                <w:rFonts w:cs="Arial"/>
                <w:sz w:val="20"/>
                <w:szCs w:val="20"/>
                <w:lang w:val="en-GB"/>
              </w:rPr>
            </w:pPr>
            <w:r w:rsidRPr="00706E38">
              <w:rPr>
                <w:rFonts w:cs="Arial"/>
                <w:sz w:val="20"/>
                <w:szCs w:val="20"/>
                <w:lang w:val="en-GB"/>
              </w:rPr>
              <w:t>predominantly urban</w:t>
            </w:r>
          </w:p>
          <w:p w:rsidR="00290978" w:rsidRPr="00706E38" w:rsidRDefault="006605CF" w:rsidP="00F80427">
            <w:pPr>
              <w:pStyle w:val="ListParagraph"/>
              <w:numPr>
                <w:ilvl w:val="0"/>
                <w:numId w:val="9"/>
              </w:numPr>
              <w:spacing w:before="60" w:after="60" w:line="276" w:lineRule="auto"/>
              <w:ind w:left="714" w:hanging="357"/>
              <w:jc w:val="left"/>
              <w:cnfStyle w:val="000000100000"/>
              <w:rPr>
                <w:rFonts w:cs="Arial"/>
                <w:sz w:val="20"/>
                <w:szCs w:val="20"/>
                <w:lang w:val="en-GB"/>
              </w:rPr>
            </w:pPr>
            <w:r w:rsidRPr="00706E38">
              <w:rPr>
                <w:rFonts w:cs="Arial"/>
                <w:sz w:val="20"/>
                <w:szCs w:val="20"/>
                <w:lang w:val="en-GB"/>
              </w:rPr>
              <w:t>Familial</w:t>
            </w:r>
          </w:p>
        </w:tc>
      </w:tr>
      <w:tr w:rsidR="00706E38" w:rsidRPr="00706E38" w:rsidTr="00132CC8">
        <w:trPr>
          <w:cnfStyle w:val="000000010000"/>
        </w:trPr>
        <w:tc>
          <w:tcPr>
            <w:cnfStyle w:val="001000000000"/>
            <w:tcW w:w="0" w:type="auto"/>
            <w:shd w:val="clear" w:color="auto" w:fill="auto"/>
          </w:tcPr>
          <w:p w:rsidR="00290978" w:rsidRPr="00706E38" w:rsidRDefault="00290978" w:rsidP="00132CC8">
            <w:pPr>
              <w:spacing w:before="60" w:after="60" w:line="276" w:lineRule="auto"/>
              <w:jc w:val="left"/>
              <w:rPr>
                <w:rFonts w:cs="Arial"/>
                <w:sz w:val="20"/>
                <w:szCs w:val="20"/>
                <w:lang w:val="en-GB"/>
              </w:rPr>
            </w:pPr>
            <w:r w:rsidRPr="00706E38">
              <w:rPr>
                <w:rFonts w:cs="Arial"/>
                <w:bCs w:val="0"/>
                <w:sz w:val="20"/>
                <w:szCs w:val="20"/>
                <w:lang w:val="en-GB"/>
              </w:rPr>
              <w:t>UKM64</w:t>
            </w:r>
          </w:p>
        </w:tc>
        <w:tc>
          <w:tcPr>
            <w:tcW w:w="0" w:type="auto"/>
            <w:shd w:val="clear" w:color="auto" w:fill="auto"/>
          </w:tcPr>
          <w:p w:rsidR="00290978" w:rsidRPr="00706E38" w:rsidRDefault="00290978" w:rsidP="00132CC8">
            <w:pPr>
              <w:spacing w:before="60" w:after="60" w:line="276" w:lineRule="auto"/>
              <w:jc w:val="left"/>
              <w:cnfStyle w:val="000000010000"/>
              <w:rPr>
                <w:rFonts w:cs="Arial"/>
                <w:bCs/>
                <w:sz w:val="20"/>
                <w:szCs w:val="20"/>
              </w:rPr>
            </w:pPr>
            <w:r w:rsidRPr="00706E38">
              <w:rPr>
                <w:rFonts w:cs="Arial"/>
                <w:sz w:val="20"/>
                <w:szCs w:val="20"/>
              </w:rPr>
              <w:t xml:space="preserve">Eilean Siar, Western Isles, UK </w:t>
            </w:r>
          </w:p>
        </w:tc>
        <w:tc>
          <w:tcPr>
            <w:tcW w:w="0" w:type="auto"/>
            <w:shd w:val="clear" w:color="auto" w:fill="auto"/>
          </w:tcPr>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Atlantic/Central Region</w:t>
            </w:r>
          </w:p>
          <w:p w:rsidR="00290978" w:rsidRPr="00706E38" w:rsidRDefault="00290978" w:rsidP="00F80427">
            <w:pPr>
              <w:pStyle w:val="ListParagraph"/>
              <w:numPr>
                <w:ilvl w:val="0"/>
                <w:numId w:val="9"/>
              </w:numPr>
              <w:spacing w:before="60" w:after="60" w:line="276" w:lineRule="auto"/>
              <w:jc w:val="left"/>
              <w:cnfStyle w:val="000000010000"/>
              <w:rPr>
                <w:rFonts w:cs="Arial"/>
                <w:sz w:val="20"/>
                <w:szCs w:val="20"/>
                <w:lang w:val="en-GB"/>
              </w:rPr>
            </w:pPr>
            <w:r w:rsidRPr="00706E38">
              <w:rPr>
                <w:rFonts w:cs="Arial"/>
                <w:sz w:val="20"/>
                <w:szCs w:val="20"/>
                <w:lang w:val="en-GB"/>
              </w:rPr>
              <w:t>predominantly rural, island region, remote  area</w:t>
            </w:r>
          </w:p>
          <w:p w:rsidR="00290978" w:rsidRPr="00706E38" w:rsidRDefault="006605CF" w:rsidP="00F80427">
            <w:pPr>
              <w:pStyle w:val="ListParagraph"/>
              <w:numPr>
                <w:ilvl w:val="0"/>
                <w:numId w:val="9"/>
              </w:numPr>
              <w:spacing w:before="60" w:after="60" w:line="276" w:lineRule="auto"/>
              <w:ind w:left="714" w:hanging="357"/>
              <w:jc w:val="left"/>
              <w:cnfStyle w:val="000000010000"/>
              <w:rPr>
                <w:rFonts w:cs="Arial"/>
                <w:sz w:val="20"/>
                <w:szCs w:val="20"/>
                <w:lang w:val="en-GB"/>
              </w:rPr>
            </w:pPr>
            <w:r w:rsidRPr="00706E38">
              <w:rPr>
                <w:rFonts w:cs="Arial"/>
                <w:sz w:val="20"/>
                <w:szCs w:val="20"/>
                <w:lang w:val="en-GB"/>
              </w:rPr>
              <w:t>Individual</w:t>
            </w:r>
          </w:p>
        </w:tc>
      </w:tr>
    </w:tbl>
    <w:p w:rsidR="00290978" w:rsidRPr="00706E38" w:rsidRDefault="00290978" w:rsidP="002468C6">
      <w:pPr>
        <w:rPr>
          <w:lang w:val="en-US"/>
        </w:rPr>
      </w:pPr>
    </w:p>
    <w:p w:rsidR="00290978" w:rsidRPr="00706E38" w:rsidRDefault="005A3320" w:rsidP="00290978">
      <w:pPr>
        <w:rPr>
          <w:noProof/>
        </w:rPr>
      </w:pPr>
      <w:r w:rsidRPr="00706E38">
        <w:rPr>
          <w:noProof/>
        </w:rPr>
        <w:br w:type="column"/>
      </w:r>
      <w:r w:rsidR="00290978" w:rsidRPr="00706E38">
        <w:rPr>
          <w:noProof/>
        </w:rPr>
        <w:lastRenderedPageBreak/>
        <w:t>The case studies focus on five different thematic challenges.</w:t>
      </w:r>
    </w:p>
    <w:p w:rsidR="00290978" w:rsidRPr="00706E38" w:rsidRDefault="00290978" w:rsidP="00F80427">
      <w:pPr>
        <w:pStyle w:val="ListParagraph"/>
        <w:numPr>
          <w:ilvl w:val="0"/>
          <w:numId w:val="10"/>
        </w:numPr>
        <w:rPr>
          <w:noProof/>
        </w:rPr>
      </w:pPr>
      <w:r w:rsidRPr="00706E38">
        <w:rPr>
          <w:b/>
          <w:noProof/>
        </w:rPr>
        <w:t>Ethnicity-related social exclusion</w:t>
      </w:r>
      <w:r w:rsidRPr="00706E38">
        <w:rPr>
          <w:noProof/>
        </w:rPr>
        <w:t>, with a focus on social exclusion and social integration of Roma population, studied in the Hungarian and Slovakian case study, in a predominantly rural context</w:t>
      </w:r>
    </w:p>
    <w:p w:rsidR="00290978" w:rsidRPr="00706E38" w:rsidRDefault="00290978" w:rsidP="00F80427">
      <w:pPr>
        <w:pStyle w:val="ListParagraph"/>
        <w:numPr>
          <w:ilvl w:val="0"/>
          <w:numId w:val="10"/>
        </w:numPr>
        <w:rPr>
          <w:noProof/>
        </w:rPr>
      </w:pPr>
      <w:r w:rsidRPr="00706E38">
        <w:rPr>
          <w:noProof/>
        </w:rPr>
        <w:t xml:space="preserve">Age-related exclusion, both youth and elderly and </w:t>
      </w:r>
      <w:r w:rsidRPr="00706E38">
        <w:rPr>
          <w:b/>
          <w:noProof/>
        </w:rPr>
        <w:t>access to services of general interest in sparsely populated areas</w:t>
      </w:r>
      <w:r w:rsidRPr="00706E38">
        <w:rPr>
          <w:noProof/>
        </w:rPr>
        <w:t>, studied in the Western Isles, UK, and La Manchuela/Albacete, Spain</w:t>
      </w:r>
    </w:p>
    <w:p w:rsidR="00290978" w:rsidRPr="00706E38" w:rsidRDefault="00290978" w:rsidP="00F80427">
      <w:pPr>
        <w:pStyle w:val="ListParagraph"/>
        <w:numPr>
          <w:ilvl w:val="0"/>
          <w:numId w:val="10"/>
        </w:numPr>
        <w:rPr>
          <w:noProof/>
        </w:rPr>
      </w:pPr>
      <w:r w:rsidRPr="00706E38">
        <w:rPr>
          <w:b/>
          <w:noProof/>
        </w:rPr>
        <w:t>Urban Education</w:t>
      </w:r>
      <w:r w:rsidRPr="00706E38">
        <w:rPr>
          <w:noProof/>
        </w:rPr>
        <w:t xml:space="preserve">, with a focus on educational success, school performance and segregation patterns, studied in Dortmund, Germany and Izmir, Turkey </w:t>
      </w:r>
    </w:p>
    <w:p w:rsidR="00290978" w:rsidRPr="00706E38" w:rsidRDefault="00290978" w:rsidP="00F80427">
      <w:pPr>
        <w:pStyle w:val="ListParagraph"/>
        <w:numPr>
          <w:ilvl w:val="0"/>
          <w:numId w:val="10"/>
        </w:numPr>
        <w:rPr>
          <w:noProof/>
        </w:rPr>
      </w:pPr>
      <w:r w:rsidRPr="00706E38">
        <w:rPr>
          <w:noProof/>
        </w:rPr>
        <w:t xml:space="preserve">Patterns and processes of </w:t>
      </w:r>
      <w:r w:rsidRPr="00706E38">
        <w:rPr>
          <w:b/>
          <w:noProof/>
        </w:rPr>
        <w:t>ethnic and social segregation in metropolitan regions</w:t>
      </w:r>
      <w:r w:rsidRPr="00706E38">
        <w:rPr>
          <w:noProof/>
        </w:rPr>
        <w:t>, studied in the metropolitan regions of Athens and Stockholm</w:t>
      </w:r>
    </w:p>
    <w:p w:rsidR="00290978" w:rsidRPr="00706E38" w:rsidRDefault="00290978" w:rsidP="00F80427">
      <w:pPr>
        <w:pStyle w:val="ListParagraph"/>
        <w:numPr>
          <w:ilvl w:val="0"/>
          <w:numId w:val="10"/>
        </w:numPr>
        <w:rPr>
          <w:noProof/>
        </w:rPr>
      </w:pPr>
      <w:r w:rsidRPr="00706E38">
        <w:rPr>
          <w:b/>
          <w:noProof/>
        </w:rPr>
        <w:t>Unemployment</w:t>
      </w:r>
      <w:r w:rsidRPr="00706E38">
        <w:rPr>
          <w:noProof/>
        </w:rPr>
        <w:t>, studied with a focus on long-term unemployment in the rural context of the Finnish case and a focus on youth unemployment in the city of P</w:t>
      </w:r>
      <w:r w:rsidR="00132CC8" w:rsidRPr="00706E38">
        <w:rPr>
          <w:noProof/>
        </w:rPr>
        <w:t>orto, Portugal</w:t>
      </w:r>
    </w:p>
    <w:p w:rsidR="00132CC8" w:rsidRPr="00706E38" w:rsidRDefault="00132CC8" w:rsidP="00132CC8">
      <w:pPr>
        <w:pStyle w:val="Heading2"/>
        <w:rPr>
          <w:lang w:val="en-US"/>
        </w:rPr>
      </w:pPr>
      <w:bookmarkStart w:id="57" w:name="_Toc410375330"/>
      <w:r w:rsidRPr="00706E38">
        <w:rPr>
          <w:lang w:val="en-US"/>
        </w:rPr>
        <w:t>Summary of Findings</w:t>
      </w:r>
      <w:bookmarkEnd w:id="57"/>
    </w:p>
    <w:p w:rsidR="002468C6" w:rsidRPr="00706E38" w:rsidRDefault="00F35315" w:rsidP="002468C6">
      <w:pPr>
        <w:rPr>
          <w:lang w:val="en-US"/>
        </w:rPr>
      </w:pPr>
      <w:r w:rsidRPr="00706E38">
        <w:rPr>
          <w:noProof/>
        </w:rPr>
        <w:t xml:space="preserve">Full details of the ten case studies are provided in Annex </w:t>
      </w:r>
      <w:r w:rsidR="006605CF" w:rsidRPr="00706E38">
        <w:rPr>
          <w:noProof/>
        </w:rPr>
        <w:t>4</w:t>
      </w:r>
      <w:r w:rsidRPr="00706E38">
        <w:rPr>
          <w:noProof/>
        </w:rPr>
        <w:t xml:space="preserve">. Unfortunately space will not permit us to convey the empirical richness of the case studies here. We shall instead </w:t>
      </w:r>
      <w:r w:rsidRPr="00706E38">
        <w:rPr>
          <w:lang w:val="en-US"/>
        </w:rPr>
        <w:t>sum</w:t>
      </w:r>
      <w:r w:rsidR="002468C6" w:rsidRPr="00706E38">
        <w:rPr>
          <w:lang w:val="en-US"/>
        </w:rPr>
        <w:t xml:space="preserve">marise </w:t>
      </w:r>
      <w:r w:rsidR="00132CC8" w:rsidRPr="00706E38">
        <w:rPr>
          <w:lang w:val="en-US"/>
        </w:rPr>
        <w:t>the key</w:t>
      </w:r>
      <w:r w:rsidR="002468C6" w:rsidRPr="00706E38">
        <w:rPr>
          <w:lang w:val="en-US"/>
        </w:rPr>
        <w:t xml:space="preserve"> </w:t>
      </w:r>
      <w:r w:rsidR="00132CC8" w:rsidRPr="00706E38">
        <w:rPr>
          <w:lang w:val="en-US"/>
        </w:rPr>
        <w:t>findings</w:t>
      </w:r>
      <w:r w:rsidR="002468C6" w:rsidRPr="00706E38">
        <w:rPr>
          <w:lang w:val="en-US"/>
        </w:rPr>
        <w:t xml:space="preserve"> </w:t>
      </w:r>
      <w:r w:rsidR="00132CC8" w:rsidRPr="00706E38">
        <w:rPr>
          <w:lang w:val="en-US"/>
        </w:rPr>
        <w:t>emerging from</w:t>
      </w:r>
      <w:r w:rsidR="002468C6" w:rsidRPr="00706E38">
        <w:rPr>
          <w:lang w:val="en-US"/>
        </w:rPr>
        <w:t xml:space="preserve"> a cross-comparative perspective, focus</w:t>
      </w:r>
      <w:r w:rsidR="00132CC8" w:rsidRPr="00706E38">
        <w:rPr>
          <w:lang w:val="en-US"/>
        </w:rPr>
        <w:t>ing particularly</w:t>
      </w:r>
      <w:r w:rsidR="002468C6" w:rsidRPr="00706E38">
        <w:rPr>
          <w:lang w:val="en-US"/>
        </w:rPr>
        <w:t xml:space="preserve"> on the role of space, </w:t>
      </w:r>
      <w:r w:rsidR="00132CC8" w:rsidRPr="00706E38">
        <w:rPr>
          <w:lang w:val="en-US"/>
        </w:rPr>
        <w:t>and scale issues</w:t>
      </w:r>
      <w:r w:rsidR="002468C6" w:rsidRPr="00706E38">
        <w:rPr>
          <w:lang w:val="en-US"/>
        </w:rPr>
        <w:t xml:space="preserve">. </w:t>
      </w:r>
      <w:r w:rsidR="00132CC8" w:rsidRPr="00706E38">
        <w:rPr>
          <w:lang w:val="en-US"/>
        </w:rPr>
        <w:t>Policy implications are drawn out in Section 6.</w:t>
      </w:r>
    </w:p>
    <w:p w:rsidR="002468C6" w:rsidRPr="00706E38" w:rsidRDefault="002468C6" w:rsidP="00132CC8">
      <w:pPr>
        <w:pStyle w:val="Heading3"/>
        <w:rPr>
          <w:lang w:val="en-US"/>
        </w:rPr>
      </w:pPr>
      <w:r w:rsidRPr="00706E38">
        <w:rPr>
          <w:lang w:val="en-US"/>
        </w:rPr>
        <w:t>Space</w:t>
      </w:r>
    </w:p>
    <w:p w:rsidR="002468C6" w:rsidRPr="00706E38" w:rsidRDefault="002468C6" w:rsidP="002468C6">
      <w:pPr>
        <w:rPr>
          <w:lang w:val="en-US"/>
        </w:rPr>
      </w:pPr>
      <w:r w:rsidRPr="00706E38">
        <w:rPr>
          <w:lang w:val="en-US"/>
        </w:rPr>
        <w:t>Space plays a role in reproducing and intensifying individual experiences of social exclusion or poverty. Spatial closeness</w:t>
      </w:r>
      <w:r w:rsidR="008827BA" w:rsidRPr="00706E38">
        <w:rPr>
          <w:lang w:val="en-US"/>
        </w:rPr>
        <w:t>,</w:t>
      </w:r>
      <w:r w:rsidRPr="00706E38">
        <w:rPr>
          <w:lang w:val="en-US"/>
        </w:rPr>
        <w:t xml:space="preserve"> meaningful networks and encounters in lived space may also, however, help to overcome individual situations of stress.  </w:t>
      </w:r>
    </w:p>
    <w:p w:rsidR="002468C6" w:rsidRPr="00706E38" w:rsidRDefault="002468C6" w:rsidP="00132CC8">
      <w:pPr>
        <w:rPr>
          <w:rStyle w:val="Emphasis"/>
        </w:rPr>
      </w:pPr>
      <w:r w:rsidRPr="00706E38">
        <w:rPr>
          <w:rStyle w:val="Emphasis"/>
        </w:rPr>
        <w:t>Space as a driver of social exclusion</w:t>
      </w:r>
    </w:p>
    <w:p w:rsidR="002468C6" w:rsidRPr="00706E38" w:rsidRDefault="002468C6" w:rsidP="002468C6">
      <w:pPr>
        <w:rPr>
          <w:i/>
          <w:lang w:val="en-US"/>
        </w:rPr>
      </w:pPr>
      <w:r w:rsidRPr="00706E38">
        <w:rPr>
          <w:lang w:val="en-US"/>
        </w:rPr>
        <w:t xml:space="preserve">The role of space as a driver of social exclusion is clearer for the rural than the urban context. Living in a remote, difficult to access or sparsely populated area are factors which can aggravate individual situations of social exclusion. Though individual challenges related to being poor or being exposed to social exclusion may be similar in rural as compared to urban areas, the territorial dimension should not be underestimated. In that sense, socially excluded population in border regions like Nógrád, or islands like the Western Isles, additionally suffer from problems related to remoteness or difficult accessibility. Limited access to the labour market or education, and lacking or inadequate quality of public services are key issues exacerbating individual challenges linked to social exclusion and poverty in rural and remote areas. The poor or lacking access to services and infrastructure, in combination with often poor or expensive public transport, is one of the main characteristics of social exclusion in the rural areas. Widespread austerity policy, and the thinning out and centralization of public services due to budget cuts, additionally have negative repercussions. Mobility and energy issues play an essential role, </w:t>
      </w:r>
      <w:r w:rsidRPr="00706E38">
        <w:rPr>
          <w:lang w:val="en-US"/>
        </w:rPr>
        <w:lastRenderedPageBreak/>
        <w:t xml:space="preserve">visible above all in the case of the Western Isles, where public transport is scarce, the prices for most goods shipped to the isles are more expensive, and fuel prices are elevated, so that covering the costs of heating is a problem in poor households. </w:t>
      </w:r>
    </w:p>
    <w:p w:rsidR="002468C6" w:rsidRPr="00706E38" w:rsidRDefault="002468C6" w:rsidP="002468C6">
      <w:pPr>
        <w:rPr>
          <w:lang w:val="en-US"/>
        </w:rPr>
      </w:pPr>
      <w:r w:rsidRPr="00706E38">
        <w:rPr>
          <w:lang w:val="en-US"/>
        </w:rPr>
        <w:t xml:space="preserve">In the urban context, the role of space and its influence on individual situations of exclusion or poverty is less obvious and direct. There is evidence from Dortmund and Izmir on the relationship between a polarized urban structure in socio-economic terms, and the respective patterns of educational achievements of students. The cases of Athens and Botkyrka, however, also point to the fact that living in segregated areas not necessarily goes along with a higher exposure to poverty or social exclusion. Thus, patterns and processes of poverty and social exclusion are often place-specific and have to be analyzed against the backdrop of their specific local context. The impact of segregation on poverty and social exclusion is stronger, however, if segregation goes along with stigmatization of specific localities (for instance, due to the low quality of housing estates), or the insufficient quality of infrastructure and services in the area. Where a person lives, in these cases, has an additional effect on the risk of poverty or social exclusion.  </w:t>
      </w:r>
    </w:p>
    <w:p w:rsidR="002468C6" w:rsidRPr="00706E38" w:rsidRDefault="002468C6" w:rsidP="002468C6">
      <w:pPr>
        <w:rPr>
          <w:lang w:val="en-US"/>
        </w:rPr>
      </w:pPr>
      <w:r w:rsidRPr="00706E38">
        <w:rPr>
          <w:lang w:val="en-US"/>
        </w:rPr>
        <w:t xml:space="preserve">The concentration of poor households in specific neighbourhoods, blocks or streets may increase the risk of social exclusion over and above individual characteristics. Reports from the case studies show that neighbourhood effects may work on a symbolic level, i.e. in terms of stigmatisation of an area and its inhabitants (see Porto), it may also work on a social level, if and when the level of segregation is hindering contacts between households of higher and lower status or ethnic minority groups and the mainstream society (see Botkyrka). These neigbhourhood effects, working on a social, institutional or symbolic level, however are not confined to urban areas, as the </w:t>
      </w:r>
      <w:r w:rsidR="008827BA" w:rsidRPr="00706E38">
        <w:rPr>
          <w:lang w:val="en-US"/>
        </w:rPr>
        <w:t>rural case studies of</w:t>
      </w:r>
      <w:r w:rsidRPr="00706E38">
        <w:rPr>
          <w:lang w:val="en-US"/>
        </w:rPr>
        <w:t xml:space="preserve"> Nógrád and Banskobystrický kraj, show.  </w:t>
      </w:r>
    </w:p>
    <w:p w:rsidR="002468C6" w:rsidRPr="00706E38" w:rsidRDefault="002468C6" w:rsidP="00132CC8">
      <w:pPr>
        <w:rPr>
          <w:i/>
          <w:lang w:val="en-US"/>
        </w:rPr>
      </w:pPr>
      <w:r w:rsidRPr="00706E38">
        <w:rPr>
          <w:i/>
          <w:lang w:val="en-US"/>
        </w:rPr>
        <w:t xml:space="preserve">Space as a factor alleviating situations of poverty and social exclusion </w:t>
      </w:r>
    </w:p>
    <w:p w:rsidR="002468C6" w:rsidRPr="00706E38" w:rsidRDefault="002468C6" w:rsidP="002468C6">
      <w:pPr>
        <w:rPr>
          <w:lang w:val="en-US"/>
        </w:rPr>
      </w:pPr>
      <w:r w:rsidRPr="00706E38">
        <w:rPr>
          <w:lang w:val="en-US"/>
        </w:rPr>
        <w:t>There is evidence in the case study reports for spatiality having a contrary role and influence, too: Spatial co-existence and locally embedded networks can help to overcome situations of poverty and social exclusion, as well. Social relations to family or a wider social network may help individuals to overcome situations of stress in daily life. The importance of family support, and the relevance of a wider social network is very clear in the rural areas (Lieksa, Albacete, Western Isles) across different welfare regimes. However, it also becomes clear, that these resources, available via social support networks, are being put under great strain – due to necessities for individual mobility, out-migration, and austerity policies which reduce household incomes and thus threaten the families´ capability to provide financial support for needy family members. Also, case studies point to potential negative effects of local social networks, such as social control or judgmental attitudes, which might arise from being integrated into small local communities.</w:t>
      </w:r>
    </w:p>
    <w:p w:rsidR="002468C6" w:rsidRPr="00706E38" w:rsidRDefault="002468C6" w:rsidP="002468C6">
      <w:pPr>
        <w:rPr>
          <w:lang w:val="en-US"/>
        </w:rPr>
      </w:pPr>
      <w:r w:rsidRPr="00706E38">
        <w:rPr>
          <w:lang w:val="en-US"/>
        </w:rPr>
        <w:t xml:space="preserve">For the urban areas, studies likewise point to the relevance of social networks and support in urban neighbourhoods (see Porto). Especially for (newly arriving) </w:t>
      </w:r>
      <w:r w:rsidRPr="00706E38">
        <w:rPr>
          <w:lang w:val="en-US"/>
        </w:rPr>
        <w:lastRenderedPageBreak/>
        <w:t xml:space="preserve">migrants, ethnic networks, ties and resources are relevant for facing and overcoming situations of social exclusion and poverty (see Botkyrka and Athens). However, these networks are not exclusively restricted to the neighbourhood level, as the example of Porto shows, where ethnic networks play an important role in combating poverty and unemployment although immigrants are located in different neighbourhoods across the city. </w:t>
      </w:r>
    </w:p>
    <w:p w:rsidR="002468C6" w:rsidRPr="00706E38" w:rsidRDefault="002468C6" w:rsidP="00132CC8">
      <w:pPr>
        <w:rPr>
          <w:i/>
          <w:lang w:val="en-US"/>
        </w:rPr>
      </w:pPr>
      <w:r w:rsidRPr="00706E38">
        <w:rPr>
          <w:i/>
          <w:lang w:val="en-US"/>
        </w:rPr>
        <w:t xml:space="preserve">Space and Immobility </w:t>
      </w:r>
    </w:p>
    <w:p w:rsidR="002468C6" w:rsidRPr="00706E38" w:rsidRDefault="002468C6" w:rsidP="002468C6">
      <w:pPr>
        <w:rPr>
          <w:lang w:val="en-US"/>
        </w:rPr>
      </w:pPr>
      <w:r w:rsidRPr="00706E38">
        <w:rPr>
          <w:lang w:val="en-US"/>
        </w:rPr>
        <w:t xml:space="preserve">Children and elderly, but also disabled and ill persons, are specifically dependent upon availability and quality of services and access to infrastructure in their immediate living environment. While it is the younger and more qualified groups which may look for and take up opportunities elsewhere, those staying behind, be it for family ties or property or lack of resources, become most vulnerable to structural change in the local environment. Geographical immobility, as in the case of Lieksa or Western Isles, also limits job search and job opportunities. Immigrants as well, due to different constraints, may become confined to specific localities, be it due to affordable public transport, lack of affordable housing elsewhere, stigmatization, legal issues or cultural factors. However, access to high-quality infrastructure is not only shaped by geographical distance; socio-economic, familial and institutional disadvantages play a role as well, and may shape expectations, perceptions and aspirations. Geographical distance is thus only one factor influencing access to opportunity structures.  </w:t>
      </w:r>
    </w:p>
    <w:p w:rsidR="002468C6" w:rsidRPr="00706E38" w:rsidRDefault="002468C6" w:rsidP="002468C6">
      <w:pPr>
        <w:rPr>
          <w:lang w:val="en-US"/>
        </w:rPr>
      </w:pPr>
      <w:r w:rsidRPr="00706E38">
        <w:rPr>
          <w:lang w:val="en-US"/>
        </w:rPr>
        <w:t xml:space="preserve">On the long run, it is often the most vulnerable population groups who become trapped in a vicious cycle of immobility, exclusion and poverty. It is specifically critical when, within this cycle of immobility and poverty, disadvantage is transmitted from one generation to the next. The cases of </w:t>
      </w:r>
      <w:r w:rsidR="008827BA" w:rsidRPr="00706E38">
        <w:rPr>
          <w:lang w:val="en-US"/>
        </w:rPr>
        <w:t xml:space="preserve">segregated rural neighbourhoods in </w:t>
      </w:r>
      <w:r w:rsidRPr="00706E38">
        <w:rPr>
          <w:lang w:val="en-US"/>
        </w:rPr>
        <w:t xml:space="preserve">Nógrád and Banskobystrický kraj show, how the rise of early motherhood among the Roma population adds to the cycle of inter-generational transmission of poverty and exclusion. Prejudice and stigmatization increases the risk of poverty and contributes to a downward spiral. Sectoral policies, such as increasing education opportunities, or work programmes, are not sufficient to overcome multiple disadvantages in these places. Rather, there is a need for holistic and place-specific policies for promoting social mobility of children and young people. </w:t>
      </w:r>
    </w:p>
    <w:p w:rsidR="002468C6" w:rsidRPr="00706E38" w:rsidRDefault="002468C6" w:rsidP="00132CC8">
      <w:pPr>
        <w:pStyle w:val="Heading3"/>
        <w:rPr>
          <w:lang w:val="en-US"/>
        </w:rPr>
      </w:pPr>
      <w:r w:rsidRPr="00706E38">
        <w:rPr>
          <w:lang w:val="en-US"/>
        </w:rPr>
        <w:t xml:space="preserve">Scale </w:t>
      </w:r>
    </w:p>
    <w:p w:rsidR="002468C6" w:rsidRPr="00706E38" w:rsidRDefault="002468C6" w:rsidP="002468C6">
      <w:pPr>
        <w:rPr>
          <w:lang w:val="en-US"/>
        </w:rPr>
      </w:pPr>
      <w:r w:rsidRPr="00706E38">
        <w:rPr>
          <w:lang w:val="en-US"/>
        </w:rPr>
        <w:t xml:space="preserve">Scale plays an important role in making trends and patterns of social exclusion visible for policy makers, and at the same time, questions of scale are important for finding the adequate level for policy interventions. </w:t>
      </w:r>
    </w:p>
    <w:p w:rsidR="002468C6" w:rsidRPr="00706E38" w:rsidRDefault="005A3320" w:rsidP="00132CC8">
      <w:pPr>
        <w:rPr>
          <w:i/>
          <w:lang w:val="en-US"/>
        </w:rPr>
      </w:pPr>
      <w:r w:rsidRPr="00706E38">
        <w:rPr>
          <w:i/>
          <w:lang w:val="en-US"/>
        </w:rPr>
        <w:br w:type="column"/>
      </w:r>
      <w:r w:rsidR="002468C6" w:rsidRPr="00706E38">
        <w:rPr>
          <w:i/>
          <w:lang w:val="en-US"/>
        </w:rPr>
        <w:lastRenderedPageBreak/>
        <w:t xml:space="preserve">Implications of scale for recognizing patterns </w:t>
      </w:r>
    </w:p>
    <w:p w:rsidR="002468C6" w:rsidRPr="00706E38" w:rsidRDefault="002468C6" w:rsidP="002468C6">
      <w:pPr>
        <w:rPr>
          <w:lang w:val="en-US"/>
        </w:rPr>
      </w:pPr>
      <w:r w:rsidRPr="00706E38">
        <w:rPr>
          <w:lang w:val="en-US"/>
        </w:rPr>
        <w:t xml:space="preserve">The degree to which patterns of social exclusion become visible depends on scale: Levels and patterns of social exclusion or poverty may vary quite dramatically depending on the scale at which they are observed. Pockets of concentrated disadvantage at block or street level disappear with sampling data on city-wide level. On the other hand, a close spot on local communities may fail to identify the wider, more dispersed patterns of social exclusion in a rural or urban context. There is no single best level of scale at which social exclusion and poverty processes are observed, but multi-scale monitoring, from the European level to the local level, within a harmonized set of framework concepts, domains, indicators and data sets, is necessary.  </w:t>
      </w:r>
    </w:p>
    <w:p w:rsidR="002468C6" w:rsidRPr="00706E38" w:rsidRDefault="002468C6" w:rsidP="00132CC8">
      <w:pPr>
        <w:rPr>
          <w:i/>
          <w:lang w:val="en-US"/>
        </w:rPr>
      </w:pPr>
      <w:r w:rsidRPr="00706E38">
        <w:rPr>
          <w:i/>
          <w:lang w:val="en-US"/>
        </w:rPr>
        <w:t>Social exclusion and poverty as relative phenomena</w:t>
      </w:r>
    </w:p>
    <w:p w:rsidR="002468C6" w:rsidRPr="00706E38" w:rsidRDefault="002468C6" w:rsidP="002468C6">
      <w:pPr>
        <w:rPr>
          <w:lang w:val="en-US"/>
        </w:rPr>
      </w:pPr>
      <w:r w:rsidRPr="00706E38">
        <w:rPr>
          <w:lang w:val="en-US"/>
        </w:rPr>
        <w:t xml:space="preserve">Whether an individual feels socially excluded or not, when unemployed, depends on individual characteristics, but also the characteristics of the wider environment. Where cyclical unemployment is historically rooted and always has been a characteristics of the local labour market, as in Lieksa, or, where unemployment or precariousness of employment is the feeling of a whole generation, as in Porto, being unemployed may be perceived as a less stigmatizing experience as in other local societies. This is not to say, that combating unemployment should raise less worries for policy makers under these circumstances. To the contrary, wide-spread feelings of disillusion and resignation, or growing distance to the labour market call for ambitious policies. </w:t>
      </w:r>
    </w:p>
    <w:p w:rsidR="002468C6" w:rsidRPr="00706E38" w:rsidRDefault="002468C6" w:rsidP="002468C6">
      <w:pPr>
        <w:rPr>
          <w:lang w:val="en-US"/>
        </w:rPr>
      </w:pPr>
      <w:r w:rsidRPr="00706E38">
        <w:rPr>
          <w:lang w:val="en-US"/>
        </w:rPr>
        <w:t xml:space="preserve">On a spatial scale, there needs to be political attention in how far an increased attractiveness of specific (metropolitan) regions affects the relational position of other (peripheral) regions. There needs to be increased attention towards poverty and social exclusion processes in rural, peripheral areas over time, where there is a process of slow deterioration, characterized by a gradual cutback of services and infrastructure. Likewise the intra-EU migration patterns call for further observation. Here again, it is a specific pattern of centrality and peripherality, caused by disparities in the relative attractiveness of regions in economic and labour-market terms, which prompts migratory movements across Europe, with consequences and impacts for the receiving as well as the sending localities.  </w:t>
      </w:r>
    </w:p>
    <w:p w:rsidR="002468C6" w:rsidRPr="00706E38" w:rsidRDefault="002468C6" w:rsidP="00132CC8">
      <w:pPr>
        <w:pStyle w:val="Heading3"/>
        <w:rPr>
          <w:lang w:val="en-US"/>
        </w:rPr>
      </w:pPr>
      <w:r w:rsidRPr="00706E38">
        <w:rPr>
          <w:lang w:val="en-US"/>
        </w:rPr>
        <w:t xml:space="preserve">Understanding the patterns of social exclusion </w:t>
      </w:r>
    </w:p>
    <w:p w:rsidR="002468C6" w:rsidRPr="00706E38" w:rsidRDefault="002468C6" w:rsidP="002468C6">
      <w:pPr>
        <w:rPr>
          <w:lang w:val="en-US"/>
        </w:rPr>
      </w:pPr>
      <w:r w:rsidRPr="00706E38">
        <w:rPr>
          <w:lang w:val="en-US"/>
        </w:rPr>
        <w:t xml:space="preserve">The driving forces for social exclusion and poverty processes act at different levels and scales, crossing administrative borders. For identifying the main drivers and, at the same time, the mechanisms for counteracting policies and measures, it is essential to understand how drivers and processes are interacting at different scales, from the European to the very local level. Though social exclusion and poverty tend to become visible on local and often very small-scale level, it is obvious from the case studies that the main factors which are underlying experiences of social </w:t>
      </w:r>
      <w:r w:rsidRPr="00706E38">
        <w:rPr>
          <w:lang w:val="en-US"/>
        </w:rPr>
        <w:lastRenderedPageBreak/>
        <w:t xml:space="preserve">exclusion and poverty are often outside the local sphere of influence. Factors and structures influencing inclusion and opportunity structures at individual household level, such as access to labour market or social protection schemes, are likewise related to different and often supra-local scales. </w:t>
      </w:r>
    </w:p>
    <w:p w:rsidR="002468C6" w:rsidRPr="00706E38" w:rsidRDefault="002468C6" w:rsidP="002468C6">
      <w:pPr>
        <w:rPr>
          <w:lang w:val="en-US"/>
        </w:rPr>
      </w:pPr>
      <w:r w:rsidRPr="00706E38">
        <w:rPr>
          <w:lang w:val="en-US"/>
        </w:rPr>
        <w:t>There are welfare regime-specific, as well as nationally specific main actors, key policy ideas and policies behind patterns and processes of social exclusion. For instance, stigmatized housing areas are the result of private market processes in the case of Athens, while in Stockholm policy interventions played a major role. The mix of prevention, support and activation in the set-up of national social policy also is different across European welfare regimes and influences patterns of concentration or diffusion, affected population groups and level and scale of social exclusion.  Despite these differences, there is also a range of European-wide trends, such as the above mentioned processes of centrality and peripherality, widespread austerity prog</w:t>
      </w:r>
      <w:r w:rsidR="00AC5C44" w:rsidRPr="00706E38">
        <w:rPr>
          <w:lang w:val="en-US"/>
        </w:rPr>
        <w:t>r</w:t>
      </w:r>
      <w:r w:rsidRPr="00706E38">
        <w:rPr>
          <w:lang w:val="en-US"/>
        </w:rPr>
        <w:t>ammes and public sector cuts, and the impacts of the fiscal and economic crisis, which have had a particular impact over and above nationally and regionally specific trends and patterns o</w:t>
      </w:r>
      <w:r w:rsidR="00582FE9" w:rsidRPr="00706E38">
        <w:rPr>
          <w:lang w:val="en-US"/>
        </w:rPr>
        <w:t>f social exclusion and poverty.</w:t>
      </w:r>
    </w:p>
    <w:p w:rsidR="00582FE9" w:rsidRPr="00706E38" w:rsidRDefault="00582FE9" w:rsidP="002468C6">
      <w:pPr>
        <w:rPr>
          <w:lang w:val="en-US"/>
        </w:rPr>
      </w:pPr>
      <w:r w:rsidRPr="00706E38">
        <w:rPr>
          <w:lang w:val="en-US"/>
        </w:rPr>
        <w:t xml:space="preserve">These broad observations about the nature of poverty and social exclusion processes are essential context for the work on indicators and mapping within the TiPSE project. They can help us to avoid carrying out mechanical statistical procedures without considering how the proxied phenomena behave and interact in the real world. </w:t>
      </w:r>
      <w:r w:rsidR="00E2119B" w:rsidRPr="00706E38">
        <w:rPr>
          <w:lang w:val="en-US"/>
        </w:rPr>
        <w:t>They can also help us in our interpretation of mapped distributions of risk, and perhaps to avoid “over-interpreting”, or mis-attributing cause and effect relationships.</w:t>
      </w:r>
    </w:p>
    <w:p w:rsidR="00E2119B" w:rsidRPr="00706E38" w:rsidRDefault="00E2119B" w:rsidP="002468C6">
      <w:pPr>
        <w:rPr>
          <w:lang w:val="en-US"/>
        </w:rPr>
      </w:pPr>
      <w:r w:rsidRPr="00706E38">
        <w:rPr>
          <w:lang w:val="en-US"/>
        </w:rPr>
        <w:t>In Section 6 the case study findings point to rationales for intervention which are more sensitive to the “fabric” of poverty and social processes, and their spatial manifestations.</w:t>
      </w:r>
    </w:p>
    <w:p w:rsidR="00E438A5" w:rsidRPr="00706E38" w:rsidRDefault="00E438A5" w:rsidP="00582FE9">
      <w:pPr>
        <w:pStyle w:val="Heading1"/>
        <w:rPr>
          <w:rFonts w:eastAsia="Calibri"/>
          <w:lang w:eastAsia="en-GB"/>
        </w:rPr>
      </w:pPr>
      <w:bookmarkStart w:id="58" w:name="_Toc401068754"/>
      <w:bookmarkStart w:id="59" w:name="_Toc410375331"/>
      <w:r w:rsidRPr="00706E38">
        <w:rPr>
          <w:rFonts w:eastAsia="Calibri"/>
          <w:lang w:eastAsia="en-GB"/>
        </w:rPr>
        <w:t>Implications of these findings for EU Cohesion policy, and for MS policy</w:t>
      </w:r>
      <w:bookmarkEnd w:id="58"/>
      <w:bookmarkEnd w:id="59"/>
    </w:p>
    <w:p w:rsidR="00074DA6" w:rsidRPr="00706E38" w:rsidRDefault="00074DA6" w:rsidP="00074DA6">
      <w:pPr>
        <w:pStyle w:val="Heading2"/>
        <w:rPr>
          <w:rFonts w:eastAsia="Calibri"/>
          <w:lang w:eastAsia="en-GB"/>
        </w:rPr>
      </w:pPr>
      <w:bookmarkStart w:id="60" w:name="_Toc410375332"/>
      <w:r w:rsidRPr="00706E38">
        <w:rPr>
          <w:rFonts w:eastAsia="Calibri"/>
          <w:lang w:eastAsia="en-GB"/>
        </w:rPr>
        <w:t>Underlying concepts</w:t>
      </w:r>
      <w:r w:rsidR="00697BB6" w:rsidRPr="00706E38">
        <w:rPr>
          <w:rFonts w:eastAsia="Calibri"/>
          <w:lang w:eastAsia="en-GB"/>
        </w:rPr>
        <w:t xml:space="preserve"> and principles</w:t>
      </w:r>
      <w:bookmarkEnd w:id="60"/>
    </w:p>
    <w:p w:rsidR="00074DA6" w:rsidRPr="00706E38" w:rsidRDefault="002E709C" w:rsidP="00E438A5">
      <w:pPr>
        <w:rPr>
          <w:rFonts w:eastAsia="Calibri"/>
          <w:szCs w:val="22"/>
          <w:lang w:eastAsia="en-GB"/>
        </w:rPr>
      </w:pPr>
      <w:r w:rsidRPr="00706E38">
        <w:rPr>
          <w:rFonts w:eastAsia="Calibri"/>
          <w:szCs w:val="22"/>
          <w:lang w:eastAsia="en-GB"/>
        </w:rPr>
        <w:t xml:space="preserve">It is clearly extremely difficult to comprehensively represent and summarise all the policy implications of the research which is summarised above, and in the Annexes to this report. Our more modest ambition is to highlight certain </w:t>
      </w:r>
      <w:r w:rsidR="00B97CF3" w:rsidRPr="00706E38">
        <w:rPr>
          <w:rFonts w:eastAsia="Calibri"/>
          <w:szCs w:val="22"/>
          <w:lang w:eastAsia="en-GB"/>
        </w:rPr>
        <w:t xml:space="preserve">recurrent </w:t>
      </w:r>
      <w:r w:rsidRPr="00706E38">
        <w:rPr>
          <w:rFonts w:eastAsia="Calibri"/>
          <w:szCs w:val="22"/>
          <w:lang w:eastAsia="en-GB"/>
        </w:rPr>
        <w:t xml:space="preserve">themes </w:t>
      </w:r>
      <w:r w:rsidR="00B97CF3" w:rsidRPr="00706E38">
        <w:rPr>
          <w:rFonts w:eastAsia="Calibri"/>
          <w:szCs w:val="22"/>
          <w:lang w:eastAsia="en-GB"/>
        </w:rPr>
        <w:t xml:space="preserve">in our findings, which provide a structured framework for policy adjustment. In other words, most of the specific policy recommendations set out in Annex 10 derive from the need for policy to better reflect one or more of the following three </w:t>
      </w:r>
      <w:r w:rsidR="003D2FBC" w:rsidRPr="00706E38">
        <w:rPr>
          <w:rFonts w:eastAsia="Calibri"/>
          <w:szCs w:val="22"/>
          <w:lang w:eastAsia="en-GB"/>
        </w:rPr>
        <w:t xml:space="preserve">underlying </w:t>
      </w:r>
      <w:r w:rsidR="00295242" w:rsidRPr="00706E38">
        <w:rPr>
          <w:rFonts w:eastAsia="Calibri"/>
          <w:szCs w:val="22"/>
          <w:lang w:eastAsia="en-GB"/>
        </w:rPr>
        <w:t>phenomena</w:t>
      </w:r>
      <w:r w:rsidR="000969A0" w:rsidRPr="00706E38">
        <w:rPr>
          <w:rFonts w:eastAsia="Calibri"/>
          <w:szCs w:val="22"/>
          <w:lang w:eastAsia="en-GB"/>
        </w:rPr>
        <w:t>;</w:t>
      </w:r>
      <w:r w:rsidR="00074DA6" w:rsidRPr="00706E38">
        <w:rPr>
          <w:rFonts w:eastAsia="Calibri"/>
          <w:szCs w:val="22"/>
          <w:lang w:eastAsia="en-GB"/>
        </w:rPr>
        <w:t xml:space="preserve"> </w:t>
      </w:r>
      <w:r w:rsidR="000969A0" w:rsidRPr="00706E38">
        <w:rPr>
          <w:rFonts w:eastAsia="Calibri"/>
          <w:szCs w:val="22"/>
          <w:lang w:eastAsia="en-GB"/>
        </w:rPr>
        <w:t xml:space="preserve">the role of </w:t>
      </w:r>
      <w:r w:rsidR="00074DA6" w:rsidRPr="00706E38">
        <w:rPr>
          <w:rFonts w:eastAsia="Calibri"/>
          <w:szCs w:val="22"/>
          <w:lang w:eastAsia="en-GB"/>
        </w:rPr>
        <w:t>space, change over time, and the breadth of the poverty and social exclusion concept</w:t>
      </w:r>
      <w:r w:rsidR="00295242" w:rsidRPr="00706E38">
        <w:rPr>
          <w:rFonts w:eastAsia="Calibri"/>
          <w:szCs w:val="22"/>
          <w:lang w:eastAsia="en-GB"/>
        </w:rPr>
        <w:t>:</w:t>
      </w:r>
    </w:p>
    <w:p w:rsidR="00074DA6" w:rsidRPr="00706E38" w:rsidRDefault="00074DA6" w:rsidP="00F80427">
      <w:pPr>
        <w:pStyle w:val="ListParagraph"/>
        <w:numPr>
          <w:ilvl w:val="0"/>
          <w:numId w:val="20"/>
        </w:numPr>
        <w:spacing w:before="0"/>
        <w:rPr>
          <w:rFonts w:eastAsia="Calibri"/>
          <w:szCs w:val="22"/>
          <w:lang w:eastAsia="en-GB"/>
        </w:rPr>
      </w:pPr>
      <w:r w:rsidRPr="00706E38">
        <w:rPr>
          <w:rFonts w:eastAsia="Calibri"/>
          <w:szCs w:val="22"/>
          <w:lang w:eastAsia="en-GB"/>
        </w:rPr>
        <w:t>The importance of</w:t>
      </w:r>
      <w:r w:rsidR="003D2FBC" w:rsidRPr="00706E38">
        <w:rPr>
          <w:rFonts w:eastAsia="Calibri"/>
          <w:szCs w:val="22"/>
          <w:lang w:eastAsia="en-GB"/>
        </w:rPr>
        <w:t xml:space="preserve"> space and scale</w:t>
      </w:r>
      <w:r w:rsidRPr="00706E38">
        <w:rPr>
          <w:rFonts w:eastAsia="Calibri"/>
          <w:szCs w:val="22"/>
          <w:lang w:eastAsia="en-GB"/>
        </w:rPr>
        <w:t xml:space="preserve"> has</w:t>
      </w:r>
      <w:r w:rsidR="003D2FBC" w:rsidRPr="00706E38">
        <w:rPr>
          <w:rFonts w:eastAsia="Calibri"/>
          <w:szCs w:val="22"/>
          <w:lang w:eastAsia="en-GB"/>
        </w:rPr>
        <w:t xml:space="preserve"> already </w:t>
      </w:r>
      <w:r w:rsidRPr="00706E38">
        <w:rPr>
          <w:rFonts w:eastAsia="Calibri"/>
          <w:szCs w:val="22"/>
          <w:lang w:eastAsia="en-GB"/>
        </w:rPr>
        <w:t>been highlighted in Section 5</w:t>
      </w:r>
      <w:r w:rsidR="003D2FBC" w:rsidRPr="00706E38">
        <w:rPr>
          <w:rFonts w:eastAsia="Calibri"/>
          <w:szCs w:val="22"/>
          <w:lang w:eastAsia="en-GB"/>
        </w:rPr>
        <w:t xml:space="preserve">. Processes of exclusion and impoverishment, and the resulting patterns, may be </w:t>
      </w:r>
      <w:r w:rsidR="003D2FBC" w:rsidRPr="00706E38">
        <w:rPr>
          <w:rFonts w:eastAsia="Calibri"/>
          <w:szCs w:val="22"/>
          <w:lang w:eastAsia="en-GB"/>
        </w:rPr>
        <w:lastRenderedPageBreak/>
        <w:t xml:space="preserve">observed at both macro and micro-regional scales. Geographical distance itself sometimes has a direct role in driving poverty and social exclusion, especially in peripheral regions, where living costs are raised, access to services is more difficult, and </w:t>
      </w:r>
      <w:r w:rsidR="00697BB6" w:rsidRPr="00706E38">
        <w:rPr>
          <w:rFonts w:eastAsia="Calibri"/>
          <w:szCs w:val="22"/>
          <w:lang w:eastAsia="en-GB"/>
        </w:rPr>
        <w:t>social isolation</w:t>
      </w:r>
      <w:r w:rsidR="003D2FBC" w:rsidRPr="00706E38">
        <w:rPr>
          <w:rFonts w:eastAsia="Calibri"/>
          <w:szCs w:val="22"/>
          <w:lang w:eastAsia="en-GB"/>
        </w:rPr>
        <w:t xml:space="preserve"> is a real issue. </w:t>
      </w:r>
      <w:r w:rsidR="008353A2" w:rsidRPr="00706E38">
        <w:rPr>
          <w:rFonts w:eastAsia="Calibri"/>
          <w:szCs w:val="22"/>
          <w:lang w:eastAsia="en-GB"/>
        </w:rPr>
        <w:t>These effects emphasise the “fixed” characteristics of localities. Other key issues (economic migration, urbanisation) relate to the mobility</w:t>
      </w:r>
      <w:r w:rsidRPr="00706E38">
        <w:rPr>
          <w:rFonts w:eastAsia="Calibri"/>
          <w:szCs w:val="22"/>
          <w:lang w:eastAsia="en-GB"/>
        </w:rPr>
        <w:t xml:space="preserve"> of individuals and groups.</w:t>
      </w:r>
    </w:p>
    <w:p w:rsidR="002E709C" w:rsidRPr="00706E38" w:rsidRDefault="008353A2" w:rsidP="00F80427">
      <w:pPr>
        <w:pStyle w:val="ListParagraph"/>
        <w:numPr>
          <w:ilvl w:val="0"/>
          <w:numId w:val="20"/>
        </w:numPr>
        <w:rPr>
          <w:rFonts w:eastAsia="Calibri"/>
          <w:szCs w:val="22"/>
          <w:lang w:eastAsia="en-GB"/>
        </w:rPr>
      </w:pPr>
      <w:r w:rsidRPr="00706E38">
        <w:rPr>
          <w:rFonts w:eastAsia="Calibri"/>
          <w:szCs w:val="22"/>
          <w:lang w:eastAsia="en-GB"/>
        </w:rPr>
        <w:t xml:space="preserve">Long-term trends, such as demographic ageing, </w:t>
      </w:r>
      <w:r w:rsidR="00B97CF3" w:rsidRPr="00706E38">
        <w:rPr>
          <w:rFonts w:eastAsia="Calibri"/>
          <w:szCs w:val="22"/>
          <w:lang w:eastAsia="en-GB"/>
        </w:rPr>
        <w:t xml:space="preserve">or transitional effects in the former socialist MS, </w:t>
      </w:r>
      <w:r w:rsidRPr="00706E38">
        <w:rPr>
          <w:rFonts w:eastAsia="Calibri"/>
          <w:szCs w:val="22"/>
          <w:lang w:eastAsia="en-GB"/>
        </w:rPr>
        <w:t>have spatial impacts which must be acknowledged by policy at the same time as short-term “shocks”</w:t>
      </w:r>
      <w:r w:rsidR="00B97CF3" w:rsidRPr="00706E38">
        <w:rPr>
          <w:rFonts w:eastAsia="Calibri"/>
          <w:szCs w:val="22"/>
          <w:lang w:eastAsia="en-GB"/>
        </w:rPr>
        <w:t>,</w:t>
      </w:r>
      <w:r w:rsidRPr="00706E38">
        <w:rPr>
          <w:rFonts w:eastAsia="Calibri"/>
          <w:szCs w:val="22"/>
          <w:lang w:eastAsia="en-GB"/>
        </w:rPr>
        <w:t xml:space="preserve"> such as the economic crisis.</w:t>
      </w:r>
      <w:r w:rsidR="00074DA6" w:rsidRPr="00706E38">
        <w:rPr>
          <w:rFonts w:eastAsia="Calibri"/>
          <w:szCs w:val="22"/>
          <w:lang w:eastAsia="en-GB"/>
        </w:rPr>
        <w:t xml:space="preserve"> Convergence is observed both in terms of MS policy approaches, and in terms of regional disparities across the ESPON space.</w:t>
      </w:r>
    </w:p>
    <w:p w:rsidR="00074DA6" w:rsidRPr="00706E38" w:rsidRDefault="00074DA6" w:rsidP="00F80427">
      <w:pPr>
        <w:pStyle w:val="ListParagraph"/>
        <w:numPr>
          <w:ilvl w:val="0"/>
          <w:numId w:val="20"/>
        </w:numPr>
        <w:rPr>
          <w:rFonts w:eastAsia="Calibri"/>
          <w:szCs w:val="22"/>
          <w:lang w:eastAsia="en-GB"/>
        </w:rPr>
      </w:pPr>
      <w:r w:rsidRPr="00706E38">
        <w:rPr>
          <w:rFonts w:eastAsia="Calibri"/>
          <w:szCs w:val="22"/>
          <w:lang w:eastAsia="en-GB"/>
        </w:rPr>
        <w:t>The tendency for policy tackling poverty and social exclusion to have a narrow focus upon income poverty, whilst neglecting living cost, and the less tangible social and political aspects outside the first domain</w:t>
      </w:r>
      <w:r w:rsidR="00697BB6" w:rsidRPr="00706E38">
        <w:rPr>
          <w:rFonts w:eastAsia="Calibri"/>
          <w:szCs w:val="22"/>
          <w:lang w:eastAsia="en-GB"/>
        </w:rPr>
        <w:t>,</w:t>
      </w:r>
      <w:r w:rsidRPr="00706E38">
        <w:rPr>
          <w:rFonts w:eastAsia="Calibri"/>
          <w:szCs w:val="22"/>
          <w:lang w:eastAsia="en-GB"/>
        </w:rPr>
        <w:t xml:space="preserve"> is a very evident issue throughout the earlier sections of this report.</w:t>
      </w:r>
    </w:p>
    <w:p w:rsidR="009E1CB6" w:rsidRPr="00706E38" w:rsidRDefault="00BE1E46" w:rsidP="00E438A5">
      <w:pPr>
        <w:rPr>
          <w:rFonts w:eastAsia="Calibri"/>
          <w:szCs w:val="22"/>
          <w:lang w:eastAsia="en-GB"/>
        </w:rPr>
      </w:pPr>
      <w:r w:rsidRPr="00706E38">
        <w:rPr>
          <w:rFonts w:eastAsia="Calibri"/>
          <w:szCs w:val="22"/>
          <w:lang w:eastAsia="en-GB"/>
        </w:rPr>
        <w:t>Whilst we acknowledge the many and important inter-relationships between poverty and social exclusion it is nevertheless helpful to maintain a distinction, and to consider</w:t>
      </w:r>
      <w:r w:rsidR="00667F33" w:rsidRPr="00706E38">
        <w:rPr>
          <w:rFonts w:eastAsia="Calibri"/>
          <w:szCs w:val="22"/>
          <w:lang w:eastAsia="en-GB"/>
        </w:rPr>
        <w:t xml:space="preserve"> the policy implications of what we have learned about the spatial organisation of each of these phenomena in separate sections below.</w:t>
      </w:r>
      <w:r w:rsidR="003D2FBC" w:rsidRPr="00706E38">
        <w:rPr>
          <w:rFonts w:eastAsia="Calibri"/>
          <w:szCs w:val="22"/>
          <w:lang w:eastAsia="en-GB"/>
        </w:rPr>
        <w:t xml:space="preserve"> </w:t>
      </w:r>
    </w:p>
    <w:p w:rsidR="00891302" w:rsidRPr="00706E38" w:rsidRDefault="00A53BD7" w:rsidP="00A53BD7">
      <w:pPr>
        <w:pStyle w:val="Heading2"/>
        <w:rPr>
          <w:rFonts w:eastAsia="Calibri"/>
          <w:lang w:eastAsia="en-GB"/>
        </w:rPr>
      </w:pPr>
      <w:bookmarkStart w:id="61" w:name="_Toc410375333"/>
      <w:r w:rsidRPr="00706E38">
        <w:rPr>
          <w:rFonts w:eastAsia="Calibri"/>
          <w:lang w:eastAsia="en-GB"/>
        </w:rPr>
        <w:t>Poverty</w:t>
      </w:r>
      <w:bookmarkEnd w:id="61"/>
    </w:p>
    <w:p w:rsidR="003A5483" w:rsidRPr="00706E38" w:rsidRDefault="003A5483" w:rsidP="003A5483">
      <w:pPr>
        <w:rPr>
          <w:rFonts w:eastAsia="Calibri"/>
          <w:i/>
          <w:lang w:eastAsia="en-GB"/>
        </w:rPr>
      </w:pPr>
      <w:r w:rsidRPr="00706E38">
        <w:rPr>
          <w:rFonts w:eastAsia="Calibri"/>
          <w:i/>
          <w:lang w:eastAsia="en-GB"/>
        </w:rPr>
        <w:t>Macro-scale: Systematic E-W and N-S variation in ARoP rates</w:t>
      </w:r>
      <w:r w:rsidR="00353C4B" w:rsidRPr="00706E38">
        <w:rPr>
          <w:rFonts w:eastAsia="Calibri"/>
          <w:i/>
          <w:lang w:eastAsia="en-GB"/>
        </w:rPr>
        <w:t xml:space="preserve"> – an unfinished task for ESIF policy</w:t>
      </w:r>
    </w:p>
    <w:p w:rsidR="003A5483" w:rsidRPr="00706E38" w:rsidRDefault="003A5483" w:rsidP="003A5483">
      <w:pPr>
        <w:rPr>
          <w:rFonts w:eastAsia="Calibri"/>
          <w:lang w:eastAsia="en-GB"/>
        </w:rPr>
      </w:pPr>
      <w:r w:rsidRPr="00706E38">
        <w:rPr>
          <w:rFonts w:eastAsia="Calibri"/>
          <w:lang w:eastAsia="en-GB"/>
        </w:rPr>
        <w:t>Despite the difficulty in comparing ARoP rates between MS it is clear that substantial differences in income poverty still exist between the former socialist New Member States, the Mediterranean countries, and the more prosperous regions of the centre, north and west of the ESPON space. Clearly these are the proper responsibility of ESI</w:t>
      </w:r>
      <w:r w:rsidR="00697BB6" w:rsidRPr="00706E38">
        <w:rPr>
          <w:rFonts w:eastAsia="Calibri"/>
          <w:lang w:eastAsia="en-GB"/>
        </w:rPr>
        <w:t>F</w:t>
      </w:r>
      <w:r w:rsidRPr="00706E38">
        <w:rPr>
          <w:rFonts w:eastAsia="Calibri"/>
          <w:lang w:eastAsia="en-GB"/>
        </w:rPr>
        <w:t xml:space="preserve"> </w:t>
      </w:r>
      <w:r w:rsidR="00697BB6" w:rsidRPr="00706E38">
        <w:rPr>
          <w:rFonts w:eastAsia="Calibri"/>
          <w:lang w:eastAsia="en-GB"/>
        </w:rPr>
        <w:t>interventions</w:t>
      </w:r>
      <w:r w:rsidRPr="00706E38">
        <w:rPr>
          <w:rFonts w:eastAsia="Calibri"/>
          <w:lang w:eastAsia="en-GB"/>
        </w:rPr>
        <w:t>, rather than the OMC</w:t>
      </w:r>
      <w:r w:rsidR="008E1D3A" w:rsidRPr="00706E38">
        <w:rPr>
          <w:rFonts w:eastAsia="Calibri"/>
          <w:lang w:eastAsia="en-GB"/>
        </w:rPr>
        <w:t>, which primarily addresses within-country disparities.</w:t>
      </w:r>
    </w:p>
    <w:p w:rsidR="002232BA" w:rsidRPr="00706E38" w:rsidRDefault="003A5483" w:rsidP="00E438A5">
      <w:pPr>
        <w:rPr>
          <w:rFonts w:eastAsia="Calibri"/>
          <w:i/>
          <w:szCs w:val="22"/>
          <w:lang w:eastAsia="en-GB"/>
        </w:rPr>
      </w:pPr>
      <w:r w:rsidRPr="00706E38">
        <w:rPr>
          <w:rFonts w:eastAsia="Calibri"/>
          <w:i/>
          <w:szCs w:val="22"/>
          <w:lang w:eastAsia="en-GB"/>
        </w:rPr>
        <w:t xml:space="preserve">Regional or micro-scale: </w:t>
      </w:r>
      <w:r w:rsidR="002D6B90" w:rsidRPr="00706E38">
        <w:rPr>
          <w:rFonts w:eastAsia="Calibri"/>
          <w:i/>
          <w:szCs w:val="22"/>
          <w:lang w:eastAsia="en-GB"/>
        </w:rPr>
        <w:t xml:space="preserve">OMC </w:t>
      </w:r>
      <w:r w:rsidR="00A14F9E" w:rsidRPr="00706E38">
        <w:rPr>
          <w:rFonts w:eastAsia="Calibri"/>
          <w:i/>
          <w:szCs w:val="22"/>
          <w:lang w:eastAsia="en-GB"/>
        </w:rPr>
        <w:t xml:space="preserve">and ESIF </w:t>
      </w:r>
      <w:r w:rsidR="005062EC" w:rsidRPr="00706E38">
        <w:rPr>
          <w:rFonts w:eastAsia="Calibri"/>
          <w:i/>
          <w:szCs w:val="22"/>
          <w:lang w:eastAsia="en-GB"/>
        </w:rPr>
        <w:t xml:space="preserve">Interventions should address poverty associated with </w:t>
      </w:r>
      <w:r w:rsidR="008E1D3A" w:rsidRPr="00706E38">
        <w:rPr>
          <w:rFonts w:eastAsia="Calibri"/>
          <w:i/>
          <w:szCs w:val="22"/>
          <w:lang w:eastAsia="en-GB"/>
        </w:rPr>
        <w:t>places</w:t>
      </w:r>
      <w:r w:rsidR="005062EC" w:rsidRPr="00706E38">
        <w:rPr>
          <w:rFonts w:eastAsia="Calibri"/>
          <w:i/>
          <w:szCs w:val="22"/>
          <w:lang w:eastAsia="en-GB"/>
        </w:rPr>
        <w:t>, not just individuals or households.</w:t>
      </w:r>
    </w:p>
    <w:p w:rsidR="008E1D3A" w:rsidRPr="00706E38" w:rsidRDefault="00697BB6" w:rsidP="00E438A5">
      <w:pPr>
        <w:rPr>
          <w:rFonts w:eastAsia="Calibri"/>
          <w:szCs w:val="22"/>
          <w:lang w:eastAsia="en-GB"/>
        </w:rPr>
      </w:pPr>
      <w:r w:rsidRPr="00706E38">
        <w:rPr>
          <w:rFonts w:eastAsia="Calibri"/>
          <w:szCs w:val="22"/>
          <w:lang w:eastAsia="en-GB"/>
        </w:rPr>
        <w:t>Space-</w:t>
      </w:r>
      <w:r w:rsidR="008E1D3A" w:rsidRPr="00706E38">
        <w:rPr>
          <w:rFonts w:eastAsia="Calibri"/>
          <w:szCs w:val="22"/>
          <w:lang w:eastAsia="en-GB"/>
        </w:rPr>
        <w:t>blind policies targeted at individuals or groups are not a sufficient response</w:t>
      </w:r>
      <w:r w:rsidR="00A14F9E" w:rsidRPr="00706E38">
        <w:rPr>
          <w:rFonts w:eastAsia="Calibri"/>
          <w:szCs w:val="22"/>
          <w:lang w:eastAsia="en-GB"/>
        </w:rPr>
        <w:t>, either for the OMC or the ESIF</w:t>
      </w:r>
      <w:r w:rsidR="008E1D3A" w:rsidRPr="00706E38">
        <w:rPr>
          <w:rFonts w:eastAsia="Calibri"/>
          <w:szCs w:val="22"/>
          <w:lang w:eastAsia="en-GB"/>
        </w:rPr>
        <w:t xml:space="preserve">. </w:t>
      </w:r>
      <w:r w:rsidR="00C66FAF" w:rsidRPr="00706E38">
        <w:rPr>
          <w:rFonts w:eastAsia="Calibri"/>
          <w:szCs w:val="22"/>
          <w:lang w:eastAsia="en-GB"/>
        </w:rPr>
        <w:t>The analysis of ARoP rates within the framework of the ESPON typologies has shown that spatial patterns of income poverty, and by implication, the processes of impoverishment, are complex</w:t>
      </w:r>
      <w:r w:rsidR="008E1D3A" w:rsidRPr="00706E38">
        <w:rPr>
          <w:rFonts w:eastAsia="Calibri"/>
          <w:szCs w:val="22"/>
          <w:lang w:eastAsia="en-GB"/>
        </w:rPr>
        <w:t xml:space="preserve"> and place-embedded</w:t>
      </w:r>
      <w:r w:rsidR="00C66FAF" w:rsidRPr="00706E38">
        <w:rPr>
          <w:rFonts w:eastAsia="Calibri"/>
          <w:szCs w:val="22"/>
          <w:lang w:eastAsia="en-GB"/>
        </w:rPr>
        <w:t xml:space="preserve">. </w:t>
      </w:r>
      <w:r w:rsidR="005062EC" w:rsidRPr="00706E38">
        <w:rPr>
          <w:rFonts w:eastAsia="Calibri"/>
          <w:szCs w:val="22"/>
          <w:lang w:eastAsia="en-GB"/>
        </w:rPr>
        <w:t xml:space="preserve">Poverty is not always a consequence of individual or household characteristics, it is often associated with specific geographical environments. </w:t>
      </w:r>
      <w:r w:rsidR="00C66FAF" w:rsidRPr="00706E38">
        <w:rPr>
          <w:rFonts w:eastAsia="Calibri"/>
          <w:szCs w:val="22"/>
          <w:lang w:eastAsia="en-GB"/>
        </w:rPr>
        <w:t>The clearest</w:t>
      </w:r>
      <w:r w:rsidR="005062EC" w:rsidRPr="00706E38">
        <w:rPr>
          <w:rFonts w:eastAsia="Calibri"/>
          <w:szCs w:val="22"/>
          <w:lang w:eastAsia="en-GB"/>
        </w:rPr>
        <w:t xml:space="preserve"> geographical differentiation</w:t>
      </w:r>
      <w:r w:rsidR="00C66FAF" w:rsidRPr="00706E38">
        <w:rPr>
          <w:rFonts w:eastAsia="Calibri"/>
          <w:szCs w:val="22"/>
          <w:lang w:eastAsia="en-GB"/>
        </w:rPr>
        <w:t xml:space="preserve"> </w:t>
      </w:r>
      <w:r w:rsidR="005062EC" w:rsidRPr="00706E38">
        <w:rPr>
          <w:rFonts w:eastAsia="Calibri"/>
          <w:szCs w:val="22"/>
          <w:lang w:eastAsia="en-GB"/>
        </w:rPr>
        <w:t xml:space="preserve">we observed </w:t>
      </w:r>
      <w:r w:rsidR="00C66FAF" w:rsidRPr="00706E38">
        <w:rPr>
          <w:rFonts w:eastAsia="Calibri"/>
          <w:szCs w:val="22"/>
          <w:lang w:eastAsia="en-GB"/>
        </w:rPr>
        <w:t>wa</w:t>
      </w:r>
      <w:r w:rsidR="002D6B90" w:rsidRPr="00706E38">
        <w:rPr>
          <w:rFonts w:eastAsia="Calibri"/>
          <w:szCs w:val="22"/>
          <w:lang w:eastAsia="en-GB"/>
        </w:rPr>
        <w:t>s between urban and rural areas.</w:t>
      </w:r>
      <w:r w:rsidR="00C66FAF" w:rsidRPr="00706E38">
        <w:rPr>
          <w:rFonts w:eastAsia="Calibri"/>
          <w:szCs w:val="22"/>
          <w:lang w:eastAsia="en-GB"/>
        </w:rPr>
        <w:t xml:space="preserve"> </w:t>
      </w:r>
      <w:r w:rsidR="002D6B90" w:rsidRPr="00706E38">
        <w:rPr>
          <w:rFonts w:eastAsia="Calibri"/>
          <w:szCs w:val="22"/>
          <w:lang w:eastAsia="en-GB"/>
        </w:rPr>
        <w:t>P</w:t>
      </w:r>
      <w:r w:rsidR="00C66FAF" w:rsidRPr="00706E38">
        <w:rPr>
          <w:rFonts w:eastAsia="Calibri"/>
          <w:szCs w:val="22"/>
          <w:lang w:eastAsia="en-GB"/>
        </w:rPr>
        <w:t xml:space="preserve">overty rates </w:t>
      </w:r>
      <w:r w:rsidR="002D6B90" w:rsidRPr="00706E38">
        <w:rPr>
          <w:rFonts w:eastAsia="Calibri"/>
          <w:szCs w:val="22"/>
          <w:lang w:eastAsia="en-GB"/>
        </w:rPr>
        <w:t xml:space="preserve">are highest in rural areas of the East and South of Europe. </w:t>
      </w:r>
      <w:r w:rsidR="00A14F9E" w:rsidRPr="00706E38">
        <w:rPr>
          <w:rFonts w:eastAsia="Calibri"/>
          <w:szCs w:val="22"/>
          <w:lang w:eastAsia="en-GB"/>
        </w:rPr>
        <w:t>In the Centre, North and West concentrations of poverty are more likely to be found in large urban areas</w:t>
      </w:r>
      <w:r w:rsidR="00C66FAF" w:rsidRPr="00706E38">
        <w:rPr>
          <w:rFonts w:eastAsia="Calibri"/>
          <w:szCs w:val="22"/>
          <w:lang w:eastAsia="en-GB"/>
        </w:rPr>
        <w:t>. Islands also tended to have higher rates of poverty.</w:t>
      </w:r>
    </w:p>
    <w:p w:rsidR="008E1D3A" w:rsidRPr="00706E38" w:rsidRDefault="008E1D3A" w:rsidP="00E438A5">
      <w:pPr>
        <w:rPr>
          <w:rFonts w:eastAsia="Calibri"/>
          <w:i/>
          <w:szCs w:val="22"/>
          <w:lang w:eastAsia="en-GB"/>
        </w:rPr>
      </w:pPr>
      <w:r w:rsidRPr="00706E38">
        <w:rPr>
          <w:rFonts w:eastAsia="Calibri"/>
          <w:i/>
          <w:szCs w:val="22"/>
          <w:lang w:eastAsia="en-GB"/>
        </w:rPr>
        <w:lastRenderedPageBreak/>
        <w:t xml:space="preserve">Poverty is not wholly driven by low incomes, living costs are also important. </w:t>
      </w:r>
    </w:p>
    <w:p w:rsidR="00A53BD7" w:rsidRPr="00706E38" w:rsidRDefault="008E1D3A" w:rsidP="00E438A5">
      <w:pPr>
        <w:rPr>
          <w:rFonts w:eastAsia="Calibri"/>
          <w:szCs w:val="22"/>
          <w:lang w:eastAsia="en-GB"/>
        </w:rPr>
      </w:pPr>
      <w:r w:rsidRPr="00706E38">
        <w:rPr>
          <w:rFonts w:eastAsia="Calibri"/>
          <w:szCs w:val="22"/>
          <w:lang w:eastAsia="en-GB"/>
        </w:rPr>
        <w:t>W</w:t>
      </w:r>
      <w:r w:rsidR="00295242" w:rsidRPr="00706E38">
        <w:rPr>
          <w:rFonts w:eastAsia="Calibri"/>
          <w:szCs w:val="22"/>
          <w:lang w:eastAsia="en-GB"/>
        </w:rPr>
        <w:t xml:space="preserve">hilst policy is currently addressed </w:t>
      </w:r>
      <w:r w:rsidR="005062EC" w:rsidRPr="00706E38">
        <w:rPr>
          <w:rFonts w:eastAsia="Calibri"/>
          <w:szCs w:val="22"/>
          <w:lang w:eastAsia="en-GB"/>
        </w:rPr>
        <w:t xml:space="preserve">principally </w:t>
      </w:r>
      <w:r w:rsidR="00295242" w:rsidRPr="00706E38">
        <w:rPr>
          <w:rFonts w:eastAsia="Calibri"/>
          <w:szCs w:val="22"/>
          <w:lang w:eastAsia="en-GB"/>
        </w:rPr>
        <w:t>to variations in income, the key role played by variations in living costs, in rural and remote areas as well as in large cities, needs to be acknowledged.</w:t>
      </w:r>
      <w:r w:rsidR="005062EC" w:rsidRPr="00706E38">
        <w:rPr>
          <w:rFonts w:eastAsia="Calibri"/>
          <w:szCs w:val="22"/>
          <w:lang w:eastAsia="en-GB"/>
        </w:rPr>
        <w:t xml:space="preserve"> </w:t>
      </w:r>
      <w:r w:rsidR="00C66FAF" w:rsidRPr="00706E38">
        <w:rPr>
          <w:rFonts w:eastAsia="Calibri"/>
          <w:szCs w:val="22"/>
          <w:lang w:eastAsia="en-GB"/>
        </w:rPr>
        <w:t xml:space="preserve">The very simple implication of this finding is that </w:t>
      </w:r>
      <w:r w:rsidR="00A14F9E" w:rsidRPr="00706E38">
        <w:rPr>
          <w:rFonts w:eastAsia="Calibri"/>
          <w:szCs w:val="22"/>
          <w:lang w:eastAsia="en-GB"/>
        </w:rPr>
        <w:t xml:space="preserve">OMC and ESIF </w:t>
      </w:r>
      <w:r w:rsidR="00C66FAF" w:rsidRPr="00706E38">
        <w:rPr>
          <w:rFonts w:eastAsia="Calibri"/>
          <w:szCs w:val="22"/>
          <w:lang w:eastAsia="en-GB"/>
        </w:rPr>
        <w:t xml:space="preserve">interventions to </w:t>
      </w:r>
      <w:r w:rsidR="00401576" w:rsidRPr="00706E38">
        <w:rPr>
          <w:rFonts w:eastAsia="Calibri"/>
          <w:szCs w:val="22"/>
          <w:lang w:eastAsia="en-GB"/>
        </w:rPr>
        <w:t>tackle poverty should</w:t>
      </w:r>
      <w:r w:rsidR="0008601D" w:rsidRPr="00706E38">
        <w:rPr>
          <w:rFonts w:eastAsia="Calibri"/>
          <w:szCs w:val="22"/>
          <w:lang w:eastAsia="en-GB"/>
        </w:rPr>
        <w:t xml:space="preserve"> </w:t>
      </w:r>
      <w:r w:rsidR="00FB6D02" w:rsidRPr="00706E38">
        <w:rPr>
          <w:rFonts w:eastAsia="Calibri"/>
          <w:szCs w:val="22"/>
          <w:lang w:eastAsia="en-GB"/>
        </w:rPr>
        <w:t>not focus exclusively upon the labour market</w:t>
      </w:r>
      <w:r w:rsidR="00353C4B" w:rsidRPr="00706E38">
        <w:rPr>
          <w:rFonts w:eastAsia="Calibri"/>
          <w:szCs w:val="22"/>
          <w:lang w:eastAsia="en-GB"/>
        </w:rPr>
        <w:t xml:space="preserve"> processes</w:t>
      </w:r>
      <w:r w:rsidR="00FB6D02" w:rsidRPr="00706E38">
        <w:rPr>
          <w:rFonts w:eastAsia="Calibri"/>
          <w:szCs w:val="22"/>
          <w:lang w:eastAsia="en-GB"/>
        </w:rPr>
        <w:t xml:space="preserve"> and income, but also</w:t>
      </w:r>
      <w:r w:rsidR="0008601D" w:rsidRPr="00706E38">
        <w:rPr>
          <w:rFonts w:eastAsia="Calibri"/>
          <w:szCs w:val="22"/>
          <w:lang w:eastAsia="en-GB"/>
        </w:rPr>
        <w:t xml:space="preserve"> </w:t>
      </w:r>
      <w:r w:rsidR="00697BB6" w:rsidRPr="00706E38">
        <w:rPr>
          <w:rFonts w:eastAsia="Calibri"/>
          <w:szCs w:val="22"/>
          <w:lang w:eastAsia="en-GB"/>
        </w:rPr>
        <w:t>addressing the causes of variations in living costs</w:t>
      </w:r>
      <w:r w:rsidR="0008601D" w:rsidRPr="00706E38">
        <w:rPr>
          <w:rFonts w:eastAsia="Calibri"/>
          <w:szCs w:val="22"/>
          <w:lang w:eastAsia="en-GB"/>
        </w:rPr>
        <w:t xml:space="preserve">. </w:t>
      </w:r>
    </w:p>
    <w:p w:rsidR="00A53BD7" w:rsidRPr="00706E38" w:rsidRDefault="0008601D" w:rsidP="0008601D">
      <w:pPr>
        <w:pStyle w:val="Heading2"/>
        <w:rPr>
          <w:rFonts w:eastAsia="Calibri"/>
          <w:lang w:eastAsia="en-GB"/>
        </w:rPr>
      </w:pPr>
      <w:bookmarkStart w:id="62" w:name="_Toc410375334"/>
      <w:r w:rsidRPr="00706E38">
        <w:rPr>
          <w:rFonts w:eastAsia="Calibri"/>
          <w:lang w:eastAsia="en-GB"/>
        </w:rPr>
        <w:t>Social Exclusion</w:t>
      </w:r>
      <w:bookmarkEnd w:id="62"/>
    </w:p>
    <w:p w:rsidR="00166EC5" w:rsidRPr="00706E38" w:rsidRDefault="00166EC5" w:rsidP="00166EC5">
      <w:pPr>
        <w:rPr>
          <w:rFonts w:eastAsia="Calibri"/>
          <w:i/>
          <w:szCs w:val="22"/>
          <w:lang w:eastAsia="en-GB"/>
        </w:rPr>
      </w:pPr>
      <w:r w:rsidRPr="00706E38">
        <w:rPr>
          <w:rFonts w:eastAsia="Calibri"/>
          <w:i/>
          <w:szCs w:val="22"/>
          <w:lang w:eastAsia="en-GB"/>
        </w:rPr>
        <w:t>Space (distance) can exacerbate social exclusion</w:t>
      </w:r>
    </w:p>
    <w:p w:rsidR="00166EC5" w:rsidRPr="00706E38" w:rsidRDefault="00166EC5" w:rsidP="00166EC5">
      <w:pPr>
        <w:rPr>
          <w:rFonts w:eastAsia="Calibri"/>
          <w:szCs w:val="22"/>
          <w:lang w:eastAsia="en-GB"/>
        </w:rPr>
      </w:pPr>
      <w:r w:rsidRPr="00706E38">
        <w:rPr>
          <w:rFonts w:eastAsia="Calibri"/>
          <w:szCs w:val="22"/>
          <w:lang w:eastAsia="en-GB"/>
        </w:rPr>
        <w:t>This point parallels the second point in section 6.2. The access to services domain of social exclusion is particularly sensitive in this respect. Several of the case studies described in Annex 4 show how location may increase the vulnerability and social isolation</w:t>
      </w:r>
      <w:r w:rsidR="00A14F9E" w:rsidRPr="00706E38">
        <w:rPr>
          <w:rFonts w:eastAsia="Calibri"/>
          <w:szCs w:val="22"/>
          <w:lang w:eastAsia="en-GB"/>
        </w:rPr>
        <w:t xml:space="preserve"> of rural populations. Clearly</w:t>
      </w:r>
      <w:r w:rsidRPr="00706E38">
        <w:rPr>
          <w:rFonts w:eastAsia="Calibri"/>
          <w:szCs w:val="22"/>
          <w:lang w:eastAsia="en-GB"/>
        </w:rPr>
        <w:t xml:space="preserve"> horizontal </w:t>
      </w:r>
      <w:r w:rsidR="00A14F9E" w:rsidRPr="00706E38">
        <w:rPr>
          <w:rFonts w:eastAsia="Calibri"/>
          <w:szCs w:val="22"/>
          <w:lang w:eastAsia="en-GB"/>
        </w:rPr>
        <w:t>OMC or ESIF interventions</w:t>
      </w:r>
      <w:r w:rsidRPr="00706E38">
        <w:rPr>
          <w:rFonts w:eastAsia="Calibri"/>
          <w:szCs w:val="22"/>
          <w:lang w:eastAsia="en-GB"/>
        </w:rPr>
        <w:t xml:space="preserve">, which addresses only generic “symptoms” </w:t>
      </w:r>
      <w:r w:rsidR="00A14F9E" w:rsidRPr="00706E38">
        <w:rPr>
          <w:rFonts w:eastAsia="Calibri"/>
          <w:szCs w:val="22"/>
          <w:lang w:eastAsia="en-GB"/>
        </w:rPr>
        <w:t xml:space="preserve">of exclusion, </w:t>
      </w:r>
      <w:r w:rsidRPr="00706E38">
        <w:rPr>
          <w:rFonts w:eastAsia="Calibri"/>
          <w:szCs w:val="22"/>
          <w:lang w:eastAsia="en-GB"/>
        </w:rPr>
        <w:t xml:space="preserve">without taking account of the specific </w:t>
      </w:r>
      <w:r w:rsidR="00FB6D02" w:rsidRPr="00706E38">
        <w:rPr>
          <w:rFonts w:eastAsia="Calibri"/>
          <w:szCs w:val="22"/>
          <w:lang w:eastAsia="en-GB"/>
        </w:rPr>
        <w:t xml:space="preserve">(geographical) </w:t>
      </w:r>
      <w:r w:rsidRPr="00706E38">
        <w:rPr>
          <w:rFonts w:eastAsia="Calibri"/>
          <w:szCs w:val="22"/>
          <w:lang w:eastAsia="en-GB"/>
        </w:rPr>
        <w:t xml:space="preserve">processes responsible for them, </w:t>
      </w:r>
      <w:r w:rsidR="00A14F9E" w:rsidRPr="00706E38">
        <w:rPr>
          <w:rFonts w:eastAsia="Calibri"/>
          <w:szCs w:val="22"/>
          <w:lang w:eastAsia="en-GB"/>
        </w:rPr>
        <w:t>are</w:t>
      </w:r>
      <w:r w:rsidRPr="00706E38">
        <w:rPr>
          <w:rFonts w:eastAsia="Calibri"/>
          <w:szCs w:val="22"/>
          <w:lang w:eastAsia="en-GB"/>
        </w:rPr>
        <w:t xml:space="preserve"> likely to be less effective.</w:t>
      </w:r>
    </w:p>
    <w:p w:rsidR="00166EC5" w:rsidRPr="00706E38" w:rsidRDefault="00166EC5" w:rsidP="00166EC5">
      <w:pPr>
        <w:rPr>
          <w:rFonts w:eastAsia="Calibri"/>
          <w:i/>
          <w:szCs w:val="22"/>
          <w:lang w:eastAsia="en-GB"/>
        </w:rPr>
      </w:pPr>
      <w:r w:rsidRPr="00706E38">
        <w:rPr>
          <w:rFonts w:eastAsia="Calibri"/>
          <w:i/>
          <w:szCs w:val="22"/>
          <w:lang w:eastAsia="en-GB"/>
        </w:rPr>
        <w:t>The increasing importance of flows, as opposed to “fixed” locational characteristics</w:t>
      </w:r>
    </w:p>
    <w:p w:rsidR="00166EC5" w:rsidRPr="00706E38" w:rsidRDefault="00166EC5" w:rsidP="00166EC5">
      <w:pPr>
        <w:rPr>
          <w:rFonts w:eastAsia="Calibri"/>
          <w:szCs w:val="22"/>
          <w:lang w:eastAsia="en-GB"/>
        </w:rPr>
      </w:pPr>
      <w:r w:rsidRPr="00706E38">
        <w:rPr>
          <w:rFonts w:eastAsia="Calibri"/>
          <w:szCs w:val="22"/>
          <w:lang w:eastAsia="en-GB"/>
        </w:rPr>
        <w:t>Annex 10 (p29) draws attention to the increasing importance of economic migration, both into and across the ESPON space</w:t>
      </w:r>
      <w:r w:rsidR="00FB6D02" w:rsidRPr="00706E38">
        <w:rPr>
          <w:rFonts w:eastAsia="Calibri"/>
          <w:szCs w:val="22"/>
          <w:lang w:eastAsia="en-GB"/>
        </w:rPr>
        <w:t>,</w:t>
      </w:r>
      <w:r w:rsidRPr="00706E38">
        <w:rPr>
          <w:rFonts w:eastAsia="Calibri"/>
          <w:szCs w:val="22"/>
          <w:lang w:eastAsia="en-GB"/>
        </w:rPr>
        <w:t xml:space="preserve"> as a driver of geographical patterns of social exclusion. In this case the target of policy is not a longstanding</w:t>
      </w:r>
      <w:r w:rsidR="00FB6D02" w:rsidRPr="00706E38">
        <w:rPr>
          <w:rFonts w:eastAsia="Calibri"/>
          <w:szCs w:val="22"/>
          <w:lang w:eastAsia="en-GB"/>
        </w:rPr>
        <w:t>,</w:t>
      </w:r>
      <w:r w:rsidRPr="00706E38">
        <w:rPr>
          <w:rFonts w:eastAsia="Calibri"/>
          <w:szCs w:val="22"/>
          <w:lang w:eastAsia="en-GB"/>
        </w:rPr>
        <w:t xml:space="preserve"> locally rooted</w:t>
      </w:r>
      <w:r w:rsidR="00FB6D02" w:rsidRPr="00706E38">
        <w:rPr>
          <w:rFonts w:eastAsia="Calibri"/>
          <w:szCs w:val="22"/>
          <w:lang w:eastAsia="en-GB"/>
        </w:rPr>
        <w:t>,</w:t>
      </w:r>
      <w:r w:rsidRPr="00706E38">
        <w:rPr>
          <w:rFonts w:eastAsia="Calibri"/>
          <w:szCs w:val="22"/>
          <w:lang w:eastAsia="en-GB"/>
        </w:rPr>
        <w:t xml:space="preserve"> process (as in the Roma areas of Hungary and Slovakia which were the subject of TiPSE case studies), but</w:t>
      </w:r>
      <w:r w:rsidR="00FB6D02" w:rsidRPr="00706E38">
        <w:rPr>
          <w:rFonts w:eastAsia="Calibri"/>
          <w:szCs w:val="22"/>
          <w:lang w:eastAsia="en-GB"/>
        </w:rPr>
        <w:t>,</w:t>
      </w:r>
      <w:r w:rsidRPr="00706E38">
        <w:rPr>
          <w:rFonts w:eastAsia="Calibri"/>
          <w:szCs w:val="22"/>
          <w:lang w:eastAsia="en-GB"/>
        </w:rPr>
        <w:t xml:space="preserve"> by contrast</w:t>
      </w:r>
      <w:r w:rsidR="00FB6D02" w:rsidRPr="00706E38">
        <w:rPr>
          <w:rFonts w:eastAsia="Calibri"/>
          <w:szCs w:val="22"/>
          <w:lang w:eastAsia="en-GB"/>
        </w:rPr>
        <w:t>,</w:t>
      </w:r>
      <w:r w:rsidRPr="00706E38">
        <w:rPr>
          <w:rFonts w:eastAsia="Calibri"/>
          <w:szCs w:val="22"/>
          <w:lang w:eastAsia="en-GB"/>
        </w:rPr>
        <w:t xml:space="preserve"> exclusion is “imported” into a region or locality. </w:t>
      </w:r>
      <w:r w:rsidR="00531E62" w:rsidRPr="00706E38">
        <w:rPr>
          <w:rFonts w:eastAsia="Calibri"/>
          <w:szCs w:val="22"/>
          <w:lang w:eastAsia="en-GB"/>
        </w:rPr>
        <w:t xml:space="preserve">These characteristics </w:t>
      </w:r>
      <w:r w:rsidR="00BC4803" w:rsidRPr="00706E38">
        <w:rPr>
          <w:rFonts w:eastAsia="Calibri"/>
          <w:szCs w:val="22"/>
          <w:lang w:eastAsia="en-GB"/>
        </w:rPr>
        <w:t xml:space="preserve">suggest a need for a dedicated </w:t>
      </w:r>
      <w:r w:rsidR="00531E62" w:rsidRPr="00706E38">
        <w:rPr>
          <w:rFonts w:eastAsia="Calibri"/>
          <w:szCs w:val="22"/>
          <w:lang w:eastAsia="en-GB"/>
        </w:rPr>
        <w:t xml:space="preserve">ESIF </w:t>
      </w:r>
      <w:r w:rsidR="00BC4803" w:rsidRPr="00706E38">
        <w:rPr>
          <w:rFonts w:eastAsia="Calibri"/>
          <w:szCs w:val="22"/>
          <w:lang w:eastAsia="en-GB"/>
        </w:rPr>
        <w:t xml:space="preserve">strategy with carefully tailored </w:t>
      </w:r>
      <w:r w:rsidRPr="00706E38">
        <w:rPr>
          <w:rFonts w:eastAsia="Calibri"/>
          <w:szCs w:val="22"/>
          <w:lang w:eastAsia="en-GB"/>
        </w:rPr>
        <w:t>interventions</w:t>
      </w:r>
      <w:r w:rsidR="00531E62" w:rsidRPr="00706E38">
        <w:rPr>
          <w:rFonts w:eastAsia="Calibri"/>
          <w:szCs w:val="22"/>
          <w:lang w:eastAsia="en-GB"/>
        </w:rPr>
        <w:t xml:space="preserve">, </w:t>
      </w:r>
      <w:r w:rsidR="00BC4803" w:rsidRPr="00706E38">
        <w:rPr>
          <w:rFonts w:eastAsia="Calibri"/>
          <w:szCs w:val="22"/>
          <w:lang w:eastAsia="en-GB"/>
        </w:rPr>
        <w:t xml:space="preserve">supported by planning and resource targeting on a </w:t>
      </w:r>
      <w:r w:rsidR="00531E62" w:rsidRPr="00706E38">
        <w:rPr>
          <w:rFonts w:eastAsia="Calibri"/>
          <w:szCs w:val="22"/>
          <w:lang w:eastAsia="en-GB"/>
        </w:rPr>
        <w:t>macro-</w:t>
      </w:r>
      <w:r w:rsidR="00BC4803" w:rsidRPr="00706E38">
        <w:rPr>
          <w:rFonts w:eastAsia="Calibri"/>
          <w:szCs w:val="22"/>
          <w:lang w:eastAsia="en-GB"/>
        </w:rPr>
        <w:t xml:space="preserve">geographical </w:t>
      </w:r>
      <w:r w:rsidR="00531E62" w:rsidRPr="00706E38">
        <w:rPr>
          <w:rFonts w:eastAsia="Calibri"/>
          <w:szCs w:val="22"/>
          <w:lang w:eastAsia="en-GB"/>
        </w:rPr>
        <w:t>scale</w:t>
      </w:r>
      <w:r w:rsidRPr="00706E38">
        <w:rPr>
          <w:rFonts w:eastAsia="Calibri"/>
          <w:szCs w:val="22"/>
          <w:lang w:eastAsia="en-GB"/>
        </w:rPr>
        <w:t>.</w:t>
      </w:r>
    </w:p>
    <w:p w:rsidR="00166EC5" w:rsidRPr="00706E38" w:rsidRDefault="00166EC5" w:rsidP="00166EC5">
      <w:pPr>
        <w:rPr>
          <w:rFonts w:eastAsia="Calibri"/>
          <w:szCs w:val="22"/>
          <w:lang w:eastAsia="en-GB"/>
        </w:rPr>
      </w:pPr>
      <w:r w:rsidRPr="00706E38">
        <w:rPr>
          <w:rFonts w:eastAsia="Calibri"/>
          <w:szCs w:val="22"/>
          <w:lang w:eastAsia="en-GB"/>
        </w:rPr>
        <w:t>Another kind of exclusion process driven by population mobility is selective rural-urban migration, which exacerbates demographic ageing in remote rural regions in some of the New Member States, Mediterranean countries and in north-west Europe. Again, interventions tailored to the geographic and socio-economic processes, would seem more appropriate than “place-blind” responses to symptoms.</w:t>
      </w:r>
      <w:r w:rsidR="00BC4803" w:rsidRPr="00706E38">
        <w:rPr>
          <w:rFonts w:eastAsia="Calibri"/>
          <w:szCs w:val="22"/>
          <w:lang w:eastAsia="en-GB"/>
        </w:rPr>
        <w:t xml:space="preserve"> Since the population movements are usually (though not exclusively) within, rather than between countries, the OMC would seem to the appropriate medium for intervention.</w:t>
      </w:r>
    </w:p>
    <w:p w:rsidR="000C4F28" w:rsidRPr="00706E38" w:rsidRDefault="000C4F28" w:rsidP="00E438A5">
      <w:pPr>
        <w:rPr>
          <w:rFonts w:eastAsia="Calibri"/>
          <w:i/>
          <w:szCs w:val="22"/>
          <w:lang w:eastAsia="en-GB"/>
        </w:rPr>
      </w:pPr>
      <w:r w:rsidRPr="00706E38">
        <w:rPr>
          <w:rFonts w:eastAsia="Calibri"/>
          <w:i/>
          <w:szCs w:val="22"/>
          <w:lang w:eastAsia="en-GB"/>
        </w:rPr>
        <w:t xml:space="preserve">The need for EU policy </w:t>
      </w:r>
      <w:r w:rsidR="0032192E" w:rsidRPr="00706E38">
        <w:rPr>
          <w:rFonts w:eastAsia="Calibri"/>
          <w:i/>
          <w:szCs w:val="22"/>
          <w:lang w:eastAsia="en-GB"/>
        </w:rPr>
        <w:t xml:space="preserve">and the OMC </w:t>
      </w:r>
      <w:r w:rsidRPr="00706E38">
        <w:rPr>
          <w:rFonts w:eastAsia="Calibri"/>
          <w:i/>
          <w:szCs w:val="22"/>
          <w:lang w:eastAsia="en-GB"/>
        </w:rPr>
        <w:t>to tackle the full spectrum of Social Exclusion</w:t>
      </w:r>
    </w:p>
    <w:p w:rsidR="000C4F28" w:rsidRPr="00706E38" w:rsidRDefault="000C4F28" w:rsidP="00E438A5">
      <w:pPr>
        <w:rPr>
          <w:rFonts w:eastAsia="Calibri"/>
          <w:szCs w:val="22"/>
          <w:lang w:eastAsia="en-GB"/>
        </w:rPr>
      </w:pPr>
      <w:r w:rsidRPr="00706E38">
        <w:rPr>
          <w:rFonts w:eastAsia="Calibri"/>
          <w:szCs w:val="22"/>
          <w:lang w:eastAsia="en-GB"/>
        </w:rPr>
        <w:t xml:space="preserve">The unbalanced emphasis upon the “Earning a Living” domain of social exclusion is a point which has been repeated many times across most of the TiPSE project documents, especially Annex </w:t>
      </w:r>
      <w:r w:rsidR="00690014" w:rsidRPr="00706E38">
        <w:rPr>
          <w:rFonts w:eastAsia="Calibri"/>
          <w:szCs w:val="22"/>
          <w:lang w:eastAsia="en-GB"/>
        </w:rPr>
        <w:t>6</w:t>
      </w:r>
      <w:r w:rsidR="00BF23FF" w:rsidRPr="00706E38">
        <w:rPr>
          <w:rFonts w:eastAsia="Calibri"/>
          <w:szCs w:val="22"/>
          <w:lang w:eastAsia="en-GB"/>
        </w:rPr>
        <w:t>,</w:t>
      </w:r>
      <w:r w:rsidRPr="00706E38">
        <w:rPr>
          <w:rFonts w:eastAsia="Calibri"/>
          <w:szCs w:val="22"/>
          <w:lang w:eastAsia="en-GB"/>
        </w:rPr>
        <w:t xml:space="preserve"> </w:t>
      </w:r>
      <w:r w:rsidR="00690014" w:rsidRPr="00706E38">
        <w:rPr>
          <w:rFonts w:eastAsia="Calibri"/>
          <w:szCs w:val="22"/>
          <w:lang w:eastAsia="en-GB"/>
        </w:rPr>
        <w:t>8</w:t>
      </w:r>
      <w:r w:rsidR="00BF23FF" w:rsidRPr="00706E38">
        <w:rPr>
          <w:rFonts w:eastAsia="Calibri"/>
          <w:szCs w:val="22"/>
          <w:lang w:eastAsia="en-GB"/>
        </w:rPr>
        <w:t xml:space="preserve"> and 10</w:t>
      </w:r>
      <w:r w:rsidRPr="00706E38">
        <w:rPr>
          <w:rFonts w:eastAsia="Calibri"/>
          <w:szCs w:val="22"/>
          <w:lang w:eastAsia="en-GB"/>
        </w:rPr>
        <w:t xml:space="preserve">. This has implications for both the OMC and the ESIF. What is perhaps less often appreciated is the fact that concentrating upon labour market aspects </w:t>
      </w:r>
      <w:r w:rsidR="00FB6D02" w:rsidRPr="00706E38">
        <w:rPr>
          <w:rFonts w:eastAsia="Calibri"/>
          <w:szCs w:val="22"/>
          <w:lang w:eastAsia="en-GB"/>
        </w:rPr>
        <w:t xml:space="preserve">of </w:t>
      </w:r>
      <w:r w:rsidRPr="00706E38">
        <w:rPr>
          <w:rFonts w:eastAsia="Calibri"/>
          <w:szCs w:val="22"/>
          <w:lang w:eastAsia="en-GB"/>
        </w:rPr>
        <w:t>exclusion has indirect spatial impacts</w:t>
      </w:r>
      <w:r w:rsidR="00BF23FF" w:rsidRPr="00706E38">
        <w:rPr>
          <w:rFonts w:eastAsia="Calibri"/>
          <w:szCs w:val="22"/>
          <w:lang w:eastAsia="en-GB"/>
        </w:rPr>
        <w:t xml:space="preserve">, by focusing interventions on regions which exhibit characteristics such as high unemployment, or </w:t>
      </w:r>
      <w:r w:rsidR="00BF23FF" w:rsidRPr="00706E38">
        <w:rPr>
          <w:rFonts w:eastAsia="Calibri"/>
          <w:szCs w:val="22"/>
          <w:lang w:eastAsia="en-GB"/>
        </w:rPr>
        <w:lastRenderedPageBreak/>
        <w:t>low activity rates, whilst ignoring regions which suffer from exclusion in terms of the other three domains of exclusion.</w:t>
      </w:r>
    </w:p>
    <w:p w:rsidR="00D05FDE" w:rsidRPr="00706E38" w:rsidRDefault="00F93904" w:rsidP="00E438A5">
      <w:pPr>
        <w:rPr>
          <w:rFonts w:eastAsia="Calibri"/>
          <w:i/>
          <w:szCs w:val="22"/>
          <w:lang w:eastAsia="en-GB"/>
        </w:rPr>
      </w:pPr>
      <w:r w:rsidRPr="00706E38">
        <w:rPr>
          <w:rFonts w:eastAsia="Calibri"/>
          <w:i/>
          <w:szCs w:val="22"/>
          <w:lang w:eastAsia="en-GB"/>
        </w:rPr>
        <w:t>A generic policy to cover all domains?</w:t>
      </w:r>
    </w:p>
    <w:p w:rsidR="00D05FDE" w:rsidRPr="00706E38" w:rsidRDefault="00166EC5" w:rsidP="00E438A5">
      <w:pPr>
        <w:rPr>
          <w:rFonts w:eastAsia="Calibri"/>
          <w:szCs w:val="22"/>
          <w:lang w:eastAsia="en-GB"/>
        </w:rPr>
      </w:pPr>
      <w:r w:rsidRPr="00706E38">
        <w:rPr>
          <w:rFonts w:eastAsia="Calibri"/>
          <w:szCs w:val="22"/>
          <w:lang w:eastAsia="en-GB"/>
        </w:rPr>
        <w:t xml:space="preserve">When it comes to interventions to address social exclusion, the Domain and Dimension structure immediately tells us that a narrow “policy silo” approach is not appropriate. In addition the maps tell us that social exclusion is not an issue which can easily be addressed by </w:t>
      </w:r>
      <w:r w:rsidR="008A4DE6" w:rsidRPr="00706E38">
        <w:rPr>
          <w:rFonts w:eastAsia="Calibri"/>
          <w:szCs w:val="22"/>
          <w:lang w:eastAsia="en-GB"/>
        </w:rPr>
        <w:t xml:space="preserve">a single generic policy with </w:t>
      </w:r>
      <w:r w:rsidRPr="00706E38">
        <w:rPr>
          <w:rFonts w:eastAsia="Calibri"/>
          <w:szCs w:val="22"/>
          <w:lang w:eastAsia="en-GB"/>
        </w:rPr>
        <w:t xml:space="preserve">simple regional targeting. A range of </w:t>
      </w:r>
      <w:r w:rsidR="008A4DE6" w:rsidRPr="00706E38">
        <w:rPr>
          <w:rFonts w:eastAsia="Calibri"/>
          <w:szCs w:val="22"/>
          <w:lang w:eastAsia="en-GB"/>
        </w:rPr>
        <w:t>different strands of intervention</w:t>
      </w:r>
      <w:r w:rsidRPr="00706E38">
        <w:rPr>
          <w:rFonts w:eastAsia="Calibri"/>
          <w:szCs w:val="22"/>
          <w:lang w:eastAsia="en-GB"/>
        </w:rPr>
        <w:t>, relating to the labour market, housing, education, immigration, and so on, will be required to contribute</w:t>
      </w:r>
      <w:r w:rsidR="00FB6D02" w:rsidRPr="00706E38">
        <w:rPr>
          <w:rFonts w:eastAsia="Calibri"/>
          <w:szCs w:val="22"/>
          <w:lang w:eastAsia="en-GB"/>
        </w:rPr>
        <w:t>,</w:t>
      </w:r>
      <w:r w:rsidRPr="00706E38">
        <w:rPr>
          <w:rFonts w:eastAsia="Calibri"/>
          <w:szCs w:val="22"/>
          <w:lang w:eastAsia="en-GB"/>
        </w:rPr>
        <w:t xml:space="preserve"> in a coordinated way. </w:t>
      </w:r>
      <w:r w:rsidR="00690014" w:rsidRPr="00706E38">
        <w:rPr>
          <w:rFonts w:eastAsia="Calibri"/>
          <w:szCs w:val="22"/>
          <w:lang w:eastAsia="en-GB"/>
        </w:rPr>
        <w:t>This makes for a rather complex issue of spatial targeting. A fully integrated horizontal social exclusion policy would need to be very sophisticated and flexible in order to meet all the various needs. Coherence between a range of “sectoral” policies would seem to</w:t>
      </w:r>
      <w:r w:rsidR="009B7749" w:rsidRPr="00706E38">
        <w:rPr>
          <w:rFonts w:eastAsia="Calibri"/>
          <w:szCs w:val="22"/>
          <w:lang w:eastAsia="en-GB"/>
        </w:rPr>
        <w:t xml:space="preserve"> be a more achievable objective</w:t>
      </w:r>
      <w:r w:rsidR="00690014" w:rsidRPr="00706E38">
        <w:rPr>
          <w:rFonts w:eastAsia="Calibri"/>
          <w:szCs w:val="22"/>
          <w:lang w:eastAsia="en-GB"/>
        </w:rPr>
        <w:t>.</w:t>
      </w:r>
    </w:p>
    <w:p w:rsidR="002468C6" w:rsidRPr="00706E38" w:rsidRDefault="002468C6" w:rsidP="002468C6">
      <w:pPr>
        <w:rPr>
          <w:i/>
          <w:lang w:val="en-US"/>
        </w:rPr>
      </w:pPr>
      <w:r w:rsidRPr="00706E38">
        <w:rPr>
          <w:i/>
          <w:lang w:val="en-US"/>
        </w:rPr>
        <w:t xml:space="preserve">The need for </w:t>
      </w:r>
      <w:r w:rsidR="00166EC5" w:rsidRPr="00706E38">
        <w:rPr>
          <w:i/>
          <w:lang w:val="en-US"/>
        </w:rPr>
        <w:t>effective multi-level governance</w:t>
      </w:r>
    </w:p>
    <w:p w:rsidR="00BE1E46" w:rsidRPr="00706E38" w:rsidRDefault="00BE1E46" w:rsidP="00BE1E46">
      <w:pPr>
        <w:rPr>
          <w:lang w:val="en-US"/>
        </w:rPr>
      </w:pPr>
      <w:r w:rsidRPr="00706E38">
        <w:rPr>
          <w:lang w:val="en-US"/>
        </w:rPr>
        <w:t>Coherence in policy response is best achieved by bringing together the relevant actors, stakeholders and institutions</w:t>
      </w:r>
      <w:r w:rsidR="00097F83" w:rsidRPr="00706E38">
        <w:rPr>
          <w:lang w:val="en-US"/>
        </w:rPr>
        <w:t>, each of which will</w:t>
      </w:r>
      <w:r w:rsidRPr="00706E38">
        <w:rPr>
          <w:lang w:val="en-US"/>
        </w:rPr>
        <w:t xml:space="preserve"> have different kno</w:t>
      </w:r>
      <w:r w:rsidR="00097F83" w:rsidRPr="00706E38">
        <w:rPr>
          <w:lang w:val="en-US"/>
        </w:rPr>
        <w:t>wledge, experience and insights</w:t>
      </w:r>
      <w:r w:rsidR="001859B6" w:rsidRPr="00706E38">
        <w:rPr>
          <w:lang w:val="en-US"/>
        </w:rPr>
        <w:t xml:space="preserve"> to contribute to</w:t>
      </w:r>
      <w:r w:rsidRPr="00706E38">
        <w:rPr>
          <w:lang w:val="en-US"/>
        </w:rPr>
        <w:t xml:space="preserve"> a full</w:t>
      </w:r>
      <w:r w:rsidR="001859B6" w:rsidRPr="00706E38">
        <w:rPr>
          <w:lang w:val="en-US"/>
        </w:rPr>
        <w:t>er</w:t>
      </w:r>
      <w:r w:rsidRPr="00706E38">
        <w:rPr>
          <w:lang w:val="en-US"/>
        </w:rPr>
        <w:t xml:space="preserve"> understanding of problems and potentials, </w:t>
      </w:r>
      <w:r w:rsidR="001859B6" w:rsidRPr="00706E38">
        <w:rPr>
          <w:lang w:val="en-US"/>
        </w:rPr>
        <w:t xml:space="preserve">as a basis for </w:t>
      </w:r>
      <w:r w:rsidRPr="00706E38">
        <w:rPr>
          <w:lang w:val="en-US"/>
        </w:rPr>
        <w:t xml:space="preserve">defining </w:t>
      </w:r>
      <w:r w:rsidR="001859B6" w:rsidRPr="00706E38">
        <w:rPr>
          <w:lang w:val="en-US"/>
        </w:rPr>
        <w:t>an appropriate</w:t>
      </w:r>
      <w:r w:rsidRPr="00706E38">
        <w:rPr>
          <w:lang w:val="en-US"/>
        </w:rPr>
        <w:t xml:space="preserve"> policy approach.</w:t>
      </w:r>
    </w:p>
    <w:p w:rsidR="001859B6" w:rsidRPr="00706E38" w:rsidRDefault="002468C6" w:rsidP="002468C6">
      <w:pPr>
        <w:rPr>
          <w:lang w:val="en-US"/>
        </w:rPr>
      </w:pPr>
      <w:r w:rsidRPr="00706E38">
        <w:rPr>
          <w:lang w:val="en-US"/>
        </w:rPr>
        <w:t>There is a</w:t>
      </w:r>
      <w:r w:rsidR="00037B30" w:rsidRPr="00706E38">
        <w:rPr>
          <w:lang w:val="en-US"/>
        </w:rPr>
        <w:t>n evident</w:t>
      </w:r>
      <w:r w:rsidRPr="00706E38">
        <w:rPr>
          <w:lang w:val="en-US"/>
        </w:rPr>
        <w:t xml:space="preserve"> need for </w:t>
      </w:r>
      <w:r w:rsidR="00260EED" w:rsidRPr="00706E38">
        <w:rPr>
          <w:lang w:val="en-US"/>
        </w:rPr>
        <w:t xml:space="preserve">forms of intervention which </w:t>
      </w:r>
      <w:r w:rsidRPr="00706E38">
        <w:rPr>
          <w:lang w:val="en-US"/>
        </w:rPr>
        <w:t>tak</w:t>
      </w:r>
      <w:r w:rsidR="00260EED" w:rsidRPr="00706E38">
        <w:rPr>
          <w:lang w:val="en-US"/>
        </w:rPr>
        <w:t>e</w:t>
      </w:r>
      <w:r w:rsidRPr="00706E38">
        <w:rPr>
          <w:lang w:val="en-US"/>
        </w:rPr>
        <w:t xml:space="preserve"> account of the different territorial, socio-economic and institutional context</w:t>
      </w:r>
      <w:r w:rsidR="001859B6" w:rsidRPr="00706E38">
        <w:rPr>
          <w:lang w:val="en-US"/>
        </w:rPr>
        <w:t>,</w:t>
      </w:r>
      <w:r w:rsidRPr="00706E38">
        <w:rPr>
          <w:lang w:val="en-US"/>
        </w:rPr>
        <w:t xml:space="preserve"> and </w:t>
      </w:r>
      <w:r w:rsidR="001859B6" w:rsidRPr="00706E38">
        <w:rPr>
          <w:lang w:val="en-US"/>
        </w:rPr>
        <w:t xml:space="preserve">the </w:t>
      </w:r>
      <w:r w:rsidRPr="00706E38">
        <w:rPr>
          <w:lang w:val="en-US"/>
        </w:rPr>
        <w:t xml:space="preserve">different </w:t>
      </w:r>
      <w:r w:rsidR="00260EED" w:rsidRPr="00706E38">
        <w:rPr>
          <w:lang w:val="en-US"/>
        </w:rPr>
        <w:t xml:space="preserve">development </w:t>
      </w:r>
      <w:r w:rsidRPr="00706E38">
        <w:rPr>
          <w:lang w:val="en-US"/>
        </w:rPr>
        <w:t>path</w:t>
      </w:r>
      <w:r w:rsidR="00260EED" w:rsidRPr="00706E38">
        <w:rPr>
          <w:lang w:val="en-US"/>
        </w:rPr>
        <w:t>s</w:t>
      </w:r>
      <w:r w:rsidRPr="00706E38">
        <w:rPr>
          <w:lang w:val="en-US"/>
        </w:rPr>
        <w:t xml:space="preserve"> of localities. </w:t>
      </w:r>
      <w:r w:rsidR="001859B6" w:rsidRPr="00706E38">
        <w:rPr>
          <w:lang w:val="en-US"/>
        </w:rPr>
        <w:t>T</w:t>
      </w:r>
      <w:r w:rsidRPr="00706E38">
        <w:rPr>
          <w:lang w:val="en-US"/>
        </w:rPr>
        <w:t>he O</w:t>
      </w:r>
      <w:r w:rsidR="001859B6" w:rsidRPr="00706E38">
        <w:rPr>
          <w:lang w:val="en-US"/>
        </w:rPr>
        <w:t>MC</w:t>
      </w:r>
      <w:r w:rsidRPr="00706E38">
        <w:rPr>
          <w:lang w:val="en-US"/>
        </w:rPr>
        <w:t xml:space="preserve"> </w:t>
      </w:r>
      <w:r w:rsidR="001859B6" w:rsidRPr="00706E38">
        <w:rPr>
          <w:lang w:val="en-US"/>
        </w:rPr>
        <w:t>is an</w:t>
      </w:r>
      <w:r w:rsidRPr="00706E38">
        <w:rPr>
          <w:lang w:val="en-US"/>
        </w:rPr>
        <w:t xml:space="preserve"> important </w:t>
      </w:r>
      <w:r w:rsidR="001859B6" w:rsidRPr="00706E38">
        <w:rPr>
          <w:lang w:val="en-US"/>
        </w:rPr>
        <w:t>means of</w:t>
      </w:r>
      <w:r w:rsidRPr="00706E38">
        <w:rPr>
          <w:lang w:val="en-US"/>
        </w:rPr>
        <w:t xml:space="preserve"> integrati</w:t>
      </w:r>
      <w:r w:rsidR="001859B6" w:rsidRPr="00706E38">
        <w:rPr>
          <w:lang w:val="en-US"/>
        </w:rPr>
        <w:t xml:space="preserve">ng </w:t>
      </w:r>
      <w:r w:rsidRPr="00706E38">
        <w:rPr>
          <w:lang w:val="en-US"/>
        </w:rPr>
        <w:t>different national po</w:t>
      </w:r>
      <w:r w:rsidR="001859B6" w:rsidRPr="00706E38">
        <w:rPr>
          <w:lang w:val="en-US"/>
        </w:rPr>
        <w:t>licy programmes and priorities despite</w:t>
      </w:r>
      <w:r w:rsidRPr="00706E38">
        <w:rPr>
          <w:lang w:val="en-US"/>
        </w:rPr>
        <w:t xml:space="preserve"> the quite different policy backgrounds and specific institutional environments a</w:t>
      </w:r>
      <w:r w:rsidR="001859B6" w:rsidRPr="00706E38">
        <w:rPr>
          <w:lang w:val="en-US"/>
        </w:rPr>
        <w:t>cross the member states. Similarly</w:t>
      </w:r>
      <w:r w:rsidRPr="00706E38">
        <w:rPr>
          <w:lang w:val="en-US"/>
        </w:rPr>
        <w:t xml:space="preserve"> there is a need to support place-specific policies and the regional or local </w:t>
      </w:r>
      <w:r w:rsidR="00401576" w:rsidRPr="00706E38">
        <w:rPr>
          <w:lang w:val="en-US"/>
        </w:rPr>
        <w:t>implementation</w:t>
      </w:r>
      <w:r w:rsidRPr="00706E38">
        <w:rPr>
          <w:lang w:val="en-US"/>
        </w:rPr>
        <w:t xml:space="preserve"> of policies for combating social exclusion and poverty</w:t>
      </w:r>
      <w:r w:rsidR="001859B6" w:rsidRPr="00706E38">
        <w:rPr>
          <w:lang w:val="en-US"/>
        </w:rPr>
        <w:t>.</w:t>
      </w:r>
    </w:p>
    <w:p w:rsidR="002468C6" w:rsidRPr="00706E38" w:rsidRDefault="002468C6" w:rsidP="002468C6">
      <w:pPr>
        <w:rPr>
          <w:lang w:val="en-US"/>
        </w:rPr>
      </w:pPr>
      <w:r w:rsidRPr="00706E38">
        <w:rPr>
          <w:lang w:val="en-US"/>
        </w:rPr>
        <w:t>Devolution of power and resources from higher policy levels to the local level needs to go hand in hand with an inclusive approach at local level. This is still no</w:t>
      </w:r>
      <w:r w:rsidR="0091723D" w:rsidRPr="00706E38">
        <w:rPr>
          <w:lang w:val="en-US"/>
        </w:rPr>
        <w:t>t</w:t>
      </w:r>
      <w:r w:rsidRPr="00706E38">
        <w:rPr>
          <w:lang w:val="en-US"/>
        </w:rPr>
        <w:t xml:space="preserve"> wide-spread practice, as the case studies show. Multi-level co-ordination and co-operation networks and relationships </w:t>
      </w:r>
      <w:r w:rsidR="00097F83" w:rsidRPr="00706E38">
        <w:rPr>
          <w:lang w:val="en-US"/>
        </w:rPr>
        <w:t>tend to result in more</w:t>
      </w:r>
      <w:r w:rsidR="00697BB6" w:rsidRPr="00706E38">
        <w:rPr>
          <w:lang w:val="en-US"/>
        </w:rPr>
        <w:t xml:space="preserve"> </w:t>
      </w:r>
      <w:r w:rsidRPr="00706E38">
        <w:rPr>
          <w:lang w:val="en-US"/>
        </w:rPr>
        <w:t>effective policy approaches</w:t>
      </w:r>
      <w:r w:rsidR="00097F83" w:rsidRPr="00706E38">
        <w:rPr>
          <w:lang w:val="en-US"/>
        </w:rPr>
        <w:t xml:space="preserve">, as a result of a mutual learning process between national and local levels of governance. </w:t>
      </w:r>
    </w:p>
    <w:p w:rsidR="00097F83" w:rsidRPr="00706E38" w:rsidRDefault="001859B6" w:rsidP="00401576">
      <w:pPr>
        <w:rPr>
          <w:i/>
          <w:lang w:val="en-US"/>
        </w:rPr>
      </w:pPr>
      <w:r w:rsidRPr="00706E38">
        <w:rPr>
          <w:i/>
          <w:lang w:val="en-US"/>
        </w:rPr>
        <w:t>Some more specific recommendations:</w:t>
      </w:r>
    </w:p>
    <w:p w:rsidR="00401576" w:rsidRPr="00706E38" w:rsidRDefault="00BC4803" w:rsidP="00401576">
      <w:pPr>
        <w:rPr>
          <w:lang w:val="en-US"/>
        </w:rPr>
      </w:pPr>
      <w:r w:rsidRPr="00706E38">
        <w:rPr>
          <w:lang w:val="en-US"/>
        </w:rPr>
        <w:t>Further</w:t>
      </w:r>
      <w:r w:rsidR="000969A0" w:rsidRPr="00706E38">
        <w:rPr>
          <w:lang w:val="en-US"/>
        </w:rPr>
        <w:t xml:space="preserve"> specific policy recommendations relating to both the OMC and the ESIF - as the main European “delivery mechanisms” for policy to address poverty and social exclusion – are listed in Annex 10.</w:t>
      </w:r>
      <w:r w:rsidR="00401576" w:rsidRPr="00706E38">
        <w:rPr>
          <w:lang w:val="en-US"/>
        </w:rPr>
        <w:t xml:space="preserve"> Among the most important are:</w:t>
      </w:r>
    </w:p>
    <w:p w:rsidR="00401576" w:rsidRPr="00706E38" w:rsidRDefault="00401576" w:rsidP="001143D4">
      <w:pPr>
        <w:rPr>
          <w:lang w:val="en-US"/>
        </w:rPr>
      </w:pPr>
      <w:r w:rsidRPr="00706E38">
        <w:rPr>
          <w:lang w:val="en-US"/>
        </w:rPr>
        <w:t>(i) That National Re</w:t>
      </w:r>
      <w:r w:rsidR="00097F83" w:rsidRPr="00706E38">
        <w:rPr>
          <w:lang w:val="en-US"/>
        </w:rPr>
        <w:t>form Programmes should include regional c</w:t>
      </w:r>
      <w:r w:rsidRPr="00706E38">
        <w:rPr>
          <w:lang w:val="en-US"/>
        </w:rPr>
        <w:t>hapters</w:t>
      </w:r>
    </w:p>
    <w:p w:rsidR="00401576" w:rsidRPr="00706E38" w:rsidRDefault="00401576" w:rsidP="001143D4">
      <w:pPr>
        <w:rPr>
          <w:lang w:val="en-US"/>
        </w:rPr>
      </w:pPr>
      <w:r w:rsidRPr="00706E38">
        <w:rPr>
          <w:lang w:val="en-US"/>
        </w:rPr>
        <w:t>(ii) The CLLD/LEADER type approach should be encouraged as a means of alleviating poverty and social exclusion at a local level.</w:t>
      </w:r>
    </w:p>
    <w:p w:rsidR="00401576" w:rsidRPr="00706E38" w:rsidRDefault="00401576" w:rsidP="001143D4">
      <w:pPr>
        <w:rPr>
          <w:lang w:val="en-US"/>
        </w:rPr>
      </w:pPr>
      <w:r w:rsidRPr="00706E38">
        <w:rPr>
          <w:lang w:val="en-US"/>
        </w:rPr>
        <w:t>(iii) In resource and policy targeting, a high risk of poverty and social exclusion should be considered as well as GDP/head.</w:t>
      </w:r>
    </w:p>
    <w:p w:rsidR="006E12C6" w:rsidRPr="00706E38" w:rsidRDefault="006E12C6" w:rsidP="006E12C6">
      <w:pPr>
        <w:pStyle w:val="Heading1"/>
        <w:rPr>
          <w:lang w:val="en-US"/>
        </w:rPr>
      </w:pPr>
      <w:bookmarkStart w:id="63" w:name="_Toc401068755"/>
      <w:bookmarkStart w:id="64" w:name="_Toc410375335"/>
      <w:r w:rsidRPr="00706E38">
        <w:rPr>
          <w:lang w:val="en-US"/>
        </w:rPr>
        <w:lastRenderedPageBreak/>
        <w:t>Some Guidelines for future monitoring of Poverty and Social Exclusion</w:t>
      </w:r>
      <w:bookmarkEnd w:id="63"/>
      <w:bookmarkEnd w:id="64"/>
    </w:p>
    <w:p w:rsidR="00260EED" w:rsidRPr="00706E38" w:rsidRDefault="00260EED" w:rsidP="00260EED">
      <w:pPr>
        <w:rPr>
          <w:lang w:val="en-US"/>
        </w:rPr>
      </w:pPr>
      <w:r w:rsidRPr="00706E38">
        <w:rPr>
          <w:lang w:val="en-US"/>
        </w:rPr>
        <w:t>Detailed recommendations for future monitoring of poverty and social exclusion are presented in Annex 11. Before summarizing these it will be helpful to reiterate our conclusions regarding the main indicators of poverty and social exclusion which we have presented earlier in this report.</w:t>
      </w:r>
    </w:p>
    <w:p w:rsidR="006E12C6" w:rsidRPr="00706E38" w:rsidRDefault="006E12C6" w:rsidP="006E12C6">
      <w:pPr>
        <w:rPr>
          <w:rFonts w:eastAsia="Calibri"/>
          <w:i/>
          <w:szCs w:val="22"/>
          <w:lang w:eastAsia="en-GB"/>
        </w:rPr>
      </w:pPr>
      <w:r w:rsidRPr="00706E38">
        <w:rPr>
          <w:rFonts w:eastAsia="Calibri"/>
          <w:i/>
          <w:szCs w:val="22"/>
          <w:lang w:eastAsia="en-GB"/>
        </w:rPr>
        <w:t>The ARoP Indicator</w:t>
      </w:r>
    </w:p>
    <w:p w:rsidR="006E12C6" w:rsidRPr="00706E38" w:rsidRDefault="006E12C6" w:rsidP="006E12C6">
      <w:pPr>
        <w:rPr>
          <w:rFonts w:eastAsia="Calibri"/>
          <w:szCs w:val="22"/>
          <w:lang w:eastAsia="en-GB"/>
        </w:rPr>
      </w:pPr>
      <w:r w:rsidRPr="00706E38">
        <w:rPr>
          <w:rFonts w:eastAsia="Calibri"/>
          <w:szCs w:val="22"/>
          <w:lang w:eastAsia="en-GB"/>
        </w:rPr>
        <w:t>As regards the ARoP rate as a poverty indicator the first issue is the use of national median disposable income as a basis for the poverty line</w:t>
      </w:r>
      <w:r w:rsidR="008A4DE6" w:rsidRPr="00706E38">
        <w:rPr>
          <w:rFonts w:eastAsia="Calibri"/>
          <w:szCs w:val="22"/>
          <w:lang w:eastAsia="en-GB"/>
        </w:rPr>
        <w:t>, which</w:t>
      </w:r>
      <w:r w:rsidRPr="00706E38">
        <w:rPr>
          <w:rFonts w:eastAsia="Calibri"/>
          <w:szCs w:val="22"/>
          <w:lang w:eastAsia="en-GB"/>
        </w:rPr>
        <w:t xml:space="preserve"> makes comparisons between countries, and European scale mapping rather difficult. We would propose that in future two ARoP rates are published, based upon national and EU28 poverty lines. Purchasing parity adjustments would be necessary.</w:t>
      </w:r>
    </w:p>
    <w:p w:rsidR="006E12C6" w:rsidRPr="00706E38" w:rsidRDefault="006E12C6" w:rsidP="006E12C6">
      <w:pPr>
        <w:rPr>
          <w:rFonts w:eastAsia="Calibri"/>
          <w:szCs w:val="22"/>
          <w:lang w:eastAsia="en-GB"/>
        </w:rPr>
      </w:pPr>
      <w:r w:rsidRPr="00706E38">
        <w:rPr>
          <w:rFonts w:eastAsia="Calibri"/>
          <w:szCs w:val="22"/>
          <w:lang w:eastAsia="en-GB"/>
        </w:rPr>
        <w:t xml:space="preserve">The second ARoP rate issue is the need to be explicit that the indicator is based upon income only, and that geographical variations in living cost also play a role in determining the reality of poverty at the local or regional level. We are concerned that introducing an adjustment for housing costs </w:t>
      </w:r>
      <w:r w:rsidR="00FB6D02" w:rsidRPr="00706E38">
        <w:rPr>
          <w:rFonts w:eastAsia="Calibri"/>
          <w:szCs w:val="22"/>
          <w:lang w:eastAsia="en-GB"/>
        </w:rPr>
        <w:t>(</w:t>
      </w:r>
      <w:r w:rsidRPr="00706E38">
        <w:rPr>
          <w:rFonts w:eastAsia="Calibri"/>
          <w:szCs w:val="22"/>
          <w:lang w:eastAsia="en-GB"/>
        </w:rPr>
        <w:t>only</w:t>
      </w:r>
      <w:r w:rsidR="00FB6D02" w:rsidRPr="00706E38">
        <w:rPr>
          <w:rFonts w:eastAsia="Calibri"/>
          <w:szCs w:val="22"/>
          <w:lang w:eastAsia="en-GB"/>
        </w:rPr>
        <w:t>)</w:t>
      </w:r>
      <w:r w:rsidRPr="00706E38">
        <w:rPr>
          <w:rFonts w:eastAsia="Calibri"/>
          <w:szCs w:val="22"/>
          <w:lang w:eastAsia="en-GB"/>
        </w:rPr>
        <w:t xml:space="preserve"> will introduce a bias towards urban areas, whilst failing to recognise living cost issues in remote and insular regions.</w:t>
      </w:r>
    </w:p>
    <w:p w:rsidR="006E12C6" w:rsidRPr="00706E38" w:rsidRDefault="006E12C6" w:rsidP="006E12C6">
      <w:pPr>
        <w:rPr>
          <w:rFonts w:eastAsia="Calibri"/>
          <w:i/>
          <w:szCs w:val="22"/>
          <w:lang w:eastAsia="en-GB"/>
        </w:rPr>
      </w:pPr>
      <w:r w:rsidRPr="00706E38">
        <w:rPr>
          <w:rFonts w:eastAsia="Calibri"/>
          <w:i/>
          <w:szCs w:val="22"/>
          <w:lang w:eastAsia="en-GB"/>
        </w:rPr>
        <w:t>Improving proxy indicators of Social Exclusion</w:t>
      </w:r>
    </w:p>
    <w:p w:rsidR="006E12C6" w:rsidRPr="00706E38" w:rsidRDefault="006E12C6" w:rsidP="006E12C6">
      <w:pPr>
        <w:rPr>
          <w:rFonts w:eastAsia="Calibri"/>
          <w:szCs w:val="22"/>
          <w:lang w:eastAsia="en-GB"/>
        </w:rPr>
      </w:pPr>
      <w:r w:rsidRPr="00706E38">
        <w:rPr>
          <w:rFonts w:eastAsia="Calibri"/>
          <w:szCs w:val="22"/>
          <w:lang w:eastAsia="en-GB"/>
        </w:rPr>
        <w:t>A key issue with regard to social exclusion indicators to support policy is the urgent need for more direct measurement. Realistically, given the nature of the experience of exclusion, there will always be a role for proxy indicators. However at present the available indicators are collected for a range of reasons unrelated to exclusion, and there is much scope for improvement in terms of specifying more reliable proxies</w:t>
      </w:r>
      <w:r w:rsidR="008A4DE6" w:rsidRPr="00706E38">
        <w:rPr>
          <w:rFonts w:eastAsia="Calibri"/>
          <w:szCs w:val="22"/>
          <w:lang w:eastAsia="en-GB"/>
        </w:rPr>
        <w:t>,</w:t>
      </w:r>
      <w:r w:rsidRPr="00706E38">
        <w:rPr>
          <w:rFonts w:eastAsia="Calibri"/>
          <w:szCs w:val="22"/>
          <w:lang w:eastAsia="en-GB"/>
        </w:rPr>
        <w:t xml:space="preserve"> for future inclusion in the Census Hub hypercubes.</w:t>
      </w:r>
    </w:p>
    <w:p w:rsidR="00260EED" w:rsidRPr="00706E38" w:rsidRDefault="00260EED" w:rsidP="00260EED">
      <w:pPr>
        <w:rPr>
          <w:rFonts w:eastAsia="Calibri"/>
          <w:i/>
          <w:szCs w:val="22"/>
          <w:lang w:eastAsia="en-GB"/>
        </w:rPr>
      </w:pPr>
      <w:r w:rsidRPr="00706E38">
        <w:rPr>
          <w:rFonts w:eastAsia="Calibri"/>
          <w:i/>
          <w:szCs w:val="22"/>
          <w:lang w:eastAsia="en-GB"/>
        </w:rPr>
        <w:t>Accommodating different national policy approaches within the OMC</w:t>
      </w:r>
    </w:p>
    <w:p w:rsidR="00260EED" w:rsidRPr="00706E38" w:rsidRDefault="00260EED" w:rsidP="00260EED">
      <w:pPr>
        <w:rPr>
          <w:rFonts w:eastAsia="Calibri"/>
          <w:szCs w:val="22"/>
          <w:lang w:eastAsia="en-GB"/>
        </w:rPr>
      </w:pPr>
      <w:r w:rsidRPr="00706E38">
        <w:rPr>
          <w:rFonts w:eastAsia="Calibri"/>
          <w:szCs w:val="22"/>
          <w:lang w:eastAsia="en-GB"/>
        </w:rPr>
        <w:t xml:space="preserve">The review of national approaches to measuring social exclusion </w:t>
      </w:r>
      <w:r w:rsidR="001859B6" w:rsidRPr="00706E38">
        <w:rPr>
          <w:rFonts w:eastAsia="Calibri"/>
          <w:szCs w:val="22"/>
          <w:lang w:eastAsia="en-GB"/>
        </w:rPr>
        <w:t xml:space="preserve">(Annex 8) </w:t>
      </w:r>
      <w:r w:rsidRPr="00706E38">
        <w:rPr>
          <w:rFonts w:eastAsia="Calibri"/>
          <w:szCs w:val="22"/>
          <w:lang w:eastAsia="en-GB"/>
        </w:rPr>
        <w:t>revealed a level of innovation, and a widespread recognition that monitoring income poverty is not sufficient. At the same time it was evident that there is no common formulation of the wider concept of social inequality. However, behind the differing terminology, many of the elements, and the way they are measured by indicators, are similar. It is desirable that OMC structures and procedures should, in the spirit of subsidiarity, accommodate and derive robustness from these differences.</w:t>
      </w:r>
    </w:p>
    <w:p w:rsidR="00260EED" w:rsidRPr="00706E38" w:rsidRDefault="00BC4803" w:rsidP="00260EED">
      <w:pPr>
        <w:rPr>
          <w:rFonts w:eastAsia="Calibri"/>
          <w:i/>
          <w:szCs w:val="22"/>
          <w:lang w:eastAsia="en-GB"/>
        </w:rPr>
      </w:pPr>
      <w:r w:rsidRPr="00706E38">
        <w:rPr>
          <w:rFonts w:eastAsia="Calibri"/>
          <w:i/>
          <w:szCs w:val="22"/>
          <w:lang w:eastAsia="en-GB"/>
        </w:rPr>
        <w:br w:type="column"/>
      </w:r>
      <w:r w:rsidR="00260EED" w:rsidRPr="00706E38">
        <w:rPr>
          <w:rFonts w:eastAsia="Calibri"/>
          <w:i/>
          <w:szCs w:val="22"/>
          <w:lang w:eastAsia="en-GB"/>
        </w:rPr>
        <w:lastRenderedPageBreak/>
        <w:t>Guidelines for improving monitoring</w:t>
      </w:r>
    </w:p>
    <w:p w:rsidR="00A56C1D" w:rsidRPr="00706E38" w:rsidRDefault="00A56C1D" w:rsidP="00A56C1D">
      <w:pPr>
        <w:rPr>
          <w:lang w:val="en-US"/>
        </w:rPr>
      </w:pPr>
      <w:r w:rsidRPr="00706E38">
        <w:rPr>
          <w:lang w:val="en-US"/>
        </w:rPr>
        <w:t>Annex 11</w:t>
      </w:r>
      <w:r w:rsidR="00BC4803" w:rsidRPr="00706E38">
        <w:rPr>
          <w:lang w:val="en-US"/>
        </w:rPr>
        <w:t xml:space="preserve"> </w:t>
      </w:r>
      <w:r w:rsidR="00260EED" w:rsidRPr="00706E38">
        <w:rPr>
          <w:lang w:val="en-US"/>
        </w:rPr>
        <w:t>consider</w:t>
      </w:r>
      <w:r w:rsidR="00BC4803" w:rsidRPr="00706E38">
        <w:rPr>
          <w:lang w:val="en-US"/>
        </w:rPr>
        <w:t>s</w:t>
      </w:r>
      <w:r w:rsidR="00260EED" w:rsidRPr="00706E38">
        <w:rPr>
          <w:lang w:val="en-US"/>
        </w:rPr>
        <w:t xml:space="preserve"> monitoring requirements from several different perspectives, including what need</w:t>
      </w:r>
      <w:r w:rsidR="0032192E" w:rsidRPr="00706E38">
        <w:rPr>
          <w:lang w:val="en-US"/>
        </w:rPr>
        <w:t>s</w:t>
      </w:r>
      <w:r w:rsidR="00260EED" w:rsidRPr="00706E38">
        <w:rPr>
          <w:lang w:val="en-US"/>
        </w:rPr>
        <w:t xml:space="preserve"> to be done to enhance current indicator availability, the </w:t>
      </w:r>
      <w:r w:rsidR="0032192E" w:rsidRPr="00706E38">
        <w:rPr>
          <w:lang w:val="en-US"/>
        </w:rPr>
        <w:t xml:space="preserve">strengths and weaknesses of the </w:t>
      </w:r>
      <w:r w:rsidR="00260EED" w:rsidRPr="00706E38">
        <w:rPr>
          <w:lang w:val="en-US"/>
        </w:rPr>
        <w:t>OMC and EU 2020 reporting procedures, and the implications of the specific policy recommendations listed in Annex 10.</w:t>
      </w:r>
    </w:p>
    <w:p w:rsidR="00A56C1D" w:rsidRPr="00706E38" w:rsidRDefault="00A56C1D" w:rsidP="00A56C1D">
      <w:r w:rsidRPr="00706E38">
        <w:t>The three kinds of activity which are recommended are as follows:</w:t>
      </w:r>
    </w:p>
    <w:p w:rsidR="00A56C1D" w:rsidRPr="00706E38" w:rsidRDefault="00260EED" w:rsidP="00401576">
      <w:pPr>
        <w:spacing w:before="0"/>
      </w:pPr>
      <w:r w:rsidRPr="00706E38">
        <w:t xml:space="preserve">(i) </w:t>
      </w:r>
      <w:r w:rsidR="00A56C1D" w:rsidRPr="00706E38">
        <w:t>Broadening the scope of social exclusion monitoring to include more indicators relating to less tangible aspects of social exclusion domains 2-4.</w:t>
      </w:r>
    </w:p>
    <w:p w:rsidR="00A56C1D" w:rsidRPr="00706E38" w:rsidRDefault="00260EED" w:rsidP="00401576">
      <w:pPr>
        <w:spacing w:before="0"/>
      </w:pPr>
      <w:r w:rsidRPr="00706E38">
        <w:t xml:space="preserve">(ii) </w:t>
      </w:r>
      <w:r w:rsidR="00A56C1D" w:rsidRPr="00706E38">
        <w:t>Increasing the level of regional detail – ideally to NUTS 3, but where this is not feasible in terms of cost or practicalities of sampling, to NUTS 2.</w:t>
      </w:r>
    </w:p>
    <w:p w:rsidR="00A56C1D" w:rsidRPr="00706E38" w:rsidRDefault="00260EED" w:rsidP="00401576">
      <w:pPr>
        <w:spacing w:before="0"/>
      </w:pPr>
      <w:r w:rsidRPr="00706E38">
        <w:t xml:space="preserve">(iii) </w:t>
      </w:r>
      <w:r w:rsidR="00A56C1D" w:rsidRPr="00706E38">
        <w:t xml:space="preserve">To </w:t>
      </w:r>
      <w:r w:rsidR="00097F83" w:rsidRPr="00706E38">
        <w:t xml:space="preserve">implement </w:t>
      </w:r>
      <w:r w:rsidR="00A56C1D" w:rsidRPr="00706E38">
        <w:t xml:space="preserve">regional monitoring </w:t>
      </w:r>
      <w:r w:rsidR="00097F83" w:rsidRPr="00706E38">
        <w:t>in</w:t>
      </w:r>
      <w:r w:rsidR="00A56C1D" w:rsidRPr="00706E38">
        <w:t xml:space="preserve"> the context of </w:t>
      </w:r>
      <w:r w:rsidR="00097F83" w:rsidRPr="00706E38">
        <w:t xml:space="preserve">annual </w:t>
      </w:r>
      <w:r w:rsidR="00A56C1D" w:rsidRPr="00706E38">
        <w:t>reporting procedures relating to EU 2020, the EU Social OMC, and Cohesion policy</w:t>
      </w:r>
      <w:r w:rsidR="00097F83" w:rsidRPr="00706E38">
        <w:t>.</w:t>
      </w:r>
    </w:p>
    <w:p w:rsidR="00A56C1D" w:rsidRPr="00706E38" w:rsidRDefault="00A56C1D" w:rsidP="00A56C1D">
      <w:r w:rsidRPr="00706E38">
        <w:t>The first two activities above are inter-related, in the sense that the current focus upon the first domain privileges the geographical distribution of income and employment aspects of social exclusion in policy targeting. It is important that the geographical specificities of the other three domains are more adequately reflected in the design and implementation of future interventions.</w:t>
      </w:r>
    </w:p>
    <w:p w:rsidR="00A56C1D" w:rsidRPr="00706E38" w:rsidRDefault="00A56C1D" w:rsidP="00A56C1D">
      <w:r w:rsidRPr="00706E38">
        <w:t>In terms of how such data needs may be satisfied in practice</w:t>
      </w:r>
      <w:r w:rsidR="0032192E" w:rsidRPr="00706E38">
        <w:t>,</w:t>
      </w:r>
      <w:r w:rsidRPr="00706E38">
        <w:t xml:space="preserve"> there appears to be a natural distinction between the relatively “hard” and quantified indicators of income poverty, and the </w:t>
      </w:r>
      <w:r w:rsidR="00097F83" w:rsidRPr="00706E38">
        <w:t xml:space="preserve">softer, </w:t>
      </w:r>
      <w:r w:rsidRPr="00706E38">
        <w:t>more qualitative aspects of social exclusion:</w:t>
      </w:r>
    </w:p>
    <w:p w:rsidR="00A56C1D" w:rsidRPr="00706E38" w:rsidRDefault="00260EED" w:rsidP="00260EED">
      <w:r w:rsidRPr="00706E38">
        <w:t xml:space="preserve">(a) </w:t>
      </w:r>
      <w:r w:rsidR="00A56C1D" w:rsidRPr="00706E38">
        <w:t>In the case of the former we believe that there would be merit in exploring the potential for rolling out (across the EU) of register-based regional databases for key indicators of income poverty (on the Nordic model). These would ideally be made accessible to researchers, and the general public, through the medium of a Eurostat “hub”, similar to that already being piloted for Census data.</w:t>
      </w:r>
    </w:p>
    <w:p w:rsidR="00A56C1D" w:rsidRPr="00706E38" w:rsidRDefault="00260EED" w:rsidP="00260EED">
      <w:r w:rsidRPr="00706E38">
        <w:t xml:space="preserve">(b) </w:t>
      </w:r>
      <w:r w:rsidR="00A56C1D" w:rsidRPr="00706E38">
        <w:t>The register model is probably not appropriate for collecting indicators of the more qualitative aspects of social exclusion (particularly domains 2-4). These require a survey approach. The EU SILC survey currently has a predo</w:t>
      </w:r>
      <w:r w:rsidR="00097F83" w:rsidRPr="00706E38">
        <w:t>minantly financial architecture.</w:t>
      </w:r>
      <w:r w:rsidR="00A56C1D" w:rsidRPr="00706E38">
        <w:t xml:space="preserve"> </w:t>
      </w:r>
      <w:r w:rsidR="00097F83" w:rsidRPr="00706E38">
        <w:t>C</w:t>
      </w:r>
      <w:r w:rsidR="00A56C1D" w:rsidRPr="00706E38">
        <w:t>onsideration should be given to broadening/deepening its coverage of “living conditions” aspects. Furthermore, it would be extremely helpful if, on the financial side, more information on the cost of a range of essentials could form the basis of an indicator of living costs. At the same time it will be important to deliver the regional sampling enhancement mentioned above under activity (ii).</w:t>
      </w:r>
    </w:p>
    <w:p w:rsidR="00A56C1D" w:rsidRDefault="00A56C1D" w:rsidP="00A56C1D">
      <w:r w:rsidRPr="00706E38">
        <w:t>Clearly this is a substantial list of recommendations, the cost of which will not be insignificant. However the rewards in terms of more cost effective policy targeting would also be substantial, and at least some of the required changes (such as a shift to register based income poverty monitoring) would be following existing trends, and making better use of existing data and information handling capacity.</w:t>
      </w:r>
    </w:p>
    <w:p w:rsidR="004C5AF1" w:rsidRDefault="004C5AF1" w:rsidP="00A56C1D"/>
    <w:p w:rsidR="004C5AF1" w:rsidRDefault="004C5AF1" w:rsidP="004C5AF1">
      <w:pPr>
        <w:pStyle w:val="Heading1"/>
      </w:pPr>
      <w:bookmarkStart w:id="65" w:name="_Toc410375336"/>
      <w:r>
        <w:lastRenderedPageBreak/>
        <w:t>Further Research</w:t>
      </w:r>
      <w:bookmarkEnd w:id="65"/>
    </w:p>
    <w:p w:rsidR="004C5AF1" w:rsidRDefault="004C5AF1" w:rsidP="004C5AF1">
      <w:r>
        <w:t>Our suggestions for further research fall into three broad themes; Improving indicators and measurement, understanding patterns of poverty and social exclusion and, exploring policy implications.</w:t>
      </w:r>
    </w:p>
    <w:p w:rsidR="004C5AF1" w:rsidRDefault="004C5AF1" w:rsidP="004C5AF1">
      <w:r>
        <w:t xml:space="preserve">As we have shown, monitoring of poverty and social exclusion in the EU is heavily reliant upon the </w:t>
      </w:r>
      <w:proofErr w:type="spellStart"/>
      <w:r>
        <w:t>ARoP</w:t>
      </w:r>
      <w:proofErr w:type="spellEnd"/>
      <w:r>
        <w:t xml:space="preserve"> rate. As an indicator this has a number of peculiarities. Associated with the difficulty of making comparisons between countries, due to the convention of benchmarking on the basis of national medians, is the ambiguity of interpretation; the difficulty of distinguishing between levels of poverty and degrees of inequality. Both are very salient to Europe 2020 aspirations, and there is a need to better understand both as distinct issues.</w:t>
      </w:r>
    </w:p>
    <w:p w:rsidR="004C5AF1" w:rsidRDefault="004C5AF1" w:rsidP="004C5AF1">
      <w:r>
        <w:t xml:space="preserve">We have also highlighted another weakness of the </w:t>
      </w:r>
      <w:proofErr w:type="spellStart"/>
      <w:r>
        <w:t>ARoP</w:t>
      </w:r>
      <w:proofErr w:type="spellEnd"/>
      <w:r>
        <w:t xml:space="preserve"> rate – its implied association of income (only) with poverty. Geographical variations in living costs are effectively ignored. Adjustment for housing cost is insufficient, since it introduces an urban bias. There is a very pressing need to carry out research on spatial variations in the cost of living.</w:t>
      </w:r>
    </w:p>
    <w:p w:rsidR="004C5AF1" w:rsidRDefault="004C5AF1" w:rsidP="004C5AF1">
      <w:r>
        <w:t xml:space="preserve">It has become very apparent that the capacity to monitor social exclusion is not well served with indicators beyond those relating to the first domain (labour market). The Eurostat Census Hub has improved access to national “census” data. However this move has been overtaken by the widespread shift to registers, as opposed to traditional census approaches. If anything this has exacerbated the imbalance, since labour market and income data is more amenable to the register approach than monitoring of the “softer” aspects of the other three domains of social exclusion. </w:t>
      </w:r>
      <w:proofErr w:type="gramStart"/>
      <w:r>
        <w:t>This points</w:t>
      </w:r>
      <w:proofErr w:type="gramEnd"/>
      <w:r>
        <w:t xml:space="preserve"> to a need for investigation of the potential for EU-wide collation and accessibility of register data, together with a broadening of the remit of EU-SILC to encompass aspects of exclusion which are unlikely to be captured by registers.</w:t>
      </w:r>
    </w:p>
    <w:p w:rsidR="004C5AF1" w:rsidRDefault="004C5AF1" w:rsidP="004C5AF1">
      <w:r>
        <w:t xml:space="preserve">A slightly more theoretical issue, but nonetheless grounded in the field of indicators, relates to the continued role of GDP per capita in targeting of ESIF interventions. Clearly the </w:t>
      </w:r>
      <w:proofErr w:type="spellStart"/>
      <w:r>
        <w:t>ARoP</w:t>
      </w:r>
      <w:proofErr w:type="spellEnd"/>
      <w:r>
        <w:t xml:space="preserve"> rate would represent a significant shift towards recognising the distribution/inequality of income as a justification for intervention. A more radical departure would be to attempt to reflect the increasing interest in the much broader/softer concept of “regional well-being”, as developed, for example by the OECD. Research on the spatial variation of well-being could open up important new perspectives on the concept of regional convergence and “balanced development”. This could be particularly interesting in the context of slow recovery in the </w:t>
      </w:r>
      <w:proofErr w:type="spellStart"/>
      <w:r>
        <w:t>EuroZone</w:t>
      </w:r>
      <w:proofErr w:type="spellEnd"/>
      <w:r>
        <w:t xml:space="preserve"> and the risk of a pronged period of deflation.</w:t>
      </w:r>
    </w:p>
    <w:p w:rsidR="004C5AF1" w:rsidRDefault="004C5AF1" w:rsidP="004C5AF1">
      <w:r>
        <w:t xml:space="preserve">One of the clearest empirical findings of the report is the high levels of poverty in rural regions, especially in the New Member States. Although this is a long standing issue, the degree of the disparity perhaps warrants further investigation. Although it may be argued that the issue of restructuring and adjustment to EU membership is </w:t>
      </w:r>
      <w:r>
        <w:lastRenderedPageBreak/>
        <w:t>well understood, the persistence of the inequality suggests that policy has so far not been fully effective, and that it may be helpful to consider fresh approaches.</w:t>
      </w:r>
    </w:p>
    <w:p w:rsidR="004C5AF1" w:rsidRDefault="004C5AF1" w:rsidP="004C5AF1">
      <w:r>
        <w:t>Moving towards research needs relating more explicitly to policy approaches, and again considering a forward perspective towards recovery, it would be very interesting to explore the implications of what we have learned about inequality for operationalising the concept of inclusive growth. If we better understand the process and geography of exclusion, can we develop and test hypotheses about how to reverse it?</w:t>
      </w:r>
    </w:p>
    <w:p w:rsidR="004C5AF1" w:rsidRDefault="004C5AF1" w:rsidP="004C5AF1">
      <w:r>
        <w:t xml:space="preserve">The </w:t>
      </w:r>
      <w:proofErr w:type="spellStart"/>
      <w:r>
        <w:t>TiPSE</w:t>
      </w:r>
      <w:proofErr w:type="spellEnd"/>
      <w:r>
        <w:t xml:space="preserve"> case studies highlighted the increasing importance of flows, particularly migration driven by labour market inequalities, in understanding patterns and processes of exclusion. Much of the existing research literature considers migration impacts in the context of either the region of origin (demographic ageing, brain/skills drain etc) or the destination (increased demand for services, congestion, integration issues). Much intra-European migration is temporary, and also involves recursive flows (remittances). This suggests that a holistic, systems, approach to understanding social and economic impacts, taking account of both ends of the migration flows, would be a valuable advance.</w:t>
      </w:r>
    </w:p>
    <w:p w:rsidR="004C5AF1" w:rsidRDefault="004C5AF1" w:rsidP="004C5AF1">
      <w:r>
        <w:t xml:space="preserve">An in-depth consideration of the rationale underlying national and European policy responses and approaches was beyond the remit of the </w:t>
      </w:r>
      <w:proofErr w:type="spellStart"/>
      <w:r>
        <w:t>TiPSE</w:t>
      </w:r>
      <w:proofErr w:type="spellEnd"/>
      <w:r>
        <w:t xml:space="preserve"> project. However our report has certainly raised interesting questions about the prevailing modalities. Poverty and social exclusion is touched upon by a range of </w:t>
      </w:r>
      <w:proofErr w:type="spellStart"/>
      <w:r>
        <w:t>sectoral</w:t>
      </w:r>
      <w:proofErr w:type="spellEnd"/>
      <w:r>
        <w:t xml:space="preserve"> policies, and the coherence between these is a proper subject for research in </w:t>
      </w:r>
      <w:proofErr w:type="gramStart"/>
      <w:r>
        <w:t>itself</w:t>
      </w:r>
      <w:proofErr w:type="gramEnd"/>
      <w:r>
        <w:t>.</w:t>
      </w:r>
    </w:p>
    <w:p w:rsidR="004C5AF1" w:rsidRPr="00706E38" w:rsidRDefault="004C5AF1" w:rsidP="004C5AF1">
      <w:r>
        <w:t>A related issue springs from the fact that social policies are (for very understandable reasons) usually structured and targeted towards different social groups. Regional or spatial targeting is less common, presumably because it necessarily involves a kind of matrix of cross tabulated groups and areas which is perceived as too complicated. Further research should therefore be carried out in order to better understand whether geographically selective approaches could be a means of increasing the cost effectiveness of policies addressing social exclusion and inequality.</w:t>
      </w:r>
    </w:p>
    <w:p w:rsidR="008773E8" w:rsidRPr="00706E38" w:rsidRDefault="00B506ED" w:rsidP="008155E4">
      <w:pPr>
        <w:pStyle w:val="Heading1"/>
        <w:numPr>
          <w:ilvl w:val="0"/>
          <w:numId w:val="0"/>
        </w:numPr>
        <w:ind w:left="936"/>
        <w:rPr>
          <w:noProof/>
        </w:rPr>
      </w:pPr>
      <w:r w:rsidRPr="00706E38">
        <w:rPr>
          <w:noProof/>
        </w:rPr>
        <w:br w:type="column"/>
      </w:r>
      <w:bookmarkStart w:id="66" w:name="_Toc401068756"/>
      <w:bookmarkStart w:id="67" w:name="_Toc410375337"/>
      <w:r w:rsidRPr="00706E38">
        <w:rPr>
          <w:noProof/>
        </w:rPr>
        <w:lastRenderedPageBreak/>
        <w:t>REFERENCES</w:t>
      </w:r>
      <w:bookmarkEnd w:id="66"/>
      <w:bookmarkEnd w:id="67"/>
    </w:p>
    <w:p w:rsidR="002B1818" w:rsidRPr="00706E38" w:rsidRDefault="002B1818" w:rsidP="00D519A8"/>
    <w:p w:rsidR="00E80C42" w:rsidRDefault="00E80C42" w:rsidP="002B1818">
      <w:proofErr w:type="gramStart"/>
      <w:r w:rsidRPr="00E80C42">
        <w:t xml:space="preserve">CEC – Commission of the European Communities (2008) </w:t>
      </w:r>
      <w:r w:rsidRPr="00E80C42">
        <w:rPr>
          <w:i/>
        </w:rPr>
        <w:t>Green Paper on Territorial Cohesion.</w:t>
      </w:r>
      <w:proofErr w:type="gramEnd"/>
      <w:r w:rsidRPr="00E80C42">
        <w:rPr>
          <w:i/>
        </w:rPr>
        <w:t xml:space="preserve"> </w:t>
      </w:r>
      <w:proofErr w:type="gramStart"/>
      <w:r w:rsidRPr="00E80C42">
        <w:rPr>
          <w:i/>
        </w:rPr>
        <w:t>Turning territorial diversity into strength</w:t>
      </w:r>
      <w:r w:rsidRPr="00E80C42">
        <w:t>, Communication from the Commission, COM (2008) 616 Final, 6 October, Brussels.</w:t>
      </w:r>
      <w:proofErr w:type="gramEnd"/>
      <w:r w:rsidRPr="00E80C42">
        <w:t xml:space="preserve"> Available at: </w:t>
      </w:r>
      <w:hyperlink r:id="rId29" w:history="1">
        <w:r w:rsidRPr="006362F7">
          <w:rPr>
            <w:rStyle w:val="Hyperlink"/>
          </w:rPr>
          <w:t>http://ec.europa.eu/regional_policy/archive/consultation/terco/consultation_en.htm</w:t>
        </w:r>
      </w:hyperlink>
      <w:r>
        <w:t xml:space="preserve"> </w:t>
      </w:r>
      <w:r w:rsidRPr="00E80C42">
        <w:t xml:space="preserve"> [Accessed on </w:t>
      </w:r>
      <w:r>
        <w:t>18</w:t>
      </w:r>
      <w:r w:rsidRPr="00E80C42">
        <w:t>th November 201</w:t>
      </w:r>
      <w:r>
        <w:t>4</w:t>
      </w:r>
      <w:r w:rsidRPr="00E80C42">
        <w:t>]</w:t>
      </w:r>
    </w:p>
    <w:p w:rsidR="002B1818" w:rsidRPr="00706E38" w:rsidRDefault="002B1818" w:rsidP="002B1818">
      <w:r w:rsidRPr="00706E38">
        <w:t xml:space="preserve">COPTA (2007) </w:t>
      </w:r>
      <w:r w:rsidRPr="00706E38">
        <w:rPr>
          <w:i/>
        </w:rPr>
        <w:t>Territorial Agenda of the European Union: Towards a more competitive and sustainable Europe of diverse regions</w:t>
      </w:r>
      <w:r w:rsidRPr="00706E38">
        <w:t xml:space="preserve">. Available at: </w:t>
      </w:r>
    </w:p>
    <w:p w:rsidR="002B1818" w:rsidRPr="00706E38" w:rsidRDefault="00121307" w:rsidP="002B1818">
      <w:pPr>
        <w:spacing w:before="0"/>
      </w:pPr>
      <w:hyperlink r:id="rId30" w:history="1">
        <w:r w:rsidR="002B1818" w:rsidRPr="00706E38">
          <w:rPr>
            <w:rStyle w:val="Hyperlink"/>
            <w:color w:val="auto"/>
          </w:rPr>
          <w:t>http://www.eu-territorial-agenda.eu/Reference%20Documents/Forms/AllItems.aspx</w:t>
        </w:r>
      </w:hyperlink>
      <w:r w:rsidR="002B1818" w:rsidRPr="00706E38">
        <w:t xml:space="preserve"> [Accessed on 16th October 2014]</w:t>
      </w:r>
    </w:p>
    <w:p w:rsidR="002B1818" w:rsidRPr="00706E38" w:rsidRDefault="002B1818" w:rsidP="002B1818">
      <w:r w:rsidRPr="00706E38">
        <w:t xml:space="preserve">COPTA (2011) </w:t>
      </w:r>
      <w:r w:rsidRPr="00706E38">
        <w:rPr>
          <w:i/>
        </w:rPr>
        <w:t>Territorial Agenda of the European Union 2020. Towards an Inclusive, Smart and Sustainable Europe of Diverse Regions</w:t>
      </w:r>
      <w:r w:rsidRPr="00706E38">
        <w:t xml:space="preserve">. Agreed at the Informal Minister Meeting of Ministers responsible for Spatial Planning and Territorial Development on 19th May 2011, Gödöllö, Hungary. Available at: </w:t>
      </w:r>
      <w:hyperlink r:id="rId31" w:history="1">
        <w:r w:rsidRPr="00706E38">
          <w:rPr>
            <w:rStyle w:val="Hyperlink"/>
            <w:color w:val="auto"/>
          </w:rPr>
          <w:t>http://www.eu-territorial-agenda.eu/Reference%20Documents/Forms/AllItems.aspx</w:t>
        </w:r>
      </w:hyperlink>
      <w:r w:rsidRPr="00706E38">
        <w:t xml:space="preserve"> [Accessed on 16th October 2014]</w:t>
      </w:r>
    </w:p>
    <w:p w:rsidR="008B5A13" w:rsidRPr="00706E38" w:rsidRDefault="008B5A13" w:rsidP="002B1818">
      <w:r w:rsidRPr="00706E38">
        <w:t xml:space="preserve">Copus, A., K., Coombes, M. (2014) Small Area Estimation of At Risk of Poverty Rates. </w:t>
      </w:r>
      <w:r w:rsidRPr="00706E38">
        <w:rPr>
          <w:i/>
        </w:rPr>
        <w:t>Second ESPON 2013 Scientific Report</w:t>
      </w:r>
      <w:r w:rsidRPr="00706E38">
        <w:t>, ESPON 2013 Coordination Unit, Luxemburg.</w:t>
      </w:r>
    </w:p>
    <w:p w:rsidR="00B506ED" w:rsidRPr="00706E38" w:rsidRDefault="008C7CD9" w:rsidP="00D519A8">
      <w:pPr>
        <w:rPr>
          <w:noProof/>
          <w:szCs w:val="22"/>
        </w:rPr>
      </w:pPr>
      <w:r w:rsidRPr="00706E38">
        <w:t>F</w:t>
      </w:r>
      <w:r w:rsidRPr="00706E38">
        <w:rPr>
          <w:rFonts w:cs="Arial"/>
        </w:rPr>
        <w:t>ö</w:t>
      </w:r>
      <w:r w:rsidRPr="00706E38">
        <w:t>rster</w:t>
      </w:r>
      <w:r w:rsidR="00D519A8" w:rsidRPr="00706E38">
        <w:t>, M.,</w:t>
      </w:r>
      <w:r w:rsidRPr="00706E38">
        <w:t xml:space="preserve"> Tarcali </w:t>
      </w:r>
      <w:r w:rsidR="00D519A8" w:rsidRPr="00706E38">
        <w:t xml:space="preserve">G., </w:t>
      </w:r>
      <w:r w:rsidRPr="00706E38">
        <w:t>and Till</w:t>
      </w:r>
      <w:r w:rsidR="00D519A8" w:rsidRPr="00706E38">
        <w:t>, M. (</w:t>
      </w:r>
      <w:r w:rsidRPr="00706E38">
        <w:t>2004</w:t>
      </w:r>
      <w:r w:rsidR="00D519A8" w:rsidRPr="00706E38">
        <w:t xml:space="preserve">) </w:t>
      </w:r>
      <w:r w:rsidR="00D519A8" w:rsidRPr="00706E38">
        <w:rPr>
          <w:i/>
        </w:rPr>
        <w:t>Income and non-income poverty in Europe: What is the minimum acceptable standard in an enlarged European Union?.</w:t>
      </w:r>
      <w:r w:rsidR="00D519A8" w:rsidRPr="00706E38">
        <w:t xml:space="preserve"> Paper presented at the 27</w:t>
      </w:r>
      <w:r w:rsidR="00D519A8" w:rsidRPr="00706E38">
        <w:rPr>
          <w:vertAlign w:val="superscript"/>
        </w:rPr>
        <w:t>th</w:t>
      </w:r>
      <w:r w:rsidR="00D519A8" w:rsidRPr="00706E38">
        <w:t xml:space="preserve"> General Conference of the International Association for Research in Income and Wealth, Djurhamn</w:t>
      </w:r>
      <w:r w:rsidR="00403B0B" w:rsidRPr="00706E38">
        <w:t>,</w:t>
      </w:r>
      <w:r w:rsidR="00D519A8" w:rsidRPr="00706E38">
        <w:t xml:space="preserve"> Sweden.</w:t>
      </w:r>
    </w:p>
    <w:p w:rsidR="008664CE" w:rsidRPr="00706E38" w:rsidRDefault="008664CE" w:rsidP="00E438A5">
      <w:pPr>
        <w:rPr>
          <w:noProof/>
          <w:szCs w:val="22"/>
        </w:rPr>
      </w:pPr>
      <w:r w:rsidRPr="00706E38">
        <w:rPr>
          <w:noProof/>
          <w:szCs w:val="22"/>
        </w:rPr>
        <w:t xml:space="preserve">Hirsch, D. Bryan, A. Davis, A. and Smith, N. ( 2013)  </w:t>
      </w:r>
      <w:r w:rsidRPr="00706E38">
        <w:rPr>
          <w:i/>
          <w:noProof/>
          <w:szCs w:val="22"/>
        </w:rPr>
        <w:t>Minimum Income Standard for Remote and Rural Scotland</w:t>
      </w:r>
      <w:r w:rsidRPr="00706E38">
        <w:rPr>
          <w:noProof/>
          <w:szCs w:val="22"/>
        </w:rPr>
        <w:t xml:space="preserve">. Report for Highlands and Islands Enterprise, Inverness. Available at: </w:t>
      </w:r>
      <w:hyperlink r:id="rId32" w:history="1">
        <w:r w:rsidR="00890740" w:rsidRPr="00706E38">
          <w:rPr>
            <w:rStyle w:val="Hyperlink"/>
            <w:noProof/>
            <w:color w:val="auto"/>
            <w:szCs w:val="22"/>
          </w:rPr>
          <w:t>http://www.hie.co.uk/regional-information/economic-reports-and-research/archive/a-minimum-income-standard-for-remote-rural-scotland.html</w:t>
        </w:r>
      </w:hyperlink>
      <w:r w:rsidR="00890740" w:rsidRPr="00706E38">
        <w:rPr>
          <w:noProof/>
          <w:szCs w:val="22"/>
        </w:rPr>
        <w:t xml:space="preserve"> [</w:t>
      </w:r>
      <w:r w:rsidRPr="00706E38">
        <w:rPr>
          <w:noProof/>
          <w:szCs w:val="22"/>
        </w:rPr>
        <w:t xml:space="preserve">Accessed on </w:t>
      </w:r>
      <w:r w:rsidR="00890740" w:rsidRPr="00706E38">
        <w:rPr>
          <w:noProof/>
          <w:szCs w:val="22"/>
        </w:rPr>
        <w:t>10th April</w:t>
      </w:r>
      <w:r w:rsidRPr="00706E38">
        <w:rPr>
          <w:noProof/>
          <w:szCs w:val="22"/>
        </w:rPr>
        <w:t xml:space="preserve"> 201</w:t>
      </w:r>
      <w:r w:rsidR="00890740" w:rsidRPr="00706E38">
        <w:rPr>
          <w:noProof/>
          <w:szCs w:val="22"/>
        </w:rPr>
        <w:t>4</w:t>
      </w:r>
      <w:r w:rsidRPr="00706E38">
        <w:rPr>
          <w:noProof/>
          <w:szCs w:val="22"/>
        </w:rPr>
        <w:t>]</w:t>
      </w:r>
    </w:p>
    <w:p w:rsidR="0070486B" w:rsidRPr="00706E38" w:rsidRDefault="0070486B" w:rsidP="0070486B">
      <w:pPr>
        <w:rPr>
          <w:noProof/>
          <w:szCs w:val="22"/>
        </w:rPr>
      </w:pPr>
      <w:r w:rsidRPr="00706E38">
        <w:rPr>
          <w:noProof/>
          <w:szCs w:val="22"/>
        </w:rPr>
        <w:t xml:space="preserve">Ringen, S. (1988). Direct and Indirect Measures of Poverty. </w:t>
      </w:r>
      <w:r w:rsidRPr="00706E38">
        <w:rPr>
          <w:i/>
          <w:noProof/>
          <w:szCs w:val="22"/>
        </w:rPr>
        <w:t>Journal of Social Policy</w:t>
      </w:r>
      <w:r w:rsidRPr="00706E38">
        <w:rPr>
          <w:noProof/>
          <w:szCs w:val="22"/>
        </w:rPr>
        <w:t>, 17, pp 351-365</w:t>
      </w:r>
    </w:p>
    <w:p w:rsidR="008664CE" w:rsidRPr="00706E38" w:rsidRDefault="00890740" w:rsidP="00E438A5">
      <w:pPr>
        <w:rPr>
          <w:noProof/>
          <w:szCs w:val="22"/>
        </w:rPr>
      </w:pPr>
      <w:r w:rsidRPr="00706E38">
        <w:rPr>
          <w:noProof/>
          <w:szCs w:val="22"/>
        </w:rPr>
        <w:t xml:space="preserve">Smith, N., Davies, A., and Hirsch D (2010) A Minimum Income Standard for Rural Households. Report for the Joseph Rowntree Foundation and the Commission for Rural Communities. Available at </w:t>
      </w:r>
      <w:hyperlink r:id="rId33" w:history="1">
        <w:r w:rsidRPr="00706E38">
          <w:rPr>
            <w:rStyle w:val="Hyperlink"/>
            <w:noProof/>
            <w:color w:val="auto"/>
            <w:szCs w:val="22"/>
          </w:rPr>
          <w:t>http://www.jrf.org.uk/sites/files/jrf/minimum-income-standards-rural-full.pdf</w:t>
        </w:r>
      </w:hyperlink>
      <w:r w:rsidRPr="00706E38">
        <w:rPr>
          <w:noProof/>
          <w:szCs w:val="22"/>
        </w:rPr>
        <w:t xml:space="preserve"> [Accessed 10th April 2014]</w:t>
      </w:r>
    </w:p>
    <w:p w:rsidR="0070486B" w:rsidRPr="00706E38" w:rsidRDefault="0070486B" w:rsidP="00E438A5">
      <w:pPr>
        <w:rPr>
          <w:noProof/>
          <w:szCs w:val="22"/>
        </w:rPr>
      </w:pPr>
      <w:r w:rsidRPr="00706E38">
        <w:rPr>
          <w:noProof/>
          <w:szCs w:val="22"/>
        </w:rPr>
        <w:t xml:space="preserve">Townsend, P. (1987). Deprivation. </w:t>
      </w:r>
      <w:r w:rsidRPr="00706E38">
        <w:rPr>
          <w:i/>
          <w:noProof/>
          <w:szCs w:val="22"/>
        </w:rPr>
        <w:t>Journal of Social Policy</w:t>
      </w:r>
      <w:r w:rsidRPr="00706E38">
        <w:rPr>
          <w:noProof/>
          <w:szCs w:val="22"/>
        </w:rPr>
        <w:t>, 16, pp 125-146</w:t>
      </w:r>
    </w:p>
    <w:p w:rsidR="00EF50DB" w:rsidRPr="00706E38" w:rsidRDefault="00EF50DB" w:rsidP="00EF50DB">
      <w:pPr>
        <w:autoSpaceDE w:val="0"/>
        <w:autoSpaceDN w:val="0"/>
        <w:adjustRightInd w:val="0"/>
      </w:pPr>
      <w:r w:rsidRPr="00706E38">
        <w:lastRenderedPageBreak/>
        <w:t xml:space="preserve">UNDP (2011) </w:t>
      </w:r>
      <w:r w:rsidRPr="00706E38">
        <w:rPr>
          <w:i/>
          <w:iCs/>
        </w:rPr>
        <w:t>Beyond Transition. Towards Inclusive Societies.</w:t>
      </w:r>
      <w:r w:rsidRPr="00706E38">
        <w:t xml:space="preserve"> Regional Bureau for Europe and CIS. </w:t>
      </w:r>
    </w:p>
    <w:p w:rsidR="0070486B" w:rsidRPr="00706E38" w:rsidRDefault="0070486B" w:rsidP="00E438A5">
      <w:pPr>
        <w:rPr>
          <w:rFonts w:cs="Arial"/>
          <w:szCs w:val="22"/>
          <w:lang w:eastAsia="en-GB"/>
        </w:rPr>
      </w:pPr>
      <w:r w:rsidRPr="00706E38">
        <w:rPr>
          <w:noProof/>
          <w:szCs w:val="22"/>
        </w:rPr>
        <w:t>Whelan, C., Layte</w:t>
      </w:r>
      <w:r w:rsidR="008C7CD9" w:rsidRPr="00706E38">
        <w:rPr>
          <w:noProof/>
          <w:szCs w:val="22"/>
        </w:rPr>
        <w:t>,</w:t>
      </w:r>
      <w:r w:rsidRPr="00706E38">
        <w:rPr>
          <w:noProof/>
          <w:szCs w:val="22"/>
        </w:rPr>
        <w:t xml:space="preserve"> </w:t>
      </w:r>
      <w:r w:rsidR="008C7CD9" w:rsidRPr="00706E38">
        <w:rPr>
          <w:noProof/>
          <w:szCs w:val="22"/>
        </w:rPr>
        <w:t xml:space="preserve">R., </w:t>
      </w:r>
      <w:r w:rsidRPr="00706E38">
        <w:t>and Ma</w:t>
      </w:r>
      <w:r w:rsidRPr="00706E38">
        <w:rPr>
          <w:rFonts w:cs="Arial"/>
        </w:rPr>
        <w:t xml:space="preserve">ître </w:t>
      </w:r>
      <w:r w:rsidR="008C7CD9" w:rsidRPr="00706E38">
        <w:rPr>
          <w:rFonts w:cs="Arial"/>
        </w:rPr>
        <w:t xml:space="preserve">B. </w:t>
      </w:r>
      <w:r w:rsidRPr="00706E38">
        <w:rPr>
          <w:rFonts w:cs="Arial"/>
        </w:rPr>
        <w:t>(2002</w:t>
      </w:r>
      <w:r w:rsidR="008C7CD9" w:rsidRPr="00706E38">
        <w:rPr>
          <w:rFonts w:cs="Arial"/>
        </w:rPr>
        <w:t>a</w:t>
      </w:r>
      <w:r w:rsidRPr="00706E38">
        <w:rPr>
          <w:rFonts w:cs="Arial"/>
        </w:rPr>
        <w:t xml:space="preserve">) Multiple Deprivation and Persistent Poverty in the European Union. </w:t>
      </w:r>
      <w:r w:rsidRPr="00706E38">
        <w:rPr>
          <w:rFonts w:cs="Arial"/>
          <w:i/>
          <w:iCs/>
          <w:szCs w:val="22"/>
          <w:lang w:eastAsia="en-GB"/>
        </w:rPr>
        <w:t xml:space="preserve">Journal of European Social Policy </w:t>
      </w:r>
      <w:r w:rsidRPr="00706E38">
        <w:rPr>
          <w:rFonts w:cs="Arial"/>
          <w:szCs w:val="22"/>
          <w:lang w:eastAsia="en-GB"/>
        </w:rPr>
        <w:t>12: 91</w:t>
      </w:r>
      <w:r w:rsidR="008C7CD9" w:rsidRPr="00706E38">
        <w:rPr>
          <w:rFonts w:cs="Arial"/>
          <w:szCs w:val="22"/>
          <w:lang w:eastAsia="en-GB"/>
        </w:rPr>
        <w:t>-105</w:t>
      </w:r>
    </w:p>
    <w:p w:rsidR="00CA3C9A" w:rsidRPr="00706E38" w:rsidRDefault="008C7CD9" w:rsidP="00E438A5">
      <w:pPr>
        <w:rPr>
          <w:rFonts w:cs="Arial"/>
          <w:szCs w:val="22"/>
          <w:lang w:eastAsia="en-GB"/>
        </w:rPr>
      </w:pPr>
      <w:r w:rsidRPr="00706E38">
        <w:rPr>
          <w:noProof/>
          <w:szCs w:val="22"/>
        </w:rPr>
        <w:t xml:space="preserve">Whelan, C., Layte, R., </w:t>
      </w:r>
      <w:r w:rsidRPr="00706E38">
        <w:t>Ma</w:t>
      </w:r>
      <w:r w:rsidRPr="00706E38">
        <w:rPr>
          <w:rFonts w:cs="Arial"/>
        </w:rPr>
        <w:t>ître B., and Nolan, B. (2002b)</w:t>
      </w:r>
      <w:r w:rsidRPr="00706E38">
        <w:rPr>
          <w:noProof/>
          <w:szCs w:val="22"/>
        </w:rPr>
        <w:t xml:space="preserve"> Income, Deprivation and Economic Strain: An analysis of the European Community Household Panel. </w:t>
      </w:r>
      <w:r w:rsidRPr="00706E38">
        <w:rPr>
          <w:rFonts w:cs="Arial"/>
          <w:i/>
          <w:iCs/>
          <w:szCs w:val="22"/>
          <w:lang w:eastAsia="en-GB"/>
        </w:rPr>
        <w:t xml:space="preserve">Journal of European Social Policy </w:t>
      </w:r>
      <w:r w:rsidRPr="00706E38">
        <w:rPr>
          <w:rFonts w:cs="Arial"/>
          <w:szCs w:val="22"/>
          <w:lang w:eastAsia="en-GB"/>
        </w:rPr>
        <w:t>2002 17:4 357-372.</w:t>
      </w:r>
    </w:p>
    <w:p w:rsidR="009410FD" w:rsidRPr="00C53430" w:rsidRDefault="009410FD" w:rsidP="009410FD">
      <w:pPr>
        <w:pStyle w:val="ESPONText"/>
        <w:rPr>
          <w:szCs w:val="22"/>
          <w:lang w:eastAsia="en-US"/>
        </w:rPr>
      </w:pPr>
    </w:p>
    <w:p w:rsidR="009410FD" w:rsidRDefault="009410FD" w:rsidP="009410FD">
      <w:pPr>
        <w:pStyle w:val="ESPONText"/>
        <w:rPr>
          <w:rFonts w:cs="Arial"/>
        </w:rPr>
        <w:sectPr w:rsidR="009410FD" w:rsidSect="009410FD">
          <w:footerReference w:type="even" r:id="rId34"/>
          <w:footerReference w:type="default" r:id="rId35"/>
          <w:pgSz w:w="11907" w:h="16839" w:code="9"/>
          <w:pgMar w:top="1440" w:right="1800" w:bottom="1440" w:left="1800" w:header="708" w:footer="708" w:gutter="0"/>
          <w:pgNumType w:start="1"/>
          <w:cols w:space="708"/>
          <w:docGrid w:linePitch="360"/>
        </w:sectPr>
      </w:pPr>
    </w:p>
    <w:p w:rsidR="009410FD" w:rsidRPr="00FD7C03" w:rsidRDefault="009410FD" w:rsidP="009410FD">
      <w:pPr>
        <w:pStyle w:val="ESPONText"/>
        <w:rPr>
          <w:rFonts w:cs="Arial"/>
        </w:rPr>
      </w:pPr>
      <w:r>
        <w:rPr>
          <w:rFonts w:cs="Arial"/>
          <w:noProof/>
          <w:lang w:eastAsia="en-GB"/>
        </w:rPr>
        <w:lastRenderedPageBreak/>
        <w:drawing>
          <wp:anchor distT="0" distB="0" distL="114300" distR="114300" simplePos="0" relativeHeight="251662336" behindDoc="0" locked="0" layoutInCell="1" allowOverlap="1">
            <wp:simplePos x="0" y="0"/>
            <wp:positionH relativeFrom="column">
              <wp:posOffset>-1143000</wp:posOffset>
            </wp:positionH>
            <wp:positionV relativeFrom="paragraph">
              <wp:posOffset>-914400</wp:posOffset>
            </wp:positionV>
            <wp:extent cx="15476220" cy="10691495"/>
            <wp:effectExtent l="0" t="0" r="0" b="0"/>
            <wp:wrapSquare wrapText="bothSides"/>
            <wp:docPr id="20" name="Picture 20" descr="Cover-T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ver-T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476220" cy="10691495"/>
                    </a:xfrm>
                    <a:prstGeom prst="rect">
                      <a:avLst/>
                    </a:prstGeom>
                    <a:noFill/>
                    <a:ln>
                      <a:noFill/>
                    </a:ln>
                  </pic:spPr>
                </pic:pic>
              </a:graphicData>
            </a:graphic>
          </wp:anchor>
        </w:drawing>
      </w:r>
      <w:r w:rsidR="00121307">
        <w:rPr>
          <w:rFonts w:cs="Arial"/>
          <w:noProof/>
          <w:lang w:eastAsia="en-GB"/>
        </w:rPr>
        <w:pict>
          <v:shape id="Text Box 17" o:spid="_x0000_s1029" type="#_x0000_t202" style="position:absolute;left:0;text-align:left;margin-left:-36.55pt;margin-top:-9.4pt;width:228pt;height:18.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" filled="f" stroked="f">
            <v:textbox style="mso-fit-shape-to-text:t">
              <w:txbxContent>
                <w:p w:rsidR="009410FD" w:rsidRDefault="009410FD" w:rsidP="009410FD">
                  <w:pPr>
                    <w:rPr>
                      <w:rFonts w:cs="Arial"/>
                      <w:sz w:val="20"/>
                    </w:rPr>
                  </w:pPr>
                  <w:r>
                    <w:rPr>
                      <w:rFonts w:cs="Arial"/>
                      <w:sz w:val="20"/>
                    </w:rPr>
                    <w:t xml:space="preserve">ISBN </w:t>
                  </w:r>
                  <w:r w:rsidRPr="00C53430">
                    <w:rPr>
                      <w:rFonts w:cs="Arial"/>
                      <w:sz w:val="20"/>
                    </w:rPr>
                    <w:t>987-2-919777-42-6</w:t>
                  </w:r>
                </w:p>
              </w:txbxContent>
            </v:textbox>
          </v:shape>
        </w:pict>
      </w:r>
      <w:r w:rsidR="00121307">
        <w:rPr>
          <w:rFonts w:cs="Arial"/>
          <w:noProof/>
          <w:lang w:eastAsia="en-GB"/>
        </w:rPr>
        <w:pict>
          <v:shape id="Text Box 15" o:spid="_x0000_s1030" type="#_x0000_t202" style="position:absolute;left:0;text-align:left;margin-left:-36.1pt;margin-top:-301.9pt;width:228pt;height:87.7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" filled="f" stroked="f">
            <v:textbox style="mso-fit-shape-to-text:t">
              <w:txbxContent>
                <w:p w:rsidR="009410FD" w:rsidRPr="00FB783A" w:rsidRDefault="009410FD" w:rsidP="009410FD">
                  <w:pPr>
                    <w:rPr>
                      <w:rFonts w:cs="Arial"/>
                      <w:sz w:val="20"/>
                    </w:rPr>
                  </w:pPr>
                  <w:r>
                    <w:rPr>
                      <w:rFonts w:cs="Arial"/>
                      <w:sz w:val="20"/>
                    </w:rPr>
                    <w:t xml:space="preserve">The ESPON 2013 Programme is part-financed by the European Regional Development Fund, the EU Member States and the Partner States Iceland, </w:t>
                  </w:r>
                  <w:smartTag w:uri="urn:schemas-microsoft-com:office:smarttags" w:element="country-region">
                    <w:smartTag w:uri="urn:schemas-microsoft-com:office:smarttags" w:element="place">
                      <w:r>
                        <w:rPr>
                          <w:rFonts w:cs="Arial"/>
                          <w:sz w:val="20"/>
                        </w:rPr>
                        <w:t>Liechtenstein</w:t>
                      </w:r>
                    </w:smartTag>
                  </w:smartTag>
                  <w:r>
                    <w:rPr>
                      <w:rFonts w:cs="Arial"/>
                      <w:sz w:val="20"/>
                    </w:rPr>
                    <w:t xml:space="preserve">, </w:t>
                  </w:r>
                  <w:smartTag w:uri="urn:schemas-microsoft-com:office:smarttags" w:element="country-region">
                    <w:smartTag w:uri="urn:schemas-microsoft-com:office:smarttags" w:element="place">
                      <w:r>
                        <w:rPr>
                          <w:rFonts w:cs="Arial"/>
                          <w:sz w:val="20"/>
                        </w:rPr>
                        <w:t>Norway</w:t>
                      </w:r>
                    </w:smartTag>
                  </w:smartTag>
                  <w:r>
                    <w:rPr>
                      <w:rFonts w:cs="Arial"/>
                      <w:sz w:val="20"/>
                    </w:rPr>
                    <w:t xml:space="preserve"> and </w:t>
                  </w:r>
                  <w:smartTag w:uri="urn:schemas-microsoft-com:office:smarttags" w:element="country-region">
                    <w:smartTag w:uri="urn:schemas-microsoft-com:office:smarttags" w:element="place">
                      <w:r>
                        <w:rPr>
                          <w:rFonts w:cs="Arial"/>
                          <w:sz w:val="20"/>
                        </w:rPr>
                        <w:t>Switzerland</w:t>
                      </w:r>
                    </w:smartTag>
                  </w:smartTag>
                  <w:r>
                    <w:rPr>
                      <w:rFonts w:cs="Arial"/>
                      <w:sz w:val="20"/>
                    </w:rPr>
                    <w:t xml:space="preserve">. It shall support policy development in relation to the aim of territorial cohesion and a harmonious development of the European territory. </w:t>
                  </w:r>
                </w:p>
              </w:txbxContent>
            </v:textbox>
          </v:shape>
        </w:pict>
      </w:r>
    </w:p>
    <w:sectPr w:rsidR="009410FD" w:rsidRPr="00FD7C03" w:rsidSect="00187485">
      <w:headerReference w:type="even" r:id="rId37"/>
      <w:footerReference w:type="default" r:id="rId38"/>
      <w:pgSz w:w="11907" w:h="16840" w:code="9"/>
      <w:pgMar w:top="1440" w:right="1797" w:bottom="1440" w:left="1797"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20522" w:rsidRDefault="00520522">
      <w:r>
        <w:separator/>
      </w:r>
    </w:p>
    <w:p w:rsidR="00520522" w:rsidRDefault="00520522"/>
  </w:endnote>
  <w:endnote w:type="continuationSeparator" w:id="0">
    <w:p w:rsidR="00520522" w:rsidRDefault="00520522">
      <w:r>
        <w:continuationSeparator/>
      </w:r>
    </w:p>
    <w:p w:rsidR="00520522" w:rsidRDefault="00520522"/>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22" w:rsidRDefault="00121307">
    <w:pPr>
      <w:pStyle w:val="Footer"/>
      <w:jc w:val="right"/>
    </w:pPr>
    <w:r>
      <w:fldChar w:fldCharType="begin"/>
    </w:r>
    <w:r w:rsidR="00520522">
      <w:instrText xml:space="preserve"> PAGE   \* MERGEFORMAT </w:instrText>
    </w:r>
    <w:r>
      <w:fldChar w:fldCharType="separate"/>
    </w:r>
    <w:r w:rsidR="00C21326">
      <w:rPr>
        <w:noProof/>
      </w:rPr>
      <w:t>iii</w:t>
    </w:r>
    <w:r>
      <w:rPr>
        <w:noProof/>
      </w:rPr>
      <w:fldChar w:fldCharType="end"/>
    </w:r>
  </w:p>
  <w:p w:rsidR="00520522" w:rsidRDefault="00520522">
    <w:pPr>
      <w:pStyle w:val="Footer"/>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22" w:rsidRDefault="00520522">
    <w:pPr>
      <w:pStyle w:val="Footer"/>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10FD" w:rsidRDefault="00121307" w:rsidP="00A15B61">
    <w:pPr>
      <w:framePr w:wrap="around" w:vAnchor="text" w:hAnchor="margin" w:xAlign="right" w:y="1"/>
      <w:rPr>
        <w:rStyle w:val="PageNumber"/>
      </w:rPr>
    </w:pPr>
    <w:r>
      <w:rPr>
        <w:rStyle w:val="PageNumber"/>
      </w:rPr>
      <w:fldChar w:fldCharType="begin"/>
    </w:r>
    <w:r w:rsidR="009410FD">
      <w:rPr>
        <w:rStyle w:val="PageNumber"/>
      </w:rPr>
      <w:instrText xml:space="preserve">PAGE  </w:instrText>
    </w:r>
    <w:r>
      <w:rPr>
        <w:rStyle w:val="PageNumber"/>
      </w:rPr>
      <w:fldChar w:fldCharType="separate"/>
    </w:r>
    <w:r w:rsidR="00BC113E">
      <w:rPr>
        <w:rStyle w:val="PageNumber"/>
        <w:noProof/>
      </w:rPr>
      <w:t>54</w:t>
    </w:r>
    <w:r>
      <w:rPr>
        <w:rStyle w:val="PageNumber"/>
      </w:rPr>
      <w:fldChar w:fldCharType="end"/>
    </w:r>
  </w:p>
  <w:p w:rsidR="009410FD" w:rsidRDefault="009410FD">
    <w:pPr>
      <w:ind w:right="360" w:firstLine="360"/>
    </w:pPr>
  </w:p>
  <w:p w:rsidR="009410FD" w:rsidRDefault="009410FD"/>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410FD" w:rsidRPr="00A15B61" w:rsidRDefault="00121307" w:rsidP="00A15B61">
    <w:pPr>
      <w:pStyle w:val="Footer"/>
      <w:framePr w:wrap="around" w:vAnchor="text" w:hAnchor="margin" w:xAlign="right" w:y="1"/>
      <w:rPr>
        <w:rStyle w:val="PageNumber"/>
        <w:sz w:val="20"/>
      </w:rPr>
    </w:pPr>
    <w:r w:rsidRPr="00A15B61">
      <w:rPr>
        <w:rStyle w:val="PageNumber"/>
        <w:sz w:val="20"/>
      </w:rPr>
      <w:fldChar w:fldCharType="begin"/>
    </w:r>
    <w:r w:rsidR="009410FD" w:rsidRPr="00A15B61">
      <w:rPr>
        <w:rStyle w:val="PageNumber"/>
        <w:sz w:val="20"/>
      </w:rPr>
      <w:instrText xml:space="preserve">PAGE  </w:instrText>
    </w:r>
    <w:r w:rsidRPr="00A15B61">
      <w:rPr>
        <w:rStyle w:val="PageNumber"/>
        <w:sz w:val="20"/>
      </w:rPr>
      <w:fldChar w:fldCharType="separate"/>
    </w:r>
    <w:r w:rsidR="00BC113E">
      <w:rPr>
        <w:rStyle w:val="PageNumber"/>
        <w:noProof/>
        <w:sz w:val="20"/>
      </w:rPr>
      <w:t>53</w:t>
    </w:r>
    <w:r w:rsidRPr="00A15B61">
      <w:rPr>
        <w:rStyle w:val="PageNumber"/>
        <w:sz w:val="20"/>
      </w:rPr>
      <w:fldChar w:fldCharType="end"/>
    </w:r>
  </w:p>
  <w:p w:rsidR="009410FD" w:rsidRPr="00A15B61" w:rsidRDefault="009410FD" w:rsidP="00A15B61">
    <w:pPr>
      <w:pStyle w:val="Footer"/>
      <w:ind w:right="360"/>
      <w:rPr>
        <w:rFonts w:cs="Arial"/>
        <w:sz w:val="20"/>
      </w:rPr>
    </w:pPr>
    <w:r w:rsidRPr="0011275A">
      <w:rPr>
        <w:rFonts w:cs="Arial"/>
        <w:sz w:val="20"/>
      </w:rPr>
      <w:t>ESPON 2013</w:t>
    </w:r>
  </w:p>
  <w:p w:rsidR="009410FD" w:rsidRDefault="009410FD"/>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5315273"/>
      <w:docPartObj>
        <w:docPartGallery w:val="Page Numbers (Bottom of Page)"/>
        <w:docPartUnique/>
      </w:docPartObj>
    </w:sdtPr>
    <w:sdtEndPr>
      <w:rPr>
        <w:noProof/>
      </w:rPr>
    </w:sdtEndPr>
    <w:sdtContent>
      <w:p w:rsidR="00520522" w:rsidRDefault="00121307">
        <w:pPr>
          <w:pStyle w:val="Footer"/>
          <w:jc w:val="right"/>
        </w:pPr>
        <w:r>
          <w:fldChar w:fldCharType="begin"/>
        </w:r>
        <w:r w:rsidR="00520522">
          <w:instrText xml:space="preserve"> PAGE   \* MERGEFORMAT </w:instrText>
        </w:r>
        <w:r>
          <w:fldChar w:fldCharType="separate"/>
        </w:r>
        <w:r w:rsidR="00BC113E">
          <w:rPr>
            <w:noProof/>
          </w:rPr>
          <w:t>1</w:t>
        </w:r>
        <w:r>
          <w:rPr>
            <w:noProof/>
          </w:rPr>
          <w:fldChar w:fldCharType="end"/>
        </w:r>
      </w:p>
    </w:sdtContent>
  </w:sdt>
  <w:p w:rsidR="00520522" w:rsidRPr="00187485" w:rsidRDefault="00520522" w:rsidP="00187485">
    <w:pPr>
      <w:pStyle w:val="Footer"/>
    </w:pPr>
  </w:p>
  <w:p w:rsidR="00520522" w:rsidRDefault="00520522"/>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20522" w:rsidRDefault="00520522">
      <w:r>
        <w:separator/>
      </w:r>
    </w:p>
    <w:p w:rsidR="00520522" w:rsidRDefault="00520522"/>
  </w:footnote>
  <w:footnote w:type="continuationSeparator" w:id="0">
    <w:p w:rsidR="00520522" w:rsidRDefault="00520522">
      <w:r>
        <w:continuationSeparator/>
      </w:r>
    </w:p>
    <w:p w:rsidR="00520522" w:rsidRDefault="00520522"/>
  </w:footnote>
  <w:footnote w:id="1">
    <w:p w:rsidR="00520522" w:rsidRPr="00F80F89" w:rsidRDefault="00520522" w:rsidP="00801CF7">
      <w:pPr>
        <w:pStyle w:val="FootnoteText"/>
        <w:spacing w:line="240" w:lineRule="auto"/>
        <w:jc w:val="left"/>
        <w:rPr>
          <w:sz w:val="18"/>
          <w:szCs w:val="18"/>
        </w:rPr>
      </w:pPr>
      <w:r>
        <w:rPr>
          <w:rStyle w:val="FootnoteReference"/>
        </w:rPr>
        <w:footnoteRef/>
      </w:r>
      <w:r>
        <w:t xml:space="preserve"> </w:t>
      </w:r>
      <w:r w:rsidRPr="00F80F89">
        <w:rPr>
          <w:sz w:val="18"/>
          <w:szCs w:val="18"/>
        </w:rPr>
        <w:t>See</w:t>
      </w:r>
      <w:r>
        <w:rPr>
          <w:sz w:val="18"/>
          <w:szCs w:val="18"/>
        </w:rPr>
        <w:t>:</w:t>
      </w:r>
      <w:r w:rsidRPr="00F80F89">
        <w:rPr>
          <w:sz w:val="18"/>
          <w:szCs w:val="18"/>
        </w:rPr>
        <w:t xml:space="preserve"> </w:t>
      </w:r>
      <w:hyperlink r:id="rId1" w:history="1">
        <w:r w:rsidRPr="00C955F8">
          <w:rPr>
            <w:rStyle w:val="Hyperlink"/>
          </w:rPr>
          <w:t>http://epp.eurostat.ec.europa.eu/statistics_explained/index.php/Statistics_on_income_and_living_conditions_by_degree_of_urbanisation</w:t>
        </w:r>
      </w:hyperlink>
      <w:r>
        <w:t xml:space="preserve"> [accessed 16th October 2014]</w:t>
      </w:r>
      <w:r>
        <w:rPr>
          <w:sz w:val="18"/>
          <w:szCs w:val="18"/>
        </w:rPr>
        <w:t xml:space="preserve"> </w:t>
      </w:r>
    </w:p>
  </w:footnote>
  <w:footnote w:id="2">
    <w:p w:rsidR="00520522" w:rsidRDefault="00520522">
      <w:pPr>
        <w:pStyle w:val="FootnoteText"/>
      </w:pPr>
      <w:r>
        <w:rPr>
          <w:rStyle w:val="FootnoteReference"/>
        </w:rPr>
        <w:footnoteRef/>
      </w:r>
      <w:r>
        <w:t xml:space="preserve"> This is an adjustment for household size.</w:t>
      </w:r>
    </w:p>
  </w:footnote>
  <w:footnote w:id="3">
    <w:p w:rsidR="00520522" w:rsidRDefault="00520522">
      <w:pPr>
        <w:pStyle w:val="FootnoteText"/>
      </w:pPr>
      <w:r>
        <w:rPr>
          <w:rStyle w:val="FootnoteReference"/>
        </w:rPr>
        <w:footnoteRef/>
      </w:r>
      <w:r>
        <w:t xml:space="preserve"> </w:t>
      </w:r>
      <w:hyperlink r:id="rId2" w:history="1">
        <w:r>
          <w:rPr>
            <w:rStyle w:val="Hyperlink"/>
            <w:lang w:val="en-US"/>
          </w:rPr>
          <w:t>http://ec.europa.eu/europe2020/pdf/targets_en.pdf</w:t>
        </w:r>
      </w:hyperlink>
      <w:r>
        <w:rPr>
          <w:color w:val="1F497D"/>
          <w:lang w:val="en-US"/>
        </w:rPr>
        <w:t xml:space="preserve"> [accessed 10th April 2014]</w:t>
      </w:r>
    </w:p>
  </w:footnote>
  <w:footnote w:id="4">
    <w:p w:rsidR="00520522" w:rsidRDefault="00520522" w:rsidP="00295077">
      <w:pPr>
        <w:pStyle w:val="FootnoteText"/>
        <w:spacing w:line="240" w:lineRule="auto"/>
      </w:pPr>
      <w:r>
        <w:rPr>
          <w:rStyle w:val="FootnoteReference"/>
        </w:rPr>
        <w:footnoteRef/>
      </w:r>
      <w:r>
        <w:t xml:space="preserve"> </w:t>
      </w:r>
      <w:r w:rsidRPr="00295077">
        <w:t>A limited number of poverty maps were also made for the early years of the decade. Howeve</w:t>
      </w:r>
      <w:r>
        <w:t xml:space="preserve">r data availability </w:t>
      </w:r>
      <w:proofErr w:type="gramStart"/>
      <w:r>
        <w:t>constraints</w:t>
      </w:r>
      <w:r w:rsidRPr="00295077">
        <w:t>,</w:t>
      </w:r>
      <w:proofErr w:type="gramEnd"/>
      <w:r w:rsidRPr="00295077">
        <w:t xml:space="preserve"> and the </w:t>
      </w:r>
      <w:proofErr w:type="spellStart"/>
      <w:r w:rsidRPr="00295077">
        <w:t>sparsity</w:t>
      </w:r>
      <w:proofErr w:type="spellEnd"/>
      <w:r w:rsidRPr="00295077">
        <w:t xml:space="preserve"> of information mean that it is not possible to draw any reliable conclusions about regional trends over time.</w:t>
      </w:r>
    </w:p>
  </w:footnote>
  <w:footnote w:id="5">
    <w:p w:rsidR="00520522" w:rsidRDefault="00520522" w:rsidP="0051544A">
      <w:pPr>
        <w:pStyle w:val="FootnoteText"/>
        <w:spacing w:line="240" w:lineRule="auto"/>
      </w:pPr>
      <w:r>
        <w:rPr>
          <w:rStyle w:val="FootnoteReference"/>
        </w:rPr>
        <w:footnoteRef/>
      </w:r>
      <w:r>
        <w:t xml:space="preserve"> </w:t>
      </w:r>
      <w:r w:rsidRPr="00CE7B1D">
        <w:t xml:space="preserve">These </w:t>
      </w:r>
      <w:r>
        <w:t xml:space="preserve">were compiled by the ESPON Typologies project and </w:t>
      </w:r>
      <w:r w:rsidRPr="00CE7B1D">
        <w:t xml:space="preserve">are all available in a spreadsheet which may be downloaded from the ESPON website </w:t>
      </w:r>
      <w:hyperlink r:id="rId3" w:history="1">
        <w:r w:rsidRPr="00917D4B">
          <w:rPr>
            <w:rStyle w:val="Hyperlink"/>
          </w:rPr>
          <w:t>http://www.espon.eu/main/Menu_ToolsandMaps/ESPONTypologies/</w:t>
        </w:r>
      </w:hyperlink>
      <w:r>
        <w:t xml:space="preserve"> [accessed 1</w:t>
      </w:r>
      <w:r w:rsidRPr="002D6E5C">
        <w:rPr>
          <w:vertAlign w:val="superscript"/>
        </w:rPr>
        <w:t>st</w:t>
      </w:r>
      <w:r>
        <w:t xml:space="preserve"> April 2014]</w:t>
      </w:r>
    </w:p>
  </w:footnote>
  <w:footnote w:id="6">
    <w:p w:rsidR="00520522" w:rsidRDefault="00520522" w:rsidP="005A3320">
      <w:pPr>
        <w:pStyle w:val="FootnoteText"/>
        <w:spacing w:line="240" w:lineRule="auto"/>
      </w:pPr>
      <w:r>
        <w:rPr>
          <w:rStyle w:val="FootnoteReference"/>
        </w:rPr>
        <w:footnoteRef/>
      </w:r>
      <w:r>
        <w:t xml:space="preserve"> </w:t>
      </w:r>
      <w:r w:rsidRPr="00AE5631">
        <w:t>It is also important not to confuse “multiple” deprivation, with “material” deprivation (as in the second EU 2020 indicator).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0522" w:rsidRDefault="00520522"/>
  <w:p w:rsidR="00520522" w:rsidRDefault="00520522"/>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CD20479"/>
    <w:multiLevelType w:val="singleLevel"/>
    <w:tmpl w:val="F4167E28"/>
    <w:lvl w:ilvl="0">
      <w:start w:val="1"/>
      <w:numFmt w:val="decimal"/>
      <w:pStyle w:val="ESPONTableHeading"/>
      <w:lvlText w:val="Table %1"/>
      <w:lvlJc w:val="left"/>
      <w:pPr>
        <w:tabs>
          <w:tab w:val="num" w:pos="1440"/>
        </w:tabs>
        <w:ind w:left="1077" w:hanging="1077"/>
      </w:pPr>
    </w:lvl>
  </w:abstractNum>
  <w:abstractNum w:abstractNumId="1">
    <w:nsid w:val="0DB33221"/>
    <w:multiLevelType w:val="hybridMultilevel"/>
    <w:tmpl w:val="B8D08D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15B75017"/>
    <w:multiLevelType w:val="multilevel"/>
    <w:tmpl w:val="1158E470"/>
    <w:lvl w:ilvl="0">
      <w:start w:val="1"/>
      <w:numFmt w:val="decimal"/>
      <w:pStyle w:val="Heading1"/>
      <w:lvlText w:val="%1"/>
      <w:lvlJc w:val="left"/>
      <w:pPr>
        <w:tabs>
          <w:tab w:val="num" w:pos="510"/>
        </w:tabs>
        <w:ind w:left="510" w:hanging="510"/>
      </w:pPr>
    </w:lvl>
    <w:lvl w:ilvl="1">
      <w:start w:val="1"/>
      <w:numFmt w:val="decimal"/>
      <w:pStyle w:val="Heading2"/>
      <w:lvlText w:val="%1.%2"/>
      <w:lvlJc w:val="left"/>
      <w:pPr>
        <w:tabs>
          <w:tab w:val="num" w:pos="5274"/>
        </w:tabs>
        <w:ind w:left="5274" w:hanging="737"/>
      </w:pPr>
    </w:lvl>
    <w:lvl w:ilvl="2">
      <w:start w:val="1"/>
      <w:numFmt w:val="decimal"/>
      <w:pStyle w:val="Heading3"/>
      <w:lvlText w:val="%1.%2.%3"/>
      <w:lvlJc w:val="left"/>
      <w:pPr>
        <w:tabs>
          <w:tab w:val="num" w:pos="1021"/>
        </w:tabs>
        <w:ind w:left="1021" w:hanging="1021"/>
      </w:pPr>
    </w:lvl>
    <w:lvl w:ilvl="3">
      <w:start w:val="1"/>
      <w:numFmt w:val="decimal"/>
      <w:pStyle w:val="Heading4"/>
      <w:lvlText w:val="%1.%2.%3.%4"/>
      <w:lvlJc w:val="left"/>
      <w:pPr>
        <w:tabs>
          <w:tab w:val="num" w:pos="1304"/>
        </w:tabs>
        <w:ind w:left="1304" w:hanging="1304"/>
      </w:pPr>
    </w:lvl>
    <w:lvl w:ilvl="4">
      <w:start w:val="1"/>
      <w:numFmt w:val="decimal"/>
      <w:pStyle w:val="Heading5"/>
      <w:lvlText w:val="%1.%2.%3.%4.%5"/>
      <w:lvlJc w:val="left"/>
      <w:pPr>
        <w:tabs>
          <w:tab w:val="num" w:pos="1644"/>
        </w:tabs>
        <w:ind w:left="1644" w:hanging="1644"/>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
    <w:nsid w:val="1C9C4401"/>
    <w:multiLevelType w:val="hybridMultilevel"/>
    <w:tmpl w:val="4AB8D144"/>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nsid w:val="326510A5"/>
    <w:multiLevelType w:val="hybridMultilevel"/>
    <w:tmpl w:val="3BF6C384"/>
    <w:lvl w:ilvl="0" w:tplc="24B8EFA6">
      <w:numFmt w:val="bullet"/>
      <w:lvlText w:val="•"/>
      <w:lvlJc w:val="left"/>
      <w:pPr>
        <w:ind w:left="1065" w:hanging="705"/>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2CE3758"/>
    <w:multiLevelType w:val="hybridMultilevel"/>
    <w:tmpl w:val="E5B00D1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nsid w:val="337A0935"/>
    <w:multiLevelType w:val="hybridMultilevel"/>
    <w:tmpl w:val="EC786F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nsid w:val="3CC1777B"/>
    <w:multiLevelType w:val="hybridMultilevel"/>
    <w:tmpl w:val="D7FEE8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nsid w:val="41CE50DE"/>
    <w:multiLevelType w:val="hybridMultilevel"/>
    <w:tmpl w:val="8B0EF8DE"/>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nsid w:val="45F4528C"/>
    <w:multiLevelType w:val="hybridMultilevel"/>
    <w:tmpl w:val="F40AB9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4B292957"/>
    <w:multiLevelType w:val="hybridMultilevel"/>
    <w:tmpl w:val="2F565CB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nsid w:val="4EE906ED"/>
    <w:multiLevelType w:val="hybridMultilevel"/>
    <w:tmpl w:val="CC2E857C"/>
    <w:lvl w:ilvl="0" w:tplc="C02E302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4F1F2823"/>
    <w:multiLevelType w:val="hybridMultilevel"/>
    <w:tmpl w:val="1C88FA34"/>
    <w:lvl w:ilvl="0" w:tplc="F7BEDC7C">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nsid w:val="5C061E13"/>
    <w:multiLevelType w:val="hybridMultilevel"/>
    <w:tmpl w:val="D4E860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nsid w:val="5CD0707B"/>
    <w:multiLevelType w:val="hybridMultilevel"/>
    <w:tmpl w:val="0270BF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5E33277D"/>
    <w:multiLevelType w:val="hybridMultilevel"/>
    <w:tmpl w:val="D2B020A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61734697"/>
    <w:multiLevelType w:val="hybridMultilevel"/>
    <w:tmpl w:val="C2C0B9D0"/>
    <w:lvl w:ilvl="0" w:tplc="939A279A">
      <w:numFmt w:val="bullet"/>
      <w:lvlText w:val=""/>
      <w:lvlJc w:val="left"/>
      <w:pPr>
        <w:ind w:left="720" w:hanging="360"/>
      </w:pPr>
      <w:rPr>
        <w:rFonts w:ascii="Symbol" w:eastAsiaTheme="minorHAnsi" w:hAnsi="Symbol" w:cstheme="minorBidi" w:hint="default"/>
        <w:sz w:val="2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6360310F"/>
    <w:multiLevelType w:val="hybridMultilevel"/>
    <w:tmpl w:val="B074DA9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642954C2"/>
    <w:multiLevelType w:val="hybridMultilevel"/>
    <w:tmpl w:val="9BBE61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nsid w:val="6A76751B"/>
    <w:multiLevelType w:val="hybridMultilevel"/>
    <w:tmpl w:val="BB40F9A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6BDF1F4B"/>
    <w:multiLevelType w:val="hybridMultilevel"/>
    <w:tmpl w:val="7214C310"/>
    <w:lvl w:ilvl="0" w:tplc="D9DA21A0">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nsid w:val="70CB7E6A"/>
    <w:multiLevelType w:val="hybridMultilevel"/>
    <w:tmpl w:val="07CA32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nsid w:val="777A447B"/>
    <w:multiLevelType w:val="hybridMultilevel"/>
    <w:tmpl w:val="33860040"/>
    <w:lvl w:ilvl="0" w:tplc="04070005">
      <w:start w:val="1"/>
      <w:numFmt w:val="bullet"/>
      <w:lvlText w:val=""/>
      <w:lvlJc w:val="left"/>
      <w:pPr>
        <w:ind w:left="720" w:hanging="360"/>
      </w:pPr>
      <w:rPr>
        <w:rFonts w:ascii="Wingdings" w:hAnsi="Wingdings" w:hint="default"/>
      </w:rPr>
    </w:lvl>
    <w:lvl w:ilvl="1" w:tplc="0748B87A">
      <w:numFmt w:val="bullet"/>
      <w:lvlText w:val="-"/>
      <w:lvlJc w:val="left"/>
      <w:pPr>
        <w:ind w:left="1785" w:hanging="705"/>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7C7039DE"/>
    <w:multiLevelType w:val="hybridMultilevel"/>
    <w:tmpl w:val="C686B990"/>
    <w:lvl w:ilvl="0" w:tplc="08090001">
      <w:start w:val="1"/>
      <w:numFmt w:val="bullet"/>
      <w:lvlText w:val=""/>
      <w:lvlJc w:val="left"/>
      <w:pPr>
        <w:tabs>
          <w:tab w:val="num" w:pos="360"/>
        </w:tabs>
        <w:ind w:left="360" w:hanging="360"/>
      </w:pPr>
      <w:rPr>
        <w:rFonts w:ascii="Symbol" w:hAnsi="Symbol" w:hint="default"/>
      </w:rPr>
    </w:lvl>
    <w:lvl w:ilvl="1" w:tplc="18105F8C">
      <w:start w:val="1"/>
      <w:numFmt w:val="lowerRoman"/>
      <w:lvlText w:val="(%2)"/>
      <w:lvlJc w:val="left"/>
      <w:pPr>
        <w:tabs>
          <w:tab w:val="num" w:pos="1800"/>
        </w:tabs>
        <w:ind w:left="1800" w:hanging="1080"/>
      </w:pPr>
      <w:rPr>
        <w:rFonts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num w:numId="1">
    <w:abstractNumId w:val="2"/>
  </w:num>
  <w:num w:numId="2">
    <w:abstractNumId w:val="23"/>
  </w:num>
  <w:num w:numId="3">
    <w:abstractNumId w:val="1"/>
  </w:num>
  <w:num w:numId="4">
    <w:abstractNumId w:val="14"/>
  </w:num>
  <w:num w:numId="5">
    <w:abstractNumId w:val="5"/>
  </w:num>
  <w:num w:numId="6">
    <w:abstractNumId w:val="3"/>
  </w:num>
  <w:num w:numId="7">
    <w:abstractNumId w:val="15"/>
  </w:num>
  <w:num w:numId="8">
    <w:abstractNumId w:val="18"/>
  </w:num>
  <w:num w:numId="9">
    <w:abstractNumId w:val="22"/>
  </w:num>
  <w:num w:numId="10">
    <w:abstractNumId w:val="8"/>
  </w:num>
  <w:num w:numId="11">
    <w:abstractNumId w:val="6"/>
  </w:num>
  <w:num w:numId="12">
    <w:abstractNumId w:val="13"/>
  </w:num>
  <w:num w:numId="13">
    <w:abstractNumId w:val="17"/>
  </w:num>
  <w:num w:numId="14">
    <w:abstractNumId w:val="12"/>
  </w:num>
  <w:num w:numId="15">
    <w:abstractNumId w:val="7"/>
  </w:num>
  <w:num w:numId="16">
    <w:abstractNumId w:val="9"/>
  </w:num>
  <w:num w:numId="17">
    <w:abstractNumId w:val="16"/>
  </w:num>
  <w:num w:numId="18">
    <w:abstractNumId w:val="11"/>
  </w:num>
  <w:num w:numId="19">
    <w:abstractNumId w:val="20"/>
  </w:num>
  <w:num w:numId="20">
    <w:abstractNumId w:val="19"/>
  </w:num>
  <w:num w:numId="21">
    <w:abstractNumId w:val="10"/>
  </w:num>
  <w:num w:numId="22">
    <w:abstractNumId w:val="21"/>
  </w:num>
  <w:num w:numId="23">
    <w:abstractNumId w:val="4"/>
  </w:num>
  <w:num w:numId="24">
    <w:abstractNumId w:val="0"/>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mirrorMargin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de-DE" w:vendorID="9" w:dllVersion="512" w:checkStyle="1"/>
  <w:activeWritingStyle w:appName="MSWord" w:lang="sv-SE" w:vendorID="666" w:dllVersion="513" w:checkStyle="1"/>
  <w:activeWritingStyle w:appName="MSWord" w:lang="sv-SE" w:vendorID="22" w:dllVersion="513" w:checkStyle="1"/>
  <w:proofState w:spelling="clean" w:grammar="clean"/>
  <w:stylePaneFormatFilter w:val="3001"/>
  <w:defaultTabStop w:val="709"/>
  <w:hyphenationZone w:val="425"/>
  <w:evenAndOddHeaders/>
  <w:drawingGridHorizontalSpacing w:val="110"/>
  <w:displayHorizontalDrawingGridEvery w:val="0"/>
  <w:displayVerticalDrawingGridEvery w:val="0"/>
  <w:noPunctuationKerning/>
  <w:characterSpacingControl w:val="doNotCompress"/>
  <w:hdrShapeDefaults>
    <o:shapedefaults v:ext="edit" spidmax="129025"/>
  </w:hdrShapeDefaults>
  <w:footnotePr>
    <w:footnote w:id="-1"/>
    <w:footnote w:id="0"/>
  </w:footnotePr>
  <w:endnotePr>
    <w:endnote w:id="-1"/>
    <w:endnote w:id="0"/>
  </w:endnotePr>
  <w:compat/>
  <w:rsids>
    <w:rsidRoot w:val="00EE5EB2"/>
    <w:rsid w:val="0000028F"/>
    <w:rsid w:val="000005EC"/>
    <w:rsid w:val="000006F2"/>
    <w:rsid w:val="00000B0C"/>
    <w:rsid w:val="00001202"/>
    <w:rsid w:val="00001391"/>
    <w:rsid w:val="000017E6"/>
    <w:rsid w:val="00002117"/>
    <w:rsid w:val="00002167"/>
    <w:rsid w:val="000035AF"/>
    <w:rsid w:val="000067E6"/>
    <w:rsid w:val="00006BE0"/>
    <w:rsid w:val="00007B80"/>
    <w:rsid w:val="000113CF"/>
    <w:rsid w:val="0001183B"/>
    <w:rsid w:val="00012ECC"/>
    <w:rsid w:val="000140DE"/>
    <w:rsid w:val="000145BB"/>
    <w:rsid w:val="00014D5D"/>
    <w:rsid w:val="00016B2C"/>
    <w:rsid w:val="000176A3"/>
    <w:rsid w:val="000178DB"/>
    <w:rsid w:val="000178F7"/>
    <w:rsid w:val="00017991"/>
    <w:rsid w:val="00017F32"/>
    <w:rsid w:val="000202B2"/>
    <w:rsid w:val="000213DB"/>
    <w:rsid w:val="000216BC"/>
    <w:rsid w:val="0002170F"/>
    <w:rsid w:val="000219E4"/>
    <w:rsid w:val="00022B6E"/>
    <w:rsid w:val="000230A7"/>
    <w:rsid w:val="000231EB"/>
    <w:rsid w:val="00025AF4"/>
    <w:rsid w:val="0002608A"/>
    <w:rsid w:val="0002775E"/>
    <w:rsid w:val="000279BC"/>
    <w:rsid w:val="00031896"/>
    <w:rsid w:val="000321CA"/>
    <w:rsid w:val="00033EFC"/>
    <w:rsid w:val="00034313"/>
    <w:rsid w:val="000346BE"/>
    <w:rsid w:val="00034A1E"/>
    <w:rsid w:val="00034E16"/>
    <w:rsid w:val="00034ECB"/>
    <w:rsid w:val="000350C3"/>
    <w:rsid w:val="00035444"/>
    <w:rsid w:val="000375E7"/>
    <w:rsid w:val="00037ACA"/>
    <w:rsid w:val="00037B30"/>
    <w:rsid w:val="0004050C"/>
    <w:rsid w:val="00040665"/>
    <w:rsid w:val="00040905"/>
    <w:rsid w:val="000412CF"/>
    <w:rsid w:val="00041655"/>
    <w:rsid w:val="0004166B"/>
    <w:rsid w:val="0004374E"/>
    <w:rsid w:val="00044645"/>
    <w:rsid w:val="00045B9A"/>
    <w:rsid w:val="000466CD"/>
    <w:rsid w:val="000467AB"/>
    <w:rsid w:val="00046EFE"/>
    <w:rsid w:val="00047743"/>
    <w:rsid w:val="0005053A"/>
    <w:rsid w:val="000512EF"/>
    <w:rsid w:val="0005364B"/>
    <w:rsid w:val="00053C9F"/>
    <w:rsid w:val="00054EE7"/>
    <w:rsid w:val="000557F6"/>
    <w:rsid w:val="00055AEC"/>
    <w:rsid w:val="000561E7"/>
    <w:rsid w:val="00056948"/>
    <w:rsid w:val="0005752D"/>
    <w:rsid w:val="00060FC7"/>
    <w:rsid w:val="000630F9"/>
    <w:rsid w:val="00064076"/>
    <w:rsid w:val="00064A7E"/>
    <w:rsid w:val="00065BDB"/>
    <w:rsid w:val="00066656"/>
    <w:rsid w:val="00067257"/>
    <w:rsid w:val="0006781E"/>
    <w:rsid w:val="000679AE"/>
    <w:rsid w:val="00067CB5"/>
    <w:rsid w:val="00070603"/>
    <w:rsid w:val="000710AD"/>
    <w:rsid w:val="000720FE"/>
    <w:rsid w:val="0007272B"/>
    <w:rsid w:val="000733D9"/>
    <w:rsid w:val="000736E3"/>
    <w:rsid w:val="00074A6D"/>
    <w:rsid w:val="00074DA6"/>
    <w:rsid w:val="000750A5"/>
    <w:rsid w:val="000757B4"/>
    <w:rsid w:val="0007691F"/>
    <w:rsid w:val="00076CE3"/>
    <w:rsid w:val="00077EC7"/>
    <w:rsid w:val="00080C5E"/>
    <w:rsid w:val="00081FB2"/>
    <w:rsid w:val="00083584"/>
    <w:rsid w:val="00083B2D"/>
    <w:rsid w:val="0008404F"/>
    <w:rsid w:val="000848D0"/>
    <w:rsid w:val="00084E99"/>
    <w:rsid w:val="000851A6"/>
    <w:rsid w:val="000858C8"/>
    <w:rsid w:val="0008601D"/>
    <w:rsid w:val="00086448"/>
    <w:rsid w:val="00086B1F"/>
    <w:rsid w:val="00086E64"/>
    <w:rsid w:val="00087222"/>
    <w:rsid w:val="000876F1"/>
    <w:rsid w:val="000908C8"/>
    <w:rsid w:val="000932C8"/>
    <w:rsid w:val="000955C3"/>
    <w:rsid w:val="00096553"/>
    <w:rsid w:val="000969A0"/>
    <w:rsid w:val="00097F83"/>
    <w:rsid w:val="000A1011"/>
    <w:rsid w:val="000A1A1E"/>
    <w:rsid w:val="000A4357"/>
    <w:rsid w:val="000A5445"/>
    <w:rsid w:val="000A55A7"/>
    <w:rsid w:val="000A5C93"/>
    <w:rsid w:val="000A64CF"/>
    <w:rsid w:val="000A68E9"/>
    <w:rsid w:val="000A6B6E"/>
    <w:rsid w:val="000A737F"/>
    <w:rsid w:val="000B0A14"/>
    <w:rsid w:val="000B141D"/>
    <w:rsid w:val="000B1C1D"/>
    <w:rsid w:val="000B1EAD"/>
    <w:rsid w:val="000B2839"/>
    <w:rsid w:val="000B321B"/>
    <w:rsid w:val="000B3347"/>
    <w:rsid w:val="000B4AD8"/>
    <w:rsid w:val="000B4BBC"/>
    <w:rsid w:val="000B5512"/>
    <w:rsid w:val="000C02FC"/>
    <w:rsid w:val="000C0B1C"/>
    <w:rsid w:val="000C1873"/>
    <w:rsid w:val="000C232A"/>
    <w:rsid w:val="000C2A8F"/>
    <w:rsid w:val="000C3116"/>
    <w:rsid w:val="000C41E1"/>
    <w:rsid w:val="000C4473"/>
    <w:rsid w:val="000C47EA"/>
    <w:rsid w:val="000C4907"/>
    <w:rsid w:val="000C4F28"/>
    <w:rsid w:val="000C57FB"/>
    <w:rsid w:val="000C5BDC"/>
    <w:rsid w:val="000C62EE"/>
    <w:rsid w:val="000C694E"/>
    <w:rsid w:val="000C7211"/>
    <w:rsid w:val="000C7F99"/>
    <w:rsid w:val="000C7FB7"/>
    <w:rsid w:val="000D0B9C"/>
    <w:rsid w:val="000D1151"/>
    <w:rsid w:val="000D167A"/>
    <w:rsid w:val="000D230F"/>
    <w:rsid w:val="000D2565"/>
    <w:rsid w:val="000D3760"/>
    <w:rsid w:val="000D3E21"/>
    <w:rsid w:val="000D4182"/>
    <w:rsid w:val="000D5AE1"/>
    <w:rsid w:val="000D621B"/>
    <w:rsid w:val="000D6230"/>
    <w:rsid w:val="000D6752"/>
    <w:rsid w:val="000D6D23"/>
    <w:rsid w:val="000D7F52"/>
    <w:rsid w:val="000E2716"/>
    <w:rsid w:val="000E27F4"/>
    <w:rsid w:val="000E292D"/>
    <w:rsid w:val="000E42A3"/>
    <w:rsid w:val="000E4847"/>
    <w:rsid w:val="000E4A6B"/>
    <w:rsid w:val="000E54B7"/>
    <w:rsid w:val="000E6776"/>
    <w:rsid w:val="000E7061"/>
    <w:rsid w:val="000E73F1"/>
    <w:rsid w:val="000E75A3"/>
    <w:rsid w:val="000F1616"/>
    <w:rsid w:val="000F2808"/>
    <w:rsid w:val="000F304E"/>
    <w:rsid w:val="000F31D5"/>
    <w:rsid w:val="000F4427"/>
    <w:rsid w:val="000F4604"/>
    <w:rsid w:val="000F4747"/>
    <w:rsid w:val="000F5B25"/>
    <w:rsid w:val="000F5BFE"/>
    <w:rsid w:val="000F7F2F"/>
    <w:rsid w:val="001006CB"/>
    <w:rsid w:val="001020E0"/>
    <w:rsid w:val="0010210C"/>
    <w:rsid w:val="00102CEF"/>
    <w:rsid w:val="0010333F"/>
    <w:rsid w:val="00103677"/>
    <w:rsid w:val="00103CF5"/>
    <w:rsid w:val="00103D07"/>
    <w:rsid w:val="00103E0C"/>
    <w:rsid w:val="0010441A"/>
    <w:rsid w:val="00105086"/>
    <w:rsid w:val="001059C8"/>
    <w:rsid w:val="00106186"/>
    <w:rsid w:val="001069FE"/>
    <w:rsid w:val="001078B6"/>
    <w:rsid w:val="00110672"/>
    <w:rsid w:val="00112EA9"/>
    <w:rsid w:val="001131E5"/>
    <w:rsid w:val="0011367E"/>
    <w:rsid w:val="001143D4"/>
    <w:rsid w:val="001158E3"/>
    <w:rsid w:val="00116651"/>
    <w:rsid w:val="00117328"/>
    <w:rsid w:val="0011739D"/>
    <w:rsid w:val="0012005B"/>
    <w:rsid w:val="0012124A"/>
    <w:rsid w:val="00121307"/>
    <w:rsid w:val="001232C7"/>
    <w:rsid w:val="001238A1"/>
    <w:rsid w:val="00123957"/>
    <w:rsid w:val="00124467"/>
    <w:rsid w:val="00124A06"/>
    <w:rsid w:val="00124AE2"/>
    <w:rsid w:val="00124E1D"/>
    <w:rsid w:val="00125A31"/>
    <w:rsid w:val="0012683A"/>
    <w:rsid w:val="0012724A"/>
    <w:rsid w:val="00127468"/>
    <w:rsid w:val="001275CB"/>
    <w:rsid w:val="00132CC8"/>
    <w:rsid w:val="001336C3"/>
    <w:rsid w:val="001337C3"/>
    <w:rsid w:val="00134A21"/>
    <w:rsid w:val="001355B8"/>
    <w:rsid w:val="00135A3D"/>
    <w:rsid w:val="0013603B"/>
    <w:rsid w:val="00141052"/>
    <w:rsid w:val="0014164F"/>
    <w:rsid w:val="00142531"/>
    <w:rsid w:val="001443BC"/>
    <w:rsid w:val="00145352"/>
    <w:rsid w:val="001456F6"/>
    <w:rsid w:val="001458E2"/>
    <w:rsid w:val="001528E4"/>
    <w:rsid w:val="001552EA"/>
    <w:rsid w:val="00155DE3"/>
    <w:rsid w:val="001566B2"/>
    <w:rsid w:val="00157AFE"/>
    <w:rsid w:val="00161317"/>
    <w:rsid w:val="001640B2"/>
    <w:rsid w:val="001644F5"/>
    <w:rsid w:val="00164958"/>
    <w:rsid w:val="00164B49"/>
    <w:rsid w:val="00164C98"/>
    <w:rsid w:val="0016590B"/>
    <w:rsid w:val="00165D18"/>
    <w:rsid w:val="00166EC5"/>
    <w:rsid w:val="00167721"/>
    <w:rsid w:val="00170815"/>
    <w:rsid w:val="00171736"/>
    <w:rsid w:val="0017265C"/>
    <w:rsid w:val="00172B10"/>
    <w:rsid w:val="001737DD"/>
    <w:rsid w:val="00173C9E"/>
    <w:rsid w:val="001758F2"/>
    <w:rsid w:val="00176E13"/>
    <w:rsid w:val="001803F8"/>
    <w:rsid w:val="00180D06"/>
    <w:rsid w:val="0018124A"/>
    <w:rsid w:val="001813C9"/>
    <w:rsid w:val="00182CC5"/>
    <w:rsid w:val="00182F9B"/>
    <w:rsid w:val="0018352F"/>
    <w:rsid w:val="00184360"/>
    <w:rsid w:val="0018444A"/>
    <w:rsid w:val="0018445E"/>
    <w:rsid w:val="00184902"/>
    <w:rsid w:val="00184AC0"/>
    <w:rsid w:val="00184DC6"/>
    <w:rsid w:val="001859B6"/>
    <w:rsid w:val="00186983"/>
    <w:rsid w:val="00186BC7"/>
    <w:rsid w:val="00187485"/>
    <w:rsid w:val="001903D6"/>
    <w:rsid w:val="0019070F"/>
    <w:rsid w:val="0019220D"/>
    <w:rsid w:val="001923FB"/>
    <w:rsid w:val="00193DC7"/>
    <w:rsid w:val="0019503C"/>
    <w:rsid w:val="00195B65"/>
    <w:rsid w:val="00195CED"/>
    <w:rsid w:val="0019639A"/>
    <w:rsid w:val="001977DF"/>
    <w:rsid w:val="001A264C"/>
    <w:rsid w:val="001A281D"/>
    <w:rsid w:val="001A357B"/>
    <w:rsid w:val="001A3927"/>
    <w:rsid w:val="001A3A68"/>
    <w:rsid w:val="001A43C8"/>
    <w:rsid w:val="001A4475"/>
    <w:rsid w:val="001A4A11"/>
    <w:rsid w:val="001A4A16"/>
    <w:rsid w:val="001A4FDA"/>
    <w:rsid w:val="001A70F6"/>
    <w:rsid w:val="001A72FA"/>
    <w:rsid w:val="001B06C0"/>
    <w:rsid w:val="001B06D3"/>
    <w:rsid w:val="001B1DBE"/>
    <w:rsid w:val="001B2097"/>
    <w:rsid w:val="001B312D"/>
    <w:rsid w:val="001B332E"/>
    <w:rsid w:val="001B35A9"/>
    <w:rsid w:val="001B4FB4"/>
    <w:rsid w:val="001B5183"/>
    <w:rsid w:val="001C068B"/>
    <w:rsid w:val="001C0EBB"/>
    <w:rsid w:val="001C1417"/>
    <w:rsid w:val="001C1BDD"/>
    <w:rsid w:val="001C35B1"/>
    <w:rsid w:val="001C3A8C"/>
    <w:rsid w:val="001C4CCC"/>
    <w:rsid w:val="001C4CD5"/>
    <w:rsid w:val="001C5ABE"/>
    <w:rsid w:val="001C70DD"/>
    <w:rsid w:val="001C7C0E"/>
    <w:rsid w:val="001D016A"/>
    <w:rsid w:val="001D0A49"/>
    <w:rsid w:val="001D21FC"/>
    <w:rsid w:val="001D2AC6"/>
    <w:rsid w:val="001D342C"/>
    <w:rsid w:val="001D39C1"/>
    <w:rsid w:val="001D3A43"/>
    <w:rsid w:val="001D491F"/>
    <w:rsid w:val="001D6DA9"/>
    <w:rsid w:val="001D7873"/>
    <w:rsid w:val="001E117C"/>
    <w:rsid w:val="001E1583"/>
    <w:rsid w:val="001E161A"/>
    <w:rsid w:val="001E1A1C"/>
    <w:rsid w:val="001E24BA"/>
    <w:rsid w:val="001E296C"/>
    <w:rsid w:val="001E3840"/>
    <w:rsid w:val="001E3ED5"/>
    <w:rsid w:val="001E4469"/>
    <w:rsid w:val="001E5395"/>
    <w:rsid w:val="001E5F9A"/>
    <w:rsid w:val="001E6504"/>
    <w:rsid w:val="001E6CE5"/>
    <w:rsid w:val="001E77D5"/>
    <w:rsid w:val="001F089B"/>
    <w:rsid w:val="001F2182"/>
    <w:rsid w:val="001F288D"/>
    <w:rsid w:val="001F2983"/>
    <w:rsid w:val="001F2DD5"/>
    <w:rsid w:val="001F3B17"/>
    <w:rsid w:val="001F3B68"/>
    <w:rsid w:val="001F52C0"/>
    <w:rsid w:val="001F7573"/>
    <w:rsid w:val="0020078E"/>
    <w:rsid w:val="002008F4"/>
    <w:rsid w:val="00201079"/>
    <w:rsid w:val="00201098"/>
    <w:rsid w:val="002010FF"/>
    <w:rsid w:val="002011F9"/>
    <w:rsid w:val="002022A7"/>
    <w:rsid w:val="0020231D"/>
    <w:rsid w:val="00204D37"/>
    <w:rsid w:val="00205306"/>
    <w:rsid w:val="00205E2A"/>
    <w:rsid w:val="0020606B"/>
    <w:rsid w:val="0020751D"/>
    <w:rsid w:val="00210090"/>
    <w:rsid w:val="00211179"/>
    <w:rsid w:val="00211287"/>
    <w:rsid w:val="002130DB"/>
    <w:rsid w:val="00213880"/>
    <w:rsid w:val="002147C8"/>
    <w:rsid w:val="002154C2"/>
    <w:rsid w:val="00215B72"/>
    <w:rsid w:val="002200D9"/>
    <w:rsid w:val="002205A7"/>
    <w:rsid w:val="00220791"/>
    <w:rsid w:val="0022243E"/>
    <w:rsid w:val="002232BA"/>
    <w:rsid w:val="0022390E"/>
    <w:rsid w:val="00224958"/>
    <w:rsid w:val="00224A28"/>
    <w:rsid w:val="002253C5"/>
    <w:rsid w:val="00225964"/>
    <w:rsid w:val="00225D1C"/>
    <w:rsid w:val="00226092"/>
    <w:rsid w:val="0022682D"/>
    <w:rsid w:val="00226871"/>
    <w:rsid w:val="00226D40"/>
    <w:rsid w:val="00232225"/>
    <w:rsid w:val="00233E96"/>
    <w:rsid w:val="002342F3"/>
    <w:rsid w:val="002352FE"/>
    <w:rsid w:val="0023544B"/>
    <w:rsid w:val="00235C20"/>
    <w:rsid w:val="00236120"/>
    <w:rsid w:val="00236AA2"/>
    <w:rsid w:val="00236C3D"/>
    <w:rsid w:val="002379D9"/>
    <w:rsid w:val="00240258"/>
    <w:rsid w:val="002418BE"/>
    <w:rsid w:val="002419F4"/>
    <w:rsid w:val="00242599"/>
    <w:rsid w:val="00242F8B"/>
    <w:rsid w:val="002449B3"/>
    <w:rsid w:val="00244DE1"/>
    <w:rsid w:val="002452AD"/>
    <w:rsid w:val="00245BCF"/>
    <w:rsid w:val="00245D9F"/>
    <w:rsid w:val="00246737"/>
    <w:rsid w:val="002468C6"/>
    <w:rsid w:val="00246B4C"/>
    <w:rsid w:val="0024704A"/>
    <w:rsid w:val="00251F9E"/>
    <w:rsid w:val="00254997"/>
    <w:rsid w:val="00254A03"/>
    <w:rsid w:val="00255476"/>
    <w:rsid w:val="002559DC"/>
    <w:rsid w:val="00255C30"/>
    <w:rsid w:val="00256BD2"/>
    <w:rsid w:val="00256C08"/>
    <w:rsid w:val="00256CCE"/>
    <w:rsid w:val="00257897"/>
    <w:rsid w:val="00260458"/>
    <w:rsid w:val="00260EED"/>
    <w:rsid w:val="00261846"/>
    <w:rsid w:val="00262A51"/>
    <w:rsid w:val="00264C26"/>
    <w:rsid w:val="00264EAB"/>
    <w:rsid w:val="002658F8"/>
    <w:rsid w:val="00266178"/>
    <w:rsid w:val="002668BB"/>
    <w:rsid w:val="00266F82"/>
    <w:rsid w:val="00267206"/>
    <w:rsid w:val="002673B2"/>
    <w:rsid w:val="00267928"/>
    <w:rsid w:val="00267B2C"/>
    <w:rsid w:val="0027046F"/>
    <w:rsid w:val="0027063C"/>
    <w:rsid w:val="00271198"/>
    <w:rsid w:val="00273722"/>
    <w:rsid w:val="00273A3A"/>
    <w:rsid w:val="002742E8"/>
    <w:rsid w:val="00274729"/>
    <w:rsid w:val="00276709"/>
    <w:rsid w:val="00276F23"/>
    <w:rsid w:val="00277045"/>
    <w:rsid w:val="00280DAD"/>
    <w:rsid w:val="00281082"/>
    <w:rsid w:val="00281857"/>
    <w:rsid w:val="00281987"/>
    <w:rsid w:val="0028616F"/>
    <w:rsid w:val="00290383"/>
    <w:rsid w:val="00290978"/>
    <w:rsid w:val="00291573"/>
    <w:rsid w:val="00292151"/>
    <w:rsid w:val="0029333F"/>
    <w:rsid w:val="00293E98"/>
    <w:rsid w:val="002946B1"/>
    <w:rsid w:val="00295077"/>
    <w:rsid w:val="00295242"/>
    <w:rsid w:val="00295871"/>
    <w:rsid w:val="002967A9"/>
    <w:rsid w:val="00297493"/>
    <w:rsid w:val="00297F5A"/>
    <w:rsid w:val="002A0D2E"/>
    <w:rsid w:val="002A1040"/>
    <w:rsid w:val="002A19E9"/>
    <w:rsid w:val="002A217E"/>
    <w:rsid w:val="002A2CB0"/>
    <w:rsid w:val="002A38AF"/>
    <w:rsid w:val="002A41F9"/>
    <w:rsid w:val="002A4694"/>
    <w:rsid w:val="002A5067"/>
    <w:rsid w:val="002A692E"/>
    <w:rsid w:val="002A6DE0"/>
    <w:rsid w:val="002A74E1"/>
    <w:rsid w:val="002A7DF8"/>
    <w:rsid w:val="002B09F4"/>
    <w:rsid w:val="002B1818"/>
    <w:rsid w:val="002B4ED5"/>
    <w:rsid w:val="002B6353"/>
    <w:rsid w:val="002B6894"/>
    <w:rsid w:val="002B7D59"/>
    <w:rsid w:val="002C00C7"/>
    <w:rsid w:val="002C0CB3"/>
    <w:rsid w:val="002C130D"/>
    <w:rsid w:val="002C1832"/>
    <w:rsid w:val="002C1B81"/>
    <w:rsid w:val="002C6129"/>
    <w:rsid w:val="002C6601"/>
    <w:rsid w:val="002C70AA"/>
    <w:rsid w:val="002D37B9"/>
    <w:rsid w:val="002D3B06"/>
    <w:rsid w:val="002D542B"/>
    <w:rsid w:val="002D5AA7"/>
    <w:rsid w:val="002D6531"/>
    <w:rsid w:val="002D6B90"/>
    <w:rsid w:val="002D6E5C"/>
    <w:rsid w:val="002D7500"/>
    <w:rsid w:val="002D7F22"/>
    <w:rsid w:val="002E0E85"/>
    <w:rsid w:val="002E2567"/>
    <w:rsid w:val="002E257B"/>
    <w:rsid w:val="002E26A0"/>
    <w:rsid w:val="002E2D82"/>
    <w:rsid w:val="002E30FB"/>
    <w:rsid w:val="002E38CA"/>
    <w:rsid w:val="002E3AB0"/>
    <w:rsid w:val="002E4263"/>
    <w:rsid w:val="002E50FF"/>
    <w:rsid w:val="002E5386"/>
    <w:rsid w:val="002E5783"/>
    <w:rsid w:val="002E5F59"/>
    <w:rsid w:val="002E6532"/>
    <w:rsid w:val="002E6C4C"/>
    <w:rsid w:val="002E709C"/>
    <w:rsid w:val="002F0188"/>
    <w:rsid w:val="002F0FD4"/>
    <w:rsid w:val="002F107C"/>
    <w:rsid w:val="002F10A4"/>
    <w:rsid w:val="002F121E"/>
    <w:rsid w:val="002F1F0B"/>
    <w:rsid w:val="002F1F23"/>
    <w:rsid w:val="002F3D04"/>
    <w:rsid w:val="002F4897"/>
    <w:rsid w:val="002F59AA"/>
    <w:rsid w:val="002F661A"/>
    <w:rsid w:val="002F7AA2"/>
    <w:rsid w:val="002F7AE3"/>
    <w:rsid w:val="003004C2"/>
    <w:rsid w:val="003007CA"/>
    <w:rsid w:val="003016AB"/>
    <w:rsid w:val="00301DD9"/>
    <w:rsid w:val="003028B8"/>
    <w:rsid w:val="0030322D"/>
    <w:rsid w:val="00303F10"/>
    <w:rsid w:val="0030445F"/>
    <w:rsid w:val="00306116"/>
    <w:rsid w:val="0030618A"/>
    <w:rsid w:val="0030641F"/>
    <w:rsid w:val="0030700E"/>
    <w:rsid w:val="00307F3C"/>
    <w:rsid w:val="00310A28"/>
    <w:rsid w:val="0031283D"/>
    <w:rsid w:val="00312B44"/>
    <w:rsid w:val="003132F9"/>
    <w:rsid w:val="00320501"/>
    <w:rsid w:val="0032192E"/>
    <w:rsid w:val="003234F3"/>
    <w:rsid w:val="00323ED1"/>
    <w:rsid w:val="00324460"/>
    <w:rsid w:val="00324B1E"/>
    <w:rsid w:val="00324E2C"/>
    <w:rsid w:val="0032529F"/>
    <w:rsid w:val="0032569D"/>
    <w:rsid w:val="0032591D"/>
    <w:rsid w:val="00326086"/>
    <w:rsid w:val="0032621C"/>
    <w:rsid w:val="00326741"/>
    <w:rsid w:val="003308CD"/>
    <w:rsid w:val="00330B77"/>
    <w:rsid w:val="003330D8"/>
    <w:rsid w:val="003346E4"/>
    <w:rsid w:val="00335EBC"/>
    <w:rsid w:val="0033621D"/>
    <w:rsid w:val="00336B6A"/>
    <w:rsid w:val="00337C7F"/>
    <w:rsid w:val="00340A3E"/>
    <w:rsid w:val="00340AD0"/>
    <w:rsid w:val="003418A2"/>
    <w:rsid w:val="003429F0"/>
    <w:rsid w:val="0034456D"/>
    <w:rsid w:val="003448D2"/>
    <w:rsid w:val="00345829"/>
    <w:rsid w:val="00346E28"/>
    <w:rsid w:val="00350416"/>
    <w:rsid w:val="003511EB"/>
    <w:rsid w:val="003524C9"/>
    <w:rsid w:val="0035392E"/>
    <w:rsid w:val="00353C4B"/>
    <w:rsid w:val="003546E3"/>
    <w:rsid w:val="00355255"/>
    <w:rsid w:val="00356071"/>
    <w:rsid w:val="003572A9"/>
    <w:rsid w:val="003573F3"/>
    <w:rsid w:val="00361448"/>
    <w:rsid w:val="003615C1"/>
    <w:rsid w:val="00362778"/>
    <w:rsid w:val="00362DEE"/>
    <w:rsid w:val="003630B0"/>
    <w:rsid w:val="003637EB"/>
    <w:rsid w:val="00363E65"/>
    <w:rsid w:val="0036430A"/>
    <w:rsid w:val="003649CA"/>
    <w:rsid w:val="00364C77"/>
    <w:rsid w:val="00366226"/>
    <w:rsid w:val="00367E4F"/>
    <w:rsid w:val="00367EB0"/>
    <w:rsid w:val="003705CD"/>
    <w:rsid w:val="003711B3"/>
    <w:rsid w:val="003719EB"/>
    <w:rsid w:val="00371A39"/>
    <w:rsid w:val="00372936"/>
    <w:rsid w:val="00372DE1"/>
    <w:rsid w:val="00372DED"/>
    <w:rsid w:val="00373929"/>
    <w:rsid w:val="003747B6"/>
    <w:rsid w:val="00374AB1"/>
    <w:rsid w:val="0037533B"/>
    <w:rsid w:val="00376527"/>
    <w:rsid w:val="00377F72"/>
    <w:rsid w:val="0038166F"/>
    <w:rsid w:val="0038169B"/>
    <w:rsid w:val="003822DC"/>
    <w:rsid w:val="0038256D"/>
    <w:rsid w:val="00382A20"/>
    <w:rsid w:val="00382E94"/>
    <w:rsid w:val="00384379"/>
    <w:rsid w:val="00384467"/>
    <w:rsid w:val="003848CA"/>
    <w:rsid w:val="003860D6"/>
    <w:rsid w:val="00386725"/>
    <w:rsid w:val="00387A47"/>
    <w:rsid w:val="00390969"/>
    <w:rsid w:val="00391521"/>
    <w:rsid w:val="00392031"/>
    <w:rsid w:val="0039222F"/>
    <w:rsid w:val="00393008"/>
    <w:rsid w:val="003937A3"/>
    <w:rsid w:val="003938EF"/>
    <w:rsid w:val="00393B3F"/>
    <w:rsid w:val="00393E13"/>
    <w:rsid w:val="00394353"/>
    <w:rsid w:val="003945E2"/>
    <w:rsid w:val="003948F1"/>
    <w:rsid w:val="00394F86"/>
    <w:rsid w:val="00395ADD"/>
    <w:rsid w:val="0039701C"/>
    <w:rsid w:val="00397647"/>
    <w:rsid w:val="003A0177"/>
    <w:rsid w:val="003A049A"/>
    <w:rsid w:val="003A2CA1"/>
    <w:rsid w:val="003A4C45"/>
    <w:rsid w:val="003A4E04"/>
    <w:rsid w:val="003A5483"/>
    <w:rsid w:val="003A58DD"/>
    <w:rsid w:val="003A7A02"/>
    <w:rsid w:val="003B12D7"/>
    <w:rsid w:val="003B17E4"/>
    <w:rsid w:val="003B217A"/>
    <w:rsid w:val="003B307C"/>
    <w:rsid w:val="003B3194"/>
    <w:rsid w:val="003B5B3A"/>
    <w:rsid w:val="003B6A13"/>
    <w:rsid w:val="003B75DA"/>
    <w:rsid w:val="003B7BFC"/>
    <w:rsid w:val="003C05E9"/>
    <w:rsid w:val="003C1108"/>
    <w:rsid w:val="003C18A5"/>
    <w:rsid w:val="003C1C4A"/>
    <w:rsid w:val="003C1E88"/>
    <w:rsid w:val="003C31B4"/>
    <w:rsid w:val="003C3E1B"/>
    <w:rsid w:val="003C414A"/>
    <w:rsid w:val="003C496C"/>
    <w:rsid w:val="003C54C6"/>
    <w:rsid w:val="003C619B"/>
    <w:rsid w:val="003C6AD6"/>
    <w:rsid w:val="003C6B4A"/>
    <w:rsid w:val="003C7012"/>
    <w:rsid w:val="003C76C9"/>
    <w:rsid w:val="003C7EB7"/>
    <w:rsid w:val="003D026B"/>
    <w:rsid w:val="003D1330"/>
    <w:rsid w:val="003D1894"/>
    <w:rsid w:val="003D1CA1"/>
    <w:rsid w:val="003D2FBC"/>
    <w:rsid w:val="003D36A7"/>
    <w:rsid w:val="003D3A13"/>
    <w:rsid w:val="003D4AAC"/>
    <w:rsid w:val="003D4AC0"/>
    <w:rsid w:val="003D4D91"/>
    <w:rsid w:val="003D5518"/>
    <w:rsid w:val="003D6738"/>
    <w:rsid w:val="003D71D6"/>
    <w:rsid w:val="003D73C8"/>
    <w:rsid w:val="003D7B3B"/>
    <w:rsid w:val="003E0685"/>
    <w:rsid w:val="003E0822"/>
    <w:rsid w:val="003E16B7"/>
    <w:rsid w:val="003E21EA"/>
    <w:rsid w:val="003E3A50"/>
    <w:rsid w:val="003E40B4"/>
    <w:rsid w:val="003E47EA"/>
    <w:rsid w:val="003E4B8D"/>
    <w:rsid w:val="003E51E2"/>
    <w:rsid w:val="003E6A8B"/>
    <w:rsid w:val="003E700A"/>
    <w:rsid w:val="003E715A"/>
    <w:rsid w:val="003E75C4"/>
    <w:rsid w:val="003F00CA"/>
    <w:rsid w:val="003F07C3"/>
    <w:rsid w:val="003F0B7B"/>
    <w:rsid w:val="003F0E17"/>
    <w:rsid w:val="003F3EBA"/>
    <w:rsid w:val="003F41AB"/>
    <w:rsid w:val="003F6AEC"/>
    <w:rsid w:val="003F6C51"/>
    <w:rsid w:val="003F7C2B"/>
    <w:rsid w:val="003F7C9A"/>
    <w:rsid w:val="00401204"/>
    <w:rsid w:val="00401576"/>
    <w:rsid w:val="00402C1C"/>
    <w:rsid w:val="00403B0B"/>
    <w:rsid w:val="0040404A"/>
    <w:rsid w:val="00404B5C"/>
    <w:rsid w:val="00404F97"/>
    <w:rsid w:val="004053AC"/>
    <w:rsid w:val="00405583"/>
    <w:rsid w:val="004066DC"/>
    <w:rsid w:val="004069CA"/>
    <w:rsid w:val="00410D7B"/>
    <w:rsid w:val="00412310"/>
    <w:rsid w:val="004129AF"/>
    <w:rsid w:val="00413BD1"/>
    <w:rsid w:val="004144EA"/>
    <w:rsid w:val="00415661"/>
    <w:rsid w:val="00415862"/>
    <w:rsid w:val="00416779"/>
    <w:rsid w:val="0041794A"/>
    <w:rsid w:val="004209D7"/>
    <w:rsid w:val="00420F4C"/>
    <w:rsid w:val="00421C04"/>
    <w:rsid w:val="0042268E"/>
    <w:rsid w:val="00422996"/>
    <w:rsid w:val="00423E76"/>
    <w:rsid w:val="004240C0"/>
    <w:rsid w:val="004240D7"/>
    <w:rsid w:val="004250AB"/>
    <w:rsid w:val="0042721F"/>
    <w:rsid w:val="00427D00"/>
    <w:rsid w:val="00427D7D"/>
    <w:rsid w:val="004303C4"/>
    <w:rsid w:val="004304DE"/>
    <w:rsid w:val="00430686"/>
    <w:rsid w:val="00430F39"/>
    <w:rsid w:val="0043149C"/>
    <w:rsid w:val="004314B6"/>
    <w:rsid w:val="004315E9"/>
    <w:rsid w:val="00431886"/>
    <w:rsid w:val="004344FA"/>
    <w:rsid w:val="00434634"/>
    <w:rsid w:val="004348CE"/>
    <w:rsid w:val="00435BBC"/>
    <w:rsid w:val="0043696D"/>
    <w:rsid w:val="00437D67"/>
    <w:rsid w:val="00442D41"/>
    <w:rsid w:val="0044301B"/>
    <w:rsid w:val="004431D0"/>
    <w:rsid w:val="004437E7"/>
    <w:rsid w:val="00443A6C"/>
    <w:rsid w:val="00443C33"/>
    <w:rsid w:val="00445CA6"/>
    <w:rsid w:val="00446A29"/>
    <w:rsid w:val="00447854"/>
    <w:rsid w:val="00452917"/>
    <w:rsid w:val="00453265"/>
    <w:rsid w:val="004539E7"/>
    <w:rsid w:val="00453A34"/>
    <w:rsid w:val="00453AFE"/>
    <w:rsid w:val="00453C8A"/>
    <w:rsid w:val="00453D71"/>
    <w:rsid w:val="00455209"/>
    <w:rsid w:val="00455D6B"/>
    <w:rsid w:val="0045699E"/>
    <w:rsid w:val="00457A2F"/>
    <w:rsid w:val="00460005"/>
    <w:rsid w:val="00461CF3"/>
    <w:rsid w:val="00461D0D"/>
    <w:rsid w:val="00461EEB"/>
    <w:rsid w:val="004621F7"/>
    <w:rsid w:val="00465EC5"/>
    <w:rsid w:val="00465F14"/>
    <w:rsid w:val="00467115"/>
    <w:rsid w:val="0047003F"/>
    <w:rsid w:val="00470AAD"/>
    <w:rsid w:val="00471C90"/>
    <w:rsid w:val="00473821"/>
    <w:rsid w:val="0047662B"/>
    <w:rsid w:val="00477AC9"/>
    <w:rsid w:val="004806D6"/>
    <w:rsid w:val="0048091F"/>
    <w:rsid w:val="0048298D"/>
    <w:rsid w:val="00483441"/>
    <w:rsid w:val="00483576"/>
    <w:rsid w:val="00483AD5"/>
    <w:rsid w:val="0048433B"/>
    <w:rsid w:val="00484581"/>
    <w:rsid w:val="00486CF9"/>
    <w:rsid w:val="00486F2E"/>
    <w:rsid w:val="00487BD9"/>
    <w:rsid w:val="00490E1F"/>
    <w:rsid w:val="004929E9"/>
    <w:rsid w:val="00492A81"/>
    <w:rsid w:val="00492C9E"/>
    <w:rsid w:val="00493C92"/>
    <w:rsid w:val="004967E1"/>
    <w:rsid w:val="00497C48"/>
    <w:rsid w:val="004A057E"/>
    <w:rsid w:val="004A2F61"/>
    <w:rsid w:val="004A4FF6"/>
    <w:rsid w:val="004A5409"/>
    <w:rsid w:val="004A5D38"/>
    <w:rsid w:val="004A6152"/>
    <w:rsid w:val="004A678B"/>
    <w:rsid w:val="004A6CA1"/>
    <w:rsid w:val="004A7E57"/>
    <w:rsid w:val="004B0CD7"/>
    <w:rsid w:val="004B0D5C"/>
    <w:rsid w:val="004B1109"/>
    <w:rsid w:val="004B2068"/>
    <w:rsid w:val="004B32A5"/>
    <w:rsid w:val="004B3372"/>
    <w:rsid w:val="004B3638"/>
    <w:rsid w:val="004B3F5D"/>
    <w:rsid w:val="004B485B"/>
    <w:rsid w:val="004B5647"/>
    <w:rsid w:val="004B5D42"/>
    <w:rsid w:val="004B5DBA"/>
    <w:rsid w:val="004B60E6"/>
    <w:rsid w:val="004B622D"/>
    <w:rsid w:val="004B6400"/>
    <w:rsid w:val="004B641B"/>
    <w:rsid w:val="004B701E"/>
    <w:rsid w:val="004B7235"/>
    <w:rsid w:val="004C0CD5"/>
    <w:rsid w:val="004C1755"/>
    <w:rsid w:val="004C2071"/>
    <w:rsid w:val="004C2A5F"/>
    <w:rsid w:val="004C2B82"/>
    <w:rsid w:val="004C3190"/>
    <w:rsid w:val="004C5AF1"/>
    <w:rsid w:val="004C6434"/>
    <w:rsid w:val="004C652F"/>
    <w:rsid w:val="004C7D49"/>
    <w:rsid w:val="004D233E"/>
    <w:rsid w:val="004D23EC"/>
    <w:rsid w:val="004D2DFC"/>
    <w:rsid w:val="004D32E8"/>
    <w:rsid w:val="004D4A49"/>
    <w:rsid w:val="004D51CD"/>
    <w:rsid w:val="004D64B7"/>
    <w:rsid w:val="004D71F2"/>
    <w:rsid w:val="004E09A6"/>
    <w:rsid w:val="004E1886"/>
    <w:rsid w:val="004E266B"/>
    <w:rsid w:val="004E2B35"/>
    <w:rsid w:val="004E330F"/>
    <w:rsid w:val="004E4011"/>
    <w:rsid w:val="004E5A56"/>
    <w:rsid w:val="004E6737"/>
    <w:rsid w:val="004E6CB4"/>
    <w:rsid w:val="004E6D6D"/>
    <w:rsid w:val="004E6EDF"/>
    <w:rsid w:val="004E7CAF"/>
    <w:rsid w:val="004E7FEE"/>
    <w:rsid w:val="004F179E"/>
    <w:rsid w:val="004F2C07"/>
    <w:rsid w:val="004F3C45"/>
    <w:rsid w:val="004F4108"/>
    <w:rsid w:val="004F4190"/>
    <w:rsid w:val="004F5F7B"/>
    <w:rsid w:val="004F6E21"/>
    <w:rsid w:val="004F7AAD"/>
    <w:rsid w:val="005007A3"/>
    <w:rsid w:val="00501048"/>
    <w:rsid w:val="00501090"/>
    <w:rsid w:val="005016B3"/>
    <w:rsid w:val="0050336F"/>
    <w:rsid w:val="00504D9D"/>
    <w:rsid w:val="00505452"/>
    <w:rsid w:val="005062EC"/>
    <w:rsid w:val="00510A38"/>
    <w:rsid w:val="005112FB"/>
    <w:rsid w:val="0051479A"/>
    <w:rsid w:val="0051544A"/>
    <w:rsid w:val="005156AF"/>
    <w:rsid w:val="00515753"/>
    <w:rsid w:val="005169AD"/>
    <w:rsid w:val="00516A34"/>
    <w:rsid w:val="00517649"/>
    <w:rsid w:val="005202B0"/>
    <w:rsid w:val="0052046A"/>
    <w:rsid w:val="00520522"/>
    <w:rsid w:val="005217A3"/>
    <w:rsid w:val="00521BA2"/>
    <w:rsid w:val="00522698"/>
    <w:rsid w:val="00524BC5"/>
    <w:rsid w:val="00525793"/>
    <w:rsid w:val="0052633E"/>
    <w:rsid w:val="0053026B"/>
    <w:rsid w:val="0053068D"/>
    <w:rsid w:val="00531633"/>
    <w:rsid w:val="00531E62"/>
    <w:rsid w:val="005321A5"/>
    <w:rsid w:val="005330B9"/>
    <w:rsid w:val="00533A9D"/>
    <w:rsid w:val="00533E0F"/>
    <w:rsid w:val="005355FE"/>
    <w:rsid w:val="005356B5"/>
    <w:rsid w:val="00535F58"/>
    <w:rsid w:val="00536C3C"/>
    <w:rsid w:val="005371CC"/>
    <w:rsid w:val="005376D5"/>
    <w:rsid w:val="005409B5"/>
    <w:rsid w:val="00542452"/>
    <w:rsid w:val="00542BAD"/>
    <w:rsid w:val="0054367E"/>
    <w:rsid w:val="00544768"/>
    <w:rsid w:val="00544F54"/>
    <w:rsid w:val="00544FCA"/>
    <w:rsid w:val="00546D91"/>
    <w:rsid w:val="0054799C"/>
    <w:rsid w:val="00547E40"/>
    <w:rsid w:val="005505B9"/>
    <w:rsid w:val="00550DD5"/>
    <w:rsid w:val="00551C08"/>
    <w:rsid w:val="00552C28"/>
    <w:rsid w:val="005535F1"/>
    <w:rsid w:val="00553651"/>
    <w:rsid w:val="00553E13"/>
    <w:rsid w:val="00554197"/>
    <w:rsid w:val="00554B91"/>
    <w:rsid w:val="00556AF5"/>
    <w:rsid w:val="005603E7"/>
    <w:rsid w:val="00560BBF"/>
    <w:rsid w:val="00560F65"/>
    <w:rsid w:val="0056216C"/>
    <w:rsid w:val="0056240A"/>
    <w:rsid w:val="00564205"/>
    <w:rsid w:val="005649A4"/>
    <w:rsid w:val="00564AC8"/>
    <w:rsid w:val="005659CC"/>
    <w:rsid w:val="00566F14"/>
    <w:rsid w:val="005671C8"/>
    <w:rsid w:val="005674F3"/>
    <w:rsid w:val="005703AA"/>
    <w:rsid w:val="005715AF"/>
    <w:rsid w:val="00571677"/>
    <w:rsid w:val="00572B35"/>
    <w:rsid w:val="0057344D"/>
    <w:rsid w:val="0057373E"/>
    <w:rsid w:val="00573A7D"/>
    <w:rsid w:val="00574D4A"/>
    <w:rsid w:val="0057749A"/>
    <w:rsid w:val="00580616"/>
    <w:rsid w:val="00580BC9"/>
    <w:rsid w:val="005812F3"/>
    <w:rsid w:val="0058169D"/>
    <w:rsid w:val="00582FE9"/>
    <w:rsid w:val="00583836"/>
    <w:rsid w:val="005852DD"/>
    <w:rsid w:val="00586F4A"/>
    <w:rsid w:val="0059040F"/>
    <w:rsid w:val="005907B4"/>
    <w:rsid w:val="00590A40"/>
    <w:rsid w:val="00590C69"/>
    <w:rsid w:val="00590F92"/>
    <w:rsid w:val="0059201D"/>
    <w:rsid w:val="00592095"/>
    <w:rsid w:val="0059313B"/>
    <w:rsid w:val="00593BEB"/>
    <w:rsid w:val="00593EFA"/>
    <w:rsid w:val="005960D2"/>
    <w:rsid w:val="00596D61"/>
    <w:rsid w:val="005A085A"/>
    <w:rsid w:val="005A180A"/>
    <w:rsid w:val="005A2AF1"/>
    <w:rsid w:val="005A3320"/>
    <w:rsid w:val="005A3E99"/>
    <w:rsid w:val="005A5CA5"/>
    <w:rsid w:val="005A5D6F"/>
    <w:rsid w:val="005A68C0"/>
    <w:rsid w:val="005A6AE3"/>
    <w:rsid w:val="005A6AEA"/>
    <w:rsid w:val="005A7BAD"/>
    <w:rsid w:val="005B0213"/>
    <w:rsid w:val="005B0A2D"/>
    <w:rsid w:val="005B0C43"/>
    <w:rsid w:val="005B0EF0"/>
    <w:rsid w:val="005B137C"/>
    <w:rsid w:val="005B1C9B"/>
    <w:rsid w:val="005B2879"/>
    <w:rsid w:val="005B2CD3"/>
    <w:rsid w:val="005B2F2B"/>
    <w:rsid w:val="005B3279"/>
    <w:rsid w:val="005B346C"/>
    <w:rsid w:val="005B3D76"/>
    <w:rsid w:val="005B447E"/>
    <w:rsid w:val="005B4758"/>
    <w:rsid w:val="005B5790"/>
    <w:rsid w:val="005B65C6"/>
    <w:rsid w:val="005B779A"/>
    <w:rsid w:val="005C0029"/>
    <w:rsid w:val="005C0147"/>
    <w:rsid w:val="005C0BE9"/>
    <w:rsid w:val="005C13F8"/>
    <w:rsid w:val="005C15A0"/>
    <w:rsid w:val="005C1A28"/>
    <w:rsid w:val="005C2119"/>
    <w:rsid w:val="005C317B"/>
    <w:rsid w:val="005C32D8"/>
    <w:rsid w:val="005C36A4"/>
    <w:rsid w:val="005C526D"/>
    <w:rsid w:val="005C6675"/>
    <w:rsid w:val="005C7CBA"/>
    <w:rsid w:val="005D0882"/>
    <w:rsid w:val="005D0B75"/>
    <w:rsid w:val="005D1C9E"/>
    <w:rsid w:val="005D2515"/>
    <w:rsid w:val="005D42E9"/>
    <w:rsid w:val="005D5616"/>
    <w:rsid w:val="005D5755"/>
    <w:rsid w:val="005D7C57"/>
    <w:rsid w:val="005D7FC3"/>
    <w:rsid w:val="005E0097"/>
    <w:rsid w:val="005E04F8"/>
    <w:rsid w:val="005E2651"/>
    <w:rsid w:val="005E3104"/>
    <w:rsid w:val="005E4676"/>
    <w:rsid w:val="005E55E2"/>
    <w:rsid w:val="005E5F2D"/>
    <w:rsid w:val="005E778B"/>
    <w:rsid w:val="005E7A49"/>
    <w:rsid w:val="005E7DEB"/>
    <w:rsid w:val="005F3194"/>
    <w:rsid w:val="005F323E"/>
    <w:rsid w:val="005F3919"/>
    <w:rsid w:val="005F4B5C"/>
    <w:rsid w:val="005F4E29"/>
    <w:rsid w:val="005F4F6F"/>
    <w:rsid w:val="005F5A43"/>
    <w:rsid w:val="005F6F0E"/>
    <w:rsid w:val="005F7D5B"/>
    <w:rsid w:val="00600549"/>
    <w:rsid w:val="006005EE"/>
    <w:rsid w:val="00600AF7"/>
    <w:rsid w:val="00600FDF"/>
    <w:rsid w:val="006014AE"/>
    <w:rsid w:val="00601BAD"/>
    <w:rsid w:val="00603C42"/>
    <w:rsid w:val="00603DC0"/>
    <w:rsid w:val="00603FCB"/>
    <w:rsid w:val="00604CC4"/>
    <w:rsid w:val="0060506C"/>
    <w:rsid w:val="00605433"/>
    <w:rsid w:val="00605857"/>
    <w:rsid w:val="006071C2"/>
    <w:rsid w:val="00607933"/>
    <w:rsid w:val="006100B6"/>
    <w:rsid w:val="00610405"/>
    <w:rsid w:val="006109BA"/>
    <w:rsid w:val="00610AC8"/>
    <w:rsid w:val="006131A0"/>
    <w:rsid w:val="0061330E"/>
    <w:rsid w:val="0061373E"/>
    <w:rsid w:val="0061386C"/>
    <w:rsid w:val="006144FE"/>
    <w:rsid w:val="00615784"/>
    <w:rsid w:val="00616205"/>
    <w:rsid w:val="00616CDA"/>
    <w:rsid w:val="00616DEA"/>
    <w:rsid w:val="00617362"/>
    <w:rsid w:val="00617478"/>
    <w:rsid w:val="00617CE1"/>
    <w:rsid w:val="006214D8"/>
    <w:rsid w:val="00622043"/>
    <w:rsid w:val="006226F6"/>
    <w:rsid w:val="0062293B"/>
    <w:rsid w:val="006232E5"/>
    <w:rsid w:val="00623AEF"/>
    <w:rsid w:val="0062457A"/>
    <w:rsid w:val="00624970"/>
    <w:rsid w:val="00625AED"/>
    <w:rsid w:val="00625AFF"/>
    <w:rsid w:val="0062696A"/>
    <w:rsid w:val="00630513"/>
    <w:rsid w:val="00631A6D"/>
    <w:rsid w:val="006322E1"/>
    <w:rsid w:val="006329BF"/>
    <w:rsid w:val="006351F2"/>
    <w:rsid w:val="00635202"/>
    <w:rsid w:val="0063584F"/>
    <w:rsid w:val="006358A4"/>
    <w:rsid w:val="00636012"/>
    <w:rsid w:val="0063732F"/>
    <w:rsid w:val="00637487"/>
    <w:rsid w:val="00637E1B"/>
    <w:rsid w:val="0064005D"/>
    <w:rsid w:val="00640777"/>
    <w:rsid w:val="006424AB"/>
    <w:rsid w:val="006425A1"/>
    <w:rsid w:val="006425E0"/>
    <w:rsid w:val="006441FA"/>
    <w:rsid w:val="00645E36"/>
    <w:rsid w:val="00645FF6"/>
    <w:rsid w:val="00646FB0"/>
    <w:rsid w:val="00647AAB"/>
    <w:rsid w:val="006524AF"/>
    <w:rsid w:val="00652DD6"/>
    <w:rsid w:val="0065456B"/>
    <w:rsid w:val="00654ACC"/>
    <w:rsid w:val="00654FA5"/>
    <w:rsid w:val="00655359"/>
    <w:rsid w:val="00657017"/>
    <w:rsid w:val="006605CF"/>
    <w:rsid w:val="0066247D"/>
    <w:rsid w:val="00662CE3"/>
    <w:rsid w:val="0066377D"/>
    <w:rsid w:val="0066429B"/>
    <w:rsid w:val="006646D9"/>
    <w:rsid w:val="006648FB"/>
    <w:rsid w:val="00664DFB"/>
    <w:rsid w:val="00664F4E"/>
    <w:rsid w:val="00665E92"/>
    <w:rsid w:val="00666C2A"/>
    <w:rsid w:val="00667E49"/>
    <w:rsid w:val="00667F33"/>
    <w:rsid w:val="00670DF1"/>
    <w:rsid w:val="006719C1"/>
    <w:rsid w:val="00671FA8"/>
    <w:rsid w:val="00672297"/>
    <w:rsid w:val="006730A4"/>
    <w:rsid w:val="00675371"/>
    <w:rsid w:val="00675739"/>
    <w:rsid w:val="0067593C"/>
    <w:rsid w:val="00675EA7"/>
    <w:rsid w:val="0067601A"/>
    <w:rsid w:val="00676302"/>
    <w:rsid w:val="006773B9"/>
    <w:rsid w:val="00680762"/>
    <w:rsid w:val="006815A0"/>
    <w:rsid w:val="006827D2"/>
    <w:rsid w:val="00683AB8"/>
    <w:rsid w:val="006844CD"/>
    <w:rsid w:val="00685036"/>
    <w:rsid w:val="006855BF"/>
    <w:rsid w:val="00685ED7"/>
    <w:rsid w:val="00686467"/>
    <w:rsid w:val="00686BF7"/>
    <w:rsid w:val="00687F37"/>
    <w:rsid w:val="00690014"/>
    <w:rsid w:val="006907E0"/>
    <w:rsid w:val="00690C57"/>
    <w:rsid w:val="006913B0"/>
    <w:rsid w:val="006915E2"/>
    <w:rsid w:val="006915EA"/>
    <w:rsid w:val="006922C2"/>
    <w:rsid w:val="00694605"/>
    <w:rsid w:val="00694E36"/>
    <w:rsid w:val="00695659"/>
    <w:rsid w:val="006977F9"/>
    <w:rsid w:val="00697BB6"/>
    <w:rsid w:val="006A0171"/>
    <w:rsid w:val="006A0AF0"/>
    <w:rsid w:val="006A0CBB"/>
    <w:rsid w:val="006A1DF6"/>
    <w:rsid w:val="006A20E6"/>
    <w:rsid w:val="006A3846"/>
    <w:rsid w:val="006A4239"/>
    <w:rsid w:val="006A4E94"/>
    <w:rsid w:val="006A5F53"/>
    <w:rsid w:val="006A6029"/>
    <w:rsid w:val="006A631F"/>
    <w:rsid w:val="006A7148"/>
    <w:rsid w:val="006B0102"/>
    <w:rsid w:val="006B17BF"/>
    <w:rsid w:val="006B2E61"/>
    <w:rsid w:val="006B32C7"/>
    <w:rsid w:val="006B3FEB"/>
    <w:rsid w:val="006B54F3"/>
    <w:rsid w:val="006B57A5"/>
    <w:rsid w:val="006B5896"/>
    <w:rsid w:val="006B5E7A"/>
    <w:rsid w:val="006C1415"/>
    <w:rsid w:val="006C1EDD"/>
    <w:rsid w:val="006C20A5"/>
    <w:rsid w:val="006C2123"/>
    <w:rsid w:val="006C33A1"/>
    <w:rsid w:val="006C3CC8"/>
    <w:rsid w:val="006C40BF"/>
    <w:rsid w:val="006C42D0"/>
    <w:rsid w:val="006C4AC4"/>
    <w:rsid w:val="006C56D9"/>
    <w:rsid w:val="006C5929"/>
    <w:rsid w:val="006C6674"/>
    <w:rsid w:val="006C6D13"/>
    <w:rsid w:val="006D0FC7"/>
    <w:rsid w:val="006D13E0"/>
    <w:rsid w:val="006D22F7"/>
    <w:rsid w:val="006D2C4A"/>
    <w:rsid w:val="006D477D"/>
    <w:rsid w:val="006D6890"/>
    <w:rsid w:val="006D72E1"/>
    <w:rsid w:val="006D737A"/>
    <w:rsid w:val="006D7F0D"/>
    <w:rsid w:val="006E031E"/>
    <w:rsid w:val="006E12C6"/>
    <w:rsid w:val="006E17AD"/>
    <w:rsid w:val="006E78CC"/>
    <w:rsid w:val="006E7B8D"/>
    <w:rsid w:val="006F08C9"/>
    <w:rsid w:val="006F2AF6"/>
    <w:rsid w:val="006F3218"/>
    <w:rsid w:val="006F336D"/>
    <w:rsid w:val="006F4045"/>
    <w:rsid w:val="006F436A"/>
    <w:rsid w:val="006F469D"/>
    <w:rsid w:val="006F48B9"/>
    <w:rsid w:val="006F54A0"/>
    <w:rsid w:val="006F5A5C"/>
    <w:rsid w:val="006F7F00"/>
    <w:rsid w:val="0070033F"/>
    <w:rsid w:val="00700875"/>
    <w:rsid w:val="0070177E"/>
    <w:rsid w:val="00702603"/>
    <w:rsid w:val="00702617"/>
    <w:rsid w:val="007027B2"/>
    <w:rsid w:val="00702CF8"/>
    <w:rsid w:val="00702CFB"/>
    <w:rsid w:val="0070486B"/>
    <w:rsid w:val="00706E38"/>
    <w:rsid w:val="0070738A"/>
    <w:rsid w:val="00707775"/>
    <w:rsid w:val="007078B0"/>
    <w:rsid w:val="007104E5"/>
    <w:rsid w:val="00710EA0"/>
    <w:rsid w:val="007114C7"/>
    <w:rsid w:val="00712764"/>
    <w:rsid w:val="00712858"/>
    <w:rsid w:val="00712CC9"/>
    <w:rsid w:val="00714FAC"/>
    <w:rsid w:val="00715F9E"/>
    <w:rsid w:val="007203D6"/>
    <w:rsid w:val="0072085E"/>
    <w:rsid w:val="00721715"/>
    <w:rsid w:val="007229D2"/>
    <w:rsid w:val="00723487"/>
    <w:rsid w:val="00723871"/>
    <w:rsid w:val="00723EA4"/>
    <w:rsid w:val="00724424"/>
    <w:rsid w:val="007250D9"/>
    <w:rsid w:val="007254E4"/>
    <w:rsid w:val="00725E62"/>
    <w:rsid w:val="00726CC0"/>
    <w:rsid w:val="00727BDE"/>
    <w:rsid w:val="00731BD3"/>
    <w:rsid w:val="00731C1D"/>
    <w:rsid w:val="00731CC9"/>
    <w:rsid w:val="00731DCD"/>
    <w:rsid w:val="00732F51"/>
    <w:rsid w:val="00743764"/>
    <w:rsid w:val="00743BE7"/>
    <w:rsid w:val="00744346"/>
    <w:rsid w:val="00745C96"/>
    <w:rsid w:val="00745F63"/>
    <w:rsid w:val="00746726"/>
    <w:rsid w:val="00747297"/>
    <w:rsid w:val="00747DAC"/>
    <w:rsid w:val="0075001C"/>
    <w:rsid w:val="00750871"/>
    <w:rsid w:val="00750D3B"/>
    <w:rsid w:val="0075160D"/>
    <w:rsid w:val="00752E2A"/>
    <w:rsid w:val="00755765"/>
    <w:rsid w:val="00756668"/>
    <w:rsid w:val="007566B2"/>
    <w:rsid w:val="00756BEE"/>
    <w:rsid w:val="00757274"/>
    <w:rsid w:val="00757356"/>
    <w:rsid w:val="007607C5"/>
    <w:rsid w:val="007610CD"/>
    <w:rsid w:val="00761F53"/>
    <w:rsid w:val="00762C3C"/>
    <w:rsid w:val="00762DA4"/>
    <w:rsid w:val="007631FF"/>
    <w:rsid w:val="00763BB0"/>
    <w:rsid w:val="00763C78"/>
    <w:rsid w:val="00766D75"/>
    <w:rsid w:val="00767035"/>
    <w:rsid w:val="00770688"/>
    <w:rsid w:val="007714E0"/>
    <w:rsid w:val="007717C9"/>
    <w:rsid w:val="007726A2"/>
    <w:rsid w:val="00772EE5"/>
    <w:rsid w:val="007739A8"/>
    <w:rsid w:val="00774F4B"/>
    <w:rsid w:val="00775612"/>
    <w:rsid w:val="007762F9"/>
    <w:rsid w:val="00776699"/>
    <w:rsid w:val="00776A31"/>
    <w:rsid w:val="00776FE1"/>
    <w:rsid w:val="007803AB"/>
    <w:rsid w:val="007828ED"/>
    <w:rsid w:val="00783B19"/>
    <w:rsid w:val="007845D4"/>
    <w:rsid w:val="00784B03"/>
    <w:rsid w:val="007857D9"/>
    <w:rsid w:val="00786E19"/>
    <w:rsid w:val="00787C73"/>
    <w:rsid w:val="00790318"/>
    <w:rsid w:val="00791139"/>
    <w:rsid w:val="00791B17"/>
    <w:rsid w:val="00792830"/>
    <w:rsid w:val="00794083"/>
    <w:rsid w:val="0079481E"/>
    <w:rsid w:val="00794BE5"/>
    <w:rsid w:val="00794CAD"/>
    <w:rsid w:val="0079546B"/>
    <w:rsid w:val="00795A75"/>
    <w:rsid w:val="00796772"/>
    <w:rsid w:val="00796BE5"/>
    <w:rsid w:val="00796D91"/>
    <w:rsid w:val="007975AF"/>
    <w:rsid w:val="0079778D"/>
    <w:rsid w:val="00797B84"/>
    <w:rsid w:val="007A0AA6"/>
    <w:rsid w:val="007A32B4"/>
    <w:rsid w:val="007A37B2"/>
    <w:rsid w:val="007A420A"/>
    <w:rsid w:val="007A5481"/>
    <w:rsid w:val="007A57CA"/>
    <w:rsid w:val="007A60D0"/>
    <w:rsid w:val="007B0404"/>
    <w:rsid w:val="007B1110"/>
    <w:rsid w:val="007B13D0"/>
    <w:rsid w:val="007B4109"/>
    <w:rsid w:val="007B4DC3"/>
    <w:rsid w:val="007B5584"/>
    <w:rsid w:val="007B598F"/>
    <w:rsid w:val="007B61F3"/>
    <w:rsid w:val="007B78B4"/>
    <w:rsid w:val="007C1C7B"/>
    <w:rsid w:val="007C1DB4"/>
    <w:rsid w:val="007C2E15"/>
    <w:rsid w:val="007C30CC"/>
    <w:rsid w:val="007C37B0"/>
    <w:rsid w:val="007C3FFD"/>
    <w:rsid w:val="007C5D5A"/>
    <w:rsid w:val="007D02E9"/>
    <w:rsid w:val="007D1558"/>
    <w:rsid w:val="007D1642"/>
    <w:rsid w:val="007D2C33"/>
    <w:rsid w:val="007D30CA"/>
    <w:rsid w:val="007D4160"/>
    <w:rsid w:val="007D41A1"/>
    <w:rsid w:val="007D4E66"/>
    <w:rsid w:val="007D6303"/>
    <w:rsid w:val="007D70F2"/>
    <w:rsid w:val="007D7466"/>
    <w:rsid w:val="007E0061"/>
    <w:rsid w:val="007E03CC"/>
    <w:rsid w:val="007E0485"/>
    <w:rsid w:val="007E074F"/>
    <w:rsid w:val="007E236B"/>
    <w:rsid w:val="007E3F6B"/>
    <w:rsid w:val="007E4955"/>
    <w:rsid w:val="007E4CC6"/>
    <w:rsid w:val="007E59B3"/>
    <w:rsid w:val="007F0498"/>
    <w:rsid w:val="007F19B7"/>
    <w:rsid w:val="007F3409"/>
    <w:rsid w:val="007F487A"/>
    <w:rsid w:val="007F4ABE"/>
    <w:rsid w:val="007F4E37"/>
    <w:rsid w:val="007F660B"/>
    <w:rsid w:val="007F7488"/>
    <w:rsid w:val="007F7C12"/>
    <w:rsid w:val="00800440"/>
    <w:rsid w:val="0080148F"/>
    <w:rsid w:val="00801CF7"/>
    <w:rsid w:val="00802831"/>
    <w:rsid w:val="00803121"/>
    <w:rsid w:val="00803A67"/>
    <w:rsid w:val="0080548D"/>
    <w:rsid w:val="0080622A"/>
    <w:rsid w:val="00806670"/>
    <w:rsid w:val="008102EB"/>
    <w:rsid w:val="00810650"/>
    <w:rsid w:val="00811551"/>
    <w:rsid w:val="00812482"/>
    <w:rsid w:val="008155E4"/>
    <w:rsid w:val="0081694E"/>
    <w:rsid w:val="008179C2"/>
    <w:rsid w:val="00817F63"/>
    <w:rsid w:val="00821A5F"/>
    <w:rsid w:val="00822864"/>
    <w:rsid w:val="008230B1"/>
    <w:rsid w:val="00823B25"/>
    <w:rsid w:val="00824E26"/>
    <w:rsid w:val="00824FAA"/>
    <w:rsid w:val="00826748"/>
    <w:rsid w:val="00827380"/>
    <w:rsid w:val="0082742A"/>
    <w:rsid w:val="008302AD"/>
    <w:rsid w:val="0083059A"/>
    <w:rsid w:val="008306B8"/>
    <w:rsid w:val="0083294C"/>
    <w:rsid w:val="00832B7E"/>
    <w:rsid w:val="00833D13"/>
    <w:rsid w:val="00834A55"/>
    <w:rsid w:val="00834B2F"/>
    <w:rsid w:val="00834E4B"/>
    <w:rsid w:val="0083524C"/>
    <w:rsid w:val="008353A2"/>
    <w:rsid w:val="00835D2F"/>
    <w:rsid w:val="00836A32"/>
    <w:rsid w:val="00837CE7"/>
    <w:rsid w:val="008414C5"/>
    <w:rsid w:val="0084378D"/>
    <w:rsid w:val="008446C7"/>
    <w:rsid w:val="00844768"/>
    <w:rsid w:val="00844D4C"/>
    <w:rsid w:val="0084589F"/>
    <w:rsid w:val="00846160"/>
    <w:rsid w:val="008472EA"/>
    <w:rsid w:val="00847FCD"/>
    <w:rsid w:val="00850FA9"/>
    <w:rsid w:val="00853B7C"/>
    <w:rsid w:val="008550C3"/>
    <w:rsid w:val="00855295"/>
    <w:rsid w:val="0085588D"/>
    <w:rsid w:val="00855A27"/>
    <w:rsid w:val="00855E03"/>
    <w:rsid w:val="008567E3"/>
    <w:rsid w:val="00856EA6"/>
    <w:rsid w:val="00857911"/>
    <w:rsid w:val="0086232B"/>
    <w:rsid w:val="0086314C"/>
    <w:rsid w:val="0086364C"/>
    <w:rsid w:val="00864BCB"/>
    <w:rsid w:val="0086607C"/>
    <w:rsid w:val="008664CE"/>
    <w:rsid w:val="00866F0B"/>
    <w:rsid w:val="00867014"/>
    <w:rsid w:val="00867BE1"/>
    <w:rsid w:val="00872457"/>
    <w:rsid w:val="00872D70"/>
    <w:rsid w:val="00872E6B"/>
    <w:rsid w:val="00873A9D"/>
    <w:rsid w:val="00874253"/>
    <w:rsid w:val="00874491"/>
    <w:rsid w:val="008750DE"/>
    <w:rsid w:val="0087583E"/>
    <w:rsid w:val="0087685F"/>
    <w:rsid w:val="00877382"/>
    <w:rsid w:val="008773E8"/>
    <w:rsid w:val="00877DEA"/>
    <w:rsid w:val="00877EF5"/>
    <w:rsid w:val="00877F8D"/>
    <w:rsid w:val="008801C7"/>
    <w:rsid w:val="008802AA"/>
    <w:rsid w:val="00880E45"/>
    <w:rsid w:val="00881200"/>
    <w:rsid w:val="008827BA"/>
    <w:rsid w:val="0088317F"/>
    <w:rsid w:val="008831A1"/>
    <w:rsid w:val="008836CB"/>
    <w:rsid w:val="008837B4"/>
    <w:rsid w:val="008842D1"/>
    <w:rsid w:val="00885ED6"/>
    <w:rsid w:val="00887473"/>
    <w:rsid w:val="00887F5C"/>
    <w:rsid w:val="0089020B"/>
    <w:rsid w:val="00890740"/>
    <w:rsid w:val="00891302"/>
    <w:rsid w:val="0089147A"/>
    <w:rsid w:val="008924D7"/>
    <w:rsid w:val="00892CA5"/>
    <w:rsid w:val="00893585"/>
    <w:rsid w:val="00893D93"/>
    <w:rsid w:val="00895002"/>
    <w:rsid w:val="00895065"/>
    <w:rsid w:val="00895237"/>
    <w:rsid w:val="008952B1"/>
    <w:rsid w:val="008957AC"/>
    <w:rsid w:val="00895C3B"/>
    <w:rsid w:val="00895DF5"/>
    <w:rsid w:val="008971E8"/>
    <w:rsid w:val="008A027A"/>
    <w:rsid w:val="008A0864"/>
    <w:rsid w:val="008A111B"/>
    <w:rsid w:val="008A1AB6"/>
    <w:rsid w:val="008A1AD3"/>
    <w:rsid w:val="008A32A9"/>
    <w:rsid w:val="008A48A6"/>
    <w:rsid w:val="008A4DE6"/>
    <w:rsid w:val="008A5319"/>
    <w:rsid w:val="008A5AF4"/>
    <w:rsid w:val="008A5DFA"/>
    <w:rsid w:val="008A651D"/>
    <w:rsid w:val="008B1C6F"/>
    <w:rsid w:val="008B2334"/>
    <w:rsid w:val="008B2D8B"/>
    <w:rsid w:val="008B2DCC"/>
    <w:rsid w:val="008B31B9"/>
    <w:rsid w:val="008B3600"/>
    <w:rsid w:val="008B412B"/>
    <w:rsid w:val="008B42DE"/>
    <w:rsid w:val="008B5A13"/>
    <w:rsid w:val="008B5A4D"/>
    <w:rsid w:val="008B5DAC"/>
    <w:rsid w:val="008B69D5"/>
    <w:rsid w:val="008B7B84"/>
    <w:rsid w:val="008C12CD"/>
    <w:rsid w:val="008C20BA"/>
    <w:rsid w:val="008C2D1E"/>
    <w:rsid w:val="008C384E"/>
    <w:rsid w:val="008C3D90"/>
    <w:rsid w:val="008C4AA9"/>
    <w:rsid w:val="008C4F60"/>
    <w:rsid w:val="008C5E12"/>
    <w:rsid w:val="008C616B"/>
    <w:rsid w:val="008C643B"/>
    <w:rsid w:val="008C6864"/>
    <w:rsid w:val="008C6DAA"/>
    <w:rsid w:val="008C7CD9"/>
    <w:rsid w:val="008D0421"/>
    <w:rsid w:val="008D0534"/>
    <w:rsid w:val="008D0F63"/>
    <w:rsid w:val="008D1874"/>
    <w:rsid w:val="008D1AB1"/>
    <w:rsid w:val="008D45FD"/>
    <w:rsid w:val="008D4E68"/>
    <w:rsid w:val="008D5889"/>
    <w:rsid w:val="008D5BA9"/>
    <w:rsid w:val="008D5EBF"/>
    <w:rsid w:val="008D6005"/>
    <w:rsid w:val="008E02E9"/>
    <w:rsid w:val="008E0374"/>
    <w:rsid w:val="008E0D1A"/>
    <w:rsid w:val="008E13A2"/>
    <w:rsid w:val="008E1D3A"/>
    <w:rsid w:val="008E2633"/>
    <w:rsid w:val="008E2FD9"/>
    <w:rsid w:val="008E40BA"/>
    <w:rsid w:val="008E4357"/>
    <w:rsid w:val="008E4C04"/>
    <w:rsid w:val="008E4E43"/>
    <w:rsid w:val="008E5889"/>
    <w:rsid w:val="008E58F5"/>
    <w:rsid w:val="008E5FA1"/>
    <w:rsid w:val="008E697F"/>
    <w:rsid w:val="008E6E17"/>
    <w:rsid w:val="008F0522"/>
    <w:rsid w:val="008F14A5"/>
    <w:rsid w:val="008F172F"/>
    <w:rsid w:val="008F1BAC"/>
    <w:rsid w:val="008F1DAE"/>
    <w:rsid w:val="008F2301"/>
    <w:rsid w:val="008F28F1"/>
    <w:rsid w:val="008F3543"/>
    <w:rsid w:val="008F5C2F"/>
    <w:rsid w:val="008F61FA"/>
    <w:rsid w:val="008F6594"/>
    <w:rsid w:val="008F6657"/>
    <w:rsid w:val="008F7D45"/>
    <w:rsid w:val="00900872"/>
    <w:rsid w:val="00900A3C"/>
    <w:rsid w:val="00901AB1"/>
    <w:rsid w:val="00901D94"/>
    <w:rsid w:val="00901EC7"/>
    <w:rsid w:val="009024B5"/>
    <w:rsid w:val="009027B9"/>
    <w:rsid w:val="00903F77"/>
    <w:rsid w:val="00904866"/>
    <w:rsid w:val="009049F1"/>
    <w:rsid w:val="00905673"/>
    <w:rsid w:val="0090771F"/>
    <w:rsid w:val="00907C2C"/>
    <w:rsid w:val="00907ED5"/>
    <w:rsid w:val="00907FD5"/>
    <w:rsid w:val="00911975"/>
    <w:rsid w:val="00913528"/>
    <w:rsid w:val="00913DEB"/>
    <w:rsid w:val="00914480"/>
    <w:rsid w:val="00915918"/>
    <w:rsid w:val="0091603D"/>
    <w:rsid w:val="0091632B"/>
    <w:rsid w:val="00916850"/>
    <w:rsid w:val="009170C5"/>
    <w:rsid w:val="0091723D"/>
    <w:rsid w:val="00920978"/>
    <w:rsid w:val="00922549"/>
    <w:rsid w:val="00922F7A"/>
    <w:rsid w:val="00924280"/>
    <w:rsid w:val="0092457F"/>
    <w:rsid w:val="009250D9"/>
    <w:rsid w:val="00927141"/>
    <w:rsid w:val="00927A69"/>
    <w:rsid w:val="009309AB"/>
    <w:rsid w:val="00930B97"/>
    <w:rsid w:val="00930CC4"/>
    <w:rsid w:val="00930EFA"/>
    <w:rsid w:val="009310ED"/>
    <w:rsid w:val="009314BA"/>
    <w:rsid w:val="0093340F"/>
    <w:rsid w:val="0093414F"/>
    <w:rsid w:val="0093418C"/>
    <w:rsid w:val="0093459E"/>
    <w:rsid w:val="00934DAA"/>
    <w:rsid w:val="0093559E"/>
    <w:rsid w:val="0093632B"/>
    <w:rsid w:val="00936501"/>
    <w:rsid w:val="009373B3"/>
    <w:rsid w:val="0093747B"/>
    <w:rsid w:val="00940982"/>
    <w:rsid w:val="009410FD"/>
    <w:rsid w:val="009429FC"/>
    <w:rsid w:val="00942BB8"/>
    <w:rsid w:val="00943BCE"/>
    <w:rsid w:val="00944F6B"/>
    <w:rsid w:val="0094533D"/>
    <w:rsid w:val="00945A4D"/>
    <w:rsid w:val="00945FCB"/>
    <w:rsid w:val="00946B3E"/>
    <w:rsid w:val="009472D4"/>
    <w:rsid w:val="00947EBE"/>
    <w:rsid w:val="00950896"/>
    <w:rsid w:val="00950EE3"/>
    <w:rsid w:val="00951054"/>
    <w:rsid w:val="0095163E"/>
    <w:rsid w:val="00951FB2"/>
    <w:rsid w:val="009537C4"/>
    <w:rsid w:val="00953B36"/>
    <w:rsid w:val="0095411C"/>
    <w:rsid w:val="009541E4"/>
    <w:rsid w:val="00954582"/>
    <w:rsid w:val="009556EC"/>
    <w:rsid w:val="00955892"/>
    <w:rsid w:val="00955FA3"/>
    <w:rsid w:val="00956017"/>
    <w:rsid w:val="00956CB4"/>
    <w:rsid w:val="00956CEA"/>
    <w:rsid w:val="00956E3A"/>
    <w:rsid w:val="00957B16"/>
    <w:rsid w:val="009611FF"/>
    <w:rsid w:val="00963AE1"/>
    <w:rsid w:val="00963BFD"/>
    <w:rsid w:val="0096403A"/>
    <w:rsid w:val="00965790"/>
    <w:rsid w:val="00965C21"/>
    <w:rsid w:val="00966658"/>
    <w:rsid w:val="00966B91"/>
    <w:rsid w:val="00967216"/>
    <w:rsid w:val="00970D52"/>
    <w:rsid w:val="00970D5D"/>
    <w:rsid w:val="009719F2"/>
    <w:rsid w:val="00972AFD"/>
    <w:rsid w:val="00973540"/>
    <w:rsid w:val="00973669"/>
    <w:rsid w:val="0097407B"/>
    <w:rsid w:val="0097516F"/>
    <w:rsid w:val="00975B57"/>
    <w:rsid w:val="00981772"/>
    <w:rsid w:val="009820AF"/>
    <w:rsid w:val="00982538"/>
    <w:rsid w:val="00983895"/>
    <w:rsid w:val="00983A83"/>
    <w:rsid w:val="009853D0"/>
    <w:rsid w:val="00985604"/>
    <w:rsid w:val="009871A0"/>
    <w:rsid w:val="00987AB3"/>
    <w:rsid w:val="00987B29"/>
    <w:rsid w:val="00987C7B"/>
    <w:rsid w:val="00990F74"/>
    <w:rsid w:val="009916C1"/>
    <w:rsid w:val="00991788"/>
    <w:rsid w:val="009919E0"/>
    <w:rsid w:val="00992A1F"/>
    <w:rsid w:val="00994A96"/>
    <w:rsid w:val="00997032"/>
    <w:rsid w:val="009971EB"/>
    <w:rsid w:val="009972C5"/>
    <w:rsid w:val="00997D31"/>
    <w:rsid w:val="00997FCE"/>
    <w:rsid w:val="009A0A68"/>
    <w:rsid w:val="009A0E71"/>
    <w:rsid w:val="009A0E92"/>
    <w:rsid w:val="009A1010"/>
    <w:rsid w:val="009A10AD"/>
    <w:rsid w:val="009A2176"/>
    <w:rsid w:val="009A27DB"/>
    <w:rsid w:val="009A27DF"/>
    <w:rsid w:val="009A2A4F"/>
    <w:rsid w:val="009A349F"/>
    <w:rsid w:val="009A3AE9"/>
    <w:rsid w:val="009A4D3E"/>
    <w:rsid w:val="009A69D7"/>
    <w:rsid w:val="009A7FB3"/>
    <w:rsid w:val="009B0927"/>
    <w:rsid w:val="009B0C9B"/>
    <w:rsid w:val="009B10A4"/>
    <w:rsid w:val="009B1B84"/>
    <w:rsid w:val="009B24EC"/>
    <w:rsid w:val="009B27B3"/>
    <w:rsid w:val="009B4113"/>
    <w:rsid w:val="009B44DC"/>
    <w:rsid w:val="009B52BC"/>
    <w:rsid w:val="009B669F"/>
    <w:rsid w:val="009B6701"/>
    <w:rsid w:val="009B7749"/>
    <w:rsid w:val="009B7E64"/>
    <w:rsid w:val="009B7F1E"/>
    <w:rsid w:val="009B7F39"/>
    <w:rsid w:val="009C08E5"/>
    <w:rsid w:val="009C09D3"/>
    <w:rsid w:val="009C0A44"/>
    <w:rsid w:val="009C1A63"/>
    <w:rsid w:val="009C1EE8"/>
    <w:rsid w:val="009C2535"/>
    <w:rsid w:val="009C2FA9"/>
    <w:rsid w:val="009C2FC0"/>
    <w:rsid w:val="009C3139"/>
    <w:rsid w:val="009C328D"/>
    <w:rsid w:val="009C551A"/>
    <w:rsid w:val="009C6996"/>
    <w:rsid w:val="009D4725"/>
    <w:rsid w:val="009D4EC0"/>
    <w:rsid w:val="009D5656"/>
    <w:rsid w:val="009D5E14"/>
    <w:rsid w:val="009D6084"/>
    <w:rsid w:val="009D67B9"/>
    <w:rsid w:val="009D6D77"/>
    <w:rsid w:val="009D6DDC"/>
    <w:rsid w:val="009D7AD5"/>
    <w:rsid w:val="009E0AF5"/>
    <w:rsid w:val="009E177E"/>
    <w:rsid w:val="009E1CB6"/>
    <w:rsid w:val="009E2912"/>
    <w:rsid w:val="009E4ED3"/>
    <w:rsid w:val="009E527B"/>
    <w:rsid w:val="009E5432"/>
    <w:rsid w:val="009E5AB5"/>
    <w:rsid w:val="009E763E"/>
    <w:rsid w:val="009F0982"/>
    <w:rsid w:val="009F0D2B"/>
    <w:rsid w:val="009F1B59"/>
    <w:rsid w:val="009F23C6"/>
    <w:rsid w:val="009F3094"/>
    <w:rsid w:val="009F3DA3"/>
    <w:rsid w:val="009F3E56"/>
    <w:rsid w:val="009F4243"/>
    <w:rsid w:val="009F46F0"/>
    <w:rsid w:val="009F49F9"/>
    <w:rsid w:val="009F5490"/>
    <w:rsid w:val="009F5912"/>
    <w:rsid w:val="009F5DE5"/>
    <w:rsid w:val="009F75EB"/>
    <w:rsid w:val="009F7F7F"/>
    <w:rsid w:val="00A0036C"/>
    <w:rsid w:val="00A0297C"/>
    <w:rsid w:val="00A043A1"/>
    <w:rsid w:val="00A0449B"/>
    <w:rsid w:val="00A04C05"/>
    <w:rsid w:val="00A053FF"/>
    <w:rsid w:val="00A05E23"/>
    <w:rsid w:val="00A05E8E"/>
    <w:rsid w:val="00A06918"/>
    <w:rsid w:val="00A06E55"/>
    <w:rsid w:val="00A076E3"/>
    <w:rsid w:val="00A12DD8"/>
    <w:rsid w:val="00A13015"/>
    <w:rsid w:val="00A1333C"/>
    <w:rsid w:val="00A13988"/>
    <w:rsid w:val="00A1421F"/>
    <w:rsid w:val="00A1464D"/>
    <w:rsid w:val="00A14F9E"/>
    <w:rsid w:val="00A16A37"/>
    <w:rsid w:val="00A16FC1"/>
    <w:rsid w:val="00A1746D"/>
    <w:rsid w:val="00A1752B"/>
    <w:rsid w:val="00A17C27"/>
    <w:rsid w:val="00A20060"/>
    <w:rsid w:val="00A20102"/>
    <w:rsid w:val="00A20428"/>
    <w:rsid w:val="00A20540"/>
    <w:rsid w:val="00A208E9"/>
    <w:rsid w:val="00A229A7"/>
    <w:rsid w:val="00A230BA"/>
    <w:rsid w:val="00A23611"/>
    <w:rsid w:val="00A24CE2"/>
    <w:rsid w:val="00A25015"/>
    <w:rsid w:val="00A25C86"/>
    <w:rsid w:val="00A30468"/>
    <w:rsid w:val="00A30D58"/>
    <w:rsid w:val="00A320CC"/>
    <w:rsid w:val="00A32C77"/>
    <w:rsid w:val="00A32D23"/>
    <w:rsid w:val="00A33046"/>
    <w:rsid w:val="00A33EC5"/>
    <w:rsid w:val="00A34E66"/>
    <w:rsid w:val="00A36657"/>
    <w:rsid w:val="00A36829"/>
    <w:rsid w:val="00A36CD7"/>
    <w:rsid w:val="00A37D69"/>
    <w:rsid w:val="00A41725"/>
    <w:rsid w:val="00A418EB"/>
    <w:rsid w:val="00A41CA9"/>
    <w:rsid w:val="00A42B9C"/>
    <w:rsid w:val="00A43302"/>
    <w:rsid w:val="00A447F8"/>
    <w:rsid w:val="00A44DFC"/>
    <w:rsid w:val="00A455AF"/>
    <w:rsid w:val="00A458E9"/>
    <w:rsid w:val="00A472AA"/>
    <w:rsid w:val="00A5056B"/>
    <w:rsid w:val="00A52D41"/>
    <w:rsid w:val="00A53484"/>
    <w:rsid w:val="00A53945"/>
    <w:rsid w:val="00A53BD7"/>
    <w:rsid w:val="00A5404C"/>
    <w:rsid w:val="00A5479D"/>
    <w:rsid w:val="00A55889"/>
    <w:rsid w:val="00A56C1D"/>
    <w:rsid w:val="00A56E7C"/>
    <w:rsid w:val="00A57EF4"/>
    <w:rsid w:val="00A6076E"/>
    <w:rsid w:val="00A6160B"/>
    <w:rsid w:val="00A62A38"/>
    <w:rsid w:val="00A65653"/>
    <w:rsid w:val="00A66D55"/>
    <w:rsid w:val="00A66F73"/>
    <w:rsid w:val="00A6766E"/>
    <w:rsid w:val="00A67B37"/>
    <w:rsid w:val="00A67B9E"/>
    <w:rsid w:val="00A67BAC"/>
    <w:rsid w:val="00A67E83"/>
    <w:rsid w:val="00A701BF"/>
    <w:rsid w:val="00A705E6"/>
    <w:rsid w:val="00A722BC"/>
    <w:rsid w:val="00A72EC9"/>
    <w:rsid w:val="00A73D24"/>
    <w:rsid w:val="00A75531"/>
    <w:rsid w:val="00A766DB"/>
    <w:rsid w:val="00A77119"/>
    <w:rsid w:val="00A774E3"/>
    <w:rsid w:val="00A77650"/>
    <w:rsid w:val="00A81A4C"/>
    <w:rsid w:val="00A82F82"/>
    <w:rsid w:val="00A83160"/>
    <w:rsid w:val="00A8342E"/>
    <w:rsid w:val="00A8366C"/>
    <w:rsid w:val="00A85123"/>
    <w:rsid w:val="00A8565B"/>
    <w:rsid w:val="00A8617C"/>
    <w:rsid w:val="00A8644C"/>
    <w:rsid w:val="00A86CDF"/>
    <w:rsid w:val="00A879D3"/>
    <w:rsid w:val="00A90047"/>
    <w:rsid w:val="00A912BA"/>
    <w:rsid w:val="00A925EC"/>
    <w:rsid w:val="00A9269D"/>
    <w:rsid w:val="00A927BF"/>
    <w:rsid w:val="00A9303F"/>
    <w:rsid w:val="00A94126"/>
    <w:rsid w:val="00A94B9B"/>
    <w:rsid w:val="00A94E70"/>
    <w:rsid w:val="00A9542B"/>
    <w:rsid w:val="00A95787"/>
    <w:rsid w:val="00A96C4F"/>
    <w:rsid w:val="00A97056"/>
    <w:rsid w:val="00A97A2A"/>
    <w:rsid w:val="00A97DCF"/>
    <w:rsid w:val="00A97F05"/>
    <w:rsid w:val="00AA016D"/>
    <w:rsid w:val="00AA0C5C"/>
    <w:rsid w:val="00AA1232"/>
    <w:rsid w:val="00AA1278"/>
    <w:rsid w:val="00AA1390"/>
    <w:rsid w:val="00AA149B"/>
    <w:rsid w:val="00AA2995"/>
    <w:rsid w:val="00AA2B7B"/>
    <w:rsid w:val="00AA34B0"/>
    <w:rsid w:val="00AA3FBB"/>
    <w:rsid w:val="00AA620F"/>
    <w:rsid w:val="00AA78EC"/>
    <w:rsid w:val="00AA7931"/>
    <w:rsid w:val="00AB1109"/>
    <w:rsid w:val="00AB1713"/>
    <w:rsid w:val="00AB1AC6"/>
    <w:rsid w:val="00AB1BE3"/>
    <w:rsid w:val="00AB1E22"/>
    <w:rsid w:val="00AB1F33"/>
    <w:rsid w:val="00AB24A2"/>
    <w:rsid w:val="00AB6CD2"/>
    <w:rsid w:val="00AB7025"/>
    <w:rsid w:val="00AC05F0"/>
    <w:rsid w:val="00AC07B4"/>
    <w:rsid w:val="00AC098F"/>
    <w:rsid w:val="00AC0D28"/>
    <w:rsid w:val="00AC1E5B"/>
    <w:rsid w:val="00AC29B5"/>
    <w:rsid w:val="00AC3DC1"/>
    <w:rsid w:val="00AC541E"/>
    <w:rsid w:val="00AC5C44"/>
    <w:rsid w:val="00AC6AFD"/>
    <w:rsid w:val="00AC6C96"/>
    <w:rsid w:val="00AC749E"/>
    <w:rsid w:val="00AD2515"/>
    <w:rsid w:val="00AD295F"/>
    <w:rsid w:val="00AD3A1B"/>
    <w:rsid w:val="00AD45B0"/>
    <w:rsid w:val="00AD4735"/>
    <w:rsid w:val="00AD5AEB"/>
    <w:rsid w:val="00AD5CBA"/>
    <w:rsid w:val="00AD6689"/>
    <w:rsid w:val="00AE0357"/>
    <w:rsid w:val="00AE0924"/>
    <w:rsid w:val="00AE2B81"/>
    <w:rsid w:val="00AE3F79"/>
    <w:rsid w:val="00AE470F"/>
    <w:rsid w:val="00AE5631"/>
    <w:rsid w:val="00AE56B5"/>
    <w:rsid w:val="00AE5816"/>
    <w:rsid w:val="00AE5E68"/>
    <w:rsid w:val="00AE6DD1"/>
    <w:rsid w:val="00AE7639"/>
    <w:rsid w:val="00AE7D4D"/>
    <w:rsid w:val="00AF0423"/>
    <w:rsid w:val="00AF1E38"/>
    <w:rsid w:val="00AF2A9E"/>
    <w:rsid w:val="00AF3531"/>
    <w:rsid w:val="00AF3E37"/>
    <w:rsid w:val="00AF3EAB"/>
    <w:rsid w:val="00AF3FF8"/>
    <w:rsid w:val="00AF577F"/>
    <w:rsid w:val="00AF6C49"/>
    <w:rsid w:val="00AF738B"/>
    <w:rsid w:val="00AF7930"/>
    <w:rsid w:val="00B00118"/>
    <w:rsid w:val="00B010E1"/>
    <w:rsid w:val="00B014BE"/>
    <w:rsid w:val="00B022BE"/>
    <w:rsid w:val="00B023B6"/>
    <w:rsid w:val="00B02B94"/>
    <w:rsid w:val="00B04A74"/>
    <w:rsid w:val="00B05AF4"/>
    <w:rsid w:val="00B065F6"/>
    <w:rsid w:val="00B10AE5"/>
    <w:rsid w:val="00B10C2F"/>
    <w:rsid w:val="00B13D05"/>
    <w:rsid w:val="00B13F17"/>
    <w:rsid w:val="00B14211"/>
    <w:rsid w:val="00B14383"/>
    <w:rsid w:val="00B15EFF"/>
    <w:rsid w:val="00B1632B"/>
    <w:rsid w:val="00B16F1F"/>
    <w:rsid w:val="00B2296A"/>
    <w:rsid w:val="00B24D41"/>
    <w:rsid w:val="00B24FCB"/>
    <w:rsid w:val="00B2540B"/>
    <w:rsid w:val="00B271A5"/>
    <w:rsid w:val="00B30CDE"/>
    <w:rsid w:val="00B31613"/>
    <w:rsid w:val="00B32855"/>
    <w:rsid w:val="00B32C93"/>
    <w:rsid w:val="00B3336F"/>
    <w:rsid w:val="00B35680"/>
    <w:rsid w:val="00B35D23"/>
    <w:rsid w:val="00B35E7E"/>
    <w:rsid w:val="00B36030"/>
    <w:rsid w:val="00B3647B"/>
    <w:rsid w:val="00B369F0"/>
    <w:rsid w:val="00B415A9"/>
    <w:rsid w:val="00B41B18"/>
    <w:rsid w:val="00B427EE"/>
    <w:rsid w:val="00B4393B"/>
    <w:rsid w:val="00B43949"/>
    <w:rsid w:val="00B43C0F"/>
    <w:rsid w:val="00B45012"/>
    <w:rsid w:val="00B45A99"/>
    <w:rsid w:val="00B465BD"/>
    <w:rsid w:val="00B470C0"/>
    <w:rsid w:val="00B475FB"/>
    <w:rsid w:val="00B476C4"/>
    <w:rsid w:val="00B47C08"/>
    <w:rsid w:val="00B506ED"/>
    <w:rsid w:val="00B51379"/>
    <w:rsid w:val="00B52D1C"/>
    <w:rsid w:val="00B5352F"/>
    <w:rsid w:val="00B537AA"/>
    <w:rsid w:val="00B56812"/>
    <w:rsid w:val="00B568FD"/>
    <w:rsid w:val="00B56EC9"/>
    <w:rsid w:val="00B60963"/>
    <w:rsid w:val="00B60BE9"/>
    <w:rsid w:val="00B61F2F"/>
    <w:rsid w:val="00B644D0"/>
    <w:rsid w:val="00B646D3"/>
    <w:rsid w:val="00B65567"/>
    <w:rsid w:val="00B6567D"/>
    <w:rsid w:val="00B65F25"/>
    <w:rsid w:val="00B663B1"/>
    <w:rsid w:val="00B670F4"/>
    <w:rsid w:val="00B67C63"/>
    <w:rsid w:val="00B702B1"/>
    <w:rsid w:val="00B709F5"/>
    <w:rsid w:val="00B70C9E"/>
    <w:rsid w:val="00B71502"/>
    <w:rsid w:val="00B7284E"/>
    <w:rsid w:val="00B73790"/>
    <w:rsid w:val="00B73DE7"/>
    <w:rsid w:val="00B74065"/>
    <w:rsid w:val="00B74515"/>
    <w:rsid w:val="00B74B09"/>
    <w:rsid w:val="00B75E47"/>
    <w:rsid w:val="00B75FBA"/>
    <w:rsid w:val="00B805D5"/>
    <w:rsid w:val="00B809D8"/>
    <w:rsid w:val="00B80C0B"/>
    <w:rsid w:val="00B80CBD"/>
    <w:rsid w:val="00B816A6"/>
    <w:rsid w:val="00B83EB5"/>
    <w:rsid w:val="00B85F2B"/>
    <w:rsid w:val="00B86DF5"/>
    <w:rsid w:val="00B925BF"/>
    <w:rsid w:val="00B93310"/>
    <w:rsid w:val="00B93C95"/>
    <w:rsid w:val="00B94D43"/>
    <w:rsid w:val="00B9546F"/>
    <w:rsid w:val="00B96333"/>
    <w:rsid w:val="00B963BC"/>
    <w:rsid w:val="00B96EF8"/>
    <w:rsid w:val="00B97CF3"/>
    <w:rsid w:val="00BA04F2"/>
    <w:rsid w:val="00BA1E78"/>
    <w:rsid w:val="00BA2C67"/>
    <w:rsid w:val="00BA3542"/>
    <w:rsid w:val="00BA39CC"/>
    <w:rsid w:val="00BA4B8E"/>
    <w:rsid w:val="00BA5D81"/>
    <w:rsid w:val="00BA5ECB"/>
    <w:rsid w:val="00BA6DD5"/>
    <w:rsid w:val="00BA70F0"/>
    <w:rsid w:val="00BB0AF3"/>
    <w:rsid w:val="00BB16E9"/>
    <w:rsid w:val="00BB1EE3"/>
    <w:rsid w:val="00BB2208"/>
    <w:rsid w:val="00BB46DA"/>
    <w:rsid w:val="00BB5A9A"/>
    <w:rsid w:val="00BB72E8"/>
    <w:rsid w:val="00BC113E"/>
    <w:rsid w:val="00BC1832"/>
    <w:rsid w:val="00BC19FF"/>
    <w:rsid w:val="00BC1B30"/>
    <w:rsid w:val="00BC3B09"/>
    <w:rsid w:val="00BC438F"/>
    <w:rsid w:val="00BC45F5"/>
    <w:rsid w:val="00BC4803"/>
    <w:rsid w:val="00BC5794"/>
    <w:rsid w:val="00BC58F3"/>
    <w:rsid w:val="00BC5FFE"/>
    <w:rsid w:val="00BC76DD"/>
    <w:rsid w:val="00BD01AA"/>
    <w:rsid w:val="00BD0263"/>
    <w:rsid w:val="00BD10EB"/>
    <w:rsid w:val="00BD27EA"/>
    <w:rsid w:val="00BD28CA"/>
    <w:rsid w:val="00BD42D4"/>
    <w:rsid w:val="00BD4E3F"/>
    <w:rsid w:val="00BD5FD9"/>
    <w:rsid w:val="00BD6A24"/>
    <w:rsid w:val="00BE021D"/>
    <w:rsid w:val="00BE0C92"/>
    <w:rsid w:val="00BE15DB"/>
    <w:rsid w:val="00BE1A9A"/>
    <w:rsid w:val="00BE1E46"/>
    <w:rsid w:val="00BE24FC"/>
    <w:rsid w:val="00BE3176"/>
    <w:rsid w:val="00BE3EEA"/>
    <w:rsid w:val="00BE3F8B"/>
    <w:rsid w:val="00BE56A6"/>
    <w:rsid w:val="00BE5D6C"/>
    <w:rsid w:val="00BE6CB5"/>
    <w:rsid w:val="00BE6D46"/>
    <w:rsid w:val="00BE6E7A"/>
    <w:rsid w:val="00BE7B39"/>
    <w:rsid w:val="00BE7D1B"/>
    <w:rsid w:val="00BF09EE"/>
    <w:rsid w:val="00BF0B1B"/>
    <w:rsid w:val="00BF0DFA"/>
    <w:rsid w:val="00BF1926"/>
    <w:rsid w:val="00BF2178"/>
    <w:rsid w:val="00BF21C8"/>
    <w:rsid w:val="00BF23FF"/>
    <w:rsid w:val="00BF2787"/>
    <w:rsid w:val="00BF3A89"/>
    <w:rsid w:val="00BF4825"/>
    <w:rsid w:val="00BF5663"/>
    <w:rsid w:val="00BF57CB"/>
    <w:rsid w:val="00BF58E8"/>
    <w:rsid w:val="00BF5B2A"/>
    <w:rsid w:val="00BF6E4C"/>
    <w:rsid w:val="00C0013E"/>
    <w:rsid w:val="00C00733"/>
    <w:rsid w:val="00C01363"/>
    <w:rsid w:val="00C018F4"/>
    <w:rsid w:val="00C01D41"/>
    <w:rsid w:val="00C03473"/>
    <w:rsid w:val="00C035DF"/>
    <w:rsid w:val="00C05C2C"/>
    <w:rsid w:val="00C06036"/>
    <w:rsid w:val="00C06356"/>
    <w:rsid w:val="00C06FF7"/>
    <w:rsid w:val="00C10048"/>
    <w:rsid w:val="00C10104"/>
    <w:rsid w:val="00C10CA7"/>
    <w:rsid w:val="00C10EC0"/>
    <w:rsid w:val="00C110B5"/>
    <w:rsid w:val="00C11DB1"/>
    <w:rsid w:val="00C1293E"/>
    <w:rsid w:val="00C12DE7"/>
    <w:rsid w:val="00C12ECE"/>
    <w:rsid w:val="00C13247"/>
    <w:rsid w:val="00C152B5"/>
    <w:rsid w:val="00C15BB3"/>
    <w:rsid w:val="00C15F53"/>
    <w:rsid w:val="00C164E3"/>
    <w:rsid w:val="00C16540"/>
    <w:rsid w:val="00C1683E"/>
    <w:rsid w:val="00C175E5"/>
    <w:rsid w:val="00C17A46"/>
    <w:rsid w:val="00C17AEF"/>
    <w:rsid w:val="00C20267"/>
    <w:rsid w:val="00C20E68"/>
    <w:rsid w:val="00C21326"/>
    <w:rsid w:val="00C21F6C"/>
    <w:rsid w:val="00C233EF"/>
    <w:rsid w:val="00C23408"/>
    <w:rsid w:val="00C237D5"/>
    <w:rsid w:val="00C237FB"/>
    <w:rsid w:val="00C2389C"/>
    <w:rsid w:val="00C27242"/>
    <w:rsid w:val="00C300AA"/>
    <w:rsid w:val="00C3011F"/>
    <w:rsid w:val="00C3023D"/>
    <w:rsid w:val="00C3239B"/>
    <w:rsid w:val="00C32CEE"/>
    <w:rsid w:val="00C3368C"/>
    <w:rsid w:val="00C3591C"/>
    <w:rsid w:val="00C359A0"/>
    <w:rsid w:val="00C364F9"/>
    <w:rsid w:val="00C366F1"/>
    <w:rsid w:val="00C370D7"/>
    <w:rsid w:val="00C37296"/>
    <w:rsid w:val="00C378CB"/>
    <w:rsid w:val="00C409E5"/>
    <w:rsid w:val="00C40B54"/>
    <w:rsid w:val="00C41148"/>
    <w:rsid w:val="00C41DFE"/>
    <w:rsid w:val="00C41F7A"/>
    <w:rsid w:val="00C4227F"/>
    <w:rsid w:val="00C42B7D"/>
    <w:rsid w:val="00C42C7B"/>
    <w:rsid w:val="00C43045"/>
    <w:rsid w:val="00C44F68"/>
    <w:rsid w:val="00C45C21"/>
    <w:rsid w:val="00C462FA"/>
    <w:rsid w:val="00C470DC"/>
    <w:rsid w:val="00C53375"/>
    <w:rsid w:val="00C538F7"/>
    <w:rsid w:val="00C544F7"/>
    <w:rsid w:val="00C54CDA"/>
    <w:rsid w:val="00C55E68"/>
    <w:rsid w:val="00C56138"/>
    <w:rsid w:val="00C564F3"/>
    <w:rsid w:val="00C56B65"/>
    <w:rsid w:val="00C57778"/>
    <w:rsid w:val="00C57D50"/>
    <w:rsid w:val="00C61157"/>
    <w:rsid w:val="00C6122E"/>
    <w:rsid w:val="00C618BB"/>
    <w:rsid w:val="00C62DB9"/>
    <w:rsid w:val="00C6345F"/>
    <w:rsid w:val="00C6579A"/>
    <w:rsid w:val="00C65983"/>
    <w:rsid w:val="00C65A99"/>
    <w:rsid w:val="00C66BC1"/>
    <w:rsid w:val="00C66FAF"/>
    <w:rsid w:val="00C7004C"/>
    <w:rsid w:val="00C707E8"/>
    <w:rsid w:val="00C70916"/>
    <w:rsid w:val="00C7101D"/>
    <w:rsid w:val="00C733D9"/>
    <w:rsid w:val="00C809EC"/>
    <w:rsid w:val="00C80B7E"/>
    <w:rsid w:val="00C8131F"/>
    <w:rsid w:val="00C813B1"/>
    <w:rsid w:val="00C81476"/>
    <w:rsid w:val="00C81736"/>
    <w:rsid w:val="00C82741"/>
    <w:rsid w:val="00C8307E"/>
    <w:rsid w:val="00C840B2"/>
    <w:rsid w:val="00C859F3"/>
    <w:rsid w:val="00C86F04"/>
    <w:rsid w:val="00C8726A"/>
    <w:rsid w:val="00C87414"/>
    <w:rsid w:val="00C901E1"/>
    <w:rsid w:val="00C9035F"/>
    <w:rsid w:val="00C907E1"/>
    <w:rsid w:val="00C91978"/>
    <w:rsid w:val="00C91DAE"/>
    <w:rsid w:val="00C93170"/>
    <w:rsid w:val="00C933C8"/>
    <w:rsid w:val="00C93943"/>
    <w:rsid w:val="00C94391"/>
    <w:rsid w:val="00C947E3"/>
    <w:rsid w:val="00C94D7E"/>
    <w:rsid w:val="00C95EAB"/>
    <w:rsid w:val="00C962EB"/>
    <w:rsid w:val="00C96D95"/>
    <w:rsid w:val="00C96EB0"/>
    <w:rsid w:val="00C97A69"/>
    <w:rsid w:val="00CA0A66"/>
    <w:rsid w:val="00CA1124"/>
    <w:rsid w:val="00CA190F"/>
    <w:rsid w:val="00CA27EF"/>
    <w:rsid w:val="00CA2B0A"/>
    <w:rsid w:val="00CA2F9F"/>
    <w:rsid w:val="00CA3972"/>
    <w:rsid w:val="00CA3C9A"/>
    <w:rsid w:val="00CA5350"/>
    <w:rsid w:val="00CA53E3"/>
    <w:rsid w:val="00CA6BED"/>
    <w:rsid w:val="00CA6DB2"/>
    <w:rsid w:val="00CA6E28"/>
    <w:rsid w:val="00CA72BB"/>
    <w:rsid w:val="00CA74F1"/>
    <w:rsid w:val="00CA7598"/>
    <w:rsid w:val="00CB1BF4"/>
    <w:rsid w:val="00CB204E"/>
    <w:rsid w:val="00CB2CF4"/>
    <w:rsid w:val="00CB2FAA"/>
    <w:rsid w:val="00CB30A4"/>
    <w:rsid w:val="00CB4348"/>
    <w:rsid w:val="00CB58B7"/>
    <w:rsid w:val="00CB5B3E"/>
    <w:rsid w:val="00CB5EEC"/>
    <w:rsid w:val="00CC0635"/>
    <w:rsid w:val="00CC0A62"/>
    <w:rsid w:val="00CC1E8F"/>
    <w:rsid w:val="00CC26AD"/>
    <w:rsid w:val="00CC3160"/>
    <w:rsid w:val="00CC3D0C"/>
    <w:rsid w:val="00CC469D"/>
    <w:rsid w:val="00CC49A3"/>
    <w:rsid w:val="00CC548E"/>
    <w:rsid w:val="00CC6141"/>
    <w:rsid w:val="00CC62B6"/>
    <w:rsid w:val="00CC6619"/>
    <w:rsid w:val="00CC7C03"/>
    <w:rsid w:val="00CC7F95"/>
    <w:rsid w:val="00CD0076"/>
    <w:rsid w:val="00CD0EC4"/>
    <w:rsid w:val="00CD12AF"/>
    <w:rsid w:val="00CD1712"/>
    <w:rsid w:val="00CD180E"/>
    <w:rsid w:val="00CD193E"/>
    <w:rsid w:val="00CD1A39"/>
    <w:rsid w:val="00CD2035"/>
    <w:rsid w:val="00CD2284"/>
    <w:rsid w:val="00CD300F"/>
    <w:rsid w:val="00CD3548"/>
    <w:rsid w:val="00CD46D2"/>
    <w:rsid w:val="00CD49B6"/>
    <w:rsid w:val="00CD728A"/>
    <w:rsid w:val="00CE06B4"/>
    <w:rsid w:val="00CE0E9B"/>
    <w:rsid w:val="00CE112A"/>
    <w:rsid w:val="00CE1323"/>
    <w:rsid w:val="00CE483C"/>
    <w:rsid w:val="00CE4B35"/>
    <w:rsid w:val="00CE52B1"/>
    <w:rsid w:val="00CE531F"/>
    <w:rsid w:val="00CE6204"/>
    <w:rsid w:val="00CE671E"/>
    <w:rsid w:val="00CE7A05"/>
    <w:rsid w:val="00CE7B1D"/>
    <w:rsid w:val="00CE7BF9"/>
    <w:rsid w:val="00CF018B"/>
    <w:rsid w:val="00CF0784"/>
    <w:rsid w:val="00CF1AA0"/>
    <w:rsid w:val="00CF3768"/>
    <w:rsid w:val="00CF38F0"/>
    <w:rsid w:val="00CF39DC"/>
    <w:rsid w:val="00CF4FE6"/>
    <w:rsid w:val="00CF534C"/>
    <w:rsid w:val="00CF729B"/>
    <w:rsid w:val="00CF73BE"/>
    <w:rsid w:val="00D00516"/>
    <w:rsid w:val="00D00748"/>
    <w:rsid w:val="00D007A0"/>
    <w:rsid w:val="00D02743"/>
    <w:rsid w:val="00D05500"/>
    <w:rsid w:val="00D05FDE"/>
    <w:rsid w:val="00D06E7F"/>
    <w:rsid w:val="00D06F4E"/>
    <w:rsid w:val="00D077F3"/>
    <w:rsid w:val="00D123EA"/>
    <w:rsid w:val="00D12793"/>
    <w:rsid w:val="00D13C79"/>
    <w:rsid w:val="00D1493A"/>
    <w:rsid w:val="00D14D7B"/>
    <w:rsid w:val="00D21FAC"/>
    <w:rsid w:val="00D2492A"/>
    <w:rsid w:val="00D26D97"/>
    <w:rsid w:val="00D2717A"/>
    <w:rsid w:val="00D272BF"/>
    <w:rsid w:val="00D27D69"/>
    <w:rsid w:val="00D30E1A"/>
    <w:rsid w:val="00D31BAA"/>
    <w:rsid w:val="00D31C5F"/>
    <w:rsid w:val="00D31E3D"/>
    <w:rsid w:val="00D3303D"/>
    <w:rsid w:val="00D33B04"/>
    <w:rsid w:val="00D33F73"/>
    <w:rsid w:val="00D34263"/>
    <w:rsid w:val="00D35AC8"/>
    <w:rsid w:val="00D35D00"/>
    <w:rsid w:val="00D37537"/>
    <w:rsid w:val="00D37FE5"/>
    <w:rsid w:val="00D404B1"/>
    <w:rsid w:val="00D4202B"/>
    <w:rsid w:val="00D42D86"/>
    <w:rsid w:val="00D44341"/>
    <w:rsid w:val="00D45034"/>
    <w:rsid w:val="00D4526F"/>
    <w:rsid w:val="00D46122"/>
    <w:rsid w:val="00D461DA"/>
    <w:rsid w:val="00D46E1E"/>
    <w:rsid w:val="00D47035"/>
    <w:rsid w:val="00D473F7"/>
    <w:rsid w:val="00D502C8"/>
    <w:rsid w:val="00D50839"/>
    <w:rsid w:val="00D50C1A"/>
    <w:rsid w:val="00D50D33"/>
    <w:rsid w:val="00D519A8"/>
    <w:rsid w:val="00D51D8B"/>
    <w:rsid w:val="00D52459"/>
    <w:rsid w:val="00D53AEB"/>
    <w:rsid w:val="00D540C8"/>
    <w:rsid w:val="00D54140"/>
    <w:rsid w:val="00D54ED0"/>
    <w:rsid w:val="00D567D4"/>
    <w:rsid w:val="00D6046F"/>
    <w:rsid w:val="00D60597"/>
    <w:rsid w:val="00D60B58"/>
    <w:rsid w:val="00D617BD"/>
    <w:rsid w:val="00D63A30"/>
    <w:rsid w:val="00D6464A"/>
    <w:rsid w:val="00D658AA"/>
    <w:rsid w:val="00D71267"/>
    <w:rsid w:val="00D714E0"/>
    <w:rsid w:val="00D74CB7"/>
    <w:rsid w:val="00D82636"/>
    <w:rsid w:val="00D82EC4"/>
    <w:rsid w:val="00D8557F"/>
    <w:rsid w:val="00D85F1D"/>
    <w:rsid w:val="00D873C5"/>
    <w:rsid w:val="00D90D94"/>
    <w:rsid w:val="00D90D9A"/>
    <w:rsid w:val="00D91AFD"/>
    <w:rsid w:val="00D91BAB"/>
    <w:rsid w:val="00D91E7E"/>
    <w:rsid w:val="00D92624"/>
    <w:rsid w:val="00D94F42"/>
    <w:rsid w:val="00D95E08"/>
    <w:rsid w:val="00D95FA4"/>
    <w:rsid w:val="00D96F85"/>
    <w:rsid w:val="00D979F5"/>
    <w:rsid w:val="00D97BC9"/>
    <w:rsid w:val="00D97C8F"/>
    <w:rsid w:val="00DA0255"/>
    <w:rsid w:val="00DA253D"/>
    <w:rsid w:val="00DA329A"/>
    <w:rsid w:val="00DA561B"/>
    <w:rsid w:val="00DA5761"/>
    <w:rsid w:val="00DA5BF1"/>
    <w:rsid w:val="00DA7666"/>
    <w:rsid w:val="00DA7E17"/>
    <w:rsid w:val="00DB0F27"/>
    <w:rsid w:val="00DB1290"/>
    <w:rsid w:val="00DB13A4"/>
    <w:rsid w:val="00DB161C"/>
    <w:rsid w:val="00DB2B08"/>
    <w:rsid w:val="00DB3C46"/>
    <w:rsid w:val="00DB3EA8"/>
    <w:rsid w:val="00DB4A78"/>
    <w:rsid w:val="00DB5C15"/>
    <w:rsid w:val="00DC1A9E"/>
    <w:rsid w:val="00DC246E"/>
    <w:rsid w:val="00DC2492"/>
    <w:rsid w:val="00DC3FF8"/>
    <w:rsid w:val="00DC4DEA"/>
    <w:rsid w:val="00DC6991"/>
    <w:rsid w:val="00DD03C7"/>
    <w:rsid w:val="00DD0566"/>
    <w:rsid w:val="00DD09D0"/>
    <w:rsid w:val="00DD0FB7"/>
    <w:rsid w:val="00DD22F9"/>
    <w:rsid w:val="00DD2DB5"/>
    <w:rsid w:val="00DD337A"/>
    <w:rsid w:val="00DD44D4"/>
    <w:rsid w:val="00DE08AD"/>
    <w:rsid w:val="00DE16BB"/>
    <w:rsid w:val="00DE1C87"/>
    <w:rsid w:val="00DE261B"/>
    <w:rsid w:val="00DE2E4C"/>
    <w:rsid w:val="00DE2F7E"/>
    <w:rsid w:val="00DE3E0E"/>
    <w:rsid w:val="00DE539F"/>
    <w:rsid w:val="00DE5991"/>
    <w:rsid w:val="00DE68BB"/>
    <w:rsid w:val="00DE758E"/>
    <w:rsid w:val="00DF2648"/>
    <w:rsid w:val="00DF3767"/>
    <w:rsid w:val="00DF61A5"/>
    <w:rsid w:val="00DF6C1B"/>
    <w:rsid w:val="00DF7215"/>
    <w:rsid w:val="00E00700"/>
    <w:rsid w:val="00E013CA"/>
    <w:rsid w:val="00E0202C"/>
    <w:rsid w:val="00E03405"/>
    <w:rsid w:val="00E04393"/>
    <w:rsid w:val="00E04FAD"/>
    <w:rsid w:val="00E06088"/>
    <w:rsid w:val="00E06695"/>
    <w:rsid w:val="00E06963"/>
    <w:rsid w:val="00E06A52"/>
    <w:rsid w:val="00E07759"/>
    <w:rsid w:val="00E07AC2"/>
    <w:rsid w:val="00E11A48"/>
    <w:rsid w:val="00E131FA"/>
    <w:rsid w:val="00E13C98"/>
    <w:rsid w:val="00E161C2"/>
    <w:rsid w:val="00E17615"/>
    <w:rsid w:val="00E2073B"/>
    <w:rsid w:val="00E2119B"/>
    <w:rsid w:val="00E21E2F"/>
    <w:rsid w:val="00E22E93"/>
    <w:rsid w:val="00E23FDE"/>
    <w:rsid w:val="00E240F8"/>
    <w:rsid w:val="00E2443F"/>
    <w:rsid w:val="00E250C6"/>
    <w:rsid w:val="00E2510F"/>
    <w:rsid w:val="00E2674B"/>
    <w:rsid w:val="00E26799"/>
    <w:rsid w:val="00E267C6"/>
    <w:rsid w:val="00E27192"/>
    <w:rsid w:val="00E31018"/>
    <w:rsid w:val="00E31B04"/>
    <w:rsid w:val="00E32D77"/>
    <w:rsid w:val="00E33F73"/>
    <w:rsid w:val="00E36546"/>
    <w:rsid w:val="00E36FA0"/>
    <w:rsid w:val="00E3709B"/>
    <w:rsid w:val="00E3754F"/>
    <w:rsid w:val="00E42A94"/>
    <w:rsid w:val="00E42F73"/>
    <w:rsid w:val="00E430FF"/>
    <w:rsid w:val="00E433BF"/>
    <w:rsid w:val="00E438A5"/>
    <w:rsid w:val="00E439F1"/>
    <w:rsid w:val="00E4427D"/>
    <w:rsid w:val="00E45451"/>
    <w:rsid w:val="00E460E1"/>
    <w:rsid w:val="00E462AB"/>
    <w:rsid w:val="00E46736"/>
    <w:rsid w:val="00E47FA2"/>
    <w:rsid w:val="00E504B5"/>
    <w:rsid w:val="00E50BC4"/>
    <w:rsid w:val="00E50F1D"/>
    <w:rsid w:val="00E51210"/>
    <w:rsid w:val="00E512AA"/>
    <w:rsid w:val="00E51A0B"/>
    <w:rsid w:val="00E52369"/>
    <w:rsid w:val="00E52612"/>
    <w:rsid w:val="00E54223"/>
    <w:rsid w:val="00E55455"/>
    <w:rsid w:val="00E55E49"/>
    <w:rsid w:val="00E56B55"/>
    <w:rsid w:val="00E572F5"/>
    <w:rsid w:val="00E65413"/>
    <w:rsid w:val="00E66FFF"/>
    <w:rsid w:val="00E67B37"/>
    <w:rsid w:val="00E70E19"/>
    <w:rsid w:val="00E7233B"/>
    <w:rsid w:val="00E72E2E"/>
    <w:rsid w:val="00E74AD2"/>
    <w:rsid w:val="00E75887"/>
    <w:rsid w:val="00E761B4"/>
    <w:rsid w:val="00E763D0"/>
    <w:rsid w:val="00E765C5"/>
    <w:rsid w:val="00E7751F"/>
    <w:rsid w:val="00E77D57"/>
    <w:rsid w:val="00E801BD"/>
    <w:rsid w:val="00E808CF"/>
    <w:rsid w:val="00E80A26"/>
    <w:rsid w:val="00E80C42"/>
    <w:rsid w:val="00E82CEC"/>
    <w:rsid w:val="00E84B0F"/>
    <w:rsid w:val="00E868F8"/>
    <w:rsid w:val="00E879DF"/>
    <w:rsid w:val="00E9047C"/>
    <w:rsid w:val="00E9077A"/>
    <w:rsid w:val="00E90F0F"/>
    <w:rsid w:val="00E90F8D"/>
    <w:rsid w:val="00E92550"/>
    <w:rsid w:val="00E96801"/>
    <w:rsid w:val="00E96DCE"/>
    <w:rsid w:val="00E97FD3"/>
    <w:rsid w:val="00EA028D"/>
    <w:rsid w:val="00EA0549"/>
    <w:rsid w:val="00EA1FF2"/>
    <w:rsid w:val="00EA2368"/>
    <w:rsid w:val="00EA27B7"/>
    <w:rsid w:val="00EA37CA"/>
    <w:rsid w:val="00EA3D91"/>
    <w:rsid w:val="00EA59E4"/>
    <w:rsid w:val="00EA6639"/>
    <w:rsid w:val="00EA6868"/>
    <w:rsid w:val="00EA68A1"/>
    <w:rsid w:val="00EA6B25"/>
    <w:rsid w:val="00EA6B3E"/>
    <w:rsid w:val="00EB0C79"/>
    <w:rsid w:val="00EB1928"/>
    <w:rsid w:val="00EB1AE4"/>
    <w:rsid w:val="00EB4255"/>
    <w:rsid w:val="00EB4E37"/>
    <w:rsid w:val="00EB57B8"/>
    <w:rsid w:val="00EB57D7"/>
    <w:rsid w:val="00EB6435"/>
    <w:rsid w:val="00EB78AE"/>
    <w:rsid w:val="00EC1867"/>
    <w:rsid w:val="00EC219A"/>
    <w:rsid w:val="00EC21DA"/>
    <w:rsid w:val="00EC5106"/>
    <w:rsid w:val="00EC5B0E"/>
    <w:rsid w:val="00EC609E"/>
    <w:rsid w:val="00EC622F"/>
    <w:rsid w:val="00EC66B9"/>
    <w:rsid w:val="00EC6772"/>
    <w:rsid w:val="00EC6E84"/>
    <w:rsid w:val="00EC714C"/>
    <w:rsid w:val="00EC73C0"/>
    <w:rsid w:val="00EC7BEF"/>
    <w:rsid w:val="00ED043E"/>
    <w:rsid w:val="00ED04D0"/>
    <w:rsid w:val="00ED053A"/>
    <w:rsid w:val="00ED055B"/>
    <w:rsid w:val="00ED1A09"/>
    <w:rsid w:val="00ED1B01"/>
    <w:rsid w:val="00ED2DF9"/>
    <w:rsid w:val="00ED4582"/>
    <w:rsid w:val="00ED62B1"/>
    <w:rsid w:val="00EE1728"/>
    <w:rsid w:val="00EE2736"/>
    <w:rsid w:val="00EE2CF2"/>
    <w:rsid w:val="00EE4070"/>
    <w:rsid w:val="00EE4269"/>
    <w:rsid w:val="00EE4797"/>
    <w:rsid w:val="00EE51F2"/>
    <w:rsid w:val="00EE5EB2"/>
    <w:rsid w:val="00EE65A3"/>
    <w:rsid w:val="00EE6BDF"/>
    <w:rsid w:val="00EE735E"/>
    <w:rsid w:val="00EE7619"/>
    <w:rsid w:val="00EF122C"/>
    <w:rsid w:val="00EF2062"/>
    <w:rsid w:val="00EF4A8B"/>
    <w:rsid w:val="00EF4B78"/>
    <w:rsid w:val="00EF4C6F"/>
    <w:rsid w:val="00EF4C9E"/>
    <w:rsid w:val="00EF50DB"/>
    <w:rsid w:val="00EF5ABB"/>
    <w:rsid w:val="00EF5EE1"/>
    <w:rsid w:val="00EF6D8A"/>
    <w:rsid w:val="00EF707E"/>
    <w:rsid w:val="00F00B28"/>
    <w:rsid w:val="00F00C13"/>
    <w:rsid w:val="00F01107"/>
    <w:rsid w:val="00F018BA"/>
    <w:rsid w:val="00F01A90"/>
    <w:rsid w:val="00F029D0"/>
    <w:rsid w:val="00F02EC2"/>
    <w:rsid w:val="00F04391"/>
    <w:rsid w:val="00F0660E"/>
    <w:rsid w:val="00F069DA"/>
    <w:rsid w:val="00F07615"/>
    <w:rsid w:val="00F10015"/>
    <w:rsid w:val="00F1473C"/>
    <w:rsid w:val="00F14786"/>
    <w:rsid w:val="00F148D9"/>
    <w:rsid w:val="00F15206"/>
    <w:rsid w:val="00F154EB"/>
    <w:rsid w:val="00F15B34"/>
    <w:rsid w:val="00F1655A"/>
    <w:rsid w:val="00F17DE6"/>
    <w:rsid w:val="00F20285"/>
    <w:rsid w:val="00F214F8"/>
    <w:rsid w:val="00F215E9"/>
    <w:rsid w:val="00F220D0"/>
    <w:rsid w:val="00F2254B"/>
    <w:rsid w:val="00F24187"/>
    <w:rsid w:val="00F2446E"/>
    <w:rsid w:val="00F24BE0"/>
    <w:rsid w:val="00F25329"/>
    <w:rsid w:val="00F25754"/>
    <w:rsid w:val="00F262E2"/>
    <w:rsid w:val="00F26442"/>
    <w:rsid w:val="00F27717"/>
    <w:rsid w:val="00F31048"/>
    <w:rsid w:val="00F3108B"/>
    <w:rsid w:val="00F312BF"/>
    <w:rsid w:val="00F31E2F"/>
    <w:rsid w:val="00F33031"/>
    <w:rsid w:val="00F34224"/>
    <w:rsid w:val="00F34C48"/>
    <w:rsid w:val="00F35315"/>
    <w:rsid w:val="00F35730"/>
    <w:rsid w:val="00F35768"/>
    <w:rsid w:val="00F36F7E"/>
    <w:rsid w:val="00F370A4"/>
    <w:rsid w:val="00F40264"/>
    <w:rsid w:val="00F404C7"/>
    <w:rsid w:val="00F411FB"/>
    <w:rsid w:val="00F41F67"/>
    <w:rsid w:val="00F44EA2"/>
    <w:rsid w:val="00F452BD"/>
    <w:rsid w:val="00F471F1"/>
    <w:rsid w:val="00F47AA4"/>
    <w:rsid w:val="00F520B0"/>
    <w:rsid w:val="00F5252C"/>
    <w:rsid w:val="00F52F25"/>
    <w:rsid w:val="00F622B7"/>
    <w:rsid w:val="00F62433"/>
    <w:rsid w:val="00F627E1"/>
    <w:rsid w:val="00F63597"/>
    <w:rsid w:val="00F64274"/>
    <w:rsid w:val="00F65E0F"/>
    <w:rsid w:val="00F65E94"/>
    <w:rsid w:val="00F66408"/>
    <w:rsid w:val="00F666CC"/>
    <w:rsid w:val="00F66798"/>
    <w:rsid w:val="00F7003D"/>
    <w:rsid w:val="00F71174"/>
    <w:rsid w:val="00F71EF5"/>
    <w:rsid w:val="00F73191"/>
    <w:rsid w:val="00F738AD"/>
    <w:rsid w:val="00F73BFB"/>
    <w:rsid w:val="00F744AD"/>
    <w:rsid w:val="00F75F62"/>
    <w:rsid w:val="00F76176"/>
    <w:rsid w:val="00F763B1"/>
    <w:rsid w:val="00F767D3"/>
    <w:rsid w:val="00F76C4A"/>
    <w:rsid w:val="00F77EB8"/>
    <w:rsid w:val="00F80427"/>
    <w:rsid w:val="00F804E6"/>
    <w:rsid w:val="00F807E0"/>
    <w:rsid w:val="00F8096D"/>
    <w:rsid w:val="00F80D87"/>
    <w:rsid w:val="00F80F89"/>
    <w:rsid w:val="00F81158"/>
    <w:rsid w:val="00F815D0"/>
    <w:rsid w:val="00F817A8"/>
    <w:rsid w:val="00F81992"/>
    <w:rsid w:val="00F81F7E"/>
    <w:rsid w:val="00F823AA"/>
    <w:rsid w:val="00F836F4"/>
    <w:rsid w:val="00F83D32"/>
    <w:rsid w:val="00F85163"/>
    <w:rsid w:val="00F851C2"/>
    <w:rsid w:val="00F85D7C"/>
    <w:rsid w:val="00F8607E"/>
    <w:rsid w:val="00F87521"/>
    <w:rsid w:val="00F8798F"/>
    <w:rsid w:val="00F9054A"/>
    <w:rsid w:val="00F91F57"/>
    <w:rsid w:val="00F922FB"/>
    <w:rsid w:val="00F926CD"/>
    <w:rsid w:val="00F933E1"/>
    <w:rsid w:val="00F93904"/>
    <w:rsid w:val="00F948D3"/>
    <w:rsid w:val="00F94F3B"/>
    <w:rsid w:val="00F9549F"/>
    <w:rsid w:val="00F9591C"/>
    <w:rsid w:val="00F96297"/>
    <w:rsid w:val="00F9712F"/>
    <w:rsid w:val="00F97663"/>
    <w:rsid w:val="00FA011B"/>
    <w:rsid w:val="00FA040F"/>
    <w:rsid w:val="00FA1D83"/>
    <w:rsid w:val="00FA3BBE"/>
    <w:rsid w:val="00FA4A24"/>
    <w:rsid w:val="00FA4DD6"/>
    <w:rsid w:val="00FA5813"/>
    <w:rsid w:val="00FA5DFB"/>
    <w:rsid w:val="00FA5E6E"/>
    <w:rsid w:val="00FA6271"/>
    <w:rsid w:val="00FA69CA"/>
    <w:rsid w:val="00FA6CFC"/>
    <w:rsid w:val="00FA701F"/>
    <w:rsid w:val="00FA78BC"/>
    <w:rsid w:val="00FB0069"/>
    <w:rsid w:val="00FB09C8"/>
    <w:rsid w:val="00FB2102"/>
    <w:rsid w:val="00FB2BE1"/>
    <w:rsid w:val="00FB2DC9"/>
    <w:rsid w:val="00FB3E37"/>
    <w:rsid w:val="00FB4DDA"/>
    <w:rsid w:val="00FB4EA3"/>
    <w:rsid w:val="00FB513E"/>
    <w:rsid w:val="00FB693B"/>
    <w:rsid w:val="00FB6D02"/>
    <w:rsid w:val="00FB73E9"/>
    <w:rsid w:val="00FB7ECD"/>
    <w:rsid w:val="00FB7FED"/>
    <w:rsid w:val="00FC0629"/>
    <w:rsid w:val="00FC0B66"/>
    <w:rsid w:val="00FC14C9"/>
    <w:rsid w:val="00FC2290"/>
    <w:rsid w:val="00FC2F4B"/>
    <w:rsid w:val="00FC3FA2"/>
    <w:rsid w:val="00FC43CD"/>
    <w:rsid w:val="00FC489D"/>
    <w:rsid w:val="00FC7555"/>
    <w:rsid w:val="00FC7850"/>
    <w:rsid w:val="00FC7861"/>
    <w:rsid w:val="00FC78FE"/>
    <w:rsid w:val="00FC7A96"/>
    <w:rsid w:val="00FD0284"/>
    <w:rsid w:val="00FD055F"/>
    <w:rsid w:val="00FD0DDA"/>
    <w:rsid w:val="00FD1861"/>
    <w:rsid w:val="00FD2251"/>
    <w:rsid w:val="00FD3959"/>
    <w:rsid w:val="00FD4D19"/>
    <w:rsid w:val="00FD4E25"/>
    <w:rsid w:val="00FD589D"/>
    <w:rsid w:val="00FD5CF8"/>
    <w:rsid w:val="00FD6BDD"/>
    <w:rsid w:val="00FD77A6"/>
    <w:rsid w:val="00FE1BCB"/>
    <w:rsid w:val="00FE2E0A"/>
    <w:rsid w:val="00FE2E86"/>
    <w:rsid w:val="00FE2FD3"/>
    <w:rsid w:val="00FE4FE6"/>
    <w:rsid w:val="00FE516E"/>
    <w:rsid w:val="00FE627A"/>
    <w:rsid w:val="00FF0F0C"/>
    <w:rsid w:val="00FF2381"/>
    <w:rsid w:val="00FF2F7B"/>
    <w:rsid w:val="00FF3E15"/>
    <w:rsid w:val="00FF6439"/>
    <w:rsid w:val="00FF678D"/>
    <w:rsid w:val="00FF7A45"/>
    <w:rsid w:val="00FF7FD5"/>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12902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table of figures" w:uiPriority="99"/>
    <w:lsdException w:name="endnote reference" w:uiPriority="99"/>
    <w:lsdException w:name="endnote text"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50A5"/>
    <w:pPr>
      <w:spacing w:before="120"/>
    </w:pPr>
    <w:rPr>
      <w:rFonts w:ascii="Arial" w:hAnsi="Arial"/>
      <w:sz w:val="22"/>
      <w:lang w:eastAsia="en-US"/>
    </w:rPr>
  </w:style>
  <w:style w:type="paragraph" w:styleId="Heading1">
    <w:name w:val="heading 1"/>
    <w:aliases w:val="ESPON Heading 1"/>
    <w:basedOn w:val="Normal"/>
    <w:next w:val="Normal"/>
    <w:link w:val="Heading1Char"/>
    <w:qFormat/>
    <w:rsid w:val="00637487"/>
    <w:pPr>
      <w:keepNext/>
      <w:numPr>
        <w:numId w:val="1"/>
      </w:numPr>
      <w:tabs>
        <w:tab w:val="clear" w:pos="510"/>
        <w:tab w:val="num" w:pos="936"/>
      </w:tabs>
      <w:spacing w:before="480" w:after="120"/>
      <w:ind w:left="936"/>
      <w:outlineLvl w:val="0"/>
    </w:pPr>
    <w:rPr>
      <w:b/>
      <w:kern w:val="28"/>
      <w:sz w:val="28"/>
    </w:rPr>
  </w:style>
  <w:style w:type="paragraph" w:styleId="Heading2">
    <w:name w:val="heading 2"/>
    <w:aliases w:val="ESPON Heading 2"/>
    <w:basedOn w:val="Normal"/>
    <w:next w:val="Normal"/>
    <w:qFormat/>
    <w:rsid w:val="00AE5E68"/>
    <w:pPr>
      <w:keepNext/>
      <w:numPr>
        <w:ilvl w:val="1"/>
        <w:numId w:val="1"/>
      </w:numPr>
      <w:tabs>
        <w:tab w:val="clear" w:pos="5274"/>
      </w:tabs>
      <w:spacing w:after="120"/>
      <w:ind w:left="737"/>
      <w:outlineLvl w:val="1"/>
    </w:pPr>
    <w:rPr>
      <w:b/>
      <w:sz w:val="24"/>
    </w:rPr>
  </w:style>
  <w:style w:type="paragraph" w:styleId="Heading3">
    <w:name w:val="heading 3"/>
    <w:aliases w:val="ESPON Heading 3"/>
    <w:basedOn w:val="Normal"/>
    <w:next w:val="Normal"/>
    <w:qFormat/>
    <w:rsid w:val="00AF6C49"/>
    <w:pPr>
      <w:keepNext/>
      <w:numPr>
        <w:ilvl w:val="2"/>
        <w:numId w:val="1"/>
      </w:numPr>
      <w:spacing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qFormat/>
    <w:rsid w:val="0038169B"/>
    <w:pPr>
      <w:tabs>
        <w:tab w:val="right" w:leader="dot" w:pos="9356"/>
      </w:tabs>
      <w:spacing w:before="0" w:line="360" w:lineRule="auto"/>
      <w:ind w:left="907" w:right="1134" w:hanging="907"/>
    </w:pPr>
    <w:rPr>
      <w:b/>
      <w:noProof/>
    </w:rPr>
  </w:style>
  <w:style w:type="paragraph" w:styleId="TOC5">
    <w:name w:val="toc 5"/>
    <w:aliases w:val="ESPON Index 5"/>
    <w:basedOn w:val="Normal"/>
    <w:next w:val="Normal"/>
    <w:autoRedefine/>
    <w:semiHidden/>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rsid w:val="00CF018B"/>
    <w:pPr>
      <w:tabs>
        <w:tab w:val="center" w:pos="4536"/>
        <w:tab w:val="right" w:pos="9072"/>
      </w:tabs>
    </w:pPr>
  </w:style>
  <w:style w:type="paragraph" w:styleId="TOC2">
    <w:name w:val="toc 2"/>
    <w:aliases w:val="ESPON Index 2"/>
    <w:basedOn w:val="Normal"/>
    <w:next w:val="Normal"/>
    <w:autoRedefine/>
    <w:uiPriority w:val="39"/>
    <w:qFormat/>
    <w:rsid w:val="00BB5A9A"/>
    <w:pPr>
      <w:tabs>
        <w:tab w:val="right" w:leader="dot" w:pos="9356"/>
      </w:tabs>
      <w:spacing w:line="360" w:lineRule="auto"/>
      <w:ind w:left="1191" w:right="1134" w:hanging="907"/>
    </w:pPr>
  </w:style>
  <w:style w:type="paragraph" w:styleId="TOC3">
    <w:name w:val="toc 3"/>
    <w:aliases w:val="ESPON Index 3"/>
    <w:basedOn w:val="Normal"/>
    <w:next w:val="Normal"/>
    <w:autoRedefine/>
    <w:uiPriority w:val="39"/>
    <w:qFormat/>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semiHidden/>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semiHidden/>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semiHidden/>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semiHidden/>
    <w:rsid w:val="00CF018B"/>
    <w:pPr>
      <w:ind w:left="1400"/>
    </w:pPr>
  </w:style>
  <w:style w:type="paragraph" w:styleId="TOC9">
    <w:name w:val="toc 9"/>
    <w:basedOn w:val="Normal"/>
    <w:next w:val="Normal"/>
    <w:autoRedefine/>
    <w:semiHidden/>
    <w:rsid w:val="00CF018B"/>
    <w:pPr>
      <w:ind w:left="1600"/>
    </w:pPr>
  </w:style>
  <w:style w:type="paragraph" w:styleId="Footer">
    <w:name w:val="footer"/>
    <w:basedOn w:val="Normal"/>
    <w:link w:val="FooterChar"/>
    <w:rsid w:val="00CF018B"/>
    <w:pPr>
      <w:tabs>
        <w:tab w:val="center" w:pos="4536"/>
        <w:tab w:val="right" w:pos="9072"/>
      </w:tabs>
    </w:pPr>
  </w:style>
  <w:style w:type="character" w:customStyle="1" w:styleId="Heading1Char">
    <w:name w:val="Heading 1 Char"/>
    <w:aliases w:val="ESPON Heading 1 Char"/>
    <w:basedOn w:val="DefaultParagraphFont"/>
    <w:link w:val="Heading1"/>
    <w:rsid w:val="00056948"/>
    <w:rPr>
      <w:rFonts w:ascii="Arial" w:hAnsi="Arial"/>
      <w:b/>
      <w:kern w:val="28"/>
      <w:sz w:val="28"/>
      <w:lang w:eastAsia="en-US"/>
    </w:rPr>
  </w:style>
  <w:style w:type="paragraph" w:styleId="Caption">
    <w:name w:val="caption"/>
    <w:basedOn w:val="Normal"/>
    <w:next w:val="Normal"/>
    <w:link w:val="CaptionChar"/>
    <w:qFormat/>
    <w:rsid w:val="00D95FA4"/>
    <w:rPr>
      <w:b/>
      <w:bCs/>
    </w:rPr>
  </w:style>
  <w:style w:type="table" w:styleId="TableGrid">
    <w:name w:val="Table Grid"/>
    <w:basedOn w:val="TableNormal"/>
    <w:rsid w:val="00AF6C49"/>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aliases w:val="ESPON Page No"/>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
    <w:basedOn w:val="Normal"/>
    <w:link w:val="FootnoteTextChar"/>
    <w:semiHidden/>
    <w:rsid w:val="00F75F62"/>
    <w:rPr>
      <w:sz w:val="20"/>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link w:val="ListParagraphChar"/>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
    <w:link w:val="FootnoteText"/>
    <w:semiHidden/>
    <w:locked/>
    <w:rsid w:val="0012683A"/>
    <w:rPr>
      <w:rFonts w:ascii="Arial" w:hAnsi="Arial"/>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Emphasis">
    <w:name w:val="Emphasis"/>
    <w:basedOn w:val="DefaultParagraphFont"/>
    <w:qFormat/>
    <w:rsid w:val="00132CC8"/>
    <w:rPr>
      <w:i/>
      <w:iCs/>
    </w:rPr>
  </w:style>
  <w:style w:type="table" w:styleId="TableSimple2">
    <w:name w:val="Table Simple 2"/>
    <w:basedOn w:val="TableNormal"/>
    <w:rsid w:val="00256BD2"/>
    <w:pPr>
      <w:spacing w:before="12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1">
    <w:name w:val="Table Simple 1"/>
    <w:basedOn w:val="TableNormal"/>
    <w:unhideWhenUsed/>
    <w:rsid w:val="00035444"/>
    <w:pPr>
      <w:spacing w:before="120"/>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3Deffects3">
    <w:name w:val="Table 3D effects 3"/>
    <w:basedOn w:val="TableNormal"/>
    <w:rsid w:val="00B56812"/>
    <w:pPr>
      <w:spacing w:before="120"/>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ListParagraphChar">
    <w:name w:val="List Paragraph Char"/>
    <w:link w:val="ListParagraph"/>
    <w:uiPriority w:val="99"/>
    <w:locked/>
    <w:rsid w:val="000A737F"/>
    <w:rPr>
      <w:rFonts w:ascii="Arial" w:hAnsi="Arial"/>
      <w:sz w:val="22"/>
      <w:lang w:eastAsia="en-US"/>
    </w:rPr>
  </w:style>
  <w:style w:type="paragraph" w:styleId="EndnoteText">
    <w:name w:val="endnote text"/>
    <w:basedOn w:val="Normal"/>
    <w:link w:val="EndnoteTextChar"/>
    <w:uiPriority w:val="99"/>
    <w:unhideWhenUsed/>
    <w:rsid w:val="0065456B"/>
    <w:pPr>
      <w:spacing w:before="0" w:line="240" w:lineRule="auto"/>
      <w:jc w:val="left"/>
    </w:pPr>
    <w:rPr>
      <w:rFonts w:asciiTheme="minorHAnsi" w:eastAsiaTheme="minorHAnsi" w:hAnsiTheme="minorHAnsi" w:cstheme="minorBidi"/>
      <w:sz w:val="20"/>
    </w:rPr>
  </w:style>
  <w:style w:type="character" w:customStyle="1" w:styleId="EndnoteTextChar">
    <w:name w:val="Endnote Text Char"/>
    <w:basedOn w:val="DefaultParagraphFont"/>
    <w:link w:val="EndnoteText"/>
    <w:uiPriority w:val="99"/>
    <w:rsid w:val="0065456B"/>
    <w:rPr>
      <w:rFonts w:asciiTheme="minorHAnsi" w:eastAsiaTheme="minorHAnsi" w:hAnsiTheme="minorHAnsi" w:cstheme="minorBidi"/>
      <w:lang w:eastAsia="en-US"/>
    </w:rPr>
  </w:style>
  <w:style w:type="character" w:styleId="EndnoteReference">
    <w:name w:val="endnote reference"/>
    <w:basedOn w:val="DefaultParagraphFont"/>
    <w:uiPriority w:val="99"/>
    <w:unhideWhenUsed/>
    <w:rsid w:val="0065456B"/>
    <w:rPr>
      <w:vertAlign w:val="superscript"/>
    </w:rPr>
  </w:style>
  <w:style w:type="paragraph" w:customStyle="1" w:styleId="Tblzatcm">
    <w:name w:val="Táblázatcím"/>
    <w:basedOn w:val="Caption"/>
    <w:link w:val="TblzatcmChar"/>
    <w:qFormat/>
    <w:rsid w:val="00552C28"/>
    <w:rPr>
      <w:i/>
    </w:rPr>
  </w:style>
  <w:style w:type="character" w:customStyle="1" w:styleId="TblzatcmChar">
    <w:name w:val="Táblázatcím Char"/>
    <w:basedOn w:val="DefaultParagraphFont"/>
    <w:link w:val="Tblzatcm"/>
    <w:rsid w:val="00552C28"/>
    <w:rPr>
      <w:rFonts w:ascii="Arial" w:hAnsi="Arial"/>
      <w:b/>
      <w:bCs/>
      <w:i/>
      <w:sz w:val="22"/>
      <w:lang w:eastAsia="en-US"/>
    </w:rPr>
  </w:style>
  <w:style w:type="character" w:customStyle="1" w:styleId="CaptionChar">
    <w:name w:val="Caption Char"/>
    <w:basedOn w:val="DefaultParagraphFont"/>
    <w:link w:val="Caption"/>
    <w:rsid w:val="006605CF"/>
    <w:rPr>
      <w:rFonts w:ascii="Arial" w:hAnsi="Arial"/>
      <w:b/>
      <w:bCs/>
      <w:sz w:val="22"/>
      <w:lang w:eastAsia="en-US"/>
    </w:rPr>
  </w:style>
  <w:style w:type="paragraph" w:styleId="TOCHeading">
    <w:name w:val="TOC Heading"/>
    <w:basedOn w:val="Heading1"/>
    <w:next w:val="Normal"/>
    <w:uiPriority w:val="39"/>
    <w:semiHidden/>
    <w:unhideWhenUsed/>
    <w:qFormat/>
    <w:rsid w:val="00BE1A9A"/>
    <w:pPr>
      <w:keepLines/>
      <w:numPr>
        <w:numId w:val="0"/>
      </w:numPr>
      <w:spacing w:after="0" w:line="276" w:lineRule="auto"/>
      <w:jc w:val="left"/>
      <w:outlineLvl w:val="9"/>
    </w:pPr>
    <w:rPr>
      <w:rFonts w:asciiTheme="majorHAnsi" w:eastAsiaTheme="majorEastAsia" w:hAnsiTheme="majorHAnsi" w:cstheme="majorBidi"/>
      <w:bCs/>
      <w:color w:val="365F91" w:themeColor="accent1" w:themeShade="BF"/>
      <w:kern w:val="0"/>
      <w:szCs w:val="28"/>
      <w:lang w:val="en-US" w:eastAsia="ja-JP"/>
    </w:rPr>
  </w:style>
  <w:style w:type="paragraph" w:customStyle="1" w:styleId="ESPONTableHeading">
    <w:name w:val="ESPON Table Heading"/>
    <w:basedOn w:val="ESPONText"/>
    <w:next w:val="ESPONText"/>
    <w:rsid w:val="00C21326"/>
    <w:pPr>
      <w:numPr>
        <w:numId w:val="24"/>
      </w:numPr>
      <w:tabs>
        <w:tab w:val="clear" w:pos="1440"/>
      </w:tabs>
      <w:spacing w:before="120" w:line="240" w:lineRule="atLeast"/>
      <w:jc w:val="left"/>
      <w:outlineLvl w:val="6"/>
    </w:pPr>
    <w:rPr>
      <w:rFonts w:ascii="Verdana" w:hAnsi="Verdana"/>
      <w:b/>
      <w:sz w:val="20"/>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table of figures" w:uiPriority="99"/>
    <w:lsdException w:name="endnote reference" w:uiPriority="99"/>
    <w:lsdException w:name="endnote text" w:uiPriority="99"/>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0750A5"/>
    <w:pPr>
      <w:spacing w:before="120"/>
    </w:pPr>
    <w:rPr>
      <w:rFonts w:ascii="Arial" w:hAnsi="Arial"/>
      <w:sz w:val="22"/>
      <w:lang w:eastAsia="en-US"/>
    </w:rPr>
  </w:style>
  <w:style w:type="paragraph" w:styleId="Heading1">
    <w:name w:val="heading 1"/>
    <w:aliases w:val="ESPON Heading 1"/>
    <w:basedOn w:val="Normal"/>
    <w:next w:val="Normal"/>
    <w:link w:val="Heading1Char"/>
    <w:qFormat/>
    <w:rsid w:val="00637487"/>
    <w:pPr>
      <w:keepNext/>
      <w:numPr>
        <w:numId w:val="1"/>
      </w:numPr>
      <w:tabs>
        <w:tab w:val="clear" w:pos="510"/>
        <w:tab w:val="num" w:pos="936"/>
      </w:tabs>
      <w:spacing w:before="480" w:after="120"/>
      <w:ind w:left="936"/>
      <w:outlineLvl w:val="0"/>
    </w:pPr>
    <w:rPr>
      <w:b/>
      <w:kern w:val="28"/>
      <w:sz w:val="28"/>
    </w:rPr>
  </w:style>
  <w:style w:type="paragraph" w:styleId="Heading2">
    <w:name w:val="heading 2"/>
    <w:aliases w:val="ESPON Heading 2"/>
    <w:basedOn w:val="Normal"/>
    <w:next w:val="Normal"/>
    <w:qFormat/>
    <w:rsid w:val="00AE5E68"/>
    <w:pPr>
      <w:keepNext/>
      <w:numPr>
        <w:ilvl w:val="1"/>
        <w:numId w:val="1"/>
      </w:numPr>
      <w:tabs>
        <w:tab w:val="clear" w:pos="5274"/>
      </w:tabs>
      <w:spacing w:after="120"/>
      <w:ind w:left="737"/>
      <w:outlineLvl w:val="1"/>
    </w:pPr>
    <w:rPr>
      <w:b/>
      <w:sz w:val="24"/>
    </w:rPr>
  </w:style>
  <w:style w:type="paragraph" w:styleId="Heading3">
    <w:name w:val="heading 3"/>
    <w:aliases w:val="ESPON Heading 3"/>
    <w:basedOn w:val="Normal"/>
    <w:next w:val="Normal"/>
    <w:qFormat/>
    <w:rsid w:val="00AF6C49"/>
    <w:pPr>
      <w:keepNext/>
      <w:numPr>
        <w:ilvl w:val="2"/>
        <w:numId w:val="1"/>
      </w:numPr>
      <w:spacing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qFormat/>
    <w:rsid w:val="0038169B"/>
    <w:pPr>
      <w:tabs>
        <w:tab w:val="right" w:leader="dot" w:pos="9356"/>
      </w:tabs>
      <w:spacing w:before="0" w:line="360" w:lineRule="auto"/>
      <w:ind w:left="907" w:right="1134" w:hanging="907"/>
    </w:pPr>
    <w:rPr>
      <w:b/>
      <w:noProof/>
    </w:rPr>
  </w:style>
  <w:style w:type="paragraph" w:styleId="TOC5">
    <w:name w:val="toc 5"/>
    <w:aliases w:val="ESPON Index 5"/>
    <w:basedOn w:val="Normal"/>
    <w:next w:val="Normal"/>
    <w:autoRedefine/>
    <w:semiHidden/>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rsid w:val="00CF018B"/>
    <w:pPr>
      <w:tabs>
        <w:tab w:val="center" w:pos="4536"/>
        <w:tab w:val="right" w:pos="9072"/>
      </w:tabs>
    </w:pPr>
  </w:style>
  <w:style w:type="paragraph" w:styleId="TOC2">
    <w:name w:val="toc 2"/>
    <w:aliases w:val="ESPON Index 2"/>
    <w:basedOn w:val="Normal"/>
    <w:next w:val="Normal"/>
    <w:autoRedefine/>
    <w:uiPriority w:val="39"/>
    <w:qFormat/>
    <w:rsid w:val="00BB5A9A"/>
    <w:pPr>
      <w:tabs>
        <w:tab w:val="right" w:leader="dot" w:pos="9356"/>
      </w:tabs>
      <w:spacing w:line="360" w:lineRule="auto"/>
      <w:ind w:left="1191" w:right="1134" w:hanging="907"/>
    </w:pPr>
  </w:style>
  <w:style w:type="paragraph" w:styleId="TOC3">
    <w:name w:val="toc 3"/>
    <w:aliases w:val="ESPON Index 3"/>
    <w:basedOn w:val="Normal"/>
    <w:next w:val="Normal"/>
    <w:autoRedefine/>
    <w:uiPriority w:val="39"/>
    <w:qFormat/>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semiHidden/>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semiHidden/>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semiHidden/>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semiHidden/>
    <w:rsid w:val="00CF018B"/>
    <w:pPr>
      <w:ind w:left="1400"/>
    </w:pPr>
  </w:style>
  <w:style w:type="paragraph" w:styleId="TOC9">
    <w:name w:val="toc 9"/>
    <w:basedOn w:val="Normal"/>
    <w:next w:val="Normal"/>
    <w:autoRedefine/>
    <w:semiHidden/>
    <w:rsid w:val="00CF018B"/>
    <w:pPr>
      <w:ind w:left="1600"/>
    </w:pPr>
  </w:style>
  <w:style w:type="paragraph" w:styleId="Footer">
    <w:name w:val="footer"/>
    <w:basedOn w:val="Normal"/>
    <w:link w:val="FooterChar"/>
    <w:rsid w:val="00CF018B"/>
    <w:pPr>
      <w:tabs>
        <w:tab w:val="center" w:pos="4536"/>
        <w:tab w:val="right" w:pos="9072"/>
      </w:tabs>
    </w:pPr>
  </w:style>
  <w:style w:type="character" w:customStyle="1" w:styleId="Heading1Char">
    <w:name w:val="Heading 1 Char"/>
    <w:aliases w:val="ESPON Heading 1 Char"/>
    <w:basedOn w:val="DefaultParagraphFont"/>
    <w:link w:val="Heading1"/>
    <w:rsid w:val="00056948"/>
    <w:rPr>
      <w:rFonts w:ascii="Arial" w:hAnsi="Arial"/>
      <w:b/>
      <w:kern w:val="28"/>
      <w:sz w:val="28"/>
      <w:lang w:eastAsia="en-US"/>
    </w:rPr>
  </w:style>
  <w:style w:type="paragraph" w:styleId="Caption">
    <w:name w:val="caption"/>
    <w:basedOn w:val="Normal"/>
    <w:next w:val="Normal"/>
    <w:link w:val="CaptionChar"/>
    <w:qFormat/>
    <w:rsid w:val="00D95FA4"/>
    <w:rPr>
      <w:b/>
      <w:bCs/>
    </w:rPr>
  </w:style>
  <w:style w:type="table" w:styleId="TableGrid">
    <w:name w:val="Table Grid"/>
    <w:basedOn w:val="TableNormal"/>
    <w:rsid w:val="00AF6C49"/>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aliases w:val="ESPON Page No"/>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
    <w:basedOn w:val="Normal"/>
    <w:link w:val="FootnoteTextChar"/>
    <w:semiHidden/>
    <w:rsid w:val="00F75F62"/>
    <w:rPr>
      <w:sz w:val="20"/>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link w:val="ListParagraphChar"/>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
    <w:link w:val="FootnoteText"/>
    <w:semiHidden/>
    <w:locked/>
    <w:rsid w:val="0012683A"/>
    <w:rPr>
      <w:rFonts w:ascii="Arial" w:hAnsi="Arial"/>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Emphasis">
    <w:name w:val="Emphasis"/>
    <w:basedOn w:val="DefaultParagraphFont"/>
    <w:qFormat/>
    <w:rsid w:val="00132CC8"/>
    <w:rPr>
      <w:i/>
      <w:iCs/>
    </w:rPr>
  </w:style>
  <w:style w:type="table" w:styleId="TableSimple2">
    <w:name w:val="Table Simple 2"/>
    <w:basedOn w:val="TableNormal"/>
    <w:rsid w:val="00256BD2"/>
    <w:pPr>
      <w:spacing w:before="12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1">
    <w:name w:val="Table Simple 1"/>
    <w:basedOn w:val="TableNormal"/>
    <w:unhideWhenUsed/>
    <w:rsid w:val="00035444"/>
    <w:pPr>
      <w:spacing w:before="120"/>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3Deffects3">
    <w:name w:val="Table 3D effects 3"/>
    <w:basedOn w:val="TableNormal"/>
    <w:rsid w:val="00B56812"/>
    <w:pPr>
      <w:spacing w:before="12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ListParagraphChar">
    <w:name w:val="List Paragraph Char"/>
    <w:link w:val="ListParagraph"/>
    <w:uiPriority w:val="99"/>
    <w:locked/>
    <w:rsid w:val="000A737F"/>
    <w:rPr>
      <w:rFonts w:ascii="Arial" w:hAnsi="Arial"/>
      <w:sz w:val="22"/>
      <w:lang w:eastAsia="en-US"/>
    </w:rPr>
  </w:style>
  <w:style w:type="paragraph" w:styleId="EndnoteText">
    <w:name w:val="endnote text"/>
    <w:basedOn w:val="Normal"/>
    <w:link w:val="EndnoteTextChar"/>
    <w:uiPriority w:val="99"/>
    <w:unhideWhenUsed/>
    <w:rsid w:val="0065456B"/>
    <w:pPr>
      <w:spacing w:before="0" w:line="240" w:lineRule="auto"/>
      <w:jc w:val="left"/>
    </w:pPr>
    <w:rPr>
      <w:rFonts w:asciiTheme="minorHAnsi" w:eastAsiaTheme="minorHAnsi" w:hAnsiTheme="minorHAnsi" w:cstheme="minorBidi"/>
      <w:sz w:val="20"/>
    </w:rPr>
  </w:style>
  <w:style w:type="character" w:customStyle="1" w:styleId="EndnoteTextChar">
    <w:name w:val="Endnote Text Char"/>
    <w:basedOn w:val="DefaultParagraphFont"/>
    <w:link w:val="EndnoteText"/>
    <w:uiPriority w:val="99"/>
    <w:rsid w:val="0065456B"/>
    <w:rPr>
      <w:rFonts w:asciiTheme="minorHAnsi" w:eastAsiaTheme="minorHAnsi" w:hAnsiTheme="minorHAnsi" w:cstheme="minorBidi"/>
      <w:lang w:eastAsia="en-US"/>
    </w:rPr>
  </w:style>
  <w:style w:type="character" w:styleId="EndnoteReference">
    <w:name w:val="endnote reference"/>
    <w:basedOn w:val="DefaultParagraphFont"/>
    <w:uiPriority w:val="99"/>
    <w:unhideWhenUsed/>
    <w:rsid w:val="0065456B"/>
    <w:rPr>
      <w:vertAlign w:val="superscript"/>
    </w:rPr>
  </w:style>
  <w:style w:type="paragraph" w:customStyle="1" w:styleId="Tblzatcm">
    <w:name w:val="Táblázatcím"/>
    <w:basedOn w:val="Caption"/>
    <w:link w:val="TblzatcmChar"/>
    <w:qFormat/>
    <w:rsid w:val="00552C28"/>
    <w:rPr>
      <w:i/>
    </w:rPr>
  </w:style>
  <w:style w:type="character" w:customStyle="1" w:styleId="TblzatcmChar">
    <w:name w:val="Táblázatcím Char"/>
    <w:basedOn w:val="DefaultParagraphFont"/>
    <w:link w:val="Tblzatcm"/>
    <w:rsid w:val="00552C28"/>
    <w:rPr>
      <w:rFonts w:ascii="Arial" w:hAnsi="Arial"/>
      <w:b/>
      <w:bCs/>
      <w:i/>
      <w:sz w:val="22"/>
      <w:lang w:eastAsia="en-US"/>
    </w:rPr>
  </w:style>
  <w:style w:type="character" w:customStyle="1" w:styleId="CaptionChar">
    <w:name w:val="Caption Char"/>
    <w:basedOn w:val="DefaultParagraphFont"/>
    <w:link w:val="Caption"/>
    <w:rsid w:val="006605CF"/>
    <w:rPr>
      <w:rFonts w:ascii="Arial" w:hAnsi="Arial"/>
      <w:b/>
      <w:bCs/>
      <w:sz w:val="22"/>
      <w:lang w:eastAsia="en-US"/>
    </w:rPr>
  </w:style>
  <w:style w:type="paragraph" w:styleId="TOCHeading">
    <w:name w:val="TOC Heading"/>
    <w:basedOn w:val="Heading1"/>
    <w:next w:val="Normal"/>
    <w:uiPriority w:val="39"/>
    <w:semiHidden/>
    <w:unhideWhenUsed/>
    <w:qFormat/>
    <w:rsid w:val="00BE1A9A"/>
    <w:pPr>
      <w:keepLines/>
      <w:numPr>
        <w:numId w:val="0"/>
      </w:numPr>
      <w:spacing w:after="0" w:line="276" w:lineRule="auto"/>
      <w:jc w:val="left"/>
      <w:outlineLvl w:val="9"/>
    </w:pPr>
    <w:rPr>
      <w:rFonts w:asciiTheme="majorHAnsi" w:eastAsiaTheme="majorEastAsia" w:hAnsiTheme="majorHAnsi" w:cstheme="majorBidi"/>
      <w:bCs/>
      <w:color w:val="365F91" w:themeColor="accent1" w:themeShade="BF"/>
      <w:kern w:val="0"/>
      <w:szCs w:val="28"/>
      <w:lang w:val="en-US" w:eastAsia="ja-JP"/>
    </w:rPr>
  </w:style>
  <w:style w:type="paragraph" w:customStyle="1" w:styleId="ESPONTableHeading">
    <w:name w:val="ESPON Table Heading"/>
    <w:basedOn w:val="ESPONText"/>
    <w:next w:val="ESPONText"/>
    <w:rsid w:val="00C21326"/>
    <w:pPr>
      <w:numPr>
        <w:numId w:val="24"/>
      </w:numPr>
      <w:tabs>
        <w:tab w:val="clear" w:pos="1440"/>
      </w:tabs>
      <w:spacing w:before="120" w:line="240" w:lineRule="atLeast"/>
      <w:jc w:val="left"/>
      <w:outlineLvl w:val="6"/>
    </w:pPr>
    <w:rPr>
      <w:rFonts w:ascii="Verdana" w:hAnsi="Verdana"/>
      <w:b/>
      <w:sz w:val="20"/>
      <w:lang w:eastAsia="en-US"/>
    </w:rPr>
  </w:style>
</w:styles>
</file>

<file path=word/webSettings.xml><?xml version="1.0" encoding="utf-8"?>
<w:webSettings xmlns:r="http://schemas.openxmlformats.org/officeDocument/2006/relationships" xmlns:w="http://schemas.openxmlformats.org/wordprocessingml/2006/main">
  <w:divs>
    <w:div w:id="17514260">
      <w:bodyDiv w:val="1"/>
      <w:marLeft w:val="0"/>
      <w:marRight w:val="0"/>
      <w:marTop w:val="0"/>
      <w:marBottom w:val="0"/>
      <w:divBdr>
        <w:top w:val="none" w:sz="0" w:space="0" w:color="auto"/>
        <w:left w:val="none" w:sz="0" w:space="0" w:color="auto"/>
        <w:bottom w:val="none" w:sz="0" w:space="0" w:color="auto"/>
        <w:right w:val="none" w:sz="0" w:space="0" w:color="auto"/>
      </w:divBdr>
    </w:div>
    <w:div w:id="412357200">
      <w:bodyDiv w:val="1"/>
      <w:marLeft w:val="0"/>
      <w:marRight w:val="0"/>
      <w:marTop w:val="0"/>
      <w:marBottom w:val="0"/>
      <w:divBdr>
        <w:top w:val="none" w:sz="0" w:space="0" w:color="auto"/>
        <w:left w:val="none" w:sz="0" w:space="0" w:color="auto"/>
        <w:bottom w:val="none" w:sz="0" w:space="0" w:color="auto"/>
        <w:right w:val="none" w:sz="0" w:space="0" w:color="auto"/>
      </w:divBdr>
    </w:div>
    <w:div w:id="505171505">
      <w:bodyDiv w:val="1"/>
      <w:marLeft w:val="0"/>
      <w:marRight w:val="0"/>
      <w:marTop w:val="0"/>
      <w:marBottom w:val="0"/>
      <w:divBdr>
        <w:top w:val="none" w:sz="0" w:space="0" w:color="auto"/>
        <w:left w:val="none" w:sz="0" w:space="0" w:color="auto"/>
        <w:bottom w:val="none" w:sz="0" w:space="0" w:color="auto"/>
        <w:right w:val="none" w:sz="0" w:space="0" w:color="auto"/>
      </w:divBdr>
    </w:div>
    <w:div w:id="620189485">
      <w:bodyDiv w:val="1"/>
      <w:marLeft w:val="0"/>
      <w:marRight w:val="0"/>
      <w:marTop w:val="0"/>
      <w:marBottom w:val="0"/>
      <w:divBdr>
        <w:top w:val="none" w:sz="0" w:space="0" w:color="auto"/>
        <w:left w:val="none" w:sz="0" w:space="0" w:color="auto"/>
        <w:bottom w:val="none" w:sz="0" w:space="0" w:color="auto"/>
        <w:right w:val="none" w:sz="0" w:space="0" w:color="auto"/>
      </w:divBdr>
    </w:div>
    <w:div w:id="856699746">
      <w:bodyDiv w:val="1"/>
      <w:marLeft w:val="0"/>
      <w:marRight w:val="0"/>
      <w:marTop w:val="0"/>
      <w:marBottom w:val="0"/>
      <w:divBdr>
        <w:top w:val="none" w:sz="0" w:space="0" w:color="auto"/>
        <w:left w:val="none" w:sz="0" w:space="0" w:color="auto"/>
        <w:bottom w:val="none" w:sz="0" w:space="0" w:color="auto"/>
        <w:right w:val="none" w:sz="0" w:space="0" w:color="auto"/>
      </w:divBdr>
    </w:div>
    <w:div w:id="1117338040">
      <w:bodyDiv w:val="1"/>
      <w:marLeft w:val="0"/>
      <w:marRight w:val="0"/>
      <w:marTop w:val="0"/>
      <w:marBottom w:val="0"/>
      <w:divBdr>
        <w:top w:val="none" w:sz="0" w:space="0" w:color="auto"/>
        <w:left w:val="none" w:sz="0" w:space="0" w:color="auto"/>
        <w:bottom w:val="none" w:sz="0" w:space="0" w:color="auto"/>
        <w:right w:val="none" w:sz="0" w:space="0" w:color="auto"/>
      </w:divBdr>
    </w:div>
    <w:div w:id="1257787801">
      <w:bodyDiv w:val="1"/>
      <w:marLeft w:val="0"/>
      <w:marRight w:val="0"/>
      <w:marTop w:val="0"/>
      <w:marBottom w:val="0"/>
      <w:divBdr>
        <w:top w:val="none" w:sz="0" w:space="0" w:color="auto"/>
        <w:left w:val="none" w:sz="0" w:space="0" w:color="auto"/>
        <w:bottom w:val="none" w:sz="0" w:space="0" w:color="auto"/>
        <w:right w:val="none" w:sz="0" w:space="0" w:color="auto"/>
      </w:divBdr>
    </w:div>
    <w:div w:id="1299992962">
      <w:bodyDiv w:val="1"/>
      <w:marLeft w:val="0"/>
      <w:marRight w:val="0"/>
      <w:marTop w:val="0"/>
      <w:marBottom w:val="0"/>
      <w:divBdr>
        <w:top w:val="none" w:sz="0" w:space="0" w:color="auto"/>
        <w:left w:val="none" w:sz="0" w:space="0" w:color="auto"/>
        <w:bottom w:val="none" w:sz="0" w:space="0" w:color="auto"/>
        <w:right w:val="none" w:sz="0" w:space="0" w:color="auto"/>
      </w:divBdr>
    </w:div>
    <w:div w:id="1394499028">
      <w:bodyDiv w:val="1"/>
      <w:marLeft w:val="0"/>
      <w:marRight w:val="0"/>
      <w:marTop w:val="0"/>
      <w:marBottom w:val="0"/>
      <w:divBdr>
        <w:top w:val="none" w:sz="0" w:space="0" w:color="auto"/>
        <w:left w:val="none" w:sz="0" w:space="0" w:color="auto"/>
        <w:bottom w:val="none" w:sz="0" w:space="0" w:color="auto"/>
        <w:right w:val="none" w:sz="0" w:space="0" w:color="auto"/>
      </w:divBdr>
    </w:div>
    <w:div w:id="1404446577">
      <w:bodyDiv w:val="1"/>
      <w:marLeft w:val="0"/>
      <w:marRight w:val="0"/>
      <w:marTop w:val="0"/>
      <w:marBottom w:val="0"/>
      <w:divBdr>
        <w:top w:val="none" w:sz="0" w:space="0" w:color="auto"/>
        <w:left w:val="none" w:sz="0" w:space="0" w:color="auto"/>
        <w:bottom w:val="none" w:sz="0" w:space="0" w:color="auto"/>
        <w:right w:val="none" w:sz="0" w:space="0" w:color="auto"/>
      </w:divBdr>
    </w:div>
    <w:div w:id="1451822145">
      <w:bodyDiv w:val="1"/>
      <w:marLeft w:val="0"/>
      <w:marRight w:val="0"/>
      <w:marTop w:val="0"/>
      <w:marBottom w:val="0"/>
      <w:divBdr>
        <w:top w:val="none" w:sz="0" w:space="0" w:color="auto"/>
        <w:left w:val="none" w:sz="0" w:space="0" w:color="auto"/>
        <w:bottom w:val="none" w:sz="0" w:space="0" w:color="auto"/>
        <w:right w:val="none" w:sz="0" w:space="0" w:color="auto"/>
      </w:divBdr>
    </w:div>
    <w:div w:id="1862543561">
      <w:bodyDiv w:val="1"/>
      <w:marLeft w:val="0"/>
      <w:marRight w:val="0"/>
      <w:marTop w:val="0"/>
      <w:marBottom w:val="0"/>
      <w:divBdr>
        <w:top w:val="none" w:sz="0" w:space="0" w:color="auto"/>
        <w:left w:val="none" w:sz="0" w:space="0" w:color="auto"/>
        <w:bottom w:val="none" w:sz="0" w:space="0" w:color="auto"/>
        <w:right w:val="none" w:sz="0" w:space="0" w:color="auto"/>
      </w:divBdr>
    </w:div>
    <w:div w:id="2040083337">
      <w:bodyDiv w:val="1"/>
      <w:marLeft w:val="0"/>
      <w:marRight w:val="0"/>
      <w:marTop w:val="0"/>
      <w:marBottom w:val="0"/>
      <w:divBdr>
        <w:top w:val="none" w:sz="0" w:space="0" w:color="auto"/>
        <w:left w:val="none" w:sz="0" w:space="0" w:color="auto"/>
        <w:bottom w:val="none" w:sz="0" w:space="0" w:color="auto"/>
        <w:right w:val="none" w:sz="0" w:space="0" w:color="auto"/>
      </w:divBdr>
    </w:div>
    <w:div w:id="2124616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yperlink" Target="http://www.jrf.org.uk/sites/files/jrf/minimum-income-standards-rural-full.pdf" TargetMode="External"/><Relationship Id="rId38"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hyperlink" Target="http://ec.europa.eu/regional_policy/archive/consultation/terco/consultation_en.htm" TargetMode="External"/><Relationship Id="rId41"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4.png"/><Relationship Id="rId32" Type="http://schemas.openxmlformats.org/officeDocument/2006/relationships/hyperlink" Target="http://www.hie.co.uk/regional-information/economic-reports-and-research/archive/a-minimum-income-standard-for-remote-rural-scotland.html"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tiff"/><Relationship Id="rId36" Type="http://schemas.openxmlformats.org/officeDocument/2006/relationships/image" Target="media/image19.png"/><Relationship Id="rId10" Type="http://schemas.openxmlformats.org/officeDocument/2006/relationships/hyperlink" Target="http://www.espon.eu" TargetMode="External"/><Relationship Id="rId19" Type="http://schemas.openxmlformats.org/officeDocument/2006/relationships/image" Target="media/image9.jpeg"/><Relationship Id="rId31" Type="http://schemas.openxmlformats.org/officeDocument/2006/relationships/hyperlink" Target="http://www.eu-territorial-agenda.eu/Reference%20Documents/Forms/AllItems.aspx"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www.eu-territorial-agenda.eu/Reference%20Documents/Forms/AllItems.aspx" TargetMode="External"/><Relationship Id="rId35" Type="http://schemas.openxmlformats.org/officeDocument/2006/relationships/footer" Target="footer4.xml"/></Relationships>
</file>

<file path=word/_rels/footnotes.xml.rels><?xml version="1.0" encoding="UTF-8" standalone="yes"?>
<Relationships xmlns="http://schemas.openxmlformats.org/package/2006/relationships"><Relationship Id="rId3" Type="http://schemas.openxmlformats.org/officeDocument/2006/relationships/hyperlink" Target="http://www.espon.eu/main/Menu_ToolsandMaps/ESPONTypologies/" TargetMode="External"/><Relationship Id="rId2" Type="http://schemas.openxmlformats.org/officeDocument/2006/relationships/hyperlink" Target="http://ec.europa.eu/europe2020/pdf/targets_en.pdf" TargetMode="External"/><Relationship Id="rId1" Type="http://schemas.openxmlformats.org/officeDocument/2006/relationships/hyperlink" Target="http://epp.eurostat.ec.europa.eu/statistics_explained/index.php/Statistics_on_income_and_living_conditions_by_degree_of_urbanis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12831D-5B68-482A-B80B-CA109DBEA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63</Pages>
  <Words>18375</Words>
  <Characters>105811</Characters>
  <Application>Microsoft Office Word</Application>
  <DocSecurity>0</DocSecurity>
  <Lines>881</Lines>
  <Paragraphs>247</Paragraphs>
  <ScaleCrop>false</ScaleCrop>
  <HeadingPairs>
    <vt:vector size="2" baseType="variant">
      <vt:variant>
        <vt:lpstr>Title</vt:lpstr>
      </vt:variant>
      <vt:variant>
        <vt:i4>1</vt:i4>
      </vt:variant>
    </vt:vector>
  </HeadingPairs>
  <TitlesOfParts>
    <vt:vector size="1" baseType="lpstr">
      <vt:lpstr>Version 1 22/09/2008</vt:lpstr>
    </vt:vector>
  </TitlesOfParts>
  <Company>BBR</Company>
  <LinksUpToDate>false</LinksUpToDate>
  <CharactersWithSpaces>123939</CharactersWithSpaces>
  <SharedDoc>false</SharedDoc>
  <HLinks>
    <vt:vector size="408" baseType="variant">
      <vt:variant>
        <vt:i4>1835105</vt:i4>
      </vt:variant>
      <vt:variant>
        <vt:i4>531</vt:i4>
      </vt:variant>
      <vt:variant>
        <vt:i4>0</vt:i4>
      </vt:variant>
      <vt:variant>
        <vt:i4>5</vt:i4>
      </vt:variant>
      <vt:variant>
        <vt:lpwstr>http://www.espon.eu/main/Menu_Projects/Menu_ESPON2006Projects/Menu_StudiesScientificSupportProjects/smallandmediumcities.html</vt:lpwstr>
      </vt:variant>
      <vt:variant>
        <vt:lpwstr/>
      </vt:variant>
      <vt:variant>
        <vt:i4>6029340</vt:i4>
      </vt:variant>
      <vt:variant>
        <vt:i4>528</vt:i4>
      </vt:variant>
      <vt:variant>
        <vt:i4>0</vt:i4>
      </vt:variant>
      <vt:variant>
        <vt:i4>5</vt:i4>
      </vt:variant>
      <vt:variant>
        <vt:lpwstr>http://www.abdn.ac.uk/irr/arkleton/conf2000/papers.shtml</vt:lpwstr>
      </vt:variant>
      <vt:variant>
        <vt:lpwstr/>
      </vt:variant>
      <vt:variant>
        <vt:i4>4063279</vt:i4>
      </vt:variant>
      <vt:variant>
        <vt:i4>525</vt:i4>
      </vt:variant>
      <vt:variant>
        <vt:i4>0</vt:i4>
      </vt:variant>
      <vt:variant>
        <vt:i4>5</vt:i4>
      </vt:variant>
      <vt:variant>
        <vt:lpwstr>http://ec.europa.eu/regional_policy/sources/docoffic/official/reports/cohesion5/index_en.cfm</vt:lpwstr>
      </vt:variant>
      <vt:variant>
        <vt:lpwstr/>
      </vt:variant>
      <vt:variant>
        <vt:i4>8126554</vt:i4>
      </vt:variant>
      <vt:variant>
        <vt:i4>522</vt:i4>
      </vt:variant>
      <vt:variant>
        <vt:i4>0</vt:i4>
      </vt:variant>
      <vt:variant>
        <vt:i4>5</vt:i4>
      </vt:variant>
      <vt:variant>
        <vt:lpwstr>http://ec.europa.eu/agriculture/cap-post-2013/communication/index_en.htm</vt:lpwstr>
      </vt:variant>
      <vt:variant>
        <vt:lpwstr/>
      </vt:variant>
      <vt:variant>
        <vt:i4>2883679</vt:i4>
      </vt:variant>
      <vt:variant>
        <vt:i4>519</vt:i4>
      </vt:variant>
      <vt:variant>
        <vt:i4>0</vt:i4>
      </vt:variant>
      <vt:variant>
        <vt:i4>5</vt:i4>
      </vt:variant>
      <vt:variant>
        <vt:lpwstr>http://ec.europa.eu/regional_policy/sources/docgener/focus/2008_01_rural.pdf</vt:lpwstr>
      </vt:variant>
      <vt:variant>
        <vt:lpwstr/>
      </vt:variant>
      <vt:variant>
        <vt:i4>1507331</vt:i4>
      </vt:variant>
      <vt:variant>
        <vt:i4>516</vt:i4>
      </vt:variant>
      <vt:variant>
        <vt:i4>0</vt:i4>
      </vt:variant>
      <vt:variant>
        <vt:i4>5</vt:i4>
      </vt:variant>
      <vt:variant>
        <vt:lpwstr>http://www.espon.eu/main/Menu_Projects/Menu_AppliedResearch/demifer.html</vt:lpwstr>
      </vt:variant>
      <vt:variant>
        <vt:lpwstr/>
      </vt:variant>
      <vt:variant>
        <vt:i4>7995501</vt:i4>
      </vt:variant>
      <vt:variant>
        <vt:i4>513</vt:i4>
      </vt:variant>
      <vt:variant>
        <vt:i4>0</vt:i4>
      </vt:variant>
      <vt:variant>
        <vt:i4>5</vt:i4>
      </vt:variant>
      <vt:variant>
        <vt:lpwstr>http://www.eu-territorial-agenda.eu/Pages/Default.aspx</vt:lpwstr>
      </vt:variant>
      <vt:variant>
        <vt:lpwstr/>
      </vt:variant>
      <vt:variant>
        <vt:i4>2097188</vt:i4>
      </vt:variant>
      <vt:variant>
        <vt:i4>510</vt:i4>
      </vt:variant>
      <vt:variant>
        <vt:i4>0</vt:i4>
      </vt:variant>
      <vt:variant>
        <vt:i4>5</vt:i4>
      </vt:variant>
      <vt:variant>
        <vt:lpwstr>http://www.espon.eu/main/Menu_Projects/Menu_AppliedResearch/tiptap.html</vt:lpwstr>
      </vt:variant>
      <vt:variant>
        <vt:lpwstr/>
      </vt:variant>
      <vt:variant>
        <vt:i4>8061041</vt:i4>
      </vt:variant>
      <vt:variant>
        <vt:i4>507</vt:i4>
      </vt:variant>
      <vt:variant>
        <vt:i4>0</vt:i4>
      </vt:variant>
      <vt:variant>
        <vt:i4>5</vt:i4>
      </vt:variant>
      <vt:variant>
        <vt:lpwstr>http://www.espon.eu/main/Menu_Projects/Menu_ScientificPlatform/typologycompilation.html</vt:lpwstr>
      </vt:variant>
      <vt:variant>
        <vt:lpwstr/>
      </vt:variant>
      <vt:variant>
        <vt:i4>7340057</vt:i4>
      </vt:variant>
      <vt:variant>
        <vt:i4>504</vt:i4>
      </vt:variant>
      <vt:variant>
        <vt:i4>0</vt:i4>
      </vt:variant>
      <vt:variant>
        <vt:i4>5</vt:i4>
      </vt:variant>
      <vt:variant>
        <vt:lpwstr>http://www.espon.eu/main/Menu_Projects/Menu_ESPON2006Projects/Menu_ThematicProjects/urbanrural.html</vt:lpwstr>
      </vt:variant>
      <vt:variant>
        <vt:lpwstr/>
      </vt:variant>
      <vt:variant>
        <vt:i4>1441845</vt:i4>
      </vt:variant>
      <vt:variant>
        <vt:i4>350</vt:i4>
      </vt:variant>
      <vt:variant>
        <vt:i4>0</vt:i4>
      </vt:variant>
      <vt:variant>
        <vt:i4>5</vt:i4>
      </vt:variant>
      <vt:variant>
        <vt:lpwstr/>
      </vt:variant>
      <vt:variant>
        <vt:lpwstr>_Toc287882830</vt:lpwstr>
      </vt:variant>
      <vt:variant>
        <vt:i4>1507381</vt:i4>
      </vt:variant>
      <vt:variant>
        <vt:i4>344</vt:i4>
      </vt:variant>
      <vt:variant>
        <vt:i4>0</vt:i4>
      </vt:variant>
      <vt:variant>
        <vt:i4>5</vt:i4>
      </vt:variant>
      <vt:variant>
        <vt:lpwstr/>
      </vt:variant>
      <vt:variant>
        <vt:lpwstr>_Toc287882829</vt:lpwstr>
      </vt:variant>
      <vt:variant>
        <vt:i4>1507381</vt:i4>
      </vt:variant>
      <vt:variant>
        <vt:i4>338</vt:i4>
      </vt:variant>
      <vt:variant>
        <vt:i4>0</vt:i4>
      </vt:variant>
      <vt:variant>
        <vt:i4>5</vt:i4>
      </vt:variant>
      <vt:variant>
        <vt:lpwstr/>
      </vt:variant>
      <vt:variant>
        <vt:lpwstr>_Toc287882828</vt:lpwstr>
      </vt:variant>
      <vt:variant>
        <vt:i4>1507381</vt:i4>
      </vt:variant>
      <vt:variant>
        <vt:i4>332</vt:i4>
      </vt:variant>
      <vt:variant>
        <vt:i4>0</vt:i4>
      </vt:variant>
      <vt:variant>
        <vt:i4>5</vt:i4>
      </vt:variant>
      <vt:variant>
        <vt:lpwstr/>
      </vt:variant>
      <vt:variant>
        <vt:lpwstr>_Toc287882827</vt:lpwstr>
      </vt:variant>
      <vt:variant>
        <vt:i4>1507381</vt:i4>
      </vt:variant>
      <vt:variant>
        <vt:i4>323</vt:i4>
      </vt:variant>
      <vt:variant>
        <vt:i4>0</vt:i4>
      </vt:variant>
      <vt:variant>
        <vt:i4>5</vt:i4>
      </vt:variant>
      <vt:variant>
        <vt:lpwstr/>
      </vt:variant>
      <vt:variant>
        <vt:lpwstr>_Toc287882826</vt:lpwstr>
      </vt:variant>
      <vt:variant>
        <vt:i4>1507381</vt:i4>
      </vt:variant>
      <vt:variant>
        <vt:i4>317</vt:i4>
      </vt:variant>
      <vt:variant>
        <vt:i4>0</vt:i4>
      </vt:variant>
      <vt:variant>
        <vt:i4>5</vt:i4>
      </vt:variant>
      <vt:variant>
        <vt:lpwstr/>
      </vt:variant>
      <vt:variant>
        <vt:lpwstr>_Toc287882825</vt:lpwstr>
      </vt:variant>
      <vt:variant>
        <vt:i4>1507381</vt:i4>
      </vt:variant>
      <vt:variant>
        <vt:i4>311</vt:i4>
      </vt:variant>
      <vt:variant>
        <vt:i4>0</vt:i4>
      </vt:variant>
      <vt:variant>
        <vt:i4>5</vt:i4>
      </vt:variant>
      <vt:variant>
        <vt:lpwstr/>
      </vt:variant>
      <vt:variant>
        <vt:lpwstr>_Toc287882824</vt:lpwstr>
      </vt:variant>
      <vt:variant>
        <vt:i4>1507381</vt:i4>
      </vt:variant>
      <vt:variant>
        <vt:i4>305</vt:i4>
      </vt:variant>
      <vt:variant>
        <vt:i4>0</vt:i4>
      </vt:variant>
      <vt:variant>
        <vt:i4>5</vt:i4>
      </vt:variant>
      <vt:variant>
        <vt:lpwstr/>
      </vt:variant>
      <vt:variant>
        <vt:lpwstr>_Toc287882823</vt:lpwstr>
      </vt:variant>
      <vt:variant>
        <vt:i4>1507381</vt:i4>
      </vt:variant>
      <vt:variant>
        <vt:i4>299</vt:i4>
      </vt:variant>
      <vt:variant>
        <vt:i4>0</vt:i4>
      </vt:variant>
      <vt:variant>
        <vt:i4>5</vt:i4>
      </vt:variant>
      <vt:variant>
        <vt:lpwstr/>
      </vt:variant>
      <vt:variant>
        <vt:lpwstr>_Toc287882822</vt:lpwstr>
      </vt:variant>
      <vt:variant>
        <vt:i4>1507381</vt:i4>
      </vt:variant>
      <vt:variant>
        <vt:i4>293</vt:i4>
      </vt:variant>
      <vt:variant>
        <vt:i4>0</vt:i4>
      </vt:variant>
      <vt:variant>
        <vt:i4>5</vt:i4>
      </vt:variant>
      <vt:variant>
        <vt:lpwstr/>
      </vt:variant>
      <vt:variant>
        <vt:lpwstr>_Toc287882821</vt:lpwstr>
      </vt:variant>
      <vt:variant>
        <vt:i4>1507381</vt:i4>
      </vt:variant>
      <vt:variant>
        <vt:i4>287</vt:i4>
      </vt:variant>
      <vt:variant>
        <vt:i4>0</vt:i4>
      </vt:variant>
      <vt:variant>
        <vt:i4>5</vt:i4>
      </vt:variant>
      <vt:variant>
        <vt:lpwstr/>
      </vt:variant>
      <vt:variant>
        <vt:lpwstr>_Toc287882820</vt:lpwstr>
      </vt:variant>
      <vt:variant>
        <vt:i4>1310773</vt:i4>
      </vt:variant>
      <vt:variant>
        <vt:i4>281</vt:i4>
      </vt:variant>
      <vt:variant>
        <vt:i4>0</vt:i4>
      </vt:variant>
      <vt:variant>
        <vt:i4>5</vt:i4>
      </vt:variant>
      <vt:variant>
        <vt:lpwstr/>
      </vt:variant>
      <vt:variant>
        <vt:lpwstr>_Toc287882819</vt:lpwstr>
      </vt:variant>
      <vt:variant>
        <vt:i4>1310773</vt:i4>
      </vt:variant>
      <vt:variant>
        <vt:i4>275</vt:i4>
      </vt:variant>
      <vt:variant>
        <vt:i4>0</vt:i4>
      </vt:variant>
      <vt:variant>
        <vt:i4>5</vt:i4>
      </vt:variant>
      <vt:variant>
        <vt:lpwstr/>
      </vt:variant>
      <vt:variant>
        <vt:lpwstr>_Toc287882818</vt:lpwstr>
      </vt:variant>
      <vt:variant>
        <vt:i4>1310773</vt:i4>
      </vt:variant>
      <vt:variant>
        <vt:i4>269</vt:i4>
      </vt:variant>
      <vt:variant>
        <vt:i4>0</vt:i4>
      </vt:variant>
      <vt:variant>
        <vt:i4>5</vt:i4>
      </vt:variant>
      <vt:variant>
        <vt:lpwstr/>
      </vt:variant>
      <vt:variant>
        <vt:lpwstr>_Toc287882817</vt:lpwstr>
      </vt:variant>
      <vt:variant>
        <vt:i4>1310773</vt:i4>
      </vt:variant>
      <vt:variant>
        <vt:i4>263</vt:i4>
      </vt:variant>
      <vt:variant>
        <vt:i4>0</vt:i4>
      </vt:variant>
      <vt:variant>
        <vt:i4>5</vt:i4>
      </vt:variant>
      <vt:variant>
        <vt:lpwstr/>
      </vt:variant>
      <vt:variant>
        <vt:lpwstr>_Toc287882816</vt:lpwstr>
      </vt:variant>
      <vt:variant>
        <vt:i4>1310773</vt:i4>
      </vt:variant>
      <vt:variant>
        <vt:i4>254</vt:i4>
      </vt:variant>
      <vt:variant>
        <vt:i4>0</vt:i4>
      </vt:variant>
      <vt:variant>
        <vt:i4>5</vt:i4>
      </vt:variant>
      <vt:variant>
        <vt:lpwstr/>
      </vt:variant>
      <vt:variant>
        <vt:lpwstr>_Toc287882810</vt:lpwstr>
      </vt:variant>
      <vt:variant>
        <vt:i4>1114169</vt:i4>
      </vt:variant>
      <vt:variant>
        <vt:i4>245</vt:i4>
      </vt:variant>
      <vt:variant>
        <vt:i4>0</vt:i4>
      </vt:variant>
      <vt:variant>
        <vt:i4>5</vt:i4>
      </vt:variant>
      <vt:variant>
        <vt:lpwstr/>
      </vt:variant>
      <vt:variant>
        <vt:lpwstr>_Toc287882440</vt:lpwstr>
      </vt:variant>
      <vt:variant>
        <vt:i4>1441849</vt:i4>
      </vt:variant>
      <vt:variant>
        <vt:i4>239</vt:i4>
      </vt:variant>
      <vt:variant>
        <vt:i4>0</vt:i4>
      </vt:variant>
      <vt:variant>
        <vt:i4>5</vt:i4>
      </vt:variant>
      <vt:variant>
        <vt:lpwstr/>
      </vt:variant>
      <vt:variant>
        <vt:lpwstr>_Toc287882439</vt:lpwstr>
      </vt:variant>
      <vt:variant>
        <vt:i4>1441849</vt:i4>
      </vt:variant>
      <vt:variant>
        <vt:i4>233</vt:i4>
      </vt:variant>
      <vt:variant>
        <vt:i4>0</vt:i4>
      </vt:variant>
      <vt:variant>
        <vt:i4>5</vt:i4>
      </vt:variant>
      <vt:variant>
        <vt:lpwstr/>
      </vt:variant>
      <vt:variant>
        <vt:lpwstr>_Toc287882438</vt:lpwstr>
      </vt:variant>
      <vt:variant>
        <vt:i4>1441849</vt:i4>
      </vt:variant>
      <vt:variant>
        <vt:i4>227</vt:i4>
      </vt:variant>
      <vt:variant>
        <vt:i4>0</vt:i4>
      </vt:variant>
      <vt:variant>
        <vt:i4>5</vt:i4>
      </vt:variant>
      <vt:variant>
        <vt:lpwstr/>
      </vt:variant>
      <vt:variant>
        <vt:lpwstr>_Toc287882437</vt:lpwstr>
      </vt:variant>
      <vt:variant>
        <vt:i4>1441849</vt:i4>
      </vt:variant>
      <vt:variant>
        <vt:i4>221</vt:i4>
      </vt:variant>
      <vt:variant>
        <vt:i4>0</vt:i4>
      </vt:variant>
      <vt:variant>
        <vt:i4>5</vt:i4>
      </vt:variant>
      <vt:variant>
        <vt:lpwstr/>
      </vt:variant>
      <vt:variant>
        <vt:lpwstr>_Toc287882436</vt:lpwstr>
      </vt:variant>
      <vt:variant>
        <vt:i4>1441849</vt:i4>
      </vt:variant>
      <vt:variant>
        <vt:i4>215</vt:i4>
      </vt:variant>
      <vt:variant>
        <vt:i4>0</vt:i4>
      </vt:variant>
      <vt:variant>
        <vt:i4>5</vt:i4>
      </vt:variant>
      <vt:variant>
        <vt:lpwstr/>
      </vt:variant>
      <vt:variant>
        <vt:lpwstr>_Toc287882435</vt:lpwstr>
      </vt:variant>
      <vt:variant>
        <vt:i4>1441849</vt:i4>
      </vt:variant>
      <vt:variant>
        <vt:i4>209</vt:i4>
      </vt:variant>
      <vt:variant>
        <vt:i4>0</vt:i4>
      </vt:variant>
      <vt:variant>
        <vt:i4>5</vt:i4>
      </vt:variant>
      <vt:variant>
        <vt:lpwstr/>
      </vt:variant>
      <vt:variant>
        <vt:lpwstr>_Toc287882434</vt:lpwstr>
      </vt:variant>
      <vt:variant>
        <vt:i4>1441849</vt:i4>
      </vt:variant>
      <vt:variant>
        <vt:i4>203</vt:i4>
      </vt:variant>
      <vt:variant>
        <vt:i4>0</vt:i4>
      </vt:variant>
      <vt:variant>
        <vt:i4>5</vt:i4>
      </vt:variant>
      <vt:variant>
        <vt:lpwstr/>
      </vt:variant>
      <vt:variant>
        <vt:lpwstr>_Toc287882433</vt:lpwstr>
      </vt:variant>
      <vt:variant>
        <vt:i4>1441849</vt:i4>
      </vt:variant>
      <vt:variant>
        <vt:i4>197</vt:i4>
      </vt:variant>
      <vt:variant>
        <vt:i4>0</vt:i4>
      </vt:variant>
      <vt:variant>
        <vt:i4>5</vt:i4>
      </vt:variant>
      <vt:variant>
        <vt:lpwstr/>
      </vt:variant>
      <vt:variant>
        <vt:lpwstr>_Toc287882432</vt:lpwstr>
      </vt:variant>
      <vt:variant>
        <vt:i4>1441849</vt:i4>
      </vt:variant>
      <vt:variant>
        <vt:i4>191</vt:i4>
      </vt:variant>
      <vt:variant>
        <vt:i4>0</vt:i4>
      </vt:variant>
      <vt:variant>
        <vt:i4>5</vt:i4>
      </vt:variant>
      <vt:variant>
        <vt:lpwstr/>
      </vt:variant>
      <vt:variant>
        <vt:lpwstr>_Toc287882431</vt:lpwstr>
      </vt:variant>
      <vt:variant>
        <vt:i4>1441849</vt:i4>
      </vt:variant>
      <vt:variant>
        <vt:i4>185</vt:i4>
      </vt:variant>
      <vt:variant>
        <vt:i4>0</vt:i4>
      </vt:variant>
      <vt:variant>
        <vt:i4>5</vt:i4>
      </vt:variant>
      <vt:variant>
        <vt:lpwstr/>
      </vt:variant>
      <vt:variant>
        <vt:lpwstr>_Toc287882430</vt:lpwstr>
      </vt:variant>
      <vt:variant>
        <vt:i4>1507385</vt:i4>
      </vt:variant>
      <vt:variant>
        <vt:i4>179</vt:i4>
      </vt:variant>
      <vt:variant>
        <vt:i4>0</vt:i4>
      </vt:variant>
      <vt:variant>
        <vt:i4>5</vt:i4>
      </vt:variant>
      <vt:variant>
        <vt:lpwstr/>
      </vt:variant>
      <vt:variant>
        <vt:lpwstr>_Toc287882429</vt:lpwstr>
      </vt:variant>
      <vt:variant>
        <vt:i4>1507385</vt:i4>
      </vt:variant>
      <vt:variant>
        <vt:i4>173</vt:i4>
      </vt:variant>
      <vt:variant>
        <vt:i4>0</vt:i4>
      </vt:variant>
      <vt:variant>
        <vt:i4>5</vt:i4>
      </vt:variant>
      <vt:variant>
        <vt:lpwstr/>
      </vt:variant>
      <vt:variant>
        <vt:lpwstr>_Toc287882428</vt:lpwstr>
      </vt:variant>
      <vt:variant>
        <vt:i4>1507385</vt:i4>
      </vt:variant>
      <vt:variant>
        <vt:i4>167</vt:i4>
      </vt:variant>
      <vt:variant>
        <vt:i4>0</vt:i4>
      </vt:variant>
      <vt:variant>
        <vt:i4>5</vt:i4>
      </vt:variant>
      <vt:variant>
        <vt:lpwstr/>
      </vt:variant>
      <vt:variant>
        <vt:lpwstr>_Toc287882427</vt:lpwstr>
      </vt:variant>
      <vt:variant>
        <vt:i4>1507385</vt:i4>
      </vt:variant>
      <vt:variant>
        <vt:i4>161</vt:i4>
      </vt:variant>
      <vt:variant>
        <vt:i4>0</vt:i4>
      </vt:variant>
      <vt:variant>
        <vt:i4>5</vt:i4>
      </vt:variant>
      <vt:variant>
        <vt:lpwstr/>
      </vt:variant>
      <vt:variant>
        <vt:lpwstr>_Toc287882426</vt:lpwstr>
      </vt:variant>
      <vt:variant>
        <vt:i4>1507385</vt:i4>
      </vt:variant>
      <vt:variant>
        <vt:i4>155</vt:i4>
      </vt:variant>
      <vt:variant>
        <vt:i4>0</vt:i4>
      </vt:variant>
      <vt:variant>
        <vt:i4>5</vt:i4>
      </vt:variant>
      <vt:variant>
        <vt:lpwstr/>
      </vt:variant>
      <vt:variant>
        <vt:lpwstr>_Toc287882425</vt:lpwstr>
      </vt:variant>
      <vt:variant>
        <vt:i4>1507385</vt:i4>
      </vt:variant>
      <vt:variant>
        <vt:i4>149</vt:i4>
      </vt:variant>
      <vt:variant>
        <vt:i4>0</vt:i4>
      </vt:variant>
      <vt:variant>
        <vt:i4>5</vt:i4>
      </vt:variant>
      <vt:variant>
        <vt:lpwstr/>
      </vt:variant>
      <vt:variant>
        <vt:lpwstr>_Toc287882424</vt:lpwstr>
      </vt:variant>
      <vt:variant>
        <vt:i4>1507385</vt:i4>
      </vt:variant>
      <vt:variant>
        <vt:i4>143</vt:i4>
      </vt:variant>
      <vt:variant>
        <vt:i4>0</vt:i4>
      </vt:variant>
      <vt:variant>
        <vt:i4>5</vt:i4>
      </vt:variant>
      <vt:variant>
        <vt:lpwstr/>
      </vt:variant>
      <vt:variant>
        <vt:lpwstr>_Toc287882423</vt:lpwstr>
      </vt:variant>
      <vt:variant>
        <vt:i4>1507385</vt:i4>
      </vt:variant>
      <vt:variant>
        <vt:i4>137</vt:i4>
      </vt:variant>
      <vt:variant>
        <vt:i4>0</vt:i4>
      </vt:variant>
      <vt:variant>
        <vt:i4>5</vt:i4>
      </vt:variant>
      <vt:variant>
        <vt:lpwstr/>
      </vt:variant>
      <vt:variant>
        <vt:lpwstr>_Toc287882422</vt:lpwstr>
      </vt:variant>
      <vt:variant>
        <vt:i4>1507385</vt:i4>
      </vt:variant>
      <vt:variant>
        <vt:i4>131</vt:i4>
      </vt:variant>
      <vt:variant>
        <vt:i4>0</vt:i4>
      </vt:variant>
      <vt:variant>
        <vt:i4>5</vt:i4>
      </vt:variant>
      <vt:variant>
        <vt:lpwstr/>
      </vt:variant>
      <vt:variant>
        <vt:lpwstr>_Toc287882421</vt:lpwstr>
      </vt:variant>
      <vt:variant>
        <vt:i4>1507385</vt:i4>
      </vt:variant>
      <vt:variant>
        <vt:i4>125</vt:i4>
      </vt:variant>
      <vt:variant>
        <vt:i4>0</vt:i4>
      </vt:variant>
      <vt:variant>
        <vt:i4>5</vt:i4>
      </vt:variant>
      <vt:variant>
        <vt:lpwstr/>
      </vt:variant>
      <vt:variant>
        <vt:lpwstr>_Toc287882420</vt:lpwstr>
      </vt:variant>
      <vt:variant>
        <vt:i4>1310777</vt:i4>
      </vt:variant>
      <vt:variant>
        <vt:i4>119</vt:i4>
      </vt:variant>
      <vt:variant>
        <vt:i4>0</vt:i4>
      </vt:variant>
      <vt:variant>
        <vt:i4>5</vt:i4>
      </vt:variant>
      <vt:variant>
        <vt:lpwstr/>
      </vt:variant>
      <vt:variant>
        <vt:lpwstr>_Toc287882419</vt:lpwstr>
      </vt:variant>
      <vt:variant>
        <vt:i4>1310777</vt:i4>
      </vt:variant>
      <vt:variant>
        <vt:i4>113</vt:i4>
      </vt:variant>
      <vt:variant>
        <vt:i4>0</vt:i4>
      </vt:variant>
      <vt:variant>
        <vt:i4>5</vt:i4>
      </vt:variant>
      <vt:variant>
        <vt:lpwstr/>
      </vt:variant>
      <vt:variant>
        <vt:lpwstr>_Toc287882418</vt:lpwstr>
      </vt:variant>
      <vt:variant>
        <vt:i4>1310777</vt:i4>
      </vt:variant>
      <vt:variant>
        <vt:i4>107</vt:i4>
      </vt:variant>
      <vt:variant>
        <vt:i4>0</vt:i4>
      </vt:variant>
      <vt:variant>
        <vt:i4>5</vt:i4>
      </vt:variant>
      <vt:variant>
        <vt:lpwstr/>
      </vt:variant>
      <vt:variant>
        <vt:lpwstr>_Toc287882417</vt:lpwstr>
      </vt:variant>
      <vt:variant>
        <vt:i4>1310777</vt:i4>
      </vt:variant>
      <vt:variant>
        <vt:i4>101</vt:i4>
      </vt:variant>
      <vt:variant>
        <vt:i4>0</vt:i4>
      </vt:variant>
      <vt:variant>
        <vt:i4>5</vt:i4>
      </vt:variant>
      <vt:variant>
        <vt:lpwstr/>
      </vt:variant>
      <vt:variant>
        <vt:lpwstr>_Toc287882416</vt:lpwstr>
      </vt:variant>
      <vt:variant>
        <vt:i4>1310777</vt:i4>
      </vt:variant>
      <vt:variant>
        <vt:i4>95</vt:i4>
      </vt:variant>
      <vt:variant>
        <vt:i4>0</vt:i4>
      </vt:variant>
      <vt:variant>
        <vt:i4>5</vt:i4>
      </vt:variant>
      <vt:variant>
        <vt:lpwstr/>
      </vt:variant>
      <vt:variant>
        <vt:lpwstr>_Toc287882415</vt:lpwstr>
      </vt:variant>
      <vt:variant>
        <vt:i4>1310777</vt:i4>
      </vt:variant>
      <vt:variant>
        <vt:i4>89</vt:i4>
      </vt:variant>
      <vt:variant>
        <vt:i4>0</vt:i4>
      </vt:variant>
      <vt:variant>
        <vt:i4>5</vt:i4>
      </vt:variant>
      <vt:variant>
        <vt:lpwstr/>
      </vt:variant>
      <vt:variant>
        <vt:lpwstr>_Toc287882414</vt:lpwstr>
      </vt:variant>
      <vt:variant>
        <vt:i4>1310777</vt:i4>
      </vt:variant>
      <vt:variant>
        <vt:i4>83</vt:i4>
      </vt:variant>
      <vt:variant>
        <vt:i4>0</vt:i4>
      </vt:variant>
      <vt:variant>
        <vt:i4>5</vt:i4>
      </vt:variant>
      <vt:variant>
        <vt:lpwstr/>
      </vt:variant>
      <vt:variant>
        <vt:lpwstr>_Toc287882413</vt:lpwstr>
      </vt:variant>
      <vt:variant>
        <vt:i4>1310777</vt:i4>
      </vt:variant>
      <vt:variant>
        <vt:i4>77</vt:i4>
      </vt:variant>
      <vt:variant>
        <vt:i4>0</vt:i4>
      </vt:variant>
      <vt:variant>
        <vt:i4>5</vt:i4>
      </vt:variant>
      <vt:variant>
        <vt:lpwstr/>
      </vt:variant>
      <vt:variant>
        <vt:lpwstr>_Toc287882412</vt:lpwstr>
      </vt:variant>
      <vt:variant>
        <vt:i4>1310777</vt:i4>
      </vt:variant>
      <vt:variant>
        <vt:i4>71</vt:i4>
      </vt:variant>
      <vt:variant>
        <vt:i4>0</vt:i4>
      </vt:variant>
      <vt:variant>
        <vt:i4>5</vt:i4>
      </vt:variant>
      <vt:variant>
        <vt:lpwstr/>
      </vt:variant>
      <vt:variant>
        <vt:lpwstr>_Toc287882411</vt:lpwstr>
      </vt:variant>
      <vt:variant>
        <vt:i4>1310777</vt:i4>
      </vt:variant>
      <vt:variant>
        <vt:i4>65</vt:i4>
      </vt:variant>
      <vt:variant>
        <vt:i4>0</vt:i4>
      </vt:variant>
      <vt:variant>
        <vt:i4>5</vt:i4>
      </vt:variant>
      <vt:variant>
        <vt:lpwstr/>
      </vt:variant>
      <vt:variant>
        <vt:lpwstr>_Toc287882410</vt:lpwstr>
      </vt:variant>
      <vt:variant>
        <vt:i4>1376313</vt:i4>
      </vt:variant>
      <vt:variant>
        <vt:i4>59</vt:i4>
      </vt:variant>
      <vt:variant>
        <vt:i4>0</vt:i4>
      </vt:variant>
      <vt:variant>
        <vt:i4>5</vt:i4>
      </vt:variant>
      <vt:variant>
        <vt:lpwstr/>
      </vt:variant>
      <vt:variant>
        <vt:lpwstr>_Toc287882409</vt:lpwstr>
      </vt:variant>
      <vt:variant>
        <vt:i4>1376313</vt:i4>
      </vt:variant>
      <vt:variant>
        <vt:i4>53</vt:i4>
      </vt:variant>
      <vt:variant>
        <vt:i4>0</vt:i4>
      </vt:variant>
      <vt:variant>
        <vt:i4>5</vt:i4>
      </vt:variant>
      <vt:variant>
        <vt:lpwstr/>
      </vt:variant>
      <vt:variant>
        <vt:lpwstr>_Toc287882408</vt:lpwstr>
      </vt:variant>
      <vt:variant>
        <vt:i4>1376313</vt:i4>
      </vt:variant>
      <vt:variant>
        <vt:i4>47</vt:i4>
      </vt:variant>
      <vt:variant>
        <vt:i4>0</vt:i4>
      </vt:variant>
      <vt:variant>
        <vt:i4>5</vt:i4>
      </vt:variant>
      <vt:variant>
        <vt:lpwstr/>
      </vt:variant>
      <vt:variant>
        <vt:lpwstr>_Toc287882407</vt:lpwstr>
      </vt:variant>
      <vt:variant>
        <vt:i4>1376313</vt:i4>
      </vt:variant>
      <vt:variant>
        <vt:i4>41</vt:i4>
      </vt:variant>
      <vt:variant>
        <vt:i4>0</vt:i4>
      </vt:variant>
      <vt:variant>
        <vt:i4>5</vt:i4>
      </vt:variant>
      <vt:variant>
        <vt:lpwstr/>
      </vt:variant>
      <vt:variant>
        <vt:lpwstr>_Toc287882406</vt:lpwstr>
      </vt:variant>
      <vt:variant>
        <vt:i4>1376313</vt:i4>
      </vt:variant>
      <vt:variant>
        <vt:i4>35</vt:i4>
      </vt:variant>
      <vt:variant>
        <vt:i4>0</vt:i4>
      </vt:variant>
      <vt:variant>
        <vt:i4>5</vt:i4>
      </vt:variant>
      <vt:variant>
        <vt:lpwstr/>
      </vt:variant>
      <vt:variant>
        <vt:lpwstr>_Toc287882405</vt:lpwstr>
      </vt:variant>
      <vt:variant>
        <vt:i4>1376313</vt:i4>
      </vt:variant>
      <vt:variant>
        <vt:i4>29</vt:i4>
      </vt:variant>
      <vt:variant>
        <vt:i4>0</vt:i4>
      </vt:variant>
      <vt:variant>
        <vt:i4>5</vt:i4>
      </vt:variant>
      <vt:variant>
        <vt:lpwstr/>
      </vt:variant>
      <vt:variant>
        <vt:lpwstr>_Toc287882404</vt:lpwstr>
      </vt:variant>
      <vt:variant>
        <vt:i4>1376313</vt:i4>
      </vt:variant>
      <vt:variant>
        <vt:i4>23</vt:i4>
      </vt:variant>
      <vt:variant>
        <vt:i4>0</vt:i4>
      </vt:variant>
      <vt:variant>
        <vt:i4>5</vt:i4>
      </vt:variant>
      <vt:variant>
        <vt:lpwstr/>
      </vt:variant>
      <vt:variant>
        <vt:lpwstr>_Toc287882403</vt:lpwstr>
      </vt:variant>
      <vt:variant>
        <vt:i4>1376313</vt:i4>
      </vt:variant>
      <vt:variant>
        <vt:i4>17</vt:i4>
      </vt:variant>
      <vt:variant>
        <vt:i4>0</vt:i4>
      </vt:variant>
      <vt:variant>
        <vt:i4>5</vt:i4>
      </vt:variant>
      <vt:variant>
        <vt:lpwstr/>
      </vt:variant>
      <vt:variant>
        <vt:lpwstr>_Toc287882402</vt:lpwstr>
      </vt:variant>
      <vt:variant>
        <vt:i4>1376313</vt:i4>
      </vt:variant>
      <vt:variant>
        <vt:i4>11</vt:i4>
      </vt:variant>
      <vt:variant>
        <vt:i4>0</vt:i4>
      </vt:variant>
      <vt:variant>
        <vt:i4>5</vt:i4>
      </vt:variant>
      <vt:variant>
        <vt:lpwstr/>
      </vt:variant>
      <vt:variant>
        <vt:lpwstr>_Toc287882401</vt:lpwstr>
      </vt:variant>
      <vt:variant>
        <vt:i4>1376313</vt:i4>
      </vt:variant>
      <vt:variant>
        <vt:i4>5</vt:i4>
      </vt:variant>
      <vt:variant>
        <vt:i4>0</vt:i4>
      </vt:variant>
      <vt:variant>
        <vt:i4>5</vt:i4>
      </vt:variant>
      <vt:variant>
        <vt:lpwstr/>
      </vt:variant>
      <vt:variant>
        <vt:lpwstr>_Toc287882400</vt:lpwstr>
      </vt:variant>
      <vt:variant>
        <vt:i4>1703959</vt:i4>
      </vt:variant>
      <vt:variant>
        <vt:i4>0</vt:i4>
      </vt:variant>
      <vt:variant>
        <vt:i4>0</vt:i4>
      </vt:variant>
      <vt:variant>
        <vt:i4>5</vt:i4>
      </vt:variant>
      <vt:variant>
        <vt:lpwstr>http://www.espon.eu/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 1 22/09/2008</dc:title>
  <dc:creator>mehlbye</dc:creator>
  <cp:lastModifiedBy>gensheimer</cp:lastModifiedBy>
  <cp:revision>2</cp:revision>
  <cp:lastPrinted>2014-10-16T14:44:00Z</cp:lastPrinted>
  <dcterms:created xsi:type="dcterms:W3CDTF">2015-01-30T12:11:00Z</dcterms:created>
  <dcterms:modified xsi:type="dcterms:W3CDTF">2015-01-30T12:11:00Z</dcterms:modified>
</cp:coreProperties>
</file>