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221439757"/>
    <w:p w:rsidR="00430686" w:rsidRPr="00D93644" w:rsidRDefault="006502D5" w:rsidP="00430686">
      <w:pPr>
        <w:spacing w:before="0"/>
        <w:ind w:left="-1701"/>
        <w:rPr>
          <w:rFonts w:cs="Arial"/>
          <w:iCs/>
        </w:rPr>
      </w:pPr>
      <w:r>
        <w:rPr>
          <w:rFonts w:cs="Arial"/>
          <w:noProof/>
          <w:lang w:val="fi-FI" w:eastAsia="fi-FI"/>
        </w:rPr>
        <mc:AlternateContent>
          <mc:Choice Requires="wps">
            <w:drawing>
              <wp:anchor distT="0" distB="0" distL="114300" distR="114300" simplePos="0" relativeHeight="251652096" behindDoc="0" locked="0" layoutInCell="1" allowOverlap="1">
                <wp:simplePos x="0" y="0"/>
                <wp:positionH relativeFrom="column">
                  <wp:posOffset>-813435</wp:posOffset>
                </wp:positionH>
                <wp:positionV relativeFrom="paragraph">
                  <wp:posOffset>3930650</wp:posOffset>
                </wp:positionV>
                <wp:extent cx="7035800" cy="1835150"/>
                <wp:effectExtent l="0" t="0" r="0" b="0"/>
                <wp:wrapNone/>
                <wp:docPr id="14"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83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4794" w:rsidRDefault="00724794" w:rsidP="00430686">
                            <w:pPr>
                              <w:ind w:left="426" w:right="530"/>
                              <w:jc w:val="center"/>
                              <w:rPr>
                                <w:rFonts w:cs="Arial"/>
                                <w:sz w:val="60"/>
                                <w:szCs w:val="60"/>
                              </w:rPr>
                            </w:pPr>
                            <w:r>
                              <w:rPr>
                                <w:rFonts w:cs="Arial"/>
                                <w:sz w:val="60"/>
                                <w:szCs w:val="60"/>
                              </w:rPr>
                              <w:t>TiPSE</w:t>
                            </w:r>
                          </w:p>
                          <w:p w:rsidR="00724794" w:rsidRPr="00721B03" w:rsidRDefault="00724794"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301" o:spid="_x0000_s1026" type="#_x0000_t202" style="position:absolute;left:0;text-align:left;margin-left:-64.05pt;margin-top:309.5pt;width:554pt;height:14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" filled="f" stroked="f">
                <v:textbox>
                  <w:txbxContent>
                    <w:p w:rsidR="00724794" w:rsidRDefault="00724794" w:rsidP="00430686">
                      <w:pPr>
                        <w:ind w:left="426" w:right="530"/>
                        <w:jc w:val="center"/>
                        <w:rPr>
                          <w:rFonts w:cs="Arial"/>
                          <w:sz w:val="60"/>
                          <w:szCs w:val="60"/>
                        </w:rPr>
                      </w:pPr>
                      <w:r>
                        <w:rPr>
                          <w:rFonts w:cs="Arial"/>
                          <w:sz w:val="60"/>
                          <w:szCs w:val="60"/>
                        </w:rPr>
                        <w:t>TiPSE</w:t>
                      </w:r>
                    </w:p>
                    <w:p w:rsidR="00724794" w:rsidRPr="00721B03" w:rsidRDefault="00724794"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v:textbox>
              </v:shape>
            </w:pict>
          </mc:Fallback>
        </mc:AlternateContent>
      </w:r>
      <w:r>
        <w:rPr>
          <w:rFonts w:cs="Arial"/>
          <w:noProof/>
          <w:lang w:val="fi-FI" w:eastAsia="fi-FI"/>
        </w:rPr>
        <mc:AlternateContent>
          <mc:Choice Requires="wps">
            <w:drawing>
              <wp:anchor distT="0" distB="0" distL="114300" distR="114300" simplePos="0" relativeHeight="251655168" behindDoc="0" locked="0" layoutInCell="1" allowOverlap="1">
                <wp:simplePos x="0" y="0"/>
                <wp:positionH relativeFrom="column">
                  <wp:posOffset>-813435</wp:posOffset>
                </wp:positionH>
                <wp:positionV relativeFrom="paragraph">
                  <wp:posOffset>6451600</wp:posOffset>
                </wp:positionV>
                <wp:extent cx="7035800" cy="1699260"/>
                <wp:effectExtent l="0" t="0" r="0" b="0"/>
                <wp:wrapNone/>
                <wp:docPr id="13"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699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0DE2" w:rsidRDefault="009B0DE2" w:rsidP="00430686">
                            <w:pPr>
                              <w:jc w:val="center"/>
                              <w:rPr>
                                <w:rFonts w:cs="Arial"/>
                                <w:sz w:val="32"/>
                                <w:szCs w:val="32"/>
                                <w:lang w:val="en-US"/>
                              </w:rPr>
                            </w:pPr>
                            <w:r>
                              <w:rPr>
                                <w:rFonts w:cs="Arial"/>
                                <w:sz w:val="32"/>
                                <w:szCs w:val="32"/>
                                <w:lang w:val="en-US"/>
                              </w:rPr>
                              <w:t>Final Report</w:t>
                            </w:r>
                          </w:p>
                          <w:p w:rsidR="009B0DE2" w:rsidRDefault="009B0DE2" w:rsidP="00430686">
                            <w:pPr>
                              <w:jc w:val="center"/>
                              <w:rPr>
                                <w:rFonts w:cs="Arial"/>
                                <w:sz w:val="32"/>
                                <w:szCs w:val="32"/>
                                <w:lang w:val="en-US"/>
                              </w:rPr>
                            </w:pPr>
                          </w:p>
                          <w:p w:rsidR="00CF482E" w:rsidRPr="009B0DE2" w:rsidRDefault="00CF482E" w:rsidP="00430686">
                            <w:pPr>
                              <w:jc w:val="center"/>
                              <w:rPr>
                                <w:rFonts w:cs="Arial"/>
                                <w:color w:val="17365D" w:themeColor="text2" w:themeShade="BF"/>
                                <w:sz w:val="32"/>
                                <w:szCs w:val="32"/>
                                <w:lang w:val="en-US"/>
                              </w:rPr>
                            </w:pPr>
                            <w:bookmarkStart w:id="1" w:name="_GoBack"/>
                            <w:r w:rsidRPr="009B0DE2">
                              <w:rPr>
                                <w:rFonts w:cs="Arial"/>
                                <w:color w:val="17365D" w:themeColor="text2" w:themeShade="BF"/>
                                <w:sz w:val="32"/>
                                <w:szCs w:val="32"/>
                                <w:lang w:val="en-US"/>
                              </w:rPr>
                              <w:t xml:space="preserve">Annex </w:t>
                            </w:r>
                            <w:r w:rsidR="004C0F78" w:rsidRPr="009B0DE2">
                              <w:rPr>
                                <w:rFonts w:cs="Arial"/>
                                <w:color w:val="17365D" w:themeColor="text2" w:themeShade="BF"/>
                                <w:sz w:val="32"/>
                                <w:szCs w:val="32"/>
                                <w:lang w:val="en-US"/>
                              </w:rPr>
                              <w:t>4</w:t>
                            </w:r>
                            <w:r w:rsidRPr="009B0DE2">
                              <w:rPr>
                                <w:rFonts w:cs="Arial"/>
                                <w:color w:val="17365D" w:themeColor="text2" w:themeShade="BF"/>
                                <w:sz w:val="32"/>
                                <w:szCs w:val="32"/>
                                <w:lang w:val="en-US"/>
                              </w:rPr>
                              <w:t xml:space="preserve"> | Appendix </w:t>
                            </w:r>
                            <w:r w:rsidR="00F61A21" w:rsidRPr="009B0DE2">
                              <w:rPr>
                                <w:rFonts w:cs="Arial"/>
                                <w:color w:val="17365D" w:themeColor="text2" w:themeShade="BF"/>
                                <w:sz w:val="32"/>
                                <w:szCs w:val="32"/>
                                <w:lang w:val="en-US"/>
                              </w:rPr>
                              <w:t>2</w:t>
                            </w:r>
                            <w:bookmarkEnd w:id="1"/>
                          </w:p>
                          <w:p w:rsidR="00724794" w:rsidRPr="009B0DE2" w:rsidRDefault="00724794" w:rsidP="00430686">
                            <w:pPr>
                              <w:jc w:val="center"/>
                              <w:rPr>
                                <w:rFonts w:cs="Arial"/>
                                <w:color w:val="17365D" w:themeColor="text2" w:themeShade="BF"/>
                                <w:sz w:val="32"/>
                                <w:szCs w:val="32"/>
                                <w:lang w:val="en-US"/>
                              </w:rPr>
                            </w:pPr>
                            <w:r w:rsidRPr="009B0DE2">
                              <w:rPr>
                                <w:rFonts w:cs="Arial"/>
                                <w:color w:val="17365D" w:themeColor="text2" w:themeShade="BF"/>
                                <w:sz w:val="32"/>
                                <w:szCs w:val="32"/>
                                <w:lang w:val="en-US"/>
                              </w:rPr>
                              <w:t>Case Study Report</w:t>
                            </w:r>
                          </w:p>
                          <w:p w:rsidR="00724794" w:rsidRPr="00994E4D" w:rsidRDefault="003966B1" w:rsidP="00430686">
                            <w:pPr>
                              <w:jc w:val="center"/>
                              <w:rPr>
                                <w:rFonts w:cs="Arial"/>
                                <w:b/>
                                <w:color w:val="17365D" w:themeColor="text2" w:themeShade="BF"/>
                                <w:sz w:val="56"/>
                                <w:szCs w:val="56"/>
                                <w:lang w:val="en-US"/>
                              </w:rPr>
                            </w:pPr>
                            <w:r w:rsidRPr="00994E4D">
                              <w:rPr>
                                <w:rFonts w:cs="Arial"/>
                                <w:b/>
                                <w:color w:val="17365D" w:themeColor="text2" w:themeShade="BF"/>
                                <w:sz w:val="56"/>
                                <w:szCs w:val="56"/>
                                <w:lang w:val="en-US"/>
                              </w:rPr>
                              <w:t>Metropolitan Region of Attiki, Greece</w:t>
                            </w:r>
                          </w:p>
                          <w:p w:rsidR="00724794" w:rsidRDefault="00724794" w:rsidP="00430686">
                            <w:pPr>
                              <w:jc w:val="center"/>
                              <w:rPr>
                                <w:rFonts w:cs="Arial"/>
                                <w:color w:val="17365D" w:themeColor="text2" w:themeShade="BF"/>
                                <w:sz w:val="32"/>
                                <w:szCs w:val="32"/>
                                <w:lang w:val="en-US"/>
                              </w:rPr>
                            </w:pPr>
                            <w:r w:rsidRPr="009B0DE2">
                              <w:rPr>
                                <w:rFonts w:cs="Arial"/>
                                <w:color w:val="17365D" w:themeColor="text2" w:themeShade="BF"/>
                                <w:sz w:val="32"/>
                                <w:szCs w:val="32"/>
                                <w:lang w:val="en-US"/>
                              </w:rPr>
                              <w:t>George Kandylis, Michalis Petrou, Nikos Souliotis &amp; Kostas Vakalopoulos</w:t>
                            </w:r>
                          </w:p>
                          <w:p w:rsidR="00994E4D" w:rsidRPr="009B0DE2" w:rsidRDefault="00994E4D" w:rsidP="00430686">
                            <w:pPr>
                              <w:jc w:val="center"/>
                              <w:rPr>
                                <w:rFonts w:cs="Arial"/>
                                <w:color w:val="17365D" w:themeColor="text2" w:themeShade="BF"/>
                                <w:sz w:val="32"/>
                                <w:szCs w:val="32"/>
                                <w:lang w:val="en-US"/>
                              </w:rPr>
                            </w:pPr>
                            <w:r>
                              <w:rPr>
                                <w:rFonts w:cs="Arial"/>
                                <w:color w:val="17365D" w:themeColor="text2" w:themeShade="BF"/>
                                <w:sz w:val="32"/>
                                <w:szCs w:val="32"/>
                                <w:lang w:val="en-US"/>
                              </w:rPr>
                              <w:t>EKKE</w:t>
                            </w:r>
                            <w:r w:rsidR="00BE1836">
                              <w:rPr>
                                <w:rFonts w:cs="Arial"/>
                                <w:color w:val="17365D" w:themeColor="text2" w:themeShade="BF"/>
                                <w:sz w:val="32"/>
                                <w:szCs w:val="32"/>
                                <w:lang w:val="en-US"/>
                              </w:rPr>
                              <w:t xml:space="preserve"> </w:t>
                            </w:r>
                            <w:r w:rsidR="00BE1836" w:rsidRPr="00BE1836">
                              <w:rPr>
                                <w:rFonts w:cs="Arial"/>
                                <w:color w:val="17365D" w:themeColor="text2" w:themeShade="BF"/>
                                <w:sz w:val="32"/>
                                <w:szCs w:val="32"/>
                                <w:lang w:val="en-US"/>
                              </w:rPr>
                              <w:t>- National Centre for Social Research</w:t>
                            </w:r>
                            <w:r>
                              <w:rPr>
                                <w:rFonts w:cs="Arial"/>
                                <w:color w:val="17365D" w:themeColor="text2" w:themeShade="BF"/>
                                <w:sz w:val="32"/>
                                <w:szCs w:val="32"/>
                                <w:lang w:val="en-US"/>
                              </w:rPr>
                              <w:t>, Athens</w:t>
                            </w:r>
                          </w:p>
                          <w:p w:rsidR="009B0DE2" w:rsidRDefault="009B0DE2" w:rsidP="00430686">
                            <w:pPr>
                              <w:jc w:val="center"/>
                              <w:rPr>
                                <w:rFonts w:cs="Arial"/>
                                <w:sz w:val="32"/>
                                <w:szCs w:val="32"/>
                                <w:lang w:val="en-US"/>
                              </w:rPr>
                            </w:pPr>
                          </w:p>
                          <w:p w:rsidR="009B0DE2" w:rsidRDefault="009B0DE2" w:rsidP="00430686">
                            <w:pPr>
                              <w:jc w:val="center"/>
                              <w:rPr>
                                <w:rFonts w:cs="Arial"/>
                                <w:sz w:val="32"/>
                                <w:szCs w:val="32"/>
                                <w:lang w:val="en-US"/>
                              </w:rPr>
                            </w:pPr>
                          </w:p>
                          <w:p w:rsidR="00724794" w:rsidRPr="00FE01AC" w:rsidRDefault="00724794" w:rsidP="00430686">
                            <w:pPr>
                              <w:jc w:val="center"/>
                              <w:rPr>
                                <w:rFonts w:cs="Arial"/>
                                <w:sz w:val="32"/>
                                <w:szCs w:val="32"/>
                                <w:lang w:val="en-US"/>
                              </w:rPr>
                            </w:pPr>
                            <w:r>
                              <w:rPr>
                                <w:rFonts w:cs="Arial"/>
                                <w:sz w:val="32"/>
                                <w:szCs w:val="32"/>
                                <w:lang w:val="en-US"/>
                              </w:rPr>
                              <w:t>July 2013</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id="Text Box 303" o:spid="_x0000_s1027" type="#_x0000_t202" style="position:absolute;left:0;text-align:left;margin-left:-64.05pt;margin-top:508pt;width:554pt;height:133.8pt;z-index:2516551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" filled="f" stroked="f">
                <v:textbox style="mso-fit-shape-to-text:t">
                  <w:txbxContent>
                    <w:p w:rsidR="009B0DE2" w:rsidRDefault="009B0DE2" w:rsidP="00430686">
                      <w:pPr>
                        <w:jc w:val="center"/>
                        <w:rPr>
                          <w:rFonts w:cs="Arial"/>
                          <w:sz w:val="32"/>
                          <w:szCs w:val="32"/>
                          <w:lang w:val="en-US"/>
                        </w:rPr>
                      </w:pPr>
                      <w:r>
                        <w:rPr>
                          <w:rFonts w:cs="Arial"/>
                          <w:sz w:val="32"/>
                          <w:szCs w:val="32"/>
                          <w:lang w:val="en-US"/>
                        </w:rPr>
                        <w:t>Final Report</w:t>
                      </w:r>
                    </w:p>
                    <w:p w:rsidR="009B0DE2" w:rsidRDefault="009B0DE2" w:rsidP="00430686">
                      <w:pPr>
                        <w:jc w:val="center"/>
                        <w:rPr>
                          <w:rFonts w:cs="Arial"/>
                          <w:sz w:val="32"/>
                          <w:szCs w:val="32"/>
                          <w:lang w:val="en-US"/>
                        </w:rPr>
                      </w:pPr>
                    </w:p>
                    <w:p w:rsidR="00CF482E" w:rsidRPr="009B0DE2" w:rsidRDefault="00CF482E" w:rsidP="00430686">
                      <w:pPr>
                        <w:jc w:val="center"/>
                        <w:rPr>
                          <w:rFonts w:cs="Arial"/>
                          <w:color w:val="17365D" w:themeColor="text2" w:themeShade="BF"/>
                          <w:sz w:val="32"/>
                          <w:szCs w:val="32"/>
                          <w:lang w:val="en-US"/>
                        </w:rPr>
                      </w:pPr>
                      <w:r w:rsidRPr="009B0DE2">
                        <w:rPr>
                          <w:rFonts w:cs="Arial"/>
                          <w:color w:val="17365D" w:themeColor="text2" w:themeShade="BF"/>
                          <w:sz w:val="32"/>
                          <w:szCs w:val="32"/>
                          <w:lang w:val="en-US"/>
                        </w:rPr>
                        <w:t xml:space="preserve">Annex </w:t>
                      </w:r>
                      <w:r w:rsidR="004C0F78" w:rsidRPr="009B0DE2">
                        <w:rPr>
                          <w:rFonts w:cs="Arial"/>
                          <w:color w:val="17365D" w:themeColor="text2" w:themeShade="BF"/>
                          <w:sz w:val="32"/>
                          <w:szCs w:val="32"/>
                          <w:lang w:val="en-US"/>
                        </w:rPr>
                        <w:t>4</w:t>
                      </w:r>
                      <w:r w:rsidRPr="009B0DE2">
                        <w:rPr>
                          <w:rFonts w:cs="Arial"/>
                          <w:color w:val="17365D" w:themeColor="text2" w:themeShade="BF"/>
                          <w:sz w:val="32"/>
                          <w:szCs w:val="32"/>
                          <w:lang w:val="en-US"/>
                        </w:rPr>
                        <w:t xml:space="preserve"> | Appendix </w:t>
                      </w:r>
                      <w:r w:rsidR="00F61A21" w:rsidRPr="009B0DE2">
                        <w:rPr>
                          <w:rFonts w:cs="Arial"/>
                          <w:color w:val="17365D" w:themeColor="text2" w:themeShade="BF"/>
                          <w:sz w:val="32"/>
                          <w:szCs w:val="32"/>
                          <w:lang w:val="en-US"/>
                        </w:rPr>
                        <w:t>2</w:t>
                      </w:r>
                    </w:p>
                    <w:p w:rsidR="00724794" w:rsidRPr="009B0DE2" w:rsidRDefault="00724794" w:rsidP="00430686">
                      <w:pPr>
                        <w:jc w:val="center"/>
                        <w:rPr>
                          <w:rFonts w:cs="Arial"/>
                          <w:color w:val="17365D" w:themeColor="text2" w:themeShade="BF"/>
                          <w:sz w:val="32"/>
                          <w:szCs w:val="32"/>
                          <w:lang w:val="en-US"/>
                        </w:rPr>
                      </w:pPr>
                      <w:r w:rsidRPr="009B0DE2">
                        <w:rPr>
                          <w:rFonts w:cs="Arial"/>
                          <w:color w:val="17365D" w:themeColor="text2" w:themeShade="BF"/>
                          <w:sz w:val="32"/>
                          <w:szCs w:val="32"/>
                          <w:lang w:val="en-US"/>
                        </w:rPr>
                        <w:t>Case Study Report</w:t>
                      </w:r>
                    </w:p>
                    <w:p w:rsidR="00724794" w:rsidRPr="00994E4D" w:rsidRDefault="003966B1" w:rsidP="00430686">
                      <w:pPr>
                        <w:jc w:val="center"/>
                        <w:rPr>
                          <w:rFonts w:cs="Arial"/>
                          <w:b/>
                          <w:color w:val="17365D" w:themeColor="text2" w:themeShade="BF"/>
                          <w:sz w:val="56"/>
                          <w:szCs w:val="56"/>
                          <w:lang w:val="en-US"/>
                        </w:rPr>
                      </w:pPr>
                      <w:r w:rsidRPr="00994E4D">
                        <w:rPr>
                          <w:rFonts w:cs="Arial"/>
                          <w:b/>
                          <w:color w:val="17365D" w:themeColor="text2" w:themeShade="BF"/>
                          <w:sz w:val="56"/>
                          <w:szCs w:val="56"/>
                          <w:lang w:val="en-US"/>
                        </w:rPr>
                        <w:t>Metropolitan Region of Attiki, Greece</w:t>
                      </w:r>
                    </w:p>
                    <w:p w:rsidR="00724794" w:rsidRDefault="00724794" w:rsidP="00430686">
                      <w:pPr>
                        <w:jc w:val="center"/>
                        <w:rPr>
                          <w:rFonts w:cs="Arial"/>
                          <w:color w:val="17365D" w:themeColor="text2" w:themeShade="BF"/>
                          <w:sz w:val="32"/>
                          <w:szCs w:val="32"/>
                          <w:lang w:val="en-US"/>
                        </w:rPr>
                      </w:pPr>
                      <w:r w:rsidRPr="009B0DE2">
                        <w:rPr>
                          <w:rFonts w:cs="Arial"/>
                          <w:color w:val="17365D" w:themeColor="text2" w:themeShade="BF"/>
                          <w:sz w:val="32"/>
                          <w:szCs w:val="32"/>
                          <w:lang w:val="en-US"/>
                        </w:rPr>
                        <w:t>George Kandylis, Michalis Petrou, Nikos Souliotis &amp; Kostas Vakalopoulos</w:t>
                      </w:r>
                    </w:p>
                    <w:p w:rsidR="00994E4D" w:rsidRPr="009B0DE2" w:rsidRDefault="00994E4D" w:rsidP="00430686">
                      <w:pPr>
                        <w:jc w:val="center"/>
                        <w:rPr>
                          <w:rFonts w:cs="Arial"/>
                          <w:color w:val="17365D" w:themeColor="text2" w:themeShade="BF"/>
                          <w:sz w:val="32"/>
                          <w:szCs w:val="32"/>
                          <w:lang w:val="en-US"/>
                        </w:rPr>
                      </w:pPr>
                      <w:r>
                        <w:rPr>
                          <w:rFonts w:cs="Arial"/>
                          <w:color w:val="17365D" w:themeColor="text2" w:themeShade="BF"/>
                          <w:sz w:val="32"/>
                          <w:szCs w:val="32"/>
                          <w:lang w:val="en-US"/>
                        </w:rPr>
                        <w:t>EKKE</w:t>
                      </w:r>
                      <w:r w:rsidR="00BE1836">
                        <w:rPr>
                          <w:rFonts w:cs="Arial"/>
                          <w:color w:val="17365D" w:themeColor="text2" w:themeShade="BF"/>
                          <w:sz w:val="32"/>
                          <w:szCs w:val="32"/>
                          <w:lang w:val="en-US"/>
                        </w:rPr>
                        <w:t xml:space="preserve"> </w:t>
                      </w:r>
                      <w:r w:rsidR="00BE1836" w:rsidRPr="00BE1836">
                        <w:rPr>
                          <w:rFonts w:cs="Arial"/>
                          <w:color w:val="17365D" w:themeColor="text2" w:themeShade="BF"/>
                          <w:sz w:val="32"/>
                          <w:szCs w:val="32"/>
                          <w:lang w:val="en-US"/>
                        </w:rPr>
                        <w:t>- National Centre for Social Research</w:t>
                      </w:r>
                      <w:r>
                        <w:rPr>
                          <w:rFonts w:cs="Arial"/>
                          <w:color w:val="17365D" w:themeColor="text2" w:themeShade="BF"/>
                          <w:sz w:val="32"/>
                          <w:szCs w:val="32"/>
                          <w:lang w:val="en-US"/>
                        </w:rPr>
                        <w:t>, Athens</w:t>
                      </w:r>
                    </w:p>
                    <w:p w:rsidR="009B0DE2" w:rsidRDefault="009B0DE2" w:rsidP="00430686">
                      <w:pPr>
                        <w:jc w:val="center"/>
                        <w:rPr>
                          <w:rFonts w:cs="Arial"/>
                          <w:sz w:val="32"/>
                          <w:szCs w:val="32"/>
                          <w:lang w:val="en-US"/>
                        </w:rPr>
                      </w:pPr>
                    </w:p>
                    <w:p w:rsidR="009B0DE2" w:rsidRDefault="009B0DE2" w:rsidP="00430686">
                      <w:pPr>
                        <w:jc w:val="center"/>
                        <w:rPr>
                          <w:rFonts w:cs="Arial"/>
                          <w:sz w:val="32"/>
                          <w:szCs w:val="32"/>
                          <w:lang w:val="en-US"/>
                        </w:rPr>
                      </w:pPr>
                    </w:p>
                    <w:p w:rsidR="00724794" w:rsidRPr="00FE01AC" w:rsidRDefault="00724794" w:rsidP="00430686">
                      <w:pPr>
                        <w:jc w:val="center"/>
                        <w:rPr>
                          <w:rFonts w:cs="Arial"/>
                          <w:sz w:val="32"/>
                          <w:szCs w:val="32"/>
                          <w:lang w:val="en-US"/>
                        </w:rPr>
                      </w:pPr>
                      <w:r>
                        <w:rPr>
                          <w:rFonts w:cs="Arial"/>
                          <w:sz w:val="32"/>
                          <w:szCs w:val="32"/>
                          <w:lang w:val="en-US"/>
                        </w:rPr>
                        <w:t>July 2013</w:t>
                      </w:r>
                    </w:p>
                  </w:txbxContent>
                </v:textbox>
              </v:shape>
            </w:pict>
          </mc:Fallback>
        </mc:AlternateContent>
      </w:r>
      <w:r>
        <w:rPr>
          <w:rFonts w:cs="Arial"/>
          <w:noProof/>
          <w:lang w:val="fi-FI" w:eastAsia="fi-FI"/>
        </w:rPr>
        <mc:AlternateContent>
          <mc:Choice Requires="wps">
            <w:drawing>
              <wp:anchor distT="0" distB="0" distL="114300" distR="114300" simplePos="0" relativeHeight="251654144" behindDoc="0" locked="0" layoutInCell="1" allowOverlap="1">
                <wp:simplePos x="0" y="0"/>
                <wp:positionH relativeFrom="column">
                  <wp:posOffset>-813435</wp:posOffset>
                </wp:positionH>
                <wp:positionV relativeFrom="paragraph">
                  <wp:posOffset>5969000</wp:posOffset>
                </wp:positionV>
                <wp:extent cx="7035800" cy="401320"/>
                <wp:effectExtent l="0" t="0" r="0" b="0"/>
                <wp:wrapNone/>
                <wp:docPr id="12"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40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4794" w:rsidRPr="00DC3CE6" w:rsidRDefault="00724794"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id="Text Box 302" o:spid="_x0000_s1028" type="#_x0000_t202" style="position:absolute;left:0;text-align:left;margin-left:-64.05pt;margin-top:470pt;width:554pt;height:31.6pt;z-index:2516541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" filled="f" stroked="f">
                <v:textbox style="mso-fit-shape-to-text:t">
                  <w:txbxContent>
                    <w:p w:rsidR="00724794" w:rsidRPr="00DC3CE6" w:rsidRDefault="00724794"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v:textbox>
              </v:shape>
            </w:pict>
          </mc:Fallback>
        </mc:AlternateContent>
      </w:r>
      <w:r w:rsidR="004929E9" w:rsidRPr="00D93644">
        <w:rPr>
          <w:rFonts w:cs="Arial"/>
          <w:noProof/>
          <w:lang w:val="fi-FI" w:eastAsia="fi-FI"/>
        </w:rPr>
        <w:drawing>
          <wp:inline distT="0" distB="0" distL="0" distR="0">
            <wp:extent cx="7572375" cy="13944600"/>
            <wp:effectExtent l="19050" t="0" r="9525" b="0"/>
            <wp:docPr id="1" name="Picture 1" descr="Cover-TPG-Whi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ver-TPG-White"/>
                    <pic:cNvPicPr preferRelativeResize="0">
                      <a:picLocks noChangeArrowheads="1"/>
                    </pic:cNvPicPr>
                  </pic:nvPicPr>
                  <pic:blipFill>
                    <a:blip r:embed="rId12" cstate="print"/>
                    <a:srcRect l="51128"/>
                    <a:stretch>
                      <a:fillRect/>
                    </a:stretch>
                  </pic:blipFill>
                  <pic:spPr bwMode="auto">
                    <a:xfrm>
                      <a:off x="0" y="0"/>
                      <a:ext cx="7572375" cy="13944600"/>
                    </a:xfrm>
                    <a:prstGeom prst="rect">
                      <a:avLst/>
                    </a:prstGeom>
                    <a:noFill/>
                    <a:ln w="9525">
                      <a:noFill/>
                      <a:miter lim="800000"/>
                      <a:headEnd/>
                      <a:tailEnd/>
                    </a:ln>
                  </pic:spPr>
                </pic:pic>
              </a:graphicData>
            </a:graphic>
          </wp:inline>
        </w:drawing>
      </w:r>
    </w:p>
    <w:bookmarkEnd w:id="0"/>
    <w:p w:rsidR="00956CB4" w:rsidRPr="00D93644" w:rsidRDefault="00956CB4" w:rsidP="00006BE0">
      <w:pPr>
        <w:pStyle w:val="ESPONText"/>
        <w:rPr>
          <w:rFonts w:cs="Arial"/>
        </w:rPr>
      </w:pPr>
    </w:p>
    <w:p w:rsidR="00390969" w:rsidRPr="00D93644" w:rsidRDefault="00390969" w:rsidP="00ED043E">
      <w:pPr>
        <w:pStyle w:val="ESPONColophon"/>
        <w:ind w:left="810"/>
        <w:rPr>
          <w:rFonts w:cs="Arial"/>
        </w:rPr>
        <w:sectPr w:rsidR="00390969" w:rsidRPr="00D93644" w:rsidSect="008F0882">
          <w:footerReference w:type="even" r:id="rId13"/>
          <w:footerReference w:type="default" r:id="rId14"/>
          <w:pgSz w:w="11906" w:h="16838" w:code="9"/>
          <w:pgMar w:top="0" w:right="851" w:bottom="0" w:left="1701" w:header="720" w:footer="720" w:gutter="0"/>
          <w:pgNumType w:fmt="lowerRoman" w:start="1"/>
          <w:cols w:space="720"/>
          <w:titlePg/>
          <w:docGrid w:linePitch="299"/>
        </w:sectPr>
      </w:pPr>
    </w:p>
    <w:p w:rsidR="008F0882" w:rsidRDefault="008F0882" w:rsidP="00AF6C49">
      <w:pPr>
        <w:pStyle w:val="ESPONColophon"/>
        <w:rPr>
          <w:rFonts w:cs="Arial"/>
        </w:rPr>
        <w:sectPr w:rsidR="008F0882" w:rsidSect="00CC4591">
          <w:type w:val="continuous"/>
          <w:pgSz w:w="11906" w:h="16838"/>
          <w:pgMar w:top="1644" w:right="1797" w:bottom="1644" w:left="1797" w:header="720" w:footer="720" w:gutter="0"/>
          <w:pgNumType w:fmt="lowerRoman" w:start="1"/>
          <w:cols w:space="720"/>
        </w:sectPr>
      </w:pPr>
    </w:p>
    <w:p w:rsidR="00ED043E" w:rsidRPr="00D93644" w:rsidRDefault="00560F65" w:rsidP="00560F65">
      <w:pPr>
        <w:pStyle w:val="ESPONColophon"/>
        <w:ind w:left="810"/>
        <w:rPr>
          <w:rFonts w:cs="Arial"/>
        </w:rPr>
      </w:pPr>
      <w:r w:rsidRPr="00D93644">
        <w:rPr>
          <w:rFonts w:cs="Arial"/>
        </w:rPr>
        <w:lastRenderedPageBreak/>
        <w:t xml:space="preserve">This report </w:t>
      </w:r>
      <w:r w:rsidR="00A83C6B" w:rsidRPr="00D93644">
        <w:rPr>
          <w:rFonts w:cs="Arial"/>
        </w:rPr>
        <w:t>is one of the deliverables of the TiPSE project</w:t>
      </w:r>
      <w:r w:rsidRPr="00D93644">
        <w:rPr>
          <w:rFonts w:cs="Arial"/>
        </w:rPr>
        <w:t>. This Applied Research Project is conducted within the framework of the ESPON 2013 Programme, partly financed by the European Regional Development Fund.</w:t>
      </w:r>
    </w:p>
    <w:p w:rsidR="00560F65" w:rsidRPr="00D93644" w:rsidRDefault="00560F65" w:rsidP="00560F65">
      <w:pPr>
        <w:pStyle w:val="ESPONColophon"/>
        <w:ind w:left="810"/>
        <w:rPr>
          <w:rFonts w:cs="Arial"/>
        </w:rPr>
      </w:pPr>
    </w:p>
    <w:p w:rsidR="00ED043E" w:rsidRPr="00D93644" w:rsidRDefault="00ED043E" w:rsidP="00ED043E">
      <w:pPr>
        <w:pStyle w:val="ESPONColophon"/>
        <w:ind w:left="810"/>
        <w:rPr>
          <w:rFonts w:cs="Arial"/>
        </w:rPr>
      </w:pPr>
      <w:r w:rsidRPr="00D93644">
        <w:rPr>
          <w:rFonts w:cs="Arial"/>
        </w:rPr>
        <w:t>The partnership behind the ESPON Programme consists of the EU Commission and the Member States of the EU27, plus Iceland, Liechtenstein, Norway and Switzerland. Each partner is represented in the ESPON Monitoring Committee.</w:t>
      </w:r>
    </w:p>
    <w:p w:rsidR="00ED043E" w:rsidRPr="00D93644" w:rsidRDefault="00ED043E" w:rsidP="00ED043E">
      <w:pPr>
        <w:pStyle w:val="ESPONColophon"/>
        <w:ind w:left="810"/>
        <w:rPr>
          <w:rFonts w:cs="Arial"/>
        </w:rPr>
      </w:pPr>
    </w:p>
    <w:p w:rsidR="00ED043E" w:rsidRPr="00D93644" w:rsidRDefault="00ED043E" w:rsidP="00ED043E">
      <w:pPr>
        <w:pStyle w:val="ESPONColophon"/>
        <w:ind w:left="810"/>
        <w:rPr>
          <w:rFonts w:cs="Arial"/>
        </w:rPr>
      </w:pPr>
      <w:r w:rsidRPr="00D93644">
        <w:rPr>
          <w:rFonts w:cs="Arial"/>
        </w:rPr>
        <w:t>This report does not necessarily reflect the opinion of the members of the Monitoring Committee.</w:t>
      </w:r>
    </w:p>
    <w:p w:rsidR="00ED043E" w:rsidRPr="00D93644" w:rsidRDefault="00ED043E" w:rsidP="00ED043E">
      <w:pPr>
        <w:pStyle w:val="ESPONColophon"/>
        <w:ind w:left="810"/>
        <w:rPr>
          <w:rFonts w:cs="Arial"/>
        </w:rPr>
      </w:pPr>
    </w:p>
    <w:p w:rsidR="00ED043E" w:rsidRPr="00D93644" w:rsidRDefault="00ED043E" w:rsidP="00ED043E">
      <w:pPr>
        <w:pStyle w:val="ESPONColophon"/>
        <w:ind w:left="810"/>
        <w:rPr>
          <w:rFonts w:cs="Arial"/>
        </w:rPr>
      </w:pPr>
      <w:r w:rsidRPr="00D93644">
        <w:rPr>
          <w:rFonts w:cs="Arial"/>
        </w:rPr>
        <w:t xml:space="preserve">Information on the ESPON Programme and projects can be found on </w:t>
      </w:r>
      <w:hyperlink r:id="rId15" w:history="1">
        <w:r w:rsidRPr="00D93644">
          <w:rPr>
            <w:rStyle w:val="Hyperlink"/>
            <w:rFonts w:cs="Arial"/>
          </w:rPr>
          <w:t>www.espon.eu</w:t>
        </w:r>
      </w:hyperlink>
    </w:p>
    <w:p w:rsidR="00ED043E" w:rsidRPr="00D93644" w:rsidRDefault="00ED043E" w:rsidP="00ED043E">
      <w:pPr>
        <w:pStyle w:val="ESPONColophon"/>
        <w:ind w:left="810"/>
        <w:rPr>
          <w:rFonts w:cs="Arial"/>
        </w:rPr>
      </w:pPr>
    </w:p>
    <w:p w:rsidR="00ED043E" w:rsidRPr="00D93644" w:rsidRDefault="00ED043E" w:rsidP="00ED043E">
      <w:pPr>
        <w:pStyle w:val="ESPONColophon"/>
        <w:ind w:left="810"/>
        <w:rPr>
          <w:rFonts w:cs="Arial"/>
        </w:rPr>
      </w:pPr>
      <w:r w:rsidRPr="00D93644">
        <w:rPr>
          <w:rFonts w:cs="Arial"/>
        </w:rPr>
        <w:t>The web site provides the possibility to download and examine the most recent documents produced by finalised and ongoing ESPON projects.</w:t>
      </w:r>
    </w:p>
    <w:p w:rsidR="00ED043E" w:rsidRDefault="00ED043E" w:rsidP="00ED043E">
      <w:pPr>
        <w:pStyle w:val="ESPONColophon"/>
        <w:ind w:left="810"/>
        <w:rPr>
          <w:rFonts w:cs="Arial"/>
        </w:rPr>
      </w:pPr>
    </w:p>
    <w:p w:rsidR="003F173E" w:rsidRPr="00C36DAF" w:rsidRDefault="003F173E" w:rsidP="003F173E">
      <w:pPr>
        <w:pStyle w:val="ESPONColophon"/>
        <w:ind w:left="810" w:right="4484"/>
      </w:pPr>
      <w:r w:rsidRPr="00C36DAF">
        <w:t xml:space="preserve">ISBN number </w:t>
      </w:r>
      <w:r>
        <w:t>–</w:t>
      </w:r>
      <w:r w:rsidRPr="00C36DAF">
        <w:t xml:space="preserve"> </w:t>
      </w:r>
      <w:r>
        <w:t>987-2-919777-42-6</w:t>
      </w:r>
    </w:p>
    <w:p w:rsidR="003F173E" w:rsidRPr="00D93644" w:rsidRDefault="003F173E" w:rsidP="00ED043E">
      <w:pPr>
        <w:pStyle w:val="ESPONColophon"/>
        <w:ind w:left="810"/>
        <w:rPr>
          <w:rFonts w:cs="Arial"/>
        </w:rPr>
      </w:pPr>
    </w:p>
    <w:p w:rsidR="00ED043E" w:rsidRPr="00D93644" w:rsidRDefault="00ED043E" w:rsidP="00ED043E">
      <w:pPr>
        <w:pStyle w:val="ESPONColophon"/>
        <w:ind w:left="810"/>
        <w:rPr>
          <w:rFonts w:cs="Arial"/>
        </w:rPr>
      </w:pPr>
      <w:r w:rsidRPr="00D93644">
        <w:rPr>
          <w:rFonts w:cs="Arial"/>
        </w:rPr>
        <w:t>© ESPON &amp;</w:t>
      </w:r>
      <w:r w:rsidR="00261332" w:rsidRPr="00D93644">
        <w:rPr>
          <w:rFonts w:cs="Arial"/>
        </w:rPr>
        <w:t xml:space="preserve"> </w:t>
      </w:r>
      <w:r w:rsidR="00C818EC">
        <w:rPr>
          <w:rFonts w:cs="Arial"/>
        </w:rPr>
        <w:t>EKKE</w:t>
      </w:r>
      <w:r w:rsidRPr="00D93644">
        <w:rPr>
          <w:rFonts w:cs="Arial"/>
        </w:rPr>
        <w:t>, 201</w:t>
      </w:r>
      <w:r w:rsidR="00560F65" w:rsidRPr="00D93644">
        <w:rPr>
          <w:rFonts w:cs="Arial"/>
        </w:rPr>
        <w:t>2</w:t>
      </w:r>
      <w:r w:rsidRPr="00D93644">
        <w:rPr>
          <w:rFonts w:cs="Arial"/>
        </w:rPr>
        <w:t>.</w:t>
      </w:r>
    </w:p>
    <w:p w:rsidR="00ED043E" w:rsidRPr="00D93644" w:rsidRDefault="00ED043E" w:rsidP="00ED043E">
      <w:pPr>
        <w:pStyle w:val="ESPONColophon"/>
        <w:ind w:left="810"/>
        <w:rPr>
          <w:rFonts w:cs="Arial"/>
        </w:rPr>
      </w:pPr>
    </w:p>
    <w:p w:rsidR="00ED043E" w:rsidRPr="00D93644" w:rsidRDefault="00ED043E" w:rsidP="00ED043E">
      <w:pPr>
        <w:pStyle w:val="ESPONColophon"/>
        <w:ind w:left="810"/>
        <w:rPr>
          <w:rFonts w:cs="Arial"/>
        </w:rPr>
      </w:pPr>
      <w:r w:rsidRPr="00D93644">
        <w:rPr>
          <w:rFonts w:cs="Arial"/>
        </w:rPr>
        <w:t>Printing, reproduction or quotation is authorised provided the source is acknowledged and a copy is forwarded to the ESPON Coordination Unit in Luxembourg.</w:t>
      </w:r>
    </w:p>
    <w:p w:rsidR="00ED043E" w:rsidRPr="00D93644" w:rsidRDefault="00ED043E" w:rsidP="00ED043E">
      <w:pPr>
        <w:pStyle w:val="ESPONColophon"/>
        <w:ind w:left="810"/>
        <w:rPr>
          <w:rFonts w:cs="Arial"/>
        </w:rPr>
      </w:pPr>
    </w:p>
    <w:p w:rsidR="005703AA" w:rsidRPr="00D93644" w:rsidRDefault="005703AA" w:rsidP="00A9269D">
      <w:pPr>
        <w:pStyle w:val="ESPONText"/>
        <w:rPr>
          <w:rFonts w:cs="Arial"/>
        </w:rPr>
      </w:pPr>
    </w:p>
    <w:p w:rsidR="00083086" w:rsidRDefault="00083086" w:rsidP="00873B3E">
      <w:pPr>
        <w:pStyle w:val="ESPONText"/>
        <w:spacing w:line="240" w:lineRule="auto"/>
        <w:rPr>
          <w:rFonts w:cs="Arial"/>
          <w:b/>
          <w:sz w:val="32"/>
          <w:szCs w:val="32"/>
        </w:rPr>
        <w:sectPr w:rsidR="00083086" w:rsidSect="00083086">
          <w:type w:val="continuous"/>
          <w:pgSz w:w="11906" w:h="16838"/>
          <w:pgMar w:top="1644" w:right="1797" w:bottom="1644" w:left="1797" w:header="720" w:footer="720" w:gutter="0"/>
          <w:pgNumType w:fmt="lowerRoman" w:start="3"/>
          <w:cols w:space="720"/>
          <w:docGrid w:linePitch="299"/>
        </w:sectPr>
      </w:pPr>
    </w:p>
    <w:p w:rsidR="00261332" w:rsidRPr="00D93644" w:rsidRDefault="00A83C6B" w:rsidP="00873B3E">
      <w:pPr>
        <w:pStyle w:val="ESPONText"/>
        <w:spacing w:line="240" w:lineRule="auto"/>
        <w:rPr>
          <w:rFonts w:cs="Arial"/>
          <w:b/>
          <w:sz w:val="32"/>
          <w:szCs w:val="32"/>
        </w:rPr>
      </w:pPr>
      <w:r w:rsidRPr="00D93644">
        <w:rPr>
          <w:rFonts w:cs="Arial"/>
          <w:b/>
          <w:sz w:val="32"/>
          <w:szCs w:val="32"/>
        </w:rPr>
        <w:lastRenderedPageBreak/>
        <w:t xml:space="preserve">The ESPON </w:t>
      </w:r>
      <w:r w:rsidR="00261332" w:rsidRPr="00D93644">
        <w:rPr>
          <w:rFonts w:cs="Arial"/>
          <w:b/>
          <w:sz w:val="32"/>
          <w:szCs w:val="32"/>
        </w:rPr>
        <w:t>TiPSE</w:t>
      </w:r>
      <w:r w:rsidRPr="00D93644">
        <w:rPr>
          <w:rFonts w:cs="Arial"/>
          <w:b/>
          <w:sz w:val="32"/>
          <w:szCs w:val="32"/>
        </w:rPr>
        <w:t xml:space="preserve"> Project</w:t>
      </w:r>
      <w:r w:rsidR="00261332" w:rsidRPr="00D93644">
        <w:rPr>
          <w:rFonts w:cs="Arial"/>
          <w:b/>
          <w:sz w:val="32"/>
          <w:szCs w:val="32"/>
        </w:rPr>
        <w:t>:</w:t>
      </w:r>
    </w:p>
    <w:p w:rsidR="00A83C6B" w:rsidRPr="00D93644" w:rsidRDefault="00A83C6B" w:rsidP="00873B3E">
      <w:pPr>
        <w:pStyle w:val="ESPONText"/>
        <w:spacing w:line="240" w:lineRule="auto"/>
        <w:rPr>
          <w:rFonts w:cs="Arial"/>
        </w:rPr>
      </w:pPr>
      <w:r w:rsidRPr="00D93644">
        <w:rPr>
          <w:rFonts w:cs="Arial"/>
        </w:rPr>
        <w:t xml:space="preserve">The TiPSE project </w:t>
      </w:r>
      <w:r w:rsidR="00380A7F" w:rsidRPr="00D93644">
        <w:rPr>
          <w:rFonts w:cs="Arial"/>
        </w:rPr>
        <w:t>has been</w:t>
      </w:r>
      <w:r w:rsidRPr="00D93644">
        <w:rPr>
          <w:rFonts w:cs="Arial"/>
        </w:rPr>
        <w:t xml:space="preserve"> commissioned by the European Observation Network for Territorial Development and Cohesion (ESPON) programme. It is concerned with the issue of poverty</w:t>
      </w:r>
      <w:r w:rsidR="00A14590" w:rsidRPr="00D93644">
        <w:rPr>
          <w:rFonts w:cs="Arial"/>
        </w:rPr>
        <w:t>,</w:t>
      </w:r>
      <w:r w:rsidRPr="00D93644">
        <w:rPr>
          <w:rFonts w:cs="Arial"/>
        </w:rPr>
        <w:t xml:space="preserve"> and processes of social exclusion in Europe.</w:t>
      </w:r>
    </w:p>
    <w:p w:rsidR="00A14590" w:rsidRPr="00D93644" w:rsidRDefault="00A14590" w:rsidP="00873B3E">
      <w:pPr>
        <w:pStyle w:val="ESPONText"/>
        <w:spacing w:line="240" w:lineRule="auto"/>
        <w:rPr>
          <w:rFonts w:cs="Arial"/>
        </w:rPr>
      </w:pPr>
      <w:r w:rsidRPr="00D93644">
        <w:rPr>
          <w:rFonts w:cs="Arial"/>
        </w:rPr>
        <w:t>One of the key challenges for the EU, in its pursuit of social, economic and territorial cohesion, is to address regional or local concentrations of poverty and social exclusion. In terms of practical governance, this remains a national responsibility within the context of EU strategic guidance. In practice, regional or local administrations are often in ‘the front line’</w:t>
      </w:r>
      <w:r w:rsidR="002977F2" w:rsidRPr="00D93644">
        <w:rPr>
          <w:rFonts w:cs="Arial"/>
        </w:rPr>
        <w:t>;</w:t>
      </w:r>
      <w:r w:rsidRPr="00D93644">
        <w:rPr>
          <w:rFonts w:cs="Arial"/>
        </w:rPr>
        <w:t xml:space="preserve"> implementing national policies to ameliorate deprivation and exclusion. At a higher level, the EU defines its role as identifying best practices and promoting mutual learning.</w:t>
      </w:r>
    </w:p>
    <w:p w:rsidR="00A14590" w:rsidRPr="00D93644" w:rsidRDefault="00A14590" w:rsidP="00873B3E">
      <w:pPr>
        <w:pStyle w:val="ESPONText"/>
        <w:spacing w:line="240" w:lineRule="auto"/>
        <w:rPr>
          <w:rFonts w:cs="Arial"/>
        </w:rPr>
      </w:pPr>
      <w:r w:rsidRPr="00D93644">
        <w:rPr>
          <w:rFonts w:cs="Arial"/>
        </w:rPr>
        <w:t xml:space="preserve">Poverty and social exclusion are essentially relative concepts, arguably only meaningful within a specified geographical context. This </w:t>
      </w:r>
      <w:r w:rsidR="00873B3E" w:rsidRPr="00D93644">
        <w:rPr>
          <w:rFonts w:cs="Arial"/>
        </w:rPr>
        <w:t>underlines</w:t>
      </w:r>
      <w:r w:rsidRPr="00D93644">
        <w:rPr>
          <w:rFonts w:cs="Arial"/>
        </w:rPr>
        <w:t xml:space="preserve"> the </w:t>
      </w:r>
      <w:r w:rsidR="002977F2" w:rsidRPr="00D93644">
        <w:rPr>
          <w:rFonts w:cs="Arial"/>
        </w:rPr>
        <w:t>essential roles to be played by</w:t>
      </w:r>
      <w:r w:rsidRPr="00D93644">
        <w:rPr>
          <w:rFonts w:cs="Arial"/>
        </w:rPr>
        <w:t xml:space="preserve"> observation, measurement</w:t>
      </w:r>
      <w:r w:rsidR="002977F2" w:rsidRPr="00D93644">
        <w:rPr>
          <w:rFonts w:cs="Arial"/>
        </w:rPr>
        <w:t xml:space="preserve">, and careful data analysis, as </w:t>
      </w:r>
      <w:r w:rsidRPr="00D93644">
        <w:rPr>
          <w:rFonts w:cs="Arial"/>
        </w:rPr>
        <w:t>preparation</w:t>
      </w:r>
      <w:r w:rsidR="002977F2" w:rsidRPr="00D93644">
        <w:rPr>
          <w:rFonts w:cs="Arial"/>
        </w:rPr>
        <w:t>s</w:t>
      </w:r>
      <w:r w:rsidRPr="00D93644">
        <w:rPr>
          <w:rFonts w:cs="Arial"/>
        </w:rPr>
        <w:t xml:space="preserve"> for intervention. The TIPSE project aims to support policy, both by enhancing the evidence base and by identifying existing good practice.</w:t>
      </w:r>
    </w:p>
    <w:p w:rsidR="00380A7F" w:rsidRPr="00D93644" w:rsidRDefault="006D145A" w:rsidP="00873B3E">
      <w:pPr>
        <w:pStyle w:val="ESPONText"/>
        <w:spacing w:line="240" w:lineRule="auto"/>
        <w:rPr>
          <w:rFonts w:cs="Arial"/>
        </w:rPr>
      </w:pPr>
      <w:r w:rsidRPr="00D93644">
        <w:rPr>
          <w:rFonts w:cs="Arial"/>
        </w:rPr>
        <w:t>A central</w:t>
      </w:r>
      <w:r w:rsidR="00A83C6B" w:rsidRPr="00D93644">
        <w:rPr>
          <w:rFonts w:cs="Arial"/>
        </w:rPr>
        <w:t xml:space="preserve"> </w:t>
      </w:r>
      <w:r w:rsidR="002977F2" w:rsidRPr="00D93644">
        <w:rPr>
          <w:rFonts w:cs="Arial"/>
        </w:rPr>
        <w:t>objective</w:t>
      </w:r>
      <w:r w:rsidR="00A83C6B" w:rsidRPr="00D93644">
        <w:rPr>
          <w:rFonts w:cs="Arial"/>
        </w:rPr>
        <w:t xml:space="preserve"> of the </w:t>
      </w:r>
      <w:r w:rsidR="00A14590" w:rsidRPr="00D93644">
        <w:rPr>
          <w:rFonts w:cs="Arial"/>
        </w:rPr>
        <w:t xml:space="preserve">TiPSE </w:t>
      </w:r>
      <w:r w:rsidR="00A83C6B" w:rsidRPr="00D93644">
        <w:rPr>
          <w:rFonts w:cs="Arial"/>
        </w:rPr>
        <w:t xml:space="preserve">project is to </w:t>
      </w:r>
      <w:r w:rsidR="002977F2" w:rsidRPr="00D93644">
        <w:rPr>
          <w:rFonts w:cs="Arial"/>
        </w:rPr>
        <w:t>establish macro and micro-scale patterns of poverty and social exclusion across the ESPON space. This will be achieved by compiling</w:t>
      </w:r>
      <w:r w:rsidR="00A83C6B" w:rsidRPr="00D93644">
        <w:rPr>
          <w:rFonts w:cs="Arial"/>
        </w:rPr>
        <w:t xml:space="preserve"> a regional database</w:t>
      </w:r>
      <w:r w:rsidRPr="00D93644">
        <w:rPr>
          <w:rFonts w:cs="Arial"/>
        </w:rPr>
        <w:t>,</w:t>
      </w:r>
      <w:r w:rsidR="00A83C6B" w:rsidRPr="00D93644">
        <w:rPr>
          <w:rFonts w:cs="Arial"/>
        </w:rPr>
        <w:t xml:space="preserve"> and associated maps, of poverty and social exclusion indicators. </w:t>
      </w:r>
      <w:r w:rsidR="00380A7F" w:rsidRPr="00D93644">
        <w:rPr>
          <w:rFonts w:cs="Arial"/>
        </w:rPr>
        <w:t xml:space="preserve">Such quantitative analysis of geographical patterns is considered a </w:t>
      </w:r>
      <w:r w:rsidR="002977F2" w:rsidRPr="00D93644">
        <w:rPr>
          <w:rFonts w:cs="Arial"/>
        </w:rPr>
        <w:t>fundamental</w:t>
      </w:r>
      <w:r w:rsidR="00380A7F" w:rsidRPr="00D93644">
        <w:rPr>
          <w:rFonts w:cs="Arial"/>
        </w:rPr>
        <w:t xml:space="preserve"> part of the evidence base for policy.</w:t>
      </w:r>
    </w:p>
    <w:p w:rsidR="00925C23" w:rsidRPr="00D93644" w:rsidRDefault="00380A7F" w:rsidP="00873B3E">
      <w:pPr>
        <w:pStyle w:val="ESPONText"/>
        <w:spacing w:line="240" w:lineRule="auto"/>
        <w:rPr>
          <w:rFonts w:cs="Arial"/>
        </w:rPr>
      </w:pPr>
      <w:r w:rsidRPr="00D93644">
        <w:rPr>
          <w:rFonts w:cs="Arial"/>
        </w:rPr>
        <w:t>In addition, i</w:t>
      </w:r>
      <w:r w:rsidR="006D145A" w:rsidRPr="00D93644">
        <w:rPr>
          <w:rFonts w:cs="Arial"/>
        </w:rPr>
        <w:t>n order to better understand the various social and institutional processes which are the context of these patterns</w:t>
      </w:r>
      <w:r w:rsidRPr="00D93644">
        <w:rPr>
          <w:rFonts w:cs="Arial"/>
        </w:rPr>
        <w:t>,</w:t>
      </w:r>
      <w:r w:rsidR="006D145A" w:rsidRPr="00D93644">
        <w:rPr>
          <w:rFonts w:cs="Arial"/>
        </w:rPr>
        <w:t xml:space="preserve"> a set of ten case studies </w:t>
      </w:r>
      <w:r w:rsidR="00873B3E" w:rsidRPr="00D93644">
        <w:rPr>
          <w:rFonts w:cs="Arial"/>
        </w:rPr>
        <w:t>are to be</w:t>
      </w:r>
      <w:r w:rsidR="006D145A" w:rsidRPr="00D93644">
        <w:rPr>
          <w:rFonts w:cs="Arial"/>
        </w:rPr>
        <w:t xml:space="preserve"> carried out. </w:t>
      </w:r>
      <w:r w:rsidR="00FF2B12" w:rsidRPr="00D93644">
        <w:rPr>
          <w:rFonts w:cs="Arial"/>
        </w:rPr>
        <w:t xml:space="preserve">These </w:t>
      </w:r>
      <w:r w:rsidR="00873B3E" w:rsidRPr="00D93644">
        <w:rPr>
          <w:rFonts w:cs="Arial"/>
        </w:rPr>
        <w:t>will be</w:t>
      </w:r>
      <w:r w:rsidR="00FF2B12" w:rsidRPr="00D93644">
        <w:rPr>
          <w:rFonts w:cs="Arial"/>
        </w:rPr>
        <w:t xml:space="preserve"> more qualitative in approach, in order to convey holistic portraits of different kinds of poverty and social exclusion as experienced in a wide variety of European territorial contexts.</w:t>
      </w:r>
      <w:r w:rsidR="00957D1D" w:rsidRPr="00D93644">
        <w:rPr>
          <w:rFonts w:cs="Arial"/>
        </w:rPr>
        <w:t xml:space="preserve"> The principal goal for these investigations will be to bring forward clear illustrations of the social, economic</w:t>
      </w:r>
      <w:r w:rsidR="00925C23" w:rsidRPr="00D93644">
        <w:rPr>
          <w:rFonts w:cs="Arial"/>
        </w:rPr>
        <w:t>, institutional</w:t>
      </w:r>
      <w:r w:rsidR="00957D1D" w:rsidRPr="00D93644">
        <w:rPr>
          <w:rFonts w:cs="Arial"/>
        </w:rPr>
        <w:t xml:space="preserve"> and spatial processes which lead to poverty and social exclusion in </w:t>
      </w:r>
      <w:r w:rsidR="00925C23" w:rsidRPr="00D93644">
        <w:rPr>
          <w:rFonts w:cs="Arial"/>
        </w:rPr>
        <w:t>particular geographic contexts.</w:t>
      </w:r>
    </w:p>
    <w:p w:rsidR="00261332" w:rsidRPr="00D93644" w:rsidRDefault="00957D1D" w:rsidP="00873B3E">
      <w:pPr>
        <w:pStyle w:val="ESPONText"/>
        <w:spacing w:line="240" w:lineRule="auto"/>
        <w:rPr>
          <w:rFonts w:cs="Arial"/>
        </w:rPr>
      </w:pPr>
      <w:r w:rsidRPr="00D93644">
        <w:rPr>
          <w:rFonts w:cs="Arial"/>
        </w:rPr>
        <w:t xml:space="preserve">The selection of case study areas has been carried out with careful regard to the wide variety of geographic, cultural and policy contexts which characterise Europe. The ten case studies </w:t>
      </w:r>
      <w:r w:rsidR="00873B3E" w:rsidRPr="00D93644">
        <w:rPr>
          <w:rFonts w:cs="Arial"/>
        </w:rPr>
        <w:t xml:space="preserve">are </w:t>
      </w:r>
      <w:r w:rsidRPr="00D93644">
        <w:rPr>
          <w:rFonts w:cs="Arial"/>
        </w:rPr>
        <w:t xml:space="preserve">also </w:t>
      </w:r>
      <w:r w:rsidR="00925C23" w:rsidRPr="00D93644">
        <w:rPr>
          <w:rFonts w:cs="Arial"/>
        </w:rPr>
        <w:t>intended to highlight a range of different ‘drivers’ of poverty and social exclusion, including labour market conditions, educational disadvantage, ethnicity, poor access to services and urban segregation processes.</w:t>
      </w:r>
      <w:r w:rsidR="00380A7F" w:rsidRPr="00D93644">
        <w:rPr>
          <w:rFonts w:cs="Arial"/>
        </w:rPr>
        <w:t xml:space="preserve"> </w:t>
      </w:r>
      <w:r w:rsidRPr="00D93644">
        <w:rPr>
          <w:rFonts w:cs="Arial"/>
        </w:rPr>
        <w:t>A second objective of the case studies</w:t>
      </w:r>
      <w:r w:rsidR="006D145A" w:rsidRPr="00D93644">
        <w:rPr>
          <w:rFonts w:cs="Arial"/>
        </w:rPr>
        <w:t xml:space="preserve"> will be to</w:t>
      </w:r>
      <w:r w:rsidR="00C33CC9" w:rsidRPr="00D93644">
        <w:rPr>
          <w:rFonts w:cs="Arial"/>
        </w:rPr>
        <w:t xml:space="preserve"> identify</w:t>
      </w:r>
      <w:r w:rsidR="006D145A" w:rsidRPr="00D93644">
        <w:rPr>
          <w:rFonts w:cs="Arial"/>
        </w:rPr>
        <w:t xml:space="preserve"> policy approaches </w:t>
      </w:r>
      <w:r w:rsidR="00C33CC9" w:rsidRPr="00D93644">
        <w:rPr>
          <w:rFonts w:cs="Arial"/>
        </w:rPr>
        <w:t>which can effectively</w:t>
      </w:r>
      <w:r w:rsidR="00FF2B12" w:rsidRPr="00D93644">
        <w:rPr>
          <w:rFonts w:cs="Arial"/>
        </w:rPr>
        <w:t xml:space="preserve"> </w:t>
      </w:r>
      <w:r w:rsidR="00C33CC9" w:rsidRPr="00D93644">
        <w:rPr>
          <w:rFonts w:cs="Arial"/>
        </w:rPr>
        <w:t xml:space="preserve">tackle exclusion, and thus </w:t>
      </w:r>
      <w:r w:rsidR="00FF2B12" w:rsidRPr="00D93644">
        <w:rPr>
          <w:rFonts w:cs="Arial"/>
        </w:rPr>
        <w:t>strengthen territorial cohesion</w:t>
      </w:r>
      <w:r w:rsidR="00A83C6B" w:rsidRPr="00D93644">
        <w:rPr>
          <w:rFonts w:cs="Arial"/>
        </w:rPr>
        <w:t>.</w:t>
      </w:r>
      <w:r w:rsidR="00380A7F" w:rsidRPr="00D93644">
        <w:rPr>
          <w:rFonts w:cs="Arial"/>
        </w:rPr>
        <w:t xml:space="preserve"> </w:t>
      </w:r>
    </w:p>
    <w:p w:rsidR="00261332" w:rsidRPr="00D93644" w:rsidRDefault="00261332" w:rsidP="00873B3E">
      <w:pPr>
        <w:pStyle w:val="ESPONText"/>
        <w:spacing w:line="240" w:lineRule="auto"/>
        <w:rPr>
          <w:rFonts w:cs="Arial"/>
        </w:rPr>
      </w:pPr>
      <w:r w:rsidRPr="00D93644">
        <w:rPr>
          <w:rFonts w:cs="Arial"/>
        </w:rPr>
        <w:t>The TiPSE research team comprises 6 partners from 5 EU Member States:</w:t>
      </w:r>
    </w:p>
    <w:tbl>
      <w:tblPr>
        <w:tblW w:w="9009" w:type="dxa"/>
        <w:tblInd w:w="103"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539"/>
        <w:gridCol w:w="5635"/>
        <w:gridCol w:w="567"/>
        <w:gridCol w:w="2268"/>
      </w:tblGrid>
      <w:tr w:rsidR="00261332" w:rsidRPr="00D93644" w:rsidTr="00CA7991">
        <w:trPr>
          <w:trHeight w:val="255"/>
        </w:trPr>
        <w:tc>
          <w:tcPr>
            <w:tcW w:w="539"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D93644" w:rsidRDefault="00261332" w:rsidP="00CA7991">
            <w:pPr>
              <w:spacing w:before="0" w:line="240" w:lineRule="auto"/>
              <w:jc w:val="right"/>
              <w:rPr>
                <w:rFonts w:cs="Arial"/>
                <w:b/>
                <w:bCs/>
                <w:sz w:val="20"/>
                <w:lang w:eastAsia="en-GB"/>
              </w:rPr>
            </w:pPr>
            <w:r w:rsidRPr="00D93644">
              <w:rPr>
                <w:rFonts w:cs="Arial"/>
                <w:b/>
                <w:bCs/>
                <w:sz w:val="20"/>
                <w:lang w:eastAsia="en-GB"/>
              </w:rPr>
              <w:t>No.</w:t>
            </w:r>
          </w:p>
        </w:tc>
        <w:tc>
          <w:tcPr>
            <w:tcW w:w="5635"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D93644" w:rsidRDefault="00261332" w:rsidP="00CA7991">
            <w:pPr>
              <w:spacing w:before="0" w:line="240" w:lineRule="auto"/>
              <w:jc w:val="left"/>
              <w:rPr>
                <w:rFonts w:cs="Arial"/>
                <w:b/>
                <w:bCs/>
                <w:sz w:val="20"/>
                <w:lang w:eastAsia="en-GB"/>
              </w:rPr>
            </w:pPr>
            <w:r w:rsidRPr="00D93644">
              <w:rPr>
                <w:rFonts w:cs="Arial"/>
                <w:b/>
                <w:bCs/>
                <w:sz w:val="20"/>
                <w:lang w:eastAsia="en-GB"/>
              </w:rPr>
              <w:t>Partner</w:t>
            </w:r>
          </w:p>
        </w:tc>
        <w:tc>
          <w:tcPr>
            <w:tcW w:w="567"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D93644" w:rsidRDefault="00261332" w:rsidP="00CA7991">
            <w:pPr>
              <w:spacing w:before="0" w:line="240" w:lineRule="auto"/>
              <w:jc w:val="left"/>
              <w:rPr>
                <w:rFonts w:cs="Arial"/>
                <w:b/>
                <w:bCs/>
                <w:sz w:val="20"/>
                <w:lang w:eastAsia="en-GB"/>
              </w:rPr>
            </w:pPr>
            <w:r w:rsidRPr="00D93644">
              <w:rPr>
                <w:rFonts w:cs="Arial"/>
                <w:b/>
                <w:bCs/>
                <w:sz w:val="20"/>
                <w:lang w:eastAsia="en-GB"/>
              </w:rPr>
              <w:t>MS</w:t>
            </w:r>
          </w:p>
        </w:tc>
        <w:tc>
          <w:tcPr>
            <w:tcW w:w="2268" w:type="dxa"/>
            <w:tcBorders>
              <w:top w:val="single" w:sz="4" w:space="0" w:color="auto"/>
              <w:bottom w:val="single" w:sz="4" w:space="0" w:color="auto"/>
            </w:tcBorders>
            <w:tcMar>
              <w:top w:w="0" w:type="dxa"/>
              <w:left w:w="40" w:type="dxa"/>
              <w:bottom w:w="0" w:type="dxa"/>
              <w:right w:w="40" w:type="dxa"/>
            </w:tcMar>
            <w:vAlign w:val="center"/>
          </w:tcPr>
          <w:p w:rsidR="00261332" w:rsidRPr="00D93644" w:rsidRDefault="00261332" w:rsidP="00CA7991">
            <w:pPr>
              <w:spacing w:before="0" w:line="240" w:lineRule="auto"/>
              <w:jc w:val="left"/>
              <w:rPr>
                <w:rFonts w:cs="Arial"/>
                <w:b/>
                <w:bCs/>
                <w:sz w:val="20"/>
                <w:lang w:eastAsia="en-GB"/>
              </w:rPr>
            </w:pPr>
            <w:r w:rsidRPr="00D93644">
              <w:rPr>
                <w:rFonts w:cs="Arial"/>
                <w:b/>
                <w:bCs/>
                <w:sz w:val="20"/>
                <w:lang w:eastAsia="en-GB"/>
              </w:rPr>
              <w:t>Principal Researchers</w:t>
            </w:r>
          </w:p>
        </w:tc>
      </w:tr>
      <w:tr w:rsidR="00261332" w:rsidRPr="00D93644" w:rsidTr="00CA7991">
        <w:trPr>
          <w:trHeight w:val="255"/>
        </w:trPr>
        <w:tc>
          <w:tcPr>
            <w:tcW w:w="539" w:type="dxa"/>
            <w:tcBorders>
              <w:top w:val="single" w:sz="4" w:space="0" w:color="auto"/>
            </w:tcBorders>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center"/>
              <w:rPr>
                <w:rFonts w:cs="Arial"/>
                <w:color w:val="000000"/>
                <w:sz w:val="20"/>
                <w:lang w:eastAsia="en-GB"/>
              </w:rPr>
            </w:pPr>
            <w:r w:rsidRPr="00D93644">
              <w:rPr>
                <w:rFonts w:cs="Arial"/>
                <w:color w:val="000000"/>
                <w:sz w:val="20"/>
                <w:lang w:eastAsia="en-GB"/>
              </w:rPr>
              <w:t>LP</w:t>
            </w:r>
          </w:p>
        </w:tc>
        <w:tc>
          <w:tcPr>
            <w:tcW w:w="5635" w:type="dxa"/>
            <w:tcBorders>
              <w:top w:val="single" w:sz="4" w:space="0" w:color="auto"/>
            </w:tcBorders>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left"/>
              <w:rPr>
                <w:rFonts w:cs="Arial"/>
                <w:color w:val="000000"/>
                <w:sz w:val="20"/>
                <w:lang w:eastAsia="en-GB"/>
              </w:rPr>
            </w:pPr>
            <w:r w:rsidRPr="00D93644">
              <w:rPr>
                <w:rFonts w:cs="Arial"/>
                <w:color w:val="000000"/>
                <w:sz w:val="20"/>
                <w:lang w:eastAsia="en-GB"/>
              </w:rPr>
              <w:t>Nordregio - Nordic Centre for Spatial Development</w:t>
            </w:r>
          </w:p>
        </w:tc>
        <w:tc>
          <w:tcPr>
            <w:tcW w:w="567" w:type="dxa"/>
            <w:tcBorders>
              <w:top w:val="single" w:sz="4" w:space="0" w:color="auto"/>
            </w:tcBorders>
            <w:shd w:val="clear" w:color="auto" w:fill="auto"/>
            <w:noWrap/>
            <w:tcMar>
              <w:top w:w="0" w:type="dxa"/>
              <w:left w:w="40" w:type="dxa"/>
              <w:bottom w:w="0" w:type="dxa"/>
              <w:right w:w="40" w:type="dxa"/>
            </w:tcMar>
            <w:vAlign w:val="center"/>
          </w:tcPr>
          <w:p w:rsidR="00261332" w:rsidRPr="00D93644" w:rsidRDefault="00261332" w:rsidP="00CA7991">
            <w:pPr>
              <w:spacing w:before="0" w:line="240" w:lineRule="auto"/>
              <w:jc w:val="left"/>
              <w:rPr>
                <w:rFonts w:cs="Arial"/>
                <w:sz w:val="20"/>
                <w:lang w:eastAsia="en-GB"/>
              </w:rPr>
            </w:pPr>
            <w:r w:rsidRPr="00D93644">
              <w:rPr>
                <w:rFonts w:cs="Arial"/>
                <w:sz w:val="20"/>
                <w:lang w:eastAsia="en-GB"/>
              </w:rPr>
              <w:t>SE</w:t>
            </w:r>
          </w:p>
        </w:tc>
        <w:tc>
          <w:tcPr>
            <w:tcW w:w="2268" w:type="dxa"/>
            <w:tcBorders>
              <w:top w:val="single" w:sz="4" w:space="0" w:color="auto"/>
            </w:tcBorders>
            <w:tcMar>
              <w:top w:w="0" w:type="dxa"/>
              <w:left w:w="40" w:type="dxa"/>
              <w:bottom w:w="0" w:type="dxa"/>
              <w:right w:w="40" w:type="dxa"/>
            </w:tcMar>
            <w:vAlign w:val="center"/>
          </w:tcPr>
          <w:p w:rsidR="00261332" w:rsidRPr="00D93644" w:rsidRDefault="00261332" w:rsidP="00CA7991">
            <w:pPr>
              <w:spacing w:before="0" w:line="240" w:lineRule="auto"/>
              <w:jc w:val="left"/>
              <w:rPr>
                <w:rFonts w:cs="Arial"/>
                <w:sz w:val="20"/>
                <w:lang w:eastAsia="en-GB"/>
              </w:rPr>
            </w:pPr>
            <w:r w:rsidRPr="00D93644">
              <w:rPr>
                <w:rFonts w:cs="Arial"/>
                <w:sz w:val="20"/>
                <w:lang w:eastAsia="en-GB"/>
              </w:rPr>
              <w:t>Petri Kahila</w:t>
            </w:r>
          </w:p>
        </w:tc>
      </w:tr>
      <w:tr w:rsidR="00261332" w:rsidRPr="00D93644" w:rsidTr="00CA7991">
        <w:trPr>
          <w:trHeight w:val="255"/>
        </w:trPr>
        <w:tc>
          <w:tcPr>
            <w:tcW w:w="539" w:type="dxa"/>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center"/>
              <w:rPr>
                <w:rFonts w:cs="Arial"/>
                <w:bCs/>
                <w:color w:val="000000"/>
                <w:sz w:val="20"/>
                <w:lang w:eastAsia="en-GB"/>
              </w:rPr>
            </w:pPr>
            <w:r w:rsidRPr="00D93644">
              <w:rPr>
                <w:rFonts w:cs="Arial"/>
                <w:bCs/>
                <w:color w:val="000000"/>
                <w:sz w:val="20"/>
                <w:lang w:eastAsia="en-GB"/>
              </w:rPr>
              <w:t>2</w:t>
            </w:r>
          </w:p>
        </w:tc>
        <w:tc>
          <w:tcPr>
            <w:tcW w:w="5635" w:type="dxa"/>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left"/>
              <w:rPr>
                <w:rFonts w:cs="Arial"/>
                <w:bCs/>
                <w:color w:val="000000"/>
                <w:sz w:val="20"/>
                <w:lang w:eastAsia="en-GB"/>
              </w:rPr>
            </w:pPr>
            <w:r w:rsidRPr="00D93644">
              <w:rPr>
                <w:rFonts w:cs="Arial"/>
                <w:bCs/>
                <w:color w:val="000000"/>
                <w:sz w:val="20"/>
                <w:lang w:eastAsia="en-GB"/>
              </w:rPr>
              <w:t>UHI Millennium Institute</w:t>
            </w:r>
          </w:p>
        </w:tc>
        <w:tc>
          <w:tcPr>
            <w:tcW w:w="567" w:type="dxa"/>
            <w:shd w:val="clear" w:color="auto" w:fill="auto"/>
            <w:noWrap/>
            <w:tcMar>
              <w:top w:w="0" w:type="dxa"/>
              <w:left w:w="40" w:type="dxa"/>
              <w:bottom w:w="0" w:type="dxa"/>
              <w:right w:w="40" w:type="dxa"/>
            </w:tcMar>
            <w:vAlign w:val="center"/>
          </w:tcPr>
          <w:p w:rsidR="00261332" w:rsidRPr="00D93644" w:rsidRDefault="00261332" w:rsidP="00CA7991">
            <w:pPr>
              <w:spacing w:before="0" w:line="240" w:lineRule="auto"/>
              <w:jc w:val="left"/>
              <w:rPr>
                <w:rFonts w:cs="Arial"/>
                <w:bCs/>
                <w:sz w:val="20"/>
                <w:lang w:eastAsia="en-GB"/>
              </w:rPr>
            </w:pPr>
            <w:r w:rsidRPr="00D93644">
              <w:rPr>
                <w:rFonts w:cs="Arial"/>
                <w:bCs/>
                <w:sz w:val="20"/>
                <w:lang w:eastAsia="en-GB"/>
              </w:rPr>
              <w:t>UK</w:t>
            </w:r>
          </w:p>
        </w:tc>
        <w:tc>
          <w:tcPr>
            <w:tcW w:w="2268" w:type="dxa"/>
            <w:tcMar>
              <w:top w:w="0" w:type="dxa"/>
              <w:left w:w="40" w:type="dxa"/>
              <w:bottom w:w="0" w:type="dxa"/>
              <w:right w:w="40" w:type="dxa"/>
            </w:tcMar>
            <w:vAlign w:val="center"/>
          </w:tcPr>
          <w:p w:rsidR="00261332" w:rsidRPr="00D93644" w:rsidRDefault="00D3369E" w:rsidP="00CA7991">
            <w:pPr>
              <w:spacing w:before="0" w:line="240" w:lineRule="auto"/>
              <w:jc w:val="left"/>
              <w:rPr>
                <w:rFonts w:cs="Arial"/>
                <w:bCs/>
                <w:sz w:val="20"/>
                <w:lang w:eastAsia="en-GB"/>
              </w:rPr>
            </w:pPr>
            <w:r>
              <w:rPr>
                <w:rFonts w:cs="Arial"/>
                <w:bCs/>
                <w:sz w:val="20"/>
                <w:lang w:eastAsia="en-GB"/>
              </w:rPr>
              <w:t>Philomena de Lima</w:t>
            </w:r>
          </w:p>
        </w:tc>
      </w:tr>
      <w:tr w:rsidR="00261332" w:rsidRPr="00D93644" w:rsidTr="00CA7991">
        <w:trPr>
          <w:trHeight w:val="285"/>
        </w:trPr>
        <w:tc>
          <w:tcPr>
            <w:tcW w:w="539" w:type="dxa"/>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center"/>
              <w:rPr>
                <w:rFonts w:cs="Arial"/>
                <w:color w:val="000000"/>
                <w:sz w:val="20"/>
                <w:lang w:eastAsia="en-GB"/>
              </w:rPr>
            </w:pPr>
            <w:r w:rsidRPr="00D93644">
              <w:rPr>
                <w:rFonts w:cs="Arial"/>
                <w:color w:val="000000"/>
                <w:sz w:val="20"/>
                <w:lang w:eastAsia="en-GB"/>
              </w:rPr>
              <w:t>3</w:t>
            </w:r>
          </w:p>
        </w:tc>
        <w:tc>
          <w:tcPr>
            <w:tcW w:w="5635" w:type="dxa"/>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left"/>
              <w:rPr>
                <w:rFonts w:cs="Arial"/>
                <w:color w:val="000000"/>
                <w:sz w:val="20"/>
                <w:lang w:eastAsia="en-GB"/>
              </w:rPr>
            </w:pPr>
            <w:r w:rsidRPr="00D93644">
              <w:rPr>
                <w:rFonts w:cs="Arial"/>
                <w:color w:val="000000"/>
                <w:sz w:val="20"/>
                <w:lang w:eastAsia="en-GB"/>
              </w:rPr>
              <w:t>Newcastle University</w:t>
            </w:r>
          </w:p>
        </w:tc>
        <w:tc>
          <w:tcPr>
            <w:tcW w:w="567" w:type="dxa"/>
            <w:shd w:val="clear" w:color="auto" w:fill="auto"/>
            <w:noWrap/>
            <w:tcMar>
              <w:top w:w="0" w:type="dxa"/>
              <w:left w:w="40" w:type="dxa"/>
              <w:bottom w:w="0" w:type="dxa"/>
              <w:right w:w="40" w:type="dxa"/>
            </w:tcMar>
            <w:vAlign w:val="center"/>
          </w:tcPr>
          <w:p w:rsidR="00261332" w:rsidRPr="00D93644" w:rsidRDefault="00261332" w:rsidP="00CA7991">
            <w:pPr>
              <w:spacing w:before="0" w:line="240" w:lineRule="auto"/>
              <w:jc w:val="left"/>
              <w:rPr>
                <w:rFonts w:cs="Arial"/>
                <w:sz w:val="20"/>
                <w:lang w:eastAsia="en-GB"/>
              </w:rPr>
            </w:pPr>
            <w:r w:rsidRPr="00D93644">
              <w:rPr>
                <w:rFonts w:cs="Arial"/>
                <w:sz w:val="20"/>
                <w:lang w:eastAsia="en-GB"/>
              </w:rPr>
              <w:t>UK</w:t>
            </w:r>
          </w:p>
        </w:tc>
        <w:tc>
          <w:tcPr>
            <w:tcW w:w="2268" w:type="dxa"/>
            <w:tcMar>
              <w:top w:w="0" w:type="dxa"/>
              <w:left w:w="40" w:type="dxa"/>
              <w:bottom w:w="0" w:type="dxa"/>
              <w:right w:w="40" w:type="dxa"/>
            </w:tcMar>
            <w:vAlign w:val="center"/>
          </w:tcPr>
          <w:p w:rsidR="00261332" w:rsidRPr="00D93644" w:rsidRDefault="00261332" w:rsidP="00CA7991">
            <w:pPr>
              <w:spacing w:before="0" w:line="240" w:lineRule="auto"/>
              <w:jc w:val="left"/>
              <w:rPr>
                <w:rFonts w:cs="Arial"/>
                <w:sz w:val="20"/>
                <w:lang w:eastAsia="en-GB"/>
              </w:rPr>
            </w:pPr>
            <w:r w:rsidRPr="00D93644">
              <w:rPr>
                <w:rFonts w:cs="Arial"/>
                <w:sz w:val="20"/>
                <w:lang w:eastAsia="en-GB"/>
              </w:rPr>
              <w:t>Mark Shucksmith</w:t>
            </w:r>
          </w:p>
        </w:tc>
      </w:tr>
      <w:tr w:rsidR="00261332" w:rsidRPr="00D93644" w:rsidTr="00CA7991">
        <w:trPr>
          <w:trHeight w:val="255"/>
        </w:trPr>
        <w:tc>
          <w:tcPr>
            <w:tcW w:w="539" w:type="dxa"/>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center"/>
              <w:rPr>
                <w:rFonts w:cs="Arial"/>
                <w:color w:val="000000"/>
                <w:sz w:val="20"/>
                <w:lang w:eastAsia="en-GB"/>
              </w:rPr>
            </w:pPr>
            <w:r w:rsidRPr="00D93644">
              <w:rPr>
                <w:rFonts w:cs="Arial"/>
                <w:color w:val="000000"/>
                <w:sz w:val="20"/>
                <w:lang w:eastAsia="en-GB"/>
              </w:rPr>
              <w:t>4</w:t>
            </w:r>
          </w:p>
        </w:tc>
        <w:tc>
          <w:tcPr>
            <w:tcW w:w="5635" w:type="dxa"/>
            <w:shd w:val="clear" w:color="auto" w:fill="auto"/>
            <w:tcMar>
              <w:top w:w="0" w:type="dxa"/>
              <w:left w:w="40" w:type="dxa"/>
              <w:bottom w:w="0" w:type="dxa"/>
              <w:right w:w="40" w:type="dxa"/>
            </w:tcMar>
            <w:vAlign w:val="center"/>
          </w:tcPr>
          <w:p w:rsidR="00261332" w:rsidRPr="00D93644" w:rsidRDefault="00E66911" w:rsidP="00CA7991">
            <w:pPr>
              <w:spacing w:before="0" w:line="240" w:lineRule="auto"/>
              <w:jc w:val="left"/>
              <w:rPr>
                <w:rFonts w:cs="Arial"/>
                <w:color w:val="000000"/>
                <w:sz w:val="20"/>
                <w:lang w:eastAsia="en-GB"/>
              </w:rPr>
            </w:pPr>
            <w:r w:rsidRPr="00D93644">
              <w:rPr>
                <w:rFonts w:cs="Arial"/>
                <w:color w:val="000000"/>
                <w:sz w:val="20"/>
                <w:lang w:eastAsia="en-GB"/>
              </w:rPr>
              <w:t>Research Centre for Economic and Regional Studies, HAS</w:t>
            </w:r>
          </w:p>
        </w:tc>
        <w:tc>
          <w:tcPr>
            <w:tcW w:w="567" w:type="dxa"/>
            <w:shd w:val="clear" w:color="auto" w:fill="auto"/>
            <w:noWrap/>
            <w:tcMar>
              <w:top w:w="0" w:type="dxa"/>
              <w:left w:w="40" w:type="dxa"/>
              <w:bottom w:w="0" w:type="dxa"/>
              <w:right w:w="40" w:type="dxa"/>
            </w:tcMar>
            <w:vAlign w:val="center"/>
          </w:tcPr>
          <w:p w:rsidR="00261332" w:rsidRPr="00D93644" w:rsidRDefault="00261332" w:rsidP="00CA7991">
            <w:pPr>
              <w:spacing w:before="0" w:line="240" w:lineRule="auto"/>
              <w:jc w:val="left"/>
              <w:rPr>
                <w:rFonts w:cs="Arial"/>
                <w:sz w:val="20"/>
                <w:lang w:eastAsia="en-GB"/>
              </w:rPr>
            </w:pPr>
            <w:r w:rsidRPr="00D93644">
              <w:rPr>
                <w:rFonts w:cs="Arial"/>
                <w:sz w:val="20"/>
                <w:lang w:eastAsia="en-GB"/>
              </w:rPr>
              <w:t>HU</w:t>
            </w:r>
          </w:p>
        </w:tc>
        <w:tc>
          <w:tcPr>
            <w:tcW w:w="2268" w:type="dxa"/>
            <w:tcMar>
              <w:top w:w="0" w:type="dxa"/>
              <w:left w:w="40" w:type="dxa"/>
              <w:bottom w:w="0" w:type="dxa"/>
              <w:right w:w="40" w:type="dxa"/>
            </w:tcMar>
            <w:vAlign w:val="center"/>
          </w:tcPr>
          <w:p w:rsidR="00261332" w:rsidRPr="00D93644" w:rsidRDefault="00261332" w:rsidP="00CA7991">
            <w:pPr>
              <w:spacing w:before="0" w:line="240" w:lineRule="auto"/>
              <w:jc w:val="left"/>
              <w:rPr>
                <w:rFonts w:cs="Arial"/>
                <w:sz w:val="20"/>
                <w:lang w:eastAsia="en-GB"/>
              </w:rPr>
            </w:pPr>
            <w:r w:rsidRPr="00D93644">
              <w:rPr>
                <w:rFonts w:cs="Arial"/>
                <w:sz w:val="20"/>
                <w:lang w:eastAsia="en-GB"/>
              </w:rPr>
              <w:t>Katalin Kovács</w:t>
            </w:r>
          </w:p>
        </w:tc>
      </w:tr>
      <w:tr w:rsidR="00261332" w:rsidRPr="00D93644" w:rsidTr="00CA7991">
        <w:trPr>
          <w:trHeight w:val="255"/>
        </w:trPr>
        <w:tc>
          <w:tcPr>
            <w:tcW w:w="539" w:type="dxa"/>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center"/>
              <w:rPr>
                <w:rFonts w:cs="Arial"/>
                <w:color w:val="000000"/>
                <w:sz w:val="20"/>
                <w:lang w:eastAsia="en-GB"/>
              </w:rPr>
            </w:pPr>
            <w:r w:rsidRPr="00D93644">
              <w:rPr>
                <w:rFonts w:cs="Arial"/>
                <w:color w:val="000000"/>
                <w:sz w:val="20"/>
                <w:lang w:eastAsia="en-GB"/>
              </w:rPr>
              <w:t>5</w:t>
            </w:r>
          </w:p>
        </w:tc>
        <w:tc>
          <w:tcPr>
            <w:tcW w:w="5635" w:type="dxa"/>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left"/>
              <w:rPr>
                <w:rFonts w:cs="Arial"/>
                <w:color w:val="000000"/>
                <w:sz w:val="20"/>
                <w:lang w:eastAsia="en-GB"/>
              </w:rPr>
            </w:pPr>
            <w:r w:rsidRPr="00D93644">
              <w:rPr>
                <w:rFonts w:cs="Arial"/>
                <w:color w:val="000000"/>
                <w:sz w:val="20"/>
                <w:lang w:eastAsia="en-GB"/>
              </w:rPr>
              <w:t>ILS - Research Institute for Regional and Urban Development</w:t>
            </w:r>
          </w:p>
        </w:tc>
        <w:tc>
          <w:tcPr>
            <w:tcW w:w="567" w:type="dxa"/>
            <w:shd w:val="clear" w:color="auto" w:fill="auto"/>
            <w:noWrap/>
            <w:tcMar>
              <w:top w:w="0" w:type="dxa"/>
              <w:left w:w="40" w:type="dxa"/>
              <w:bottom w:w="0" w:type="dxa"/>
              <w:right w:w="40" w:type="dxa"/>
            </w:tcMar>
            <w:vAlign w:val="center"/>
          </w:tcPr>
          <w:p w:rsidR="00261332" w:rsidRPr="00D93644" w:rsidRDefault="00261332" w:rsidP="00CA7991">
            <w:pPr>
              <w:spacing w:before="0" w:line="240" w:lineRule="auto"/>
              <w:jc w:val="left"/>
              <w:rPr>
                <w:rFonts w:cs="Arial"/>
                <w:sz w:val="20"/>
                <w:lang w:eastAsia="en-GB"/>
              </w:rPr>
            </w:pPr>
            <w:r w:rsidRPr="00D93644">
              <w:rPr>
                <w:rFonts w:cs="Arial"/>
                <w:sz w:val="20"/>
                <w:lang w:eastAsia="en-GB"/>
              </w:rPr>
              <w:t>DE</w:t>
            </w:r>
          </w:p>
        </w:tc>
        <w:tc>
          <w:tcPr>
            <w:tcW w:w="2268" w:type="dxa"/>
            <w:tcMar>
              <w:top w:w="0" w:type="dxa"/>
              <w:left w:w="40" w:type="dxa"/>
              <w:bottom w:w="0" w:type="dxa"/>
              <w:right w:w="40" w:type="dxa"/>
            </w:tcMar>
            <w:vAlign w:val="center"/>
          </w:tcPr>
          <w:p w:rsidR="00261332" w:rsidRPr="00D93644" w:rsidRDefault="00261332" w:rsidP="00CA7991">
            <w:pPr>
              <w:spacing w:before="0" w:line="240" w:lineRule="auto"/>
              <w:jc w:val="left"/>
              <w:rPr>
                <w:rFonts w:cs="Arial"/>
                <w:sz w:val="20"/>
                <w:lang w:eastAsia="en-GB"/>
              </w:rPr>
            </w:pPr>
            <w:r w:rsidRPr="00D93644">
              <w:rPr>
                <w:rFonts w:cs="Arial"/>
                <w:sz w:val="20"/>
                <w:lang w:eastAsia="en-GB"/>
              </w:rPr>
              <w:t>Sabine Weck</w:t>
            </w:r>
          </w:p>
        </w:tc>
      </w:tr>
      <w:tr w:rsidR="00261332" w:rsidRPr="00D93644" w:rsidTr="00CA7991">
        <w:trPr>
          <w:trHeight w:val="285"/>
        </w:trPr>
        <w:tc>
          <w:tcPr>
            <w:tcW w:w="539" w:type="dxa"/>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center"/>
              <w:rPr>
                <w:rFonts w:cs="Arial"/>
                <w:color w:val="000000"/>
                <w:sz w:val="20"/>
                <w:lang w:eastAsia="en-GB"/>
              </w:rPr>
            </w:pPr>
            <w:r w:rsidRPr="00D93644">
              <w:rPr>
                <w:rFonts w:cs="Arial"/>
                <w:color w:val="000000"/>
                <w:sz w:val="20"/>
                <w:lang w:eastAsia="en-GB"/>
              </w:rPr>
              <w:t>6</w:t>
            </w:r>
          </w:p>
        </w:tc>
        <w:tc>
          <w:tcPr>
            <w:tcW w:w="5635" w:type="dxa"/>
            <w:shd w:val="clear" w:color="auto" w:fill="auto"/>
            <w:tcMar>
              <w:top w:w="0" w:type="dxa"/>
              <w:left w:w="40" w:type="dxa"/>
              <w:bottom w:w="0" w:type="dxa"/>
              <w:right w:w="40" w:type="dxa"/>
            </w:tcMar>
            <w:vAlign w:val="center"/>
          </w:tcPr>
          <w:p w:rsidR="00261332" w:rsidRPr="00D93644" w:rsidRDefault="00261332" w:rsidP="00CA7991">
            <w:pPr>
              <w:spacing w:before="0" w:line="240" w:lineRule="auto"/>
              <w:jc w:val="left"/>
              <w:rPr>
                <w:rFonts w:cs="Arial"/>
                <w:color w:val="000000"/>
                <w:sz w:val="20"/>
                <w:lang w:eastAsia="en-GB"/>
              </w:rPr>
            </w:pPr>
            <w:r w:rsidRPr="00D93644">
              <w:rPr>
                <w:rFonts w:cs="Arial"/>
                <w:color w:val="000000"/>
                <w:sz w:val="20"/>
                <w:lang w:eastAsia="en-GB"/>
              </w:rPr>
              <w:t xml:space="preserve">EKKE - </w:t>
            </w:r>
            <w:r w:rsidRPr="00D93644">
              <w:rPr>
                <w:rFonts w:cs="Arial"/>
                <w:sz w:val="20"/>
              </w:rPr>
              <w:t>National Centre for Social Research</w:t>
            </w:r>
          </w:p>
        </w:tc>
        <w:tc>
          <w:tcPr>
            <w:tcW w:w="567" w:type="dxa"/>
            <w:shd w:val="clear" w:color="auto" w:fill="auto"/>
            <w:noWrap/>
            <w:tcMar>
              <w:top w:w="0" w:type="dxa"/>
              <w:left w:w="40" w:type="dxa"/>
              <w:bottom w:w="0" w:type="dxa"/>
              <w:right w:w="40" w:type="dxa"/>
            </w:tcMar>
            <w:vAlign w:val="center"/>
          </w:tcPr>
          <w:p w:rsidR="00261332" w:rsidRPr="00D93644" w:rsidRDefault="00261332" w:rsidP="00CA7991">
            <w:pPr>
              <w:spacing w:before="0" w:line="240" w:lineRule="auto"/>
              <w:jc w:val="left"/>
              <w:rPr>
                <w:rFonts w:cs="Arial"/>
                <w:sz w:val="20"/>
                <w:lang w:eastAsia="en-GB"/>
              </w:rPr>
            </w:pPr>
            <w:r w:rsidRPr="00D93644">
              <w:rPr>
                <w:rFonts w:cs="Arial"/>
                <w:sz w:val="20"/>
                <w:lang w:eastAsia="en-GB"/>
              </w:rPr>
              <w:t>EL</w:t>
            </w:r>
          </w:p>
        </w:tc>
        <w:tc>
          <w:tcPr>
            <w:tcW w:w="2268" w:type="dxa"/>
            <w:tcMar>
              <w:top w:w="0" w:type="dxa"/>
              <w:left w:w="40" w:type="dxa"/>
              <w:bottom w:w="0" w:type="dxa"/>
              <w:right w:w="40" w:type="dxa"/>
            </w:tcMar>
            <w:vAlign w:val="center"/>
          </w:tcPr>
          <w:p w:rsidR="00261332" w:rsidRPr="00D93644" w:rsidRDefault="00261332" w:rsidP="00CA7991">
            <w:pPr>
              <w:spacing w:before="0" w:line="240" w:lineRule="auto"/>
              <w:jc w:val="left"/>
              <w:rPr>
                <w:rFonts w:cs="Arial"/>
                <w:sz w:val="20"/>
                <w:lang w:eastAsia="en-GB"/>
              </w:rPr>
            </w:pPr>
            <w:r w:rsidRPr="00D93644">
              <w:rPr>
                <w:rFonts w:cs="Arial"/>
                <w:sz w:val="20"/>
                <w:lang w:eastAsia="en-GB"/>
              </w:rPr>
              <w:t>Thomas Maloutas</w:t>
            </w:r>
          </w:p>
        </w:tc>
      </w:tr>
      <w:tr w:rsidR="00D3369E" w:rsidRPr="00D93644" w:rsidTr="00CA7991">
        <w:trPr>
          <w:trHeight w:val="285"/>
        </w:trPr>
        <w:tc>
          <w:tcPr>
            <w:tcW w:w="539" w:type="dxa"/>
            <w:shd w:val="clear" w:color="auto" w:fill="auto"/>
            <w:tcMar>
              <w:top w:w="0" w:type="dxa"/>
              <w:left w:w="40" w:type="dxa"/>
              <w:bottom w:w="0" w:type="dxa"/>
              <w:right w:w="40" w:type="dxa"/>
            </w:tcMar>
            <w:vAlign w:val="center"/>
          </w:tcPr>
          <w:p w:rsidR="00D3369E" w:rsidRPr="00D00C93" w:rsidRDefault="00D3369E" w:rsidP="00724794">
            <w:pPr>
              <w:spacing w:before="0" w:line="240" w:lineRule="auto"/>
              <w:jc w:val="center"/>
              <w:rPr>
                <w:rFonts w:cs="Arial"/>
                <w:sz w:val="20"/>
                <w:lang w:eastAsia="en-GB"/>
              </w:rPr>
            </w:pPr>
            <w:r>
              <w:rPr>
                <w:rFonts w:cs="Arial"/>
                <w:sz w:val="20"/>
                <w:lang w:eastAsia="en-GB"/>
              </w:rPr>
              <w:t>7</w:t>
            </w:r>
          </w:p>
        </w:tc>
        <w:tc>
          <w:tcPr>
            <w:tcW w:w="5635" w:type="dxa"/>
            <w:shd w:val="clear" w:color="auto" w:fill="auto"/>
            <w:tcMar>
              <w:top w:w="0" w:type="dxa"/>
              <w:left w:w="40" w:type="dxa"/>
              <w:bottom w:w="0" w:type="dxa"/>
              <w:right w:w="40" w:type="dxa"/>
            </w:tcMar>
            <w:vAlign w:val="center"/>
          </w:tcPr>
          <w:p w:rsidR="00D3369E" w:rsidRPr="00201079" w:rsidRDefault="00D3369E" w:rsidP="00724794">
            <w:pPr>
              <w:spacing w:before="0" w:line="240" w:lineRule="auto"/>
              <w:jc w:val="left"/>
              <w:rPr>
                <w:rFonts w:cs="Arial"/>
                <w:color w:val="000000"/>
                <w:sz w:val="20"/>
                <w:lang w:eastAsia="en-GB"/>
              </w:rPr>
            </w:pPr>
            <w:r>
              <w:rPr>
                <w:rFonts w:cs="Arial"/>
                <w:color w:val="000000"/>
                <w:sz w:val="20"/>
                <w:lang w:eastAsia="en-GB"/>
              </w:rPr>
              <w:t>The James Hutton Institute</w:t>
            </w:r>
          </w:p>
        </w:tc>
        <w:tc>
          <w:tcPr>
            <w:tcW w:w="567" w:type="dxa"/>
            <w:shd w:val="clear" w:color="auto" w:fill="auto"/>
            <w:noWrap/>
            <w:tcMar>
              <w:top w:w="0" w:type="dxa"/>
              <w:left w:w="40" w:type="dxa"/>
              <w:bottom w:w="0" w:type="dxa"/>
              <w:right w:w="40" w:type="dxa"/>
            </w:tcMar>
            <w:vAlign w:val="center"/>
          </w:tcPr>
          <w:p w:rsidR="00D3369E" w:rsidRPr="00201079" w:rsidRDefault="00D3369E" w:rsidP="00724794">
            <w:pPr>
              <w:spacing w:before="0" w:line="240" w:lineRule="auto"/>
              <w:jc w:val="left"/>
              <w:rPr>
                <w:rFonts w:cs="Arial"/>
                <w:sz w:val="20"/>
                <w:lang w:eastAsia="en-GB"/>
              </w:rPr>
            </w:pPr>
            <w:r>
              <w:rPr>
                <w:rFonts w:cs="Arial"/>
                <w:sz w:val="20"/>
                <w:lang w:eastAsia="en-GB"/>
              </w:rPr>
              <w:t>UK</w:t>
            </w:r>
          </w:p>
        </w:tc>
        <w:tc>
          <w:tcPr>
            <w:tcW w:w="2268" w:type="dxa"/>
            <w:tcMar>
              <w:top w:w="0" w:type="dxa"/>
              <w:left w:w="40" w:type="dxa"/>
              <w:bottom w:w="0" w:type="dxa"/>
              <w:right w:w="40" w:type="dxa"/>
            </w:tcMar>
            <w:vAlign w:val="center"/>
          </w:tcPr>
          <w:p w:rsidR="00D3369E" w:rsidRPr="00201079" w:rsidRDefault="00D3369E" w:rsidP="00724794">
            <w:pPr>
              <w:spacing w:before="0" w:line="240" w:lineRule="auto"/>
              <w:jc w:val="left"/>
              <w:rPr>
                <w:rFonts w:cs="Arial"/>
                <w:sz w:val="20"/>
                <w:lang w:eastAsia="en-GB"/>
              </w:rPr>
            </w:pPr>
            <w:r>
              <w:rPr>
                <w:rFonts w:cs="Arial"/>
                <w:sz w:val="20"/>
                <w:lang w:eastAsia="en-GB"/>
              </w:rPr>
              <w:t>Andrew Copus</w:t>
            </w:r>
          </w:p>
        </w:tc>
      </w:tr>
    </w:tbl>
    <w:p w:rsidR="005703AA" w:rsidRPr="00D93644" w:rsidRDefault="00380A7F" w:rsidP="00AA149B">
      <w:pPr>
        <w:pStyle w:val="ESPONText"/>
        <w:rPr>
          <w:rFonts w:cs="Arial"/>
          <w:sz w:val="32"/>
          <w:szCs w:val="32"/>
        </w:rPr>
      </w:pPr>
      <w:r w:rsidRPr="00D93644">
        <w:rPr>
          <w:rFonts w:cs="Arial"/>
          <w:sz w:val="32"/>
          <w:szCs w:val="32"/>
        </w:rPr>
        <w:br w:type="column"/>
      </w:r>
      <w:r w:rsidR="005703AA" w:rsidRPr="00D93644">
        <w:rPr>
          <w:rFonts w:cs="Arial"/>
          <w:sz w:val="32"/>
          <w:szCs w:val="32"/>
        </w:rPr>
        <w:lastRenderedPageBreak/>
        <w:t>LIST OF ABBREVIATIONS</w:t>
      </w:r>
    </w:p>
    <w:p w:rsidR="0061373E" w:rsidRPr="00D93644" w:rsidRDefault="0061373E" w:rsidP="00AC2579">
      <w:pPr>
        <w:pStyle w:val="ESPONText"/>
        <w:spacing w:after="0" w:line="276" w:lineRule="auto"/>
        <w:rPr>
          <w:rFonts w:cs="Arial"/>
        </w:rPr>
      </w:pPr>
    </w:p>
    <w:p w:rsidR="003448B9" w:rsidRPr="003448B9" w:rsidRDefault="00AC2579" w:rsidP="00724794">
      <w:pPr>
        <w:pStyle w:val="ESPONText"/>
        <w:spacing w:before="120" w:line="276" w:lineRule="auto"/>
        <w:rPr>
          <w:rFonts w:cs="Arial"/>
          <w:szCs w:val="22"/>
          <w:lang w:val="en-US"/>
        </w:rPr>
      </w:pPr>
      <w:r>
        <w:rPr>
          <w:rFonts w:cs="Arial"/>
          <w:szCs w:val="22"/>
          <w:lang w:val="en-US"/>
        </w:rPr>
        <w:t xml:space="preserve">ECB </w:t>
      </w:r>
      <w:r>
        <w:rPr>
          <w:rFonts w:cs="Arial"/>
          <w:szCs w:val="22"/>
          <w:lang w:val="en-US"/>
        </w:rPr>
        <w:tab/>
      </w:r>
      <w:r>
        <w:rPr>
          <w:rFonts w:cs="Arial"/>
          <w:szCs w:val="22"/>
          <w:lang w:val="en-US"/>
        </w:rPr>
        <w:tab/>
        <w:t xml:space="preserve">– </w:t>
      </w:r>
      <w:r>
        <w:rPr>
          <w:rFonts w:cs="Arial"/>
          <w:szCs w:val="22"/>
          <w:lang w:val="en-US"/>
        </w:rPr>
        <w:tab/>
      </w:r>
      <w:r w:rsidR="003448B9" w:rsidRPr="003448B9">
        <w:rPr>
          <w:rFonts w:cs="Arial"/>
          <w:szCs w:val="22"/>
          <w:lang w:val="en-US"/>
        </w:rPr>
        <w:t>European Central Bank</w:t>
      </w:r>
    </w:p>
    <w:p w:rsidR="003448B9" w:rsidRPr="003448B9" w:rsidRDefault="00AC2579" w:rsidP="00724794">
      <w:pPr>
        <w:pStyle w:val="a1"/>
        <w:spacing w:before="120" w:after="120" w:line="276" w:lineRule="auto"/>
        <w:jc w:val="both"/>
        <w:rPr>
          <w:rFonts w:ascii="Arial" w:hAnsi="Arial" w:cs="Arial"/>
          <w:sz w:val="22"/>
          <w:szCs w:val="22"/>
          <w:lang w:val="en-GB"/>
        </w:rPr>
      </w:pPr>
      <w:r>
        <w:rPr>
          <w:rFonts w:ascii="Arial" w:hAnsi="Arial" w:cs="Arial"/>
          <w:sz w:val="22"/>
          <w:szCs w:val="22"/>
          <w:lang w:val="en-GB"/>
        </w:rPr>
        <w:t xml:space="preserve">ESeC </w:t>
      </w:r>
      <w:r>
        <w:rPr>
          <w:rFonts w:ascii="Arial" w:hAnsi="Arial" w:cs="Arial"/>
          <w:sz w:val="22"/>
          <w:szCs w:val="22"/>
          <w:lang w:val="en-GB"/>
        </w:rPr>
        <w:tab/>
      </w:r>
      <w:r>
        <w:rPr>
          <w:rFonts w:ascii="Arial" w:hAnsi="Arial" w:cs="Arial"/>
          <w:sz w:val="22"/>
          <w:szCs w:val="22"/>
          <w:lang w:val="en-GB"/>
        </w:rPr>
        <w:tab/>
        <w:t>–</w:t>
      </w:r>
      <w:r>
        <w:rPr>
          <w:rFonts w:ascii="Arial" w:hAnsi="Arial" w:cs="Arial"/>
          <w:sz w:val="22"/>
          <w:szCs w:val="22"/>
          <w:lang w:val="en-GB"/>
        </w:rPr>
        <w:tab/>
      </w:r>
      <w:r w:rsidR="003448B9" w:rsidRPr="003448B9">
        <w:rPr>
          <w:rFonts w:ascii="Arial" w:hAnsi="Arial" w:cs="Arial"/>
          <w:sz w:val="22"/>
          <w:szCs w:val="22"/>
          <w:lang w:val="en-GB"/>
        </w:rPr>
        <w:t>European Socioeconomic Classification</w:t>
      </w:r>
    </w:p>
    <w:p w:rsidR="003448B9" w:rsidRPr="003448B9" w:rsidRDefault="00AC2579" w:rsidP="00724794">
      <w:pPr>
        <w:pStyle w:val="a1"/>
        <w:spacing w:before="120" w:after="120" w:line="276" w:lineRule="auto"/>
        <w:jc w:val="both"/>
        <w:rPr>
          <w:rFonts w:ascii="Arial" w:hAnsi="Arial" w:cs="Arial"/>
          <w:sz w:val="22"/>
          <w:szCs w:val="22"/>
          <w:lang w:val="en-US"/>
        </w:rPr>
      </w:pPr>
      <w:r>
        <w:rPr>
          <w:rFonts w:ascii="Arial" w:hAnsi="Arial" w:cs="Arial"/>
          <w:sz w:val="22"/>
          <w:szCs w:val="22"/>
          <w:lang w:val="en-US"/>
        </w:rPr>
        <w:t xml:space="preserve">EU </w:t>
      </w:r>
      <w:r>
        <w:rPr>
          <w:rFonts w:ascii="Arial" w:hAnsi="Arial" w:cs="Arial"/>
          <w:sz w:val="22"/>
          <w:szCs w:val="22"/>
          <w:lang w:val="en-US"/>
        </w:rPr>
        <w:tab/>
      </w:r>
      <w:r>
        <w:rPr>
          <w:rFonts w:ascii="Arial" w:hAnsi="Arial" w:cs="Arial"/>
          <w:sz w:val="22"/>
          <w:szCs w:val="22"/>
          <w:lang w:val="en-US"/>
        </w:rPr>
        <w:tab/>
        <w:t>–</w:t>
      </w:r>
      <w:r>
        <w:rPr>
          <w:rFonts w:ascii="Arial" w:hAnsi="Arial" w:cs="Arial"/>
          <w:sz w:val="22"/>
          <w:szCs w:val="22"/>
          <w:lang w:val="en-US"/>
        </w:rPr>
        <w:tab/>
      </w:r>
      <w:r w:rsidR="003448B9" w:rsidRPr="003448B9">
        <w:rPr>
          <w:rFonts w:ascii="Arial" w:hAnsi="Arial" w:cs="Arial"/>
          <w:sz w:val="22"/>
          <w:szCs w:val="22"/>
          <w:lang w:val="en-US"/>
        </w:rPr>
        <w:t>European Union</w:t>
      </w:r>
    </w:p>
    <w:p w:rsidR="003448B9" w:rsidRPr="003448B9" w:rsidRDefault="00AC2579" w:rsidP="00724794">
      <w:pPr>
        <w:pStyle w:val="a1"/>
        <w:spacing w:before="120" w:after="120" w:line="276" w:lineRule="auto"/>
        <w:jc w:val="both"/>
        <w:rPr>
          <w:rFonts w:ascii="Arial" w:hAnsi="Arial" w:cs="Arial"/>
          <w:sz w:val="22"/>
          <w:szCs w:val="22"/>
          <w:lang w:val="en-US"/>
        </w:rPr>
      </w:pPr>
      <w:r>
        <w:rPr>
          <w:rFonts w:ascii="Arial" w:hAnsi="Arial" w:cs="Arial"/>
          <w:sz w:val="22"/>
          <w:szCs w:val="22"/>
          <w:lang w:val="en-US"/>
        </w:rPr>
        <w:t xml:space="preserve">GDP </w:t>
      </w:r>
      <w:r>
        <w:rPr>
          <w:rFonts w:ascii="Arial" w:hAnsi="Arial" w:cs="Arial"/>
          <w:sz w:val="22"/>
          <w:szCs w:val="22"/>
          <w:lang w:val="en-US"/>
        </w:rPr>
        <w:tab/>
      </w:r>
      <w:r>
        <w:rPr>
          <w:rFonts w:ascii="Arial" w:hAnsi="Arial" w:cs="Arial"/>
          <w:sz w:val="22"/>
          <w:szCs w:val="22"/>
          <w:lang w:val="en-US"/>
        </w:rPr>
        <w:tab/>
        <w:t xml:space="preserve">– </w:t>
      </w:r>
      <w:r>
        <w:rPr>
          <w:rFonts w:ascii="Arial" w:hAnsi="Arial" w:cs="Arial"/>
          <w:sz w:val="22"/>
          <w:szCs w:val="22"/>
          <w:lang w:val="en-US"/>
        </w:rPr>
        <w:tab/>
      </w:r>
      <w:r w:rsidR="003448B9" w:rsidRPr="003448B9">
        <w:rPr>
          <w:rFonts w:ascii="Arial" w:hAnsi="Arial" w:cs="Arial"/>
          <w:sz w:val="22"/>
          <w:szCs w:val="22"/>
          <w:lang w:val="en-US"/>
        </w:rPr>
        <w:t>Gross Domestic Product</w:t>
      </w:r>
    </w:p>
    <w:p w:rsidR="003448B9" w:rsidRPr="003448B9" w:rsidRDefault="00AC2579" w:rsidP="00724794">
      <w:pPr>
        <w:pStyle w:val="a1"/>
        <w:spacing w:before="120" w:after="120" w:line="276" w:lineRule="auto"/>
        <w:jc w:val="both"/>
        <w:rPr>
          <w:rFonts w:ascii="Arial" w:hAnsi="Arial" w:cs="Arial"/>
          <w:sz w:val="22"/>
          <w:szCs w:val="22"/>
          <w:lang w:val="en-US"/>
        </w:rPr>
      </w:pPr>
      <w:r>
        <w:rPr>
          <w:rFonts w:ascii="Arial" w:hAnsi="Arial" w:cs="Arial"/>
          <w:sz w:val="22"/>
          <w:szCs w:val="22"/>
          <w:lang w:val="en-US"/>
        </w:rPr>
        <w:t xml:space="preserve">IMF </w:t>
      </w:r>
      <w:r>
        <w:rPr>
          <w:rFonts w:ascii="Arial" w:hAnsi="Arial" w:cs="Arial"/>
          <w:sz w:val="22"/>
          <w:szCs w:val="22"/>
          <w:lang w:val="en-US"/>
        </w:rPr>
        <w:tab/>
      </w:r>
      <w:r>
        <w:rPr>
          <w:rFonts w:ascii="Arial" w:hAnsi="Arial" w:cs="Arial"/>
          <w:sz w:val="22"/>
          <w:szCs w:val="22"/>
          <w:lang w:val="en-US"/>
        </w:rPr>
        <w:tab/>
        <w:t>–</w:t>
      </w:r>
      <w:r>
        <w:rPr>
          <w:rFonts w:ascii="Arial" w:hAnsi="Arial" w:cs="Arial"/>
          <w:sz w:val="22"/>
          <w:szCs w:val="22"/>
          <w:lang w:val="en-US"/>
        </w:rPr>
        <w:tab/>
      </w:r>
      <w:r w:rsidR="003448B9" w:rsidRPr="003448B9">
        <w:rPr>
          <w:rFonts w:ascii="Arial" w:hAnsi="Arial" w:cs="Arial"/>
          <w:sz w:val="22"/>
          <w:szCs w:val="22"/>
          <w:lang w:val="en-US"/>
        </w:rPr>
        <w:t>International Monetary foundation</w:t>
      </w:r>
    </w:p>
    <w:p w:rsidR="003448B9" w:rsidRPr="003448B9" w:rsidRDefault="003448B9" w:rsidP="00724794">
      <w:pPr>
        <w:pStyle w:val="a1"/>
        <w:spacing w:before="120" w:after="120" w:line="276" w:lineRule="auto"/>
        <w:jc w:val="both"/>
        <w:rPr>
          <w:rFonts w:ascii="Arial" w:hAnsi="Arial" w:cs="Arial"/>
          <w:sz w:val="22"/>
          <w:szCs w:val="22"/>
          <w:lang w:val="en-GB"/>
        </w:rPr>
      </w:pPr>
      <w:r w:rsidRPr="003448B9">
        <w:rPr>
          <w:rFonts w:ascii="Arial" w:hAnsi="Arial" w:cs="Arial"/>
          <w:sz w:val="22"/>
          <w:szCs w:val="22"/>
          <w:lang w:val="en-GB"/>
        </w:rPr>
        <w:t>MRA</w:t>
      </w:r>
      <w:r w:rsidR="00AC2579">
        <w:rPr>
          <w:rFonts w:ascii="Arial" w:hAnsi="Arial" w:cs="Arial"/>
          <w:sz w:val="22"/>
          <w:szCs w:val="22"/>
          <w:lang w:val="en-US"/>
        </w:rPr>
        <w:t xml:space="preserve"> </w:t>
      </w:r>
      <w:r w:rsidR="00AC2579">
        <w:rPr>
          <w:rFonts w:ascii="Arial" w:hAnsi="Arial" w:cs="Arial"/>
          <w:sz w:val="22"/>
          <w:szCs w:val="22"/>
          <w:lang w:val="en-US"/>
        </w:rPr>
        <w:tab/>
      </w:r>
      <w:r w:rsidR="00AC2579">
        <w:rPr>
          <w:rFonts w:ascii="Arial" w:hAnsi="Arial" w:cs="Arial"/>
          <w:sz w:val="22"/>
          <w:szCs w:val="22"/>
          <w:lang w:val="en-US"/>
        </w:rPr>
        <w:tab/>
        <w:t>–</w:t>
      </w:r>
      <w:r w:rsidR="00AC2579">
        <w:rPr>
          <w:rFonts w:ascii="Arial" w:hAnsi="Arial" w:cs="Arial"/>
          <w:sz w:val="22"/>
          <w:szCs w:val="22"/>
          <w:lang w:val="en-US"/>
        </w:rPr>
        <w:tab/>
      </w:r>
      <w:r w:rsidRPr="003448B9">
        <w:rPr>
          <w:rFonts w:ascii="Arial" w:hAnsi="Arial" w:cs="Arial"/>
          <w:sz w:val="22"/>
          <w:szCs w:val="22"/>
          <w:lang w:val="en-GB"/>
        </w:rPr>
        <w:t xml:space="preserve">Metropolitan Region of Attiki </w:t>
      </w:r>
    </w:p>
    <w:p w:rsidR="003448B9" w:rsidRPr="003448B9" w:rsidRDefault="00AC2579" w:rsidP="00724794">
      <w:pPr>
        <w:pStyle w:val="a1"/>
        <w:spacing w:before="120" w:after="120" w:line="276" w:lineRule="auto"/>
        <w:ind w:right="530"/>
        <w:rPr>
          <w:rFonts w:ascii="Arial" w:hAnsi="Arial" w:cs="Arial"/>
          <w:sz w:val="22"/>
          <w:szCs w:val="22"/>
          <w:lang w:val="en-GB"/>
        </w:rPr>
      </w:pPr>
      <w:r>
        <w:rPr>
          <w:rFonts w:ascii="Arial" w:hAnsi="Arial" w:cs="Arial"/>
          <w:sz w:val="22"/>
          <w:szCs w:val="22"/>
          <w:lang w:val="en-GB"/>
        </w:rPr>
        <w:t xml:space="preserve">PPS </w:t>
      </w:r>
      <w:r>
        <w:rPr>
          <w:rFonts w:ascii="Arial" w:hAnsi="Arial" w:cs="Arial"/>
          <w:sz w:val="22"/>
          <w:szCs w:val="22"/>
          <w:lang w:val="en-GB"/>
        </w:rPr>
        <w:tab/>
      </w:r>
      <w:r>
        <w:rPr>
          <w:rFonts w:ascii="Arial" w:hAnsi="Arial" w:cs="Arial"/>
          <w:sz w:val="22"/>
          <w:szCs w:val="22"/>
          <w:lang w:val="en-GB"/>
        </w:rPr>
        <w:tab/>
        <w:t>–</w:t>
      </w:r>
      <w:r>
        <w:rPr>
          <w:rFonts w:ascii="Arial" w:hAnsi="Arial" w:cs="Arial"/>
          <w:sz w:val="22"/>
          <w:szCs w:val="22"/>
          <w:lang w:val="en-GB"/>
        </w:rPr>
        <w:tab/>
      </w:r>
      <w:r w:rsidR="003448B9" w:rsidRPr="003448B9">
        <w:rPr>
          <w:rFonts w:ascii="Arial" w:hAnsi="Arial" w:cs="Arial"/>
          <w:sz w:val="22"/>
          <w:szCs w:val="22"/>
          <w:lang w:val="en-GB"/>
        </w:rPr>
        <w:t>P</w:t>
      </w:r>
      <w:r w:rsidR="003448B9" w:rsidRPr="003448B9">
        <w:rPr>
          <w:rStyle w:val="st1"/>
          <w:rFonts w:ascii="Arial" w:hAnsi="Arial" w:cs="Arial"/>
          <w:color w:val="222222"/>
          <w:sz w:val="22"/>
          <w:szCs w:val="22"/>
          <w:lang w:val="en-GB"/>
        </w:rPr>
        <w:t xml:space="preserve">urchasing </w:t>
      </w:r>
      <w:r w:rsidR="003448B9" w:rsidRPr="003448B9">
        <w:rPr>
          <w:rStyle w:val="st1"/>
          <w:rFonts w:ascii="Arial" w:hAnsi="Arial" w:cs="Arial"/>
          <w:color w:val="222222"/>
          <w:sz w:val="22"/>
          <w:szCs w:val="22"/>
          <w:lang w:val="en-US"/>
        </w:rPr>
        <w:t>P</w:t>
      </w:r>
      <w:r w:rsidR="003448B9" w:rsidRPr="003448B9">
        <w:rPr>
          <w:rStyle w:val="st1"/>
          <w:rFonts w:ascii="Arial" w:hAnsi="Arial" w:cs="Arial"/>
          <w:color w:val="222222"/>
          <w:sz w:val="22"/>
          <w:szCs w:val="22"/>
          <w:lang w:val="en-GB"/>
        </w:rPr>
        <w:t xml:space="preserve">ower </w:t>
      </w:r>
      <w:r w:rsidR="003448B9" w:rsidRPr="003448B9">
        <w:rPr>
          <w:rStyle w:val="st1"/>
          <w:rFonts w:ascii="Arial" w:hAnsi="Arial" w:cs="Arial"/>
          <w:color w:val="222222"/>
          <w:sz w:val="22"/>
          <w:szCs w:val="22"/>
          <w:lang w:val="en-US"/>
        </w:rPr>
        <w:t>S</w:t>
      </w:r>
      <w:r w:rsidR="003448B9" w:rsidRPr="003448B9">
        <w:rPr>
          <w:rStyle w:val="st1"/>
          <w:rFonts w:ascii="Arial" w:hAnsi="Arial" w:cs="Arial"/>
          <w:color w:val="222222"/>
          <w:sz w:val="22"/>
          <w:szCs w:val="22"/>
          <w:lang w:val="en-GB"/>
        </w:rPr>
        <w:t>tandards</w:t>
      </w:r>
    </w:p>
    <w:p w:rsidR="003448B9" w:rsidRPr="003448B9" w:rsidRDefault="003448B9" w:rsidP="00724794">
      <w:pPr>
        <w:pStyle w:val="a1"/>
        <w:spacing w:before="120" w:after="120" w:line="276" w:lineRule="auto"/>
        <w:ind w:right="530"/>
        <w:rPr>
          <w:rFonts w:ascii="Arial" w:hAnsi="Arial" w:cs="Arial"/>
          <w:color w:val="auto"/>
          <w:sz w:val="22"/>
          <w:szCs w:val="22"/>
          <w:lang w:val="en-GB"/>
        </w:rPr>
      </w:pPr>
      <w:r w:rsidRPr="003448B9">
        <w:rPr>
          <w:rFonts w:ascii="Arial" w:hAnsi="Arial" w:cs="Arial"/>
          <w:sz w:val="22"/>
          <w:szCs w:val="22"/>
          <w:lang w:val="en-GB"/>
        </w:rPr>
        <w:t>SEGs</w:t>
      </w:r>
      <w:r w:rsidR="00AC2579">
        <w:rPr>
          <w:rFonts w:ascii="Arial" w:hAnsi="Arial" w:cs="Arial"/>
          <w:sz w:val="22"/>
          <w:szCs w:val="22"/>
          <w:lang w:val="en-US"/>
        </w:rPr>
        <w:t xml:space="preserve"> </w:t>
      </w:r>
      <w:r w:rsidR="00AC2579">
        <w:rPr>
          <w:rFonts w:ascii="Arial" w:hAnsi="Arial" w:cs="Arial"/>
          <w:sz w:val="22"/>
          <w:szCs w:val="22"/>
          <w:lang w:val="en-US"/>
        </w:rPr>
        <w:tab/>
      </w:r>
      <w:r w:rsidR="00AC2579">
        <w:rPr>
          <w:rFonts w:ascii="Arial" w:hAnsi="Arial" w:cs="Arial"/>
          <w:sz w:val="22"/>
          <w:szCs w:val="22"/>
          <w:lang w:val="en-US"/>
        </w:rPr>
        <w:tab/>
        <w:t xml:space="preserve">– </w:t>
      </w:r>
      <w:r w:rsidR="00AC2579">
        <w:rPr>
          <w:rFonts w:ascii="Arial" w:hAnsi="Arial" w:cs="Arial"/>
          <w:sz w:val="22"/>
          <w:szCs w:val="22"/>
          <w:lang w:val="en-US"/>
        </w:rPr>
        <w:tab/>
      </w:r>
      <w:r w:rsidRPr="003448B9">
        <w:rPr>
          <w:rFonts w:ascii="Arial" w:hAnsi="Arial" w:cs="Arial"/>
          <w:sz w:val="22"/>
          <w:szCs w:val="22"/>
          <w:lang w:val="en-US"/>
        </w:rPr>
        <w:t>S</w:t>
      </w:r>
      <w:r w:rsidRPr="003448B9">
        <w:rPr>
          <w:rFonts w:ascii="Arial" w:hAnsi="Arial" w:cs="Arial"/>
          <w:sz w:val="22"/>
          <w:szCs w:val="22"/>
          <w:lang w:val="en-GB"/>
        </w:rPr>
        <w:t>ocio-ethnic groups</w:t>
      </w:r>
    </w:p>
    <w:p w:rsidR="00D95FA4" w:rsidRPr="00D93644" w:rsidRDefault="00AC2579" w:rsidP="00724794">
      <w:pPr>
        <w:pStyle w:val="ESPONSubtitle"/>
        <w:spacing w:after="120" w:line="276" w:lineRule="auto"/>
        <w:rPr>
          <w:rFonts w:cs="Arial"/>
        </w:rPr>
      </w:pPr>
      <w:r>
        <w:rPr>
          <w:rFonts w:cs="Arial"/>
          <w:b w:val="0"/>
          <w:color w:val="auto"/>
          <w:sz w:val="22"/>
          <w:szCs w:val="22"/>
        </w:rPr>
        <w:t xml:space="preserve">TIPSE </w:t>
      </w:r>
      <w:r>
        <w:rPr>
          <w:rFonts w:cs="Arial"/>
          <w:b w:val="0"/>
          <w:color w:val="auto"/>
          <w:sz w:val="22"/>
          <w:szCs w:val="22"/>
        </w:rPr>
        <w:tab/>
      </w:r>
      <w:r>
        <w:rPr>
          <w:rFonts w:cs="Arial"/>
          <w:b w:val="0"/>
          <w:color w:val="auto"/>
          <w:sz w:val="22"/>
          <w:szCs w:val="22"/>
        </w:rPr>
        <w:tab/>
        <w:t>–</w:t>
      </w:r>
      <w:r>
        <w:rPr>
          <w:rFonts w:cs="Arial"/>
          <w:b w:val="0"/>
          <w:color w:val="auto"/>
          <w:sz w:val="22"/>
          <w:szCs w:val="22"/>
        </w:rPr>
        <w:tab/>
      </w:r>
      <w:r w:rsidR="003448B9" w:rsidRPr="003448B9">
        <w:rPr>
          <w:rFonts w:cs="Arial"/>
          <w:b w:val="0"/>
          <w:color w:val="auto"/>
          <w:sz w:val="22"/>
          <w:szCs w:val="22"/>
        </w:rPr>
        <w:t>Territorial Dimension of Poverty and Social Exclusion</w:t>
      </w:r>
      <w:r w:rsidR="005703AA" w:rsidRPr="003448B9">
        <w:rPr>
          <w:rFonts w:cs="Arial"/>
          <w:b w:val="0"/>
        </w:rPr>
        <w:br w:type="column"/>
      </w:r>
      <w:r w:rsidR="00C82741" w:rsidRPr="00D93644">
        <w:rPr>
          <w:rFonts w:cs="Arial"/>
        </w:rPr>
        <w:lastRenderedPageBreak/>
        <w:t>CONTENTS</w:t>
      </w:r>
    </w:p>
    <w:p w:rsidR="00E36FE5" w:rsidRPr="00D93644" w:rsidRDefault="00E36FE5" w:rsidP="007965C9">
      <w:pPr>
        <w:pStyle w:val="TOC1"/>
        <w:spacing w:before="120" w:after="120" w:line="276" w:lineRule="auto"/>
        <w:rPr>
          <w:rFonts w:cs="Arial"/>
          <w:szCs w:val="22"/>
        </w:rPr>
      </w:pPr>
    </w:p>
    <w:p w:rsidR="00724794" w:rsidRDefault="009403D2" w:rsidP="00724794">
      <w:pPr>
        <w:pStyle w:val="TOC1"/>
        <w:spacing w:before="120" w:after="120" w:line="276" w:lineRule="auto"/>
        <w:rPr>
          <w:rFonts w:asciiTheme="minorHAnsi" w:eastAsiaTheme="minorEastAsia" w:hAnsiTheme="minorHAnsi" w:cstheme="minorBidi"/>
          <w:szCs w:val="22"/>
          <w:lang w:val="de-DE" w:eastAsia="de-DE"/>
        </w:rPr>
      </w:pPr>
      <w:r w:rsidRPr="00D93644">
        <w:rPr>
          <w:rFonts w:cs="Arial"/>
          <w:szCs w:val="22"/>
        </w:rPr>
        <w:fldChar w:fldCharType="begin"/>
      </w:r>
      <w:r w:rsidR="00BB5A9A" w:rsidRPr="00D93644">
        <w:rPr>
          <w:rFonts w:cs="Arial"/>
          <w:szCs w:val="22"/>
        </w:rPr>
        <w:instrText xml:space="preserve"> TOC \o "1-2" \h \z \u </w:instrText>
      </w:r>
      <w:r w:rsidRPr="00D93644">
        <w:rPr>
          <w:rFonts w:cs="Arial"/>
          <w:szCs w:val="22"/>
        </w:rPr>
        <w:fldChar w:fldCharType="separate"/>
      </w:r>
      <w:hyperlink w:anchor="_Toc386013192" w:history="1">
        <w:r w:rsidR="00724794" w:rsidRPr="002727CB">
          <w:rPr>
            <w:rStyle w:val="Hyperlink"/>
            <w:rFonts w:cs="Arial"/>
          </w:rPr>
          <w:t>Executive summary</w:t>
        </w:r>
        <w:r w:rsidR="00724794">
          <w:rPr>
            <w:webHidden/>
          </w:rPr>
          <w:tab/>
        </w:r>
        <w:r w:rsidR="00724794">
          <w:rPr>
            <w:webHidden/>
          </w:rPr>
          <w:fldChar w:fldCharType="begin"/>
        </w:r>
        <w:r w:rsidR="00724794">
          <w:rPr>
            <w:webHidden/>
          </w:rPr>
          <w:instrText xml:space="preserve"> PAGEREF _Toc386013192 \h </w:instrText>
        </w:r>
        <w:r w:rsidR="00724794">
          <w:rPr>
            <w:webHidden/>
          </w:rPr>
        </w:r>
        <w:r w:rsidR="00724794">
          <w:rPr>
            <w:webHidden/>
          </w:rPr>
          <w:fldChar w:fldCharType="separate"/>
        </w:r>
        <w:r w:rsidR="002634D4">
          <w:rPr>
            <w:webHidden/>
          </w:rPr>
          <w:t>viii</w:t>
        </w:r>
        <w:r w:rsidR="00724794">
          <w:rPr>
            <w:webHidden/>
          </w:rPr>
          <w:fldChar w:fldCharType="end"/>
        </w:r>
      </w:hyperlink>
    </w:p>
    <w:p w:rsidR="00724794" w:rsidRDefault="00CC1B00" w:rsidP="00724794">
      <w:pPr>
        <w:pStyle w:val="TOC1"/>
        <w:spacing w:before="120" w:after="120" w:line="276" w:lineRule="auto"/>
        <w:rPr>
          <w:rFonts w:asciiTheme="minorHAnsi" w:eastAsiaTheme="minorEastAsia" w:hAnsiTheme="minorHAnsi" w:cstheme="minorBidi"/>
          <w:szCs w:val="22"/>
          <w:lang w:val="de-DE" w:eastAsia="de-DE"/>
        </w:rPr>
      </w:pPr>
      <w:hyperlink w:anchor="_Toc386013193" w:history="1">
        <w:r w:rsidR="00724794" w:rsidRPr="002727CB">
          <w:rPr>
            <w:rStyle w:val="Hyperlink"/>
            <w:rFonts w:cs="Arial"/>
          </w:rPr>
          <w:t>1</w:t>
        </w:r>
        <w:r w:rsidR="00724794">
          <w:rPr>
            <w:rFonts w:asciiTheme="minorHAnsi" w:eastAsiaTheme="minorEastAsia" w:hAnsiTheme="minorHAnsi" w:cstheme="minorBidi"/>
            <w:szCs w:val="22"/>
            <w:lang w:val="de-DE" w:eastAsia="de-DE"/>
          </w:rPr>
          <w:tab/>
        </w:r>
        <w:r w:rsidR="00724794" w:rsidRPr="002727CB">
          <w:rPr>
            <w:rStyle w:val="Hyperlink"/>
            <w:rFonts w:cs="Arial"/>
          </w:rPr>
          <w:t>The Regional Context</w:t>
        </w:r>
        <w:r w:rsidR="00724794">
          <w:rPr>
            <w:webHidden/>
          </w:rPr>
          <w:tab/>
        </w:r>
        <w:r w:rsidR="00724794">
          <w:rPr>
            <w:webHidden/>
          </w:rPr>
          <w:fldChar w:fldCharType="begin"/>
        </w:r>
        <w:r w:rsidR="00724794">
          <w:rPr>
            <w:webHidden/>
          </w:rPr>
          <w:instrText xml:space="preserve"> PAGEREF _Toc386013193 \h </w:instrText>
        </w:r>
        <w:r w:rsidR="00724794">
          <w:rPr>
            <w:webHidden/>
          </w:rPr>
        </w:r>
        <w:r w:rsidR="00724794">
          <w:rPr>
            <w:webHidden/>
          </w:rPr>
          <w:fldChar w:fldCharType="separate"/>
        </w:r>
        <w:r w:rsidR="002634D4">
          <w:rPr>
            <w:webHidden/>
          </w:rPr>
          <w:t>1</w:t>
        </w:r>
        <w:r w:rsidR="00724794">
          <w:rPr>
            <w:webHidden/>
          </w:rPr>
          <w:fldChar w:fldCharType="end"/>
        </w:r>
      </w:hyperlink>
    </w:p>
    <w:p w:rsidR="00724794" w:rsidRDefault="00CC1B00" w:rsidP="00724794">
      <w:pPr>
        <w:pStyle w:val="TOC1"/>
        <w:spacing w:before="120" w:after="120" w:line="276" w:lineRule="auto"/>
        <w:rPr>
          <w:rFonts w:asciiTheme="minorHAnsi" w:eastAsiaTheme="minorEastAsia" w:hAnsiTheme="minorHAnsi" w:cstheme="minorBidi"/>
          <w:szCs w:val="22"/>
          <w:lang w:val="de-DE" w:eastAsia="de-DE"/>
        </w:rPr>
      </w:pPr>
      <w:hyperlink w:anchor="_Toc386013194" w:history="1">
        <w:r w:rsidR="00724794" w:rsidRPr="002727CB">
          <w:rPr>
            <w:rStyle w:val="Hyperlink"/>
            <w:rFonts w:cs="Arial"/>
          </w:rPr>
          <w:t>2</w:t>
        </w:r>
        <w:r w:rsidR="00724794">
          <w:rPr>
            <w:rFonts w:asciiTheme="minorHAnsi" w:eastAsiaTheme="minorEastAsia" w:hAnsiTheme="minorHAnsi" w:cstheme="minorBidi"/>
            <w:szCs w:val="22"/>
            <w:lang w:val="de-DE" w:eastAsia="de-DE"/>
          </w:rPr>
          <w:tab/>
        </w:r>
        <w:r w:rsidR="00724794" w:rsidRPr="002727CB">
          <w:rPr>
            <w:rStyle w:val="Hyperlink"/>
            <w:rFonts w:cs="Arial"/>
          </w:rPr>
          <w:t>Characteristics of social exclusion and poverty: patterns and processes</w:t>
        </w:r>
        <w:r w:rsidR="00724794">
          <w:rPr>
            <w:webHidden/>
          </w:rPr>
          <w:tab/>
        </w:r>
        <w:r w:rsidR="00724794">
          <w:rPr>
            <w:webHidden/>
          </w:rPr>
          <w:fldChar w:fldCharType="begin"/>
        </w:r>
        <w:r w:rsidR="00724794">
          <w:rPr>
            <w:webHidden/>
          </w:rPr>
          <w:instrText xml:space="preserve"> PAGEREF _Toc386013194 \h </w:instrText>
        </w:r>
        <w:r w:rsidR="00724794">
          <w:rPr>
            <w:webHidden/>
          </w:rPr>
        </w:r>
        <w:r w:rsidR="00724794">
          <w:rPr>
            <w:webHidden/>
          </w:rPr>
          <w:fldChar w:fldCharType="separate"/>
        </w:r>
        <w:r w:rsidR="002634D4">
          <w:rPr>
            <w:webHidden/>
          </w:rPr>
          <w:t>8</w:t>
        </w:r>
        <w:r w:rsidR="00724794">
          <w:rPr>
            <w:webHidden/>
          </w:rPr>
          <w:fldChar w:fldCharType="end"/>
        </w:r>
      </w:hyperlink>
    </w:p>
    <w:p w:rsidR="00724794" w:rsidRDefault="00CC1B00" w:rsidP="00724794">
      <w:pPr>
        <w:pStyle w:val="TOC2"/>
        <w:spacing w:after="120" w:line="276" w:lineRule="auto"/>
        <w:rPr>
          <w:rFonts w:asciiTheme="minorHAnsi" w:eastAsiaTheme="minorEastAsia" w:hAnsiTheme="minorHAnsi" w:cstheme="minorBidi"/>
          <w:noProof/>
          <w:szCs w:val="22"/>
          <w:lang w:val="de-DE" w:eastAsia="de-DE"/>
        </w:rPr>
      </w:pPr>
      <w:hyperlink w:anchor="_Toc386013195" w:history="1">
        <w:r w:rsidR="00724794" w:rsidRPr="002727CB">
          <w:rPr>
            <w:rStyle w:val="Hyperlink"/>
            <w:rFonts w:cs="Arial"/>
            <w:noProof/>
            <w:lang w:val="en-US"/>
          </w:rPr>
          <w:t>2.1</w:t>
        </w:r>
        <w:r w:rsidR="00724794">
          <w:rPr>
            <w:rFonts w:asciiTheme="minorHAnsi" w:eastAsiaTheme="minorEastAsia" w:hAnsiTheme="minorHAnsi" w:cstheme="minorBidi"/>
            <w:noProof/>
            <w:szCs w:val="22"/>
            <w:lang w:val="de-DE" w:eastAsia="de-DE"/>
          </w:rPr>
          <w:tab/>
        </w:r>
        <w:r w:rsidR="00724794" w:rsidRPr="002727CB">
          <w:rPr>
            <w:rStyle w:val="Hyperlink"/>
            <w:rFonts w:cs="Arial"/>
            <w:noProof/>
          </w:rPr>
          <w:t>Description of the case study area, territorial characteristics, and the affected population group the case study is focusing upon</w:t>
        </w:r>
        <w:r w:rsidR="00724794">
          <w:rPr>
            <w:noProof/>
            <w:webHidden/>
          </w:rPr>
          <w:tab/>
        </w:r>
        <w:r w:rsidR="00724794">
          <w:rPr>
            <w:noProof/>
            <w:webHidden/>
          </w:rPr>
          <w:fldChar w:fldCharType="begin"/>
        </w:r>
        <w:r w:rsidR="00724794">
          <w:rPr>
            <w:noProof/>
            <w:webHidden/>
          </w:rPr>
          <w:instrText xml:space="preserve"> PAGEREF _Toc386013195 \h </w:instrText>
        </w:r>
        <w:r w:rsidR="00724794">
          <w:rPr>
            <w:noProof/>
            <w:webHidden/>
          </w:rPr>
        </w:r>
        <w:r w:rsidR="00724794">
          <w:rPr>
            <w:noProof/>
            <w:webHidden/>
          </w:rPr>
          <w:fldChar w:fldCharType="separate"/>
        </w:r>
        <w:r w:rsidR="002634D4">
          <w:rPr>
            <w:noProof/>
            <w:webHidden/>
          </w:rPr>
          <w:t>9</w:t>
        </w:r>
        <w:r w:rsidR="00724794">
          <w:rPr>
            <w:noProof/>
            <w:webHidden/>
          </w:rPr>
          <w:fldChar w:fldCharType="end"/>
        </w:r>
      </w:hyperlink>
    </w:p>
    <w:p w:rsidR="00724794" w:rsidRDefault="00CC1B00" w:rsidP="00724794">
      <w:pPr>
        <w:pStyle w:val="TOC2"/>
        <w:spacing w:after="120" w:line="276" w:lineRule="auto"/>
        <w:rPr>
          <w:rFonts w:asciiTheme="minorHAnsi" w:eastAsiaTheme="minorEastAsia" w:hAnsiTheme="minorHAnsi" w:cstheme="minorBidi"/>
          <w:noProof/>
          <w:szCs w:val="22"/>
          <w:lang w:val="de-DE" w:eastAsia="de-DE"/>
        </w:rPr>
      </w:pPr>
      <w:hyperlink w:anchor="_Toc386013196" w:history="1">
        <w:r w:rsidR="00724794" w:rsidRPr="002727CB">
          <w:rPr>
            <w:rStyle w:val="Hyperlink"/>
            <w:rFonts w:cs="Arial"/>
            <w:noProof/>
          </w:rPr>
          <w:t>2.2</w:t>
        </w:r>
        <w:r w:rsidR="00724794">
          <w:rPr>
            <w:rFonts w:asciiTheme="minorHAnsi" w:eastAsiaTheme="minorEastAsia" w:hAnsiTheme="minorHAnsi" w:cstheme="minorBidi"/>
            <w:noProof/>
            <w:szCs w:val="22"/>
            <w:lang w:val="de-DE" w:eastAsia="de-DE"/>
          </w:rPr>
          <w:tab/>
        </w:r>
        <w:r w:rsidR="00724794" w:rsidRPr="002727CB">
          <w:rPr>
            <w:rStyle w:val="Hyperlink"/>
            <w:rFonts w:cs="Arial"/>
            <w:noProof/>
          </w:rPr>
          <w:t>Socio-ethnic inequalities</w:t>
        </w:r>
        <w:r w:rsidR="00724794">
          <w:rPr>
            <w:noProof/>
            <w:webHidden/>
          </w:rPr>
          <w:tab/>
        </w:r>
        <w:r w:rsidR="00724794">
          <w:rPr>
            <w:noProof/>
            <w:webHidden/>
          </w:rPr>
          <w:fldChar w:fldCharType="begin"/>
        </w:r>
        <w:r w:rsidR="00724794">
          <w:rPr>
            <w:noProof/>
            <w:webHidden/>
          </w:rPr>
          <w:instrText xml:space="preserve"> PAGEREF _Toc386013196 \h </w:instrText>
        </w:r>
        <w:r w:rsidR="00724794">
          <w:rPr>
            <w:noProof/>
            <w:webHidden/>
          </w:rPr>
        </w:r>
        <w:r w:rsidR="00724794">
          <w:rPr>
            <w:noProof/>
            <w:webHidden/>
          </w:rPr>
          <w:fldChar w:fldCharType="separate"/>
        </w:r>
        <w:r w:rsidR="002634D4">
          <w:rPr>
            <w:noProof/>
            <w:webHidden/>
          </w:rPr>
          <w:t>12</w:t>
        </w:r>
        <w:r w:rsidR="00724794">
          <w:rPr>
            <w:noProof/>
            <w:webHidden/>
          </w:rPr>
          <w:fldChar w:fldCharType="end"/>
        </w:r>
      </w:hyperlink>
    </w:p>
    <w:p w:rsidR="00724794" w:rsidRDefault="00CC1B00" w:rsidP="00724794">
      <w:pPr>
        <w:pStyle w:val="TOC2"/>
        <w:spacing w:after="120" w:line="276" w:lineRule="auto"/>
        <w:rPr>
          <w:rFonts w:asciiTheme="minorHAnsi" w:eastAsiaTheme="minorEastAsia" w:hAnsiTheme="minorHAnsi" w:cstheme="minorBidi"/>
          <w:noProof/>
          <w:szCs w:val="22"/>
          <w:lang w:val="de-DE" w:eastAsia="de-DE"/>
        </w:rPr>
      </w:pPr>
      <w:hyperlink w:anchor="_Toc386013197" w:history="1">
        <w:r w:rsidR="00724794" w:rsidRPr="002727CB">
          <w:rPr>
            <w:rStyle w:val="Hyperlink"/>
            <w:rFonts w:cs="Arial"/>
            <w:noProof/>
          </w:rPr>
          <w:t>2.3</w:t>
        </w:r>
        <w:r w:rsidR="00724794">
          <w:rPr>
            <w:rFonts w:asciiTheme="minorHAnsi" w:eastAsiaTheme="minorEastAsia" w:hAnsiTheme="minorHAnsi" w:cstheme="minorBidi"/>
            <w:noProof/>
            <w:szCs w:val="22"/>
            <w:lang w:val="de-DE" w:eastAsia="de-DE"/>
          </w:rPr>
          <w:tab/>
        </w:r>
        <w:r w:rsidR="00724794" w:rsidRPr="002727CB">
          <w:rPr>
            <w:rStyle w:val="Hyperlink"/>
            <w:rFonts w:cs="Arial"/>
            <w:noProof/>
          </w:rPr>
          <w:t>Spatiality of the socio-ethnic hierarchy</w:t>
        </w:r>
        <w:r w:rsidR="00724794">
          <w:rPr>
            <w:noProof/>
            <w:webHidden/>
          </w:rPr>
          <w:tab/>
        </w:r>
        <w:r w:rsidR="00724794">
          <w:rPr>
            <w:noProof/>
            <w:webHidden/>
          </w:rPr>
          <w:fldChar w:fldCharType="begin"/>
        </w:r>
        <w:r w:rsidR="00724794">
          <w:rPr>
            <w:noProof/>
            <w:webHidden/>
          </w:rPr>
          <w:instrText xml:space="preserve"> PAGEREF _Toc386013197 \h </w:instrText>
        </w:r>
        <w:r w:rsidR="00724794">
          <w:rPr>
            <w:noProof/>
            <w:webHidden/>
          </w:rPr>
        </w:r>
        <w:r w:rsidR="00724794">
          <w:rPr>
            <w:noProof/>
            <w:webHidden/>
          </w:rPr>
          <w:fldChar w:fldCharType="separate"/>
        </w:r>
        <w:r w:rsidR="002634D4">
          <w:rPr>
            <w:noProof/>
            <w:webHidden/>
          </w:rPr>
          <w:t>15</w:t>
        </w:r>
        <w:r w:rsidR="00724794">
          <w:rPr>
            <w:noProof/>
            <w:webHidden/>
          </w:rPr>
          <w:fldChar w:fldCharType="end"/>
        </w:r>
      </w:hyperlink>
    </w:p>
    <w:p w:rsidR="00724794" w:rsidRDefault="00CC1B00" w:rsidP="00724794">
      <w:pPr>
        <w:pStyle w:val="TOC2"/>
        <w:spacing w:after="120" w:line="276" w:lineRule="auto"/>
        <w:rPr>
          <w:rFonts w:asciiTheme="minorHAnsi" w:eastAsiaTheme="minorEastAsia" w:hAnsiTheme="minorHAnsi" w:cstheme="minorBidi"/>
          <w:noProof/>
          <w:szCs w:val="22"/>
          <w:lang w:val="de-DE" w:eastAsia="de-DE"/>
        </w:rPr>
      </w:pPr>
      <w:hyperlink w:anchor="_Toc386013198" w:history="1">
        <w:r w:rsidR="00724794" w:rsidRPr="002727CB">
          <w:rPr>
            <w:rStyle w:val="Hyperlink"/>
            <w:rFonts w:cs="Arial"/>
            <w:noProof/>
          </w:rPr>
          <w:t>2.4</w:t>
        </w:r>
        <w:r w:rsidR="00724794">
          <w:rPr>
            <w:rFonts w:asciiTheme="minorHAnsi" w:eastAsiaTheme="minorEastAsia" w:hAnsiTheme="minorHAnsi" w:cstheme="minorBidi"/>
            <w:noProof/>
            <w:szCs w:val="22"/>
            <w:lang w:val="de-DE" w:eastAsia="de-DE"/>
          </w:rPr>
          <w:tab/>
        </w:r>
        <w:r w:rsidR="00724794" w:rsidRPr="002727CB">
          <w:rPr>
            <w:rStyle w:val="Hyperlink"/>
            <w:rFonts w:cs="Arial"/>
            <w:noProof/>
          </w:rPr>
          <w:t>Discussion and conclusions</w:t>
        </w:r>
        <w:r w:rsidR="00724794">
          <w:rPr>
            <w:noProof/>
            <w:webHidden/>
          </w:rPr>
          <w:tab/>
        </w:r>
        <w:r w:rsidR="00724794">
          <w:rPr>
            <w:noProof/>
            <w:webHidden/>
          </w:rPr>
          <w:fldChar w:fldCharType="begin"/>
        </w:r>
        <w:r w:rsidR="00724794">
          <w:rPr>
            <w:noProof/>
            <w:webHidden/>
          </w:rPr>
          <w:instrText xml:space="preserve"> PAGEREF _Toc386013198 \h </w:instrText>
        </w:r>
        <w:r w:rsidR="00724794">
          <w:rPr>
            <w:noProof/>
            <w:webHidden/>
          </w:rPr>
        </w:r>
        <w:r w:rsidR="00724794">
          <w:rPr>
            <w:noProof/>
            <w:webHidden/>
          </w:rPr>
          <w:fldChar w:fldCharType="separate"/>
        </w:r>
        <w:r w:rsidR="002634D4">
          <w:rPr>
            <w:noProof/>
            <w:webHidden/>
          </w:rPr>
          <w:t>21</w:t>
        </w:r>
        <w:r w:rsidR="00724794">
          <w:rPr>
            <w:noProof/>
            <w:webHidden/>
          </w:rPr>
          <w:fldChar w:fldCharType="end"/>
        </w:r>
      </w:hyperlink>
    </w:p>
    <w:p w:rsidR="00724794" w:rsidRDefault="00CC1B00" w:rsidP="00724794">
      <w:pPr>
        <w:pStyle w:val="TOC1"/>
        <w:spacing w:before="120" w:after="120" w:line="276" w:lineRule="auto"/>
        <w:rPr>
          <w:rFonts w:asciiTheme="minorHAnsi" w:eastAsiaTheme="minorEastAsia" w:hAnsiTheme="minorHAnsi" w:cstheme="minorBidi"/>
          <w:szCs w:val="22"/>
          <w:lang w:val="de-DE" w:eastAsia="de-DE"/>
        </w:rPr>
      </w:pPr>
      <w:hyperlink w:anchor="_Toc386013199" w:history="1">
        <w:r w:rsidR="00724794" w:rsidRPr="002727CB">
          <w:rPr>
            <w:rStyle w:val="Hyperlink"/>
            <w:rFonts w:cs="Arial"/>
          </w:rPr>
          <w:t>3</w:t>
        </w:r>
        <w:r w:rsidR="00724794">
          <w:rPr>
            <w:rFonts w:asciiTheme="minorHAnsi" w:eastAsiaTheme="minorEastAsia" w:hAnsiTheme="minorHAnsi" w:cstheme="minorBidi"/>
            <w:szCs w:val="22"/>
            <w:lang w:val="de-DE" w:eastAsia="de-DE"/>
          </w:rPr>
          <w:tab/>
        </w:r>
        <w:r w:rsidR="00724794" w:rsidRPr="002727CB">
          <w:rPr>
            <w:rStyle w:val="Hyperlink"/>
            <w:rFonts w:cs="Arial"/>
          </w:rPr>
          <w:t>Analysis of underlying processes and trends</w:t>
        </w:r>
        <w:r w:rsidR="00724794">
          <w:rPr>
            <w:webHidden/>
          </w:rPr>
          <w:tab/>
        </w:r>
        <w:r w:rsidR="00724794">
          <w:rPr>
            <w:webHidden/>
          </w:rPr>
          <w:fldChar w:fldCharType="begin"/>
        </w:r>
        <w:r w:rsidR="00724794">
          <w:rPr>
            <w:webHidden/>
          </w:rPr>
          <w:instrText xml:space="preserve"> PAGEREF _Toc386013199 \h </w:instrText>
        </w:r>
        <w:r w:rsidR="00724794">
          <w:rPr>
            <w:webHidden/>
          </w:rPr>
        </w:r>
        <w:r w:rsidR="00724794">
          <w:rPr>
            <w:webHidden/>
          </w:rPr>
          <w:fldChar w:fldCharType="separate"/>
        </w:r>
        <w:r w:rsidR="002634D4">
          <w:rPr>
            <w:webHidden/>
          </w:rPr>
          <w:t>23</w:t>
        </w:r>
        <w:r w:rsidR="00724794">
          <w:rPr>
            <w:webHidden/>
          </w:rPr>
          <w:fldChar w:fldCharType="end"/>
        </w:r>
      </w:hyperlink>
    </w:p>
    <w:p w:rsidR="00724794" w:rsidRDefault="00CC1B00" w:rsidP="00724794">
      <w:pPr>
        <w:pStyle w:val="TOC2"/>
        <w:spacing w:after="120" w:line="276" w:lineRule="auto"/>
        <w:rPr>
          <w:rFonts w:asciiTheme="minorHAnsi" w:eastAsiaTheme="minorEastAsia" w:hAnsiTheme="minorHAnsi" w:cstheme="minorBidi"/>
          <w:noProof/>
          <w:szCs w:val="22"/>
          <w:lang w:val="de-DE" w:eastAsia="de-DE"/>
        </w:rPr>
      </w:pPr>
      <w:hyperlink w:anchor="_Toc386013200" w:history="1">
        <w:r w:rsidR="00724794" w:rsidRPr="002727CB">
          <w:rPr>
            <w:rStyle w:val="Hyperlink"/>
            <w:noProof/>
          </w:rPr>
          <w:t>3.1</w:t>
        </w:r>
        <w:r w:rsidR="00724794">
          <w:rPr>
            <w:rFonts w:asciiTheme="minorHAnsi" w:eastAsiaTheme="minorEastAsia" w:hAnsiTheme="minorHAnsi" w:cstheme="minorBidi"/>
            <w:noProof/>
            <w:szCs w:val="22"/>
            <w:lang w:val="de-DE" w:eastAsia="de-DE"/>
          </w:rPr>
          <w:tab/>
        </w:r>
        <w:r w:rsidR="00724794" w:rsidRPr="002727CB">
          <w:rPr>
            <w:rStyle w:val="Hyperlink"/>
            <w:rFonts w:cs="Arial"/>
            <w:noProof/>
          </w:rPr>
          <w:t xml:space="preserve">Main factors </w:t>
        </w:r>
        <w:r w:rsidR="00724794" w:rsidRPr="002727CB">
          <w:rPr>
            <w:rStyle w:val="Hyperlink"/>
            <w:noProof/>
          </w:rPr>
          <w:t>shaping dimensions and processes of poverty and social exclusion</w:t>
        </w:r>
        <w:r w:rsidR="00724794">
          <w:rPr>
            <w:noProof/>
            <w:webHidden/>
          </w:rPr>
          <w:tab/>
        </w:r>
        <w:r w:rsidR="00724794">
          <w:rPr>
            <w:noProof/>
            <w:webHidden/>
          </w:rPr>
          <w:fldChar w:fldCharType="begin"/>
        </w:r>
        <w:r w:rsidR="00724794">
          <w:rPr>
            <w:noProof/>
            <w:webHidden/>
          </w:rPr>
          <w:instrText xml:space="preserve"> PAGEREF _Toc386013200 \h </w:instrText>
        </w:r>
        <w:r w:rsidR="00724794">
          <w:rPr>
            <w:noProof/>
            <w:webHidden/>
          </w:rPr>
        </w:r>
        <w:r w:rsidR="00724794">
          <w:rPr>
            <w:noProof/>
            <w:webHidden/>
          </w:rPr>
          <w:fldChar w:fldCharType="separate"/>
        </w:r>
        <w:r w:rsidR="002634D4">
          <w:rPr>
            <w:noProof/>
            <w:webHidden/>
          </w:rPr>
          <w:t>23</w:t>
        </w:r>
        <w:r w:rsidR="00724794">
          <w:rPr>
            <w:noProof/>
            <w:webHidden/>
          </w:rPr>
          <w:fldChar w:fldCharType="end"/>
        </w:r>
      </w:hyperlink>
    </w:p>
    <w:p w:rsidR="00724794" w:rsidRDefault="00CC1B00" w:rsidP="00724794">
      <w:pPr>
        <w:pStyle w:val="TOC2"/>
        <w:spacing w:after="120" w:line="276" w:lineRule="auto"/>
        <w:rPr>
          <w:rFonts w:asciiTheme="minorHAnsi" w:eastAsiaTheme="minorEastAsia" w:hAnsiTheme="minorHAnsi" w:cstheme="minorBidi"/>
          <w:noProof/>
          <w:szCs w:val="22"/>
          <w:lang w:val="de-DE" w:eastAsia="de-DE"/>
        </w:rPr>
      </w:pPr>
      <w:hyperlink w:anchor="_Toc386013201" w:history="1">
        <w:r w:rsidR="00724794" w:rsidRPr="002727CB">
          <w:rPr>
            <w:rStyle w:val="Hyperlink"/>
            <w:noProof/>
          </w:rPr>
          <w:t>3.2</w:t>
        </w:r>
        <w:r w:rsidR="00724794">
          <w:rPr>
            <w:rFonts w:asciiTheme="minorHAnsi" w:eastAsiaTheme="minorEastAsia" w:hAnsiTheme="minorHAnsi" w:cstheme="minorBidi"/>
            <w:noProof/>
            <w:szCs w:val="22"/>
            <w:lang w:val="de-DE" w:eastAsia="de-DE"/>
          </w:rPr>
          <w:tab/>
        </w:r>
        <w:r w:rsidR="00724794" w:rsidRPr="002727CB">
          <w:rPr>
            <w:rStyle w:val="Hyperlink"/>
            <w:noProof/>
          </w:rPr>
          <w:t>Development over time and the influence of policies and/or other factors</w:t>
        </w:r>
        <w:r w:rsidR="00724794">
          <w:rPr>
            <w:noProof/>
            <w:webHidden/>
          </w:rPr>
          <w:tab/>
        </w:r>
        <w:r w:rsidR="00724794">
          <w:rPr>
            <w:noProof/>
            <w:webHidden/>
          </w:rPr>
          <w:fldChar w:fldCharType="begin"/>
        </w:r>
        <w:r w:rsidR="00724794">
          <w:rPr>
            <w:noProof/>
            <w:webHidden/>
          </w:rPr>
          <w:instrText xml:space="preserve"> PAGEREF _Toc386013201 \h </w:instrText>
        </w:r>
        <w:r w:rsidR="00724794">
          <w:rPr>
            <w:noProof/>
            <w:webHidden/>
          </w:rPr>
        </w:r>
        <w:r w:rsidR="00724794">
          <w:rPr>
            <w:noProof/>
            <w:webHidden/>
          </w:rPr>
          <w:fldChar w:fldCharType="separate"/>
        </w:r>
        <w:r w:rsidR="002634D4">
          <w:rPr>
            <w:noProof/>
            <w:webHidden/>
          </w:rPr>
          <w:t>35</w:t>
        </w:r>
        <w:r w:rsidR="00724794">
          <w:rPr>
            <w:noProof/>
            <w:webHidden/>
          </w:rPr>
          <w:fldChar w:fldCharType="end"/>
        </w:r>
      </w:hyperlink>
    </w:p>
    <w:p w:rsidR="00724794" w:rsidRDefault="00CC1B00" w:rsidP="00724794">
      <w:pPr>
        <w:pStyle w:val="TOC2"/>
        <w:spacing w:after="120" w:line="276" w:lineRule="auto"/>
        <w:rPr>
          <w:rFonts w:asciiTheme="minorHAnsi" w:eastAsiaTheme="minorEastAsia" w:hAnsiTheme="minorHAnsi" w:cstheme="minorBidi"/>
          <w:noProof/>
          <w:szCs w:val="22"/>
          <w:lang w:val="de-DE" w:eastAsia="de-DE"/>
        </w:rPr>
      </w:pPr>
      <w:hyperlink w:anchor="_Toc386013202" w:history="1">
        <w:r w:rsidR="00724794" w:rsidRPr="002727CB">
          <w:rPr>
            <w:rStyle w:val="Hyperlink"/>
            <w:rFonts w:cs="Arial"/>
            <w:noProof/>
          </w:rPr>
          <w:t>3.3</w:t>
        </w:r>
        <w:r w:rsidR="00724794">
          <w:rPr>
            <w:rFonts w:asciiTheme="minorHAnsi" w:eastAsiaTheme="minorEastAsia" w:hAnsiTheme="minorHAnsi" w:cstheme="minorBidi"/>
            <w:noProof/>
            <w:szCs w:val="22"/>
            <w:lang w:val="de-DE" w:eastAsia="de-DE"/>
          </w:rPr>
          <w:tab/>
        </w:r>
        <w:r w:rsidR="00724794" w:rsidRPr="002727CB">
          <w:rPr>
            <w:rStyle w:val="Hyperlink"/>
            <w:rFonts w:cs="Arial"/>
            <w:noProof/>
          </w:rPr>
          <w:t>Policy challenges and policy solutions</w:t>
        </w:r>
        <w:r w:rsidR="00724794">
          <w:rPr>
            <w:noProof/>
            <w:webHidden/>
          </w:rPr>
          <w:tab/>
        </w:r>
        <w:r w:rsidR="00724794">
          <w:rPr>
            <w:noProof/>
            <w:webHidden/>
          </w:rPr>
          <w:fldChar w:fldCharType="begin"/>
        </w:r>
        <w:r w:rsidR="00724794">
          <w:rPr>
            <w:noProof/>
            <w:webHidden/>
          </w:rPr>
          <w:instrText xml:space="preserve"> PAGEREF _Toc386013202 \h </w:instrText>
        </w:r>
        <w:r w:rsidR="00724794">
          <w:rPr>
            <w:noProof/>
            <w:webHidden/>
          </w:rPr>
        </w:r>
        <w:r w:rsidR="00724794">
          <w:rPr>
            <w:noProof/>
            <w:webHidden/>
          </w:rPr>
          <w:fldChar w:fldCharType="separate"/>
        </w:r>
        <w:r w:rsidR="002634D4">
          <w:rPr>
            <w:noProof/>
            <w:webHidden/>
          </w:rPr>
          <w:t>38</w:t>
        </w:r>
        <w:r w:rsidR="00724794">
          <w:rPr>
            <w:noProof/>
            <w:webHidden/>
          </w:rPr>
          <w:fldChar w:fldCharType="end"/>
        </w:r>
      </w:hyperlink>
    </w:p>
    <w:p w:rsidR="00724794" w:rsidRDefault="00CC1B00" w:rsidP="00724794">
      <w:pPr>
        <w:pStyle w:val="TOC1"/>
        <w:spacing w:before="120" w:after="120" w:line="276" w:lineRule="auto"/>
        <w:rPr>
          <w:rFonts w:asciiTheme="minorHAnsi" w:eastAsiaTheme="minorEastAsia" w:hAnsiTheme="minorHAnsi" w:cstheme="minorBidi"/>
          <w:szCs w:val="22"/>
          <w:lang w:val="de-DE" w:eastAsia="de-DE"/>
        </w:rPr>
      </w:pPr>
      <w:hyperlink w:anchor="_Toc386013203" w:history="1">
        <w:r w:rsidR="00724794" w:rsidRPr="002727CB">
          <w:rPr>
            <w:rStyle w:val="Hyperlink"/>
          </w:rPr>
          <w:t>4</w:t>
        </w:r>
        <w:r w:rsidR="00724794">
          <w:rPr>
            <w:rFonts w:asciiTheme="minorHAnsi" w:eastAsiaTheme="minorEastAsia" w:hAnsiTheme="minorHAnsi" w:cstheme="minorBidi"/>
            <w:szCs w:val="22"/>
            <w:lang w:val="de-DE" w:eastAsia="de-DE"/>
          </w:rPr>
          <w:tab/>
        </w:r>
        <w:r w:rsidR="00724794" w:rsidRPr="002727CB">
          <w:rPr>
            <w:rStyle w:val="Hyperlink"/>
          </w:rPr>
          <w:t>Validity of European-wide data analysis from a local perspective</w:t>
        </w:r>
        <w:r w:rsidR="00724794">
          <w:rPr>
            <w:webHidden/>
          </w:rPr>
          <w:tab/>
        </w:r>
        <w:r w:rsidR="00724794">
          <w:rPr>
            <w:webHidden/>
          </w:rPr>
          <w:fldChar w:fldCharType="begin"/>
        </w:r>
        <w:r w:rsidR="00724794">
          <w:rPr>
            <w:webHidden/>
          </w:rPr>
          <w:instrText xml:space="preserve"> PAGEREF _Toc386013203 \h </w:instrText>
        </w:r>
        <w:r w:rsidR="00724794">
          <w:rPr>
            <w:webHidden/>
          </w:rPr>
        </w:r>
        <w:r w:rsidR="00724794">
          <w:rPr>
            <w:webHidden/>
          </w:rPr>
          <w:fldChar w:fldCharType="separate"/>
        </w:r>
        <w:r w:rsidR="002634D4">
          <w:rPr>
            <w:webHidden/>
          </w:rPr>
          <w:t>41</w:t>
        </w:r>
        <w:r w:rsidR="00724794">
          <w:rPr>
            <w:webHidden/>
          </w:rPr>
          <w:fldChar w:fldCharType="end"/>
        </w:r>
      </w:hyperlink>
    </w:p>
    <w:p w:rsidR="00724794" w:rsidRDefault="00CC1B00" w:rsidP="00724794">
      <w:pPr>
        <w:pStyle w:val="TOC1"/>
        <w:spacing w:before="120" w:after="120" w:line="276" w:lineRule="auto"/>
        <w:rPr>
          <w:rFonts w:asciiTheme="minorHAnsi" w:eastAsiaTheme="minorEastAsia" w:hAnsiTheme="minorHAnsi" w:cstheme="minorBidi"/>
          <w:szCs w:val="22"/>
          <w:lang w:val="de-DE" w:eastAsia="de-DE"/>
        </w:rPr>
      </w:pPr>
      <w:hyperlink w:anchor="_Toc386013204" w:history="1">
        <w:r w:rsidR="00724794" w:rsidRPr="002727CB">
          <w:rPr>
            <w:rStyle w:val="Hyperlink"/>
          </w:rPr>
          <w:t>5</w:t>
        </w:r>
        <w:r w:rsidR="00724794">
          <w:rPr>
            <w:rFonts w:asciiTheme="minorHAnsi" w:eastAsiaTheme="minorEastAsia" w:hAnsiTheme="minorHAnsi" w:cstheme="minorBidi"/>
            <w:szCs w:val="22"/>
            <w:lang w:val="de-DE" w:eastAsia="de-DE"/>
          </w:rPr>
          <w:tab/>
        </w:r>
        <w:r w:rsidR="00724794" w:rsidRPr="002727CB">
          <w:rPr>
            <w:rStyle w:val="Hyperlink"/>
          </w:rPr>
          <w:t>Transferability of results</w:t>
        </w:r>
        <w:r w:rsidR="00724794">
          <w:rPr>
            <w:webHidden/>
          </w:rPr>
          <w:tab/>
        </w:r>
        <w:r w:rsidR="00724794">
          <w:rPr>
            <w:webHidden/>
          </w:rPr>
          <w:fldChar w:fldCharType="begin"/>
        </w:r>
        <w:r w:rsidR="00724794">
          <w:rPr>
            <w:webHidden/>
          </w:rPr>
          <w:instrText xml:space="preserve"> PAGEREF _Toc386013204 \h </w:instrText>
        </w:r>
        <w:r w:rsidR="00724794">
          <w:rPr>
            <w:webHidden/>
          </w:rPr>
        </w:r>
        <w:r w:rsidR="00724794">
          <w:rPr>
            <w:webHidden/>
          </w:rPr>
          <w:fldChar w:fldCharType="separate"/>
        </w:r>
        <w:r w:rsidR="002634D4">
          <w:rPr>
            <w:webHidden/>
          </w:rPr>
          <w:t>45</w:t>
        </w:r>
        <w:r w:rsidR="00724794">
          <w:rPr>
            <w:webHidden/>
          </w:rPr>
          <w:fldChar w:fldCharType="end"/>
        </w:r>
      </w:hyperlink>
    </w:p>
    <w:p w:rsidR="00724794" w:rsidRDefault="00CC1B00" w:rsidP="00724794">
      <w:pPr>
        <w:pStyle w:val="TOC1"/>
        <w:spacing w:before="120" w:after="120" w:line="276" w:lineRule="auto"/>
        <w:rPr>
          <w:rFonts w:asciiTheme="minorHAnsi" w:eastAsiaTheme="minorEastAsia" w:hAnsiTheme="minorHAnsi" w:cstheme="minorBidi"/>
          <w:szCs w:val="22"/>
          <w:lang w:val="de-DE" w:eastAsia="de-DE"/>
        </w:rPr>
      </w:pPr>
      <w:hyperlink w:anchor="_Toc386013205" w:history="1">
        <w:r w:rsidR="00724794" w:rsidRPr="002727CB">
          <w:rPr>
            <w:rStyle w:val="Hyperlink"/>
          </w:rPr>
          <w:t>6</w:t>
        </w:r>
        <w:r w:rsidR="00724794">
          <w:rPr>
            <w:rFonts w:asciiTheme="minorHAnsi" w:eastAsiaTheme="minorEastAsia" w:hAnsiTheme="minorHAnsi" w:cstheme="minorBidi"/>
            <w:szCs w:val="22"/>
            <w:lang w:val="de-DE" w:eastAsia="de-DE"/>
          </w:rPr>
          <w:tab/>
        </w:r>
        <w:r w:rsidR="00724794" w:rsidRPr="002727CB">
          <w:rPr>
            <w:rStyle w:val="Hyperlink"/>
          </w:rPr>
          <w:t>Conclusions for policy development and monitoring</w:t>
        </w:r>
        <w:r w:rsidR="00724794">
          <w:rPr>
            <w:webHidden/>
          </w:rPr>
          <w:tab/>
        </w:r>
        <w:r w:rsidR="00724794">
          <w:rPr>
            <w:webHidden/>
          </w:rPr>
          <w:fldChar w:fldCharType="begin"/>
        </w:r>
        <w:r w:rsidR="00724794">
          <w:rPr>
            <w:webHidden/>
          </w:rPr>
          <w:instrText xml:space="preserve"> PAGEREF _Toc386013205 \h </w:instrText>
        </w:r>
        <w:r w:rsidR="00724794">
          <w:rPr>
            <w:webHidden/>
          </w:rPr>
        </w:r>
        <w:r w:rsidR="00724794">
          <w:rPr>
            <w:webHidden/>
          </w:rPr>
          <w:fldChar w:fldCharType="separate"/>
        </w:r>
        <w:r w:rsidR="002634D4">
          <w:rPr>
            <w:webHidden/>
          </w:rPr>
          <w:t>47</w:t>
        </w:r>
        <w:r w:rsidR="00724794">
          <w:rPr>
            <w:webHidden/>
          </w:rPr>
          <w:fldChar w:fldCharType="end"/>
        </w:r>
      </w:hyperlink>
    </w:p>
    <w:p w:rsidR="00724794" w:rsidRDefault="00CC1B00" w:rsidP="00724794">
      <w:pPr>
        <w:pStyle w:val="TOC1"/>
        <w:spacing w:before="120" w:after="120" w:line="276" w:lineRule="auto"/>
        <w:rPr>
          <w:rFonts w:asciiTheme="minorHAnsi" w:eastAsiaTheme="minorEastAsia" w:hAnsiTheme="minorHAnsi" w:cstheme="minorBidi"/>
          <w:szCs w:val="22"/>
          <w:lang w:val="de-DE" w:eastAsia="de-DE"/>
        </w:rPr>
      </w:pPr>
      <w:hyperlink w:anchor="_Toc386013206" w:history="1">
        <w:r w:rsidR="00724794" w:rsidRPr="002727CB">
          <w:rPr>
            <w:rStyle w:val="Hyperlink"/>
          </w:rPr>
          <w:t>7</w:t>
        </w:r>
        <w:r w:rsidR="00724794">
          <w:rPr>
            <w:rFonts w:asciiTheme="minorHAnsi" w:eastAsiaTheme="minorEastAsia" w:hAnsiTheme="minorHAnsi" w:cstheme="minorBidi"/>
            <w:szCs w:val="22"/>
            <w:lang w:val="de-DE" w:eastAsia="de-DE"/>
          </w:rPr>
          <w:tab/>
        </w:r>
        <w:r w:rsidR="00724794" w:rsidRPr="002727CB">
          <w:rPr>
            <w:rStyle w:val="Hyperlink"/>
          </w:rPr>
          <w:t>Literature</w:t>
        </w:r>
        <w:r w:rsidR="00724794">
          <w:rPr>
            <w:webHidden/>
          </w:rPr>
          <w:tab/>
        </w:r>
        <w:r w:rsidR="00724794">
          <w:rPr>
            <w:webHidden/>
          </w:rPr>
          <w:fldChar w:fldCharType="begin"/>
        </w:r>
        <w:r w:rsidR="00724794">
          <w:rPr>
            <w:webHidden/>
          </w:rPr>
          <w:instrText xml:space="preserve"> PAGEREF _Toc386013206 \h </w:instrText>
        </w:r>
        <w:r w:rsidR="00724794">
          <w:rPr>
            <w:webHidden/>
          </w:rPr>
        </w:r>
        <w:r w:rsidR="00724794">
          <w:rPr>
            <w:webHidden/>
          </w:rPr>
          <w:fldChar w:fldCharType="separate"/>
        </w:r>
        <w:r w:rsidR="002634D4">
          <w:rPr>
            <w:webHidden/>
          </w:rPr>
          <w:t>49</w:t>
        </w:r>
        <w:r w:rsidR="00724794">
          <w:rPr>
            <w:webHidden/>
          </w:rPr>
          <w:fldChar w:fldCharType="end"/>
        </w:r>
      </w:hyperlink>
    </w:p>
    <w:p w:rsidR="00724794" w:rsidRDefault="00CC1B00" w:rsidP="00724794">
      <w:pPr>
        <w:pStyle w:val="TOC1"/>
        <w:spacing w:before="120" w:after="120" w:line="276" w:lineRule="auto"/>
        <w:rPr>
          <w:rFonts w:asciiTheme="minorHAnsi" w:eastAsiaTheme="minorEastAsia" w:hAnsiTheme="minorHAnsi" w:cstheme="minorBidi"/>
          <w:szCs w:val="22"/>
          <w:lang w:val="de-DE" w:eastAsia="de-DE"/>
        </w:rPr>
      </w:pPr>
      <w:hyperlink w:anchor="_Toc386013207" w:history="1">
        <w:r w:rsidR="00724794" w:rsidRPr="002727CB">
          <w:rPr>
            <w:rStyle w:val="Hyperlink"/>
            <w:rFonts w:cs="Arial"/>
          </w:rPr>
          <w:t>Annex</w:t>
        </w:r>
        <w:r w:rsidR="00724794" w:rsidRPr="002727CB">
          <w:rPr>
            <w:rStyle w:val="Hyperlink"/>
          </w:rPr>
          <w:t xml:space="preserve"> 1: Additional maps and tables</w:t>
        </w:r>
        <w:r w:rsidR="00724794">
          <w:rPr>
            <w:webHidden/>
          </w:rPr>
          <w:tab/>
        </w:r>
        <w:r w:rsidR="00724794">
          <w:rPr>
            <w:webHidden/>
          </w:rPr>
          <w:fldChar w:fldCharType="begin"/>
        </w:r>
        <w:r w:rsidR="00724794">
          <w:rPr>
            <w:webHidden/>
          </w:rPr>
          <w:instrText xml:space="preserve"> PAGEREF _Toc386013207 \h </w:instrText>
        </w:r>
        <w:r w:rsidR="00724794">
          <w:rPr>
            <w:webHidden/>
          </w:rPr>
        </w:r>
        <w:r w:rsidR="00724794">
          <w:rPr>
            <w:webHidden/>
          </w:rPr>
          <w:fldChar w:fldCharType="separate"/>
        </w:r>
        <w:r w:rsidR="002634D4">
          <w:rPr>
            <w:webHidden/>
          </w:rPr>
          <w:t>51</w:t>
        </w:r>
        <w:r w:rsidR="00724794">
          <w:rPr>
            <w:webHidden/>
          </w:rPr>
          <w:fldChar w:fldCharType="end"/>
        </w:r>
      </w:hyperlink>
    </w:p>
    <w:p w:rsidR="00724794" w:rsidRDefault="00CC1B00" w:rsidP="00724794">
      <w:pPr>
        <w:pStyle w:val="TOC1"/>
        <w:spacing w:before="120" w:after="120" w:line="276" w:lineRule="auto"/>
        <w:rPr>
          <w:rFonts w:asciiTheme="minorHAnsi" w:eastAsiaTheme="minorEastAsia" w:hAnsiTheme="minorHAnsi" w:cstheme="minorBidi"/>
          <w:szCs w:val="22"/>
          <w:lang w:val="de-DE" w:eastAsia="de-DE"/>
        </w:rPr>
      </w:pPr>
      <w:hyperlink w:anchor="_Toc386013208" w:history="1">
        <w:r w:rsidR="00724794" w:rsidRPr="002727CB">
          <w:rPr>
            <w:rStyle w:val="Hyperlink"/>
            <w:rFonts w:cs="Arial"/>
          </w:rPr>
          <w:t>Annex 2: List of interviewed experts</w:t>
        </w:r>
        <w:r w:rsidR="00724794">
          <w:rPr>
            <w:webHidden/>
          </w:rPr>
          <w:tab/>
        </w:r>
        <w:r w:rsidR="00724794">
          <w:rPr>
            <w:webHidden/>
          </w:rPr>
          <w:fldChar w:fldCharType="begin"/>
        </w:r>
        <w:r w:rsidR="00724794">
          <w:rPr>
            <w:webHidden/>
          </w:rPr>
          <w:instrText xml:space="preserve"> PAGEREF _Toc386013208 \h </w:instrText>
        </w:r>
        <w:r w:rsidR="00724794">
          <w:rPr>
            <w:webHidden/>
          </w:rPr>
        </w:r>
        <w:r w:rsidR="00724794">
          <w:rPr>
            <w:webHidden/>
          </w:rPr>
          <w:fldChar w:fldCharType="separate"/>
        </w:r>
        <w:r w:rsidR="002634D4">
          <w:rPr>
            <w:webHidden/>
          </w:rPr>
          <w:t>68</w:t>
        </w:r>
        <w:r w:rsidR="00724794">
          <w:rPr>
            <w:webHidden/>
          </w:rPr>
          <w:fldChar w:fldCharType="end"/>
        </w:r>
      </w:hyperlink>
    </w:p>
    <w:p w:rsidR="00BF09EE" w:rsidRDefault="009403D2" w:rsidP="00724794">
      <w:pPr>
        <w:pStyle w:val="ESPONText"/>
        <w:spacing w:before="120" w:line="276" w:lineRule="auto"/>
        <w:jc w:val="center"/>
        <w:rPr>
          <w:rFonts w:cs="Arial"/>
          <w:b/>
          <w:sz w:val="32"/>
          <w:szCs w:val="32"/>
        </w:rPr>
      </w:pPr>
      <w:r w:rsidRPr="00D93644">
        <w:rPr>
          <w:rFonts w:cs="Arial"/>
          <w:szCs w:val="22"/>
        </w:rPr>
        <w:fldChar w:fldCharType="end"/>
      </w:r>
      <w:r w:rsidR="007D30CA" w:rsidRPr="00D93644">
        <w:rPr>
          <w:rFonts w:cs="Arial"/>
          <w:szCs w:val="22"/>
        </w:rPr>
        <w:br w:type="column"/>
      </w:r>
      <w:r w:rsidR="005B346C" w:rsidRPr="00DE2057">
        <w:rPr>
          <w:rFonts w:cs="Arial"/>
          <w:b/>
          <w:sz w:val="32"/>
          <w:szCs w:val="32"/>
        </w:rPr>
        <w:lastRenderedPageBreak/>
        <w:t>TABLES</w:t>
      </w:r>
    </w:p>
    <w:p w:rsidR="00DE2057" w:rsidRPr="00DE2057" w:rsidRDefault="00DE2057" w:rsidP="007965C9">
      <w:pPr>
        <w:pStyle w:val="ESPONText"/>
        <w:spacing w:before="120" w:line="276" w:lineRule="auto"/>
        <w:jc w:val="center"/>
        <w:rPr>
          <w:rFonts w:cs="Arial"/>
          <w:b/>
          <w:sz w:val="32"/>
          <w:szCs w:val="32"/>
        </w:rPr>
      </w:pPr>
    </w:p>
    <w:p w:rsidR="00724794" w:rsidRDefault="009403D2"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r w:rsidRPr="00D93644">
        <w:rPr>
          <w:rFonts w:cs="Arial"/>
        </w:rPr>
        <w:fldChar w:fldCharType="begin"/>
      </w:r>
      <w:r w:rsidR="00EA1FF2" w:rsidRPr="00D93644">
        <w:rPr>
          <w:rFonts w:cs="Arial"/>
        </w:rPr>
        <w:instrText xml:space="preserve"> TOC \h \z \c "Table" </w:instrText>
      </w:r>
      <w:r w:rsidRPr="00D93644">
        <w:rPr>
          <w:rFonts w:cs="Arial"/>
        </w:rPr>
        <w:fldChar w:fldCharType="separate"/>
      </w:r>
      <w:hyperlink w:anchor="_Toc386013237" w:history="1">
        <w:r w:rsidR="00724794" w:rsidRPr="003266DE">
          <w:rPr>
            <w:rStyle w:val="Hyperlink"/>
            <w:noProof/>
          </w:rPr>
          <w:t xml:space="preserve">Table 1: </w:t>
        </w:r>
        <w:r w:rsidR="00724794" w:rsidRPr="003266DE">
          <w:rPr>
            <w:rStyle w:val="Hyperlink"/>
            <w:rFonts w:cs="Arial"/>
            <w:noProof/>
            <w:lang w:val="en-US"/>
          </w:rPr>
          <w:t>Resident population of the region of Attiki, 1991-2011</w:t>
        </w:r>
        <w:r w:rsidR="00724794">
          <w:rPr>
            <w:noProof/>
            <w:webHidden/>
          </w:rPr>
          <w:tab/>
        </w:r>
        <w:r w:rsidR="00724794">
          <w:rPr>
            <w:noProof/>
            <w:webHidden/>
          </w:rPr>
          <w:fldChar w:fldCharType="begin"/>
        </w:r>
        <w:r w:rsidR="00724794">
          <w:rPr>
            <w:noProof/>
            <w:webHidden/>
          </w:rPr>
          <w:instrText xml:space="preserve"> PAGEREF _Toc386013237 \h </w:instrText>
        </w:r>
        <w:r w:rsidR="00724794">
          <w:rPr>
            <w:noProof/>
            <w:webHidden/>
          </w:rPr>
        </w:r>
        <w:r w:rsidR="00724794">
          <w:rPr>
            <w:noProof/>
            <w:webHidden/>
          </w:rPr>
          <w:fldChar w:fldCharType="separate"/>
        </w:r>
        <w:r w:rsidR="002634D4">
          <w:rPr>
            <w:noProof/>
            <w:webHidden/>
          </w:rPr>
          <w:t>2</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38" w:history="1">
        <w:r w:rsidR="00724794" w:rsidRPr="003266DE">
          <w:rPr>
            <w:rStyle w:val="Hyperlink"/>
            <w:noProof/>
          </w:rPr>
          <w:t xml:space="preserve">Table 2: </w:t>
        </w:r>
        <w:r w:rsidR="00724794" w:rsidRPr="003266DE">
          <w:rPr>
            <w:rStyle w:val="Hyperlink"/>
            <w:rFonts w:cs="Arial"/>
            <w:noProof/>
            <w:lang w:val="en-US"/>
          </w:rPr>
          <w:t>Population by age groups, 2011</w:t>
        </w:r>
        <w:r w:rsidR="00724794">
          <w:rPr>
            <w:noProof/>
            <w:webHidden/>
          </w:rPr>
          <w:tab/>
        </w:r>
        <w:r w:rsidR="00724794">
          <w:rPr>
            <w:noProof/>
            <w:webHidden/>
          </w:rPr>
          <w:fldChar w:fldCharType="begin"/>
        </w:r>
        <w:r w:rsidR="00724794">
          <w:rPr>
            <w:noProof/>
            <w:webHidden/>
          </w:rPr>
          <w:instrText xml:space="preserve"> PAGEREF _Toc386013238 \h </w:instrText>
        </w:r>
        <w:r w:rsidR="00724794">
          <w:rPr>
            <w:noProof/>
            <w:webHidden/>
          </w:rPr>
        </w:r>
        <w:r w:rsidR="00724794">
          <w:rPr>
            <w:noProof/>
            <w:webHidden/>
          </w:rPr>
          <w:fldChar w:fldCharType="separate"/>
        </w:r>
        <w:r w:rsidR="002634D4">
          <w:rPr>
            <w:noProof/>
            <w:webHidden/>
          </w:rPr>
          <w:t>2</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39" w:history="1">
        <w:r w:rsidR="00724794" w:rsidRPr="003266DE">
          <w:rPr>
            <w:rStyle w:val="Hyperlink"/>
            <w:noProof/>
          </w:rPr>
          <w:t xml:space="preserve">Table 3: </w:t>
        </w:r>
        <w:r w:rsidR="00724794" w:rsidRPr="003266DE">
          <w:rPr>
            <w:rStyle w:val="Hyperlink"/>
            <w:rFonts w:cs="Arial"/>
            <w:noProof/>
            <w:lang w:val="en-US"/>
          </w:rPr>
          <w:t>GDP at current market prices, 2005-2009</w:t>
        </w:r>
        <w:r w:rsidR="00724794">
          <w:rPr>
            <w:noProof/>
            <w:webHidden/>
          </w:rPr>
          <w:tab/>
        </w:r>
        <w:r w:rsidR="00724794">
          <w:rPr>
            <w:noProof/>
            <w:webHidden/>
          </w:rPr>
          <w:fldChar w:fldCharType="begin"/>
        </w:r>
        <w:r w:rsidR="00724794">
          <w:rPr>
            <w:noProof/>
            <w:webHidden/>
          </w:rPr>
          <w:instrText xml:space="preserve"> PAGEREF _Toc386013239 \h </w:instrText>
        </w:r>
        <w:r w:rsidR="00724794">
          <w:rPr>
            <w:noProof/>
            <w:webHidden/>
          </w:rPr>
        </w:r>
        <w:r w:rsidR="00724794">
          <w:rPr>
            <w:noProof/>
            <w:webHidden/>
          </w:rPr>
          <w:fldChar w:fldCharType="separate"/>
        </w:r>
        <w:r w:rsidR="002634D4">
          <w:rPr>
            <w:noProof/>
            <w:webHidden/>
          </w:rPr>
          <w:t>2</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40" w:history="1">
        <w:r w:rsidR="00724794" w:rsidRPr="003266DE">
          <w:rPr>
            <w:rStyle w:val="Hyperlink"/>
            <w:noProof/>
          </w:rPr>
          <w:t xml:space="preserve">Table 4: </w:t>
        </w:r>
        <w:r w:rsidR="00724794" w:rsidRPr="003266DE">
          <w:rPr>
            <w:rStyle w:val="Hyperlink"/>
            <w:rFonts w:cs="Arial"/>
            <w:noProof/>
          </w:rPr>
          <w:t>GDP indicators, 2011</w:t>
        </w:r>
        <w:r w:rsidR="00724794">
          <w:rPr>
            <w:noProof/>
            <w:webHidden/>
          </w:rPr>
          <w:tab/>
        </w:r>
        <w:r w:rsidR="00724794">
          <w:rPr>
            <w:noProof/>
            <w:webHidden/>
          </w:rPr>
          <w:fldChar w:fldCharType="begin"/>
        </w:r>
        <w:r w:rsidR="00724794">
          <w:rPr>
            <w:noProof/>
            <w:webHidden/>
          </w:rPr>
          <w:instrText xml:space="preserve"> PAGEREF _Toc386013240 \h </w:instrText>
        </w:r>
        <w:r w:rsidR="00724794">
          <w:rPr>
            <w:noProof/>
            <w:webHidden/>
          </w:rPr>
        </w:r>
        <w:r w:rsidR="00724794">
          <w:rPr>
            <w:noProof/>
            <w:webHidden/>
          </w:rPr>
          <w:fldChar w:fldCharType="separate"/>
        </w:r>
        <w:r w:rsidR="002634D4">
          <w:rPr>
            <w:noProof/>
            <w:webHidden/>
          </w:rPr>
          <w:t>2</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41" w:history="1">
        <w:r w:rsidR="00724794" w:rsidRPr="003266DE">
          <w:rPr>
            <w:rStyle w:val="Hyperlink"/>
            <w:noProof/>
          </w:rPr>
          <w:t xml:space="preserve">Table 5: </w:t>
        </w:r>
        <w:r w:rsidR="00724794" w:rsidRPr="003266DE">
          <w:rPr>
            <w:rStyle w:val="Hyperlink"/>
            <w:rFonts w:cs="Arial"/>
            <w:noProof/>
          </w:rPr>
          <w:t>Employment by sector of economic activity, 2011</w:t>
        </w:r>
        <w:r w:rsidR="00724794">
          <w:rPr>
            <w:noProof/>
            <w:webHidden/>
          </w:rPr>
          <w:tab/>
        </w:r>
        <w:r w:rsidR="00724794">
          <w:rPr>
            <w:noProof/>
            <w:webHidden/>
          </w:rPr>
          <w:fldChar w:fldCharType="begin"/>
        </w:r>
        <w:r w:rsidR="00724794">
          <w:rPr>
            <w:noProof/>
            <w:webHidden/>
          </w:rPr>
          <w:instrText xml:space="preserve"> PAGEREF _Toc386013241 \h </w:instrText>
        </w:r>
        <w:r w:rsidR="00724794">
          <w:rPr>
            <w:noProof/>
            <w:webHidden/>
          </w:rPr>
        </w:r>
        <w:r w:rsidR="00724794">
          <w:rPr>
            <w:noProof/>
            <w:webHidden/>
          </w:rPr>
          <w:fldChar w:fldCharType="separate"/>
        </w:r>
        <w:r w:rsidR="002634D4">
          <w:rPr>
            <w:noProof/>
            <w:webHidden/>
          </w:rPr>
          <w:t>3</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42" w:history="1">
        <w:r w:rsidR="00724794" w:rsidRPr="003266DE">
          <w:rPr>
            <w:rStyle w:val="Hyperlink"/>
            <w:noProof/>
          </w:rPr>
          <w:t xml:space="preserve">Table 6: </w:t>
        </w:r>
        <w:r w:rsidR="00724794" w:rsidRPr="003266DE">
          <w:rPr>
            <w:rStyle w:val="Hyperlink"/>
            <w:rFonts w:cs="Arial"/>
            <w:noProof/>
            <w:lang w:val="en-US"/>
          </w:rPr>
          <w:t>ESPON CU typology and classification of the Region of Attiki</w:t>
        </w:r>
        <w:r w:rsidR="00724794">
          <w:rPr>
            <w:noProof/>
            <w:webHidden/>
          </w:rPr>
          <w:tab/>
        </w:r>
        <w:r w:rsidR="00724794">
          <w:rPr>
            <w:noProof/>
            <w:webHidden/>
          </w:rPr>
          <w:fldChar w:fldCharType="begin"/>
        </w:r>
        <w:r w:rsidR="00724794">
          <w:rPr>
            <w:noProof/>
            <w:webHidden/>
          </w:rPr>
          <w:instrText xml:space="preserve"> PAGEREF _Toc386013242 \h </w:instrText>
        </w:r>
        <w:r w:rsidR="00724794">
          <w:rPr>
            <w:noProof/>
            <w:webHidden/>
          </w:rPr>
        </w:r>
        <w:r w:rsidR="00724794">
          <w:rPr>
            <w:noProof/>
            <w:webHidden/>
          </w:rPr>
          <w:fldChar w:fldCharType="separate"/>
        </w:r>
        <w:r w:rsidR="002634D4">
          <w:rPr>
            <w:noProof/>
            <w:webHidden/>
          </w:rPr>
          <w:t>3</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43" w:history="1">
        <w:r w:rsidR="00724794" w:rsidRPr="003266DE">
          <w:rPr>
            <w:rStyle w:val="Hyperlink"/>
            <w:noProof/>
          </w:rPr>
          <w:t xml:space="preserve">Table 7: </w:t>
        </w:r>
        <w:r w:rsidR="00724794" w:rsidRPr="003266DE">
          <w:rPr>
            <w:rStyle w:val="Hyperlink"/>
            <w:rFonts w:cs="Arial"/>
            <w:noProof/>
            <w:lang w:val="en-US"/>
          </w:rPr>
          <w:t>Unemployment rates in the Region of Attiki, 2000-2012</w:t>
        </w:r>
        <w:r w:rsidR="00724794">
          <w:rPr>
            <w:noProof/>
            <w:webHidden/>
          </w:rPr>
          <w:tab/>
        </w:r>
        <w:r w:rsidR="00724794">
          <w:rPr>
            <w:noProof/>
            <w:webHidden/>
          </w:rPr>
          <w:fldChar w:fldCharType="begin"/>
        </w:r>
        <w:r w:rsidR="00724794">
          <w:rPr>
            <w:noProof/>
            <w:webHidden/>
          </w:rPr>
          <w:instrText xml:space="preserve"> PAGEREF _Toc386013243 \h </w:instrText>
        </w:r>
        <w:r w:rsidR="00724794">
          <w:rPr>
            <w:noProof/>
            <w:webHidden/>
          </w:rPr>
        </w:r>
        <w:r w:rsidR="00724794">
          <w:rPr>
            <w:noProof/>
            <w:webHidden/>
          </w:rPr>
          <w:fldChar w:fldCharType="separate"/>
        </w:r>
        <w:r w:rsidR="002634D4">
          <w:rPr>
            <w:noProof/>
            <w:webHidden/>
          </w:rPr>
          <w:t>4</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44" w:history="1">
        <w:r w:rsidR="00724794" w:rsidRPr="003266DE">
          <w:rPr>
            <w:rStyle w:val="Hyperlink"/>
            <w:noProof/>
          </w:rPr>
          <w:t xml:space="preserve">Table 8: </w:t>
        </w:r>
        <w:r w:rsidR="00724794" w:rsidRPr="003266DE">
          <w:rPr>
            <w:rStyle w:val="Hyperlink"/>
            <w:rFonts w:cs="Arial"/>
            <w:noProof/>
            <w:lang w:val="en-US"/>
          </w:rPr>
          <w:t>Unemployment rates by sex and age,</w:t>
        </w:r>
        <w:r w:rsidR="00724794" w:rsidRPr="003266DE">
          <w:rPr>
            <w:rStyle w:val="Hyperlink"/>
            <w:rFonts w:cs="Arial"/>
            <w:noProof/>
          </w:rPr>
          <w:t xml:space="preserve"> 2011</w:t>
        </w:r>
        <w:r w:rsidR="00724794">
          <w:rPr>
            <w:noProof/>
            <w:webHidden/>
          </w:rPr>
          <w:tab/>
        </w:r>
        <w:r w:rsidR="00724794">
          <w:rPr>
            <w:noProof/>
            <w:webHidden/>
          </w:rPr>
          <w:fldChar w:fldCharType="begin"/>
        </w:r>
        <w:r w:rsidR="00724794">
          <w:rPr>
            <w:noProof/>
            <w:webHidden/>
          </w:rPr>
          <w:instrText xml:space="preserve"> PAGEREF _Toc386013244 \h </w:instrText>
        </w:r>
        <w:r w:rsidR="00724794">
          <w:rPr>
            <w:noProof/>
            <w:webHidden/>
          </w:rPr>
        </w:r>
        <w:r w:rsidR="00724794">
          <w:rPr>
            <w:noProof/>
            <w:webHidden/>
          </w:rPr>
          <w:fldChar w:fldCharType="separate"/>
        </w:r>
        <w:r w:rsidR="002634D4">
          <w:rPr>
            <w:noProof/>
            <w:webHidden/>
          </w:rPr>
          <w:t>5</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45" w:history="1">
        <w:r w:rsidR="00724794" w:rsidRPr="003266DE">
          <w:rPr>
            <w:rStyle w:val="Hyperlink"/>
            <w:noProof/>
          </w:rPr>
          <w:t xml:space="preserve">Table 9: </w:t>
        </w:r>
        <w:r w:rsidR="00724794" w:rsidRPr="003266DE">
          <w:rPr>
            <w:rStyle w:val="Hyperlink"/>
            <w:rFonts w:cs="Arial"/>
            <w:noProof/>
            <w:lang w:val="en-US"/>
          </w:rPr>
          <w:t>Long-term unemployment (12 months and more), region of Attiki</w:t>
        </w:r>
        <w:r w:rsidR="00724794">
          <w:rPr>
            <w:noProof/>
            <w:webHidden/>
          </w:rPr>
          <w:tab/>
        </w:r>
        <w:r w:rsidR="00724794">
          <w:rPr>
            <w:noProof/>
            <w:webHidden/>
          </w:rPr>
          <w:fldChar w:fldCharType="begin"/>
        </w:r>
        <w:r w:rsidR="00724794">
          <w:rPr>
            <w:noProof/>
            <w:webHidden/>
          </w:rPr>
          <w:instrText xml:space="preserve"> PAGEREF _Toc386013245 \h </w:instrText>
        </w:r>
        <w:r w:rsidR="00724794">
          <w:rPr>
            <w:noProof/>
            <w:webHidden/>
          </w:rPr>
        </w:r>
        <w:r w:rsidR="00724794">
          <w:rPr>
            <w:noProof/>
            <w:webHidden/>
          </w:rPr>
          <w:fldChar w:fldCharType="separate"/>
        </w:r>
        <w:r w:rsidR="002634D4">
          <w:rPr>
            <w:noProof/>
            <w:webHidden/>
          </w:rPr>
          <w:t>5</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46" w:history="1">
        <w:r w:rsidR="00724794" w:rsidRPr="003266DE">
          <w:rPr>
            <w:rStyle w:val="Hyperlink"/>
            <w:noProof/>
          </w:rPr>
          <w:t xml:space="preserve">Table 10: </w:t>
        </w:r>
        <w:r w:rsidR="00724794" w:rsidRPr="003266DE">
          <w:rPr>
            <w:rStyle w:val="Hyperlink"/>
            <w:rFonts w:cs="Arial"/>
            <w:noProof/>
          </w:rPr>
          <w:t>EU (Eurostat) poverty indicators</w:t>
        </w:r>
        <w:r w:rsidR="00724794">
          <w:rPr>
            <w:noProof/>
            <w:webHidden/>
          </w:rPr>
          <w:tab/>
        </w:r>
        <w:r w:rsidR="00724794">
          <w:rPr>
            <w:noProof/>
            <w:webHidden/>
          </w:rPr>
          <w:fldChar w:fldCharType="begin"/>
        </w:r>
        <w:r w:rsidR="00724794">
          <w:rPr>
            <w:noProof/>
            <w:webHidden/>
          </w:rPr>
          <w:instrText xml:space="preserve"> PAGEREF _Toc386013246 \h </w:instrText>
        </w:r>
        <w:r w:rsidR="00724794">
          <w:rPr>
            <w:noProof/>
            <w:webHidden/>
          </w:rPr>
        </w:r>
        <w:r w:rsidR="00724794">
          <w:rPr>
            <w:noProof/>
            <w:webHidden/>
          </w:rPr>
          <w:fldChar w:fldCharType="separate"/>
        </w:r>
        <w:r w:rsidR="002634D4">
          <w:rPr>
            <w:noProof/>
            <w:webHidden/>
          </w:rPr>
          <w:t>5</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47" w:history="1">
        <w:r w:rsidR="00724794" w:rsidRPr="003266DE">
          <w:rPr>
            <w:rStyle w:val="Hyperlink"/>
            <w:noProof/>
          </w:rPr>
          <w:t xml:space="preserve">Table 11: </w:t>
        </w:r>
        <w:r w:rsidR="00724794" w:rsidRPr="003266DE">
          <w:rPr>
            <w:rStyle w:val="Hyperlink"/>
            <w:rFonts w:cs="Arial"/>
            <w:noProof/>
            <w:lang w:val="fr-FR"/>
          </w:rPr>
          <w:t>EU (Eurostat) education indicators</w:t>
        </w:r>
        <w:r w:rsidR="00724794">
          <w:rPr>
            <w:noProof/>
            <w:webHidden/>
          </w:rPr>
          <w:tab/>
        </w:r>
        <w:r w:rsidR="00724794">
          <w:rPr>
            <w:noProof/>
            <w:webHidden/>
          </w:rPr>
          <w:fldChar w:fldCharType="begin"/>
        </w:r>
        <w:r w:rsidR="00724794">
          <w:rPr>
            <w:noProof/>
            <w:webHidden/>
          </w:rPr>
          <w:instrText xml:space="preserve"> PAGEREF _Toc386013247 \h </w:instrText>
        </w:r>
        <w:r w:rsidR="00724794">
          <w:rPr>
            <w:noProof/>
            <w:webHidden/>
          </w:rPr>
        </w:r>
        <w:r w:rsidR="00724794">
          <w:rPr>
            <w:noProof/>
            <w:webHidden/>
          </w:rPr>
          <w:fldChar w:fldCharType="separate"/>
        </w:r>
        <w:r w:rsidR="002634D4">
          <w:rPr>
            <w:noProof/>
            <w:webHidden/>
          </w:rPr>
          <w:t>6</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48" w:history="1">
        <w:r w:rsidR="00724794" w:rsidRPr="003266DE">
          <w:rPr>
            <w:rStyle w:val="Hyperlink"/>
            <w:noProof/>
          </w:rPr>
          <w:t xml:space="preserve">Table 12: </w:t>
        </w:r>
        <w:r w:rsidR="00724794" w:rsidRPr="003266DE">
          <w:rPr>
            <w:rStyle w:val="Hyperlink"/>
            <w:rFonts w:cs="Arial"/>
            <w:noProof/>
            <w:lang w:val="en-US"/>
          </w:rPr>
          <w:t>Citizenship of the population of the Region of Attiki</w:t>
        </w:r>
        <w:r w:rsidR="00724794">
          <w:rPr>
            <w:noProof/>
            <w:webHidden/>
          </w:rPr>
          <w:tab/>
        </w:r>
        <w:r w:rsidR="00724794">
          <w:rPr>
            <w:noProof/>
            <w:webHidden/>
          </w:rPr>
          <w:fldChar w:fldCharType="begin"/>
        </w:r>
        <w:r w:rsidR="00724794">
          <w:rPr>
            <w:noProof/>
            <w:webHidden/>
          </w:rPr>
          <w:instrText xml:space="preserve"> PAGEREF _Toc386013248 \h </w:instrText>
        </w:r>
        <w:r w:rsidR="00724794">
          <w:rPr>
            <w:noProof/>
            <w:webHidden/>
          </w:rPr>
        </w:r>
        <w:r w:rsidR="00724794">
          <w:rPr>
            <w:noProof/>
            <w:webHidden/>
          </w:rPr>
          <w:fldChar w:fldCharType="separate"/>
        </w:r>
        <w:r w:rsidR="002634D4">
          <w:rPr>
            <w:noProof/>
            <w:webHidden/>
          </w:rPr>
          <w:t>6</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49" w:history="1">
        <w:r w:rsidR="00724794" w:rsidRPr="003266DE">
          <w:rPr>
            <w:rStyle w:val="Hyperlink"/>
            <w:noProof/>
          </w:rPr>
          <w:t>Table 13: Summary of regression models</w:t>
        </w:r>
        <w:r w:rsidR="00724794">
          <w:rPr>
            <w:noProof/>
            <w:webHidden/>
          </w:rPr>
          <w:tab/>
        </w:r>
        <w:r w:rsidR="00724794">
          <w:rPr>
            <w:noProof/>
            <w:webHidden/>
          </w:rPr>
          <w:fldChar w:fldCharType="begin"/>
        </w:r>
        <w:r w:rsidR="00724794">
          <w:rPr>
            <w:noProof/>
            <w:webHidden/>
          </w:rPr>
          <w:instrText xml:space="preserve"> PAGEREF _Toc386013249 \h </w:instrText>
        </w:r>
        <w:r w:rsidR="00724794">
          <w:rPr>
            <w:noProof/>
            <w:webHidden/>
          </w:rPr>
        </w:r>
        <w:r w:rsidR="00724794">
          <w:rPr>
            <w:noProof/>
            <w:webHidden/>
          </w:rPr>
          <w:fldChar w:fldCharType="separate"/>
        </w:r>
        <w:r w:rsidR="002634D4">
          <w:rPr>
            <w:noProof/>
            <w:webHidden/>
          </w:rPr>
          <w:t>13</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50" w:history="1">
        <w:r w:rsidR="00724794" w:rsidRPr="003266DE">
          <w:rPr>
            <w:rStyle w:val="Hyperlink"/>
            <w:noProof/>
          </w:rPr>
          <w:t>Table 14: Composition of socio-ethnic groups, MRA, 2001</w:t>
        </w:r>
        <w:r w:rsidR="00724794">
          <w:rPr>
            <w:noProof/>
            <w:webHidden/>
          </w:rPr>
          <w:tab/>
        </w:r>
        <w:r w:rsidR="00724794">
          <w:rPr>
            <w:noProof/>
            <w:webHidden/>
          </w:rPr>
          <w:fldChar w:fldCharType="begin"/>
        </w:r>
        <w:r w:rsidR="00724794">
          <w:rPr>
            <w:noProof/>
            <w:webHidden/>
          </w:rPr>
          <w:instrText xml:space="preserve"> PAGEREF _Toc386013250 \h </w:instrText>
        </w:r>
        <w:r w:rsidR="00724794">
          <w:rPr>
            <w:noProof/>
            <w:webHidden/>
          </w:rPr>
        </w:r>
        <w:r w:rsidR="00724794">
          <w:rPr>
            <w:noProof/>
            <w:webHidden/>
          </w:rPr>
          <w:fldChar w:fldCharType="separate"/>
        </w:r>
        <w:r w:rsidR="002634D4">
          <w:rPr>
            <w:noProof/>
            <w:webHidden/>
          </w:rPr>
          <w:t>14</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51" w:history="1">
        <w:r w:rsidR="00724794" w:rsidRPr="003266DE">
          <w:rPr>
            <w:rStyle w:val="Hyperlink"/>
            <w:noProof/>
          </w:rPr>
          <w:t>Table 15: Socio-ethnic groups and basic indicators. MRA, 2001</w:t>
        </w:r>
        <w:r w:rsidR="00724794">
          <w:rPr>
            <w:noProof/>
            <w:webHidden/>
          </w:rPr>
          <w:tab/>
        </w:r>
        <w:r w:rsidR="00724794">
          <w:rPr>
            <w:noProof/>
            <w:webHidden/>
          </w:rPr>
          <w:fldChar w:fldCharType="begin"/>
        </w:r>
        <w:r w:rsidR="00724794">
          <w:rPr>
            <w:noProof/>
            <w:webHidden/>
          </w:rPr>
          <w:instrText xml:space="preserve"> PAGEREF _Toc386013251 \h </w:instrText>
        </w:r>
        <w:r w:rsidR="00724794">
          <w:rPr>
            <w:noProof/>
            <w:webHidden/>
          </w:rPr>
        </w:r>
        <w:r w:rsidR="00724794">
          <w:rPr>
            <w:noProof/>
            <w:webHidden/>
          </w:rPr>
          <w:fldChar w:fldCharType="separate"/>
        </w:r>
        <w:r w:rsidR="002634D4">
          <w:rPr>
            <w:noProof/>
            <w:webHidden/>
          </w:rPr>
          <w:t>15</w:t>
        </w:r>
        <w:r w:rsidR="00724794">
          <w:rPr>
            <w:noProof/>
            <w:webHidden/>
          </w:rPr>
          <w:fldChar w:fldCharType="end"/>
        </w:r>
      </w:hyperlink>
    </w:p>
    <w:p w:rsidR="00724794" w:rsidRDefault="00CC1B00" w:rsidP="00724794">
      <w:pPr>
        <w:pStyle w:val="TableofFigures"/>
        <w:tabs>
          <w:tab w:val="right" w:pos="8302"/>
        </w:tabs>
        <w:spacing w:after="120" w:line="276" w:lineRule="auto"/>
        <w:rPr>
          <w:rFonts w:asciiTheme="minorHAnsi" w:eastAsiaTheme="minorEastAsia" w:hAnsiTheme="minorHAnsi" w:cstheme="minorBidi"/>
          <w:noProof/>
          <w:szCs w:val="22"/>
          <w:lang w:val="de-DE" w:eastAsia="de-DE"/>
        </w:rPr>
      </w:pPr>
      <w:hyperlink w:anchor="_Toc386013252" w:history="1">
        <w:r w:rsidR="00724794" w:rsidRPr="003266DE">
          <w:rPr>
            <w:rStyle w:val="Hyperlink"/>
            <w:noProof/>
          </w:rPr>
          <w:t xml:space="preserve">Table 16: </w:t>
        </w:r>
        <w:r w:rsidR="00724794" w:rsidRPr="003266DE">
          <w:rPr>
            <w:rStyle w:val="Hyperlink"/>
            <w:rFonts w:cs="Arial"/>
            <w:noProof/>
          </w:rPr>
          <w:t>Segregation level of the immigrant population and SEGs at the 1km grid cells. MRA, 2001</w:t>
        </w:r>
        <w:r w:rsidR="00724794">
          <w:rPr>
            <w:noProof/>
            <w:webHidden/>
          </w:rPr>
          <w:tab/>
        </w:r>
        <w:r w:rsidR="00724794">
          <w:rPr>
            <w:noProof/>
            <w:webHidden/>
          </w:rPr>
          <w:fldChar w:fldCharType="begin"/>
        </w:r>
        <w:r w:rsidR="00724794">
          <w:rPr>
            <w:noProof/>
            <w:webHidden/>
          </w:rPr>
          <w:instrText xml:space="preserve"> PAGEREF _Toc386013252 \h </w:instrText>
        </w:r>
        <w:r w:rsidR="00724794">
          <w:rPr>
            <w:noProof/>
            <w:webHidden/>
          </w:rPr>
        </w:r>
        <w:r w:rsidR="00724794">
          <w:rPr>
            <w:noProof/>
            <w:webHidden/>
          </w:rPr>
          <w:fldChar w:fldCharType="separate"/>
        </w:r>
        <w:r w:rsidR="002634D4">
          <w:rPr>
            <w:noProof/>
            <w:webHidden/>
          </w:rPr>
          <w:t>19</w:t>
        </w:r>
        <w:r w:rsidR="00724794">
          <w:rPr>
            <w:noProof/>
            <w:webHidden/>
          </w:rPr>
          <w:fldChar w:fldCharType="end"/>
        </w:r>
      </w:hyperlink>
    </w:p>
    <w:p w:rsidR="00C7672A" w:rsidRPr="00C7672A" w:rsidRDefault="009403D2" w:rsidP="007965C9">
      <w:pPr>
        <w:pStyle w:val="20"/>
        <w:spacing w:before="120" w:beforeAutospacing="0" w:after="120" w:afterAutospacing="0" w:line="276" w:lineRule="auto"/>
        <w:ind w:left="20"/>
        <w:jc w:val="both"/>
        <w:rPr>
          <w:rFonts w:ascii="Arial" w:hAnsi="Arial" w:cs="Arial"/>
          <w:sz w:val="22"/>
          <w:szCs w:val="22"/>
          <w:lang w:val="en-US"/>
        </w:rPr>
      </w:pPr>
      <w:r w:rsidRPr="00D93644">
        <w:rPr>
          <w:rFonts w:cs="Arial"/>
        </w:rPr>
        <w:fldChar w:fldCharType="end"/>
      </w:r>
    </w:p>
    <w:p w:rsidR="00956CB4" w:rsidRDefault="00956CB4" w:rsidP="00AA149B">
      <w:pPr>
        <w:pStyle w:val="ESPONText"/>
        <w:tabs>
          <w:tab w:val="left" w:pos="9072"/>
        </w:tabs>
        <w:spacing w:after="0"/>
        <w:rPr>
          <w:rFonts w:cs="Arial"/>
        </w:rPr>
      </w:pPr>
    </w:p>
    <w:p w:rsidR="00BF09EE" w:rsidRDefault="005B346C" w:rsidP="00BF09EE">
      <w:pPr>
        <w:pStyle w:val="ESPONSubtitle"/>
        <w:spacing w:after="0"/>
        <w:jc w:val="center"/>
        <w:rPr>
          <w:rFonts w:cs="Arial"/>
        </w:rPr>
      </w:pPr>
      <w:r w:rsidRPr="00D93644">
        <w:rPr>
          <w:rFonts w:cs="Arial"/>
        </w:rPr>
        <w:t>FIGURES</w:t>
      </w:r>
    </w:p>
    <w:p w:rsidR="00DE2057" w:rsidRPr="00DE2057" w:rsidRDefault="00DE2057" w:rsidP="00DE2057">
      <w:pPr>
        <w:pStyle w:val="ESPONText"/>
        <w:rPr>
          <w:lang w:eastAsia="en-US"/>
        </w:rPr>
      </w:pPr>
    </w:p>
    <w:p w:rsidR="004B23E3" w:rsidRPr="004B23E3" w:rsidRDefault="009403D2">
      <w:pPr>
        <w:pStyle w:val="TableofFigures"/>
        <w:tabs>
          <w:tab w:val="right" w:pos="8302"/>
        </w:tabs>
        <w:rPr>
          <w:rFonts w:asciiTheme="minorHAnsi" w:eastAsiaTheme="minorEastAsia" w:hAnsiTheme="minorHAnsi" w:cstheme="minorBidi"/>
          <w:noProof/>
          <w:szCs w:val="22"/>
          <w:lang w:val="de-DE" w:eastAsia="de-DE"/>
        </w:rPr>
      </w:pPr>
      <w:r w:rsidRPr="00D93644">
        <w:rPr>
          <w:rFonts w:cs="Arial"/>
        </w:rPr>
        <w:fldChar w:fldCharType="begin"/>
      </w:r>
      <w:r w:rsidR="005B346C" w:rsidRPr="00D93644">
        <w:rPr>
          <w:rFonts w:cs="Arial"/>
        </w:rPr>
        <w:instrText xml:space="preserve"> TOC \h \z \c "Figure" </w:instrText>
      </w:r>
      <w:r w:rsidRPr="00D93644">
        <w:rPr>
          <w:rFonts w:cs="Arial"/>
        </w:rPr>
        <w:fldChar w:fldCharType="separate"/>
      </w:r>
      <w:hyperlink r:id="rId16" w:anchor="_Toc392505025" w:history="1">
        <w:r w:rsidR="004B23E3" w:rsidRPr="004B23E3">
          <w:rPr>
            <w:rStyle w:val="Hyperlink"/>
            <w:rFonts w:cs="Arial"/>
            <w:noProof/>
            <w:lang w:bidi="hi-IN"/>
          </w:rPr>
          <w:t>Figure 2: Mean duration of residence by ethnic group. MRA 2001</w:t>
        </w:r>
        <w:r w:rsidR="004B23E3" w:rsidRPr="004B23E3">
          <w:rPr>
            <w:noProof/>
            <w:webHidden/>
          </w:rPr>
          <w:tab/>
        </w:r>
        <w:r w:rsidR="004B23E3" w:rsidRPr="004B23E3">
          <w:rPr>
            <w:noProof/>
            <w:webHidden/>
          </w:rPr>
          <w:fldChar w:fldCharType="begin"/>
        </w:r>
        <w:r w:rsidR="004B23E3" w:rsidRPr="004B23E3">
          <w:rPr>
            <w:noProof/>
            <w:webHidden/>
          </w:rPr>
          <w:instrText xml:space="preserve"> PAGEREF _Toc392505025 \h </w:instrText>
        </w:r>
        <w:r w:rsidR="004B23E3" w:rsidRPr="004B23E3">
          <w:rPr>
            <w:noProof/>
            <w:webHidden/>
          </w:rPr>
        </w:r>
        <w:r w:rsidR="004B23E3" w:rsidRPr="004B23E3">
          <w:rPr>
            <w:noProof/>
            <w:webHidden/>
          </w:rPr>
          <w:fldChar w:fldCharType="separate"/>
        </w:r>
        <w:r w:rsidR="002634D4">
          <w:rPr>
            <w:noProof/>
            <w:webHidden/>
          </w:rPr>
          <w:t>51</w:t>
        </w:r>
        <w:r w:rsidR="004B23E3" w:rsidRPr="004B23E3">
          <w:rPr>
            <w:noProof/>
            <w:webHidden/>
          </w:rPr>
          <w:fldChar w:fldCharType="end"/>
        </w:r>
      </w:hyperlink>
    </w:p>
    <w:p w:rsidR="004B23E3" w:rsidRPr="004B23E3" w:rsidRDefault="00CC1B00">
      <w:pPr>
        <w:pStyle w:val="TableofFigures"/>
        <w:tabs>
          <w:tab w:val="right" w:pos="8302"/>
        </w:tabs>
        <w:rPr>
          <w:rFonts w:asciiTheme="minorHAnsi" w:eastAsiaTheme="minorEastAsia" w:hAnsiTheme="minorHAnsi" w:cstheme="minorBidi"/>
          <w:noProof/>
          <w:szCs w:val="22"/>
          <w:lang w:val="de-DE" w:eastAsia="de-DE"/>
        </w:rPr>
      </w:pPr>
      <w:hyperlink r:id="rId17" w:anchor="_Toc392505026" w:history="1">
        <w:r w:rsidR="004B23E3" w:rsidRPr="004B23E3">
          <w:rPr>
            <w:rStyle w:val="Hyperlink"/>
            <w:noProof/>
          </w:rPr>
          <w:t xml:space="preserve">Figure 3: </w:t>
        </w:r>
        <w:r w:rsidR="004B23E3" w:rsidRPr="004B23E3">
          <w:rPr>
            <w:rStyle w:val="Hyperlink"/>
            <w:rFonts w:cs="Arial"/>
            <w:noProof/>
          </w:rPr>
          <w:t>Gender distribution by ethnic group. MRA 2001</w:t>
        </w:r>
        <w:r w:rsidR="004B23E3" w:rsidRPr="004B23E3">
          <w:rPr>
            <w:noProof/>
            <w:webHidden/>
          </w:rPr>
          <w:tab/>
        </w:r>
        <w:r w:rsidR="004B23E3" w:rsidRPr="004B23E3">
          <w:rPr>
            <w:noProof/>
            <w:webHidden/>
          </w:rPr>
          <w:fldChar w:fldCharType="begin"/>
        </w:r>
        <w:r w:rsidR="004B23E3" w:rsidRPr="004B23E3">
          <w:rPr>
            <w:noProof/>
            <w:webHidden/>
          </w:rPr>
          <w:instrText xml:space="preserve"> PAGEREF _Toc392505026 \h </w:instrText>
        </w:r>
        <w:r w:rsidR="004B23E3" w:rsidRPr="004B23E3">
          <w:rPr>
            <w:noProof/>
            <w:webHidden/>
          </w:rPr>
        </w:r>
        <w:r w:rsidR="004B23E3" w:rsidRPr="004B23E3">
          <w:rPr>
            <w:noProof/>
            <w:webHidden/>
          </w:rPr>
          <w:fldChar w:fldCharType="separate"/>
        </w:r>
        <w:r w:rsidR="002634D4">
          <w:rPr>
            <w:noProof/>
            <w:webHidden/>
          </w:rPr>
          <w:t>52</w:t>
        </w:r>
        <w:r w:rsidR="004B23E3" w:rsidRPr="004B23E3">
          <w:rPr>
            <w:noProof/>
            <w:webHidden/>
          </w:rPr>
          <w:fldChar w:fldCharType="end"/>
        </w:r>
      </w:hyperlink>
    </w:p>
    <w:p w:rsidR="004B23E3" w:rsidRPr="004B23E3" w:rsidRDefault="00CC1B00">
      <w:pPr>
        <w:pStyle w:val="TableofFigures"/>
        <w:tabs>
          <w:tab w:val="right" w:pos="8302"/>
        </w:tabs>
        <w:rPr>
          <w:rFonts w:asciiTheme="minorHAnsi" w:eastAsiaTheme="minorEastAsia" w:hAnsiTheme="minorHAnsi" w:cstheme="minorBidi"/>
          <w:noProof/>
          <w:szCs w:val="22"/>
          <w:lang w:val="de-DE" w:eastAsia="de-DE"/>
        </w:rPr>
      </w:pPr>
      <w:hyperlink r:id="rId18" w:anchor="_Toc392505027" w:history="1">
        <w:r w:rsidR="004B23E3" w:rsidRPr="004B23E3">
          <w:rPr>
            <w:rStyle w:val="Hyperlink"/>
            <w:noProof/>
          </w:rPr>
          <w:t xml:space="preserve">Figure 4: </w:t>
        </w:r>
        <w:r w:rsidR="004B23E3" w:rsidRPr="004B23E3">
          <w:rPr>
            <w:rStyle w:val="Hyperlink"/>
            <w:rFonts w:cs="Arial"/>
            <w:noProof/>
          </w:rPr>
          <w:t>Mean age by ethnic group. MRA, 2001</w:t>
        </w:r>
        <w:r w:rsidR="004B23E3" w:rsidRPr="004B23E3">
          <w:rPr>
            <w:noProof/>
            <w:webHidden/>
          </w:rPr>
          <w:tab/>
        </w:r>
        <w:r w:rsidR="004B23E3" w:rsidRPr="004B23E3">
          <w:rPr>
            <w:noProof/>
            <w:webHidden/>
          </w:rPr>
          <w:fldChar w:fldCharType="begin"/>
        </w:r>
        <w:r w:rsidR="004B23E3" w:rsidRPr="004B23E3">
          <w:rPr>
            <w:noProof/>
            <w:webHidden/>
          </w:rPr>
          <w:instrText xml:space="preserve"> PAGEREF _Toc392505027 \h </w:instrText>
        </w:r>
        <w:r w:rsidR="004B23E3" w:rsidRPr="004B23E3">
          <w:rPr>
            <w:noProof/>
            <w:webHidden/>
          </w:rPr>
        </w:r>
        <w:r w:rsidR="004B23E3" w:rsidRPr="004B23E3">
          <w:rPr>
            <w:noProof/>
            <w:webHidden/>
          </w:rPr>
          <w:fldChar w:fldCharType="separate"/>
        </w:r>
        <w:r w:rsidR="002634D4">
          <w:rPr>
            <w:noProof/>
            <w:webHidden/>
          </w:rPr>
          <w:t>53</w:t>
        </w:r>
        <w:r w:rsidR="004B23E3" w:rsidRPr="004B23E3">
          <w:rPr>
            <w:noProof/>
            <w:webHidden/>
          </w:rPr>
          <w:fldChar w:fldCharType="end"/>
        </w:r>
      </w:hyperlink>
    </w:p>
    <w:p w:rsidR="004B23E3" w:rsidRPr="004B23E3" w:rsidRDefault="00CC1B00">
      <w:pPr>
        <w:pStyle w:val="TableofFigures"/>
        <w:tabs>
          <w:tab w:val="right" w:pos="8302"/>
        </w:tabs>
        <w:rPr>
          <w:rFonts w:asciiTheme="minorHAnsi" w:eastAsiaTheme="minorEastAsia" w:hAnsiTheme="minorHAnsi" w:cstheme="minorBidi"/>
          <w:noProof/>
          <w:szCs w:val="22"/>
          <w:lang w:val="de-DE" w:eastAsia="de-DE"/>
        </w:rPr>
      </w:pPr>
      <w:hyperlink r:id="rId19" w:anchor="_Toc392505028" w:history="1">
        <w:r w:rsidR="004B23E3" w:rsidRPr="004B23E3">
          <w:rPr>
            <w:rStyle w:val="Hyperlink"/>
            <w:noProof/>
          </w:rPr>
          <w:t xml:space="preserve">Figure 5: </w:t>
        </w:r>
        <w:r w:rsidR="004B23E3" w:rsidRPr="004B23E3">
          <w:rPr>
            <w:rStyle w:val="Hyperlink"/>
            <w:rFonts w:cs="Arial"/>
            <w:noProof/>
          </w:rPr>
          <w:t>Household structure by ethnic group. MRA, 2001</w:t>
        </w:r>
        <w:r w:rsidR="004B23E3" w:rsidRPr="004B23E3">
          <w:rPr>
            <w:noProof/>
            <w:webHidden/>
          </w:rPr>
          <w:tab/>
        </w:r>
        <w:r w:rsidR="004B23E3" w:rsidRPr="004B23E3">
          <w:rPr>
            <w:noProof/>
            <w:webHidden/>
          </w:rPr>
          <w:fldChar w:fldCharType="begin"/>
        </w:r>
        <w:r w:rsidR="004B23E3" w:rsidRPr="004B23E3">
          <w:rPr>
            <w:noProof/>
            <w:webHidden/>
          </w:rPr>
          <w:instrText xml:space="preserve"> PAGEREF _Toc392505028 \h </w:instrText>
        </w:r>
        <w:r w:rsidR="004B23E3" w:rsidRPr="004B23E3">
          <w:rPr>
            <w:noProof/>
            <w:webHidden/>
          </w:rPr>
        </w:r>
        <w:r w:rsidR="004B23E3" w:rsidRPr="004B23E3">
          <w:rPr>
            <w:noProof/>
            <w:webHidden/>
          </w:rPr>
          <w:fldChar w:fldCharType="separate"/>
        </w:r>
        <w:r w:rsidR="002634D4">
          <w:rPr>
            <w:noProof/>
            <w:webHidden/>
          </w:rPr>
          <w:t>54</w:t>
        </w:r>
        <w:r w:rsidR="004B23E3" w:rsidRPr="004B23E3">
          <w:rPr>
            <w:noProof/>
            <w:webHidden/>
          </w:rPr>
          <w:fldChar w:fldCharType="end"/>
        </w:r>
      </w:hyperlink>
    </w:p>
    <w:p w:rsidR="004B23E3" w:rsidRPr="004B23E3" w:rsidRDefault="00CC1B00">
      <w:pPr>
        <w:pStyle w:val="TableofFigures"/>
        <w:tabs>
          <w:tab w:val="right" w:pos="8302"/>
        </w:tabs>
        <w:rPr>
          <w:rFonts w:asciiTheme="minorHAnsi" w:eastAsiaTheme="minorEastAsia" w:hAnsiTheme="minorHAnsi" w:cstheme="minorBidi"/>
          <w:noProof/>
          <w:szCs w:val="22"/>
          <w:lang w:val="de-DE" w:eastAsia="de-DE"/>
        </w:rPr>
      </w:pPr>
      <w:hyperlink r:id="rId20" w:anchor="_Toc392505029" w:history="1">
        <w:r w:rsidR="004B23E3" w:rsidRPr="004B23E3">
          <w:rPr>
            <w:rStyle w:val="Hyperlink"/>
            <w:noProof/>
          </w:rPr>
          <w:t xml:space="preserve">Figure 6: </w:t>
        </w:r>
        <w:r w:rsidR="004B23E3" w:rsidRPr="004B23E3">
          <w:rPr>
            <w:rStyle w:val="Hyperlink"/>
            <w:rFonts w:cs="Arial"/>
            <w:noProof/>
          </w:rPr>
          <w:t>Education level by age group. Region of Attiki, 2001</w:t>
        </w:r>
        <w:r w:rsidR="004B23E3" w:rsidRPr="004B23E3">
          <w:rPr>
            <w:noProof/>
            <w:webHidden/>
          </w:rPr>
          <w:tab/>
        </w:r>
        <w:r w:rsidR="004B23E3" w:rsidRPr="004B23E3">
          <w:rPr>
            <w:noProof/>
            <w:webHidden/>
          </w:rPr>
          <w:fldChar w:fldCharType="begin"/>
        </w:r>
        <w:r w:rsidR="004B23E3" w:rsidRPr="004B23E3">
          <w:rPr>
            <w:noProof/>
            <w:webHidden/>
          </w:rPr>
          <w:instrText xml:space="preserve"> PAGEREF _Toc392505029 \h </w:instrText>
        </w:r>
        <w:r w:rsidR="004B23E3" w:rsidRPr="004B23E3">
          <w:rPr>
            <w:noProof/>
            <w:webHidden/>
          </w:rPr>
        </w:r>
        <w:r w:rsidR="004B23E3" w:rsidRPr="004B23E3">
          <w:rPr>
            <w:noProof/>
            <w:webHidden/>
          </w:rPr>
          <w:fldChar w:fldCharType="separate"/>
        </w:r>
        <w:r w:rsidR="002634D4">
          <w:rPr>
            <w:noProof/>
            <w:webHidden/>
          </w:rPr>
          <w:t>55</w:t>
        </w:r>
        <w:r w:rsidR="004B23E3" w:rsidRPr="004B23E3">
          <w:rPr>
            <w:noProof/>
            <w:webHidden/>
          </w:rPr>
          <w:fldChar w:fldCharType="end"/>
        </w:r>
      </w:hyperlink>
    </w:p>
    <w:p w:rsidR="004B23E3" w:rsidRPr="004B23E3" w:rsidRDefault="00CC1B00">
      <w:pPr>
        <w:pStyle w:val="TableofFigures"/>
        <w:tabs>
          <w:tab w:val="right" w:pos="8302"/>
        </w:tabs>
        <w:rPr>
          <w:rFonts w:asciiTheme="minorHAnsi" w:eastAsiaTheme="minorEastAsia" w:hAnsiTheme="minorHAnsi" w:cstheme="minorBidi"/>
          <w:noProof/>
          <w:szCs w:val="22"/>
          <w:lang w:val="de-DE" w:eastAsia="de-DE"/>
        </w:rPr>
      </w:pPr>
      <w:hyperlink r:id="rId21" w:anchor="_Toc392505030" w:history="1">
        <w:r w:rsidR="004B23E3" w:rsidRPr="004B23E3">
          <w:rPr>
            <w:rStyle w:val="Hyperlink"/>
            <w:noProof/>
          </w:rPr>
          <w:t xml:space="preserve">Figure 7: </w:t>
        </w:r>
        <w:r w:rsidR="004B23E3" w:rsidRPr="004B23E3">
          <w:rPr>
            <w:rStyle w:val="Hyperlink"/>
            <w:rFonts w:cs="Arial"/>
            <w:noProof/>
          </w:rPr>
          <w:t>Socioeconomic classification by ethnic group. MRA, 2001</w:t>
        </w:r>
        <w:r w:rsidR="004B23E3" w:rsidRPr="004B23E3">
          <w:rPr>
            <w:noProof/>
            <w:webHidden/>
          </w:rPr>
          <w:tab/>
        </w:r>
        <w:r w:rsidR="004B23E3" w:rsidRPr="004B23E3">
          <w:rPr>
            <w:noProof/>
            <w:webHidden/>
          </w:rPr>
          <w:fldChar w:fldCharType="begin"/>
        </w:r>
        <w:r w:rsidR="004B23E3" w:rsidRPr="004B23E3">
          <w:rPr>
            <w:noProof/>
            <w:webHidden/>
          </w:rPr>
          <w:instrText xml:space="preserve"> PAGEREF _Toc392505030 \h </w:instrText>
        </w:r>
        <w:r w:rsidR="004B23E3" w:rsidRPr="004B23E3">
          <w:rPr>
            <w:noProof/>
            <w:webHidden/>
          </w:rPr>
        </w:r>
        <w:r w:rsidR="004B23E3" w:rsidRPr="004B23E3">
          <w:rPr>
            <w:noProof/>
            <w:webHidden/>
          </w:rPr>
          <w:fldChar w:fldCharType="separate"/>
        </w:r>
        <w:r w:rsidR="002634D4">
          <w:rPr>
            <w:noProof/>
            <w:webHidden/>
          </w:rPr>
          <w:t>56</w:t>
        </w:r>
        <w:r w:rsidR="004B23E3" w:rsidRPr="004B23E3">
          <w:rPr>
            <w:noProof/>
            <w:webHidden/>
          </w:rPr>
          <w:fldChar w:fldCharType="end"/>
        </w:r>
      </w:hyperlink>
    </w:p>
    <w:p w:rsidR="004B23E3" w:rsidRPr="004B23E3" w:rsidRDefault="00CC1B00">
      <w:pPr>
        <w:pStyle w:val="TableofFigures"/>
        <w:tabs>
          <w:tab w:val="right" w:pos="8302"/>
        </w:tabs>
        <w:rPr>
          <w:rFonts w:asciiTheme="minorHAnsi" w:eastAsiaTheme="minorEastAsia" w:hAnsiTheme="minorHAnsi" w:cstheme="minorBidi"/>
          <w:noProof/>
          <w:szCs w:val="22"/>
          <w:lang w:val="de-DE" w:eastAsia="de-DE"/>
        </w:rPr>
      </w:pPr>
      <w:hyperlink r:id="rId22" w:anchor="_Toc392505031" w:history="1">
        <w:r w:rsidR="004B23E3" w:rsidRPr="004B23E3">
          <w:rPr>
            <w:rStyle w:val="Hyperlink"/>
            <w:noProof/>
          </w:rPr>
          <w:t xml:space="preserve">Figure 8: </w:t>
        </w:r>
        <w:r w:rsidR="004B23E3" w:rsidRPr="004B23E3">
          <w:rPr>
            <w:rStyle w:val="Hyperlink"/>
            <w:rFonts w:cs="Arial"/>
            <w:noProof/>
          </w:rPr>
          <w:t>Tenure by ethnic group. MRA, 2001</w:t>
        </w:r>
        <w:r w:rsidR="004B23E3" w:rsidRPr="004B23E3">
          <w:rPr>
            <w:noProof/>
            <w:webHidden/>
          </w:rPr>
          <w:tab/>
        </w:r>
        <w:r w:rsidR="004B23E3" w:rsidRPr="004B23E3">
          <w:rPr>
            <w:noProof/>
            <w:webHidden/>
          </w:rPr>
          <w:fldChar w:fldCharType="begin"/>
        </w:r>
        <w:r w:rsidR="004B23E3" w:rsidRPr="004B23E3">
          <w:rPr>
            <w:noProof/>
            <w:webHidden/>
          </w:rPr>
          <w:instrText xml:space="preserve"> PAGEREF _Toc392505031 \h </w:instrText>
        </w:r>
        <w:r w:rsidR="004B23E3" w:rsidRPr="004B23E3">
          <w:rPr>
            <w:noProof/>
            <w:webHidden/>
          </w:rPr>
        </w:r>
        <w:r w:rsidR="004B23E3" w:rsidRPr="004B23E3">
          <w:rPr>
            <w:noProof/>
            <w:webHidden/>
          </w:rPr>
          <w:fldChar w:fldCharType="separate"/>
        </w:r>
        <w:r w:rsidR="002634D4">
          <w:rPr>
            <w:noProof/>
            <w:webHidden/>
          </w:rPr>
          <w:t>57</w:t>
        </w:r>
        <w:r w:rsidR="004B23E3" w:rsidRP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32" w:history="1">
        <w:r w:rsidR="004B23E3" w:rsidRPr="004B23E3">
          <w:rPr>
            <w:rStyle w:val="Hyperlink"/>
            <w:rFonts w:cs="Arial"/>
            <w:noProof/>
            <w:lang w:bidi="hi-IN"/>
          </w:rPr>
          <w:t>Figure 9: Mean domestic surface by ethnic group. MRA, 2001</w:t>
        </w:r>
        <w:r w:rsidR="004B23E3" w:rsidRPr="004B23E3">
          <w:rPr>
            <w:noProof/>
            <w:webHidden/>
          </w:rPr>
          <w:tab/>
        </w:r>
        <w:r w:rsidR="004B23E3" w:rsidRPr="004B23E3">
          <w:rPr>
            <w:noProof/>
            <w:webHidden/>
          </w:rPr>
          <w:fldChar w:fldCharType="begin"/>
        </w:r>
        <w:r w:rsidR="004B23E3" w:rsidRPr="004B23E3">
          <w:rPr>
            <w:noProof/>
            <w:webHidden/>
          </w:rPr>
          <w:instrText xml:space="preserve"> PAGEREF _Toc392505032 \h </w:instrText>
        </w:r>
        <w:r w:rsidR="004B23E3" w:rsidRPr="004B23E3">
          <w:rPr>
            <w:noProof/>
            <w:webHidden/>
          </w:rPr>
        </w:r>
        <w:r w:rsidR="004B23E3" w:rsidRPr="004B23E3">
          <w:rPr>
            <w:noProof/>
            <w:webHidden/>
          </w:rPr>
          <w:fldChar w:fldCharType="separate"/>
        </w:r>
        <w:r w:rsidR="002634D4">
          <w:rPr>
            <w:noProof/>
            <w:webHidden/>
          </w:rPr>
          <w:t>58</w:t>
        </w:r>
        <w:r w:rsidR="004B23E3" w:rsidRPr="004B23E3">
          <w:rPr>
            <w:noProof/>
            <w:webHidden/>
          </w:rPr>
          <w:fldChar w:fldCharType="end"/>
        </w:r>
      </w:hyperlink>
    </w:p>
    <w:p w:rsidR="00B35254" w:rsidRPr="00B35254" w:rsidRDefault="009403D2" w:rsidP="00F47AF1">
      <w:pPr>
        <w:pStyle w:val="a1"/>
        <w:spacing w:before="120" w:line="320" w:lineRule="atLeast"/>
        <w:jc w:val="both"/>
        <w:rPr>
          <w:rFonts w:ascii="Arial" w:hAnsi="Arial" w:cs="Arial"/>
          <w:sz w:val="22"/>
          <w:szCs w:val="22"/>
          <w:lang w:val="en-US"/>
        </w:rPr>
      </w:pPr>
      <w:r w:rsidRPr="00D93644">
        <w:rPr>
          <w:rFonts w:cs="Arial"/>
        </w:rPr>
        <w:fldChar w:fldCharType="end"/>
      </w:r>
    </w:p>
    <w:p w:rsidR="00956CB4" w:rsidRDefault="004B23E3" w:rsidP="004B23E3">
      <w:pPr>
        <w:pStyle w:val="ESPONSubtitle"/>
        <w:spacing w:after="0"/>
        <w:jc w:val="center"/>
        <w:rPr>
          <w:rFonts w:cs="Arial"/>
        </w:rPr>
      </w:pPr>
      <w:r>
        <w:rPr>
          <w:rFonts w:cs="Arial"/>
        </w:rPr>
        <w:lastRenderedPageBreak/>
        <w:t>MAPS</w:t>
      </w:r>
    </w:p>
    <w:p w:rsidR="004B23E3" w:rsidRDefault="004B23E3" w:rsidP="004B23E3">
      <w:pPr>
        <w:pStyle w:val="ESPONText"/>
        <w:rPr>
          <w:lang w:eastAsia="en-US"/>
        </w:rPr>
      </w:pPr>
    </w:p>
    <w:p w:rsidR="004B23E3" w:rsidRDefault="004B23E3">
      <w:pPr>
        <w:pStyle w:val="TableofFigures"/>
        <w:tabs>
          <w:tab w:val="right" w:pos="8302"/>
        </w:tabs>
        <w:rPr>
          <w:rFonts w:asciiTheme="minorHAnsi" w:eastAsiaTheme="minorEastAsia" w:hAnsiTheme="minorHAnsi" w:cstheme="minorBidi"/>
          <w:noProof/>
          <w:szCs w:val="22"/>
          <w:lang w:val="de-DE" w:eastAsia="de-DE"/>
        </w:rPr>
      </w:pPr>
      <w:r>
        <w:fldChar w:fldCharType="begin"/>
      </w:r>
      <w:r>
        <w:instrText xml:space="preserve"> TOC \h \z \c "Map" </w:instrText>
      </w:r>
      <w:r>
        <w:fldChar w:fldCharType="separate"/>
      </w:r>
      <w:hyperlink r:id="rId23" w:anchor="_Toc392505056" w:history="1">
        <w:r w:rsidRPr="007C26FF">
          <w:rPr>
            <w:rStyle w:val="Hyperlink"/>
            <w:noProof/>
          </w:rPr>
          <w:t>Map 1: Attiki in the context of the ESPON space</w:t>
        </w:r>
        <w:r>
          <w:rPr>
            <w:noProof/>
            <w:webHidden/>
          </w:rPr>
          <w:tab/>
        </w:r>
        <w:r>
          <w:rPr>
            <w:noProof/>
            <w:webHidden/>
          </w:rPr>
          <w:fldChar w:fldCharType="begin"/>
        </w:r>
        <w:r>
          <w:rPr>
            <w:noProof/>
            <w:webHidden/>
          </w:rPr>
          <w:instrText xml:space="preserve"> PAGEREF _Toc392505056 \h </w:instrText>
        </w:r>
        <w:r>
          <w:rPr>
            <w:noProof/>
            <w:webHidden/>
          </w:rPr>
        </w:r>
        <w:r>
          <w:rPr>
            <w:noProof/>
            <w:webHidden/>
          </w:rPr>
          <w:fldChar w:fldCharType="separate"/>
        </w:r>
        <w:r w:rsidR="002634D4">
          <w:rPr>
            <w:noProof/>
            <w:webHidden/>
          </w:rPr>
          <w:t>1</w:t>
        </w:r>
        <w:r>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57" w:history="1">
        <w:r w:rsidR="004B23E3" w:rsidRPr="007C26FF">
          <w:rPr>
            <w:rStyle w:val="Hyperlink"/>
            <w:noProof/>
          </w:rPr>
          <w:t xml:space="preserve">Map 2: </w:t>
        </w:r>
        <w:r w:rsidR="004B23E3" w:rsidRPr="007C26FF">
          <w:rPr>
            <w:rStyle w:val="Hyperlink"/>
            <w:noProof/>
            <w:shd w:val="clear" w:color="auto" w:fill="FFFFFF"/>
            <w:lang w:val="en-US"/>
          </w:rPr>
          <w:t>Population density by 1km GRID cell MRA, 2001</w:t>
        </w:r>
        <w:r w:rsidR="004B23E3">
          <w:rPr>
            <w:noProof/>
            <w:webHidden/>
          </w:rPr>
          <w:tab/>
        </w:r>
        <w:r w:rsidR="004B23E3">
          <w:rPr>
            <w:noProof/>
            <w:webHidden/>
          </w:rPr>
          <w:fldChar w:fldCharType="begin"/>
        </w:r>
        <w:r w:rsidR="004B23E3">
          <w:rPr>
            <w:noProof/>
            <w:webHidden/>
          </w:rPr>
          <w:instrText xml:space="preserve"> PAGEREF _Toc392505057 \h </w:instrText>
        </w:r>
        <w:r w:rsidR="004B23E3">
          <w:rPr>
            <w:noProof/>
            <w:webHidden/>
          </w:rPr>
        </w:r>
        <w:r w:rsidR="004B23E3">
          <w:rPr>
            <w:noProof/>
            <w:webHidden/>
          </w:rPr>
          <w:fldChar w:fldCharType="separate"/>
        </w:r>
        <w:r w:rsidR="002634D4">
          <w:rPr>
            <w:noProof/>
            <w:webHidden/>
          </w:rPr>
          <w:t>4</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r:id="rId24" w:anchor="_Toc392505058" w:history="1">
        <w:r w:rsidR="004B23E3" w:rsidRPr="007C26FF">
          <w:rPr>
            <w:rStyle w:val="Hyperlink"/>
            <w:noProof/>
          </w:rPr>
          <w:t>Map 3:</w:t>
        </w:r>
        <w:r w:rsidR="004B23E3" w:rsidRPr="007C26FF">
          <w:rPr>
            <w:rStyle w:val="Hyperlink"/>
            <w:rFonts w:cs="Arial"/>
            <w:noProof/>
            <w:shd w:val="clear" w:color="auto" w:fill="FFFFFF"/>
            <w:lang w:val="en-US"/>
          </w:rPr>
          <w:t xml:space="preserve"> Main land use by 1km GRID cell, region of Attiki</w:t>
        </w:r>
        <w:r w:rsidR="004B23E3">
          <w:rPr>
            <w:noProof/>
            <w:webHidden/>
          </w:rPr>
          <w:tab/>
        </w:r>
        <w:r w:rsidR="004B23E3">
          <w:rPr>
            <w:noProof/>
            <w:webHidden/>
          </w:rPr>
          <w:fldChar w:fldCharType="begin"/>
        </w:r>
        <w:r w:rsidR="004B23E3">
          <w:rPr>
            <w:noProof/>
            <w:webHidden/>
          </w:rPr>
          <w:instrText xml:space="preserve"> PAGEREF _Toc392505058 \h </w:instrText>
        </w:r>
        <w:r w:rsidR="004B23E3">
          <w:rPr>
            <w:noProof/>
            <w:webHidden/>
          </w:rPr>
        </w:r>
        <w:r w:rsidR="004B23E3">
          <w:rPr>
            <w:noProof/>
            <w:webHidden/>
          </w:rPr>
          <w:fldChar w:fldCharType="separate"/>
        </w:r>
        <w:r w:rsidR="002634D4">
          <w:rPr>
            <w:noProof/>
            <w:webHidden/>
          </w:rPr>
          <w:t>5</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59" w:history="1">
        <w:r w:rsidR="004B23E3" w:rsidRPr="007C26FF">
          <w:rPr>
            <w:rStyle w:val="Hyperlink"/>
            <w:noProof/>
          </w:rPr>
          <w:t>Map 4: Immigrant residents per 1km grid cell, MRA, 2001</w:t>
        </w:r>
        <w:r w:rsidR="004B23E3">
          <w:rPr>
            <w:noProof/>
            <w:webHidden/>
          </w:rPr>
          <w:tab/>
        </w:r>
        <w:r w:rsidR="004B23E3">
          <w:rPr>
            <w:noProof/>
            <w:webHidden/>
          </w:rPr>
          <w:fldChar w:fldCharType="begin"/>
        </w:r>
        <w:r w:rsidR="004B23E3">
          <w:rPr>
            <w:noProof/>
            <w:webHidden/>
          </w:rPr>
          <w:instrText xml:space="preserve"> PAGEREF _Toc392505059 \h </w:instrText>
        </w:r>
        <w:r w:rsidR="004B23E3">
          <w:rPr>
            <w:noProof/>
            <w:webHidden/>
          </w:rPr>
        </w:r>
        <w:r w:rsidR="004B23E3">
          <w:rPr>
            <w:noProof/>
            <w:webHidden/>
          </w:rPr>
          <w:fldChar w:fldCharType="separate"/>
        </w:r>
        <w:r w:rsidR="002634D4">
          <w:rPr>
            <w:noProof/>
            <w:webHidden/>
          </w:rPr>
          <w:t>16</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60" w:history="1">
        <w:r w:rsidR="004B23E3" w:rsidRPr="007C26FF">
          <w:rPr>
            <w:rStyle w:val="Hyperlink"/>
            <w:noProof/>
          </w:rPr>
          <w:t>Map 5: SEG 1 residents per 1km grid cell, MRA, 2001</w:t>
        </w:r>
        <w:r w:rsidR="004B23E3">
          <w:rPr>
            <w:noProof/>
            <w:webHidden/>
          </w:rPr>
          <w:tab/>
        </w:r>
        <w:r w:rsidR="004B23E3">
          <w:rPr>
            <w:noProof/>
            <w:webHidden/>
          </w:rPr>
          <w:fldChar w:fldCharType="begin"/>
        </w:r>
        <w:r w:rsidR="004B23E3">
          <w:rPr>
            <w:noProof/>
            <w:webHidden/>
          </w:rPr>
          <w:instrText xml:space="preserve"> PAGEREF _Toc392505060 \h </w:instrText>
        </w:r>
        <w:r w:rsidR="004B23E3">
          <w:rPr>
            <w:noProof/>
            <w:webHidden/>
          </w:rPr>
        </w:r>
        <w:r w:rsidR="004B23E3">
          <w:rPr>
            <w:noProof/>
            <w:webHidden/>
          </w:rPr>
          <w:fldChar w:fldCharType="separate"/>
        </w:r>
        <w:r w:rsidR="002634D4">
          <w:rPr>
            <w:noProof/>
            <w:webHidden/>
          </w:rPr>
          <w:t>16</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61" w:history="1">
        <w:r w:rsidR="004B23E3" w:rsidRPr="007C26FF">
          <w:rPr>
            <w:rStyle w:val="Hyperlink"/>
            <w:noProof/>
          </w:rPr>
          <w:t>Map 6: SEG 2 residents per 1km grid cell, MRA, 2001</w:t>
        </w:r>
        <w:r w:rsidR="004B23E3">
          <w:rPr>
            <w:noProof/>
            <w:webHidden/>
          </w:rPr>
          <w:tab/>
        </w:r>
        <w:r w:rsidR="004B23E3">
          <w:rPr>
            <w:noProof/>
            <w:webHidden/>
          </w:rPr>
          <w:fldChar w:fldCharType="begin"/>
        </w:r>
        <w:r w:rsidR="004B23E3">
          <w:rPr>
            <w:noProof/>
            <w:webHidden/>
          </w:rPr>
          <w:instrText xml:space="preserve"> PAGEREF _Toc392505061 \h </w:instrText>
        </w:r>
        <w:r w:rsidR="004B23E3">
          <w:rPr>
            <w:noProof/>
            <w:webHidden/>
          </w:rPr>
        </w:r>
        <w:r w:rsidR="004B23E3">
          <w:rPr>
            <w:noProof/>
            <w:webHidden/>
          </w:rPr>
          <w:fldChar w:fldCharType="separate"/>
        </w:r>
        <w:r w:rsidR="002634D4">
          <w:rPr>
            <w:noProof/>
            <w:webHidden/>
          </w:rPr>
          <w:t>17</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62" w:history="1">
        <w:r w:rsidR="004B23E3" w:rsidRPr="007C26FF">
          <w:rPr>
            <w:rStyle w:val="Hyperlink"/>
            <w:noProof/>
          </w:rPr>
          <w:t xml:space="preserve">Map 7: </w:t>
        </w:r>
        <w:r w:rsidR="004B23E3" w:rsidRPr="007C26FF">
          <w:rPr>
            <w:rStyle w:val="Hyperlink"/>
            <w:rFonts w:cs="Arial"/>
            <w:noProof/>
          </w:rPr>
          <w:t>SEG 3 residents per 1km grid cell, MRA, 2001</w:t>
        </w:r>
        <w:r w:rsidR="004B23E3">
          <w:rPr>
            <w:noProof/>
            <w:webHidden/>
          </w:rPr>
          <w:tab/>
        </w:r>
        <w:r w:rsidR="004B23E3">
          <w:rPr>
            <w:noProof/>
            <w:webHidden/>
          </w:rPr>
          <w:fldChar w:fldCharType="begin"/>
        </w:r>
        <w:r w:rsidR="004B23E3">
          <w:rPr>
            <w:noProof/>
            <w:webHidden/>
          </w:rPr>
          <w:instrText xml:space="preserve"> PAGEREF _Toc392505062 \h </w:instrText>
        </w:r>
        <w:r w:rsidR="004B23E3">
          <w:rPr>
            <w:noProof/>
            <w:webHidden/>
          </w:rPr>
        </w:r>
        <w:r w:rsidR="004B23E3">
          <w:rPr>
            <w:noProof/>
            <w:webHidden/>
          </w:rPr>
          <w:fldChar w:fldCharType="separate"/>
        </w:r>
        <w:r w:rsidR="002634D4">
          <w:rPr>
            <w:noProof/>
            <w:webHidden/>
          </w:rPr>
          <w:t>17</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63" w:history="1">
        <w:r w:rsidR="004B23E3" w:rsidRPr="007C26FF">
          <w:rPr>
            <w:rStyle w:val="Hyperlink"/>
            <w:noProof/>
          </w:rPr>
          <w:t>Map 8: SEG 4 residents per 1km grid cell, MRA, 2001</w:t>
        </w:r>
        <w:r w:rsidR="004B23E3">
          <w:rPr>
            <w:noProof/>
            <w:webHidden/>
          </w:rPr>
          <w:tab/>
        </w:r>
        <w:r w:rsidR="004B23E3">
          <w:rPr>
            <w:noProof/>
            <w:webHidden/>
          </w:rPr>
          <w:fldChar w:fldCharType="begin"/>
        </w:r>
        <w:r w:rsidR="004B23E3">
          <w:rPr>
            <w:noProof/>
            <w:webHidden/>
          </w:rPr>
          <w:instrText xml:space="preserve"> PAGEREF _Toc392505063 \h </w:instrText>
        </w:r>
        <w:r w:rsidR="004B23E3">
          <w:rPr>
            <w:noProof/>
            <w:webHidden/>
          </w:rPr>
        </w:r>
        <w:r w:rsidR="004B23E3">
          <w:rPr>
            <w:noProof/>
            <w:webHidden/>
          </w:rPr>
          <w:fldChar w:fldCharType="separate"/>
        </w:r>
        <w:r w:rsidR="002634D4">
          <w:rPr>
            <w:noProof/>
            <w:webHidden/>
          </w:rPr>
          <w:t>18</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64" w:history="1">
        <w:r w:rsidR="004B23E3" w:rsidRPr="007C26FF">
          <w:rPr>
            <w:rStyle w:val="Hyperlink"/>
            <w:noProof/>
          </w:rPr>
          <w:t>Map 9: SEG 5 residents per 1km grid cell, MRA, 2001</w:t>
        </w:r>
        <w:r w:rsidR="004B23E3">
          <w:rPr>
            <w:noProof/>
            <w:webHidden/>
          </w:rPr>
          <w:tab/>
        </w:r>
        <w:r w:rsidR="004B23E3">
          <w:rPr>
            <w:noProof/>
            <w:webHidden/>
          </w:rPr>
          <w:fldChar w:fldCharType="begin"/>
        </w:r>
        <w:r w:rsidR="004B23E3">
          <w:rPr>
            <w:noProof/>
            <w:webHidden/>
          </w:rPr>
          <w:instrText xml:space="preserve"> PAGEREF _Toc392505064 \h </w:instrText>
        </w:r>
        <w:r w:rsidR="004B23E3">
          <w:rPr>
            <w:noProof/>
            <w:webHidden/>
          </w:rPr>
        </w:r>
        <w:r w:rsidR="004B23E3">
          <w:rPr>
            <w:noProof/>
            <w:webHidden/>
          </w:rPr>
          <w:fldChar w:fldCharType="separate"/>
        </w:r>
        <w:r w:rsidR="002634D4">
          <w:rPr>
            <w:noProof/>
            <w:webHidden/>
          </w:rPr>
          <w:t>18</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65" w:history="1">
        <w:r w:rsidR="004B23E3" w:rsidRPr="007C26FF">
          <w:rPr>
            <w:rStyle w:val="Hyperlink"/>
            <w:noProof/>
          </w:rPr>
          <w:t xml:space="preserve">Map 10: </w:t>
        </w:r>
        <w:r w:rsidR="004B23E3" w:rsidRPr="007C26FF">
          <w:rPr>
            <w:rStyle w:val="Hyperlink"/>
            <w:rFonts w:cs="Arial"/>
            <w:noProof/>
          </w:rPr>
          <w:t>At-risk-of poverty in the Greek NUTS III Regions, 2001</w:t>
        </w:r>
        <w:r w:rsidR="004B23E3">
          <w:rPr>
            <w:noProof/>
            <w:webHidden/>
          </w:rPr>
          <w:tab/>
        </w:r>
        <w:r w:rsidR="004B23E3">
          <w:rPr>
            <w:noProof/>
            <w:webHidden/>
          </w:rPr>
          <w:fldChar w:fldCharType="begin"/>
        </w:r>
        <w:r w:rsidR="004B23E3">
          <w:rPr>
            <w:noProof/>
            <w:webHidden/>
          </w:rPr>
          <w:instrText xml:space="preserve"> PAGEREF _Toc392505065 \h </w:instrText>
        </w:r>
        <w:r w:rsidR="004B23E3">
          <w:rPr>
            <w:noProof/>
            <w:webHidden/>
          </w:rPr>
        </w:r>
        <w:r w:rsidR="004B23E3">
          <w:rPr>
            <w:noProof/>
            <w:webHidden/>
          </w:rPr>
          <w:fldChar w:fldCharType="separate"/>
        </w:r>
        <w:r w:rsidR="002634D4">
          <w:rPr>
            <w:noProof/>
            <w:webHidden/>
          </w:rPr>
          <w:t>43</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66" w:history="1">
        <w:r w:rsidR="004B23E3" w:rsidRPr="007C26FF">
          <w:rPr>
            <w:rStyle w:val="Hyperlink"/>
            <w:noProof/>
          </w:rPr>
          <w:t xml:space="preserve">Map 11: </w:t>
        </w:r>
        <w:r w:rsidR="004B23E3" w:rsidRPr="007C26FF">
          <w:rPr>
            <w:rStyle w:val="Hyperlink"/>
            <w:rFonts w:cs="Arial"/>
            <w:noProof/>
          </w:rPr>
          <w:t>Percentage of immigrant population per 1km grid cell. MRA 2001</w:t>
        </w:r>
        <w:r w:rsidR="004B23E3">
          <w:rPr>
            <w:noProof/>
            <w:webHidden/>
          </w:rPr>
          <w:tab/>
        </w:r>
        <w:r w:rsidR="004B23E3">
          <w:rPr>
            <w:noProof/>
            <w:webHidden/>
          </w:rPr>
          <w:fldChar w:fldCharType="begin"/>
        </w:r>
        <w:r w:rsidR="004B23E3">
          <w:rPr>
            <w:noProof/>
            <w:webHidden/>
          </w:rPr>
          <w:instrText xml:space="preserve"> PAGEREF _Toc392505066 \h </w:instrText>
        </w:r>
        <w:r w:rsidR="004B23E3">
          <w:rPr>
            <w:noProof/>
            <w:webHidden/>
          </w:rPr>
        </w:r>
        <w:r w:rsidR="004B23E3">
          <w:rPr>
            <w:noProof/>
            <w:webHidden/>
          </w:rPr>
          <w:fldChar w:fldCharType="separate"/>
        </w:r>
        <w:r w:rsidR="002634D4">
          <w:rPr>
            <w:noProof/>
            <w:webHidden/>
          </w:rPr>
          <w:t>65</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67" w:history="1">
        <w:r w:rsidR="004B23E3" w:rsidRPr="007C26FF">
          <w:rPr>
            <w:rStyle w:val="Hyperlink"/>
            <w:noProof/>
          </w:rPr>
          <w:t xml:space="preserve">Map 12: </w:t>
        </w:r>
        <w:r w:rsidR="004B23E3" w:rsidRPr="007C26FF">
          <w:rPr>
            <w:rStyle w:val="Hyperlink"/>
            <w:rFonts w:cs="Arial"/>
            <w:noProof/>
          </w:rPr>
          <w:t>Percentage of SEG 1 population per 1km grid cell. MRA 2001</w:t>
        </w:r>
        <w:r w:rsidR="004B23E3">
          <w:rPr>
            <w:noProof/>
            <w:webHidden/>
          </w:rPr>
          <w:tab/>
        </w:r>
        <w:r w:rsidR="004B23E3">
          <w:rPr>
            <w:noProof/>
            <w:webHidden/>
          </w:rPr>
          <w:fldChar w:fldCharType="begin"/>
        </w:r>
        <w:r w:rsidR="004B23E3">
          <w:rPr>
            <w:noProof/>
            <w:webHidden/>
          </w:rPr>
          <w:instrText xml:space="preserve"> PAGEREF _Toc392505067 \h </w:instrText>
        </w:r>
        <w:r w:rsidR="004B23E3">
          <w:rPr>
            <w:noProof/>
            <w:webHidden/>
          </w:rPr>
        </w:r>
        <w:r w:rsidR="004B23E3">
          <w:rPr>
            <w:noProof/>
            <w:webHidden/>
          </w:rPr>
          <w:fldChar w:fldCharType="separate"/>
        </w:r>
        <w:r w:rsidR="002634D4">
          <w:rPr>
            <w:noProof/>
            <w:webHidden/>
          </w:rPr>
          <w:t>65</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68" w:history="1">
        <w:r w:rsidR="004B23E3" w:rsidRPr="007C26FF">
          <w:rPr>
            <w:rStyle w:val="Hyperlink"/>
            <w:noProof/>
          </w:rPr>
          <w:t xml:space="preserve">Map 13: </w:t>
        </w:r>
        <w:r w:rsidR="004B23E3" w:rsidRPr="007C26FF">
          <w:rPr>
            <w:rStyle w:val="Hyperlink"/>
            <w:rFonts w:cs="Arial"/>
            <w:noProof/>
          </w:rPr>
          <w:t>Percentage of SEG 2 population per 1km grid cell. MRA 2001</w:t>
        </w:r>
        <w:r w:rsidR="004B23E3">
          <w:rPr>
            <w:noProof/>
            <w:webHidden/>
          </w:rPr>
          <w:tab/>
        </w:r>
        <w:r w:rsidR="004B23E3">
          <w:rPr>
            <w:noProof/>
            <w:webHidden/>
          </w:rPr>
          <w:fldChar w:fldCharType="begin"/>
        </w:r>
        <w:r w:rsidR="004B23E3">
          <w:rPr>
            <w:noProof/>
            <w:webHidden/>
          </w:rPr>
          <w:instrText xml:space="preserve"> PAGEREF _Toc392505068 \h </w:instrText>
        </w:r>
        <w:r w:rsidR="004B23E3">
          <w:rPr>
            <w:noProof/>
            <w:webHidden/>
          </w:rPr>
        </w:r>
        <w:r w:rsidR="004B23E3">
          <w:rPr>
            <w:noProof/>
            <w:webHidden/>
          </w:rPr>
          <w:fldChar w:fldCharType="separate"/>
        </w:r>
        <w:r w:rsidR="002634D4">
          <w:rPr>
            <w:noProof/>
            <w:webHidden/>
          </w:rPr>
          <w:t>66</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69" w:history="1">
        <w:r w:rsidR="004B23E3" w:rsidRPr="007C26FF">
          <w:rPr>
            <w:rStyle w:val="Hyperlink"/>
            <w:noProof/>
          </w:rPr>
          <w:t xml:space="preserve">Map 14: </w:t>
        </w:r>
        <w:r w:rsidR="004B23E3" w:rsidRPr="007C26FF">
          <w:rPr>
            <w:rStyle w:val="Hyperlink"/>
            <w:rFonts w:cs="Arial"/>
            <w:noProof/>
          </w:rPr>
          <w:t>Percentage of SEG 3 population per 1km grid cell. MRA 2001</w:t>
        </w:r>
        <w:r w:rsidR="004B23E3">
          <w:rPr>
            <w:noProof/>
            <w:webHidden/>
          </w:rPr>
          <w:tab/>
        </w:r>
        <w:r w:rsidR="004B23E3">
          <w:rPr>
            <w:noProof/>
            <w:webHidden/>
          </w:rPr>
          <w:fldChar w:fldCharType="begin"/>
        </w:r>
        <w:r w:rsidR="004B23E3">
          <w:rPr>
            <w:noProof/>
            <w:webHidden/>
          </w:rPr>
          <w:instrText xml:space="preserve"> PAGEREF _Toc392505069 \h </w:instrText>
        </w:r>
        <w:r w:rsidR="004B23E3">
          <w:rPr>
            <w:noProof/>
            <w:webHidden/>
          </w:rPr>
        </w:r>
        <w:r w:rsidR="004B23E3">
          <w:rPr>
            <w:noProof/>
            <w:webHidden/>
          </w:rPr>
          <w:fldChar w:fldCharType="separate"/>
        </w:r>
        <w:r w:rsidR="002634D4">
          <w:rPr>
            <w:noProof/>
            <w:webHidden/>
          </w:rPr>
          <w:t>66</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70" w:history="1">
        <w:r w:rsidR="004B23E3" w:rsidRPr="007C26FF">
          <w:rPr>
            <w:rStyle w:val="Hyperlink"/>
            <w:noProof/>
          </w:rPr>
          <w:t>Map 15: Percentage of SEG 4 population per 1km grid cell. MRA 2001</w:t>
        </w:r>
        <w:r w:rsidR="004B23E3">
          <w:rPr>
            <w:noProof/>
            <w:webHidden/>
          </w:rPr>
          <w:tab/>
        </w:r>
        <w:r w:rsidR="004B23E3">
          <w:rPr>
            <w:noProof/>
            <w:webHidden/>
          </w:rPr>
          <w:fldChar w:fldCharType="begin"/>
        </w:r>
        <w:r w:rsidR="004B23E3">
          <w:rPr>
            <w:noProof/>
            <w:webHidden/>
          </w:rPr>
          <w:instrText xml:space="preserve"> PAGEREF _Toc392505070 \h </w:instrText>
        </w:r>
        <w:r w:rsidR="004B23E3">
          <w:rPr>
            <w:noProof/>
            <w:webHidden/>
          </w:rPr>
        </w:r>
        <w:r w:rsidR="004B23E3">
          <w:rPr>
            <w:noProof/>
            <w:webHidden/>
          </w:rPr>
          <w:fldChar w:fldCharType="separate"/>
        </w:r>
        <w:r w:rsidR="002634D4">
          <w:rPr>
            <w:noProof/>
            <w:webHidden/>
          </w:rPr>
          <w:t>67</w:t>
        </w:r>
        <w:r w:rsidR="004B23E3">
          <w:rPr>
            <w:noProof/>
            <w:webHidden/>
          </w:rPr>
          <w:fldChar w:fldCharType="end"/>
        </w:r>
      </w:hyperlink>
    </w:p>
    <w:p w:rsidR="004B23E3" w:rsidRDefault="00CC1B00">
      <w:pPr>
        <w:pStyle w:val="TableofFigures"/>
        <w:tabs>
          <w:tab w:val="right" w:pos="8302"/>
        </w:tabs>
        <w:rPr>
          <w:rFonts w:asciiTheme="minorHAnsi" w:eastAsiaTheme="minorEastAsia" w:hAnsiTheme="minorHAnsi" w:cstheme="minorBidi"/>
          <w:noProof/>
          <w:szCs w:val="22"/>
          <w:lang w:val="de-DE" w:eastAsia="de-DE"/>
        </w:rPr>
      </w:pPr>
      <w:hyperlink w:anchor="_Toc392505071" w:history="1">
        <w:r w:rsidR="004B23E3" w:rsidRPr="007C26FF">
          <w:rPr>
            <w:rStyle w:val="Hyperlink"/>
            <w:noProof/>
          </w:rPr>
          <w:t xml:space="preserve">Map 16: </w:t>
        </w:r>
        <w:r w:rsidR="004B23E3" w:rsidRPr="007C26FF">
          <w:rPr>
            <w:rStyle w:val="Hyperlink"/>
            <w:rFonts w:cs="Arial"/>
            <w:noProof/>
          </w:rPr>
          <w:t>Percentage of SEG 5 population per 1km grid cell. MRA 2001</w:t>
        </w:r>
        <w:r w:rsidR="004B23E3">
          <w:rPr>
            <w:noProof/>
            <w:webHidden/>
          </w:rPr>
          <w:tab/>
        </w:r>
        <w:r w:rsidR="004B23E3">
          <w:rPr>
            <w:noProof/>
            <w:webHidden/>
          </w:rPr>
          <w:fldChar w:fldCharType="begin"/>
        </w:r>
        <w:r w:rsidR="004B23E3">
          <w:rPr>
            <w:noProof/>
            <w:webHidden/>
          </w:rPr>
          <w:instrText xml:space="preserve"> PAGEREF _Toc392505071 \h </w:instrText>
        </w:r>
        <w:r w:rsidR="004B23E3">
          <w:rPr>
            <w:noProof/>
            <w:webHidden/>
          </w:rPr>
        </w:r>
        <w:r w:rsidR="004B23E3">
          <w:rPr>
            <w:noProof/>
            <w:webHidden/>
          </w:rPr>
          <w:fldChar w:fldCharType="separate"/>
        </w:r>
        <w:r w:rsidR="002634D4">
          <w:rPr>
            <w:noProof/>
            <w:webHidden/>
          </w:rPr>
          <w:t>67</w:t>
        </w:r>
        <w:r w:rsidR="004B23E3">
          <w:rPr>
            <w:noProof/>
            <w:webHidden/>
          </w:rPr>
          <w:fldChar w:fldCharType="end"/>
        </w:r>
      </w:hyperlink>
    </w:p>
    <w:p w:rsidR="004B23E3" w:rsidRPr="004B23E3" w:rsidRDefault="004B23E3" w:rsidP="004B23E3">
      <w:pPr>
        <w:pStyle w:val="ESPONText"/>
        <w:rPr>
          <w:lang w:eastAsia="en-US"/>
        </w:rPr>
      </w:pPr>
      <w:r>
        <w:rPr>
          <w:lang w:eastAsia="en-US"/>
        </w:rPr>
        <w:fldChar w:fldCharType="end"/>
      </w:r>
    </w:p>
    <w:p w:rsidR="00261332" w:rsidRPr="00D93644" w:rsidRDefault="00261332" w:rsidP="00261332">
      <w:pPr>
        <w:pStyle w:val="Heading1"/>
        <w:numPr>
          <w:ilvl w:val="0"/>
          <w:numId w:val="0"/>
        </w:numPr>
        <w:jc w:val="center"/>
        <w:rPr>
          <w:rFonts w:cs="Arial"/>
        </w:rPr>
      </w:pPr>
      <w:r w:rsidRPr="00D93644">
        <w:rPr>
          <w:rFonts w:cs="Arial"/>
        </w:rPr>
        <w:br w:type="column"/>
      </w:r>
      <w:bookmarkStart w:id="2" w:name="_Toc386013192"/>
      <w:r w:rsidRPr="00D93644">
        <w:rPr>
          <w:rFonts w:cs="Arial"/>
        </w:rPr>
        <w:lastRenderedPageBreak/>
        <w:t xml:space="preserve">Executive </w:t>
      </w:r>
      <w:r w:rsidR="00724794">
        <w:rPr>
          <w:rFonts w:cs="Arial"/>
        </w:rPr>
        <w:t>s</w:t>
      </w:r>
      <w:r w:rsidRPr="00D93644">
        <w:rPr>
          <w:rFonts w:cs="Arial"/>
        </w:rPr>
        <w:t>ummary</w:t>
      </w:r>
      <w:bookmarkEnd w:id="2"/>
    </w:p>
    <w:p w:rsidR="00D17971" w:rsidRPr="00D93644" w:rsidRDefault="00D17971" w:rsidP="00D17971">
      <w:pPr>
        <w:rPr>
          <w:rFonts w:cs="Arial"/>
        </w:rPr>
      </w:pPr>
    </w:p>
    <w:p w:rsidR="00D17971" w:rsidRPr="00D93644" w:rsidRDefault="00D17971" w:rsidP="00645140">
      <w:pPr>
        <w:pStyle w:val="ESPONText"/>
        <w:tabs>
          <w:tab w:val="left" w:pos="9072"/>
        </w:tabs>
        <w:spacing w:before="120" w:after="0" w:line="276" w:lineRule="auto"/>
        <w:rPr>
          <w:rFonts w:cs="Arial"/>
          <w:color w:val="000000"/>
          <w:lang w:val="en-US"/>
        </w:rPr>
      </w:pPr>
      <w:r w:rsidRPr="00D93644">
        <w:rPr>
          <w:rFonts w:cs="Arial"/>
        </w:rPr>
        <w:t xml:space="preserve">The focus of the present case study is on the </w:t>
      </w:r>
      <w:r w:rsidRPr="00D93644">
        <w:rPr>
          <w:rFonts w:cs="Arial"/>
          <w:color w:val="000000"/>
          <w:lang w:val="en-US"/>
        </w:rPr>
        <w:t xml:space="preserve">the relationship between poverty/social exclusion and the urban segregation pattern and processes in the </w:t>
      </w:r>
      <w:r w:rsidRPr="00D93644">
        <w:rPr>
          <w:rFonts w:cs="Arial"/>
        </w:rPr>
        <w:t>Metropolitan Region of Attiki (</w:t>
      </w:r>
      <w:r w:rsidRPr="00D93644">
        <w:rPr>
          <w:rFonts w:cs="Arial"/>
          <w:color w:val="000000"/>
          <w:lang w:val="en-US"/>
        </w:rPr>
        <w:t xml:space="preserve">MRA). Although the interconnections between segregation and patterns of </w:t>
      </w:r>
      <w:r w:rsidR="009E59D6">
        <w:rPr>
          <w:rFonts w:cs="Arial"/>
          <w:color w:val="000000"/>
          <w:lang w:val="en-US"/>
        </w:rPr>
        <w:t>social inequalities</w:t>
      </w:r>
      <w:r w:rsidRPr="00D93644">
        <w:rPr>
          <w:rFonts w:cs="Arial"/>
          <w:color w:val="000000"/>
          <w:lang w:val="en-US"/>
        </w:rPr>
        <w:t xml:space="preserve"> are the theme of a vast literature, this relationship needs to be placed in the socioeconomic and spatial context of the Region, so that any generalizations are informed by the specific dynamics of poverty and social exclusion.</w:t>
      </w:r>
    </w:p>
    <w:p w:rsidR="00D17971" w:rsidRPr="00D93644" w:rsidRDefault="00D17971" w:rsidP="00645140">
      <w:pPr>
        <w:pStyle w:val="ESPONText"/>
        <w:tabs>
          <w:tab w:val="left" w:pos="9072"/>
        </w:tabs>
        <w:spacing w:before="120" w:after="0" w:line="276" w:lineRule="auto"/>
        <w:rPr>
          <w:rFonts w:cs="Arial"/>
        </w:rPr>
      </w:pPr>
      <w:r w:rsidRPr="00D93644">
        <w:rPr>
          <w:rFonts w:cs="Arial"/>
          <w:color w:val="000000"/>
          <w:lang w:val="en-US"/>
        </w:rPr>
        <w:t>MRA</w:t>
      </w:r>
      <w:r w:rsidRPr="00D93644">
        <w:rPr>
          <w:rFonts w:cs="Arial"/>
        </w:rPr>
        <w:t xml:space="preserve"> exhibited high development rates in the 1990s and the early 2000s, before the current economic crisis. Those development rates were supported by the EU funding and were based on a circuit comprising the construction sector (especially the construction of large projects and transport infrastructure) and investments in the by then liberalized banking, telecommunications and media sectors. However, income inequalities persisted</w:t>
      </w:r>
      <w:r w:rsidR="009E59D6">
        <w:rPr>
          <w:rFonts w:cs="Arial"/>
        </w:rPr>
        <w:t>,</w:t>
      </w:r>
      <w:r w:rsidRPr="00D93644">
        <w:rPr>
          <w:rFonts w:cs="Arial"/>
        </w:rPr>
        <w:t xml:space="preserve"> as this was a by and large jobless growth and because employment in Greece is hardly a safeguard against poverty. For example, in 2006 the rate of at-risk-of poverty employed persons was twice bigger than the EU15 average.</w:t>
      </w:r>
    </w:p>
    <w:p w:rsidR="00D17971" w:rsidRPr="00D93644" w:rsidRDefault="00D17971" w:rsidP="00645140">
      <w:pPr>
        <w:pStyle w:val="ESPONText"/>
        <w:tabs>
          <w:tab w:val="left" w:pos="9072"/>
        </w:tabs>
        <w:spacing w:before="120" w:after="0" w:line="276" w:lineRule="auto"/>
        <w:rPr>
          <w:rFonts w:cs="Arial"/>
        </w:rPr>
      </w:pPr>
      <w:r w:rsidRPr="00D93644">
        <w:rPr>
          <w:rFonts w:cs="Arial"/>
        </w:rPr>
        <w:t xml:space="preserve">During the current period of the sovereign debt crisis and the austerity policy implemented under the Memorandum between the Greek governments and the troika (IMF-EU-ECB), one can already see the Regional unemployment rate rising dramatically and a not unimportant increase of the at-risk-of-poverty rate. </w:t>
      </w:r>
      <w:r w:rsidR="009E59D6">
        <w:rPr>
          <w:rFonts w:cs="Arial"/>
        </w:rPr>
        <w:t xml:space="preserve">Already vulnerable groups are reasonably more exposed, albeit new forms of poverty/social exclusion occur, affecting social groups that </w:t>
      </w:r>
      <w:r w:rsidR="006C3892">
        <w:rPr>
          <w:rFonts w:cs="Arial"/>
        </w:rPr>
        <w:t>were used to better life standards and chances.</w:t>
      </w:r>
    </w:p>
    <w:p w:rsidR="00D17971" w:rsidRPr="00D93644" w:rsidRDefault="006C3892" w:rsidP="00645140">
      <w:pPr>
        <w:pStyle w:val="ESPONText"/>
        <w:tabs>
          <w:tab w:val="left" w:pos="9072"/>
        </w:tabs>
        <w:spacing w:before="120" w:after="0" w:line="276" w:lineRule="auto"/>
        <w:rPr>
          <w:rFonts w:cs="Arial"/>
        </w:rPr>
      </w:pPr>
      <w:r>
        <w:rPr>
          <w:rFonts w:cs="Arial"/>
        </w:rPr>
        <w:t>Apart from the cycle of economic boom, crisis and recession, t</w:t>
      </w:r>
      <w:r w:rsidR="00D17971" w:rsidRPr="00D93644">
        <w:rPr>
          <w:rFonts w:cs="Arial"/>
        </w:rPr>
        <w:t xml:space="preserve">he regional context of MRA consists of at least two other important elements. On the one hand, the high rate of incoming immigration since the early 1990s. The immigrants’ integration model is one of poor policy intervention, based crucially on their employment in the shadow economy and their access to affordable housing in the private rented sector. On the other hand, the housing market has been historically characterized by important inequalities in housing conditions, but at the same time by low levels of residential segregation. </w:t>
      </w:r>
    </w:p>
    <w:p w:rsidR="00D17971" w:rsidRPr="00D93644" w:rsidRDefault="00D17971" w:rsidP="00645140">
      <w:pPr>
        <w:pStyle w:val="ESPONText"/>
        <w:tabs>
          <w:tab w:val="left" w:pos="9072"/>
        </w:tabs>
        <w:spacing w:before="120" w:after="0" w:line="276" w:lineRule="auto"/>
        <w:rPr>
          <w:rFonts w:cs="Arial"/>
        </w:rPr>
      </w:pPr>
      <w:r w:rsidRPr="00D93644">
        <w:rPr>
          <w:rFonts w:cs="Arial"/>
        </w:rPr>
        <w:t>We deal with the historical background of the relationship between urban segregation and processes of povertization and social exclusion in the part of the in-depth analysis</w:t>
      </w:r>
      <w:r w:rsidR="00F773F3">
        <w:rPr>
          <w:rFonts w:cs="Arial"/>
        </w:rPr>
        <w:t xml:space="preserve"> of this report</w:t>
      </w:r>
      <w:r w:rsidRPr="00D93644">
        <w:rPr>
          <w:rFonts w:cs="Arial"/>
        </w:rPr>
        <w:t>. We also provide there some workable definitions of urban segregation, the indices we use to calculate its level and the affected groups, i.e. the ethnic groups of immigrant origin. After a short presentation of the multiple dimensions of the diversity of the immigrant population, the basic work for the analysis is the identification of different clusters of ethnic groups which we term socio-ethnic groups (SEGs) that share similar levels of exposure to poverty/social exclusion, according to latest available census data (2001).</w:t>
      </w:r>
    </w:p>
    <w:p w:rsidR="00D17971" w:rsidRPr="00D93644" w:rsidRDefault="00D17971" w:rsidP="00645140">
      <w:pPr>
        <w:pStyle w:val="ESPONText"/>
        <w:tabs>
          <w:tab w:val="left" w:pos="9072"/>
        </w:tabs>
        <w:spacing w:before="120" w:after="0" w:line="276" w:lineRule="auto"/>
        <w:rPr>
          <w:rFonts w:cs="Arial"/>
        </w:rPr>
      </w:pPr>
      <w:r w:rsidRPr="00D93644">
        <w:rPr>
          <w:rFonts w:cs="Arial"/>
        </w:rPr>
        <w:lastRenderedPageBreak/>
        <w:t xml:space="preserve">In the absence of data on income, we use two different indicators of poverty/social exclusion that serve as the dependent variables of the analysis. The first is the available domestic space per capita, as we consider overcrowding to be an important dimension of material deprivation. The second is the interaction between available domestic space per capita, tenure and the possession of heating equipment. That is because, in the Athenian context, access to home-ownership is an important indication of upward social mobility and integration and the lack of central heating is, on the other hand, a supplementary indication of material deprivation. </w:t>
      </w:r>
    </w:p>
    <w:p w:rsidR="00D17971" w:rsidRPr="00D93644" w:rsidRDefault="00D17971" w:rsidP="00645140">
      <w:pPr>
        <w:pStyle w:val="ESPONText"/>
        <w:tabs>
          <w:tab w:val="left" w:pos="9072"/>
        </w:tabs>
        <w:spacing w:before="120" w:after="0" w:line="276" w:lineRule="auto"/>
        <w:rPr>
          <w:rFonts w:cs="Arial"/>
        </w:rPr>
      </w:pPr>
      <w:r w:rsidRPr="00D93644">
        <w:rPr>
          <w:rFonts w:cs="Arial"/>
        </w:rPr>
        <w:t>We perform a regression analysis at the individual level using as indicators the variables of gender, age, household type, socioeconomic class (according to the ESeC scheme), education level and nationality. We find out that apart from the household type, nationality plays a ssignificant role in both models. Consequently, there seems to be a specifically ‘ethnic’ dimension of material deprivation and thus we then perform a tree discriminant analysis in order to identify a hierarchy of SEGs. We end up with a solution of 5 SEGs and then we examine the level of segregation of these SEGs along the five dimensions of segregation as proposed in the vast related literature. We also elaborate maps that represent the distribution of the SEGs in MRA.</w:t>
      </w:r>
    </w:p>
    <w:p w:rsidR="00D17971" w:rsidRPr="00D93644" w:rsidRDefault="00D17971" w:rsidP="00645140">
      <w:pPr>
        <w:pStyle w:val="ESPONText"/>
        <w:tabs>
          <w:tab w:val="left" w:pos="9072"/>
        </w:tabs>
        <w:spacing w:before="120" w:after="0" w:line="276" w:lineRule="auto"/>
        <w:rPr>
          <w:rFonts w:cs="Arial"/>
        </w:rPr>
      </w:pPr>
      <w:r w:rsidRPr="00D93644">
        <w:rPr>
          <w:rFonts w:cs="Arial"/>
        </w:rPr>
        <w:t>The basic conclusion is that there is no linear relationship between levels of segregation and exposure to poverty/social exclusion. First of all, all SEGs show low to moderate levels of residential segregation. Then, while it is true that the most segregated SEG 3 is at the same time the most deprived one, SEG 1 performs rather badly regarding deprivation measures but it is the least segregated SEG. Consequently, it becomes necessary to include in the analysis, apart from the findings at the meso-scale of the MRA, some reflections from the micro-processes at the micro level of the neighbourhood. There we can see that seemingly equal degrees of segregation may mean different levels of local inequalities, different levels of social polarization and social mobility prospects.</w:t>
      </w:r>
    </w:p>
    <w:p w:rsidR="00D17971" w:rsidRPr="00D93644" w:rsidRDefault="00D17971" w:rsidP="00645140">
      <w:pPr>
        <w:pStyle w:val="ESPONText"/>
        <w:tabs>
          <w:tab w:val="left" w:pos="9072"/>
        </w:tabs>
        <w:spacing w:before="120" w:after="0" w:line="276" w:lineRule="auto"/>
        <w:rPr>
          <w:rFonts w:cs="Arial"/>
        </w:rPr>
      </w:pPr>
      <w:r w:rsidRPr="00D93644">
        <w:rPr>
          <w:rFonts w:cs="Arial"/>
        </w:rPr>
        <w:t>Furthermore, in the context of a residual welfare state where social reproduction is substantially based on family relations, we claim that MRA faces certain major policy challenges:</w:t>
      </w:r>
    </w:p>
    <w:p w:rsidR="00D17971" w:rsidRPr="00D93644" w:rsidRDefault="00D17971" w:rsidP="00645140">
      <w:pPr>
        <w:pStyle w:val="ESPONText"/>
        <w:numPr>
          <w:ilvl w:val="0"/>
          <w:numId w:val="33"/>
        </w:numPr>
        <w:tabs>
          <w:tab w:val="left" w:pos="9072"/>
        </w:tabs>
        <w:spacing w:before="120" w:after="0" w:line="276" w:lineRule="auto"/>
        <w:rPr>
          <w:rFonts w:cs="Arial"/>
        </w:rPr>
      </w:pPr>
      <w:r w:rsidRPr="00D93644">
        <w:rPr>
          <w:rFonts w:cs="Arial"/>
        </w:rPr>
        <w:t>The transition from a centralized model of policy making to a model where more actors (</w:t>
      </w:r>
      <w:r w:rsidR="00667921" w:rsidRPr="00D93644">
        <w:rPr>
          <w:rFonts w:cs="Arial"/>
        </w:rPr>
        <w:t>like</w:t>
      </w:r>
      <w:r w:rsidRPr="00D93644">
        <w:rPr>
          <w:rFonts w:cs="Arial"/>
        </w:rPr>
        <w:t xml:space="preserve"> NGOs and private providers) are involved in policy making and welfare provision. This is not without contradictions and one interviewee mentions that it might lead to a fragmented and inefficient system of welfare provision.</w:t>
      </w:r>
    </w:p>
    <w:p w:rsidR="00D17971" w:rsidRPr="00D93644" w:rsidRDefault="00D17971" w:rsidP="00645140">
      <w:pPr>
        <w:pStyle w:val="ESPONText"/>
        <w:numPr>
          <w:ilvl w:val="0"/>
          <w:numId w:val="33"/>
        </w:numPr>
        <w:tabs>
          <w:tab w:val="left" w:pos="9072"/>
        </w:tabs>
        <w:spacing w:before="120" w:after="0" w:line="276" w:lineRule="auto"/>
        <w:rPr>
          <w:rFonts w:cs="Arial"/>
        </w:rPr>
      </w:pPr>
      <w:r w:rsidRPr="00D93644">
        <w:rPr>
          <w:rFonts w:cs="Arial"/>
        </w:rPr>
        <w:t>The need to elaborate area-based policies, while up to now the dominant tendency was to focus on sectoral policies (either for the general population or fo</w:t>
      </w:r>
      <w:r w:rsidR="00AC2579">
        <w:rPr>
          <w:rFonts w:cs="Arial"/>
        </w:rPr>
        <w:t>r</w:t>
      </w:r>
      <w:r w:rsidRPr="00D93644">
        <w:rPr>
          <w:rFonts w:cs="Arial"/>
        </w:rPr>
        <w:t xml:space="preserve"> specific population </w:t>
      </w:r>
      <w:r w:rsidR="00667921" w:rsidRPr="00D93644">
        <w:rPr>
          <w:rFonts w:cs="Arial"/>
        </w:rPr>
        <w:t>groups</w:t>
      </w:r>
      <w:r w:rsidRPr="00D93644">
        <w:rPr>
          <w:rFonts w:cs="Arial"/>
        </w:rPr>
        <w:t>, such as the unemployed, nuclear families, elderly people etc.), without being able to address poverty/social exclusion issues in specific localities.</w:t>
      </w:r>
    </w:p>
    <w:p w:rsidR="00D17971" w:rsidRPr="00D93644" w:rsidRDefault="00D17971" w:rsidP="00645140">
      <w:pPr>
        <w:pStyle w:val="ESPONText"/>
        <w:numPr>
          <w:ilvl w:val="0"/>
          <w:numId w:val="33"/>
        </w:numPr>
        <w:tabs>
          <w:tab w:val="left" w:pos="9072"/>
        </w:tabs>
        <w:spacing w:before="120" w:after="0" w:line="276" w:lineRule="auto"/>
        <w:rPr>
          <w:rFonts w:cs="Arial"/>
        </w:rPr>
      </w:pPr>
      <w:r w:rsidRPr="00D93644">
        <w:rPr>
          <w:rFonts w:cs="Arial"/>
        </w:rPr>
        <w:t xml:space="preserve">The lack of a consistent immigration policy and more specifically the issue of undocumented immigrants. New immigrants in MRA have today very limited opportunities to obtain any kind of legal residence. For this reason they are </w:t>
      </w:r>
      <w:r w:rsidRPr="00D93644">
        <w:rPr>
          <w:rFonts w:cs="Arial"/>
        </w:rPr>
        <w:lastRenderedPageBreak/>
        <w:t>extremely vulnerable and exposed to several forms of maltreatment. Concerning urban segregation, the issue of ‘illegality’ has as a consequence to treat the concentration of immigrants in specific places as a matter of security and public order than as an area for political intervention.</w:t>
      </w:r>
    </w:p>
    <w:p w:rsidR="00473821" w:rsidRPr="00D93644" w:rsidRDefault="00473821" w:rsidP="00727BDE">
      <w:pPr>
        <w:pStyle w:val="ESPONText"/>
        <w:tabs>
          <w:tab w:val="left" w:pos="9072"/>
        </w:tabs>
        <w:rPr>
          <w:rFonts w:cs="Arial"/>
        </w:rPr>
      </w:pPr>
    </w:p>
    <w:p w:rsidR="00205306" w:rsidRPr="00D93644" w:rsidRDefault="00205306" w:rsidP="00FA5813">
      <w:pPr>
        <w:pStyle w:val="Heading1"/>
        <w:numPr>
          <w:ilvl w:val="0"/>
          <w:numId w:val="0"/>
        </w:numPr>
        <w:jc w:val="center"/>
        <w:rPr>
          <w:rFonts w:cs="Arial"/>
        </w:rPr>
      </w:pPr>
    </w:p>
    <w:p w:rsidR="00261332" w:rsidRPr="00D93644" w:rsidRDefault="00261332" w:rsidP="00261332">
      <w:pPr>
        <w:rPr>
          <w:rFonts w:cs="Arial"/>
        </w:rPr>
      </w:pPr>
    </w:p>
    <w:p w:rsidR="00261332" w:rsidRPr="00D93644" w:rsidRDefault="00261332" w:rsidP="00261332">
      <w:pPr>
        <w:rPr>
          <w:rFonts w:cs="Arial"/>
        </w:rPr>
        <w:sectPr w:rsidR="00261332" w:rsidRPr="00D93644" w:rsidSect="00083086">
          <w:pgSz w:w="11906" w:h="16838"/>
          <w:pgMar w:top="1644" w:right="1797" w:bottom="1644" w:left="1797" w:header="720" w:footer="720" w:gutter="0"/>
          <w:pgNumType w:fmt="lowerRoman" w:start="3"/>
          <w:cols w:space="720"/>
          <w:docGrid w:linePitch="299"/>
        </w:sectPr>
      </w:pPr>
    </w:p>
    <w:p w:rsidR="00007B80" w:rsidRPr="00D93644" w:rsidRDefault="00261332" w:rsidP="00AC2579">
      <w:pPr>
        <w:pStyle w:val="Heading1"/>
        <w:tabs>
          <w:tab w:val="clear" w:pos="510"/>
          <w:tab w:val="num" w:pos="0"/>
        </w:tabs>
        <w:ind w:left="0" w:firstLine="0"/>
        <w:rPr>
          <w:rFonts w:cs="Arial"/>
          <w:noProof/>
        </w:rPr>
      </w:pPr>
      <w:bookmarkStart w:id="3" w:name="_Toc386013193"/>
      <w:r w:rsidRPr="00D93644">
        <w:rPr>
          <w:rFonts w:cs="Arial"/>
          <w:noProof/>
        </w:rPr>
        <w:lastRenderedPageBreak/>
        <w:t>The Regional Context</w:t>
      </w:r>
      <w:bookmarkEnd w:id="3"/>
    </w:p>
    <w:p w:rsidR="00536563" w:rsidRPr="00D93644" w:rsidRDefault="00536563" w:rsidP="00536563">
      <w:pPr>
        <w:rPr>
          <w:rFonts w:cs="Arial"/>
        </w:rPr>
      </w:pPr>
    </w:p>
    <w:p w:rsidR="00AC2579" w:rsidRDefault="007A4D19" w:rsidP="00AC2579">
      <w:pPr>
        <w:spacing w:line="276" w:lineRule="auto"/>
        <w:rPr>
          <w:rFonts w:cs="Arial"/>
          <w:lang w:val="en-US"/>
        </w:rPr>
      </w:pPr>
      <w:r w:rsidRPr="00D93644">
        <w:rPr>
          <w:rFonts w:cs="Arial"/>
          <w:lang w:val="en-US"/>
        </w:rPr>
        <w:t xml:space="preserve">The Region of Attiki counts today a </w:t>
      </w:r>
      <w:r w:rsidR="00A35964">
        <w:rPr>
          <w:rFonts w:cs="Arial"/>
          <w:lang w:val="en-US"/>
        </w:rPr>
        <w:t xml:space="preserve">resident </w:t>
      </w:r>
      <w:r w:rsidRPr="00D93644">
        <w:rPr>
          <w:rFonts w:cs="Arial"/>
          <w:lang w:val="en-US"/>
        </w:rPr>
        <w:t>population of around 3</w:t>
      </w:r>
      <w:r w:rsidR="00AC2579">
        <w:rPr>
          <w:rFonts w:cs="Arial"/>
          <w:lang w:val="en-US"/>
        </w:rPr>
        <w:t>.8 million inhabitants (see Table 1</w:t>
      </w:r>
      <w:r w:rsidRPr="00D93644">
        <w:rPr>
          <w:rFonts w:cs="Arial"/>
          <w:lang w:val="en-US"/>
        </w:rPr>
        <w:t>). The region’s population remained relatively stable between 2001-2011, against estimations by Eurostat for an increase from 3,904,292 to 4,113,979 during this period (Eurostat REGIO</w:t>
      </w:r>
      <w:r w:rsidR="00FF5D15">
        <w:rPr>
          <w:rFonts w:cs="Arial"/>
          <w:lang w:val="en-US"/>
        </w:rPr>
        <w:t xml:space="preserve"> </w:t>
      </w:r>
      <w:r w:rsidRPr="00D93644">
        <w:rPr>
          <w:rFonts w:cs="Arial"/>
          <w:lang w:val="en-US"/>
        </w:rPr>
        <w:t>database).</w:t>
      </w:r>
      <w:r w:rsidR="00A354D2">
        <w:rPr>
          <w:rFonts w:cs="Arial"/>
          <w:lang w:val="en-US"/>
        </w:rPr>
        <w:t xml:space="preserve"> At the same time, the Region experiences a continuous spatial restructuring, with Municipalities of the most urban are around the CBD losing population</w:t>
      </w:r>
      <w:r w:rsidR="00A35964">
        <w:rPr>
          <w:rFonts w:cs="Arial"/>
          <w:lang w:val="en-US"/>
        </w:rPr>
        <w:t>,</w:t>
      </w:r>
      <w:r w:rsidR="00A354D2">
        <w:rPr>
          <w:rFonts w:cs="Arial"/>
          <w:lang w:val="en-US"/>
        </w:rPr>
        <w:t xml:space="preserve"> </w:t>
      </w:r>
      <w:r w:rsidR="00AD6FBE">
        <w:rPr>
          <w:rFonts w:cs="Arial"/>
          <w:lang w:val="en-US"/>
        </w:rPr>
        <w:t xml:space="preserve">for the benefit </w:t>
      </w:r>
      <w:r w:rsidR="00A354D2">
        <w:rPr>
          <w:rFonts w:cs="Arial"/>
          <w:lang w:val="en-US"/>
        </w:rPr>
        <w:t xml:space="preserve">of </w:t>
      </w:r>
      <w:r w:rsidR="00AD6FBE">
        <w:rPr>
          <w:rFonts w:cs="Arial"/>
          <w:lang w:val="en-US"/>
        </w:rPr>
        <w:t xml:space="preserve">suburban and peripheral </w:t>
      </w:r>
      <w:r w:rsidR="00A354D2">
        <w:rPr>
          <w:rFonts w:cs="Arial"/>
          <w:lang w:val="en-US"/>
        </w:rPr>
        <w:t>Municipalities, especially those in the Northeastern part of the Region.</w:t>
      </w:r>
    </w:p>
    <w:p w:rsidR="007A4D19" w:rsidRPr="00D93644" w:rsidRDefault="004B23E3" w:rsidP="00AC2579">
      <w:pPr>
        <w:spacing w:line="276" w:lineRule="auto"/>
        <w:rPr>
          <w:rFonts w:cs="Arial"/>
        </w:rPr>
      </w:pPr>
      <w:r>
        <w:rPr>
          <w:noProof/>
          <w:lang w:val="fi-FI" w:eastAsia="fi-FI"/>
        </w:rPr>
        <mc:AlternateContent>
          <mc:Choice Requires="wps">
            <w:drawing>
              <wp:anchor distT="0" distB="0" distL="114300" distR="114300" simplePos="0" relativeHeight="251681792" behindDoc="0" locked="0" layoutInCell="1" allowOverlap="1" wp14:anchorId="23777627" wp14:editId="38FC70B0">
                <wp:simplePos x="0" y="0"/>
                <wp:positionH relativeFrom="column">
                  <wp:posOffset>49530</wp:posOffset>
                </wp:positionH>
                <wp:positionV relativeFrom="paragraph">
                  <wp:posOffset>4681220</wp:posOffset>
                </wp:positionV>
                <wp:extent cx="4781550" cy="635"/>
                <wp:effectExtent l="0" t="0" r="0" b="0"/>
                <wp:wrapTight wrapText="bothSides">
                  <wp:wrapPolygon edited="0">
                    <wp:start x="0" y="0"/>
                    <wp:lineTo x="0" y="21600"/>
                    <wp:lineTo x="21600" y="21600"/>
                    <wp:lineTo x="21600" y="0"/>
                  </wp:wrapPolygon>
                </wp:wrapTight>
                <wp:docPr id="52" name="Textfeld 52"/>
                <wp:cNvGraphicFramePr/>
                <a:graphic xmlns:a="http://schemas.openxmlformats.org/drawingml/2006/main">
                  <a:graphicData uri="http://schemas.microsoft.com/office/word/2010/wordprocessingShape">
                    <wps:wsp>
                      <wps:cNvSpPr txBox="1"/>
                      <wps:spPr>
                        <a:xfrm>
                          <a:off x="0" y="0"/>
                          <a:ext cx="4781550" cy="635"/>
                        </a:xfrm>
                        <a:prstGeom prst="rect">
                          <a:avLst/>
                        </a:prstGeom>
                        <a:solidFill>
                          <a:prstClr val="white"/>
                        </a:solidFill>
                        <a:ln>
                          <a:noFill/>
                        </a:ln>
                        <a:effectLst/>
                      </wps:spPr>
                      <wps:txbx>
                        <w:txbxContent>
                          <w:p w:rsidR="004B23E3" w:rsidRPr="002034FC" w:rsidRDefault="004B23E3" w:rsidP="004B23E3">
                            <w:pPr>
                              <w:pStyle w:val="Caption"/>
                              <w:rPr>
                                <w:rFonts w:cs="Arial"/>
                                <w:noProof/>
                              </w:rPr>
                            </w:pPr>
                            <w:bookmarkStart w:id="4" w:name="_Toc392505056"/>
                            <w:r>
                              <w:t xml:space="preserve">Map </w:t>
                            </w:r>
                            <w:fldSimple w:instr=" SEQ Map \* ARABIC ">
                              <w:r w:rsidR="002634D4">
                                <w:rPr>
                                  <w:noProof/>
                                </w:rPr>
                                <w:t>1</w:t>
                              </w:r>
                            </w:fldSimple>
                            <w:r>
                              <w:t>: Attiki in the context of the ESPON space</w:t>
                            </w:r>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23777627" id="Textfeld 52" o:spid="_x0000_s1029" type="#_x0000_t202" style="position:absolute;left:0;text-align:left;margin-left:3.9pt;margin-top:368.6pt;width:376.5pt;height:.0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" stroked="f">
                <v:textbox style="mso-fit-shape-to-text:t" inset="0,0,0,0">
                  <w:txbxContent>
                    <w:p w:rsidR="004B23E3" w:rsidRPr="002034FC" w:rsidRDefault="004B23E3" w:rsidP="004B23E3">
                      <w:pPr>
                        <w:pStyle w:val="Kuvaotsikko"/>
                        <w:rPr>
                          <w:rFonts w:cs="Arial"/>
                          <w:noProof/>
                        </w:rPr>
                      </w:pPr>
                      <w:bookmarkStart w:id="5" w:name="_Toc392505056"/>
                      <w:r>
                        <w:t xml:space="preserve">Map </w:t>
                      </w:r>
                      <w:r w:rsidR="00E42384">
                        <w:fldChar w:fldCharType="begin"/>
                      </w:r>
                      <w:r w:rsidR="00E42384">
                        <w:instrText xml:space="preserve"> SEQ Map \* ARABIC </w:instrText>
                      </w:r>
                      <w:r w:rsidR="00E42384">
                        <w:fldChar w:fldCharType="separate"/>
                      </w:r>
                      <w:r w:rsidR="002634D4">
                        <w:rPr>
                          <w:noProof/>
                        </w:rPr>
                        <w:t>1</w:t>
                      </w:r>
                      <w:r w:rsidR="00E42384">
                        <w:rPr>
                          <w:noProof/>
                        </w:rPr>
                        <w:fldChar w:fldCharType="end"/>
                      </w:r>
                      <w:r>
                        <w:t>: Attiki in the context of the ESPON space</w:t>
                      </w:r>
                      <w:bookmarkEnd w:id="5"/>
                    </w:p>
                  </w:txbxContent>
                </v:textbox>
                <w10:wrap type="tight"/>
              </v:shape>
            </w:pict>
          </mc:Fallback>
        </mc:AlternateContent>
      </w:r>
      <w:r w:rsidR="00AC2579" w:rsidRPr="00D93644">
        <w:rPr>
          <w:rFonts w:cs="Arial"/>
          <w:noProof/>
          <w:lang w:val="fi-FI" w:eastAsia="fi-FI"/>
        </w:rPr>
        <w:drawing>
          <wp:anchor distT="0" distB="0" distL="114300" distR="114300" simplePos="0" relativeHeight="251650048" behindDoc="1" locked="0" layoutInCell="1" allowOverlap="0" wp14:anchorId="11573418" wp14:editId="59762AB9">
            <wp:simplePos x="0" y="0"/>
            <wp:positionH relativeFrom="column">
              <wp:posOffset>49530</wp:posOffset>
            </wp:positionH>
            <wp:positionV relativeFrom="paragraph">
              <wp:posOffset>309245</wp:posOffset>
            </wp:positionV>
            <wp:extent cx="4781550" cy="4314825"/>
            <wp:effectExtent l="0" t="0" r="0" b="0"/>
            <wp:wrapTight wrapText="bothSides">
              <wp:wrapPolygon edited="0">
                <wp:start x="0" y="0"/>
                <wp:lineTo x="0" y="21552"/>
                <wp:lineTo x="21514" y="21552"/>
                <wp:lineTo x="21514" y="0"/>
                <wp:lineTo x="0" y="0"/>
              </wp:wrapPolygon>
            </wp:wrapTight>
            <wp:docPr id="3"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PON_TIPSE_WP2"/>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3623" t="1480" r="5400" b="2748"/>
                    <a:stretch/>
                  </pic:blipFill>
                  <pic:spPr bwMode="auto">
                    <a:xfrm>
                      <a:off x="0" y="0"/>
                      <a:ext cx="4781550" cy="43148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AC2579" w:rsidP="00536563">
      <w:pPr>
        <w:rPr>
          <w:rFonts w:cs="Arial"/>
          <w:lang w:val="en-US"/>
        </w:rPr>
      </w:pPr>
    </w:p>
    <w:p w:rsidR="00AC2579" w:rsidRDefault="006502D5" w:rsidP="00AC2579">
      <w:pPr>
        <w:spacing w:line="276" w:lineRule="auto"/>
        <w:rPr>
          <w:rFonts w:cs="Arial"/>
          <w:lang w:val="en-US"/>
        </w:rPr>
      </w:pPr>
      <w:r>
        <w:rPr>
          <w:rFonts w:cs="Arial"/>
          <w:noProof/>
          <w:lang w:val="fi-FI" w:eastAsia="fi-FI"/>
        </w:rPr>
        <mc:AlternateContent>
          <mc:Choice Requires="wps">
            <w:drawing>
              <wp:anchor distT="0" distB="0" distL="114300" distR="114300" simplePos="0" relativeHeight="251658240" behindDoc="0" locked="0" layoutInCell="1" allowOverlap="1" wp14:anchorId="34ED46BA" wp14:editId="0DBF1E92">
                <wp:simplePos x="0" y="0"/>
                <wp:positionH relativeFrom="column">
                  <wp:posOffset>66040</wp:posOffset>
                </wp:positionH>
                <wp:positionV relativeFrom="paragraph">
                  <wp:posOffset>4217035</wp:posOffset>
                </wp:positionV>
                <wp:extent cx="5267325" cy="279400"/>
                <wp:effectExtent l="0" t="0" r="9525" b="635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67325" cy="279400"/>
                        </a:xfrm>
                        <a:prstGeom prst="rect">
                          <a:avLst/>
                        </a:prstGeom>
                        <a:solidFill>
                          <a:prstClr val="white"/>
                        </a:solidFill>
                        <a:ln>
                          <a:noFill/>
                        </a:ln>
                        <a:effectLst/>
                      </wps:spPr>
                      <wps:txbx>
                        <w:txbxContent>
                          <w:p w:rsidR="00724794" w:rsidRPr="0098585B" w:rsidRDefault="00724794" w:rsidP="007A4D19">
                            <w:pPr>
                              <w:pStyle w:val="Caption"/>
                              <w:rPr>
                                <w:noProof/>
                              </w:rPr>
                            </w:pPr>
                            <w:bookmarkStart w:id="5" w:name="_Toc340841262"/>
                            <w:bookmarkStart w:id="6" w:name="_Toc346926389"/>
                            <w:bookmarkStart w:id="7" w:name="_Toc346985113"/>
                            <w:bookmarkStart w:id="8" w:name="_Toc346986142"/>
                            <w:bookmarkStart w:id="9" w:name="_Toc346987577"/>
                            <w:bookmarkStart w:id="10" w:name="_Toc392505024"/>
                            <w:r>
                              <w:t xml:space="preserve">Figure </w:t>
                            </w:r>
                            <w:r w:rsidR="00CC1B00">
                              <w:fldChar w:fldCharType="begin"/>
                            </w:r>
                            <w:r w:rsidR="00CC1B00">
                              <w:instrText xml:space="preserve"> STYLEREF 1 \s </w:instrText>
                            </w:r>
                            <w:r w:rsidR="00CC1B00">
                              <w:fldChar w:fldCharType="separate"/>
                            </w:r>
                            <w:r w:rsidR="002634D4">
                              <w:rPr>
                                <w:noProof/>
                              </w:rPr>
                              <w:t>1</w:t>
                            </w:r>
                            <w:r w:rsidR="00CC1B00">
                              <w:rPr>
                                <w:noProof/>
                              </w:rPr>
                              <w:fldChar w:fldCharType="end"/>
                            </w:r>
                            <w:r>
                              <w:t>.</w:t>
                            </w:r>
                            <w:r w:rsidR="00CC1B00">
                              <w:fldChar w:fldCharType="begin"/>
                            </w:r>
                            <w:r w:rsidR="00CC1B00">
                              <w:instrText xml:space="preserve"> SEQ Figure \* ARABIC \s 1 </w:instrText>
                            </w:r>
                            <w:r w:rsidR="00CC1B00">
                              <w:fldChar w:fldCharType="separate"/>
                            </w:r>
                            <w:r w:rsidR="002634D4">
                              <w:rPr>
                                <w:noProof/>
                              </w:rPr>
                              <w:t>1</w:t>
                            </w:r>
                            <w:r w:rsidR="00CC1B00">
                              <w:rPr>
                                <w:noProof/>
                              </w:rPr>
                              <w:fldChar w:fldCharType="end"/>
                            </w:r>
                            <w:r>
                              <w:t>: Athens in the context of the ESPON space</w:t>
                            </w:r>
                            <w:bookmarkEnd w:id="5"/>
                            <w:bookmarkEnd w:id="6"/>
                            <w:bookmarkEnd w:id="7"/>
                            <w:bookmarkEnd w:id="8"/>
                            <w:bookmarkEnd w:id="9"/>
                            <w:bookmarkEnd w:id="1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ED46BA" id="Textfeld 11" o:spid="_x0000_s1030" type="#_x0000_t202" style="position:absolute;left:0;text-align:left;margin-left:5.2pt;margin-top:332.05pt;width:414.75pt;height:2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" stroked="f">
                <v:path arrowok="t"/>
                <v:textbox style="mso-fit-shape-to-text:t" inset="0,0,0,0">
                  <w:txbxContent>
                    <w:p w:rsidR="00724794" w:rsidRPr="0098585B" w:rsidRDefault="00724794" w:rsidP="007A4D19">
                      <w:pPr>
                        <w:pStyle w:val="Kuvaotsikko"/>
                        <w:rPr>
                          <w:noProof/>
                        </w:rPr>
                      </w:pPr>
                      <w:bookmarkStart w:id="12" w:name="_Toc340841262"/>
                      <w:bookmarkStart w:id="13" w:name="_Toc346926389"/>
                      <w:bookmarkStart w:id="14" w:name="_Toc346985113"/>
                      <w:bookmarkStart w:id="15" w:name="_Toc346986142"/>
                      <w:bookmarkStart w:id="16" w:name="_Toc346987577"/>
                      <w:bookmarkStart w:id="17" w:name="_Toc392505024"/>
                      <w:r>
                        <w:t xml:space="preserve">Figure </w:t>
                      </w:r>
                      <w:fldSimple w:instr=" STYLEREF 1 \s ">
                        <w:r w:rsidR="002634D4">
                          <w:rPr>
                            <w:noProof/>
                          </w:rPr>
                          <w:t>1</w:t>
                        </w:r>
                      </w:fldSimple>
                      <w:r>
                        <w:t>.</w:t>
                      </w:r>
                      <w:fldSimple w:instr=" SEQ Figure \* ARABIC \s 1 ">
                        <w:r w:rsidR="002634D4">
                          <w:rPr>
                            <w:noProof/>
                          </w:rPr>
                          <w:t>1</w:t>
                        </w:r>
                      </w:fldSimple>
                      <w:r>
                        <w:t>: Athens in the context of the ESPON space</w:t>
                      </w:r>
                      <w:bookmarkEnd w:id="12"/>
                      <w:bookmarkEnd w:id="13"/>
                      <w:bookmarkEnd w:id="14"/>
                      <w:bookmarkEnd w:id="15"/>
                      <w:bookmarkEnd w:id="16"/>
                      <w:bookmarkEnd w:id="17"/>
                    </w:p>
                  </w:txbxContent>
                </v:textbox>
              </v:shape>
            </w:pict>
          </mc:Fallback>
        </mc:AlternateContent>
      </w:r>
      <w:r w:rsidR="007A4D19" w:rsidRPr="00D93644">
        <w:rPr>
          <w:rFonts w:cs="Arial"/>
          <w:lang w:val="en-US"/>
        </w:rPr>
        <w:t>Following more general demographic trends in Europe, the age group of 65 years or over consists a significant and growing part of the population of Attiki, representing 17.5</w:t>
      </w:r>
      <w:r>
        <w:rPr>
          <w:rFonts w:cs="Arial"/>
          <w:lang w:val="en-US"/>
        </w:rPr>
        <w:t>% of the total in 2011 Table 2</w:t>
      </w:r>
      <w:r w:rsidR="007A4D19" w:rsidRPr="00D93644">
        <w:rPr>
          <w:rFonts w:cs="Arial"/>
          <w:lang w:val="en-US"/>
        </w:rPr>
        <w:t xml:space="preserve">). In the period before the current sovereign debt crisis, the Region experienced remarkable economic performance: GDP grew at a rate of more </w:t>
      </w:r>
      <w:r w:rsidR="00112276">
        <w:rPr>
          <w:rFonts w:cs="Arial"/>
          <w:lang w:val="en-US"/>
        </w:rPr>
        <w:t>than</w:t>
      </w:r>
      <w:r w:rsidR="007A4D19" w:rsidRPr="00D93644">
        <w:rPr>
          <w:rFonts w:cs="Arial"/>
          <w:lang w:val="en-US"/>
        </w:rPr>
        <w:t xml:space="preserve"> 5% durin</w:t>
      </w:r>
      <w:r>
        <w:rPr>
          <w:rFonts w:cs="Arial"/>
          <w:lang w:val="en-US"/>
        </w:rPr>
        <w:t xml:space="preserve">g the period 2005-2008 (see </w:t>
      </w:r>
      <w:r>
        <w:rPr>
          <w:rFonts w:cs="Arial"/>
          <w:lang w:val="en-US"/>
        </w:rPr>
        <w:fldChar w:fldCharType="begin"/>
      </w:r>
      <w:r>
        <w:rPr>
          <w:rFonts w:cs="Arial"/>
          <w:lang w:val="en-US"/>
        </w:rPr>
        <w:instrText xml:space="preserve"> REF _Ref384741005 \h </w:instrText>
      </w:r>
      <w:r>
        <w:rPr>
          <w:rFonts w:cs="Arial"/>
          <w:lang w:val="en-US"/>
        </w:rPr>
      </w:r>
      <w:r>
        <w:rPr>
          <w:rFonts w:cs="Arial"/>
          <w:lang w:val="en-US"/>
        </w:rPr>
        <w:fldChar w:fldCharType="separate"/>
      </w:r>
      <w:r w:rsidR="002634D4">
        <w:t xml:space="preserve">Table </w:t>
      </w:r>
      <w:r w:rsidR="002634D4">
        <w:rPr>
          <w:noProof/>
        </w:rPr>
        <w:t>3</w:t>
      </w:r>
      <w:r>
        <w:rPr>
          <w:rFonts w:cs="Arial"/>
          <w:lang w:val="en-US"/>
        </w:rPr>
        <w:fldChar w:fldCharType="end"/>
      </w:r>
      <w:r w:rsidR="007A4D19" w:rsidRPr="00D93644">
        <w:rPr>
          <w:rFonts w:cs="Arial"/>
          <w:lang w:val="en-US"/>
        </w:rPr>
        <w:t>). PPS per capita in Attiki is quite high and much higher than the national average (</w:t>
      </w:r>
      <w:r>
        <w:rPr>
          <w:rFonts w:cs="Arial"/>
          <w:lang w:val="en-US"/>
        </w:rPr>
        <w:t xml:space="preserve">see </w:t>
      </w:r>
      <w:r>
        <w:rPr>
          <w:rFonts w:cs="Arial"/>
          <w:lang w:val="en-US"/>
        </w:rPr>
        <w:fldChar w:fldCharType="begin"/>
      </w:r>
      <w:r>
        <w:rPr>
          <w:rFonts w:cs="Arial"/>
          <w:lang w:val="en-US"/>
        </w:rPr>
        <w:instrText xml:space="preserve"> REF _Ref384741047 \h </w:instrText>
      </w:r>
      <w:r>
        <w:rPr>
          <w:rFonts w:cs="Arial"/>
          <w:lang w:val="en-US"/>
        </w:rPr>
      </w:r>
      <w:r>
        <w:rPr>
          <w:rFonts w:cs="Arial"/>
          <w:lang w:val="en-US"/>
        </w:rPr>
        <w:fldChar w:fldCharType="separate"/>
      </w:r>
      <w:r w:rsidR="002634D4">
        <w:t xml:space="preserve">Table </w:t>
      </w:r>
      <w:r w:rsidR="002634D4">
        <w:rPr>
          <w:noProof/>
        </w:rPr>
        <w:t>4</w:t>
      </w:r>
      <w:r>
        <w:rPr>
          <w:rFonts w:cs="Arial"/>
          <w:lang w:val="en-US"/>
        </w:rPr>
        <w:fldChar w:fldCharType="end"/>
      </w:r>
      <w:r w:rsidR="007A4D19" w:rsidRPr="00D93644">
        <w:rPr>
          <w:rFonts w:cs="Arial"/>
          <w:lang w:val="en-US"/>
        </w:rPr>
        <w:t xml:space="preserve">). The economy of the Region is based mainly on the tertiary sector (especially commerce, </w:t>
      </w:r>
      <w:r w:rsidR="007A4D19" w:rsidRPr="00D93644">
        <w:rPr>
          <w:rFonts w:cs="Arial"/>
          <w:lang w:val="en-US"/>
        </w:rPr>
        <w:lastRenderedPageBreak/>
        <w:t>tourism and leisure and financial activities), while manufacturing plays a secondary role (</w:t>
      </w:r>
      <w:r>
        <w:rPr>
          <w:rFonts w:cs="Arial"/>
          <w:lang w:val="en-US"/>
        </w:rPr>
        <w:t>see</w:t>
      </w:r>
      <w:r w:rsidR="004B23E3">
        <w:rPr>
          <w:rFonts w:cs="Arial"/>
          <w:lang w:val="en-US"/>
        </w:rPr>
        <w:t xml:space="preserve"> </w:t>
      </w:r>
      <w:r>
        <w:rPr>
          <w:rFonts w:cs="Arial"/>
          <w:lang w:val="en-US"/>
        </w:rPr>
        <w:fldChar w:fldCharType="begin"/>
      </w:r>
      <w:r>
        <w:rPr>
          <w:rFonts w:cs="Arial"/>
          <w:lang w:val="en-US"/>
        </w:rPr>
        <w:instrText xml:space="preserve"> REF _Ref384741129 \h </w:instrText>
      </w:r>
      <w:r>
        <w:rPr>
          <w:rFonts w:cs="Arial"/>
          <w:lang w:val="en-US"/>
        </w:rPr>
      </w:r>
      <w:r>
        <w:rPr>
          <w:rFonts w:cs="Arial"/>
          <w:lang w:val="en-US"/>
        </w:rPr>
        <w:fldChar w:fldCharType="separate"/>
      </w:r>
      <w:r w:rsidR="002634D4">
        <w:t xml:space="preserve">Table </w:t>
      </w:r>
      <w:r w:rsidR="002634D4">
        <w:rPr>
          <w:noProof/>
        </w:rPr>
        <w:t>5</w:t>
      </w:r>
      <w:r>
        <w:rPr>
          <w:rFonts w:cs="Arial"/>
          <w:lang w:val="en-US"/>
        </w:rPr>
        <w:fldChar w:fldCharType="end"/>
      </w:r>
      <w:r w:rsidR="007A4D19" w:rsidRPr="00D93644">
        <w:rPr>
          <w:rFonts w:cs="Arial"/>
          <w:lang w:val="en-US"/>
        </w:rPr>
        <w:t>). This is only partially a result of the deindustrialization of 1980s, as Attiki was always primarily a service and administration center.</w:t>
      </w:r>
    </w:p>
    <w:p w:rsidR="00DE2057" w:rsidRPr="00DE2057" w:rsidRDefault="00DE2057" w:rsidP="00AC2579">
      <w:pPr>
        <w:spacing w:line="276" w:lineRule="auto"/>
        <w:rPr>
          <w:rFonts w:cs="Arial"/>
          <w:sz w:val="10"/>
          <w:szCs w:val="10"/>
          <w:lang w:val="en-US"/>
        </w:rPr>
      </w:pPr>
    </w:p>
    <w:p w:rsidR="006502D5" w:rsidRDefault="006502D5" w:rsidP="00611E25">
      <w:pPr>
        <w:pStyle w:val="Caption"/>
        <w:keepNext/>
        <w:spacing w:after="120"/>
      </w:pPr>
      <w:bookmarkStart w:id="11" w:name="_Toc386013237"/>
      <w:r>
        <w:t xml:space="preserve">Table </w:t>
      </w:r>
      <w:r w:rsidR="00CC1B00">
        <w:fldChar w:fldCharType="begin"/>
      </w:r>
      <w:r w:rsidR="00CC1B00">
        <w:instrText xml:space="preserve"> SEQ Table \* ARABIC </w:instrText>
      </w:r>
      <w:r w:rsidR="00CC1B00">
        <w:fldChar w:fldCharType="separate"/>
      </w:r>
      <w:r w:rsidR="002634D4">
        <w:rPr>
          <w:noProof/>
        </w:rPr>
        <w:t>1</w:t>
      </w:r>
      <w:r w:rsidR="00CC1B00">
        <w:rPr>
          <w:noProof/>
        </w:rPr>
        <w:fldChar w:fldCharType="end"/>
      </w:r>
      <w:r>
        <w:t xml:space="preserve">: </w:t>
      </w:r>
      <w:r w:rsidRPr="00D93644">
        <w:rPr>
          <w:rFonts w:cs="Arial"/>
          <w:lang w:val="en-US"/>
        </w:rPr>
        <w:t xml:space="preserve">Resident </w:t>
      </w:r>
      <w:r>
        <w:rPr>
          <w:rFonts w:cs="Arial"/>
          <w:lang w:val="en-US"/>
        </w:rPr>
        <w:t>p</w:t>
      </w:r>
      <w:r w:rsidRPr="00D93644">
        <w:rPr>
          <w:rFonts w:cs="Arial"/>
          <w:lang w:val="en-US"/>
        </w:rPr>
        <w:t xml:space="preserve">opulation of the </w:t>
      </w:r>
      <w:r>
        <w:rPr>
          <w:rFonts w:cs="Arial"/>
          <w:lang w:val="en-US"/>
        </w:rPr>
        <w:t>r</w:t>
      </w:r>
      <w:r w:rsidRPr="00D93644">
        <w:rPr>
          <w:rFonts w:cs="Arial"/>
          <w:lang w:val="en-US"/>
        </w:rPr>
        <w:t>egion of Attiki, 1991-2011</w:t>
      </w:r>
      <w:bookmarkEnd w:id="11"/>
    </w:p>
    <w:tbl>
      <w:tblPr>
        <w:tblW w:w="0" w:type="auto"/>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1"/>
        <w:gridCol w:w="1062"/>
        <w:gridCol w:w="1062"/>
        <w:gridCol w:w="1062"/>
      </w:tblGrid>
      <w:tr w:rsidR="00C90448" w:rsidRPr="006502D5" w:rsidTr="006502D5">
        <w:trPr>
          <w:trHeight w:val="285"/>
        </w:trPr>
        <w:tc>
          <w:tcPr>
            <w:tcW w:w="0" w:type="auto"/>
            <w:tcBorders>
              <w:bottom w:val="single" w:sz="18" w:space="0" w:color="auto"/>
            </w:tcBorders>
          </w:tcPr>
          <w:p w:rsidR="00C90448" w:rsidRPr="006502D5" w:rsidRDefault="00C90448" w:rsidP="00CA7991">
            <w:pPr>
              <w:jc w:val="right"/>
              <w:rPr>
                <w:rFonts w:cs="Arial"/>
                <w:sz w:val="19"/>
                <w:szCs w:val="19"/>
                <w:lang w:val="en-US"/>
              </w:rPr>
            </w:pPr>
          </w:p>
        </w:tc>
        <w:tc>
          <w:tcPr>
            <w:tcW w:w="0" w:type="auto"/>
            <w:tcBorders>
              <w:bottom w:val="single" w:sz="18" w:space="0" w:color="auto"/>
            </w:tcBorders>
            <w:shd w:val="clear" w:color="auto" w:fill="auto"/>
            <w:noWrap/>
            <w:vAlign w:val="bottom"/>
          </w:tcPr>
          <w:p w:rsidR="00C90448" w:rsidRPr="006502D5" w:rsidRDefault="00C90448" w:rsidP="00CA7991">
            <w:pPr>
              <w:jc w:val="right"/>
              <w:rPr>
                <w:rFonts w:cs="Arial"/>
                <w:b/>
                <w:sz w:val="19"/>
                <w:szCs w:val="19"/>
                <w:lang w:val="en-US"/>
              </w:rPr>
            </w:pPr>
            <w:r w:rsidRPr="006502D5">
              <w:rPr>
                <w:rFonts w:cs="Arial"/>
                <w:b/>
                <w:sz w:val="19"/>
                <w:szCs w:val="19"/>
                <w:lang w:val="en-US"/>
              </w:rPr>
              <w:t>1991</w:t>
            </w:r>
          </w:p>
        </w:tc>
        <w:tc>
          <w:tcPr>
            <w:tcW w:w="0" w:type="auto"/>
            <w:tcBorders>
              <w:bottom w:val="single" w:sz="18" w:space="0" w:color="auto"/>
            </w:tcBorders>
            <w:shd w:val="clear" w:color="auto" w:fill="auto"/>
            <w:noWrap/>
            <w:vAlign w:val="bottom"/>
          </w:tcPr>
          <w:p w:rsidR="00C90448" w:rsidRPr="006502D5" w:rsidRDefault="00C90448" w:rsidP="00CA7991">
            <w:pPr>
              <w:jc w:val="right"/>
              <w:rPr>
                <w:rFonts w:cs="Arial"/>
                <w:b/>
                <w:sz w:val="19"/>
                <w:szCs w:val="19"/>
                <w:lang w:val="en-US"/>
              </w:rPr>
            </w:pPr>
            <w:r w:rsidRPr="006502D5">
              <w:rPr>
                <w:rFonts w:cs="Arial"/>
                <w:b/>
                <w:sz w:val="19"/>
                <w:szCs w:val="19"/>
                <w:lang w:val="en-US"/>
              </w:rPr>
              <w:t>2001</w:t>
            </w:r>
          </w:p>
        </w:tc>
        <w:tc>
          <w:tcPr>
            <w:tcW w:w="0" w:type="auto"/>
            <w:tcBorders>
              <w:bottom w:val="single" w:sz="18" w:space="0" w:color="auto"/>
            </w:tcBorders>
            <w:shd w:val="clear" w:color="auto" w:fill="auto"/>
            <w:noWrap/>
            <w:vAlign w:val="bottom"/>
          </w:tcPr>
          <w:p w:rsidR="00C90448" w:rsidRPr="006502D5" w:rsidRDefault="00C90448" w:rsidP="00CA7991">
            <w:pPr>
              <w:jc w:val="right"/>
              <w:rPr>
                <w:rFonts w:cs="Arial"/>
                <w:b/>
                <w:sz w:val="19"/>
                <w:szCs w:val="19"/>
                <w:lang w:val="en-US"/>
              </w:rPr>
            </w:pPr>
            <w:r w:rsidRPr="006502D5">
              <w:rPr>
                <w:rFonts w:cs="Arial"/>
                <w:b/>
                <w:sz w:val="19"/>
                <w:szCs w:val="19"/>
                <w:lang w:val="en-US"/>
              </w:rPr>
              <w:t>2011</w:t>
            </w:r>
            <w:r w:rsidRPr="006502D5">
              <w:rPr>
                <w:rStyle w:val="FootnoteReference"/>
                <w:rFonts w:cs="Arial"/>
                <w:b/>
                <w:sz w:val="19"/>
                <w:szCs w:val="19"/>
                <w:lang w:val="en-US"/>
              </w:rPr>
              <w:footnoteReference w:id="1"/>
            </w:r>
          </w:p>
        </w:tc>
      </w:tr>
      <w:tr w:rsidR="00C90448" w:rsidRPr="006502D5" w:rsidTr="006502D5">
        <w:trPr>
          <w:trHeight w:val="285"/>
        </w:trPr>
        <w:tc>
          <w:tcPr>
            <w:tcW w:w="0" w:type="auto"/>
            <w:tcBorders>
              <w:top w:val="single" w:sz="18" w:space="0" w:color="auto"/>
            </w:tcBorders>
            <w:shd w:val="clear" w:color="auto" w:fill="D9D9D9" w:themeFill="background1" w:themeFillShade="D9"/>
          </w:tcPr>
          <w:p w:rsidR="00C90448" w:rsidRPr="006502D5" w:rsidRDefault="00C90448" w:rsidP="00CA7991">
            <w:pPr>
              <w:jc w:val="right"/>
              <w:rPr>
                <w:rFonts w:cs="Arial"/>
                <w:b/>
                <w:sz w:val="19"/>
                <w:szCs w:val="19"/>
                <w:lang w:val="en-US"/>
              </w:rPr>
            </w:pPr>
            <w:r w:rsidRPr="006502D5">
              <w:rPr>
                <w:rFonts w:cs="Arial"/>
                <w:b/>
                <w:sz w:val="19"/>
                <w:szCs w:val="19"/>
                <w:lang w:val="en-US"/>
              </w:rPr>
              <w:t>Attiki</w:t>
            </w:r>
          </w:p>
        </w:tc>
        <w:tc>
          <w:tcPr>
            <w:tcW w:w="0" w:type="auto"/>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sz w:val="19"/>
                <w:szCs w:val="19"/>
                <w:lang w:val="en-US"/>
              </w:rPr>
            </w:pPr>
            <w:r w:rsidRPr="006502D5">
              <w:rPr>
                <w:rFonts w:cs="Arial"/>
                <w:sz w:val="19"/>
                <w:szCs w:val="19"/>
                <w:lang w:val="en-US"/>
              </w:rPr>
              <w:t>3,594,817</w:t>
            </w:r>
          </w:p>
        </w:tc>
        <w:tc>
          <w:tcPr>
            <w:tcW w:w="0" w:type="auto"/>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sz w:val="19"/>
                <w:szCs w:val="19"/>
                <w:lang w:val="en-US"/>
              </w:rPr>
            </w:pPr>
            <w:r w:rsidRPr="006502D5">
              <w:rPr>
                <w:rFonts w:cs="Arial"/>
                <w:sz w:val="19"/>
                <w:szCs w:val="19"/>
                <w:lang w:val="en-US"/>
              </w:rPr>
              <w:t>3,894,573</w:t>
            </w:r>
          </w:p>
        </w:tc>
        <w:tc>
          <w:tcPr>
            <w:tcW w:w="0" w:type="auto"/>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sz w:val="19"/>
                <w:szCs w:val="19"/>
                <w:lang w:val="en-US"/>
              </w:rPr>
            </w:pPr>
            <w:r w:rsidRPr="006502D5">
              <w:rPr>
                <w:rFonts w:cs="Arial"/>
                <w:sz w:val="19"/>
                <w:szCs w:val="19"/>
                <w:lang w:val="en-US"/>
              </w:rPr>
              <w:t>3,812,330</w:t>
            </w:r>
          </w:p>
        </w:tc>
      </w:tr>
    </w:tbl>
    <w:p w:rsidR="00C90448" w:rsidRPr="00D93644" w:rsidRDefault="00C90448" w:rsidP="007C7EFC">
      <w:pPr>
        <w:spacing w:before="0" w:after="240"/>
        <w:rPr>
          <w:rFonts w:cs="Arial"/>
          <w:sz w:val="16"/>
          <w:szCs w:val="16"/>
          <w:lang w:val="en-US"/>
        </w:rPr>
      </w:pPr>
      <w:r w:rsidRPr="007C7EFC">
        <w:rPr>
          <w:rFonts w:cs="Arial"/>
          <w:b/>
          <w:sz w:val="16"/>
          <w:szCs w:val="16"/>
          <w:lang w:val="en-US"/>
        </w:rPr>
        <w:t>Source:</w:t>
      </w:r>
      <w:r w:rsidRPr="00D93644">
        <w:rPr>
          <w:rFonts w:cs="Arial"/>
          <w:sz w:val="16"/>
          <w:szCs w:val="16"/>
          <w:lang w:val="en-US"/>
        </w:rPr>
        <w:t xml:space="preserve"> Census, Hellenic Statistical Authority</w:t>
      </w:r>
    </w:p>
    <w:p w:rsidR="006502D5" w:rsidRDefault="006502D5" w:rsidP="00611E25">
      <w:pPr>
        <w:pStyle w:val="Caption"/>
        <w:keepNext/>
        <w:spacing w:after="120"/>
      </w:pPr>
      <w:bookmarkStart w:id="12" w:name="_Toc386013238"/>
      <w:r>
        <w:t xml:space="preserve">Table </w:t>
      </w:r>
      <w:r w:rsidR="00CC1B00">
        <w:fldChar w:fldCharType="begin"/>
      </w:r>
      <w:r w:rsidR="00CC1B00">
        <w:instrText xml:space="preserve"> SEQ Table \* ARABIC </w:instrText>
      </w:r>
      <w:r w:rsidR="00CC1B00">
        <w:fldChar w:fldCharType="separate"/>
      </w:r>
      <w:r w:rsidR="002634D4">
        <w:rPr>
          <w:noProof/>
        </w:rPr>
        <w:t>2</w:t>
      </w:r>
      <w:r w:rsidR="00CC1B00">
        <w:rPr>
          <w:noProof/>
        </w:rPr>
        <w:fldChar w:fldCharType="end"/>
      </w:r>
      <w:r>
        <w:t xml:space="preserve">: </w:t>
      </w:r>
      <w:r w:rsidRPr="00D93644">
        <w:rPr>
          <w:rFonts w:cs="Arial"/>
          <w:lang w:val="en-US"/>
        </w:rPr>
        <w:t>Population by age groups, 2011</w:t>
      </w:r>
      <w:bookmarkEnd w:id="12"/>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57"/>
        <w:gridCol w:w="691"/>
        <w:gridCol w:w="861"/>
        <w:gridCol w:w="745"/>
      </w:tblGrid>
      <w:tr w:rsidR="00C90448" w:rsidRPr="006502D5" w:rsidTr="006502D5">
        <w:trPr>
          <w:trHeight w:val="300"/>
        </w:trPr>
        <w:tc>
          <w:tcPr>
            <w:tcW w:w="0" w:type="auto"/>
            <w:tcBorders>
              <w:bottom w:val="single" w:sz="18" w:space="0" w:color="auto"/>
            </w:tcBorders>
            <w:shd w:val="clear" w:color="auto" w:fill="auto"/>
            <w:noWrap/>
            <w:vAlign w:val="bottom"/>
          </w:tcPr>
          <w:p w:rsidR="00C90448" w:rsidRPr="006502D5" w:rsidRDefault="00C90448" w:rsidP="00CA7991">
            <w:pPr>
              <w:rPr>
                <w:rFonts w:cs="Arial"/>
                <w:sz w:val="19"/>
                <w:szCs w:val="19"/>
                <w:lang w:val="en-US"/>
              </w:rPr>
            </w:pPr>
          </w:p>
        </w:tc>
        <w:tc>
          <w:tcPr>
            <w:tcW w:w="0" w:type="auto"/>
            <w:tcBorders>
              <w:bottom w:val="single" w:sz="18" w:space="0" w:color="auto"/>
            </w:tcBorders>
            <w:shd w:val="clear" w:color="auto" w:fill="auto"/>
            <w:noWrap/>
            <w:vAlign w:val="bottom"/>
          </w:tcPr>
          <w:p w:rsidR="00C90448" w:rsidRPr="006502D5" w:rsidRDefault="00C90448" w:rsidP="00CA7991">
            <w:pPr>
              <w:rPr>
                <w:rFonts w:cs="Arial"/>
                <w:b/>
                <w:sz w:val="19"/>
                <w:szCs w:val="19"/>
                <w:lang w:val="en-US"/>
              </w:rPr>
            </w:pPr>
            <w:r w:rsidRPr="006502D5">
              <w:rPr>
                <w:rFonts w:cs="Arial"/>
                <w:b/>
                <w:sz w:val="19"/>
                <w:szCs w:val="19"/>
                <w:lang w:val="en-US"/>
              </w:rPr>
              <w:t>Attiki</w:t>
            </w:r>
          </w:p>
        </w:tc>
        <w:tc>
          <w:tcPr>
            <w:tcW w:w="0" w:type="auto"/>
            <w:tcBorders>
              <w:bottom w:val="single" w:sz="18" w:space="0" w:color="auto"/>
            </w:tcBorders>
            <w:shd w:val="clear" w:color="auto" w:fill="auto"/>
            <w:noWrap/>
            <w:vAlign w:val="bottom"/>
          </w:tcPr>
          <w:p w:rsidR="00C90448" w:rsidRPr="006502D5" w:rsidRDefault="00C90448" w:rsidP="00CA7991">
            <w:pPr>
              <w:rPr>
                <w:rFonts w:cs="Arial"/>
                <w:b/>
                <w:sz w:val="19"/>
                <w:szCs w:val="19"/>
                <w:lang w:val="en-US"/>
              </w:rPr>
            </w:pPr>
            <w:r w:rsidRPr="006502D5">
              <w:rPr>
                <w:rFonts w:cs="Arial"/>
                <w:b/>
                <w:sz w:val="19"/>
                <w:szCs w:val="19"/>
                <w:lang w:val="en-US"/>
              </w:rPr>
              <w:t>Greece</w:t>
            </w:r>
          </w:p>
        </w:tc>
        <w:tc>
          <w:tcPr>
            <w:tcW w:w="0" w:type="auto"/>
            <w:tcBorders>
              <w:bottom w:val="single" w:sz="18" w:space="0" w:color="auto"/>
            </w:tcBorders>
            <w:shd w:val="clear" w:color="auto" w:fill="auto"/>
            <w:noWrap/>
            <w:vAlign w:val="bottom"/>
          </w:tcPr>
          <w:p w:rsidR="00C90448" w:rsidRPr="006502D5" w:rsidRDefault="00C90448" w:rsidP="00CA7991">
            <w:pPr>
              <w:rPr>
                <w:rFonts w:cs="Arial"/>
                <w:b/>
                <w:sz w:val="19"/>
                <w:szCs w:val="19"/>
                <w:lang w:val="en-US"/>
              </w:rPr>
            </w:pPr>
            <w:r w:rsidRPr="006502D5">
              <w:rPr>
                <w:rFonts w:cs="Arial"/>
                <w:b/>
                <w:sz w:val="19"/>
                <w:szCs w:val="19"/>
                <w:lang w:val="en-US"/>
              </w:rPr>
              <w:t>EU 27</w:t>
            </w:r>
          </w:p>
        </w:tc>
      </w:tr>
      <w:tr w:rsidR="00C90448" w:rsidRPr="006502D5" w:rsidTr="006502D5">
        <w:trPr>
          <w:trHeight w:val="525"/>
        </w:trPr>
        <w:tc>
          <w:tcPr>
            <w:tcW w:w="0" w:type="auto"/>
            <w:tcBorders>
              <w:top w:val="single" w:sz="18" w:space="0" w:color="auto"/>
            </w:tcBorders>
            <w:shd w:val="clear" w:color="auto" w:fill="D9D9D9" w:themeFill="background1" w:themeFillShade="D9"/>
            <w:vAlign w:val="bottom"/>
          </w:tcPr>
          <w:p w:rsidR="00C90448" w:rsidRPr="006502D5" w:rsidRDefault="00C90448" w:rsidP="00CA7991">
            <w:pPr>
              <w:rPr>
                <w:rFonts w:cs="Arial"/>
                <w:b/>
                <w:bCs/>
                <w:sz w:val="19"/>
                <w:szCs w:val="19"/>
                <w:lang w:val="en-US"/>
              </w:rPr>
            </w:pPr>
            <w:r w:rsidRPr="006502D5">
              <w:rPr>
                <w:rFonts w:cs="Arial"/>
                <w:b/>
                <w:bCs/>
                <w:sz w:val="19"/>
                <w:szCs w:val="19"/>
              </w:rPr>
              <w:t>% aged &lt;15</w:t>
            </w:r>
          </w:p>
        </w:tc>
        <w:tc>
          <w:tcPr>
            <w:tcW w:w="0" w:type="auto"/>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sz w:val="19"/>
                <w:szCs w:val="19"/>
                <w:lang w:val="en-US"/>
              </w:rPr>
            </w:pPr>
            <w:r w:rsidRPr="006502D5">
              <w:rPr>
                <w:rFonts w:cs="Arial"/>
                <w:sz w:val="19"/>
                <w:szCs w:val="19"/>
                <w:lang w:val="en-US"/>
              </w:rPr>
              <w:t>14.2</w:t>
            </w:r>
          </w:p>
        </w:tc>
        <w:tc>
          <w:tcPr>
            <w:tcW w:w="0" w:type="auto"/>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sz w:val="19"/>
                <w:szCs w:val="19"/>
                <w:lang w:val="en-US"/>
              </w:rPr>
            </w:pPr>
            <w:r w:rsidRPr="006502D5">
              <w:rPr>
                <w:rFonts w:cs="Arial"/>
                <w:sz w:val="19"/>
                <w:szCs w:val="19"/>
                <w:lang w:val="en-US"/>
              </w:rPr>
              <w:t>14.4</w:t>
            </w:r>
          </w:p>
        </w:tc>
        <w:tc>
          <w:tcPr>
            <w:tcW w:w="0" w:type="auto"/>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sz w:val="19"/>
                <w:szCs w:val="19"/>
                <w:lang w:val="en-US"/>
              </w:rPr>
            </w:pPr>
            <w:r w:rsidRPr="006502D5">
              <w:rPr>
                <w:rFonts w:cs="Arial"/>
                <w:sz w:val="19"/>
                <w:szCs w:val="19"/>
                <w:lang w:val="en-US"/>
              </w:rPr>
              <w:t>15.6</w:t>
            </w:r>
          </w:p>
        </w:tc>
      </w:tr>
      <w:tr w:rsidR="00C90448" w:rsidRPr="006502D5" w:rsidTr="00CA7991">
        <w:trPr>
          <w:trHeight w:val="525"/>
        </w:trPr>
        <w:tc>
          <w:tcPr>
            <w:tcW w:w="0" w:type="auto"/>
            <w:shd w:val="clear" w:color="auto" w:fill="auto"/>
            <w:vAlign w:val="bottom"/>
          </w:tcPr>
          <w:p w:rsidR="00C90448" w:rsidRPr="006502D5" w:rsidRDefault="00C90448" w:rsidP="00CA7991">
            <w:pPr>
              <w:rPr>
                <w:rFonts w:cs="Arial"/>
                <w:b/>
                <w:bCs/>
                <w:sz w:val="19"/>
                <w:szCs w:val="19"/>
                <w:lang w:val="en-US"/>
              </w:rPr>
            </w:pPr>
            <w:r w:rsidRPr="006502D5">
              <w:rPr>
                <w:rFonts w:cs="Arial"/>
                <w:b/>
                <w:bCs/>
                <w:sz w:val="19"/>
                <w:szCs w:val="19"/>
              </w:rPr>
              <w:t>% aged 65+</w:t>
            </w:r>
          </w:p>
        </w:tc>
        <w:tc>
          <w:tcPr>
            <w:tcW w:w="0" w:type="auto"/>
            <w:shd w:val="clear" w:color="auto" w:fill="auto"/>
            <w:noWrap/>
            <w:vAlign w:val="bottom"/>
          </w:tcPr>
          <w:p w:rsidR="00C90448" w:rsidRPr="006502D5" w:rsidRDefault="00C90448" w:rsidP="00CA7991">
            <w:pPr>
              <w:jc w:val="right"/>
              <w:rPr>
                <w:rFonts w:cs="Arial"/>
                <w:sz w:val="19"/>
                <w:szCs w:val="19"/>
                <w:lang w:val="en-US"/>
              </w:rPr>
            </w:pPr>
            <w:r w:rsidRPr="006502D5">
              <w:rPr>
                <w:rFonts w:cs="Arial"/>
                <w:sz w:val="19"/>
                <w:szCs w:val="19"/>
                <w:lang w:val="en-US"/>
              </w:rPr>
              <w:t>17.5</w:t>
            </w:r>
          </w:p>
        </w:tc>
        <w:tc>
          <w:tcPr>
            <w:tcW w:w="0" w:type="auto"/>
            <w:shd w:val="clear" w:color="auto" w:fill="auto"/>
            <w:noWrap/>
            <w:vAlign w:val="bottom"/>
          </w:tcPr>
          <w:p w:rsidR="00C90448" w:rsidRPr="006502D5" w:rsidRDefault="00C90448" w:rsidP="00CA7991">
            <w:pPr>
              <w:jc w:val="right"/>
              <w:rPr>
                <w:rFonts w:cs="Arial"/>
                <w:sz w:val="19"/>
                <w:szCs w:val="19"/>
                <w:lang w:val="en-US"/>
              </w:rPr>
            </w:pPr>
            <w:r w:rsidRPr="006502D5">
              <w:rPr>
                <w:rFonts w:cs="Arial"/>
                <w:sz w:val="19"/>
                <w:szCs w:val="19"/>
                <w:lang w:val="en-US"/>
              </w:rPr>
              <w:t>19.3</w:t>
            </w:r>
          </w:p>
        </w:tc>
        <w:tc>
          <w:tcPr>
            <w:tcW w:w="0" w:type="auto"/>
            <w:shd w:val="clear" w:color="auto" w:fill="auto"/>
            <w:noWrap/>
            <w:vAlign w:val="bottom"/>
          </w:tcPr>
          <w:p w:rsidR="00C90448" w:rsidRPr="006502D5" w:rsidRDefault="00C90448" w:rsidP="00CA7991">
            <w:pPr>
              <w:jc w:val="right"/>
              <w:rPr>
                <w:rFonts w:cs="Arial"/>
                <w:sz w:val="19"/>
                <w:szCs w:val="19"/>
                <w:lang w:val="en-US"/>
              </w:rPr>
            </w:pPr>
            <w:r w:rsidRPr="006502D5">
              <w:rPr>
                <w:rFonts w:cs="Arial"/>
                <w:sz w:val="19"/>
                <w:szCs w:val="19"/>
                <w:lang w:val="en-US"/>
              </w:rPr>
              <w:t>17.5</w:t>
            </w:r>
          </w:p>
        </w:tc>
      </w:tr>
    </w:tbl>
    <w:p w:rsidR="00C90448" w:rsidRPr="00D93644" w:rsidRDefault="00C90448" w:rsidP="007C7EFC">
      <w:pPr>
        <w:spacing w:before="0" w:after="240"/>
        <w:rPr>
          <w:rFonts w:cs="Arial"/>
          <w:sz w:val="16"/>
          <w:szCs w:val="16"/>
          <w:lang w:val="en-US"/>
        </w:rPr>
      </w:pPr>
      <w:r w:rsidRPr="007C7EFC">
        <w:rPr>
          <w:rFonts w:cs="Arial"/>
          <w:b/>
          <w:sz w:val="16"/>
          <w:szCs w:val="16"/>
          <w:lang w:val="en-US"/>
        </w:rPr>
        <w:t>Source:</w:t>
      </w:r>
      <w:r w:rsidRPr="00D93644">
        <w:rPr>
          <w:rFonts w:cs="Arial"/>
          <w:sz w:val="16"/>
          <w:szCs w:val="16"/>
          <w:lang w:val="en-US"/>
        </w:rPr>
        <w:t xml:space="preserve"> Eurostat REGIO database</w:t>
      </w:r>
    </w:p>
    <w:p w:rsidR="006502D5" w:rsidRDefault="006502D5" w:rsidP="00611E25">
      <w:pPr>
        <w:pStyle w:val="Caption"/>
        <w:keepNext/>
        <w:spacing w:after="120"/>
      </w:pPr>
      <w:bookmarkStart w:id="13" w:name="_Ref384741005"/>
      <w:bookmarkStart w:id="14" w:name="_Toc386013239"/>
      <w:r>
        <w:t xml:space="preserve">Table </w:t>
      </w:r>
      <w:r w:rsidR="00CC1B00">
        <w:fldChar w:fldCharType="begin"/>
      </w:r>
      <w:r w:rsidR="00CC1B00">
        <w:instrText xml:space="preserve"> SEQ Table \* ARABIC </w:instrText>
      </w:r>
      <w:r w:rsidR="00CC1B00">
        <w:fldChar w:fldCharType="separate"/>
      </w:r>
      <w:r w:rsidR="002634D4">
        <w:rPr>
          <w:noProof/>
        </w:rPr>
        <w:t>3</w:t>
      </w:r>
      <w:r w:rsidR="00CC1B00">
        <w:rPr>
          <w:noProof/>
        </w:rPr>
        <w:fldChar w:fldCharType="end"/>
      </w:r>
      <w:bookmarkEnd w:id="13"/>
      <w:r>
        <w:t xml:space="preserve">: </w:t>
      </w:r>
      <w:r w:rsidRPr="00D93644">
        <w:rPr>
          <w:rFonts w:cs="Arial"/>
          <w:lang w:val="en-US"/>
        </w:rPr>
        <w:t>GDP at current market prices, 2005-2009</w:t>
      </w:r>
      <w:bookmarkEnd w:id="14"/>
    </w:p>
    <w:tbl>
      <w:tblPr>
        <w:tblW w:w="0" w:type="auto"/>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91"/>
        <w:gridCol w:w="1142"/>
        <w:gridCol w:w="1559"/>
        <w:gridCol w:w="1560"/>
        <w:gridCol w:w="1559"/>
        <w:gridCol w:w="1559"/>
      </w:tblGrid>
      <w:tr w:rsidR="00C90448" w:rsidRPr="006502D5" w:rsidTr="006502D5">
        <w:trPr>
          <w:trHeight w:val="285"/>
        </w:trPr>
        <w:tc>
          <w:tcPr>
            <w:tcW w:w="0" w:type="auto"/>
            <w:tcBorders>
              <w:bottom w:val="single" w:sz="18" w:space="0" w:color="auto"/>
            </w:tcBorders>
            <w:shd w:val="clear" w:color="auto" w:fill="auto"/>
            <w:noWrap/>
            <w:vAlign w:val="bottom"/>
          </w:tcPr>
          <w:p w:rsidR="00C90448" w:rsidRPr="006502D5" w:rsidRDefault="00C90448" w:rsidP="00CA7991">
            <w:pPr>
              <w:rPr>
                <w:rFonts w:cs="Arial"/>
                <w:sz w:val="19"/>
                <w:szCs w:val="19"/>
                <w:lang w:val="en-US"/>
              </w:rPr>
            </w:pPr>
          </w:p>
        </w:tc>
        <w:tc>
          <w:tcPr>
            <w:tcW w:w="1142" w:type="dxa"/>
            <w:tcBorders>
              <w:bottom w:val="single" w:sz="18" w:space="0" w:color="auto"/>
            </w:tcBorders>
            <w:shd w:val="clear" w:color="auto" w:fill="auto"/>
            <w:noWrap/>
            <w:vAlign w:val="bottom"/>
          </w:tcPr>
          <w:p w:rsidR="00C90448" w:rsidRPr="006502D5" w:rsidRDefault="00C90448" w:rsidP="00CA7991">
            <w:pPr>
              <w:jc w:val="right"/>
              <w:rPr>
                <w:rFonts w:cs="Arial"/>
                <w:b/>
                <w:sz w:val="19"/>
                <w:szCs w:val="19"/>
                <w:lang w:val="en-US"/>
              </w:rPr>
            </w:pPr>
            <w:r w:rsidRPr="006502D5">
              <w:rPr>
                <w:rFonts w:cs="Arial"/>
                <w:b/>
                <w:sz w:val="19"/>
                <w:szCs w:val="19"/>
                <w:lang w:val="en-US"/>
              </w:rPr>
              <w:t>2005</w:t>
            </w:r>
          </w:p>
        </w:tc>
        <w:tc>
          <w:tcPr>
            <w:tcW w:w="1559" w:type="dxa"/>
            <w:tcBorders>
              <w:bottom w:val="single" w:sz="18" w:space="0" w:color="auto"/>
            </w:tcBorders>
            <w:shd w:val="clear" w:color="auto" w:fill="auto"/>
            <w:noWrap/>
            <w:vAlign w:val="bottom"/>
          </w:tcPr>
          <w:p w:rsidR="00C90448" w:rsidRPr="006502D5" w:rsidRDefault="00C90448" w:rsidP="00CA7991">
            <w:pPr>
              <w:jc w:val="right"/>
              <w:rPr>
                <w:rFonts w:cs="Arial"/>
                <w:b/>
                <w:sz w:val="19"/>
                <w:szCs w:val="19"/>
                <w:lang w:val="en-US"/>
              </w:rPr>
            </w:pPr>
            <w:r w:rsidRPr="006502D5">
              <w:rPr>
                <w:rFonts w:cs="Arial"/>
                <w:b/>
                <w:sz w:val="19"/>
                <w:szCs w:val="19"/>
                <w:lang w:val="en-US"/>
              </w:rPr>
              <w:t>2006</w:t>
            </w:r>
          </w:p>
        </w:tc>
        <w:tc>
          <w:tcPr>
            <w:tcW w:w="1560" w:type="dxa"/>
            <w:tcBorders>
              <w:bottom w:val="single" w:sz="18" w:space="0" w:color="auto"/>
            </w:tcBorders>
            <w:shd w:val="clear" w:color="auto" w:fill="auto"/>
            <w:noWrap/>
            <w:vAlign w:val="bottom"/>
          </w:tcPr>
          <w:p w:rsidR="00C90448" w:rsidRPr="006502D5" w:rsidRDefault="00C90448" w:rsidP="00CA7991">
            <w:pPr>
              <w:jc w:val="right"/>
              <w:rPr>
                <w:rFonts w:cs="Arial"/>
                <w:b/>
                <w:sz w:val="19"/>
                <w:szCs w:val="19"/>
                <w:lang w:val="en-US"/>
              </w:rPr>
            </w:pPr>
            <w:r w:rsidRPr="006502D5">
              <w:rPr>
                <w:rFonts w:cs="Arial"/>
                <w:b/>
                <w:sz w:val="19"/>
                <w:szCs w:val="19"/>
                <w:lang w:val="en-US"/>
              </w:rPr>
              <w:t>2007</w:t>
            </w:r>
          </w:p>
        </w:tc>
        <w:tc>
          <w:tcPr>
            <w:tcW w:w="1559" w:type="dxa"/>
            <w:tcBorders>
              <w:bottom w:val="single" w:sz="18" w:space="0" w:color="auto"/>
            </w:tcBorders>
            <w:shd w:val="clear" w:color="auto" w:fill="auto"/>
            <w:noWrap/>
            <w:vAlign w:val="bottom"/>
          </w:tcPr>
          <w:p w:rsidR="00C90448" w:rsidRPr="006502D5" w:rsidRDefault="00C90448" w:rsidP="00CA7991">
            <w:pPr>
              <w:jc w:val="right"/>
              <w:rPr>
                <w:rFonts w:cs="Arial"/>
                <w:b/>
                <w:sz w:val="19"/>
                <w:szCs w:val="19"/>
                <w:lang w:val="en-US"/>
              </w:rPr>
            </w:pPr>
            <w:r w:rsidRPr="006502D5">
              <w:rPr>
                <w:rFonts w:cs="Arial"/>
                <w:b/>
                <w:sz w:val="19"/>
                <w:szCs w:val="19"/>
                <w:lang w:val="en-US"/>
              </w:rPr>
              <w:t>2008</w:t>
            </w:r>
          </w:p>
        </w:tc>
        <w:tc>
          <w:tcPr>
            <w:tcW w:w="1559" w:type="dxa"/>
            <w:tcBorders>
              <w:bottom w:val="single" w:sz="18" w:space="0" w:color="auto"/>
            </w:tcBorders>
            <w:shd w:val="clear" w:color="auto" w:fill="auto"/>
            <w:noWrap/>
            <w:vAlign w:val="bottom"/>
          </w:tcPr>
          <w:p w:rsidR="00C90448" w:rsidRPr="006502D5" w:rsidRDefault="00C90448" w:rsidP="00CA7991">
            <w:pPr>
              <w:jc w:val="right"/>
              <w:rPr>
                <w:rFonts w:cs="Arial"/>
                <w:b/>
                <w:sz w:val="19"/>
                <w:szCs w:val="19"/>
                <w:lang w:val="en-US"/>
              </w:rPr>
            </w:pPr>
            <w:r w:rsidRPr="006502D5">
              <w:rPr>
                <w:rFonts w:cs="Arial"/>
                <w:b/>
                <w:sz w:val="19"/>
                <w:szCs w:val="19"/>
                <w:lang w:val="en-US"/>
              </w:rPr>
              <w:t>2009</w:t>
            </w:r>
          </w:p>
        </w:tc>
      </w:tr>
      <w:tr w:rsidR="00C90448" w:rsidRPr="006502D5" w:rsidTr="006502D5">
        <w:trPr>
          <w:trHeight w:val="285"/>
        </w:trPr>
        <w:tc>
          <w:tcPr>
            <w:tcW w:w="0" w:type="auto"/>
            <w:tcBorders>
              <w:top w:val="single" w:sz="18" w:space="0" w:color="auto"/>
            </w:tcBorders>
            <w:shd w:val="clear" w:color="auto" w:fill="D9D9D9" w:themeFill="background1" w:themeFillShade="D9"/>
            <w:noWrap/>
            <w:vAlign w:val="bottom"/>
          </w:tcPr>
          <w:p w:rsidR="00C90448" w:rsidRPr="006502D5" w:rsidRDefault="00C90448" w:rsidP="00CA7991">
            <w:pPr>
              <w:rPr>
                <w:rFonts w:cs="Arial"/>
                <w:b/>
                <w:sz w:val="19"/>
                <w:szCs w:val="19"/>
                <w:lang w:val="en-US"/>
              </w:rPr>
            </w:pPr>
            <w:r w:rsidRPr="006502D5">
              <w:rPr>
                <w:rFonts w:cs="Arial"/>
                <w:b/>
                <w:sz w:val="19"/>
                <w:szCs w:val="19"/>
                <w:lang w:val="en-US"/>
              </w:rPr>
              <w:t>Attiki</w:t>
            </w:r>
          </w:p>
        </w:tc>
        <w:tc>
          <w:tcPr>
            <w:tcW w:w="1142" w:type="dxa"/>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bCs/>
                <w:sz w:val="19"/>
                <w:szCs w:val="19"/>
              </w:rPr>
            </w:pPr>
            <w:r w:rsidRPr="006502D5">
              <w:rPr>
                <w:rFonts w:cs="Arial"/>
                <w:bCs/>
                <w:sz w:val="19"/>
                <w:szCs w:val="19"/>
              </w:rPr>
              <w:t>88,846</w:t>
            </w:r>
          </w:p>
        </w:tc>
        <w:tc>
          <w:tcPr>
            <w:tcW w:w="1559" w:type="dxa"/>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bCs/>
                <w:sz w:val="19"/>
                <w:szCs w:val="19"/>
                <w:lang w:val="en-US"/>
              </w:rPr>
            </w:pPr>
            <w:r w:rsidRPr="006502D5">
              <w:rPr>
                <w:rFonts w:cs="Arial"/>
                <w:bCs/>
                <w:sz w:val="19"/>
                <w:szCs w:val="19"/>
              </w:rPr>
              <w:t>97,795</w:t>
            </w:r>
            <w:r w:rsidRPr="006502D5">
              <w:rPr>
                <w:rFonts w:cs="Arial"/>
                <w:bCs/>
                <w:sz w:val="19"/>
                <w:szCs w:val="19"/>
                <w:lang w:val="en-US"/>
              </w:rPr>
              <w:t xml:space="preserve"> (10.1%)</w:t>
            </w:r>
          </w:p>
        </w:tc>
        <w:tc>
          <w:tcPr>
            <w:tcW w:w="1560" w:type="dxa"/>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bCs/>
                <w:sz w:val="19"/>
                <w:szCs w:val="19"/>
                <w:lang w:val="en-US"/>
              </w:rPr>
            </w:pPr>
            <w:r w:rsidRPr="006502D5">
              <w:rPr>
                <w:rFonts w:cs="Arial"/>
                <w:bCs/>
                <w:sz w:val="19"/>
                <w:szCs w:val="19"/>
              </w:rPr>
              <w:t>104,216</w:t>
            </w:r>
            <w:r w:rsidRPr="006502D5">
              <w:rPr>
                <w:rFonts w:cs="Arial"/>
                <w:bCs/>
                <w:sz w:val="19"/>
                <w:szCs w:val="19"/>
                <w:lang w:val="en-US"/>
              </w:rPr>
              <w:t xml:space="preserve"> (6.6%)</w:t>
            </w:r>
          </w:p>
        </w:tc>
        <w:tc>
          <w:tcPr>
            <w:tcW w:w="1559" w:type="dxa"/>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bCs/>
                <w:sz w:val="19"/>
                <w:szCs w:val="19"/>
                <w:lang w:val="en-US"/>
              </w:rPr>
            </w:pPr>
            <w:r w:rsidRPr="006502D5">
              <w:rPr>
                <w:rFonts w:cs="Arial"/>
                <w:bCs/>
                <w:sz w:val="19"/>
                <w:szCs w:val="19"/>
              </w:rPr>
              <w:t>109,718</w:t>
            </w:r>
            <w:r w:rsidRPr="006502D5">
              <w:rPr>
                <w:rFonts w:cs="Arial"/>
                <w:bCs/>
                <w:sz w:val="19"/>
                <w:szCs w:val="19"/>
                <w:lang w:val="en-US"/>
              </w:rPr>
              <w:t xml:space="preserve"> (5.3%)</w:t>
            </w:r>
          </w:p>
        </w:tc>
        <w:tc>
          <w:tcPr>
            <w:tcW w:w="1559" w:type="dxa"/>
            <w:tcBorders>
              <w:top w:val="single" w:sz="18" w:space="0" w:color="auto"/>
            </w:tcBorders>
            <w:shd w:val="clear" w:color="auto" w:fill="D9D9D9" w:themeFill="background1" w:themeFillShade="D9"/>
            <w:noWrap/>
            <w:vAlign w:val="bottom"/>
          </w:tcPr>
          <w:p w:rsidR="00C90448" w:rsidRPr="006502D5" w:rsidRDefault="00C90448" w:rsidP="00CA7991">
            <w:pPr>
              <w:jc w:val="right"/>
              <w:rPr>
                <w:rFonts w:cs="Arial"/>
                <w:bCs/>
                <w:sz w:val="19"/>
                <w:szCs w:val="19"/>
                <w:lang w:val="en-US"/>
              </w:rPr>
            </w:pPr>
            <w:r w:rsidRPr="006502D5">
              <w:rPr>
                <w:rFonts w:cs="Arial"/>
                <w:bCs/>
                <w:sz w:val="19"/>
                <w:szCs w:val="19"/>
              </w:rPr>
              <w:t>110,546</w:t>
            </w:r>
            <w:r w:rsidRPr="006502D5">
              <w:rPr>
                <w:rFonts w:cs="Arial"/>
                <w:bCs/>
                <w:sz w:val="19"/>
                <w:szCs w:val="19"/>
                <w:lang w:val="en-US"/>
              </w:rPr>
              <w:t xml:space="preserve"> (0.8%)</w:t>
            </w:r>
          </w:p>
        </w:tc>
      </w:tr>
    </w:tbl>
    <w:p w:rsidR="00C90448" w:rsidRPr="006502D5" w:rsidRDefault="00C90448" w:rsidP="007C7EFC">
      <w:pPr>
        <w:spacing w:before="0" w:after="240"/>
        <w:rPr>
          <w:rFonts w:cs="Arial"/>
          <w:sz w:val="16"/>
          <w:szCs w:val="16"/>
          <w:lang w:val="en-US"/>
        </w:rPr>
      </w:pPr>
      <w:r w:rsidRPr="007C7EFC">
        <w:rPr>
          <w:rFonts w:cs="Arial"/>
          <w:b/>
          <w:sz w:val="16"/>
          <w:szCs w:val="16"/>
          <w:lang w:val="en-US"/>
        </w:rPr>
        <w:t>Source:</w:t>
      </w:r>
      <w:r w:rsidRPr="00D93644">
        <w:rPr>
          <w:rFonts w:cs="Arial"/>
          <w:sz w:val="16"/>
          <w:szCs w:val="16"/>
          <w:lang w:val="en-US"/>
        </w:rPr>
        <w:t xml:space="preserve"> Hellenic Statistical Authority</w:t>
      </w:r>
    </w:p>
    <w:p w:rsidR="006502D5" w:rsidRDefault="006502D5" w:rsidP="00611E25">
      <w:pPr>
        <w:pStyle w:val="Caption"/>
        <w:keepNext/>
        <w:spacing w:after="120"/>
      </w:pPr>
      <w:bookmarkStart w:id="15" w:name="_Ref384741047"/>
      <w:bookmarkStart w:id="16" w:name="_Toc386013240"/>
      <w:r>
        <w:t xml:space="preserve">Table </w:t>
      </w:r>
      <w:r w:rsidR="00CC1B00">
        <w:fldChar w:fldCharType="begin"/>
      </w:r>
      <w:r w:rsidR="00CC1B00">
        <w:instrText xml:space="preserve"> SEQ Table \* ARABIC </w:instrText>
      </w:r>
      <w:r w:rsidR="00CC1B00">
        <w:fldChar w:fldCharType="separate"/>
      </w:r>
      <w:r w:rsidR="002634D4">
        <w:rPr>
          <w:noProof/>
        </w:rPr>
        <w:t>4</w:t>
      </w:r>
      <w:r w:rsidR="00CC1B00">
        <w:rPr>
          <w:noProof/>
        </w:rPr>
        <w:fldChar w:fldCharType="end"/>
      </w:r>
      <w:bookmarkEnd w:id="15"/>
      <w:r>
        <w:t xml:space="preserve">: </w:t>
      </w:r>
      <w:r>
        <w:rPr>
          <w:rFonts w:cs="Arial"/>
        </w:rPr>
        <w:t>GDP indicators, 2011</w:t>
      </w:r>
      <w:bookmarkEnd w:id="1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76"/>
        <w:gridCol w:w="1418"/>
        <w:gridCol w:w="1559"/>
        <w:gridCol w:w="1418"/>
      </w:tblGrid>
      <w:tr w:rsidR="00C90448" w:rsidRPr="006502D5" w:rsidTr="006502D5">
        <w:tc>
          <w:tcPr>
            <w:tcW w:w="2376" w:type="dxa"/>
            <w:tcBorders>
              <w:bottom w:val="single" w:sz="18" w:space="0" w:color="auto"/>
            </w:tcBorders>
          </w:tcPr>
          <w:p w:rsidR="00C90448" w:rsidRPr="006502D5" w:rsidRDefault="00C90448" w:rsidP="00CA7991">
            <w:pPr>
              <w:rPr>
                <w:rFonts w:cs="Arial"/>
                <w:b/>
                <w:sz w:val="19"/>
                <w:szCs w:val="19"/>
              </w:rPr>
            </w:pPr>
          </w:p>
        </w:tc>
        <w:tc>
          <w:tcPr>
            <w:tcW w:w="1418" w:type="dxa"/>
            <w:tcBorders>
              <w:bottom w:val="single" w:sz="18" w:space="0" w:color="auto"/>
            </w:tcBorders>
          </w:tcPr>
          <w:p w:rsidR="00C90448" w:rsidRPr="006502D5" w:rsidRDefault="00C90448" w:rsidP="00CA7991">
            <w:pPr>
              <w:jc w:val="right"/>
              <w:rPr>
                <w:rFonts w:cs="Arial"/>
                <w:b/>
                <w:sz w:val="19"/>
                <w:szCs w:val="19"/>
                <w:lang w:val="en-US"/>
              </w:rPr>
            </w:pPr>
            <w:r w:rsidRPr="006502D5">
              <w:rPr>
                <w:rFonts w:cs="Arial"/>
                <w:b/>
                <w:sz w:val="19"/>
                <w:szCs w:val="19"/>
                <w:lang w:val="en-US"/>
              </w:rPr>
              <w:t>Attiki</w:t>
            </w:r>
          </w:p>
        </w:tc>
        <w:tc>
          <w:tcPr>
            <w:tcW w:w="1559" w:type="dxa"/>
            <w:tcBorders>
              <w:bottom w:val="single" w:sz="18" w:space="0" w:color="auto"/>
            </w:tcBorders>
          </w:tcPr>
          <w:p w:rsidR="00C90448" w:rsidRPr="006502D5" w:rsidRDefault="00C90448" w:rsidP="00CA7991">
            <w:pPr>
              <w:jc w:val="right"/>
              <w:rPr>
                <w:rFonts w:cs="Arial"/>
                <w:b/>
                <w:sz w:val="19"/>
                <w:szCs w:val="19"/>
                <w:lang w:val="en-US"/>
              </w:rPr>
            </w:pPr>
            <w:r w:rsidRPr="006502D5">
              <w:rPr>
                <w:rFonts w:cs="Arial"/>
                <w:b/>
                <w:sz w:val="19"/>
                <w:szCs w:val="19"/>
                <w:lang w:val="en-US"/>
              </w:rPr>
              <w:t>Greece</w:t>
            </w:r>
          </w:p>
        </w:tc>
        <w:tc>
          <w:tcPr>
            <w:tcW w:w="1418" w:type="dxa"/>
            <w:tcBorders>
              <w:bottom w:val="single" w:sz="18" w:space="0" w:color="auto"/>
            </w:tcBorders>
          </w:tcPr>
          <w:p w:rsidR="00C90448" w:rsidRPr="006502D5" w:rsidRDefault="00C90448" w:rsidP="00CA7991">
            <w:pPr>
              <w:jc w:val="right"/>
              <w:rPr>
                <w:rFonts w:cs="Arial"/>
                <w:b/>
                <w:sz w:val="19"/>
                <w:szCs w:val="19"/>
              </w:rPr>
            </w:pPr>
            <w:r w:rsidRPr="006502D5">
              <w:rPr>
                <w:rFonts w:cs="Arial"/>
                <w:b/>
                <w:sz w:val="19"/>
                <w:szCs w:val="19"/>
              </w:rPr>
              <w:t>EU27</w:t>
            </w:r>
          </w:p>
        </w:tc>
      </w:tr>
      <w:tr w:rsidR="00C90448" w:rsidRPr="006502D5" w:rsidTr="006502D5">
        <w:tc>
          <w:tcPr>
            <w:tcW w:w="2376" w:type="dxa"/>
            <w:tcBorders>
              <w:top w:val="single" w:sz="18" w:space="0" w:color="auto"/>
            </w:tcBorders>
            <w:shd w:val="clear" w:color="auto" w:fill="D9D9D9" w:themeFill="background1" w:themeFillShade="D9"/>
            <w:vAlign w:val="center"/>
          </w:tcPr>
          <w:p w:rsidR="00C90448" w:rsidRPr="006502D5" w:rsidRDefault="00C90448" w:rsidP="00CA7991">
            <w:pPr>
              <w:rPr>
                <w:rFonts w:cs="Arial"/>
                <w:b/>
                <w:sz w:val="19"/>
                <w:szCs w:val="19"/>
                <w:lang w:val="en-US"/>
              </w:rPr>
            </w:pPr>
            <w:r w:rsidRPr="006502D5">
              <w:rPr>
                <w:rFonts w:cs="Arial"/>
                <w:b/>
                <w:sz w:val="19"/>
                <w:szCs w:val="19"/>
              </w:rPr>
              <w:t>PPS (€’m)</w:t>
            </w:r>
          </w:p>
        </w:tc>
        <w:tc>
          <w:tcPr>
            <w:tcW w:w="1418" w:type="dxa"/>
            <w:tcBorders>
              <w:top w:val="single" w:sz="18" w:space="0" w:color="auto"/>
            </w:tcBorders>
            <w:shd w:val="clear" w:color="auto" w:fill="D9D9D9" w:themeFill="background1" w:themeFillShade="D9"/>
            <w:vAlign w:val="center"/>
          </w:tcPr>
          <w:p w:rsidR="00C90448" w:rsidRPr="006502D5" w:rsidRDefault="00C90448" w:rsidP="00CA7991">
            <w:pPr>
              <w:jc w:val="right"/>
              <w:rPr>
                <w:rFonts w:cs="Arial"/>
                <w:sz w:val="19"/>
                <w:szCs w:val="19"/>
              </w:rPr>
            </w:pPr>
            <w:r w:rsidRPr="006502D5">
              <w:rPr>
                <w:rFonts w:cs="Arial"/>
                <w:sz w:val="19"/>
                <w:szCs w:val="19"/>
              </w:rPr>
              <w:t>119,244</w:t>
            </w:r>
          </w:p>
        </w:tc>
        <w:tc>
          <w:tcPr>
            <w:tcW w:w="1559" w:type="dxa"/>
            <w:tcBorders>
              <w:top w:val="single" w:sz="18" w:space="0" w:color="auto"/>
            </w:tcBorders>
            <w:shd w:val="clear" w:color="auto" w:fill="D9D9D9" w:themeFill="background1" w:themeFillShade="D9"/>
            <w:vAlign w:val="center"/>
          </w:tcPr>
          <w:p w:rsidR="00C90448" w:rsidRPr="006502D5" w:rsidRDefault="00C90448" w:rsidP="00CA7991">
            <w:pPr>
              <w:jc w:val="right"/>
              <w:rPr>
                <w:rFonts w:cs="Arial"/>
                <w:sz w:val="19"/>
                <w:szCs w:val="19"/>
              </w:rPr>
            </w:pPr>
            <w:r w:rsidRPr="006502D5">
              <w:rPr>
                <w:rFonts w:cs="Arial"/>
                <w:sz w:val="19"/>
                <w:szCs w:val="19"/>
              </w:rPr>
              <w:t>249,868</w:t>
            </w:r>
          </w:p>
        </w:tc>
        <w:tc>
          <w:tcPr>
            <w:tcW w:w="1418" w:type="dxa"/>
            <w:tcBorders>
              <w:top w:val="single" w:sz="18" w:space="0" w:color="auto"/>
            </w:tcBorders>
            <w:shd w:val="clear" w:color="auto" w:fill="D9D9D9" w:themeFill="background1" w:themeFillShade="D9"/>
            <w:vAlign w:val="center"/>
          </w:tcPr>
          <w:p w:rsidR="00C90448" w:rsidRPr="006502D5" w:rsidRDefault="00C90448" w:rsidP="00CA7991">
            <w:pPr>
              <w:jc w:val="right"/>
              <w:rPr>
                <w:rFonts w:cs="Arial"/>
                <w:sz w:val="19"/>
                <w:szCs w:val="19"/>
              </w:rPr>
            </w:pPr>
            <w:r w:rsidRPr="006502D5">
              <w:rPr>
                <w:rFonts w:cs="Arial"/>
                <w:sz w:val="19"/>
                <w:szCs w:val="19"/>
              </w:rPr>
              <w:t>11,751,419</w:t>
            </w:r>
          </w:p>
        </w:tc>
      </w:tr>
      <w:tr w:rsidR="00C90448" w:rsidRPr="006502D5" w:rsidTr="00CA7991">
        <w:tc>
          <w:tcPr>
            <w:tcW w:w="2376" w:type="dxa"/>
            <w:vAlign w:val="center"/>
          </w:tcPr>
          <w:p w:rsidR="00C90448" w:rsidRPr="006502D5" w:rsidRDefault="00C90448" w:rsidP="00CA7991">
            <w:pPr>
              <w:rPr>
                <w:rFonts w:cs="Arial"/>
                <w:b/>
                <w:sz w:val="19"/>
                <w:szCs w:val="19"/>
                <w:lang w:val="en-US"/>
              </w:rPr>
            </w:pPr>
            <w:r w:rsidRPr="006502D5">
              <w:rPr>
                <w:rFonts w:cs="Arial"/>
                <w:b/>
                <w:sz w:val="19"/>
                <w:szCs w:val="19"/>
              </w:rPr>
              <w:t>PPS per Capita</w:t>
            </w:r>
          </w:p>
        </w:tc>
        <w:tc>
          <w:tcPr>
            <w:tcW w:w="1418" w:type="dxa"/>
            <w:vAlign w:val="center"/>
          </w:tcPr>
          <w:p w:rsidR="00C90448" w:rsidRPr="006502D5" w:rsidRDefault="00C90448" w:rsidP="00CA7991">
            <w:pPr>
              <w:jc w:val="right"/>
              <w:rPr>
                <w:rFonts w:cs="Arial"/>
                <w:sz w:val="19"/>
                <w:szCs w:val="19"/>
                <w:lang w:val="en-US"/>
              </w:rPr>
            </w:pPr>
            <w:r w:rsidRPr="006502D5">
              <w:rPr>
                <w:rFonts w:cs="Arial"/>
                <w:sz w:val="19"/>
                <w:szCs w:val="19"/>
                <w:lang w:val="en-US"/>
              </w:rPr>
              <w:t>29,100</w:t>
            </w:r>
          </w:p>
        </w:tc>
        <w:tc>
          <w:tcPr>
            <w:tcW w:w="1559" w:type="dxa"/>
            <w:vAlign w:val="center"/>
          </w:tcPr>
          <w:p w:rsidR="00C90448" w:rsidRPr="006502D5" w:rsidRDefault="00C90448" w:rsidP="00CA7991">
            <w:pPr>
              <w:jc w:val="right"/>
              <w:rPr>
                <w:rFonts w:cs="Arial"/>
                <w:sz w:val="19"/>
                <w:szCs w:val="19"/>
                <w:lang w:val="en-US"/>
              </w:rPr>
            </w:pPr>
            <w:r w:rsidRPr="006502D5">
              <w:rPr>
                <w:rFonts w:cs="Arial"/>
                <w:sz w:val="19"/>
                <w:szCs w:val="19"/>
                <w:lang w:val="en-US"/>
              </w:rPr>
              <w:t>22,100</w:t>
            </w:r>
          </w:p>
        </w:tc>
        <w:tc>
          <w:tcPr>
            <w:tcW w:w="1418" w:type="dxa"/>
            <w:vAlign w:val="center"/>
          </w:tcPr>
          <w:p w:rsidR="00C90448" w:rsidRPr="006502D5" w:rsidRDefault="00C90448" w:rsidP="00CA7991">
            <w:pPr>
              <w:jc w:val="right"/>
              <w:rPr>
                <w:rFonts w:cs="Arial"/>
                <w:sz w:val="19"/>
                <w:szCs w:val="19"/>
              </w:rPr>
            </w:pPr>
            <w:r w:rsidRPr="006502D5">
              <w:rPr>
                <w:rFonts w:cs="Arial"/>
                <w:sz w:val="19"/>
                <w:szCs w:val="19"/>
              </w:rPr>
              <w:t>23,500</w:t>
            </w:r>
          </w:p>
        </w:tc>
      </w:tr>
      <w:tr w:rsidR="00C90448" w:rsidRPr="006502D5" w:rsidTr="006502D5">
        <w:tc>
          <w:tcPr>
            <w:tcW w:w="2376" w:type="dxa"/>
            <w:shd w:val="clear" w:color="auto" w:fill="D9D9D9" w:themeFill="background1" w:themeFillShade="D9"/>
            <w:vAlign w:val="center"/>
          </w:tcPr>
          <w:p w:rsidR="00C90448" w:rsidRPr="006502D5" w:rsidRDefault="00C90448" w:rsidP="00CA7991">
            <w:pPr>
              <w:rPr>
                <w:rFonts w:cs="Arial"/>
                <w:b/>
                <w:sz w:val="19"/>
                <w:szCs w:val="19"/>
                <w:lang w:val="en-US"/>
              </w:rPr>
            </w:pPr>
            <w:r w:rsidRPr="006502D5">
              <w:rPr>
                <w:rFonts w:cs="Arial"/>
                <w:b/>
                <w:sz w:val="19"/>
                <w:szCs w:val="19"/>
              </w:rPr>
              <w:t>% of EU 27 Average</w:t>
            </w:r>
          </w:p>
        </w:tc>
        <w:tc>
          <w:tcPr>
            <w:tcW w:w="1418" w:type="dxa"/>
            <w:shd w:val="clear" w:color="auto" w:fill="D9D9D9" w:themeFill="background1" w:themeFillShade="D9"/>
            <w:vAlign w:val="center"/>
          </w:tcPr>
          <w:p w:rsidR="00C90448" w:rsidRPr="006502D5" w:rsidRDefault="00C90448" w:rsidP="00CA7991">
            <w:pPr>
              <w:jc w:val="right"/>
              <w:rPr>
                <w:rFonts w:cs="Arial"/>
                <w:sz w:val="19"/>
                <w:szCs w:val="19"/>
              </w:rPr>
            </w:pPr>
            <w:r w:rsidRPr="006502D5">
              <w:rPr>
                <w:rFonts w:cs="Arial"/>
                <w:sz w:val="19"/>
                <w:szCs w:val="19"/>
              </w:rPr>
              <w:t>124</w:t>
            </w:r>
          </w:p>
        </w:tc>
        <w:tc>
          <w:tcPr>
            <w:tcW w:w="1559" w:type="dxa"/>
            <w:shd w:val="clear" w:color="auto" w:fill="D9D9D9" w:themeFill="background1" w:themeFillShade="D9"/>
            <w:vAlign w:val="center"/>
          </w:tcPr>
          <w:p w:rsidR="00C90448" w:rsidRPr="006502D5" w:rsidRDefault="00C90448" w:rsidP="00CA7991">
            <w:pPr>
              <w:jc w:val="right"/>
              <w:rPr>
                <w:rFonts w:cs="Arial"/>
                <w:sz w:val="19"/>
                <w:szCs w:val="19"/>
              </w:rPr>
            </w:pPr>
            <w:r w:rsidRPr="006502D5">
              <w:rPr>
                <w:rFonts w:cs="Arial"/>
                <w:sz w:val="19"/>
                <w:szCs w:val="19"/>
              </w:rPr>
              <w:t>94</w:t>
            </w:r>
          </w:p>
        </w:tc>
        <w:tc>
          <w:tcPr>
            <w:tcW w:w="1418" w:type="dxa"/>
            <w:shd w:val="clear" w:color="auto" w:fill="D9D9D9" w:themeFill="background1" w:themeFillShade="D9"/>
            <w:vAlign w:val="center"/>
          </w:tcPr>
          <w:p w:rsidR="00C90448" w:rsidRPr="006502D5" w:rsidRDefault="00C90448" w:rsidP="00CA7991">
            <w:pPr>
              <w:jc w:val="right"/>
              <w:rPr>
                <w:rFonts w:cs="Arial"/>
                <w:sz w:val="19"/>
                <w:szCs w:val="19"/>
              </w:rPr>
            </w:pPr>
            <w:r w:rsidRPr="006502D5">
              <w:rPr>
                <w:rFonts w:cs="Arial"/>
                <w:sz w:val="19"/>
                <w:szCs w:val="19"/>
              </w:rPr>
              <w:t>100</w:t>
            </w:r>
          </w:p>
        </w:tc>
      </w:tr>
    </w:tbl>
    <w:p w:rsidR="00C90448" w:rsidRPr="00D93644" w:rsidRDefault="00C90448" w:rsidP="007C7EFC">
      <w:pPr>
        <w:spacing w:before="0" w:after="240"/>
        <w:rPr>
          <w:rFonts w:cs="Arial"/>
          <w:sz w:val="16"/>
          <w:szCs w:val="16"/>
        </w:rPr>
      </w:pPr>
      <w:r w:rsidRPr="007C7EFC">
        <w:rPr>
          <w:rFonts w:cs="Arial"/>
          <w:b/>
          <w:sz w:val="16"/>
          <w:szCs w:val="16"/>
        </w:rPr>
        <w:t>Source:</w:t>
      </w:r>
      <w:r w:rsidRPr="00D93644">
        <w:rPr>
          <w:rFonts w:cs="Arial"/>
          <w:sz w:val="16"/>
          <w:szCs w:val="16"/>
          <w:lang w:val="en-US"/>
        </w:rPr>
        <w:t xml:space="preserve"> Eurostat REGIO database</w:t>
      </w:r>
    </w:p>
    <w:p w:rsidR="00C90448" w:rsidRPr="00D93644" w:rsidRDefault="00C90448" w:rsidP="00C90448">
      <w:pPr>
        <w:spacing w:before="0"/>
        <w:rPr>
          <w:rFonts w:cs="Arial"/>
        </w:rPr>
      </w:pPr>
      <w:bookmarkStart w:id="17" w:name="_Toc333430271"/>
      <w:r w:rsidRPr="00D93644">
        <w:rPr>
          <w:rFonts w:cs="Arial"/>
        </w:rPr>
        <w:br w:type="page"/>
      </w:r>
    </w:p>
    <w:p w:rsidR="006502D5" w:rsidRPr="006502D5" w:rsidRDefault="006502D5" w:rsidP="00611E25">
      <w:pPr>
        <w:pStyle w:val="Caption"/>
        <w:keepNext/>
        <w:spacing w:after="120"/>
        <w:rPr>
          <w:rFonts w:cs="Arial"/>
        </w:rPr>
      </w:pPr>
      <w:bookmarkStart w:id="18" w:name="_Ref384741129"/>
      <w:bookmarkStart w:id="19" w:name="_Toc386013241"/>
      <w:r>
        <w:lastRenderedPageBreak/>
        <w:t xml:space="preserve">Table </w:t>
      </w:r>
      <w:r w:rsidR="00CC1B00">
        <w:fldChar w:fldCharType="begin"/>
      </w:r>
      <w:r w:rsidR="00CC1B00">
        <w:instrText xml:space="preserve"> SEQ Table \* ARABIC </w:instrText>
      </w:r>
      <w:r w:rsidR="00CC1B00">
        <w:fldChar w:fldCharType="separate"/>
      </w:r>
      <w:r w:rsidR="002634D4">
        <w:rPr>
          <w:noProof/>
        </w:rPr>
        <w:t>5</w:t>
      </w:r>
      <w:r w:rsidR="00CC1B00">
        <w:rPr>
          <w:noProof/>
        </w:rPr>
        <w:fldChar w:fldCharType="end"/>
      </w:r>
      <w:bookmarkEnd w:id="18"/>
      <w:r>
        <w:t xml:space="preserve">: </w:t>
      </w:r>
      <w:r w:rsidRPr="00D93644">
        <w:rPr>
          <w:rFonts w:cs="Arial"/>
        </w:rPr>
        <w:t>Employment by sector of economic activity, 2011</w:t>
      </w:r>
      <w:bookmarkEnd w:id="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53"/>
        <w:gridCol w:w="5125"/>
        <w:gridCol w:w="851"/>
        <w:gridCol w:w="992"/>
        <w:gridCol w:w="709"/>
      </w:tblGrid>
      <w:tr w:rsidR="00C90448" w:rsidRPr="00D93644" w:rsidTr="006502D5">
        <w:trPr>
          <w:trHeight w:val="715"/>
        </w:trPr>
        <w:tc>
          <w:tcPr>
            <w:tcW w:w="5778" w:type="dxa"/>
            <w:gridSpan w:val="2"/>
            <w:tcBorders>
              <w:top w:val="single" w:sz="4" w:space="0" w:color="auto"/>
              <w:left w:val="single" w:sz="4" w:space="0" w:color="auto"/>
              <w:bottom w:val="single" w:sz="18" w:space="0" w:color="auto"/>
              <w:right w:val="single" w:sz="4" w:space="0" w:color="auto"/>
            </w:tcBorders>
          </w:tcPr>
          <w:p w:rsidR="00C90448" w:rsidRPr="006502D5" w:rsidRDefault="00C90448" w:rsidP="00CA7991">
            <w:pPr>
              <w:spacing w:line="240" w:lineRule="auto"/>
              <w:rPr>
                <w:rFonts w:cs="Arial"/>
                <w:b/>
                <w:bCs/>
                <w:sz w:val="19"/>
                <w:szCs w:val="19"/>
              </w:rPr>
            </w:pPr>
            <w:r w:rsidRPr="006502D5">
              <w:rPr>
                <w:rFonts w:cs="Arial"/>
                <w:b/>
                <w:bCs/>
                <w:sz w:val="19"/>
                <w:szCs w:val="19"/>
              </w:rPr>
              <w:t>NACE Rev. 2 Category</w:t>
            </w:r>
          </w:p>
        </w:tc>
        <w:tc>
          <w:tcPr>
            <w:tcW w:w="851" w:type="dxa"/>
            <w:tcBorders>
              <w:top w:val="single" w:sz="4" w:space="0" w:color="auto"/>
              <w:left w:val="single" w:sz="4" w:space="0" w:color="auto"/>
              <w:bottom w:val="single" w:sz="18" w:space="0" w:color="auto"/>
              <w:right w:val="single" w:sz="4" w:space="0" w:color="auto"/>
            </w:tcBorders>
          </w:tcPr>
          <w:p w:rsidR="00C90448" w:rsidRPr="006502D5" w:rsidRDefault="00C90448" w:rsidP="00CA7991">
            <w:pPr>
              <w:spacing w:line="240" w:lineRule="auto"/>
              <w:jc w:val="right"/>
              <w:rPr>
                <w:rFonts w:cs="Arial"/>
                <w:b/>
                <w:bCs/>
                <w:sz w:val="19"/>
                <w:szCs w:val="19"/>
                <w:lang w:val="en-US"/>
              </w:rPr>
            </w:pPr>
            <w:r w:rsidRPr="006502D5">
              <w:rPr>
                <w:rFonts w:cs="Arial"/>
                <w:b/>
                <w:bCs/>
                <w:sz w:val="19"/>
                <w:szCs w:val="19"/>
                <w:lang w:val="en-US"/>
              </w:rPr>
              <w:t>Attiki</w:t>
            </w:r>
          </w:p>
        </w:tc>
        <w:tc>
          <w:tcPr>
            <w:tcW w:w="992" w:type="dxa"/>
            <w:tcBorders>
              <w:top w:val="single" w:sz="4" w:space="0" w:color="auto"/>
              <w:left w:val="single" w:sz="4" w:space="0" w:color="auto"/>
              <w:bottom w:val="single" w:sz="18" w:space="0" w:color="auto"/>
              <w:right w:val="single" w:sz="4" w:space="0" w:color="auto"/>
            </w:tcBorders>
          </w:tcPr>
          <w:p w:rsidR="00C90448" w:rsidRPr="006502D5" w:rsidRDefault="00C90448" w:rsidP="00CA7991">
            <w:pPr>
              <w:spacing w:line="240" w:lineRule="auto"/>
              <w:jc w:val="right"/>
              <w:rPr>
                <w:rFonts w:cs="Arial"/>
                <w:b/>
                <w:bCs/>
                <w:sz w:val="19"/>
                <w:szCs w:val="19"/>
                <w:lang w:val="en-US"/>
              </w:rPr>
            </w:pPr>
            <w:r w:rsidRPr="006502D5">
              <w:rPr>
                <w:rFonts w:cs="Arial"/>
                <w:b/>
                <w:bCs/>
                <w:sz w:val="19"/>
                <w:szCs w:val="19"/>
                <w:lang w:val="en-US"/>
              </w:rPr>
              <w:t>Greece</w:t>
            </w:r>
          </w:p>
        </w:tc>
        <w:tc>
          <w:tcPr>
            <w:tcW w:w="709" w:type="dxa"/>
            <w:tcBorders>
              <w:top w:val="single" w:sz="4" w:space="0" w:color="auto"/>
              <w:left w:val="single" w:sz="4" w:space="0" w:color="auto"/>
              <w:bottom w:val="single" w:sz="18" w:space="0" w:color="auto"/>
              <w:right w:val="single" w:sz="4" w:space="0" w:color="auto"/>
            </w:tcBorders>
          </w:tcPr>
          <w:p w:rsidR="00C90448" w:rsidRPr="006502D5" w:rsidRDefault="00C90448" w:rsidP="00CA7991">
            <w:pPr>
              <w:spacing w:line="240" w:lineRule="auto"/>
              <w:jc w:val="right"/>
              <w:rPr>
                <w:rFonts w:cs="Arial"/>
                <w:b/>
                <w:bCs/>
                <w:sz w:val="19"/>
                <w:szCs w:val="19"/>
              </w:rPr>
            </w:pPr>
            <w:r w:rsidRPr="006502D5">
              <w:rPr>
                <w:rFonts w:cs="Arial"/>
                <w:b/>
                <w:bCs/>
                <w:sz w:val="19"/>
                <w:szCs w:val="19"/>
              </w:rPr>
              <w:t>EU27</w:t>
            </w:r>
          </w:p>
        </w:tc>
      </w:tr>
      <w:tr w:rsidR="00C90448" w:rsidRPr="00D93644" w:rsidTr="006502D5">
        <w:trPr>
          <w:trHeight w:val="276"/>
        </w:trPr>
        <w:tc>
          <w:tcPr>
            <w:tcW w:w="653"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tcPr>
          <w:p w:rsidR="00C90448" w:rsidRPr="006502D5" w:rsidRDefault="00C90448" w:rsidP="00CA7991">
            <w:pPr>
              <w:spacing w:line="240" w:lineRule="auto"/>
              <w:rPr>
                <w:rFonts w:cs="Arial"/>
                <w:b/>
                <w:sz w:val="19"/>
                <w:szCs w:val="19"/>
              </w:rPr>
            </w:pPr>
            <w:r w:rsidRPr="006502D5">
              <w:rPr>
                <w:rFonts w:cs="Arial"/>
                <w:b/>
                <w:sz w:val="19"/>
                <w:szCs w:val="19"/>
              </w:rPr>
              <w:t>A</w:t>
            </w:r>
          </w:p>
        </w:tc>
        <w:tc>
          <w:tcPr>
            <w:tcW w:w="5125"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tcPr>
          <w:p w:rsidR="00C90448" w:rsidRPr="006502D5" w:rsidRDefault="00C90448" w:rsidP="00CA7991">
            <w:pPr>
              <w:spacing w:line="240" w:lineRule="auto"/>
              <w:rPr>
                <w:rFonts w:cs="Arial"/>
                <w:b/>
                <w:sz w:val="19"/>
                <w:szCs w:val="19"/>
              </w:rPr>
            </w:pPr>
            <w:r w:rsidRPr="006502D5">
              <w:rPr>
                <w:rFonts w:cs="Arial"/>
                <w:b/>
                <w:sz w:val="19"/>
                <w:szCs w:val="19"/>
              </w:rPr>
              <w:t>Agriculture, forestry and fishing</w:t>
            </w:r>
          </w:p>
        </w:tc>
        <w:tc>
          <w:tcPr>
            <w:tcW w:w="851"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1.2</w:t>
            </w:r>
          </w:p>
        </w:tc>
        <w:tc>
          <w:tcPr>
            <w:tcW w:w="992"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17.9</w:t>
            </w:r>
          </w:p>
        </w:tc>
        <w:tc>
          <w:tcPr>
            <w:tcW w:w="709"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5</w:t>
            </w:r>
          </w:p>
        </w:tc>
      </w:tr>
      <w:tr w:rsidR="00C90448" w:rsidRPr="00D93644" w:rsidTr="006502D5">
        <w:trPr>
          <w:trHeight w:val="276"/>
        </w:trPr>
        <w:tc>
          <w:tcPr>
            <w:tcW w:w="653" w:type="dxa"/>
            <w:tcBorders>
              <w:top w:val="single" w:sz="4" w:space="0" w:color="auto"/>
              <w:left w:val="single" w:sz="4" w:space="0" w:color="auto"/>
              <w:bottom w:val="single" w:sz="4" w:space="0" w:color="auto"/>
              <w:right w:val="single" w:sz="4" w:space="0" w:color="auto"/>
            </w:tcBorders>
            <w:noWrap/>
          </w:tcPr>
          <w:p w:rsidR="00C90448" w:rsidRPr="006502D5" w:rsidRDefault="00C90448" w:rsidP="00CA7991">
            <w:pPr>
              <w:spacing w:line="240" w:lineRule="auto"/>
              <w:rPr>
                <w:rFonts w:cs="Arial"/>
                <w:b/>
                <w:sz w:val="19"/>
                <w:szCs w:val="19"/>
              </w:rPr>
            </w:pPr>
            <w:r w:rsidRPr="006502D5">
              <w:rPr>
                <w:rFonts w:cs="Arial"/>
                <w:b/>
                <w:sz w:val="19"/>
                <w:szCs w:val="19"/>
              </w:rPr>
              <w:t>B-E</w:t>
            </w:r>
          </w:p>
        </w:tc>
        <w:tc>
          <w:tcPr>
            <w:tcW w:w="5125" w:type="dxa"/>
            <w:tcBorders>
              <w:top w:val="single" w:sz="4" w:space="0" w:color="auto"/>
              <w:left w:val="single" w:sz="4" w:space="0" w:color="auto"/>
              <w:bottom w:val="single" w:sz="4" w:space="0" w:color="auto"/>
              <w:right w:val="single" w:sz="4" w:space="0" w:color="auto"/>
            </w:tcBorders>
            <w:noWrap/>
          </w:tcPr>
          <w:p w:rsidR="00C90448" w:rsidRPr="006502D5" w:rsidRDefault="00C90448" w:rsidP="00CA7991">
            <w:pPr>
              <w:spacing w:line="240" w:lineRule="auto"/>
              <w:rPr>
                <w:rFonts w:cs="Arial"/>
                <w:b/>
                <w:sz w:val="19"/>
                <w:szCs w:val="19"/>
              </w:rPr>
            </w:pPr>
            <w:r w:rsidRPr="006502D5">
              <w:rPr>
                <w:rFonts w:cs="Arial"/>
                <w:b/>
                <w:sz w:val="19"/>
                <w:szCs w:val="19"/>
              </w:rPr>
              <w:t>Industry (excl. construction)</w:t>
            </w:r>
          </w:p>
        </w:tc>
        <w:tc>
          <w:tcPr>
            <w:tcW w:w="851"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12</w:t>
            </w:r>
          </w:p>
        </w:tc>
        <w:tc>
          <w:tcPr>
            <w:tcW w:w="992"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16.9</w:t>
            </w:r>
          </w:p>
        </w:tc>
        <w:tc>
          <w:tcPr>
            <w:tcW w:w="709"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18</w:t>
            </w:r>
          </w:p>
        </w:tc>
      </w:tr>
      <w:tr w:rsidR="00C90448" w:rsidRPr="00D93644" w:rsidTr="006502D5">
        <w:trPr>
          <w:trHeight w:val="276"/>
        </w:trPr>
        <w:tc>
          <w:tcPr>
            <w:tcW w:w="65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C90448" w:rsidRPr="006502D5" w:rsidRDefault="00C90448" w:rsidP="00CA7991">
            <w:pPr>
              <w:spacing w:line="240" w:lineRule="auto"/>
              <w:rPr>
                <w:rFonts w:cs="Arial"/>
                <w:b/>
                <w:sz w:val="19"/>
                <w:szCs w:val="19"/>
              </w:rPr>
            </w:pPr>
            <w:r w:rsidRPr="006502D5">
              <w:rPr>
                <w:rFonts w:cs="Arial"/>
                <w:b/>
                <w:sz w:val="19"/>
                <w:szCs w:val="19"/>
              </w:rPr>
              <w:t>F</w:t>
            </w:r>
          </w:p>
        </w:tc>
        <w:tc>
          <w:tcPr>
            <w:tcW w:w="512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C90448" w:rsidRPr="006502D5" w:rsidRDefault="00C90448" w:rsidP="00CA7991">
            <w:pPr>
              <w:spacing w:line="240" w:lineRule="auto"/>
              <w:rPr>
                <w:rFonts w:cs="Arial"/>
                <w:b/>
                <w:sz w:val="19"/>
                <w:szCs w:val="19"/>
              </w:rPr>
            </w:pPr>
            <w:r w:rsidRPr="006502D5">
              <w:rPr>
                <w:rFonts w:cs="Arial"/>
                <w:b/>
                <w:sz w:val="19"/>
                <w:szCs w:val="19"/>
              </w:rPr>
              <w:t>Construction</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5.4</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8.81</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7.4</w:t>
            </w:r>
          </w:p>
        </w:tc>
      </w:tr>
      <w:tr w:rsidR="00C90448" w:rsidRPr="00D93644" w:rsidTr="006502D5">
        <w:trPr>
          <w:trHeight w:val="276"/>
        </w:trPr>
        <w:tc>
          <w:tcPr>
            <w:tcW w:w="653" w:type="dxa"/>
            <w:tcBorders>
              <w:top w:val="single" w:sz="4" w:space="0" w:color="auto"/>
              <w:left w:val="single" w:sz="4" w:space="0" w:color="auto"/>
              <w:bottom w:val="single" w:sz="4" w:space="0" w:color="auto"/>
              <w:right w:val="single" w:sz="4" w:space="0" w:color="auto"/>
            </w:tcBorders>
            <w:noWrap/>
          </w:tcPr>
          <w:p w:rsidR="00C90448" w:rsidRPr="006502D5" w:rsidRDefault="00C90448" w:rsidP="00CA7991">
            <w:pPr>
              <w:spacing w:line="240" w:lineRule="auto"/>
              <w:rPr>
                <w:rFonts w:cs="Arial"/>
                <w:b/>
                <w:sz w:val="19"/>
                <w:szCs w:val="19"/>
              </w:rPr>
            </w:pPr>
            <w:r w:rsidRPr="006502D5">
              <w:rPr>
                <w:rFonts w:cs="Arial"/>
                <w:b/>
                <w:sz w:val="19"/>
                <w:szCs w:val="19"/>
              </w:rPr>
              <w:t>G-I</w:t>
            </w:r>
          </w:p>
        </w:tc>
        <w:tc>
          <w:tcPr>
            <w:tcW w:w="5125" w:type="dxa"/>
            <w:tcBorders>
              <w:top w:val="single" w:sz="4" w:space="0" w:color="auto"/>
              <w:left w:val="single" w:sz="4" w:space="0" w:color="auto"/>
              <w:bottom w:val="single" w:sz="4" w:space="0" w:color="auto"/>
              <w:right w:val="single" w:sz="4" w:space="0" w:color="auto"/>
            </w:tcBorders>
            <w:noWrap/>
          </w:tcPr>
          <w:p w:rsidR="00C90448" w:rsidRPr="006502D5" w:rsidRDefault="00C90448" w:rsidP="00CA7991">
            <w:pPr>
              <w:spacing w:line="240" w:lineRule="auto"/>
              <w:rPr>
                <w:rFonts w:cs="Arial"/>
                <w:b/>
                <w:sz w:val="19"/>
                <w:szCs w:val="19"/>
              </w:rPr>
            </w:pPr>
            <w:r w:rsidRPr="006502D5">
              <w:rPr>
                <w:rFonts w:cs="Arial"/>
                <w:b/>
                <w:sz w:val="19"/>
                <w:szCs w:val="19"/>
              </w:rPr>
              <w:t>Wholesale, retail, transport, accomm., food services</w:t>
            </w:r>
          </w:p>
        </w:tc>
        <w:tc>
          <w:tcPr>
            <w:tcW w:w="851"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32</w:t>
            </w:r>
          </w:p>
        </w:tc>
        <w:tc>
          <w:tcPr>
            <w:tcW w:w="992"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44.1</w:t>
            </w:r>
          </w:p>
        </w:tc>
        <w:tc>
          <w:tcPr>
            <w:tcW w:w="709"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24</w:t>
            </w:r>
          </w:p>
        </w:tc>
      </w:tr>
      <w:tr w:rsidR="00C90448" w:rsidRPr="00D93644" w:rsidTr="006502D5">
        <w:trPr>
          <w:trHeight w:val="276"/>
        </w:trPr>
        <w:tc>
          <w:tcPr>
            <w:tcW w:w="65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C90448" w:rsidRPr="006502D5" w:rsidRDefault="00C90448" w:rsidP="00CA7991">
            <w:pPr>
              <w:spacing w:line="240" w:lineRule="auto"/>
              <w:rPr>
                <w:rFonts w:cs="Arial"/>
                <w:b/>
                <w:sz w:val="19"/>
                <w:szCs w:val="19"/>
              </w:rPr>
            </w:pPr>
            <w:r w:rsidRPr="006502D5">
              <w:rPr>
                <w:rFonts w:cs="Arial"/>
                <w:b/>
                <w:sz w:val="19"/>
                <w:szCs w:val="19"/>
              </w:rPr>
              <w:t>J</w:t>
            </w:r>
          </w:p>
        </w:tc>
        <w:tc>
          <w:tcPr>
            <w:tcW w:w="512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C90448" w:rsidRPr="006502D5" w:rsidRDefault="00C90448" w:rsidP="00CA7991">
            <w:pPr>
              <w:spacing w:line="240" w:lineRule="auto"/>
              <w:rPr>
                <w:rFonts w:cs="Arial"/>
                <w:b/>
                <w:sz w:val="19"/>
                <w:szCs w:val="19"/>
              </w:rPr>
            </w:pPr>
            <w:r w:rsidRPr="006502D5">
              <w:rPr>
                <w:rFonts w:cs="Arial"/>
                <w:b/>
                <w:sz w:val="19"/>
                <w:szCs w:val="19"/>
              </w:rPr>
              <w:t>Information and communication</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3.4</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2.66</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2.9</w:t>
            </w:r>
          </w:p>
        </w:tc>
      </w:tr>
      <w:tr w:rsidR="00C90448" w:rsidRPr="00D93644" w:rsidTr="006502D5">
        <w:trPr>
          <w:trHeight w:val="276"/>
        </w:trPr>
        <w:tc>
          <w:tcPr>
            <w:tcW w:w="653" w:type="dxa"/>
            <w:tcBorders>
              <w:top w:val="single" w:sz="4" w:space="0" w:color="auto"/>
              <w:left w:val="single" w:sz="4" w:space="0" w:color="auto"/>
              <w:bottom w:val="single" w:sz="4" w:space="0" w:color="auto"/>
              <w:right w:val="single" w:sz="4" w:space="0" w:color="auto"/>
            </w:tcBorders>
            <w:noWrap/>
          </w:tcPr>
          <w:p w:rsidR="00C90448" w:rsidRPr="006502D5" w:rsidRDefault="00C90448" w:rsidP="00CA7991">
            <w:pPr>
              <w:spacing w:line="240" w:lineRule="auto"/>
              <w:rPr>
                <w:rFonts w:cs="Arial"/>
                <w:b/>
                <w:sz w:val="19"/>
                <w:szCs w:val="19"/>
              </w:rPr>
            </w:pPr>
            <w:r w:rsidRPr="006502D5">
              <w:rPr>
                <w:rFonts w:cs="Arial"/>
                <w:b/>
                <w:sz w:val="19"/>
                <w:szCs w:val="19"/>
              </w:rPr>
              <w:t>K</w:t>
            </w:r>
          </w:p>
        </w:tc>
        <w:tc>
          <w:tcPr>
            <w:tcW w:w="5125" w:type="dxa"/>
            <w:tcBorders>
              <w:top w:val="single" w:sz="4" w:space="0" w:color="auto"/>
              <w:left w:val="single" w:sz="4" w:space="0" w:color="auto"/>
              <w:bottom w:val="single" w:sz="4" w:space="0" w:color="auto"/>
              <w:right w:val="single" w:sz="4" w:space="0" w:color="auto"/>
            </w:tcBorders>
            <w:noWrap/>
          </w:tcPr>
          <w:p w:rsidR="00C90448" w:rsidRPr="006502D5" w:rsidRDefault="00C90448" w:rsidP="00CA7991">
            <w:pPr>
              <w:spacing w:line="240" w:lineRule="auto"/>
              <w:rPr>
                <w:rFonts w:cs="Arial"/>
                <w:b/>
                <w:sz w:val="19"/>
                <w:szCs w:val="19"/>
              </w:rPr>
            </w:pPr>
            <w:r w:rsidRPr="006502D5">
              <w:rPr>
                <w:rFonts w:cs="Arial"/>
                <w:b/>
                <w:sz w:val="19"/>
                <w:szCs w:val="19"/>
              </w:rPr>
              <w:t>Financial and insurance</w:t>
            </w:r>
          </w:p>
        </w:tc>
        <w:tc>
          <w:tcPr>
            <w:tcW w:w="851"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4.7</w:t>
            </w:r>
          </w:p>
        </w:tc>
        <w:tc>
          <w:tcPr>
            <w:tcW w:w="992"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4.04</w:t>
            </w:r>
          </w:p>
        </w:tc>
        <w:tc>
          <w:tcPr>
            <w:tcW w:w="709"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3</w:t>
            </w:r>
          </w:p>
        </w:tc>
      </w:tr>
      <w:tr w:rsidR="00C90448" w:rsidRPr="00D93644" w:rsidTr="006502D5">
        <w:trPr>
          <w:trHeight w:val="276"/>
        </w:trPr>
        <w:tc>
          <w:tcPr>
            <w:tcW w:w="65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C90448" w:rsidRPr="006502D5" w:rsidRDefault="00C90448" w:rsidP="00CA7991">
            <w:pPr>
              <w:spacing w:line="240" w:lineRule="auto"/>
              <w:rPr>
                <w:rFonts w:cs="Arial"/>
                <w:b/>
                <w:sz w:val="19"/>
                <w:szCs w:val="19"/>
              </w:rPr>
            </w:pPr>
            <w:r w:rsidRPr="006502D5">
              <w:rPr>
                <w:rFonts w:cs="Arial"/>
                <w:b/>
                <w:sz w:val="19"/>
                <w:szCs w:val="19"/>
              </w:rPr>
              <w:t>L</w:t>
            </w:r>
          </w:p>
        </w:tc>
        <w:tc>
          <w:tcPr>
            <w:tcW w:w="512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C90448" w:rsidRPr="006502D5" w:rsidRDefault="00C90448" w:rsidP="00CA7991">
            <w:pPr>
              <w:spacing w:line="240" w:lineRule="auto"/>
              <w:rPr>
                <w:rFonts w:cs="Arial"/>
                <w:b/>
                <w:sz w:val="19"/>
                <w:szCs w:val="19"/>
              </w:rPr>
            </w:pPr>
            <w:r w:rsidRPr="006502D5">
              <w:rPr>
                <w:rFonts w:cs="Arial"/>
                <w:b/>
                <w:sz w:val="19"/>
                <w:szCs w:val="19"/>
              </w:rPr>
              <w:t>Real estate</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0.2</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0.2</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0.8</w:t>
            </w:r>
          </w:p>
        </w:tc>
      </w:tr>
      <w:tr w:rsidR="00C90448" w:rsidRPr="00D93644" w:rsidTr="006502D5">
        <w:trPr>
          <w:trHeight w:val="276"/>
        </w:trPr>
        <w:tc>
          <w:tcPr>
            <w:tcW w:w="653" w:type="dxa"/>
            <w:tcBorders>
              <w:top w:val="single" w:sz="4" w:space="0" w:color="auto"/>
              <w:left w:val="single" w:sz="4" w:space="0" w:color="auto"/>
              <w:bottom w:val="single" w:sz="4" w:space="0" w:color="auto"/>
              <w:right w:val="single" w:sz="4" w:space="0" w:color="auto"/>
            </w:tcBorders>
            <w:noWrap/>
          </w:tcPr>
          <w:p w:rsidR="00C90448" w:rsidRPr="006502D5" w:rsidRDefault="00C90448" w:rsidP="00CA7991">
            <w:pPr>
              <w:spacing w:line="240" w:lineRule="auto"/>
              <w:rPr>
                <w:rFonts w:cs="Arial"/>
                <w:b/>
                <w:sz w:val="19"/>
                <w:szCs w:val="19"/>
              </w:rPr>
            </w:pPr>
            <w:r w:rsidRPr="006502D5">
              <w:rPr>
                <w:rFonts w:cs="Arial"/>
                <w:b/>
                <w:sz w:val="19"/>
                <w:szCs w:val="19"/>
              </w:rPr>
              <w:t>M-N</w:t>
            </w:r>
          </w:p>
        </w:tc>
        <w:tc>
          <w:tcPr>
            <w:tcW w:w="5125" w:type="dxa"/>
            <w:tcBorders>
              <w:top w:val="single" w:sz="4" w:space="0" w:color="auto"/>
              <w:left w:val="single" w:sz="4" w:space="0" w:color="auto"/>
              <w:bottom w:val="single" w:sz="4" w:space="0" w:color="auto"/>
              <w:right w:val="single" w:sz="4" w:space="0" w:color="auto"/>
            </w:tcBorders>
            <w:noWrap/>
          </w:tcPr>
          <w:p w:rsidR="00C90448" w:rsidRPr="006502D5" w:rsidRDefault="00C90448" w:rsidP="00CA7991">
            <w:pPr>
              <w:spacing w:line="240" w:lineRule="auto"/>
              <w:rPr>
                <w:rFonts w:cs="Arial"/>
                <w:b/>
                <w:sz w:val="19"/>
                <w:szCs w:val="19"/>
              </w:rPr>
            </w:pPr>
            <w:r w:rsidRPr="006502D5">
              <w:rPr>
                <w:rFonts w:cs="Arial"/>
                <w:b/>
                <w:sz w:val="19"/>
                <w:szCs w:val="19"/>
              </w:rPr>
              <w:t>Professional, scientific, admin. and support</w:t>
            </w:r>
          </w:p>
        </w:tc>
        <w:tc>
          <w:tcPr>
            <w:tcW w:w="851"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9.8</w:t>
            </w:r>
          </w:p>
        </w:tc>
        <w:tc>
          <w:tcPr>
            <w:tcW w:w="992"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10.3</w:t>
            </w:r>
          </w:p>
        </w:tc>
        <w:tc>
          <w:tcPr>
            <w:tcW w:w="709"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9</w:t>
            </w:r>
          </w:p>
        </w:tc>
      </w:tr>
      <w:tr w:rsidR="00C90448" w:rsidRPr="00D93644" w:rsidTr="006502D5">
        <w:trPr>
          <w:trHeight w:val="276"/>
        </w:trPr>
        <w:tc>
          <w:tcPr>
            <w:tcW w:w="65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C90448" w:rsidRPr="006502D5" w:rsidRDefault="00C90448" w:rsidP="00CA7991">
            <w:pPr>
              <w:spacing w:line="240" w:lineRule="auto"/>
              <w:rPr>
                <w:rFonts w:cs="Arial"/>
                <w:b/>
                <w:sz w:val="19"/>
                <w:szCs w:val="19"/>
              </w:rPr>
            </w:pPr>
            <w:r w:rsidRPr="006502D5">
              <w:rPr>
                <w:rFonts w:cs="Arial"/>
                <w:b/>
                <w:sz w:val="19"/>
                <w:szCs w:val="19"/>
              </w:rPr>
              <w:t>O-Q</w:t>
            </w:r>
          </w:p>
        </w:tc>
        <w:tc>
          <w:tcPr>
            <w:tcW w:w="512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C90448" w:rsidRPr="006502D5" w:rsidRDefault="00C90448" w:rsidP="00CA7991">
            <w:pPr>
              <w:spacing w:line="240" w:lineRule="auto"/>
              <w:rPr>
                <w:rFonts w:cs="Arial"/>
                <w:b/>
                <w:sz w:val="19"/>
                <w:szCs w:val="19"/>
              </w:rPr>
            </w:pPr>
            <w:r w:rsidRPr="006502D5">
              <w:rPr>
                <w:rFonts w:cs="Arial"/>
                <w:b/>
                <w:sz w:val="19"/>
                <w:szCs w:val="19"/>
              </w:rPr>
              <w:t>Public admin., defence, education, health and social work</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24</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32</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25</w:t>
            </w:r>
          </w:p>
        </w:tc>
      </w:tr>
      <w:tr w:rsidR="00C90448" w:rsidRPr="00D93644" w:rsidTr="006502D5">
        <w:trPr>
          <w:trHeight w:val="276"/>
        </w:trPr>
        <w:tc>
          <w:tcPr>
            <w:tcW w:w="653" w:type="dxa"/>
            <w:tcBorders>
              <w:top w:val="single" w:sz="4" w:space="0" w:color="auto"/>
              <w:left w:val="single" w:sz="4" w:space="0" w:color="auto"/>
              <w:bottom w:val="single" w:sz="4" w:space="0" w:color="auto"/>
              <w:right w:val="single" w:sz="4" w:space="0" w:color="auto"/>
            </w:tcBorders>
            <w:noWrap/>
          </w:tcPr>
          <w:p w:rsidR="00C90448" w:rsidRPr="006502D5" w:rsidRDefault="00C90448" w:rsidP="00CA7991">
            <w:pPr>
              <w:spacing w:line="240" w:lineRule="auto"/>
              <w:rPr>
                <w:rFonts w:cs="Arial"/>
                <w:b/>
                <w:sz w:val="19"/>
                <w:szCs w:val="19"/>
              </w:rPr>
            </w:pPr>
            <w:r w:rsidRPr="006502D5">
              <w:rPr>
                <w:rFonts w:cs="Arial"/>
                <w:b/>
                <w:sz w:val="19"/>
                <w:szCs w:val="19"/>
              </w:rPr>
              <w:t>R-U</w:t>
            </w:r>
          </w:p>
        </w:tc>
        <w:tc>
          <w:tcPr>
            <w:tcW w:w="5125" w:type="dxa"/>
            <w:tcBorders>
              <w:top w:val="single" w:sz="4" w:space="0" w:color="auto"/>
              <w:left w:val="single" w:sz="4" w:space="0" w:color="auto"/>
              <w:bottom w:val="single" w:sz="4" w:space="0" w:color="auto"/>
              <w:right w:val="single" w:sz="4" w:space="0" w:color="auto"/>
            </w:tcBorders>
            <w:noWrap/>
          </w:tcPr>
          <w:p w:rsidR="00C90448" w:rsidRPr="006502D5" w:rsidRDefault="00C90448" w:rsidP="00CA7991">
            <w:pPr>
              <w:spacing w:line="240" w:lineRule="auto"/>
              <w:rPr>
                <w:rFonts w:cs="Arial"/>
                <w:b/>
                <w:sz w:val="19"/>
                <w:szCs w:val="19"/>
              </w:rPr>
            </w:pPr>
            <w:r w:rsidRPr="006502D5">
              <w:rPr>
                <w:rFonts w:cs="Arial"/>
                <w:b/>
                <w:sz w:val="19"/>
                <w:szCs w:val="19"/>
              </w:rPr>
              <w:t>Arts, entertainment, recreation</w:t>
            </w:r>
          </w:p>
        </w:tc>
        <w:tc>
          <w:tcPr>
            <w:tcW w:w="851"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6.9</w:t>
            </w:r>
          </w:p>
        </w:tc>
        <w:tc>
          <w:tcPr>
            <w:tcW w:w="992"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7.4</w:t>
            </w:r>
          </w:p>
        </w:tc>
        <w:tc>
          <w:tcPr>
            <w:tcW w:w="709" w:type="dxa"/>
            <w:tcBorders>
              <w:top w:val="single" w:sz="4" w:space="0" w:color="auto"/>
              <w:left w:val="single" w:sz="4" w:space="0" w:color="auto"/>
              <w:bottom w:val="single" w:sz="4" w:space="0" w:color="auto"/>
              <w:right w:val="single" w:sz="4" w:space="0" w:color="auto"/>
            </w:tcBorders>
            <w:noWrap/>
            <w:vAlign w:val="bottom"/>
          </w:tcPr>
          <w:p w:rsidR="00C90448" w:rsidRPr="006502D5" w:rsidRDefault="00C90448" w:rsidP="00CA7991">
            <w:pPr>
              <w:spacing w:line="240" w:lineRule="auto"/>
              <w:jc w:val="right"/>
              <w:rPr>
                <w:rFonts w:cs="Arial"/>
                <w:sz w:val="19"/>
                <w:szCs w:val="19"/>
              </w:rPr>
            </w:pPr>
            <w:r w:rsidRPr="006502D5">
              <w:rPr>
                <w:rFonts w:cs="Arial"/>
                <w:sz w:val="19"/>
                <w:szCs w:val="19"/>
              </w:rPr>
              <w:t>5.4</w:t>
            </w:r>
          </w:p>
        </w:tc>
      </w:tr>
    </w:tbl>
    <w:p w:rsidR="00C90448" w:rsidRPr="00D93644" w:rsidRDefault="00C90448" w:rsidP="007C7EFC">
      <w:pPr>
        <w:spacing w:before="0" w:after="240"/>
        <w:rPr>
          <w:rFonts w:cs="Arial"/>
          <w:sz w:val="16"/>
          <w:szCs w:val="16"/>
          <w:lang w:val="en-US"/>
        </w:rPr>
      </w:pPr>
      <w:r w:rsidRPr="007C7EFC">
        <w:rPr>
          <w:rFonts w:cs="Arial"/>
          <w:b/>
          <w:sz w:val="16"/>
          <w:szCs w:val="16"/>
          <w:lang w:val="en-US"/>
        </w:rPr>
        <w:t>Source:</w:t>
      </w:r>
      <w:r w:rsidRPr="00D93644">
        <w:rPr>
          <w:rFonts w:cs="Arial"/>
          <w:sz w:val="16"/>
          <w:szCs w:val="16"/>
          <w:lang w:val="en-US"/>
        </w:rPr>
        <w:t xml:space="preserve"> Eurostat REGIO database</w:t>
      </w:r>
    </w:p>
    <w:p w:rsidR="006502D5" w:rsidRDefault="00C90448" w:rsidP="006502D5">
      <w:pPr>
        <w:spacing w:line="276" w:lineRule="auto"/>
        <w:rPr>
          <w:rFonts w:cs="Arial"/>
          <w:lang w:val="en-US"/>
        </w:rPr>
      </w:pPr>
      <w:r w:rsidRPr="00D93644">
        <w:rPr>
          <w:rFonts w:cs="Arial"/>
          <w:lang w:val="en-US"/>
        </w:rPr>
        <w:t xml:space="preserve">The Region of Attiki hosts the capital city of the country. The urban character of the Region of Attiki is </w:t>
      </w:r>
      <w:r w:rsidR="009179CE">
        <w:rPr>
          <w:rFonts w:cs="Arial"/>
          <w:lang w:val="en-US"/>
        </w:rPr>
        <w:t>indicated</w:t>
      </w:r>
      <w:r w:rsidRPr="00D93644">
        <w:rPr>
          <w:rFonts w:cs="Arial"/>
          <w:lang w:val="en-US"/>
        </w:rPr>
        <w:t xml:space="preserve"> by its classification in the ESPON typology (see</w:t>
      </w:r>
      <w:r w:rsidR="006502D5">
        <w:rPr>
          <w:rFonts w:cs="Arial"/>
          <w:lang w:val="en-US"/>
        </w:rPr>
        <w:t xml:space="preserve"> </w:t>
      </w:r>
      <w:r w:rsidR="006502D5">
        <w:rPr>
          <w:rFonts w:cs="Arial"/>
          <w:lang w:val="en-US"/>
        </w:rPr>
        <w:fldChar w:fldCharType="begin"/>
      </w:r>
      <w:r w:rsidR="006502D5">
        <w:rPr>
          <w:rFonts w:cs="Arial"/>
          <w:lang w:val="en-US"/>
        </w:rPr>
        <w:instrText xml:space="preserve"> REF _Ref384741374 \h </w:instrText>
      </w:r>
      <w:r w:rsidR="006502D5">
        <w:rPr>
          <w:rFonts w:cs="Arial"/>
          <w:lang w:val="en-US"/>
        </w:rPr>
      </w:r>
      <w:r w:rsidR="006502D5">
        <w:rPr>
          <w:rFonts w:cs="Arial"/>
          <w:lang w:val="en-US"/>
        </w:rPr>
        <w:fldChar w:fldCharType="separate"/>
      </w:r>
      <w:r w:rsidR="002634D4">
        <w:t xml:space="preserve">Table </w:t>
      </w:r>
      <w:r w:rsidR="002634D4">
        <w:rPr>
          <w:noProof/>
        </w:rPr>
        <w:t>6</w:t>
      </w:r>
      <w:r w:rsidR="006502D5">
        <w:rPr>
          <w:rFonts w:cs="Arial"/>
          <w:lang w:val="en-US"/>
        </w:rPr>
        <w:fldChar w:fldCharType="end"/>
      </w:r>
      <w:r w:rsidRPr="00D93644">
        <w:rPr>
          <w:rFonts w:cs="Arial"/>
          <w:lang w:val="en-US"/>
        </w:rPr>
        <w:t xml:space="preserve">). It is also evidenced by its population density (1,001.11 inhabitants per 1km grid cell, Hellenic Statistical Authority, Map 1.2) and the quite unimportant share of the primary sector employment in the total private sector (0,89 % in 2006, EDORA Future Perspective). At the same time, however, quite large parts of the Region are mountainous and covered by agricultural land, semi-natural areas, wetlands and forests (the latter uses represent around 73% of the region’s surface, see </w:t>
      </w:r>
      <w:r w:rsidR="00611E25">
        <w:rPr>
          <w:rFonts w:cs="Arial"/>
          <w:lang w:val="en-US"/>
        </w:rPr>
        <w:fldChar w:fldCharType="begin"/>
      </w:r>
      <w:r w:rsidR="00611E25">
        <w:rPr>
          <w:rFonts w:cs="Arial"/>
          <w:lang w:val="en-US"/>
        </w:rPr>
        <w:instrText xml:space="preserve"> REF _Ref384741662 \h </w:instrText>
      </w:r>
      <w:r w:rsidR="00611E25">
        <w:rPr>
          <w:rFonts w:cs="Arial"/>
          <w:lang w:val="en-US"/>
        </w:rPr>
      </w:r>
      <w:r w:rsidR="00611E25">
        <w:rPr>
          <w:rFonts w:cs="Arial"/>
          <w:lang w:val="en-US"/>
        </w:rPr>
        <w:fldChar w:fldCharType="separate"/>
      </w:r>
      <w:r w:rsidR="002634D4">
        <w:t xml:space="preserve">Table </w:t>
      </w:r>
      <w:r w:rsidR="002634D4">
        <w:rPr>
          <w:noProof/>
        </w:rPr>
        <w:t>7</w:t>
      </w:r>
      <w:r w:rsidR="00611E25">
        <w:rPr>
          <w:rFonts w:cs="Arial"/>
          <w:lang w:val="en-US"/>
        </w:rPr>
        <w:fldChar w:fldCharType="end"/>
      </w:r>
      <w:r w:rsidR="00611E25">
        <w:rPr>
          <w:rFonts w:cs="Arial"/>
          <w:lang w:val="en-US"/>
        </w:rPr>
        <w:t xml:space="preserve"> </w:t>
      </w:r>
      <w:r w:rsidRPr="00D93644">
        <w:rPr>
          <w:rFonts w:cs="Arial"/>
          <w:lang w:val="en-US"/>
        </w:rPr>
        <w:t>and Map 1.3).</w:t>
      </w:r>
      <w:bookmarkStart w:id="20" w:name="_Toc340841254"/>
    </w:p>
    <w:p w:rsidR="00F430B9" w:rsidRPr="00F430B9" w:rsidRDefault="00F430B9" w:rsidP="006502D5">
      <w:pPr>
        <w:spacing w:line="276" w:lineRule="auto"/>
        <w:rPr>
          <w:rFonts w:cs="Arial"/>
          <w:sz w:val="10"/>
          <w:szCs w:val="10"/>
          <w:lang w:val="en-US"/>
        </w:rPr>
      </w:pPr>
    </w:p>
    <w:p w:rsidR="006502D5" w:rsidRDefault="006502D5" w:rsidP="00611E25">
      <w:pPr>
        <w:pStyle w:val="Caption"/>
        <w:keepNext/>
        <w:spacing w:after="120"/>
      </w:pPr>
      <w:bookmarkStart w:id="21" w:name="_Ref384741374"/>
      <w:bookmarkStart w:id="22" w:name="_Toc386013242"/>
      <w:bookmarkEnd w:id="20"/>
      <w:r>
        <w:t xml:space="preserve">Table </w:t>
      </w:r>
      <w:r w:rsidR="00CC1B00">
        <w:fldChar w:fldCharType="begin"/>
      </w:r>
      <w:r w:rsidR="00CC1B00">
        <w:instrText xml:space="preserve"> SEQ Table \* ARABIC </w:instrText>
      </w:r>
      <w:r w:rsidR="00CC1B00">
        <w:fldChar w:fldCharType="separate"/>
      </w:r>
      <w:r w:rsidR="002634D4">
        <w:rPr>
          <w:noProof/>
        </w:rPr>
        <w:t>6</w:t>
      </w:r>
      <w:r w:rsidR="00CC1B00">
        <w:rPr>
          <w:noProof/>
        </w:rPr>
        <w:fldChar w:fldCharType="end"/>
      </w:r>
      <w:bookmarkEnd w:id="21"/>
      <w:r>
        <w:t xml:space="preserve">: </w:t>
      </w:r>
      <w:r w:rsidRPr="00D93644">
        <w:rPr>
          <w:rFonts w:cs="Arial"/>
          <w:lang w:val="en-US"/>
        </w:rPr>
        <w:t>ESPON CU typology and classification of the Region of Attiki</w:t>
      </w:r>
      <w:bookmarkEnd w:id="22"/>
    </w:p>
    <w:tbl>
      <w:tblPr>
        <w:tblW w:w="9074"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544"/>
        <w:gridCol w:w="5530"/>
      </w:tblGrid>
      <w:tr w:rsidR="00615957" w:rsidTr="006502D5">
        <w:tc>
          <w:tcPr>
            <w:tcW w:w="3544" w:type="dxa"/>
            <w:tcBorders>
              <w:bottom w:val="single" w:sz="18" w:space="0" w:color="auto"/>
            </w:tcBorders>
            <w:shd w:val="clear" w:color="auto" w:fill="auto"/>
            <w:vAlign w:val="center"/>
          </w:tcPr>
          <w:p w:rsidR="00C90448" w:rsidRPr="006502D5" w:rsidRDefault="00C90448" w:rsidP="00611E25">
            <w:pPr>
              <w:pStyle w:val="a"/>
              <w:snapToGrid w:val="0"/>
              <w:spacing w:before="20" w:after="20"/>
              <w:rPr>
                <w:rFonts w:ascii="Arial" w:hAnsi="Arial" w:cs="Arial"/>
                <w:b/>
                <w:bCs/>
                <w:sz w:val="19"/>
                <w:szCs w:val="19"/>
              </w:rPr>
            </w:pPr>
            <w:r w:rsidRPr="006502D5">
              <w:rPr>
                <w:rFonts w:ascii="Arial" w:hAnsi="Arial" w:cs="Arial"/>
                <w:b/>
                <w:bCs/>
                <w:sz w:val="19"/>
                <w:szCs w:val="19"/>
              </w:rPr>
              <w:t>Typology</w:t>
            </w:r>
          </w:p>
        </w:tc>
        <w:tc>
          <w:tcPr>
            <w:tcW w:w="5530" w:type="dxa"/>
            <w:tcBorders>
              <w:bottom w:val="single" w:sz="18" w:space="0" w:color="auto"/>
            </w:tcBorders>
            <w:shd w:val="clear" w:color="auto" w:fill="auto"/>
            <w:vAlign w:val="center"/>
          </w:tcPr>
          <w:p w:rsidR="00C90448" w:rsidRPr="006502D5" w:rsidRDefault="00C90448" w:rsidP="00611E25">
            <w:pPr>
              <w:pStyle w:val="a"/>
              <w:snapToGrid w:val="0"/>
              <w:spacing w:before="20" w:after="20"/>
              <w:rPr>
                <w:rFonts w:ascii="Arial" w:hAnsi="Arial" w:cs="Arial"/>
                <w:b/>
                <w:bCs/>
                <w:sz w:val="19"/>
                <w:szCs w:val="19"/>
                <w:lang w:val="en-US"/>
              </w:rPr>
            </w:pPr>
            <w:r w:rsidRPr="006502D5">
              <w:rPr>
                <w:rFonts w:ascii="Arial" w:hAnsi="Arial" w:cs="Arial"/>
                <w:b/>
                <w:bCs/>
                <w:sz w:val="19"/>
                <w:szCs w:val="19"/>
                <w:lang w:val="en-US"/>
              </w:rPr>
              <w:t>Classification of the Region of Attiki</w:t>
            </w:r>
          </w:p>
        </w:tc>
      </w:tr>
      <w:tr w:rsidR="00615957" w:rsidTr="006502D5">
        <w:tc>
          <w:tcPr>
            <w:tcW w:w="3544" w:type="dxa"/>
            <w:tcBorders>
              <w:top w:val="single" w:sz="18" w:space="0" w:color="auto"/>
            </w:tcBorders>
            <w:shd w:val="clear" w:color="auto" w:fill="D9D9D9" w:themeFill="background1" w:themeFillShade="D9"/>
          </w:tcPr>
          <w:p w:rsidR="00C90448" w:rsidRPr="006502D5" w:rsidRDefault="00C90448" w:rsidP="00611E25">
            <w:pPr>
              <w:snapToGrid w:val="0"/>
              <w:spacing w:before="20" w:after="20" w:line="240" w:lineRule="auto"/>
              <w:jc w:val="left"/>
              <w:rPr>
                <w:rFonts w:eastAsia="Verdana" w:cs="Arial"/>
                <w:sz w:val="19"/>
                <w:szCs w:val="19"/>
              </w:rPr>
            </w:pPr>
            <w:r w:rsidRPr="006502D5">
              <w:rPr>
                <w:rFonts w:eastAsia="Verdana" w:cs="Arial"/>
                <w:sz w:val="19"/>
                <w:szCs w:val="19"/>
              </w:rPr>
              <w:t>1. Urban-rural regions</w:t>
            </w:r>
          </w:p>
        </w:tc>
        <w:tc>
          <w:tcPr>
            <w:tcW w:w="5530" w:type="dxa"/>
            <w:tcBorders>
              <w:top w:val="single" w:sz="18" w:space="0" w:color="auto"/>
            </w:tcBorders>
            <w:shd w:val="clear" w:color="auto" w:fill="D9D9D9" w:themeFill="background1" w:themeFillShade="D9"/>
          </w:tcPr>
          <w:p w:rsidR="00C90448" w:rsidRPr="006502D5" w:rsidRDefault="00C90448" w:rsidP="00611E25">
            <w:pPr>
              <w:pStyle w:val="a"/>
              <w:snapToGrid w:val="0"/>
              <w:spacing w:before="20" w:after="20"/>
              <w:rPr>
                <w:rFonts w:ascii="Arial" w:hAnsi="Arial" w:cs="Arial"/>
                <w:sz w:val="19"/>
                <w:szCs w:val="19"/>
                <w:u w:val="single"/>
              </w:rPr>
            </w:pPr>
            <w:r w:rsidRPr="006502D5">
              <w:rPr>
                <w:rFonts w:ascii="Arial" w:hAnsi="Arial" w:cs="Arial"/>
                <w:sz w:val="19"/>
                <w:szCs w:val="19"/>
                <w:u w:val="single"/>
              </w:rPr>
              <w:t>Predominantly urban region</w:t>
            </w:r>
          </w:p>
        </w:tc>
      </w:tr>
      <w:tr w:rsidR="00615957" w:rsidTr="006502D5">
        <w:tc>
          <w:tcPr>
            <w:tcW w:w="3544" w:type="dxa"/>
            <w:shd w:val="clear" w:color="auto" w:fill="auto"/>
          </w:tcPr>
          <w:p w:rsidR="00C90448" w:rsidRPr="006502D5" w:rsidRDefault="00C90448" w:rsidP="00611E25">
            <w:pPr>
              <w:snapToGrid w:val="0"/>
              <w:spacing w:before="20" w:after="20" w:line="240" w:lineRule="auto"/>
              <w:jc w:val="left"/>
              <w:rPr>
                <w:rFonts w:eastAsia="Verdana" w:cs="Arial"/>
                <w:sz w:val="19"/>
                <w:szCs w:val="19"/>
              </w:rPr>
            </w:pPr>
            <w:r w:rsidRPr="006502D5">
              <w:rPr>
                <w:rFonts w:eastAsia="Verdana" w:cs="Arial"/>
                <w:sz w:val="19"/>
                <w:szCs w:val="19"/>
              </w:rPr>
              <w:t>2. Metropolitan regions</w:t>
            </w:r>
          </w:p>
        </w:tc>
        <w:tc>
          <w:tcPr>
            <w:tcW w:w="5530" w:type="dxa"/>
            <w:shd w:val="clear" w:color="auto" w:fill="auto"/>
          </w:tcPr>
          <w:p w:rsidR="00C90448" w:rsidRPr="006502D5" w:rsidRDefault="00C90448" w:rsidP="00611E25">
            <w:pPr>
              <w:snapToGrid w:val="0"/>
              <w:spacing w:before="20" w:after="20" w:line="240" w:lineRule="auto"/>
              <w:jc w:val="left"/>
              <w:rPr>
                <w:rFonts w:eastAsia="Verdana" w:cs="Arial"/>
                <w:sz w:val="19"/>
                <w:szCs w:val="19"/>
                <w:u w:val="single"/>
              </w:rPr>
            </w:pPr>
            <w:r w:rsidRPr="006502D5">
              <w:rPr>
                <w:rFonts w:eastAsia="Verdana" w:cs="Arial"/>
                <w:sz w:val="19"/>
                <w:szCs w:val="19"/>
                <w:u w:val="single"/>
              </w:rPr>
              <w:t>Capital city region</w:t>
            </w:r>
          </w:p>
        </w:tc>
      </w:tr>
      <w:tr w:rsidR="00615957" w:rsidTr="006502D5">
        <w:tc>
          <w:tcPr>
            <w:tcW w:w="3544" w:type="dxa"/>
            <w:shd w:val="clear" w:color="auto" w:fill="D9D9D9" w:themeFill="background1" w:themeFillShade="D9"/>
          </w:tcPr>
          <w:p w:rsidR="00C90448" w:rsidRPr="006502D5" w:rsidRDefault="00C90448" w:rsidP="00611E25">
            <w:pPr>
              <w:pStyle w:val="a"/>
              <w:snapToGrid w:val="0"/>
              <w:spacing w:before="20" w:after="20"/>
              <w:rPr>
                <w:rFonts w:ascii="Arial" w:eastAsia="Verdana" w:hAnsi="Arial" w:cs="Arial"/>
                <w:sz w:val="19"/>
                <w:szCs w:val="19"/>
              </w:rPr>
            </w:pPr>
            <w:r w:rsidRPr="006502D5">
              <w:rPr>
                <w:rFonts w:ascii="Arial" w:hAnsi="Arial" w:cs="Arial"/>
                <w:sz w:val="19"/>
                <w:szCs w:val="19"/>
              </w:rPr>
              <w:t xml:space="preserve">3. </w:t>
            </w:r>
            <w:r w:rsidRPr="006502D5">
              <w:rPr>
                <w:rFonts w:ascii="Arial" w:eastAsia="Verdana" w:hAnsi="Arial" w:cs="Arial"/>
                <w:sz w:val="19"/>
                <w:szCs w:val="19"/>
              </w:rPr>
              <w:t>Border regions</w:t>
            </w:r>
          </w:p>
        </w:tc>
        <w:tc>
          <w:tcPr>
            <w:tcW w:w="5530" w:type="dxa"/>
            <w:shd w:val="clear" w:color="auto" w:fill="D9D9D9" w:themeFill="background1" w:themeFillShade="D9"/>
          </w:tcPr>
          <w:p w:rsidR="00C90448" w:rsidRPr="006502D5" w:rsidRDefault="00C90448" w:rsidP="00611E25">
            <w:pPr>
              <w:pStyle w:val="a"/>
              <w:snapToGrid w:val="0"/>
              <w:spacing w:before="20" w:after="20"/>
              <w:rPr>
                <w:rFonts w:ascii="Arial" w:hAnsi="Arial" w:cs="Arial"/>
                <w:sz w:val="19"/>
                <w:szCs w:val="19"/>
                <w:lang w:val="en-US"/>
              </w:rPr>
            </w:pPr>
            <w:r w:rsidRPr="006502D5">
              <w:rPr>
                <w:rFonts w:ascii="Arial" w:hAnsi="Arial" w:cs="Arial"/>
                <w:sz w:val="19"/>
                <w:szCs w:val="19"/>
                <w:lang w:val="en-US"/>
              </w:rPr>
              <w:t>Other regions (not a border region)</w:t>
            </w:r>
          </w:p>
        </w:tc>
      </w:tr>
      <w:tr w:rsidR="00615957" w:rsidTr="006502D5">
        <w:tc>
          <w:tcPr>
            <w:tcW w:w="3544" w:type="dxa"/>
            <w:shd w:val="clear" w:color="auto" w:fill="auto"/>
          </w:tcPr>
          <w:p w:rsidR="00C90448" w:rsidRPr="006502D5" w:rsidRDefault="00C90448" w:rsidP="00611E25">
            <w:pPr>
              <w:pStyle w:val="a"/>
              <w:snapToGrid w:val="0"/>
              <w:spacing w:before="20" w:after="20"/>
              <w:rPr>
                <w:rFonts w:ascii="Arial" w:hAnsi="Arial" w:cs="Arial"/>
                <w:sz w:val="19"/>
                <w:szCs w:val="19"/>
              </w:rPr>
            </w:pPr>
            <w:r w:rsidRPr="006502D5">
              <w:rPr>
                <w:rFonts w:ascii="Arial" w:hAnsi="Arial" w:cs="Arial"/>
                <w:sz w:val="19"/>
                <w:szCs w:val="19"/>
              </w:rPr>
              <w:t>4. Islands regions</w:t>
            </w:r>
          </w:p>
        </w:tc>
        <w:tc>
          <w:tcPr>
            <w:tcW w:w="5530" w:type="dxa"/>
            <w:shd w:val="clear" w:color="auto" w:fill="auto"/>
          </w:tcPr>
          <w:p w:rsidR="00C90448" w:rsidRPr="006502D5" w:rsidRDefault="00C90448" w:rsidP="00611E25">
            <w:pPr>
              <w:snapToGrid w:val="0"/>
              <w:spacing w:before="20" w:after="20" w:line="240" w:lineRule="auto"/>
              <w:jc w:val="left"/>
              <w:rPr>
                <w:rFonts w:eastAsia="Verdana" w:cs="Arial"/>
                <w:sz w:val="19"/>
                <w:szCs w:val="19"/>
              </w:rPr>
            </w:pPr>
            <w:r w:rsidRPr="006502D5">
              <w:rPr>
                <w:rFonts w:eastAsia="Verdana" w:cs="Arial"/>
                <w:sz w:val="19"/>
                <w:szCs w:val="19"/>
              </w:rPr>
              <w:t>Not an island region</w:t>
            </w:r>
          </w:p>
        </w:tc>
      </w:tr>
      <w:tr w:rsidR="00615957" w:rsidTr="006502D5">
        <w:tc>
          <w:tcPr>
            <w:tcW w:w="3544" w:type="dxa"/>
            <w:shd w:val="clear" w:color="auto" w:fill="D9D9D9" w:themeFill="background1" w:themeFillShade="D9"/>
          </w:tcPr>
          <w:p w:rsidR="00C90448" w:rsidRPr="006502D5" w:rsidRDefault="00C90448" w:rsidP="00611E25">
            <w:pPr>
              <w:pStyle w:val="a"/>
              <w:snapToGrid w:val="0"/>
              <w:spacing w:before="20" w:after="20"/>
              <w:rPr>
                <w:rFonts w:ascii="Arial" w:hAnsi="Arial" w:cs="Arial"/>
                <w:sz w:val="19"/>
                <w:szCs w:val="19"/>
              </w:rPr>
            </w:pPr>
            <w:r w:rsidRPr="006502D5">
              <w:rPr>
                <w:rFonts w:ascii="Arial" w:hAnsi="Arial" w:cs="Arial"/>
                <w:sz w:val="19"/>
                <w:szCs w:val="19"/>
              </w:rPr>
              <w:t>5. Sparsely populated regions</w:t>
            </w:r>
          </w:p>
        </w:tc>
        <w:tc>
          <w:tcPr>
            <w:tcW w:w="5530" w:type="dxa"/>
            <w:shd w:val="clear" w:color="auto" w:fill="D9D9D9" w:themeFill="background1" w:themeFillShade="D9"/>
          </w:tcPr>
          <w:p w:rsidR="00C90448" w:rsidRPr="006502D5" w:rsidRDefault="00C90448" w:rsidP="00611E25">
            <w:pPr>
              <w:snapToGrid w:val="0"/>
              <w:spacing w:before="20" w:after="20" w:line="240" w:lineRule="auto"/>
              <w:jc w:val="left"/>
              <w:rPr>
                <w:rFonts w:eastAsia="Verdana" w:cs="Arial"/>
                <w:sz w:val="19"/>
                <w:szCs w:val="19"/>
                <w:lang w:val="en-US"/>
              </w:rPr>
            </w:pPr>
            <w:r w:rsidRPr="006502D5">
              <w:rPr>
                <w:rFonts w:eastAsia="Verdana" w:cs="Arial"/>
                <w:sz w:val="19"/>
                <w:szCs w:val="19"/>
                <w:lang w:val="en-US"/>
              </w:rPr>
              <w:t>Not a sparsely populated region</w:t>
            </w:r>
          </w:p>
        </w:tc>
      </w:tr>
      <w:tr w:rsidR="00615957" w:rsidTr="006502D5">
        <w:tc>
          <w:tcPr>
            <w:tcW w:w="3544" w:type="dxa"/>
            <w:shd w:val="clear" w:color="auto" w:fill="auto"/>
          </w:tcPr>
          <w:p w:rsidR="00C90448" w:rsidRPr="006502D5" w:rsidRDefault="00C90448" w:rsidP="00611E25">
            <w:pPr>
              <w:pStyle w:val="a"/>
              <w:snapToGrid w:val="0"/>
              <w:spacing w:before="20" w:after="20"/>
              <w:rPr>
                <w:rFonts w:ascii="Arial" w:hAnsi="Arial" w:cs="Arial"/>
                <w:sz w:val="19"/>
                <w:szCs w:val="19"/>
              </w:rPr>
            </w:pPr>
            <w:r w:rsidRPr="006502D5">
              <w:rPr>
                <w:rFonts w:ascii="Arial" w:hAnsi="Arial" w:cs="Arial"/>
                <w:sz w:val="19"/>
                <w:szCs w:val="19"/>
              </w:rPr>
              <w:t>6. Outermost regions</w:t>
            </w:r>
          </w:p>
        </w:tc>
        <w:tc>
          <w:tcPr>
            <w:tcW w:w="5530" w:type="dxa"/>
            <w:shd w:val="clear" w:color="auto" w:fill="auto"/>
          </w:tcPr>
          <w:p w:rsidR="00C90448" w:rsidRPr="006502D5" w:rsidRDefault="00C90448" w:rsidP="00611E25">
            <w:pPr>
              <w:snapToGrid w:val="0"/>
              <w:spacing w:before="20" w:after="20" w:line="240" w:lineRule="auto"/>
              <w:jc w:val="left"/>
              <w:rPr>
                <w:rFonts w:eastAsia="Verdana" w:cs="Arial"/>
                <w:sz w:val="19"/>
                <w:szCs w:val="19"/>
              </w:rPr>
            </w:pPr>
            <w:r w:rsidRPr="006502D5">
              <w:rPr>
                <w:rFonts w:eastAsia="Verdana" w:cs="Arial"/>
                <w:sz w:val="19"/>
                <w:szCs w:val="19"/>
              </w:rPr>
              <w:t>Not an outermost region</w:t>
            </w:r>
          </w:p>
        </w:tc>
      </w:tr>
      <w:tr w:rsidR="00615957" w:rsidTr="006502D5">
        <w:tc>
          <w:tcPr>
            <w:tcW w:w="3544" w:type="dxa"/>
            <w:shd w:val="clear" w:color="auto" w:fill="D9D9D9" w:themeFill="background1" w:themeFillShade="D9"/>
          </w:tcPr>
          <w:p w:rsidR="00C90448" w:rsidRPr="006502D5" w:rsidRDefault="00C90448" w:rsidP="00611E25">
            <w:pPr>
              <w:pStyle w:val="a"/>
              <w:snapToGrid w:val="0"/>
              <w:spacing w:before="20" w:after="20"/>
              <w:rPr>
                <w:rFonts w:ascii="Arial" w:hAnsi="Arial" w:cs="Arial"/>
                <w:sz w:val="19"/>
                <w:szCs w:val="19"/>
              </w:rPr>
            </w:pPr>
            <w:r w:rsidRPr="006502D5">
              <w:rPr>
                <w:rFonts w:ascii="Arial" w:hAnsi="Arial" w:cs="Arial"/>
                <w:sz w:val="19"/>
                <w:szCs w:val="19"/>
              </w:rPr>
              <w:t>7. Mountainous regions</w:t>
            </w:r>
          </w:p>
        </w:tc>
        <w:tc>
          <w:tcPr>
            <w:tcW w:w="5530" w:type="dxa"/>
            <w:shd w:val="clear" w:color="auto" w:fill="D9D9D9" w:themeFill="background1" w:themeFillShade="D9"/>
          </w:tcPr>
          <w:p w:rsidR="00C90448" w:rsidRPr="006502D5" w:rsidRDefault="00C90448" w:rsidP="00611E25">
            <w:pPr>
              <w:snapToGrid w:val="0"/>
              <w:spacing w:before="20" w:after="20" w:line="240" w:lineRule="auto"/>
              <w:jc w:val="left"/>
              <w:rPr>
                <w:rFonts w:eastAsia="Arial" w:cs="Arial"/>
                <w:sz w:val="19"/>
                <w:szCs w:val="19"/>
                <w:u w:val="single"/>
                <w:lang w:val="en-US"/>
              </w:rPr>
            </w:pPr>
            <w:r w:rsidRPr="006502D5">
              <w:rPr>
                <w:rFonts w:eastAsia="Arial" w:cs="Arial"/>
                <w:sz w:val="19"/>
                <w:szCs w:val="19"/>
                <w:u w:val="single"/>
                <w:lang w:val="en-US"/>
              </w:rPr>
              <w:t>Moderately mountainous regions under urban influence</w:t>
            </w:r>
          </w:p>
        </w:tc>
      </w:tr>
      <w:tr w:rsidR="00615957" w:rsidTr="006502D5">
        <w:tc>
          <w:tcPr>
            <w:tcW w:w="3544" w:type="dxa"/>
            <w:shd w:val="clear" w:color="auto" w:fill="auto"/>
          </w:tcPr>
          <w:p w:rsidR="00C90448" w:rsidRPr="006502D5" w:rsidRDefault="00C90448" w:rsidP="00611E25">
            <w:pPr>
              <w:pStyle w:val="a"/>
              <w:snapToGrid w:val="0"/>
              <w:spacing w:before="20" w:after="20"/>
              <w:rPr>
                <w:rFonts w:ascii="Arial" w:hAnsi="Arial" w:cs="Arial"/>
                <w:sz w:val="19"/>
                <w:szCs w:val="19"/>
              </w:rPr>
            </w:pPr>
            <w:r w:rsidRPr="006502D5">
              <w:rPr>
                <w:rFonts w:ascii="Arial" w:hAnsi="Arial" w:cs="Arial"/>
                <w:sz w:val="19"/>
                <w:szCs w:val="19"/>
              </w:rPr>
              <w:t>8. Coastal regions</w:t>
            </w:r>
          </w:p>
        </w:tc>
        <w:tc>
          <w:tcPr>
            <w:tcW w:w="5530" w:type="dxa"/>
            <w:shd w:val="clear" w:color="auto" w:fill="auto"/>
          </w:tcPr>
          <w:p w:rsidR="00C90448" w:rsidRPr="006502D5" w:rsidRDefault="00C90448" w:rsidP="00611E25">
            <w:pPr>
              <w:snapToGrid w:val="0"/>
              <w:spacing w:before="20" w:after="20" w:line="240" w:lineRule="auto"/>
              <w:jc w:val="left"/>
              <w:rPr>
                <w:rFonts w:eastAsia="Verdana" w:cs="Arial"/>
                <w:sz w:val="19"/>
                <w:szCs w:val="19"/>
                <w:u w:val="single"/>
                <w:lang w:val="en-US"/>
              </w:rPr>
            </w:pPr>
            <w:r w:rsidRPr="006502D5">
              <w:rPr>
                <w:rFonts w:eastAsia="Verdana" w:cs="Arial"/>
                <w:sz w:val="19"/>
                <w:szCs w:val="19"/>
                <w:u w:val="single"/>
                <w:lang w:val="en-US"/>
              </w:rPr>
              <w:t>Coastal regions with a very high share of coastal population</w:t>
            </w:r>
          </w:p>
        </w:tc>
      </w:tr>
      <w:tr w:rsidR="00615957" w:rsidTr="006502D5">
        <w:tc>
          <w:tcPr>
            <w:tcW w:w="3544" w:type="dxa"/>
            <w:shd w:val="clear" w:color="auto" w:fill="D9D9D9" w:themeFill="background1" w:themeFillShade="D9"/>
          </w:tcPr>
          <w:p w:rsidR="00C90448" w:rsidRPr="006502D5" w:rsidRDefault="00C90448" w:rsidP="00611E25">
            <w:pPr>
              <w:pStyle w:val="a"/>
              <w:snapToGrid w:val="0"/>
              <w:spacing w:before="20" w:after="20"/>
              <w:rPr>
                <w:rFonts w:ascii="Arial" w:hAnsi="Arial" w:cs="Arial"/>
                <w:sz w:val="19"/>
                <w:szCs w:val="19"/>
              </w:rPr>
            </w:pPr>
            <w:r w:rsidRPr="006502D5">
              <w:rPr>
                <w:rFonts w:ascii="Arial" w:hAnsi="Arial" w:cs="Arial"/>
                <w:sz w:val="19"/>
                <w:szCs w:val="19"/>
              </w:rPr>
              <w:t>9. Regions in industrial transition</w:t>
            </w:r>
          </w:p>
        </w:tc>
        <w:tc>
          <w:tcPr>
            <w:tcW w:w="5530" w:type="dxa"/>
            <w:shd w:val="clear" w:color="auto" w:fill="D9D9D9" w:themeFill="background1" w:themeFillShade="D9"/>
          </w:tcPr>
          <w:p w:rsidR="00C90448" w:rsidRPr="006502D5" w:rsidRDefault="00C90448" w:rsidP="00611E25">
            <w:pPr>
              <w:snapToGrid w:val="0"/>
              <w:spacing w:before="20" w:after="20" w:line="240" w:lineRule="auto"/>
              <w:jc w:val="left"/>
              <w:rPr>
                <w:rFonts w:eastAsia="Verdana" w:cs="Arial"/>
                <w:sz w:val="19"/>
                <w:szCs w:val="19"/>
                <w:lang w:val="en-US"/>
              </w:rPr>
            </w:pPr>
            <w:r w:rsidRPr="006502D5">
              <w:rPr>
                <w:rFonts w:eastAsia="Verdana" w:cs="Arial"/>
                <w:sz w:val="19"/>
                <w:szCs w:val="19"/>
                <w:lang w:val="en-US"/>
              </w:rPr>
              <w:t>Area not covered by typology</w:t>
            </w:r>
          </w:p>
        </w:tc>
      </w:tr>
    </w:tbl>
    <w:p w:rsidR="006502D5" w:rsidRDefault="006502D5" w:rsidP="006502D5">
      <w:pPr>
        <w:spacing w:before="0" w:line="276" w:lineRule="auto"/>
        <w:rPr>
          <w:rFonts w:cs="Arial"/>
          <w:lang w:val="en-US"/>
        </w:rPr>
      </w:pPr>
    </w:p>
    <w:p w:rsidR="002634D4" w:rsidRDefault="00C90448" w:rsidP="007C7EFC">
      <w:pPr>
        <w:spacing w:before="0" w:after="240"/>
        <w:rPr>
          <w:rFonts w:cs="Arial"/>
          <w:sz w:val="16"/>
          <w:szCs w:val="16"/>
          <w:lang w:val="en-US"/>
        </w:rPr>
      </w:pPr>
      <w:r w:rsidRPr="00D93644">
        <w:rPr>
          <w:rFonts w:cs="Arial"/>
          <w:lang w:val="en-US"/>
        </w:rPr>
        <w:t xml:space="preserve">Basic socio-economic indicators show that despite the GDP growth during the 2000s, social inequality remained important. Furthermore, the burst of the sovereign debt </w:t>
      </w:r>
      <w:r w:rsidRPr="00D93644">
        <w:rPr>
          <w:rFonts w:cs="Arial"/>
          <w:lang w:val="en-US"/>
        </w:rPr>
        <w:lastRenderedPageBreak/>
        <w:t>crisis aggravated dramatically social inequality. Unemployment rates remained relatively high in the 2000s (between 6.5-9%), to explode after 2010 (17.5% in 2011 and 23.3% during the first semester of 2012,</w:t>
      </w:r>
      <w:r w:rsidR="00611E25">
        <w:rPr>
          <w:rFonts w:cs="Arial"/>
          <w:lang w:val="en-US"/>
        </w:rPr>
        <w:t xml:space="preserve"> </w:t>
      </w:r>
      <w:r w:rsidR="00611E25">
        <w:rPr>
          <w:rFonts w:cs="Arial"/>
          <w:lang w:val="en-US"/>
        </w:rPr>
        <w:fldChar w:fldCharType="begin"/>
      </w:r>
      <w:r w:rsidR="00611E25">
        <w:rPr>
          <w:rFonts w:cs="Arial"/>
          <w:lang w:val="en-US"/>
        </w:rPr>
        <w:instrText xml:space="preserve"> REF _Ref384741662 \h </w:instrText>
      </w:r>
      <w:r w:rsidR="00611E25">
        <w:rPr>
          <w:rFonts w:cs="Arial"/>
          <w:lang w:val="en-US"/>
        </w:rPr>
      </w:r>
      <w:r w:rsidR="00611E25">
        <w:rPr>
          <w:rFonts w:cs="Arial"/>
          <w:lang w:val="en-US"/>
        </w:rPr>
        <w:fldChar w:fldCharType="separate"/>
      </w:r>
      <w:r w:rsidR="002634D4">
        <w:t xml:space="preserve">Table </w:t>
      </w:r>
      <w:r w:rsidR="002634D4">
        <w:rPr>
          <w:noProof/>
        </w:rPr>
        <w:t>7</w:t>
      </w:r>
      <w:r w:rsidR="00611E25">
        <w:rPr>
          <w:rFonts w:cs="Arial"/>
          <w:lang w:val="en-US"/>
        </w:rPr>
        <w:fldChar w:fldCharType="end"/>
      </w:r>
      <w:r w:rsidRPr="00D93644">
        <w:rPr>
          <w:rFonts w:cs="Arial"/>
          <w:lang w:val="en-US"/>
        </w:rPr>
        <w:t>). Women are more vulnerable concerning unemployment (</w:t>
      </w:r>
      <w:r w:rsidR="00611E25">
        <w:rPr>
          <w:rFonts w:cs="Arial"/>
          <w:lang w:val="en-US"/>
        </w:rPr>
        <w:t xml:space="preserve">see </w:t>
      </w:r>
      <w:r w:rsidR="00611E25">
        <w:rPr>
          <w:rFonts w:cs="Arial"/>
          <w:lang w:val="en-US"/>
        </w:rPr>
        <w:fldChar w:fldCharType="begin"/>
      </w:r>
      <w:r w:rsidR="00611E25">
        <w:rPr>
          <w:rFonts w:cs="Arial"/>
          <w:lang w:val="en-US"/>
        </w:rPr>
        <w:instrText xml:space="preserve"> REF _Ref384741795 \h </w:instrText>
      </w:r>
      <w:r w:rsidR="00611E25">
        <w:rPr>
          <w:rFonts w:cs="Arial"/>
          <w:lang w:val="en-US"/>
        </w:rPr>
      </w:r>
      <w:r w:rsidR="00611E25">
        <w:rPr>
          <w:rFonts w:cs="Arial"/>
          <w:lang w:val="en-US"/>
        </w:rPr>
        <w:fldChar w:fldCharType="separate"/>
      </w:r>
      <w:r w:rsidR="002634D4">
        <w:t xml:space="preserve">Table </w:t>
      </w:r>
      <w:r w:rsidR="002634D4">
        <w:rPr>
          <w:noProof/>
        </w:rPr>
        <w:t>8</w:t>
      </w:r>
      <w:r w:rsidR="00611E25">
        <w:rPr>
          <w:rFonts w:cs="Arial"/>
          <w:lang w:val="en-US"/>
        </w:rPr>
        <w:fldChar w:fldCharType="end"/>
      </w:r>
      <w:r w:rsidRPr="00D93644">
        <w:rPr>
          <w:rFonts w:cs="Arial"/>
          <w:lang w:val="en-US"/>
        </w:rPr>
        <w:t>). The difficulty of reinsertion in the labour market is evidenced by quite high levels of long-term unemployment rates (Table 1.</w:t>
      </w:r>
      <w:r w:rsidR="00533768">
        <w:rPr>
          <w:rFonts w:cs="Arial"/>
          <w:lang w:val="en-US"/>
        </w:rPr>
        <w:t>9</w:t>
      </w:r>
      <w:r w:rsidRPr="00D93644">
        <w:rPr>
          <w:rFonts w:cs="Arial"/>
          <w:lang w:val="en-US"/>
        </w:rPr>
        <w:t xml:space="preserve">). Social inequality is also evidenced by the rate of people whose disposable income after social transfers is below the </w:t>
      </w:r>
      <w:r w:rsidRPr="00D93644">
        <w:rPr>
          <w:rFonts w:cs="Arial"/>
          <w:bCs/>
          <w:shd w:val="clear" w:color="auto" w:fill="FFFFFF"/>
          <w:lang w:val="en-US"/>
        </w:rPr>
        <w:t>at-risk-of-poverty threshold (</w:t>
      </w:r>
      <w:r w:rsidRPr="00D93644">
        <w:rPr>
          <w:rFonts w:cs="Arial"/>
          <w:shd w:val="clear" w:color="auto" w:fill="FFFFFF"/>
          <w:lang w:val="en-US"/>
        </w:rPr>
        <w:t>60 % of the national median) and the people facing severe material deprivation (</w:t>
      </w:r>
      <w:r w:rsidR="00611E25">
        <w:rPr>
          <w:rFonts w:cs="Arial"/>
          <w:shd w:val="clear" w:color="auto" w:fill="FFFFFF"/>
          <w:lang w:val="en-US"/>
        </w:rPr>
        <w:t xml:space="preserve">see </w:t>
      </w:r>
      <w:r w:rsidR="00611E25">
        <w:rPr>
          <w:rFonts w:cs="Arial"/>
          <w:shd w:val="clear" w:color="auto" w:fill="FFFFFF"/>
          <w:lang w:val="en-US"/>
        </w:rPr>
        <w:fldChar w:fldCharType="begin"/>
      </w:r>
      <w:r w:rsidR="00611E25">
        <w:rPr>
          <w:rFonts w:cs="Arial"/>
          <w:shd w:val="clear" w:color="auto" w:fill="FFFFFF"/>
          <w:lang w:val="en-US"/>
        </w:rPr>
        <w:instrText xml:space="preserve"> REF _Ref384742181 \h </w:instrText>
      </w:r>
      <w:r w:rsidR="00611E25">
        <w:rPr>
          <w:rFonts w:cs="Arial"/>
          <w:shd w:val="clear" w:color="auto" w:fill="FFFFFF"/>
          <w:lang w:val="en-US"/>
        </w:rPr>
      </w:r>
      <w:r w:rsidR="00611E25">
        <w:rPr>
          <w:rFonts w:cs="Arial"/>
          <w:shd w:val="clear" w:color="auto" w:fill="FFFFFF"/>
          <w:lang w:val="en-US"/>
        </w:rPr>
        <w:fldChar w:fldCharType="separate"/>
      </w:r>
      <w:r w:rsidR="002634D4">
        <w:t xml:space="preserve">Table </w:t>
      </w:r>
      <w:r w:rsidR="002634D4">
        <w:rPr>
          <w:noProof/>
        </w:rPr>
        <w:t>10</w:t>
      </w:r>
      <w:r w:rsidR="00611E25">
        <w:rPr>
          <w:rFonts w:cs="Arial"/>
          <w:shd w:val="clear" w:color="auto" w:fill="FFFFFF"/>
          <w:lang w:val="en-US"/>
        </w:rPr>
        <w:fldChar w:fldCharType="end"/>
      </w:r>
      <w:r w:rsidRPr="00D93644">
        <w:rPr>
          <w:rFonts w:cs="Arial"/>
          <w:shd w:val="clear" w:color="auto" w:fill="FFFFFF"/>
          <w:lang w:val="en-US"/>
        </w:rPr>
        <w:t xml:space="preserve">): the former fluctuated between 12-13% during the years of economic growth to climb to 16.3% in 2010, and the latter remained at 9.5-10.5% in the years 2005-2010. Early leavers in education show one more dimension of social inequality and </w:t>
      </w:r>
      <w:r w:rsidR="009179CE">
        <w:rPr>
          <w:rFonts w:cs="Arial"/>
          <w:shd w:val="clear" w:color="auto" w:fill="FFFFFF"/>
          <w:lang w:val="en-US"/>
        </w:rPr>
        <w:t>affects</w:t>
      </w:r>
      <w:r w:rsidRPr="00D93644">
        <w:rPr>
          <w:rFonts w:cs="Arial"/>
          <w:shd w:val="clear" w:color="auto" w:fill="FFFFFF"/>
          <w:lang w:val="en-US"/>
        </w:rPr>
        <w:t xml:space="preserve"> 1/10 of pupils (</w:t>
      </w:r>
      <w:r w:rsidR="007C7EFC">
        <w:rPr>
          <w:rFonts w:cs="Arial"/>
          <w:shd w:val="clear" w:color="auto" w:fill="FFFFFF"/>
          <w:lang w:val="en-US"/>
        </w:rPr>
        <w:t xml:space="preserve">see </w:t>
      </w:r>
      <w:r w:rsidR="007C7EFC">
        <w:rPr>
          <w:rFonts w:cs="Arial"/>
          <w:shd w:val="clear" w:color="auto" w:fill="FFFFFF"/>
          <w:lang w:val="en-US"/>
        </w:rPr>
        <w:fldChar w:fldCharType="begin"/>
      </w:r>
      <w:r w:rsidR="007C7EFC">
        <w:rPr>
          <w:rFonts w:cs="Arial"/>
          <w:shd w:val="clear" w:color="auto" w:fill="FFFFFF"/>
          <w:lang w:val="en-US"/>
        </w:rPr>
        <w:instrText xml:space="preserve"> REF _Ref384742345 \h </w:instrText>
      </w:r>
      <w:r w:rsidR="007C7EFC">
        <w:rPr>
          <w:rFonts w:cs="Arial"/>
          <w:shd w:val="clear" w:color="auto" w:fill="FFFFFF"/>
          <w:lang w:val="en-US"/>
        </w:rPr>
      </w:r>
      <w:r w:rsidR="007C7EFC">
        <w:rPr>
          <w:rFonts w:cs="Arial"/>
          <w:shd w:val="clear" w:color="auto" w:fill="FFFFFF"/>
          <w:lang w:val="en-US"/>
        </w:rPr>
        <w:fldChar w:fldCharType="separate"/>
      </w:r>
      <w:r w:rsidR="002634D4">
        <w:t xml:space="preserve">Table </w:t>
      </w:r>
      <w:r w:rsidR="002634D4">
        <w:rPr>
          <w:noProof/>
        </w:rPr>
        <w:t>11</w:t>
      </w:r>
      <w:r w:rsidR="007C7EFC">
        <w:rPr>
          <w:rFonts w:cs="Arial"/>
          <w:shd w:val="clear" w:color="auto" w:fill="FFFFFF"/>
          <w:lang w:val="en-US"/>
        </w:rPr>
        <w:fldChar w:fldCharType="end"/>
      </w:r>
      <w:r w:rsidRPr="00D93644">
        <w:rPr>
          <w:rFonts w:cs="Arial"/>
          <w:shd w:val="clear" w:color="auto" w:fill="FFFFFF"/>
          <w:lang w:val="en-US"/>
        </w:rPr>
        <w:t>). Last</w:t>
      </w:r>
      <w:r w:rsidR="009179CE">
        <w:rPr>
          <w:rFonts w:cs="Arial"/>
          <w:shd w:val="clear" w:color="auto" w:fill="FFFFFF"/>
          <w:lang w:val="en-US"/>
        </w:rPr>
        <w:t xml:space="preserve"> but not least</w:t>
      </w:r>
      <w:r w:rsidRPr="00D93644">
        <w:rPr>
          <w:rFonts w:cs="Arial"/>
          <w:shd w:val="clear" w:color="auto" w:fill="FFFFFF"/>
          <w:lang w:val="en-US"/>
        </w:rPr>
        <w:t xml:space="preserve">, </w:t>
      </w:r>
      <w:r w:rsidR="009179CE" w:rsidRPr="00D93644">
        <w:rPr>
          <w:rFonts w:cs="Arial"/>
          <w:shd w:val="clear" w:color="auto" w:fill="FFFFFF"/>
          <w:lang w:val="en-US"/>
        </w:rPr>
        <w:t xml:space="preserve">the </w:t>
      </w:r>
      <w:r w:rsidR="009179CE">
        <w:rPr>
          <w:rFonts w:cs="Arial"/>
          <w:shd w:val="clear" w:color="auto" w:fill="FFFFFF"/>
          <w:lang w:val="en-US"/>
        </w:rPr>
        <w:t xml:space="preserve">rapid </w:t>
      </w:r>
      <w:r w:rsidR="009179CE" w:rsidRPr="00D93644">
        <w:rPr>
          <w:rFonts w:cs="Arial"/>
          <w:shd w:val="clear" w:color="auto" w:fill="FFFFFF"/>
          <w:lang w:val="en-US"/>
        </w:rPr>
        <w:t xml:space="preserve">increase of </w:t>
      </w:r>
      <w:r w:rsidR="009179CE">
        <w:rPr>
          <w:rFonts w:cs="Arial"/>
          <w:shd w:val="clear" w:color="auto" w:fill="FFFFFF"/>
          <w:lang w:val="en-US"/>
        </w:rPr>
        <w:t>im</w:t>
      </w:r>
      <w:r w:rsidR="009179CE" w:rsidRPr="00D93644">
        <w:rPr>
          <w:rFonts w:cs="Arial"/>
          <w:shd w:val="clear" w:color="auto" w:fill="FFFFFF"/>
          <w:lang w:val="en-US"/>
        </w:rPr>
        <w:t>migrant</w:t>
      </w:r>
      <w:r w:rsidR="009179CE">
        <w:rPr>
          <w:rFonts w:cs="Arial"/>
          <w:shd w:val="clear" w:color="auto" w:fill="FFFFFF"/>
          <w:lang w:val="en-US"/>
        </w:rPr>
        <w:t xml:space="preserve"> population is a</w:t>
      </w:r>
      <w:r w:rsidRPr="00D93644">
        <w:rPr>
          <w:rFonts w:cs="Arial"/>
          <w:shd w:val="clear" w:color="auto" w:fill="FFFFFF"/>
          <w:lang w:val="en-US"/>
        </w:rPr>
        <w:t xml:space="preserve"> major de</w:t>
      </w:r>
      <w:r w:rsidR="009179CE">
        <w:rPr>
          <w:rFonts w:cs="Arial"/>
          <w:shd w:val="clear" w:color="auto" w:fill="FFFFFF"/>
          <w:lang w:val="en-US"/>
        </w:rPr>
        <w:t>mographic transformation of MRA, connected</w:t>
      </w:r>
      <w:r w:rsidRPr="00D93644">
        <w:rPr>
          <w:rFonts w:cs="Arial"/>
          <w:shd w:val="clear" w:color="auto" w:fill="FFFFFF"/>
          <w:lang w:val="en-US"/>
        </w:rPr>
        <w:t xml:space="preserve"> with forms of social inequality, especially in</w:t>
      </w:r>
      <w:r w:rsidR="009179CE">
        <w:rPr>
          <w:rFonts w:cs="Arial"/>
          <w:shd w:val="clear" w:color="auto" w:fill="FFFFFF"/>
          <w:lang w:val="en-US"/>
        </w:rPr>
        <w:t xml:space="preserve"> the labour and housing markets</w:t>
      </w:r>
      <w:r w:rsidRPr="00D93644">
        <w:rPr>
          <w:rFonts w:cs="Arial"/>
          <w:shd w:val="clear" w:color="auto" w:fill="FFFFFF"/>
          <w:lang w:val="en-US"/>
        </w:rPr>
        <w:t>. From 2.2% in 1991, individuals with foreign citizenship increased to 9.5% in 2001 (</w:t>
      </w:r>
      <w:r w:rsidR="007C7EFC">
        <w:rPr>
          <w:rFonts w:cs="Arial"/>
          <w:shd w:val="clear" w:color="auto" w:fill="FFFFFF"/>
          <w:lang w:val="en-US"/>
        </w:rPr>
        <w:t xml:space="preserve">see </w:t>
      </w:r>
      <w:r w:rsidR="007C7EFC">
        <w:rPr>
          <w:rFonts w:cs="Arial"/>
          <w:shd w:val="clear" w:color="auto" w:fill="FFFFFF"/>
          <w:lang w:val="en-US"/>
        </w:rPr>
        <w:fldChar w:fldCharType="begin"/>
      </w:r>
      <w:r w:rsidR="007C7EFC">
        <w:rPr>
          <w:rFonts w:cs="Arial"/>
          <w:shd w:val="clear" w:color="auto" w:fill="FFFFFF"/>
          <w:lang w:val="en-US"/>
        </w:rPr>
        <w:instrText xml:space="preserve"> REF _Ref384742442 \h </w:instrText>
      </w:r>
      <w:r w:rsidR="007C7EFC">
        <w:rPr>
          <w:rFonts w:cs="Arial"/>
          <w:shd w:val="clear" w:color="auto" w:fill="FFFFFF"/>
          <w:lang w:val="en-US"/>
        </w:rPr>
      </w:r>
      <w:r w:rsidR="007C7EFC">
        <w:rPr>
          <w:rFonts w:cs="Arial"/>
          <w:shd w:val="clear" w:color="auto" w:fill="FFFFFF"/>
          <w:lang w:val="en-US"/>
        </w:rPr>
        <w:fldChar w:fldCharType="separate"/>
      </w:r>
    </w:p>
    <w:p w:rsidR="00ED0F60" w:rsidRDefault="002634D4" w:rsidP="006502D5">
      <w:pPr>
        <w:spacing w:before="0" w:line="276" w:lineRule="auto"/>
        <w:rPr>
          <w:rFonts w:cs="Arial"/>
          <w:shd w:val="clear" w:color="auto" w:fill="FFFFFF"/>
          <w:lang w:val="en-US"/>
        </w:rPr>
      </w:pPr>
      <w:r>
        <w:t xml:space="preserve">Table </w:t>
      </w:r>
      <w:r>
        <w:rPr>
          <w:noProof/>
        </w:rPr>
        <w:t>12</w:t>
      </w:r>
      <w:r w:rsidR="007C7EFC">
        <w:rPr>
          <w:rFonts w:cs="Arial"/>
          <w:shd w:val="clear" w:color="auto" w:fill="FFFFFF"/>
          <w:lang w:val="en-US"/>
        </w:rPr>
        <w:fldChar w:fldCharType="end"/>
      </w:r>
      <w:r w:rsidR="00C90448" w:rsidRPr="00D93644">
        <w:rPr>
          <w:rFonts w:cs="Arial"/>
          <w:shd w:val="clear" w:color="auto" w:fill="FFFFFF"/>
          <w:lang w:val="en-US"/>
        </w:rPr>
        <w:t>).</w:t>
      </w:r>
    </w:p>
    <w:p w:rsidR="00C90448" w:rsidRPr="007965C9" w:rsidRDefault="00C90448" w:rsidP="006502D5">
      <w:pPr>
        <w:spacing w:before="0" w:line="276" w:lineRule="auto"/>
        <w:rPr>
          <w:rFonts w:cs="Arial"/>
          <w:sz w:val="10"/>
          <w:szCs w:val="10"/>
          <w:shd w:val="clear" w:color="auto" w:fill="FFFFFF"/>
          <w:lang w:val="en-US"/>
        </w:rPr>
      </w:pPr>
      <w:r w:rsidRPr="00D93644">
        <w:rPr>
          <w:rFonts w:cs="Arial"/>
          <w:shd w:val="clear" w:color="auto" w:fill="FFFFFF"/>
          <w:lang w:val="en-US"/>
        </w:rPr>
        <w:t xml:space="preserve">  </w:t>
      </w:r>
    </w:p>
    <w:bookmarkEnd w:id="17"/>
    <w:p w:rsidR="004B23E3" w:rsidRDefault="00034461" w:rsidP="004B23E3">
      <w:pPr>
        <w:keepNext/>
      </w:pPr>
      <w:r w:rsidRPr="00D93644">
        <w:rPr>
          <w:noProof/>
          <w:lang w:val="fi-FI" w:eastAsia="fi-FI"/>
        </w:rPr>
        <w:drawing>
          <wp:inline distT="0" distB="0" distL="0" distR="0" wp14:anchorId="26740EB6" wp14:editId="4D651836">
            <wp:extent cx="3853303" cy="3361357"/>
            <wp:effectExtent l="19050" t="0" r="0" b="0"/>
            <wp:docPr id="10" name="9 - Εικόνα" descr="density.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nsity.jpeg"/>
                    <pic:cNvPicPr/>
                  </pic:nvPicPr>
                  <pic:blipFill>
                    <a:blip r:embed="rId26" cstate="print"/>
                    <a:srcRect/>
                    <a:stretch>
                      <a:fillRect/>
                    </a:stretch>
                  </pic:blipFill>
                  <pic:spPr>
                    <a:xfrm>
                      <a:off x="0" y="0"/>
                      <a:ext cx="3853303" cy="3361357"/>
                    </a:xfrm>
                    <a:prstGeom prst="rect">
                      <a:avLst/>
                    </a:prstGeom>
                  </pic:spPr>
                </pic:pic>
              </a:graphicData>
            </a:graphic>
          </wp:inline>
        </w:drawing>
      </w:r>
    </w:p>
    <w:p w:rsidR="006502D5" w:rsidRDefault="004B23E3" w:rsidP="004B23E3">
      <w:pPr>
        <w:pStyle w:val="Caption"/>
      </w:pPr>
      <w:bookmarkStart w:id="23" w:name="_Ref392504590"/>
      <w:bookmarkStart w:id="24" w:name="_Toc392505057"/>
      <w:r>
        <w:t xml:space="preserve">Map </w:t>
      </w:r>
      <w:fldSimple w:instr=" SEQ Map \* ARABIC ">
        <w:r w:rsidR="002634D4">
          <w:rPr>
            <w:noProof/>
          </w:rPr>
          <w:t>2</w:t>
        </w:r>
      </w:fldSimple>
      <w:bookmarkEnd w:id="23"/>
      <w:r>
        <w:t xml:space="preserve">: </w:t>
      </w:r>
      <w:r>
        <w:rPr>
          <w:shd w:val="clear" w:color="auto" w:fill="FFFFFF"/>
          <w:lang w:val="en-US"/>
        </w:rPr>
        <w:t>Population density by 1km GRID cell MRA, 2001</w:t>
      </w:r>
      <w:bookmarkEnd w:id="24"/>
    </w:p>
    <w:p w:rsidR="00611E25" w:rsidRDefault="00611E25" w:rsidP="00611E25">
      <w:pPr>
        <w:pStyle w:val="Caption"/>
        <w:keepNext/>
        <w:spacing w:after="120"/>
      </w:pPr>
      <w:bookmarkStart w:id="25" w:name="_Ref384741662"/>
      <w:bookmarkStart w:id="26" w:name="_Toc386013243"/>
      <w:r>
        <w:t xml:space="preserve">Table </w:t>
      </w:r>
      <w:r w:rsidR="00CC1B00">
        <w:fldChar w:fldCharType="begin"/>
      </w:r>
      <w:r w:rsidR="00CC1B00">
        <w:instrText xml:space="preserve"> SEQ Table \* ARABIC </w:instrText>
      </w:r>
      <w:r w:rsidR="00CC1B00">
        <w:fldChar w:fldCharType="separate"/>
      </w:r>
      <w:r w:rsidR="002634D4">
        <w:rPr>
          <w:noProof/>
        </w:rPr>
        <w:t>7</w:t>
      </w:r>
      <w:r w:rsidR="00CC1B00">
        <w:rPr>
          <w:noProof/>
        </w:rPr>
        <w:fldChar w:fldCharType="end"/>
      </w:r>
      <w:bookmarkEnd w:id="25"/>
      <w:r>
        <w:t xml:space="preserve">: </w:t>
      </w:r>
      <w:r w:rsidRPr="00D93644">
        <w:rPr>
          <w:rFonts w:cs="Arial"/>
          <w:lang w:val="en-US"/>
        </w:rPr>
        <w:t>Unemployment rates in the Region of Attiki, 2000-2012</w:t>
      </w:r>
      <w:bookmarkEnd w:id="26"/>
    </w:p>
    <w:tbl>
      <w:tblPr>
        <w:tblW w:w="9831" w:type="dxa"/>
        <w:tblLook w:val="0000" w:firstRow="0" w:lastRow="0" w:firstColumn="0" w:lastColumn="0" w:noHBand="0" w:noVBand="0"/>
      </w:tblPr>
      <w:tblGrid>
        <w:gridCol w:w="1194"/>
        <w:gridCol w:w="666"/>
        <w:gridCol w:w="680"/>
        <w:gridCol w:w="661"/>
        <w:gridCol w:w="661"/>
        <w:gridCol w:w="661"/>
        <w:gridCol w:w="661"/>
        <w:gridCol w:w="661"/>
        <w:gridCol w:w="661"/>
        <w:gridCol w:w="661"/>
        <w:gridCol w:w="661"/>
        <w:gridCol w:w="661"/>
        <w:gridCol w:w="661"/>
        <w:gridCol w:w="681"/>
      </w:tblGrid>
      <w:tr w:rsidR="009519FE" w:rsidRPr="00D93644" w:rsidTr="00034461">
        <w:trPr>
          <w:trHeight w:val="285"/>
        </w:trPr>
        <w:tc>
          <w:tcPr>
            <w:tcW w:w="1194" w:type="dxa"/>
            <w:tcBorders>
              <w:top w:val="single" w:sz="4" w:space="0" w:color="000000"/>
              <w:left w:val="single" w:sz="4" w:space="0" w:color="000000"/>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sz w:val="19"/>
                <w:szCs w:val="19"/>
                <w:lang w:val="en-US"/>
              </w:rPr>
            </w:pPr>
          </w:p>
        </w:tc>
        <w:tc>
          <w:tcPr>
            <w:tcW w:w="666"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00</w:t>
            </w:r>
          </w:p>
        </w:tc>
        <w:tc>
          <w:tcPr>
            <w:tcW w:w="680"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01</w:t>
            </w:r>
          </w:p>
        </w:tc>
        <w:tc>
          <w:tcPr>
            <w:tcW w:w="661"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02</w:t>
            </w:r>
          </w:p>
        </w:tc>
        <w:tc>
          <w:tcPr>
            <w:tcW w:w="661"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03</w:t>
            </w:r>
          </w:p>
        </w:tc>
        <w:tc>
          <w:tcPr>
            <w:tcW w:w="661"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04</w:t>
            </w:r>
          </w:p>
        </w:tc>
        <w:tc>
          <w:tcPr>
            <w:tcW w:w="661"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05</w:t>
            </w:r>
          </w:p>
        </w:tc>
        <w:tc>
          <w:tcPr>
            <w:tcW w:w="661"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06</w:t>
            </w:r>
          </w:p>
        </w:tc>
        <w:tc>
          <w:tcPr>
            <w:tcW w:w="661"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07</w:t>
            </w:r>
          </w:p>
        </w:tc>
        <w:tc>
          <w:tcPr>
            <w:tcW w:w="661"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08</w:t>
            </w:r>
          </w:p>
        </w:tc>
        <w:tc>
          <w:tcPr>
            <w:tcW w:w="661"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09</w:t>
            </w:r>
          </w:p>
        </w:tc>
        <w:tc>
          <w:tcPr>
            <w:tcW w:w="661"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10</w:t>
            </w:r>
          </w:p>
        </w:tc>
        <w:tc>
          <w:tcPr>
            <w:tcW w:w="661" w:type="dxa"/>
            <w:tcBorders>
              <w:top w:val="single" w:sz="4" w:space="0" w:color="000000"/>
              <w:left w:val="nil"/>
              <w:bottom w:val="single" w:sz="4" w:space="0" w:color="000000"/>
              <w:right w:val="single" w:sz="4" w:space="0" w:color="000000"/>
            </w:tcBorders>
            <w:shd w:val="clear" w:color="auto" w:fill="auto"/>
            <w:noWrap/>
            <w:vAlign w:val="center"/>
          </w:tcPr>
          <w:p w:rsidR="009519FE" w:rsidRPr="00611E25" w:rsidRDefault="009519FE" w:rsidP="00611E25">
            <w:pPr>
              <w:spacing w:before="20" w:after="20" w:line="240" w:lineRule="auto"/>
              <w:jc w:val="center"/>
              <w:rPr>
                <w:rFonts w:cs="Arial"/>
                <w:b/>
                <w:sz w:val="19"/>
                <w:szCs w:val="19"/>
              </w:rPr>
            </w:pPr>
            <w:r w:rsidRPr="00611E25">
              <w:rPr>
                <w:rFonts w:cs="Arial"/>
                <w:b/>
                <w:sz w:val="19"/>
                <w:szCs w:val="19"/>
              </w:rPr>
              <w:t>11</w:t>
            </w:r>
          </w:p>
        </w:tc>
        <w:tc>
          <w:tcPr>
            <w:tcW w:w="681" w:type="dxa"/>
            <w:tcBorders>
              <w:top w:val="single" w:sz="4" w:space="0" w:color="000000"/>
              <w:left w:val="nil"/>
              <w:bottom w:val="single" w:sz="4" w:space="0" w:color="000000"/>
              <w:right w:val="single" w:sz="4" w:space="0" w:color="000000"/>
            </w:tcBorders>
            <w:shd w:val="clear" w:color="auto" w:fill="auto"/>
            <w:vAlign w:val="center"/>
          </w:tcPr>
          <w:p w:rsidR="009519FE" w:rsidRPr="00611E25" w:rsidRDefault="009519FE" w:rsidP="00611E25">
            <w:pPr>
              <w:spacing w:before="20" w:after="20" w:line="240" w:lineRule="auto"/>
              <w:jc w:val="center"/>
              <w:rPr>
                <w:rFonts w:cs="Arial"/>
                <w:b/>
                <w:sz w:val="19"/>
                <w:szCs w:val="19"/>
                <w:lang w:val="en-US"/>
              </w:rPr>
            </w:pPr>
            <w:r w:rsidRPr="00611E25">
              <w:rPr>
                <w:rFonts w:cs="Arial"/>
                <w:b/>
                <w:sz w:val="19"/>
                <w:szCs w:val="19"/>
                <w:lang w:val="en-US"/>
              </w:rPr>
              <w:t>12</w:t>
            </w:r>
            <w:r w:rsidRPr="00611E25">
              <w:rPr>
                <w:rStyle w:val="FootnoteReference"/>
                <w:rFonts w:cs="Arial"/>
                <w:b/>
                <w:sz w:val="19"/>
                <w:szCs w:val="19"/>
                <w:lang w:val="en-US"/>
              </w:rPr>
              <w:footnoteReference w:id="2"/>
            </w:r>
          </w:p>
        </w:tc>
      </w:tr>
      <w:tr w:rsidR="009519FE" w:rsidRPr="00D93644" w:rsidTr="00611E25">
        <w:trPr>
          <w:trHeight w:val="285"/>
        </w:trPr>
        <w:tc>
          <w:tcPr>
            <w:tcW w:w="1194" w:type="dxa"/>
            <w:tcBorders>
              <w:top w:val="single" w:sz="4" w:space="0" w:color="000000"/>
              <w:left w:val="single" w:sz="4" w:space="0" w:color="auto"/>
              <w:bottom w:val="single" w:sz="4" w:space="0" w:color="auto"/>
              <w:right w:val="nil"/>
            </w:tcBorders>
            <w:shd w:val="clear" w:color="auto" w:fill="D9D9D9" w:themeFill="background1" w:themeFillShade="D9"/>
            <w:noWrap/>
            <w:vAlign w:val="bottom"/>
          </w:tcPr>
          <w:p w:rsidR="009519FE" w:rsidRPr="00611E25" w:rsidRDefault="009519FE" w:rsidP="00611E25">
            <w:pPr>
              <w:spacing w:before="20" w:after="20" w:line="240" w:lineRule="auto"/>
              <w:rPr>
                <w:rFonts w:cs="Arial"/>
                <w:b/>
                <w:sz w:val="19"/>
                <w:szCs w:val="19"/>
              </w:rPr>
            </w:pPr>
            <w:r w:rsidRPr="00611E25">
              <w:rPr>
                <w:rFonts w:cs="Arial"/>
                <w:b/>
                <w:sz w:val="19"/>
                <w:szCs w:val="19"/>
              </w:rPr>
              <w:t>Total</w:t>
            </w:r>
          </w:p>
        </w:tc>
        <w:tc>
          <w:tcPr>
            <w:tcW w:w="66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12.1</w:t>
            </w:r>
          </w:p>
        </w:tc>
        <w:tc>
          <w:tcPr>
            <w:tcW w:w="680"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10.4</w:t>
            </w:r>
          </w:p>
        </w:tc>
        <w:tc>
          <w:tcPr>
            <w:tcW w:w="661"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9.3</w:t>
            </w:r>
          </w:p>
        </w:tc>
        <w:tc>
          <w:tcPr>
            <w:tcW w:w="661"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8.8</w:t>
            </w:r>
          </w:p>
        </w:tc>
        <w:tc>
          <w:tcPr>
            <w:tcW w:w="661"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9.1</w:t>
            </w:r>
          </w:p>
        </w:tc>
        <w:tc>
          <w:tcPr>
            <w:tcW w:w="661"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8.8</w:t>
            </w:r>
          </w:p>
        </w:tc>
        <w:tc>
          <w:tcPr>
            <w:tcW w:w="661"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8.3</w:t>
            </w:r>
          </w:p>
        </w:tc>
        <w:tc>
          <w:tcPr>
            <w:tcW w:w="661"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7.6</w:t>
            </w:r>
          </w:p>
        </w:tc>
        <w:tc>
          <w:tcPr>
            <w:tcW w:w="661"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6.5</w:t>
            </w:r>
          </w:p>
        </w:tc>
        <w:tc>
          <w:tcPr>
            <w:tcW w:w="661"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8.9</w:t>
            </w:r>
          </w:p>
        </w:tc>
        <w:tc>
          <w:tcPr>
            <w:tcW w:w="661"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12.3</w:t>
            </w:r>
          </w:p>
        </w:tc>
        <w:tc>
          <w:tcPr>
            <w:tcW w:w="661" w:type="dxa"/>
            <w:tcBorders>
              <w:top w:val="single" w:sz="4" w:space="0" w:color="000000"/>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17.6</w:t>
            </w:r>
          </w:p>
        </w:tc>
        <w:tc>
          <w:tcPr>
            <w:tcW w:w="681" w:type="dxa"/>
            <w:tcBorders>
              <w:top w:val="single" w:sz="4" w:space="0" w:color="000000"/>
              <w:left w:val="nil"/>
              <w:bottom w:val="single" w:sz="4" w:space="0" w:color="000000"/>
              <w:right w:val="single" w:sz="4" w:space="0" w:color="000000"/>
            </w:tcBorders>
            <w:shd w:val="clear" w:color="auto" w:fill="D9D9D9" w:themeFill="background1" w:themeFillShade="D9"/>
          </w:tcPr>
          <w:p w:rsidR="009519FE" w:rsidRPr="00611E25" w:rsidRDefault="009519FE" w:rsidP="00611E25">
            <w:pPr>
              <w:spacing w:before="20" w:after="20" w:line="240" w:lineRule="auto"/>
              <w:rPr>
                <w:rFonts w:cs="Arial"/>
                <w:sz w:val="19"/>
                <w:szCs w:val="19"/>
                <w:lang w:val="en-US"/>
              </w:rPr>
            </w:pPr>
            <w:r w:rsidRPr="00611E25">
              <w:rPr>
                <w:rFonts w:cs="Arial"/>
                <w:sz w:val="19"/>
                <w:szCs w:val="19"/>
                <w:lang w:val="en-US"/>
              </w:rPr>
              <w:t>23.4</w:t>
            </w:r>
          </w:p>
        </w:tc>
      </w:tr>
    </w:tbl>
    <w:p w:rsidR="009519FE" w:rsidRDefault="009519FE" w:rsidP="00611E25">
      <w:pPr>
        <w:spacing w:before="0" w:after="240"/>
        <w:rPr>
          <w:rFonts w:cs="Arial"/>
          <w:sz w:val="16"/>
          <w:szCs w:val="16"/>
          <w:lang w:val="en-US"/>
        </w:rPr>
      </w:pPr>
      <w:r w:rsidRPr="007C7EFC">
        <w:rPr>
          <w:rFonts w:cs="Arial"/>
          <w:b/>
          <w:sz w:val="16"/>
          <w:szCs w:val="16"/>
          <w:lang w:val="en-US"/>
        </w:rPr>
        <w:t>Source:</w:t>
      </w:r>
      <w:r w:rsidRPr="00D93644">
        <w:rPr>
          <w:rFonts w:cs="Arial"/>
          <w:sz w:val="16"/>
          <w:szCs w:val="16"/>
          <w:lang w:val="en-US"/>
        </w:rPr>
        <w:t xml:space="preserve"> Hellenic Statistical Authority</w:t>
      </w:r>
    </w:p>
    <w:p w:rsidR="00611E25" w:rsidRDefault="00611E25" w:rsidP="00611E25">
      <w:pPr>
        <w:pStyle w:val="Caption"/>
        <w:keepNext/>
        <w:spacing w:after="120"/>
      </w:pPr>
      <w:bookmarkStart w:id="27" w:name="_Ref384741795"/>
      <w:bookmarkStart w:id="28" w:name="_Toc386013244"/>
      <w:r>
        <w:lastRenderedPageBreak/>
        <w:t xml:space="preserve">Table </w:t>
      </w:r>
      <w:r w:rsidR="00CC1B00">
        <w:fldChar w:fldCharType="begin"/>
      </w:r>
      <w:r w:rsidR="00CC1B00">
        <w:instrText xml:space="preserve"> SEQ Table \* ARABIC </w:instrText>
      </w:r>
      <w:r w:rsidR="00CC1B00">
        <w:fldChar w:fldCharType="separate"/>
      </w:r>
      <w:r w:rsidR="002634D4">
        <w:rPr>
          <w:noProof/>
        </w:rPr>
        <w:t>8</w:t>
      </w:r>
      <w:r w:rsidR="00CC1B00">
        <w:rPr>
          <w:noProof/>
        </w:rPr>
        <w:fldChar w:fldCharType="end"/>
      </w:r>
      <w:bookmarkEnd w:id="27"/>
      <w:r>
        <w:t xml:space="preserve">: </w:t>
      </w:r>
      <w:r w:rsidRPr="00D93644">
        <w:rPr>
          <w:rFonts w:cs="Arial"/>
          <w:lang w:val="en-US"/>
        </w:rPr>
        <w:t>Unemployment rates by sex and age,</w:t>
      </w:r>
      <w:r>
        <w:rPr>
          <w:rFonts w:cs="Arial"/>
        </w:rPr>
        <w:t xml:space="preserve"> 2011</w:t>
      </w:r>
      <w:bookmarkEnd w:id="28"/>
    </w:p>
    <w:tbl>
      <w:tblPr>
        <w:tblW w:w="8662"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49"/>
        <w:gridCol w:w="1502"/>
        <w:gridCol w:w="1503"/>
        <w:gridCol w:w="1502"/>
        <w:gridCol w:w="1503"/>
        <w:gridCol w:w="1503"/>
      </w:tblGrid>
      <w:tr w:rsidR="009519FE" w:rsidRPr="00D93644" w:rsidTr="00611E25">
        <w:trPr>
          <w:trHeight w:val="285"/>
        </w:trPr>
        <w:tc>
          <w:tcPr>
            <w:tcW w:w="1149" w:type="dxa"/>
            <w:tcBorders>
              <w:bottom w:val="single" w:sz="18" w:space="0" w:color="auto"/>
            </w:tcBorders>
            <w:shd w:val="clear" w:color="auto" w:fill="auto"/>
            <w:noWrap/>
            <w:vAlign w:val="bottom"/>
          </w:tcPr>
          <w:p w:rsidR="009519FE" w:rsidRPr="00611E25" w:rsidRDefault="009519FE" w:rsidP="00611E25">
            <w:pPr>
              <w:spacing w:before="20" w:after="20"/>
              <w:rPr>
                <w:rFonts w:cs="Arial"/>
                <w:sz w:val="19"/>
                <w:szCs w:val="19"/>
                <w:lang w:val="en-US"/>
              </w:rPr>
            </w:pPr>
            <w:r w:rsidRPr="00611E25">
              <w:rPr>
                <w:rFonts w:cs="Arial"/>
                <w:sz w:val="19"/>
                <w:szCs w:val="19"/>
                <w:lang w:val="en-US"/>
              </w:rPr>
              <w:t> </w:t>
            </w:r>
          </w:p>
        </w:tc>
        <w:tc>
          <w:tcPr>
            <w:tcW w:w="1502" w:type="dxa"/>
            <w:tcBorders>
              <w:bottom w:val="single" w:sz="18" w:space="0" w:color="auto"/>
            </w:tcBorders>
            <w:shd w:val="clear" w:color="auto" w:fill="auto"/>
            <w:noWrap/>
            <w:vAlign w:val="bottom"/>
          </w:tcPr>
          <w:p w:rsidR="009519FE" w:rsidRPr="00611E25" w:rsidRDefault="009519FE" w:rsidP="00611E25">
            <w:pPr>
              <w:spacing w:before="20" w:after="20"/>
              <w:rPr>
                <w:rFonts w:cs="Arial"/>
                <w:b/>
                <w:sz w:val="19"/>
                <w:szCs w:val="19"/>
                <w:lang w:val="en-US"/>
              </w:rPr>
            </w:pPr>
            <w:r w:rsidRPr="00611E25">
              <w:rPr>
                <w:rFonts w:cs="Arial"/>
                <w:b/>
                <w:sz w:val="19"/>
                <w:szCs w:val="19"/>
                <w:lang w:val="en-US"/>
              </w:rPr>
              <w:t>15 years or over</w:t>
            </w:r>
          </w:p>
        </w:tc>
        <w:tc>
          <w:tcPr>
            <w:tcW w:w="1503" w:type="dxa"/>
            <w:tcBorders>
              <w:bottom w:val="single" w:sz="18" w:space="0" w:color="auto"/>
            </w:tcBorders>
            <w:shd w:val="clear" w:color="auto" w:fill="auto"/>
            <w:noWrap/>
            <w:vAlign w:val="bottom"/>
          </w:tcPr>
          <w:p w:rsidR="009519FE" w:rsidRPr="00611E25" w:rsidRDefault="009519FE" w:rsidP="00611E25">
            <w:pPr>
              <w:spacing w:before="20" w:after="20"/>
              <w:rPr>
                <w:rFonts w:cs="Arial"/>
                <w:b/>
                <w:sz w:val="19"/>
                <w:szCs w:val="19"/>
                <w:lang w:val="en-US"/>
              </w:rPr>
            </w:pPr>
            <w:r w:rsidRPr="00611E25">
              <w:rPr>
                <w:rFonts w:cs="Arial"/>
                <w:b/>
                <w:sz w:val="19"/>
                <w:szCs w:val="19"/>
                <w:lang w:val="en-US"/>
              </w:rPr>
              <w:t>From 15 to 24 years</w:t>
            </w:r>
          </w:p>
        </w:tc>
        <w:tc>
          <w:tcPr>
            <w:tcW w:w="1502" w:type="dxa"/>
            <w:tcBorders>
              <w:bottom w:val="single" w:sz="18" w:space="0" w:color="auto"/>
            </w:tcBorders>
            <w:shd w:val="clear" w:color="auto" w:fill="auto"/>
            <w:noWrap/>
            <w:vAlign w:val="bottom"/>
          </w:tcPr>
          <w:p w:rsidR="009519FE" w:rsidRPr="00611E25" w:rsidRDefault="009519FE" w:rsidP="00611E25">
            <w:pPr>
              <w:spacing w:before="20" w:after="20"/>
              <w:rPr>
                <w:rFonts w:cs="Arial"/>
                <w:b/>
                <w:sz w:val="19"/>
                <w:szCs w:val="19"/>
                <w:lang w:val="en-US"/>
              </w:rPr>
            </w:pPr>
            <w:r w:rsidRPr="00611E25">
              <w:rPr>
                <w:rFonts w:cs="Arial"/>
                <w:b/>
                <w:sz w:val="19"/>
                <w:szCs w:val="19"/>
                <w:lang w:val="en-US"/>
              </w:rPr>
              <w:t>25 years or over</w:t>
            </w:r>
          </w:p>
        </w:tc>
        <w:tc>
          <w:tcPr>
            <w:tcW w:w="1503" w:type="dxa"/>
            <w:tcBorders>
              <w:bottom w:val="single" w:sz="18" w:space="0" w:color="auto"/>
            </w:tcBorders>
            <w:shd w:val="clear" w:color="auto" w:fill="auto"/>
            <w:noWrap/>
            <w:vAlign w:val="bottom"/>
          </w:tcPr>
          <w:p w:rsidR="009519FE" w:rsidRPr="00611E25" w:rsidRDefault="009519FE" w:rsidP="00611E25">
            <w:pPr>
              <w:spacing w:before="20" w:after="20"/>
              <w:rPr>
                <w:rFonts w:cs="Arial"/>
                <w:b/>
                <w:sz w:val="19"/>
                <w:szCs w:val="19"/>
                <w:lang w:val="en-US"/>
              </w:rPr>
            </w:pPr>
            <w:r w:rsidRPr="00611E25">
              <w:rPr>
                <w:rFonts w:cs="Arial"/>
                <w:b/>
                <w:sz w:val="19"/>
                <w:szCs w:val="19"/>
                <w:lang w:val="en-US"/>
              </w:rPr>
              <w:t>Females 15 years or over</w:t>
            </w:r>
          </w:p>
        </w:tc>
        <w:tc>
          <w:tcPr>
            <w:tcW w:w="1503" w:type="dxa"/>
            <w:tcBorders>
              <w:bottom w:val="single" w:sz="18" w:space="0" w:color="auto"/>
            </w:tcBorders>
            <w:shd w:val="clear" w:color="auto" w:fill="auto"/>
            <w:noWrap/>
            <w:vAlign w:val="bottom"/>
          </w:tcPr>
          <w:p w:rsidR="009519FE" w:rsidRPr="00611E25" w:rsidRDefault="009519FE" w:rsidP="00611E25">
            <w:pPr>
              <w:spacing w:before="20" w:after="20"/>
              <w:rPr>
                <w:rFonts w:cs="Arial"/>
                <w:b/>
                <w:sz w:val="19"/>
                <w:szCs w:val="19"/>
                <w:lang w:val="en-US"/>
              </w:rPr>
            </w:pPr>
            <w:r w:rsidRPr="00611E25">
              <w:rPr>
                <w:rFonts w:cs="Arial"/>
                <w:b/>
                <w:sz w:val="19"/>
                <w:szCs w:val="19"/>
                <w:lang w:val="en-US"/>
              </w:rPr>
              <w:t>Males 15 years or over</w:t>
            </w:r>
          </w:p>
        </w:tc>
      </w:tr>
      <w:tr w:rsidR="009519FE" w:rsidRPr="00D93644" w:rsidTr="00611E25">
        <w:trPr>
          <w:trHeight w:val="300"/>
        </w:trPr>
        <w:tc>
          <w:tcPr>
            <w:tcW w:w="1149" w:type="dxa"/>
            <w:tcBorders>
              <w:top w:val="single" w:sz="18" w:space="0" w:color="auto"/>
            </w:tcBorders>
            <w:shd w:val="clear" w:color="auto" w:fill="D9D9D9" w:themeFill="background1" w:themeFillShade="D9"/>
            <w:noWrap/>
            <w:vAlign w:val="bottom"/>
          </w:tcPr>
          <w:p w:rsidR="009519FE" w:rsidRPr="00611E25" w:rsidRDefault="009519FE" w:rsidP="00611E25">
            <w:pPr>
              <w:spacing w:before="20" w:after="20"/>
              <w:rPr>
                <w:rFonts w:cs="Arial"/>
                <w:b/>
                <w:sz w:val="19"/>
                <w:szCs w:val="19"/>
                <w:lang w:val="en-US"/>
              </w:rPr>
            </w:pPr>
            <w:r w:rsidRPr="00611E25">
              <w:rPr>
                <w:rFonts w:cs="Arial"/>
                <w:b/>
                <w:sz w:val="19"/>
                <w:szCs w:val="19"/>
                <w:lang w:val="en-US"/>
              </w:rPr>
              <w:t>Attiki</w:t>
            </w:r>
          </w:p>
        </w:tc>
        <w:tc>
          <w:tcPr>
            <w:tcW w:w="1502" w:type="dxa"/>
            <w:tcBorders>
              <w:top w:val="single" w:sz="18" w:space="0" w:color="auto"/>
            </w:tcBorders>
            <w:shd w:val="clear" w:color="auto" w:fill="D9D9D9" w:themeFill="background1" w:themeFillShade="D9"/>
            <w:noWrap/>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17.6</w:t>
            </w:r>
          </w:p>
        </w:tc>
        <w:tc>
          <w:tcPr>
            <w:tcW w:w="1503" w:type="dxa"/>
            <w:tcBorders>
              <w:top w:val="single" w:sz="18" w:space="0" w:color="auto"/>
            </w:tcBorders>
            <w:shd w:val="clear" w:color="auto" w:fill="D9D9D9" w:themeFill="background1" w:themeFillShade="D9"/>
            <w:noWrap/>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21.4</w:t>
            </w:r>
          </w:p>
        </w:tc>
        <w:tc>
          <w:tcPr>
            <w:tcW w:w="1502" w:type="dxa"/>
            <w:tcBorders>
              <w:top w:val="single" w:sz="18" w:space="0" w:color="auto"/>
            </w:tcBorders>
            <w:shd w:val="clear" w:color="auto" w:fill="D9D9D9" w:themeFill="background1" w:themeFillShade="D9"/>
            <w:noWrap/>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8,3</w:t>
            </w:r>
          </w:p>
        </w:tc>
        <w:tc>
          <w:tcPr>
            <w:tcW w:w="1503" w:type="dxa"/>
            <w:tcBorders>
              <w:top w:val="single" w:sz="18" w:space="0" w:color="auto"/>
            </w:tcBorders>
            <w:shd w:val="clear" w:color="auto" w:fill="D9D9D9" w:themeFill="background1" w:themeFillShade="D9"/>
            <w:noWrap/>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20,9</w:t>
            </w:r>
          </w:p>
        </w:tc>
        <w:tc>
          <w:tcPr>
            <w:tcW w:w="1503" w:type="dxa"/>
            <w:tcBorders>
              <w:top w:val="single" w:sz="18" w:space="0" w:color="auto"/>
            </w:tcBorders>
            <w:shd w:val="clear" w:color="auto" w:fill="D9D9D9" w:themeFill="background1" w:themeFillShade="D9"/>
            <w:noWrap/>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21,9</w:t>
            </w:r>
          </w:p>
        </w:tc>
      </w:tr>
      <w:tr w:rsidR="009519FE" w:rsidRPr="00D93644" w:rsidTr="00611E25">
        <w:trPr>
          <w:trHeight w:val="300"/>
        </w:trPr>
        <w:tc>
          <w:tcPr>
            <w:tcW w:w="1149" w:type="dxa"/>
            <w:shd w:val="clear" w:color="auto" w:fill="auto"/>
            <w:noWrap/>
            <w:vAlign w:val="bottom"/>
          </w:tcPr>
          <w:p w:rsidR="009519FE" w:rsidRPr="00611E25" w:rsidRDefault="009519FE" w:rsidP="00611E25">
            <w:pPr>
              <w:spacing w:before="20" w:after="20"/>
              <w:rPr>
                <w:rFonts w:cs="Arial"/>
                <w:b/>
                <w:sz w:val="19"/>
                <w:szCs w:val="19"/>
                <w:lang w:val="en-US"/>
              </w:rPr>
            </w:pPr>
            <w:r w:rsidRPr="00611E25">
              <w:rPr>
                <w:rFonts w:cs="Arial"/>
                <w:b/>
                <w:sz w:val="19"/>
                <w:szCs w:val="19"/>
                <w:lang w:val="en-US"/>
              </w:rPr>
              <w:t>Greece</w:t>
            </w:r>
          </w:p>
        </w:tc>
        <w:tc>
          <w:tcPr>
            <w:tcW w:w="1502" w:type="dxa"/>
            <w:shd w:val="clear" w:color="auto" w:fill="FFFFFF"/>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17.7</w:t>
            </w:r>
          </w:p>
        </w:tc>
        <w:tc>
          <w:tcPr>
            <w:tcW w:w="1503" w:type="dxa"/>
            <w:shd w:val="clear" w:color="auto" w:fill="FFFFFF"/>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44.4</w:t>
            </w:r>
          </w:p>
        </w:tc>
        <w:tc>
          <w:tcPr>
            <w:tcW w:w="1502" w:type="dxa"/>
            <w:shd w:val="clear" w:color="auto" w:fill="FFFFFF"/>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15,8</w:t>
            </w:r>
          </w:p>
        </w:tc>
        <w:tc>
          <w:tcPr>
            <w:tcW w:w="1503" w:type="dxa"/>
            <w:shd w:val="clear" w:color="auto" w:fill="FFFFFF"/>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51,5</w:t>
            </w:r>
          </w:p>
        </w:tc>
        <w:tc>
          <w:tcPr>
            <w:tcW w:w="1503" w:type="dxa"/>
            <w:shd w:val="clear" w:color="auto" w:fill="FFFFFF"/>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38,5</w:t>
            </w:r>
          </w:p>
        </w:tc>
      </w:tr>
      <w:tr w:rsidR="009519FE" w:rsidRPr="00D93644" w:rsidTr="00611E25">
        <w:trPr>
          <w:trHeight w:val="300"/>
        </w:trPr>
        <w:tc>
          <w:tcPr>
            <w:tcW w:w="1149" w:type="dxa"/>
            <w:shd w:val="clear" w:color="auto" w:fill="D9D9D9" w:themeFill="background1" w:themeFillShade="D9"/>
            <w:noWrap/>
            <w:vAlign w:val="bottom"/>
          </w:tcPr>
          <w:p w:rsidR="009519FE" w:rsidRPr="00611E25" w:rsidRDefault="009519FE" w:rsidP="00611E25">
            <w:pPr>
              <w:spacing w:before="20" w:after="20"/>
              <w:rPr>
                <w:rFonts w:cs="Arial"/>
                <w:b/>
                <w:sz w:val="19"/>
                <w:szCs w:val="19"/>
                <w:lang w:val="en-US"/>
              </w:rPr>
            </w:pPr>
            <w:r w:rsidRPr="00611E25">
              <w:rPr>
                <w:rFonts w:cs="Arial"/>
                <w:b/>
                <w:sz w:val="19"/>
                <w:szCs w:val="19"/>
                <w:lang w:val="en-US"/>
              </w:rPr>
              <w:t>EU 27</w:t>
            </w:r>
          </w:p>
        </w:tc>
        <w:tc>
          <w:tcPr>
            <w:tcW w:w="1502" w:type="dxa"/>
            <w:shd w:val="clear" w:color="auto" w:fill="D9D9D9" w:themeFill="background1" w:themeFillShade="D9"/>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9.6</w:t>
            </w:r>
          </w:p>
        </w:tc>
        <w:tc>
          <w:tcPr>
            <w:tcW w:w="1503" w:type="dxa"/>
            <w:shd w:val="clear" w:color="auto" w:fill="D9D9D9" w:themeFill="background1" w:themeFillShade="D9"/>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43.2</w:t>
            </w:r>
          </w:p>
        </w:tc>
        <w:tc>
          <w:tcPr>
            <w:tcW w:w="1502" w:type="dxa"/>
            <w:shd w:val="clear" w:color="auto" w:fill="D9D9D9" w:themeFill="background1" w:themeFillShade="D9"/>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16,1</w:t>
            </w:r>
          </w:p>
        </w:tc>
        <w:tc>
          <w:tcPr>
            <w:tcW w:w="1503" w:type="dxa"/>
            <w:shd w:val="clear" w:color="auto" w:fill="D9D9D9" w:themeFill="background1" w:themeFillShade="D9"/>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47,3</w:t>
            </w:r>
          </w:p>
        </w:tc>
        <w:tc>
          <w:tcPr>
            <w:tcW w:w="1503" w:type="dxa"/>
            <w:shd w:val="clear" w:color="auto" w:fill="D9D9D9" w:themeFill="background1" w:themeFillShade="D9"/>
            <w:vAlign w:val="bottom"/>
          </w:tcPr>
          <w:p w:rsidR="009519FE" w:rsidRPr="00611E25" w:rsidRDefault="009519FE" w:rsidP="00611E25">
            <w:pPr>
              <w:spacing w:before="20" w:after="20"/>
              <w:jc w:val="right"/>
              <w:rPr>
                <w:rFonts w:cs="Arial"/>
                <w:sz w:val="19"/>
                <w:szCs w:val="19"/>
                <w:lang w:val="en-US"/>
              </w:rPr>
            </w:pPr>
            <w:r w:rsidRPr="00611E25">
              <w:rPr>
                <w:rFonts w:cs="Arial"/>
                <w:sz w:val="19"/>
                <w:szCs w:val="19"/>
                <w:lang w:val="en-US"/>
              </w:rPr>
              <w:t>39,6</w:t>
            </w:r>
          </w:p>
        </w:tc>
      </w:tr>
    </w:tbl>
    <w:p w:rsidR="00ED0F60" w:rsidRPr="00F430B9" w:rsidRDefault="009519FE" w:rsidP="00ED0F60">
      <w:pPr>
        <w:spacing w:before="0" w:after="240"/>
        <w:rPr>
          <w:rFonts w:cs="Arial"/>
          <w:sz w:val="16"/>
          <w:szCs w:val="16"/>
          <w:lang w:val="en-US"/>
        </w:rPr>
      </w:pPr>
      <w:r w:rsidRPr="007C7EFC">
        <w:rPr>
          <w:rFonts w:cs="Arial"/>
          <w:b/>
          <w:sz w:val="16"/>
          <w:szCs w:val="16"/>
          <w:lang w:val="en-US"/>
        </w:rPr>
        <w:t>Source</w:t>
      </w:r>
      <w:r w:rsidRPr="00D93644">
        <w:rPr>
          <w:rFonts w:cs="Arial"/>
          <w:sz w:val="16"/>
          <w:szCs w:val="16"/>
          <w:lang w:val="en-US"/>
        </w:rPr>
        <w:t>: Eurostat REGIO database</w:t>
      </w:r>
    </w:p>
    <w:p w:rsidR="00611E25" w:rsidRDefault="00611E25" w:rsidP="00611E25">
      <w:pPr>
        <w:pStyle w:val="Caption"/>
        <w:keepNext/>
        <w:spacing w:after="120"/>
      </w:pPr>
      <w:bookmarkStart w:id="29" w:name="_Toc386013245"/>
      <w:r>
        <w:t xml:space="preserve">Table </w:t>
      </w:r>
      <w:r w:rsidR="00CC1B00">
        <w:fldChar w:fldCharType="begin"/>
      </w:r>
      <w:r w:rsidR="00CC1B00">
        <w:instrText xml:space="preserve"> SEQ Table \* ARABIC </w:instrText>
      </w:r>
      <w:r w:rsidR="00CC1B00">
        <w:fldChar w:fldCharType="separate"/>
      </w:r>
      <w:r w:rsidR="002634D4">
        <w:rPr>
          <w:noProof/>
        </w:rPr>
        <w:t>9</w:t>
      </w:r>
      <w:r w:rsidR="00CC1B00">
        <w:rPr>
          <w:noProof/>
        </w:rPr>
        <w:fldChar w:fldCharType="end"/>
      </w:r>
      <w:r>
        <w:t xml:space="preserve">: </w:t>
      </w:r>
      <w:r w:rsidRPr="00D93644">
        <w:rPr>
          <w:rFonts w:cs="Arial"/>
          <w:lang w:val="en-US"/>
        </w:rPr>
        <w:t xml:space="preserve">Long-term unemployment (12 months and more), </w:t>
      </w:r>
      <w:r w:rsidR="007C7EFC">
        <w:rPr>
          <w:rFonts w:cs="Arial"/>
          <w:lang w:val="en-US"/>
        </w:rPr>
        <w:t>r</w:t>
      </w:r>
      <w:r w:rsidRPr="00D93644">
        <w:rPr>
          <w:rFonts w:cs="Arial"/>
          <w:lang w:val="en-US"/>
        </w:rPr>
        <w:t>egion of Attiki</w:t>
      </w:r>
      <w:bookmarkEnd w:id="29"/>
    </w:p>
    <w:tbl>
      <w:tblPr>
        <w:tblW w:w="6687" w:type="dxa"/>
        <w:tblLook w:val="0000" w:firstRow="0" w:lastRow="0" w:firstColumn="0" w:lastColumn="0" w:noHBand="0" w:noVBand="0"/>
      </w:tblPr>
      <w:tblGrid>
        <w:gridCol w:w="661"/>
        <w:gridCol w:w="661"/>
        <w:gridCol w:w="710"/>
        <w:gridCol w:w="661"/>
        <w:gridCol w:w="689"/>
        <w:gridCol w:w="661"/>
        <w:gridCol w:w="661"/>
        <w:gridCol w:w="661"/>
        <w:gridCol w:w="661"/>
        <w:gridCol w:w="661"/>
      </w:tblGrid>
      <w:tr w:rsidR="009519FE" w:rsidRPr="00D93644" w:rsidTr="00CB4552">
        <w:trPr>
          <w:trHeight w:val="285"/>
        </w:trPr>
        <w:tc>
          <w:tcPr>
            <w:tcW w:w="661" w:type="dxa"/>
            <w:tcBorders>
              <w:top w:val="single" w:sz="4" w:space="0" w:color="000000"/>
              <w:left w:val="single" w:sz="4" w:space="0" w:color="000000"/>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b/>
                <w:sz w:val="19"/>
                <w:szCs w:val="19"/>
                <w:lang w:val="en-US"/>
              </w:rPr>
            </w:pPr>
            <w:r w:rsidRPr="00611E25">
              <w:rPr>
                <w:rFonts w:cs="Arial"/>
                <w:b/>
                <w:sz w:val="19"/>
                <w:szCs w:val="19"/>
                <w:lang w:val="en-US"/>
              </w:rPr>
              <w:t>2002</w:t>
            </w:r>
          </w:p>
        </w:tc>
        <w:tc>
          <w:tcPr>
            <w:tcW w:w="661" w:type="dxa"/>
            <w:tcBorders>
              <w:top w:val="single" w:sz="4" w:space="0" w:color="000000"/>
              <w:left w:val="nil"/>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b/>
                <w:sz w:val="19"/>
                <w:szCs w:val="19"/>
                <w:lang w:val="en-US"/>
              </w:rPr>
            </w:pPr>
            <w:r w:rsidRPr="00611E25">
              <w:rPr>
                <w:rFonts w:cs="Arial"/>
                <w:b/>
                <w:sz w:val="19"/>
                <w:szCs w:val="19"/>
                <w:lang w:val="en-US"/>
              </w:rPr>
              <w:t>2003</w:t>
            </w:r>
          </w:p>
        </w:tc>
        <w:tc>
          <w:tcPr>
            <w:tcW w:w="710" w:type="dxa"/>
            <w:tcBorders>
              <w:top w:val="single" w:sz="4" w:space="0" w:color="000000"/>
              <w:left w:val="nil"/>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b/>
                <w:sz w:val="19"/>
                <w:szCs w:val="19"/>
                <w:lang w:val="en-US"/>
              </w:rPr>
            </w:pPr>
            <w:r w:rsidRPr="00611E25">
              <w:rPr>
                <w:rFonts w:cs="Arial"/>
                <w:b/>
                <w:sz w:val="19"/>
                <w:szCs w:val="19"/>
                <w:lang w:val="en-US"/>
              </w:rPr>
              <w:t>2004</w:t>
            </w:r>
          </w:p>
        </w:tc>
        <w:tc>
          <w:tcPr>
            <w:tcW w:w="661" w:type="dxa"/>
            <w:tcBorders>
              <w:top w:val="single" w:sz="4" w:space="0" w:color="000000"/>
              <w:left w:val="nil"/>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b/>
                <w:sz w:val="19"/>
                <w:szCs w:val="19"/>
                <w:lang w:val="en-US"/>
              </w:rPr>
            </w:pPr>
            <w:r w:rsidRPr="00611E25">
              <w:rPr>
                <w:rFonts w:cs="Arial"/>
                <w:b/>
                <w:sz w:val="19"/>
                <w:szCs w:val="19"/>
                <w:lang w:val="en-US"/>
              </w:rPr>
              <w:t>2005</w:t>
            </w:r>
          </w:p>
        </w:tc>
        <w:tc>
          <w:tcPr>
            <w:tcW w:w="689" w:type="dxa"/>
            <w:tcBorders>
              <w:top w:val="single" w:sz="4" w:space="0" w:color="000000"/>
              <w:left w:val="nil"/>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b/>
                <w:sz w:val="19"/>
                <w:szCs w:val="19"/>
                <w:lang w:val="en-US"/>
              </w:rPr>
            </w:pPr>
            <w:r w:rsidRPr="00611E25">
              <w:rPr>
                <w:rFonts w:cs="Arial"/>
                <w:b/>
                <w:sz w:val="19"/>
                <w:szCs w:val="19"/>
                <w:lang w:val="en-US"/>
              </w:rPr>
              <w:t>2006</w:t>
            </w:r>
          </w:p>
        </w:tc>
        <w:tc>
          <w:tcPr>
            <w:tcW w:w="661" w:type="dxa"/>
            <w:tcBorders>
              <w:top w:val="single" w:sz="4" w:space="0" w:color="000000"/>
              <w:left w:val="nil"/>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b/>
                <w:sz w:val="19"/>
                <w:szCs w:val="19"/>
                <w:lang w:val="en-US"/>
              </w:rPr>
            </w:pPr>
            <w:r w:rsidRPr="00611E25">
              <w:rPr>
                <w:rFonts w:cs="Arial"/>
                <w:b/>
                <w:sz w:val="19"/>
                <w:szCs w:val="19"/>
                <w:lang w:val="en-US"/>
              </w:rPr>
              <w:t>2007</w:t>
            </w:r>
          </w:p>
        </w:tc>
        <w:tc>
          <w:tcPr>
            <w:tcW w:w="661" w:type="dxa"/>
            <w:tcBorders>
              <w:top w:val="single" w:sz="4" w:space="0" w:color="000000"/>
              <w:left w:val="nil"/>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b/>
                <w:sz w:val="19"/>
                <w:szCs w:val="19"/>
                <w:lang w:val="en-US"/>
              </w:rPr>
            </w:pPr>
            <w:r w:rsidRPr="00611E25">
              <w:rPr>
                <w:rFonts w:cs="Arial"/>
                <w:b/>
                <w:sz w:val="19"/>
                <w:szCs w:val="19"/>
                <w:lang w:val="en-US"/>
              </w:rPr>
              <w:t>2008</w:t>
            </w:r>
          </w:p>
        </w:tc>
        <w:tc>
          <w:tcPr>
            <w:tcW w:w="661" w:type="dxa"/>
            <w:tcBorders>
              <w:top w:val="single" w:sz="4" w:space="0" w:color="000000"/>
              <w:left w:val="nil"/>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b/>
                <w:sz w:val="19"/>
                <w:szCs w:val="19"/>
                <w:lang w:val="en-US"/>
              </w:rPr>
            </w:pPr>
            <w:r w:rsidRPr="00611E25">
              <w:rPr>
                <w:rFonts w:cs="Arial"/>
                <w:b/>
                <w:sz w:val="19"/>
                <w:szCs w:val="19"/>
                <w:lang w:val="en-US"/>
              </w:rPr>
              <w:t>2009</w:t>
            </w:r>
          </w:p>
        </w:tc>
        <w:tc>
          <w:tcPr>
            <w:tcW w:w="661" w:type="dxa"/>
            <w:tcBorders>
              <w:top w:val="single" w:sz="4" w:space="0" w:color="000000"/>
              <w:left w:val="nil"/>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b/>
                <w:sz w:val="19"/>
                <w:szCs w:val="19"/>
                <w:lang w:val="en-US"/>
              </w:rPr>
            </w:pPr>
            <w:r w:rsidRPr="00611E25">
              <w:rPr>
                <w:rFonts w:cs="Arial"/>
                <w:b/>
                <w:sz w:val="19"/>
                <w:szCs w:val="19"/>
                <w:lang w:val="en-US"/>
              </w:rPr>
              <w:t>2010</w:t>
            </w:r>
          </w:p>
        </w:tc>
        <w:tc>
          <w:tcPr>
            <w:tcW w:w="661" w:type="dxa"/>
            <w:tcBorders>
              <w:top w:val="single" w:sz="4" w:space="0" w:color="000000"/>
              <w:left w:val="nil"/>
              <w:bottom w:val="single" w:sz="4" w:space="0" w:color="000000"/>
              <w:right w:val="single" w:sz="4" w:space="0" w:color="000000"/>
            </w:tcBorders>
            <w:shd w:val="clear" w:color="auto" w:fill="auto"/>
            <w:noWrap/>
            <w:vAlign w:val="bottom"/>
          </w:tcPr>
          <w:p w:rsidR="009519FE" w:rsidRPr="00611E25" w:rsidRDefault="009519FE" w:rsidP="00611E25">
            <w:pPr>
              <w:spacing w:before="20" w:after="20" w:line="240" w:lineRule="auto"/>
              <w:rPr>
                <w:rFonts w:cs="Arial"/>
                <w:b/>
                <w:sz w:val="19"/>
                <w:szCs w:val="19"/>
                <w:lang w:val="en-US"/>
              </w:rPr>
            </w:pPr>
            <w:r w:rsidRPr="00611E25">
              <w:rPr>
                <w:rFonts w:cs="Arial"/>
                <w:b/>
                <w:sz w:val="19"/>
                <w:szCs w:val="19"/>
                <w:lang w:val="en-US"/>
              </w:rPr>
              <w:t>2011</w:t>
            </w:r>
          </w:p>
        </w:tc>
      </w:tr>
      <w:tr w:rsidR="009519FE" w:rsidRPr="00D93644" w:rsidTr="00611E25">
        <w:trPr>
          <w:trHeight w:val="285"/>
        </w:trPr>
        <w:tc>
          <w:tcPr>
            <w:tcW w:w="661" w:type="dxa"/>
            <w:tcBorders>
              <w:top w:val="nil"/>
              <w:left w:val="single" w:sz="4" w:space="0" w:color="000000"/>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4.83</w:t>
            </w:r>
          </w:p>
        </w:tc>
        <w:tc>
          <w:tcPr>
            <w:tcW w:w="661" w:type="dxa"/>
            <w:tcBorders>
              <w:top w:val="nil"/>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5.05</w:t>
            </w:r>
          </w:p>
        </w:tc>
        <w:tc>
          <w:tcPr>
            <w:tcW w:w="710" w:type="dxa"/>
            <w:tcBorders>
              <w:top w:val="nil"/>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4.70</w:t>
            </w:r>
          </w:p>
        </w:tc>
        <w:tc>
          <w:tcPr>
            <w:tcW w:w="661" w:type="dxa"/>
            <w:tcBorders>
              <w:top w:val="nil"/>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4.45</w:t>
            </w:r>
          </w:p>
        </w:tc>
        <w:tc>
          <w:tcPr>
            <w:tcW w:w="689" w:type="dxa"/>
            <w:tcBorders>
              <w:top w:val="nil"/>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4.54</w:t>
            </w:r>
          </w:p>
        </w:tc>
        <w:tc>
          <w:tcPr>
            <w:tcW w:w="661" w:type="dxa"/>
            <w:tcBorders>
              <w:top w:val="nil"/>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3.78</w:t>
            </w:r>
          </w:p>
        </w:tc>
        <w:tc>
          <w:tcPr>
            <w:tcW w:w="661" w:type="dxa"/>
            <w:tcBorders>
              <w:top w:val="nil"/>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2.82</w:t>
            </w:r>
          </w:p>
        </w:tc>
        <w:tc>
          <w:tcPr>
            <w:tcW w:w="661" w:type="dxa"/>
            <w:tcBorders>
              <w:top w:val="nil"/>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3.28</w:t>
            </w:r>
          </w:p>
        </w:tc>
        <w:tc>
          <w:tcPr>
            <w:tcW w:w="661" w:type="dxa"/>
            <w:tcBorders>
              <w:top w:val="nil"/>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5.02</w:t>
            </w:r>
          </w:p>
        </w:tc>
        <w:tc>
          <w:tcPr>
            <w:tcW w:w="661" w:type="dxa"/>
            <w:tcBorders>
              <w:top w:val="nil"/>
              <w:left w:val="nil"/>
              <w:bottom w:val="single" w:sz="4" w:space="0" w:color="000000"/>
              <w:right w:val="single" w:sz="4" w:space="0" w:color="000000"/>
            </w:tcBorders>
            <w:shd w:val="clear" w:color="auto" w:fill="D9D9D9" w:themeFill="background1" w:themeFillShade="D9"/>
            <w:noWrap/>
            <w:vAlign w:val="bottom"/>
          </w:tcPr>
          <w:p w:rsidR="009519FE" w:rsidRPr="00611E25" w:rsidRDefault="009519FE" w:rsidP="00611E25">
            <w:pPr>
              <w:spacing w:before="20" w:after="20" w:line="240" w:lineRule="auto"/>
              <w:jc w:val="right"/>
              <w:rPr>
                <w:rFonts w:cs="Arial"/>
                <w:sz w:val="19"/>
                <w:szCs w:val="19"/>
                <w:lang w:val="en-US"/>
              </w:rPr>
            </w:pPr>
            <w:r w:rsidRPr="00611E25">
              <w:rPr>
                <w:rFonts w:cs="Arial"/>
                <w:sz w:val="19"/>
                <w:szCs w:val="19"/>
                <w:lang w:val="en-US"/>
              </w:rPr>
              <w:t>8.53</w:t>
            </w:r>
          </w:p>
        </w:tc>
      </w:tr>
    </w:tbl>
    <w:p w:rsidR="009519FE" w:rsidRDefault="004B23E3" w:rsidP="00611E25">
      <w:pPr>
        <w:spacing w:before="0" w:after="240"/>
        <w:rPr>
          <w:rFonts w:cs="Arial"/>
          <w:sz w:val="16"/>
          <w:szCs w:val="16"/>
          <w:lang w:val="en-US"/>
        </w:rPr>
      </w:pPr>
      <w:r>
        <w:rPr>
          <w:noProof/>
          <w:lang w:val="fi-FI" w:eastAsia="fi-FI"/>
        </w:rPr>
        <mc:AlternateContent>
          <mc:Choice Requires="wps">
            <w:drawing>
              <wp:anchor distT="0" distB="0" distL="114300" distR="114300" simplePos="0" relativeHeight="251683840" behindDoc="0" locked="0" layoutInCell="1" allowOverlap="1" wp14:anchorId="7F465B4C" wp14:editId="4929725D">
                <wp:simplePos x="0" y="0"/>
                <wp:positionH relativeFrom="column">
                  <wp:posOffset>-7620</wp:posOffset>
                </wp:positionH>
                <wp:positionV relativeFrom="paragraph">
                  <wp:posOffset>4552950</wp:posOffset>
                </wp:positionV>
                <wp:extent cx="5172075" cy="635"/>
                <wp:effectExtent l="0" t="0" r="0" b="0"/>
                <wp:wrapNone/>
                <wp:docPr id="53" name="Textfeld 53"/>
                <wp:cNvGraphicFramePr/>
                <a:graphic xmlns:a="http://schemas.openxmlformats.org/drawingml/2006/main">
                  <a:graphicData uri="http://schemas.microsoft.com/office/word/2010/wordprocessingShape">
                    <wps:wsp>
                      <wps:cNvSpPr txBox="1"/>
                      <wps:spPr>
                        <a:xfrm>
                          <a:off x="0" y="0"/>
                          <a:ext cx="5172075" cy="635"/>
                        </a:xfrm>
                        <a:prstGeom prst="rect">
                          <a:avLst/>
                        </a:prstGeom>
                        <a:solidFill>
                          <a:prstClr val="white"/>
                        </a:solidFill>
                        <a:ln>
                          <a:noFill/>
                        </a:ln>
                        <a:effectLst/>
                      </wps:spPr>
                      <wps:txbx>
                        <w:txbxContent>
                          <w:p w:rsidR="004B23E3" w:rsidRPr="00216519" w:rsidRDefault="004B23E3" w:rsidP="004B23E3">
                            <w:pPr>
                              <w:pStyle w:val="Caption"/>
                              <w:rPr>
                                <w:rFonts w:cs="Arial"/>
                                <w:noProof/>
                                <w:sz w:val="16"/>
                                <w:szCs w:val="16"/>
                              </w:rPr>
                            </w:pPr>
                            <w:bookmarkStart w:id="30" w:name="_Toc392505058"/>
                            <w:r>
                              <w:t xml:space="preserve">Map </w:t>
                            </w:r>
                            <w:fldSimple w:instr=" SEQ Map \* ARABIC ">
                              <w:r w:rsidR="002634D4">
                                <w:rPr>
                                  <w:noProof/>
                                </w:rPr>
                                <w:t>3</w:t>
                              </w:r>
                            </w:fldSimple>
                            <w:r>
                              <w:t>:</w:t>
                            </w:r>
                            <w:r w:rsidRPr="004B23E3">
                              <w:rPr>
                                <w:rFonts w:cs="Arial"/>
                                <w:shd w:val="clear" w:color="auto" w:fill="FFFFFF"/>
                                <w:lang w:val="en-US"/>
                              </w:rPr>
                              <w:t xml:space="preserve"> </w:t>
                            </w:r>
                            <w:r>
                              <w:rPr>
                                <w:rFonts w:cs="Arial"/>
                                <w:shd w:val="clear" w:color="auto" w:fill="FFFFFF"/>
                                <w:lang w:val="en-US"/>
                              </w:rPr>
                              <w:t>Main land use by 1km GRID cell, r</w:t>
                            </w:r>
                            <w:r w:rsidRPr="00611E25">
                              <w:rPr>
                                <w:rFonts w:cs="Arial"/>
                                <w:shd w:val="clear" w:color="auto" w:fill="FFFFFF"/>
                                <w:lang w:val="en-US"/>
                              </w:rPr>
                              <w:t>egion of Attiki</w:t>
                            </w:r>
                            <w:bookmarkEnd w:id="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7F465B4C" id="Textfeld 53" o:spid="_x0000_s1031" type="#_x0000_t202" style="position:absolute;left:0;text-align:left;margin-left:-.6pt;margin-top:358.5pt;width:407.25pt;height:.0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" stroked="f">
                <v:textbox style="mso-fit-shape-to-text:t" inset="0,0,0,0">
                  <w:txbxContent>
                    <w:p w:rsidR="004B23E3" w:rsidRPr="00216519" w:rsidRDefault="004B23E3" w:rsidP="004B23E3">
                      <w:pPr>
                        <w:pStyle w:val="Kuvaotsikko"/>
                        <w:rPr>
                          <w:rFonts w:cs="Arial"/>
                          <w:noProof/>
                          <w:sz w:val="16"/>
                          <w:szCs w:val="16"/>
                        </w:rPr>
                      </w:pPr>
                      <w:bookmarkStart w:id="38" w:name="_Toc392505058"/>
                      <w:r>
                        <w:t xml:space="preserve">Map </w:t>
                      </w:r>
                      <w:r w:rsidR="00E42384">
                        <w:fldChar w:fldCharType="begin"/>
                      </w:r>
                      <w:r w:rsidR="00E42384">
                        <w:instrText xml:space="preserve"> SEQ Map \* ARABIC </w:instrText>
                      </w:r>
                      <w:r w:rsidR="00E42384">
                        <w:fldChar w:fldCharType="separate"/>
                      </w:r>
                      <w:r w:rsidR="002634D4">
                        <w:rPr>
                          <w:noProof/>
                        </w:rPr>
                        <w:t>3</w:t>
                      </w:r>
                      <w:r w:rsidR="00E42384">
                        <w:rPr>
                          <w:noProof/>
                        </w:rPr>
                        <w:fldChar w:fldCharType="end"/>
                      </w:r>
                      <w:r>
                        <w:t>:</w:t>
                      </w:r>
                      <w:r w:rsidRPr="004B23E3">
                        <w:rPr>
                          <w:rFonts w:cs="Arial"/>
                          <w:shd w:val="clear" w:color="auto" w:fill="FFFFFF"/>
                          <w:lang w:val="en-US"/>
                        </w:rPr>
                        <w:t xml:space="preserve"> </w:t>
                      </w:r>
                      <w:r>
                        <w:rPr>
                          <w:rFonts w:cs="Arial"/>
                          <w:shd w:val="clear" w:color="auto" w:fill="FFFFFF"/>
                          <w:lang w:val="en-US"/>
                        </w:rPr>
                        <w:t>Main land use by 1km GRID cell, r</w:t>
                      </w:r>
                      <w:r w:rsidRPr="00611E25">
                        <w:rPr>
                          <w:rFonts w:cs="Arial"/>
                          <w:shd w:val="clear" w:color="auto" w:fill="FFFFFF"/>
                          <w:lang w:val="en-US"/>
                        </w:rPr>
                        <w:t>egion of Attiki</w:t>
                      </w:r>
                      <w:bookmarkEnd w:id="38"/>
                    </w:p>
                  </w:txbxContent>
                </v:textbox>
              </v:shape>
            </w:pict>
          </mc:Fallback>
        </mc:AlternateContent>
      </w:r>
      <w:r w:rsidR="00256038" w:rsidRPr="007C7EFC">
        <w:rPr>
          <w:rFonts w:cs="Arial"/>
          <w:b/>
          <w:noProof/>
          <w:sz w:val="16"/>
          <w:szCs w:val="16"/>
          <w:lang w:val="fi-FI" w:eastAsia="fi-FI"/>
        </w:rPr>
        <w:drawing>
          <wp:anchor distT="0" distB="0" distL="114300" distR="114300" simplePos="0" relativeHeight="251651072" behindDoc="0" locked="0" layoutInCell="1" allowOverlap="1" wp14:anchorId="2080FE67" wp14:editId="0FAC8166">
            <wp:simplePos x="0" y="0"/>
            <wp:positionH relativeFrom="column">
              <wp:posOffset>-7620</wp:posOffset>
            </wp:positionH>
            <wp:positionV relativeFrom="paragraph">
              <wp:posOffset>381000</wp:posOffset>
            </wp:positionV>
            <wp:extent cx="5172075" cy="4114800"/>
            <wp:effectExtent l="0" t="0" r="9525" b="0"/>
            <wp:wrapTopAndBottom/>
            <wp:docPr id="4" name="Grafik 6" descr="ESPON TIPSE_W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PON TIPSE_WP2"/>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2161" t="1317" b="3900"/>
                    <a:stretch/>
                  </pic:blipFill>
                  <pic:spPr bwMode="auto">
                    <a:xfrm>
                      <a:off x="0" y="0"/>
                      <a:ext cx="5172075" cy="4114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519FE" w:rsidRPr="007C7EFC">
        <w:rPr>
          <w:rFonts w:cs="Arial"/>
          <w:b/>
          <w:sz w:val="16"/>
          <w:szCs w:val="16"/>
          <w:lang w:val="en-US"/>
        </w:rPr>
        <w:t xml:space="preserve">Source: </w:t>
      </w:r>
      <w:r w:rsidR="009519FE" w:rsidRPr="00D93644">
        <w:rPr>
          <w:rFonts w:cs="Arial"/>
          <w:sz w:val="16"/>
          <w:szCs w:val="16"/>
          <w:lang w:val="en-US"/>
        </w:rPr>
        <w:t>Eurostat REGIO database</w:t>
      </w:r>
    </w:p>
    <w:p w:rsidR="00F47AF1" w:rsidRDefault="00F47AF1" w:rsidP="00611E25">
      <w:pPr>
        <w:spacing w:before="0" w:after="240"/>
        <w:rPr>
          <w:rFonts w:cs="Arial"/>
          <w:sz w:val="16"/>
          <w:szCs w:val="16"/>
          <w:lang w:val="en-US"/>
        </w:rPr>
      </w:pPr>
    </w:p>
    <w:p w:rsidR="00602381" w:rsidRPr="00602381" w:rsidRDefault="00602381" w:rsidP="00602381">
      <w:bookmarkStart w:id="31" w:name="_Toc340841258"/>
    </w:p>
    <w:p w:rsidR="00611E25" w:rsidRDefault="00611E25" w:rsidP="00F430B9">
      <w:pPr>
        <w:pStyle w:val="Caption"/>
        <w:keepNext/>
        <w:spacing w:before="0" w:after="120"/>
      </w:pPr>
      <w:bookmarkStart w:id="32" w:name="_Ref384742181"/>
      <w:bookmarkStart w:id="33" w:name="_Toc386013246"/>
      <w:bookmarkEnd w:id="31"/>
      <w:r>
        <w:t xml:space="preserve">Table </w:t>
      </w:r>
      <w:r w:rsidR="00CC1B00">
        <w:fldChar w:fldCharType="begin"/>
      </w:r>
      <w:r w:rsidR="00CC1B00">
        <w:instrText xml:space="preserve"> SEQ Table \* ARABIC </w:instrText>
      </w:r>
      <w:r w:rsidR="00CC1B00">
        <w:fldChar w:fldCharType="separate"/>
      </w:r>
      <w:r w:rsidR="002634D4">
        <w:rPr>
          <w:noProof/>
        </w:rPr>
        <w:t>10</w:t>
      </w:r>
      <w:r w:rsidR="00CC1B00">
        <w:rPr>
          <w:noProof/>
        </w:rPr>
        <w:fldChar w:fldCharType="end"/>
      </w:r>
      <w:bookmarkEnd w:id="32"/>
      <w:r>
        <w:t xml:space="preserve">: </w:t>
      </w:r>
      <w:r w:rsidRPr="00D93644">
        <w:rPr>
          <w:rFonts w:cs="Arial"/>
          <w:noProof/>
        </w:rPr>
        <w:t xml:space="preserve">EU (Eurostat) </w:t>
      </w:r>
      <w:r w:rsidR="007C7EFC">
        <w:rPr>
          <w:rFonts w:cs="Arial"/>
          <w:noProof/>
        </w:rPr>
        <w:t>p</w:t>
      </w:r>
      <w:r w:rsidRPr="00D93644">
        <w:rPr>
          <w:rFonts w:cs="Arial"/>
          <w:noProof/>
        </w:rPr>
        <w:t xml:space="preserve">overty </w:t>
      </w:r>
      <w:r w:rsidR="007C7EFC">
        <w:rPr>
          <w:rFonts w:cs="Arial"/>
          <w:noProof/>
        </w:rPr>
        <w:t>i</w:t>
      </w:r>
      <w:r w:rsidRPr="00D93644">
        <w:rPr>
          <w:rFonts w:cs="Arial"/>
          <w:noProof/>
        </w:rPr>
        <w:t>ndicators</w:t>
      </w:r>
      <w:bookmarkEnd w:id="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510"/>
        <w:gridCol w:w="1276"/>
        <w:gridCol w:w="992"/>
        <w:gridCol w:w="993"/>
      </w:tblGrid>
      <w:tr w:rsidR="00F44441" w:rsidRPr="00D93644" w:rsidTr="007C7EFC">
        <w:tc>
          <w:tcPr>
            <w:tcW w:w="3510" w:type="dxa"/>
            <w:tcBorders>
              <w:bottom w:val="single" w:sz="18" w:space="0" w:color="auto"/>
            </w:tcBorders>
          </w:tcPr>
          <w:p w:rsidR="00F44441" w:rsidRPr="007C7EFC" w:rsidRDefault="00F44441" w:rsidP="007C7EFC">
            <w:pPr>
              <w:spacing w:before="20" w:after="20" w:line="240" w:lineRule="auto"/>
              <w:rPr>
                <w:rFonts w:cs="Arial"/>
                <w:b/>
                <w:sz w:val="19"/>
                <w:szCs w:val="19"/>
              </w:rPr>
            </w:pPr>
          </w:p>
        </w:tc>
        <w:tc>
          <w:tcPr>
            <w:tcW w:w="1276" w:type="dxa"/>
            <w:tcBorders>
              <w:bottom w:val="single" w:sz="18" w:space="0" w:color="auto"/>
            </w:tcBorders>
          </w:tcPr>
          <w:p w:rsidR="00F44441" w:rsidRPr="007C7EFC" w:rsidRDefault="00F44441" w:rsidP="007C7EFC">
            <w:pPr>
              <w:spacing w:before="20" w:after="20" w:line="240" w:lineRule="auto"/>
              <w:jc w:val="center"/>
              <w:rPr>
                <w:rFonts w:cs="Arial"/>
                <w:b/>
                <w:sz w:val="19"/>
                <w:szCs w:val="19"/>
                <w:lang w:val="en-US"/>
              </w:rPr>
            </w:pPr>
            <w:r w:rsidRPr="007C7EFC">
              <w:rPr>
                <w:rFonts w:cs="Arial"/>
                <w:b/>
                <w:sz w:val="19"/>
                <w:szCs w:val="19"/>
                <w:lang w:val="en-US"/>
              </w:rPr>
              <w:t>Attiki</w:t>
            </w:r>
          </w:p>
        </w:tc>
        <w:tc>
          <w:tcPr>
            <w:tcW w:w="992" w:type="dxa"/>
            <w:tcBorders>
              <w:bottom w:val="single" w:sz="18" w:space="0" w:color="auto"/>
            </w:tcBorders>
          </w:tcPr>
          <w:p w:rsidR="00F44441" w:rsidRPr="007C7EFC" w:rsidRDefault="00F44441" w:rsidP="007C7EFC">
            <w:pPr>
              <w:spacing w:before="20" w:after="20" w:line="240" w:lineRule="auto"/>
              <w:jc w:val="center"/>
              <w:rPr>
                <w:rFonts w:cs="Arial"/>
                <w:b/>
                <w:sz w:val="19"/>
                <w:szCs w:val="19"/>
                <w:lang w:val="en-US"/>
              </w:rPr>
            </w:pPr>
            <w:r w:rsidRPr="007C7EFC">
              <w:rPr>
                <w:rFonts w:cs="Arial"/>
                <w:b/>
                <w:sz w:val="19"/>
                <w:szCs w:val="19"/>
                <w:lang w:val="en-US"/>
              </w:rPr>
              <w:t>Greece</w:t>
            </w:r>
          </w:p>
        </w:tc>
        <w:tc>
          <w:tcPr>
            <w:tcW w:w="993" w:type="dxa"/>
            <w:tcBorders>
              <w:bottom w:val="single" w:sz="18" w:space="0" w:color="auto"/>
            </w:tcBorders>
          </w:tcPr>
          <w:p w:rsidR="00F44441" w:rsidRPr="007C7EFC" w:rsidRDefault="00F44441" w:rsidP="007C7EFC">
            <w:pPr>
              <w:spacing w:before="20" w:after="20" w:line="240" w:lineRule="auto"/>
              <w:jc w:val="center"/>
              <w:rPr>
                <w:rFonts w:cs="Arial"/>
                <w:b/>
                <w:sz w:val="19"/>
                <w:szCs w:val="19"/>
              </w:rPr>
            </w:pPr>
            <w:r w:rsidRPr="007C7EFC">
              <w:rPr>
                <w:rFonts w:cs="Arial"/>
                <w:b/>
                <w:sz w:val="19"/>
                <w:szCs w:val="19"/>
              </w:rPr>
              <w:t>EU27</w:t>
            </w:r>
          </w:p>
        </w:tc>
      </w:tr>
      <w:tr w:rsidR="00F44441" w:rsidRPr="00D93644" w:rsidTr="007C7EFC">
        <w:tc>
          <w:tcPr>
            <w:tcW w:w="3510" w:type="dxa"/>
            <w:tcBorders>
              <w:top w:val="single" w:sz="18" w:space="0" w:color="auto"/>
            </w:tcBorders>
            <w:shd w:val="clear" w:color="auto" w:fill="D9D9D9" w:themeFill="background1" w:themeFillShade="D9"/>
            <w:vAlign w:val="center"/>
          </w:tcPr>
          <w:p w:rsidR="00F44441" w:rsidRPr="007C7EFC" w:rsidRDefault="00F44441" w:rsidP="007C7EFC">
            <w:pPr>
              <w:spacing w:before="20" w:after="20" w:line="240" w:lineRule="auto"/>
              <w:rPr>
                <w:rFonts w:cs="Arial"/>
                <w:b/>
                <w:sz w:val="19"/>
                <w:szCs w:val="19"/>
                <w:lang w:val="en-US"/>
              </w:rPr>
            </w:pPr>
            <w:r w:rsidRPr="007C7EFC">
              <w:rPr>
                <w:rFonts w:cs="Arial"/>
                <w:b/>
                <w:sz w:val="19"/>
                <w:szCs w:val="19"/>
              </w:rPr>
              <w:t>% At Risk of Poverty 20</w:t>
            </w:r>
            <w:r w:rsidRPr="007C7EFC">
              <w:rPr>
                <w:rFonts w:cs="Arial"/>
                <w:b/>
                <w:sz w:val="19"/>
                <w:szCs w:val="19"/>
                <w:lang w:val="en-US"/>
              </w:rPr>
              <w:t>10</w:t>
            </w:r>
          </w:p>
        </w:tc>
        <w:tc>
          <w:tcPr>
            <w:tcW w:w="1276" w:type="dxa"/>
            <w:tcBorders>
              <w:top w:val="single" w:sz="18" w:space="0" w:color="auto"/>
            </w:tcBorders>
            <w:shd w:val="clear" w:color="auto" w:fill="D9D9D9" w:themeFill="background1" w:themeFillShade="D9"/>
            <w:vAlign w:val="center"/>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16.3</w:t>
            </w:r>
          </w:p>
        </w:tc>
        <w:tc>
          <w:tcPr>
            <w:tcW w:w="992" w:type="dxa"/>
            <w:tcBorders>
              <w:top w:val="single" w:sz="18" w:space="0" w:color="auto"/>
            </w:tcBorders>
            <w:shd w:val="clear" w:color="auto" w:fill="D9D9D9" w:themeFill="background1" w:themeFillShade="D9"/>
            <w:vAlign w:val="center"/>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20.1</w:t>
            </w:r>
          </w:p>
        </w:tc>
        <w:tc>
          <w:tcPr>
            <w:tcW w:w="993" w:type="dxa"/>
            <w:tcBorders>
              <w:top w:val="single" w:sz="18" w:space="0" w:color="auto"/>
            </w:tcBorders>
            <w:shd w:val="clear" w:color="auto" w:fill="D9D9D9" w:themeFill="background1" w:themeFillShade="D9"/>
            <w:vAlign w:val="center"/>
          </w:tcPr>
          <w:p w:rsidR="00F44441" w:rsidRPr="007C7EFC" w:rsidRDefault="00AF748E" w:rsidP="007C7EFC">
            <w:pPr>
              <w:spacing w:before="20" w:after="20" w:line="240" w:lineRule="auto"/>
              <w:jc w:val="right"/>
              <w:rPr>
                <w:rFonts w:cs="Arial"/>
                <w:sz w:val="19"/>
                <w:szCs w:val="19"/>
              </w:rPr>
            </w:pPr>
            <w:r w:rsidRPr="007C7EFC">
              <w:rPr>
                <w:rFonts w:cs="Arial"/>
                <w:sz w:val="19"/>
                <w:szCs w:val="19"/>
              </w:rPr>
              <w:t>23.6</w:t>
            </w:r>
          </w:p>
        </w:tc>
      </w:tr>
      <w:tr w:rsidR="00F44441" w:rsidRPr="00D93644" w:rsidTr="00CB4552">
        <w:tc>
          <w:tcPr>
            <w:tcW w:w="3510" w:type="dxa"/>
            <w:vAlign w:val="center"/>
          </w:tcPr>
          <w:p w:rsidR="00F44441" w:rsidRPr="007C7EFC" w:rsidRDefault="00F44441" w:rsidP="007C7EFC">
            <w:pPr>
              <w:spacing w:before="20" w:after="20" w:line="240" w:lineRule="auto"/>
              <w:rPr>
                <w:rFonts w:cs="Arial"/>
                <w:b/>
                <w:sz w:val="19"/>
                <w:szCs w:val="19"/>
                <w:lang w:val="en-US"/>
              </w:rPr>
            </w:pPr>
            <w:r w:rsidRPr="007C7EFC">
              <w:rPr>
                <w:rFonts w:cs="Arial"/>
                <w:b/>
                <w:sz w:val="19"/>
                <w:szCs w:val="19"/>
              </w:rPr>
              <w:t>% Severe Material Deprivation 2010</w:t>
            </w:r>
          </w:p>
        </w:tc>
        <w:tc>
          <w:tcPr>
            <w:tcW w:w="1276" w:type="dxa"/>
            <w:vAlign w:val="center"/>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9.5</w:t>
            </w:r>
          </w:p>
        </w:tc>
        <w:tc>
          <w:tcPr>
            <w:tcW w:w="992" w:type="dxa"/>
            <w:vAlign w:val="center"/>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11.6</w:t>
            </w:r>
          </w:p>
        </w:tc>
        <w:tc>
          <w:tcPr>
            <w:tcW w:w="993" w:type="dxa"/>
            <w:vAlign w:val="center"/>
          </w:tcPr>
          <w:p w:rsidR="00F44441" w:rsidRPr="007C7EFC" w:rsidRDefault="00AF748E" w:rsidP="007C7EFC">
            <w:pPr>
              <w:spacing w:before="20" w:after="20" w:line="240" w:lineRule="auto"/>
              <w:jc w:val="right"/>
              <w:rPr>
                <w:rFonts w:cs="Arial"/>
                <w:sz w:val="19"/>
                <w:szCs w:val="19"/>
              </w:rPr>
            </w:pPr>
            <w:r w:rsidRPr="007C7EFC">
              <w:rPr>
                <w:rFonts w:cs="Arial"/>
                <w:sz w:val="19"/>
                <w:szCs w:val="19"/>
              </w:rPr>
              <w:t>8.3</w:t>
            </w:r>
          </w:p>
        </w:tc>
      </w:tr>
      <w:tr w:rsidR="00F44441" w:rsidRPr="00D93644" w:rsidTr="007C7EFC">
        <w:tc>
          <w:tcPr>
            <w:tcW w:w="3510" w:type="dxa"/>
            <w:shd w:val="clear" w:color="auto" w:fill="D9D9D9" w:themeFill="background1" w:themeFillShade="D9"/>
            <w:vAlign w:val="center"/>
          </w:tcPr>
          <w:p w:rsidR="00F44441" w:rsidRPr="007C7EFC" w:rsidRDefault="00F44441" w:rsidP="007C7EFC">
            <w:pPr>
              <w:spacing w:before="20" w:after="20" w:line="240" w:lineRule="auto"/>
              <w:rPr>
                <w:rFonts w:cs="Arial"/>
                <w:b/>
                <w:sz w:val="19"/>
                <w:szCs w:val="19"/>
                <w:lang w:val="en-US"/>
              </w:rPr>
            </w:pPr>
            <w:r w:rsidRPr="007C7EFC">
              <w:rPr>
                <w:rFonts w:cs="Arial"/>
                <w:b/>
                <w:sz w:val="19"/>
                <w:szCs w:val="19"/>
              </w:rPr>
              <w:t>% Low Work Intensity 201</w:t>
            </w:r>
            <w:r w:rsidRPr="007C7EFC">
              <w:rPr>
                <w:rFonts w:cs="Arial"/>
                <w:b/>
                <w:sz w:val="19"/>
                <w:szCs w:val="19"/>
                <w:lang w:val="en-US"/>
              </w:rPr>
              <w:t>0</w:t>
            </w:r>
          </w:p>
        </w:tc>
        <w:tc>
          <w:tcPr>
            <w:tcW w:w="1276" w:type="dxa"/>
            <w:shd w:val="clear" w:color="auto" w:fill="D9D9D9" w:themeFill="background1" w:themeFillShade="D9"/>
            <w:vAlign w:val="center"/>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6.8</w:t>
            </w:r>
          </w:p>
        </w:tc>
        <w:tc>
          <w:tcPr>
            <w:tcW w:w="992" w:type="dxa"/>
            <w:shd w:val="clear" w:color="auto" w:fill="D9D9D9" w:themeFill="background1" w:themeFillShade="D9"/>
            <w:vAlign w:val="center"/>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7.5</w:t>
            </w:r>
          </w:p>
        </w:tc>
        <w:tc>
          <w:tcPr>
            <w:tcW w:w="993" w:type="dxa"/>
            <w:shd w:val="clear" w:color="auto" w:fill="D9D9D9" w:themeFill="background1" w:themeFillShade="D9"/>
            <w:vAlign w:val="center"/>
          </w:tcPr>
          <w:p w:rsidR="00F44441" w:rsidRPr="007C7EFC" w:rsidRDefault="00AF748E" w:rsidP="007C7EFC">
            <w:pPr>
              <w:spacing w:before="20" w:after="20" w:line="240" w:lineRule="auto"/>
              <w:jc w:val="right"/>
              <w:rPr>
                <w:rFonts w:cs="Arial"/>
                <w:sz w:val="19"/>
                <w:szCs w:val="19"/>
                <w:lang w:val="en-US"/>
              </w:rPr>
            </w:pPr>
            <w:r w:rsidRPr="007C7EFC">
              <w:rPr>
                <w:rFonts w:cs="Arial"/>
                <w:sz w:val="19"/>
                <w:szCs w:val="19"/>
                <w:lang w:val="en-US"/>
              </w:rPr>
              <w:t>10.0</w:t>
            </w:r>
          </w:p>
        </w:tc>
      </w:tr>
    </w:tbl>
    <w:p w:rsidR="00F44441" w:rsidRPr="00D93644" w:rsidRDefault="00F44441" w:rsidP="007C7EFC">
      <w:pPr>
        <w:spacing w:before="0" w:after="240"/>
        <w:rPr>
          <w:rFonts w:cs="Arial"/>
          <w:sz w:val="16"/>
          <w:szCs w:val="16"/>
          <w:lang w:val="en-US"/>
        </w:rPr>
      </w:pPr>
      <w:r w:rsidRPr="007C7EFC">
        <w:rPr>
          <w:rFonts w:cs="Arial"/>
          <w:b/>
          <w:sz w:val="16"/>
          <w:szCs w:val="16"/>
          <w:lang w:val="en-US"/>
        </w:rPr>
        <w:t>Source:</w:t>
      </w:r>
      <w:r w:rsidRPr="00D93644">
        <w:rPr>
          <w:rFonts w:cs="Arial"/>
          <w:sz w:val="16"/>
          <w:szCs w:val="16"/>
          <w:lang w:val="en-US"/>
        </w:rPr>
        <w:t xml:space="preserve"> Eurostat REGIO database</w:t>
      </w:r>
    </w:p>
    <w:p w:rsidR="007C7EFC" w:rsidRDefault="007C7EFC" w:rsidP="007C7EFC">
      <w:pPr>
        <w:pStyle w:val="Caption"/>
        <w:keepNext/>
        <w:spacing w:after="120"/>
      </w:pPr>
      <w:bookmarkStart w:id="34" w:name="_Ref384742345"/>
      <w:bookmarkStart w:id="35" w:name="_Toc386013247"/>
      <w:r>
        <w:lastRenderedPageBreak/>
        <w:t xml:space="preserve">Table </w:t>
      </w:r>
      <w:r w:rsidR="00CC1B00">
        <w:fldChar w:fldCharType="begin"/>
      </w:r>
      <w:r w:rsidR="00CC1B00">
        <w:instrText xml:space="preserve"> SEQ Table \* ARABIC </w:instrText>
      </w:r>
      <w:r w:rsidR="00CC1B00">
        <w:fldChar w:fldCharType="separate"/>
      </w:r>
      <w:r w:rsidR="002634D4">
        <w:rPr>
          <w:noProof/>
        </w:rPr>
        <w:t>11</w:t>
      </w:r>
      <w:r w:rsidR="00CC1B00">
        <w:rPr>
          <w:noProof/>
        </w:rPr>
        <w:fldChar w:fldCharType="end"/>
      </w:r>
      <w:bookmarkEnd w:id="34"/>
      <w:r>
        <w:t xml:space="preserve">: </w:t>
      </w:r>
      <w:r w:rsidRPr="00D93644">
        <w:rPr>
          <w:rFonts w:cs="Arial"/>
          <w:lang w:val="fr-FR"/>
        </w:rPr>
        <w:t xml:space="preserve">EU (Eurostat) </w:t>
      </w:r>
      <w:r>
        <w:rPr>
          <w:rFonts w:cs="Arial"/>
          <w:lang w:val="fr-FR"/>
        </w:rPr>
        <w:t>e</w:t>
      </w:r>
      <w:r w:rsidRPr="00D93644">
        <w:rPr>
          <w:rFonts w:cs="Arial"/>
          <w:lang w:val="fr-FR"/>
        </w:rPr>
        <w:t xml:space="preserve">ducation </w:t>
      </w:r>
      <w:r>
        <w:rPr>
          <w:rFonts w:cs="Arial"/>
          <w:lang w:val="fr-FR"/>
        </w:rPr>
        <w:t>i</w:t>
      </w:r>
      <w:r w:rsidRPr="00D93644">
        <w:rPr>
          <w:rFonts w:cs="Arial"/>
          <w:lang w:val="fr-FR"/>
        </w:rPr>
        <w:t>ndicators</w:t>
      </w:r>
      <w:bookmarkEnd w:id="3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510"/>
        <w:gridCol w:w="1276"/>
        <w:gridCol w:w="992"/>
        <w:gridCol w:w="993"/>
      </w:tblGrid>
      <w:tr w:rsidR="00F44441" w:rsidRPr="00D93644" w:rsidTr="007C7EFC">
        <w:tc>
          <w:tcPr>
            <w:tcW w:w="3510" w:type="dxa"/>
            <w:tcBorders>
              <w:top w:val="single" w:sz="4" w:space="0" w:color="auto"/>
              <w:left w:val="single" w:sz="4" w:space="0" w:color="auto"/>
              <w:bottom w:val="single" w:sz="18" w:space="0" w:color="auto"/>
              <w:right w:val="single" w:sz="4" w:space="0" w:color="auto"/>
            </w:tcBorders>
          </w:tcPr>
          <w:p w:rsidR="00F44441" w:rsidRPr="00ED0F60" w:rsidRDefault="00F44441" w:rsidP="007C7EFC">
            <w:pPr>
              <w:spacing w:before="20" w:after="20" w:line="240" w:lineRule="auto"/>
              <w:rPr>
                <w:rFonts w:cs="Arial"/>
                <w:b/>
                <w:sz w:val="19"/>
                <w:szCs w:val="19"/>
                <w:lang w:val="fr-FR"/>
              </w:rPr>
            </w:pPr>
          </w:p>
        </w:tc>
        <w:tc>
          <w:tcPr>
            <w:tcW w:w="1276" w:type="dxa"/>
            <w:tcBorders>
              <w:top w:val="single" w:sz="4" w:space="0" w:color="auto"/>
              <w:left w:val="single" w:sz="4" w:space="0" w:color="auto"/>
              <w:bottom w:val="single" w:sz="18" w:space="0" w:color="auto"/>
              <w:right w:val="single" w:sz="4" w:space="0" w:color="auto"/>
            </w:tcBorders>
          </w:tcPr>
          <w:p w:rsidR="00F44441" w:rsidRPr="00ED0F60" w:rsidRDefault="00F44441" w:rsidP="007C7EFC">
            <w:pPr>
              <w:spacing w:before="20" w:after="20" w:line="240" w:lineRule="auto"/>
              <w:jc w:val="center"/>
              <w:rPr>
                <w:rFonts w:cs="Arial"/>
                <w:b/>
                <w:sz w:val="19"/>
                <w:szCs w:val="19"/>
                <w:lang w:val="en-US"/>
              </w:rPr>
            </w:pPr>
            <w:r w:rsidRPr="00ED0F60">
              <w:rPr>
                <w:rFonts w:cs="Arial"/>
                <w:b/>
                <w:sz w:val="19"/>
                <w:szCs w:val="19"/>
                <w:lang w:val="en-US"/>
              </w:rPr>
              <w:t>Attiki</w:t>
            </w:r>
          </w:p>
        </w:tc>
        <w:tc>
          <w:tcPr>
            <w:tcW w:w="992" w:type="dxa"/>
            <w:tcBorders>
              <w:top w:val="single" w:sz="4" w:space="0" w:color="auto"/>
              <w:left w:val="single" w:sz="4" w:space="0" w:color="auto"/>
              <w:bottom w:val="single" w:sz="18" w:space="0" w:color="auto"/>
              <w:right w:val="single" w:sz="4" w:space="0" w:color="auto"/>
            </w:tcBorders>
          </w:tcPr>
          <w:p w:rsidR="00F44441" w:rsidRPr="00ED0F60" w:rsidRDefault="00F44441" w:rsidP="007C7EFC">
            <w:pPr>
              <w:spacing w:before="20" w:after="20" w:line="240" w:lineRule="auto"/>
              <w:jc w:val="center"/>
              <w:rPr>
                <w:rFonts w:cs="Arial"/>
                <w:b/>
                <w:sz w:val="19"/>
                <w:szCs w:val="19"/>
                <w:lang w:val="en-US"/>
              </w:rPr>
            </w:pPr>
            <w:r w:rsidRPr="00ED0F60">
              <w:rPr>
                <w:rFonts w:cs="Arial"/>
                <w:b/>
                <w:sz w:val="19"/>
                <w:szCs w:val="19"/>
                <w:lang w:val="en-US"/>
              </w:rPr>
              <w:t>Greece</w:t>
            </w:r>
          </w:p>
        </w:tc>
        <w:tc>
          <w:tcPr>
            <w:tcW w:w="993" w:type="dxa"/>
            <w:tcBorders>
              <w:top w:val="single" w:sz="4" w:space="0" w:color="auto"/>
              <w:left w:val="single" w:sz="4" w:space="0" w:color="auto"/>
              <w:bottom w:val="single" w:sz="18" w:space="0" w:color="auto"/>
              <w:right w:val="single" w:sz="4" w:space="0" w:color="auto"/>
            </w:tcBorders>
          </w:tcPr>
          <w:p w:rsidR="00F44441" w:rsidRPr="00ED0F60" w:rsidRDefault="00F44441" w:rsidP="007C7EFC">
            <w:pPr>
              <w:spacing w:before="20" w:after="20" w:line="240" w:lineRule="auto"/>
              <w:jc w:val="center"/>
              <w:rPr>
                <w:rFonts w:cs="Arial"/>
                <w:b/>
                <w:sz w:val="19"/>
                <w:szCs w:val="19"/>
              </w:rPr>
            </w:pPr>
            <w:r w:rsidRPr="00ED0F60">
              <w:rPr>
                <w:rFonts w:cs="Arial"/>
                <w:b/>
                <w:sz w:val="19"/>
                <w:szCs w:val="19"/>
              </w:rPr>
              <w:t>EU27</w:t>
            </w:r>
          </w:p>
        </w:tc>
      </w:tr>
      <w:tr w:rsidR="00F44441" w:rsidRPr="00D93644" w:rsidTr="007C7EFC">
        <w:tc>
          <w:tcPr>
            <w:tcW w:w="3510" w:type="dxa"/>
            <w:tcBorders>
              <w:top w:val="single" w:sz="18" w:space="0" w:color="auto"/>
              <w:left w:val="single" w:sz="4" w:space="0" w:color="auto"/>
              <w:bottom w:val="single" w:sz="4" w:space="0" w:color="auto"/>
              <w:right w:val="single" w:sz="4" w:space="0" w:color="auto"/>
            </w:tcBorders>
            <w:shd w:val="clear" w:color="auto" w:fill="D9D9D9" w:themeFill="background1" w:themeFillShade="D9"/>
          </w:tcPr>
          <w:p w:rsidR="00F44441" w:rsidRPr="00ED0F60" w:rsidRDefault="00F44441" w:rsidP="007C7EFC">
            <w:pPr>
              <w:spacing w:before="20" w:after="20" w:line="240" w:lineRule="auto"/>
              <w:jc w:val="right"/>
              <w:rPr>
                <w:rFonts w:cs="Arial"/>
                <w:b/>
                <w:sz w:val="19"/>
                <w:szCs w:val="19"/>
                <w:lang w:val="en-US"/>
              </w:rPr>
            </w:pPr>
            <w:r w:rsidRPr="00ED0F60">
              <w:rPr>
                <w:rFonts w:cs="Arial"/>
                <w:b/>
                <w:sz w:val="19"/>
                <w:szCs w:val="19"/>
                <w:lang w:val="en-US"/>
              </w:rPr>
              <w:t>Persons aged 25-64 with tertiary education attainment (2011)</w:t>
            </w:r>
          </w:p>
        </w:tc>
        <w:tc>
          <w:tcPr>
            <w:tcW w:w="1276"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F44441" w:rsidRPr="00ED0F60" w:rsidRDefault="00F44441" w:rsidP="007C7EFC">
            <w:pPr>
              <w:spacing w:before="20" w:after="20" w:line="240" w:lineRule="auto"/>
              <w:jc w:val="right"/>
              <w:rPr>
                <w:rFonts w:cs="Arial"/>
                <w:sz w:val="19"/>
                <w:szCs w:val="19"/>
                <w:lang w:val="en-US"/>
              </w:rPr>
            </w:pPr>
            <w:r w:rsidRPr="00ED0F60">
              <w:rPr>
                <w:rFonts w:cs="Arial"/>
                <w:sz w:val="19"/>
                <w:szCs w:val="19"/>
                <w:lang w:val="en-US"/>
              </w:rPr>
              <w:t>31.5</w:t>
            </w:r>
          </w:p>
        </w:tc>
        <w:tc>
          <w:tcPr>
            <w:tcW w:w="992"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F44441" w:rsidRPr="00ED0F60" w:rsidRDefault="00F44441" w:rsidP="007C7EFC">
            <w:pPr>
              <w:spacing w:before="20" w:after="20" w:line="240" w:lineRule="auto"/>
              <w:jc w:val="right"/>
              <w:rPr>
                <w:rFonts w:cs="Arial"/>
                <w:sz w:val="19"/>
                <w:szCs w:val="19"/>
                <w:lang w:val="en-US"/>
              </w:rPr>
            </w:pPr>
            <w:r w:rsidRPr="00ED0F60">
              <w:rPr>
                <w:rFonts w:cs="Arial"/>
                <w:sz w:val="19"/>
                <w:szCs w:val="19"/>
                <w:lang w:val="en-US"/>
              </w:rPr>
              <w:t>25.4</w:t>
            </w:r>
          </w:p>
        </w:tc>
        <w:tc>
          <w:tcPr>
            <w:tcW w:w="993"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F44441" w:rsidRPr="00ED0F60" w:rsidRDefault="00F44441" w:rsidP="007C7EFC">
            <w:pPr>
              <w:spacing w:before="20" w:after="20" w:line="240" w:lineRule="auto"/>
              <w:jc w:val="right"/>
              <w:rPr>
                <w:rFonts w:cs="Arial"/>
                <w:sz w:val="19"/>
                <w:szCs w:val="19"/>
              </w:rPr>
            </w:pPr>
            <w:r w:rsidRPr="00ED0F60">
              <w:rPr>
                <w:rFonts w:cs="Arial"/>
                <w:sz w:val="19"/>
                <w:szCs w:val="19"/>
              </w:rPr>
              <w:t>26.8</w:t>
            </w:r>
          </w:p>
        </w:tc>
      </w:tr>
      <w:tr w:rsidR="00F44441" w:rsidRPr="00D93644" w:rsidTr="00CB4552">
        <w:tc>
          <w:tcPr>
            <w:tcW w:w="3510" w:type="dxa"/>
            <w:tcBorders>
              <w:top w:val="single" w:sz="4" w:space="0" w:color="auto"/>
              <w:left w:val="single" w:sz="4" w:space="0" w:color="auto"/>
              <w:bottom w:val="single" w:sz="4" w:space="0" w:color="auto"/>
              <w:right w:val="single" w:sz="4" w:space="0" w:color="auto"/>
            </w:tcBorders>
          </w:tcPr>
          <w:p w:rsidR="00F44441" w:rsidRPr="00ED0F60" w:rsidRDefault="00F44441" w:rsidP="007C7EFC">
            <w:pPr>
              <w:spacing w:before="20" w:after="20" w:line="240" w:lineRule="auto"/>
              <w:jc w:val="right"/>
              <w:rPr>
                <w:rFonts w:cs="Arial"/>
                <w:b/>
                <w:sz w:val="19"/>
                <w:szCs w:val="19"/>
                <w:lang w:val="en-US"/>
              </w:rPr>
            </w:pPr>
            <w:r w:rsidRPr="00ED0F60">
              <w:rPr>
                <w:rFonts w:cs="Arial"/>
                <w:b/>
                <w:sz w:val="19"/>
                <w:szCs w:val="19"/>
                <w:lang w:val="en-US"/>
              </w:rPr>
              <w:t>Early leavers from education and training (2011)</w:t>
            </w:r>
          </w:p>
        </w:tc>
        <w:tc>
          <w:tcPr>
            <w:tcW w:w="1276" w:type="dxa"/>
            <w:tcBorders>
              <w:top w:val="single" w:sz="4" w:space="0" w:color="auto"/>
              <w:left w:val="single" w:sz="4" w:space="0" w:color="auto"/>
              <w:bottom w:val="single" w:sz="4" w:space="0" w:color="auto"/>
              <w:right w:val="single" w:sz="4" w:space="0" w:color="auto"/>
            </w:tcBorders>
            <w:vAlign w:val="center"/>
          </w:tcPr>
          <w:p w:rsidR="00F44441" w:rsidRPr="00ED0F60" w:rsidRDefault="00F44441" w:rsidP="007C7EFC">
            <w:pPr>
              <w:spacing w:before="20" w:after="20" w:line="240" w:lineRule="auto"/>
              <w:jc w:val="right"/>
              <w:rPr>
                <w:rFonts w:cs="Arial"/>
                <w:sz w:val="19"/>
                <w:szCs w:val="19"/>
                <w:lang w:val="en-US"/>
              </w:rPr>
            </w:pPr>
            <w:r w:rsidRPr="00ED0F60">
              <w:rPr>
                <w:rFonts w:cs="Arial"/>
                <w:sz w:val="19"/>
                <w:szCs w:val="19"/>
                <w:lang w:val="en-US"/>
              </w:rPr>
              <w:t>10.6</w:t>
            </w:r>
          </w:p>
        </w:tc>
        <w:tc>
          <w:tcPr>
            <w:tcW w:w="992" w:type="dxa"/>
            <w:tcBorders>
              <w:top w:val="single" w:sz="4" w:space="0" w:color="auto"/>
              <w:left w:val="single" w:sz="4" w:space="0" w:color="auto"/>
              <w:bottom w:val="single" w:sz="4" w:space="0" w:color="auto"/>
              <w:right w:val="single" w:sz="4" w:space="0" w:color="auto"/>
            </w:tcBorders>
            <w:vAlign w:val="center"/>
          </w:tcPr>
          <w:p w:rsidR="00F44441" w:rsidRPr="00ED0F60" w:rsidRDefault="00F44441" w:rsidP="007C7EFC">
            <w:pPr>
              <w:spacing w:before="20" w:after="20" w:line="240" w:lineRule="auto"/>
              <w:jc w:val="right"/>
              <w:rPr>
                <w:rFonts w:cs="Arial"/>
                <w:sz w:val="19"/>
                <w:szCs w:val="19"/>
                <w:lang w:val="en-US"/>
              </w:rPr>
            </w:pPr>
            <w:r w:rsidRPr="00ED0F60">
              <w:rPr>
                <w:rFonts w:cs="Arial"/>
                <w:sz w:val="19"/>
                <w:szCs w:val="19"/>
                <w:lang w:val="en-US"/>
              </w:rPr>
              <w:t>13.1</w:t>
            </w:r>
          </w:p>
        </w:tc>
        <w:tc>
          <w:tcPr>
            <w:tcW w:w="993" w:type="dxa"/>
            <w:tcBorders>
              <w:top w:val="single" w:sz="4" w:space="0" w:color="auto"/>
              <w:left w:val="single" w:sz="4" w:space="0" w:color="auto"/>
              <w:bottom w:val="single" w:sz="4" w:space="0" w:color="auto"/>
              <w:right w:val="single" w:sz="4" w:space="0" w:color="auto"/>
            </w:tcBorders>
            <w:vAlign w:val="center"/>
          </w:tcPr>
          <w:p w:rsidR="00F44441" w:rsidRPr="00ED0F60" w:rsidRDefault="00F44441" w:rsidP="007C7EFC">
            <w:pPr>
              <w:spacing w:before="20" w:after="20" w:line="240" w:lineRule="auto"/>
              <w:jc w:val="right"/>
              <w:rPr>
                <w:rFonts w:cs="Arial"/>
                <w:sz w:val="19"/>
                <w:szCs w:val="19"/>
              </w:rPr>
            </w:pPr>
            <w:r w:rsidRPr="00ED0F60">
              <w:rPr>
                <w:rFonts w:cs="Arial"/>
                <w:sz w:val="19"/>
                <w:szCs w:val="19"/>
              </w:rPr>
              <w:t>13.5</w:t>
            </w:r>
          </w:p>
        </w:tc>
      </w:tr>
    </w:tbl>
    <w:p w:rsidR="007C7EFC" w:rsidRDefault="00F44441" w:rsidP="007C7EFC">
      <w:pPr>
        <w:spacing w:before="0" w:after="240"/>
        <w:rPr>
          <w:rFonts w:cs="Arial"/>
          <w:sz w:val="16"/>
          <w:szCs w:val="16"/>
          <w:lang w:val="en-US"/>
        </w:rPr>
      </w:pPr>
      <w:r w:rsidRPr="007C7EFC">
        <w:rPr>
          <w:rFonts w:cs="Arial"/>
          <w:b/>
          <w:sz w:val="16"/>
          <w:szCs w:val="16"/>
          <w:lang w:val="en-US"/>
        </w:rPr>
        <w:t>Source:</w:t>
      </w:r>
      <w:r w:rsidRPr="00D93644">
        <w:rPr>
          <w:rFonts w:cs="Arial"/>
          <w:sz w:val="16"/>
          <w:szCs w:val="16"/>
          <w:lang w:val="en-US"/>
        </w:rPr>
        <w:t xml:space="preserve"> Eurostat REGIO database</w:t>
      </w:r>
      <w:bookmarkStart w:id="36" w:name="_Ref384742442"/>
    </w:p>
    <w:p w:rsidR="007C7EFC" w:rsidRDefault="007C7EFC" w:rsidP="007C7EFC">
      <w:pPr>
        <w:pStyle w:val="Caption"/>
        <w:keepNext/>
        <w:spacing w:after="120"/>
      </w:pPr>
      <w:bookmarkStart w:id="37" w:name="_Toc386013248"/>
      <w:r>
        <w:t xml:space="preserve">Table </w:t>
      </w:r>
      <w:r w:rsidR="00CC1B00">
        <w:fldChar w:fldCharType="begin"/>
      </w:r>
      <w:r w:rsidR="00CC1B00">
        <w:instrText xml:space="preserve"> SEQ Table \* ARABIC </w:instrText>
      </w:r>
      <w:r w:rsidR="00CC1B00">
        <w:fldChar w:fldCharType="separate"/>
      </w:r>
      <w:r w:rsidR="002634D4">
        <w:rPr>
          <w:noProof/>
        </w:rPr>
        <w:t>12</w:t>
      </w:r>
      <w:r w:rsidR="00CC1B00">
        <w:rPr>
          <w:noProof/>
        </w:rPr>
        <w:fldChar w:fldCharType="end"/>
      </w:r>
      <w:bookmarkEnd w:id="36"/>
      <w:r>
        <w:t xml:space="preserve">: </w:t>
      </w:r>
      <w:r w:rsidRPr="00D93644">
        <w:rPr>
          <w:rFonts w:cs="Arial"/>
          <w:lang w:val="en-US"/>
        </w:rPr>
        <w:t>Citizenship of the population of the Region of Attiki</w:t>
      </w:r>
      <w:bookmarkEnd w:id="37"/>
    </w:p>
    <w:tbl>
      <w:tblPr>
        <w:tblW w:w="365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106"/>
        <w:gridCol w:w="1106"/>
      </w:tblGrid>
      <w:tr w:rsidR="00F44441" w:rsidRPr="00D93644" w:rsidTr="00F47AF1">
        <w:trPr>
          <w:trHeight w:val="285"/>
        </w:trPr>
        <w:tc>
          <w:tcPr>
            <w:tcW w:w="1440" w:type="dxa"/>
            <w:tcBorders>
              <w:bottom w:val="single" w:sz="18" w:space="0" w:color="auto"/>
            </w:tcBorders>
            <w:shd w:val="clear" w:color="auto" w:fill="auto"/>
            <w:noWrap/>
            <w:vAlign w:val="bottom"/>
          </w:tcPr>
          <w:p w:rsidR="00F44441" w:rsidRPr="007C7EFC" w:rsidRDefault="00F44441" w:rsidP="007C7EFC">
            <w:pPr>
              <w:spacing w:before="20" w:after="20" w:line="240" w:lineRule="auto"/>
              <w:rPr>
                <w:rFonts w:cs="Arial"/>
                <w:sz w:val="19"/>
                <w:szCs w:val="19"/>
                <w:lang w:val="en-US"/>
              </w:rPr>
            </w:pPr>
          </w:p>
        </w:tc>
        <w:tc>
          <w:tcPr>
            <w:tcW w:w="1106" w:type="dxa"/>
            <w:tcBorders>
              <w:bottom w:val="single" w:sz="18" w:space="0" w:color="auto"/>
            </w:tcBorders>
            <w:shd w:val="clear" w:color="auto" w:fill="auto"/>
            <w:noWrap/>
            <w:vAlign w:val="bottom"/>
          </w:tcPr>
          <w:p w:rsidR="00F44441" w:rsidRPr="007C7EFC" w:rsidRDefault="00F44441" w:rsidP="007C7EFC">
            <w:pPr>
              <w:spacing w:before="20" w:after="20" w:line="240" w:lineRule="auto"/>
              <w:jc w:val="center"/>
              <w:rPr>
                <w:rFonts w:cs="Arial"/>
                <w:b/>
                <w:bCs/>
                <w:sz w:val="19"/>
                <w:szCs w:val="19"/>
                <w:lang w:val="en-US"/>
              </w:rPr>
            </w:pPr>
            <w:r w:rsidRPr="007C7EFC">
              <w:rPr>
                <w:rFonts w:cs="Arial"/>
                <w:b/>
                <w:bCs/>
                <w:sz w:val="19"/>
                <w:szCs w:val="19"/>
                <w:lang w:val="en-US"/>
              </w:rPr>
              <w:t>1991</w:t>
            </w:r>
          </w:p>
        </w:tc>
        <w:tc>
          <w:tcPr>
            <w:tcW w:w="1106" w:type="dxa"/>
            <w:tcBorders>
              <w:bottom w:val="single" w:sz="18" w:space="0" w:color="auto"/>
            </w:tcBorders>
            <w:shd w:val="clear" w:color="auto" w:fill="auto"/>
            <w:noWrap/>
            <w:vAlign w:val="bottom"/>
          </w:tcPr>
          <w:p w:rsidR="00F44441" w:rsidRPr="007C7EFC" w:rsidRDefault="00F44441" w:rsidP="007C7EFC">
            <w:pPr>
              <w:spacing w:before="20" w:after="20" w:line="240" w:lineRule="auto"/>
              <w:jc w:val="center"/>
              <w:rPr>
                <w:rFonts w:cs="Arial"/>
                <w:b/>
                <w:bCs/>
                <w:sz w:val="19"/>
                <w:szCs w:val="19"/>
                <w:lang w:val="en-US"/>
              </w:rPr>
            </w:pPr>
            <w:r w:rsidRPr="007C7EFC">
              <w:rPr>
                <w:rFonts w:cs="Arial"/>
                <w:b/>
                <w:bCs/>
                <w:sz w:val="19"/>
                <w:szCs w:val="19"/>
                <w:lang w:val="en-US"/>
              </w:rPr>
              <w:t>2001</w:t>
            </w:r>
          </w:p>
        </w:tc>
      </w:tr>
      <w:tr w:rsidR="00F44441" w:rsidRPr="00D93644" w:rsidTr="00F47AF1">
        <w:trPr>
          <w:trHeight w:val="285"/>
        </w:trPr>
        <w:tc>
          <w:tcPr>
            <w:tcW w:w="1440" w:type="dxa"/>
            <w:tcBorders>
              <w:top w:val="single" w:sz="18" w:space="0" w:color="auto"/>
            </w:tcBorders>
            <w:shd w:val="clear" w:color="auto" w:fill="D9D9D9" w:themeFill="background1" w:themeFillShade="D9"/>
            <w:noWrap/>
            <w:vAlign w:val="bottom"/>
          </w:tcPr>
          <w:p w:rsidR="00F44441" w:rsidRPr="007C7EFC" w:rsidRDefault="00F44441" w:rsidP="007C7EFC">
            <w:pPr>
              <w:spacing w:before="20" w:after="20" w:line="240" w:lineRule="auto"/>
              <w:rPr>
                <w:rFonts w:cs="Arial"/>
                <w:b/>
                <w:sz w:val="19"/>
                <w:szCs w:val="19"/>
                <w:lang w:val="en-US"/>
              </w:rPr>
            </w:pPr>
            <w:r w:rsidRPr="007C7EFC">
              <w:rPr>
                <w:rFonts w:cs="Arial"/>
                <w:b/>
                <w:sz w:val="19"/>
                <w:szCs w:val="19"/>
                <w:lang w:val="en-US"/>
              </w:rPr>
              <w:t>Greek</w:t>
            </w:r>
          </w:p>
        </w:tc>
        <w:tc>
          <w:tcPr>
            <w:tcW w:w="1106" w:type="dxa"/>
            <w:tcBorders>
              <w:top w:val="single" w:sz="18" w:space="0" w:color="auto"/>
            </w:tcBorders>
            <w:shd w:val="clear" w:color="auto" w:fill="D9D9D9" w:themeFill="background1" w:themeFillShade="D9"/>
            <w:noWrap/>
            <w:vAlign w:val="bottom"/>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3,513,495</w:t>
            </w:r>
          </w:p>
        </w:tc>
        <w:tc>
          <w:tcPr>
            <w:tcW w:w="1106" w:type="dxa"/>
            <w:tcBorders>
              <w:top w:val="single" w:sz="18" w:space="0" w:color="auto"/>
            </w:tcBorders>
            <w:shd w:val="clear" w:color="auto" w:fill="D9D9D9" w:themeFill="background1" w:themeFillShade="D9"/>
            <w:noWrap/>
            <w:vAlign w:val="bottom"/>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3,524,355</w:t>
            </w:r>
          </w:p>
        </w:tc>
      </w:tr>
      <w:tr w:rsidR="00F44441" w:rsidRPr="00D93644" w:rsidTr="007C7EFC">
        <w:trPr>
          <w:trHeight w:val="285"/>
        </w:trPr>
        <w:tc>
          <w:tcPr>
            <w:tcW w:w="1440" w:type="dxa"/>
            <w:shd w:val="clear" w:color="auto" w:fill="auto"/>
            <w:noWrap/>
            <w:vAlign w:val="bottom"/>
          </w:tcPr>
          <w:p w:rsidR="00F44441" w:rsidRPr="007C7EFC" w:rsidRDefault="00F44441" w:rsidP="007C7EFC">
            <w:pPr>
              <w:spacing w:before="20" w:after="20" w:line="240" w:lineRule="auto"/>
              <w:rPr>
                <w:rFonts w:cs="Arial"/>
                <w:b/>
                <w:bCs/>
                <w:sz w:val="19"/>
                <w:szCs w:val="19"/>
                <w:lang w:val="en-US"/>
              </w:rPr>
            </w:pPr>
            <w:r w:rsidRPr="007C7EFC">
              <w:rPr>
                <w:rFonts w:cs="Arial"/>
                <w:b/>
                <w:bCs/>
                <w:sz w:val="19"/>
                <w:szCs w:val="19"/>
                <w:lang w:val="en-US"/>
              </w:rPr>
              <w:t xml:space="preserve">Foreign </w:t>
            </w:r>
          </w:p>
        </w:tc>
        <w:tc>
          <w:tcPr>
            <w:tcW w:w="1106" w:type="dxa"/>
            <w:shd w:val="clear" w:color="auto" w:fill="auto"/>
            <w:noWrap/>
            <w:vAlign w:val="bottom"/>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80,717</w:t>
            </w:r>
          </w:p>
        </w:tc>
        <w:tc>
          <w:tcPr>
            <w:tcW w:w="1106" w:type="dxa"/>
            <w:shd w:val="clear" w:color="auto" w:fill="auto"/>
            <w:noWrap/>
            <w:vAlign w:val="bottom"/>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369,973</w:t>
            </w:r>
          </w:p>
        </w:tc>
      </w:tr>
      <w:tr w:rsidR="00F44441" w:rsidRPr="00D93644" w:rsidTr="00F47AF1">
        <w:trPr>
          <w:trHeight w:val="285"/>
        </w:trPr>
        <w:tc>
          <w:tcPr>
            <w:tcW w:w="1440" w:type="dxa"/>
            <w:shd w:val="clear" w:color="auto" w:fill="D9D9D9" w:themeFill="background1" w:themeFillShade="D9"/>
            <w:noWrap/>
            <w:vAlign w:val="bottom"/>
          </w:tcPr>
          <w:p w:rsidR="00F44441" w:rsidRPr="007C7EFC" w:rsidRDefault="00F44441" w:rsidP="007C7EFC">
            <w:pPr>
              <w:spacing w:before="20" w:after="20" w:line="240" w:lineRule="auto"/>
              <w:rPr>
                <w:rFonts w:cs="Arial"/>
                <w:b/>
                <w:bCs/>
                <w:sz w:val="19"/>
                <w:szCs w:val="19"/>
                <w:lang w:val="en-US"/>
              </w:rPr>
            </w:pPr>
            <w:r w:rsidRPr="007C7EFC">
              <w:rPr>
                <w:rFonts w:cs="Arial"/>
                <w:b/>
                <w:bCs/>
                <w:sz w:val="19"/>
                <w:szCs w:val="19"/>
                <w:lang w:val="en-US"/>
              </w:rPr>
              <w:t>Non declared</w:t>
            </w:r>
          </w:p>
        </w:tc>
        <w:tc>
          <w:tcPr>
            <w:tcW w:w="1106" w:type="dxa"/>
            <w:shd w:val="clear" w:color="auto" w:fill="D9D9D9" w:themeFill="background1" w:themeFillShade="D9"/>
            <w:noWrap/>
            <w:vAlign w:val="bottom"/>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605</w:t>
            </w:r>
          </w:p>
        </w:tc>
        <w:tc>
          <w:tcPr>
            <w:tcW w:w="1106" w:type="dxa"/>
            <w:shd w:val="clear" w:color="auto" w:fill="D9D9D9" w:themeFill="background1" w:themeFillShade="D9"/>
            <w:noWrap/>
            <w:vAlign w:val="bottom"/>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245</w:t>
            </w:r>
          </w:p>
        </w:tc>
      </w:tr>
      <w:tr w:rsidR="00F44441" w:rsidRPr="00D93644" w:rsidTr="007C7EFC">
        <w:trPr>
          <w:trHeight w:val="225"/>
        </w:trPr>
        <w:tc>
          <w:tcPr>
            <w:tcW w:w="1440" w:type="dxa"/>
            <w:shd w:val="clear" w:color="auto" w:fill="auto"/>
            <w:noWrap/>
            <w:vAlign w:val="bottom"/>
          </w:tcPr>
          <w:p w:rsidR="00F44441" w:rsidRPr="007C7EFC" w:rsidRDefault="00F44441" w:rsidP="007C7EFC">
            <w:pPr>
              <w:spacing w:before="20" w:after="20" w:line="240" w:lineRule="auto"/>
              <w:rPr>
                <w:rFonts w:cs="Arial"/>
                <w:b/>
                <w:bCs/>
                <w:sz w:val="19"/>
                <w:szCs w:val="19"/>
                <w:lang w:val="en-US"/>
              </w:rPr>
            </w:pPr>
            <w:r w:rsidRPr="007C7EFC">
              <w:rPr>
                <w:rFonts w:cs="Arial"/>
                <w:b/>
                <w:bCs/>
                <w:sz w:val="19"/>
                <w:szCs w:val="19"/>
                <w:lang w:val="en-US"/>
              </w:rPr>
              <w:t>Total</w:t>
            </w:r>
          </w:p>
        </w:tc>
        <w:tc>
          <w:tcPr>
            <w:tcW w:w="1106" w:type="dxa"/>
            <w:shd w:val="clear" w:color="auto" w:fill="auto"/>
            <w:noWrap/>
            <w:vAlign w:val="bottom"/>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3,594,817</w:t>
            </w:r>
          </w:p>
        </w:tc>
        <w:tc>
          <w:tcPr>
            <w:tcW w:w="1106" w:type="dxa"/>
            <w:shd w:val="clear" w:color="auto" w:fill="auto"/>
            <w:noWrap/>
            <w:vAlign w:val="bottom"/>
          </w:tcPr>
          <w:p w:rsidR="00F44441" w:rsidRPr="007C7EFC" w:rsidRDefault="00F44441" w:rsidP="007C7EFC">
            <w:pPr>
              <w:spacing w:before="20" w:after="20" w:line="240" w:lineRule="auto"/>
              <w:jc w:val="right"/>
              <w:rPr>
                <w:rFonts w:cs="Arial"/>
                <w:sz w:val="19"/>
                <w:szCs w:val="19"/>
                <w:lang w:val="en-US"/>
              </w:rPr>
            </w:pPr>
            <w:r w:rsidRPr="007C7EFC">
              <w:rPr>
                <w:rFonts w:cs="Arial"/>
                <w:sz w:val="19"/>
                <w:szCs w:val="19"/>
                <w:lang w:val="en-US"/>
              </w:rPr>
              <w:t>3,894,573</w:t>
            </w:r>
          </w:p>
        </w:tc>
      </w:tr>
    </w:tbl>
    <w:p w:rsidR="00F44441" w:rsidRPr="00D93644" w:rsidRDefault="00F44441" w:rsidP="007C7EFC">
      <w:pPr>
        <w:spacing w:before="0" w:after="240"/>
        <w:rPr>
          <w:rFonts w:cs="Arial"/>
          <w:sz w:val="16"/>
          <w:szCs w:val="16"/>
          <w:lang w:val="en-US"/>
        </w:rPr>
      </w:pPr>
      <w:r w:rsidRPr="007C7EFC">
        <w:rPr>
          <w:rFonts w:cs="Arial"/>
          <w:b/>
          <w:sz w:val="16"/>
          <w:szCs w:val="16"/>
          <w:lang w:val="en-US"/>
        </w:rPr>
        <w:t>Source:</w:t>
      </w:r>
      <w:r w:rsidRPr="00D93644">
        <w:rPr>
          <w:rFonts w:cs="Arial"/>
          <w:sz w:val="16"/>
          <w:szCs w:val="16"/>
          <w:lang w:val="en-US"/>
        </w:rPr>
        <w:t xml:space="preserve"> Hellenic Statistical Authority</w:t>
      </w:r>
    </w:p>
    <w:p w:rsidR="00F44441" w:rsidRPr="00D93644" w:rsidRDefault="00F44441" w:rsidP="007C7EFC">
      <w:pPr>
        <w:spacing w:line="276" w:lineRule="auto"/>
        <w:rPr>
          <w:rFonts w:cs="Arial"/>
          <w:lang w:val="en-US"/>
        </w:rPr>
      </w:pPr>
      <w:r w:rsidRPr="00D93644">
        <w:rPr>
          <w:rFonts w:cs="Arial"/>
          <w:lang w:val="en-US"/>
        </w:rPr>
        <w:t xml:space="preserve">There are at least three main underlining processes that produce the above-mentioned forms of social inequality and transcribe them into urban space: </w:t>
      </w:r>
    </w:p>
    <w:p w:rsidR="00F44441" w:rsidRPr="00D93644" w:rsidRDefault="00963B92" w:rsidP="007C7EFC">
      <w:pPr>
        <w:spacing w:line="276" w:lineRule="auto"/>
        <w:rPr>
          <w:rFonts w:cs="Arial"/>
          <w:lang w:val="en-US"/>
        </w:rPr>
      </w:pPr>
      <w:r w:rsidRPr="00D93644">
        <w:rPr>
          <w:rFonts w:cs="Arial"/>
          <w:lang w:val="en-US"/>
        </w:rPr>
        <w:t>a</w:t>
      </w:r>
      <w:r w:rsidR="00F44441" w:rsidRPr="00D93644">
        <w:rPr>
          <w:rFonts w:cs="Arial"/>
          <w:lang w:val="en-US"/>
        </w:rPr>
        <w:t xml:space="preserve">. The dynamics of the labour market. Since the mid of the 1990s Attiki’s economy started to grow, overcoming the crisis of the 1980s and early 1990s. The engines of this growth were EU-funded investments in transport infrastructures and deregulation and privatizations in banks, telecommunications and media (Stathakis, 2010). In 1995-2002, this growth did not lead to a diminution of unemployment (jobless growth), as it was based on more intense utilization of the existing workforce (increase of the marginal productivity of labour, see INE, 2005: 75). In 2003-2008 unemployment decreased, following the more general European trend of the period (INE, 2008). Greece’s accession to the Eurozone in 1999 entailed cheap credit for households and led to a more private consumption-drive growth. Labour-intensive services grew and unemployment rate withdrew, although it never felt to very low levels (INE, 2008). During the </w:t>
      </w:r>
      <w:r w:rsidR="009179CE">
        <w:rPr>
          <w:rFonts w:cs="Arial"/>
          <w:lang w:val="en-US"/>
        </w:rPr>
        <w:t>recession</w:t>
      </w:r>
      <w:r w:rsidR="00F44441" w:rsidRPr="00D93644">
        <w:rPr>
          <w:rFonts w:cs="Arial"/>
          <w:lang w:val="en-US"/>
        </w:rPr>
        <w:t xml:space="preserve"> </w:t>
      </w:r>
      <w:r w:rsidR="009179CE">
        <w:rPr>
          <w:rFonts w:cs="Arial"/>
          <w:lang w:val="en-US"/>
        </w:rPr>
        <w:t xml:space="preserve">of the last years, </w:t>
      </w:r>
      <w:r w:rsidR="00F44441" w:rsidRPr="00D93644">
        <w:rPr>
          <w:rFonts w:cs="Arial"/>
          <w:lang w:val="en-US"/>
        </w:rPr>
        <w:t xml:space="preserve">unemployment </w:t>
      </w:r>
      <w:r w:rsidR="009179CE">
        <w:rPr>
          <w:rFonts w:cs="Arial"/>
          <w:lang w:val="en-US"/>
        </w:rPr>
        <w:t>increased,</w:t>
      </w:r>
      <w:r w:rsidR="00F44441" w:rsidRPr="00D93644">
        <w:rPr>
          <w:rFonts w:cs="Arial"/>
          <w:lang w:val="en-US"/>
        </w:rPr>
        <w:t xml:space="preserve"> the reduction of nominal and real wages in both private and public sectors led to a dramatic decrease of private consumption; the decrease of the demand lead to the reduction of production. </w:t>
      </w:r>
    </w:p>
    <w:p w:rsidR="00F44441" w:rsidRPr="00D93644" w:rsidRDefault="00F44441" w:rsidP="007C7EFC">
      <w:pPr>
        <w:spacing w:line="276" w:lineRule="auto"/>
        <w:rPr>
          <w:rFonts w:cs="Arial"/>
          <w:lang w:val="en-US"/>
        </w:rPr>
      </w:pPr>
      <w:r w:rsidRPr="00D93644">
        <w:rPr>
          <w:rFonts w:cs="Arial"/>
          <w:lang w:val="en-US"/>
        </w:rPr>
        <w:t xml:space="preserve">Nevertheless, it must be underlined that in the case of the Greek economy employment protects less from poverty than in other European countries. The rate of poor employed persons in the mid 2000s was double in Greece than in EU (14% against 7% in EU-15 in 2006, INE, 2008). This must be attributed to jobs’ characteristics (low wages, part-time and unstable occupations) and to a familial structure where one or more individuals depend upon </w:t>
      </w:r>
      <w:r w:rsidR="007C7EFC">
        <w:rPr>
          <w:rFonts w:cs="Arial"/>
          <w:lang w:val="en-US"/>
        </w:rPr>
        <w:t xml:space="preserve">one employed person (INE, 2008, p. </w:t>
      </w:r>
      <w:r w:rsidRPr="00D93644">
        <w:rPr>
          <w:rFonts w:cs="Arial"/>
          <w:lang w:val="en-US"/>
        </w:rPr>
        <w:t>221).</w:t>
      </w:r>
    </w:p>
    <w:p w:rsidR="00F44441" w:rsidRPr="00D93644" w:rsidRDefault="00302E0A" w:rsidP="007C7EFC">
      <w:pPr>
        <w:spacing w:line="276" w:lineRule="auto"/>
        <w:rPr>
          <w:rFonts w:cs="Arial"/>
          <w:lang w:val="en-US"/>
        </w:rPr>
      </w:pPr>
      <w:r w:rsidRPr="00D93644">
        <w:rPr>
          <w:rFonts w:cs="Arial"/>
          <w:lang w:val="en-US"/>
        </w:rPr>
        <w:t>b</w:t>
      </w:r>
      <w:r w:rsidR="00F44441" w:rsidRPr="00D93644">
        <w:rPr>
          <w:rFonts w:cs="Arial"/>
          <w:lang w:val="en-US"/>
        </w:rPr>
        <w:t xml:space="preserve">. Immigrants’ settlement has been a major source of social inequality and exclusion. Since the early 1990s, Greece started to receive important inflows of mostly undocumented immigrants, initially from Balkans and later from Asian countries. The integration of these immigrants into the labour market and the Greek society has taken place without institutional regulation. The absence of integration mechanisms </w:t>
      </w:r>
      <w:r w:rsidR="00F44441" w:rsidRPr="00D93644">
        <w:rPr>
          <w:rFonts w:cs="Arial"/>
          <w:lang w:val="en-US"/>
        </w:rPr>
        <w:lastRenderedPageBreak/>
        <w:t>entailed the exposure of immigrants to hyper-exploitation, through informal occupations and low wages. The integration of immigrants into the labour market has been associated with their de-qualification, their working position being rather linked to gender and ethnicity (Kandylis et al., 2012). The vast majority of immigrants in Attiki hold lower technical and routine jobs at a rate of between 70% and 90% compared with 24% for</w:t>
      </w:r>
      <w:r w:rsidR="007C7EFC">
        <w:rPr>
          <w:rFonts w:cs="Arial"/>
          <w:lang w:val="en-US"/>
        </w:rPr>
        <w:t xml:space="preserve"> Greeks (Kandylis et al., 2012, p. </w:t>
      </w:r>
      <w:r w:rsidR="00F44441" w:rsidRPr="00D93644">
        <w:rPr>
          <w:rFonts w:cs="Arial"/>
          <w:lang w:val="en-US"/>
        </w:rPr>
        <w:t>271). The only exception among immigrants is that of immigrants of Greek origin who have been rewarded with full citizenships rights and generally enjoyed a preferential treatment by the state which facilitated their integration into the labour market (Kandylis et al., 2012). The current fiscal crisis and the implementation of austerity policies put additional stress on immigrants. They face now higher rates of unemployment while at the same time they do not enjoy the same social protection as native populations.</w:t>
      </w:r>
    </w:p>
    <w:p w:rsidR="00F44441" w:rsidRPr="00D93644" w:rsidRDefault="00302E0A" w:rsidP="007C7EFC">
      <w:pPr>
        <w:spacing w:line="276" w:lineRule="auto"/>
        <w:rPr>
          <w:rFonts w:cs="Arial"/>
          <w:lang w:val="en-US"/>
        </w:rPr>
      </w:pPr>
      <w:r w:rsidRPr="00D93644">
        <w:rPr>
          <w:rFonts w:cs="Arial"/>
          <w:lang w:val="en-US"/>
        </w:rPr>
        <w:t>c</w:t>
      </w:r>
      <w:r w:rsidR="00F44441" w:rsidRPr="00D93644">
        <w:rPr>
          <w:rFonts w:cs="Arial"/>
          <w:lang w:val="en-US"/>
        </w:rPr>
        <w:t xml:space="preserve">. The main forms of social inequality are converted into socio-spatial segregation mainly through the mediation of housing production processes. State intervention and public housing has played diachronically a minimal role in housing production in the case of Athens (and more generally in Greece, Maloutas 2010). State regulation has been confined to building legislation and the urban master plans. The access to housing depended upon market processes and, during the first postwar decades, spontaneous housing production. Market processes involved small construction companies and petty landowners, and produced an affordable housing stock of small and medium-sized apartments (Kandylis et al., 2012; Maloutas, 2010). Socio-spatial segregation </w:t>
      </w:r>
      <w:r w:rsidRPr="00D93644">
        <w:rPr>
          <w:rFonts w:cs="Arial"/>
          <w:lang w:val="en-US"/>
        </w:rPr>
        <w:t>in</w:t>
      </w:r>
      <w:r w:rsidR="00F44441" w:rsidRPr="00D93644">
        <w:rPr>
          <w:rFonts w:cs="Arial"/>
          <w:lang w:val="en-US"/>
        </w:rPr>
        <w:t xml:space="preserve"> postwar Athens has been relatively mild in the sense that this model of housing production generated a socio-economic continuum in the urban space rather than sharply separated socio-economic zones. However, more intense forms of social segregation appeared since the 1990s in the city center as a result of </w:t>
      </w:r>
      <w:r w:rsidR="007C7EFC" w:rsidRPr="00D93644">
        <w:rPr>
          <w:rFonts w:cs="Arial"/>
          <w:lang w:val="en-US"/>
        </w:rPr>
        <w:t>suburbanization</w:t>
      </w:r>
      <w:r w:rsidR="00F44441" w:rsidRPr="00D93644">
        <w:rPr>
          <w:rFonts w:cs="Arial"/>
          <w:lang w:val="en-US"/>
        </w:rPr>
        <w:t xml:space="preserve"> process and the irregular integration of immigrants in the Athenian society. Since the late 1970s, a large number of dwellings in the city center have been gradually vacated by the native middle and upper middle strata that moved to the suburbs of Attiki (Maloutas, 2010). Given the absence of a housing policy for immigrants, the latter occupied a large part of this stock, often in very bad housing conditions. Actually, the housing and social conditions in the city center appear in the public agenda as the most important problem of social exclusion and social segregation in Athens.</w:t>
      </w:r>
    </w:p>
    <w:p w:rsidR="005B0A2D" w:rsidRPr="00D93644" w:rsidRDefault="00536563" w:rsidP="00F44441">
      <w:pPr>
        <w:pStyle w:val="Heading1"/>
        <w:rPr>
          <w:rFonts w:cs="Arial"/>
          <w:noProof/>
        </w:rPr>
      </w:pPr>
      <w:r w:rsidRPr="00D93644">
        <w:rPr>
          <w:rFonts w:cs="Arial"/>
        </w:rPr>
        <w:br w:type="column"/>
      </w:r>
      <w:bookmarkStart w:id="38" w:name="_Toc386013194"/>
      <w:r w:rsidRPr="00D93644">
        <w:rPr>
          <w:rFonts w:cs="Arial"/>
          <w:noProof/>
        </w:rPr>
        <w:lastRenderedPageBreak/>
        <w:t xml:space="preserve">Characteristics of </w:t>
      </w:r>
      <w:r w:rsidR="007C7EFC">
        <w:rPr>
          <w:rFonts w:cs="Arial"/>
          <w:noProof/>
        </w:rPr>
        <w:t>s</w:t>
      </w:r>
      <w:r w:rsidRPr="00D93644">
        <w:rPr>
          <w:rFonts w:cs="Arial"/>
          <w:noProof/>
        </w:rPr>
        <w:t xml:space="preserve">ocial </w:t>
      </w:r>
      <w:r w:rsidR="007C7EFC">
        <w:rPr>
          <w:rFonts w:cs="Arial"/>
          <w:noProof/>
        </w:rPr>
        <w:t>e</w:t>
      </w:r>
      <w:r w:rsidRPr="00D93644">
        <w:rPr>
          <w:rFonts w:cs="Arial"/>
          <w:noProof/>
        </w:rPr>
        <w:t xml:space="preserve">xclusion and </w:t>
      </w:r>
      <w:r w:rsidR="007C7EFC">
        <w:rPr>
          <w:rFonts w:cs="Arial"/>
          <w:noProof/>
        </w:rPr>
        <w:t>p</w:t>
      </w:r>
      <w:r w:rsidRPr="00D93644">
        <w:rPr>
          <w:rFonts w:cs="Arial"/>
          <w:noProof/>
        </w:rPr>
        <w:t>overty:</w:t>
      </w:r>
      <w:r w:rsidR="007C7EFC">
        <w:rPr>
          <w:rFonts w:cs="Arial"/>
          <w:noProof/>
        </w:rPr>
        <w:t xml:space="preserve"> patterns</w:t>
      </w:r>
      <w:r w:rsidRPr="00D93644">
        <w:rPr>
          <w:rFonts w:cs="Arial"/>
          <w:noProof/>
        </w:rPr>
        <w:t xml:space="preserve"> and</w:t>
      </w:r>
      <w:r w:rsidR="007C7EFC">
        <w:rPr>
          <w:rFonts w:cs="Arial"/>
          <w:noProof/>
        </w:rPr>
        <w:t xml:space="preserve"> processes</w:t>
      </w:r>
      <w:bookmarkEnd w:id="38"/>
    </w:p>
    <w:p w:rsidR="000C7211" w:rsidRPr="00D93644" w:rsidRDefault="000C7211" w:rsidP="000C7211">
      <w:pPr>
        <w:rPr>
          <w:rFonts w:cs="Arial"/>
        </w:rPr>
      </w:pPr>
    </w:p>
    <w:p w:rsidR="00F7224E" w:rsidRDefault="00F7224E" w:rsidP="007C7EFC">
      <w:pPr>
        <w:spacing w:line="276" w:lineRule="auto"/>
        <w:rPr>
          <w:rFonts w:cs="Arial"/>
        </w:rPr>
      </w:pPr>
      <w:r w:rsidRPr="00D93644">
        <w:rPr>
          <w:rFonts w:cs="Arial"/>
        </w:rPr>
        <w:t>The thematic focus of the present case study is on the multiple connections between processes of povertization and social exclusion and the urban segregation pattern in the Metropolitan Region of Attiki (MRA). By urban segregation we mean especially the residential segregation of different socio-ethnic groups, although some comments on the differential spatial mobility of these groups are going to be made.  Table 2.1 summarizes the basic definitions employed for the elaboration of this thematic issue.</w:t>
      </w:r>
    </w:p>
    <w:p w:rsidR="00F430B9" w:rsidRPr="00F430B9" w:rsidRDefault="00F430B9" w:rsidP="007C7EFC">
      <w:pPr>
        <w:spacing w:line="276" w:lineRule="auto"/>
        <w:rPr>
          <w:rFonts w:cs="Arial"/>
          <w:sz w:val="10"/>
          <w:szCs w:val="10"/>
          <w:lang w:val="en-US"/>
        </w:rPr>
      </w:pPr>
    </w:p>
    <w:p w:rsidR="00F7224E" w:rsidRPr="00ED0F60" w:rsidRDefault="00F7224E" w:rsidP="00F7224E">
      <w:pPr>
        <w:pStyle w:val="2"/>
        <w:spacing w:after="0" w:line="360" w:lineRule="auto"/>
        <w:ind w:left="15"/>
        <w:jc w:val="both"/>
        <w:rPr>
          <w:rFonts w:ascii="Arial" w:hAnsi="Arial" w:cs="Arial"/>
          <w:sz w:val="10"/>
          <w:szCs w:val="10"/>
          <w:lang w:val="en-US"/>
        </w:rPr>
      </w:pPr>
    </w:p>
    <w:p w:rsidR="00F7224E" w:rsidRPr="00801BA5" w:rsidRDefault="00F7224E" w:rsidP="00F7224E">
      <w:pPr>
        <w:pStyle w:val="2"/>
        <w:spacing w:after="0" w:line="360" w:lineRule="auto"/>
        <w:ind w:left="15"/>
        <w:jc w:val="both"/>
        <w:rPr>
          <w:rFonts w:ascii="Arial" w:hAnsi="Arial" w:cs="Arial"/>
          <w:b/>
          <w:sz w:val="22"/>
          <w:szCs w:val="22"/>
          <w:lang w:val="en-US"/>
        </w:rPr>
      </w:pPr>
      <w:r w:rsidRPr="00801BA5">
        <w:rPr>
          <w:rFonts w:ascii="Arial" w:hAnsi="Arial" w:cs="Arial"/>
          <w:b/>
          <w:color w:val="000000"/>
          <w:sz w:val="22"/>
          <w:szCs w:val="22"/>
          <w:lang w:val="en-GB"/>
        </w:rPr>
        <w:t>Table 2.1</w:t>
      </w:r>
      <w:r w:rsidR="00573EF5">
        <w:rPr>
          <w:rFonts w:ascii="Arial" w:hAnsi="Arial" w:cs="Arial"/>
          <w:b/>
          <w:color w:val="000000"/>
          <w:sz w:val="22"/>
          <w:szCs w:val="22"/>
          <w:lang w:val="en-GB"/>
        </w:rPr>
        <w:t>:</w:t>
      </w:r>
      <w:r w:rsidRPr="00801BA5">
        <w:rPr>
          <w:rFonts w:ascii="Arial" w:hAnsi="Arial" w:cs="Arial"/>
          <w:b/>
          <w:color w:val="000000"/>
          <w:sz w:val="22"/>
          <w:szCs w:val="22"/>
          <w:lang w:val="en-GB"/>
        </w:rPr>
        <w:t xml:space="preserve"> Basic definitions about urban segregation</w:t>
      </w:r>
    </w:p>
    <w:tbl>
      <w:tblPr>
        <w:tblW w:w="8294" w:type="dxa"/>
        <w:tblInd w:w="45" w:type="dxa"/>
        <w:tblBorders>
          <w:top w:val="single" w:sz="4" w:space="0" w:color="auto"/>
          <w:left w:val="single" w:sz="4" w:space="0" w:color="auto"/>
          <w:bottom w:val="single" w:sz="4" w:space="0" w:color="auto"/>
          <w:right w:val="single" w:sz="4" w:space="0" w:color="auto"/>
        </w:tblBorders>
        <w:tblLayout w:type="fixed"/>
        <w:tblCellMar>
          <w:left w:w="10" w:type="dxa"/>
          <w:right w:w="28" w:type="dxa"/>
        </w:tblCellMar>
        <w:tblLook w:val="0000" w:firstRow="0" w:lastRow="0" w:firstColumn="0" w:lastColumn="0" w:noHBand="0" w:noVBand="0"/>
      </w:tblPr>
      <w:tblGrid>
        <w:gridCol w:w="2623"/>
        <w:gridCol w:w="5671"/>
      </w:tblGrid>
      <w:tr w:rsidR="00F7224E" w:rsidRPr="007B7C1F" w:rsidTr="007C7EFC">
        <w:tc>
          <w:tcPr>
            <w:tcW w:w="2623" w:type="dxa"/>
            <w:shd w:val="clear" w:color="auto" w:fill="FFFFFF"/>
          </w:tcPr>
          <w:p w:rsidR="00F7224E" w:rsidRPr="00ED0F60" w:rsidRDefault="00F7224E" w:rsidP="007C7EFC">
            <w:pPr>
              <w:pStyle w:val="2"/>
              <w:spacing w:before="60" w:after="60" w:line="150" w:lineRule="atLeast"/>
              <w:ind w:left="17"/>
              <w:rPr>
                <w:rFonts w:ascii="Arial" w:hAnsi="Arial" w:cs="Arial"/>
                <w:color w:val="000000"/>
                <w:sz w:val="19"/>
                <w:szCs w:val="19"/>
                <w:lang w:val="en-GB"/>
              </w:rPr>
            </w:pPr>
            <w:r w:rsidRPr="00ED0F60">
              <w:rPr>
                <w:rFonts w:ascii="Arial" w:hAnsi="Arial" w:cs="Arial"/>
                <w:color w:val="000000"/>
                <w:sz w:val="19"/>
                <w:szCs w:val="19"/>
                <w:lang w:val="en-GB"/>
              </w:rPr>
              <w:t>Metropolitan Region of Attiki (MRA)</w:t>
            </w:r>
          </w:p>
        </w:tc>
        <w:tc>
          <w:tcPr>
            <w:tcW w:w="5671" w:type="dxa"/>
            <w:shd w:val="clear" w:color="auto" w:fill="FFFFFF"/>
          </w:tcPr>
          <w:p w:rsidR="00F7224E" w:rsidRPr="00ED0F60" w:rsidRDefault="00F7224E" w:rsidP="007C7EFC">
            <w:pPr>
              <w:pStyle w:val="2"/>
              <w:spacing w:before="60" w:after="60" w:line="150" w:lineRule="atLeast"/>
              <w:ind w:left="17"/>
              <w:jc w:val="both"/>
              <w:rPr>
                <w:rFonts w:ascii="Arial" w:hAnsi="Arial" w:cs="Arial"/>
                <w:sz w:val="19"/>
                <w:szCs w:val="19"/>
                <w:lang w:val="en-GB"/>
              </w:rPr>
            </w:pPr>
            <w:r w:rsidRPr="00ED0F60">
              <w:rPr>
                <w:rFonts w:ascii="Arial" w:hAnsi="Arial" w:cs="Arial"/>
                <w:sz w:val="19"/>
                <w:szCs w:val="19"/>
                <w:lang w:val="en-GB"/>
              </w:rPr>
              <w:t>The mainland of the Region of Attiki, leaving aside the islands and the separate area of Peloponnese that administratively belong to the Region.</w:t>
            </w:r>
          </w:p>
        </w:tc>
      </w:tr>
      <w:tr w:rsidR="00F7224E" w:rsidRPr="007B7C1F" w:rsidTr="007C7EFC">
        <w:tc>
          <w:tcPr>
            <w:tcW w:w="2623" w:type="dxa"/>
            <w:shd w:val="clear" w:color="auto" w:fill="D9D9D9" w:themeFill="background1" w:themeFillShade="D9"/>
          </w:tcPr>
          <w:p w:rsidR="00F7224E" w:rsidRPr="00ED0F60" w:rsidRDefault="00F7224E" w:rsidP="007C7EFC">
            <w:pPr>
              <w:pStyle w:val="2"/>
              <w:spacing w:before="60" w:after="60" w:line="150" w:lineRule="atLeast"/>
              <w:ind w:left="17"/>
              <w:rPr>
                <w:rFonts w:ascii="Arial" w:hAnsi="Arial" w:cs="Arial"/>
                <w:color w:val="800000"/>
                <w:sz w:val="19"/>
                <w:szCs w:val="19"/>
                <w:lang w:val="en-GB"/>
              </w:rPr>
            </w:pPr>
            <w:r w:rsidRPr="00ED0F60">
              <w:rPr>
                <w:rFonts w:ascii="Arial" w:hAnsi="Arial" w:cs="Arial"/>
                <w:color w:val="000000"/>
                <w:sz w:val="19"/>
                <w:szCs w:val="19"/>
                <w:lang w:val="en-GB"/>
              </w:rPr>
              <w:t>Residential segregation</w:t>
            </w:r>
          </w:p>
        </w:tc>
        <w:tc>
          <w:tcPr>
            <w:tcW w:w="5671" w:type="dxa"/>
            <w:shd w:val="clear" w:color="auto" w:fill="D9D9D9" w:themeFill="background1" w:themeFillShade="D9"/>
          </w:tcPr>
          <w:p w:rsidR="00F7224E" w:rsidRPr="00ED0F60" w:rsidRDefault="00F7224E" w:rsidP="007C7EFC">
            <w:pPr>
              <w:pStyle w:val="2"/>
              <w:spacing w:before="60" w:after="60" w:line="150" w:lineRule="atLeast"/>
              <w:ind w:left="17"/>
              <w:jc w:val="both"/>
              <w:rPr>
                <w:rFonts w:ascii="Arial" w:hAnsi="Arial" w:cs="Arial"/>
                <w:sz w:val="19"/>
                <w:szCs w:val="19"/>
                <w:lang w:val="en-GB"/>
              </w:rPr>
            </w:pPr>
            <w:r w:rsidRPr="00ED0F60">
              <w:rPr>
                <w:rFonts w:ascii="Arial" w:hAnsi="Arial" w:cs="Arial"/>
                <w:sz w:val="19"/>
                <w:szCs w:val="19"/>
                <w:lang w:val="en-GB"/>
              </w:rPr>
              <w:t>The separation of the residential space occupied by two or more social groups.</w:t>
            </w:r>
          </w:p>
        </w:tc>
      </w:tr>
      <w:tr w:rsidR="00F7224E" w:rsidRPr="007B7C1F" w:rsidTr="007C7EFC">
        <w:tc>
          <w:tcPr>
            <w:tcW w:w="2623" w:type="dxa"/>
            <w:shd w:val="clear" w:color="auto" w:fill="FFFFFF"/>
          </w:tcPr>
          <w:p w:rsidR="00F7224E" w:rsidRPr="00ED0F60" w:rsidRDefault="00F7224E" w:rsidP="007C7EFC">
            <w:pPr>
              <w:pStyle w:val="2"/>
              <w:spacing w:before="60" w:after="60" w:line="150" w:lineRule="atLeast"/>
              <w:ind w:left="17"/>
              <w:rPr>
                <w:rFonts w:ascii="Arial" w:hAnsi="Arial" w:cs="Arial"/>
                <w:color w:val="800000"/>
                <w:sz w:val="19"/>
                <w:szCs w:val="19"/>
                <w:lang w:val="en-GB"/>
              </w:rPr>
            </w:pPr>
            <w:r w:rsidRPr="00ED0F60">
              <w:rPr>
                <w:rFonts w:ascii="Arial" w:hAnsi="Arial" w:cs="Arial"/>
                <w:color w:val="000000"/>
                <w:sz w:val="19"/>
                <w:szCs w:val="19"/>
                <w:lang w:val="en-GB"/>
              </w:rPr>
              <w:t>Evenness</w:t>
            </w:r>
          </w:p>
        </w:tc>
        <w:tc>
          <w:tcPr>
            <w:tcW w:w="5671" w:type="dxa"/>
            <w:shd w:val="clear" w:color="auto" w:fill="FFFFFF"/>
          </w:tcPr>
          <w:p w:rsidR="00F7224E" w:rsidRPr="00ED0F60" w:rsidRDefault="00F7224E" w:rsidP="007C7EFC">
            <w:pPr>
              <w:pStyle w:val="2"/>
              <w:spacing w:before="60" w:after="60" w:line="150" w:lineRule="atLeast"/>
              <w:ind w:left="17"/>
              <w:jc w:val="both"/>
              <w:rPr>
                <w:rFonts w:ascii="Arial" w:hAnsi="Arial" w:cs="Arial"/>
                <w:sz w:val="19"/>
                <w:szCs w:val="19"/>
                <w:lang w:val="en-GB"/>
              </w:rPr>
            </w:pPr>
            <w:r w:rsidRPr="00ED0F60">
              <w:rPr>
                <w:rFonts w:ascii="Arial" w:hAnsi="Arial" w:cs="Arial"/>
                <w:sz w:val="19"/>
                <w:szCs w:val="19"/>
                <w:lang w:val="en-GB"/>
              </w:rPr>
              <w:t>A dimension of segregation that refers to the differential distribution of two or more social groups among areal units. Indices used: IS, H.</w:t>
            </w:r>
            <w:r w:rsidRPr="00ED0F60">
              <w:rPr>
                <w:rFonts w:ascii="Arial" w:hAnsi="Arial" w:cs="Arial"/>
                <w:sz w:val="19"/>
                <w:szCs w:val="19"/>
                <w:vertAlign w:val="superscript"/>
                <w:lang w:val="en-GB"/>
              </w:rPr>
              <w:t>a</w:t>
            </w:r>
          </w:p>
        </w:tc>
      </w:tr>
      <w:tr w:rsidR="00F7224E" w:rsidRPr="007B7C1F" w:rsidTr="007C7EFC">
        <w:tc>
          <w:tcPr>
            <w:tcW w:w="2623" w:type="dxa"/>
            <w:shd w:val="clear" w:color="auto" w:fill="D9D9D9" w:themeFill="background1" w:themeFillShade="D9"/>
          </w:tcPr>
          <w:p w:rsidR="00F7224E" w:rsidRPr="00ED0F60" w:rsidRDefault="00F7224E" w:rsidP="007C7EFC">
            <w:pPr>
              <w:pStyle w:val="2"/>
              <w:spacing w:before="60" w:after="60" w:line="150" w:lineRule="atLeast"/>
              <w:ind w:left="17"/>
              <w:rPr>
                <w:rFonts w:ascii="Arial" w:hAnsi="Arial" w:cs="Arial"/>
                <w:color w:val="000000"/>
                <w:sz w:val="19"/>
                <w:szCs w:val="19"/>
                <w:lang w:val="en-GB"/>
              </w:rPr>
            </w:pPr>
            <w:r w:rsidRPr="00ED0F60">
              <w:rPr>
                <w:rFonts w:ascii="Arial" w:hAnsi="Arial" w:cs="Arial"/>
                <w:color w:val="000000"/>
                <w:sz w:val="19"/>
                <w:szCs w:val="19"/>
                <w:lang w:val="en-GB"/>
              </w:rPr>
              <w:t>Concentration</w:t>
            </w:r>
          </w:p>
        </w:tc>
        <w:tc>
          <w:tcPr>
            <w:tcW w:w="5671" w:type="dxa"/>
            <w:shd w:val="clear" w:color="auto" w:fill="D9D9D9" w:themeFill="background1" w:themeFillShade="D9"/>
          </w:tcPr>
          <w:p w:rsidR="00F7224E" w:rsidRPr="00ED0F60" w:rsidRDefault="00F7224E" w:rsidP="007C7EFC">
            <w:pPr>
              <w:pStyle w:val="2"/>
              <w:spacing w:before="60" w:after="60" w:line="150" w:lineRule="atLeast"/>
              <w:ind w:left="17"/>
              <w:jc w:val="both"/>
              <w:rPr>
                <w:rFonts w:ascii="Arial" w:hAnsi="Arial" w:cs="Arial"/>
                <w:sz w:val="19"/>
                <w:szCs w:val="19"/>
                <w:lang w:val="en-GB"/>
              </w:rPr>
            </w:pPr>
            <w:r w:rsidRPr="00ED0F60">
              <w:rPr>
                <w:rFonts w:ascii="Arial" w:hAnsi="Arial" w:cs="Arial"/>
                <w:sz w:val="19"/>
                <w:szCs w:val="19"/>
                <w:lang w:val="en-GB"/>
              </w:rPr>
              <w:t>A dimension of segregation that refers to relative amount of physical space inhabited by one social group. Index used: DEL.</w:t>
            </w:r>
            <w:r w:rsidRPr="00ED0F60">
              <w:rPr>
                <w:rFonts w:ascii="Arial" w:hAnsi="Arial" w:cs="Arial"/>
                <w:sz w:val="19"/>
                <w:szCs w:val="19"/>
                <w:vertAlign w:val="superscript"/>
                <w:lang w:val="en-GB"/>
              </w:rPr>
              <w:t>a</w:t>
            </w:r>
          </w:p>
        </w:tc>
      </w:tr>
      <w:tr w:rsidR="00F7224E" w:rsidRPr="007B7C1F" w:rsidTr="007C7EFC">
        <w:tc>
          <w:tcPr>
            <w:tcW w:w="2623" w:type="dxa"/>
            <w:shd w:val="clear" w:color="auto" w:fill="FFFFFF"/>
          </w:tcPr>
          <w:p w:rsidR="00F7224E" w:rsidRPr="00ED0F60" w:rsidRDefault="00F7224E" w:rsidP="007C7EFC">
            <w:pPr>
              <w:pStyle w:val="2"/>
              <w:spacing w:before="60" w:after="60" w:line="150" w:lineRule="atLeast"/>
              <w:ind w:left="17"/>
              <w:rPr>
                <w:rFonts w:ascii="Arial" w:hAnsi="Arial" w:cs="Arial"/>
                <w:color w:val="000000"/>
                <w:sz w:val="19"/>
                <w:szCs w:val="19"/>
                <w:lang w:val="en-GB"/>
              </w:rPr>
            </w:pPr>
            <w:r w:rsidRPr="00ED0F60">
              <w:rPr>
                <w:rFonts w:ascii="Arial" w:hAnsi="Arial" w:cs="Arial"/>
                <w:color w:val="000000"/>
                <w:sz w:val="19"/>
                <w:szCs w:val="19"/>
                <w:lang w:val="en-GB"/>
              </w:rPr>
              <w:t>Centralization</w:t>
            </w:r>
          </w:p>
        </w:tc>
        <w:tc>
          <w:tcPr>
            <w:tcW w:w="5671" w:type="dxa"/>
            <w:shd w:val="clear" w:color="auto" w:fill="FFFFFF"/>
          </w:tcPr>
          <w:p w:rsidR="00F7224E" w:rsidRPr="00ED0F60" w:rsidRDefault="00F7224E" w:rsidP="007C7EFC">
            <w:pPr>
              <w:pStyle w:val="2"/>
              <w:spacing w:before="60" w:after="60" w:line="150" w:lineRule="atLeast"/>
              <w:ind w:left="17"/>
              <w:jc w:val="both"/>
              <w:rPr>
                <w:rFonts w:ascii="Arial" w:hAnsi="Arial" w:cs="Arial"/>
                <w:sz w:val="19"/>
                <w:szCs w:val="19"/>
                <w:lang w:val="en-GB"/>
              </w:rPr>
            </w:pPr>
            <w:r w:rsidRPr="00ED0F60">
              <w:rPr>
                <w:rFonts w:ascii="Arial" w:hAnsi="Arial" w:cs="Arial"/>
                <w:sz w:val="19"/>
                <w:szCs w:val="19"/>
                <w:lang w:val="en-GB"/>
              </w:rPr>
              <w:t>A dimension of segregation that measures the concentration of one social group in the city centre (defined here as the Municipality of Athens). Index used: ACE.</w:t>
            </w:r>
            <w:r w:rsidRPr="00ED0F60">
              <w:rPr>
                <w:rFonts w:ascii="Arial" w:hAnsi="Arial" w:cs="Arial"/>
                <w:sz w:val="19"/>
                <w:szCs w:val="19"/>
                <w:vertAlign w:val="superscript"/>
                <w:lang w:val="en-GB"/>
              </w:rPr>
              <w:t>a</w:t>
            </w:r>
          </w:p>
        </w:tc>
      </w:tr>
      <w:tr w:rsidR="00F7224E" w:rsidRPr="007B7C1F" w:rsidTr="007C7EFC">
        <w:tc>
          <w:tcPr>
            <w:tcW w:w="2623" w:type="dxa"/>
            <w:shd w:val="clear" w:color="auto" w:fill="D9D9D9" w:themeFill="background1" w:themeFillShade="D9"/>
          </w:tcPr>
          <w:p w:rsidR="00F7224E" w:rsidRPr="00ED0F60" w:rsidRDefault="00F7224E" w:rsidP="007C7EFC">
            <w:pPr>
              <w:pStyle w:val="2"/>
              <w:spacing w:before="60" w:after="60" w:line="150" w:lineRule="atLeast"/>
              <w:ind w:left="17"/>
              <w:rPr>
                <w:rFonts w:ascii="Arial" w:hAnsi="Arial" w:cs="Arial"/>
                <w:color w:val="000000"/>
                <w:sz w:val="19"/>
                <w:szCs w:val="19"/>
                <w:lang w:val="en-GB"/>
              </w:rPr>
            </w:pPr>
            <w:r w:rsidRPr="00ED0F60">
              <w:rPr>
                <w:rFonts w:ascii="Arial" w:hAnsi="Arial" w:cs="Arial"/>
                <w:color w:val="000000"/>
                <w:sz w:val="19"/>
                <w:szCs w:val="19"/>
                <w:lang w:val="en-GB"/>
              </w:rPr>
              <w:t>Clustering</w:t>
            </w:r>
          </w:p>
        </w:tc>
        <w:tc>
          <w:tcPr>
            <w:tcW w:w="5671" w:type="dxa"/>
            <w:shd w:val="clear" w:color="auto" w:fill="D9D9D9" w:themeFill="background1" w:themeFillShade="D9"/>
          </w:tcPr>
          <w:p w:rsidR="00F7224E" w:rsidRPr="00ED0F60" w:rsidRDefault="00F7224E" w:rsidP="007C7EFC">
            <w:pPr>
              <w:pStyle w:val="2"/>
              <w:spacing w:before="60" w:after="60" w:line="150" w:lineRule="atLeast"/>
              <w:ind w:left="17"/>
              <w:jc w:val="both"/>
              <w:rPr>
                <w:rFonts w:ascii="Arial" w:hAnsi="Arial" w:cs="Arial"/>
                <w:sz w:val="19"/>
                <w:szCs w:val="19"/>
                <w:lang w:val="en-GB"/>
              </w:rPr>
            </w:pPr>
            <w:r w:rsidRPr="00ED0F60">
              <w:rPr>
                <w:rFonts w:ascii="Arial" w:hAnsi="Arial" w:cs="Arial"/>
                <w:sz w:val="19"/>
                <w:szCs w:val="19"/>
                <w:lang w:val="en-GB"/>
              </w:rPr>
              <w:t>A dimension of segregation that measures the extent to which areal units inhabited by one social group adjoin one another in space. Index used: ACL</w:t>
            </w:r>
            <w:r w:rsidRPr="00ED0F60">
              <w:rPr>
                <w:rFonts w:ascii="Arial" w:hAnsi="Arial" w:cs="Arial"/>
                <w:sz w:val="19"/>
                <w:szCs w:val="19"/>
                <w:vertAlign w:val="superscript"/>
                <w:lang w:val="en-GB"/>
              </w:rPr>
              <w:t xml:space="preserve"> a</w:t>
            </w:r>
          </w:p>
        </w:tc>
      </w:tr>
      <w:tr w:rsidR="00F7224E" w:rsidRPr="007B7C1F" w:rsidTr="007C7EFC">
        <w:tc>
          <w:tcPr>
            <w:tcW w:w="2623" w:type="dxa"/>
            <w:shd w:val="clear" w:color="auto" w:fill="FFFFFF"/>
          </w:tcPr>
          <w:p w:rsidR="00F7224E" w:rsidRPr="00ED0F60" w:rsidRDefault="00F7224E" w:rsidP="007C7EFC">
            <w:pPr>
              <w:pStyle w:val="2"/>
              <w:spacing w:before="60" w:after="60" w:line="150" w:lineRule="atLeast"/>
              <w:ind w:left="17"/>
              <w:rPr>
                <w:rFonts w:ascii="Arial" w:hAnsi="Arial" w:cs="Arial"/>
                <w:color w:val="000000"/>
                <w:sz w:val="19"/>
                <w:szCs w:val="19"/>
                <w:lang w:val="en-GB"/>
              </w:rPr>
            </w:pPr>
            <w:r w:rsidRPr="00ED0F60">
              <w:rPr>
                <w:rFonts w:ascii="Arial" w:hAnsi="Arial" w:cs="Arial"/>
                <w:color w:val="000000"/>
                <w:sz w:val="19"/>
                <w:szCs w:val="19"/>
                <w:lang w:val="en-GB"/>
              </w:rPr>
              <w:t>Exposure</w:t>
            </w:r>
          </w:p>
        </w:tc>
        <w:tc>
          <w:tcPr>
            <w:tcW w:w="5671" w:type="dxa"/>
            <w:shd w:val="clear" w:color="auto" w:fill="FFFFFF"/>
          </w:tcPr>
          <w:p w:rsidR="00F7224E" w:rsidRPr="00ED0F60" w:rsidRDefault="00F7224E" w:rsidP="007C7EFC">
            <w:pPr>
              <w:pStyle w:val="2"/>
              <w:spacing w:before="60" w:after="60" w:line="150" w:lineRule="atLeast"/>
              <w:ind w:left="17"/>
              <w:jc w:val="both"/>
              <w:rPr>
                <w:rFonts w:ascii="Arial" w:hAnsi="Arial" w:cs="Arial"/>
                <w:sz w:val="19"/>
                <w:szCs w:val="19"/>
                <w:lang w:val="en-GB"/>
              </w:rPr>
            </w:pPr>
            <w:r w:rsidRPr="00ED0F60">
              <w:rPr>
                <w:rFonts w:ascii="Arial" w:hAnsi="Arial" w:cs="Arial"/>
                <w:sz w:val="19"/>
                <w:szCs w:val="19"/>
                <w:lang w:val="en-GB"/>
              </w:rPr>
              <w:t>A dimension of segregation that measures the extent to which members of two or more social groups confront one another by virtue of sharing a common residential area. Index used: P.</w:t>
            </w:r>
            <w:r w:rsidRPr="00ED0F60">
              <w:rPr>
                <w:rFonts w:ascii="Arial" w:hAnsi="Arial" w:cs="Arial"/>
                <w:sz w:val="19"/>
                <w:szCs w:val="19"/>
                <w:vertAlign w:val="superscript"/>
                <w:lang w:val="en-GB"/>
              </w:rPr>
              <w:t>a</w:t>
            </w:r>
          </w:p>
        </w:tc>
      </w:tr>
      <w:tr w:rsidR="00F7224E" w:rsidRPr="007B7C1F" w:rsidTr="007C7EFC">
        <w:tc>
          <w:tcPr>
            <w:tcW w:w="2623" w:type="dxa"/>
            <w:shd w:val="clear" w:color="auto" w:fill="D9D9D9" w:themeFill="background1" w:themeFillShade="D9"/>
          </w:tcPr>
          <w:p w:rsidR="00F7224E" w:rsidRPr="00ED0F60" w:rsidRDefault="00F7224E" w:rsidP="007C7EFC">
            <w:pPr>
              <w:pStyle w:val="2"/>
              <w:spacing w:before="60" w:after="60" w:line="150" w:lineRule="atLeast"/>
              <w:ind w:left="17"/>
              <w:rPr>
                <w:rFonts w:ascii="Arial" w:hAnsi="Arial" w:cs="Arial"/>
                <w:color w:val="800000"/>
                <w:sz w:val="19"/>
                <w:szCs w:val="19"/>
                <w:lang w:val="en-GB"/>
              </w:rPr>
            </w:pPr>
            <w:r w:rsidRPr="00ED0F60">
              <w:rPr>
                <w:rFonts w:ascii="Arial" w:hAnsi="Arial" w:cs="Arial"/>
                <w:color w:val="000000"/>
                <w:sz w:val="19"/>
                <w:szCs w:val="19"/>
                <w:lang w:val="en-GB"/>
              </w:rPr>
              <w:t>Ethnic group</w:t>
            </w:r>
          </w:p>
        </w:tc>
        <w:tc>
          <w:tcPr>
            <w:tcW w:w="5671" w:type="dxa"/>
            <w:shd w:val="clear" w:color="auto" w:fill="D9D9D9" w:themeFill="background1" w:themeFillShade="D9"/>
          </w:tcPr>
          <w:p w:rsidR="00F7224E" w:rsidRPr="00ED0F60" w:rsidRDefault="00F7224E" w:rsidP="007C7EFC">
            <w:pPr>
              <w:pStyle w:val="2"/>
              <w:spacing w:before="60" w:after="60" w:line="150" w:lineRule="atLeast"/>
              <w:ind w:left="17"/>
              <w:jc w:val="both"/>
              <w:rPr>
                <w:rFonts w:ascii="Arial" w:hAnsi="Arial" w:cs="Arial"/>
                <w:sz w:val="19"/>
                <w:szCs w:val="19"/>
                <w:lang w:val="en-GB"/>
              </w:rPr>
            </w:pPr>
            <w:r w:rsidRPr="00ED0F60">
              <w:rPr>
                <w:rFonts w:ascii="Arial" w:hAnsi="Arial" w:cs="Arial"/>
                <w:sz w:val="19"/>
                <w:szCs w:val="19"/>
                <w:lang w:val="en-GB"/>
              </w:rPr>
              <w:t>People sharing the same nationality in the 2001 census.</w:t>
            </w:r>
          </w:p>
        </w:tc>
      </w:tr>
      <w:tr w:rsidR="00F7224E" w:rsidRPr="007B7C1F" w:rsidTr="007C7EFC">
        <w:tc>
          <w:tcPr>
            <w:tcW w:w="2623" w:type="dxa"/>
            <w:shd w:val="clear" w:color="auto" w:fill="FFFFFF"/>
          </w:tcPr>
          <w:p w:rsidR="00F7224E" w:rsidRPr="00ED0F60" w:rsidRDefault="00F7224E" w:rsidP="007C7EFC">
            <w:pPr>
              <w:pStyle w:val="2"/>
              <w:spacing w:before="60" w:after="60" w:line="150" w:lineRule="atLeast"/>
              <w:ind w:left="17"/>
              <w:rPr>
                <w:rFonts w:ascii="Arial" w:hAnsi="Arial" w:cs="Arial"/>
                <w:sz w:val="19"/>
                <w:szCs w:val="19"/>
                <w:lang w:val="en-GB"/>
              </w:rPr>
            </w:pPr>
            <w:r w:rsidRPr="00ED0F60">
              <w:rPr>
                <w:rFonts w:ascii="Arial" w:hAnsi="Arial" w:cs="Arial"/>
                <w:color w:val="000000"/>
                <w:sz w:val="19"/>
                <w:szCs w:val="19"/>
                <w:lang w:val="en-GB"/>
              </w:rPr>
              <w:t>Socio-ethnic group</w:t>
            </w:r>
          </w:p>
        </w:tc>
        <w:tc>
          <w:tcPr>
            <w:tcW w:w="5671" w:type="dxa"/>
            <w:shd w:val="clear" w:color="auto" w:fill="FFFFFF"/>
          </w:tcPr>
          <w:p w:rsidR="00F7224E" w:rsidRPr="00ED0F60" w:rsidRDefault="00F7224E" w:rsidP="007C7EFC">
            <w:pPr>
              <w:pStyle w:val="2"/>
              <w:spacing w:before="60" w:after="60" w:line="150" w:lineRule="atLeast"/>
              <w:ind w:left="17"/>
              <w:jc w:val="both"/>
              <w:rPr>
                <w:rFonts w:ascii="Arial" w:hAnsi="Arial" w:cs="Arial"/>
                <w:sz w:val="19"/>
                <w:szCs w:val="19"/>
                <w:lang w:val="en-GB"/>
              </w:rPr>
            </w:pPr>
            <w:r w:rsidRPr="00ED0F60">
              <w:rPr>
                <w:rFonts w:ascii="Arial" w:hAnsi="Arial" w:cs="Arial"/>
                <w:sz w:val="19"/>
                <w:szCs w:val="19"/>
                <w:lang w:val="en-GB"/>
              </w:rPr>
              <w:t>A cluster of ethnic groups that share common characteristics in terms of living conditions.</w:t>
            </w:r>
          </w:p>
        </w:tc>
      </w:tr>
    </w:tbl>
    <w:p w:rsidR="00F7224E" w:rsidRPr="00ED0F60" w:rsidRDefault="00F7224E" w:rsidP="007965C9">
      <w:pPr>
        <w:pStyle w:val="2"/>
        <w:spacing w:before="120" w:after="240" w:line="360" w:lineRule="auto"/>
        <w:ind w:left="17"/>
        <w:jc w:val="both"/>
        <w:rPr>
          <w:rFonts w:ascii="Arial" w:hAnsi="Arial" w:cs="Arial"/>
          <w:sz w:val="18"/>
          <w:szCs w:val="18"/>
          <w:lang w:val="en-GB"/>
        </w:rPr>
      </w:pPr>
      <w:r w:rsidRPr="00ED0F60">
        <w:rPr>
          <w:rFonts w:ascii="Arial" w:hAnsi="Arial" w:cs="Arial"/>
          <w:sz w:val="18"/>
          <w:szCs w:val="18"/>
          <w:lang w:val="en-GB"/>
        </w:rPr>
        <w:t xml:space="preserve">a. See </w:t>
      </w:r>
      <w:r w:rsidR="001C7F2C" w:rsidRPr="00ED0F60">
        <w:rPr>
          <w:rFonts w:ascii="Arial" w:hAnsi="Arial" w:cs="Arial"/>
          <w:sz w:val="18"/>
          <w:szCs w:val="18"/>
          <w:lang w:val="en-GB"/>
        </w:rPr>
        <w:t xml:space="preserve">formulas in </w:t>
      </w:r>
      <w:r w:rsidRPr="00ED0F60">
        <w:rPr>
          <w:rFonts w:ascii="Arial" w:hAnsi="Arial" w:cs="Arial"/>
          <w:sz w:val="18"/>
          <w:szCs w:val="18"/>
          <w:lang w:val="en-GB"/>
        </w:rPr>
        <w:t xml:space="preserve">Appendix </w:t>
      </w:r>
      <w:r w:rsidR="001C7F2C" w:rsidRPr="00ED0F60">
        <w:rPr>
          <w:rFonts w:ascii="Arial" w:hAnsi="Arial" w:cs="Arial"/>
          <w:sz w:val="18"/>
          <w:szCs w:val="18"/>
          <w:lang w:val="en-GB"/>
        </w:rPr>
        <w:t>1</w:t>
      </w:r>
      <w:r w:rsidRPr="00ED0F60">
        <w:rPr>
          <w:rFonts w:ascii="Arial" w:hAnsi="Arial" w:cs="Arial"/>
          <w:sz w:val="18"/>
          <w:szCs w:val="18"/>
          <w:lang w:val="en-GB"/>
        </w:rPr>
        <w:t>.</w:t>
      </w:r>
    </w:p>
    <w:p w:rsidR="00F7224E" w:rsidRPr="00D93644" w:rsidRDefault="00F7224E" w:rsidP="007C7EFC">
      <w:pPr>
        <w:spacing w:line="276" w:lineRule="auto"/>
        <w:rPr>
          <w:rFonts w:cs="Arial"/>
          <w:lang w:val="en-US"/>
        </w:rPr>
      </w:pPr>
      <w:r w:rsidRPr="00D93644">
        <w:rPr>
          <w:rFonts w:cs="Arial"/>
        </w:rPr>
        <w:t xml:space="preserve">The structure of this part of the case study is as follows. First we present a short summary of the historical urban segregation pattern in the MRA, its context, its underlying processes and its relationship with processes of povertization and social exclusion for specific groups of the population, in different parts of the metropolitan area (2.1.1). Then we move to a quantitative description of the new immigrant population, focusing on its ethnic and demographic diversity (2.1.2). In the next section we explore the formation of a socioethnic hierarchy of unequal positions in the society of the metropolis and we connect these unequal positions to different levels of exposure to risks of poverty and social exclusion (2.2). This is followed by an investigation of the spatiality of the socio-ethnic hierarchy, using some key </w:t>
      </w:r>
      <w:r w:rsidRPr="00D93644">
        <w:rPr>
          <w:rFonts w:cs="Arial"/>
        </w:rPr>
        <w:lastRenderedPageBreak/>
        <w:t>segregation indicators and maps (2.3). In the last section (2.4) we draw some basic conclusions about the context-dependent relationship between urban segregation and poverty/social exclusion, also focusing on the dynamics of the micro-scale of specific neighbourhoods of the metropolitan area.</w:t>
      </w:r>
    </w:p>
    <w:p w:rsidR="00F7224E" w:rsidRPr="007C7EFC" w:rsidRDefault="00F7224E" w:rsidP="00F7224E">
      <w:pPr>
        <w:pStyle w:val="2"/>
        <w:spacing w:after="0" w:line="360" w:lineRule="auto"/>
        <w:ind w:left="15"/>
        <w:jc w:val="both"/>
        <w:rPr>
          <w:rFonts w:ascii="Arial" w:hAnsi="Arial" w:cs="Arial"/>
          <w:sz w:val="10"/>
          <w:szCs w:val="10"/>
          <w:lang w:val="en-US"/>
        </w:rPr>
      </w:pPr>
    </w:p>
    <w:p w:rsidR="00F7224E" w:rsidRPr="00D93644" w:rsidRDefault="00F7224E" w:rsidP="007C7EFC">
      <w:pPr>
        <w:pStyle w:val="Heading2"/>
        <w:spacing w:before="360"/>
        <w:rPr>
          <w:rFonts w:cs="Arial"/>
          <w:lang w:val="en-US"/>
        </w:rPr>
      </w:pPr>
      <w:bookmarkStart w:id="39" w:name="_Toc386013195"/>
      <w:r w:rsidRPr="00D93644">
        <w:rPr>
          <w:rFonts w:cs="Arial"/>
        </w:rPr>
        <w:t>Description of the case study area, territorial characteristics, and the affected population group the case study is focusing upon</w:t>
      </w:r>
      <w:bookmarkEnd w:id="39"/>
    </w:p>
    <w:p w:rsidR="00F7224E" w:rsidRPr="00D93644" w:rsidRDefault="00F7224E" w:rsidP="007965C9">
      <w:pPr>
        <w:pStyle w:val="Heading3"/>
        <w:spacing w:before="240"/>
        <w:rPr>
          <w:rFonts w:cs="Arial"/>
        </w:rPr>
      </w:pPr>
      <w:r w:rsidRPr="00D93644">
        <w:rPr>
          <w:rFonts w:cs="Arial"/>
        </w:rPr>
        <w:t>Contextual conditions of urban segregation in Attiki</w:t>
      </w:r>
    </w:p>
    <w:p w:rsidR="00F7224E" w:rsidRPr="00D93644" w:rsidRDefault="00F7224E" w:rsidP="007C7EFC">
      <w:pPr>
        <w:spacing w:line="276" w:lineRule="auto"/>
        <w:rPr>
          <w:rFonts w:cs="Arial"/>
        </w:rPr>
      </w:pPr>
      <w:r w:rsidRPr="00D93644">
        <w:rPr>
          <w:rFonts w:cs="Arial"/>
        </w:rPr>
        <w:t>The mainland of the Region of Attiki constitutes a quite large metropolitan area which has been historically characterized by comparatively low levels of residential segregation in terms of the socioeconomic differentiation of its (formerly ethnically homogeneous) population. As early as in the pre-World War II period, an inverse-Burgess spatial model, with the bourgeoisie over-represented in the centre and the working class in the periphery and especially in the western part (Leontidou</w:t>
      </w:r>
      <w:r w:rsidR="007C7EFC">
        <w:rPr>
          <w:rFonts w:cs="Arial"/>
        </w:rPr>
        <w:t>,</w:t>
      </w:r>
      <w:r w:rsidRPr="00D93644">
        <w:rPr>
          <w:rFonts w:cs="Arial"/>
        </w:rPr>
        <w:t xml:space="preserve"> 1990) was the result of the symbolic architectural equipment of the city centre, the massive inflow of refugees of Greek origin from Asia Minor who settled in then peripheral areas in the 1920s and the weak regulatory capacity of the state that followed rather than planned the urban expansion. </w:t>
      </w:r>
    </w:p>
    <w:p w:rsidR="00F7224E" w:rsidRPr="00D93644" w:rsidRDefault="00F7224E" w:rsidP="007C7EFC">
      <w:pPr>
        <w:spacing w:line="276" w:lineRule="auto"/>
        <w:rPr>
          <w:rFonts w:cs="Arial"/>
        </w:rPr>
      </w:pPr>
      <w:r w:rsidRPr="00D93644">
        <w:rPr>
          <w:rFonts w:cs="Arial"/>
        </w:rPr>
        <w:t>The industrialization process in the post-War period, with a rather limited presence of large industrial firms, has prevented Athens from becoming organized on the industrial principle with activity zoning and public housing provision for the working class (</w:t>
      </w:r>
      <w:r w:rsidR="005E08A5">
        <w:rPr>
          <w:rFonts w:cs="Arial"/>
        </w:rPr>
        <w:t>Maloutas</w:t>
      </w:r>
      <w:r w:rsidRPr="00D93644">
        <w:rPr>
          <w:rFonts w:cs="Arial"/>
        </w:rPr>
        <w:t xml:space="preserve"> et al.</w:t>
      </w:r>
      <w:r w:rsidR="007C7EFC">
        <w:rPr>
          <w:rFonts w:cs="Arial"/>
        </w:rPr>
        <w:t>,</w:t>
      </w:r>
      <w:r w:rsidRPr="00D93644">
        <w:rPr>
          <w:rFonts w:cs="Arial"/>
        </w:rPr>
        <w:t xml:space="preserve"> 2012</w:t>
      </w:r>
      <w:r w:rsidR="00B47323">
        <w:rPr>
          <w:rFonts w:cs="Arial"/>
        </w:rPr>
        <w:t>, Allen et al</w:t>
      </w:r>
      <w:r w:rsidR="007C7EFC">
        <w:rPr>
          <w:rFonts w:cs="Arial"/>
        </w:rPr>
        <w:t>.,</w:t>
      </w:r>
      <w:r w:rsidR="00B47323">
        <w:rPr>
          <w:rFonts w:cs="Arial"/>
        </w:rPr>
        <w:t xml:space="preserve"> 2004</w:t>
      </w:r>
      <w:r w:rsidRPr="00D93644">
        <w:rPr>
          <w:rFonts w:cs="Arial"/>
        </w:rPr>
        <w:t>). Based on massive internal migration from rural areas and on a pattern of spatially diffuse industrialization (Vaiou &amp; Chadjimichalis</w:t>
      </w:r>
      <w:r w:rsidR="007C7EFC">
        <w:rPr>
          <w:rFonts w:cs="Arial"/>
        </w:rPr>
        <w:t>,</w:t>
      </w:r>
      <w:r w:rsidRPr="00D93644">
        <w:rPr>
          <w:rFonts w:cs="Arial"/>
        </w:rPr>
        <w:t xml:space="preserve"> 1997), the metropolitan area experienced instead the development of vast and relatively socially mixed residential areas. Two major driving forces sustained this </w:t>
      </w:r>
      <w:r w:rsidR="000E2CDD" w:rsidRPr="00D93644">
        <w:rPr>
          <w:rFonts w:cs="Arial"/>
        </w:rPr>
        <w:t>development</w:t>
      </w:r>
      <w:r w:rsidRPr="00D93644">
        <w:rPr>
          <w:rFonts w:cs="Arial"/>
        </w:rPr>
        <w:t>:</w:t>
      </w:r>
    </w:p>
    <w:p w:rsidR="00F7224E" w:rsidRPr="00D93644" w:rsidRDefault="00F7224E" w:rsidP="007C7EFC">
      <w:pPr>
        <w:pStyle w:val="ListParagraph"/>
        <w:numPr>
          <w:ilvl w:val="0"/>
          <w:numId w:val="38"/>
        </w:numPr>
        <w:spacing w:line="276" w:lineRule="auto"/>
        <w:rPr>
          <w:rFonts w:cs="Arial"/>
        </w:rPr>
      </w:pPr>
      <w:r w:rsidRPr="00D93644">
        <w:rPr>
          <w:rFonts w:cs="Arial"/>
        </w:rPr>
        <w:t xml:space="preserve">The housing provision system that, in the context of a family-oriented model of social reproduction, tolerated irregular construction and ensured the protection of small land-ownership. </w:t>
      </w:r>
    </w:p>
    <w:p w:rsidR="00F7224E" w:rsidRPr="00D93644" w:rsidRDefault="00F7224E" w:rsidP="007C7EFC">
      <w:pPr>
        <w:pStyle w:val="ListParagraph"/>
        <w:numPr>
          <w:ilvl w:val="0"/>
          <w:numId w:val="38"/>
        </w:numPr>
        <w:spacing w:line="276" w:lineRule="auto"/>
        <w:rPr>
          <w:rFonts w:cs="Arial"/>
        </w:rPr>
      </w:pPr>
      <w:r w:rsidRPr="00D93644">
        <w:rPr>
          <w:rFonts w:cs="Arial"/>
        </w:rPr>
        <w:t>The high rate of social mobility that was in turn supported by the socially diffuse access to home-ownership, together with the expansion of the service sector and the opportunities for self-employment.</w:t>
      </w:r>
    </w:p>
    <w:p w:rsidR="00F7224E" w:rsidRPr="00D93644" w:rsidRDefault="00F7224E" w:rsidP="007C7EFC">
      <w:pPr>
        <w:spacing w:line="276" w:lineRule="auto"/>
        <w:rPr>
          <w:rFonts w:cs="Arial"/>
        </w:rPr>
      </w:pPr>
      <w:r w:rsidRPr="00D93644">
        <w:rPr>
          <w:rFonts w:cs="Arial"/>
        </w:rPr>
        <w:t>Consequently, large urban areas in and around the city centre were traditionally resided by socially unequal neighbours. The phenomenon of spatial proximity combined with social distance finds its more evident expression in the form of the vertical social segregation, where the social differentiation is reflected to the different floors of the same building (Maloutas &amp; Karadimitriou</w:t>
      </w:r>
      <w:r w:rsidR="007C7EFC">
        <w:rPr>
          <w:rFonts w:cs="Arial"/>
        </w:rPr>
        <w:t>,</w:t>
      </w:r>
      <w:r w:rsidRPr="00D93644">
        <w:rPr>
          <w:rFonts w:cs="Arial"/>
        </w:rPr>
        <w:t xml:space="preserve"> 2001). Poor and/or socially excluded individuals, households and groups tend to disperse in residential that they share with other groups, a pattern quite different from one of spatial isolation and stigmatization. Importantly enough, especially for the lower and lower-middle social strata, social mobility was expressed in housing improvements in the same residential areas where they were already established, instead of moving somewhere else in the city (Maloutas</w:t>
      </w:r>
      <w:r w:rsidR="007C7EFC">
        <w:rPr>
          <w:rFonts w:cs="Arial"/>
        </w:rPr>
        <w:t>,</w:t>
      </w:r>
      <w:r w:rsidRPr="00D93644">
        <w:rPr>
          <w:rFonts w:cs="Arial"/>
        </w:rPr>
        <w:t xml:space="preserve"> 2004). </w:t>
      </w:r>
    </w:p>
    <w:p w:rsidR="00F7224E" w:rsidRPr="00D93644" w:rsidRDefault="00F7224E" w:rsidP="007C7EFC">
      <w:pPr>
        <w:spacing w:line="276" w:lineRule="auto"/>
        <w:rPr>
          <w:rFonts w:cs="Arial"/>
        </w:rPr>
      </w:pPr>
      <w:r w:rsidRPr="00D93644">
        <w:rPr>
          <w:rFonts w:cs="Arial"/>
        </w:rPr>
        <w:lastRenderedPageBreak/>
        <w:t>On the other hand, upward social mobility was also reflected to the formation since the late 1970s of more socially homogeneous suburbs in the north-eastern periphery of the main agglomeration. The liberalization of banking loans since the late 1980s and the high development rates until the mid 2000s (mainly attributed to the expansion in finance, telecommunications and the constructions sector) contributed to a new wave of investment in private housing and (Emmanuel</w:t>
      </w:r>
      <w:r w:rsidR="007C7EFC">
        <w:rPr>
          <w:rFonts w:cs="Arial"/>
        </w:rPr>
        <w:t>,</w:t>
      </w:r>
      <w:r w:rsidRPr="00D93644">
        <w:rPr>
          <w:rFonts w:cs="Arial"/>
        </w:rPr>
        <w:t xml:space="preserve"> 200</w:t>
      </w:r>
      <w:r w:rsidR="00CE4498">
        <w:rPr>
          <w:rFonts w:cs="Arial"/>
        </w:rPr>
        <w:t>4</w:t>
      </w:r>
      <w:r w:rsidRPr="00D93644">
        <w:rPr>
          <w:rFonts w:cs="Arial"/>
        </w:rPr>
        <w:t xml:space="preserve">). If one adds in the picture the new transport infrastructure and the construction of mega-projects at the outskirts of the metropolitan region during the two previous decades, the new peri-urban landscape tends to be one of urban sprawl, exhibiting niches of different levels of welfare, housing stock and socioeconomic composition. </w:t>
      </w:r>
    </w:p>
    <w:p w:rsidR="00F7224E" w:rsidRPr="00D93644" w:rsidRDefault="00F7224E" w:rsidP="007C7EFC">
      <w:pPr>
        <w:spacing w:line="276" w:lineRule="auto"/>
        <w:rPr>
          <w:rFonts w:cs="Arial"/>
          <w:lang w:val="en-US"/>
        </w:rPr>
      </w:pPr>
      <w:r w:rsidRPr="00D93644">
        <w:rPr>
          <w:rFonts w:cs="Arial"/>
        </w:rPr>
        <w:t>Back to the city centre, the settlement of ne</w:t>
      </w:r>
      <w:r w:rsidR="00C0591F">
        <w:rPr>
          <w:rFonts w:cs="Arial"/>
        </w:rPr>
        <w:t>w transnational immigrants who</w:t>
      </w:r>
      <w:r w:rsidRPr="00D93644">
        <w:rPr>
          <w:rFonts w:cs="Arial"/>
        </w:rPr>
        <w:t xml:space="preserve"> populated the lower strata of the social hierarchy that followed the outflow of middle social strata since the 1970s, enriched the dominant representation about degradation with an explicitly racist component. In general, the distribution of the immigrant population as a whole area is quite even, although different ethnic groups exhibit different levels of segregation. Immigrants are more centralized than the Greeks (Arapoglou</w:t>
      </w:r>
      <w:r w:rsidR="007C7EFC">
        <w:rPr>
          <w:rFonts w:cs="Arial"/>
        </w:rPr>
        <w:t>,</w:t>
      </w:r>
      <w:r w:rsidRPr="00D93644">
        <w:rPr>
          <w:rFonts w:cs="Arial"/>
        </w:rPr>
        <w:t xml:space="preserve"> 2006), as a sizeable part of the immigrant population settled in the residential areas in and around the city centre. They found there affordable private rented dwellings in apartment buildings, but sometimes in marginal housing conditions in small inner apartments and on the lower floors (Maloutas</w:t>
      </w:r>
      <w:r w:rsidR="007C7EFC">
        <w:rPr>
          <w:rFonts w:cs="Arial"/>
        </w:rPr>
        <w:t>,</w:t>
      </w:r>
      <w:r w:rsidRPr="00D93644">
        <w:rPr>
          <w:rFonts w:cs="Arial"/>
        </w:rPr>
        <w:t xml:space="preserve"> 2007). At the same time, a</w:t>
      </w:r>
      <w:r w:rsidR="00C0591F">
        <w:rPr>
          <w:rFonts w:cs="Arial"/>
        </w:rPr>
        <w:t>n</w:t>
      </w:r>
      <w:r w:rsidRPr="00D93644">
        <w:rPr>
          <w:rFonts w:cs="Arial"/>
        </w:rPr>
        <w:t xml:space="preserve"> important part of the immigrant population settled in remote peripheral areas, usually attracted by available jobs in the primary sector, constructions and domestic services and also by the low-status housing stock, consisting mainly by ageing low-rise buildings and some deteriorating apartment blocks, formerly used as second houses by the Greeks during summer vacation. In any case, despite that immigration did not contribute to some increase in class segregation in the metropolitan area, face a reality of sever discrimination and inequalities that we now turn to.</w:t>
      </w:r>
    </w:p>
    <w:p w:rsidR="00F7224E" w:rsidRPr="007C7EFC" w:rsidRDefault="00F7224E" w:rsidP="00F7224E">
      <w:pPr>
        <w:pStyle w:val="2"/>
        <w:tabs>
          <w:tab w:val="left" w:pos="0"/>
        </w:tabs>
        <w:spacing w:after="0" w:line="360" w:lineRule="auto"/>
        <w:ind w:left="0" w:firstLine="15"/>
        <w:jc w:val="both"/>
        <w:rPr>
          <w:rFonts w:ascii="Arial" w:hAnsi="Arial" w:cs="Arial"/>
          <w:sz w:val="10"/>
          <w:szCs w:val="10"/>
          <w:lang w:val="en-US"/>
        </w:rPr>
      </w:pPr>
    </w:p>
    <w:p w:rsidR="00F7224E" w:rsidRPr="00D93644" w:rsidRDefault="00F7224E" w:rsidP="00ED0F60">
      <w:pPr>
        <w:pStyle w:val="Heading3"/>
        <w:spacing w:before="240"/>
        <w:rPr>
          <w:rFonts w:cs="Arial"/>
        </w:rPr>
      </w:pPr>
      <w:r w:rsidRPr="00D93644">
        <w:rPr>
          <w:rFonts w:cs="Arial"/>
        </w:rPr>
        <w:t>Immigrant population in MRA: Diverse and unequal</w:t>
      </w:r>
    </w:p>
    <w:p w:rsidR="00F7224E" w:rsidRPr="00D93644" w:rsidRDefault="00F7224E" w:rsidP="007C7EFC">
      <w:pPr>
        <w:spacing w:line="276" w:lineRule="auto"/>
        <w:rPr>
          <w:rFonts w:cs="Arial"/>
        </w:rPr>
      </w:pPr>
      <w:r w:rsidRPr="00D93644">
        <w:rPr>
          <w:rFonts w:cs="Arial"/>
        </w:rPr>
        <w:t xml:space="preserve">Foreign people from 212 countries lived in MRA in 2001. They represented about 10% of the total population and almost 13% of the economically active population, compared with less than 2% of the economically active population in 1991. Only one ethnic </w:t>
      </w:r>
      <w:r w:rsidR="007C7EFC" w:rsidRPr="00D93644">
        <w:rPr>
          <w:rFonts w:cs="Arial"/>
        </w:rPr>
        <w:t>group that</w:t>
      </w:r>
      <w:r w:rsidRPr="00D93644">
        <w:rPr>
          <w:rFonts w:cs="Arial"/>
        </w:rPr>
        <w:t xml:space="preserve"> of the Albanians, amounted to slightly more than 50% of the immigrant population. Other important groups from the Balkans and Eastern Europe represented more than 15%, including immigrants from Poland (3.4%), Russia (3.3%), Bulgaria (3.1%), Romania (2.9%), Ukraine (2.8%) and Moldavia (1.1%). Groups from the Indian Peninsula represented over 4% and the biggest African groups of Nigerians and Ethiopians represented together about 0.9%. Minor groups included people from Afghanistan, Senegal, Somalia, Sudan and China, who are at the moment considerably more numerous than in 2001. However, nationality is by no means the only distinctive characteristic in the total immigrant population. Ethnic groups exhibit important variations regarding several demographic and social features that are expected to indicate different levels of exposure to poverty and/or social exclusion</w:t>
      </w:r>
      <w:r w:rsidR="00424C48">
        <w:rPr>
          <w:rFonts w:cs="Arial"/>
        </w:rPr>
        <w:t xml:space="preserve"> (see </w:t>
      </w:r>
      <w:r w:rsidR="003B2AE3">
        <w:rPr>
          <w:rFonts w:cs="Arial"/>
        </w:rPr>
        <w:t>also</w:t>
      </w:r>
      <w:r w:rsidR="00192FAB">
        <w:rPr>
          <w:rFonts w:cs="Arial"/>
        </w:rPr>
        <w:t xml:space="preserve"> Arapoglou &amp; Maloutas</w:t>
      </w:r>
      <w:r w:rsidR="007C7EFC">
        <w:rPr>
          <w:rFonts w:cs="Arial"/>
        </w:rPr>
        <w:t>,</w:t>
      </w:r>
      <w:r w:rsidR="00192FAB">
        <w:rPr>
          <w:rFonts w:cs="Arial"/>
        </w:rPr>
        <w:t xml:space="preserve"> 2011;</w:t>
      </w:r>
      <w:r w:rsidR="003B2AE3">
        <w:rPr>
          <w:rFonts w:cs="Arial"/>
        </w:rPr>
        <w:t xml:space="preserve"> </w:t>
      </w:r>
      <w:r w:rsidR="00424C48">
        <w:rPr>
          <w:rFonts w:cs="Arial"/>
        </w:rPr>
        <w:t>Kandylis et al.</w:t>
      </w:r>
      <w:r w:rsidR="007C7EFC">
        <w:rPr>
          <w:rFonts w:cs="Arial"/>
        </w:rPr>
        <w:t>,</w:t>
      </w:r>
      <w:r w:rsidR="00424C48">
        <w:rPr>
          <w:rFonts w:cs="Arial"/>
        </w:rPr>
        <w:t xml:space="preserve"> 2012)</w:t>
      </w:r>
      <w:r w:rsidRPr="00D93644">
        <w:rPr>
          <w:rFonts w:cs="Arial"/>
        </w:rPr>
        <w:t>, including:</w:t>
      </w:r>
    </w:p>
    <w:p w:rsidR="00F7224E" w:rsidRPr="00101107" w:rsidRDefault="00F7224E" w:rsidP="007C7EFC">
      <w:pPr>
        <w:pStyle w:val="2"/>
        <w:numPr>
          <w:ilvl w:val="2"/>
          <w:numId w:val="36"/>
        </w:numPr>
        <w:tabs>
          <w:tab w:val="left" w:pos="0"/>
        </w:tabs>
        <w:spacing w:before="120" w:after="0"/>
        <w:ind w:left="0" w:firstLine="0"/>
        <w:jc w:val="both"/>
        <w:rPr>
          <w:rFonts w:ascii="Arial" w:hAnsi="Arial" w:cs="Arial"/>
          <w:color w:val="000000"/>
          <w:sz w:val="22"/>
          <w:szCs w:val="22"/>
          <w:lang w:val="en-GB"/>
        </w:rPr>
      </w:pPr>
      <w:r w:rsidRPr="00101107">
        <w:rPr>
          <w:rFonts w:ascii="Arial" w:hAnsi="Arial" w:cs="Arial"/>
          <w:color w:val="000000"/>
          <w:sz w:val="22"/>
          <w:szCs w:val="22"/>
          <w:lang w:val="en-GB"/>
        </w:rPr>
        <w:lastRenderedPageBreak/>
        <w:t>Period of settlement (</w:t>
      </w:r>
      <w:r w:rsidR="00611E25">
        <w:rPr>
          <w:rFonts w:ascii="Arial" w:hAnsi="Arial" w:cs="Arial"/>
          <w:color w:val="000000"/>
          <w:sz w:val="22"/>
          <w:szCs w:val="22"/>
          <w:lang w:val="en-GB"/>
        </w:rPr>
        <w:t>see</w:t>
      </w:r>
      <w:r w:rsidR="004B23E3">
        <w:rPr>
          <w:rFonts w:ascii="Arial" w:hAnsi="Arial" w:cs="Arial"/>
          <w:color w:val="000000"/>
          <w:sz w:val="22"/>
          <w:szCs w:val="22"/>
          <w:lang w:val="en-GB"/>
        </w:rPr>
        <w:t xml:space="preserve"> </w:t>
      </w:r>
      <w:r w:rsidR="004B23E3" w:rsidRPr="004B23E3">
        <w:rPr>
          <w:rFonts w:ascii="Arial" w:hAnsi="Arial" w:cs="Arial"/>
          <w:color w:val="000000"/>
          <w:sz w:val="22"/>
          <w:szCs w:val="22"/>
          <w:lang w:val="en-GB"/>
        </w:rPr>
        <w:fldChar w:fldCharType="begin"/>
      </w:r>
      <w:r w:rsidR="004B23E3" w:rsidRPr="004B23E3">
        <w:rPr>
          <w:rFonts w:ascii="Arial" w:hAnsi="Arial" w:cs="Arial"/>
          <w:color w:val="000000"/>
          <w:sz w:val="22"/>
          <w:szCs w:val="22"/>
          <w:lang w:val="en-GB"/>
        </w:rPr>
        <w:instrText xml:space="preserve"> REF _Ref392504590 \h  \* MERGEFORMAT </w:instrText>
      </w:r>
      <w:r w:rsidR="004B23E3" w:rsidRPr="004B23E3">
        <w:rPr>
          <w:rFonts w:ascii="Arial" w:hAnsi="Arial" w:cs="Arial"/>
          <w:color w:val="000000"/>
          <w:sz w:val="22"/>
          <w:szCs w:val="22"/>
          <w:lang w:val="en-GB"/>
        </w:rPr>
      </w:r>
      <w:r w:rsidR="004B23E3" w:rsidRPr="004B23E3">
        <w:rPr>
          <w:rFonts w:ascii="Arial" w:hAnsi="Arial" w:cs="Arial"/>
          <w:color w:val="000000"/>
          <w:sz w:val="22"/>
          <w:szCs w:val="22"/>
          <w:lang w:val="en-GB"/>
        </w:rPr>
        <w:fldChar w:fldCharType="separate"/>
      </w:r>
      <w:r w:rsidR="002634D4" w:rsidRPr="002634D4">
        <w:rPr>
          <w:rFonts w:ascii="Arial" w:hAnsi="Arial" w:cs="Arial"/>
          <w:sz w:val="22"/>
          <w:szCs w:val="22"/>
        </w:rPr>
        <w:t xml:space="preserve">Map </w:t>
      </w:r>
      <w:r w:rsidR="002634D4" w:rsidRPr="002634D4">
        <w:rPr>
          <w:rFonts w:ascii="Arial" w:hAnsi="Arial" w:cs="Arial"/>
          <w:noProof/>
          <w:sz w:val="22"/>
          <w:szCs w:val="22"/>
        </w:rPr>
        <w:t>2</w:t>
      </w:r>
      <w:r w:rsidR="004B23E3" w:rsidRPr="004B23E3">
        <w:rPr>
          <w:rFonts w:ascii="Arial" w:hAnsi="Arial" w:cs="Arial"/>
          <w:color w:val="000000"/>
          <w:sz w:val="22"/>
          <w:szCs w:val="22"/>
          <w:lang w:val="en-GB"/>
        </w:rPr>
        <w:fldChar w:fldCharType="end"/>
      </w:r>
      <w:r w:rsidRPr="00101107">
        <w:rPr>
          <w:rFonts w:ascii="Arial" w:hAnsi="Arial" w:cs="Arial"/>
          <w:color w:val="000000"/>
          <w:sz w:val="22"/>
          <w:szCs w:val="22"/>
          <w:lang w:val="en-GB"/>
        </w:rPr>
        <w:t>)</w:t>
      </w:r>
      <w:r w:rsidR="005D011A">
        <w:rPr>
          <w:rStyle w:val="FootnoteReference"/>
          <w:rFonts w:cs="Arial"/>
          <w:color w:val="000000"/>
          <w:sz w:val="22"/>
          <w:szCs w:val="22"/>
          <w:lang w:val="en-GB"/>
        </w:rPr>
        <w:footnoteReference w:id="3"/>
      </w:r>
      <w:r w:rsidRPr="00101107">
        <w:rPr>
          <w:rFonts w:ascii="Arial" w:hAnsi="Arial" w:cs="Arial"/>
          <w:color w:val="000000"/>
          <w:sz w:val="22"/>
          <w:szCs w:val="22"/>
          <w:lang w:val="en-GB"/>
        </w:rPr>
        <w:t xml:space="preserve">. While massive immigration to Greece is quite recent, there are some groups with members that settled before the 1990s and other groups with members that arrived very recently. We expect exposure to </w:t>
      </w:r>
      <w:r w:rsidR="00C0591F">
        <w:rPr>
          <w:rFonts w:ascii="Arial" w:hAnsi="Arial" w:cs="Arial"/>
          <w:color w:val="000000"/>
          <w:sz w:val="22"/>
          <w:szCs w:val="22"/>
          <w:lang w:val="en-GB"/>
        </w:rPr>
        <w:t>risk</w:t>
      </w:r>
      <w:r w:rsidRPr="00101107">
        <w:rPr>
          <w:rFonts w:ascii="Arial" w:hAnsi="Arial" w:cs="Arial"/>
          <w:color w:val="000000"/>
          <w:sz w:val="22"/>
          <w:szCs w:val="22"/>
          <w:lang w:val="en-GB"/>
        </w:rPr>
        <w:t xml:space="preserve"> of poverty and social exclusion to be reduced for those with long-term presence in the society of the metropolitan area, and to some extent for those who settled more recently but have the opportunity to benefit from the longer presence of some of their co-ethnics and their (informal, semi-formal or formal) networks of solidarity.</w:t>
      </w:r>
    </w:p>
    <w:p w:rsidR="00F7224E" w:rsidRPr="00101107" w:rsidRDefault="00F7224E" w:rsidP="007C7EFC">
      <w:pPr>
        <w:pStyle w:val="2"/>
        <w:numPr>
          <w:ilvl w:val="2"/>
          <w:numId w:val="36"/>
        </w:numPr>
        <w:tabs>
          <w:tab w:val="left" w:pos="0"/>
        </w:tabs>
        <w:spacing w:before="120" w:after="0"/>
        <w:ind w:left="0" w:firstLine="0"/>
        <w:jc w:val="both"/>
        <w:rPr>
          <w:rFonts w:ascii="Arial" w:hAnsi="Arial" w:cs="Arial"/>
          <w:color w:val="000000"/>
          <w:sz w:val="22"/>
          <w:szCs w:val="22"/>
          <w:lang w:val="en-GB"/>
        </w:rPr>
      </w:pPr>
      <w:r w:rsidRPr="00101107">
        <w:rPr>
          <w:rFonts w:ascii="Arial" w:hAnsi="Arial" w:cs="Arial"/>
          <w:color w:val="000000"/>
          <w:sz w:val="22"/>
          <w:szCs w:val="22"/>
          <w:lang w:val="en-GB"/>
        </w:rPr>
        <w:t>Legal status. A complex system of civic stratification (Kofman</w:t>
      </w:r>
      <w:r w:rsidR="007C7EFC">
        <w:rPr>
          <w:rFonts w:ascii="Arial" w:hAnsi="Arial" w:cs="Arial"/>
          <w:color w:val="000000"/>
          <w:sz w:val="22"/>
          <w:szCs w:val="22"/>
          <w:lang w:val="en-GB"/>
        </w:rPr>
        <w:t>,</w:t>
      </w:r>
      <w:r w:rsidRPr="00101107">
        <w:rPr>
          <w:rFonts w:ascii="Arial" w:hAnsi="Arial" w:cs="Arial"/>
          <w:color w:val="000000"/>
          <w:sz w:val="22"/>
          <w:szCs w:val="22"/>
          <w:lang w:val="en-GB"/>
        </w:rPr>
        <w:t xml:space="preserve"> 2002) is indicated by the fact that the aggregate immigrant population comprises an unknown number of undocumented immigrants exposed to the danger of arrestment and expulsion (including an equally unknown population of detainees in marginal living conditions in detention centres, police stations and other premises), together with asylum seekers, those with temporary residence permits, those with long-term residence permits, those enjoying the possibility to acquire Greek citizenship and Greek citizens. We expect the condition of illegality to be a severe obstacle to social integration, followed by the unstable legal status of asylum seekers, often holding nothing but a monthly deadline to leave the country.</w:t>
      </w:r>
    </w:p>
    <w:p w:rsidR="00F7224E" w:rsidRPr="00101107" w:rsidRDefault="00F7224E" w:rsidP="007C7EFC">
      <w:pPr>
        <w:pStyle w:val="2"/>
        <w:numPr>
          <w:ilvl w:val="2"/>
          <w:numId w:val="36"/>
        </w:numPr>
        <w:tabs>
          <w:tab w:val="left" w:pos="0"/>
        </w:tabs>
        <w:spacing w:before="120" w:after="0"/>
        <w:ind w:left="0" w:firstLine="0"/>
        <w:jc w:val="both"/>
        <w:rPr>
          <w:rFonts w:ascii="Arial" w:hAnsi="Arial" w:cs="Arial"/>
          <w:color w:val="000000"/>
          <w:sz w:val="22"/>
          <w:szCs w:val="22"/>
          <w:lang w:val="en-GB"/>
        </w:rPr>
      </w:pPr>
      <w:r w:rsidRPr="00101107">
        <w:rPr>
          <w:rFonts w:ascii="Arial" w:hAnsi="Arial" w:cs="Arial"/>
          <w:color w:val="000000"/>
          <w:sz w:val="22"/>
          <w:szCs w:val="22"/>
          <w:lang w:val="en-GB"/>
        </w:rPr>
        <w:t>Gender composition (</w:t>
      </w:r>
      <w:r w:rsidR="00484C96">
        <w:rPr>
          <w:rFonts w:ascii="Arial" w:hAnsi="Arial" w:cs="Arial"/>
          <w:color w:val="000000"/>
          <w:sz w:val="22"/>
          <w:szCs w:val="22"/>
          <w:lang w:val="en-GB"/>
        </w:rPr>
        <w:t xml:space="preserve">see </w:t>
      </w:r>
      <w:r w:rsidR="00484C96" w:rsidRPr="00484C96">
        <w:rPr>
          <w:rFonts w:ascii="Arial" w:hAnsi="Arial" w:cs="Arial"/>
          <w:color w:val="000000"/>
          <w:sz w:val="22"/>
          <w:szCs w:val="22"/>
          <w:lang w:val="en-GB"/>
        </w:rPr>
        <w:t xml:space="preserve">annex </w:t>
      </w:r>
      <w:r w:rsidR="00484C96" w:rsidRPr="00484C96">
        <w:rPr>
          <w:rFonts w:ascii="Arial" w:hAnsi="Arial" w:cs="Arial"/>
          <w:color w:val="000000"/>
          <w:sz w:val="22"/>
          <w:szCs w:val="22"/>
          <w:lang w:val="en-GB"/>
        </w:rPr>
        <w:fldChar w:fldCharType="begin"/>
      </w:r>
      <w:r w:rsidR="00484C96" w:rsidRPr="00484C96">
        <w:rPr>
          <w:rFonts w:ascii="Arial" w:hAnsi="Arial" w:cs="Arial"/>
          <w:color w:val="000000"/>
          <w:sz w:val="22"/>
          <w:szCs w:val="22"/>
          <w:lang w:val="en-GB"/>
        </w:rPr>
        <w:instrText xml:space="preserve"> REF _Ref384796673 \h  \* MERGEFORMAT </w:instrText>
      </w:r>
      <w:r w:rsidR="00484C96" w:rsidRPr="00484C96">
        <w:rPr>
          <w:rFonts w:ascii="Arial" w:hAnsi="Arial" w:cs="Arial"/>
          <w:color w:val="000000"/>
          <w:sz w:val="22"/>
          <w:szCs w:val="22"/>
          <w:lang w:val="en-GB"/>
        </w:rPr>
      </w:r>
      <w:r w:rsidR="00484C96" w:rsidRPr="00484C96">
        <w:rPr>
          <w:rFonts w:ascii="Arial" w:hAnsi="Arial" w:cs="Arial"/>
          <w:color w:val="000000"/>
          <w:sz w:val="22"/>
          <w:szCs w:val="22"/>
          <w:lang w:val="en-GB"/>
        </w:rPr>
        <w:fldChar w:fldCharType="separate"/>
      </w:r>
      <w:r w:rsidR="002634D4" w:rsidRPr="002634D4">
        <w:rPr>
          <w:rFonts w:ascii="Arial" w:hAnsi="Arial" w:cs="Arial"/>
          <w:sz w:val="22"/>
          <w:szCs w:val="22"/>
        </w:rPr>
        <w:t xml:space="preserve">Figure </w:t>
      </w:r>
      <w:r w:rsidR="002634D4" w:rsidRPr="002634D4">
        <w:rPr>
          <w:rFonts w:ascii="Arial" w:hAnsi="Arial" w:cs="Arial"/>
          <w:noProof/>
          <w:sz w:val="22"/>
          <w:szCs w:val="22"/>
        </w:rPr>
        <w:t>3</w:t>
      </w:r>
      <w:r w:rsidR="00484C96" w:rsidRPr="00484C96">
        <w:rPr>
          <w:rFonts w:ascii="Arial" w:hAnsi="Arial" w:cs="Arial"/>
          <w:color w:val="000000"/>
          <w:sz w:val="22"/>
          <w:szCs w:val="22"/>
          <w:lang w:val="en-GB"/>
        </w:rPr>
        <w:fldChar w:fldCharType="end"/>
      </w:r>
      <w:r w:rsidRPr="00101107">
        <w:rPr>
          <w:rFonts w:ascii="Arial" w:hAnsi="Arial" w:cs="Arial"/>
          <w:color w:val="000000"/>
          <w:sz w:val="22"/>
          <w:szCs w:val="22"/>
          <w:lang w:val="en-GB"/>
        </w:rPr>
        <w:t xml:space="preserve">). While some groups exhibit a quite balanced composition (e.g. the Albanian), other groups are either male (e.g. the Pakistani) or female (e.g. the </w:t>
      </w:r>
      <w:r w:rsidR="004569C4" w:rsidRPr="00101107">
        <w:rPr>
          <w:rFonts w:ascii="Arial" w:hAnsi="Arial" w:cs="Arial"/>
          <w:color w:val="000000"/>
          <w:sz w:val="22"/>
          <w:szCs w:val="22"/>
          <w:lang w:val="en-GB"/>
        </w:rPr>
        <w:t>Filipino</w:t>
      </w:r>
      <w:r w:rsidRPr="00101107">
        <w:rPr>
          <w:rFonts w:ascii="Arial" w:hAnsi="Arial" w:cs="Arial"/>
          <w:color w:val="000000"/>
          <w:sz w:val="22"/>
          <w:szCs w:val="22"/>
          <w:lang w:val="en-GB"/>
        </w:rPr>
        <w:t xml:space="preserve">) dominated. We expect some women to be more vulnerable and especially those outside the labour market, single-mothers and victims of trafficking. Furthermore, we expect that the unbalanced gender composition of an ethnic group tends to reduce social integration opportunities for the members of this group through family formation. </w:t>
      </w:r>
    </w:p>
    <w:p w:rsidR="00F7224E" w:rsidRPr="00101107" w:rsidRDefault="00F7224E" w:rsidP="007C7EFC">
      <w:pPr>
        <w:pStyle w:val="2"/>
        <w:numPr>
          <w:ilvl w:val="2"/>
          <w:numId w:val="36"/>
        </w:numPr>
        <w:tabs>
          <w:tab w:val="left" w:pos="0"/>
        </w:tabs>
        <w:spacing w:before="120" w:after="0"/>
        <w:ind w:left="0" w:firstLine="0"/>
        <w:jc w:val="both"/>
        <w:rPr>
          <w:rFonts w:ascii="Arial" w:hAnsi="Arial" w:cs="Arial"/>
          <w:color w:val="000000"/>
          <w:sz w:val="22"/>
          <w:szCs w:val="22"/>
          <w:lang w:val="en-GB"/>
        </w:rPr>
      </w:pPr>
      <w:r w:rsidRPr="00101107">
        <w:rPr>
          <w:rFonts w:ascii="Arial" w:hAnsi="Arial" w:cs="Arial"/>
          <w:color w:val="000000"/>
          <w:sz w:val="22"/>
          <w:szCs w:val="22"/>
          <w:lang w:val="en-GB"/>
        </w:rPr>
        <w:t>Age structure (</w:t>
      </w:r>
      <w:r w:rsidR="00484C96">
        <w:rPr>
          <w:rFonts w:ascii="Arial" w:hAnsi="Arial" w:cs="Arial"/>
          <w:color w:val="000000"/>
          <w:sz w:val="22"/>
          <w:szCs w:val="22"/>
          <w:lang w:val="en-GB"/>
        </w:rPr>
        <w:t xml:space="preserve">see annex </w:t>
      </w:r>
      <w:r w:rsidR="00484C96" w:rsidRPr="00484C96">
        <w:rPr>
          <w:rFonts w:ascii="Arial" w:hAnsi="Arial" w:cs="Arial"/>
          <w:color w:val="000000"/>
          <w:sz w:val="22"/>
          <w:szCs w:val="22"/>
          <w:lang w:val="en-GB"/>
        </w:rPr>
        <w:fldChar w:fldCharType="begin"/>
      </w:r>
      <w:r w:rsidR="00484C96" w:rsidRPr="00484C96">
        <w:rPr>
          <w:rFonts w:ascii="Arial" w:hAnsi="Arial" w:cs="Arial"/>
          <w:color w:val="000000"/>
          <w:sz w:val="22"/>
          <w:szCs w:val="22"/>
          <w:lang w:val="en-GB"/>
        </w:rPr>
        <w:instrText xml:space="preserve"> REF _Ref384796763 \h  \* MERGEFORMAT </w:instrText>
      </w:r>
      <w:r w:rsidR="00484C96" w:rsidRPr="00484C96">
        <w:rPr>
          <w:rFonts w:ascii="Arial" w:hAnsi="Arial" w:cs="Arial"/>
          <w:color w:val="000000"/>
          <w:sz w:val="22"/>
          <w:szCs w:val="22"/>
          <w:lang w:val="en-GB"/>
        </w:rPr>
      </w:r>
      <w:r w:rsidR="00484C96" w:rsidRPr="00484C96">
        <w:rPr>
          <w:rFonts w:ascii="Arial" w:hAnsi="Arial" w:cs="Arial"/>
          <w:color w:val="000000"/>
          <w:sz w:val="22"/>
          <w:szCs w:val="22"/>
          <w:lang w:val="en-GB"/>
        </w:rPr>
        <w:fldChar w:fldCharType="separate"/>
      </w:r>
      <w:r w:rsidR="002634D4" w:rsidRPr="002634D4">
        <w:rPr>
          <w:rFonts w:ascii="Arial" w:hAnsi="Arial" w:cs="Arial"/>
          <w:sz w:val="22"/>
          <w:szCs w:val="22"/>
        </w:rPr>
        <w:t xml:space="preserve">Figure </w:t>
      </w:r>
      <w:r w:rsidR="002634D4" w:rsidRPr="002634D4">
        <w:rPr>
          <w:rFonts w:ascii="Arial" w:hAnsi="Arial" w:cs="Arial"/>
          <w:noProof/>
          <w:sz w:val="22"/>
          <w:szCs w:val="22"/>
        </w:rPr>
        <w:t>4</w:t>
      </w:r>
      <w:r w:rsidR="00484C96" w:rsidRPr="00484C96">
        <w:rPr>
          <w:rFonts w:ascii="Arial" w:hAnsi="Arial" w:cs="Arial"/>
          <w:color w:val="000000"/>
          <w:sz w:val="22"/>
          <w:szCs w:val="22"/>
          <w:lang w:val="en-GB"/>
        </w:rPr>
        <w:fldChar w:fldCharType="end"/>
      </w:r>
      <w:r w:rsidRPr="00101107">
        <w:rPr>
          <w:rFonts w:ascii="Arial" w:hAnsi="Arial" w:cs="Arial"/>
          <w:color w:val="000000"/>
          <w:sz w:val="22"/>
          <w:szCs w:val="22"/>
          <w:lang w:val="en-GB"/>
        </w:rPr>
        <w:t xml:space="preserve">). The majority of the population of each ethnic group belongs to the broad age category of 25-49 years. However there are groups with an important part of minors and other groups with relatively high proportion of elderly people. We expect ageing to be an indicator of exposure to poverty/social exclusion. We also expect adolescents to be more exposed, especially if they are school leavers. </w:t>
      </w:r>
    </w:p>
    <w:p w:rsidR="00F7224E" w:rsidRPr="00101107" w:rsidRDefault="00F7224E" w:rsidP="007C7EFC">
      <w:pPr>
        <w:pStyle w:val="2"/>
        <w:numPr>
          <w:ilvl w:val="2"/>
          <w:numId w:val="36"/>
        </w:numPr>
        <w:tabs>
          <w:tab w:val="left" w:pos="0"/>
        </w:tabs>
        <w:spacing w:before="120" w:after="0"/>
        <w:ind w:left="0" w:firstLine="0"/>
        <w:jc w:val="both"/>
        <w:rPr>
          <w:rFonts w:ascii="Arial" w:hAnsi="Arial" w:cs="Arial"/>
          <w:color w:val="000000"/>
          <w:sz w:val="22"/>
          <w:szCs w:val="22"/>
          <w:lang w:val="en-GB"/>
        </w:rPr>
      </w:pPr>
      <w:r w:rsidRPr="00101107">
        <w:rPr>
          <w:rFonts w:ascii="Arial" w:hAnsi="Arial" w:cs="Arial"/>
          <w:color w:val="000000"/>
          <w:sz w:val="22"/>
          <w:szCs w:val="22"/>
          <w:lang w:val="en-GB"/>
        </w:rPr>
        <w:t>Household structure (</w:t>
      </w:r>
      <w:r w:rsidR="0021754B">
        <w:rPr>
          <w:rFonts w:ascii="Arial" w:hAnsi="Arial" w:cs="Arial"/>
          <w:color w:val="000000"/>
          <w:sz w:val="22"/>
          <w:szCs w:val="22"/>
          <w:lang w:val="en-GB"/>
        </w:rPr>
        <w:t xml:space="preserve">see annex </w:t>
      </w:r>
      <w:r w:rsidR="0021754B" w:rsidRPr="0021754B">
        <w:rPr>
          <w:rFonts w:ascii="Arial" w:hAnsi="Arial" w:cs="Arial"/>
          <w:color w:val="000000"/>
          <w:sz w:val="22"/>
          <w:szCs w:val="22"/>
          <w:lang w:val="en-GB"/>
        </w:rPr>
        <w:fldChar w:fldCharType="begin"/>
      </w:r>
      <w:r w:rsidR="0021754B" w:rsidRPr="0021754B">
        <w:rPr>
          <w:rFonts w:ascii="Arial" w:hAnsi="Arial" w:cs="Arial"/>
          <w:color w:val="000000"/>
          <w:sz w:val="22"/>
          <w:szCs w:val="22"/>
          <w:lang w:val="en-GB"/>
        </w:rPr>
        <w:instrText xml:space="preserve"> REF _Ref384797266 \h  \* MERGEFORMAT </w:instrText>
      </w:r>
      <w:r w:rsidR="0021754B" w:rsidRPr="0021754B">
        <w:rPr>
          <w:rFonts w:ascii="Arial" w:hAnsi="Arial" w:cs="Arial"/>
          <w:color w:val="000000"/>
          <w:sz w:val="22"/>
          <w:szCs w:val="22"/>
          <w:lang w:val="en-GB"/>
        </w:rPr>
      </w:r>
      <w:r w:rsidR="0021754B" w:rsidRPr="0021754B">
        <w:rPr>
          <w:rFonts w:ascii="Arial" w:hAnsi="Arial" w:cs="Arial"/>
          <w:color w:val="000000"/>
          <w:sz w:val="22"/>
          <w:szCs w:val="22"/>
          <w:lang w:val="en-GB"/>
        </w:rPr>
        <w:fldChar w:fldCharType="separate"/>
      </w:r>
      <w:r w:rsidR="002634D4" w:rsidRPr="002634D4">
        <w:rPr>
          <w:rFonts w:ascii="Arial" w:hAnsi="Arial" w:cs="Arial"/>
          <w:sz w:val="22"/>
          <w:szCs w:val="22"/>
        </w:rPr>
        <w:t xml:space="preserve">Figure </w:t>
      </w:r>
      <w:r w:rsidR="002634D4" w:rsidRPr="002634D4">
        <w:rPr>
          <w:rFonts w:ascii="Arial" w:hAnsi="Arial" w:cs="Arial"/>
          <w:noProof/>
          <w:sz w:val="22"/>
          <w:szCs w:val="22"/>
        </w:rPr>
        <w:t>5</w:t>
      </w:r>
      <w:r w:rsidR="0021754B" w:rsidRPr="0021754B">
        <w:rPr>
          <w:rFonts w:ascii="Arial" w:hAnsi="Arial" w:cs="Arial"/>
          <w:color w:val="000000"/>
          <w:sz w:val="22"/>
          <w:szCs w:val="22"/>
          <w:lang w:val="en-GB"/>
        </w:rPr>
        <w:fldChar w:fldCharType="end"/>
      </w:r>
      <w:r w:rsidRPr="00101107">
        <w:rPr>
          <w:rFonts w:ascii="Arial" w:hAnsi="Arial" w:cs="Arial"/>
          <w:color w:val="000000"/>
          <w:sz w:val="22"/>
          <w:szCs w:val="22"/>
          <w:lang w:val="en-GB"/>
        </w:rPr>
        <w:t xml:space="preserve">). Some ethnic groups, including </w:t>
      </w:r>
      <w:r w:rsidR="008E631F">
        <w:rPr>
          <w:rFonts w:ascii="Arial" w:hAnsi="Arial" w:cs="Arial"/>
          <w:color w:val="000000"/>
          <w:sz w:val="22"/>
          <w:szCs w:val="22"/>
          <w:lang w:val="en-GB"/>
        </w:rPr>
        <w:t xml:space="preserve">the </w:t>
      </w:r>
      <w:r w:rsidRPr="00101107">
        <w:rPr>
          <w:rFonts w:ascii="Arial" w:hAnsi="Arial" w:cs="Arial"/>
          <w:color w:val="000000"/>
          <w:sz w:val="22"/>
          <w:szCs w:val="22"/>
          <w:lang w:val="en-GB"/>
        </w:rPr>
        <w:t>Albanians, are characterized by a significant proportion of people living in households organized in nuclear families. Single-person households are mainly characteristic of male-dominated immigrant groups from the Middle East and Africa; collective households without a family nucleus are characteristic of male-dominated groups originating from the Indian peninsula. We expect households with no family nucleus to be an indication of exposure to poverty/social exclusion. At the material level, that is because we expect family relations and mutual help to assist the organization of everyday life.  Furthermore, family formation seems to reduce the perceived threat and hostile representations by the natives.</w:t>
      </w:r>
    </w:p>
    <w:p w:rsidR="00F7224E" w:rsidRPr="00101107" w:rsidRDefault="00F7224E" w:rsidP="007C7EFC">
      <w:pPr>
        <w:pStyle w:val="2"/>
        <w:numPr>
          <w:ilvl w:val="2"/>
          <w:numId w:val="36"/>
        </w:numPr>
        <w:tabs>
          <w:tab w:val="left" w:pos="0"/>
        </w:tabs>
        <w:spacing w:before="120" w:after="0"/>
        <w:ind w:left="0" w:firstLine="0"/>
        <w:jc w:val="both"/>
        <w:rPr>
          <w:rFonts w:ascii="Arial" w:hAnsi="Arial" w:cs="Arial"/>
          <w:color w:val="000000"/>
          <w:sz w:val="22"/>
          <w:szCs w:val="22"/>
          <w:lang w:val="en-GB"/>
        </w:rPr>
      </w:pPr>
      <w:r w:rsidRPr="00101107">
        <w:rPr>
          <w:rFonts w:ascii="Arial" w:hAnsi="Arial" w:cs="Arial"/>
          <w:color w:val="000000"/>
          <w:sz w:val="22"/>
          <w:szCs w:val="22"/>
          <w:lang w:val="en-GB"/>
        </w:rPr>
        <w:t>Educational skills (</w:t>
      </w:r>
      <w:r w:rsidR="00A02C38">
        <w:rPr>
          <w:rFonts w:ascii="Arial" w:hAnsi="Arial" w:cs="Arial"/>
          <w:color w:val="000000"/>
          <w:sz w:val="22"/>
          <w:szCs w:val="22"/>
          <w:lang w:val="en-GB"/>
        </w:rPr>
        <w:t>see annex</w:t>
      </w:r>
      <w:r w:rsidR="00A02C38" w:rsidRPr="00A02C38">
        <w:rPr>
          <w:rFonts w:ascii="Arial" w:hAnsi="Arial" w:cs="Arial"/>
          <w:color w:val="000000"/>
          <w:sz w:val="22"/>
          <w:szCs w:val="22"/>
          <w:lang w:val="en-GB"/>
        </w:rPr>
        <w:t xml:space="preserve"> </w:t>
      </w:r>
      <w:r w:rsidR="00A02C38" w:rsidRPr="00A02C38">
        <w:rPr>
          <w:rFonts w:ascii="Arial" w:hAnsi="Arial" w:cs="Arial"/>
          <w:color w:val="000000"/>
          <w:sz w:val="22"/>
          <w:szCs w:val="22"/>
          <w:lang w:val="en-GB"/>
        </w:rPr>
        <w:fldChar w:fldCharType="begin"/>
      </w:r>
      <w:r w:rsidR="00A02C38" w:rsidRPr="00A02C38">
        <w:rPr>
          <w:rFonts w:ascii="Arial" w:hAnsi="Arial" w:cs="Arial"/>
          <w:color w:val="000000"/>
          <w:sz w:val="22"/>
          <w:szCs w:val="22"/>
          <w:lang w:val="en-GB"/>
        </w:rPr>
        <w:instrText xml:space="preserve"> REF _Ref384797393 \h  \* MERGEFORMAT </w:instrText>
      </w:r>
      <w:r w:rsidR="00A02C38" w:rsidRPr="00A02C38">
        <w:rPr>
          <w:rFonts w:ascii="Arial" w:hAnsi="Arial" w:cs="Arial"/>
          <w:color w:val="000000"/>
          <w:sz w:val="22"/>
          <w:szCs w:val="22"/>
          <w:lang w:val="en-GB"/>
        </w:rPr>
      </w:r>
      <w:r w:rsidR="00A02C38" w:rsidRPr="00A02C38">
        <w:rPr>
          <w:rFonts w:ascii="Arial" w:hAnsi="Arial" w:cs="Arial"/>
          <w:color w:val="000000"/>
          <w:sz w:val="22"/>
          <w:szCs w:val="22"/>
          <w:lang w:val="en-GB"/>
        </w:rPr>
        <w:fldChar w:fldCharType="separate"/>
      </w:r>
      <w:r w:rsidR="002634D4" w:rsidRPr="002634D4">
        <w:rPr>
          <w:rFonts w:ascii="Arial" w:hAnsi="Arial" w:cs="Arial"/>
          <w:sz w:val="22"/>
          <w:szCs w:val="22"/>
        </w:rPr>
        <w:t xml:space="preserve">Figure </w:t>
      </w:r>
      <w:r w:rsidR="002634D4" w:rsidRPr="002634D4">
        <w:rPr>
          <w:rFonts w:ascii="Arial" w:hAnsi="Arial" w:cs="Arial"/>
          <w:noProof/>
          <w:sz w:val="22"/>
          <w:szCs w:val="22"/>
        </w:rPr>
        <w:t>6</w:t>
      </w:r>
      <w:r w:rsidR="00A02C38" w:rsidRPr="00A02C38">
        <w:rPr>
          <w:rFonts w:ascii="Arial" w:hAnsi="Arial" w:cs="Arial"/>
          <w:color w:val="000000"/>
          <w:sz w:val="22"/>
          <w:szCs w:val="22"/>
          <w:lang w:val="en-GB"/>
        </w:rPr>
        <w:fldChar w:fldCharType="end"/>
      </w:r>
      <w:r w:rsidRPr="00101107">
        <w:rPr>
          <w:rFonts w:ascii="Arial" w:hAnsi="Arial" w:cs="Arial"/>
          <w:color w:val="000000"/>
          <w:sz w:val="22"/>
          <w:szCs w:val="22"/>
          <w:lang w:val="en-GB"/>
        </w:rPr>
        <w:t xml:space="preserve">). Ethnic groups differ in terms of average educational attainment as well as in terms of the educational prospects given to their younger members, with those from the Indian peninsula being at the bottom of the </w:t>
      </w:r>
      <w:r w:rsidRPr="00101107">
        <w:rPr>
          <w:rFonts w:ascii="Arial" w:hAnsi="Arial" w:cs="Arial"/>
          <w:color w:val="000000"/>
          <w:sz w:val="22"/>
          <w:szCs w:val="22"/>
          <w:lang w:val="en-GB"/>
        </w:rPr>
        <w:lastRenderedPageBreak/>
        <w:t>hierarchy in both cases. We expect low education level and low educational prospects to be indications of exposure to poverty/social exclusion.</w:t>
      </w:r>
    </w:p>
    <w:p w:rsidR="00F7224E" w:rsidRPr="00101107" w:rsidRDefault="00F7224E" w:rsidP="007C7EFC">
      <w:pPr>
        <w:pStyle w:val="2"/>
        <w:numPr>
          <w:ilvl w:val="2"/>
          <w:numId w:val="36"/>
        </w:numPr>
        <w:tabs>
          <w:tab w:val="left" w:pos="0"/>
        </w:tabs>
        <w:spacing w:before="120" w:after="0"/>
        <w:ind w:left="0" w:firstLine="0"/>
        <w:jc w:val="both"/>
        <w:rPr>
          <w:rFonts w:ascii="Arial" w:hAnsi="Arial" w:cs="Arial"/>
          <w:color w:val="000000"/>
          <w:sz w:val="22"/>
          <w:szCs w:val="22"/>
          <w:lang w:val="en-GB"/>
        </w:rPr>
      </w:pPr>
      <w:r w:rsidRPr="00101107">
        <w:rPr>
          <w:rFonts w:ascii="Arial" w:hAnsi="Arial" w:cs="Arial"/>
          <w:color w:val="000000"/>
          <w:sz w:val="22"/>
          <w:szCs w:val="22"/>
          <w:lang w:val="en-GB"/>
        </w:rPr>
        <w:t>Socioeconomic structure (</w:t>
      </w:r>
      <w:r w:rsidR="00A02C38" w:rsidRPr="00645140">
        <w:rPr>
          <w:rFonts w:ascii="Arial" w:hAnsi="Arial" w:cs="Arial"/>
          <w:color w:val="000000"/>
          <w:sz w:val="22"/>
          <w:szCs w:val="22"/>
          <w:lang w:val="en-GB"/>
        </w:rPr>
        <w:t xml:space="preserve">see annex </w:t>
      </w:r>
      <w:r w:rsidR="00A02C38" w:rsidRPr="00645140">
        <w:rPr>
          <w:rFonts w:ascii="Arial" w:hAnsi="Arial" w:cs="Arial"/>
          <w:color w:val="000000"/>
          <w:sz w:val="22"/>
          <w:szCs w:val="22"/>
          <w:lang w:val="en-GB"/>
        </w:rPr>
        <w:fldChar w:fldCharType="begin"/>
      </w:r>
      <w:r w:rsidR="00A02C38" w:rsidRPr="00645140">
        <w:rPr>
          <w:rFonts w:ascii="Arial" w:hAnsi="Arial" w:cs="Arial"/>
          <w:color w:val="000000"/>
          <w:sz w:val="22"/>
          <w:szCs w:val="22"/>
          <w:lang w:val="en-GB"/>
        </w:rPr>
        <w:instrText xml:space="preserve"> REF _Ref384797494 \h </w:instrText>
      </w:r>
      <w:r w:rsidR="00645140" w:rsidRPr="00645140">
        <w:rPr>
          <w:rFonts w:ascii="Arial" w:hAnsi="Arial" w:cs="Arial"/>
          <w:color w:val="000000"/>
          <w:sz w:val="22"/>
          <w:szCs w:val="22"/>
          <w:lang w:val="en-GB"/>
        </w:rPr>
        <w:instrText xml:space="preserve"> \* MERGEFORMAT </w:instrText>
      </w:r>
      <w:r w:rsidR="00A02C38" w:rsidRPr="00645140">
        <w:rPr>
          <w:rFonts w:ascii="Arial" w:hAnsi="Arial" w:cs="Arial"/>
          <w:color w:val="000000"/>
          <w:sz w:val="22"/>
          <w:szCs w:val="22"/>
          <w:lang w:val="en-GB"/>
        </w:rPr>
      </w:r>
      <w:r w:rsidR="00A02C38" w:rsidRPr="00645140">
        <w:rPr>
          <w:rFonts w:ascii="Arial" w:hAnsi="Arial" w:cs="Arial"/>
          <w:color w:val="000000"/>
          <w:sz w:val="22"/>
          <w:szCs w:val="22"/>
          <w:lang w:val="en-GB"/>
        </w:rPr>
        <w:fldChar w:fldCharType="separate"/>
      </w:r>
      <w:r w:rsidR="002634D4" w:rsidRPr="002634D4">
        <w:rPr>
          <w:rFonts w:ascii="Arial" w:hAnsi="Arial" w:cs="Arial"/>
          <w:sz w:val="22"/>
          <w:szCs w:val="22"/>
        </w:rPr>
        <w:t xml:space="preserve">Figure </w:t>
      </w:r>
      <w:r w:rsidR="002634D4" w:rsidRPr="002634D4">
        <w:rPr>
          <w:rFonts w:ascii="Arial" w:hAnsi="Arial" w:cs="Arial"/>
          <w:noProof/>
          <w:sz w:val="22"/>
          <w:szCs w:val="22"/>
        </w:rPr>
        <w:t>7</w:t>
      </w:r>
      <w:r w:rsidR="00A02C38" w:rsidRPr="00645140">
        <w:rPr>
          <w:rFonts w:ascii="Arial" w:hAnsi="Arial" w:cs="Arial"/>
          <w:color w:val="000000"/>
          <w:sz w:val="22"/>
          <w:szCs w:val="22"/>
          <w:lang w:val="en-GB"/>
        </w:rPr>
        <w:fldChar w:fldCharType="end"/>
      </w:r>
      <w:r w:rsidRPr="00645140">
        <w:rPr>
          <w:rFonts w:ascii="Arial" w:hAnsi="Arial" w:cs="Arial"/>
          <w:color w:val="000000"/>
          <w:sz w:val="22"/>
          <w:szCs w:val="22"/>
          <w:lang w:val="en-GB"/>
        </w:rPr>
        <w:t>).</w:t>
      </w:r>
      <w:r w:rsidRPr="00101107">
        <w:rPr>
          <w:rFonts w:ascii="Arial" w:hAnsi="Arial" w:cs="Arial"/>
          <w:color w:val="000000"/>
          <w:sz w:val="22"/>
          <w:szCs w:val="22"/>
          <w:lang w:val="en-GB"/>
        </w:rPr>
        <w:t xml:space="preserve"> The vast majority of immigrants hold lower technical and routine jobs at a rate of between 70% and 90%, compared with 24% for Greeks. However, certain immigrant groups (e.g. Syrians and Egyptians) occupy positions in intermediate and small employers’ occupations at a proportion that is more than twice that for most groups. We expect unemployment and confinement in routine occupations to be an indication of exposure to poverty/social exclusion, although the exact content of other occupational categories has to be examined as well. </w:t>
      </w:r>
    </w:p>
    <w:p w:rsidR="00F7224E" w:rsidRPr="00101107" w:rsidRDefault="00F7224E" w:rsidP="007C7EFC">
      <w:pPr>
        <w:pStyle w:val="2"/>
        <w:numPr>
          <w:ilvl w:val="2"/>
          <w:numId w:val="36"/>
        </w:numPr>
        <w:tabs>
          <w:tab w:val="left" w:pos="0"/>
        </w:tabs>
        <w:spacing w:before="120" w:after="0"/>
        <w:ind w:left="0" w:firstLine="0"/>
        <w:jc w:val="both"/>
        <w:rPr>
          <w:rFonts w:ascii="Arial" w:hAnsi="Arial" w:cs="Arial"/>
          <w:color w:val="000000"/>
          <w:sz w:val="22"/>
          <w:szCs w:val="22"/>
          <w:lang w:val="en-GB"/>
        </w:rPr>
      </w:pPr>
      <w:r w:rsidRPr="00101107">
        <w:rPr>
          <w:rFonts w:ascii="Arial" w:hAnsi="Arial" w:cs="Arial"/>
          <w:color w:val="000000"/>
          <w:sz w:val="22"/>
          <w:szCs w:val="22"/>
          <w:lang w:val="en-GB"/>
        </w:rPr>
        <w:t>Tenure (</w:t>
      </w:r>
      <w:r w:rsidR="00B4355A">
        <w:rPr>
          <w:rFonts w:ascii="Arial" w:hAnsi="Arial" w:cs="Arial"/>
          <w:color w:val="000000"/>
          <w:sz w:val="22"/>
          <w:szCs w:val="22"/>
          <w:lang w:val="en-GB"/>
        </w:rPr>
        <w:t>see annex</w:t>
      </w:r>
      <w:r w:rsidR="00B4355A" w:rsidRPr="00B4355A">
        <w:rPr>
          <w:rFonts w:ascii="Arial" w:hAnsi="Arial" w:cs="Arial"/>
          <w:color w:val="000000"/>
          <w:sz w:val="22"/>
          <w:szCs w:val="22"/>
          <w:lang w:val="en-GB"/>
        </w:rPr>
        <w:t xml:space="preserve"> </w:t>
      </w:r>
      <w:r w:rsidR="00B4355A" w:rsidRPr="00B4355A">
        <w:rPr>
          <w:rFonts w:ascii="Arial" w:hAnsi="Arial" w:cs="Arial"/>
          <w:color w:val="000000"/>
          <w:sz w:val="22"/>
          <w:szCs w:val="22"/>
          <w:lang w:val="en-GB"/>
        </w:rPr>
        <w:fldChar w:fldCharType="begin"/>
      </w:r>
      <w:r w:rsidR="00B4355A" w:rsidRPr="00B4355A">
        <w:rPr>
          <w:rFonts w:ascii="Arial" w:hAnsi="Arial" w:cs="Arial"/>
          <w:color w:val="000000"/>
          <w:sz w:val="22"/>
          <w:szCs w:val="22"/>
          <w:lang w:val="en-GB"/>
        </w:rPr>
        <w:instrText xml:space="preserve"> REF _Ref384797561 \h  \* MERGEFORMAT </w:instrText>
      </w:r>
      <w:r w:rsidR="00B4355A" w:rsidRPr="00B4355A">
        <w:rPr>
          <w:rFonts w:ascii="Arial" w:hAnsi="Arial" w:cs="Arial"/>
          <w:color w:val="000000"/>
          <w:sz w:val="22"/>
          <w:szCs w:val="22"/>
          <w:lang w:val="en-GB"/>
        </w:rPr>
      </w:r>
      <w:r w:rsidR="00B4355A" w:rsidRPr="00B4355A">
        <w:rPr>
          <w:rFonts w:ascii="Arial" w:hAnsi="Arial" w:cs="Arial"/>
          <w:color w:val="000000"/>
          <w:sz w:val="22"/>
          <w:szCs w:val="22"/>
          <w:lang w:val="en-GB"/>
        </w:rPr>
        <w:fldChar w:fldCharType="separate"/>
      </w:r>
      <w:r w:rsidR="002634D4" w:rsidRPr="002634D4">
        <w:rPr>
          <w:rFonts w:ascii="Arial" w:hAnsi="Arial" w:cs="Arial"/>
          <w:sz w:val="22"/>
          <w:szCs w:val="22"/>
        </w:rPr>
        <w:t xml:space="preserve">Figure </w:t>
      </w:r>
      <w:r w:rsidR="002634D4" w:rsidRPr="002634D4">
        <w:rPr>
          <w:rFonts w:ascii="Arial" w:hAnsi="Arial" w:cs="Arial"/>
          <w:noProof/>
          <w:sz w:val="22"/>
          <w:szCs w:val="22"/>
        </w:rPr>
        <w:t>8</w:t>
      </w:r>
      <w:r w:rsidR="00B4355A" w:rsidRPr="00B4355A">
        <w:rPr>
          <w:rFonts w:ascii="Arial" w:hAnsi="Arial" w:cs="Arial"/>
          <w:color w:val="000000"/>
          <w:sz w:val="22"/>
          <w:szCs w:val="22"/>
          <w:lang w:val="en-GB"/>
        </w:rPr>
        <w:fldChar w:fldCharType="end"/>
      </w:r>
      <w:r w:rsidRPr="00101107">
        <w:rPr>
          <w:rFonts w:ascii="Arial" w:hAnsi="Arial" w:cs="Arial"/>
          <w:color w:val="000000"/>
          <w:sz w:val="22"/>
          <w:szCs w:val="22"/>
          <w:lang w:val="en-GB"/>
        </w:rPr>
        <w:t>). Home ownership in Athens is very high for natives (65%), (misleadingly) high for groups from some eastern European countries because of their live-in status as domestic workers and much lower for the rest. In the context of the absence of public housing provision, we expect access to home ownership to be an indication of social integration.</w:t>
      </w:r>
    </w:p>
    <w:p w:rsidR="00F7224E" w:rsidRPr="00101107" w:rsidRDefault="00F7224E" w:rsidP="007C7EFC">
      <w:pPr>
        <w:pStyle w:val="2"/>
        <w:numPr>
          <w:ilvl w:val="2"/>
          <w:numId w:val="36"/>
        </w:numPr>
        <w:tabs>
          <w:tab w:val="left" w:pos="0"/>
        </w:tabs>
        <w:spacing w:before="120" w:after="0"/>
        <w:ind w:left="0" w:firstLine="0"/>
        <w:jc w:val="both"/>
        <w:rPr>
          <w:rFonts w:ascii="Arial" w:hAnsi="Arial" w:cs="Arial"/>
          <w:sz w:val="22"/>
          <w:szCs w:val="22"/>
          <w:lang w:val="en-US"/>
        </w:rPr>
      </w:pPr>
      <w:r w:rsidRPr="00101107">
        <w:rPr>
          <w:rFonts w:ascii="Arial" w:hAnsi="Arial" w:cs="Arial"/>
          <w:color w:val="000000"/>
          <w:sz w:val="22"/>
          <w:szCs w:val="22"/>
          <w:lang w:val="en-GB"/>
        </w:rPr>
        <w:t>Housing conditions (</w:t>
      </w:r>
      <w:r w:rsidR="00D208AB">
        <w:rPr>
          <w:rFonts w:ascii="Arial" w:hAnsi="Arial" w:cs="Arial"/>
          <w:color w:val="000000"/>
          <w:sz w:val="22"/>
          <w:szCs w:val="22"/>
          <w:lang w:val="en-GB"/>
        </w:rPr>
        <w:t>see annex Figure 18</w:t>
      </w:r>
      <w:r w:rsidRPr="00101107">
        <w:rPr>
          <w:rFonts w:ascii="Arial" w:hAnsi="Arial" w:cs="Arial"/>
          <w:color w:val="000000"/>
          <w:sz w:val="22"/>
          <w:szCs w:val="22"/>
          <w:lang w:val="en-GB"/>
        </w:rPr>
        <w:t>). Available domestic space is noticeably smaller for most immigrant groups than for the Greeks, with almost 50% of the Albanians and even more for the groups from the Indian peninsula falling into the deprived category of those possessing less than 15 m</w:t>
      </w:r>
      <w:r w:rsidRPr="00101107">
        <w:rPr>
          <w:rFonts w:ascii="Arial" w:hAnsi="Arial" w:cs="Arial"/>
          <w:color w:val="000000"/>
          <w:sz w:val="22"/>
          <w:szCs w:val="22"/>
          <w:vertAlign w:val="superscript"/>
          <w:lang w:val="en-GB"/>
        </w:rPr>
        <w:t>2</w:t>
      </w:r>
      <w:r w:rsidRPr="00101107">
        <w:rPr>
          <w:rFonts w:ascii="Arial" w:hAnsi="Arial" w:cs="Arial"/>
          <w:color w:val="000000"/>
          <w:sz w:val="22"/>
          <w:szCs w:val="22"/>
          <w:lang w:val="en-GB"/>
        </w:rPr>
        <w:t xml:space="preserve"> per capita. We expect conditions of overcrowding to be an indication of poverty/social exclusion. </w:t>
      </w:r>
    </w:p>
    <w:p w:rsidR="00F7224E" w:rsidRPr="007C7EFC" w:rsidRDefault="00F7224E" w:rsidP="00F7224E">
      <w:pPr>
        <w:pStyle w:val="2"/>
        <w:tabs>
          <w:tab w:val="left" w:pos="0"/>
        </w:tabs>
        <w:spacing w:after="0" w:line="360" w:lineRule="auto"/>
        <w:ind w:left="0"/>
        <w:jc w:val="both"/>
        <w:rPr>
          <w:rFonts w:ascii="Arial" w:hAnsi="Arial" w:cs="Arial"/>
          <w:sz w:val="10"/>
          <w:szCs w:val="10"/>
          <w:lang w:val="en-US"/>
        </w:rPr>
      </w:pPr>
    </w:p>
    <w:p w:rsidR="00F7224E" w:rsidRPr="00D93644" w:rsidRDefault="00F7224E" w:rsidP="007965C9">
      <w:pPr>
        <w:pStyle w:val="Heading2"/>
        <w:spacing w:before="360"/>
        <w:rPr>
          <w:rFonts w:cs="Arial"/>
        </w:rPr>
      </w:pPr>
      <w:bookmarkStart w:id="40" w:name="_Toc386013196"/>
      <w:r w:rsidRPr="00D93644">
        <w:rPr>
          <w:rFonts w:cs="Arial"/>
        </w:rPr>
        <w:t>Socio-ethnic inequalities</w:t>
      </w:r>
      <w:bookmarkEnd w:id="40"/>
    </w:p>
    <w:p w:rsidR="00F7224E" w:rsidRPr="00D93644" w:rsidRDefault="00F7224E" w:rsidP="007C7EFC">
      <w:pPr>
        <w:spacing w:line="276" w:lineRule="auto"/>
        <w:rPr>
          <w:rFonts w:cs="Arial"/>
        </w:rPr>
      </w:pPr>
      <w:r w:rsidRPr="00D93644">
        <w:rPr>
          <w:rFonts w:cs="Arial"/>
        </w:rPr>
        <w:t xml:space="preserve">All in all, inequalities between the aggregate immigrant population and the Greek population regarding the respective positions the multiple social hierarchies of the metropolitan cannot be overstated (Maloutas 2007, Kandylis et al., 2012). Leaving aside the social distance between native and foreign population, in this section we focus on the findings of a regression analysis regarding the previously identified indicators of poverty/social exclusion of the immigrant groups. The data we use are from the 2001 census, as the data from the 2011 are not available at the moment. We extracted a 10% random sample of the individual records and limited the investigation to the 27 biggest ethnic groups in MRA and to those over 15 years old. </w:t>
      </w:r>
    </w:p>
    <w:p w:rsidR="00F7224E" w:rsidRPr="00D93644" w:rsidRDefault="00F7224E" w:rsidP="007C7EFC">
      <w:pPr>
        <w:spacing w:line="276" w:lineRule="auto"/>
        <w:rPr>
          <w:rFonts w:cs="Arial"/>
        </w:rPr>
      </w:pPr>
      <w:r w:rsidRPr="00D93644">
        <w:rPr>
          <w:rFonts w:cs="Arial"/>
        </w:rPr>
        <w:t xml:space="preserve">In the absence of census data on income, we use two different indicators of poverty/social exclusion that serve as dependent variables in the analysis. One is the available domestic space per capita [DM], as we consider overcrowding to be an important dimension of material deprivation. The other is the interaction between available domestic </w:t>
      </w:r>
      <w:r w:rsidR="00A62B5C">
        <w:rPr>
          <w:rFonts w:cs="Arial"/>
        </w:rPr>
        <w:t xml:space="preserve">space </w:t>
      </w:r>
      <w:r w:rsidRPr="00D93644">
        <w:rPr>
          <w:rFonts w:cs="Arial"/>
        </w:rPr>
        <w:t xml:space="preserve">per capita, tenure [TEN] and available heating equipment [HEAT]. In the Athenian context, access to home-ownership is an important indication of upward social mobility and integration. The lack of central heating is on the other hand a supplementary indicator of material deprivation. The independent variables include age [AGE], gender (GEN], duration of settlement in Greece in years [SET_DUR], position in the socioeconomic stratification according to the European </w:t>
      </w:r>
      <w:r w:rsidRPr="00D93644">
        <w:rPr>
          <w:rFonts w:cs="Arial"/>
        </w:rPr>
        <w:lastRenderedPageBreak/>
        <w:t>Socioeconomic Classification (ESeC) [ESEC], level of education [EDUL], type of household [HHTYPE] and ethnic group [NAT]</w:t>
      </w:r>
      <w:r w:rsidRPr="00D93644">
        <w:rPr>
          <w:rStyle w:val="FootnoteReference"/>
          <w:rFonts w:cs="Arial"/>
          <w:color w:val="000000"/>
        </w:rPr>
        <w:footnoteReference w:id="4"/>
      </w:r>
      <w:r w:rsidRPr="00D93644">
        <w:rPr>
          <w:rFonts w:cs="Arial"/>
        </w:rPr>
        <w:t>.</w:t>
      </w:r>
    </w:p>
    <w:p w:rsidR="00F7224E" w:rsidRDefault="00F7224E" w:rsidP="007C7EFC">
      <w:pPr>
        <w:spacing w:line="276" w:lineRule="auto"/>
        <w:rPr>
          <w:rFonts w:cs="Arial"/>
        </w:rPr>
      </w:pPr>
      <w:r w:rsidRPr="00D93644">
        <w:rPr>
          <w:rFonts w:cs="Arial"/>
        </w:rPr>
        <w:t xml:space="preserve">The regression models summarized in </w:t>
      </w:r>
      <w:r w:rsidR="000C6768">
        <w:rPr>
          <w:rFonts w:cs="Arial"/>
        </w:rPr>
        <w:fldChar w:fldCharType="begin"/>
      </w:r>
      <w:r w:rsidR="000C6768">
        <w:rPr>
          <w:rFonts w:cs="Arial"/>
        </w:rPr>
        <w:instrText xml:space="preserve"> REF _Ref384742983 \h </w:instrText>
      </w:r>
      <w:r w:rsidR="000C6768">
        <w:rPr>
          <w:rFonts w:cs="Arial"/>
        </w:rPr>
      </w:r>
      <w:r w:rsidR="000C6768">
        <w:rPr>
          <w:rFonts w:cs="Arial"/>
        </w:rPr>
        <w:fldChar w:fldCharType="separate"/>
      </w:r>
      <w:r w:rsidR="002634D4">
        <w:t xml:space="preserve">Table </w:t>
      </w:r>
      <w:r w:rsidR="002634D4">
        <w:rPr>
          <w:noProof/>
        </w:rPr>
        <w:t>13</w:t>
      </w:r>
      <w:r w:rsidR="000C6768">
        <w:rPr>
          <w:rFonts w:cs="Arial"/>
        </w:rPr>
        <w:fldChar w:fldCharType="end"/>
      </w:r>
      <w:r w:rsidR="000C6768">
        <w:rPr>
          <w:rFonts w:cs="Arial"/>
        </w:rPr>
        <w:t xml:space="preserve"> </w:t>
      </w:r>
      <w:r w:rsidRPr="00D93644">
        <w:rPr>
          <w:rFonts w:cs="Arial"/>
        </w:rPr>
        <w:t>reveal the importance of the type of household and national origin regarding the expected welfare level of individuals, as defined by either the available domestic space (Model 1) or the interaction of the available domestic space with tenure and heating equipment (Model 2). In both models (and especially in the latter) these two indicators are followed in importance by the duration of settlement in Greece. The contribution of socioeconomic category, education level, gender and age appear to be of less importance.</w:t>
      </w:r>
    </w:p>
    <w:p w:rsidR="000C6768" w:rsidRPr="000C6768" w:rsidRDefault="000C6768" w:rsidP="007C7EFC">
      <w:pPr>
        <w:spacing w:line="276" w:lineRule="auto"/>
        <w:rPr>
          <w:rFonts w:cs="Arial"/>
          <w:sz w:val="10"/>
          <w:szCs w:val="10"/>
        </w:rPr>
      </w:pPr>
    </w:p>
    <w:p w:rsidR="00F7224E" w:rsidRPr="000C6768" w:rsidRDefault="00F7224E" w:rsidP="00F7224E">
      <w:pPr>
        <w:pStyle w:val="2"/>
        <w:tabs>
          <w:tab w:val="left" w:pos="0"/>
        </w:tabs>
        <w:spacing w:after="0" w:line="360" w:lineRule="auto"/>
        <w:ind w:left="0" w:firstLine="15"/>
        <w:jc w:val="both"/>
        <w:rPr>
          <w:rFonts w:ascii="Arial" w:hAnsi="Arial" w:cs="Arial"/>
          <w:color w:val="000000"/>
          <w:sz w:val="10"/>
          <w:szCs w:val="10"/>
          <w:lang w:val="en-GB"/>
        </w:rPr>
      </w:pPr>
    </w:p>
    <w:p w:rsidR="000C6768" w:rsidRDefault="000C6768" w:rsidP="000C6768">
      <w:pPr>
        <w:pStyle w:val="Caption"/>
        <w:keepNext/>
      </w:pPr>
      <w:bookmarkStart w:id="41" w:name="_Ref384742983"/>
      <w:bookmarkStart w:id="42" w:name="_Toc386013249"/>
      <w:r>
        <w:t xml:space="preserve">Table </w:t>
      </w:r>
      <w:r w:rsidR="00CC1B00">
        <w:fldChar w:fldCharType="begin"/>
      </w:r>
      <w:r w:rsidR="00CC1B00">
        <w:instrText xml:space="preserve"> SEQ Table \* ARABIC </w:instrText>
      </w:r>
      <w:r w:rsidR="00CC1B00">
        <w:fldChar w:fldCharType="separate"/>
      </w:r>
      <w:r w:rsidR="002634D4">
        <w:rPr>
          <w:noProof/>
        </w:rPr>
        <w:t>13</w:t>
      </w:r>
      <w:r w:rsidR="00CC1B00">
        <w:rPr>
          <w:noProof/>
        </w:rPr>
        <w:fldChar w:fldCharType="end"/>
      </w:r>
      <w:bookmarkEnd w:id="41"/>
      <w:r w:rsidRPr="000C6768">
        <w:t>: Summary of regression models</w:t>
      </w:r>
      <w:bookmarkEnd w:id="42"/>
    </w:p>
    <w:tbl>
      <w:tblPr>
        <w:tblW w:w="9638" w:type="dxa"/>
        <w:tblLayout w:type="fixed"/>
        <w:tblCellMar>
          <w:top w:w="55" w:type="dxa"/>
          <w:left w:w="55" w:type="dxa"/>
          <w:bottom w:w="55" w:type="dxa"/>
          <w:right w:w="55" w:type="dxa"/>
        </w:tblCellMar>
        <w:tblLook w:val="0000" w:firstRow="0" w:lastRow="0" w:firstColumn="0" w:lastColumn="0" w:noHBand="0" w:noVBand="0"/>
      </w:tblPr>
      <w:tblGrid>
        <w:gridCol w:w="1376"/>
        <w:gridCol w:w="1377"/>
        <w:gridCol w:w="1377"/>
        <w:gridCol w:w="1377"/>
        <w:gridCol w:w="1377"/>
        <w:gridCol w:w="1377"/>
        <w:gridCol w:w="1377"/>
      </w:tblGrid>
      <w:tr w:rsidR="00615957" w:rsidTr="000C6768">
        <w:tc>
          <w:tcPr>
            <w:tcW w:w="1376" w:type="dxa"/>
            <w:vAlign w:val="center"/>
          </w:tcPr>
          <w:p w:rsidR="00F7224E" w:rsidRPr="00D93644" w:rsidRDefault="00F7224E" w:rsidP="00CB4552">
            <w:pPr>
              <w:pStyle w:val="a"/>
              <w:spacing w:line="115" w:lineRule="atLeast"/>
              <w:jc w:val="both"/>
              <w:rPr>
                <w:rFonts w:ascii="Arial" w:hAnsi="Arial" w:cs="Arial"/>
                <w:sz w:val="22"/>
                <w:szCs w:val="22"/>
                <w:lang w:val="en-GB"/>
              </w:rPr>
            </w:pPr>
          </w:p>
        </w:tc>
        <w:tc>
          <w:tcPr>
            <w:tcW w:w="4131" w:type="dxa"/>
            <w:gridSpan w:val="3"/>
            <w:vAlign w:val="center"/>
          </w:tcPr>
          <w:p w:rsidR="00F7224E" w:rsidRPr="00D93644" w:rsidRDefault="00F7224E" w:rsidP="00CB4552">
            <w:pPr>
              <w:pStyle w:val="a"/>
              <w:spacing w:line="115" w:lineRule="atLeast"/>
              <w:jc w:val="center"/>
              <w:rPr>
                <w:rFonts w:ascii="Arial" w:hAnsi="Arial" w:cs="Arial"/>
                <w:b/>
                <w:bCs/>
                <w:sz w:val="22"/>
                <w:szCs w:val="22"/>
                <w:lang w:val="en-GB"/>
              </w:rPr>
            </w:pPr>
            <w:r w:rsidRPr="00D93644">
              <w:rPr>
                <w:rFonts w:ascii="Arial" w:hAnsi="Arial" w:cs="Arial"/>
                <w:b/>
                <w:bCs/>
                <w:sz w:val="22"/>
                <w:szCs w:val="22"/>
                <w:lang w:val="en-GB"/>
              </w:rPr>
              <w:t>Model 1</w:t>
            </w:r>
          </w:p>
          <w:p w:rsidR="00F7224E" w:rsidRPr="00D93644" w:rsidRDefault="00F7224E" w:rsidP="00CB4552">
            <w:pPr>
              <w:pStyle w:val="a"/>
              <w:spacing w:line="115" w:lineRule="atLeast"/>
              <w:jc w:val="center"/>
              <w:rPr>
                <w:rFonts w:ascii="Arial" w:hAnsi="Arial" w:cs="Arial"/>
                <w:b/>
                <w:bCs/>
                <w:sz w:val="22"/>
                <w:szCs w:val="22"/>
                <w:lang w:val="en-GB"/>
              </w:rPr>
            </w:pPr>
            <w:r w:rsidRPr="00D93644">
              <w:rPr>
                <w:rFonts w:ascii="Arial" w:hAnsi="Arial" w:cs="Arial"/>
                <w:b/>
                <w:bCs/>
                <w:sz w:val="22"/>
                <w:szCs w:val="22"/>
                <w:lang w:val="en-GB"/>
              </w:rPr>
              <w:t>Dependent: Per capita domestic space</w:t>
            </w:r>
          </w:p>
        </w:tc>
        <w:tc>
          <w:tcPr>
            <w:tcW w:w="4131" w:type="dxa"/>
            <w:gridSpan w:val="3"/>
            <w:vAlign w:val="center"/>
          </w:tcPr>
          <w:p w:rsidR="00F7224E" w:rsidRPr="00D93644" w:rsidRDefault="00F7224E" w:rsidP="00CB4552">
            <w:pPr>
              <w:pStyle w:val="a"/>
              <w:spacing w:line="115" w:lineRule="atLeast"/>
              <w:jc w:val="center"/>
              <w:rPr>
                <w:rFonts w:ascii="Arial" w:hAnsi="Arial" w:cs="Arial"/>
                <w:b/>
                <w:bCs/>
                <w:sz w:val="22"/>
                <w:szCs w:val="22"/>
                <w:lang w:val="en-GB"/>
              </w:rPr>
            </w:pPr>
            <w:r w:rsidRPr="00D93644">
              <w:rPr>
                <w:rFonts w:ascii="Arial" w:hAnsi="Arial" w:cs="Arial"/>
                <w:b/>
                <w:bCs/>
                <w:sz w:val="22"/>
                <w:szCs w:val="22"/>
                <w:lang w:val="en-GB"/>
              </w:rPr>
              <w:t>Model 2</w:t>
            </w:r>
          </w:p>
          <w:p w:rsidR="00F7224E" w:rsidRPr="00D93644" w:rsidRDefault="00F7224E" w:rsidP="00CB4552">
            <w:pPr>
              <w:pStyle w:val="a"/>
              <w:spacing w:line="115" w:lineRule="atLeast"/>
              <w:jc w:val="center"/>
              <w:rPr>
                <w:rFonts w:ascii="Arial" w:hAnsi="Arial" w:cs="Arial"/>
                <w:b/>
                <w:bCs/>
                <w:sz w:val="22"/>
                <w:szCs w:val="22"/>
                <w:lang w:val="en-GB"/>
              </w:rPr>
            </w:pPr>
            <w:r w:rsidRPr="00D93644">
              <w:rPr>
                <w:rFonts w:ascii="Arial" w:hAnsi="Arial" w:cs="Arial"/>
                <w:b/>
                <w:bCs/>
                <w:sz w:val="22"/>
                <w:szCs w:val="22"/>
                <w:lang w:val="en-GB"/>
              </w:rPr>
              <w:t>Dependent: Interaction of per capita domestic space with tenure and heating equipment</w:t>
            </w:r>
          </w:p>
        </w:tc>
      </w:tr>
      <w:tr w:rsidR="00615957" w:rsidTr="000C6768">
        <w:tc>
          <w:tcPr>
            <w:tcW w:w="1376" w:type="dxa"/>
            <w:vAlign w:val="center"/>
          </w:tcPr>
          <w:p w:rsidR="00F7224E" w:rsidRPr="00D93644" w:rsidRDefault="00F7224E" w:rsidP="00CB4552">
            <w:pPr>
              <w:pStyle w:val="a"/>
              <w:spacing w:line="115" w:lineRule="atLeast"/>
              <w:jc w:val="center"/>
              <w:rPr>
                <w:rFonts w:ascii="Arial" w:hAnsi="Arial" w:cs="Arial"/>
                <w:b/>
                <w:bCs/>
                <w:sz w:val="22"/>
                <w:szCs w:val="22"/>
                <w:lang w:val="en-GB"/>
              </w:rPr>
            </w:pPr>
            <w:r w:rsidRPr="00D93644">
              <w:rPr>
                <w:rFonts w:ascii="Arial" w:hAnsi="Arial" w:cs="Arial"/>
                <w:b/>
                <w:bCs/>
                <w:sz w:val="22"/>
                <w:szCs w:val="22"/>
                <w:lang w:val="en-GB"/>
              </w:rPr>
              <w:t>Indicator</w:t>
            </w:r>
          </w:p>
        </w:tc>
        <w:tc>
          <w:tcPr>
            <w:tcW w:w="1377" w:type="dxa"/>
            <w:vAlign w:val="center"/>
          </w:tcPr>
          <w:p w:rsidR="00F7224E" w:rsidRPr="00D93644" w:rsidRDefault="00F7224E" w:rsidP="00CB4552">
            <w:pPr>
              <w:pStyle w:val="a"/>
              <w:spacing w:line="115" w:lineRule="atLeast"/>
              <w:jc w:val="center"/>
              <w:rPr>
                <w:rFonts w:ascii="Arial" w:hAnsi="Arial" w:cs="Arial"/>
                <w:b/>
                <w:bCs/>
                <w:sz w:val="22"/>
                <w:szCs w:val="22"/>
                <w:lang w:val="en-GB"/>
              </w:rPr>
            </w:pPr>
            <w:r w:rsidRPr="00D93644">
              <w:rPr>
                <w:rFonts w:ascii="Arial" w:hAnsi="Arial" w:cs="Arial"/>
                <w:b/>
                <w:bCs/>
                <w:sz w:val="22"/>
                <w:szCs w:val="22"/>
                <w:lang w:val="en-GB"/>
              </w:rPr>
              <w:t>St. B</w:t>
            </w:r>
          </w:p>
        </w:tc>
        <w:tc>
          <w:tcPr>
            <w:tcW w:w="1377" w:type="dxa"/>
            <w:vAlign w:val="center"/>
          </w:tcPr>
          <w:p w:rsidR="00F7224E" w:rsidRPr="00D93644" w:rsidRDefault="00F7224E" w:rsidP="00CB4552">
            <w:pPr>
              <w:pStyle w:val="a"/>
              <w:spacing w:line="115" w:lineRule="atLeast"/>
              <w:jc w:val="center"/>
              <w:rPr>
                <w:rFonts w:ascii="Arial" w:hAnsi="Arial" w:cs="Arial"/>
                <w:b/>
                <w:bCs/>
                <w:sz w:val="22"/>
                <w:szCs w:val="22"/>
                <w:lang w:val="en-GB"/>
              </w:rPr>
            </w:pPr>
            <w:r w:rsidRPr="00D93644">
              <w:rPr>
                <w:rFonts w:ascii="Arial" w:hAnsi="Arial" w:cs="Arial"/>
                <w:b/>
                <w:bCs/>
                <w:sz w:val="22"/>
                <w:szCs w:val="22"/>
                <w:lang w:val="en-GB"/>
              </w:rPr>
              <w:t>Sig</w:t>
            </w:r>
          </w:p>
        </w:tc>
        <w:tc>
          <w:tcPr>
            <w:tcW w:w="1377" w:type="dxa"/>
            <w:vAlign w:val="center"/>
          </w:tcPr>
          <w:p w:rsidR="00F7224E" w:rsidRPr="00D93644" w:rsidRDefault="00F7224E" w:rsidP="00CB4552">
            <w:pPr>
              <w:pStyle w:val="a"/>
              <w:spacing w:line="115" w:lineRule="atLeast"/>
              <w:jc w:val="center"/>
              <w:rPr>
                <w:rFonts w:ascii="Arial" w:hAnsi="Arial" w:cs="Arial"/>
                <w:b/>
                <w:bCs/>
                <w:sz w:val="22"/>
                <w:szCs w:val="22"/>
                <w:lang w:val="en-GB"/>
              </w:rPr>
            </w:pPr>
            <w:r w:rsidRPr="00D93644">
              <w:rPr>
                <w:rFonts w:ascii="Arial" w:hAnsi="Arial" w:cs="Arial"/>
                <w:b/>
                <w:bCs/>
                <w:sz w:val="22"/>
                <w:szCs w:val="22"/>
                <w:lang w:val="en-GB"/>
              </w:rPr>
              <w:t>Zero-Order Correlation</w:t>
            </w:r>
          </w:p>
        </w:tc>
        <w:tc>
          <w:tcPr>
            <w:tcW w:w="1377" w:type="dxa"/>
            <w:vAlign w:val="center"/>
          </w:tcPr>
          <w:p w:rsidR="00F7224E" w:rsidRPr="00D93644" w:rsidRDefault="00F7224E" w:rsidP="00CB4552">
            <w:pPr>
              <w:pStyle w:val="a"/>
              <w:spacing w:line="115" w:lineRule="atLeast"/>
              <w:jc w:val="center"/>
              <w:rPr>
                <w:rFonts w:ascii="Arial" w:hAnsi="Arial" w:cs="Arial"/>
                <w:b/>
                <w:bCs/>
                <w:sz w:val="22"/>
                <w:szCs w:val="22"/>
                <w:lang w:val="en-GB"/>
              </w:rPr>
            </w:pPr>
            <w:r w:rsidRPr="00D93644">
              <w:rPr>
                <w:rFonts w:ascii="Arial" w:hAnsi="Arial" w:cs="Arial"/>
                <w:b/>
                <w:bCs/>
                <w:sz w:val="22"/>
                <w:szCs w:val="22"/>
                <w:lang w:val="en-GB"/>
              </w:rPr>
              <w:t>St. B</w:t>
            </w:r>
          </w:p>
        </w:tc>
        <w:tc>
          <w:tcPr>
            <w:tcW w:w="1377" w:type="dxa"/>
            <w:vAlign w:val="center"/>
          </w:tcPr>
          <w:p w:rsidR="00F7224E" w:rsidRPr="00D93644" w:rsidRDefault="00F7224E" w:rsidP="00CB4552">
            <w:pPr>
              <w:pStyle w:val="a"/>
              <w:spacing w:line="115" w:lineRule="atLeast"/>
              <w:jc w:val="center"/>
              <w:rPr>
                <w:rFonts w:ascii="Arial" w:hAnsi="Arial" w:cs="Arial"/>
                <w:b/>
                <w:bCs/>
                <w:sz w:val="22"/>
                <w:szCs w:val="22"/>
                <w:lang w:val="en-GB"/>
              </w:rPr>
            </w:pPr>
            <w:r w:rsidRPr="00D93644">
              <w:rPr>
                <w:rFonts w:ascii="Arial" w:hAnsi="Arial" w:cs="Arial"/>
                <w:b/>
                <w:bCs/>
                <w:sz w:val="22"/>
                <w:szCs w:val="22"/>
                <w:lang w:val="en-GB"/>
              </w:rPr>
              <w:t>Sig</w:t>
            </w:r>
          </w:p>
        </w:tc>
        <w:tc>
          <w:tcPr>
            <w:tcW w:w="1377" w:type="dxa"/>
            <w:vAlign w:val="center"/>
          </w:tcPr>
          <w:p w:rsidR="00F7224E" w:rsidRPr="00D93644" w:rsidRDefault="00F7224E" w:rsidP="00CB4552">
            <w:pPr>
              <w:pStyle w:val="a"/>
              <w:spacing w:line="115" w:lineRule="atLeast"/>
              <w:jc w:val="center"/>
              <w:rPr>
                <w:rFonts w:ascii="Arial" w:hAnsi="Arial" w:cs="Arial"/>
                <w:sz w:val="22"/>
                <w:szCs w:val="22"/>
                <w:lang w:val="en-GB"/>
              </w:rPr>
            </w:pPr>
            <w:r w:rsidRPr="00D93644">
              <w:rPr>
                <w:rFonts w:ascii="Arial" w:hAnsi="Arial" w:cs="Arial"/>
                <w:b/>
                <w:bCs/>
                <w:sz w:val="22"/>
                <w:szCs w:val="22"/>
                <w:lang w:val="en-GB"/>
              </w:rPr>
              <w:t>Zero-Order Correlation</w:t>
            </w:r>
          </w:p>
        </w:tc>
      </w:tr>
      <w:tr w:rsidR="00615957" w:rsidTr="000C6768">
        <w:tc>
          <w:tcPr>
            <w:tcW w:w="1376" w:type="dxa"/>
            <w:shd w:val="clear" w:color="auto" w:fill="D9D9D9" w:themeFill="background1" w:themeFillShade="D9"/>
            <w:vAlign w:val="center"/>
          </w:tcPr>
          <w:p w:rsidR="00F7224E" w:rsidRPr="00D93644" w:rsidRDefault="00F7224E" w:rsidP="00CB4552">
            <w:pPr>
              <w:pStyle w:val="a"/>
              <w:spacing w:line="115" w:lineRule="atLeast"/>
              <w:jc w:val="both"/>
              <w:rPr>
                <w:rFonts w:ascii="Arial" w:hAnsi="Arial" w:cs="Arial"/>
                <w:sz w:val="22"/>
                <w:szCs w:val="22"/>
                <w:lang w:val="en-GB"/>
              </w:rPr>
            </w:pPr>
            <w:r w:rsidRPr="00D93644">
              <w:rPr>
                <w:rFonts w:ascii="Arial" w:hAnsi="Arial" w:cs="Arial"/>
                <w:sz w:val="22"/>
                <w:szCs w:val="22"/>
                <w:lang w:val="en-GB"/>
              </w:rPr>
              <w:t>GEN</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0,067</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0,000</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0,101</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0,071</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0,000</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0,144</w:t>
            </w:r>
          </w:p>
        </w:tc>
      </w:tr>
      <w:tr w:rsidR="00615957" w:rsidTr="000C6768">
        <w:tc>
          <w:tcPr>
            <w:tcW w:w="1376" w:type="dxa"/>
            <w:vAlign w:val="center"/>
          </w:tcPr>
          <w:p w:rsidR="00F7224E" w:rsidRPr="00D93644" w:rsidRDefault="00F7224E" w:rsidP="00CB4552">
            <w:pPr>
              <w:pStyle w:val="a"/>
              <w:spacing w:line="115" w:lineRule="atLeast"/>
              <w:jc w:val="both"/>
              <w:rPr>
                <w:rFonts w:ascii="Arial" w:hAnsi="Arial" w:cs="Arial"/>
                <w:sz w:val="22"/>
                <w:szCs w:val="22"/>
                <w:lang w:val="en-GB"/>
              </w:rPr>
            </w:pPr>
            <w:r w:rsidRPr="00D93644">
              <w:rPr>
                <w:rFonts w:ascii="Arial" w:hAnsi="Arial" w:cs="Arial"/>
                <w:sz w:val="22"/>
                <w:szCs w:val="22"/>
                <w:lang w:val="en-GB"/>
              </w:rPr>
              <w:t>AGE</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0,021</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0,000</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0,127</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0,054</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0,000</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0,175</w:t>
            </w:r>
          </w:p>
        </w:tc>
      </w:tr>
      <w:tr w:rsidR="00615957" w:rsidTr="000C6768">
        <w:tc>
          <w:tcPr>
            <w:tcW w:w="1376" w:type="dxa"/>
            <w:shd w:val="clear" w:color="auto" w:fill="D9D9D9" w:themeFill="background1" w:themeFillShade="D9"/>
            <w:vAlign w:val="center"/>
          </w:tcPr>
          <w:p w:rsidR="00F7224E" w:rsidRPr="00D93644" w:rsidRDefault="00F7224E" w:rsidP="00CB4552">
            <w:pPr>
              <w:pStyle w:val="a"/>
              <w:spacing w:line="115" w:lineRule="atLeast"/>
              <w:jc w:val="both"/>
              <w:rPr>
                <w:rFonts w:ascii="Arial" w:hAnsi="Arial" w:cs="Arial"/>
                <w:sz w:val="22"/>
                <w:szCs w:val="22"/>
                <w:lang w:val="en-GB"/>
              </w:rPr>
            </w:pPr>
            <w:r w:rsidRPr="00D93644">
              <w:rPr>
                <w:rFonts w:ascii="Arial" w:hAnsi="Arial" w:cs="Arial"/>
                <w:sz w:val="22"/>
                <w:szCs w:val="22"/>
                <w:lang w:val="en-GB"/>
              </w:rPr>
              <w:t>SET_DUR</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0,088</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0,000</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0,190</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0,135</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0,000</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0,245</w:t>
            </w:r>
          </w:p>
        </w:tc>
      </w:tr>
      <w:tr w:rsidR="00615957" w:rsidTr="000C6768">
        <w:tc>
          <w:tcPr>
            <w:tcW w:w="1376" w:type="dxa"/>
            <w:vAlign w:val="center"/>
          </w:tcPr>
          <w:p w:rsidR="00F7224E" w:rsidRPr="00D93644" w:rsidRDefault="00F7224E" w:rsidP="00CB4552">
            <w:pPr>
              <w:pStyle w:val="a"/>
              <w:spacing w:line="115" w:lineRule="atLeast"/>
              <w:jc w:val="both"/>
              <w:rPr>
                <w:rFonts w:ascii="Arial" w:hAnsi="Arial" w:cs="Arial"/>
                <w:sz w:val="22"/>
                <w:szCs w:val="22"/>
                <w:lang w:val="en-GB"/>
              </w:rPr>
            </w:pPr>
            <w:r w:rsidRPr="00D93644">
              <w:rPr>
                <w:rFonts w:ascii="Arial" w:hAnsi="Arial" w:cs="Arial"/>
                <w:sz w:val="22"/>
                <w:szCs w:val="22"/>
                <w:lang w:val="en-GB"/>
              </w:rPr>
              <w:t>ESEC</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-0,064</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0,000</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-0,127</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-0,078</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0,000</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-0,163</w:t>
            </w:r>
          </w:p>
        </w:tc>
      </w:tr>
      <w:tr w:rsidR="00615957" w:rsidTr="000C6768">
        <w:tc>
          <w:tcPr>
            <w:tcW w:w="1376" w:type="dxa"/>
            <w:shd w:val="clear" w:color="auto" w:fill="D9D9D9" w:themeFill="background1" w:themeFillShade="D9"/>
            <w:vAlign w:val="center"/>
          </w:tcPr>
          <w:p w:rsidR="00F7224E" w:rsidRPr="00D93644" w:rsidRDefault="00F7224E" w:rsidP="00CB4552">
            <w:pPr>
              <w:pStyle w:val="a"/>
              <w:spacing w:line="115" w:lineRule="atLeast"/>
              <w:jc w:val="both"/>
              <w:rPr>
                <w:rFonts w:ascii="Arial" w:hAnsi="Arial" w:cs="Arial"/>
                <w:sz w:val="22"/>
                <w:szCs w:val="22"/>
                <w:lang w:val="en-GB"/>
              </w:rPr>
            </w:pPr>
            <w:r w:rsidRPr="00D93644">
              <w:rPr>
                <w:rFonts w:ascii="Arial" w:hAnsi="Arial" w:cs="Arial"/>
                <w:sz w:val="22"/>
                <w:szCs w:val="22"/>
                <w:lang w:val="en-GB"/>
              </w:rPr>
              <w:t>EDUL</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-0,067</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0,000</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-0,130</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-0,106</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0,000</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en-GB"/>
              </w:rPr>
            </w:pPr>
            <w:r w:rsidRPr="00D93644">
              <w:rPr>
                <w:rFonts w:ascii="Arial" w:hAnsi="Arial" w:cs="Arial"/>
                <w:sz w:val="22"/>
                <w:szCs w:val="22"/>
                <w:lang w:val="en-GB"/>
              </w:rPr>
              <w:t>-0,182</w:t>
            </w:r>
          </w:p>
        </w:tc>
      </w:tr>
      <w:tr w:rsidR="00615957" w:rsidTr="000C6768">
        <w:tc>
          <w:tcPr>
            <w:tcW w:w="1376" w:type="dxa"/>
            <w:vAlign w:val="center"/>
          </w:tcPr>
          <w:p w:rsidR="00F7224E" w:rsidRPr="00D93644" w:rsidRDefault="00F7224E" w:rsidP="00CB4552">
            <w:pPr>
              <w:pStyle w:val="a"/>
              <w:spacing w:line="115" w:lineRule="atLeast"/>
              <w:jc w:val="both"/>
              <w:rPr>
                <w:rFonts w:ascii="Arial" w:hAnsi="Arial" w:cs="Arial"/>
                <w:sz w:val="22"/>
                <w:szCs w:val="22"/>
                <w:lang w:val="en-GB"/>
              </w:rPr>
            </w:pPr>
            <w:r w:rsidRPr="00D93644">
              <w:rPr>
                <w:rFonts w:ascii="Arial" w:hAnsi="Arial" w:cs="Arial"/>
                <w:sz w:val="22"/>
                <w:szCs w:val="22"/>
                <w:lang w:val="en-GB"/>
              </w:rPr>
              <w:t>HHTYPE</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0,470</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0,000</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0,524</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0,262</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0,000</w:t>
            </w:r>
          </w:p>
        </w:tc>
        <w:tc>
          <w:tcPr>
            <w:tcW w:w="1377" w:type="dxa"/>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0,329</w:t>
            </w:r>
          </w:p>
        </w:tc>
      </w:tr>
      <w:tr w:rsidR="00615957" w:rsidTr="000C6768">
        <w:tc>
          <w:tcPr>
            <w:tcW w:w="1376" w:type="dxa"/>
            <w:shd w:val="clear" w:color="auto" w:fill="D9D9D9" w:themeFill="background1" w:themeFillShade="D9"/>
            <w:vAlign w:val="center"/>
          </w:tcPr>
          <w:p w:rsidR="00F7224E" w:rsidRPr="00D93644" w:rsidRDefault="00F7224E" w:rsidP="00CB4552">
            <w:pPr>
              <w:pStyle w:val="a"/>
              <w:spacing w:line="115" w:lineRule="atLeast"/>
              <w:jc w:val="both"/>
              <w:rPr>
                <w:rFonts w:ascii="Arial" w:hAnsi="Arial" w:cs="Arial"/>
                <w:sz w:val="22"/>
                <w:szCs w:val="22"/>
                <w:lang w:val="de-DE"/>
              </w:rPr>
            </w:pPr>
            <w:r w:rsidRPr="00D93644">
              <w:rPr>
                <w:rFonts w:ascii="Arial" w:hAnsi="Arial" w:cs="Arial"/>
                <w:sz w:val="22"/>
                <w:szCs w:val="22"/>
                <w:lang w:val="de-DE"/>
              </w:rPr>
              <w:t>NAT</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0,239</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0,000</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0,385</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0,307</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0,000</w:t>
            </w:r>
          </w:p>
        </w:tc>
        <w:tc>
          <w:tcPr>
            <w:tcW w:w="1377" w:type="dxa"/>
            <w:shd w:val="clear" w:color="auto" w:fill="D9D9D9" w:themeFill="background1" w:themeFillShade="D9"/>
            <w:vAlign w:val="center"/>
          </w:tcPr>
          <w:p w:rsidR="00F7224E" w:rsidRPr="00D93644" w:rsidRDefault="00F7224E" w:rsidP="00CB4552">
            <w:pPr>
              <w:pStyle w:val="a"/>
              <w:spacing w:line="115" w:lineRule="atLeast"/>
              <w:jc w:val="right"/>
              <w:rPr>
                <w:rFonts w:ascii="Arial" w:hAnsi="Arial" w:cs="Arial"/>
                <w:sz w:val="22"/>
                <w:szCs w:val="22"/>
                <w:lang w:val="de-DE"/>
              </w:rPr>
            </w:pPr>
            <w:r w:rsidRPr="00D93644">
              <w:rPr>
                <w:rFonts w:ascii="Arial" w:hAnsi="Arial" w:cs="Arial"/>
                <w:sz w:val="22"/>
                <w:szCs w:val="22"/>
                <w:lang w:val="de-DE"/>
              </w:rPr>
              <w:t>0,442</w:t>
            </w:r>
          </w:p>
        </w:tc>
      </w:tr>
      <w:tr w:rsidR="00615957" w:rsidTr="000C6768">
        <w:tc>
          <w:tcPr>
            <w:tcW w:w="1376" w:type="dxa"/>
            <w:vAlign w:val="center"/>
          </w:tcPr>
          <w:p w:rsidR="00F7224E" w:rsidRPr="00D93644" w:rsidRDefault="00F7224E" w:rsidP="00CB4552">
            <w:pPr>
              <w:pStyle w:val="a"/>
              <w:spacing w:line="115" w:lineRule="atLeast"/>
              <w:jc w:val="both"/>
              <w:rPr>
                <w:rFonts w:ascii="Arial" w:hAnsi="Arial" w:cs="Arial"/>
                <w:sz w:val="22"/>
                <w:szCs w:val="22"/>
                <w:lang w:val="de-DE"/>
              </w:rPr>
            </w:pPr>
          </w:p>
        </w:tc>
        <w:tc>
          <w:tcPr>
            <w:tcW w:w="4131" w:type="dxa"/>
            <w:gridSpan w:val="3"/>
            <w:vAlign w:val="center"/>
          </w:tcPr>
          <w:p w:rsidR="00F7224E" w:rsidRPr="00D93644" w:rsidRDefault="00F7224E" w:rsidP="00CB4552">
            <w:pPr>
              <w:pStyle w:val="a"/>
              <w:spacing w:line="115" w:lineRule="atLeast"/>
              <w:jc w:val="center"/>
              <w:rPr>
                <w:rFonts w:ascii="Arial" w:hAnsi="Arial" w:cs="Arial"/>
                <w:sz w:val="22"/>
                <w:szCs w:val="22"/>
                <w:lang w:val="en-US"/>
              </w:rPr>
            </w:pPr>
            <w:r w:rsidRPr="00D93644">
              <w:rPr>
                <w:rFonts w:ascii="Arial" w:hAnsi="Arial" w:cs="Arial"/>
                <w:sz w:val="22"/>
                <w:szCs w:val="22"/>
                <w:lang w:val="de-DE"/>
              </w:rPr>
              <w:t>Adj. R</w:t>
            </w:r>
            <w:r w:rsidRPr="00D93644">
              <w:rPr>
                <w:rFonts w:ascii="Arial" w:hAnsi="Arial" w:cs="Arial"/>
                <w:sz w:val="22"/>
                <w:szCs w:val="22"/>
                <w:vertAlign w:val="superscript"/>
                <w:lang w:val="de-DE"/>
              </w:rPr>
              <w:t xml:space="preserve">2 </w:t>
            </w:r>
            <w:r w:rsidRPr="00D93644">
              <w:rPr>
                <w:rFonts w:ascii="Arial" w:hAnsi="Arial" w:cs="Arial"/>
                <w:sz w:val="22"/>
                <w:szCs w:val="22"/>
                <w:lang w:val="de-DE"/>
              </w:rPr>
              <w:t xml:space="preserve">= 0,380 F = 274,5 Sig. </w:t>
            </w:r>
            <w:r w:rsidRPr="00D93644">
              <w:rPr>
                <w:rFonts w:ascii="Arial" w:hAnsi="Arial" w:cs="Arial"/>
                <w:sz w:val="22"/>
                <w:szCs w:val="22"/>
                <w:lang w:val="en-US"/>
              </w:rPr>
              <w:t>= 0,000</w:t>
            </w:r>
          </w:p>
        </w:tc>
        <w:tc>
          <w:tcPr>
            <w:tcW w:w="4131" w:type="dxa"/>
            <w:gridSpan w:val="3"/>
            <w:vAlign w:val="center"/>
          </w:tcPr>
          <w:p w:rsidR="00F7224E" w:rsidRPr="00D93644" w:rsidRDefault="00F7224E" w:rsidP="00CB4552">
            <w:pPr>
              <w:pStyle w:val="a"/>
              <w:spacing w:line="115" w:lineRule="atLeast"/>
              <w:jc w:val="center"/>
              <w:rPr>
                <w:rFonts w:ascii="Arial" w:hAnsi="Arial" w:cs="Arial"/>
                <w:color w:val="000000"/>
                <w:sz w:val="22"/>
                <w:szCs w:val="22"/>
                <w:lang w:val="en-GB"/>
              </w:rPr>
            </w:pPr>
            <w:r w:rsidRPr="00D93644">
              <w:rPr>
                <w:rFonts w:ascii="Arial" w:hAnsi="Arial" w:cs="Arial"/>
                <w:sz w:val="22"/>
                <w:szCs w:val="22"/>
                <w:lang w:val="en-US"/>
              </w:rPr>
              <w:t>Adj. R</w:t>
            </w:r>
            <w:r w:rsidRPr="00D93644">
              <w:rPr>
                <w:rFonts w:ascii="Arial" w:hAnsi="Arial" w:cs="Arial"/>
                <w:sz w:val="22"/>
                <w:szCs w:val="22"/>
                <w:vertAlign w:val="superscript"/>
                <w:lang w:val="en-US"/>
              </w:rPr>
              <w:t xml:space="preserve">2 </w:t>
            </w:r>
            <w:r w:rsidRPr="00D93644">
              <w:rPr>
                <w:rFonts w:ascii="Arial" w:hAnsi="Arial" w:cs="Arial"/>
                <w:sz w:val="22"/>
                <w:szCs w:val="22"/>
                <w:lang w:val="en-US"/>
              </w:rPr>
              <w:t>= 0,305 F = 198,6 Sig. = 0,000</w:t>
            </w:r>
          </w:p>
        </w:tc>
      </w:tr>
    </w:tbl>
    <w:p w:rsidR="00F7224E" w:rsidRPr="00D93644" w:rsidRDefault="00F7224E" w:rsidP="00F7224E">
      <w:pPr>
        <w:pStyle w:val="2"/>
        <w:tabs>
          <w:tab w:val="left" w:pos="0"/>
        </w:tabs>
        <w:spacing w:after="0" w:line="360" w:lineRule="auto"/>
        <w:ind w:left="0" w:firstLine="15"/>
        <w:jc w:val="both"/>
        <w:rPr>
          <w:rFonts w:ascii="Arial" w:hAnsi="Arial" w:cs="Arial"/>
          <w:color w:val="000000"/>
          <w:sz w:val="22"/>
          <w:szCs w:val="22"/>
          <w:lang w:val="en-GB"/>
        </w:rPr>
      </w:pPr>
    </w:p>
    <w:p w:rsidR="00F7224E" w:rsidRPr="00D93644" w:rsidRDefault="00F7224E" w:rsidP="000C6768">
      <w:pPr>
        <w:spacing w:line="276" w:lineRule="auto"/>
        <w:rPr>
          <w:lang w:val="en-US"/>
        </w:rPr>
      </w:pPr>
      <w:r w:rsidRPr="00D93644">
        <w:rPr>
          <w:lang w:val="en-US"/>
        </w:rPr>
        <w:t xml:space="preserve">The contribution of the type of household is largely explained by the position of immigrants in single-member households who expectedly enjoy much more domestic surface. However, against expectations, immigrants in nuclear families are situated slightly below immigrants in multi-member households with or without family relations and those in single-parent households. This is a strong indication that a large part of immigrant nuclear families are exposed to dangers of material deprivation at least comparable to the dangers faced by immigrants outside nuclear family households. </w:t>
      </w:r>
    </w:p>
    <w:p w:rsidR="00F7224E" w:rsidRPr="00D93644" w:rsidRDefault="00F7224E" w:rsidP="000C6768">
      <w:pPr>
        <w:spacing w:line="276" w:lineRule="auto"/>
        <w:rPr>
          <w:lang w:val="en-US"/>
        </w:rPr>
      </w:pPr>
      <w:r w:rsidRPr="00D93644">
        <w:rPr>
          <w:lang w:val="en-US"/>
        </w:rPr>
        <w:t xml:space="preserve">The importance of the nationality in both models indicates that there is an independent ethnic element in the pattern of exposure to poverty/social exclusion. Some ethnic groups such as the Pakistani and the Bangladeshi appear much more vulnerable than others, such as the Bulgarians and the Ukrainians, while for the latter </w:t>
      </w:r>
      <w:r w:rsidRPr="00D93644">
        <w:rPr>
          <w:lang w:val="en-US"/>
        </w:rPr>
        <w:lastRenderedPageBreak/>
        <w:t xml:space="preserve">(as well as for other female dominated groups) better living conditions are to some extent explained by their proportion in the sector of domestic services and their live-in status. The largest group of Albanians is situated close to the bottom of the hierarchy. </w:t>
      </w:r>
    </w:p>
    <w:p w:rsidR="00F7224E" w:rsidRPr="00D93644" w:rsidRDefault="00F7224E" w:rsidP="000C6768">
      <w:pPr>
        <w:spacing w:line="276" w:lineRule="auto"/>
        <w:rPr>
          <w:lang w:val="en-US"/>
        </w:rPr>
      </w:pPr>
      <w:r w:rsidRPr="00D93644">
        <w:rPr>
          <w:lang w:val="en-US"/>
        </w:rPr>
        <w:t xml:space="preserve">In both models, the relationship between the dependent variable and the duration of residence in Greece is in the expected direction, indicating a small improvement of integration </w:t>
      </w:r>
      <w:r w:rsidR="00EE7E64">
        <w:rPr>
          <w:lang w:val="en-US"/>
        </w:rPr>
        <w:t>prospects for those that settled</w:t>
      </w:r>
      <w:r w:rsidRPr="00D93644">
        <w:rPr>
          <w:lang w:val="en-US"/>
        </w:rPr>
        <w:t xml:space="preserve"> earlier. It is worth to note that the importance of the duration of residence and the ethnic group increase between the two models, while the importance of household type is reduced in the latter, where the dependent variable is more comprehensive. Thus the importance of the ethnic group and the duration of residence seem to increase when, apart from domestic space, tenure and heating equipment are also considered as indicators of social integration.</w:t>
      </w:r>
    </w:p>
    <w:p w:rsidR="00F7224E" w:rsidRPr="00D93644" w:rsidRDefault="00F7224E" w:rsidP="000C6768">
      <w:pPr>
        <w:spacing w:line="276" w:lineRule="auto"/>
        <w:rPr>
          <w:lang w:val="en-US"/>
        </w:rPr>
      </w:pPr>
      <w:r w:rsidRPr="00D93644">
        <w:rPr>
          <w:lang w:val="en-US"/>
        </w:rPr>
        <w:t>For the less important variables of the analysis the relationships are in general in the expected direction, with immigrants in the lower echelons of the socioeconomic and the educational hierarchy being slightly more vulnerable to risks of deprivation. The low importance of these two variables might be explained respectively by the concentration of the biggest part of the immigrant population in the lower socioeconomic categories and by the dequalification of the immigrant population in the process of integration in the Athenian labour market (Labrianidis</w:t>
      </w:r>
      <w:r w:rsidR="000C6768">
        <w:rPr>
          <w:lang w:val="en-US"/>
        </w:rPr>
        <w:t>,</w:t>
      </w:r>
      <w:r w:rsidRPr="00D93644">
        <w:rPr>
          <w:lang w:val="en-US"/>
        </w:rPr>
        <w:t xml:space="preserve"> 2011). Socioeconomic category and education level are more important in Model 2. </w:t>
      </w:r>
    </w:p>
    <w:p w:rsidR="00F7224E" w:rsidRPr="00D93644" w:rsidRDefault="00F7224E" w:rsidP="000C6768">
      <w:pPr>
        <w:spacing w:line="276" w:lineRule="auto"/>
        <w:rPr>
          <w:lang w:val="en-US"/>
        </w:rPr>
      </w:pPr>
      <w:r w:rsidRPr="00D93644">
        <w:rPr>
          <w:lang w:val="en-US"/>
        </w:rPr>
        <w:t>Age and gender of the individuals are also of low importance. However the importance of the nationality may reflect the contextual importance of the age structure and the gender composition of the ethnic group in which individuals participate.</w:t>
      </w:r>
    </w:p>
    <w:p w:rsidR="000C6768" w:rsidRPr="007965C9" w:rsidRDefault="00F7224E" w:rsidP="000C6768">
      <w:pPr>
        <w:spacing w:line="276" w:lineRule="auto"/>
        <w:rPr>
          <w:color w:val="000000"/>
        </w:rPr>
      </w:pPr>
      <w:r w:rsidRPr="00D93644">
        <w:rPr>
          <w:color w:val="000000"/>
        </w:rPr>
        <w:t xml:space="preserve">Applying a classification tree process we can identify clusters of ethnic groups with similar living conditions in terms of the interaction between available domestic space, tenure and heating equipment. These clusters, which we term socio-ethnic groups, are presented in </w:t>
      </w:r>
      <w:r w:rsidR="000C6768">
        <w:rPr>
          <w:color w:val="000000"/>
        </w:rPr>
        <w:fldChar w:fldCharType="begin"/>
      </w:r>
      <w:r w:rsidR="000C6768">
        <w:rPr>
          <w:color w:val="000000"/>
        </w:rPr>
        <w:instrText xml:space="preserve"> REF _Ref384743015 \h </w:instrText>
      </w:r>
      <w:r w:rsidR="000C6768">
        <w:rPr>
          <w:color w:val="000000"/>
        </w:rPr>
      </w:r>
      <w:r w:rsidR="000C6768">
        <w:rPr>
          <w:color w:val="000000"/>
        </w:rPr>
        <w:fldChar w:fldCharType="separate"/>
      </w:r>
      <w:r w:rsidR="002634D4">
        <w:t xml:space="preserve">Table </w:t>
      </w:r>
      <w:r w:rsidR="002634D4">
        <w:rPr>
          <w:noProof/>
        </w:rPr>
        <w:t>14</w:t>
      </w:r>
      <w:r w:rsidR="000C6768">
        <w:rPr>
          <w:color w:val="000000"/>
        </w:rPr>
        <w:fldChar w:fldCharType="end"/>
      </w:r>
      <w:r w:rsidR="000C6768">
        <w:rPr>
          <w:color w:val="000000"/>
        </w:rPr>
        <w:t xml:space="preserve"> </w:t>
      </w:r>
      <w:r w:rsidRPr="00D93644">
        <w:rPr>
          <w:color w:val="000000"/>
        </w:rPr>
        <w:t>and some basic indicators are presented in</w:t>
      </w:r>
      <w:r w:rsidR="000C6768">
        <w:rPr>
          <w:color w:val="000000"/>
        </w:rPr>
        <w:t xml:space="preserve"> </w:t>
      </w:r>
      <w:r w:rsidR="000C6768">
        <w:rPr>
          <w:color w:val="000000"/>
        </w:rPr>
        <w:fldChar w:fldCharType="begin"/>
      </w:r>
      <w:r w:rsidR="000C6768">
        <w:rPr>
          <w:color w:val="000000"/>
        </w:rPr>
        <w:instrText xml:space="preserve"> REF _Ref384743141 \h </w:instrText>
      </w:r>
      <w:r w:rsidR="000C6768">
        <w:rPr>
          <w:color w:val="000000"/>
        </w:rPr>
      </w:r>
      <w:r w:rsidR="000C6768">
        <w:rPr>
          <w:color w:val="000000"/>
        </w:rPr>
        <w:fldChar w:fldCharType="separate"/>
      </w:r>
      <w:r w:rsidR="002634D4">
        <w:t xml:space="preserve">Table </w:t>
      </w:r>
      <w:r w:rsidR="002634D4">
        <w:rPr>
          <w:noProof/>
        </w:rPr>
        <w:t>15</w:t>
      </w:r>
      <w:r w:rsidR="000C6768">
        <w:rPr>
          <w:color w:val="000000"/>
        </w:rPr>
        <w:fldChar w:fldCharType="end"/>
      </w:r>
      <w:r w:rsidRPr="00D93644">
        <w:rPr>
          <w:color w:val="000000"/>
        </w:rPr>
        <w:t>.</w:t>
      </w:r>
    </w:p>
    <w:p w:rsidR="000C6768" w:rsidRDefault="000C6768" w:rsidP="007965C9">
      <w:pPr>
        <w:pStyle w:val="Caption"/>
        <w:keepNext/>
        <w:spacing w:before="240" w:after="120"/>
      </w:pPr>
      <w:bookmarkStart w:id="43" w:name="_Ref384743015"/>
      <w:bookmarkStart w:id="44" w:name="_Toc386013250"/>
      <w:r>
        <w:t xml:space="preserve">Table </w:t>
      </w:r>
      <w:r w:rsidR="00CC1B00">
        <w:fldChar w:fldCharType="begin"/>
      </w:r>
      <w:r w:rsidR="00CC1B00">
        <w:instrText xml:space="preserve"> SEQ Table \* ARABIC </w:instrText>
      </w:r>
      <w:r w:rsidR="00CC1B00">
        <w:fldChar w:fldCharType="separate"/>
      </w:r>
      <w:r w:rsidR="002634D4">
        <w:rPr>
          <w:noProof/>
        </w:rPr>
        <w:t>14</w:t>
      </w:r>
      <w:r w:rsidR="00CC1B00">
        <w:rPr>
          <w:noProof/>
        </w:rPr>
        <w:fldChar w:fldCharType="end"/>
      </w:r>
      <w:bookmarkEnd w:id="43"/>
      <w:r>
        <w:t xml:space="preserve">: </w:t>
      </w:r>
      <w:r w:rsidRPr="000C6768">
        <w:t>Composition of</w:t>
      </w:r>
      <w:r>
        <w:t xml:space="preserve"> socio-ethnic groups,</w:t>
      </w:r>
      <w:r w:rsidRPr="000C6768">
        <w:t xml:space="preserve"> MRA, 2001</w:t>
      </w:r>
      <w:bookmarkEnd w:id="44"/>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7"/>
        <w:gridCol w:w="4604"/>
        <w:gridCol w:w="1394"/>
        <w:gridCol w:w="1765"/>
      </w:tblGrid>
      <w:tr w:rsidR="00F7224E" w:rsidRPr="000C6768" w:rsidTr="000C6768">
        <w:tc>
          <w:tcPr>
            <w:tcW w:w="643" w:type="dxa"/>
            <w:tcBorders>
              <w:bottom w:val="single" w:sz="18" w:space="0" w:color="auto"/>
            </w:tcBorders>
            <w:vAlign w:val="center"/>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GB"/>
              </w:rPr>
            </w:pPr>
            <w:r w:rsidRPr="000C6768">
              <w:rPr>
                <w:rFonts w:ascii="Arial" w:hAnsi="Arial" w:cs="Arial"/>
                <w:b/>
                <w:color w:val="000000"/>
                <w:sz w:val="19"/>
                <w:szCs w:val="19"/>
                <w:lang w:val="en-GB"/>
              </w:rPr>
              <w:t>SEG</w:t>
            </w:r>
          </w:p>
        </w:tc>
        <w:tc>
          <w:tcPr>
            <w:tcW w:w="4616" w:type="dxa"/>
            <w:tcBorders>
              <w:bottom w:val="single" w:sz="18" w:space="0" w:color="auto"/>
            </w:tcBorders>
            <w:vAlign w:val="center"/>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GB"/>
              </w:rPr>
            </w:pPr>
            <w:r w:rsidRPr="000C6768">
              <w:rPr>
                <w:rFonts w:ascii="Arial" w:hAnsi="Arial" w:cs="Arial"/>
                <w:b/>
                <w:color w:val="000000"/>
                <w:sz w:val="19"/>
                <w:szCs w:val="19"/>
                <w:lang w:val="en-GB"/>
              </w:rPr>
              <w:t>Ethnic groups</w:t>
            </w:r>
          </w:p>
        </w:tc>
        <w:tc>
          <w:tcPr>
            <w:tcW w:w="1395" w:type="dxa"/>
            <w:tcBorders>
              <w:bottom w:val="single" w:sz="18" w:space="0" w:color="auto"/>
            </w:tcBorders>
            <w:vAlign w:val="center"/>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GB"/>
              </w:rPr>
            </w:pPr>
            <w:r w:rsidRPr="000C6768">
              <w:rPr>
                <w:rFonts w:ascii="Arial" w:hAnsi="Arial" w:cs="Arial"/>
                <w:b/>
                <w:color w:val="000000"/>
                <w:sz w:val="19"/>
                <w:szCs w:val="19"/>
                <w:lang w:val="en-GB"/>
              </w:rPr>
              <w:t>Share in the aggregate immigrant population</w:t>
            </w:r>
          </w:p>
        </w:tc>
        <w:tc>
          <w:tcPr>
            <w:tcW w:w="1766" w:type="dxa"/>
            <w:tcBorders>
              <w:bottom w:val="single" w:sz="18" w:space="0" w:color="auto"/>
            </w:tcBorders>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US"/>
              </w:rPr>
            </w:pPr>
            <w:r w:rsidRPr="000C6768">
              <w:rPr>
                <w:rFonts w:ascii="Arial" w:hAnsi="Arial" w:cs="Arial"/>
                <w:b/>
                <w:color w:val="000000"/>
                <w:sz w:val="19"/>
                <w:szCs w:val="19"/>
                <w:lang w:val="en-US"/>
              </w:rPr>
              <w:t>Interaction</w:t>
            </w:r>
          </w:p>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US"/>
              </w:rPr>
            </w:pPr>
            <w:r w:rsidRPr="000C6768">
              <w:rPr>
                <w:rFonts w:ascii="Arial" w:hAnsi="Arial" w:cs="Arial"/>
                <w:b/>
                <w:color w:val="000000"/>
                <w:sz w:val="19"/>
                <w:szCs w:val="19"/>
                <w:lang w:val="en-US"/>
              </w:rPr>
              <w:t>DM*TEN*HEAT (mean score)</w:t>
            </w:r>
          </w:p>
        </w:tc>
      </w:tr>
      <w:tr w:rsidR="00F7224E" w:rsidRPr="000C6768" w:rsidTr="000C6768">
        <w:tc>
          <w:tcPr>
            <w:tcW w:w="643" w:type="dxa"/>
            <w:tcBorders>
              <w:top w:val="single" w:sz="18" w:space="0" w:color="auto"/>
            </w:tcBorders>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1</w:t>
            </w:r>
          </w:p>
        </w:tc>
        <w:tc>
          <w:tcPr>
            <w:tcW w:w="4616" w:type="dxa"/>
            <w:tcBorders>
              <w:top w:val="single" w:sz="18" w:space="0" w:color="auto"/>
            </w:tcBorders>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rPr>
                <w:rFonts w:ascii="Arial" w:hAnsi="Arial" w:cs="Arial"/>
                <w:color w:val="000000"/>
                <w:sz w:val="19"/>
                <w:szCs w:val="19"/>
                <w:lang w:val="en-GB"/>
              </w:rPr>
            </w:pPr>
            <w:r w:rsidRPr="000C6768">
              <w:rPr>
                <w:rFonts w:ascii="Arial" w:hAnsi="Arial" w:cs="Arial"/>
                <w:color w:val="000000"/>
                <w:sz w:val="19"/>
                <w:szCs w:val="19"/>
                <w:lang w:val="en-GB"/>
              </w:rPr>
              <w:t>Albania</w:t>
            </w:r>
          </w:p>
        </w:tc>
        <w:tc>
          <w:tcPr>
            <w:tcW w:w="1395" w:type="dxa"/>
            <w:tcBorders>
              <w:top w:val="single" w:sz="18" w:space="0" w:color="auto"/>
            </w:tcBorders>
            <w:shd w:val="clear" w:color="auto" w:fill="D9D9D9" w:themeFill="background1" w:themeFillShade="D9"/>
            <w:vAlign w:val="bottom"/>
          </w:tcPr>
          <w:p w:rsidR="00F7224E" w:rsidRPr="000C6768" w:rsidRDefault="00F7224E" w:rsidP="000C6768">
            <w:pPr>
              <w:spacing w:before="20" w:after="20" w:line="240" w:lineRule="auto"/>
              <w:jc w:val="right"/>
              <w:rPr>
                <w:rFonts w:eastAsia="Arial Unicode MS" w:cs="Arial"/>
                <w:sz w:val="19"/>
                <w:szCs w:val="19"/>
              </w:rPr>
            </w:pPr>
            <w:r w:rsidRPr="000C6768">
              <w:rPr>
                <w:rFonts w:cs="Arial"/>
                <w:sz w:val="19"/>
                <w:szCs w:val="19"/>
              </w:rPr>
              <w:t>51.6%</w:t>
            </w:r>
          </w:p>
        </w:tc>
        <w:tc>
          <w:tcPr>
            <w:tcW w:w="1766" w:type="dxa"/>
            <w:tcBorders>
              <w:top w:val="single" w:sz="18" w:space="0" w:color="auto"/>
            </w:tcBorders>
            <w:shd w:val="clear" w:color="auto" w:fill="D9D9D9" w:themeFill="background1" w:themeFillShade="D9"/>
            <w:vAlign w:val="bottom"/>
          </w:tcPr>
          <w:p w:rsidR="00F7224E" w:rsidRPr="000C6768" w:rsidRDefault="00F7224E" w:rsidP="000C6768">
            <w:pPr>
              <w:spacing w:before="20" w:after="20" w:line="240" w:lineRule="auto"/>
              <w:jc w:val="right"/>
              <w:rPr>
                <w:rFonts w:eastAsia="Arial Unicode MS" w:cs="Arial"/>
                <w:sz w:val="19"/>
                <w:szCs w:val="19"/>
                <w:lang w:val="en-US"/>
              </w:rPr>
            </w:pPr>
            <w:r w:rsidRPr="000C6768">
              <w:rPr>
                <w:rFonts w:cs="Arial"/>
                <w:sz w:val="19"/>
                <w:szCs w:val="19"/>
              </w:rPr>
              <w:t>8.</w:t>
            </w:r>
            <w:r w:rsidRPr="000C6768">
              <w:rPr>
                <w:rFonts w:cs="Arial"/>
                <w:sz w:val="19"/>
                <w:szCs w:val="19"/>
                <w:lang w:val="en-US"/>
              </w:rPr>
              <w:t>9</w:t>
            </w:r>
          </w:p>
        </w:tc>
      </w:tr>
      <w:tr w:rsidR="00F7224E" w:rsidRPr="000C6768" w:rsidTr="000C6768">
        <w:tc>
          <w:tcPr>
            <w:tcW w:w="643"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2</w:t>
            </w:r>
          </w:p>
        </w:tc>
        <w:tc>
          <w:tcPr>
            <w:tcW w:w="4616"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rPr>
                <w:rFonts w:ascii="Arial" w:hAnsi="Arial" w:cs="Arial"/>
                <w:color w:val="000000"/>
                <w:sz w:val="19"/>
                <w:szCs w:val="19"/>
                <w:lang w:val="en-GB"/>
              </w:rPr>
            </w:pPr>
            <w:r w:rsidRPr="000C6768">
              <w:rPr>
                <w:rFonts w:ascii="Arial" w:hAnsi="Arial" w:cs="Arial"/>
                <w:color w:val="000000"/>
                <w:sz w:val="19"/>
                <w:szCs w:val="19"/>
                <w:lang w:val="en-GB"/>
              </w:rPr>
              <w:t xml:space="preserve">Armenia, Egypt, Kazakhstan, Nigeria, Poland, Romania, Syria </w:t>
            </w:r>
          </w:p>
        </w:tc>
        <w:tc>
          <w:tcPr>
            <w:tcW w:w="1395" w:type="dxa"/>
            <w:shd w:val="clear" w:color="auto" w:fill="D9D9D9" w:themeFill="background1" w:themeFillShade="D9"/>
            <w:vAlign w:val="bottom"/>
          </w:tcPr>
          <w:p w:rsidR="00F7224E" w:rsidRPr="000C6768" w:rsidRDefault="00F7224E" w:rsidP="000C6768">
            <w:pPr>
              <w:spacing w:before="20" w:after="20" w:line="240" w:lineRule="auto"/>
              <w:jc w:val="right"/>
              <w:rPr>
                <w:rFonts w:eastAsia="Arial Unicode MS" w:cs="Arial"/>
                <w:sz w:val="19"/>
                <w:szCs w:val="19"/>
              </w:rPr>
            </w:pPr>
            <w:r w:rsidRPr="000C6768">
              <w:rPr>
                <w:rFonts w:cs="Arial"/>
                <w:sz w:val="19"/>
                <w:szCs w:val="19"/>
              </w:rPr>
              <w:t>7.9%</w:t>
            </w:r>
          </w:p>
        </w:tc>
        <w:tc>
          <w:tcPr>
            <w:tcW w:w="1766" w:type="dxa"/>
            <w:shd w:val="clear" w:color="auto" w:fill="D9D9D9" w:themeFill="background1" w:themeFillShade="D9"/>
            <w:vAlign w:val="bottom"/>
          </w:tcPr>
          <w:p w:rsidR="00F7224E" w:rsidRPr="000C6768" w:rsidRDefault="00F7224E" w:rsidP="000C6768">
            <w:pPr>
              <w:spacing w:before="20" w:after="20" w:line="240" w:lineRule="auto"/>
              <w:jc w:val="right"/>
              <w:rPr>
                <w:rFonts w:eastAsia="Arial Unicode MS" w:cs="Arial"/>
                <w:sz w:val="19"/>
                <w:szCs w:val="19"/>
                <w:lang w:val="en-US"/>
              </w:rPr>
            </w:pPr>
            <w:r w:rsidRPr="000C6768">
              <w:rPr>
                <w:rFonts w:cs="Arial"/>
                <w:sz w:val="19"/>
                <w:szCs w:val="19"/>
              </w:rPr>
              <w:t>14.</w:t>
            </w:r>
            <w:r w:rsidRPr="000C6768">
              <w:rPr>
                <w:rFonts w:cs="Arial"/>
                <w:sz w:val="19"/>
                <w:szCs w:val="19"/>
                <w:lang w:val="en-US"/>
              </w:rPr>
              <w:t>3</w:t>
            </w:r>
          </w:p>
        </w:tc>
      </w:tr>
      <w:tr w:rsidR="00F7224E" w:rsidRPr="000C6768" w:rsidTr="000C6768">
        <w:tc>
          <w:tcPr>
            <w:tcW w:w="643" w:type="dxa"/>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3</w:t>
            </w:r>
          </w:p>
        </w:tc>
        <w:tc>
          <w:tcPr>
            <w:tcW w:w="4616" w:type="dxa"/>
            <w:vAlign w:val="center"/>
          </w:tcPr>
          <w:p w:rsidR="00F7224E" w:rsidRPr="000C6768" w:rsidRDefault="00F7224E" w:rsidP="000C6768">
            <w:pPr>
              <w:pStyle w:val="2"/>
              <w:tabs>
                <w:tab w:val="left" w:pos="0"/>
              </w:tabs>
              <w:spacing w:before="20" w:after="20" w:line="240" w:lineRule="auto"/>
              <w:ind w:left="0"/>
              <w:rPr>
                <w:rFonts w:ascii="Arial" w:hAnsi="Arial" w:cs="Arial"/>
                <w:color w:val="000000"/>
                <w:sz w:val="19"/>
                <w:szCs w:val="19"/>
                <w:lang w:val="en-GB"/>
              </w:rPr>
            </w:pPr>
            <w:r w:rsidRPr="000C6768">
              <w:rPr>
                <w:rFonts w:ascii="Arial" w:hAnsi="Arial" w:cs="Arial"/>
                <w:color w:val="000000"/>
                <w:sz w:val="19"/>
                <w:szCs w:val="19"/>
                <w:lang w:val="en-GB"/>
              </w:rPr>
              <w:t xml:space="preserve">Bangladesh, India, Iraq, Pakistan </w:t>
            </w:r>
          </w:p>
        </w:tc>
        <w:tc>
          <w:tcPr>
            <w:tcW w:w="1395" w:type="dxa"/>
            <w:vAlign w:val="bottom"/>
          </w:tcPr>
          <w:p w:rsidR="00F7224E" w:rsidRPr="000C6768" w:rsidRDefault="00F7224E" w:rsidP="000C6768">
            <w:pPr>
              <w:spacing w:before="20" w:after="20" w:line="240" w:lineRule="auto"/>
              <w:jc w:val="right"/>
              <w:rPr>
                <w:rFonts w:eastAsia="Arial Unicode MS" w:cs="Arial"/>
                <w:sz w:val="19"/>
                <w:szCs w:val="19"/>
              </w:rPr>
            </w:pPr>
            <w:r w:rsidRPr="000C6768">
              <w:rPr>
                <w:rFonts w:cs="Arial"/>
                <w:sz w:val="19"/>
                <w:szCs w:val="19"/>
              </w:rPr>
              <w:t>3.7%</w:t>
            </w:r>
          </w:p>
        </w:tc>
        <w:tc>
          <w:tcPr>
            <w:tcW w:w="1766" w:type="dxa"/>
            <w:vAlign w:val="bottom"/>
          </w:tcPr>
          <w:p w:rsidR="00F7224E" w:rsidRPr="000C6768" w:rsidRDefault="00F7224E" w:rsidP="000C6768">
            <w:pPr>
              <w:spacing w:before="20" w:after="20" w:line="240" w:lineRule="auto"/>
              <w:jc w:val="right"/>
              <w:rPr>
                <w:rFonts w:eastAsia="Arial Unicode MS" w:cs="Arial"/>
                <w:sz w:val="19"/>
                <w:szCs w:val="19"/>
                <w:lang w:val="en-US"/>
              </w:rPr>
            </w:pPr>
            <w:r w:rsidRPr="000C6768">
              <w:rPr>
                <w:rFonts w:cs="Arial"/>
                <w:sz w:val="19"/>
                <w:szCs w:val="19"/>
              </w:rPr>
              <w:t>6.</w:t>
            </w:r>
            <w:r w:rsidRPr="000C6768">
              <w:rPr>
                <w:rFonts w:cs="Arial"/>
                <w:sz w:val="19"/>
                <w:szCs w:val="19"/>
                <w:lang w:val="en-US"/>
              </w:rPr>
              <w:t>6</w:t>
            </w:r>
          </w:p>
        </w:tc>
      </w:tr>
      <w:tr w:rsidR="00F7224E" w:rsidRPr="000C6768" w:rsidTr="000C6768">
        <w:tc>
          <w:tcPr>
            <w:tcW w:w="643"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4</w:t>
            </w:r>
          </w:p>
        </w:tc>
        <w:tc>
          <w:tcPr>
            <w:tcW w:w="4616"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rPr>
                <w:rFonts w:ascii="Arial" w:hAnsi="Arial" w:cs="Arial"/>
                <w:color w:val="000000"/>
                <w:sz w:val="19"/>
                <w:szCs w:val="19"/>
                <w:lang w:val="en-GB"/>
              </w:rPr>
            </w:pPr>
            <w:r w:rsidRPr="000C6768">
              <w:rPr>
                <w:rFonts w:ascii="Arial" w:hAnsi="Arial" w:cs="Arial"/>
                <w:color w:val="000000"/>
                <w:sz w:val="19"/>
                <w:szCs w:val="19"/>
                <w:lang w:val="en-GB"/>
              </w:rPr>
              <w:t>Bulgaria, Georgia, Turkey, Ukraine</w:t>
            </w:r>
          </w:p>
        </w:tc>
        <w:tc>
          <w:tcPr>
            <w:tcW w:w="1395" w:type="dxa"/>
            <w:shd w:val="clear" w:color="auto" w:fill="D9D9D9" w:themeFill="background1" w:themeFillShade="D9"/>
            <w:vAlign w:val="bottom"/>
          </w:tcPr>
          <w:p w:rsidR="00F7224E" w:rsidRPr="000C6768" w:rsidRDefault="00F7224E" w:rsidP="000C6768">
            <w:pPr>
              <w:spacing w:before="20" w:after="20" w:line="240" w:lineRule="auto"/>
              <w:jc w:val="right"/>
              <w:rPr>
                <w:rFonts w:eastAsia="Arial Unicode MS" w:cs="Arial"/>
                <w:sz w:val="19"/>
                <w:szCs w:val="19"/>
              </w:rPr>
            </w:pPr>
            <w:r w:rsidRPr="000C6768">
              <w:rPr>
                <w:rFonts w:cs="Arial"/>
                <w:sz w:val="19"/>
                <w:szCs w:val="19"/>
              </w:rPr>
              <w:t>11.3%</w:t>
            </w:r>
          </w:p>
        </w:tc>
        <w:tc>
          <w:tcPr>
            <w:tcW w:w="1766" w:type="dxa"/>
            <w:shd w:val="clear" w:color="auto" w:fill="D9D9D9" w:themeFill="background1" w:themeFillShade="D9"/>
            <w:vAlign w:val="bottom"/>
          </w:tcPr>
          <w:p w:rsidR="00F7224E" w:rsidRPr="000C6768" w:rsidRDefault="00F7224E" w:rsidP="000C6768">
            <w:pPr>
              <w:spacing w:before="20" w:after="20" w:line="240" w:lineRule="auto"/>
              <w:jc w:val="right"/>
              <w:rPr>
                <w:rFonts w:eastAsia="Arial Unicode MS" w:cs="Arial"/>
                <w:sz w:val="19"/>
                <w:szCs w:val="19"/>
                <w:lang w:val="en-US"/>
              </w:rPr>
            </w:pPr>
            <w:r w:rsidRPr="000C6768">
              <w:rPr>
                <w:rFonts w:cs="Arial"/>
                <w:sz w:val="19"/>
                <w:szCs w:val="19"/>
              </w:rPr>
              <w:t>24.</w:t>
            </w:r>
            <w:r w:rsidRPr="000C6768">
              <w:rPr>
                <w:rFonts w:cs="Arial"/>
                <w:sz w:val="19"/>
                <w:szCs w:val="19"/>
                <w:lang w:val="en-US"/>
              </w:rPr>
              <w:t>8</w:t>
            </w:r>
          </w:p>
        </w:tc>
      </w:tr>
      <w:tr w:rsidR="00F7224E" w:rsidRPr="000C6768" w:rsidTr="000C6768">
        <w:tc>
          <w:tcPr>
            <w:tcW w:w="643" w:type="dxa"/>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5</w:t>
            </w:r>
          </w:p>
        </w:tc>
        <w:tc>
          <w:tcPr>
            <w:tcW w:w="4616" w:type="dxa"/>
            <w:vAlign w:val="center"/>
          </w:tcPr>
          <w:p w:rsidR="00F7224E" w:rsidRPr="000C6768" w:rsidRDefault="00F7224E" w:rsidP="000C6768">
            <w:pPr>
              <w:pStyle w:val="2"/>
              <w:tabs>
                <w:tab w:val="left" w:pos="0"/>
              </w:tabs>
              <w:spacing w:before="20" w:after="20" w:line="240" w:lineRule="auto"/>
              <w:ind w:left="0"/>
              <w:rPr>
                <w:rFonts w:ascii="Arial" w:hAnsi="Arial" w:cs="Arial"/>
                <w:color w:val="000000"/>
                <w:sz w:val="19"/>
                <w:szCs w:val="19"/>
                <w:lang w:val="en-GB"/>
              </w:rPr>
            </w:pPr>
            <w:r w:rsidRPr="000C6768">
              <w:rPr>
                <w:rFonts w:ascii="Arial" w:hAnsi="Arial" w:cs="Arial"/>
                <w:color w:val="000000"/>
                <w:sz w:val="19"/>
                <w:szCs w:val="19"/>
                <w:lang w:val="en-GB"/>
              </w:rPr>
              <w:t>Philippines, Moldova, Russia</w:t>
            </w:r>
          </w:p>
        </w:tc>
        <w:tc>
          <w:tcPr>
            <w:tcW w:w="1395" w:type="dxa"/>
            <w:vAlign w:val="bottom"/>
          </w:tcPr>
          <w:p w:rsidR="00F7224E" w:rsidRPr="000C6768" w:rsidRDefault="00F7224E" w:rsidP="000C6768">
            <w:pPr>
              <w:spacing w:before="20" w:after="20" w:line="240" w:lineRule="auto"/>
              <w:jc w:val="right"/>
              <w:rPr>
                <w:rFonts w:eastAsia="Arial Unicode MS" w:cs="Arial"/>
                <w:sz w:val="19"/>
                <w:szCs w:val="19"/>
              </w:rPr>
            </w:pPr>
            <w:r w:rsidRPr="000C6768">
              <w:rPr>
                <w:rFonts w:cs="Arial"/>
                <w:sz w:val="19"/>
                <w:szCs w:val="19"/>
              </w:rPr>
              <w:t>4.9%</w:t>
            </w:r>
          </w:p>
        </w:tc>
        <w:tc>
          <w:tcPr>
            <w:tcW w:w="1766" w:type="dxa"/>
            <w:vAlign w:val="bottom"/>
          </w:tcPr>
          <w:p w:rsidR="00F7224E" w:rsidRPr="000C6768" w:rsidRDefault="00F7224E" w:rsidP="000C6768">
            <w:pPr>
              <w:spacing w:before="20" w:after="20" w:line="240" w:lineRule="auto"/>
              <w:jc w:val="right"/>
              <w:rPr>
                <w:rFonts w:eastAsia="Arial Unicode MS" w:cs="Arial"/>
                <w:sz w:val="19"/>
                <w:szCs w:val="19"/>
                <w:lang w:val="en-US"/>
              </w:rPr>
            </w:pPr>
            <w:r w:rsidRPr="000C6768">
              <w:rPr>
                <w:rFonts w:cs="Arial"/>
                <w:sz w:val="19"/>
                <w:szCs w:val="19"/>
              </w:rPr>
              <w:t>18.</w:t>
            </w:r>
            <w:r w:rsidRPr="000C6768">
              <w:rPr>
                <w:rFonts w:cs="Arial"/>
                <w:sz w:val="19"/>
                <w:szCs w:val="19"/>
                <w:lang w:val="en-US"/>
              </w:rPr>
              <w:t>8</w:t>
            </w:r>
          </w:p>
        </w:tc>
      </w:tr>
      <w:tr w:rsidR="00F7224E" w:rsidRPr="000C6768" w:rsidTr="000C6768">
        <w:tc>
          <w:tcPr>
            <w:tcW w:w="643"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Total</w:t>
            </w:r>
          </w:p>
        </w:tc>
        <w:tc>
          <w:tcPr>
            <w:tcW w:w="4616"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p>
        </w:tc>
        <w:tc>
          <w:tcPr>
            <w:tcW w:w="1395" w:type="dxa"/>
            <w:shd w:val="clear" w:color="auto" w:fill="D9D9D9" w:themeFill="background1" w:themeFillShade="D9"/>
            <w:vAlign w:val="bottom"/>
          </w:tcPr>
          <w:p w:rsidR="00F7224E" w:rsidRPr="000C6768" w:rsidRDefault="00F7224E" w:rsidP="000C6768">
            <w:pPr>
              <w:spacing w:before="20" w:after="20" w:line="240" w:lineRule="auto"/>
              <w:jc w:val="right"/>
              <w:rPr>
                <w:rFonts w:cs="Arial"/>
                <w:sz w:val="19"/>
                <w:szCs w:val="19"/>
                <w:lang w:val="en-US"/>
              </w:rPr>
            </w:pPr>
            <w:r w:rsidRPr="000C6768">
              <w:rPr>
                <w:rFonts w:cs="Arial"/>
                <w:sz w:val="19"/>
                <w:szCs w:val="19"/>
                <w:lang w:val="en-US"/>
              </w:rPr>
              <w:t>79.3%</w:t>
            </w:r>
          </w:p>
        </w:tc>
        <w:tc>
          <w:tcPr>
            <w:tcW w:w="1766" w:type="dxa"/>
            <w:shd w:val="clear" w:color="auto" w:fill="D9D9D9" w:themeFill="background1" w:themeFillShade="D9"/>
          </w:tcPr>
          <w:p w:rsidR="00F7224E" w:rsidRPr="000C6768" w:rsidRDefault="00F7224E" w:rsidP="000C6768">
            <w:pPr>
              <w:spacing w:before="20" w:after="20" w:line="240" w:lineRule="auto"/>
              <w:jc w:val="right"/>
              <w:rPr>
                <w:rFonts w:cs="Arial"/>
                <w:sz w:val="19"/>
                <w:szCs w:val="19"/>
                <w:lang w:val="en-US"/>
              </w:rPr>
            </w:pPr>
            <w:r w:rsidRPr="000C6768">
              <w:rPr>
                <w:rFonts w:cs="Arial"/>
                <w:sz w:val="19"/>
                <w:szCs w:val="19"/>
                <w:lang w:val="en-US"/>
              </w:rPr>
              <w:t>11.35</w:t>
            </w:r>
          </w:p>
        </w:tc>
      </w:tr>
    </w:tbl>
    <w:p w:rsidR="00F7224E" w:rsidRPr="00D93644" w:rsidRDefault="00F7224E" w:rsidP="00F7224E">
      <w:pPr>
        <w:pStyle w:val="2"/>
        <w:tabs>
          <w:tab w:val="left" w:pos="0"/>
        </w:tabs>
        <w:spacing w:after="0" w:line="360" w:lineRule="auto"/>
        <w:ind w:left="0" w:firstLine="15"/>
        <w:jc w:val="both"/>
        <w:rPr>
          <w:rFonts w:ascii="Arial" w:hAnsi="Arial" w:cs="Arial"/>
          <w:color w:val="000000"/>
          <w:lang w:val="en-GB"/>
        </w:rPr>
      </w:pPr>
    </w:p>
    <w:p w:rsidR="00F7224E" w:rsidRPr="00D93644" w:rsidRDefault="00F7224E" w:rsidP="00F7224E">
      <w:pPr>
        <w:pStyle w:val="2"/>
        <w:tabs>
          <w:tab w:val="left" w:pos="0"/>
        </w:tabs>
        <w:spacing w:after="0" w:line="360" w:lineRule="auto"/>
        <w:ind w:left="0" w:firstLine="15"/>
        <w:jc w:val="both"/>
        <w:rPr>
          <w:rFonts w:ascii="Arial" w:hAnsi="Arial" w:cs="Arial"/>
          <w:color w:val="000000"/>
          <w:lang w:val="en-GB"/>
        </w:rPr>
      </w:pPr>
    </w:p>
    <w:p w:rsidR="001E7358" w:rsidRDefault="001E7358" w:rsidP="00D93644">
      <w:pPr>
        <w:rPr>
          <w:b/>
        </w:rPr>
      </w:pPr>
    </w:p>
    <w:p w:rsidR="000C6768" w:rsidRDefault="000C6768" w:rsidP="000C6768">
      <w:pPr>
        <w:pStyle w:val="Caption"/>
        <w:keepNext/>
        <w:spacing w:after="120"/>
      </w:pPr>
      <w:bookmarkStart w:id="45" w:name="_Ref384743141"/>
      <w:bookmarkStart w:id="46" w:name="_Toc386013251"/>
      <w:r>
        <w:lastRenderedPageBreak/>
        <w:t xml:space="preserve">Table </w:t>
      </w:r>
      <w:r w:rsidR="00CC1B00">
        <w:fldChar w:fldCharType="begin"/>
      </w:r>
      <w:r w:rsidR="00CC1B00">
        <w:instrText xml:space="preserve"> SEQ Table \* ARABIC </w:instrText>
      </w:r>
      <w:r w:rsidR="00CC1B00">
        <w:fldChar w:fldCharType="separate"/>
      </w:r>
      <w:r w:rsidR="002634D4">
        <w:rPr>
          <w:noProof/>
        </w:rPr>
        <w:t>15</w:t>
      </w:r>
      <w:r w:rsidR="00CC1B00">
        <w:rPr>
          <w:noProof/>
        </w:rPr>
        <w:fldChar w:fldCharType="end"/>
      </w:r>
      <w:bookmarkEnd w:id="45"/>
      <w:r>
        <w:t xml:space="preserve">: </w:t>
      </w:r>
      <w:r w:rsidRPr="000C6768">
        <w:t>Socio-ethnic groups and basic indicators. MRA, 2001</w:t>
      </w:r>
      <w:bookmarkEnd w:id="46"/>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9"/>
        <w:gridCol w:w="1219"/>
        <w:gridCol w:w="1220"/>
        <w:gridCol w:w="1220"/>
        <w:gridCol w:w="1219"/>
        <w:gridCol w:w="1220"/>
        <w:gridCol w:w="1220"/>
      </w:tblGrid>
      <w:tr w:rsidR="00F7224E" w:rsidRPr="00D93644" w:rsidTr="00724794">
        <w:tc>
          <w:tcPr>
            <w:tcW w:w="969" w:type="dxa"/>
            <w:tcBorders>
              <w:bottom w:val="single" w:sz="18" w:space="0" w:color="auto"/>
            </w:tcBorders>
            <w:vAlign w:val="center"/>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GB"/>
              </w:rPr>
            </w:pPr>
            <w:r w:rsidRPr="000C6768">
              <w:rPr>
                <w:rFonts w:ascii="Arial" w:hAnsi="Arial" w:cs="Arial"/>
                <w:b/>
                <w:color w:val="000000"/>
                <w:sz w:val="19"/>
                <w:szCs w:val="19"/>
                <w:lang w:val="en-GB"/>
              </w:rPr>
              <w:t>SEG</w:t>
            </w:r>
          </w:p>
        </w:tc>
        <w:tc>
          <w:tcPr>
            <w:tcW w:w="1219" w:type="dxa"/>
            <w:tcBorders>
              <w:bottom w:val="single" w:sz="18" w:space="0" w:color="auto"/>
            </w:tcBorders>
            <w:vAlign w:val="center"/>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GB"/>
              </w:rPr>
            </w:pPr>
            <w:r w:rsidRPr="000C6768">
              <w:rPr>
                <w:rFonts w:ascii="Arial" w:hAnsi="Arial" w:cs="Arial"/>
                <w:b/>
                <w:color w:val="000000"/>
                <w:sz w:val="19"/>
                <w:szCs w:val="19"/>
                <w:lang w:val="en-GB"/>
              </w:rPr>
              <w:t>% with domestic surface less than 15 m</w:t>
            </w:r>
            <w:r w:rsidRPr="000C6768">
              <w:rPr>
                <w:rFonts w:ascii="Arial" w:hAnsi="Arial" w:cs="Arial"/>
                <w:b/>
                <w:color w:val="000000"/>
                <w:sz w:val="19"/>
                <w:szCs w:val="19"/>
                <w:vertAlign w:val="superscript"/>
                <w:lang w:val="en-GB"/>
              </w:rPr>
              <w:t>2</w:t>
            </w:r>
          </w:p>
        </w:tc>
        <w:tc>
          <w:tcPr>
            <w:tcW w:w="1220" w:type="dxa"/>
            <w:tcBorders>
              <w:bottom w:val="single" w:sz="18" w:space="0" w:color="auto"/>
            </w:tcBorders>
            <w:vAlign w:val="center"/>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GB"/>
              </w:rPr>
            </w:pPr>
            <w:r w:rsidRPr="000C6768">
              <w:rPr>
                <w:rFonts w:ascii="Arial" w:hAnsi="Arial" w:cs="Arial"/>
                <w:b/>
                <w:color w:val="000000"/>
                <w:sz w:val="19"/>
                <w:szCs w:val="19"/>
                <w:lang w:val="en-GB"/>
              </w:rPr>
              <w:t>% of home-owners</w:t>
            </w:r>
          </w:p>
        </w:tc>
        <w:tc>
          <w:tcPr>
            <w:tcW w:w="1220" w:type="dxa"/>
            <w:tcBorders>
              <w:bottom w:val="single" w:sz="18" w:space="0" w:color="auto"/>
            </w:tcBorders>
            <w:vAlign w:val="center"/>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GB"/>
              </w:rPr>
            </w:pPr>
            <w:r w:rsidRPr="000C6768">
              <w:rPr>
                <w:rFonts w:ascii="Arial" w:hAnsi="Arial" w:cs="Arial"/>
                <w:b/>
                <w:color w:val="000000"/>
                <w:sz w:val="19"/>
                <w:szCs w:val="19"/>
                <w:lang w:val="en-GB"/>
              </w:rPr>
              <w:t>% with no central heating</w:t>
            </w:r>
          </w:p>
        </w:tc>
        <w:tc>
          <w:tcPr>
            <w:tcW w:w="1219" w:type="dxa"/>
            <w:tcBorders>
              <w:bottom w:val="single" w:sz="18" w:space="0" w:color="auto"/>
            </w:tcBorders>
            <w:vAlign w:val="center"/>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GB"/>
              </w:rPr>
            </w:pPr>
            <w:r w:rsidRPr="000C6768">
              <w:rPr>
                <w:rFonts w:ascii="Arial" w:hAnsi="Arial" w:cs="Arial"/>
                <w:b/>
                <w:color w:val="000000"/>
                <w:sz w:val="19"/>
                <w:szCs w:val="19"/>
                <w:lang w:val="en-GB"/>
              </w:rPr>
              <w:t>% in routine occupations (ESeC 9)</w:t>
            </w:r>
          </w:p>
        </w:tc>
        <w:tc>
          <w:tcPr>
            <w:tcW w:w="1220" w:type="dxa"/>
            <w:tcBorders>
              <w:bottom w:val="single" w:sz="18" w:space="0" w:color="auto"/>
            </w:tcBorders>
            <w:vAlign w:val="center"/>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GB"/>
              </w:rPr>
            </w:pPr>
            <w:r w:rsidRPr="000C6768">
              <w:rPr>
                <w:rFonts w:ascii="Arial" w:hAnsi="Arial" w:cs="Arial"/>
                <w:b/>
                <w:color w:val="000000"/>
                <w:sz w:val="19"/>
                <w:szCs w:val="19"/>
                <w:lang w:val="en-GB"/>
              </w:rPr>
              <w:t>% less than 9 years in school</w:t>
            </w:r>
          </w:p>
        </w:tc>
        <w:tc>
          <w:tcPr>
            <w:tcW w:w="1220" w:type="dxa"/>
            <w:tcBorders>
              <w:bottom w:val="single" w:sz="18" w:space="0" w:color="auto"/>
            </w:tcBorders>
            <w:vAlign w:val="center"/>
          </w:tcPr>
          <w:p w:rsidR="00F7224E" w:rsidRPr="000C6768" w:rsidRDefault="00F7224E" w:rsidP="000C6768">
            <w:pPr>
              <w:pStyle w:val="2"/>
              <w:tabs>
                <w:tab w:val="left" w:pos="0"/>
              </w:tabs>
              <w:spacing w:before="20" w:after="20" w:line="240" w:lineRule="auto"/>
              <w:ind w:left="0"/>
              <w:jc w:val="center"/>
              <w:rPr>
                <w:rFonts w:ascii="Arial" w:hAnsi="Arial" w:cs="Arial"/>
                <w:b/>
                <w:color w:val="000000"/>
                <w:sz w:val="19"/>
                <w:szCs w:val="19"/>
                <w:lang w:val="en-GB"/>
              </w:rPr>
            </w:pPr>
            <w:r w:rsidRPr="000C6768">
              <w:rPr>
                <w:rFonts w:ascii="Arial" w:hAnsi="Arial" w:cs="Arial"/>
                <w:b/>
                <w:color w:val="000000"/>
                <w:sz w:val="19"/>
                <w:szCs w:val="19"/>
                <w:lang w:val="en-GB"/>
              </w:rPr>
              <w:t>% of arrivals in the 2 previous years</w:t>
            </w:r>
          </w:p>
        </w:tc>
      </w:tr>
      <w:tr w:rsidR="00F7224E" w:rsidRPr="00D93644" w:rsidTr="00724794">
        <w:tc>
          <w:tcPr>
            <w:tcW w:w="969" w:type="dxa"/>
            <w:tcBorders>
              <w:top w:val="single" w:sz="18" w:space="0" w:color="auto"/>
            </w:tcBorders>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1</w:t>
            </w:r>
          </w:p>
        </w:tc>
        <w:tc>
          <w:tcPr>
            <w:tcW w:w="1219" w:type="dxa"/>
            <w:tcBorders>
              <w:top w:val="single" w:sz="18" w:space="0" w:color="auto"/>
            </w:tcBorders>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52.5</w:t>
            </w:r>
          </w:p>
        </w:tc>
        <w:tc>
          <w:tcPr>
            <w:tcW w:w="1220" w:type="dxa"/>
            <w:tcBorders>
              <w:top w:val="single" w:sz="18" w:space="0" w:color="auto"/>
            </w:tcBorders>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10.4</w:t>
            </w:r>
          </w:p>
        </w:tc>
        <w:tc>
          <w:tcPr>
            <w:tcW w:w="1220" w:type="dxa"/>
            <w:tcBorders>
              <w:top w:val="single" w:sz="18" w:space="0" w:color="auto"/>
            </w:tcBorders>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39.2</w:t>
            </w:r>
          </w:p>
        </w:tc>
        <w:tc>
          <w:tcPr>
            <w:tcW w:w="1219" w:type="dxa"/>
            <w:tcBorders>
              <w:top w:val="single" w:sz="18" w:space="0" w:color="auto"/>
            </w:tcBorders>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36.8</w:t>
            </w:r>
          </w:p>
        </w:tc>
        <w:tc>
          <w:tcPr>
            <w:tcW w:w="1220" w:type="dxa"/>
            <w:tcBorders>
              <w:top w:val="single" w:sz="18" w:space="0" w:color="auto"/>
            </w:tcBorders>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23.9</w:t>
            </w:r>
          </w:p>
        </w:tc>
        <w:tc>
          <w:tcPr>
            <w:tcW w:w="1220" w:type="dxa"/>
            <w:tcBorders>
              <w:top w:val="single" w:sz="18" w:space="0" w:color="auto"/>
            </w:tcBorders>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10.7</w:t>
            </w:r>
          </w:p>
        </w:tc>
      </w:tr>
      <w:tr w:rsidR="00F7224E" w:rsidRPr="00D93644" w:rsidTr="00724794">
        <w:tc>
          <w:tcPr>
            <w:tcW w:w="969" w:type="dxa"/>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2</w:t>
            </w:r>
          </w:p>
        </w:tc>
        <w:tc>
          <w:tcPr>
            <w:tcW w:w="1219"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29.7</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13.1</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24.6</w:t>
            </w:r>
          </w:p>
        </w:tc>
        <w:tc>
          <w:tcPr>
            <w:tcW w:w="1219"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33.8</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18.1</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19.0</w:t>
            </w:r>
          </w:p>
        </w:tc>
      </w:tr>
      <w:tr w:rsidR="00F7224E" w:rsidRPr="00D93644" w:rsidTr="00724794">
        <w:tc>
          <w:tcPr>
            <w:tcW w:w="969"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3</w:t>
            </w:r>
          </w:p>
        </w:tc>
        <w:tc>
          <w:tcPr>
            <w:tcW w:w="1219"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65.3</w:t>
            </w:r>
          </w:p>
        </w:tc>
        <w:tc>
          <w:tcPr>
            <w:tcW w:w="1220"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 xml:space="preserve"> 5.9</w:t>
            </w:r>
          </w:p>
        </w:tc>
        <w:tc>
          <w:tcPr>
            <w:tcW w:w="1220"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66.3</w:t>
            </w:r>
          </w:p>
        </w:tc>
        <w:tc>
          <w:tcPr>
            <w:tcW w:w="1219"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45.4</w:t>
            </w:r>
          </w:p>
        </w:tc>
        <w:tc>
          <w:tcPr>
            <w:tcW w:w="1220"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47.9</w:t>
            </w:r>
          </w:p>
        </w:tc>
        <w:tc>
          <w:tcPr>
            <w:tcW w:w="1220"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27.6</w:t>
            </w:r>
          </w:p>
        </w:tc>
      </w:tr>
      <w:tr w:rsidR="00F7224E" w:rsidRPr="00D93644" w:rsidTr="00724794">
        <w:tc>
          <w:tcPr>
            <w:tcW w:w="969" w:type="dxa"/>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4</w:t>
            </w:r>
          </w:p>
        </w:tc>
        <w:tc>
          <w:tcPr>
            <w:tcW w:w="1219"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15.6</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38.4</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18.7</w:t>
            </w:r>
          </w:p>
        </w:tc>
        <w:tc>
          <w:tcPr>
            <w:tcW w:w="1219"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38.9</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17.9</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21.2</w:t>
            </w:r>
          </w:p>
        </w:tc>
      </w:tr>
      <w:tr w:rsidR="00F7224E" w:rsidRPr="00D93644" w:rsidTr="00724794">
        <w:tc>
          <w:tcPr>
            <w:tcW w:w="969"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5</w:t>
            </w:r>
          </w:p>
        </w:tc>
        <w:tc>
          <w:tcPr>
            <w:tcW w:w="1219"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31.1</w:t>
            </w:r>
          </w:p>
        </w:tc>
        <w:tc>
          <w:tcPr>
            <w:tcW w:w="1220"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28.8</w:t>
            </w:r>
          </w:p>
        </w:tc>
        <w:tc>
          <w:tcPr>
            <w:tcW w:w="1220"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19.5</w:t>
            </w:r>
          </w:p>
        </w:tc>
        <w:tc>
          <w:tcPr>
            <w:tcW w:w="1219"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51.1</w:t>
            </w:r>
          </w:p>
        </w:tc>
        <w:tc>
          <w:tcPr>
            <w:tcW w:w="1220"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14.3</w:t>
            </w:r>
          </w:p>
        </w:tc>
        <w:tc>
          <w:tcPr>
            <w:tcW w:w="1220" w:type="dxa"/>
            <w:shd w:val="clear" w:color="auto" w:fill="D9D9D9" w:themeFill="background1" w:themeFillShade="D9"/>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17.9</w:t>
            </w:r>
          </w:p>
        </w:tc>
      </w:tr>
      <w:tr w:rsidR="00F7224E" w:rsidRPr="00D93644" w:rsidTr="00724794">
        <w:tc>
          <w:tcPr>
            <w:tcW w:w="969" w:type="dxa"/>
            <w:vAlign w:val="center"/>
          </w:tcPr>
          <w:p w:rsidR="00F7224E" w:rsidRPr="000C6768" w:rsidRDefault="00F7224E" w:rsidP="000C6768">
            <w:pPr>
              <w:pStyle w:val="2"/>
              <w:tabs>
                <w:tab w:val="left" w:pos="0"/>
              </w:tabs>
              <w:spacing w:before="20" w:after="20" w:line="240" w:lineRule="auto"/>
              <w:ind w:left="0"/>
              <w:rPr>
                <w:rFonts w:ascii="Arial" w:hAnsi="Arial" w:cs="Arial"/>
                <w:b/>
                <w:color w:val="000000"/>
                <w:sz w:val="19"/>
                <w:szCs w:val="19"/>
                <w:lang w:val="en-GB"/>
              </w:rPr>
            </w:pPr>
            <w:r w:rsidRPr="000C6768">
              <w:rPr>
                <w:rFonts w:ascii="Arial" w:hAnsi="Arial" w:cs="Arial"/>
                <w:b/>
                <w:color w:val="000000"/>
                <w:sz w:val="19"/>
                <w:szCs w:val="19"/>
                <w:lang w:val="en-GB"/>
              </w:rPr>
              <w:t>Total</w:t>
            </w:r>
          </w:p>
        </w:tc>
        <w:tc>
          <w:tcPr>
            <w:tcW w:w="1219"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46.0</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14.2</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36.4</w:t>
            </w:r>
          </w:p>
        </w:tc>
        <w:tc>
          <w:tcPr>
            <w:tcW w:w="1219"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38.0</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23.9</w:t>
            </w:r>
          </w:p>
        </w:tc>
        <w:tc>
          <w:tcPr>
            <w:tcW w:w="1220" w:type="dxa"/>
            <w:vAlign w:val="center"/>
          </w:tcPr>
          <w:p w:rsidR="00F7224E" w:rsidRPr="000C6768" w:rsidRDefault="00F7224E" w:rsidP="000C6768">
            <w:pPr>
              <w:pStyle w:val="2"/>
              <w:tabs>
                <w:tab w:val="left" w:pos="0"/>
              </w:tabs>
              <w:spacing w:before="20" w:after="20" w:line="240" w:lineRule="auto"/>
              <w:ind w:left="0"/>
              <w:jc w:val="right"/>
              <w:rPr>
                <w:rFonts w:ascii="Arial" w:hAnsi="Arial" w:cs="Arial"/>
                <w:color w:val="000000"/>
                <w:sz w:val="19"/>
                <w:szCs w:val="19"/>
                <w:lang w:val="en-GB"/>
              </w:rPr>
            </w:pPr>
            <w:r w:rsidRPr="000C6768">
              <w:rPr>
                <w:rFonts w:ascii="Arial" w:hAnsi="Arial" w:cs="Arial"/>
                <w:color w:val="000000"/>
                <w:sz w:val="19"/>
                <w:szCs w:val="19"/>
                <w:lang w:val="en-GB"/>
              </w:rPr>
              <w:t>14.4</w:t>
            </w:r>
          </w:p>
        </w:tc>
      </w:tr>
    </w:tbl>
    <w:p w:rsidR="00554710" w:rsidRDefault="00554710" w:rsidP="000C6768">
      <w:pPr>
        <w:spacing w:line="276" w:lineRule="auto"/>
      </w:pPr>
    </w:p>
    <w:p w:rsidR="00F7224E" w:rsidRDefault="00F7224E" w:rsidP="000C6768">
      <w:pPr>
        <w:spacing w:line="276" w:lineRule="auto"/>
      </w:pPr>
      <w:r w:rsidRPr="00D93644">
        <w:t>SEG 3 concentrates ethnic groups from the Indian peninsula and shows the lowest mean score in the interaction between DM, TEN and HEAT. It is at the same time in the bottom of the socio-economic, educational and temporal hierarchies. It is closely followed by SEG 1, which comprises only the Alb</w:t>
      </w:r>
      <w:r w:rsidR="00493FAE">
        <w:t>anian ethnic group, despite</w:t>
      </w:r>
      <w:r w:rsidRPr="00D93644">
        <w:t xml:space="preserve"> their percentages in the lowest positions of every hierarchy </w:t>
      </w:r>
      <w:r w:rsidR="00493FAE">
        <w:t>being</w:t>
      </w:r>
      <w:r w:rsidRPr="00D93644">
        <w:t xml:space="preserve"> significantly lower. The rest </w:t>
      </w:r>
      <w:r w:rsidR="006479FD">
        <w:t xml:space="preserve">of </w:t>
      </w:r>
      <w:r w:rsidRPr="00D93644">
        <w:t xml:space="preserve">SEGs show greater geographic diversity in what concerns the origin of their members. SEG 2 and SEG 5 perform quite </w:t>
      </w:r>
      <w:r w:rsidR="006479FD">
        <w:t>well</w:t>
      </w:r>
      <w:r w:rsidRPr="00D93644">
        <w:t xml:space="preserve"> in terms of the interaction and concerning the latter</w:t>
      </w:r>
      <w:r w:rsidR="006479FD">
        <w:t xml:space="preserve"> this performance contradicts</w:t>
      </w:r>
      <w:r w:rsidRPr="00D93644">
        <w:t xml:space="preserve"> the high percentage of people in the lowest position of the socio-economic hierarchy.  SEG 4 has the highest mean interaction score, while the percentages of its members in the lowest positions of the hierarchies are not very different from the average.</w:t>
      </w:r>
    </w:p>
    <w:p w:rsidR="00ED0F60" w:rsidRPr="00ED0F60" w:rsidRDefault="00ED0F60" w:rsidP="000C6768">
      <w:pPr>
        <w:spacing w:line="276" w:lineRule="auto"/>
        <w:rPr>
          <w:sz w:val="10"/>
          <w:szCs w:val="10"/>
        </w:rPr>
      </w:pPr>
    </w:p>
    <w:p w:rsidR="00F7224E" w:rsidRPr="00D93644" w:rsidRDefault="00F7224E" w:rsidP="000C6768">
      <w:pPr>
        <w:pStyle w:val="Heading2"/>
        <w:spacing w:before="360"/>
        <w:rPr>
          <w:rFonts w:cs="Arial"/>
        </w:rPr>
      </w:pPr>
      <w:bookmarkStart w:id="47" w:name="_Toc386013197"/>
      <w:r w:rsidRPr="00D93644">
        <w:rPr>
          <w:rFonts w:cs="Arial"/>
        </w:rPr>
        <w:t>Spatiality of the socio-ethnic hierarchy</w:t>
      </w:r>
      <w:bookmarkEnd w:id="47"/>
    </w:p>
    <w:p w:rsidR="00F7224E" w:rsidRPr="00D93644" w:rsidRDefault="00F7224E" w:rsidP="000C6768">
      <w:pPr>
        <w:spacing w:line="276" w:lineRule="auto"/>
      </w:pPr>
      <w:r w:rsidRPr="00D93644">
        <w:t xml:space="preserve">The aggregate immigrant population is distributed in a wide part of MRA, </w:t>
      </w:r>
      <w:r w:rsidR="00DD406F">
        <w:t xml:space="preserve">and </w:t>
      </w:r>
      <w:r w:rsidRPr="00D93644">
        <w:t xml:space="preserve">in a way that leaves few areas inhabited only by the native population, even at the census tract level. The wide dispersal of the Albanian population is particularly responsible for this desegregation pattern, because Albanians account for about half of the immigrant population. Nevertheless, different ethnic groups follow very diverse location patterns. Smaller ethnic groups tend to be more concentrated and clustered together, but not isolated from the native population, as Greeks constitute the majority almost in every single census tract. </w:t>
      </w:r>
    </w:p>
    <w:p w:rsidR="00F7224E" w:rsidRPr="00D93644" w:rsidRDefault="00F75AFC" w:rsidP="000C6768">
      <w:pPr>
        <w:spacing w:line="276" w:lineRule="auto"/>
      </w:pPr>
      <w:r>
        <w:t xml:space="preserve">In </w:t>
      </w:r>
      <w:r w:rsidR="004B23E3">
        <w:fldChar w:fldCharType="begin"/>
      </w:r>
      <w:r w:rsidR="004B23E3">
        <w:instrText xml:space="preserve"> REF _Ref392504653 \h </w:instrText>
      </w:r>
      <w:r w:rsidR="004B23E3">
        <w:fldChar w:fldCharType="separate"/>
      </w:r>
      <w:r w:rsidR="002634D4">
        <w:t xml:space="preserve">Map </w:t>
      </w:r>
      <w:r w:rsidR="002634D4">
        <w:rPr>
          <w:noProof/>
        </w:rPr>
        <w:t>4</w:t>
      </w:r>
      <w:r w:rsidR="004B23E3">
        <w:fldChar w:fldCharType="end"/>
      </w:r>
      <w:r w:rsidR="004B23E3">
        <w:t xml:space="preserve"> </w:t>
      </w:r>
      <w:r w:rsidR="00AC787C" w:rsidRPr="00AC787C">
        <w:t xml:space="preserve">- 9 </w:t>
      </w:r>
      <w:r w:rsidR="00F7224E" w:rsidRPr="00D93644">
        <w:t>we present the distribution pattern of the aggregate immigrant population and the 5 SEGs and the in MRA, at the 1km grid cells.</w:t>
      </w:r>
    </w:p>
    <w:p w:rsidR="00F7224E" w:rsidRPr="00D93644" w:rsidRDefault="00F7224E" w:rsidP="000C6768">
      <w:pPr>
        <w:pStyle w:val="2"/>
        <w:tabs>
          <w:tab w:val="clear" w:pos="709"/>
          <w:tab w:val="left" w:pos="0"/>
        </w:tabs>
        <w:spacing w:after="0"/>
        <w:ind w:left="0" w:firstLine="15"/>
        <w:jc w:val="both"/>
        <w:rPr>
          <w:rFonts w:ascii="Arial" w:hAnsi="Arial" w:cs="Arial"/>
          <w:color w:val="000000"/>
          <w:lang w:val="en-GB"/>
        </w:rPr>
      </w:pPr>
    </w:p>
    <w:p w:rsidR="00D93644" w:rsidRDefault="00D93644">
      <w:pPr>
        <w:spacing w:before="0"/>
        <w:rPr>
          <w:rFonts w:eastAsia="DejaVu Sans" w:cs="Arial"/>
          <w:color w:val="000000"/>
          <w:kern w:val="1"/>
          <w:sz w:val="24"/>
          <w:szCs w:val="24"/>
          <w:lang w:eastAsia="zh-CN" w:bidi="hi-IN"/>
        </w:rPr>
      </w:pPr>
      <w:r>
        <w:rPr>
          <w:rFonts w:cs="Arial"/>
          <w:color w:val="000000"/>
        </w:rPr>
        <w:br w:type="page"/>
      </w:r>
    </w:p>
    <w:p w:rsidR="004B23E3" w:rsidRDefault="00375109" w:rsidP="004B23E3">
      <w:pPr>
        <w:pStyle w:val="2"/>
        <w:keepNext/>
        <w:tabs>
          <w:tab w:val="clear" w:pos="709"/>
          <w:tab w:val="left" w:pos="0"/>
        </w:tabs>
        <w:spacing w:after="0" w:line="360" w:lineRule="auto"/>
        <w:ind w:left="0"/>
        <w:jc w:val="both"/>
      </w:pPr>
      <w:r>
        <w:rPr>
          <w:rFonts w:ascii="Arial" w:hAnsi="Arial" w:cs="Arial"/>
          <w:noProof/>
          <w:color w:val="000000"/>
          <w:sz w:val="22"/>
          <w:lang w:val="fi-FI" w:eastAsia="fi-FI" w:bidi="ar-SA"/>
        </w:rPr>
        <w:lastRenderedPageBreak/>
        <w:drawing>
          <wp:inline distT="0" distB="0" distL="0" distR="0" wp14:anchorId="00A70DA1" wp14:editId="23C28519">
            <wp:extent cx="3859005" cy="3341194"/>
            <wp:effectExtent l="19050" t="0" r="8145" b="0"/>
            <wp:docPr id="18" name="17 - Εικόνα" descr="imm_p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_pg.jpeg"/>
                    <pic:cNvPicPr/>
                  </pic:nvPicPr>
                  <pic:blipFill>
                    <a:blip r:embed="rId28" cstate="print"/>
                    <a:srcRect/>
                    <a:stretch>
                      <a:fillRect/>
                    </a:stretch>
                  </pic:blipFill>
                  <pic:spPr>
                    <a:xfrm>
                      <a:off x="0" y="0"/>
                      <a:ext cx="3859005" cy="3341194"/>
                    </a:xfrm>
                    <a:prstGeom prst="rect">
                      <a:avLst/>
                    </a:prstGeom>
                  </pic:spPr>
                </pic:pic>
              </a:graphicData>
            </a:graphic>
          </wp:inline>
        </w:drawing>
      </w:r>
    </w:p>
    <w:p w:rsidR="000C6768" w:rsidRDefault="004B23E3" w:rsidP="004B23E3">
      <w:pPr>
        <w:pStyle w:val="Caption"/>
      </w:pPr>
      <w:bookmarkStart w:id="48" w:name="_Ref392504653"/>
      <w:bookmarkStart w:id="49" w:name="_Toc392505059"/>
      <w:r>
        <w:t xml:space="preserve">Map </w:t>
      </w:r>
      <w:fldSimple w:instr=" SEQ Map \* ARABIC ">
        <w:r w:rsidR="002634D4">
          <w:rPr>
            <w:noProof/>
          </w:rPr>
          <w:t>4</w:t>
        </w:r>
      </w:fldSimple>
      <w:bookmarkEnd w:id="48"/>
      <w:r>
        <w:t xml:space="preserve">: </w:t>
      </w:r>
      <w:r w:rsidRPr="000C6768">
        <w:t>Immigrant residen</w:t>
      </w:r>
      <w:r>
        <w:t>ts per 1km grid cell,</w:t>
      </w:r>
      <w:r w:rsidRPr="000C6768">
        <w:t xml:space="preserve"> MRA, 2001</w:t>
      </w:r>
      <w:bookmarkEnd w:id="49"/>
    </w:p>
    <w:p w:rsidR="00F7224E" w:rsidRPr="000C6768" w:rsidRDefault="000C6768" w:rsidP="000C6768">
      <w:pPr>
        <w:spacing w:after="240" w:line="240" w:lineRule="auto"/>
        <w:rPr>
          <w:sz w:val="18"/>
          <w:szCs w:val="18"/>
        </w:rPr>
      </w:pPr>
      <w:r w:rsidRPr="000C6768">
        <w:rPr>
          <w:b/>
          <w:sz w:val="18"/>
          <w:szCs w:val="18"/>
        </w:rPr>
        <w:t>Source</w:t>
      </w:r>
      <w:r w:rsidR="00F7224E" w:rsidRPr="000C6768">
        <w:rPr>
          <w:b/>
          <w:sz w:val="18"/>
          <w:szCs w:val="18"/>
        </w:rPr>
        <w:t>:</w:t>
      </w:r>
      <w:r w:rsidR="00F7224E" w:rsidRPr="000C6768">
        <w:rPr>
          <w:sz w:val="18"/>
          <w:szCs w:val="18"/>
        </w:rPr>
        <w:t xml:space="preserve"> 2001 census, EKKE-ESYE 2005</w:t>
      </w:r>
    </w:p>
    <w:p w:rsidR="00D93644" w:rsidRPr="000C6768" w:rsidRDefault="00D93644" w:rsidP="00F7224E">
      <w:pPr>
        <w:pStyle w:val="2"/>
        <w:tabs>
          <w:tab w:val="clear" w:pos="709"/>
          <w:tab w:val="left" w:pos="0"/>
        </w:tabs>
        <w:spacing w:after="0" w:line="360" w:lineRule="auto"/>
        <w:ind w:left="0" w:firstLine="15"/>
        <w:jc w:val="both"/>
        <w:rPr>
          <w:rFonts w:ascii="Arial" w:hAnsi="Arial" w:cs="Arial"/>
          <w:color w:val="000000"/>
          <w:sz w:val="10"/>
          <w:szCs w:val="10"/>
          <w:lang w:val="en-GB"/>
        </w:rPr>
      </w:pPr>
    </w:p>
    <w:p w:rsidR="004B23E3" w:rsidRDefault="00375109" w:rsidP="004B23E3">
      <w:pPr>
        <w:pStyle w:val="2"/>
        <w:keepNext/>
        <w:tabs>
          <w:tab w:val="clear" w:pos="709"/>
          <w:tab w:val="left" w:pos="0"/>
        </w:tabs>
        <w:spacing w:after="0" w:line="360" w:lineRule="auto"/>
        <w:ind w:left="0"/>
        <w:jc w:val="both"/>
      </w:pPr>
      <w:r>
        <w:rPr>
          <w:rFonts w:ascii="Arial" w:hAnsi="Arial" w:cs="Arial"/>
          <w:noProof/>
          <w:color w:val="000000"/>
          <w:lang w:val="fi-FI" w:eastAsia="fi-FI" w:bidi="ar-SA"/>
        </w:rPr>
        <w:drawing>
          <wp:inline distT="0" distB="0" distL="0" distR="0" wp14:anchorId="17A513F3" wp14:editId="32FAFCD0">
            <wp:extent cx="3839017" cy="3341194"/>
            <wp:effectExtent l="19050" t="0" r="9083" b="0"/>
            <wp:docPr id="19" name="18 - Εικόνα" descr="SEC1_p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1_pg.jpeg"/>
                    <pic:cNvPicPr/>
                  </pic:nvPicPr>
                  <pic:blipFill>
                    <a:blip r:embed="rId29" cstate="print"/>
                    <a:srcRect/>
                    <a:stretch>
                      <a:fillRect/>
                    </a:stretch>
                  </pic:blipFill>
                  <pic:spPr>
                    <a:xfrm>
                      <a:off x="0" y="0"/>
                      <a:ext cx="3839017" cy="3341194"/>
                    </a:xfrm>
                    <a:prstGeom prst="rect">
                      <a:avLst/>
                    </a:prstGeom>
                  </pic:spPr>
                </pic:pic>
              </a:graphicData>
            </a:graphic>
          </wp:inline>
        </w:drawing>
      </w:r>
    </w:p>
    <w:p w:rsidR="000C6768" w:rsidRDefault="004B23E3" w:rsidP="004B23E3">
      <w:pPr>
        <w:pStyle w:val="Caption"/>
      </w:pPr>
      <w:bookmarkStart w:id="50" w:name="_Toc392505060"/>
      <w:r>
        <w:t xml:space="preserve">Map </w:t>
      </w:r>
      <w:fldSimple w:instr=" SEQ Map \* ARABIC ">
        <w:r w:rsidR="002634D4">
          <w:rPr>
            <w:noProof/>
          </w:rPr>
          <w:t>5</w:t>
        </w:r>
      </w:fldSimple>
      <w:r>
        <w:t xml:space="preserve">: </w:t>
      </w:r>
      <w:r w:rsidRPr="000C6768">
        <w:t>SEG 1 residen</w:t>
      </w:r>
      <w:r>
        <w:t>ts per 1km grid cell,</w:t>
      </w:r>
      <w:r w:rsidRPr="000C6768">
        <w:t xml:space="preserve"> MRA, 2001</w:t>
      </w:r>
      <w:bookmarkEnd w:id="50"/>
    </w:p>
    <w:p w:rsidR="00F7224E" w:rsidRPr="000C6768" w:rsidRDefault="000C6768" w:rsidP="000C6768">
      <w:pPr>
        <w:spacing w:after="240" w:line="240" w:lineRule="auto"/>
        <w:rPr>
          <w:sz w:val="18"/>
          <w:szCs w:val="18"/>
        </w:rPr>
      </w:pPr>
      <w:r w:rsidRPr="000C6768">
        <w:rPr>
          <w:b/>
          <w:sz w:val="18"/>
          <w:szCs w:val="18"/>
        </w:rPr>
        <w:t>Source:</w:t>
      </w:r>
      <w:r w:rsidR="00F7224E" w:rsidRPr="000C6768">
        <w:rPr>
          <w:sz w:val="18"/>
          <w:szCs w:val="18"/>
        </w:rPr>
        <w:t xml:space="preserve"> 2001 census, EKKE-ESYE 2005</w:t>
      </w:r>
    </w:p>
    <w:p w:rsidR="00F7224E" w:rsidRPr="00D93644" w:rsidRDefault="00F7224E" w:rsidP="00F7224E">
      <w:pPr>
        <w:pStyle w:val="2"/>
        <w:tabs>
          <w:tab w:val="clear" w:pos="709"/>
          <w:tab w:val="left" w:pos="0"/>
        </w:tabs>
        <w:spacing w:after="0" w:line="360" w:lineRule="auto"/>
        <w:ind w:left="0"/>
        <w:jc w:val="both"/>
        <w:rPr>
          <w:rFonts w:ascii="Arial" w:hAnsi="Arial" w:cs="Arial"/>
          <w:color w:val="000000"/>
          <w:lang w:val="en-GB"/>
        </w:rPr>
      </w:pPr>
    </w:p>
    <w:p w:rsidR="0035793C" w:rsidRDefault="0035793C">
      <w:pPr>
        <w:spacing w:before="0"/>
        <w:rPr>
          <w:rFonts w:eastAsia="DejaVu Sans" w:cs="Arial"/>
          <w:color w:val="000000"/>
          <w:kern w:val="1"/>
          <w:sz w:val="24"/>
          <w:szCs w:val="24"/>
          <w:lang w:eastAsia="zh-CN" w:bidi="hi-IN"/>
        </w:rPr>
      </w:pPr>
      <w:r>
        <w:rPr>
          <w:rFonts w:cs="Arial"/>
          <w:color w:val="000000"/>
        </w:rPr>
        <w:br w:type="page"/>
      </w:r>
    </w:p>
    <w:p w:rsidR="004B23E3" w:rsidRDefault="00375109" w:rsidP="004B23E3">
      <w:pPr>
        <w:pStyle w:val="2"/>
        <w:keepNext/>
        <w:tabs>
          <w:tab w:val="clear" w:pos="709"/>
          <w:tab w:val="left" w:pos="0"/>
        </w:tabs>
        <w:spacing w:after="0" w:line="360" w:lineRule="auto"/>
        <w:ind w:left="0"/>
        <w:jc w:val="both"/>
      </w:pPr>
      <w:r>
        <w:rPr>
          <w:rFonts w:ascii="Arial" w:hAnsi="Arial" w:cs="Arial"/>
          <w:noProof/>
          <w:color w:val="000000"/>
          <w:lang w:val="fi-FI" w:eastAsia="fi-FI" w:bidi="ar-SA"/>
        </w:rPr>
        <w:lastRenderedPageBreak/>
        <w:drawing>
          <wp:inline distT="0" distB="0" distL="0" distR="0" wp14:anchorId="0F449A9F" wp14:editId="55EC786A">
            <wp:extent cx="3839017" cy="3381147"/>
            <wp:effectExtent l="19050" t="0" r="9083" b="0"/>
            <wp:docPr id="17" name="16 - Εικόνα" descr="SEC2_p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2_pg.jpeg"/>
                    <pic:cNvPicPr/>
                  </pic:nvPicPr>
                  <pic:blipFill>
                    <a:blip r:embed="rId30" cstate="print"/>
                    <a:srcRect/>
                    <a:stretch>
                      <a:fillRect/>
                    </a:stretch>
                  </pic:blipFill>
                  <pic:spPr>
                    <a:xfrm>
                      <a:off x="0" y="0"/>
                      <a:ext cx="3839017" cy="3381147"/>
                    </a:xfrm>
                    <a:prstGeom prst="rect">
                      <a:avLst/>
                    </a:prstGeom>
                  </pic:spPr>
                </pic:pic>
              </a:graphicData>
            </a:graphic>
          </wp:inline>
        </w:drawing>
      </w:r>
    </w:p>
    <w:p w:rsidR="000C6768" w:rsidRDefault="004B23E3" w:rsidP="004B23E3">
      <w:pPr>
        <w:pStyle w:val="Caption"/>
      </w:pPr>
      <w:bookmarkStart w:id="51" w:name="_Toc392505061"/>
      <w:r>
        <w:t xml:space="preserve">Map </w:t>
      </w:r>
      <w:fldSimple w:instr=" SEQ Map \* ARABIC ">
        <w:r w:rsidR="002634D4">
          <w:rPr>
            <w:noProof/>
          </w:rPr>
          <w:t>6</w:t>
        </w:r>
      </w:fldSimple>
      <w:r>
        <w:t xml:space="preserve">: </w:t>
      </w:r>
      <w:r w:rsidRPr="000C6768">
        <w:t>SEG 2 residents per 1km grid cell, MRA, 2001</w:t>
      </w:r>
      <w:bookmarkEnd w:id="51"/>
    </w:p>
    <w:p w:rsidR="00F7224E" w:rsidRPr="000C6768" w:rsidRDefault="000C6768" w:rsidP="000C6768">
      <w:pPr>
        <w:spacing w:after="240" w:line="240" w:lineRule="auto"/>
        <w:rPr>
          <w:sz w:val="18"/>
          <w:szCs w:val="18"/>
        </w:rPr>
      </w:pPr>
      <w:r w:rsidRPr="000C6768">
        <w:rPr>
          <w:b/>
          <w:sz w:val="18"/>
          <w:szCs w:val="18"/>
        </w:rPr>
        <w:t>Source:</w:t>
      </w:r>
      <w:r w:rsidR="00F7224E" w:rsidRPr="000C6768">
        <w:rPr>
          <w:sz w:val="18"/>
          <w:szCs w:val="18"/>
        </w:rPr>
        <w:t xml:space="preserve"> 2001 census, EKKE-ESYE 2005</w:t>
      </w:r>
    </w:p>
    <w:p w:rsidR="004B23E3" w:rsidRDefault="00375109" w:rsidP="004B23E3">
      <w:pPr>
        <w:pStyle w:val="2"/>
        <w:keepNext/>
        <w:tabs>
          <w:tab w:val="clear" w:pos="709"/>
          <w:tab w:val="left" w:pos="0"/>
        </w:tabs>
        <w:spacing w:after="0" w:line="360" w:lineRule="auto"/>
        <w:ind w:left="0"/>
        <w:jc w:val="both"/>
      </w:pPr>
      <w:r>
        <w:rPr>
          <w:rFonts w:ascii="Arial" w:hAnsi="Arial" w:cs="Arial"/>
          <w:noProof/>
          <w:color w:val="000000"/>
          <w:lang w:val="fi-FI" w:eastAsia="fi-FI" w:bidi="ar-SA"/>
        </w:rPr>
        <w:drawing>
          <wp:inline distT="0" distB="0" distL="0" distR="0" wp14:anchorId="6C2FDFF5" wp14:editId="03AFA322">
            <wp:extent cx="3859005" cy="3361191"/>
            <wp:effectExtent l="19050" t="0" r="8145" b="0"/>
            <wp:docPr id="16" name="15 - Εικόνα" descr="SEC3_p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3_pg.jpeg"/>
                    <pic:cNvPicPr/>
                  </pic:nvPicPr>
                  <pic:blipFill>
                    <a:blip r:embed="rId31" cstate="print"/>
                    <a:srcRect/>
                    <a:stretch>
                      <a:fillRect/>
                    </a:stretch>
                  </pic:blipFill>
                  <pic:spPr>
                    <a:xfrm>
                      <a:off x="0" y="0"/>
                      <a:ext cx="3859005" cy="3361191"/>
                    </a:xfrm>
                    <a:prstGeom prst="rect">
                      <a:avLst/>
                    </a:prstGeom>
                  </pic:spPr>
                </pic:pic>
              </a:graphicData>
            </a:graphic>
          </wp:inline>
        </w:drawing>
      </w:r>
    </w:p>
    <w:p w:rsidR="000C6768" w:rsidRDefault="004B23E3" w:rsidP="004B23E3">
      <w:pPr>
        <w:pStyle w:val="Caption"/>
      </w:pPr>
      <w:bookmarkStart w:id="52" w:name="_Toc392505062"/>
      <w:r>
        <w:t xml:space="preserve">Map </w:t>
      </w:r>
      <w:fldSimple w:instr=" SEQ Map \* ARABIC ">
        <w:r w:rsidR="002634D4">
          <w:rPr>
            <w:noProof/>
          </w:rPr>
          <w:t>7</w:t>
        </w:r>
      </w:fldSimple>
      <w:r>
        <w:t xml:space="preserve">: </w:t>
      </w:r>
      <w:r w:rsidRPr="00AC787C">
        <w:rPr>
          <w:rFonts w:cs="Arial"/>
          <w:color w:val="000000"/>
          <w:szCs w:val="22"/>
        </w:rPr>
        <w:t>SEG 3 residents per 1km grid cell, MRA, 2001</w:t>
      </w:r>
      <w:bookmarkEnd w:id="52"/>
    </w:p>
    <w:p w:rsidR="00F7224E" w:rsidRPr="00AC787C" w:rsidRDefault="00AC787C" w:rsidP="00AC787C">
      <w:pPr>
        <w:pStyle w:val="2"/>
        <w:tabs>
          <w:tab w:val="clear" w:pos="709"/>
          <w:tab w:val="left" w:pos="0"/>
        </w:tabs>
        <w:spacing w:before="120" w:after="240" w:line="240" w:lineRule="auto"/>
        <w:ind w:left="0"/>
        <w:jc w:val="both"/>
        <w:rPr>
          <w:rFonts w:ascii="Arial" w:hAnsi="Arial" w:cs="Arial"/>
          <w:color w:val="000000"/>
          <w:sz w:val="18"/>
          <w:szCs w:val="18"/>
          <w:lang w:val="en-GB"/>
        </w:rPr>
      </w:pPr>
      <w:r w:rsidRPr="00AC787C">
        <w:rPr>
          <w:rFonts w:ascii="Arial" w:hAnsi="Arial" w:cs="Arial"/>
          <w:b/>
          <w:color w:val="000000"/>
          <w:sz w:val="18"/>
          <w:szCs w:val="18"/>
          <w:lang w:val="en-GB"/>
        </w:rPr>
        <w:t>Source:</w:t>
      </w:r>
      <w:r w:rsidR="00F7224E" w:rsidRPr="00AC787C">
        <w:rPr>
          <w:rFonts w:ascii="Arial" w:hAnsi="Arial" w:cs="Arial"/>
          <w:color w:val="000000"/>
          <w:sz w:val="18"/>
          <w:szCs w:val="18"/>
          <w:lang w:val="en-GB"/>
        </w:rPr>
        <w:t xml:space="preserve"> 2001 census, EKKE-ESYE 2005</w:t>
      </w:r>
    </w:p>
    <w:p w:rsidR="00F7224E" w:rsidRPr="00D93644" w:rsidRDefault="00F7224E" w:rsidP="00F7224E">
      <w:pPr>
        <w:pStyle w:val="2"/>
        <w:tabs>
          <w:tab w:val="clear" w:pos="709"/>
          <w:tab w:val="left" w:pos="0"/>
        </w:tabs>
        <w:spacing w:after="0" w:line="360" w:lineRule="auto"/>
        <w:ind w:left="0"/>
        <w:jc w:val="both"/>
        <w:rPr>
          <w:rFonts w:ascii="Arial" w:hAnsi="Arial" w:cs="Arial"/>
          <w:color w:val="000000"/>
          <w:lang w:val="en-GB"/>
        </w:rPr>
      </w:pPr>
    </w:p>
    <w:p w:rsidR="00375109" w:rsidRDefault="00375109">
      <w:pPr>
        <w:spacing w:before="0"/>
        <w:rPr>
          <w:rFonts w:eastAsia="DejaVu Sans" w:cs="Arial"/>
          <w:color w:val="000000"/>
          <w:kern w:val="1"/>
          <w:sz w:val="24"/>
          <w:szCs w:val="24"/>
          <w:lang w:eastAsia="zh-CN" w:bidi="hi-IN"/>
        </w:rPr>
      </w:pPr>
      <w:r>
        <w:rPr>
          <w:rFonts w:cs="Arial"/>
          <w:color w:val="000000"/>
        </w:rPr>
        <w:br w:type="page"/>
      </w:r>
    </w:p>
    <w:p w:rsidR="004B23E3" w:rsidRDefault="00375109" w:rsidP="004B23E3">
      <w:pPr>
        <w:pStyle w:val="2"/>
        <w:keepNext/>
        <w:tabs>
          <w:tab w:val="clear" w:pos="709"/>
          <w:tab w:val="left" w:pos="0"/>
        </w:tabs>
        <w:spacing w:after="0" w:line="360" w:lineRule="auto"/>
        <w:ind w:left="0"/>
        <w:jc w:val="both"/>
      </w:pPr>
      <w:r>
        <w:rPr>
          <w:rFonts w:ascii="Arial" w:hAnsi="Arial" w:cs="Arial"/>
          <w:noProof/>
          <w:color w:val="000000"/>
          <w:lang w:val="fi-FI" w:eastAsia="fi-FI" w:bidi="ar-SA"/>
        </w:rPr>
        <w:lastRenderedPageBreak/>
        <w:drawing>
          <wp:inline distT="0" distB="0" distL="0" distR="0" wp14:anchorId="1DD62F81" wp14:editId="3CE925FB">
            <wp:extent cx="3839017" cy="3381147"/>
            <wp:effectExtent l="19050" t="0" r="9083" b="0"/>
            <wp:docPr id="20" name="19 - Εικόνα" descr="SEC4_p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4_pg.jpeg"/>
                    <pic:cNvPicPr/>
                  </pic:nvPicPr>
                  <pic:blipFill>
                    <a:blip r:embed="rId32" cstate="print"/>
                    <a:srcRect/>
                    <a:stretch>
                      <a:fillRect/>
                    </a:stretch>
                  </pic:blipFill>
                  <pic:spPr>
                    <a:xfrm>
                      <a:off x="0" y="0"/>
                      <a:ext cx="3839017" cy="3381147"/>
                    </a:xfrm>
                    <a:prstGeom prst="rect">
                      <a:avLst/>
                    </a:prstGeom>
                  </pic:spPr>
                </pic:pic>
              </a:graphicData>
            </a:graphic>
          </wp:inline>
        </w:drawing>
      </w:r>
    </w:p>
    <w:p w:rsidR="00AC787C" w:rsidRDefault="004B23E3" w:rsidP="004B23E3">
      <w:pPr>
        <w:pStyle w:val="Caption"/>
      </w:pPr>
      <w:bookmarkStart w:id="53" w:name="_Toc392505063"/>
      <w:r>
        <w:t xml:space="preserve">Map </w:t>
      </w:r>
      <w:fldSimple w:instr=" SEQ Map \* ARABIC ">
        <w:r w:rsidR="002634D4">
          <w:rPr>
            <w:noProof/>
          </w:rPr>
          <w:t>8</w:t>
        </w:r>
      </w:fldSimple>
      <w:r>
        <w:t xml:space="preserve">: </w:t>
      </w:r>
      <w:r w:rsidRPr="00AC787C">
        <w:t>SEG 4 residents per 1km grid cell, MRA, 2001</w:t>
      </w:r>
      <w:bookmarkEnd w:id="53"/>
    </w:p>
    <w:p w:rsidR="00F7224E" w:rsidRPr="00AC787C" w:rsidRDefault="00AC787C" w:rsidP="00AC787C">
      <w:pPr>
        <w:spacing w:after="240" w:line="240" w:lineRule="auto"/>
        <w:rPr>
          <w:sz w:val="18"/>
          <w:szCs w:val="18"/>
        </w:rPr>
      </w:pPr>
      <w:r w:rsidRPr="00AC787C">
        <w:rPr>
          <w:b/>
          <w:sz w:val="18"/>
          <w:szCs w:val="18"/>
        </w:rPr>
        <w:t>Source:</w:t>
      </w:r>
      <w:r w:rsidR="00F7224E" w:rsidRPr="00AC787C">
        <w:rPr>
          <w:sz w:val="18"/>
          <w:szCs w:val="18"/>
        </w:rPr>
        <w:t xml:space="preserve"> 2001 census, EKKE-ESYE 2005</w:t>
      </w:r>
    </w:p>
    <w:p w:rsidR="004B23E3" w:rsidRDefault="00375109" w:rsidP="004B23E3">
      <w:pPr>
        <w:pStyle w:val="2"/>
        <w:keepNext/>
        <w:tabs>
          <w:tab w:val="clear" w:pos="709"/>
          <w:tab w:val="left" w:pos="0"/>
        </w:tabs>
        <w:spacing w:after="0" w:line="360" w:lineRule="auto"/>
        <w:ind w:left="0"/>
        <w:jc w:val="both"/>
      </w:pPr>
      <w:r>
        <w:rPr>
          <w:rFonts w:ascii="Arial" w:hAnsi="Arial" w:cs="Arial"/>
          <w:noProof/>
          <w:color w:val="000000"/>
          <w:lang w:val="fi-FI" w:eastAsia="fi-FI" w:bidi="ar-SA"/>
        </w:rPr>
        <w:drawing>
          <wp:inline distT="0" distB="0" distL="0" distR="0" wp14:anchorId="37E266FA" wp14:editId="03956302">
            <wp:extent cx="3919031" cy="3421142"/>
            <wp:effectExtent l="19050" t="0" r="5269" b="0"/>
            <wp:docPr id="21" name="20 - Εικόνα" descr="SEC5_p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5_pg.jpeg"/>
                    <pic:cNvPicPr/>
                  </pic:nvPicPr>
                  <pic:blipFill>
                    <a:blip r:embed="rId33" cstate="print"/>
                    <a:srcRect/>
                    <a:stretch>
                      <a:fillRect/>
                    </a:stretch>
                  </pic:blipFill>
                  <pic:spPr>
                    <a:xfrm>
                      <a:off x="0" y="0"/>
                      <a:ext cx="3919031" cy="3421142"/>
                    </a:xfrm>
                    <a:prstGeom prst="rect">
                      <a:avLst/>
                    </a:prstGeom>
                  </pic:spPr>
                </pic:pic>
              </a:graphicData>
            </a:graphic>
          </wp:inline>
        </w:drawing>
      </w:r>
    </w:p>
    <w:p w:rsidR="00AC787C" w:rsidRDefault="004B23E3" w:rsidP="004B23E3">
      <w:pPr>
        <w:pStyle w:val="Caption"/>
      </w:pPr>
      <w:bookmarkStart w:id="54" w:name="_Toc392505064"/>
      <w:r>
        <w:t xml:space="preserve">Map </w:t>
      </w:r>
      <w:fldSimple w:instr=" SEQ Map \* ARABIC ">
        <w:r w:rsidR="002634D4">
          <w:rPr>
            <w:noProof/>
          </w:rPr>
          <w:t>9</w:t>
        </w:r>
      </w:fldSimple>
      <w:r>
        <w:t xml:space="preserve">: </w:t>
      </w:r>
      <w:r w:rsidRPr="00AC787C">
        <w:t>SEG 5 residents per 1km grid cell, MRA, 2001</w:t>
      </w:r>
      <w:bookmarkEnd w:id="54"/>
    </w:p>
    <w:p w:rsidR="00F7224E" w:rsidRPr="00AC787C" w:rsidRDefault="00AC787C" w:rsidP="00AC787C">
      <w:pPr>
        <w:spacing w:after="240" w:line="240" w:lineRule="auto"/>
        <w:rPr>
          <w:sz w:val="18"/>
          <w:szCs w:val="18"/>
        </w:rPr>
      </w:pPr>
      <w:r w:rsidRPr="00AC787C">
        <w:rPr>
          <w:b/>
          <w:sz w:val="18"/>
          <w:szCs w:val="18"/>
        </w:rPr>
        <w:t>Source:</w:t>
      </w:r>
      <w:r w:rsidR="00F7224E" w:rsidRPr="00AC787C">
        <w:rPr>
          <w:sz w:val="18"/>
          <w:szCs w:val="18"/>
        </w:rPr>
        <w:t xml:space="preserve"> 2001 census, EKKE-ESYE 2005</w:t>
      </w:r>
    </w:p>
    <w:p w:rsidR="00F7224E" w:rsidRPr="00D93644" w:rsidRDefault="00F7224E" w:rsidP="00F7224E">
      <w:pPr>
        <w:pStyle w:val="2"/>
        <w:tabs>
          <w:tab w:val="clear" w:pos="709"/>
          <w:tab w:val="left" w:pos="0"/>
        </w:tabs>
        <w:spacing w:after="0" w:line="360" w:lineRule="auto"/>
        <w:ind w:left="0"/>
        <w:jc w:val="both"/>
        <w:rPr>
          <w:rFonts w:ascii="Arial" w:hAnsi="Arial" w:cs="Arial"/>
          <w:color w:val="000000"/>
          <w:lang w:val="en-GB"/>
        </w:rPr>
      </w:pPr>
    </w:p>
    <w:p w:rsidR="00F7224E" w:rsidRPr="00D93644" w:rsidRDefault="00F7224E" w:rsidP="00AC787C">
      <w:pPr>
        <w:spacing w:line="276" w:lineRule="auto"/>
      </w:pPr>
      <w:r w:rsidRPr="00D93644">
        <w:lastRenderedPageBreak/>
        <w:t>Members of SEG 1 reside in a wide area of MRA. SEG 2 exhibits a quite centralized residential pattern. SEG 3 appears to be concentrated mainly in the western part of the city centre and in the nearby working-class suburbs. SEG 4 is quite centralized but extends along the North-South axis of the densely populated urban area of MRA. SEG 5 presents a bipolar pattern, due to the spatial separation of its members, with Filipino residing mainly in the eastern part of the city centre and Russians in some low-status suburbs of the western periphery</w:t>
      </w:r>
      <w:r w:rsidR="00645B2E">
        <w:rPr>
          <w:rStyle w:val="FootnoteReference"/>
        </w:rPr>
        <w:footnoteReference w:id="5"/>
      </w:r>
      <w:r w:rsidRPr="00D93644">
        <w:t>.</w:t>
      </w:r>
      <w:r w:rsidR="00645B2E">
        <w:t xml:space="preserve"> </w:t>
      </w:r>
    </w:p>
    <w:p w:rsidR="00F7224E" w:rsidRPr="00D93644" w:rsidRDefault="00F7224E" w:rsidP="00AC787C">
      <w:pPr>
        <w:spacing w:line="276" w:lineRule="auto"/>
      </w:pPr>
      <w:r w:rsidRPr="00D93644">
        <w:t>Table 2.5 summarizes some basic indices used to measure different aspects of residential segregation (Massey &amp; Denton</w:t>
      </w:r>
      <w:r w:rsidR="00AC787C">
        <w:t>,</w:t>
      </w:r>
      <w:r w:rsidRPr="00D93644">
        <w:t xml:space="preserve"> 1988) for the identified SEGs at the 1km grid cells in MRA. </w:t>
      </w:r>
    </w:p>
    <w:p w:rsidR="00F7224E" w:rsidRPr="00AC787C" w:rsidRDefault="00F7224E" w:rsidP="00F7224E">
      <w:pPr>
        <w:pStyle w:val="2"/>
        <w:tabs>
          <w:tab w:val="clear" w:pos="709"/>
          <w:tab w:val="left" w:pos="0"/>
        </w:tabs>
        <w:spacing w:after="0" w:line="360" w:lineRule="auto"/>
        <w:ind w:left="0" w:firstLine="15"/>
        <w:jc w:val="both"/>
        <w:rPr>
          <w:rFonts w:ascii="Arial" w:hAnsi="Arial" w:cs="Arial"/>
          <w:b/>
          <w:color w:val="000000"/>
          <w:sz w:val="10"/>
          <w:szCs w:val="10"/>
          <w:lang w:val="en-GB"/>
        </w:rPr>
      </w:pPr>
    </w:p>
    <w:p w:rsidR="00AC787C" w:rsidRDefault="00AC787C" w:rsidP="00AC787C">
      <w:pPr>
        <w:pStyle w:val="Caption"/>
        <w:keepNext/>
        <w:spacing w:after="120"/>
      </w:pPr>
      <w:bookmarkStart w:id="55" w:name="_Toc386013252"/>
      <w:r>
        <w:t xml:space="preserve">Table </w:t>
      </w:r>
      <w:r w:rsidR="00CC1B00">
        <w:fldChar w:fldCharType="begin"/>
      </w:r>
      <w:r w:rsidR="00CC1B00">
        <w:instrText xml:space="preserve"> SEQ Table \* ARABIC </w:instrText>
      </w:r>
      <w:r w:rsidR="00CC1B00">
        <w:fldChar w:fldCharType="separate"/>
      </w:r>
      <w:r w:rsidR="002634D4">
        <w:rPr>
          <w:noProof/>
        </w:rPr>
        <w:t>16</w:t>
      </w:r>
      <w:r w:rsidR="00CC1B00">
        <w:rPr>
          <w:noProof/>
        </w:rPr>
        <w:fldChar w:fldCharType="end"/>
      </w:r>
      <w:r>
        <w:t xml:space="preserve">: </w:t>
      </w:r>
      <w:r w:rsidRPr="00AC787C">
        <w:rPr>
          <w:rFonts w:cs="Arial"/>
          <w:color w:val="000000"/>
          <w:szCs w:val="22"/>
        </w:rPr>
        <w:t>Segregation level of the immigrant population and SEGs at the 1km grid cells. MRA, 2001</w:t>
      </w:r>
      <w:bookmarkEnd w:id="5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6"/>
        <w:gridCol w:w="705"/>
        <w:gridCol w:w="705"/>
        <w:gridCol w:w="1422"/>
        <w:gridCol w:w="15"/>
        <w:gridCol w:w="1407"/>
        <w:gridCol w:w="727"/>
        <w:gridCol w:w="728"/>
        <w:gridCol w:w="714"/>
        <w:gridCol w:w="714"/>
      </w:tblGrid>
      <w:tr w:rsidR="00F7224E" w:rsidRPr="00AC787C" w:rsidTr="00724794">
        <w:trPr>
          <w:cantSplit/>
        </w:trPr>
        <w:tc>
          <w:tcPr>
            <w:tcW w:w="1136" w:type="dxa"/>
            <w:tcBorders>
              <w:bottom w:val="single" w:sz="18" w:space="0" w:color="auto"/>
            </w:tcBorders>
          </w:tcPr>
          <w:p w:rsidR="00F7224E" w:rsidRPr="00AC787C" w:rsidRDefault="00F7224E" w:rsidP="00AC787C">
            <w:pPr>
              <w:pStyle w:val="2"/>
              <w:tabs>
                <w:tab w:val="clear" w:pos="709"/>
                <w:tab w:val="left" w:pos="0"/>
              </w:tabs>
              <w:spacing w:before="20" w:after="20" w:line="240" w:lineRule="auto"/>
              <w:ind w:left="0"/>
              <w:jc w:val="both"/>
              <w:rPr>
                <w:rFonts w:ascii="Arial" w:hAnsi="Arial" w:cs="Arial"/>
                <w:b/>
                <w:bCs/>
                <w:color w:val="000000"/>
                <w:sz w:val="18"/>
                <w:szCs w:val="18"/>
                <w:lang w:val="en-GB"/>
              </w:rPr>
            </w:pPr>
          </w:p>
        </w:tc>
        <w:tc>
          <w:tcPr>
            <w:tcW w:w="1410" w:type="dxa"/>
            <w:gridSpan w:val="2"/>
            <w:tcBorders>
              <w:bottom w:val="single" w:sz="18" w:space="0" w:color="auto"/>
            </w:tcBorders>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Evenness</w:t>
            </w:r>
          </w:p>
        </w:tc>
        <w:tc>
          <w:tcPr>
            <w:tcW w:w="1437" w:type="dxa"/>
            <w:gridSpan w:val="2"/>
            <w:tcBorders>
              <w:bottom w:val="single" w:sz="18" w:space="0" w:color="auto"/>
            </w:tcBorders>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Concentration</w:t>
            </w:r>
          </w:p>
        </w:tc>
        <w:tc>
          <w:tcPr>
            <w:tcW w:w="1407" w:type="dxa"/>
            <w:tcBorders>
              <w:bottom w:val="single" w:sz="18" w:space="0" w:color="auto"/>
            </w:tcBorders>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Centralization</w:t>
            </w:r>
          </w:p>
        </w:tc>
        <w:tc>
          <w:tcPr>
            <w:tcW w:w="1455" w:type="dxa"/>
            <w:gridSpan w:val="2"/>
            <w:tcBorders>
              <w:bottom w:val="single" w:sz="18" w:space="0" w:color="auto"/>
            </w:tcBorders>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Clustering</w:t>
            </w:r>
          </w:p>
        </w:tc>
        <w:tc>
          <w:tcPr>
            <w:tcW w:w="1428" w:type="dxa"/>
            <w:gridSpan w:val="2"/>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Exposure</w:t>
            </w:r>
          </w:p>
        </w:tc>
      </w:tr>
      <w:tr w:rsidR="00F7224E" w:rsidRPr="00AC787C" w:rsidTr="00724794">
        <w:tc>
          <w:tcPr>
            <w:tcW w:w="1136" w:type="dxa"/>
            <w:tcBorders>
              <w:top w:val="single" w:sz="18" w:space="0" w:color="auto"/>
            </w:tcBorders>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rPr>
                <w:rFonts w:ascii="Arial" w:hAnsi="Arial" w:cs="Arial"/>
                <w:b/>
                <w:bCs/>
                <w:color w:val="000000"/>
                <w:sz w:val="18"/>
                <w:szCs w:val="18"/>
                <w:lang w:val="en-GB"/>
              </w:rPr>
            </w:pPr>
            <w:r w:rsidRPr="00AC787C">
              <w:rPr>
                <w:rFonts w:ascii="Arial" w:hAnsi="Arial" w:cs="Arial"/>
                <w:b/>
                <w:bCs/>
                <w:color w:val="000000"/>
                <w:sz w:val="18"/>
                <w:szCs w:val="18"/>
                <w:lang w:val="en-GB"/>
              </w:rPr>
              <w:t>Group</w:t>
            </w:r>
          </w:p>
        </w:tc>
        <w:tc>
          <w:tcPr>
            <w:tcW w:w="705" w:type="dxa"/>
            <w:tcBorders>
              <w:top w:val="single" w:sz="18" w:space="0" w:color="auto"/>
            </w:tcBorders>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IS</w:t>
            </w:r>
            <w:r w:rsidRPr="00AC787C">
              <w:rPr>
                <w:rFonts w:ascii="Arial" w:hAnsi="Arial" w:cs="Arial"/>
                <w:b/>
                <w:bCs/>
                <w:color w:val="000000"/>
                <w:kern w:val="24"/>
                <w:sz w:val="18"/>
                <w:szCs w:val="18"/>
                <w:vertAlign w:val="superscript"/>
                <w:lang w:val="en-GB"/>
              </w:rPr>
              <w:t>1</w:t>
            </w:r>
          </w:p>
        </w:tc>
        <w:tc>
          <w:tcPr>
            <w:tcW w:w="705" w:type="dxa"/>
            <w:tcBorders>
              <w:top w:val="single" w:sz="18" w:space="0" w:color="auto"/>
            </w:tcBorders>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H</w:t>
            </w:r>
            <w:r w:rsidRPr="00AC787C">
              <w:rPr>
                <w:rFonts w:ascii="Arial" w:hAnsi="Arial" w:cs="Arial"/>
                <w:b/>
                <w:bCs/>
                <w:color w:val="000000"/>
                <w:kern w:val="24"/>
                <w:sz w:val="18"/>
                <w:szCs w:val="18"/>
                <w:vertAlign w:val="superscript"/>
                <w:lang w:val="en-GB"/>
              </w:rPr>
              <w:t>2</w:t>
            </w:r>
          </w:p>
        </w:tc>
        <w:tc>
          <w:tcPr>
            <w:tcW w:w="1422" w:type="dxa"/>
            <w:tcBorders>
              <w:top w:val="single" w:sz="18" w:space="0" w:color="auto"/>
            </w:tcBorders>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DEL</w:t>
            </w:r>
            <w:r w:rsidRPr="00AC787C">
              <w:rPr>
                <w:rFonts w:ascii="Arial" w:hAnsi="Arial" w:cs="Arial"/>
                <w:b/>
                <w:bCs/>
                <w:color w:val="000000"/>
                <w:kern w:val="24"/>
                <w:sz w:val="18"/>
                <w:szCs w:val="18"/>
                <w:vertAlign w:val="superscript"/>
                <w:lang w:val="en-GB"/>
              </w:rPr>
              <w:t>3</w:t>
            </w:r>
          </w:p>
        </w:tc>
        <w:tc>
          <w:tcPr>
            <w:tcW w:w="1422" w:type="dxa"/>
            <w:gridSpan w:val="2"/>
            <w:tcBorders>
              <w:top w:val="single" w:sz="18" w:space="0" w:color="auto"/>
            </w:tcBorders>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ACE</w:t>
            </w:r>
            <w:r w:rsidRPr="00AC787C">
              <w:rPr>
                <w:rFonts w:ascii="Arial" w:hAnsi="Arial" w:cs="Arial"/>
                <w:b/>
                <w:bCs/>
                <w:color w:val="000000"/>
                <w:kern w:val="24"/>
                <w:sz w:val="18"/>
                <w:szCs w:val="18"/>
                <w:vertAlign w:val="superscript"/>
                <w:lang w:val="en-GB"/>
              </w:rPr>
              <w:t>4</w:t>
            </w:r>
          </w:p>
        </w:tc>
        <w:tc>
          <w:tcPr>
            <w:tcW w:w="727" w:type="dxa"/>
            <w:tcBorders>
              <w:top w:val="single" w:sz="18" w:space="0" w:color="auto"/>
            </w:tcBorders>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ACL</w:t>
            </w:r>
            <w:r w:rsidRPr="00AC787C">
              <w:rPr>
                <w:rFonts w:ascii="Arial" w:hAnsi="Arial" w:cs="Arial"/>
                <w:b/>
                <w:bCs/>
                <w:color w:val="000000"/>
                <w:kern w:val="24"/>
                <w:sz w:val="18"/>
                <w:szCs w:val="18"/>
                <w:vertAlign w:val="superscript"/>
                <w:lang w:val="en-GB"/>
              </w:rPr>
              <w:t>5</w:t>
            </w:r>
          </w:p>
        </w:tc>
        <w:tc>
          <w:tcPr>
            <w:tcW w:w="728" w:type="dxa"/>
            <w:tcBorders>
              <w:top w:val="single" w:sz="18" w:space="0" w:color="auto"/>
            </w:tcBorders>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fr-FR"/>
              </w:rPr>
            </w:pPr>
            <w:r w:rsidRPr="00AC787C">
              <w:rPr>
                <w:rFonts w:ascii="Arial" w:hAnsi="Arial" w:cs="Arial"/>
                <w:b/>
                <w:bCs/>
                <w:color w:val="000000"/>
                <w:sz w:val="18"/>
                <w:szCs w:val="18"/>
                <w:lang w:val="fr-FR"/>
              </w:rPr>
              <w:t>ACL adj</w:t>
            </w:r>
            <w:r w:rsidRPr="00AC787C">
              <w:rPr>
                <w:rFonts w:ascii="Arial" w:hAnsi="Arial" w:cs="Arial"/>
                <w:b/>
                <w:bCs/>
                <w:color w:val="000000"/>
                <w:kern w:val="24"/>
                <w:sz w:val="18"/>
                <w:szCs w:val="18"/>
                <w:vertAlign w:val="subscript"/>
                <w:lang w:val="fr-FR"/>
              </w:rPr>
              <w:t>6</w:t>
            </w:r>
          </w:p>
        </w:tc>
        <w:tc>
          <w:tcPr>
            <w:tcW w:w="714" w:type="dxa"/>
            <w:tcBorders>
              <w:top w:val="single" w:sz="18" w:space="0" w:color="auto"/>
            </w:tcBorders>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fr-FR"/>
              </w:rPr>
            </w:pPr>
            <w:r w:rsidRPr="00AC787C">
              <w:rPr>
                <w:rFonts w:ascii="Arial" w:hAnsi="Arial" w:cs="Arial"/>
                <w:b/>
                <w:bCs/>
                <w:color w:val="000000"/>
                <w:sz w:val="18"/>
                <w:szCs w:val="18"/>
                <w:lang w:val="fr-FR"/>
              </w:rPr>
              <w:t>P</w:t>
            </w:r>
            <w:r w:rsidRPr="00AC787C">
              <w:rPr>
                <w:rFonts w:ascii="Arial" w:hAnsi="Arial" w:cs="Arial"/>
                <w:b/>
                <w:bCs/>
                <w:color w:val="000000"/>
                <w:kern w:val="24"/>
                <w:sz w:val="18"/>
                <w:szCs w:val="18"/>
                <w:vertAlign w:val="subscript"/>
                <w:lang w:val="fr-FR"/>
              </w:rPr>
              <w:t>gre</w:t>
            </w:r>
            <w:r w:rsidRPr="00AC787C">
              <w:rPr>
                <w:rFonts w:ascii="Arial" w:hAnsi="Arial" w:cs="Arial"/>
                <w:b/>
                <w:bCs/>
                <w:color w:val="000000"/>
                <w:kern w:val="24"/>
                <w:sz w:val="18"/>
                <w:szCs w:val="18"/>
                <w:vertAlign w:val="superscript"/>
                <w:lang w:val="fr-FR"/>
              </w:rPr>
              <w:t xml:space="preserve"> 7</w:t>
            </w:r>
          </w:p>
        </w:tc>
        <w:tc>
          <w:tcPr>
            <w:tcW w:w="714" w:type="dxa"/>
            <w:tcBorders>
              <w:top w:val="single" w:sz="18" w:space="0" w:color="auto"/>
            </w:tcBorders>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jc w:val="center"/>
              <w:rPr>
                <w:rFonts w:ascii="Arial" w:hAnsi="Arial" w:cs="Arial"/>
                <w:b/>
                <w:bCs/>
                <w:color w:val="000000"/>
                <w:sz w:val="18"/>
                <w:szCs w:val="18"/>
                <w:lang w:val="en-GB"/>
              </w:rPr>
            </w:pPr>
            <w:r w:rsidRPr="00AC787C">
              <w:rPr>
                <w:rFonts w:ascii="Arial" w:hAnsi="Arial" w:cs="Arial"/>
                <w:b/>
                <w:bCs/>
                <w:color w:val="000000"/>
                <w:sz w:val="18"/>
                <w:szCs w:val="18"/>
                <w:lang w:val="en-GB"/>
              </w:rPr>
              <w:t>P</w:t>
            </w:r>
            <w:r w:rsidRPr="00AC787C">
              <w:rPr>
                <w:rFonts w:ascii="Arial" w:hAnsi="Arial" w:cs="Arial"/>
                <w:b/>
                <w:bCs/>
                <w:color w:val="000000"/>
                <w:kern w:val="24"/>
                <w:sz w:val="18"/>
                <w:szCs w:val="18"/>
                <w:vertAlign w:val="subscript"/>
                <w:lang w:val="en-GB"/>
              </w:rPr>
              <w:t>imm</w:t>
            </w:r>
            <w:r w:rsidRPr="00AC787C">
              <w:rPr>
                <w:rFonts w:ascii="Arial" w:hAnsi="Arial" w:cs="Arial"/>
                <w:b/>
                <w:bCs/>
                <w:color w:val="000000"/>
                <w:sz w:val="18"/>
                <w:szCs w:val="18"/>
                <w:lang w:val="en-GB"/>
              </w:rPr>
              <w:t xml:space="preserve"> </w:t>
            </w:r>
            <w:r w:rsidRPr="00AC787C">
              <w:rPr>
                <w:rFonts w:ascii="Arial" w:hAnsi="Arial" w:cs="Arial"/>
                <w:b/>
                <w:bCs/>
                <w:color w:val="000000"/>
                <w:kern w:val="24"/>
                <w:sz w:val="18"/>
                <w:szCs w:val="18"/>
                <w:vertAlign w:val="superscript"/>
                <w:lang w:val="en-GB"/>
              </w:rPr>
              <w:t>8</w:t>
            </w:r>
          </w:p>
        </w:tc>
      </w:tr>
      <w:tr w:rsidR="00F7224E" w:rsidRPr="00AC787C" w:rsidTr="00724794">
        <w:trPr>
          <w:cantSplit/>
        </w:trPr>
        <w:tc>
          <w:tcPr>
            <w:tcW w:w="1136" w:type="dxa"/>
            <w:vAlign w:val="center"/>
          </w:tcPr>
          <w:p w:rsidR="00F7224E" w:rsidRPr="00AC787C" w:rsidRDefault="00F7224E" w:rsidP="00AC787C">
            <w:pPr>
              <w:pStyle w:val="2"/>
              <w:tabs>
                <w:tab w:val="clear" w:pos="709"/>
                <w:tab w:val="left" w:pos="0"/>
              </w:tabs>
              <w:spacing w:before="20" w:after="20" w:line="240" w:lineRule="auto"/>
              <w:ind w:left="0"/>
              <w:rPr>
                <w:rFonts w:ascii="Arial" w:hAnsi="Arial" w:cs="Arial"/>
                <w:b/>
                <w:color w:val="000000"/>
                <w:sz w:val="18"/>
                <w:szCs w:val="18"/>
                <w:lang w:val="en-GB"/>
              </w:rPr>
            </w:pPr>
            <w:r w:rsidRPr="00AC787C">
              <w:rPr>
                <w:rFonts w:ascii="Arial" w:hAnsi="Arial" w:cs="Arial"/>
                <w:b/>
                <w:color w:val="000000"/>
                <w:sz w:val="18"/>
                <w:szCs w:val="18"/>
                <w:lang w:val="en-GB"/>
              </w:rPr>
              <w:t>Greeks</w:t>
            </w:r>
          </w:p>
        </w:tc>
        <w:tc>
          <w:tcPr>
            <w:tcW w:w="705" w:type="dxa"/>
            <w:vAlign w:val="center"/>
          </w:tcPr>
          <w:p w:rsidR="00F7224E" w:rsidRPr="00AC787C" w:rsidRDefault="00F7224E" w:rsidP="00AC787C">
            <w:pPr>
              <w:spacing w:before="20" w:after="20" w:line="240" w:lineRule="auto"/>
              <w:jc w:val="right"/>
              <w:rPr>
                <w:rFonts w:cs="Arial"/>
                <w:sz w:val="18"/>
                <w:szCs w:val="18"/>
              </w:rPr>
            </w:pPr>
            <w:r w:rsidRPr="00AC787C">
              <w:rPr>
                <w:rFonts w:cs="Arial"/>
                <w:sz w:val="18"/>
                <w:szCs w:val="18"/>
              </w:rPr>
              <w:t>0.211</w:t>
            </w:r>
          </w:p>
        </w:tc>
        <w:tc>
          <w:tcPr>
            <w:tcW w:w="705" w:type="dxa"/>
            <w:vAlign w:val="center"/>
          </w:tcPr>
          <w:p w:rsidR="00F7224E" w:rsidRPr="00AC787C" w:rsidRDefault="00F7224E" w:rsidP="00AC787C">
            <w:pPr>
              <w:spacing w:before="20" w:after="20" w:line="240" w:lineRule="auto"/>
              <w:jc w:val="right"/>
              <w:rPr>
                <w:rFonts w:cs="Arial"/>
                <w:sz w:val="18"/>
                <w:szCs w:val="18"/>
              </w:rPr>
            </w:pPr>
            <w:r w:rsidRPr="00AC787C">
              <w:rPr>
                <w:rFonts w:cs="Arial"/>
                <w:sz w:val="18"/>
                <w:szCs w:val="18"/>
              </w:rPr>
              <w:t>0.050</w:t>
            </w:r>
          </w:p>
        </w:tc>
        <w:tc>
          <w:tcPr>
            <w:tcW w:w="1422" w:type="dxa"/>
            <w:vAlign w:val="center"/>
          </w:tcPr>
          <w:p w:rsidR="00F7224E" w:rsidRPr="00AC787C" w:rsidRDefault="00F7224E" w:rsidP="00AC787C">
            <w:pPr>
              <w:spacing w:before="20" w:after="20" w:line="240" w:lineRule="auto"/>
              <w:jc w:val="right"/>
              <w:rPr>
                <w:rFonts w:cs="Arial"/>
                <w:sz w:val="18"/>
                <w:szCs w:val="18"/>
              </w:rPr>
            </w:pPr>
            <w:r w:rsidRPr="00AC787C">
              <w:rPr>
                <w:rFonts w:cs="Arial"/>
                <w:sz w:val="18"/>
                <w:szCs w:val="18"/>
              </w:rPr>
              <w:t>0.541</w:t>
            </w:r>
          </w:p>
        </w:tc>
        <w:tc>
          <w:tcPr>
            <w:tcW w:w="1422" w:type="dxa"/>
            <w:gridSpan w:val="2"/>
            <w:vAlign w:val="center"/>
          </w:tcPr>
          <w:p w:rsidR="00F7224E" w:rsidRPr="00AC787C" w:rsidRDefault="00F7224E" w:rsidP="00AC787C">
            <w:pPr>
              <w:spacing w:before="20" w:after="20" w:line="240" w:lineRule="auto"/>
              <w:jc w:val="right"/>
              <w:rPr>
                <w:rFonts w:cs="Arial"/>
                <w:sz w:val="18"/>
                <w:szCs w:val="18"/>
              </w:rPr>
            </w:pPr>
            <w:r w:rsidRPr="00AC787C">
              <w:rPr>
                <w:rFonts w:cs="Arial"/>
                <w:sz w:val="18"/>
                <w:szCs w:val="18"/>
              </w:rPr>
              <w:t>0.570</w:t>
            </w:r>
          </w:p>
        </w:tc>
        <w:tc>
          <w:tcPr>
            <w:tcW w:w="727" w:type="dxa"/>
            <w:vAlign w:val="center"/>
          </w:tcPr>
          <w:p w:rsidR="00F7224E" w:rsidRPr="00AC787C" w:rsidRDefault="00F7224E" w:rsidP="00AC787C">
            <w:pPr>
              <w:pStyle w:val="2"/>
              <w:tabs>
                <w:tab w:val="clear" w:pos="709"/>
                <w:tab w:val="left" w:pos="0"/>
              </w:tabs>
              <w:spacing w:before="20" w:after="20" w:line="240" w:lineRule="auto"/>
              <w:ind w:left="0"/>
              <w:jc w:val="right"/>
              <w:rPr>
                <w:rFonts w:ascii="Arial" w:hAnsi="Arial" w:cs="Arial"/>
                <w:b/>
                <w:bCs/>
                <w:color w:val="000000"/>
                <w:sz w:val="18"/>
                <w:szCs w:val="18"/>
                <w:lang w:val="en-GB"/>
              </w:rPr>
            </w:pPr>
            <w:r w:rsidRPr="00AC787C">
              <w:rPr>
                <w:rFonts w:ascii="Arial" w:hAnsi="Arial" w:cs="Arial"/>
                <w:color w:val="000000"/>
                <w:sz w:val="18"/>
                <w:szCs w:val="18"/>
                <w:lang w:val="en-GB"/>
              </w:rPr>
              <w:t>0.863</w:t>
            </w:r>
          </w:p>
        </w:tc>
        <w:tc>
          <w:tcPr>
            <w:tcW w:w="728"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eastAsia="Arial Unicode MS" w:cs="Arial"/>
                <w:sz w:val="18"/>
                <w:szCs w:val="18"/>
              </w:rPr>
              <w:t>0.981</w:t>
            </w:r>
          </w:p>
        </w:tc>
        <w:tc>
          <w:tcPr>
            <w:tcW w:w="714" w:type="dxa"/>
            <w:vAlign w:val="center"/>
          </w:tcPr>
          <w:p w:rsidR="00F7224E" w:rsidRPr="00AC787C" w:rsidRDefault="00F7224E" w:rsidP="00AC787C">
            <w:pPr>
              <w:spacing w:before="20" w:after="20" w:line="240" w:lineRule="auto"/>
              <w:jc w:val="right"/>
              <w:rPr>
                <w:rFonts w:cs="Arial"/>
                <w:sz w:val="18"/>
                <w:szCs w:val="18"/>
              </w:rPr>
            </w:pPr>
            <w:r w:rsidRPr="00AC787C">
              <w:rPr>
                <w:rFonts w:cs="Arial"/>
                <w:sz w:val="18"/>
                <w:szCs w:val="18"/>
              </w:rPr>
              <w:t>0.902</w:t>
            </w:r>
          </w:p>
        </w:tc>
        <w:tc>
          <w:tcPr>
            <w:tcW w:w="714" w:type="dxa"/>
            <w:vAlign w:val="center"/>
          </w:tcPr>
          <w:p w:rsidR="00F7224E" w:rsidRPr="00AC787C" w:rsidRDefault="00F7224E" w:rsidP="00AC787C">
            <w:pPr>
              <w:spacing w:before="20" w:after="20" w:line="240" w:lineRule="auto"/>
              <w:jc w:val="right"/>
              <w:rPr>
                <w:rFonts w:cs="Arial"/>
                <w:sz w:val="18"/>
                <w:szCs w:val="18"/>
              </w:rPr>
            </w:pPr>
            <w:r w:rsidRPr="00AC787C">
              <w:rPr>
                <w:rFonts w:cs="Arial"/>
                <w:sz w:val="18"/>
                <w:szCs w:val="18"/>
              </w:rPr>
              <w:t>0.078</w:t>
            </w:r>
          </w:p>
        </w:tc>
      </w:tr>
      <w:tr w:rsidR="00F7224E" w:rsidRPr="00AC787C" w:rsidTr="00724794">
        <w:trPr>
          <w:cantSplit/>
        </w:trPr>
        <w:tc>
          <w:tcPr>
            <w:tcW w:w="1136" w:type="dxa"/>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rPr>
                <w:rFonts w:ascii="Arial" w:hAnsi="Arial" w:cs="Arial"/>
                <w:b/>
                <w:color w:val="000000"/>
                <w:sz w:val="18"/>
                <w:szCs w:val="18"/>
                <w:lang w:val="en-GB"/>
              </w:rPr>
            </w:pPr>
            <w:r w:rsidRPr="00AC787C">
              <w:rPr>
                <w:rFonts w:ascii="Arial" w:hAnsi="Arial" w:cs="Arial"/>
                <w:b/>
                <w:color w:val="000000"/>
                <w:sz w:val="18"/>
                <w:szCs w:val="18"/>
                <w:lang w:val="en-GB"/>
              </w:rPr>
              <w:t>SEG1</w:t>
            </w:r>
          </w:p>
        </w:tc>
        <w:tc>
          <w:tcPr>
            <w:tcW w:w="705"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0.259</w:t>
            </w:r>
          </w:p>
        </w:tc>
        <w:tc>
          <w:tcPr>
            <w:tcW w:w="705"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0.055</w:t>
            </w:r>
          </w:p>
        </w:tc>
        <w:tc>
          <w:tcPr>
            <w:tcW w:w="1422"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0.539</w:t>
            </w:r>
          </w:p>
        </w:tc>
        <w:tc>
          <w:tcPr>
            <w:tcW w:w="1422" w:type="dxa"/>
            <w:gridSpan w:val="2"/>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0.559</w:t>
            </w:r>
          </w:p>
        </w:tc>
        <w:tc>
          <w:tcPr>
            <w:tcW w:w="727" w:type="dxa"/>
            <w:shd w:val="clear" w:color="auto" w:fill="D9D9D9" w:themeFill="background1" w:themeFillShade="D9"/>
            <w:vAlign w:val="center"/>
          </w:tcPr>
          <w:p w:rsidR="00F7224E" w:rsidRPr="00AC787C" w:rsidRDefault="00F7224E" w:rsidP="00AC787C">
            <w:pPr>
              <w:pStyle w:val="2"/>
              <w:tabs>
                <w:tab w:val="left" w:pos="0"/>
              </w:tabs>
              <w:spacing w:before="20" w:after="20" w:line="240" w:lineRule="auto"/>
              <w:ind w:left="0"/>
              <w:jc w:val="right"/>
              <w:rPr>
                <w:rFonts w:ascii="Arial" w:hAnsi="Arial" w:cs="Arial"/>
                <w:color w:val="000000"/>
                <w:sz w:val="18"/>
                <w:szCs w:val="18"/>
                <w:lang w:val="en-GB"/>
              </w:rPr>
            </w:pPr>
            <w:r w:rsidRPr="00AC787C">
              <w:rPr>
                <w:rFonts w:ascii="Arial" w:hAnsi="Arial" w:cs="Arial"/>
                <w:color w:val="000000"/>
                <w:sz w:val="18"/>
                <w:szCs w:val="18"/>
                <w:lang w:val="en-GB"/>
              </w:rPr>
              <w:t>0.064</w:t>
            </w:r>
          </w:p>
        </w:tc>
        <w:tc>
          <w:tcPr>
            <w:tcW w:w="728"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1,240</w:t>
            </w:r>
          </w:p>
        </w:tc>
        <w:tc>
          <w:tcPr>
            <w:tcW w:w="714"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0.110</w:t>
            </w:r>
          </w:p>
        </w:tc>
        <w:tc>
          <w:tcPr>
            <w:tcW w:w="714"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0.872</w:t>
            </w:r>
          </w:p>
        </w:tc>
      </w:tr>
      <w:tr w:rsidR="00F7224E" w:rsidRPr="00AC787C" w:rsidTr="00724794">
        <w:trPr>
          <w:cantSplit/>
        </w:trPr>
        <w:tc>
          <w:tcPr>
            <w:tcW w:w="1136" w:type="dxa"/>
            <w:vAlign w:val="center"/>
          </w:tcPr>
          <w:p w:rsidR="00F7224E" w:rsidRPr="00AC787C" w:rsidRDefault="00F7224E" w:rsidP="00AC787C">
            <w:pPr>
              <w:pStyle w:val="2"/>
              <w:tabs>
                <w:tab w:val="clear" w:pos="709"/>
                <w:tab w:val="left" w:pos="0"/>
              </w:tabs>
              <w:spacing w:before="20" w:after="20" w:line="240" w:lineRule="auto"/>
              <w:ind w:left="0"/>
              <w:rPr>
                <w:rFonts w:ascii="Arial" w:hAnsi="Arial" w:cs="Arial"/>
                <w:b/>
                <w:color w:val="000000"/>
                <w:sz w:val="18"/>
                <w:szCs w:val="18"/>
                <w:lang w:val="en-GB"/>
              </w:rPr>
            </w:pPr>
            <w:r w:rsidRPr="00AC787C">
              <w:rPr>
                <w:rFonts w:ascii="Arial" w:hAnsi="Arial" w:cs="Arial"/>
                <w:b/>
                <w:color w:val="000000"/>
                <w:sz w:val="18"/>
                <w:szCs w:val="18"/>
                <w:lang w:val="en-GB"/>
              </w:rPr>
              <w:t>SEG2</w:t>
            </w:r>
          </w:p>
        </w:tc>
        <w:tc>
          <w:tcPr>
            <w:tcW w:w="705"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0.375</w:t>
            </w:r>
          </w:p>
        </w:tc>
        <w:tc>
          <w:tcPr>
            <w:tcW w:w="705"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0.097</w:t>
            </w:r>
          </w:p>
        </w:tc>
        <w:tc>
          <w:tcPr>
            <w:tcW w:w="1422"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0.645</w:t>
            </w:r>
          </w:p>
        </w:tc>
        <w:tc>
          <w:tcPr>
            <w:tcW w:w="1422" w:type="dxa"/>
            <w:gridSpan w:val="2"/>
            <w:vAlign w:val="center"/>
          </w:tcPr>
          <w:p w:rsidR="00F7224E" w:rsidRPr="00AC787C" w:rsidRDefault="00F7224E" w:rsidP="00AC787C">
            <w:pPr>
              <w:spacing w:before="20" w:after="20" w:line="240" w:lineRule="auto"/>
              <w:jc w:val="right"/>
              <w:rPr>
                <w:rFonts w:eastAsia="Arial Unicode MS" w:cs="Arial"/>
                <w:b/>
                <w:bCs/>
                <w:sz w:val="18"/>
                <w:szCs w:val="18"/>
                <w:lang w:val="en-US"/>
              </w:rPr>
            </w:pPr>
            <w:r w:rsidRPr="00AC787C">
              <w:rPr>
                <w:rFonts w:cs="Arial"/>
                <w:b/>
                <w:bCs/>
                <w:sz w:val="18"/>
                <w:szCs w:val="18"/>
              </w:rPr>
              <w:t>0.71</w:t>
            </w:r>
            <w:r w:rsidRPr="00AC787C">
              <w:rPr>
                <w:rFonts w:cs="Arial"/>
                <w:b/>
                <w:bCs/>
                <w:sz w:val="18"/>
                <w:szCs w:val="18"/>
                <w:lang w:val="en-US"/>
              </w:rPr>
              <w:t>7</w:t>
            </w:r>
          </w:p>
        </w:tc>
        <w:tc>
          <w:tcPr>
            <w:tcW w:w="727" w:type="dxa"/>
            <w:vAlign w:val="center"/>
          </w:tcPr>
          <w:p w:rsidR="00F7224E" w:rsidRPr="00AC787C" w:rsidRDefault="00F7224E" w:rsidP="00AC787C">
            <w:pPr>
              <w:pStyle w:val="2"/>
              <w:tabs>
                <w:tab w:val="left" w:pos="0"/>
              </w:tabs>
              <w:spacing w:before="20" w:after="20" w:line="240" w:lineRule="auto"/>
              <w:ind w:left="0"/>
              <w:jc w:val="right"/>
              <w:rPr>
                <w:rFonts w:ascii="Arial" w:hAnsi="Arial" w:cs="Arial"/>
                <w:color w:val="000000"/>
                <w:sz w:val="18"/>
                <w:szCs w:val="18"/>
                <w:lang w:val="en-GB"/>
              </w:rPr>
            </w:pPr>
            <w:r w:rsidRPr="00AC787C">
              <w:rPr>
                <w:rFonts w:ascii="Arial" w:hAnsi="Arial" w:cs="Arial"/>
                <w:color w:val="000000"/>
                <w:sz w:val="18"/>
                <w:szCs w:val="18"/>
                <w:lang w:val="en-GB"/>
              </w:rPr>
              <w:t>0.022</w:t>
            </w:r>
          </w:p>
        </w:tc>
        <w:tc>
          <w:tcPr>
            <w:tcW w:w="728" w:type="dxa"/>
            <w:vAlign w:val="center"/>
          </w:tcPr>
          <w:p w:rsidR="00F7224E" w:rsidRPr="00AC787C" w:rsidRDefault="00F7224E" w:rsidP="00AC787C">
            <w:pPr>
              <w:spacing w:before="20" w:after="20" w:line="240" w:lineRule="auto"/>
              <w:jc w:val="right"/>
              <w:rPr>
                <w:rFonts w:eastAsia="Arial Unicode MS" w:cs="Arial"/>
                <w:b/>
                <w:bCs/>
                <w:sz w:val="18"/>
                <w:szCs w:val="18"/>
              </w:rPr>
            </w:pPr>
            <w:r w:rsidRPr="00AC787C">
              <w:rPr>
                <w:rFonts w:cs="Arial"/>
                <w:b/>
                <w:bCs/>
                <w:sz w:val="18"/>
                <w:szCs w:val="18"/>
              </w:rPr>
              <w:t>2,785</w:t>
            </w:r>
          </w:p>
        </w:tc>
        <w:tc>
          <w:tcPr>
            <w:tcW w:w="714"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0.134</w:t>
            </w:r>
          </w:p>
        </w:tc>
        <w:tc>
          <w:tcPr>
            <w:tcW w:w="714"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0.848</w:t>
            </w:r>
          </w:p>
        </w:tc>
      </w:tr>
      <w:tr w:rsidR="00F7224E" w:rsidRPr="00AC787C" w:rsidTr="00724794">
        <w:trPr>
          <w:cantSplit/>
        </w:trPr>
        <w:tc>
          <w:tcPr>
            <w:tcW w:w="1136" w:type="dxa"/>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rPr>
                <w:rFonts w:ascii="Arial" w:hAnsi="Arial" w:cs="Arial"/>
                <w:b/>
                <w:color w:val="000000"/>
                <w:sz w:val="18"/>
                <w:szCs w:val="18"/>
                <w:lang w:val="en-GB"/>
              </w:rPr>
            </w:pPr>
            <w:r w:rsidRPr="00AC787C">
              <w:rPr>
                <w:rFonts w:ascii="Arial" w:hAnsi="Arial" w:cs="Arial"/>
                <w:b/>
                <w:color w:val="000000"/>
                <w:sz w:val="18"/>
                <w:szCs w:val="18"/>
                <w:lang w:val="en-GB"/>
              </w:rPr>
              <w:t>SEG3</w:t>
            </w:r>
          </w:p>
        </w:tc>
        <w:tc>
          <w:tcPr>
            <w:tcW w:w="705"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b/>
                <w:bCs/>
                <w:sz w:val="18"/>
                <w:szCs w:val="18"/>
              </w:rPr>
            </w:pPr>
            <w:r w:rsidRPr="00AC787C">
              <w:rPr>
                <w:rFonts w:cs="Arial"/>
                <w:b/>
                <w:bCs/>
                <w:sz w:val="18"/>
                <w:szCs w:val="18"/>
              </w:rPr>
              <w:t>0.530</w:t>
            </w:r>
          </w:p>
        </w:tc>
        <w:tc>
          <w:tcPr>
            <w:tcW w:w="705"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b/>
                <w:bCs/>
                <w:sz w:val="18"/>
                <w:szCs w:val="18"/>
              </w:rPr>
            </w:pPr>
            <w:r w:rsidRPr="00AC787C">
              <w:rPr>
                <w:rFonts w:cs="Arial"/>
                <w:b/>
                <w:bCs/>
                <w:sz w:val="18"/>
                <w:szCs w:val="18"/>
              </w:rPr>
              <w:t>0.174</w:t>
            </w:r>
          </w:p>
        </w:tc>
        <w:tc>
          <w:tcPr>
            <w:tcW w:w="1422"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b/>
                <w:bCs/>
                <w:sz w:val="18"/>
                <w:szCs w:val="18"/>
              </w:rPr>
            </w:pPr>
            <w:r w:rsidRPr="00AC787C">
              <w:rPr>
                <w:rFonts w:cs="Arial"/>
                <w:b/>
                <w:bCs/>
                <w:sz w:val="18"/>
                <w:szCs w:val="18"/>
              </w:rPr>
              <w:t>0.686</w:t>
            </w:r>
          </w:p>
        </w:tc>
        <w:tc>
          <w:tcPr>
            <w:tcW w:w="1422" w:type="dxa"/>
            <w:gridSpan w:val="2"/>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lang w:val="en-US"/>
              </w:rPr>
            </w:pPr>
            <w:r w:rsidRPr="00AC787C">
              <w:rPr>
                <w:rFonts w:cs="Arial"/>
                <w:sz w:val="18"/>
                <w:szCs w:val="18"/>
              </w:rPr>
              <w:t>0.56</w:t>
            </w:r>
            <w:r w:rsidRPr="00AC787C">
              <w:rPr>
                <w:rFonts w:cs="Arial"/>
                <w:sz w:val="18"/>
                <w:szCs w:val="18"/>
                <w:lang w:val="en-US"/>
              </w:rPr>
              <w:t>5</w:t>
            </w:r>
          </w:p>
        </w:tc>
        <w:tc>
          <w:tcPr>
            <w:tcW w:w="727" w:type="dxa"/>
            <w:shd w:val="clear" w:color="auto" w:fill="D9D9D9" w:themeFill="background1" w:themeFillShade="D9"/>
            <w:vAlign w:val="center"/>
          </w:tcPr>
          <w:p w:rsidR="00F7224E" w:rsidRPr="00AC787C" w:rsidRDefault="00F7224E" w:rsidP="00AC787C">
            <w:pPr>
              <w:pStyle w:val="2"/>
              <w:tabs>
                <w:tab w:val="left" w:pos="0"/>
              </w:tabs>
              <w:spacing w:before="20" w:after="20" w:line="240" w:lineRule="auto"/>
              <w:ind w:left="0"/>
              <w:jc w:val="right"/>
              <w:rPr>
                <w:rFonts w:ascii="Arial" w:hAnsi="Arial" w:cs="Arial"/>
                <w:color w:val="000000"/>
                <w:sz w:val="18"/>
                <w:szCs w:val="18"/>
                <w:lang w:val="en-GB"/>
              </w:rPr>
            </w:pPr>
            <w:r w:rsidRPr="00AC787C">
              <w:rPr>
                <w:rFonts w:ascii="Arial" w:hAnsi="Arial" w:cs="Arial"/>
                <w:color w:val="000000"/>
                <w:sz w:val="18"/>
                <w:szCs w:val="18"/>
                <w:lang w:val="en-GB"/>
              </w:rPr>
              <w:t>0.013</w:t>
            </w:r>
          </w:p>
        </w:tc>
        <w:tc>
          <w:tcPr>
            <w:tcW w:w="728"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b/>
                <w:bCs/>
                <w:sz w:val="18"/>
                <w:szCs w:val="18"/>
              </w:rPr>
            </w:pPr>
            <w:r w:rsidRPr="00AC787C">
              <w:rPr>
                <w:rFonts w:cs="Arial"/>
                <w:b/>
                <w:bCs/>
                <w:sz w:val="18"/>
                <w:szCs w:val="18"/>
              </w:rPr>
              <w:t>3,514</w:t>
            </w:r>
          </w:p>
        </w:tc>
        <w:tc>
          <w:tcPr>
            <w:tcW w:w="714"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0.124</w:t>
            </w:r>
          </w:p>
        </w:tc>
        <w:tc>
          <w:tcPr>
            <w:tcW w:w="714"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0.864</w:t>
            </w:r>
          </w:p>
        </w:tc>
      </w:tr>
      <w:tr w:rsidR="00F7224E" w:rsidRPr="00AC787C" w:rsidTr="00724794">
        <w:trPr>
          <w:cantSplit/>
        </w:trPr>
        <w:tc>
          <w:tcPr>
            <w:tcW w:w="1136" w:type="dxa"/>
            <w:vAlign w:val="center"/>
          </w:tcPr>
          <w:p w:rsidR="00F7224E" w:rsidRPr="00AC787C" w:rsidRDefault="00F7224E" w:rsidP="00AC787C">
            <w:pPr>
              <w:pStyle w:val="2"/>
              <w:tabs>
                <w:tab w:val="clear" w:pos="709"/>
                <w:tab w:val="left" w:pos="0"/>
              </w:tabs>
              <w:spacing w:before="20" w:after="20" w:line="240" w:lineRule="auto"/>
              <w:ind w:left="0"/>
              <w:rPr>
                <w:rFonts w:ascii="Arial" w:hAnsi="Arial" w:cs="Arial"/>
                <w:b/>
                <w:color w:val="000000"/>
                <w:sz w:val="18"/>
                <w:szCs w:val="18"/>
                <w:lang w:val="en-GB"/>
              </w:rPr>
            </w:pPr>
            <w:r w:rsidRPr="00AC787C">
              <w:rPr>
                <w:rFonts w:ascii="Arial" w:hAnsi="Arial" w:cs="Arial"/>
                <w:b/>
                <w:color w:val="000000"/>
                <w:sz w:val="18"/>
                <w:szCs w:val="18"/>
                <w:lang w:val="en-GB"/>
              </w:rPr>
              <w:t>SEG4</w:t>
            </w:r>
          </w:p>
        </w:tc>
        <w:tc>
          <w:tcPr>
            <w:tcW w:w="705"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0.353</w:t>
            </w:r>
          </w:p>
        </w:tc>
        <w:tc>
          <w:tcPr>
            <w:tcW w:w="705"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0.086</w:t>
            </w:r>
          </w:p>
        </w:tc>
        <w:tc>
          <w:tcPr>
            <w:tcW w:w="1422"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0.646</w:t>
            </w:r>
          </w:p>
        </w:tc>
        <w:tc>
          <w:tcPr>
            <w:tcW w:w="1422" w:type="dxa"/>
            <w:gridSpan w:val="2"/>
            <w:vAlign w:val="center"/>
          </w:tcPr>
          <w:p w:rsidR="00F7224E" w:rsidRPr="00AC787C" w:rsidRDefault="00F7224E" w:rsidP="00AC787C">
            <w:pPr>
              <w:spacing w:before="20" w:after="20" w:line="240" w:lineRule="auto"/>
              <w:jc w:val="right"/>
              <w:rPr>
                <w:rFonts w:eastAsia="Arial Unicode MS" w:cs="Arial"/>
                <w:b/>
                <w:bCs/>
                <w:sz w:val="18"/>
                <w:szCs w:val="18"/>
              </w:rPr>
            </w:pPr>
            <w:r w:rsidRPr="00AC787C">
              <w:rPr>
                <w:rFonts w:cs="Arial"/>
                <w:b/>
                <w:bCs/>
                <w:sz w:val="18"/>
                <w:szCs w:val="18"/>
              </w:rPr>
              <w:t>0.696</w:t>
            </w:r>
          </w:p>
        </w:tc>
        <w:tc>
          <w:tcPr>
            <w:tcW w:w="727" w:type="dxa"/>
            <w:vAlign w:val="center"/>
          </w:tcPr>
          <w:p w:rsidR="00F7224E" w:rsidRPr="00AC787C" w:rsidRDefault="00F7224E" w:rsidP="00AC787C">
            <w:pPr>
              <w:pStyle w:val="2"/>
              <w:tabs>
                <w:tab w:val="left" w:pos="0"/>
              </w:tabs>
              <w:spacing w:before="20" w:after="20" w:line="240" w:lineRule="auto"/>
              <w:ind w:left="0"/>
              <w:jc w:val="right"/>
              <w:rPr>
                <w:rFonts w:ascii="Arial" w:hAnsi="Arial" w:cs="Arial"/>
                <w:color w:val="000000"/>
                <w:sz w:val="18"/>
                <w:szCs w:val="18"/>
                <w:lang w:val="en-GB"/>
              </w:rPr>
            </w:pPr>
            <w:r w:rsidRPr="00AC787C">
              <w:rPr>
                <w:rFonts w:ascii="Arial" w:hAnsi="Arial" w:cs="Arial"/>
                <w:color w:val="000000"/>
                <w:sz w:val="18"/>
                <w:szCs w:val="18"/>
                <w:lang w:val="en-GB"/>
              </w:rPr>
              <w:t>0.015</w:t>
            </w:r>
          </w:p>
        </w:tc>
        <w:tc>
          <w:tcPr>
            <w:tcW w:w="728"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1,327</w:t>
            </w:r>
          </w:p>
        </w:tc>
        <w:tc>
          <w:tcPr>
            <w:tcW w:w="714"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0.120</w:t>
            </w:r>
          </w:p>
        </w:tc>
        <w:tc>
          <w:tcPr>
            <w:tcW w:w="714"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0.856</w:t>
            </w:r>
          </w:p>
        </w:tc>
      </w:tr>
      <w:tr w:rsidR="00F7224E" w:rsidRPr="00AC787C" w:rsidTr="00724794">
        <w:trPr>
          <w:cantSplit/>
        </w:trPr>
        <w:tc>
          <w:tcPr>
            <w:tcW w:w="1136" w:type="dxa"/>
            <w:shd w:val="clear" w:color="auto" w:fill="D9D9D9" w:themeFill="background1" w:themeFillShade="D9"/>
            <w:vAlign w:val="center"/>
          </w:tcPr>
          <w:p w:rsidR="00F7224E" w:rsidRPr="00AC787C" w:rsidRDefault="00F7224E" w:rsidP="00AC787C">
            <w:pPr>
              <w:pStyle w:val="2"/>
              <w:tabs>
                <w:tab w:val="clear" w:pos="709"/>
                <w:tab w:val="left" w:pos="0"/>
              </w:tabs>
              <w:spacing w:before="20" w:after="20" w:line="240" w:lineRule="auto"/>
              <w:ind w:left="0"/>
              <w:rPr>
                <w:rFonts w:ascii="Arial" w:hAnsi="Arial" w:cs="Arial"/>
                <w:b/>
                <w:color w:val="000000"/>
                <w:sz w:val="18"/>
                <w:szCs w:val="18"/>
                <w:lang w:val="en-GB"/>
              </w:rPr>
            </w:pPr>
            <w:r w:rsidRPr="00AC787C">
              <w:rPr>
                <w:rFonts w:ascii="Arial" w:hAnsi="Arial" w:cs="Arial"/>
                <w:b/>
                <w:color w:val="000000"/>
                <w:sz w:val="18"/>
                <w:szCs w:val="18"/>
                <w:lang w:val="en-GB"/>
              </w:rPr>
              <w:t>SEG5</w:t>
            </w:r>
          </w:p>
        </w:tc>
        <w:tc>
          <w:tcPr>
            <w:tcW w:w="705"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b/>
                <w:bCs/>
                <w:sz w:val="18"/>
                <w:szCs w:val="18"/>
              </w:rPr>
            </w:pPr>
            <w:r w:rsidRPr="00AC787C">
              <w:rPr>
                <w:rFonts w:cs="Arial"/>
                <w:b/>
                <w:bCs/>
                <w:sz w:val="18"/>
                <w:szCs w:val="18"/>
              </w:rPr>
              <w:t>0.413</w:t>
            </w:r>
          </w:p>
        </w:tc>
        <w:tc>
          <w:tcPr>
            <w:tcW w:w="705"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b/>
                <w:bCs/>
                <w:sz w:val="18"/>
                <w:szCs w:val="18"/>
              </w:rPr>
            </w:pPr>
            <w:r w:rsidRPr="00AC787C">
              <w:rPr>
                <w:rFonts w:cs="Arial"/>
                <w:b/>
                <w:bCs/>
                <w:sz w:val="18"/>
                <w:szCs w:val="18"/>
              </w:rPr>
              <w:t>0.115</w:t>
            </w:r>
          </w:p>
        </w:tc>
        <w:tc>
          <w:tcPr>
            <w:tcW w:w="1422"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b/>
                <w:bCs/>
                <w:sz w:val="18"/>
                <w:szCs w:val="18"/>
              </w:rPr>
            </w:pPr>
            <w:r w:rsidRPr="00AC787C">
              <w:rPr>
                <w:rFonts w:cs="Arial"/>
                <w:b/>
                <w:bCs/>
                <w:sz w:val="18"/>
                <w:szCs w:val="18"/>
              </w:rPr>
              <w:t>0.656</w:t>
            </w:r>
          </w:p>
        </w:tc>
        <w:tc>
          <w:tcPr>
            <w:tcW w:w="1422" w:type="dxa"/>
            <w:gridSpan w:val="2"/>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0.633</w:t>
            </w:r>
          </w:p>
        </w:tc>
        <w:tc>
          <w:tcPr>
            <w:tcW w:w="727" w:type="dxa"/>
            <w:shd w:val="clear" w:color="auto" w:fill="D9D9D9" w:themeFill="background1" w:themeFillShade="D9"/>
            <w:vAlign w:val="center"/>
          </w:tcPr>
          <w:p w:rsidR="00F7224E" w:rsidRPr="00AC787C" w:rsidRDefault="00F7224E" w:rsidP="00AC787C">
            <w:pPr>
              <w:pStyle w:val="2"/>
              <w:tabs>
                <w:tab w:val="left" w:pos="0"/>
              </w:tabs>
              <w:spacing w:before="20" w:after="20" w:line="240" w:lineRule="auto"/>
              <w:ind w:left="0"/>
              <w:jc w:val="right"/>
              <w:rPr>
                <w:rFonts w:ascii="Arial" w:hAnsi="Arial" w:cs="Arial"/>
                <w:color w:val="000000"/>
                <w:sz w:val="18"/>
                <w:szCs w:val="18"/>
                <w:lang w:val="en-GB"/>
              </w:rPr>
            </w:pPr>
            <w:r w:rsidRPr="00AC787C">
              <w:rPr>
                <w:rFonts w:ascii="Arial" w:hAnsi="Arial" w:cs="Arial"/>
                <w:color w:val="000000"/>
                <w:sz w:val="18"/>
                <w:szCs w:val="18"/>
                <w:lang w:val="en-GB"/>
              </w:rPr>
              <w:t>0.009</w:t>
            </w:r>
          </w:p>
        </w:tc>
        <w:tc>
          <w:tcPr>
            <w:tcW w:w="728"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1,837</w:t>
            </w:r>
          </w:p>
        </w:tc>
        <w:tc>
          <w:tcPr>
            <w:tcW w:w="714"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lang w:val="fr-FR"/>
              </w:rPr>
            </w:pPr>
            <w:r w:rsidRPr="00AC787C">
              <w:rPr>
                <w:rFonts w:cs="Arial"/>
                <w:sz w:val="18"/>
                <w:szCs w:val="18"/>
                <w:lang w:val="fr-FR"/>
              </w:rPr>
              <w:t>0.108</w:t>
            </w:r>
          </w:p>
        </w:tc>
        <w:tc>
          <w:tcPr>
            <w:tcW w:w="714" w:type="dxa"/>
            <w:shd w:val="clear" w:color="auto" w:fill="D9D9D9" w:themeFill="background1" w:themeFillShade="D9"/>
            <w:vAlign w:val="center"/>
          </w:tcPr>
          <w:p w:rsidR="00F7224E" w:rsidRPr="00AC787C" w:rsidRDefault="00F7224E" w:rsidP="00AC787C">
            <w:pPr>
              <w:spacing w:before="20" w:after="20" w:line="240" w:lineRule="auto"/>
              <w:jc w:val="right"/>
              <w:rPr>
                <w:rFonts w:eastAsia="Arial Unicode MS" w:cs="Arial"/>
                <w:sz w:val="18"/>
                <w:szCs w:val="18"/>
                <w:lang w:val="fr-FR"/>
              </w:rPr>
            </w:pPr>
            <w:r w:rsidRPr="00AC787C">
              <w:rPr>
                <w:rFonts w:cs="Arial"/>
                <w:sz w:val="18"/>
                <w:szCs w:val="18"/>
                <w:lang w:val="fr-FR"/>
              </w:rPr>
              <w:t>0.871</w:t>
            </w:r>
          </w:p>
        </w:tc>
      </w:tr>
      <w:tr w:rsidR="00F7224E" w:rsidRPr="00AC787C" w:rsidTr="00724794">
        <w:trPr>
          <w:cantSplit/>
        </w:trPr>
        <w:tc>
          <w:tcPr>
            <w:tcW w:w="1136" w:type="dxa"/>
            <w:vAlign w:val="center"/>
          </w:tcPr>
          <w:p w:rsidR="00F7224E" w:rsidRPr="00AC787C" w:rsidRDefault="00F7224E" w:rsidP="00AC787C">
            <w:pPr>
              <w:pStyle w:val="2"/>
              <w:tabs>
                <w:tab w:val="clear" w:pos="709"/>
                <w:tab w:val="left" w:pos="0"/>
              </w:tabs>
              <w:spacing w:before="20" w:after="20" w:line="240" w:lineRule="auto"/>
              <w:ind w:left="0"/>
              <w:rPr>
                <w:rFonts w:ascii="Arial" w:hAnsi="Arial" w:cs="Arial"/>
                <w:b/>
                <w:color w:val="000000"/>
                <w:sz w:val="18"/>
                <w:szCs w:val="18"/>
                <w:lang w:val="fr-FR"/>
              </w:rPr>
            </w:pPr>
            <w:r w:rsidRPr="00AC787C">
              <w:rPr>
                <w:rFonts w:ascii="Arial" w:hAnsi="Arial" w:cs="Arial"/>
                <w:b/>
                <w:color w:val="000000"/>
                <w:sz w:val="18"/>
                <w:szCs w:val="18"/>
                <w:lang w:val="fr-FR"/>
              </w:rPr>
              <w:t>Total immigrant population</w:t>
            </w:r>
          </w:p>
        </w:tc>
        <w:tc>
          <w:tcPr>
            <w:tcW w:w="705" w:type="dxa"/>
            <w:vAlign w:val="center"/>
          </w:tcPr>
          <w:p w:rsidR="00F7224E" w:rsidRPr="00AC787C" w:rsidRDefault="00F7224E" w:rsidP="00AC787C">
            <w:pPr>
              <w:pStyle w:val="2"/>
              <w:tabs>
                <w:tab w:val="clear" w:pos="709"/>
                <w:tab w:val="left" w:pos="0"/>
              </w:tabs>
              <w:spacing w:before="20" w:after="20" w:line="240" w:lineRule="auto"/>
              <w:ind w:left="0"/>
              <w:jc w:val="right"/>
              <w:rPr>
                <w:rFonts w:ascii="Arial" w:hAnsi="Arial" w:cs="Arial"/>
                <w:color w:val="000000"/>
                <w:sz w:val="18"/>
                <w:szCs w:val="18"/>
                <w:lang w:val="fr-FR"/>
              </w:rPr>
            </w:pPr>
            <w:r w:rsidRPr="00AC787C">
              <w:rPr>
                <w:rFonts w:ascii="Arial" w:hAnsi="Arial" w:cs="Arial"/>
                <w:color w:val="000000"/>
                <w:sz w:val="18"/>
                <w:szCs w:val="18"/>
                <w:lang w:val="fr-FR"/>
              </w:rPr>
              <w:t>0.249</w:t>
            </w:r>
          </w:p>
        </w:tc>
        <w:tc>
          <w:tcPr>
            <w:tcW w:w="705" w:type="dxa"/>
            <w:vAlign w:val="center"/>
          </w:tcPr>
          <w:p w:rsidR="00F7224E" w:rsidRPr="00AC787C" w:rsidRDefault="00F7224E" w:rsidP="00AC787C">
            <w:pPr>
              <w:pStyle w:val="2"/>
              <w:tabs>
                <w:tab w:val="clear" w:pos="709"/>
                <w:tab w:val="left" w:pos="0"/>
              </w:tabs>
              <w:spacing w:before="20" w:after="20" w:line="240" w:lineRule="auto"/>
              <w:ind w:left="0"/>
              <w:jc w:val="right"/>
              <w:rPr>
                <w:rFonts w:ascii="Arial" w:hAnsi="Arial" w:cs="Arial"/>
                <w:color w:val="000000"/>
                <w:sz w:val="18"/>
                <w:szCs w:val="18"/>
                <w:lang w:val="fr-FR"/>
              </w:rPr>
            </w:pPr>
            <w:r w:rsidRPr="00AC787C">
              <w:rPr>
                <w:rFonts w:ascii="Arial" w:hAnsi="Arial" w:cs="Arial"/>
                <w:color w:val="000000"/>
                <w:sz w:val="18"/>
                <w:szCs w:val="18"/>
                <w:lang w:val="fr-FR"/>
              </w:rPr>
              <w:t>0.055</w:t>
            </w:r>
          </w:p>
        </w:tc>
        <w:tc>
          <w:tcPr>
            <w:tcW w:w="1422" w:type="dxa"/>
            <w:vAlign w:val="center"/>
          </w:tcPr>
          <w:p w:rsidR="00F7224E" w:rsidRPr="00AC787C" w:rsidRDefault="00F7224E" w:rsidP="00AC787C">
            <w:pPr>
              <w:pStyle w:val="2"/>
              <w:tabs>
                <w:tab w:val="clear" w:pos="709"/>
                <w:tab w:val="left" w:pos="0"/>
              </w:tabs>
              <w:spacing w:before="20" w:after="20" w:line="240" w:lineRule="auto"/>
              <w:ind w:left="0"/>
              <w:jc w:val="right"/>
              <w:rPr>
                <w:rFonts w:ascii="Arial" w:hAnsi="Arial" w:cs="Arial"/>
                <w:color w:val="000000"/>
                <w:sz w:val="18"/>
                <w:szCs w:val="18"/>
                <w:lang w:val="fr-FR"/>
              </w:rPr>
            </w:pPr>
            <w:r w:rsidRPr="00AC787C">
              <w:rPr>
                <w:rFonts w:ascii="Arial" w:hAnsi="Arial" w:cs="Arial"/>
                <w:color w:val="000000"/>
                <w:sz w:val="18"/>
                <w:szCs w:val="18"/>
                <w:lang w:val="fr-FR"/>
              </w:rPr>
              <w:t>0.546</w:t>
            </w:r>
          </w:p>
        </w:tc>
        <w:tc>
          <w:tcPr>
            <w:tcW w:w="1422" w:type="dxa"/>
            <w:gridSpan w:val="2"/>
            <w:vAlign w:val="center"/>
          </w:tcPr>
          <w:p w:rsidR="00F7224E" w:rsidRPr="00AC787C" w:rsidRDefault="00F7224E" w:rsidP="00AC787C">
            <w:pPr>
              <w:pStyle w:val="2"/>
              <w:tabs>
                <w:tab w:val="clear" w:pos="709"/>
                <w:tab w:val="left" w:pos="0"/>
              </w:tabs>
              <w:spacing w:before="20" w:after="20" w:line="240" w:lineRule="auto"/>
              <w:ind w:left="0"/>
              <w:jc w:val="right"/>
              <w:rPr>
                <w:rFonts w:ascii="Arial" w:hAnsi="Arial" w:cs="Arial"/>
                <w:color w:val="000000"/>
                <w:sz w:val="18"/>
                <w:szCs w:val="18"/>
                <w:lang w:val="fr-FR"/>
              </w:rPr>
            </w:pPr>
            <w:r w:rsidRPr="00AC787C">
              <w:rPr>
                <w:rFonts w:ascii="Arial" w:hAnsi="Arial" w:cs="Arial"/>
                <w:color w:val="000000"/>
                <w:sz w:val="18"/>
                <w:szCs w:val="18"/>
                <w:lang w:val="fr-FR"/>
              </w:rPr>
              <w:t>0.598</w:t>
            </w:r>
          </w:p>
        </w:tc>
        <w:tc>
          <w:tcPr>
            <w:tcW w:w="727" w:type="dxa"/>
            <w:vAlign w:val="center"/>
          </w:tcPr>
          <w:p w:rsidR="00F7224E" w:rsidRPr="00AC787C" w:rsidRDefault="00F7224E" w:rsidP="00AC787C">
            <w:pPr>
              <w:pStyle w:val="2"/>
              <w:tabs>
                <w:tab w:val="clear" w:pos="709"/>
                <w:tab w:val="left" w:pos="0"/>
              </w:tabs>
              <w:spacing w:before="20" w:after="20" w:line="240" w:lineRule="auto"/>
              <w:ind w:left="0"/>
              <w:jc w:val="right"/>
              <w:rPr>
                <w:rFonts w:ascii="Arial" w:hAnsi="Arial" w:cs="Arial"/>
                <w:color w:val="000000"/>
                <w:sz w:val="18"/>
                <w:szCs w:val="18"/>
                <w:lang w:val="fr-FR"/>
              </w:rPr>
            </w:pPr>
            <w:r w:rsidRPr="00AC787C">
              <w:rPr>
                <w:rFonts w:ascii="Arial" w:hAnsi="Arial" w:cs="Arial"/>
                <w:color w:val="000000"/>
                <w:sz w:val="18"/>
                <w:szCs w:val="18"/>
                <w:lang w:val="fr-FR"/>
              </w:rPr>
              <w:t>0.110</w:t>
            </w:r>
          </w:p>
        </w:tc>
        <w:tc>
          <w:tcPr>
            <w:tcW w:w="728" w:type="dxa"/>
            <w:vAlign w:val="center"/>
          </w:tcPr>
          <w:p w:rsidR="00F7224E" w:rsidRPr="00AC787C" w:rsidRDefault="00F7224E" w:rsidP="00AC787C">
            <w:pPr>
              <w:spacing w:before="20" w:after="20" w:line="240" w:lineRule="auto"/>
              <w:jc w:val="right"/>
              <w:rPr>
                <w:rFonts w:eastAsia="Arial Unicode MS" w:cs="Arial"/>
                <w:sz w:val="18"/>
                <w:szCs w:val="18"/>
                <w:lang w:val="fr-FR"/>
              </w:rPr>
            </w:pPr>
            <w:r w:rsidRPr="00AC787C">
              <w:rPr>
                <w:rFonts w:cs="Arial"/>
                <w:sz w:val="18"/>
                <w:szCs w:val="18"/>
                <w:lang w:val="fr-FR"/>
              </w:rPr>
              <w:t>1,387</w:t>
            </w:r>
          </w:p>
        </w:tc>
        <w:tc>
          <w:tcPr>
            <w:tcW w:w="714"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0.114</w:t>
            </w:r>
          </w:p>
        </w:tc>
        <w:tc>
          <w:tcPr>
            <w:tcW w:w="714" w:type="dxa"/>
            <w:vAlign w:val="center"/>
          </w:tcPr>
          <w:p w:rsidR="00F7224E" w:rsidRPr="00AC787C" w:rsidRDefault="00F7224E" w:rsidP="00AC787C">
            <w:pPr>
              <w:spacing w:before="20" w:after="20" w:line="240" w:lineRule="auto"/>
              <w:jc w:val="right"/>
              <w:rPr>
                <w:rFonts w:eastAsia="Arial Unicode MS" w:cs="Arial"/>
                <w:sz w:val="18"/>
                <w:szCs w:val="18"/>
              </w:rPr>
            </w:pPr>
            <w:r w:rsidRPr="00AC787C">
              <w:rPr>
                <w:rFonts w:cs="Arial"/>
                <w:sz w:val="18"/>
                <w:szCs w:val="18"/>
              </w:rPr>
              <w:t>0.867</w:t>
            </w:r>
          </w:p>
        </w:tc>
      </w:tr>
    </w:tbl>
    <w:p w:rsidR="00AC787C" w:rsidRDefault="00AC787C" w:rsidP="00F7224E">
      <w:pPr>
        <w:pStyle w:val="2"/>
        <w:tabs>
          <w:tab w:val="clear" w:pos="709"/>
          <w:tab w:val="left" w:pos="0"/>
        </w:tabs>
        <w:spacing w:after="0" w:line="240" w:lineRule="auto"/>
        <w:ind w:left="0" w:firstLine="17"/>
        <w:jc w:val="both"/>
        <w:rPr>
          <w:rFonts w:ascii="Arial" w:hAnsi="Arial" w:cs="Arial"/>
          <w:color w:val="000000"/>
          <w:sz w:val="22"/>
          <w:lang w:val="en-GB"/>
        </w:rPr>
      </w:pPr>
    </w:p>
    <w:p w:rsidR="00F7224E" w:rsidRPr="00D93644" w:rsidRDefault="00F7224E" w:rsidP="00AC787C">
      <w:pPr>
        <w:pStyle w:val="2"/>
        <w:tabs>
          <w:tab w:val="clear" w:pos="709"/>
          <w:tab w:val="left" w:pos="0"/>
        </w:tabs>
        <w:spacing w:after="0"/>
        <w:ind w:left="0" w:firstLine="17"/>
        <w:jc w:val="both"/>
        <w:rPr>
          <w:rFonts w:ascii="Arial" w:hAnsi="Arial" w:cs="Arial"/>
          <w:color w:val="000000"/>
          <w:sz w:val="22"/>
          <w:lang w:val="en-GB"/>
        </w:rPr>
      </w:pPr>
      <w:r w:rsidRPr="00D93644">
        <w:rPr>
          <w:rFonts w:ascii="Arial" w:hAnsi="Arial" w:cs="Arial"/>
          <w:color w:val="000000"/>
          <w:sz w:val="22"/>
          <w:lang w:val="en-GB"/>
        </w:rPr>
        <w:t>1.</w:t>
      </w:r>
      <w:r w:rsidRPr="00D93644">
        <w:rPr>
          <w:rFonts w:ascii="Arial" w:hAnsi="Arial" w:cs="Arial"/>
          <w:b/>
          <w:bCs/>
          <w:color w:val="000000"/>
          <w:sz w:val="22"/>
          <w:lang w:val="en-GB"/>
        </w:rPr>
        <w:t xml:space="preserve"> Segregation index.</w:t>
      </w:r>
      <w:r w:rsidRPr="00D93644">
        <w:rPr>
          <w:rFonts w:ascii="Arial" w:hAnsi="Arial" w:cs="Arial"/>
          <w:color w:val="000000"/>
          <w:sz w:val="22"/>
          <w:lang w:val="en-GB"/>
        </w:rPr>
        <w:t xml:space="preserve"> 0: Even distribution; 1: Uneven distribution.</w:t>
      </w:r>
    </w:p>
    <w:p w:rsidR="00F7224E" w:rsidRPr="00D93644" w:rsidRDefault="00F7224E" w:rsidP="00AC787C">
      <w:pPr>
        <w:pStyle w:val="2"/>
        <w:tabs>
          <w:tab w:val="clear" w:pos="709"/>
          <w:tab w:val="left" w:pos="0"/>
        </w:tabs>
        <w:spacing w:after="0"/>
        <w:ind w:left="0" w:firstLine="17"/>
        <w:jc w:val="both"/>
        <w:rPr>
          <w:rFonts w:ascii="Arial" w:hAnsi="Arial" w:cs="Arial"/>
          <w:color w:val="000000"/>
          <w:sz w:val="22"/>
          <w:lang w:val="en-GB"/>
        </w:rPr>
      </w:pPr>
      <w:r w:rsidRPr="00D93644">
        <w:rPr>
          <w:rFonts w:ascii="Arial" w:hAnsi="Arial" w:cs="Arial"/>
          <w:color w:val="000000"/>
          <w:sz w:val="22"/>
          <w:lang w:val="en-GB"/>
        </w:rPr>
        <w:t xml:space="preserve">2. </w:t>
      </w:r>
      <w:r w:rsidRPr="00D93644">
        <w:rPr>
          <w:rFonts w:ascii="Arial" w:hAnsi="Arial" w:cs="Arial"/>
          <w:b/>
          <w:bCs/>
          <w:color w:val="000000"/>
          <w:sz w:val="22"/>
          <w:lang w:val="en-GB"/>
        </w:rPr>
        <w:t>Entropy index.</w:t>
      </w:r>
      <w:r w:rsidRPr="00D93644">
        <w:rPr>
          <w:rFonts w:ascii="Arial" w:hAnsi="Arial" w:cs="Arial"/>
          <w:color w:val="000000"/>
          <w:sz w:val="22"/>
          <w:lang w:val="en-GB"/>
        </w:rPr>
        <w:t xml:space="preserve"> 0: Even distribution; 1: Uneven distribution.</w:t>
      </w:r>
    </w:p>
    <w:p w:rsidR="00F7224E" w:rsidRPr="00D93644" w:rsidRDefault="00F7224E" w:rsidP="00AC787C">
      <w:pPr>
        <w:pStyle w:val="2"/>
        <w:tabs>
          <w:tab w:val="clear" w:pos="709"/>
          <w:tab w:val="left" w:pos="0"/>
        </w:tabs>
        <w:spacing w:after="0"/>
        <w:ind w:left="0" w:firstLine="17"/>
        <w:jc w:val="both"/>
        <w:rPr>
          <w:rFonts w:ascii="Arial" w:hAnsi="Arial" w:cs="Arial"/>
          <w:color w:val="000000"/>
          <w:sz w:val="22"/>
          <w:lang w:val="en-GB"/>
        </w:rPr>
      </w:pPr>
      <w:r w:rsidRPr="00D93644">
        <w:rPr>
          <w:rFonts w:ascii="Arial" w:hAnsi="Arial" w:cs="Arial"/>
          <w:color w:val="000000"/>
          <w:sz w:val="22"/>
          <w:lang w:val="en-GB"/>
        </w:rPr>
        <w:t xml:space="preserve">3. </w:t>
      </w:r>
      <w:r w:rsidRPr="00D93644">
        <w:rPr>
          <w:rFonts w:ascii="Arial" w:hAnsi="Arial" w:cs="Arial"/>
          <w:b/>
          <w:bCs/>
          <w:color w:val="000000"/>
          <w:sz w:val="22"/>
          <w:lang w:val="en-GB"/>
        </w:rPr>
        <w:t>Delta Index.</w:t>
      </w:r>
      <w:r w:rsidRPr="00D93644">
        <w:rPr>
          <w:rFonts w:ascii="Arial" w:hAnsi="Arial" w:cs="Arial"/>
          <w:color w:val="000000"/>
          <w:sz w:val="22"/>
          <w:lang w:val="en-GB"/>
        </w:rPr>
        <w:t xml:space="preserve"> 0: Uniform distribution; 1: Absolute concentration.</w:t>
      </w:r>
    </w:p>
    <w:p w:rsidR="00F7224E" w:rsidRPr="00D93644" w:rsidRDefault="00AC787C" w:rsidP="00AC787C">
      <w:pPr>
        <w:pStyle w:val="2"/>
        <w:tabs>
          <w:tab w:val="clear" w:pos="709"/>
          <w:tab w:val="left" w:pos="0"/>
        </w:tabs>
        <w:spacing w:after="0"/>
        <w:ind w:left="0" w:firstLine="17"/>
        <w:jc w:val="both"/>
        <w:rPr>
          <w:rFonts w:ascii="Arial" w:hAnsi="Arial" w:cs="Arial"/>
          <w:color w:val="000000"/>
          <w:sz w:val="22"/>
          <w:lang w:val="en-GB"/>
        </w:rPr>
      </w:pPr>
      <w:r>
        <w:rPr>
          <w:rFonts w:ascii="Arial" w:hAnsi="Arial" w:cs="Arial"/>
          <w:color w:val="000000"/>
          <w:sz w:val="22"/>
          <w:lang w:val="en-GB"/>
        </w:rPr>
        <w:t>4.</w:t>
      </w:r>
      <w:r w:rsidR="00F7224E" w:rsidRPr="00D93644">
        <w:rPr>
          <w:rFonts w:ascii="Arial" w:hAnsi="Arial" w:cs="Arial"/>
          <w:b/>
          <w:bCs/>
          <w:color w:val="000000"/>
          <w:sz w:val="22"/>
          <w:lang w:val="en-GB"/>
        </w:rPr>
        <w:t>Absolute Centralization Index.</w:t>
      </w:r>
      <w:r w:rsidR="00F7224E" w:rsidRPr="00D93644">
        <w:rPr>
          <w:rFonts w:ascii="Arial" w:hAnsi="Arial" w:cs="Arial"/>
          <w:color w:val="000000"/>
          <w:sz w:val="22"/>
          <w:lang w:val="en-GB"/>
        </w:rPr>
        <w:t xml:space="preserve"> -1: Tendency to reside in remote areas; 1: Tendency to reside in the city centre.</w:t>
      </w:r>
    </w:p>
    <w:p w:rsidR="00F7224E" w:rsidRPr="00D93644" w:rsidRDefault="00F7224E" w:rsidP="00AC787C">
      <w:pPr>
        <w:pStyle w:val="2"/>
        <w:tabs>
          <w:tab w:val="clear" w:pos="709"/>
          <w:tab w:val="left" w:pos="0"/>
        </w:tabs>
        <w:spacing w:after="0"/>
        <w:ind w:left="0" w:firstLine="17"/>
        <w:jc w:val="both"/>
        <w:rPr>
          <w:rFonts w:ascii="Arial" w:hAnsi="Arial" w:cs="Arial"/>
          <w:color w:val="000000"/>
          <w:sz w:val="22"/>
          <w:lang w:val="en-GB"/>
        </w:rPr>
      </w:pPr>
      <w:r w:rsidRPr="00D93644">
        <w:rPr>
          <w:rFonts w:ascii="Arial" w:hAnsi="Arial" w:cs="Arial"/>
          <w:color w:val="000000"/>
          <w:sz w:val="22"/>
          <w:lang w:val="en-GB"/>
        </w:rPr>
        <w:t xml:space="preserve">5. </w:t>
      </w:r>
      <w:r w:rsidRPr="00D93644">
        <w:rPr>
          <w:rFonts w:ascii="Arial" w:hAnsi="Arial" w:cs="Arial"/>
          <w:b/>
          <w:bCs/>
          <w:color w:val="000000"/>
          <w:sz w:val="22"/>
          <w:lang w:val="en-GB"/>
        </w:rPr>
        <w:t>Absolute clustering index.</w:t>
      </w:r>
      <w:r w:rsidRPr="00D93644">
        <w:rPr>
          <w:rFonts w:ascii="Arial" w:hAnsi="Arial" w:cs="Arial"/>
          <w:color w:val="000000"/>
          <w:sz w:val="22"/>
          <w:lang w:val="en-GB"/>
        </w:rPr>
        <w:t xml:space="preserve"> 0: No clustering; →1: Absolute clustering.</w:t>
      </w:r>
    </w:p>
    <w:p w:rsidR="00F7224E" w:rsidRPr="00D93644" w:rsidRDefault="00F7224E" w:rsidP="00AC787C">
      <w:pPr>
        <w:pStyle w:val="2"/>
        <w:tabs>
          <w:tab w:val="clear" w:pos="709"/>
          <w:tab w:val="left" w:pos="0"/>
        </w:tabs>
        <w:spacing w:after="0"/>
        <w:ind w:left="0" w:firstLine="17"/>
        <w:jc w:val="both"/>
        <w:rPr>
          <w:rFonts w:ascii="Arial" w:hAnsi="Arial" w:cs="Arial"/>
          <w:color w:val="000000"/>
          <w:sz w:val="22"/>
          <w:lang w:val="en-GB"/>
        </w:rPr>
      </w:pPr>
      <w:r w:rsidRPr="00D93644">
        <w:rPr>
          <w:rFonts w:ascii="Arial" w:hAnsi="Arial" w:cs="Arial"/>
          <w:color w:val="000000"/>
          <w:sz w:val="22"/>
          <w:lang w:val="en-GB"/>
        </w:rPr>
        <w:t xml:space="preserve">6. </w:t>
      </w:r>
      <w:r w:rsidRPr="00D93644">
        <w:rPr>
          <w:rFonts w:ascii="Arial" w:hAnsi="Arial" w:cs="Arial"/>
          <w:b/>
          <w:bCs/>
          <w:color w:val="000000"/>
          <w:sz w:val="22"/>
          <w:lang w:val="en-GB"/>
        </w:rPr>
        <w:t>Absolute clustering index adjusted.</w:t>
      </w:r>
    </w:p>
    <w:p w:rsidR="00F7224E" w:rsidRPr="00D93644" w:rsidRDefault="00F7224E" w:rsidP="00AC787C">
      <w:pPr>
        <w:pStyle w:val="2"/>
        <w:tabs>
          <w:tab w:val="clear" w:pos="709"/>
          <w:tab w:val="left" w:pos="0"/>
        </w:tabs>
        <w:spacing w:after="0"/>
        <w:ind w:left="0" w:firstLine="17"/>
        <w:jc w:val="both"/>
        <w:rPr>
          <w:rFonts w:ascii="Arial" w:hAnsi="Arial" w:cs="Arial"/>
          <w:color w:val="000000"/>
          <w:sz w:val="22"/>
          <w:lang w:val="en-GB"/>
        </w:rPr>
      </w:pPr>
      <w:r w:rsidRPr="00D93644">
        <w:rPr>
          <w:rFonts w:ascii="Arial" w:hAnsi="Arial" w:cs="Arial"/>
          <w:color w:val="000000"/>
          <w:sz w:val="22"/>
          <w:lang w:val="en-GB"/>
        </w:rPr>
        <w:t xml:space="preserve">7. </w:t>
      </w:r>
      <w:r w:rsidRPr="00D93644">
        <w:rPr>
          <w:rFonts w:ascii="Arial" w:hAnsi="Arial" w:cs="Arial"/>
          <w:b/>
          <w:bCs/>
          <w:color w:val="000000"/>
          <w:sz w:val="22"/>
          <w:lang w:val="en-GB"/>
        </w:rPr>
        <w:t>Interaction index.</w:t>
      </w:r>
      <w:r w:rsidRPr="00D93644">
        <w:rPr>
          <w:rFonts w:ascii="Arial" w:hAnsi="Arial" w:cs="Arial"/>
          <w:color w:val="000000"/>
          <w:sz w:val="22"/>
          <w:lang w:val="en-GB"/>
        </w:rPr>
        <w:t xml:space="preserve"> 0: Absolute isolation from the Greek population; 1: Absolute exposure to the Greek population.</w:t>
      </w:r>
    </w:p>
    <w:p w:rsidR="00F7224E" w:rsidRPr="00D93644" w:rsidRDefault="00F7224E" w:rsidP="00AC787C">
      <w:pPr>
        <w:pStyle w:val="2"/>
        <w:tabs>
          <w:tab w:val="clear" w:pos="709"/>
          <w:tab w:val="left" w:pos="0"/>
        </w:tabs>
        <w:spacing w:after="0"/>
        <w:ind w:left="0" w:firstLine="17"/>
        <w:jc w:val="both"/>
        <w:rPr>
          <w:rFonts w:ascii="Arial" w:hAnsi="Arial" w:cs="Arial"/>
          <w:color w:val="000000"/>
          <w:sz w:val="22"/>
          <w:lang w:val="en-GB"/>
        </w:rPr>
      </w:pPr>
      <w:r w:rsidRPr="00D93644">
        <w:rPr>
          <w:rFonts w:ascii="Arial" w:hAnsi="Arial" w:cs="Arial"/>
          <w:color w:val="000000"/>
          <w:sz w:val="22"/>
          <w:lang w:val="en-GB"/>
        </w:rPr>
        <w:t xml:space="preserve">8. </w:t>
      </w:r>
      <w:r w:rsidRPr="00D93644">
        <w:rPr>
          <w:rFonts w:ascii="Arial" w:hAnsi="Arial" w:cs="Arial"/>
          <w:b/>
          <w:bCs/>
          <w:color w:val="000000"/>
          <w:sz w:val="22"/>
          <w:lang w:val="en-GB"/>
        </w:rPr>
        <w:t>Interaction index.</w:t>
      </w:r>
      <w:r w:rsidRPr="00D93644">
        <w:rPr>
          <w:rFonts w:ascii="Arial" w:hAnsi="Arial" w:cs="Arial"/>
          <w:color w:val="000000"/>
          <w:sz w:val="22"/>
          <w:lang w:val="en-GB"/>
        </w:rPr>
        <w:t xml:space="preserve"> 0: Absolute isolation from the aggregate immigrant population; 1: Absolute exposure to the aggregate immigrant population.</w:t>
      </w:r>
    </w:p>
    <w:p w:rsidR="00F7224E" w:rsidRPr="00D93644" w:rsidRDefault="00F7224E" w:rsidP="00AC787C">
      <w:pPr>
        <w:pStyle w:val="2"/>
        <w:tabs>
          <w:tab w:val="clear" w:pos="709"/>
          <w:tab w:val="left" w:pos="0"/>
        </w:tabs>
        <w:spacing w:after="0"/>
        <w:ind w:left="0" w:firstLine="17"/>
        <w:jc w:val="both"/>
        <w:rPr>
          <w:rFonts w:ascii="Arial" w:hAnsi="Arial" w:cs="Arial"/>
          <w:color w:val="000000"/>
          <w:sz w:val="22"/>
          <w:lang w:val="en-GB"/>
        </w:rPr>
      </w:pPr>
      <w:r w:rsidRPr="00D93644">
        <w:rPr>
          <w:rFonts w:ascii="Arial" w:hAnsi="Arial" w:cs="Arial"/>
          <w:color w:val="000000"/>
          <w:sz w:val="22"/>
          <w:lang w:val="en-GB"/>
        </w:rPr>
        <w:t>The Segregation Analyzer Application was used for the calculations (Apparicio et al</w:t>
      </w:r>
      <w:r w:rsidR="00AC787C">
        <w:rPr>
          <w:rFonts w:ascii="Arial" w:hAnsi="Arial" w:cs="Arial"/>
          <w:color w:val="000000"/>
          <w:sz w:val="22"/>
          <w:lang w:val="en-GB"/>
        </w:rPr>
        <w:t>.,</w:t>
      </w:r>
      <w:r w:rsidRPr="00D93644">
        <w:rPr>
          <w:rFonts w:ascii="Arial" w:hAnsi="Arial" w:cs="Arial"/>
          <w:color w:val="000000"/>
          <w:sz w:val="22"/>
          <w:lang w:val="en-GB"/>
        </w:rPr>
        <w:t xml:space="preserve"> 2008).  See Appendix for equations.</w:t>
      </w:r>
    </w:p>
    <w:p w:rsidR="00F7224E" w:rsidRPr="00AC787C" w:rsidRDefault="00AC787C" w:rsidP="00AC787C">
      <w:pPr>
        <w:pStyle w:val="2"/>
        <w:tabs>
          <w:tab w:val="left" w:pos="0"/>
        </w:tabs>
        <w:spacing w:before="120" w:after="240" w:line="240" w:lineRule="auto"/>
        <w:ind w:left="0" w:firstLine="17"/>
        <w:jc w:val="both"/>
        <w:rPr>
          <w:rFonts w:ascii="Arial" w:hAnsi="Arial" w:cs="Arial"/>
          <w:color w:val="000000"/>
          <w:sz w:val="18"/>
          <w:szCs w:val="18"/>
          <w:lang w:val="en-GB"/>
        </w:rPr>
      </w:pPr>
      <w:r w:rsidRPr="00AC787C">
        <w:rPr>
          <w:rFonts w:ascii="Arial" w:hAnsi="Arial" w:cs="Arial"/>
          <w:b/>
          <w:color w:val="000000"/>
          <w:sz w:val="18"/>
          <w:szCs w:val="18"/>
          <w:lang w:val="en-GB"/>
        </w:rPr>
        <w:t>Source:</w:t>
      </w:r>
      <w:r w:rsidRPr="00AC787C">
        <w:rPr>
          <w:rFonts w:ascii="Arial" w:hAnsi="Arial" w:cs="Arial"/>
          <w:color w:val="000000"/>
          <w:sz w:val="18"/>
          <w:szCs w:val="18"/>
          <w:lang w:val="en-GB"/>
        </w:rPr>
        <w:t xml:space="preserve"> 2001 census, EKKE-ESYE 2005</w:t>
      </w:r>
    </w:p>
    <w:p w:rsidR="00F7224E" w:rsidRPr="00D93644" w:rsidRDefault="00F7224E" w:rsidP="00AC787C">
      <w:pPr>
        <w:spacing w:line="276" w:lineRule="auto"/>
      </w:pPr>
      <w:r w:rsidRPr="00D93644">
        <w:t xml:space="preserve">IS compares the residential distribution of each SEG and the aggregate immigrant population with the residential distribution of the total population. It represents the percentage of the members of each SEG that should relocate in order to obtain a distribution identical to that of the total population. Comparatively low values for the </w:t>
      </w:r>
      <w:r w:rsidRPr="00D93644">
        <w:lastRenderedPageBreak/>
        <w:t>aggregate immigrant population and for SEG1 are accompanied by relatively higher values for SEGs 2 and 4. The most deprived SEG 3 exhibits the most uneven distribution, followed by SEG5. Similar findings derive from H index, which compares the socio-ethnic entropy (i.e. diversity) of each areal unit with the socio-ethnic entropy of MRA.</w:t>
      </w:r>
    </w:p>
    <w:p w:rsidR="00F7224E" w:rsidRPr="00D93644" w:rsidRDefault="00F7224E" w:rsidP="00AC787C">
      <w:pPr>
        <w:spacing w:line="276" w:lineRule="auto"/>
      </w:pPr>
      <w:r w:rsidRPr="00D93644">
        <w:t xml:space="preserve">DEL and ACE values (measuring respectively members </w:t>
      </w:r>
      <w:r w:rsidR="00DD406F">
        <w:t xml:space="preserve">of </w:t>
      </w:r>
      <w:r w:rsidRPr="00D93644">
        <w:t xml:space="preserve">a SEG residing in grid cells with above than average density of this SEG and the proportion of the members of a SEG that need to change residence in order to obtain a uniform distribution around the city centre) show that all SEGs and the aggregate immigrant population are characterized by similar (moderate to high) levels of both concentration and centralization. Only SEG 2 and SEG 4 exhibit a quite stronger centralization pattern. </w:t>
      </w:r>
    </w:p>
    <w:p w:rsidR="00F7224E" w:rsidRPr="00D93644" w:rsidRDefault="00F7224E" w:rsidP="00AC787C">
      <w:pPr>
        <w:spacing w:line="276" w:lineRule="auto"/>
      </w:pPr>
      <w:r w:rsidRPr="00D93644">
        <w:t>Concerning clustering, the values of ACL (representing the average number of members of the same SEG in nearby grid cells as a proportion of the total population in nearby grid cells) indicate low levels of contiguity between members of the same SEG, at least at the grid cell level. However, to get a more concrete picture one should calculate the ratio of ACL to the proportion of the respective SEG in the total population of MRA. In this case some degree of clustering becomes evident for SEG 3 and SEG 2.</w:t>
      </w:r>
    </w:p>
    <w:p w:rsidR="00F7224E" w:rsidRPr="00D93644" w:rsidRDefault="00F7224E" w:rsidP="00AC787C">
      <w:pPr>
        <w:spacing w:line="276" w:lineRule="auto"/>
      </w:pPr>
      <w:r w:rsidRPr="00D93644">
        <w:t xml:space="preserve">Last but not least, all SEGs exhibit similar levels of exposure to either immigrants as </w:t>
      </w:r>
      <w:r w:rsidR="00DD406F">
        <w:t xml:space="preserve">a </w:t>
      </w:r>
      <w:r w:rsidRPr="00D93644">
        <w:t xml:space="preserve">whole or Greeks. For members of every SEG the probability to share grid cells with Greeks is higher </w:t>
      </w:r>
      <w:r w:rsidR="004B7128">
        <w:t xml:space="preserve">than </w:t>
      </w:r>
      <w:r w:rsidRPr="00D93644">
        <w:t xml:space="preserve">80%. </w:t>
      </w:r>
    </w:p>
    <w:p w:rsidR="00F7224E" w:rsidRPr="00D93644" w:rsidRDefault="00F7224E" w:rsidP="00AC787C">
      <w:pPr>
        <w:spacing w:line="276" w:lineRule="auto"/>
      </w:pPr>
      <w:r w:rsidRPr="00D93644">
        <w:t xml:space="preserve">In sum, segregation levels for all SEGs are quite low. Some differences between the segregation patterns concern four out of the five dimensions of residential segregation, i.e. evenness, concentration and centralization, while high levels of exposure to the native population is an important indication of desegregation for all. Moreover, there seems to be no clear relationship between the level of segregation of SEGs and the living conditions of their members. To be sure, the most segregated SEG 3 (in terms of </w:t>
      </w:r>
      <w:r w:rsidR="00DD406F" w:rsidRPr="00D93644">
        <w:t>evenness</w:t>
      </w:r>
      <w:r w:rsidRPr="00D93644">
        <w:t>, concentration and clustering) is at the same time the most deprived SEG. On the other hand, SEG 1 performs bad in the deprivation measures but it is the least segregated SEG. The most prosperous SEG 4 shows some levels of centralization. SEG 2 and SEG 5 exhibit similar performance with different kinds of segregation pattern, as the former tends to centralization and clustering and the latter tends to dissimilarity and concentration.</w:t>
      </w:r>
    </w:p>
    <w:p w:rsidR="00F7224E" w:rsidRPr="00D93644" w:rsidRDefault="00F7224E" w:rsidP="00AC787C">
      <w:pPr>
        <w:spacing w:line="276" w:lineRule="auto"/>
      </w:pPr>
      <w:r w:rsidRPr="00D93644">
        <w:t xml:space="preserve">Another aspect of residential segregation with potential effects on risk of poverty/social exclusion has to do with residential mobility. In the 1995-2001 period different </w:t>
      </w:r>
      <w:r w:rsidR="00DD406F" w:rsidRPr="00D93644">
        <w:t>ethnic</w:t>
      </w:r>
      <w:r w:rsidRPr="00D93644">
        <w:t xml:space="preserve"> groups had different relocation rates in MRA but in general the residential relocation flows show that most ethnic groups tend to desegregate rather than congregate (Kandylis &amp; Maloutas</w:t>
      </w:r>
      <w:r w:rsidR="00AC787C">
        <w:t>,</w:t>
      </w:r>
      <w:r w:rsidRPr="00D93644">
        <w:t xml:space="preserve"> </w:t>
      </w:r>
      <w:r w:rsidR="00DD406F">
        <w:t>2012</w:t>
      </w:r>
      <w:r w:rsidRPr="00D93644">
        <w:t xml:space="preserve">). On the other hand, the varying rates of residential mobility of the immigrant groups are not in a linear relationship with their socioeconomic status. For some group with low relocation rates there seems to be a positive connection between residential mobility and some aspects of social status. This is not however the general rule, especially in the case of the single biggest Albanian group. </w:t>
      </w:r>
    </w:p>
    <w:p w:rsidR="00F7224E" w:rsidRPr="00D93644" w:rsidRDefault="00F7224E" w:rsidP="00F7224E">
      <w:pPr>
        <w:pStyle w:val="2"/>
        <w:tabs>
          <w:tab w:val="left" w:pos="0"/>
        </w:tabs>
        <w:spacing w:after="0" w:line="360" w:lineRule="auto"/>
        <w:ind w:left="0" w:firstLine="15"/>
        <w:jc w:val="both"/>
        <w:rPr>
          <w:rFonts w:ascii="Arial" w:hAnsi="Arial" w:cs="Arial"/>
          <w:color w:val="000000"/>
          <w:lang w:val="en-GB"/>
        </w:rPr>
      </w:pPr>
    </w:p>
    <w:p w:rsidR="00F7224E" w:rsidRPr="00D93644" w:rsidRDefault="00F7224E" w:rsidP="00AC787C">
      <w:pPr>
        <w:pStyle w:val="Heading2"/>
        <w:spacing w:before="360"/>
        <w:rPr>
          <w:rFonts w:cs="Arial"/>
        </w:rPr>
      </w:pPr>
      <w:bookmarkStart w:id="56" w:name="_Toc386013198"/>
      <w:r w:rsidRPr="00D93644">
        <w:rPr>
          <w:rFonts w:cs="Arial"/>
        </w:rPr>
        <w:lastRenderedPageBreak/>
        <w:t>Discussion and conclusions</w:t>
      </w:r>
      <w:bookmarkEnd w:id="56"/>
    </w:p>
    <w:p w:rsidR="00F7224E" w:rsidRPr="00D93644" w:rsidRDefault="00F7224E" w:rsidP="00AC787C">
      <w:pPr>
        <w:spacing w:line="276" w:lineRule="auto"/>
      </w:pPr>
      <w:r w:rsidRPr="00D93644">
        <w:t xml:space="preserve">The process of spatial differentiation of the residential patterns of different SEGs may be attributed to community ties that tend to shape different preferences and priorities for members of different groups. However the role of community ties has to be examined in connection with the spatial effects of diverse occupational activity structures and then again in connection with the spatial structure of employment opportunities in the Athenian housing market. For example, immigrants from Philippines are concentrated in the </w:t>
      </w:r>
      <w:r w:rsidR="004B7128" w:rsidRPr="00D93644">
        <w:t>north-eastern</w:t>
      </w:r>
      <w:r w:rsidRPr="00D93644">
        <w:t xml:space="preserve"> part of the city centre, in affordable apartments of the dense housing stock consisting of apartment buildings. Their location choice is particularly explained by the fact that this part of the city centre is situated at the beginning of the traffic lines to the high-status suburbs in the northern and north-eastern parts of the agglomeration. Many women of this female dominated group have worked as domestic servants in Greek households of these suburbs since the 1980s. Subsequently, the development of informal ties and formal institutions such as the </w:t>
      </w:r>
      <w:r w:rsidR="004B7128" w:rsidRPr="00D93644">
        <w:t>Philippine</w:t>
      </w:r>
      <w:r w:rsidRPr="00D93644">
        <w:t xml:space="preserve"> school assisted to attract newer members of the community and to reproduce this specific location pattern. </w:t>
      </w:r>
    </w:p>
    <w:p w:rsidR="00F7224E" w:rsidRPr="00D93644" w:rsidRDefault="00F7224E" w:rsidP="00AC787C">
      <w:pPr>
        <w:spacing w:line="276" w:lineRule="auto"/>
      </w:pPr>
      <w:r w:rsidRPr="00D93644">
        <w:t xml:space="preserve">Similarly, people from Pakistan who found employment opportunities in the small labour-intensive textile industries in the north-western edge of the city centre (in the </w:t>
      </w:r>
      <w:r w:rsidR="004B7128" w:rsidRPr="00D93644">
        <w:t>Municipality</w:t>
      </w:r>
      <w:r w:rsidRPr="00D93644">
        <w:t xml:space="preserve"> of Nea Ionia) remain there after the decline of these industries. They have established a closely-knit community and renovated the old housing stock that consists of small independent houses constructed by Greek refugees from Asia Minor and their descendants decades ago. Thus, what might, at first glance, be considered as segregated areas becomes in fact the ground for social integration. On the contrary, a number of Pakistani who arrived lately settled in the industrial districts along the national highway that crosses MRA from the North to the port of Piraeus. They were attracted there by informal employment opportunities in the surrounding industrial units and they live in an environment of residential isolation from the native population.</w:t>
      </w:r>
    </w:p>
    <w:p w:rsidR="00F7224E" w:rsidRPr="00D93644" w:rsidRDefault="00F7224E" w:rsidP="00AC787C">
      <w:pPr>
        <w:spacing w:line="276" w:lineRule="auto"/>
      </w:pPr>
      <w:r w:rsidRPr="00D93644">
        <w:t>Moving to another part of the densely-built city centre, in urban neighbourhoods such as Kypseli and Kato Patisia, one can find different articulations of segregation patterns and integration prospects. Overcrowding and e</w:t>
      </w:r>
      <w:r w:rsidR="004B7128">
        <w:t>nvironmental degradation had</w:t>
      </w:r>
      <w:r w:rsidRPr="00D93644">
        <w:t xml:space="preserve"> started to drive out middle-strata residents as early as in late 1970s. New international immigrants found available apartments and assisted to the restoration of the housing stock. This is in fact the area with the highest proportional concentration of the aggregate immigrant population as well as the preferred location for specific ethnic groups. Situated in the lively (although congested) urban core and being inhabited by a mosaic of different ethnic groups (including the natives), these neighbourhoods look very different from ‘ghettos’ (Wacquant</w:t>
      </w:r>
      <w:r w:rsidR="00AC787C">
        <w:t>,</w:t>
      </w:r>
      <w:r w:rsidR="00CF5F95">
        <w:t xml:space="preserve"> 2008</w:t>
      </w:r>
      <w:r w:rsidRPr="00D93644">
        <w:t xml:space="preserve">). However, this is exactly how they were perceived in the past few years, in the context of the massive arrival of new immigrants (some of them from new countries of origin such as Afghanistan, Bangladesh, Senegal, Somalia, </w:t>
      </w:r>
      <w:r w:rsidR="00CF5F95" w:rsidRPr="00D93644">
        <w:t>and Sudan</w:t>
      </w:r>
      <w:r w:rsidRPr="00D93644">
        <w:t>) and economic and social insecurity caused by the sovereign debt crisis and the stabilization program. Already vulnerable enough, with poor means and prospects of legalization, living in marginal housing conditions</w:t>
      </w:r>
      <w:r w:rsidR="00671002">
        <w:t xml:space="preserve"> and often entrapped in Greece o</w:t>
      </w:r>
      <w:r w:rsidRPr="00D93644">
        <w:t xml:space="preserve">n their way to other European countries, new immigrants found themselves in the middle of an explosion of stigmatisation, police repression and racist violence that seems to be transmitted in </w:t>
      </w:r>
      <w:r w:rsidRPr="00D93644">
        <w:lastRenderedPageBreak/>
        <w:t>different parts of MRA (Kandylis &amp; Kavoulakos</w:t>
      </w:r>
      <w:r w:rsidR="00AC787C">
        <w:t>,</w:t>
      </w:r>
      <w:r w:rsidRPr="00D93644">
        <w:t xml:space="preserve"> 201</w:t>
      </w:r>
      <w:r w:rsidR="000F1DF3">
        <w:t>1</w:t>
      </w:r>
      <w:r w:rsidRPr="00D93644">
        <w:t>).</w:t>
      </w:r>
      <w:r w:rsidR="00ED7B4D">
        <w:t xml:space="preserve"> On the other hand, these same neighbourhoods accommodate immigrants’ informal networks of great importance for the support of the newcomers</w:t>
      </w:r>
      <w:r w:rsidR="00192FAB">
        <w:t xml:space="preserve"> (Vaiou &amp; Stratigaki</w:t>
      </w:r>
      <w:r w:rsidR="00AC787C">
        <w:t>,</w:t>
      </w:r>
      <w:r w:rsidR="00192FAB">
        <w:t xml:space="preserve"> 2008</w:t>
      </w:r>
      <w:r w:rsidR="004A5512">
        <w:t>; Kalandides &amp; Vaiou</w:t>
      </w:r>
      <w:r w:rsidR="00AC787C">
        <w:t>,</w:t>
      </w:r>
      <w:r w:rsidR="004A5512">
        <w:t xml:space="preserve"> 2012</w:t>
      </w:r>
      <w:r w:rsidR="00192FAB">
        <w:t>)</w:t>
      </w:r>
      <w:r w:rsidR="00ED7B4D">
        <w:t>.</w:t>
      </w:r>
    </w:p>
    <w:p w:rsidR="00F7224E" w:rsidRPr="00D93644" w:rsidRDefault="00F7224E" w:rsidP="00AC787C">
      <w:pPr>
        <w:spacing w:line="276" w:lineRule="auto"/>
      </w:pPr>
      <w:r w:rsidRPr="00D93644">
        <w:t xml:space="preserve">Processes at the micro-scale such as the neighbourhood may be of great importance for immigrants’ integration prospects. The conditions in the meso-scale of MRA reveal, on the other hand, that low levels of segregation (i.e. patterns of spatial proximity between immigrant groups and the natives) are not necessarily synonymous with prosperity and social inclusion. On the contrary, low levels of segregation may be associated with polarization at the micro- and meso-scale. Stigmatization of the poor and social excluded and tension between diverse and unequal social groups may be the outcome. </w:t>
      </w:r>
    </w:p>
    <w:p w:rsidR="00F7224E" w:rsidRPr="00D93644" w:rsidRDefault="00F7224E" w:rsidP="00AC787C">
      <w:pPr>
        <w:spacing w:line="276" w:lineRule="auto"/>
      </w:pPr>
      <w:r w:rsidRPr="00D93644">
        <w:t>Based on the previous analysis of residential segregation in MRA one can identify a combined typology of metropolitan areas and ethnic/socio-ethnic groups that are exposed to risks of poverty/social exclusion and require policy interventions.</w:t>
      </w:r>
    </w:p>
    <w:p w:rsidR="00F7224E" w:rsidRPr="00D93644" w:rsidRDefault="00F7224E" w:rsidP="00AC787C">
      <w:pPr>
        <w:pStyle w:val="ListParagraph"/>
        <w:numPr>
          <w:ilvl w:val="0"/>
          <w:numId w:val="39"/>
        </w:numPr>
        <w:spacing w:line="276" w:lineRule="auto"/>
      </w:pPr>
      <w:r w:rsidRPr="00D93644">
        <w:t>Densely populated urban neighbourhoods where an ethnically diverse immigrant population reside</w:t>
      </w:r>
      <w:r w:rsidR="00323B63">
        <w:t>s</w:t>
      </w:r>
      <w:r w:rsidRPr="00D93644">
        <w:t xml:space="preserve"> in deprived living conditions, together with other socio-ethnic groups.</w:t>
      </w:r>
    </w:p>
    <w:p w:rsidR="00F7224E" w:rsidRPr="00D93644" w:rsidRDefault="00F7224E" w:rsidP="00AC787C">
      <w:pPr>
        <w:pStyle w:val="ListParagraph"/>
        <w:numPr>
          <w:ilvl w:val="0"/>
          <w:numId w:val="39"/>
        </w:numPr>
        <w:spacing w:line="276" w:lineRule="auto"/>
      </w:pPr>
      <w:r w:rsidRPr="00D93644">
        <w:t xml:space="preserve">Urban </w:t>
      </w:r>
      <w:r w:rsidR="00CE7570" w:rsidRPr="00D93644">
        <w:t>neighbourhoods</w:t>
      </w:r>
      <w:r w:rsidRPr="00D93644">
        <w:t xml:space="preserve"> where a relative</w:t>
      </w:r>
      <w:r w:rsidR="006053EB">
        <w:t>ly</w:t>
      </w:r>
      <w:r w:rsidRPr="00D93644">
        <w:t xml:space="preserve"> small minority of immigrants reside in deprived living conditions, together</w:t>
      </w:r>
      <w:r w:rsidR="00323B63">
        <w:t xml:space="preserve"> with other socio-ethnic groups</w:t>
      </w:r>
      <w:r w:rsidRPr="00D93644">
        <w:t xml:space="preserve"> but remain more or less ‘invisib</w:t>
      </w:r>
      <w:r w:rsidR="00CE7570">
        <w:t>l</w:t>
      </w:r>
      <w:r w:rsidRPr="00D93644">
        <w:t xml:space="preserve">e’. </w:t>
      </w:r>
    </w:p>
    <w:p w:rsidR="00F7224E" w:rsidRDefault="00F7224E" w:rsidP="00AC787C">
      <w:pPr>
        <w:pStyle w:val="ListParagraph"/>
        <w:numPr>
          <w:ilvl w:val="0"/>
          <w:numId w:val="39"/>
        </w:numPr>
        <w:spacing w:line="276" w:lineRule="auto"/>
      </w:pPr>
      <w:r w:rsidRPr="00D93644">
        <w:t>Deteriorating commercial and industrial urban areas where immigrants of specific socio-ethnic groups live in deprived living conditions and spatially isolated.</w:t>
      </w:r>
    </w:p>
    <w:p w:rsidR="00671002" w:rsidRPr="00D93644" w:rsidRDefault="00671002" w:rsidP="00AC787C">
      <w:pPr>
        <w:pStyle w:val="ListParagraph"/>
        <w:numPr>
          <w:ilvl w:val="0"/>
          <w:numId w:val="39"/>
        </w:numPr>
        <w:spacing w:line="276" w:lineRule="auto"/>
      </w:pPr>
      <w:r w:rsidRPr="00D93644">
        <w:t>Deteriorating commer</w:t>
      </w:r>
      <w:r>
        <w:t xml:space="preserve">cial and industrial urban parts of the CBD </w:t>
      </w:r>
      <w:r w:rsidRPr="00D93644">
        <w:t>where an ethnically diverse immigrant population live</w:t>
      </w:r>
      <w:r>
        <w:t>s</w:t>
      </w:r>
      <w:r w:rsidRPr="00D93644">
        <w:t xml:space="preserve"> in deprived living conditions</w:t>
      </w:r>
      <w:r>
        <w:t>.</w:t>
      </w:r>
    </w:p>
    <w:p w:rsidR="00F7224E" w:rsidRPr="00D93644" w:rsidRDefault="00F7224E" w:rsidP="00AC787C">
      <w:pPr>
        <w:pStyle w:val="ListParagraph"/>
        <w:numPr>
          <w:ilvl w:val="0"/>
          <w:numId w:val="39"/>
        </w:numPr>
        <w:spacing w:line="276" w:lineRule="auto"/>
      </w:pPr>
      <w:r w:rsidRPr="00D93644">
        <w:t xml:space="preserve">Peripheral areas where immigrants of specific socio-ethnic groups live in deprived living conditions, close to older second housing areas or developing residential communities. </w:t>
      </w:r>
    </w:p>
    <w:p w:rsidR="000C7211" w:rsidRPr="00D93644" w:rsidRDefault="00536563" w:rsidP="00E318D7">
      <w:pPr>
        <w:pStyle w:val="Heading1"/>
        <w:rPr>
          <w:rFonts w:cs="Arial"/>
          <w:noProof/>
        </w:rPr>
      </w:pPr>
      <w:r w:rsidRPr="00D93644">
        <w:rPr>
          <w:rFonts w:cs="Arial"/>
          <w:noProof/>
        </w:rPr>
        <w:br w:type="column"/>
      </w:r>
      <w:bookmarkStart w:id="57" w:name="_Toc386013199"/>
      <w:r w:rsidRPr="00D93644">
        <w:rPr>
          <w:rFonts w:cs="Arial"/>
          <w:noProof/>
        </w:rPr>
        <w:lastRenderedPageBreak/>
        <w:t xml:space="preserve">Analysis of </w:t>
      </w:r>
      <w:r w:rsidR="00AC787C">
        <w:rPr>
          <w:rFonts w:cs="Arial"/>
          <w:noProof/>
        </w:rPr>
        <w:t>u</w:t>
      </w:r>
      <w:r w:rsidRPr="00D93644">
        <w:rPr>
          <w:rFonts w:cs="Arial"/>
          <w:noProof/>
        </w:rPr>
        <w:t xml:space="preserve">nderlying </w:t>
      </w:r>
      <w:r w:rsidR="00AC787C">
        <w:rPr>
          <w:rFonts w:cs="Arial"/>
          <w:noProof/>
        </w:rPr>
        <w:t>p</w:t>
      </w:r>
      <w:r w:rsidRPr="00D93644">
        <w:rPr>
          <w:rFonts w:cs="Arial"/>
          <w:noProof/>
        </w:rPr>
        <w:t xml:space="preserve">rocesses and </w:t>
      </w:r>
      <w:r w:rsidR="00AC787C">
        <w:rPr>
          <w:rFonts w:cs="Arial"/>
          <w:noProof/>
        </w:rPr>
        <w:t>t</w:t>
      </w:r>
      <w:r w:rsidRPr="00D93644">
        <w:rPr>
          <w:rFonts w:cs="Arial"/>
          <w:noProof/>
        </w:rPr>
        <w:t>rends</w:t>
      </w:r>
      <w:bookmarkEnd w:id="57"/>
    </w:p>
    <w:p w:rsidR="009B1ACA" w:rsidRDefault="009B1ACA" w:rsidP="00536563">
      <w:pPr>
        <w:rPr>
          <w:rFonts w:cs="Arial"/>
        </w:rPr>
      </w:pPr>
    </w:p>
    <w:p w:rsidR="009B1ACA" w:rsidRDefault="009B1ACA" w:rsidP="00AC787C">
      <w:pPr>
        <w:spacing w:line="276" w:lineRule="auto"/>
        <w:rPr>
          <w:rFonts w:cs="Arial"/>
        </w:rPr>
      </w:pPr>
      <w:r>
        <w:rPr>
          <w:rFonts w:cs="Arial"/>
        </w:rPr>
        <w:t xml:space="preserve">The following chapter examines some </w:t>
      </w:r>
      <w:r w:rsidR="0063531A">
        <w:rPr>
          <w:rFonts w:cs="Arial"/>
        </w:rPr>
        <w:t>of the main processes of povertization</w:t>
      </w:r>
      <w:r>
        <w:rPr>
          <w:rFonts w:cs="Arial"/>
        </w:rPr>
        <w:t xml:space="preserve"> and </w:t>
      </w:r>
      <w:r w:rsidR="0063531A">
        <w:rPr>
          <w:rFonts w:cs="Arial"/>
        </w:rPr>
        <w:t xml:space="preserve">social exclusion </w:t>
      </w:r>
      <w:r w:rsidR="0020057B">
        <w:rPr>
          <w:rFonts w:cs="Arial"/>
        </w:rPr>
        <w:t xml:space="preserve">of immigrants </w:t>
      </w:r>
      <w:r w:rsidR="0063531A">
        <w:rPr>
          <w:rFonts w:cs="Arial"/>
        </w:rPr>
        <w:t>in Attiki</w:t>
      </w:r>
      <w:r w:rsidR="0020057B">
        <w:rPr>
          <w:rFonts w:cs="Arial"/>
        </w:rPr>
        <w:t xml:space="preserve">, </w:t>
      </w:r>
      <w:r>
        <w:rPr>
          <w:rFonts w:cs="Arial"/>
        </w:rPr>
        <w:t xml:space="preserve">as well as attempts of both </w:t>
      </w:r>
      <w:r w:rsidR="0063531A">
        <w:rPr>
          <w:rFonts w:cs="Arial"/>
        </w:rPr>
        <w:t>the central/local state public and third sector organizations</w:t>
      </w:r>
      <w:r>
        <w:rPr>
          <w:rFonts w:cs="Arial"/>
        </w:rPr>
        <w:t xml:space="preserve"> to provide </w:t>
      </w:r>
      <w:r w:rsidR="0020057B">
        <w:rPr>
          <w:rFonts w:cs="Arial"/>
        </w:rPr>
        <w:t xml:space="preserve">relevant </w:t>
      </w:r>
      <w:r>
        <w:rPr>
          <w:rFonts w:cs="Arial"/>
        </w:rPr>
        <w:t>institutional respons</w:t>
      </w:r>
      <w:r w:rsidR="0063531A">
        <w:rPr>
          <w:rFonts w:cs="Arial"/>
        </w:rPr>
        <w:t>es. We first investigate current</w:t>
      </w:r>
      <w:r>
        <w:rPr>
          <w:rFonts w:cs="Arial"/>
        </w:rPr>
        <w:t xml:space="preserve"> processes leading to social exclusion: immigration, new poverty and new homelessness. We present in particular the attempt of the central state to </w:t>
      </w:r>
      <w:r w:rsidR="0020057B">
        <w:rPr>
          <w:rFonts w:cs="Arial"/>
        </w:rPr>
        <w:t>devise</w:t>
      </w:r>
      <w:r>
        <w:rPr>
          <w:rFonts w:cs="Arial"/>
        </w:rPr>
        <w:t xml:space="preserve"> a more coherent immig</w:t>
      </w:r>
      <w:r w:rsidR="0020057B">
        <w:rPr>
          <w:rFonts w:cs="Arial"/>
        </w:rPr>
        <w:t>ration policy and its limitations</w:t>
      </w:r>
      <w:r>
        <w:rPr>
          <w:rFonts w:cs="Arial"/>
        </w:rPr>
        <w:t>, the re-organization of municipal social services during the crisis and the social action of the Orthodox Church and a prominent NGO speci</w:t>
      </w:r>
      <w:r w:rsidR="0020057B">
        <w:rPr>
          <w:rFonts w:cs="Arial"/>
        </w:rPr>
        <w:t>alized in homelessness. In the second part of the</w:t>
      </w:r>
      <w:r>
        <w:rPr>
          <w:rFonts w:cs="Arial"/>
        </w:rPr>
        <w:t xml:space="preserve"> chapter </w:t>
      </w:r>
      <w:r w:rsidR="0020057B">
        <w:rPr>
          <w:rFonts w:cs="Arial"/>
        </w:rPr>
        <w:t>we focus</w:t>
      </w:r>
      <w:r>
        <w:rPr>
          <w:rFonts w:cs="Arial"/>
        </w:rPr>
        <w:t xml:space="preserve"> more specifically on urban social segregation. We present the context of residential segregation in Athens since the first post</w:t>
      </w:r>
      <w:r w:rsidR="0020057B">
        <w:rPr>
          <w:rFonts w:cs="Arial"/>
        </w:rPr>
        <w:t>-</w:t>
      </w:r>
      <w:r>
        <w:rPr>
          <w:rFonts w:cs="Arial"/>
        </w:rPr>
        <w:t xml:space="preserve">war </w:t>
      </w:r>
      <w:r w:rsidR="0020057B">
        <w:rPr>
          <w:rFonts w:cs="Arial"/>
        </w:rPr>
        <w:t xml:space="preserve">period and </w:t>
      </w:r>
      <w:r>
        <w:rPr>
          <w:rFonts w:cs="Arial"/>
        </w:rPr>
        <w:t>we examine current trends in segregation.</w:t>
      </w:r>
      <w:r w:rsidR="003446AF">
        <w:rPr>
          <w:rFonts w:cs="Arial"/>
        </w:rPr>
        <w:t xml:space="preserve"> In the third part we deal with some occurring policy challenges and policy priorities</w:t>
      </w:r>
      <w:r w:rsidR="00AC787C">
        <w:rPr>
          <w:rFonts w:cs="Arial"/>
        </w:rPr>
        <w:t>.</w:t>
      </w:r>
    </w:p>
    <w:p w:rsidR="00AC787C" w:rsidRPr="00AC787C" w:rsidRDefault="00AC787C" w:rsidP="00AC787C">
      <w:pPr>
        <w:spacing w:line="276" w:lineRule="auto"/>
        <w:rPr>
          <w:rFonts w:cs="Arial"/>
          <w:sz w:val="10"/>
          <w:szCs w:val="10"/>
        </w:rPr>
      </w:pPr>
    </w:p>
    <w:p w:rsidR="009817D0" w:rsidRDefault="002F7A8D" w:rsidP="00AC787C">
      <w:pPr>
        <w:pStyle w:val="Heading2"/>
        <w:spacing w:before="360"/>
      </w:pPr>
      <w:bookmarkStart w:id="58" w:name="_Toc386013200"/>
      <w:r>
        <w:rPr>
          <w:rFonts w:cs="Arial"/>
          <w:noProof/>
        </w:rPr>
        <w:t xml:space="preserve">Main factors </w:t>
      </w:r>
      <w:r>
        <w:t>shaping</w:t>
      </w:r>
      <w:r w:rsidRPr="00D46A4C">
        <w:t xml:space="preserve"> dimensions and processes of </w:t>
      </w:r>
      <w:r>
        <w:t xml:space="preserve">poverty and </w:t>
      </w:r>
      <w:r w:rsidRPr="00D46A4C">
        <w:t>social exclusion</w:t>
      </w:r>
      <w:bookmarkEnd w:id="58"/>
    </w:p>
    <w:p w:rsidR="00650351" w:rsidRDefault="00650351" w:rsidP="00F430B9">
      <w:pPr>
        <w:pStyle w:val="Heading3"/>
        <w:spacing w:before="240"/>
      </w:pPr>
      <w:r>
        <w:t>Central state and immigration policy</w:t>
      </w:r>
    </w:p>
    <w:p w:rsidR="0063531A" w:rsidRDefault="0063531A" w:rsidP="00AC787C">
      <w:pPr>
        <w:spacing w:line="276" w:lineRule="auto"/>
      </w:pPr>
      <w:r>
        <w:t>Massive immigration to Greece started in the early 1990s, mainly with people from Albania and Eastern Europe</w:t>
      </w:r>
      <w:r w:rsidR="000F1DF3">
        <w:t xml:space="preserve"> (King</w:t>
      </w:r>
      <w:r w:rsidR="00AC787C">
        <w:t>,</w:t>
      </w:r>
      <w:r w:rsidR="000F1DF3">
        <w:t xml:space="preserve"> 2000)</w:t>
      </w:r>
      <w:r>
        <w:t xml:space="preserve">. The common wisdom is that the Greek state was unprepared to provide a consistent </w:t>
      </w:r>
      <w:r w:rsidR="00984B0E">
        <w:t xml:space="preserve">policy </w:t>
      </w:r>
      <w:r>
        <w:t>framework for social integration, as incoming migratory movement was a new phenomenon in a ‘traditional’ sending country. However, the situation with the Greek migration regime is much more complex</w:t>
      </w:r>
      <w:r w:rsidR="001E3140">
        <w:t xml:space="preserve"> (Parsanoglou</w:t>
      </w:r>
      <w:r w:rsidR="00AC787C">
        <w:t>,</w:t>
      </w:r>
      <w:r w:rsidR="001E3140">
        <w:t xml:space="preserve"> </w:t>
      </w:r>
      <w:r w:rsidR="00147D37">
        <w:t>2009</w:t>
      </w:r>
      <w:r w:rsidR="001E3140">
        <w:t>)</w:t>
      </w:r>
      <w:r>
        <w:t xml:space="preserve">. </w:t>
      </w:r>
      <w:r w:rsidR="00984B0E">
        <w:t>First of all because transnational immigrants had started to settle in the country as early as in the 1970s, although in significantly lower numbers, mainly as students who prolonged their residence after their studies, as domestic workers and as workers in specific flourishing industries of the secondary and primary sector. Second, because Greece has experienced massive inflows of immigrants of Greek origin throughout the 20</w:t>
      </w:r>
      <w:r w:rsidR="00984B0E" w:rsidRPr="00984B0E">
        <w:rPr>
          <w:vertAlign w:val="superscript"/>
        </w:rPr>
        <w:t>th</w:t>
      </w:r>
      <w:r w:rsidR="00984B0E">
        <w:t xml:space="preserve"> century</w:t>
      </w:r>
      <w:r w:rsidR="00894C3B">
        <w:t xml:space="preserve"> and the Greek cities have been receiving successive waves of internal migration</w:t>
      </w:r>
      <w:r w:rsidR="00984B0E">
        <w:t>. And more importantly</w:t>
      </w:r>
      <w:r w:rsidR="00CB68AE">
        <w:t>,</w:t>
      </w:r>
      <w:r w:rsidR="00984B0E">
        <w:t xml:space="preserve"> because the </w:t>
      </w:r>
      <w:r w:rsidR="00894C3B">
        <w:t xml:space="preserve">theory of a ‘surprised’ social and political system may explain what did </w:t>
      </w:r>
      <w:r w:rsidR="00894C3B" w:rsidRPr="00CB68AE">
        <w:rPr>
          <w:i/>
        </w:rPr>
        <w:t>not</w:t>
      </w:r>
      <w:r w:rsidR="00894C3B">
        <w:t xml:space="preserve"> happen but not how the actual migration regime was produced.</w:t>
      </w:r>
    </w:p>
    <w:p w:rsidR="00894C3B" w:rsidRDefault="00D44ABF" w:rsidP="00AC787C">
      <w:pPr>
        <w:spacing w:line="276" w:lineRule="auto"/>
      </w:pPr>
      <w:r>
        <w:t>The</w:t>
      </w:r>
      <w:r w:rsidR="00894C3B">
        <w:t xml:space="preserve"> migratory inflow of the early 1990s was dominantly perceived as an abnormal condition, one that threatened the social and economic stability of the country</w:t>
      </w:r>
      <w:r w:rsidR="00B75FBD">
        <w:t xml:space="preserve"> (Pavlou</w:t>
      </w:r>
      <w:r w:rsidR="00AC787C">
        <w:t>,</w:t>
      </w:r>
      <w:r w:rsidR="00B75FBD">
        <w:t xml:space="preserve"> 2007, </w:t>
      </w:r>
      <w:r w:rsidR="00147D37">
        <w:t>Swarts &amp; Karakatsanis</w:t>
      </w:r>
      <w:r w:rsidR="00AC787C">
        <w:t>,</w:t>
      </w:r>
      <w:r w:rsidR="00147D37">
        <w:t xml:space="preserve"> 2012</w:t>
      </w:r>
      <w:r w:rsidR="00B75FBD">
        <w:t>)</w:t>
      </w:r>
      <w:r w:rsidR="00894C3B">
        <w:t xml:space="preserve">. The first Law on immigration was adopted by the Parliament as early in 1991. Its rationale was to pose tight restrictions to what was considered as a kind of invasion, through the implementation of </w:t>
      </w:r>
      <w:r w:rsidR="006A7DF4">
        <w:t>strict preconditions for legal residence,</w:t>
      </w:r>
      <w:r w:rsidR="00894C3B">
        <w:t xml:space="preserve"> while leaving no room for social integration measures. </w:t>
      </w:r>
      <w:r w:rsidR="006A7DF4">
        <w:t>It was only six years later when the reality of massive arrivals and the acceptance of the positive role of immigrants in the then developing Greek economy, led to the implementation of the first ‘legalization’ p</w:t>
      </w:r>
      <w:r w:rsidR="00CB68AE">
        <w:t xml:space="preserve">rocess, which was followed by two </w:t>
      </w:r>
      <w:r w:rsidR="00CB68AE">
        <w:lastRenderedPageBreak/>
        <w:t xml:space="preserve">more waves in 2001 and 2005-2007. The central idea was the recognition of immigration </w:t>
      </w:r>
      <w:r w:rsidR="0003392C">
        <w:t xml:space="preserve">as an economic reality and the recognition of immigrants’ rights on the basis of their participation in the labour market. </w:t>
      </w:r>
      <w:r>
        <w:t xml:space="preserve">In fact, the right to stay was linked with employment, as a minimum number of insurance stamps was (and still is) required in order to validate a residence permit. </w:t>
      </w:r>
    </w:p>
    <w:p w:rsidR="00650351" w:rsidRPr="00704AC7" w:rsidRDefault="00650351" w:rsidP="00AC787C">
      <w:pPr>
        <w:spacing w:line="276" w:lineRule="auto"/>
      </w:pPr>
      <w:r w:rsidRPr="00704AC7">
        <w:t xml:space="preserve">A step towards a more consistent immigration policy was the implementation in 2001 of a new legal framework for granting residence permits to immigrants and the foundation of a specific administrative department in the Ministry of Interior, the Direction of Immigration Policy (DIP). These institutional interventions codified and clarified criteria for legalization and, at the same time, improved and rationalized administrative services for immigrants. Until 2001 the Ministry of Public Order was responsible for the total </w:t>
      </w:r>
      <w:r w:rsidR="0020057B">
        <w:t>immigrant population</w:t>
      </w:r>
      <w:r w:rsidRPr="00704AC7">
        <w:t>, fostering a policy-oriented immigration policy. The 2001 reform assigned the authority on documented immigrants coming from non EU countries and the members of their families to the Ministry of the Interior (Regional Authorities and DIP). The Ministry of Interior undertook also the responsibility for immigrants who ask for residence permits for humanitarian and other exceptional reasons. Moreover, beyond 2001 reform, specific legislation has been implemented concerning different immigrant subcategories, like second generation immigrants, former reformatory and prison inmates. The Ministry of Public Order maintained control over undocumented immigrants and asylum seekers, as well as over persons coming from EU countries and immigrants of Greek origin.</w:t>
      </w:r>
    </w:p>
    <w:p w:rsidR="00650351" w:rsidRPr="00704AC7" w:rsidRDefault="00650351" w:rsidP="00AC787C">
      <w:pPr>
        <w:spacing w:line="276" w:lineRule="auto"/>
      </w:pPr>
      <w:r w:rsidRPr="00704AC7">
        <w:t xml:space="preserve">However, as the immigration policy focuses on </w:t>
      </w:r>
      <w:r w:rsidR="009A100C">
        <w:t>immigration control, security (Karyotis</w:t>
      </w:r>
      <w:r w:rsidR="00AC787C">
        <w:t>,</w:t>
      </w:r>
      <w:r w:rsidR="009A100C">
        <w:t xml:space="preserve"> 2012, Swarts &amp; Karakatsanis</w:t>
      </w:r>
      <w:r w:rsidR="00AC787C">
        <w:t>,</w:t>
      </w:r>
      <w:r w:rsidR="009A100C">
        <w:t xml:space="preserve"> 2012) and </w:t>
      </w:r>
      <w:r w:rsidRPr="00704AC7">
        <w:t xml:space="preserve">the </w:t>
      </w:r>
      <w:r w:rsidR="006D7958">
        <w:t xml:space="preserve">regularization of </w:t>
      </w:r>
      <w:r w:rsidRPr="00704AC7">
        <w:t>access to legal documents, it does not comprise a more integrated strategy for combating against immigrant’s poverty and social exclusion</w:t>
      </w:r>
      <w:r w:rsidR="00147D37">
        <w:t xml:space="preserve"> (Pavlou</w:t>
      </w:r>
      <w:r w:rsidR="00AC787C">
        <w:t>,</w:t>
      </w:r>
      <w:r w:rsidR="00147D37">
        <w:t xml:space="preserve"> 2009)</w:t>
      </w:r>
      <w:r w:rsidRPr="00704AC7">
        <w:t xml:space="preserve">. SK admits that the services provided by DIP are quite one-sided and do not face immigrants’ social exclusion on the whole: </w:t>
      </w:r>
    </w:p>
    <w:p w:rsidR="00650351" w:rsidRPr="00704AC7" w:rsidRDefault="00650351" w:rsidP="00AC787C">
      <w:pPr>
        <w:spacing w:before="240" w:after="240" w:line="240" w:lineRule="auto"/>
        <w:ind w:left="567"/>
        <w:rPr>
          <w:rFonts w:cs="Arial"/>
          <w:szCs w:val="22"/>
        </w:rPr>
      </w:pPr>
      <w:r w:rsidRPr="00704AC7">
        <w:rPr>
          <w:rFonts w:cs="Arial"/>
          <w:szCs w:val="22"/>
        </w:rPr>
        <w:t xml:space="preserve">“Certainly, we do not face exactly the cause of poverty. We see [examine] some groups which arrive to us, we provide them with administrative status. They are [thus] visible in the whole administrative system and they have a number of professional and economic [rights] and [have access to] all the services to which they can apply in order to gain something, [like] professional training, we give them this right. But if the labour market [does not offer jobs], especially within an environment formed by </w:t>
      </w:r>
      <w:r w:rsidR="00463197">
        <w:rPr>
          <w:rFonts w:cs="Arial"/>
          <w:szCs w:val="22"/>
        </w:rPr>
        <w:t>the I</w:t>
      </w:r>
      <w:r w:rsidRPr="00704AC7">
        <w:rPr>
          <w:rFonts w:cs="Arial"/>
          <w:szCs w:val="22"/>
        </w:rPr>
        <w:t>MF and</w:t>
      </w:r>
      <w:r w:rsidR="00463197">
        <w:rPr>
          <w:rFonts w:cs="Arial"/>
          <w:szCs w:val="22"/>
        </w:rPr>
        <w:t xml:space="preserve"> the</w:t>
      </w:r>
      <w:r w:rsidRPr="00704AC7">
        <w:rPr>
          <w:rFonts w:cs="Arial"/>
          <w:szCs w:val="22"/>
        </w:rPr>
        <w:t xml:space="preserve"> troika, th</w:t>
      </w:r>
      <w:r w:rsidR="00463197">
        <w:rPr>
          <w:rFonts w:cs="Arial"/>
          <w:szCs w:val="22"/>
        </w:rPr>
        <w:t>en they will have some problems;</w:t>
      </w:r>
      <w:r w:rsidRPr="00704AC7">
        <w:rPr>
          <w:rFonts w:cs="Arial"/>
          <w:szCs w:val="22"/>
        </w:rPr>
        <w:t xml:space="preserve"> not some, a lot of problems” </w:t>
      </w:r>
      <w:r w:rsidR="00AB2C7D">
        <w:rPr>
          <w:rFonts w:cs="Arial"/>
          <w:szCs w:val="22"/>
        </w:rPr>
        <w:t>(</w:t>
      </w:r>
      <w:r>
        <w:rPr>
          <w:rFonts w:cs="Arial"/>
          <w:szCs w:val="22"/>
        </w:rPr>
        <w:t xml:space="preserve">staff member of DIP, 15/11/2012). </w:t>
      </w:r>
    </w:p>
    <w:p w:rsidR="00650351" w:rsidRPr="00704AC7" w:rsidRDefault="00650351" w:rsidP="00AC787C">
      <w:pPr>
        <w:spacing w:line="276" w:lineRule="auto"/>
        <w:rPr>
          <w:rFonts w:cs="Arial"/>
          <w:szCs w:val="22"/>
        </w:rPr>
      </w:pPr>
      <w:r w:rsidRPr="00704AC7">
        <w:rPr>
          <w:rFonts w:cs="Arial"/>
          <w:szCs w:val="22"/>
        </w:rPr>
        <w:t xml:space="preserve">What is more, the immigration policy is far from adequately addressing the changing dynamics of immigration. The two main processes which expose immigrants to social exclusion and poverty are: </w:t>
      </w:r>
    </w:p>
    <w:p w:rsidR="00650351" w:rsidRPr="00704AC7" w:rsidRDefault="00650351" w:rsidP="00AC787C">
      <w:pPr>
        <w:spacing w:line="276" w:lineRule="auto"/>
        <w:rPr>
          <w:rFonts w:cs="Arial"/>
          <w:szCs w:val="22"/>
        </w:rPr>
      </w:pPr>
      <w:r w:rsidRPr="00704AC7">
        <w:rPr>
          <w:rFonts w:cs="Arial"/>
          <w:szCs w:val="22"/>
        </w:rPr>
        <w:t xml:space="preserve">a. The growing number of undocumented immigrant flows towards Greece. According to official data, the documented immigrants </w:t>
      </w:r>
      <w:r w:rsidR="00463197">
        <w:rPr>
          <w:rFonts w:cs="Arial"/>
          <w:szCs w:val="22"/>
        </w:rPr>
        <w:t>in Greece are about 650,000;</w:t>
      </w:r>
      <w:r w:rsidRPr="00704AC7">
        <w:rPr>
          <w:rFonts w:cs="Arial"/>
          <w:szCs w:val="22"/>
        </w:rPr>
        <w:t xml:space="preserve"> according to estimations, the total number may be more than one million (Maroukis</w:t>
      </w:r>
      <w:r w:rsidR="00AC787C">
        <w:rPr>
          <w:rFonts w:cs="Arial"/>
          <w:szCs w:val="22"/>
        </w:rPr>
        <w:t>,</w:t>
      </w:r>
      <w:r w:rsidRPr="00704AC7">
        <w:rPr>
          <w:rFonts w:cs="Arial"/>
          <w:szCs w:val="22"/>
        </w:rPr>
        <w:t xml:space="preserve"> 2009). The transiti</w:t>
      </w:r>
      <w:r w:rsidR="00070F10">
        <w:rPr>
          <w:rFonts w:cs="Arial"/>
          <w:szCs w:val="22"/>
        </w:rPr>
        <w:t>on of these immigrants to legal</w:t>
      </w:r>
      <w:r w:rsidR="00463197">
        <w:rPr>
          <w:rFonts w:cs="Arial"/>
          <w:szCs w:val="22"/>
        </w:rPr>
        <w:t xml:space="preserve"> status</w:t>
      </w:r>
      <w:r w:rsidRPr="00704AC7">
        <w:rPr>
          <w:rFonts w:cs="Arial"/>
          <w:szCs w:val="22"/>
        </w:rPr>
        <w:t xml:space="preserve"> seems now unlikely</w:t>
      </w:r>
      <w:r w:rsidR="00463197">
        <w:rPr>
          <w:rFonts w:cs="Arial"/>
          <w:szCs w:val="22"/>
        </w:rPr>
        <w:t>,</w:t>
      </w:r>
      <w:r w:rsidRPr="00704AC7">
        <w:rPr>
          <w:rFonts w:cs="Arial"/>
          <w:szCs w:val="22"/>
        </w:rPr>
        <w:t xml:space="preserve"> as the Greek state is unwilling to proceed to massive granting of residence permits, partly due to the pressure of Northern European countries which are afraid of growing </w:t>
      </w:r>
      <w:r w:rsidRPr="00704AC7">
        <w:rPr>
          <w:rFonts w:cs="Arial"/>
          <w:szCs w:val="22"/>
        </w:rPr>
        <w:lastRenderedPageBreak/>
        <w:t>immigration flows among EU-countries</w:t>
      </w:r>
      <w:r>
        <w:rPr>
          <w:rFonts w:cs="Arial"/>
          <w:szCs w:val="22"/>
        </w:rPr>
        <w:t xml:space="preserve"> (staff member of DIP, 15/11/2012)</w:t>
      </w:r>
      <w:r w:rsidRPr="00704AC7">
        <w:rPr>
          <w:rFonts w:cs="Arial"/>
          <w:szCs w:val="22"/>
        </w:rPr>
        <w:t>. The Regional Authorities examine demands for residence permits on an individual basis, while the DIP does not grant more than 1500 residence permits for humanitarian and other exceptional reasons every year (over around 2500 demands,</w:t>
      </w:r>
      <w:r w:rsidRPr="005415F5">
        <w:rPr>
          <w:rFonts w:cs="Arial"/>
          <w:szCs w:val="22"/>
        </w:rPr>
        <w:t xml:space="preserve"> </w:t>
      </w:r>
      <w:r>
        <w:rPr>
          <w:rFonts w:cs="Arial"/>
          <w:szCs w:val="22"/>
        </w:rPr>
        <w:t>staff member of DIP, 15/11/2012).</w:t>
      </w:r>
      <w:r w:rsidRPr="00704AC7">
        <w:rPr>
          <w:rFonts w:cs="Arial"/>
          <w:szCs w:val="22"/>
        </w:rPr>
        <w:t xml:space="preserve"> This policy, however, reproduces the main condition of social exclusion and poverty for immigrants. Undocumented immigrants are much more exposed to overexploitation and unemployment (as the staff members of the DIP that we ha</w:t>
      </w:r>
      <w:r w:rsidR="006B3ECA">
        <w:rPr>
          <w:rFonts w:cs="Arial"/>
          <w:szCs w:val="22"/>
        </w:rPr>
        <w:t>ve interviewed fully recognize</w:t>
      </w:r>
      <w:r w:rsidRPr="00704AC7">
        <w:rPr>
          <w:rFonts w:cs="Arial"/>
          <w:szCs w:val="22"/>
        </w:rPr>
        <w:t xml:space="preserve">). </w:t>
      </w:r>
    </w:p>
    <w:p w:rsidR="00650351" w:rsidRPr="00704AC7" w:rsidRDefault="00650351" w:rsidP="00AC787C">
      <w:pPr>
        <w:spacing w:line="276" w:lineRule="auto"/>
        <w:rPr>
          <w:rFonts w:cs="Arial"/>
          <w:szCs w:val="22"/>
        </w:rPr>
      </w:pPr>
      <w:r w:rsidRPr="00704AC7">
        <w:rPr>
          <w:rFonts w:cs="Arial"/>
          <w:szCs w:val="22"/>
        </w:rPr>
        <w:t xml:space="preserve">b. The current economic crisis affects immigrants in a specific way as increasing unemployment leads not only to poverty but also to the loss of access to residence permits. One of the main preconditions to validate residence permits is having worked for a minimum number of days on a two-year basis. Although the limit has been reduced recently (from 400 to 240), the very high unemployment rate pushes more and more immigrants (as well as the members of their families whose legal status depends on them) to illegality, fuelling a vicious cycle of material deprivation and administrative invisibility.  </w:t>
      </w:r>
    </w:p>
    <w:p w:rsidR="00126A28" w:rsidRDefault="007B72AE" w:rsidP="00AC787C">
      <w:pPr>
        <w:spacing w:line="276" w:lineRule="auto"/>
      </w:pPr>
      <w:r>
        <w:t xml:space="preserve">Similar </w:t>
      </w:r>
      <w:r w:rsidR="006D7958">
        <w:t>problematization</w:t>
      </w:r>
      <w:r w:rsidR="00070F10">
        <w:t>s</w:t>
      </w:r>
      <w:r w:rsidR="006D7958">
        <w:t xml:space="preserve"> of the current migration regime are reported by the interviewed representatives of immigrant groups.</w:t>
      </w:r>
      <w:r w:rsidR="00070F10">
        <w:t xml:space="preserve"> They stress that the period of economic crisis threatens the ability of their established members not only to sustain their achieved quality of life, but also to validate their residence permits. In the case of the newcomers, the absence of any opportunity for legal entrance and residence is a serious obstacle</w:t>
      </w:r>
      <w:r w:rsidR="0020057B">
        <w:t xml:space="preserve">. </w:t>
      </w:r>
    </w:p>
    <w:p w:rsidR="0020057B" w:rsidRDefault="00AB2C7D" w:rsidP="00AC787C">
      <w:pPr>
        <w:spacing w:before="240" w:after="240" w:line="240" w:lineRule="auto"/>
        <w:ind w:left="567"/>
      </w:pPr>
      <w:r>
        <w:t>“I am unemployed for two years, after sixteen years in the same job. Imagine...those of us who studied here and know the Greek society...imagine those who did not study here but just came and later they brought their families. They face [difficulties</w:t>
      </w:r>
      <w:r w:rsidR="006B3ECA">
        <w:t>]. About 75-80% of the Sudanese are poor” (me</w:t>
      </w:r>
      <w:r w:rsidR="00A13874">
        <w:t>mber of the Sudanese community</w:t>
      </w:r>
      <w:r w:rsidR="006B3ECA">
        <w:t>).</w:t>
      </w:r>
    </w:p>
    <w:p w:rsidR="006B3ECA" w:rsidRDefault="006B3ECA" w:rsidP="00AC787C">
      <w:pPr>
        <w:spacing w:before="240" w:after="240" w:line="240" w:lineRule="auto"/>
        <w:ind w:left="567"/>
      </w:pPr>
      <w:r>
        <w:t>“Sometimes I feel that only our hands are appreciated... I even wonder if we are complete humans” (mem</w:t>
      </w:r>
      <w:r w:rsidR="00A13874">
        <w:t>ber of the Pakistani community</w:t>
      </w:r>
      <w:r>
        <w:t>).</w:t>
      </w:r>
    </w:p>
    <w:p w:rsidR="00126A28" w:rsidRDefault="00FF17CE" w:rsidP="00AC787C">
      <w:pPr>
        <w:spacing w:line="276" w:lineRule="auto"/>
      </w:pPr>
      <w:r>
        <w:t>The</w:t>
      </w:r>
      <w:r w:rsidR="00126A28">
        <w:t xml:space="preserve"> ambiguous legal status </w:t>
      </w:r>
      <w:r>
        <w:t xml:space="preserve">of the newcomers </w:t>
      </w:r>
      <w:r w:rsidR="00126A28">
        <w:t>makes them extremely vulnerable to exploitation and to maltreatment by state authorities. Arrestment and imprisonment occur frequently</w:t>
      </w:r>
      <w:r>
        <w:t xml:space="preserve">. Moreover, the Greek police fail constantly to monitor racist violence in the streets or against while the victims are often persecuted because they do not possess legal documents. </w:t>
      </w:r>
    </w:p>
    <w:p w:rsidR="005E76E8" w:rsidRDefault="005E76E8" w:rsidP="00AC787C">
      <w:pPr>
        <w:spacing w:before="240" w:after="240" w:line="240" w:lineRule="auto"/>
        <w:ind w:left="567"/>
      </w:pPr>
      <w:r>
        <w:t>“The political system in the last few years of this crisis has cultivated racism. This is reasonable since there are fewer jobs for the Greeks. But on the other hand we see police officers collaborating with fascists” (me</w:t>
      </w:r>
      <w:r w:rsidR="00147D37">
        <w:t>mber of the Pakistani community</w:t>
      </w:r>
      <w:r>
        <w:t xml:space="preserve">). </w:t>
      </w:r>
    </w:p>
    <w:p w:rsidR="005E76E8" w:rsidRDefault="005E76E8" w:rsidP="00AC787C">
      <w:pPr>
        <w:spacing w:line="276" w:lineRule="auto"/>
      </w:pPr>
      <w:r>
        <w:t xml:space="preserve">Even in the case of the established members of the Filipino community, there is a clear connection between the economic crisis and the ability to sustain a standard level of life. Acquiring </w:t>
      </w:r>
      <w:r w:rsidR="00B076E6">
        <w:t xml:space="preserve">residence permits has been a main task for the organized part of the community (KASAPI, Union of Filipino Migrants in Greece) since the first legalization process in 1997. Recently, many Filipino families decided to ‘go back’ to </w:t>
      </w:r>
      <w:r w:rsidR="00B076E6">
        <w:lastRenderedPageBreak/>
        <w:t>Philippines, even despite that such a decision seemed unlikely a few years ago</w:t>
      </w:r>
      <w:r w:rsidR="00F26E39">
        <w:t>, at least</w:t>
      </w:r>
      <w:r w:rsidR="00B076E6">
        <w:t xml:space="preserve"> for those who had settled </w:t>
      </w:r>
      <w:r w:rsidR="00F26E39">
        <w:t>as early as in the 1980s.</w:t>
      </w:r>
    </w:p>
    <w:p w:rsidR="00126A28" w:rsidRDefault="00184E8D" w:rsidP="00ED0F60">
      <w:pPr>
        <w:spacing w:before="240" w:after="240" w:line="240" w:lineRule="auto"/>
        <w:ind w:left="567"/>
      </w:pPr>
      <w:r>
        <w:t xml:space="preserve">“If you spend here 12 years, then if you come back [to Philippines], then the experience will </w:t>
      </w:r>
      <w:r w:rsidR="00DF2C85">
        <w:t>be totally</w:t>
      </w:r>
      <w:r>
        <w:t xml:space="preserve"> different and you cannot adjust anymore” (member of</w:t>
      </w:r>
      <w:r w:rsidR="00A13874">
        <w:t xml:space="preserve"> the Filipino community</w:t>
      </w:r>
      <w:r>
        <w:t>).</w:t>
      </w:r>
    </w:p>
    <w:p w:rsidR="00ED0F60" w:rsidRPr="00ED0F60" w:rsidRDefault="00ED0F60" w:rsidP="00ED0F60">
      <w:pPr>
        <w:spacing w:before="240" w:after="240" w:line="240" w:lineRule="auto"/>
        <w:ind w:left="567"/>
        <w:rPr>
          <w:sz w:val="10"/>
          <w:szCs w:val="10"/>
        </w:rPr>
      </w:pPr>
    </w:p>
    <w:p w:rsidR="00650351" w:rsidRDefault="005E76E8" w:rsidP="00ED0F60">
      <w:pPr>
        <w:pStyle w:val="Heading3"/>
        <w:spacing w:before="240"/>
      </w:pPr>
      <w:r>
        <w:t>Facing poverty</w:t>
      </w:r>
      <w:r w:rsidR="00650351">
        <w:t xml:space="preserve"> and homelessness at the local level: municipal authorities, </w:t>
      </w:r>
      <w:r w:rsidR="006B3ECA">
        <w:t xml:space="preserve">the </w:t>
      </w:r>
      <w:r w:rsidR="00650351">
        <w:t xml:space="preserve">Church and NGOs </w:t>
      </w:r>
    </w:p>
    <w:p w:rsidR="00650351" w:rsidRDefault="00650351" w:rsidP="00AC787C">
      <w:pPr>
        <w:spacing w:after="120" w:line="276" w:lineRule="auto"/>
        <w:rPr>
          <w:rFonts w:cs="Arial"/>
          <w:lang w:val="en-US"/>
        </w:rPr>
      </w:pPr>
      <w:r w:rsidRPr="00EA1CD8">
        <w:rPr>
          <w:rStyle w:val="hps"/>
          <w:rFonts w:cs="Arial"/>
          <w:lang w:val="en-US"/>
        </w:rPr>
        <w:t>The current economic</w:t>
      </w:r>
      <w:r w:rsidRPr="00EA1CD8">
        <w:rPr>
          <w:rFonts w:cs="Arial"/>
          <w:lang w:val="en-US"/>
        </w:rPr>
        <w:t xml:space="preserve"> </w:t>
      </w:r>
      <w:r w:rsidRPr="00EA1CD8">
        <w:rPr>
          <w:rStyle w:val="hps"/>
          <w:rFonts w:cs="Arial"/>
          <w:lang w:val="en-US"/>
        </w:rPr>
        <w:t>crisis in Greece</w:t>
      </w:r>
      <w:r w:rsidRPr="00EA1CD8">
        <w:rPr>
          <w:rFonts w:cs="Arial"/>
          <w:lang w:val="en-US"/>
        </w:rPr>
        <w:t xml:space="preserve"> </w:t>
      </w:r>
      <w:r w:rsidRPr="00EA1CD8">
        <w:rPr>
          <w:rStyle w:val="hps"/>
          <w:rFonts w:cs="Arial"/>
          <w:lang w:val="en-US"/>
        </w:rPr>
        <w:t>triggered a</w:t>
      </w:r>
      <w:r w:rsidRPr="00EA1CD8">
        <w:rPr>
          <w:rFonts w:cs="Arial"/>
          <w:lang w:val="en-US"/>
        </w:rPr>
        <w:t xml:space="preserve"> </w:t>
      </w:r>
      <w:r w:rsidRPr="00EA1CD8">
        <w:rPr>
          <w:rStyle w:val="hps"/>
          <w:rFonts w:cs="Arial"/>
          <w:lang w:val="en-US"/>
        </w:rPr>
        <w:t>series</w:t>
      </w:r>
      <w:r w:rsidRPr="00EA1CD8">
        <w:rPr>
          <w:rFonts w:cs="Arial"/>
          <w:lang w:val="en-US"/>
        </w:rPr>
        <w:t xml:space="preserve"> </w:t>
      </w:r>
      <w:r w:rsidRPr="00EA1CD8">
        <w:rPr>
          <w:rStyle w:val="hps"/>
          <w:rFonts w:cs="Arial"/>
          <w:lang w:val="en-US"/>
        </w:rPr>
        <w:t>of actions and initiatives</w:t>
      </w:r>
      <w:r w:rsidRPr="00EA1CD8">
        <w:rPr>
          <w:rFonts w:cs="Arial"/>
          <w:lang w:val="en-US"/>
        </w:rPr>
        <w:t xml:space="preserve"> for fighting</w:t>
      </w:r>
      <w:r w:rsidRPr="00EA1CD8">
        <w:rPr>
          <w:rStyle w:val="hps"/>
          <w:rFonts w:cs="Arial"/>
          <w:lang w:val="en-US"/>
        </w:rPr>
        <w:t xml:space="preserve"> social</w:t>
      </w:r>
      <w:r w:rsidRPr="00EA1CD8">
        <w:rPr>
          <w:rFonts w:cs="Arial"/>
          <w:lang w:val="en-US"/>
        </w:rPr>
        <w:t xml:space="preserve"> </w:t>
      </w:r>
      <w:r w:rsidRPr="00EA1CD8">
        <w:rPr>
          <w:rStyle w:val="hps"/>
          <w:rFonts w:cs="Arial"/>
          <w:lang w:val="en-US"/>
        </w:rPr>
        <w:t>exclusion</w:t>
      </w:r>
      <w:r w:rsidRPr="00EA1CD8">
        <w:rPr>
          <w:rFonts w:cs="Arial"/>
          <w:lang w:val="en-US"/>
        </w:rPr>
        <w:t xml:space="preserve"> </w:t>
      </w:r>
      <w:r w:rsidRPr="00EA1CD8">
        <w:rPr>
          <w:rStyle w:val="hps"/>
          <w:rFonts w:cs="Arial"/>
          <w:lang w:val="en-US"/>
        </w:rPr>
        <w:t>and poverty</w:t>
      </w:r>
      <w:r w:rsidRPr="00EA1CD8">
        <w:rPr>
          <w:rFonts w:cs="Arial"/>
          <w:lang w:val="en-US"/>
        </w:rPr>
        <w:t xml:space="preserve"> of both institutional actors </w:t>
      </w:r>
      <w:r w:rsidRPr="00EA1CD8">
        <w:rPr>
          <w:rStyle w:val="hps"/>
          <w:rFonts w:cs="Arial"/>
          <w:lang w:val="en-US"/>
        </w:rPr>
        <w:t xml:space="preserve">(e.g. </w:t>
      </w:r>
      <w:r w:rsidRPr="00EA1CD8">
        <w:rPr>
          <w:rFonts w:cs="Arial"/>
          <w:lang w:val="en-US"/>
        </w:rPr>
        <w:t xml:space="preserve">municipalities, central and </w:t>
      </w:r>
      <w:r w:rsidRPr="00EA1CD8">
        <w:rPr>
          <w:rStyle w:val="hps"/>
          <w:rFonts w:cs="Arial"/>
          <w:lang w:val="en-US"/>
        </w:rPr>
        <w:t>local authorities</w:t>
      </w:r>
      <w:r w:rsidRPr="00EA1CD8">
        <w:rPr>
          <w:rFonts w:cs="Arial"/>
          <w:lang w:val="en-US"/>
        </w:rPr>
        <w:t xml:space="preserve">, the Church of Greece etc.) and </w:t>
      </w:r>
      <w:r w:rsidRPr="00EA1CD8">
        <w:rPr>
          <w:rStyle w:val="hps"/>
          <w:rFonts w:cs="Arial"/>
          <w:lang w:val="en-US"/>
        </w:rPr>
        <w:t>actors of the civic sector (NGOs).</w:t>
      </w:r>
      <w:r>
        <w:rPr>
          <w:rStyle w:val="hps"/>
          <w:rFonts w:cs="Arial"/>
          <w:lang w:val="en-US"/>
        </w:rPr>
        <w:t xml:space="preserve"> I</w:t>
      </w:r>
      <w:r w:rsidRPr="00EA1CD8">
        <w:rPr>
          <w:rStyle w:val="hps"/>
          <w:rFonts w:cs="Arial"/>
          <w:lang w:val="en-US"/>
        </w:rPr>
        <w:t>n all cases of institutional</w:t>
      </w:r>
      <w:r w:rsidRPr="00EA1CD8">
        <w:rPr>
          <w:rFonts w:cs="Arial"/>
          <w:lang w:val="en-US"/>
        </w:rPr>
        <w:t xml:space="preserve"> </w:t>
      </w:r>
      <w:r w:rsidRPr="00EA1CD8">
        <w:rPr>
          <w:rStyle w:val="hps"/>
          <w:rFonts w:cs="Arial"/>
          <w:lang w:val="en-US"/>
        </w:rPr>
        <w:t>and non-institutional</w:t>
      </w:r>
      <w:r w:rsidRPr="00EA1CD8">
        <w:rPr>
          <w:rFonts w:cs="Arial"/>
          <w:lang w:val="en-US"/>
        </w:rPr>
        <w:t xml:space="preserve"> </w:t>
      </w:r>
      <w:r w:rsidRPr="00EA1CD8">
        <w:rPr>
          <w:rStyle w:val="hps"/>
          <w:rFonts w:cs="Arial"/>
          <w:lang w:val="en-US"/>
        </w:rPr>
        <w:t>interventions, policies are focusing on vulnerable social</w:t>
      </w:r>
      <w:r w:rsidRPr="00EA1CD8">
        <w:rPr>
          <w:rFonts w:cs="Arial"/>
          <w:lang w:val="en-US"/>
        </w:rPr>
        <w:t xml:space="preserve"> </w:t>
      </w:r>
      <w:r w:rsidRPr="00EA1CD8">
        <w:rPr>
          <w:rStyle w:val="hps"/>
          <w:rFonts w:cs="Arial"/>
          <w:lang w:val="en-US"/>
        </w:rPr>
        <w:t>groups facing</w:t>
      </w:r>
      <w:r w:rsidRPr="00EA1CD8">
        <w:rPr>
          <w:rFonts w:cs="Arial"/>
          <w:lang w:val="en-US"/>
        </w:rPr>
        <w:t xml:space="preserve"> </w:t>
      </w:r>
      <w:r w:rsidRPr="00EA1CD8">
        <w:rPr>
          <w:rStyle w:val="hps"/>
          <w:rFonts w:cs="Arial"/>
          <w:lang w:val="en-US"/>
        </w:rPr>
        <w:t>serious</w:t>
      </w:r>
      <w:r w:rsidRPr="00EA1CD8">
        <w:rPr>
          <w:rFonts w:cs="Arial"/>
          <w:lang w:val="en-US"/>
        </w:rPr>
        <w:t xml:space="preserve"> </w:t>
      </w:r>
      <w:r w:rsidRPr="00EA1CD8">
        <w:rPr>
          <w:rStyle w:val="hps"/>
          <w:rFonts w:cs="Arial"/>
          <w:lang w:val="en-US"/>
        </w:rPr>
        <w:t>survival problems</w:t>
      </w:r>
      <w:r w:rsidRPr="00EA1CD8">
        <w:rPr>
          <w:rFonts w:cs="Arial"/>
          <w:lang w:val="en-US"/>
        </w:rPr>
        <w:t xml:space="preserve"> </w:t>
      </w:r>
      <w:r w:rsidRPr="00EA1CD8">
        <w:rPr>
          <w:rStyle w:val="hps"/>
          <w:rFonts w:cs="Arial"/>
          <w:lang w:val="en-US"/>
        </w:rPr>
        <w:t>(homeless</w:t>
      </w:r>
      <w:r w:rsidRPr="00EA1CD8">
        <w:rPr>
          <w:rFonts w:cs="Arial"/>
          <w:lang w:val="en-US"/>
        </w:rPr>
        <w:t xml:space="preserve">, unemployed, not </w:t>
      </w:r>
      <w:r w:rsidRPr="00EA1CD8">
        <w:rPr>
          <w:rStyle w:val="hps"/>
          <w:rFonts w:cs="Arial"/>
          <w:lang w:val="en-US"/>
        </w:rPr>
        <w:t>insured population,</w:t>
      </w:r>
      <w:r w:rsidRPr="00EA1CD8">
        <w:rPr>
          <w:rFonts w:cs="Arial"/>
          <w:lang w:val="en-US"/>
        </w:rPr>
        <w:t xml:space="preserve"> </w:t>
      </w:r>
      <w:r w:rsidRPr="00EA1CD8">
        <w:rPr>
          <w:rStyle w:val="hps"/>
          <w:rFonts w:cs="Arial"/>
          <w:lang w:val="en-US"/>
        </w:rPr>
        <w:t>people</w:t>
      </w:r>
      <w:r w:rsidRPr="00EA1CD8">
        <w:rPr>
          <w:rFonts w:cs="Arial"/>
          <w:lang w:val="en-US"/>
        </w:rPr>
        <w:t xml:space="preserve"> </w:t>
      </w:r>
      <w:r w:rsidRPr="00EA1CD8">
        <w:rPr>
          <w:rStyle w:val="hps"/>
          <w:rFonts w:cs="Arial"/>
          <w:lang w:val="en-US"/>
        </w:rPr>
        <w:t>with severe</w:t>
      </w:r>
      <w:r w:rsidRPr="00EA1CD8">
        <w:rPr>
          <w:rFonts w:cs="Arial"/>
          <w:lang w:val="en-US"/>
        </w:rPr>
        <w:t xml:space="preserve"> </w:t>
      </w:r>
      <w:r w:rsidRPr="00EA1CD8">
        <w:rPr>
          <w:rStyle w:val="hps"/>
          <w:rFonts w:cs="Arial"/>
          <w:lang w:val="en-US"/>
        </w:rPr>
        <w:t>mental health problems</w:t>
      </w:r>
      <w:r w:rsidRPr="00EA1CD8">
        <w:rPr>
          <w:rFonts w:cs="Arial"/>
          <w:lang w:val="en-US"/>
        </w:rPr>
        <w:t xml:space="preserve">, migrants, single parent </w:t>
      </w:r>
      <w:r w:rsidRPr="00EA1CD8">
        <w:rPr>
          <w:rStyle w:val="hps"/>
          <w:rFonts w:cs="Arial"/>
          <w:lang w:val="en-US"/>
        </w:rPr>
        <w:t>families,</w:t>
      </w:r>
      <w:r w:rsidRPr="00EA1CD8">
        <w:rPr>
          <w:rFonts w:cs="Arial"/>
          <w:lang w:val="en-US"/>
        </w:rPr>
        <w:t xml:space="preserve"> </w:t>
      </w:r>
      <w:r w:rsidRPr="00EA1CD8">
        <w:rPr>
          <w:rStyle w:val="hps"/>
          <w:rFonts w:cs="Arial"/>
          <w:lang w:val="en-US"/>
        </w:rPr>
        <w:t>etc.</w:t>
      </w:r>
      <w:r w:rsidRPr="00EA1CD8">
        <w:rPr>
          <w:rFonts w:cs="Arial"/>
          <w:lang w:val="en-US"/>
        </w:rPr>
        <w:t>).</w:t>
      </w:r>
    </w:p>
    <w:p w:rsidR="00650351" w:rsidRDefault="00650351" w:rsidP="00AC787C">
      <w:pPr>
        <w:spacing w:after="120" w:line="276" w:lineRule="auto"/>
      </w:pPr>
      <w:r w:rsidRPr="00971106">
        <w:rPr>
          <w:rFonts w:cs="Arial"/>
          <w:lang w:val="en-US"/>
        </w:rPr>
        <w:t>Municipal authorities</w:t>
      </w:r>
      <w:r w:rsidRPr="006C0395">
        <w:rPr>
          <w:rFonts w:cs="Arial"/>
          <w:b/>
          <w:lang w:val="en-US"/>
        </w:rPr>
        <w:t xml:space="preserve"> </w:t>
      </w:r>
      <w:r>
        <w:rPr>
          <w:rFonts w:cs="Arial"/>
          <w:lang w:val="en-US"/>
        </w:rPr>
        <w:t xml:space="preserve">in Attiki proved rather unready to face the social impact of the crisis. Diachronic deficiencies of municipal politics (clientelism, mismanagement and corruption) and limited financial resources had disorganized municipal social services during the last two decades.    </w:t>
      </w:r>
    </w:p>
    <w:p w:rsidR="00650351" w:rsidRDefault="00650351" w:rsidP="00AC787C">
      <w:pPr>
        <w:spacing w:line="276" w:lineRule="auto"/>
        <w:rPr>
          <w:rFonts w:cs="Arial"/>
          <w:szCs w:val="22"/>
        </w:rPr>
      </w:pPr>
      <w:r>
        <w:rPr>
          <w:rFonts w:cs="Arial"/>
          <w:szCs w:val="22"/>
        </w:rPr>
        <w:t xml:space="preserve">The interview with </w:t>
      </w:r>
      <w:r w:rsidRPr="00704AC7">
        <w:rPr>
          <w:rFonts w:cs="Arial"/>
          <w:szCs w:val="22"/>
        </w:rPr>
        <w:t>FG</w:t>
      </w:r>
      <w:r>
        <w:rPr>
          <w:rFonts w:cs="Arial"/>
          <w:szCs w:val="22"/>
        </w:rPr>
        <w:t xml:space="preserve">, social worker at the Municipality of Athens, offers some clues on these processes. FG is particularly critical towards what she describes as “deconstruction” of municipal social services during the last two decades. Being at the end of her career, she expresses her ideas quite freely and particularly her frustration about the Municipality’s incapacity to fulfil its mission to face immediate social needs of vulnerable citizens. </w:t>
      </w:r>
    </w:p>
    <w:p w:rsidR="00650351" w:rsidRPr="00704AC7" w:rsidRDefault="00FB583F" w:rsidP="00AC787C">
      <w:pPr>
        <w:spacing w:line="276" w:lineRule="auto"/>
        <w:rPr>
          <w:rFonts w:cs="Arial"/>
          <w:szCs w:val="22"/>
        </w:rPr>
      </w:pPr>
      <w:r>
        <w:rPr>
          <w:rFonts w:cs="Arial"/>
          <w:szCs w:val="22"/>
        </w:rPr>
        <w:t>As a first indication</w:t>
      </w:r>
      <w:r w:rsidR="00650351">
        <w:rPr>
          <w:rFonts w:cs="Arial"/>
          <w:szCs w:val="22"/>
        </w:rPr>
        <w:t xml:space="preserve"> of disorganization, FG stresses that the </w:t>
      </w:r>
      <w:r w:rsidR="00650351" w:rsidRPr="00704AC7">
        <w:rPr>
          <w:rFonts w:cs="Arial"/>
          <w:szCs w:val="22"/>
        </w:rPr>
        <w:t xml:space="preserve">number of </w:t>
      </w:r>
      <w:r w:rsidR="00650351">
        <w:rPr>
          <w:rFonts w:cs="Arial"/>
          <w:szCs w:val="22"/>
        </w:rPr>
        <w:t xml:space="preserve">municipal </w:t>
      </w:r>
      <w:r w:rsidR="00650351" w:rsidRPr="00704AC7">
        <w:rPr>
          <w:rFonts w:cs="Arial"/>
          <w:szCs w:val="22"/>
        </w:rPr>
        <w:t>social workers reduced substantially</w:t>
      </w:r>
      <w:r w:rsidR="00650351">
        <w:rPr>
          <w:rFonts w:cs="Arial"/>
          <w:szCs w:val="22"/>
        </w:rPr>
        <w:t xml:space="preserve"> during the last two decades. This has been</w:t>
      </w:r>
      <w:r w:rsidR="00650351" w:rsidRPr="00704AC7">
        <w:rPr>
          <w:rFonts w:cs="Arial"/>
          <w:szCs w:val="22"/>
        </w:rPr>
        <w:t xml:space="preserve"> mainly a result of clientelistic practices which fostered the hiring of non specialized staff:</w:t>
      </w:r>
    </w:p>
    <w:p w:rsidR="00650351" w:rsidRPr="00AC787C" w:rsidRDefault="00650351" w:rsidP="00AC787C">
      <w:pPr>
        <w:spacing w:before="240" w:after="240" w:line="240" w:lineRule="auto"/>
        <w:ind w:left="567"/>
      </w:pPr>
      <w:r w:rsidRPr="00AC787C">
        <w:t>“FG: We are aware that the scientific personnel of the Municipality of Athens is 2%. All the rest are mostly primary school graduates. That was the concept. They [</w:t>
      </w:r>
      <w:r w:rsidR="00940EEB" w:rsidRPr="00AC787C">
        <w:t>politicians</w:t>
      </w:r>
      <w:r w:rsidRPr="00AC787C">
        <w:t xml:space="preserve">] could manipulate these people, [so] they got them into the public sector. They were not interested in the scientific personnel. In my department [Organization of Youth and Sports] there were 69 positions [to be occupied by social workers] according to the old </w:t>
      </w:r>
      <w:r w:rsidR="00801BA5" w:rsidRPr="00AC787C">
        <w:t>Figure</w:t>
      </w:r>
      <w:r w:rsidRPr="00AC787C">
        <w:t xml:space="preserve"> and they reduced them to two. Two positions for social workers in the largest Municipality of Greece? The professionals [i.e. social workers] left the Organization of Youth and the positions remained vaccant. And they [the municipal authorities] got in cleaners etc. who are better paid than we are, because they are supposed to work overtime etc. </w:t>
      </w:r>
    </w:p>
    <w:p w:rsidR="00650351" w:rsidRPr="00AC787C" w:rsidRDefault="00650351" w:rsidP="00AC787C">
      <w:pPr>
        <w:spacing w:before="240" w:after="240" w:line="240" w:lineRule="auto"/>
        <w:ind w:left="567"/>
      </w:pPr>
      <w:r w:rsidRPr="00AC787C">
        <w:t xml:space="preserve">R [Researcher]: That means that the social services have shrunk. </w:t>
      </w:r>
    </w:p>
    <w:p w:rsidR="00650351" w:rsidRPr="00AC787C" w:rsidRDefault="00650351" w:rsidP="00AC787C">
      <w:pPr>
        <w:spacing w:before="240" w:after="240" w:line="240" w:lineRule="auto"/>
        <w:ind w:left="567"/>
      </w:pPr>
      <w:r w:rsidRPr="00AC787C">
        <w:t xml:space="preserve">FG: This is not new! This has been taking place since years. Beis [Mayor of Athens during the 1980s] had organized social services, 25 years ago, with </w:t>
      </w:r>
      <w:r w:rsidRPr="00AC787C">
        <w:lastRenderedPageBreak/>
        <w:t>parents schools of very high standards, of that time, and since then all this has been entirely deconstructed.” (FG, social worker, 18/10/2012).</w:t>
      </w:r>
    </w:p>
    <w:p w:rsidR="00650351" w:rsidRPr="00704AC7" w:rsidRDefault="00650351" w:rsidP="00AC787C">
      <w:pPr>
        <w:spacing w:line="276" w:lineRule="auto"/>
        <w:rPr>
          <w:rFonts w:cs="Arial"/>
          <w:szCs w:val="22"/>
        </w:rPr>
      </w:pPr>
      <w:r w:rsidRPr="00704AC7">
        <w:rPr>
          <w:rFonts w:cs="Arial"/>
          <w:szCs w:val="22"/>
        </w:rPr>
        <w:t xml:space="preserve">At the same time, as FG argues, the NGOs have been a competitive in providing social services which attracted significant municipal economic resources against the financing of municipal social services themselves. Here again, clientelism prevailed, this time in the relations of the municipal political staff with the NGOs: </w:t>
      </w:r>
    </w:p>
    <w:p w:rsidR="00650351" w:rsidRPr="00AC787C" w:rsidRDefault="00650351" w:rsidP="00AC787C">
      <w:pPr>
        <w:spacing w:before="240" w:after="240" w:line="240" w:lineRule="auto"/>
        <w:ind w:left="567"/>
      </w:pPr>
      <w:r w:rsidRPr="00AC787C">
        <w:t xml:space="preserve">“FG: I think that the NGOs run in parallel with the public sector and serve some… I’m not suspicious. I’m very sceptical about these organizations, regarding the money that they raise and the way that they spend them without control etc. I mean, I have found during my duty that there has been an economic abundance and… </w:t>
      </w:r>
    </w:p>
    <w:p w:rsidR="00650351" w:rsidRPr="00AC787C" w:rsidRDefault="00650351" w:rsidP="00AC787C">
      <w:pPr>
        <w:spacing w:before="240" w:after="240" w:line="240" w:lineRule="auto"/>
        <w:ind w:left="567"/>
      </w:pPr>
      <w:r w:rsidRPr="00AC787C">
        <w:t xml:space="preserve">R: That means that they have </w:t>
      </w:r>
      <w:r w:rsidR="008060CF" w:rsidRPr="00AC787C">
        <w:t>handled</w:t>
      </w:r>
      <w:r w:rsidRPr="00AC787C">
        <w:t xml:space="preserve"> a lot of money. </w:t>
      </w:r>
    </w:p>
    <w:p w:rsidR="00650351" w:rsidRPr="00AC787C" w:rsidRDefault="00650351" w:rsidP="00AC787C">
      <w:pPr>
        <w:spacing w:before="240" w:after="240" w:line="240" w:lineRule="auto"/>
        <w:ind w:left="567"/>
      </w:pPr>
      <w:r w:rsidRPr="00AC787C">
        <w:t>FG: Too much money (with emphasis). I think that the NGOs have been a cover for other things. Yes, they do some things, but beyond that… And although I’m a volunteer, I have never been a NGO member. I have been for several years a volunteer in associations which have nothing to do [with NGOs], and are not financed by the public sector.” (FG, social worker, 18/10/2012).</w:t>
      </w:r>
    </w:p>
    <w:p w:rsidR="00650351" w:rsidRDefault="00650351" w:rsidP="00AC787C">
      <w:pPr>
        <w:spacing w:line="276" w:lineRule="auto"/>
        <w:rPr>
          <w:rFonts w:cs="Arial"/>
          <w:szCs w:val="22"/>
        </w:rPr>
      </w:pPr>
      <w:r w:rsidRPr="00704AC7">
        <w:rPr>
          <w:rFonts w:cs="Arial"/>
          <w:szCs w:val="22"/>
        </w:rPr>
        <w:t>The lack of specialized staff and the shrinkage of municipal social services had, according to FG, a double outcome: First, the Municipality does not play the role it could play in the provision of social services that satisfy the immediate needs of poor and excluded persons of the city. Actually, the Greek-orthodox Church and a number of NGOs develop activities, like food supply, collection and distribution of cloths etc. that could be undertaken by the Municipality in association with volunteers and local communities. Second, the lack of specialized staff does not only entail reduced social services, but also acts per se as a mechanism of reproduction of social exclusion. FG notices that when the non-specialized employees of the Municipality get in touch with excluded groups, like immigrants and homeless people, they “do not know how to behave” or even they express sentiments of abomination and dislike.</w:t>
      </w:r>
    </w:p>
    <w:p w:rsidR="00650351" w:rsidRPr="00704AC7" w:rsidRDefault="00650351" w:rsidP="00AC787C">
      <w:pPr>
        <w:spacing w:line="276" w:lineRule="auto"/>
        <w:rPr>
          <w:rFonts w:cs="Arial"/>
          <w:szCs w:val="22"/>
        </w:rPr>
      </w:pPr>
      <w:r>
        <w:rPr>
          <w:rFonts w:cs="Arial"/>
          <w:szCs w:val="22"/>
        </w:rPr>
        <w:t>The disorganization of municipal so</w:t>
      </w:r>
      <w:r w:rsidR="00940EEB">
        <w:rPr>
          <w:rFonts w:cs="Arial"/>
          <w:szCs w:val="22"/>
        </w:rPr>
        <w:t>cial policy mechanisms led to</w:t>
      </w:r>
      <w:r>
        <w:rPr>
          <w:rFonts w:cs="Arial"/>
          <w:szCs w:val="22"/>
        </w:rPr>
        <w:t xml:space="preserve"> e</w:t>
      </w:r>
      <w:r w:rsidRPr="00704AC7">
        <w:rPr>
          <w:rFonts w:cs="Arial"/>
          <w:szCs w:val="22"/>
        </w:rPr>
        <w:t>xperimentation</w:t>
      </w:r>
      <w:r w:rsidR="00940EEB">
        <w:rPr>
          <w:rFonts w:cs="Arial"/>
          <w:szCs w:val="22"/>
        </w:rPr>
        <w:t>s</w:t>
      </w:r>
      <w:r w:rsidRPr="00704AC7">
        <w:rPr>
          <w:rFonts w:cs="Arial"/>
          <w:szCs w:val="22"/>
        </w:rPr>
        <w:t xml:space="preserve"> for the implementation of social services</w:t>
      </w:r>
      <w:r>
        <w:rPr>
          <w:rFonts w:cs="Arial"/>
          <w:szCs w:val="22"/>
        </w:rPr>
        <w:t xml:space="preserve"> of different type. T</w:t>
      </w:r>
      <w:r w:rsidRPr="00704AC7">
        <w:rPr>
          <w:rFonts w:cs="Arial"/>
          <w:szCs w:val="22"/>
        </w:rPr>
        <w:t xml:space="preserve">he case of the </w:t>
      </w:r>
      <w:r w:rsidR="00FC692D" w:rsidRPr="00704AC7">
        <w:rPr>
          <w:rFonts w:cs="Arial"/>
          <w:szCs w:val="22"/>
        </w:rPr>
        <w:t>Centre</w:t>
      </w:r>
      <w:r w:rsidRPr="00704AC7">
        <w:rPr>
          <w:rFonts w:cs="Arial"/>
          <w:szCs w:val="22"/>
        </w:rPr>
        <w:t xml:space="preserve"> of Reception and Solidarity of Municipality of Athens (KYADA) represents a case of a “new”, less centralized type of provision of social services. KYADA is a</w:t>
      </w:r>
      <w:r w:rsidR="00940EEB">
        <w:rPr>
          <w:rFonts w:cs="Arial"/>
          <w:szCs w:val="22"/>
        </w:rPr>
        <w:t xml:space="preserve"> autonomous</w:t>
      </w:r>
      <w:r w:rsidRPr="00704AC7">
        <w:rPr>
          <w:rFonts w:cs="Arial"/>
          <w:szCs w:val="22"/>
        </w:rPr>
        <w:t xml:space="preserve"> public agency supervised</w:t>
      </w:r>
      <w:r w:rsidR="00940EEB">
        <w:rPr>
          <w:rFonts w:cs="Arial"/>
          <w:szCs w:val="22"/>
        </w:rPr>
        <w:t xml:space="preserve"> by the Municipality. It provides</w:t>
      </w:r>
      <w:r w:rsidRPr="00704AC7">
        <w:rPr>
          <w:rFonts w:cs="Arial"/>
          <w:szCs w:val="22"/>
        </w:rPr>
        <w:t xml:space="preserve"> services to homeless people and poor families</w:t>
      </w:r>
      <w:r w:rsidR="00940EEB">
        <w:rPr>
          <w:rFonts w:cs="Arial"/>
          <w:szCs w:val="22"/>
        </w:rPr>
        <w:t>, including</w:t>
      </w:r>
      <w:r w:rsidRPr="00704AC7">
        <w:rPr>
          <w:rFonts w:cs="Arial"/>
          <w:szCs w:val="22"/>
        </w:rPr>
        <w:t xml:space="preserve"> provision of meals, cloths and other basic commodities, as well as short-term hosting in shelters. Distribution of goods takes place into two buildings which are owned by KYADA, while the infrastructure of the </w:t>
      </w:r>
      <w:r w:rsidR="00FC692D" w:rsidRPr="00704AC7">
        <w:rPr>
          <w:rFonts w:cs="Arial"/>
          <w:szCs w:val="22"/>
        </w:rPr>
        <w:t>Centre</w:t>
      </w:r>
      <w:r w:rsidRPr="00704AC7">
        <w:rPr>
          <w:rFonts w:cs="Arial"/>
          <w:szCs w:val="22"/>
        </w:rPr>
        <w:t xml:space="preserve"> also includes two shelters (one owned and one rented) and a “social store” for cloths. All services are located in the city</w:t>
      </w:r>
      <w:r w:rsidR="00940EEB">
        <w:rPr>
          <w:rFonts w:cs="Arial"/>
          <w:szCs w:val="22"/>
        </w:rPr>
        <w:t xml:space="preserve"> centre</w:t>
      </w:r>
      <w:r w:rsidRPr="00704AC7">
        <w:rPr>
          <w:rFonts w:cs="Arial"/>
          <w:szCs w:val="22"/>
        </w:rPr>
        <w:t xml:space="preserve">. During the winter, KYADA is also responsible for ad hoc operations of shelter provision to homeless people. There are about 600-700 individuals who benefit from the everyday food provision, while KYADA also maintains a list of about 100 poor families which receive basic commodities from the “social mini market” and the ad hoc distribution of goods. KYADA employs ten permanent employees and thirty-three temporary ones.   </w:t>
      </w:r>
    </w:p>
    <w:p w:rsidR="00650351" w:rsidRPr="00704AC7" w:rsidRDefault="00650351" w:rsidP="00AC787C">
      <w:pPr>
        <w:spacing w:line="276" w:lineRule="auto"/>
        <w:rPr>
          <w:rFonts w:cs="Arial"/>
          <w:szCs w:val="22"/>
        </w:rPr>
      </w:pPr>
      <w:r w:rsidRPr="00704AC7">
        <w:rPr>
          <w:rFonts w:cs="Arial"/>
          <w:szCs w:val="22"/>
        </w:rPr>
        <w:lastRenderedPageBreak/>
        <w:t xml:space="preserve">The KYADA receives an annual subvention by the Municipality of Athens. But what characterizes KYADA is its capacity to attract sponsorships from the private sector and donations from associations and individuals. Two of the buildings </w:t>
      </w:r>
      <w:r w:rsidR="00940EEB">
        <w:rPr>
          <w:rFonts w:cs="Arial"/>
          <w:szCs w:val="22"/>
        </w:rPr>
        <w:t>owned</w:t>
      </w:r>
      <w:r w:rsidRPr="00704AC7">
        <w:rPr>
          <w:rFonts w:cs="Arial"/>
          <w:szCs w:val="22"/>
        </w:rPr>
        <w:t xml:space="preserve"> by KYADA </w:t>
      </w:r>
      <w:r w:rsidR="00940EEB">
        <w:rPr>
          <w:rFonts w:cs="Arial"/>
          <w:szCs w:val="22"/>
        </w:rPr>
        <w:t>were bought as a result of private donations</w:t>
      </w:r>
      <w:r w:rsidRPr="00704AC7">
        <w:rPr>
          <w:rFonts w:cs="Arial"/>
          <w:szCs w:val="22"/>
        </w:rPr>
        <w:t xml:space="preserve">. The renovation of one of the buildings </w:t>
      </w:r>
      <w:r w:rsidR="00940EEB">
        <w:rPr>
          <w:rFonts w:cs="Arial"/>
          <w:szCs w:val="22"/>
        </w:rPr>
        <w:t>was</w:t>
      </w:r>
      <w:r w:rsidRPr="00704AC7">
        <w:rPr>
          <w:rFonts w:cs="Arial"/>
          <w:szCs w:val="22"/>
        </w:rPr>
        <w:t xml:space="preserve"> financed by one of the largest telecommunication companies. The main installation of the </w:t>
      </w:r>
      <w:r w:rsidR="00FC692D" w:rsidRPr="00704AC7">
        <w:rPr>
          <w:rFonts w:cs="Arial"/>
          <w:szCs w:val="22"/>
        </w:rPr>
        <w:t>Centre</w:t>
      </w:r>
      <w:r w:rsidRPr="00704AC7">
        <w:rPr>
          <w:rFonts w:cs="Arial"/>
          <w:szCs w:val="22"/>
        </w:rPr>
        <w:t xml:space="preserve"> hosts a “social mini market” which is sponsored and operated by a multinational super market chain. Large businesses sponsor the various cultural events organized by the KYADA, in order to collect money and food for the poor and the homeless. Members of an association for the social reintegration of individuals who have been inmates of psychiatric clinics contribute to KYADA a</w:t>
      </w:r>
      <w:r w:rsidR="00940EEB">
        <w:rPr>
          <w:rFonts w:cs="Arial"/>
          <w:szCs w:val="22"/>
        </w:rPr>
        <w:t xml:space="preserve">ctivities as volunteers. Last, </w:t>
      </w:r>
      <w:r w:rsidRPr="00704AC7">
        <w:rPr>
          <w:rFonts w:cs="Arial"/>
          <w:szCs w:val="22"/>
        </w:rPr>
        <w:t>KYADA is, along with a number of NGOs, a member of the Network of the Right to Housing which aims at fostering political issues related to homelessness.</w:t>
      </w:r>
    </w:p>
    <w:p w:rsidR="00650351" w:rsidRPr="00704AC7" w:rsidRDefault="00650351" w:rsidP="00AC787C">
      <w:pPr>
        <w:spacing w:line="276" w:lineRule="auto"/>
        <w:rPr>
          <w:rFonts w:cs="Arial"/>
          <w:szCs w:val="22"/>
        </w:rPr>
      </w:pPr>
      <w:r w:rsidRPr="00704AC7">
        <w:rPr>
          <w:rFonts w:cs="Arial"/>
          <w:szCs w:val="22"/>
        </w:rPr>
        <w:t xml:space="preserve">The KYADA’s services contribute to the relief of material deprivation and homelessness, but, as </w:t>
      </w:r>
      <w:r>
        <w:rPr>
          <w:rFonts w:cs="Arial"/>
          <w:szCs w:val="22"/>
        </w:rPr>
        <w:t xml:space="preserve">its vice-president </w:t>
      </w:r>
      <w:r w:rsidRPr="00704AC7">
        <w:rPr>
          <w:rFonts w:cs="Arial"/>
          <w:szCs w:val="22"/>
        </w:rPr>
        <w:t>stresses</w:t>
      </w:r>
      <w:r>
        <w:rPr>
          <w:rFonts w:cs="Arial"/>
          <w:szCs w:val="22"/>
        </w:rPr>
        <w:t xml:space="preserve"> (AR, vice-president of KYADA, 25/10/2013),</w:t>
      </w:r>
      <w:r w:rsidRPr="00704AC7">
        <w:rPr>
          <w:rFonts w:cs="Arial"/>
          <w:szCs w:val="22"/>
        </w:rPr>
        <w:t xml:space="preserve"> its success to social re-integration is more doubtable. Characteristically, although individuals hosted in KYADA’s shelters are supposed to stay for a period of maximum 6 months, they turn to be long-term residents as the reintegration process fails. </w:t>
      </w:r>
    </w:p>
    <w:p w:rsidR="00650351" w:rsidRPr="00704AC7" w:rsidRDefault="00650351" w:rsidP="00AC787C">
      <w:pPr>
        <w:spacing w:line="276" w:lineRule="auto"/>
        <w:rPr>
          <w:rFonts w:cs="Arial"/>
          <w:szCs w:val="22"/>
        </w:rPr>
      </w:pPr>
      <w:r w:rsidRPr="00704AC7">
        <w:rPr>
          <w:rFonts w:cs="Arial"/>
          <w:szCs w:val="22"/>
        </w:rPr>
        <w:t xml:space="preserve">Access in KYADA’s services is somewhat limited by legislation which forbids shelter provision to undocumented immigrants. Furthermore, one of the KYADA’s shelters operates under the conditions associated to its donation by an individual according to which its residents have to be poor individuals older than 65. Last, despite KYADA’s institutional openness, discrimination against immigrants appears also in everyday micro-practices. As AR describes:   </w:t>
      </w:r>
    </w:p>
    <w:p w:rsidR="00650351" w:rsidRPr="00AC787C" w:rsidRDefault="00650351" w:rsidP="00AC787C">
      <w:pPr>
        <w:spacing w:before="240" w:after="240" w:line="240" w:lineRule="auto"/>
        <w:ind w:left="567"/>
      </w:pPr>
      <w:r w:rsidRPr="00AC787C">
        <w:t>[about food provision] “Junkies, immigrants, criminals get in, everybody will eat, there is no element of racism. There is “racism”, in quotes, at a micro-level. An employee may serve first a Greek and then the immigrant, this is something that we cannot control, I’m not there during the dinner. But everybody is welcome” (AR, vice-president of KYADA, 25/10/2012).</w:t>
      </w:r>
    </w:p>
    <w:p w:rsidR="00650351" w:rsidRPr="00AC787C" w:rsidRDefault="00650351" w:rsidP="00AC787C">
      <w:pPr>
        <w:spacing w:before="240" w:after="240" w:line="240" w:lineRule="auto"/>
        <w:ind w:left="567"/>
      </w:pPr>
      <w:r w:rsidRPr="00AC787C">
        <w:t>[about the access of immigrants to the shelters] “It is not prohibited to get them [the immigrants] in the shelter, but you know what is happening, there a problem between them [the immigrants and the natives]. If there are five extreme right-wingers, what will happen to the Pakistani? The others will beat him. There will be a problem between them. We do have foreigners [in the shelters]. We had an Egyptian, an Italian woman and a Romanian, I think, into the shelters, who were living in harmon</w:t>
      </w:r>
      <w:r w:rsidR="009378DA">
        <w:t>y, there were not problems, but w</w:t>
      </w:r>
      <w:r w:rsidRPr="00AC787C">
        <w:t>e are afraid; the coexistence is an issue for us. Because the KYADA has no relations with racism, n</w:t>
      </w:r>
      <w:r w:rsidR="00940EEB" w:rsidRPr="00AC787C">
        <w:t>ot for a joke, there is no case.</w:t>
      </w:r>
      <w:r w:rsidRPr="00AC787C">
        <w:t>” (AR, vice-president of KYADA, 25/10/2012).</w:t>
      </w:r>
    </w:p>
    <w:p w:rsidR="00650351" w:rsidRPr="00704AC7" w:rsidRDefault="00650351" w:rsidP="00AC787C">
      <w:pPr>
        <w:spacing w:line="276" w:lineRule="auto"/>
        <w:rPr>
          <w:rFonts w:cs="Arial"/>
          <w:szCs w:val="22"/>
        </w:rPr>
      </w:pPr>
      <w:r w:rsidRPr="00704AC7">
        <w:rPr>
          <w:rFonts w:cs="Arial"/>
          <w:szCs w:val="22"/>
        </w:rPr>
        <w:t xml:space="preserve">The organizational logic of KYADA’s activity may be seen as the result of three conditions: First, the organization of municipal social services through a larger involvement of the private sector appears as an answer to the diachronic deficiencies of clientelism and mismanagement which characterize local politics and policies. The Mayor of Athens stressed this turn when he transferred an important part of the subvention given to the municipal radio station – the latter being criticized as typical </w:t>
      </w:r>
      <w:r w:rsidRPr="00704AC7">
        <w:rPr>
          <w:rFonts w:cs="Arial"/>
          <w:szCs w:val="22"/>
        </w:rPr>
        <w:lastRenderedPageBreak/>
        <w:t xml:space="preserve">terrain of clientelistic practices – to KYADA. Second, the KYADA is able to attract sponsorships and donations due to its specific task and geographical position. As the KYADA deals with the homeless and the poor of the capital of the country, it offers strong visibility opportunities to the businesses which desire to develop sponsorship activity. Third, we can also attribute KYADA’s inclination to the sponsorship and donation, at least in part, to the vice-president of the </w:t>
      </w:r>
      <w:r w:rsidR="00FC692D" w:rsidRPr="00704AC7">
        <w:rPr>
          <w:rFonts w:cs="Arial"/>
          <w:szCs w:val="22"/>
        </w:rPr>
        <w:t>Centre</w:t>
      </w:r>
      <w:r w:rsidRPr="00704AC7">
        <w:rPr>
          <w:rFonts w:cs="Arial"/>
          <w:szCs w:val="22"/>
        </w:rPr>
        <w:t xml:space="preserve">, AR, who has a rich experience in the third sector as a member of NGOs. </w:t>
      </w:r>
    </w:p>
    <w:p w:rsidR="00650351" w:rsidRDefault="00650351" w:rsidP="00AC787C">
      <w:pPr>
        <w:spacing w:line="276" w:lineRule="auto"/>
        <w:rPr>
          <w:rFonts w:cs="Arial"/>
          <w:szCs w:val="22"/>
        </w:rPr>
      </w:pPr>
      <w:r w:rsidRPr="00704AC7">
        <w:rPr>
          <w:rFonts w:cs="Arial"/>
          <w:szCs w:val="22"/>
        </w:rPr>
        <w:t xml:space="preserve">The </w:t>
      </w:r>
      <w:r w:rsidR="00FC692D" w:rsidRPr="00704AC7">
        <w:rPr>
          <w:rFonts w:cs="Arial"/>
          <w:szCs w:val="22"/>
        </w:rPr>
        <w:t>Centre</w:t>
      </w:r>
      <w:r w:rsidRPr="00704AC7">
        <w:rPr>
          <w:rFonts w:cs="Arial"/>
          <w:szCs w:val="22"/>
        </w:rPr>
        <w:t xml:space="preserve"> has until now </w:t>
      </w:r>
      <w:r w:rsidR="00FC692D" w:rsidRPr="00704AC7">
        <w:rPr>
          <w:rFonts w:cs="Arial"/>
          <w:szCs w:val="22"/>
        </w:rPr>
        <w:t>successfully</w:t>
      </w:r>
      <w:r w:rsidRPr="00704AC7">
        <w:rPr>
          <w:rFonts w:cs="Arial"/>
          <w:szCs w:val="22"/>
        </w:rPr>
        <w:t xml:space="preserve"> implemented the strategy of attracting sponsorships and donations and, from this point of view, it shows an “alternative” way of organizing social services at the local level. Furthermore, the involvement of the private sector offers additional economic resources in a context of reduced municipal budget; it could also contribute to the formation of more transparent mechanisms of social services against the traditional clientelistic practices. However, it can be argued that this model of organization of social services can only play a complementary role in the whole structure of municipal social policies. First, KYADA’s activity depends a lot on the energy and initiatives of individuals, like AR, who are active in the attraction of sponsors and the organization of various events. This dependence poses the question of the capacity of the </w:t>
      </w:r>
      <w:r w:rsidR="00FC692D" w:rsidRPr="00704AC7">
        <w:rPr>
          <w:rFonts w:cs="Arial"/>
          <w:szCs w:val="22"/>
        </w:rPr>
        <w:t>Centre</w:t>
      </w:r>
      <w:r w:rsidRPr="00704AC7">
        <w:rPr>
          <w:rFonts w:cs="Arial"/>
          <w:szCs w:val="22"/>
        </w:rPr>
        <w:t xml:space="preserve"> to function on the basis of donations and sponsorships regularly and in the long-term. Second, and most important, the KYADA is an emblematic institution which offers strong symbolic and moral benefits to sponsors. On the contrary, the bulk of more “ordinary” social services of the Municipality could not be as much attractive for sponsors.     </w:t>
      </w:r>
    </w:p>
    <w:p w:rsidR="00650351" w:rsidRDefault="00650351" w:rsidP="00AC787C">
      <w:pPr>
        <w:spacing w:after="120" w:line="276" w:lineRule="auto"/>
        <w:rPr>
          <w:rFonts w:cs="Arial"/>
          <w:lang w:val="en-US"/>
        </w:rPr>
      </w:pPr>
      <w:r>
        <w:rPr>
          <w:rStyle w:val="hps"/>
          <w:rFonts w:cs="Arial"/>
          <w:lang w:val="en-US"/>
        </w:rPr>
        <w:t xml:space="preserve">Another example of re-organization of municipal social action is that of the </w:t>
      </w:r>
      <w:r w:rsidRPr="00EA1CD8">
        <w:rPr>
          <w:rStyle w:val="hps"/>
          <w:rFonts w:cs="Arial"/>
          <w:lang w:val="en-US"/>
        </w:rPr>
        <w:t>Municipality</w:t>
      </w:r>
      <w:r w:rsidRPr="00EA1CD8">
        <w:rPr>
          <w:rFonts w:cs="Arial"/>
          <w:lang w:val="en-US"/>
        </w:rPr>
        <w:t xml:space="preserve"> of Hellinikon </w:t>
      </w:r>
      <w:r>
        <w:rPr>
          <w:rFonts w:cs="Arial"/>
          <w:lang w:val="en-US"/>
        </w:rPr>
        <w:t xml:space="preserve">whose main initiative is based on coordination of volunteers. </w:t>
      </w:r>
      <w:r w:rsidRPr="00EA1CD8">
        <w:rPr>
          <w:rStyle w:val="hps"/>
          <w:rFonts w:cs="Arial"/>
          <w:lang w:val="en-US"/>
        </w:rPr>
        <w:t xml:space="preserve">The </w:t>
      </w:r>
      <w:r>
        <w:rPr>
          <w:rStyle w:val="hps"/>
          <w:rFonts w:cs="Arial"/>
          <w:lang w:val="en-US"/>
        </w:rPr>
        <w:t>Municipality of Hellinikon launched during the crisis a ‘</w:t>
      </w:r>
      <w:r w:rsidRPr="00EA1CD8">
        <w:rPr>
          <w:rStyle w:val="hps"/>
          <w:rFonts w:cs="Arial"/>
          <w:lang w:val="en-US"/>
        </w:rPr>
        <w:t>social</w:t>
      </w:r>
      <w:r w:rsidRPr="00EA1CD8">
        <w:rPr>
          <w:rFonts w:cs="Arial"/>
          <w:lang w:val="en-US"/>
        </w:rPr>
        <w:t xml:space="preserve"> </w:t>
      </w:r>
      <w:r w:rsidRPr="00EA1CD8">
        <w:rPr>
          <w:rStyle w:val="hps"/>
          <w:rFonts w:cs="Arial"/>
          <w:lang w:val="en-US"/>
        </w:rPr>
        <w:t>dispensary</w:t>
      </w:r>
      <w:r>
        <w:rPr>
          <w:rStyle w:val="hps"/>
          <w:rFonts w:cs="Arial"/>
          <w:lang w:val="en-US"/>
        </w:rPr>
        <w:t xml:space="preserve">’ </w:t>
      </w:r>
      <w:r w:rsidRPr="00EA1CD8">
        <w:rPr>
          <w:rStyle w:val="hps"/>
          <w:rFonts w:cs="Arial"/>
          <w:lang w:val="en-US"/>
        </w:rPr>
        <w:t>that</w:t>
      </w:r>
      <w:r w:rsidRPr="00EA1CD8">
        <w:rPr>
          <w:rFonts w:cs="Arial"/>
          <w:lang w:val="en-US"/>
        </w:rPr>
        <w:t xml:space="preserve"> </w:t>
      </w:r>
      <w:r w:rsidRPr="00EA1CD8">
        <w:rPr>
          <w:rStyle w:val="hps"/>
          <w:rFonts w:cs="Arial"/>
          <w:lang w:val="en-US"/>
        </w:rPr>
        <w:t>relies on a</w:t>
      </w:r>
      <w:r w:rsidRPr="00EA1CD8">
        <w:rPr>
          <w:rFonts w:cs="Arial"/>
          <w:lang w:val="en-US"/>
        </w:rPr>
        <w:t xml:space="preserve"> </w:t>
      </w:r>
      <w:r w:rsidRPr="00EA1CD8">
        <w:rPr>
          <w:rStyle w:val="hps"/>
          <w:rFonts w:cs="Arial"/>
          <w:lang w:val="en-US"/>
        </w:rPr>
        <w:t>network of</w:t>
      </w:r>
      <w:r w:rsidRPr="00EA1CD8">
        <w:rPr>
          <w:rFonts w:cs="Arial"/>
          <w:lang w:val="en-US"/>
        </w:rPr>
        <w:t xml:space="preserve"> </w:t>
      </w:r>
      <w:r w:rsidRPr="00EA1CD8">
        <w:rPr>
          <w:rStyle w:val="hps"/>
          <w:rFonts w:cs="Arial"/>
          <w:lang w:val="en-US"/>
        </w:rPr>
        <w:t>volunteer</w:t>
      </w:r>
      <w:r w:rsidRPr="00EA1CD8">
        <w:rPr>
          <w:rFonts w:cs="Arial"/>
          <w:lang w:val="en-US"/>
        </w:rPr>
        <w:t xml:space="preserve"> doctors. It is</w:t>
      </w:r>
      <w:r w:rsidRPr="00EA1CD8">
        <w:rPr>
          <w:rStyle w:val="hps"/>
          <w:rFonts w:cs="Arial"/>
          <w:lang w:val="en-US"/>
        </w:rPr>
        <w:t xml:space="preserve"> operating since</w:t>
      </w:r>
      <w:r w:rsidRPr="00EA1CD8">
        <w:rPr>
          <w:rFonts w:cs="Arial"/>
          <w:lang w:val="en-US"/>
        </w:rPr>
        <w:t xml:space="preserve"> </w:t>
      </w:r>
      <w:r w:rsidRPr="00EA1CD8">
        <w:rPr>
          <w:rStyle w:val="hps"/>
          <w:rFonts w:cs="Arial"/>
          <w:lang w:val="en-US"/>
        </w:rPr>
        <w:t>early 2011,</w:t>
      </w:r>
      <w:r w:rsidRPr="00EA1CD8">
        <w:rPr>
          <w:rFonts w:cs="Arial"/>
          <w:lang w:val="en-US"/>
        </w:rPr>
        <w:t xml:space="preserve"> </w:t>
      </w:r>
      <w:r w:rsidRPr="00EA1CD8">
        <w:rPr>
          <w:rStyle w:val="hps"/>
          <w:rFonts w:cs="Arial"/>
          <w:lang w:val="en-US"/>
        </w:rPr>
        <w:t>including</w:t>
      </w:r>
      <w:r w:rsidRPr="00EA1CD8">
        <w:rPr>
          <w:rFonts w:cs="Arial"/>
          <w:lang w:val="en-US"/>
        </w:rPr>
        <w:t xml:space="preserve"> </w:t>
      </w:r>
      <w:r w:rsidRPr="00EA1CD8">
        <w:rPr>
          <w:rStyle w:val="hps"/>
          <w:rFonts w:cs="Arial"/>
          <w:lang w:val="en-US"/>
        </w:rPr>
        <w:t>almost all</w:t>
      </w:r>
      <w:r w:rsidRPr="00EA1CD8">
        <w:rPr>
          <w:rFonts w:cs="Arial"/>
          <w:lang w:val="en-US"/>
        </w:rPr>
        <w:t xml:space="preserve"> </w:t>
      </w:r>
      <w:r w:rsidRPr="00EA1CD8">
        <w:rPr>
          <w:rStyle w:val="hps"/>
          <w:rFonts w:cs="Arial"/>
          <w:lang w:val="en-US"/>
        </w:rPr>
        <w:t>medical specialties.</w:t>
      </w:r>
      <w:r w:rsidRPr="00EA1CD8">
        <w:rPr>
          <w:rFonts w:cs="Arial"/>
          <w:lang w:val="en-US"/>
        </w:rPr>
        <w:t xml:space="preserve"> The vice-mayor responsible for the </w:t>
      </w:r>
      <w:r w:rsidRPr="00EA1CD8">
        <w:rPr>
          <w:rStyle w:val="hps"/>
          <w:rFonts w:cs="Arial"/>
          <w:lang w:val="en-US"/>
        </w:rPr>
        <w:t>operation of the social dispensary has characteristically pointed out there</w:t>
      </w:r>
      <w:r w:rsidR="00801BA5">
        <w:rPr>
          <w:rStyle w:val="hps"/>
          <w:rFonts w:cs="Arial"/>
          <w:lang w:val="en-US"/>
        </w:rPr>
        <w:t xml:space="preserve"> </w:t>
      </w:r>
      <w:r w:rsidRPr="00EA1CD8">
        <w:rPr>
          <w:rStyle w:val="hps"/>
          <w:rFonts w:cs="Arial"/>
          <w:lang w:val="en-US"/>
        </w:rPr>
        <w:t>on</w:t>
      </w:r>
      <w:r w:rsidRPr="00EA1CD8">
        <w:rPr>
          <w:rFonts w:cs="Arial"/>
          <w:lang w:val="en-US"/>
        </w:rPr>
        <w:t>:</w:t>
      </w:r>
    </w:p>
    <w:p w:rsidR="00650351" w:rsidRPr="00AC787C" w:rsidRDefault="00650351" w:rsidP="00AC787C">
      <w:pPr>
        <w:spacing w:before="240" w:after="240" w:line="240" w:lineRule="auto"/>
        <w:ind w:left="567"/>
      </w:pPr>
      <w:r w:rsidRPr="00AC787C">
        <w:t>“We received a lot of requests for medical care from our citizens; these are rapidly increasing as the economic crisis deepens. The dramatic rise in unemployment has created a ‘whole army’ of uninsured people without</w:t>
      </w:r>
      <w:r w:rsidR="00012AD7" w:rsidRPr="00AC787C">
        <w:t xml:space="preserve"> </w:t>
      </w:r>
      <w:r w:rsidRPr="00AC787C">
        <w:t xml:space="preserve">rights and access </w:t>
      </w:r>
      <w:r w:rsidR="00012AD7" w:rsidRPr="00AC787C">
        <w:t>to</w:t>
      </w:r>
      <w:r w:rsidRPr="00AC787C">
        <w:t xml:space="preserve"> health insurance. We have been addressed to doctors not only of our city but also from throughout Athens so as to offer their services voluntarily. Today 90 doctors of all specialties are involv</w:t>
      </w:r>
      <w:r w:rsidR="00557DBD" w:rsidRPr="00AC787C">
        <w:t>ed</w:t>
      </w:r>
      <w:r w:rsidRPr="00AC787C">
        <w:t>. These services are for people coming from all over Athens who are unemployed, immigrants, and generally people who are at risk of poverty.” (GM, vice-mayor 25/10/2012).</w:t>
      </w:r>
    </w:p>
    <w:p w:rsidR="00650351" w:rsidRDefault="00650351" w:rsidP="00AC787C">
      <w:pPr>
        <w:spacing w:after="120" w:line="276" w:lineRule="auto"/>
        <w:rPr>
          <w:rFonts w:cs="Arial"/>
          <w:lang w:val="en-US" w:eastAsia="el-GR"/>
        </w:rPr>
      </w:pPr>
      <w:r w:rsidRPr="00EA1CD8">
        <w:rPr>
          <w:rFonts w:cs="Arial"/>
          <w:lang w:val="en-US"/>
        </w:rPr>
        <w:t xml:space="preserve">Indicative of the increasing demand </w:t>
      </w:r>
      <w:r w:rsidRPr="00EA1CD8">
        <w:rPr>
          <w:rFonts w:cs="Arial"/>
          <w:lang w:val="en-US" w:eastAsia="el-GR"/>
        </w:rPr>
        <w:t>for healthcare services is that the social dispensary has extended its opening hours and on weekends. The Municipality has also allocated additional room of its premises as to accommodate other medical specialties. A characteristic example to mention is that of a volunteer psychologist who asked permission from the municipality to use its premises for extended hours as the incidents of citizens in need of psychological support are growing. Actually, alarmingly increasing incidents are those associated with the specialties of the psychologist, the psychiatrist and the cardiologist. Incidents i.e. associated with mental disorder, stress, anxiety and hypertension due to the economic crisis.</w:t>
      </w:r>
    </w:p>
    <w:p w:rsidR="00650351" w:rsidRDefault="00650351" w:rsidP="00AC787C">
      <w:pPr>
        <w:spacing w:after="120" w:line="276" w:lineRule="auto"/>
        <w:rPr>
          <w:rStyle w:val="hps"/>
          <w:rFonts w:cs="Arial"/>
          <w:lang w:val="en-US"/>
        </w:rPr>
      </w:pPr>
      <w:r>
        <w:rPr>
          <w:rStyle w:val="hps"/>
          <w:rFonts w:cs="Arial"/>
          <w:lang w:val="en-US"/>
        </w:rPr>
        <w:lastRenderedPageBreak/>
        <w:t>W</w:t>
      </w:r>
      <w:r w:rsidRPr="00EA1CD8">
        <w:rPr>
          <w:rStyle w:val="hps"/>
          <w:rFonts w:cs="Arial"/>
          <w:lang w:val="en-US"/>
        </w:rPr>
        <w:t>hile the</w:t>
      </w:r>
      <w:r w:rsidRPr="00EA1CD8">
        <w:rPr>
          <w:rFonts w:cs="Arial"/>
          <w:lang w:val="en-US"/>
        </w:rPr>
        <w:t xml:space="preserve"> </w:t>
      </w:r>
      <w:r w:rsidRPr="00EA1CD8">
        <w:rPr>
          <w:rStyle w:val="hps"/>
          <w:rFonts w:cs="Arial"/>
          <w:lang w:val="en-US"/>
        </w:rPr>
        <w:t>number</w:t>
      </w:r>
      <w:r w:rsidRPr="00EA1CD8">
        <w:rPr>
          <w:rFonts w:cs="Arial"/>
          <w:lang w:val="en-US"/>
        </w:rPr>
        <w:t xml:space="preserve"> </w:t>
      </w:r>
      <w:r w:rsidRPr="00EA1CD8">
        <w:rPr>
          <w:rStyle w:val="hps"/>
          <w:rFonts w:cs="Arial"/>
          <w:lang w:val="en-US"/>
        </w:rPr>
        <w:t>of users of social services is rapidly increasing,</w:t>
      </w:r>
      <w:r w:rsidRPr="00EA1CD8">
        <w:rPr>
          <w:rFonts w:cs="Arial"/>
          <w:lang w:val="en-US"/>
        </w:rPr>
        <w:t xml:space="preserve"> </w:t>
      </w:r>
      <w:r w:rsidRPr="00EA1CD8">
        <w:rPr>
          <w:rStyle w:val="hps"/>
          <w:rFonts w:cs="Arial"/>
          <w:lang w:val="en-US"/>
        </w:rPr>
        <w:t>it is not the</w:t>
      </w:r>
      <w:r w:rsidRPr="00EA1CD8">
        <w:rPr>
          <w:rFonts w:cs="Arial"/>
          <w:lang w:val="en-US"/>
        </w:rPr>
        <w:t xml:space="preserve"> </w:t>
      </w:r>
      <w:r w:rsidRPr="00EA1CD8">
        <w:rPr>
          <w:rStyle w:val="hps"/>
          <w:rFonts w:cs="Arial"/>
          <w:lang w:val="en-US"/>
        </w:rPr>
        <w:t>same as the</w:t>
      </w:r>
      <w:r w:rsidRPr="00EA1CD8">
        <w:rPr>
          <w:rFonts w:cs="Arial"/>
          <w:lang w:val="en-US"/>
        </w:rPr>
        <w:t xml:space="preserve"> </w:t>
      </w:r>
      <w:r w:rsidRPr="00EA1CD8">
        <w:rPr>
          <w:rStyle w:val="hps"/>
          <w:rFonts w:cs="Arial"/>
          <w:lang w:val="en-US"/>
        </w:rPr>
        <w:t>staff</w:t>
      </w:r>
      <w:r w:rsidRPr="00EA1CD8">
        <w:rPr>
          <w:rFonts w:cs="Arial"/>
          <w:lang w:val="en-US"/>
        </w:rPr>
        <w:t xml:space="preserve"> </w:t>
      </w:r>
      <w:r w:rsidRPr="00EA1CD8">
        <w:rPr>
          <w:rStyle w:val="hps"/>
          <w:rFonts w:cs="Arial"/>
          <w:lang w:val="en-US"/>
        </w:rPr>
        <w:t>of the municipality, and</w:t>
      </w:r>
      <w:r w:rsidRPr="00EA1CD8">
        <w:rPr>
          <w:rFonts w:cs="Arial"/>
          <w:lang w:val="en-US"/>
        </w:rPr>
        <w:t xml:space="preserve"> </w:t>
      </w:r>
      <w:r w:rsidRPr="00EA1CD8">
        <w:rPr>
          <w:rStyle w:val="hps"/>
          <w:rFonts w:cs="Arial"/>
          <w:lang w:val="en-US"/>
        </w:rPr>
        <w:t>in particular the</w:t>
      </w:r>
      <w:r w:rsidRPr="00EA1CD8">
        <w:rPr>
          <w:rFonts w:cs="Arial"/>
          <w:lang w:val="en-US"/>
        </w:rPr>
        <w:t xml:space="preserve"> </w:t>
      </w:r>
      <w:r w:rsidRPr="00EA1CD8">
        <w:rPr>
          <w:rStyle w:val="hps"/>
          <w:rFonts w:cs="Arial"/>
          <w:lang w:val="en-US"/>
        </w:rPr>
        <w:t>highly skilled staff,</w:t>
      </w:r>
      <w:r w:rsidRPr="00EA1CD8">
        <w:rPr>
          <w:rFonts w:cs="Arial"/>
          <w:lang w:val="en-US"/>
        </w:rPr>
        <w:t xml:space="preserve"> since the </w:t>
      </w:r>
      <w:r w:rsidRPr="00EA1CD8">
        <w:rPr>
          <w:rStyle w:val="hps"/>
          <w:rFonts w:cs="Arial"/>
          <w:lang w:val="en-US"/>
        </w:rPr>
        <w:t>recruitment</w:t>
      </w:r>
      <w:r w:rsidRPr="00EA1CD8">
        <w:rPr>
          <w:rFonts w:cs="Arial"/>
          <w:lang w:val="en-US"/>
        </w:rPr>
        <w:t xml:space="preserve"> </w:t>
      </w:r>
      <w:r w:rsidRPr="00EA1CD8">
        <w:rPr>
          <w:rStyle w:val="hps"/>
          <w:rFonts w:cs="Arial"/>
          <w:lang w:val="en-US"/>
        </w:rPr>
        <w:t>has been stopped</w:t>
      </w:r>
      <w:r w:rsidRPr="00EA1CD8">
        <w:rPr>
          <w:rFonts w:cs="Arial"/>
          <w:lang w:val="en-US"/>
        </w:rPr>
        <w:t xml:space="preserve"> </w:t>
      </w:r>
      <w:r w:rsidRPr="00EA1CD8">
        <w:rPr>
          <w:rStyle w:val="hps"/>
          <w:rFonts w:cs="Arial"/>
          <w:lang w:val="en-US"/>
        </w:rPr>
        <w:t>because of</w:t>
      </w:r>
      <w:r w:rsidRPr="00EA1CD8">
        <w:rPr>
          <w:rFonts w:cs="Arial"/>
          <w:lang w:val="en-US"/>
        </w:rPr>
        <w:t xml:space="preserve"> </w:t>
      </w:r>
      <w:r w:rsidRPr="00EA1CD8">
        <w:rPr>
          <w:rStyle w:val="hps"/>
          <w:rFonts w:cs="Arial"/>
          <w:lang w:val="en-US"/>
        </w:rPr>
        <w:t>financial problems</w:t>
      </w:r>
      <w:r w:rsidRPr="00EA1CD8">
        <w:rPr>
          <w:rFonts w:cs="Arial"/>
          <w:lang w:val="en-US"/>
        </w:rPr>
        <w:t xml:space="preserve"> </w:t>
      </w:r>
      <w:r w:rsidRPr="00EA1CD8">
        <w:rPr>
          <w:rStyle w:val="hps"/>
          <w:rFonts w:cs="Arial"/>
          <w:lang w:val="en-US"/>
        </w:rPr>
        <w:t>brought about</w:t>
      </w:r>
      <w:r w:rsidRPr="00EA1CD8">
        <w:rPr>
          <w:rFonts w:cs="Arial"/>
          <w:lang w:val="en-US"/>
        </w:rPr>
        <w:t xml:space="preserve"> </w:t>
      </w:r>
      <w:r w:rsidRPr="00EA1CD8">
        <w:rPr>
          <w:rStyle w:val="hps"/>
          <w:rFonts w:cs="Arial"/>
          <w:lang w:val="en-US"/>
        </w:rPr>
        <w:t>the memorandum.</w:t>
      </w:r>
      <w:r w:rsidRPr="00EA1CD8">
        <w:rPr>
          <w:rFonts w:cs="Arial"/>
          <w:lang w:val="en-US"/>
        </w:rPr>
        <w:t xml:space="preserve"> </w:t>
      </w:r>
      <w:r w:rsidRPr="00EA1CD8">
        <w:rPr>
          <w:rStyle w:val="hps"/>
          <w:rFonts w:cs="Arial"/>
          <w:lang w:val="en-US"/>
        </w:rPr>
        <w:t>On the other hand the existing staff</w:t>
      </w:r>
      <w:r w:rsidRPr="00EA1CD8">
        <w:rPr>
          <w:rFonts w:cs="Arial"/>
          <w:lang w:val="en-US"/>
        </w:rPr>
        <w:t xml:space="preserve"> </w:t>
      </w:r>
      <w:r w:rsidRPr="00EA1CD8">
        <w:rPr>
          <w:rStyle w:val="hps"/>
          <w:rFonts w:cs="Arial"/>
          <w:lang w:val="en-US"/>
        </w:rPr>
        <w:t>is not sufficient</w:t>
      </w:r>
      <w:r w:rsidRPr="00EA1CD8">
        <w:rPr>
          <w:rFonts w:cs="Arial"/>
          <w:lang w:val="en-US"/>
        </w:rPr>
        <w:t xml:space="preserve"> </w:t>
      </w:r>
      <w:r w:rsidRPr="00EA1CD8">
        <w:rPr>
          <w:rStyle w:val="hps"/>
          <w:rFonts w:cs="Arial"/>
          <w:lang w:val="en-US"/>
        </w:rPr>
        <w:t>numerically</w:t>
      </w:r>
      <w:r w:rsidRPr="00EA1CD8">
        <w:rPr>
          <w:rFonts w:cs="Arial"/>
          <w:lang w:val="en-US"/>
        </w:rPr>
        <w:t xml:space="preserve"> since social </w:t>
      </w:r>
      <w:r w:rsidRPr="00EA1CD8">
        <w:rPr>
          <w:rStyle w:val="hps"/>
          <w:rFonts w:cs="Arial"/>
          <w:lang w:val="en-US"/>
        </w:rPr>
        <w:t>service</w:t>
      </w:r>
      <w:r w:rsidRPr="00EA1CD8">
        <w:rPr>
          <w:rFonts w:cs="Arial"/>
          <w:lang w:val="en-US"/>
        </w:rPr>
        <w:t xml:space="preserve"> </w:t>
      </w:r>
      <w:r w:rsidRPr="00EA1CD8">
        <w:rPr>
          <w:rStyle w:val="hps"/>
          <w:rFonts w:cs="Arial"/>
          <w:lang w:val="en-US"/>
        </w:rPr>
        <w:t>that supports</w:t>
      </w:r>
      <w:r w:rsidRPr="00EA1CD8">
        <w:rPr>
          <w:rFonts w:cs="Arial"/>
          <w:lang w:val="en-US"/>
        </w:rPr>
        <w:t xml:space="preserve"> </w:t>
      </w:r>
      <w:r w:rsidRPr="00EA1CD8">
        <w:rPr>
          <w:rStyle w:val="hps"/>
          <w:rFonts w:cs="Arial"/>
          <w:lang w:val="en-US"/>
        </w:rPr>
        <w:t>the dispensary is staffed by only two</w:t>
      </w:r>
      <w:r w:rsidRPr="00EA1CD8">
        <w:rPr>
          <w:rFonts w:cs="Arial"/>
          <w:lang w:val="en-US"/>
        </w:rPr>
        <w:t xml:space="preserve"> </w:t>
      </w:r>
      <w:r w:rsidRPr="00EA1CD8">
        <w:rPr>
          <w:rStyle w:val="hps"/>
          <w:rFonts w:cs="Arial"/>
          <w:lang w:val="en-US"/>
        </w:rPr>
        <w:t>social workers,</w:t>
      </w:r>
      <w:r w:rsidRPr="00EA1CD8">
        <w:rPr>
          <w:rFonts w:cs="Arial"/>
          <w:lang w:val="en-US"/>
        </w:rPr>
        <w:t xml:space="preserve"> </w:t>
      </w:r>
      <w:r w:rsidRPr="00EA1CD8">
        <w:rPr>
          <w:rStyle w:val="hps"/>
          <w:rFonts w:cs="Arial"/>
          <w:lang w:val="en-US"/>
        </w:rPr>
        <w:t>one</w:t>
      </w:r>
      <w:r w:rsidRPr="00EA1CD8">
        <w:rPr>
          <w:rFonts w:cs="Arial"/>
          <w:lang w:val="en-US"/>
        </w:rPr>
        <w:t xml:space="preserve"> </w:t>
      </w:r>
      <w:r w:rsidRPr="00EA1CD8">
        <w:rPr>
          <w:rStyle w:val="hps"/>
          <w:rFonts w:cs="Arial"/>
          <w:lang w:val="en-US"/>
        </w:rPr>
        <w:t>psychologist and</w:t>
      </w:r>
      <w:r w:rsidRPr="00EA1CD8">
        <w:rPr>
          <w:rFonts w:cs="Arial"/>
          <w:lang w:val="en-US"/>
        </w:rPr>
        <w:t xml:space="preserve"> </w:t>
      </w:r>
      <w:r w:rsidRPr="00EA1CD8">
        <w:rPr>
          <w:rStyle w:val="hps"/>
          <w:rFonts w:cs="Arial"/>
          <w:lang w:val="en-US"/>
        </w:rPr>
        <w:t>one</w:t>
      </w:r>
      <w:r w:rsidRPr="00EA1CD8">
        <w:rPr>
          <w:rFonts w:cs="Arial"/>
          <w:lang w:val="en-US"/>
        </w:rPr>
        <w:t xml:space="preserve"> </w:t>
      </w:r>
      <w:r w:rsidRPr="00EA1CD8">
        <w:rPr>
          <w:rStyle w:val="hps"/>
          <w:rFonts w:cs="Arial"/>
          <w:lang w:val="en-US"/>
        </w:rPr>
        <w:t>secretary.</w:t>
      </w:r>
      <w:r w:rsidRPr="00EA1CD8">
        <w:rPr>
          <w:rFonts w:cs="Arial"/>
          <w:lang w:val="en-US"/>
        </w:rPr>
        <w:t xml:space="preserve"> </w:t>
      </w:r>
      <w:r w:rsidRPr="00EA1CD8">
        <w:rPr>
          <w:rStyle w:val="hps"/>
          <w:rFonts w:cs="Arial"/>
          <w:lang w:val="en-US"/>
        </w:rPr>
        <w:t>In other</w:t>
      </w:r>
      <w:r w:rsidRPr="00EA1CD8">
        <w:rPr>
          <w:rFonts w:cs="Arial"/>
          <w:lang w:val="en-US"/>
        </w:rPr>
        <w:t xml:space="preserve"> </w:t>
      </w:r>
      <w:r w:rsidRPr="00EA1CD8">
        <w:rPr>
          <w:rStyle w:val="hps"/>
          <w:rFonts w:cs="Arial"/>
          <w:lang w:val="en-US"/>
        </w:rPr>
        <w:t>words,</w:t>
      </w:r>
      <w:r w:rsidRPr="00EA1CD8">
        <w:rPr>
          <w:rFonts w:cs="Arial"/>
          <w:lang w:val="en-US"/>
        </w:rPr>
        <w:t xml:space="preserve"> </w:t>
      </w:r>
      <w:r w:rsidRPr="00EA1CD8">
        <w:rPr>
          <w:rStyle w:val="hps"/>
          <w:rFonts w:cs="Arial"/>
          <w:lang w:val="en-US"/>
        </w:rPr>
        <w:t>four persons</w:t>
      </w:r>
      <w:r w:rsidRPr="00EA1CD8">
        <w:rPr>
          <w:rFonts w:cs="Arial"/>
          <w:lang w:val="en-US"/>
        </w:rPr>
        <w:t xml:space="preserve"> </w:t>
      </w:r>
      <w:r w:rsidRPr="00EA1CD8">
        <w:rPr>
          <w:rStyle w:val="hps"/>
          <w:rFonts w:cs="Arial"/>
          <w:lang w:val="en-US"/>
        </w:rPr>
        <w:t>for a population</w:t>
      </w:r>
      <w:r w:rsidRPr="00EA1CD8">
        <w:rPr>
          <w:rFonts w:cs="Arial"/>
          <w:lang w:val="en-US"/>
        </w:rPr>
        <w:t xml:space="preserve"> of </w:t>
      </w:r>
      <w:r w:rsidRPr="00EA1CD8">
        <w:rPr>
          <w:rStyle w:val="hps"/>
          <w:rFonts w:cs="Arial"/>
          <w:lang w:val="en-US"/>
        </w:rPr>
        <w:t>60,000</w:t>
      </w:r>
      <w:r w:rsidRPr="00EA1CD8">
        <w:rPr>
          <w:rFonts w:cs="Arial"/>
          <w:lang w:val="en-US"/>
        </w:rPr>
        <w:t xml:space="preserve"> </w:t>
      </w:r>
      <w:r w:rsidRPr="00EA1CD8">
        <w:rPr>
          <w:rStyle w:val="hps"/>
          <w:rFonts w:cs="Arial"/>
          <w:lang w:val="en-US"/>
        </w:rPr>
        <w:t>citizens.</w:t>
      </w:r>
      <w:r w:rsidRPr="00EA1CD8">
        <w:rPr>
          <w:rFonts w:cs="Arial"/>
          <w:lang w:val="en-US"/>
        </w:rPr>
        <w:t xml:space="preserve"> </w:t>
      </w:r>
      <w:r w:rsidRPr="00EA1CD8">
        <w:rPr>
          <w:rStyle w:val="hps"/>
          <w:rFonts w:cs="Arial"/>
          <w:lang w:val="en-US"/>
        </w:rPr>
        <w:t>As</w:t>
      </w:r>
      <w:r w:rsidRPr="00EA1CD8">
        <w:rPr>
          <w:rFonts w:cs="Arial"/>
          <w:lang w:val="en-US"/>
        </w:rPr>
        <w:t xml:space="preserve"> vice- m</w:t>
      </w:r>
      <w:r w:rsidRPr="00EA1CD8">
        <w:rPr>
          <w:rStyle w:val="hps"/>
          <w:rFonts w:cs="Arial"/>
          <w:lang w:val="en-US"/>
        </w:rPr>
        <w:t>ayor</w:t>
      </w:r>
      <w:r w:rsidRPr="00EA1CD8">
        <w:rPr>
          <w:rFonts w:cs="Arial"/>
          <w:lang w:val="en-US"/>
        </w:rPr>
        <w:t xml:space="preserve"> </w:t>
      </w:r>
      <w:r w:rsidRPr="00EA1CD8">
        <w:rPr>
          <w:rStyle w:val="hps"/>
          <w:rFonts w:cs="Arial"/>
          <w:lang w:val="en-US"/>
        </w:rPr>
        <w:t>told us:</w:t>
      </w:r>
    </w:p>
    <w:p w:rsidR="00650351" w:rsidRPr="00AC787C" w:rsidRDefault="00650351" w:rsidP="00AC787C">
      <w:pPr>
        <w:spacing w:before="240" w:after="240" w:line="240" w:lineRule="auto"/>
        <w:ind w:left="567"/>
      </w:pPr>
      <w:r w:rsidRPr="00AC787C">
        <w:t>"If there were no volunteers, none of these actions could have been realized. For this reason, our main priority is to enable more people to volunteer in this effort" (GM, vice-mayor 25/10/2012).</w:t>
      </w:r>
    </w:p>
    <w:p w:rsidR="00650351" w:rsidRDefault="00650351" w:rsidP="00AC787C">
      <w:pPr>
        <w:spacing w:after="120" w:line="276" w:lineRule="auto"/>
        <w:rPr>
          <w:rStyle w:val="hps"/>
          <w:rFonts w:cs="Arial"/>
          <w:lang w:val="en-US"/>
        </w:rPr>
      </w:pPr>
      <w:r w:rsidRPr="00EA1CD8">
        <w:rPr>
          <w:rStyle w:val="hps"/>
          <w:rFonts w:cs="Arial"/>
          <w:lang w:val="en-US"/>
        </w:rPr>
        <w:t>Drugs and</w:t>
      </w:r>
      <w:r w:rsidRPr="00EA1CD8">
        <w:rPr>
          <w:rStyle w:val="longtext"/>
          <w:rFonts w:cs="Arial"/>
          <w:lang w:val="en-US"/>
        </w:rPr>
        <w:t xml:space="preserve"> </w:t>
      </w:r>
      <w:r w:rsidRPr="00EA1CD8">
        <w:rPr>
          <w:rStyle w:val="hps"/>
          <w:rFonts w:cs="Arial"/>
          <w:lang w:val="en-US"/>
        </w:rPr>
        <w:t>other</w:t>
      </w:r>
      <w:r w:rsidRPr="00EA1CD8">
        <w:rPr>
          <w:rStyle w:val="longtext"/>
          <w:rFonts w:cs="Arial"/>
          <w:lang w:val="en-US"/>
        </w:rPr>
        <w:t xml:space="preserve"> </w:t>
      </w:r>
      <w:r w:rsidRPr="00EA1CD8">
        <w:rPr>
          <w:rStyle w:val="hps"/>
          <w:rFonts w:cs="Arial"/>
          <w:lang w:val="en-US"/>
        </w:rPr>
        <w:t>medical supplies</w:t>
      </w:r>
      <w:r w:rsidRPr="00EA1CD8">
        <w:rPr>
          <w:rStyle w:val="longtext"/>
          <w:rFonts w:cs="Arial"/>
          <w:lang w:val="en-US"/>
        </w:rPr>
        <w:t xml:space="preserve"> are </w:t>
      </w:r>
      <w:r w:rsidRPr="00EA1CD8">
        <w:rPr>
          <w:rStyle w:val="hps"/>
          <w:rFonts w:cs="Arial"/>
          <w:lang w:val="en-US"/>
        </w:rPr>
        <w:t>provided</w:t>
      </w:r>
      <w:r w:rsidRPr="00EA1CD8">
        <w:rPr>
          <w:rStyle w:val="longtext"/>
          <w:rFonts w:cs="Arial"/>
          <w:lang w:val="en-US"/>
        </w:rPr>
        <w:t xml:space="preserve"> </w:t>
      </w:r>
      <w:r w:rsidRPr="00EA1CD8">
        <w:rPr>
          <w:rStyle w:val="hps"/>
          <w:rFonts w:cs="Arial"/>
          <w:lang w:val="en-US"/>
        </w:rPr>
        <w:t>by private</w:t>
      </w:r>
      <w:r w:rsidRPr="00EA1CD8">
        <w:rPr>
          <w:rStyle w:val="longtext"/>
          <w:rFonts w:cs="Arial"/>
          <w:lang w:val="en-US"/>
        </w:rPr>
        <w:t xml:space="preserve"> </w:t>
      </w:r>
      <w:r w:rsidRPr="00EA1CD8">
        <w:rPr>
          <w:rStyle w:val="hps"/>
          <w:rFonts w:cs="Arial"/>
          <w:lang w:val="en-US"/>
        </w:rPr>
        <w:t>offers (</w:t>
      </w:r>
      <w:r w:rsidRPr="00EA1CD8">
        <w:rPr>
          <w:rStyle w:val="longtext"/>
          <w:rFonts w:cs="Arial"/>
          <w:lang w:val="en-US"/>
        </w:rPr>
        <w:t xml:space="preserve">medical associations, pharmaceutical </w:t>
      </w:r>
      <w:r w:rsidRPr="00EA1CD8">
        <w:rPr>
          <w:rStyle w:val="hps"/>
          <w:rFonts w:cs="Arial"/>
          <w:lang w:val="en-US"/>
        </w:rPr>
        <w:t>companies or</w:t>
      </w:r>
      <w:r w:rsidRPr="00EA1CD8">
        <w:rPr>
          <w:rStyle w:val="longtext"/>
          <w:rFonts w:cs="Arial"/>
          <w:lang w:val="en-US"/>
        </w:rPr>
        <w:t xml:space="preserve"> </w:t>
      </w:r>
      <w:r w:rsidRPr="00EA1CD8">
        <w:rPr>
          <w:rStyle w:val="hps"/>
          <w:rFonts w:cs="Arial"/>
          <w:lang w:val="en-US"/>
        </w:rPr>
        <w:t>local</w:t>
      </w:r>
      <w:r w:rsidRPr="00EA1CD8">
        <w:rPr>
          <w:rStyle w:val="longtext"/>
          <w:rFonts w:cs="Arial"/>
          <w:lang w:val="en-US"/>
        </w:rPr>
        <w:t xml:space="preserve"> </w:t>
      </w:r>
      <w:r w:rsidRPr="00EA1CD8">
        <w:rPr>
          <w:rStyle w:val="hps"/>
          <w:rFonts w:cs="Arial"/>
          <w:lang w:val="en-US"/>
        </w:rPr>
        <w:t>pharmacies). Last year</w:t>
      </w:r>
      <w:r w:rsidRPr="00EA1CD8">
        <w:rPr>
          <w:rStyle w:val="longtext"/>
          <w:rFonts w:cs="Arial"/>
          <w:lang w:val="en-US"/>
        </w:rPr>
        <w:t xml:space="preserve"> </w:t>
      </w:r>
      <w:r w:rsidRPr="00EA1CD8">
        <w:rPr>
          <w:rStyle w:val="hps"/>
          <w:rFonts w:cs="Arial"/>
          <w:lang w:val="en-US"/>
        </w:rPr>
        <w:t>efforts are being made</w:t>
      </w:r>
      <w:r w:rsidRPr="00EA1CD8">
        <w:rPr>
          <w:rStyle w:val="longtext"/>
          <w:rFonts w:cs="Arial"/>
          <w:lang w:val="en-US"/>
        </w:rPr>
        <w:t xml:space="preserve"> </w:t>
      </w:r>
      <w:r w:rsidRPr="00EA1CD8">
        <w:rPr>
          <w:rStyle w:val="hps"/>
          <w:rFonts w:cs="Arial"/>
          <w:lang w:val="en-US"/>
        </w:rPr>
        <w:t>to conclude</w:t>
      </w:r>
      <w:r w:rsidRPr="00EA1CD8">
        <w:rPr>
          <w:rStyle w:val="longtext"/>
          <w:rFonts w:cs="Arial"/>
          <w:lang w:val="en-US"/>
        </w:rPr>
        <w:t xml:space="preserve"> </w:t>
      </w:r>
      <w:r w:rsidRPr="00EA1CD8">
        <w:rPr>
          <w:rStyle w:val="hps"/>
          <w:rFonts w:cs="Arial"/>
          <w:lang w:val="en-US"/>
        </w:rPr>
        <w:t>partnerships</w:t>
      </w:r>
      <w:r w:rsidRPr="00EA1CD8">
        <w:rPr>
          <w:rStyle w:val="longtext"/>
          <w:rFonts w:cs="Arial"/>
          <w:lang w:val="en-US"/>
        </w:rPr>
        <w:t xml:space="preserve"> </w:t>
      </w:r>
      <w:r w:rsidRPr="00EA1CD8">
        <w:rPr>
          <w:rStyle w:val="hps"/>
          <w:rFonts w:cs="Arial"/>
          <w:lang w:val="en-US"/>
        </w:rPr>
        <w:t>between</w:t>
      </w:r>
      <w:r w:rsidRPr="00EA1CD8">
        <w:rPr>
          <w:rStyle w:val="longtext"/>
          <w:rFonts w:cs="Arial"/>
          <w:lang w:val="en-US"/>
        </w:rPr>
        <w:t xml:space="preserve"> </w:t>
      </w:r>
      <w:r w:rsidRPr="00EA1CD8">
        <w:rPr>
          <w:rStyle w:val="hps"/>
          <w:rFonts w:cs="Arial"/>
          <w:lang w:val="en-US"/>
        </w:rPr>
        <w:t>the municipality and</w:t>
      </w:r>
      <w:r w:rsidRPr="00EA1CD8">
        <w:rPr>
          <w:rStyle w:val="longtext"/>
          <w:rFonts w:cs="Arial"/>
          <w:lang w:val="en-US"/>
        </w:rPr>
        <w:t xml:space="preserve"> </w:t>
      </w:r>
      <w:r w:rsidRPr="00EA1CD8">
        <w:rPr>
          <w:rStyle w:val="hps"/>
          <w:rFonts w:cs="Arial"/>
          <w:lang w:val="en-US"/>
        </w:rPr>
        <w:t>the Greek Church</w:t>
      </w:r>
      <w:r w:rsidRPr="00EA1CD8">
        <w:rPr>
          <w:rStyle w:val="longtext"/>
          <w:rFonts w:cs="Arial"/>
          <w:lang w:val="en-US"/>
        </w:rPr>
        <w:t xml:space="preserve"> </w:t>
      </w:r>
      <w:r w:rsidRPr="00EA1CD8">
        <w:rPr>
          <w:rStyle w:val="hps"/>
          <w:rFonts w:cs="Arial"/>
          <w:lang w:val="en-US"/>
        </w:rPr>
        <w:t>which undertakes</w:t>
      </w:r>
      <w:r w:rsidRPr="00EA1CD8">
        <w:rPr>
          <w:rStyle w:val="longtext"/>
          <w:rFonts w:cs="Arial"/>
          <w:lang w:val="en-US"/>
        </w:rPr>
        <w:t xml:space="preserve"> </w:t>
      </w:r>
      <w:r w:rsidRPr="00EA1CD8">
        <w:rPr>
          <w:rStyle w:val="hps"/>
          <w:rFonts w:cs="Arial"/>
          <w:lang w:val="en-US"/>
        </w:rPr>
        <w:t>similar activities. Instead,</w:t>
      </w:r>
      <w:r w:rsidRPr="00EA1CD8">
        <w:rPr>
          <w:rStyle w:val="longtext"/>
          <w:rFonts w:cs="Arial"/>
          <w:lang w:val="en-US"/>
        </w:rPr>
        <w:t xml:space="preserve"> </w:t>
      </w:r>
      <w:r w:rsidRPr="00EA1CD8">
        <w:rPr>
          <w:rStyle w:val="hps"/>
          <w:rFonts w:cs="Arial"/>
          <w:lang w:val="en-US"/>
        </w:rPr>
        <w:t>despite</w:t>
      </w:r>
      <w:r w:rsidRPr="00EA1CD8">
        <w:rPr>
          <w:rStyle w:val="longtext"/>
          <w:rFonts w:cs="Arial"/>
          <w:lang w:val="en-US"/>
        </w:rPr>
        <w:t xml:space="preserve"> calls</w:t>
      </w:r>
      <w:r w:rsidRPr="00EA1CD8">
        <w:rPr>
          <w:rStyle w:val="hps"/>
          <w:rFonts w:cs="Arial"/>
          <w:lang w:val="en-US"/>
        </w:rPr>
        <w:t xml:space="preserve"> of the</w:t>
      </w:r>
      <w:r w:rsidRPr="00EA1CD8">
        <w:rPr>
          <w:rStyle w:val="longtext"/>
          <w:rFonts w:cs="Arial"/>
          <w:lang w:val="en-US"/>
        </w:rPr>
        <w:t xml:space="preserve"> </w:t>
      </w:r>
      <w:r w:rsidRPr="00EA1CD8">
        <w:rPr>
          <w:rStyle w:val="hps"/>
          <w:rFonts w:cs="Arial"/>
          <w:lang w:val="en-US"/>
        </w:rPr>
        <w:t>municipality</w:t>
      </w:r>
      <w:r w:rsidRPr="00EA1CD8">
        <w:rPr>
          <w:rStyle w:val="longtext"/>
          <w:rFonts w:cs="Arial"/>
          <w:lang w:val="en-US"/>
        </w:rPr>
        <w:t xml:space="preserve"> </w:t>
      </w:r>
      <w:r w:rsidRPr="00EA1CD8">
        <w:rPr>
          <w:rStyle w:val="hps"/>
          <w:rFonts w:cs="Arial"/>
          <w:lang w:val="en-US"/>
        </w:rPr>
        <w:t>to the</w:t>
      </w:r>
      <w:r w:rsidRPr="00EA1CD8">
        <w:rPr>
          <w:rStyle w:val="longtext"/>
          <w:rFonts w:cs="Arial"/>
          <w:lang w:val="en-US"/>
        </w:rPr>
        <w:t xml:space="preserve"> </w:t>
      </w:r>
      <w:r w:rsidRPr="00EA1CD8">
        <w:rPr>
          <w:rStyle w:val="hps"/>
          <w:rFonts w:cs="Arial"/>
          <w:lang w:val="en-US"/>
        </w:rPr>
        <w:t>central government</w:t>
      </w:r>
      <w:r w:rsidRPr="00EA1CD8">
        <w:rPr>
          <w:rStyle w:val="longtext"/>
          <w:rFonts w:cs="Arial"/>
          <w:lang w:val="en-US"/>
        </w:rPr>
        <w:t xml:space="preserve"> </w:t>
      </w:r>
      <w:r w:rsidRPr="00EA1CD8">
        <w:rPr>
          <w:rStyle w:val="hps"/>
          <w:rFonts w:cs="Arial"/>
          <w:lang w:val="en-US"/>
        </w:rPr>
        <w:t>to contribute financially</w:t>
      </w:r>
      <w:r w:rsidRPr="00EA1CD8">
        <w:rPr>
          <w:rStyle w:val="longtext"/>
          <w:rFonts w:cs="Arial"/>
          <w:lang w:val="en-US"/>
        </w:rPr>
        <w:t xml:space="preserve"> </w:t>
      </w:r>
      <w:r w:rsidRPr="00EA1CD8">
        <w:rPr>
          <w:rStyle w:val="hps"/>
          <w:rFonts w:cs="Arial"/>
          <w:lang w:val="en-US"/>
        </w:rPr>
        <w:t>to the effort of social services</w:t>
      </w:r>
      <w:r w:rsidRPr="00EA1CD8">
        <w:rPr>
          <w:rStyle w:val="longtext"/>
          <w:rFonts w:cs="Arial"/>
          <w:lang w:val="en-US"/>
        </w:rPr>
        <w:t xml:space="preserve">, the relevant </w:t>
      </w:r>
      <w:r w:rsidRPr="00EA1CD8">
        <w:rPr>
          <w:rStyle w:val="hps"/>
          <w:rFonts w:cs="Arial"/>
          <w:lang w:val="en-US"/>
        </w:rPr>
        <w:t>government departments</w:t>
      </w:r>
      <w:r w:rsidRPr="00EA1CD8">
        <w:rPr>
          <w:rStyle w:val="longtext"/>
          <w:rFonts w:cs="Arial"/>
          <w:lang w:val="en-US"/>
        </w:rPr>
        <w:t xml:space="preserve"> </w:t>
      </w:r>
      <w:r w:rsidRPr="00EA1CD8">
        <w:rPr>
          <w:rStyle w:val="hps"/>
          <w:rFonts w:cs="Arial"/>
          <w:lang w:val="en-US"/>
        </w:rPr>
        <w:t>have not yet</w:t>
      </w:r>
      <w:r w:rsidRPr="00EA1CD8">
        <w:rPr>
          <w:rStyle w:val="longtext"/>
          <w:rFonts w:cs="Arial"/>
          <w:lang w:val="en-US"/>
        </w:rPr>
        <w:t xml:space="preserve"> </w:t>
      </w:r>
      <w:r w:rsidRPr="00EA1CD8">
        <w:rPr>
          <w:rStyle w:val="hps"/>
          <w:rFonts w:cs="Arial"/>
          <w:lang w:val="en-US"/>
        </w:rPr>
        <w:t>responded.</w:t>
      </w:r>
      <w:r w:rsidRPr="00EA1CD8">
        <w:rPr>
          <w:rStyle w:val="longtext"/>
          <w:rFonts w:cs="Arial"/>
          <w:lang w:val="en-US"/>
        </w:rPr>
        <w:t xml:space="preserve"> </w:t>
      </w:r>
      <w:r w:rsidRPr="00EA1CD8">
        <w:rPr>
          <w:rStyle w:val="hps"/>
          <w:rFonts w:cs="Arial"/>
          <w:lang w:val="en-US"/>
        </w:rPr>
        <w:t>It is typical</w:t>
      </w:r>
      <w:r w:rsidRPr="00EA1CD8">
        <w:rPr>
          <w:rStyle w:val="longtext"/>
          <w:rFonts w:cs="Arial"/>
          <w:lang w:val="en-US"/>
        </w:rPr>
        <w:t xml:space="preserve"> </w:t>
      </w:r>
      <w:r w:rsidRPr="00EA1CD8">
        <w:rPr>
          <w:rStyle w:val="hps"/>
          <w:rFonts w:cs="Arial"/>
          <w:lang w:val="en-US"/>
        </w:rPr>
        <w:t>that</w:t>
      </w:r>
      <w:r w:rsidRPr="00EA1CD8">
        <w:rPr>
          <w:rStyle w:val="longtext"/>
          <w:rFonts w:cs="Arial"/>
          <w:lang w:val="en-US"/>
        </w:rPr>
        <w:t xml:space="preserve"> </w:t>
      </w:r>
      <w:r w:rsidRPr="00EA1CD8">
        <w:rPr>
          <w:rStyle w:val="hps"/>
          <w:rFonts w:cs="Arial"/>
          <w:lang w:val="en-US"/>
        </w:rPr>
        <w:t>just</w:t>
      </w:r>
      <w:r w:rsidRPr="00EA1CD8">
        <w:rPr>
          <w:rStyle w:val="longtext"/>
          <w:rFonts w:cs="Arial"/>
          <w:lang w:val="en-US"/>
        </w:rPr>
        <w:t xml:space="preserve"> </w:t>
      </w:r>
      <w:r w:rsidRPr="00EA1CD8">
        <w:rPr>
          <w:rStyle w:val="hps"/>
          <w:rFonts w:cs="Arial"/>
          <w:lang w:val="en-US"/>
        </w:rPr>
        <w:t>last month</w:t>
      </w:r>
      <w:r w:rsidRPr="00EA1CD8">
        <w:rPr>
          <w:rStyle w:val="longtext"/>
          <w:rFonts w:cs="Arial"/>
          <w:lang w:val="en-US"/>
        </w:rPr>
        <w:t xml:space="preserve"> the </w:t>
      </w:r>
      <w:r w:rsidRPr="00EA1CD8">
        <w:rPr>
          <w:rStyle w:val="hps"/>
          <w:rFonts w:cs="Arial"/>
          <w:lang w:val="en-US"/>
        </w:rPr>
        <w:t>oil</w:t>
      </w:r>
      <w:r w:rsidRPr="00EA1CD8">
        <w:rPr>
          <w:rStyle w:val="longtext"/>
          <w:rFonts w:cs="Arial"/>
          <w:lang w:val="en-US"/>
        </w:rPr>
        <w:t xml:space="preserve"> </w:t>
      </w:r>
      <w:r w:rsidRPr="00EA1CD8">
        <w:rPr>
          <w:rStyle w:val="hps"/>
          <w:rFonts w:cs="Arial"/>
          <w:lang w:val="en-US"/>
        </w:rPr>
        <w:t>for heating</w:t>
      </w:r>
      <w:r w:rsidRPr="00EA1CD8">
        <w:rPr>
          <w:rStyle w:val="longtext"/>
          <w:rFonts w:cs="Arial"/>
          <w:lang w:val="en-US"/>
        </w:rPr>
        <w:t xml:space="preserve"> </w:t>
      </w:r>
      <w:r w:rsidRPr="00EA1CD8">
        <w:rPr>
          <w:rStyle w:val="hps"/>
          <w:rFonts w:cs="Arial"/>
          <w:lang w:val="en-US"/>
        </w:rPr>
        <w:t>schools</w:t>
      </w:r>
      <w:r w:rsidRPr="00EA1CD8">
        <w:rPr>
          <w:rStyle w:val="longtext"/>
          <w:rFonts w:cs="Arial"/>
          <w:lang w:val="en-US"/>
        </w:rPr>
        <w:t xml:space="preserve"> has been assured </w:t>
      </w:r>
      <w:r w:rsidRPr="00EA1CD8">
        <w:rPr>
          <w:rStyle w:val="hps"/>
          <w:rFonts w:cs="Arial"/>
          <w:lang w:val="en-US"/>
        </w:rPr>
        <w:t>from stocks</w:t>
      </w:r>
      <w:r w:rsidRPr="00EA1CD8">
        <w:rPr>
          <w:rStyle w:val="longtext"/>
          <w:rFonts w:cs="Arial"/>
          <w:lang w:val="en-US"/>
        </w:rPr>
        <w:t xml:space="preserve"> </w:t>
      </w:r>
      <w:r w:rsidRPr="00EA1CD8">
        <w:rPr>
          <w:rStyle w:val="hps"/>
          <w:rFonts w:cs="Arial"/>
          <w:lang w:val="en-US"/>
        </w:rPr>
        <w:t>destined</w:t>
      </w:r>
      <w:r w:rsidRPr="00EA1CD8">
        <w:rPr>
          <w:rStyle w:val="longtext"/>
          <w:rFonts w:cs="Arial"/>
          <w:lang w:val="en-US"/>
        </w:rPr>
        <w:t xml:space="preserve"> </w:t>
      </w:r>
      <w:r w:rsidRPr="00EA1CD8">
        <w:rPr>
          <w:rStyle w:val="hps"/>
          <w:rFonts w:cs="Arial"/>
          <w:lang w:val="en-US"/>
        </w:rPr>
        <w:t>for vehicles of the</w:t>
      </w:r>
      <w:r w:rsidRPr="00EA1CD8">
        <w:rPr>
          <w:rStyle w:val="longtext"/>
          <w:rFonts w:cs="Arial"/>
          <w:lang w:val="en-US"/>
        </w:rPr>
        <w:t xml:space="preserve"> </w:t>
      </w:r>
      <w:r w:rsidRPr="00EA1CD8">
        <w:rPr>
          <w:rStyle w:val="hps"/>
          <w:rFonts w:cs="Arial"/>
          <w:lang w:val="en-US"/>
        </w:rPr>
        <w:t>municipality.</w:t>
      </w:r>
    </w:p>
    <w:p w:rsidR="00650351" w:rsidRDefault="00650351" w:rsidP="00AC787C">
      <w:pPr>
        <w:spacing w:after="120" w:line="276" w:lineRule="auto"/>
        <w:rPr>
          <w:rFonts w:cs="Arial"/>
          <w:lang w:val="en-US"/>
        </w:rPr>
      </w:pPr>
      <w:r w:rsidRPr="00EA1CD8">
        <w:rPr>
          <w:rFonts w:cs="Arial"/>
          <w:lang w:val="en-US"/>
        </w:rPr>
        <w:t>But neighbo</w:t>
      </w:r>
      <w:r w:rsidR="00346BEF">
        <w:rPr>
          <w:rFonts w:cs="Arial"/>
          <w:lang w:val="en-US"/>
        </w:rPr>
        <w:t>ring municipalities have not decided yet</w:t>
      </w:r>
      <w:r w:rsidRPr="00EA1CD8">
        <w:rPr>
          <w:rFonts w:cs="Arial"/>
          <w:lang w:val="en-US"/>
        </w:rPr>
        <w:t xml:space="preserve"> to support this effort, although at the beginning the idea was well versed. It seems that political considerations prevail over social problems as the fight against social exclusion is conducted in the light of correlation influences between the “memorandum par</w:t>
      </w:r>
      <w:r w:rsidR="00346BEF">
        <w:rPr>
          <w:rFonts w:cs="Arial"/>
          <w:lang w:val="en-US"/>
        </w:rPr>
        <w:t>ties” supporting the government</w:t>
      </w:r>
      <w:r w:rsidRPr="00EA1CD8">
        <w:rPr>
          <w:rFonts w:cs="Arial"/>
          <w:lang w:val="en-US"/>
        </w:rPr>
        <w:t xml:space="preserve"> and the anti-memorandum opposition parties (especially </w:t>
      </w:r>
      <w:r w:rsidR="00346BEF">
        <w:rPr>
          <w:rFonts w:cs="Arial"/>
          <w:lang w:val="en-US"/>
        </w:rPr>
        <w:t xml:space="preserve">of </w:t>
      </w:r>
      <w:r w:rsidRPr="00EA1CD8">
        <w:rPr>
          <w:rFonts w:cs="Arial"/>
          <w:lang w:val="en-US"/>
        </w:rPr>
        <w:t>the Left). In the opinion of the vice-mayor:</w:t>
      </w:r>
    </w:p>
    <w:p w:rsidR="00650351" w:rsidRPr="00AC787C" w:rsidRDefault="007547C3" w:rsidP="00AC787C">
      <w:pPr>
        <w:spacing w:before="240" w:after="240" w:line="240" w:lineRule="auto"/>
        <w:ind w:left="567"/>
      </w:pPr>
      <w:r w:rsidRPr="00AC787C">
        <w:t>“</w:t>
      </w:r>
      <w:r w:rsidR="00650351" w:rsidRPr="00AC787C">
        <w:t>The new municipal authority of Argyroupolis [municipal district of Helliniko] that emerged from the 2010 elections had the idea of the social dispensary which was welcomed by the neighboring municipalities. But while we started out strongly and gradually realized our idea by finding roof for our service, the neighboring municipalities were in disagreement about which should be the seat of the social dispensary. I should note here that the new local authority [Argyroupolis] relied on the majority of left-wing voters. Unlike the 3 neighboring local districts [of Helliniko] (Glyfada, Alimos and Agios Dimitrios) were elected with the support of the voters of PASOK, the party which was in government and put us then in the Memorandum, and supports also the current government. Maybe that was not cadet, municipal authorities that support the Memorandum policy to support another local authority that is in opposition and whose successful project is likely to become a magnet for other voters” (GM, vice-mayor 25/10/2012).</w:t>
      </w:r>
    </w:p>
    <w:p w:rsidR="00650351" w:rsidRPr="00EA1CD8" w:rsidRDefault="00650351" w:rsidP="00AC787C">
      <w:pPr>
        <w:spacing w:after="120" w:line="276" w:lineRule="auto"/>
        <w:rPr>
          <w:rFonts w:cs="Arial"/>
          <w:lang w:val="en-US"/>
        </w:rPr>
      </w:pPr>
      <w:r w:rsidRPr="00EA1CD8">
        <w:rPr>
          <w:rFonts w:cs="Arial"/>
          <w:lang w:val="en-US"/>
        </w:rPr>
        <w:t xml:space="preserve">A major role in fighting poverty and social exclusion </w:t>
      </w:r>
      <w:r w:rsidR="00DF2C85">
        <w:rPr>
          <w:rFonts w:cs="Arial"/>
          <w:lang w:val="en-US"/>
        </w:rPr>
        <w:t>is played by other actors</w:t>
      </w:r>
      <w:r w:rsidRPr="00EA1CD8">
        <w:rPr>
          <w:rFonts w:cs="Arial"/>
          <w:lang w:val="en-US"/>
        </w:rPr>
        <w:t xml:space="preserve"> such as the </w:t>
      </w:r>
      <w:r w:rsidRPr="00DF2C85">
        <w:rPr>
          <w:rFonts w:cs="Arial"/>
          <w:lang w:val="en-US"/>
        </w:rPr>
        <w:t>Archbishopric of the Church of Greece and several non-governmental organizations (NGOs)</w:t>
      </w:r>
      <w:r w:rsidR="00DF2C85">
        <w:rPr>
          <w:rFonts w:cs="Arial"/>
          <w:lang w:val="en-US"/>
        </w:rPr>
        <w:t>,</w:t>
      </w:r>
      <w:r w:rsidRPr="00EA1CD8">
        <w:rPr>
          <w:rFonts w:cs="Arial"/>
          <w:lang w:val="en-US"/>
        </w:rPr>
        <w:t xml:space="preserve"> such as the "Klimaka" organization which is active in a</w:t>
      </w:r>
      <w:r w:rsidR="00DF2C85">
        <w:rPr>
          <w:rFonts w:cs="Arial"/>
          <w:lang w:val="en-US"/>
        </w:rPr>
        <w:t>ddressing the phenomenon of new</w:t>
      </w:r>
      <w:r w:rsidRPr="00EA1CD8">
        <w:rPr>
          <w:rFonts w:cs="Arial"/>
          <w:lang w:val="en-US"/>
        </w:rPr>
        <w:t xml:space="preserve"> homeless.</w:t>
      </w:r>
    </w:p>
    <w:p w:rsidR="00650351" w:rsidRPr="00EA1CD8" w:rsidRDefault="00650351" w:rsidP="00AC787C">
      <w:pPr>
        <w:spacing w:after="120" w:line="276" w:lineRule="auto"/>
        <w:rPr>
          <w:rFonts w:cs="Arial"/>
          <w:lang w:val="en-US"/>
        </w:rPr>
      </w:pPr>
      <w:r w:rsidRPr="00EA1CD8">
        <w:rPr>
          <w:rFonts w:cs="Arial"/>
          <w:lang w:val="en-US"/>
        </w:rPr>
        <w:t xml:space="preserve">With particular regard to the role of the Archbishopric of the Church of Athens is characteristic the effort made by its appropriate department to prepare and distribute 10,000 meals on a daily basis to needy people throughout the metropolitan area of </w:t>
      </w:r>
      <w:r w:rsidRPr="00EA1CD8">
        <w:rPr>
          <w:rFonts w:cs="Arial"/>
          <w:lang w:val="en-US"/>
        </w:rPr>
        <w:lastRenderedPageBreak/>
        <w:t>Athens. The 8,000 rations are distributed to fifteen parishes representing fifteen municipalities around the municipality of Athens. These parishes make more effort since their volunteers are those who undertake both to record the cases of people who are in poverty or are facing critical survival problems and to cook, package and distribute the meals. In contrast, as far as it concerns the Municipality of Athens where meals are much more the Church hires catering services for the preparation and distribution of food portions. Indicative of the situation is the statement of an official of Charities of the Archbishopric:</w:t>
      </w:r>
    </w:p>
    <w:p w:rsidR="00650351" w:rsidRPr="00AC787C" w:rsidRDefault="00650351" w:rsidP="00AC787C">
      <w:pPr>
        <w:spacing w:before="240" w:after="240" w:line="240" w:lineRule="auto"/>
        <w:ind w:left="567"/>
      </w:pPr>
      <w:r w:rsidRPr="00AC787C">
        <w:t xml:space="preserve">"Our basic philosophy was that every person can ensure at least one meal a day. We cooperate with the </w:t>
      </w:r>
      <w:r w:rsidR="00C720B8" w:rsidRPr="00AC787C">
        <w:t>Municipality</w:t>
      </w:r>
      <w:r w:rsidRPr="00AC787C">
        <w:t xml:space="preserve"> of Athens which has bestowed us room for food distribution. In other neighborhoods there are volunteers, the priests and parish commissioners, who assume this mission. It is telling that before the crisis strike 80% to 90% of people participating in soup kitchens of the Municipality of Athens were immigrants</w:t>
      </w:r>
      <w:r w:rsidR="00576871" w:rsidRPr="00AC787C">
        <w:t>,</w:t>
      </w:r>
      <w:r w:rsidRPr="00AC787C">
        <w:t xml:space="preserve"> while the number of immigrants involved in soup kitchens of the Greek parishes were minimal and counted on the fingers. Today, three years after the economic crisis, the percentage of Greeks involved in soup kitchens of the Athens Municipality is 40% while in parishes has reached 90%” (father PH, director of the Charity Fund of the Archdiocese, 9/10/2012).</w:t>
      </w:r>
    </w:p>
    <w:p w:rsidR="00650351" w:rsidRPr="00EA1CD8" w:rsidRDefault="00650351" w:rsidP="00AC787C">
      <w:pPr>
        <w:spacing w:after="120" w:line="276" w:lineRule="auto"/>
        <w:rPr>
          <w:rFonts w:cs="Arial"/>
          <w:lang w:val="en-US"/>
        </w:rPr>
      </w:pPr>
      <w:r w:rsidRPr="00EA1CD8">
        <w:rPr>
          <w:rFonts w:cs="Arial"/>
          <w:lang w:val="en-US"/>
        </w:rPr>
        <w:t xml:space="preserve">Apart from the distribution of soup kitchens, the </w:t>
      </w:r>
      <w:r w:rsidRPr="00EA1CD8">
        <w:rPr>
          <w:rStyle w:val="alt-edited"/>
          <w:rFonts w:cs="Arial"/>
          <w:lang w:val="en-US"/>
        </w:rPr>
        <w:t>Archbishopric</w:t>
      </w:r>
      <w:r w:rsidRPr="00EA1CD8">
        <w:rPr>
          <w:rFonts w:cs="Arial"/>
          <w:lang w:val="en-US"/>
        </w:rPr>
        <w:t xml:space="preserve"> of Athens operates in housing persons belonging to vulnerable social groups like the elderly and children. In this context, </w:t>
      </w:r>
      <w:r w:rsidRPr="00EA1CD8">
        <w:rPr>
          <w:rStyle w:val="alt-edited"/>
          <w:rFonts w:cs="Arial"/>
          <w:lang w:val="en-US"/>
        </w:rPr>
        <w:t xml:space="preserve">Archbishopric of Athens operates in its responsibility area </w:t>
      </w:r>
      <w:r w:rsidRPr="00EA1CD8">
        <w:rPr>
          <w:rFonts w:cs="Arial"/>
          <w:lang w:val="en-US"/>
        </w:rPr>
        <w:t>(fifteen municipalities and the City of Athens) sixteen retirement home, two nurseries, one foundling hospital and two shelters for children with mental retardation. The financing of the actions of the Church, such as the soup kitchen relies on resources of the Church itself and sometimes on other financing sources such as foundations for children funded through the NSRF (National Strategic Reference Framework). Yet, the funding flows from other agencies (e.g. donations from individuals) and resources (properties that remain vacant due to the crisis) have been significantly reduced while operating costs of foundations are steadily increasing as the state impose</w:t>
      </w:r>
      <w:r>
        <w:rPr>
          <w:rFonts w:cs="Arial"/>
          <w:lang w:val="en-US"/>
        </w:rPr>
        <w:t>s</w:t>
      </w:r>
      <w:r w:rsidRPr="00EA1CD8">
        <w:rPr>
          <w:rFonts w:cs="Arial"/>
          <w:lang w:val="en-US"/>
        </w:rPr>
        <w:t xml:space="preserve"> more and higher taxes for public goods (e.g. electricity). At the same time, while efficient partnerships with various organizations in undertaking joint actions (e</w:t>
      </w:r>
      <w:r>
        <w:rPr>
          <w:rFonts w:cs="Arial"/>
          <w:lang w:val="en-US"/>
        </w:rPr>
        <w:t>.</w:t>
      </w:r>
      <w:r w:rsidRPr="00EA1CD8">
        <w:rPr>
          <w:rFonts w:cs="Arial"/>
          <w:lang w:val="en-US"/>
        </w:rPr>
        <w:t>g</w:t>
      </w:r>
      <w:r>
        <w:rPr>
          <w:rFonts w:cs="Arial"/>
          <w:lang w:val="en-US"/>
        </w:rPr>
        <w:t>.</w:t>
      </w:r>
      <w:r w:rsidRPr="00EA1CD8">
        <w:rPr>
          <w:rFonts w:cs="Arial"/>
          <w:lang w:val="en-US"/>
        </w:rPr>
        <w:t xml:space="preserve"> with the Municipality of Athens for the soup kitchen) are in progress, significant problems of cooperation with the same body in another action for fighting social exclusion may arise. This is the case of </w:t>
      </w:r>
      <w:r w:rsidRPr="00EA1CD8">
        <w:rPr>
          <w:rStyle w:val="hps"/>
          <w:rFonts w:cs="Arial"/>
          <w:lang w:val="en-US"/>
        </w:rPr>
        <w:t>the Archbis</w:t>
      </w:r>
      <w:r w:rsidRPr="00EA1CD8">
        <w:rPr>
          <w:rStyle w:val="alt-edited"/>
          <w:rFonts w:cs="Arial"/>
          <w:lang w:val="en-US"/>
        </w:rPr>
        <w:t>hopric</w:t>
      </w:r>
      <w:r w:rsidRPr="00EA1CD8">
        <w:rPr>
          <w:rStyle w:val="longtext"/>
          <w:rFonts w:cs="Arial"/>
          <w:lang w:val="en-US"/>
        </w:rPr>
        <w:t xml:space="preserve"> </w:t>
      </w:r>
      <w:r w:rsidRPr="00EA1CD8">
        <w:rPr>
          <w:rStyle w:val="hps"/>
          <w:rFonts w:cs="Arial"/>
          <w:lang w:val="en-US"/>
        </w:rPr>
        <w:t>plan</w:t>
      </w:r>
      <w:r w:rsidRPr="00EA1CD8">
        <w:rPr>
          <w:rStyle w:val="longtext"/>
          <w:rFonts w:cs="Arial"/>
          <w:lang w:val="en-US"/>
        </w:rPr>
        <w:t xml:space="preserve"> </w:t>
      </w:r>
      <w:r w:rsidRPr="00EA1CD8">
        <w:rPr>
          <w:rStyle w:val="hps"/>
          <w:rFonts w:cs="Arial"/>
          <w:lang w:val="en-US"/>
        </w:rPr>
        <w:t>to</w:t>
      </w:r>
      <w:r w:rsidRPr="00EA1CD8">
        <w:rPr>
          <w:rStyle w:val="longtext"/>
          <w:rFonts w:cs="Arial"/>
          <w:lang w:val="en-US"/>
        </w:rPr>
        <w:t xml:space="preserve"> </w:t>
      </w:r>
      <w:r w:rsidRPr="00EA1CD8">
        <w:rPr>
          <w:rStyle w:val="hps"/>
          <w:rFonts w:cs="Arial"/>
          <w:lang w:val="en-US"/>
        </w:rPr>
        <w:t>convert</w:t>
      </w:r>
      <w:r w:rsidRPr="00EA1CD8">
        <w:rPr>
          <w:rStyle w:val="longtext"/>
          <w:rFonts w:cs="Arial"/>
          <w:lang w:val="en-US"/>
        </w:rPr>
        <w:t xml:space="preserve"> </w:t>
      </w:r>
      <w:r w:rsidRPr="00EA1CD8">
        <w:rPr>
          <w:rStyle w:val="hps"/>
          <w:rFonts w:cs="Arial"/>
          <w:lang w:val="en-US"/>
        </w:rPr>
        <w:t>an empty</w:t>
      </w:r>
      <w:r w:rsidRPr="00EA1CD8">
        <w:rPr>
          <w:rStyle w:val="longtext"/>
          <w:rFonts w:cs="Arial"/>
          <w:lang w:val="en-US"/>
        </w:rPr>
        <w:t xml:space="preserve"> </w:t>
      </w:r>
      <w:r w:rsidRPr="00EA1CD8">
        <w:rPr>
          <w:rStyle w:val="hps"/>
          <w:rFonts w:cs="Arial"/>
          <w:lang w:val="en-US"/>
        </w:rPr>
        <w:t>hotel of its property</w:t>
      </w:r>
      <w:r w:rsidRPr="00EA1CD8">
        <w:rPr>
          <w:rStyle w:val="longtext"/>
          <w:rFonts w:cs="Arial"/>
          <w:lang w:val="en-US"/>
        </w:rPr>
        <w:t xml:space="preserve"> </w:t>
      </w:r>
      <w:r w:rsidRPr="00EA1CD8">
        <w:rPr>
          <w:rStyle w:val="hps"/>
          <w:rFonts w:cs="Arial"/>
          <w:lang w:val="en-US"/>
        </w:rPr>
        <w:t>into a homeless shelter.</w:t>
      </w:r>
      <w:r w:rsidRPr="00EA1CD8">
        <w:rPr>
          <w:rFonts w:cs="Arial"/>
          <w:lang w:val="en-US"/>
        </w:rPr>
        <w:t xml:space="preserve"> As explained by the head of the </w:t>
      </w:r>
      <w:r w:rsidRPr="00EA1CD8">
        <w:rPr>
          <w:rStyle w:val="hps"/>
          <w:rFonts w:cs="Arial"/>
          <w:lang w:val="en-US"/>
        </w:rPr>
        <w:t>Archbis</w:t>
      </w:r>
      <w:r w:rsidRPr="00EA1CD8">
        <w:rPr>
          <w:rStyle w:val="alt-edited"/>
          <w:rFonts w:cs="Arial"/>
          <w:lang w:val="en-US"/>
        </w:rPr>
        <w:t>hopric</w:t>
      </w:r>
      <w:r w:rsidRPr="00EA1CD8">
        <w:rPr>
          <w:rFonts w:cs="Arial"/>
          <w:lang w:val="en-US"/>
        </w:rPr>
        <w:t>:</w:t>
      </w:r>
    </w:p>
    <w:p w:rsidR="00650351" w:rsidRPr="00AC787C" w:rsidRDefault="00650351" w:rsidP="00AC787C">
      <w:pPr>
        <w:spacing w:before="240" w:after="240" w:line="240" w:lineRule="auto"/>
        <w:ind w:left="567"/>
      </w:pPr>
      <w:r w:rsidRPr="00AC787C">
        <w:t>"We encountered great difficulties and the matter has not progressed. We had objections from many organizations including the Ministry of Health that has put hygiene issues, the Ministry of Public Order that raised delinquency issues as many of the homeless are users of addictive substances and the surrounding area would become drug market, and the City of Athens that raised fears of creating a small ghetto. Generally we better cooperate with individuals and with regional municipalities wherein our parishes belong to rather than with larger, more cumbersome and bureaucratic government structures“(director of the Charity Fund of the Archdiocese, 9/10/2012)</w:t>
      </w:r>
    </w:p>
    <w:p w:rsidR="00650351" w:rsidRDefault="00650351" w:rsidP="00AC787C">
      <w:pPr>
        <w:spacing w:after="120" w:line="276" w:lineRule="auto"/>
        <w:rPr>
          <w:rFonts w:cs="Arial"/>
          <w:lang w:val="en-US"/>
        </w:rPr>
      </w:pPr>
      <w:r w:rsidRPr="007547C3">
        <w:rPr>
          <w:rStyle w:val="atn"/>
          <w:rFonts w:cs="Arial"/>
          <w:i/>
          <w:lang w:val="en-US"/>
        </w:rPr>
        <w:lastRenderedPageBreak/>
        <w:t>Klimaka</w:t>
      </w:r>
      <w:r w:rsidRPr="00EA1CD8">
        <w:rPr>
          <w:rStyle w:val="longtext"/>
          <w:rFonts w:cs="Arial"/>
          <w:lang w:val="en-US"/>
        </w:rPr>
        <w:t xml:space="preserve"> is active </w:t>
      </w:r>
      <w:r w:rsidRPr="00EA1CD8">
        <w:rPr>
          <w:rStyle w:val="hps"/>
          <w:rFonts w:cs="Arial"/>
          <w:lang w:val="en-US"/>
        </w:rPr>
        <w:t>in addressing</w:t>
      </w:r>
      <w:r w:rsidRPr="00EA1CD8">
        <w:rPr>
          <w:rStyle w:val="longtext"/>
          <w:rFonts w:cs="Arial"/>
          <w:lang w:val="en-US"/>
        </w:rPr>
        <w:t xml:space="preserve"> </w:t>
      </w:r>
      <w:r w:rsidRPr="00EA1CD8">
        <w:rPr>
          <w:rStyle w:val="hps"/>
          <w:rFonts w:cs="Arial"/>
          <w:lang w:val="en-US"/>
        </w:rPr>
        <w:t>the phenomenon of</w:t>
      </w:r>
      <w:r w:rsidRPr="00EA1CD8">
        <w:rPr>
          <w:rStyle w:val="longtext"/>
          <w:rFonts w:cs="Arial"/>
          <w:lang w:val="en-US"/>
        </w:rPr>
        <w:t xml:space="preserve"> </w:t>
      </w:r>
      <w:r w:rsidRPr="00EA1CD8">
        <w:rPr>
          <w:rStyle w:val="hps"/>
          <w:rFonts w:cs="Arial"/>
          <w:lang w:val="en-US"/>
        </w:rPr>
        <w:t>newly homeless</w:t>
      </w:r>
      <w:r w:rsidRPr="00EA1CD8">
        <w:rPr>
          <w:rStyle w:val="longtext"/>
          <w:rFonts w:cs="Arial"/>
          <w:lang w:val="en-US"/>
        </w:rPr>
        <w:t xml:space="preserve"> </w:t>
      </w:r>
      <w:r w:rsidRPr="00EA1CD8">
        <w:rPr>
          <w:rStyle w:val="hps"/>
          <w:rFonts w:cs="Arial"/>
          <w:lang w:val="en-US"/>
        </w:rPr>
        <w:t>and</w:t>
      </w:r>
      <w:r w:rsidRPr="00EA1CD8">
        <w:rPr>
          <w:rStyle w:val="longtext"/>
          <w:rFonts w:cs="Arial"/>
          <w:lang w:val="en-US"/>
        </w:rPr>
        <w:t xml:space="preserve"> </w:t>
      </w:r>
      <w:r w:rsidRPr="00EA1CD8">
        <w:rPr>
          <w:rStyle w:val="hps"/>
          <w:rFonts w:cs="Arial"/>
          <w:lang w:val="en-US"/>
        </w:rPr>
        <w:t>mentally ill.</w:t>
      </w:r>
      <w:r w:rsidRPr="00EA1CD8">
        <w:rPr>
          <w:rStyle w:val="longtext"/>
          <w:rFonts w:cs="Arial"/>
          <w:lang w:val="en-US"/>
        </w:rPr>
        <w:t xml:space="preserve"> </w:t>
      </w:r>
      <w:r w:rsidRPr="00EA1CD8">
        <w:rPr>
          <w:rStyle w:val="hps"/>
          <w:rFonts w:cs="Arial"/>
          <w:lang w:val="en-US"/>
        </w:rPr>
        <w:t>The</w:t>
      </w:r>
      <w:r w:rsidRPr="00EA1CD8">
        <w:rPr>
          <w:rStyle w:val="longtext"/>
          <w:rFonts w:cs="Arial"/>
          <w:lang w:val="en-US"/>
        </w:rPr>
        <w:t xml:space="preserve"> </w:t>
      </w:r>
      <w:r w:rsidRPr="00EA1CD8">
        <w:rPr>
          <w:rStyle w:val="hps"/>
          <w:rFonts w:cs="Arial"/>
          <w:lang w:val="en-US"/>
        </w:rPr>
        <w:t>action is</w:t>
      </w:r>
      <w:r w:rsidRPr="00EA1CD8">
        <w:rPr>
          <w:rStyle w:val="longtext"/>
          <w:rFonts w:cs="Arial"/>
          <w:lang w:val="en-US"/>
        </w:rPr>
        <w:t xml:space="preserve"> </w:t>
      </w:r>
      <w:r w:rsidRPr="00EA1CD8">
        <w:rPr>
          <w:rStyle w:val="hps"/>
          <w:rFonts w:cs="Arial"/>
          <w:lang w:val="en-US"/>
        </w:rPr>
        <w:t xml:space="preserve">nationwide </w:t>
      </w:r>
      <w:r w:rsidR="007547C3">
        <w:rPr>
          <w:rStyle w:val="longtext"/>
          <w:rFonts w:cs="Arial"/>
          <w:lang w:val="en-US"/>
        </w:rPr>
        <w:t>concerning</w:t>
      </w:r>
      <w:r w:rsidRPr="00EA1CD8">
        <w:rPr>
          <w:rStyle w:val="longtext"/>
          <w:rFonts w:cs="Arial"/>
          <w:lang w:val="en-US"/>
        </w:rPr>
        <w:t xml:space="preserve"> </w:t>
      </w:r>
      <w:r w:rsidR="007547C3">
        <w:rPr>
          <w:rStyle w:val="hps"/>
          <w:rFonts w:cs="Arial"/>
          <w:lang w:val="en-US"/>
        </w:rPr>
        <w:t>seven</w:t>
      </w:r>
      <w:r w:rsidRPr="00EA1CD8">
        <w:rPr>
          <w:rStyle w:val="longtext"/>
          <w:rFonts w:cs="Arial"/>
          <w:lang w:val="en-US"/>
        </w:rPr>
        <w:t xml:space="preserve"> internship for </w:t>
      </w:r>
      <w:r w:rsidRPr="00EA1CD8">
        <w:rPr>
          <w:rStyle w:val="hps"/>
          <w:rFonts w:cs="Arial"/>
          <w:lang w:val="en-US"/>
        </w:rPr>
        <w:t>psychiatric patients</w:t>
      </w:r>
      <w:r w:rsidRPr="00EA1CD8">
        <w:rPr>
          <w:rStyle w:val="longtext"/>
          <w:rFonts w:cs="Arial"/>
          <w:lang w:val="en-US"/>
        </w:rPr>
        <w:t xml:space="preserve"> </w:t>
      </w:r>
      <w:r w:rsidRPr="00EA1CD8">
        <w:rPr>
          <w:rStyle w:val="hps"/>
          <w:rFonts w:cs="Arial"/>
          <w:lang w:val="en-US"/>
        </w:rPr>
        <w:t>in different</w:t>
      </w:r>
      <w:r w:rsidRPr="00EA1CD8">
        <w:rPr>
          <w:rStyle w:val="longtext"/>
          <w:rFonts w:cs="Arial"/>
          <w:lang w:val="en-US"/>
        </w:rPr>
        <w:t xml:space="preserve"> </w:t>
      </w:r>
      <w:r w:rsidRPr="00EA1CD8">
        <w:rPr>
          <w:rStyle w:val="hps"/>
          <w:rFonts w:cs="Arial"/>
          <w:lang w:val="en-US"/>
        </w:rPr>
        <w:t>Greek cities</w:t>
      </w:r>
      <w:r w:rsidRPr="00EA1CD8">
        <w:rPr>
          <w:rStyle w:val="longtext"/>
          <w:rFonts w:cs="Arial"/>
          <w:lang w:val="en-US"/>
        </w:rPr>
        <w:t xml:space="preserve"> </w:t>
      </w:r>
      <w:r w:rsidRPr="00EA1CD8">
        <w:rPr>
          <w:rStyle w:val="hps"/>
          <w:rFonts w:cs="Arial"/>
          <w:lang w:val="en-US"/>
        </w:rPr>
        <w:t>hosting</w:t>
      </w:r>
      <w:r w:rsidRPr="00EA1CD8">
        <w:rPr>
          <w:rStyle w:val="longtext"/>
          <w:rFonts w:cs="Arial"/>
          <w:lang w:val="en-US"/>
        </w:rPr>
        <w:t xml:space="preserve"> </w:t>
      </w:r>
      <w:r w:rsidRPr="00EA1CD8">
        <w:rPr>
          <w:rStyle w:val="hps"/>
          <w:rFonts w:cs="Arial"/>
          <w:lang w:val="en-US"/>
        </w:rPr>
        <w:t>112 people</w:t>
      </w:r>
      <w:r w:rsidRPr="00EA1CD8">
        <w:rPr>
          <w:rStyle w:val="longtext"/>
          <w:rFonts w:cs="Arial"/>
          <w:lang w:val="en-US"/>
        </w:rPr>
        <w:t xml:space="preserve">, </w:t>
      </w:r>
      <w:r w:rsidR="007547C3">
        <w:rPr>
          <w:rStyle w:val="longtext"/>
          <w:rFonts w:cs="Arial"/>
          <w:lang w:val="en-US"/>
        </w:rPr>
        <w:t>one</w:t>
      </w:r>
      <w:r w:rsidRPr="00EA1CD8">
        <w:rPr>
          <w:rStyle w:val="longtext"/>
          <w:rFonts w:cs="Arial"/>
          <w:lang w:val="en-US"/>
        </w:rPr>
        <w:t xml:space="preserve"> </w:t>
      </w:r>
      <w:r w:rsidRPr="00EA1CD8">
        <w:rPr>
          <w:rStyle w:val="hps"/>
          <w:rFonts w:cs="Arial"/>
          <w:lang w:val="en-US"/>
        </w:rPr>
        <w:t>hostel for</w:t>
      </w:r>
      <w:r w:rsidRPr="00EA1CD8">
        <w:rPr>
          <w:rStyle w:val="longtext"/>
          <w:rFonts w:cs="Arial"/>
          <w:lang w:val="en-US"/>
        </w:rPr>
        <w:t xml:space="preserve"> </w:t>
      </w:r>
      <w:r w:rsidRPr="00EA1CD8">
        <w:rPr>
          <w:rStyle w:val="hps"/>
          <w:rFonts w:cs="Arial"/>
          <w:lang w:val="en-US"/>
        </w:rPr>
        <w:t>asylum seekers,</w:t>
      </w:r>
      <w:r w:rsidRPr="00EA1CD8">
        <w:rPr>
          <w:rStyle w:val="longtext"/>
          <w:rFonts w:cs="Arial"/>
          <w:lang w:val="en-US"/>
        </w:rPr>
        <w:t xml:space="preserve"> </w:t>
      </w:r>
      <w:r w:rsidR="007547C3">
        <w:rPr>
          <w:rStyle w:val="hps"/>
          <w:rFonts w:cs="Arial"/>
          <w:lang w:val="en-US"/>
        </w:rPr>
        <w:t>three</w:t>
      </w:r>
      <w:r w:rsidRPr="00EA1CD8">
        <w:rPr>
          <w:rStyle w:val="longtext"/>
          <w:rFonts w:cs="Arial"/>
          <w:lang w:val="en-US"/>
        </w:rPr>
        <w:t xml:space="preserve"> </w:t>
      </w:r>
      <w:r w:rsidRPr="00EA1CD8">
        <w:rPr>
          <w:rStyle w:val="hps"/>
          <w:rFonts w:cs="Arial"/>
          <w:lang w:val="en-US"/>
        </w:rPr>
        <w:t>day centers for</w:t>
      </w:r>
      <w:r w:rsidRPr="00EA1CD8">
        <w:rPr>
          <w:rStyle w:val="longtext"/>
          <w:rFonts w:cs="Arial"/>
          <w:lang w:val="en-US"/>
        </w:rPr>
        <w:t xml:space="preserve"> </w:t>
      </w:r>
      <w:r w:rsidRPr="00EA1CD8">
        <w:rPr>
          <w:rStyle w:val="hps"/>
          <w:rFonts w:cs="Arial"/>
          <w:lang w:val="en-US"/>
        </w:rPr>
        <w:t>mental</w:t>
      </w:r>
      <w:r w:rsidRPr="00EA1CD8">
        <w:rPr>
          <w:rStyle w:val="longtext"/>
          <w:rFonts w:cs="Arial"/>
          <w:lang w:val="en-US"/>
        </w:rPr>
        <w:t xml:space="preserve"> </w:t>
      </w:r>
      <w:r w:rsidR="007547C3">
        <w:rPr>
          <w:rStyle w:val="hps"/>
          <w:rFonts w:cs="Arial"/>
          <w:lang w:val="en-US"/>
        </w:rPr>
        <w:t>health problems</w:t>
      </w:r>
      <w:r w:rsidRPr="00EA1CD8">
        <w:rPr>
          <w:rStyle w:val="hps"/>
          <w:rFonts w:cs="Arial"/>
          <w:lang w:val="en-US"/>
        </w:rPr>
        <w:t xml:space="preserve"> (for </w:t>
      </w:r>
      <w:r w:rsidRPr="00EA1CD8">
        <w:rPr>
          <w:rStyle w:val="longtext"/>
          <w:rFonts w:cs="Arial"/>
          <w:lang w:val="en-US"/>
        </w:rPr>
        <w:t xml:space="preserve">general population, Roma, and Muslims), </w:t>
      </w:r>
      <w:r w:rsidR="007547C3">
        <w:rPr>
          <w:rStyle w:val="hps"/>
          <w:rFonts w:cs="Arial"/>
          <w:lang w:val="en-US"/>
        </w:rPr>
        <w:t>one</w:t>
      </w:r>
      <w:r w:rsidRPr="00EA1CD8">
        <w:rPr>
          <w:rStyle w:val="hps"/>
          <w:rFonts w:cs="Arial"/>
          <w:lang w:val="en-US"/>
        </w:rPr>
        <w:t xml:space="preserve"> mobile</w:t>
      </w:r>
      <w:r w:rsidRPr="00EA1CD8">
        <w:rPr>
          <w:rStyle w:val="longtext"/>
          <w:rFonts w:cs="Arial"/>
          <w:lang w:val="en-US"/>
        </w:rPr>
        <w:t xml:space="preserve"> </w:t>
      </w:r>
      <w:r w:rsidRPr="00EA1CD8">
        <w:rPr>
          <w:rStyle w:val="hps"/>
          <w:rFonts w:cs="Arial"/>
          <w:lang w:val="en-US"/>
        </w:rPr>
        <w:t>mental health unit</w:t>
      </w:r>
      <w:r w:rsidRPr="00EA1CD8">
        <w:rPr>
          <w:rStyle w:val="longtext"/>
          <w:rFonts w:cs="Arial"/>
          <w:lang w:val="en-US"/>
        </w:rPr>
        <w:t xml:space="preserve"> </w:t>
      </w:r>
      <w:r w:rsidRPr="00EA1CD8">
        <w:rPr>
          <w:rStyle w:val="hps"/>
          <w:rFonts w:cs="Arial"/>
          <w:lang w:val="en-US"/>
        </w:rPr>
        <w:t>in the Cyclades</w:t>
      </w:r>
      <w:r w:rsidRPr="00EA1CD8">
        <w:rPr>
          <w:rStyle w:val="longtext"/>
          <w:rFonts w:cs="Arial"/>
          <w:lang w:val="en-US"/>
        </w:rPr>
        <w:t xml:space="preserve"> </w:t>
      </w:r>
      <w:r w:rsidRPr="00EA1CD8">
        <w:rPr>
          <w:rStyle w:val="hps"/>
          <w:rFonts w:cs="Arial"/>
          <w:lang w:val="en-US"/>
        </w:rPr>
        <w:t xml:space="preserve">, </w:t>
      </w:r>
      <w:r w:rsidR="007547C3">
        <w:rPr>
          <w:rStyle w:val="hps"/>
          <w:rFonts w:cs="Arial"/>
          <w:lang w:val="en-US"/>
        </w:rPr>
        <w:t xml:space="preserve">one </w:t>
      </w:r>
      <w:r w:rsidRPr="00EA1CD8">
        <w:rPr>
          <w:rStyle w:val="hps"/>
          <w:rFonts w:cs="Arial"/>
          <w:lang w:val="en-US"/>
        </w:rPr>
        <w:t xml:space="preserve"> day center</w:t>
      </w:r>
      <w:r w:rsidRPr="00EA1CD8">
        <w:rPr>
          <w:rStyle w:val="longtext"/>
          <w:rFonts w:cs="Arial"/>
          <w:lang w:val="en-US"/>
        </w:rPr>
        <w:t xml:space="preserve"> </w:t>
      </w:r>
      <w:r w:rsidRPr="00EA1CD8">
        <w:rPr>
          <w:rStyle w:val="hps"/>
          <w:rFonts w:cs="Arial"/>
          <w:lang w:val="en-US"/>
        </w:rPr>
        <w:t>for suicide</w:t>
      </w:r>
      <w:r w:rsidRPr="00EA1CD8">
        <w:rPr>
          <w:rStyle w:val="longtext"/>
          <w:rFonts w:cs="Arial"/>
          <w:lang w:val="en-US"/>
        </w:rPr>
        <w:t xml:space="preserve"> </w:t>
      </w:r>
      <w:r w:rsidRPr="00EA1CD8">
        <w:rPr>
          <w:rStyle w:val="hps"/>
          <w:rFonts w:cs="Arial"/>
          <w:lang w:val="en-US"/>
        </w:rPr>
        <w:t>prevention</w:t>
      </w:r>
      <w:r w:rsidRPr="00EA1CD8">
        <w:rPr>
          <w:rStyle w:val="longtext"/>
          <w:rFonts w:cs="Arial"/>
          <w:lang w:val="en-US"/>
        </w:rPr>
        <w:t xml:space="preserve"> </w:t>
      </w:r>
      <w:r w:rsidRPr="00EA1CD8">
        <w:rPr>
          <w:rStyle w:val="hps"/>
          <w:rFonts w:cs="Arial"/>
          <w:lang w:val="en-US"/>
        </w:rPr>
        <w:t xml:space="preserve">and </w:t>
      </w:r>
      <w:r w:rsidR="007547C3">
        <w:rPr>
          <w:rStyle w:val="hps"/>
          <w:rFonts w:cs="Arial"/>
          <w:lang w:val="en-US"/>
        </w:rPr>
        <w:t>one</w:t>
      </w:r>
      <w:r w:rsidRPr="00EA1CD8">
        <w:rPr>
          <w:rStyle w:val="hps"/>
          <w:rFonts w:cs="Arial"/>
          <w:lang w:val="en-US"/>
        </w:rPr>
        <w:t xml:space="preserve"> center for</w:t>
      </w:r>
      <w:r w:rsidRPr="00EA1CD8">
        <w:rPr>
          <w:rStyle w:val="longtext"/>
          <w:rFonts w:cs="Arial"/>
          <w:lang w:val="en-US"/>
        </w:rPr>
        <w:t xml:space="preserve"> </w:t>
      </w:r>
      <w:r w:rsidRPr="00EA1CD8">
        <w:rPr>
          <w:rStyle w:val="hps"/>
          <w:rFonts w:cs="Arial"/>
          <w:lang w:val="en-US"/>
        </w:rPr>
        <w:t>homeless</w:t>
      </w:r>
      <w:r w:rsidRPr="00EA1CD8">
        <w:rPr>
          <w:rStyle w:val="longtext"/>
          <w:rFonts w:cs="Arial"/>
          <w:lang w:val="en-US"/>
        </w:rPr>
        <w:t xml:space="preserve"> care </w:t>
      </w:r>
      <w:r w:rsidRPr="00EA1CD8">
        <w:rPr>
          <w:rStyle w:val="hps"/>
          <w:rFonts w:cs="Arial"/>
          <w:lang w:val="en-US"/>
        </w:rPr>
        <w:t>in Athens that serves</w:t>
      </w:r>
      <w:r w:rsidRPr="00EA1CD8">
        <w:rPr>
          <w:rStyle w:val="longtext"/>
          <w:rFonts w:cs="Arial"/>
          <w:lang w:val="en-US"/>
        </w:rPr>
        <w:t xml:space="preserve"> daily </w:t>
      </w:r>
      <w:r w:rsidRPr="00EA1CD8">
        <w:rPr>
          <w:rStyle w:val="hps"/>
          <w:rFonts w:cs="Arial"/>
          <w:lang w:val="en-US"/>
        </w:rPr>
        <w:t>120 people</w:t>
      </w:r>
      <w:r w:rsidRPr="00EA1CD8">
        <w:rPr>
          <w:rStyle w:val="longtext"/>
          <w:rFonts w:cs="Arial"/>
          <w:lang w:val="en-US"/>
        </w:rPr>
        <w:t xml:space="preserve"> </w:t>
      </w:r>
      <w:r w:rsidRPr="00EA1CD8">
        <w:rPr>
          <w:rStyle w:val="hps"/>
          <w:rFonts w:cs="Arial"/>
          <w:lang w:val="en-US"/>
        </w:rPr>
        <w:t>visiting</w:t>
      </w:r>
      <w:r w:rsidRPr="00EA1CD8">
        <w:rPr>
          <w:rStyle w:val="longtext"/>
          <w:rFonts w:cs="Arial"/>
          <w:lang w:val="en-US"/>
        </w:rPr>
        <w:t xml:space="preserve"> </w:t>
      </w:r>
      <w:r w:rsidRPr="00EA1CD8">
        <w:rPr>
          <w:rStyle w:val="hps"/>
          <w:rFonts w:cs="Arial"/>
          <w:lang w:val="en-US"/>
        </w:rPr>
        <w:t>welfare services</w:t>
      </w:r>
      <w:r w:rsidRPr="00EA1CD8">
        <w:rPr>
          <w:rStyle w:val="longtext"/>
          <w:rFonts w:cs="Arial"/>
          <w:lang w:val="en-US"/>
        </w:rPr>
        <w:t xml:space="preserve"> </w:t>
      </w:r>
      <w:r w:rsidRPr="00EA1CD8">
        <w:rPr>
          <w:rStyle w:val="hps"/>
          <w:rFonts w:cs="Arial"/>
          <w:lang w:val="en-US"/>
        </w:rPr>
        <w:t>(</w:t>
      </w:r>
      <w:r w:rsidRPr="00EA1CD8">
        <w:rPr>
          <w:rStyle w:val="longtext"/>
          <w:rFonts w:cs="Arial"/>
          <w:lang w:val="en-US"/>
        </w:rPr>
        <w:t>medicines, medical care</w:t>
      </w:r>
      <w:r w:rsidRPr="00EA1CD8">
        <w:rPr>
          <w:rStyle w:val="hps"/>
          <w:rFonts w:cs="Arial"/>
          <w:lang w:val="en-US"/>
        </w:rPr>
        <w:t>,</w:t>
      </w:r>
      <w:r w:rsidRPr="00EA1CD8">
        <w:rPr>
          <w:rStyle w:val="longtext"/>
          <w:rFonts w:cs="Arial"/>
          <w:lang w:val="en-US"/>
        </w:rPr>
        <w:t xml:space="preserve"> </w:t>
      </w:r>
      <w:r w:rsidRPr="00EA1CD8">
        <w:rPr>
          <w:rStyle w:val="hps"/>
          <w:rFonts w:cs="Arial"/>
          <w:lang w:val="en-US"/>
        </w:rPr>
        <w:t>laundry,</w:t>
      </w:r>
      <w:r w:rsidRPr="00EA1CD8">
        <w:rPr>
          <w:rStyle w:val="longtext"/>
          <w:rFonts w:cs="Arial"/>
          <w:lang w:val="en-US"/>
        </w:rPr>
        <w:t xml:space="preserve"> </w:t>
      </w:r>
      <w:r w:rsidRPr="00EA1CD8">
        <w:rPr>
          <w:rStyle w:val="hps"/>
          <w:rFonts w:cs="Arial"/>
          <w:lang w:val="en-US"/>
        </w:rPr>
        <w:t>etc.)</w:t>
      </w:r>
      <w:r w:rsidRPr="00EA1CD8">
        <w:rPr>
          <w:rStyle w:val="longtext"/>
          <w:rFonts w:cs="Arial"/>
          <w:lang w:val="en-US"/>
        </w:rPr>
        <w:t xml:space="preserve"> </w:t>
      </w:r>
      <w:r w:rsidRPr="00EA1CD8">
        <w:rPr>
          <w:rStyle w:val="hps"/>
          <w:rFonts w:cs="Arial"/>
          <w:lang w:val="en-US"/>
        </w:rPr>
        <w:t>and can accommodate</w:t>
      </w:r>
      <w:r w:rsidRPr="00EA1CD8">
        <w:rPr>
          <w:rStyle w:val="longtext"/>
          <w:rFonts w:cs="Arial"/>
          <w:lang w:val="en-US"/>
        </w:rPr>
        <w:t xml:space="preserve"> </w:t>
      </w:r>
      <w:r w:rsidRPr="00EA1CD8">
        <w:rPr>
          <w:rStyle w:val="hps"/>
          <w:rFonts w:cs="Arial"/>
          <w:lang w:val="en-US"/>
        </w:rPr>
        <w:t xml:space="preserve">up to 15 people, and </w:t>
      </w:r>
      <w:r w:rsidRPr="00EA1CD8">
        <w:rPr>
          <w:rStyle w:val="longtext"/>
          <w:rFonts w:cs="Arial"/>
          <w:lang w:val="en-US"/>
        </w:rPr>
        <w:t xml:space="preserve"> </w:t>
      </w:r>
      <w:r w:rsidRPr="00EA1CD8">
        <w:rPr>
          <w:rStyle w:val="hps"/>
          <w:rFonts w:cs="Arial"/>
          <w:lang w:val="en-US"/>
        </w:rPr>
        <w:t>in extraordinary</w:t>
      </w:r>
      <w:r w:rsidRPr="00EA1CD8">
        <w:rPr>
          <w:rStyle w:val="longtext"/>
          <w:rFonts w:cs="Arial"/>
          <w:lang w:val="en-US"/>
        </w:rPr>
        <w:t xml:space="preserve"> </w:t>
      </w:r>
      <w:r w:rsidRPr="00EA1CD8">
        <w:rPr>
          <w:rStyle w:val="hps"/>
          <w:rFonts w:cs="Arial"/>
          <w:lang w:val="en-US"/>
        </w:rPr>
        <w:t>circumstances (cold,</w:t>
      </w:r>
      <w:r w:rsidRPr="00EA1CD8">
        <w:rPr>
          <w:rStyle w:val="longtext"/>
          <w:rFonts w:cs="Arial"/>
          <w:lang w:val="en-US"/>
        </w:rPr>
        <w:t xml:space="preserve"> </w:t>
      </w:r>
      <w:r w:rsidRPr="00EA1CD8">
        <w:rPr>
          <w:rStyle w:val="hps"/>
          <w:rFonts w:cs="Arial"/>
          <w:lang w:val="en-US"/>
        </w:rPr>
        <w:t>snow)</w:t>
      </w:r>
      <w:r w:rsidRPr="00EA1CD8">
        <w:rPr>
          <w:rStyle w:val="longtext"/>
          <w:rFonts w:cs="Arial"/>
          <w:lang w:val="en-US"/>
        </w:rPr>
        <w:t xml:space="preserve"> </w:t>
      </w:r>
      <w:r w:rsidRPr="00EA1CD8">
        <w:rPr>
          <w:rStyle w:val="hps"/>
          <w:rFonts w:cs="Arial"/>
          <w:lang w:val="en-US"/>
        </w:rPr>
        <w:t>from 45 to 50</w:t>
      </w:r>
      <w:r w:rsidRPr="00EA1CD8">
        <w:rPr>
          <w:rStyle w:val="longtext"/>
          <w:rFonts w:cs="Arial"/>
          <w:lang w:val="en-US"/>
        </w:rPr>
        <w:t xml:space="preserve"> </w:t>
      </w:r>
      <w:r w:rsidRPr="00EA1CD8">
        <w:rPr>
          <w:rStyle w:val="hps"/>
          <w:rFonts w:cs="Arial"/>
          <w:lang w:val="en-US"/>
        </w:rPr>
        <w:t>people.</w:t>
      </w:r>
      <w:r w:rsidRPr="00EA1CD8">
        <w:rPr>
          <w:rStyle w:val="atn"/>
          <w:rFonts w:cs="Arial"/>
          <w:lang w:val="en-US"/>
        </w:rPr>
        <w:t xml:space="preserve"> </w:t>
      </w:r>
      <w:r w:rsidRPr="00EA1CD8">
        <w:rPr>
          <w:rStyle w:val="hps"/>
          <w:rFonts w:cs="Arial"/>
          <w:lang w:val="en-US"/>
        </w:rPr>
        <w:t>Unlike</w:t>
      </w:r>
      <w:r w:rsidRPr="00EA1CD8">
        <w:rPr>
          <w:rStyle w:val="longtext"/>
          <w:rFonts w:cs="Arial"/>
          <w:lang w:val="en-US"/>
        </w:rPr>
        <w:t xml:space="preserve"> </w:t>
      </w:r>
      <w:r w:rsidR="007547C3">
        <w:rPr>
          <w:rStyle w:val="longtext"/>
          <w:rFonts w:cs="Arial"/>
          <w:lang w:val="en-US"/>
        </w:rPr>
        <w:t xml:space="preserve">homeless </w:t>
      </w:r>
      <w:r w:rsidRPr="00EA1CD8">
        <w:rPr>
          <w:rStyle w:val="hps"/>
          <w:rFonts w:cs="Arial"/>
          <w:lang w:val="en-US"/>
        </w:rPr>
        <w:t xml:space="preserve">people </w:t>
      </w:r>
      <w:r w:rsidR="007547C3">
        <w:rPr>
          <w:rStyle w:val="hps"/>
          <w:rFonts w:cs="Arial"/>
          <w:lang w:val="en-US"/>
        </w:rPr>
        <w:t>in the past</w:t>
      </w:r>
      <w:r w:rsidRPr="00EA1CD8">
        <w:rPr>
          <w:rStyle w:val="longtext"/>
          <w:rFonts w:cs="Arial"/>
          <w:lang w:val="en-US"/>
        </w:rPr>
        <w:t xml:space="preserve">, </w:t>
      </w:r>
      <w:r w:rsidRPr="00EA1CD8">
        <w:rPr>
          <w:rStyle w:val="hps"/>
          <w:rFonts w:cs="Arial"/>
          <w:lang w:val="en-US"/>
        </w:rPr>
        <w:t>in most cases</w:t>
      </w:r>
      <w:r w:rsidRPr="00EA1CD8">
        <w:rPr>
          <w:rStyle w:val="longtext"/>
          <w:rFonts w:cs="Arial"/>
          <w:lang w:val="en-US"/>
        </w:rPr>
        <w:t xml:space="preserve"> </w:t>
      </w:r>
      <w:r w:rsidRPr="00EA1CD8">
        <w:rPr>
          <w:rStyle w:val="hps"/>
          <w:rFonts w:cs="Arial"/>
          <w:lang w:val="en-US"/>
        </w:rPr>
        <w:t>characterized</w:t>
      </w:r>
      <w:r w:rsidRPr="00EA1CD8">
        <w:rPr>
          <w:rStyle w:val="longtext"/>
          <w:rFonts w:cs="Arial"/>
          <w:lang w:val="en-US"/>
        </w:rPr>
        <w:t xml:space="preserve"> </w:t>
      </w:r>
      <w:r w:rsidRPr="00EA1CD8">
        <w:rPr>
          <w:rStyle w:val="hps"/>
          <w:rFonts w:cs="Arial"/>
          <w:lang w:val="en-US"/>
        </w:rPr>
        <w:t>by mental</w:t>
      </w:r>
      <w:r w:rsidRPr="00EA1CD8">
        <w:rPr>
          <w:rStyle w:val="longtext"/>
          <w:rFonts w:cs="Arial"/>
          <w:lang w:val="en-US"/>
        </w:rPr>
        <w:t xml:space="preserve"> </w:t>
      </w:r>
      <w:r w:rsidRPr="00EA1CD8">
        <w:rPr>
          <w:rStyle w:val="hps"/>
          <w:rFonts w:cs="Arial"/>
          <w:lang w:val="en-US"/>
        </w:rPr>
        <w:t>disorders,</w:t>
      </w:r>
      <w:r w:rsidRPr="00EA1CD8">
        <w:rPr>
          <w:rStyle w:val="longtext"/>
          <w:rFonts w:cs="Arial"/>
          <w:lang w:val="en-US"/>
        </w:rPr>
        <w:t xml:space="preserve"> </w:t>
      </w:r>
      <w:r w:rsidRPr="00EA1CD8">
        <w:rPr>
          <w:rStyle w:val="hps"/>
          <w:rFonts w:cs="Arial"/>
          <w:lang w:val="en-US"/>
        </w:rPr>
        <w:t>low educational</w:t>
      </w:r>
      <w:r w:rsidRPr="00EA1CD8">
        <w:rPr>
          <w:rStyle w:val="longtext"/>
          <w:rFonts w:cs="Arial"/>
          <w:lang w:val="en-US"/>
        </w:rPr>
        <w:t xml:space="preserve"> </w:t>
      </w:r>
      <w:r w:rsidRPr="00EA1CD8">
        <w:rPr>
          <w:rStyle w:val="hps"/>
          <w:rFonts w:cs="Arial"/>
          <w:lang w:val="en-US"/>
        </w:rPr>
        <w:t>level,</w:t>
      </w:r>
      <w:r w:rsidRPr="00EA1CD8">
        <w:rPr>
          <w:rStyle w:val="longtext"/>
          <w:rFonts w:cs="Arial"/>
          <w:lang w:val="en-US"/>
        </w:rPr>
        <w:t xml:space="preserve"> and </w:t>
      </w:r>
      <w:r w:rsidRPr="00EA1CD8">
        <w:rPr>
          <w:rStyle w:val="hps"/>
          <w:rFonts w:cs="Arial"/>
          <w:lang w:val="en-US"/>
        </w:rPr>
        <w:t>use of addictive substances</w:t>
      </w:r>
      <w:r w:rsidRPr="00EA1CD8">
        <w:rPr>
          <w:rStyle w:val="longtext"/>
          <w:rFonts w:cs="Arial"/>
          <w:lang w:val="en-US"/>
        </w:rPr>
        <w:t xml:space="preserve">, the profile </w:t>
      </w:r>
      <w:r w:rsidRPr="00EA1CD8">
        <w:rPr>
          <w:rStyle w:val="hps"/>
          <w:rFonts w:cs="Arial"/>
          <w:lang w:val="en-US"/>
        </w:rPr>
        <w:t>of today's</w:t>
      </w:r>
      <w:r w:rsidRPr="00EA1CD8">
        <w:rPr>
          <w:rStyle w:val="longtext"/>
          <w:rFonts w:cs="Arial"/>
          <w:lang w:val="en-US"/>
        </w:rPr>
        <w:t xml:space="preserve"> </w:t>
      </w:r>
      <w:r w:rsidRPr="00EA1CD8">
        <w:rPr>
          <w:rStyle w:val="hps"/>
          <w:rFonts w:cs="Arial"/>
          <w:lang w:val="en-US"/>
        </w:rPr>
        <w:t>homeless</w:t>
      </w:r>
      <w:r w:rsidRPr="00EA1CD8">
        <w:rPr>
          <w:rStyle w:val="longtext"/>
          <w:rFonts w:cs="Arial"/>
          <w:lang w:val="en-US"/>
        </w:rPr>
        <w:t xml:space="preserve"> </w:t>
      </w:r>
      <w:r w:rsidRPr="00EA1CD8">
        <w:rPr>
          <w:rStyle w:val="hps"/>
          <w:rFonts w:cs="Arial"/>
          <w:lang w:val="en-US"/>
        </w:rPr>
        <w:t>population</w:t>
      </w:r>
      <w:r w:rsidRPr="00EA1CD8">
        <w:rPr>
          <w:rStyle w:val="longtext"/>
          <w:rFonts w:cs="Arial"/>
          <w:lang w:val="en-US"/>
        </w:rPr>
        <w:t xml:space="preserve"> </w:t>
      </w:r>
      <w:r w:rsidRPr="00EA1CD8">
        <w:rPr>
          <w:rStyle w:val="hps"/>
          <w:rFonts w:cs="Arial"/>
          <w:lang w:val="en-US"/>
        </w:rPr>
        <w:t>presents a major</w:t>
      </w:r>
      <w:r w:rsidRPr="00EA1CD8">
        <w:rPr>
          <w:rStyle w:val="longtext"/>
          <w:rFonts w:cs="Arial"/>
          <w:lang w:val="en-US"/>
        </w:rPr>
        <w:t xml:space="preserve"> </w:t>
      </w:r>
      <w:r w:rsidRPr="00EA1CD8">
        <w:rPr>
          <w:rStyle w:val="hps"/>
          <w:rFonts w:cs="Arial"/>
          <w:lang w:val="en-US"/>
        </w:rPr>
        <w:t xml:space="preserve">change; </w:t>
      </w:r>
      <w:r w:rsidR="007547C3">
        <w:rPr>
          <w:rStyle w:val="hps"/>
          <w:rFonts w:cs="Arial"/>
          <w:lang w:val="en-US"/>
        </w:rPr>
        <w:t xml:space="preserve">more and more </w:t>
      </w:r>
      <w:r w:rsidRPr="00EA1CD8">
        <w:rPr>
          <w:rStyle w:val="hps"/>
          <w:rFonts w:cs="Arial"/>
          <w:lang w:val="en-US"/>
        </w:rPr>
        <w:t>homeless people</w:t>
      </w:r>
      <w:r w:rsidRPr="00EA1CD8">
        <w:rPr>
          <w:rStyle w:val="longtext"/>
          <w:rFonts w:cs="Arial"/>
          <w:lang w:val="en-US"/>
        </w:rPr>
        <w:t xml:space="preserve"> </w:t>
      </w:r>
      <w:r w:rsidR="007547C3">
        <w:rPr>
          <w:rStyle w:val="hps"/>
          <w:rFonts w:cs="Arial"/>
          <w:lang w:val="en-US"/>
        </w:rPr>
        <w:t>come</w:t>
      </w:r>
      <w:r w:rsidR="007547C3">
        <w:rPr>
          <w:rStyle w:val="longtext"/>
          <w:rFonts w:cs="Arial"/>
          <w:lang w:val="en-US"/>
        </w:rPr>
        <w:t xml:space="preserve"> </w:t>
      </w:r>
      <w:r w:rsidRPr="00EA1CD8">
        <w:rPr>
          <w:rStyle w:val="hps"/>
          <w:rFonts w:cs="Arial"/>
          <w:lang w:val="en-US"/>
        </w:rPr>
        <w:t>from</w:t>
      </w:r>
      <w:r w:rsidRPr="00EA1CD8">
        <w:rPr>
          <w:rStyle w:val="longtext"/>
          <w:rFonts w:cs="Arial"/>
          <w:lang w:val="en-US"/>
        </w:rPr>
        <w:t xml:space="preserve"> </w:t>
      </w:r>
      <w:r w:rsidRPr="00EA1CD8">
        <w:rPr>
          <w:rStyle w:val="hps"/>
          <w:rFonts w:cs="Arial"/>
          <w:lang w:val="en-US"/>
        </w:rPr>
        <w:t xml:space="preserve">the middle </w:t>
      </w:r>
      <w:r w:rsidR="007547C3">
        <w:rPr>
          <w:rStyle w:val="hps"/>
          <w:rFonts w:cs="Arial"/>
          <w:lang w:val="en-US"/>
        </w:rPr>
        <w:t>strata</w:t>
      </w:r>
      <w:r w:rsidRPr="00EA1CD8">
        <w:rPr>
          <w:rStyle w:val="longtext"/>
          <w:rFonts w:cs="Arial"/>
          <w:lang w:val="en-US"/>
        </w:rPr>
        <w:t xml:space="preserve">, </w:t>
      </w:r>
      <w:r w:rsidRPr="00EA1CD8">
        <w:rPr>
          <w:rStyle w:val="hps"/>
          <w:rFonts w:cs="Arial"/>
          <w:lang w:val="en-US"/>
        </w:rPr>
        <w:t>with medium and</w:t>
      </w:r>
      <w:r w:rsidRPr="00EA1CD8">
        <w:rPr>
          <w:rStyle w:val="longtext"/>
          <w:rFonts w:cs="Arial"/>
          <w:lang w:val="en-US"/>
        </w:rPr>
        <w:t xml:space="preserve"> </w:t>
      </w:r>
      <w:r w:rsidRPr="00EA1CD8">
        <w:rPr>
          <w:rStyle w:val="hps"/>
          <w:rFonts w:cs="Arial"/>
          <w:lang w:val="en-US"/>
        </w:rPr>
        <w:t>high educational</w:t>
      </w:r>
      <w:r w:rsidRPr="00EA1CD8">
        <w:rPr>
          <w:rStyle w:val="longtext"/>
          <w:rFonts w:cs="Arial"/>
          <w:lang w:val="en-US"/>
        </w:rPr>
        <w:t xml:space="preserve"> </w:t>
      </w:r>
      <w:r w:rsidRPr="00EA1CD8">
        <w:rPr>
          <w:rStyle w:val="hps"/>
          <w:rFonts w:cs="Arial"/>
          <w:lang w:val="en-US"/>
        </w:rPr>
        <w:t>level</w:t>
      </w:r>
      <w:r w:rsidR="007547C3">
        <w:rPr>
          <w:rStyle w:val="hps"/>
          <w:rFonts w:cs="Arial"/>
          <w:lang w:val="en-US"/>
        </w:rPr>
        <w:t>,</w:t>
      </w:r>
      <w:r w:rsidRPr="00EA1CD8">
        <w:rPr>
          <w:rStyle w:val="longtext"/>
          <w:rFonts w:cs="Arial"/>
          <w:lang w:val="en-US"/>
        </w:rPr>
        <w:t xml:space="preserve"> while </w:t>
      </w:r>
      <w:r w:rsidRPr="00EA1CD8">
        <w:rPr>
          <w:rStyle w:val="hps"/>
          <w:rFonts w:cs="Arial"/>
          <w:lang w:val="en-US"/>
        </w:rPr>
        <w:t>the majority of</w:t>
      </w:r>
      <w:r w:rsidRPr="00EA1CD8">
        <w:rPr>
          <w:rStyle w:val="longtext"/>
          <w:rFonts w:cs="Arial"/>
          <w:lang w:val="en-US"/>
        </w:rPr>
        <w:t xml:space="preserve"> </w:t>
      </w:r>
      <w:r w:rsidRPr="00EA1CD8">
        <w:rPr>
          <w:rStyle w:val="hps"/>
          <w:rFonts w:cs="Arial"/>
          <w:lang w:val="en-US"/>
        </w:rPr>
        <w:t>them</w:t>
      </w:r>
      <w:r w:rsidRPr="00EA1CD8">
        <w:rPr>
          <w:rStyle w:val="longtext"/>
          <w:rFonts w:cs="Arial"/>
          <w:lang w:val="en-US"/>
        </w:rPr>
        <w:t xml:space="preserve"> </w:t>
      </w:r>
      <w:r w:rsidR="007547C3">
        <w:rPr>
          <w:rStyle w:val="hps"/>
          <w:rFonts w:cs="Arial"/>
          <w:lang w:val="en-US"/>
        </w:rPr>
        <w:t>had</w:t>
      </w:r>
      <w:r w:rsidRPr="00EA1CD8">
        <w:rPr>
          <w:rStyle w:val="hps"/>
          <w:rFonts w:cs="Arial"/>
          <w:lang w:val="en-US"/>
        </w:rPr>
        <w:t xml:space="preserve"> work</w:t>
      </w:r>
      <w:r w:rsidR="007547C3">
        <w:rPr>
          <w:rStyle w:val="hps"/>
          <w:rFonts w:cs="Arial"/>
          <w:lang w:val="en-US"/>
        </w:rPr>
        <w:t>ed</w:t>
      </w:r>
      <w:r w:rsidRPr="00EA1CD8">
        <w:rPr>
          <w:rStyle w:val="longtext"/>
          <w:rFonts w:cs="Arial"/>
          <w:lang w:val="en-US"/>
        </w:rPr>
        <w:t xml:space="preserve"> </w:t>
      </w:r>
      <w:r w:rsidRPr="00EA1CD8">
        <w:rPr>
          <w:rStyle w:val="hps"/>
          <w:rFonts w:cs="Arial"/>
          <w:lang w:val="en-US"/>
        </w:rPr>
        <w:t>as freelancers.</w:t>
      </w:r>
      <w:r w:rsidRPr="00EA1CD8">
        <w:rPr>
          <w:rFonts w:cs="Arial"/>
          <w:lang w:val="en-US"/>
        </w:rPr>
        <w:t xml:space="preserve"> A responsible people of the homeless center notes:</w:t>
      </w:r>
    </w:p>
    <w:p w:rsidR="00650351" w:rsidRPr="00AC787C" w:rsidRDefault="00650351" w:rsidP="00AC787C">
      <w:pPr>
        <w:spacing w:before="240" w:after="240" w:line="240" w:lineRule="auto"/>
        <w:ind w:left="567"/>
      </w:pPr>
      <w:r w:rsidRPr="00AC787C">
        <w:t>“We're talking about an entirely new category of people without shelter whose professional, educational and social profiles markedly away from the profile of homeless people we knew until the economic crisis. We adopt the concept of newly-homeless to characterize this class of people. We estimate that in Athens today there are about 3,000 to 4,000 homeless while in Greece the figure is estimated at 20,000. The important thing is that this category is constantly expanding as daily new people in difficulty are entering from middle socio-economic strata with high educational level" (OT, staff member of Klimaka, 6/11/2012).</w:t>
      </w:r>
    </w:p>
    <w:p w:rsidR="00650351" w:rsidRDefault="00650351" w:rsidP="00AC787C">
      <w:pPr>
        <w:spacing w:after="120" w:line="276" w:lineRule="auto"/>
        <w:rPr>
          <w:rStyle w:val="hps"/>
          <w:rFonts w:cs="Arial"/>
          <w:lang w:val="en-US"/>
        </w:rPr>
      </w:pPr>
      <w:r w:rsidRPr="00EA1CD8">
        <w:rPr>
          <w:rStyle w:val="hps"/>
          <w:rFonts w:cs="Arial"/>
          <w:lang w:val="en-US"/>
        </w:rPr>
        <w:t>In this</w:t>
      </w:r>
      <w:r w:rsidRPr="00EA1CD8">
        <w:rPr>
          <w:rFonts w:cs="Arial"/>
          <w:lang w:val="en-US"/>
        </w:rPr>
        <w:t xml:space="preserve"> </w:t>
      </w:r>
      <w:r w:rsidRPr="00EA1CD8">
        <w:rPr>
          <w:rStyle w:val="hps"/>
          <w:rFonts w:cs="Arial"/>
          <w:lang w:val="en-US"/>
        </w:rPr>
        <w:t>case too, the flow</w:t>
      </w:r>
      <w:r w:rsidRPr="00EA1CD8">
        <w:rPr>
          <w:rFonts w:cs="Arial"/>
          <w:lang w:val="en-US"/>
        </w:rPr>
        <w:t xml:space="preserve"> </w:t>
      </w:r>
      <w:r w:rsidRPr="00EA1CD8">
        <w:rPr>
          <w:rStyle w:val="hps"/>
          <w:rFonts w:cs="Arial"/>
          <w:lang w:val="en-US"/>
        </w:rPr>
        <w:t>of state funding</w:t>
      </w:r>
      <w:r w:rsidRPr="00EA1CD8">
        <w:rPr>
          <w:rFonts w:cs="Arial"/>
          <w:lang w:val="en-US"/>
        </w:rPr>
        <w:t xml:space="preserve"> </w:t>
      </w:r>
      <w:r w:rsidRPr="00EA1CD8">
        <w:rPr>
          <w:rStyle w:val="hps"/>
          <w:rFonts w:cs="Arial"/>
          <w:lang w:val="en-US"/>
        </w:rPr>
        <w:t>is</w:t>
      </w:r>
      <w:r w:rsidRPr="00EA1CD8">
        <w:rPr>
          <w:rFonts w:cs="Arial"/>
          <w:lang w:val="en-US"/>
        </w:rPr>
        <w:t xml:space="preserve"> </w:t>
      </w:r>
      <w:r w:rsidRPr="00EA1CD8">
        <w:rPr>
          <w:rStyle w:val="hps"/>
          <w:rFonts w:cs="Arial"/>
          <w:lang w:val="en-US"/>
        </w:rPr>
        <w:t>shrinking</w:t>
      </w:r>
      <w:r w:rsidRPr="00EA1CD8">
        <w:rPr>
          <w:rFonts w:cs="Arial"/>
          <w:lang w:val="en-US"/>
        </w:rPr>
        <w:t xml:space="preserve">. A characteristic </w:t>
      </w:r>
      <w:r w:rsidRPr="00EA1CD8">
        <w:rPr>
          <w:rStyle w:val="hps"/>
          <w:rFonts w:cs="Arial"/>
          <w:lang w:val="en-US"/>
        </w:rPr>
        <w:t>of this case</w:t>
      </w:r>
      <w:r w:rsidRPr="00EA1CD8">
        <w:rPr>
          <w:rFonts w:cs="Arial"/>
          <w:lang w:val="en-US"/>
        </w:rPr>
        <w:t xml:space="preserve"> </w:t>
      </w:r>
      <w:r w:rsidRPr="00EA1CD8">
        <w:rPr>
          <w:rStyle w:val="hps"/>
          <w:rFonts w:cs="Arial"/>
          <w:lang w:val="en-US"/>
        </w:rPr>
        <w:t>is that</w:t>
      </w:r>
      <w:r w:rsidRPr="00EA1CD8">
        <w:rPr>
          <w:rFonts w:cs="Arial"/>
          <w:lang w:val="en-US"/>
        </w:rPr>
        <w:t xml:space="preserve"> </w:t>
      </w:r>
      <w:r w:rsidRPr="00EA1CD8">
        <w:rPr>
          <w:rStyle w:val="hps"/>
          <w:rFonts w:cs="Arial"/>
          <w:lang w:val="en-US"/>
        </w:rPr>
        <w:t>in boarding houses for</w:t>
      </w:r>
      <w:r w:rsidRPr="00EA1CD8">
        <w:rPr>
          <w:rFonts w:cs="Arial"/>
          <w:lang w:val="en-US"/>
        </w:rPr>
        <w:t xml:space="preserve"> psychological support operating all </w:t>
      </w:r>
      <w:r w:rsidRPr="00EA1CD8">
        <w:rPr>
          <w:rStyle w:val="hps"/>
          <w:rFonts w:cs="Arial"/>
          <w:lang w:val="en-US"/>
        </w:rPr>
        <w:t>over Greece</w:t>
      </w:r>
      <w:r w:rsidRPr="00EA1CD8">
        <w:rPr>
          <w:rFonts w:cs="Arial"/>
          <w:lang w:val="en-US"/>
        </w:rPr>
        <w:t xml:space="preserve"> the budget </w:t>
      </w:r>
      <w:r w:rsidRPr="00EA1CD8">
        <w:rPr>
          <w:rStyle w:val="hps"/>
          <w:rFonts w:cs="Arial"/>
          <w:lang w:val="en-US"/>
        </w:rPr>
        <w:t>has been reduced</w:t>
      </w:r>
      <w:r w:rsidRPr="00EA1CD8">
        <w:rPr>
          <w:rFonts w:cs="Arial"/>
          <w:lang w:val="en-US"/>
        </w:rPr>
        <w:t xml:space="preserve"> </w:t>
      </w:r>
      <w:r w:rsidRPr="00EA1CD8">
        <w:rPr>
          <w:rStyle w:val="hps"/>
          <w:rFonts w:cs="Arial"/>
          <w:lang w:val="en-US"/>
        </w:rPr>
        <w:t>by 50</w:t>
      </w:r>
      <w:r w:rsidRPr="00EA1CD8">
        <w:rPr>
          <w:rFonts w:cs="Arial"/>
          <w:lang w:val="en-US"/>
        </w:rPr>
        <w:t xml:space="preserve">%, while </w:t>
      </w:r>
      <w:r w:rsidRPr="00EA1CD8">
        <w:rPr>
          <w:rStyle w:val="hps"/>
          <w:rFonts w:cs="Arial"/>
          <w:lang w:val="en-US"/>
        </w:rPr>
        <w:t>for the last 5</w:t>
      </w:r>
      <w:r w:rsidRPr="00EA1CD8">
        <w:rPr>
          <w:rFonts w:cs="Arial"/>
          <w:lang w:val="en-US"/>
        </w:rPr>
        <w:t xml:space="preserve"> </w:t>
      </w:r>
      <w:r w:rsidRPr="00EA1CD8">
        <w:rPr>
          <w:rStyle w:val="hps"/>
          <w:rFonts w:cs="Arial"/>
          <w:lang w:val="en-US"/>
        </w:rPr>
        <w:t>months the</w:t>
      </w:r>
      <w:r w:rsidRPr="00EA1CD8">
        <w:rPr>
          <w:rFonts w:cs="Arial"/>
          <w:lang w:val="en-US"/>
        </w:rPr>
        <w:t xml:space="preserve"> </w:t>
      </w:r>
      <w:r w:rsidRPr="00EA1CD8">
        <w:rPr>
          <w:rStyle w:val="hps"/>
          <w:rFonts w:cs="Arial"/>
          <w:lang w:val="en-US"/>
        </w:rPr>
        <w:t>staff</w:t>
      </w:r>
      <w:r w:rsidRPr="00EA1CD8">
        <w:rPr>
          <w:rFonts w:cs="Arial"/>
          <w:lang w:val="en-US"/>
        </w:rPr>
        <w:t xml:space="preserve"> </w:t>
      </w:r>
      <w:r w:rsidRPr="00EA1CD8">
        <w:rPr>
          <w:rStyle w:val="hps"/>
          <w:rFonts w:cs="Arial"/>
          <w:lang w:val="en-US"/>
        </w:rPr>
        <w:t>has not gotten</w:t>
      </w:r>
      <w:r w:rsidRPr="00EA1CD8">
        <w:rPr>
          <w:rFonts w:cs="Arial"/>
          <w:lang w:val="en-US"/>
        </w:rPr>
        <w:t xml:space="preserve"> the </w:t>
      </w:r>
      <w:r w:rsidRPr="00EA1CD8">
        <w:rPr>
          <w:rStyle w:val="hps"/>
          <w:rFonts w:cs="Arial"/>
          <w:lang w:val="en-US"/>
        </w:rPr>
        <w:t>accrued</w:t>
      </w:r>
      <w:r w:rsidRPr="00EA1CD8">
        <w:rPr>
          <w:rFonts w:cs="Arial"/>
          <w:lang w:val="en-US"/>
        </w:rPr>
        <w:t>.</w:t>
      </w:r>
      <w:r w:rsidRPr="006632AD">
        <w:rPr>
          <w:rStyle w:val="atn"/>
          <w:rFonts w:cs="Arial"/>
          <w:lang w:val="en-US"/>
        </w:rPr>
        <w:t xml:space="preserve"> </w:t>
      </w:r>
      <w:r w:rsidRPr="006632AD">
        <w:rPr>
          <w:rStyle w:val="hps"/>
          <w:rFonts w:cs="Arial"/>
          <w:lang w:val="en-US"/>
        </w:rPr>
        <w:t>At the same time</w:t>
      </w:r>
      <w:r w:rsidRPr="006632AD">
        <w:rPr>
          <w:rStyle w:val="longtext"/>
          <w:rFonts w:cs="Arial"/>
          <w:lang w:val="en-US"/>
        </w:rPr>
        <w:t xml:space="preserve"> </w:t>
      </w:r>
      <w:r w:rsidRPr="006632AD">
        <w:rPr>
          <w:rStyle w:val="hps"/>
          <w:rFonts w:cs="Arial"/>
          <w:lang w:val="en-US"/>
        </w:rPr>
        <w:t>applications</w:t>
      </w:r>
      <w:r w:rsidRPr="006632AD">
        <w:rPr>
          <w:rStyle w:val="longtext"/>
          <w:rFonts w:cs="Arial"/>
          <w:lang w:val="en-US"/>
        </w:rPr>
        <w:t xml:space="preserve"> </w:t>
      </w:r>
      <w:r w:rsidRPr="006632AD">
        <w:rPr>
          <w:rStyle w:val="hps"/>
          <w:rFonts w:cs="Arial"/>
          <w:lang w:val="en-US"/>
        </w:rPr>
        <w:t>to provide</w:t>
      </w:r>
      <w:r w:rsidRPr="006632AD">
        <w:rPr>
          <w:rStyle w:val="longtext"/>
          <w:rFonts w:cs="Arial"/>
          <w:lang w:val="en-US"/>
        </w:rPr>
        <w:t xml:space="preserve"> </w:t>
      </w:r>
      <w:r w:rsidRPr="006632AD">
        <w:rPr>
          <w:rStyle w:val="hps"/>
          <w:rFonts w:cs="Arial"/>
          <w:lang w:val="en-US"/>
        </w:rPr>
        <w:t>mental health services</w:t>
      </w:r>
      <w:r w:rsidRPr="006632AD">
        <w:rPr>
          <w:rStyle w:val="longtext"/>
          <w:rFonts w:cs="Arial"/>
          <w:lang w:val="en-US"/>
        </w:rPr>
        <w:t xml:space="preserve"> </w:t>
      </w:r>
      <w:r w:rsidRPr="006632AD">
        <w:rPr>
          <w:rStyle w:val="hps"/>
          <w:rFonts w:cs="Arial"/>
          <w:lang w:val="en-US"/>
        </w:rPr>
        <w:t>have continued to increase</w:t>
      </w:r>
      <w:r w:rsidRPr="006632AD">
        <w:rPr>
          <w:rStyle w:val="longtext"/>
          <w:rFonts w:cs="Arial"/>
          <w:lang w:val="en-US"/>
        </w:rPr>
        <w:t xml:space="preserve"> </w:t>
      </w:r>
      <w:r w:rsidRPr="006632AD">
        <w:rPr>
          <w:rStyle w:val="hps"/>
          <w:rFonts w:cs="Arial"/>
          <w:lang w:val="en-US"/>
        </w:rPr>
        <w:t>while</w:t>
      </w:r>
      <w:r w:rsidRPr="006632AD">
        <w:rPr>
          <w:rStyle w:val="longtext"/>
          <w:rFonts w:cs="Arial"/>
          <w:lang w:val="en-US"/>
        </w:rPr>
        <w:t xml:space="preserve"> </w:t>
      </w:r>
      <w:r w:rsidRPr="006632AD">
        <w:rPr>
          <w:rStyle w:val="hps"/>
          <w:rFonts w:cs="Arial"/>
          <w:lang w:val="en-US"/>
        </w:rPr>
        <w:t>the homeless</w:t>
      </w:r>
      <w:r w:rsidRPr="006632AD">
        <w:rPr>
          <w:rStyle w:val="longtext"/>
          <w:rFonts w:cs="Arial"/>
          <w:lang w:val="en-US"/>
        </w:rPr>
        <w:t xml:space="preserve"> </w:t>
      </w:r>
      <w:r w:rsidRPr="006632AD">
        <w:rPr>
          <w:rStyle w:val="hps"/>
          <w:rFonts w:cs="Arial"/>
          <w:lang w:val="en-US"/>
        </w:rPr>
        <w:t>are increasing.</w:t>
      </w:r>
      <w:r w:rsidRPr="006632AD">
        <w:rPr>
          <w:rStyle w:val="longtext"/>
          <w:rFonts w:cs="Arial"/>
          <w:lang w:val="en-US"/>
        </w:rPr>
        <w:t xml:space="preserve"> </w:t>
      </w:r>
      <w:r w:rsidRPr="006632AD">
        <w:rPr>
          <w:rStyle w:val="hps"/>
          <w:rFonts w:cs="Arial"/>
          <w:lang w:val="en-US"/>
        </w:rPr>
        <w:t>Things are</w:t>
      </w:r>
      <w:r w:rsidRPr="006632AD">
        <w:rPr>
          <w:rStyle w:val="longtext"/>
          <w:rFonts w:cs="Arial"/>
          <w:lang w:val="en-US"/>
        </w:rPr>
        <w:t xml:space="preserve"> </w:t>
      </w:r>
      <w:r w:rsidRPr="006632AD">
        <w:rPr>
          <w:rStyle w:val="hps"/>
          <w:rFonts w:cs="Arial"/>
          <w:lang w:val="en-US"/>
        </w:rPr>
        <w:t>a little</w:t>
      </w:r>
      <w:r w:rsidRPr="006632AD">
        <w:rPr>
          <w:rStyle w:val="longtext"/>
          <w:rFonts w:cs="Arial"/>
          <w:lang w:val="en-US"/>
        </w:rPr>
        <w:t xml:space="preserve"> </w:t>
      </w:r>
      <w:r w:rsidRPr="006632AD">
        <w:rPr>
          <w:rStyle w:val="hps"/>
          <w:rFonts w:cs="Arial"/>
          <w:lang w:val="en-US"/>
        </w:rPr>
        <w:t>better for</w:t>
      </w:r>
      <w:r w:rsidRPr="006632AD">
        <w:rPr>
          <w:rStyle w:val="longtext"/>
          <w:rFonts w:cs="Arial"/>
          <w:lang w:val="en-US"/>
        </w:rPr>
        <w:t xml:space="preserve"> </w:t>
      </w:r>
      <w:r w:rsidRPr="006632AD">
        <w:rPr>
          <w:rStyle w:val="hps"/>
          <w:rFonts w:cs="Arial"/>
          <w:lang w:val="en-US"/>
        </w:rPr>
        <w:t>day centers</w:t>
      </w:r>
      <w:r w:rsidRPr="006632AD">
        <w:rPr>
          <w:rStyle w:val="longtext"/>
          <w:rFonts w:cs="Arial"/>
          <w:lang w:val="en-US"/>
        </w:rPr>
        <w:t xml:space="preserve"> </w:t>
      </w:r>
      <w:r w:rsidRPr="006632AD">
        <w:rPr>
          <w:rStyle w:val="hps"/>
          <w:rFonts w:cs="Arial"/>
          <w:lang w:val="en-US"/>
        </w:rPr>
        <w:t>which</w:t>
      </w:r>
      <w:r w:rsidRPr="006632AD">
        <w:rPr>
          <w:rStyle w:val="longtext"/>
          <w:rFonts w:cs="Arial"/>
          <w:lang w:val="en-US"/>
        </w:rPr>
        <w:t xml:space="preserve"> </w:t>
      </w:r>
      <w:r w:rsidRPr="006632AD">
        <w:rPr>
          <w:rStyle w:val="hps"/>
          <w:rFonts w:cs="Arial"/>
          <w:lang w:val="en-US"/>
        </w:rPr>
        <w:t>have been integrated into</w:t>
      </w:r>
      <w:r w:rsidRPr="006632AD">
        <w:rPr>
          <w:rStyle w:val="longtext"/>
          <w:rFonts w:cs="Arial"/>
          <w:lang w:val="en-US"/>
        </w:rPr>
        <w:t xml:space="preserve"> </w:t>
      </w:r>
      <w:r w:rsidRPr="006632AD">
        <w:rPr>
          <w:rStyle w:val="hps"/>
          <w:rFonts w:cs="Arial"/>
          <w:lang w:val="en-US"/>
        </w:rPr>
        <w:t>the NSRF</w:t>
      </w:r>
      <w:r w:rsidRPr="006632AD">
        <w:rPr>
          <w:rStyle w:val="longtext"/>
          <w:rFonts w:cs="Arial"/>
          <w:lang w:val="en-US"/>
        </w:rPr>
        <w:t xml:space="preserve"> </w:t>
      </w:r>
      <w:r w:rsidRPr="006632AD">
        <w:rPr>
          <w:rStyle w:val="hps"/>
          <w:rFonts w:cs="Arial"/>
          <w:lang w:val="en-US"/>
        </w:rPr>
        <w:t>program</w:t>
      </w:r>
      <w:r w:rsidRPr="006632AD">
        <w:rPr>
          <w:rStyle w:val="longtext"/>
          <w:rFonts w:cs="Arial"/>
          <w:lang w:val="en-US"/>
        </w:rPr>
        <w:t xml:space="preserve"> </w:t>
      </w:r>
      <w:r w:rsidRPr="006632AD">
        <w:rPr>
          <w:rStyle w:val="hps"/>
          <w:rFonts w:cs="Arial"/>
          <w:lang w:val="en-US"/>
        </w:rPr>
        <w:t>while</w:t>
      </w:r>
      <w:r w:rsidRPr="006632AD">
        <w:rPr>
          <w:rStyle w:val="longtext"/>
          <w:rFonts w:cs="Arial"/>
          <w:lang w:val="en-US"/>
        </w:rPr>
        <w:t xml:space="preserve"> </w:t>
      </w:r>
      <w:r w:rsidRPr="006632AD">
        <w:rPr>
          <w:rStyle w:val="hps"/>
          <w:rFonts w:cs="Arial"/>
          <w:lang w:val="en-US"/>
        </w:rPr>
        <w:t>homeless</w:t>
      </w:r>
      <w:r w:rsidRPr="006632AD">
        <w:rPr>
          <w:rStyle w:val="longtext"/>
          <w:rFonts w:cs="Arial"/>
          <w:lang w:val="en-US"/>
        </w:rPr>
        <w:t xml:space="preserve"> shelter </w:t>
      </w:r>
      <w:r w:rsidRPr="006632AD">
        <w:rPr>
          <w:rStyle w:val="hps"/>
          <w:rFonts w:cs="Arial"/>
          <w:lang w:val="en-US"/>
        </w:rPr>
        <w:t>in Athens is</w:t>
      </w:r>
      <w:r w:rsidRPr="006632AD">
        <w:rPr>
          <w:rStyle w:val="longtext"/>
          <w:rFonts w:cs="Arial"/>
          <w:lang w:val="en-US"/>
        </w:rPr>
        <w:t xml:space="preserve"> </w:t>
      </w:r>
      <w:r w:rsidRPr="006632AD">
        <w:rPr>
          <w:rStyle w:val="hps"/>
          <w:rFonts w:cs="Arial"/>
          <w:lang w:val="en-US"/>
        </w:rPr>
        <w:t>self-funded</w:t>
      </w:r>
      <w:r w:rsidRPr="006632AD">
        <w:rPr>
          <w:rStyle w:val="longtext"/>
          <w:rFonts w:cs="Arial"/>
          <w:lang w:val="en-US"/>
        </w:rPr>
        <w:t xml:space="preserve"> </w:t>
      </w:r>
      <w:r w:rsidRPr="006632AD">
        <w:rPr>
          <w:rStyle w:val="hps"/>
          <w:rFonts w:cs="Arial"/>
          <w:lang w:val="en-US"/>
        </w:rPr>
        <w:t>by individuals</w:t>
      </w:r>
      <w:r w:rsidRPr="006632AD">
        <w:rPr>
          <w:rStyle w:val="longtext"/>
          <w:rFonts w:cs="Arial"/>
          <w:lang w:val="en-US"/>
        </w:rPr>
        <w:t xml:space="preserve"> </w:t>
      </w:r>
      <w:r w:rsidRPr="006632AD">
        <w:rPr>
          <w:rStyle w:val="hps"/>
          <w:rFonts w:cs="Arial"/>
          <w:lang w:val="en-US"/>
        </w:rPr>
        <w:t>(donations</w:t>
      </w:r>
      <w:r w:rsidRPr="006632AD">
        <w:rPr>
          <w:rStyle w:val="longtext"/>
          <w:rFonts w:cs="Arial"/>
          <w:lang w:val="en-US"/>
        </w:rPr>
        <w:t xml:space="preserve">), companies </w:t>
      </w:r>
      <w:r w:rsidRPr="006632AD">
        <w:rPr>
          <w:rStyle w:val="hps"/>
          <w:rFonts w:cs="Arial"/>
          <w:lang w:val="en-US"/>
        </w:rPr>
        <w:t>(</w:t>
      </w:r>
      <w:r w:rsidRPr="006632AD">
        <w:rPr>
          <w:rStyle w:val="longtext"/>
          <w:rFonts w:cs="Arial"/>
          <w:lang w:val="en-US"/>
        </w:rPr>
        <w:t xml:space="preserve">that offer </w:t>
      </w:r>
      <w:r w:rsidRPr="006632AD">
        <w:rPr>
          <w:rStyle w:val="hps"/>
          <w:rFonts w:cs="Arial"/>
          <w:lang w:val="en-US"/>
        </w:rPr>
        <w:t>equipment</w:t>
      </w:r>
      <w:r w:rsidRPr="006632AD">
        <w:rPr>
          <w:rStyle w:val="longtext"/>
          <w:rFonts w:cs="Arial"/>
          <w:lang w:val="en-US"/>
        </w:rPr>
        <w:t xml:space="preserve"> </w:t>
      </w:r>
      <w:r w:rsidRPr="006632AD">
        <w:rPr>
          <w:rStyle w:val="hps"/>
          <w:rFonts w:cs="Arial"/>
          <w:lang w:val="en-US"/>
        </w:rPr>
        <w:t>and catering</w:t>
      </w:r>
      <w:r w:rsidRPr="006632AD">
        <w:rPr>
          <w:rStyle w:val="longtext"/>
          <w:rFonts w:cs="Arial"/>
          <w:lang w:val="en-US"/>
        </w:rPr>
        <w:t xml:space="preserve">), citizens </w:t>
      </w:r>
      <w:r w:rsidRPr="006632AD">
        <w:rPr>
          <w:rStyle w:val="hps"/>
          <w:rFonts w:cs="Arial"/>
          <w:lang w:val="en-US"/>
        </w:rPr>
        <w:t>(miscellaneous</w:t>
      </w:r>
      <w:r w:rsidRPr="006632AD">
        <w:rPr>
          <w:rStyle w:val="longtext"/>
          <w:rFonts w:cs="Arial"/>
          <w:lang w:val="en-US"/>
        </w:rPr>
        <w:t xml:space="preserve"> </w:t>
      </w:r>
      <w:r w:rsidRPr="006632AD">
        <w:rPr>
          <w:rStyle w:val="hps"/>
          <w:rFonts w:cs="Arial"/>
          <w:lang w:val="en-US"/>
        </w:rPr>
        <w:t>financial</w:t>
      </w:r>
      <w:r w:rsidRPr="006632AD">
        <w:rPr>
          <w:rStyle w:val="longtext"/>
          <w:rFonts w:cs="Arial"/>
          <w:lang w:val="en-US"/>
        </w:rPr>
        <w:t xml:space="preserve"> </w:t>
      </w:r>
      <w:r w:rsidRPr="006632AD">
        <w:rPr>
          <w:rStyle w:val="hps"/>
          <w:rFonts w:cs="Arial"/>
          <w:lang w:val="en-US"/>
        </w:rPr>
        <w:t>and</w:t>
      </w:r>
      <w:r w:rsidRPr="006632AD">
        <w:rPr>
          <w:rStyle w:val="longtext"/>
          <w:rFonts w:cs="Arial"/>
          <w:lang w:val="en-US"/>
        </w:rPr>
        <w:t xml:space="preserve"> </w:t>
      </w:r>
      <w:r w:rsidRPr="006632AD">
        <w:rPr>
          <w:rStyle w:val="hps"/>
          <w:rFonts w:cs="Arial"/>
          <w:lang w:val="en-US"/>
        </w:rPr>
        <w:t>other offerings)</w:t>
      </w:r>
      <w:r w:rsidRPr="006632AD">
        <w:rPr>
          <w:rStyle w:val="longtext"/>
          <w:rFonts w:cs="Arial"/>
          <w:lang w:val="en-US"/>
        </w:rPr>
        <w:t xml:space="preserve"> </w:t>
      </w:r>
      <w:r w:rsidRPr="006632AD">
        <w:rPr>
          <w:rStyle w:val="hps"/>
          <w:rFonts w:cs="Arial"/>
          <w:lang w:val="en-US"/>
        </w:rPr>
        <w:t>and volunteers.</w:t>
      </w:r>
    </w:p>
    <w:p w:rsidR="00650351" w:rsidRDefault="00650351" w:rsidP="00AC787C">
      <w:pPr>
        <w:spacing w:after="120" w:line="276" w:lineRule="auto"/>
        <w:rPr>
          <w:rFonts w:cs="Arial"/>
          <w:lang w:val="en-US"/>
        </w:rPr>
      </w:pPr>
      <w:r w:rsidRPr="00EA1CD8">
        <w:rPr>
          <w:rStyle w:val="hps"/>
          <w:rFonts w:cs="Arial"/>
          <w:lang w:val="en-US"/>
        </w:rPr>
        <w:t>The biggest problem</w:t>
      </w:r>
      <w:r w:rsidRPr="00EA1CD8">
        <w:rPr>
          <w:rFonts w:cs="Arial"/>
          <w:lang w:val="en-US"/>
        </w:rPr>
        <w:t xml:space="preserve"> </w:t>
      </w:r>
      <w:r w:rsidRPr="006632AD">
        <w:rPr>
          <w:rStyle w:val="hps"/>
          <w:rFonts w:cs="Arial"/>
          <w:lang w:val="en-US"/>
        </w:rPr>
        <w:t xml:space="preserve">faced by </w:t>
      </w:r>
      <w:r w:rsidRPr="00805B90">
        <w:rPr>
          <w:rStyle w:val="hps"/>
          <w:rFonts w:cs="Arial"/>
          <w:i/>
          <w:lang w:val="en-US"/>
        </w:rPr>
        <w:t>Klimaka</w:t>
      </w:r>
      <w:r w:rsidRPr="006632AD">
        <w:rPr>
          <w:rStyle w:val="longtext"/>
          <w:rFonts w:cs="Arial"/>
          <w:lang w:val="en-US"/>
        </w:rPr>
        <w:t xml:space="preserve"> is the </w:t>
      </w:r>
      <w:r w:rsidRPr="006632AD">
        <w:rPr>
          <w:rStyle w:val="hps"/>
          <w:rFonts w:cs="Arial"/>
          <w:lang w:val="en-US"/>
        </w:rPr>
        <w:t>lack</w:t>
      </w:r>
      <w:r w:rsidRPr="006632AD">
        <w:rPr>
          <w:rStyle w:val="longtext"/>
          <w:rFonts w:cs="Arial"/>
          <w:lang w:val="en-US"/>
        </w:rPr>
        <w:t xml:space="preserve"> </w:t>
      </w:r>
      <w:r w:rsidRPr="006632AD">
        <w:rPr>
          <w:rStyle w:val="hps"/>
          <w:rFonts w:cs="Arial"/>
          <w:lang w:val="en-US"/>
        </w:rPr>
        <w:t>of a specific institutional</w:t>
      </w:r>
      <w:r w:rsidRPr="006632AD">
        <w:rPr>
          <w:rStyle w:val="longtext"/>
          <w:rFonts w:cs="Arial"/>
          <w:lang w:val="en-US"/>
        </w:rPr>
        <w:t xml:space="preserve"> </w:t>
      </w:r>
      <w:r w:rsidRPr="006632AD">
        <w:rPr>
          <w:rStyle w:val="hps"/>
          <w:rFonts w:cs="Arial"/>
          <w:lang w:val="en-US"/>
        </w:rPr>
        <w:t>framework for preventing</w:t>
      </w:r>
      <w:r w:rsidRPr="006632AD">
        <w:rPr>
          <w:rStyle w:val="longtext"/>
          <w:rFonts w:cs="Arial"/>
          <w:lang w:val="en-US"/>
        </w:rPr>
        <w:t xml:space="preserve"> </w:t>
      </w:r>
      <w:r w:rsidRPr="006632AD">
        <w:rPr>
          <w:rStyle w:val="hps"/>
          <w:rFonts w:cs="Arial"/>
          <w:lang w:val="en-US"/>
        </w:rPr>
        <w:t xml:space="preserve">social exclusion. </w:t>
      </w:r>
      <w:r w:rsidRPr="00EA1CD8">
        <w:rPr>
          <w:rStyle w:val="hps"/>
          <w:rFonts w:cs="Arial"/>
          <w:lang w:val="en-US"/>
        </w:rPr>
        <w:t>There is also the</w:t>
      </w:r>
      <w:r w:rsidRPr="00EA1CD8">
        <w:rPr>
          <w:rFonts w:cs="Arial"/>
          <w:lang w:val="en-US"/>
        </w:rPr>
        <w:t xml:space="preserve"> </w:t>
      </w:r>
      <w:r w:rsidRPr="00EA1CD8">
        <w:rPr>
          <w:rStyle w:val="hps"/>
          <w:rFonts w:cs="Arial"/>
          <w:lang w:val="en-US"/>
        </w:rPr>
        <w:t>problem</w:t>
      </w:r>
      <w:r w:rsidRPr="00EA1CD8">
        <w:rPr>
          <w:rFonts w:cs="Arial"/>
          <w:lang w:val="en-US"/>
        </w:rPr>
        <w:t xml:space="preserve"> </w:t>
      </w:r>
      <w:r w:rsidRPr="00EA1CD8">
        <w:rPr>
          <w:rStyle w:val="hps"/>
          <w:rFonts w:cs="Arial"/>
          <w:lang w:val="en-US"/>
        </w:rPr>
        <w:t>of underfunding</w:t>
      </w:r>
      <w:r w:rsidRPr="00EA1CD8">
        <w:rPr>
          <w:rFonts w:cs="Arial"/>
          <w:lang w:val="en-US"/>
        </w:rPr>
        <w:t xml:space="preserve"> </w:t>
      </w:r>
      <w:r w:rsidRPr="00EA1CD8">
        <w:rPr>
          <w:rStyle w:val="hps"/>
          <w:rFonts w:cs="Arial"/>
          <w:lang w:val="en-US"/>
        </w:rPr>
        <w:t>and</w:t>
      </w:r>
      <w:r w:rsidRPr="00EA1CD8">
        <w:rPr>
          <w:rFonts w:cs="Arial"/>
          <w:lang w:val="en-US"/>
        </w:rPr>
        <w:t xml:space="preserve"> </w:t>
      </w:r>
      <w:r w:rsidRPr="00EA1CD8">
        <w:rPr>
          <w:rStyle w:val="hps"/>
          <w:rFonts w:cs="Arial"/>
          <w:lang w:val="en-US"/>
        </w:rPr>
        <w:t>bureaucracy</w:t>
      </w:r>
      <w:r w:rsidRPr="00EA1CD8">
        <w:rPr>
          <w:rFonts w:cs="Arial"/>
          <w:lang w:val="en-US"/>
        </w:rPr>
        <w:t xml:space="preserve"> that</w:t>
      </w:r>
      <w:r>
        <w:rPr>
          <w:rFonts w:cs="Arial"/>
          <w:lang w:val="en-US"/>
        </w:rPr>
        <w:t>,</w:t>
      </w:r>
      <w:r w:rsidRPr="00EA1CD8">
        <w:rPr>
          <w:rFonts w:cs="Arial"/>
          <w:lang w:val="en-US"/>
        </w:rPr>
        <w:t xml:space="preserve"> </w:t>
      </w:r>
      <w:r w:rsidRPr="00EA1CD8">
        <w:rPr>
          <w:rStyle w:val="hps"/>
          <w:rFonts w:cs="Arial"/>
          <w:lang w:val="en-US"/>
        </w:rPr>
        <w:t>combined</w:t>
      </w:r>
      <w:r w:rsidRPr="00EA1CD8">
        <w:rPr>
          <w:rFonts w:cs="Arial"/>
          <w:lang w:val="en-US"/>
        </w:rPr>
        <w:t xml:space="preserve"> </w:t>
      </w:r>
      <w:r w:rsidRPr="00EA1CD8">
        <w:rPr>
          <w:rStyle w:val="hps"/>
          <w:rFonts w:cs="Arial"/>
          <w:lang w:val="en-US"/>
        </w:rPr>
        <w:t>with</w:t>
      </w:r>
      <w:r w:rsidRPr="00EA1CD8">
        <w:rPr>
          <w:rFonts w:cs="Arial"/>
          <w:lang w:val="en-US"/>
        </w:rPr>
        <w:t xml:space="preserve"> </w:t>
      </w:r>
      <w:r w:rsidRPr="00EA1CD8">
        <w:rPr>
          <w:rStyle w:val="hps"/>
          <w:rFonts w:cs="Arial"/>
          <w:lang w:val="en-US"/>
        </w:rPr>
        <w:t>the lack of an</w:t>
      </w:r>
      <w:r w:rsidRPr="00EA1CD8">
        <w:rPr>
          <w:rFonts w:cs="Arial"/>
          <w:lang w:val="en-US"/>
        </w:rPr>
        <w:t xml:space="preserve"> </w:t>
      </w:r>
      <w:r w:rsidRPr="00EA1CD8">
        <w:rPr>
          <w:rStyle w:val="hps"/>
          <w:rFonts w:cs="Arial"/>
          <w:lang w:val="en-US"/>
        </w:rPr>
        <w:t>evaluation system</w:t>
      </w:r>
      <w:r w:rsidRPr="00EA1CD8">
        <w:rPr>
          <w:rFonts w:cs="Arial"/>
          <w:lang w:val="en-US"/>
        </w:rPr>
        <w:t xml:space="preserve"> of </w:t>
      </w:r>
      <w:r w:rsidRPr="00EA1CD8">
        <w:rPr>
          <w:rStyle w:val="hps"/>
          <w:rFonts w:cs="Arial"/>
          <w:lang w:val="en-US"/>
        </w:rPr>
        <w:t>NGOs’ services</w:t>
      </w:r>
      <w:r>
        <w:rPr>
          <w:rStyle w:val="hps"/>
          <w:rFonts w:cs="Arial"/>
          <w:lang w:val="en-US"/>
        </w:rPr>
        <w:t>,</w:t>
      </w:r>
      <w:r w:rsidRPr="00EA1CD8">
        <w:rPr>
          <w:rStyle w:val="hps"/>
          <w:rFonts w:cs="Arial"/>
          <w:lang w:val="en-US"/>
        </w:rPr>
        <w:t xml:space="preserve"> cause </w:t>
      </w:r>
      <w:r w:rsidRPr="00EA1CD8">
        <w:rPr>
          <w:rFonts w:cs="Arial"/>
          <w:lang w:val="en-US"/>
        </w:rPr>
        <w:t>dys</w:t>
      </w:r>
      <w:r w:rsidRPr="00EA1CD8">
        <w:rPr>
          <w:rStyle w:val="hps"/>
          <w:rFonts w:cs="Arial"/>
          <w:lang w:val="en-US"/>
        </w:rPr>
        <w:t>functions</w:t>
      </w:r>
      <w:r w:rsidRPr="00EA1CD8">
        <w:rPr>
          <w:rFonts w:cs="Arial"/>
          <w:lang w:val="en-US"/>
        </w:rPr>
        <w:t xml:space="preserve">, delays in </w:t>
      </w:r>
      <w:r w:rsidRPr="00EA1CD8">
        <w:rPr>
          <w:rStyle w:val="hps"/>
          <w:rFonts w:cs="Arial"/>
          <w:lang w:val="en-US"/>
        </w:rPr>
        <w:t>funding,</w:t>
      </w:r>
      <w:r w:rsidRPr="00EA1CD8">
        <w:rPr>
          <w:rFonts w:cs="Arial"/>
          <w:lang w:val="en-US"/>
        </w:rPr>
        <w:t xml:space="preserve"> </w:t>
      </w:r>
      <w:r w:rsidR="00805B90">
        <w:rPr>
          <w:rFonts w:cs="Arial"/>
          <w:lang w:val="en-US"/>
        </w:rPr>
        <w:t xml:space="preserve">and </w:t>
      </w:r>
      <w:r w:rsidRPr="00EA1CD8">
        <w:rPr>
          <w:rStyle w:val="hps"/>
          <w:rFonts w:cs="Arial"/>
          <w:lang w:val="en-US"/>
        </w:rPr>
        <w:t>wasting</w:t>
      </w:r>
      <w:r w:rsidRPr="00EA1CD8">
        <w:rPr>
          <w:rFonts w:cs="Arial"/>
          <w:lang w:val="en-US"/>
        </w:rPr>
        <w:t xml:space="preserve"> </w:t>
      </w:r>
      <w:r w:rsidRPr="00EA1CD8">
        <w:rPr>
          <w:rStyle w:val="hps"/>
          <w:rFonts w:cs="Arial"/>
          <w:lang w:val="en-US"/>
        </w:rPr>
        <w:t>financial resources</w:t>
      </w:r>
      <w:r>
        <w:rPr>
          <w:rStyle w:val="hps"/>
          <w:rFonts w:cs="Arial"/>
          <w:lang w:val="en-US"/>
        </w:rPr>
        <w:t>. These deficiencies affect e</w:t>
      </w:r>
      <w:r w:rsidRPr="00EA1CD8">
        <w:rPr>
          <w:rStyle w:val="hps"/>
          <w:rFonts w:cs="Arial"/>
          <w:lang w:val="en-US"/>
        </w:rPr>
        <w:t>ffective</w:t>
      </w:r>
      <w:r>
        <w:rPr>
          <w:rStyle w:val="hps"/>
          <w:rFonts w:cs="Arial"/>
          <w:lang w:val="en-US"/>
        </w:rPr>
        <w:t xml:space="preserve">ness of </w:t>
      </w:r>
      <w:r w:rsidRPr="00EA1CD8">
        <w:rPr>
          <w:rStyle w:val="hps"/>
          <w:rFonts w:cs="Arial"/>
          <w:lang w:val="en-US"/>
        </w:rPr>
        <w:t>welfare</w:t>
      </w:r>
      <w:r w:rsidRPr="00EA1CD8">
        <w:rPr>
          <w:rFonts w:cs="Arial"/>
          <w:lang w:val="en-US"/>
        </w:rPr>
        <w:t xml:space="preserve"> </w:t>
      </w:r>
      <w:r w:rsidRPr="00EA1CD8">
        <w:rPr>
          <w:rStyle w:val="hps"/>
          <w:rFonts w:cs="Arial"/>
          <w:lang w:val="en-US"/>
        </w:rPr>
        <w:t>work</w:t>
      </w:r>
      <w:r>
        <w:rPr>
          <w:rStyle w:val="hps"/>
          <w:rFonts w:cs="Arial"/>
          <w:lang w:val="en-US"/>
        </w:rPr>
        <w:t xml:space="preserve"> and</w:t>
      </w:r>
      <w:r w:rsidRPr="00EA1CD8">
        <w:rPr>
          <w:rFonts w:cs="Arial"/>
          <w:lang w:val="en-US"/>
        </w:rPr>
        <w:t xml:space="preserve"> </w:t>
      </w:r>
      <w:r w:rsidRPr="00EA1CD8">
        <w:rPr>
          <w:rStyle w:val="hps"/>
          <w:rFonts w:cs="Arial"/>
          <w:lang w:val="en-US"/>
        </w:rPr>
        <w:t>result</w:t>
      </w:r>
      <w:r>
        <w:rPr>
          <w:rStyle w:val="hps"/>
          <w:rFonts w:cs="Arial"/>
          <w:lang w:val="en-US"/>
        </w:rPr>
        <w:t xml:space="preserve"> </w:t>
      </w:r>
      <w:r w:rsidRPr="00EA1CD8">
        <w:rPr>
          <w:rStyle w:val="hps"/>
          <w:rFonts w:cs="Arial"/>
          <w:lang w:val="en-US"/>
        </w:rPr>
        <w:t>in</w:t>
      </w:r>
      <w:r w:rsidRPr="00EA1CD8">
        <w:rPr>
          <w:rFonts w:cs="Arial"/>
          <w:lang w:val="en-US"/>
        </w:rPr>
        <w:t xml:space="preserve"> </w:t>
      </w:r>
      <w:r w:rsidRPr="00EA1CD8">
        <w:rPr>
          <w:rStyle w:val="hps"/>
          <w:rFonts w:cs="Arial"/>
          <w:lang w:val="en-US"/>
        </w:rPr>
        <w:t>fragmentation</w:t>
      </w:r>
      <w:r w:rsidRPr="00EA1CD8">
        <w:rPr>
          <w:rFonts w:cs="Arial"/>
          <w:lang w:val="en-US"/>
        </w:rPr>
        <w:t xml:space="preserve"> </w:t>
      </w:r>
      <w:r w:rsidRPr="00EA1CD8">
        <w:rPr>
          <w:rStyle w:val="hps"/>
          <w:rFonts w:cs="Arial"/>
          <w:lang w:val="en-US"/>
        </w:rPr>
        <w:t>and</w:t>
      </w:r>
      <w:r w:rsidR="00805B90">
        <w:rPr>
          <w:rStyle w:val="hps"/>
          <w:rFonts w:cs="Arial"/>
          <w:lang w:val="en-US"/>
        </w:rPr>
        <w:t xml:space="preserve"> </w:t>
      </w:r>
      <w:r w:rsidRPr="00EA1CD8">
        <w:rPr>
          <w:rStyle w:val="hps"/>
          <w:rFonts w:cs="Arial"/>
          <w:lang w:val="en-US"/>
        </w:rPr>
        <w:t>poor quality</w:t>
      </w:r>
      <w:r w:rsidRPr="00EA1CD8">
        <w:rPr>
          <w:rFonts w:cs="Arial"/>
          <w:lang w:val="en-US"/>
        </w:rPr>
        <w:t xml:space="preserve"> </w:t>
      </w:r>
      <w:r w:rsidRPr="00EA1CD8">
        <w:rPr>
          <w:rStyle w:val="hps"/>
          <w:rFonts w:cs="Arial"/>
          <w:lang w:val="en-US"/>
        </w:rPr>
        <w:t>of service</w:t>
      </w:r>
      <w:r w:rsidR="0048763C">
        <w:rPr>
          <w:rStyle w:val="hps"/>
          <w:rFonts w:cs="Arial"/>
          <w:lang w:val="en-US"/>
        </w:rPr>
        <w:t>s</w:t>
      </w:r>
      <w:r w:rsidRPr="00EA1CD8">
        <w:rPr>
          <w:rStyle w:val="hps"/>
          <w:rFonts w:cs="Arial"/>
          <w:lang w:val="en-US"/>
        </w:rPr>
        <w:t>.</w:t>
      </w:r>
      <w:r w:rsidRPr="00EA1CD8">
        <w:rPr>
          <w:rFonts w:cs="Arial"/>
          <w:lang w:val="en-US"/>
        </w:rPr>
        <w:t xml:space="preserve"> </w:t>
      </w:r>
      <w:r w:rsidRPr="00EA1CD8">
        <w:rPr>
          <w:rStyle w:val="hps"/>
          <w:rFonts w:cs="Arial"/>
          <w:lang w:val="en-US"/>
        </w:rPr>
        <w:t>Another</w:t>
      </w:r>
      <w:r w:rsidRPr="00EA1CD8">
        <w:rPr>
          <w:rFonts w:cs="Arial"/>
          <w:lang w:val="en-US"/>
        </w:rPr>
        <w:t xml:space="preserve"> </w:t>
      </w:r>
      <w:r w:rsidRPr="00EA1CD8">
        <w:rPr>
          <w:rStyle w:val="hps"/>
          <w:rFonts w:cs="Arial"/>
          <w:lang w:val="en-US"/>
        </w:rPr>
        <w:t>problem</w:t>
      </w:r>
      <w:r w:rsidRPr="00EA1CD8">
        <w:rPr>
          <w:rFonts w:cs="Arial"/>
          <w:lang w:val="en-US"/>
        </w:rPr>
        <w:t xml:space="preserve"> </w:t>
      </w:r>
      <w:r w:rsidRPr="00EA1CD8">
        <w:rPr>
          <w:rStyle w:val="hps"/>
          <w:rFonts w:cs="Arial"/>
          <w:lang w:val="en-US"/>
        </w:rPr>
        <w:t>is the</w:t>
      </w:r>
      <w:r w:rsidRPr="00EA1CD8">
        <w:rPr>
          <w:rFonts w:cs="Arial"/>
          <w:lang w:val="en-US"/>
        </w:rPr>
        <w:t xml:space="preserve"> </w:t>
      </w:r>
      <w:r w:rsidRPr="00EA1CD8">
        <w:rPr>
          <w:rStyle w:val="hps"/>
          <w:rFonts w:cs="Arial"/>
          <w:lang w:val="en-US"/>
        </w:rPr>
        <w:t>effectiveness of the cooperation</w:t>
      </w:r>
      <w:r w:rsidRPr="00EA1CD8">
        <w:rPr>
          <w:rFonts w:cs="Arial"/>
          <w:lang w:val="en-US"/>
        </w:rPr>
        <w:t xml:space="preserve"> between </w:t>
      </w:r>
      <w:r w:rsidRPr="00EA1CD8">
        <w:rPr>
          <w:rStyle w:val="hps"/>
          <w:rFonts w:cs="Arial"/>
          <w:lang w:val="en-US"/>
        </w:rPr>
        <w:t>the stakeholders</w:t>
      </w:r>
      <w:r w:rsidRPr="00EA1CD8">
        <w:rPr>
          <w:rFonts w:cs="Arial"/>
          <w:lang w:val="en-US"/>
        </w:rPr>
        <w:t xml:space="preserve"> </w:t>
      </w:r>
      <w:r w:rsidRPr="00EA1CD8">
        <w:rPr>
          <w:rStyle w:val="hps"/>
          <w:rFonts w:cs="Arial"/>
          <w:lang w:val="en-US"/>
        </w:rPr>
        <w:t>involved</w:t>
      </w:r>
      <w:r w:rsidRPr="00EA1CD8">
        <w:rPr>
          <w:rFonts w:cs="Arial"/>
          <w:lang w:val="en-US"/>
        </w:rPr>
        <w:t xml:space="preserve"> </w:t>
      </w:r>
      <w:r w:rsidRPr="00EA1CD8">
        <w:rPr>
          <w:rStyle w:val="hps"/>
          <w:rFonts w:cs="Arial"/>
          <w:lang w:val="en-US"/>
        </w:rPr>
        <w:t>in the fight</w:t>
      </w:r>
      <w:r w:rsidRPr="00EA1CD8">
        <w:rPr>
          <w:rFonts w:cs="Arial"/>
          <w:lang w:val="en-US"/>
        </w:rPr>
        <w:t xml:space="preserve"> </w:t>
      </w:r>
      <w:r w:rsidRPr="00EA1CD8">
        <w:rPr>
          <w:rStyle w:val="hps"/>
          <w:rFonts w:cs="Arial"/>
          <w:lang w:val="en-US"/>
        </w:rPr>
        <w:t>against social exclusion,</w:t>
      </w:r>
      <w:r w:rsidRPr="00EA1CD8">
        <w:rPr>
          <w:rFonts w:cs="Arial"/>
          <w:lang w:val="en-US"/>
        </w:rPr>
        <w:t xml:space="preserve"> since </w:t>
      </w:r>
      <w:r w:rsidRPr="00EA1CD8">
        <w:rPr>
          <w:rStyle w:val="hps"/>
          <w:rFonts w:cs="Arial"/>
          <w:lang w:val="en-US"/>
        </w:rPr>
        <w:t>there are different</w:t>
      </w:r>
      <w:r w:rsidRPr="00EA1CD8">
        <w:rPr>
          <w:rFonts w:cs="Arial"/>
          <w:lang w:val="en-US"/>
        </w:rPr>
        <w:t xml:space="preserve"> </w:t>
      </w:r>
      <w:r w:rsidRPr="00EA1CD8">
        <w:rPr>
          <w:rStyle w:val="hps"/>
          <w:rFonts w:cs="Arial"/>
          <w:lang w:val="en-US"/>
        </w:rPr>
        <w:t>approaches to</w:t>
      </w:r>
      <w:r w:rsidRPr="00EA1CD8">
        <w:rPr>
          <w:rFonts w:cs="Arial"/>
          <w:lang w:val="en-US"/>
        </w:rPr>
        <w:t xml:space="preserve"> </w:t>
      </w:r>
      <w:r w:rsidRPr="006632AD">
        <w:rPr>
          <w:rStyle w:val="hps"/>
          <w:rFonts w:cs="Arial"/>
          <w:lang w:val="en-US"/>
        </w:rPr>
        <w:t>tackling the</w:t>
      </w:r>
      <w:r w:rsidRPr="006632AD">
        <w:rPr>
          <w:rStyle w:val="longtext"/>
          <w:rFonts w:cs="Arial"/>
          <w:lang w:val="en-US"/>
        </w:rPr>
        <w:t xml:space="preserve"> </w:t>
      </w:r>
      <w:r w:rsidRPr="006632AD">
        <w:rPr>
          <w:rStyle w:val="hps"/>
          <w:rFonts w:cs="Arial"/>
          <w:lang w:val="en-US"/>
        </w:rPr>
        <w:t>problem</w:t>
      </w:r>
      <w:r w:rsidRPr="00EA1CD8">
        <w:rPr>
          <w:rFonts w:cs="Arial"/>
          <w:lang w:val="en-US"/>
        </w:rPr>
        <w:t xml:space="preserve">. </w:t>
      </w:r>
      <w:r w:rsidRPr="00EA1CD8">
        <w:rPr>
          <w:rStyle w:val="hps"/>
          <w:rFonts w:cs="Arial"/>
          <w:lang w:val="en-US"/>
        </w:rPr>
        <w:t>As</w:t>
      </w:r>
      <w:r w:rsidRPr="00EA1CD8">
        <w:rPr>
          <w:rFonts w:cs="Arial"/>
          <w:lang w:val="en-US"/>
        </w:rPr>
        <w:t xml:space="preserve"> </w:t>
      </w:r>
      <w:r w:rsidRPr="00EA1CD8">
        <w:rPr>
          <w:rStyle w:val="hps"/>
          <w:rFonts w:cs="Arial"/>
          <w:lang w:val="en-US"/>
        </w:rPr>
        <w:t>a</w:t>
      </w:r>
      <w:r w:rsidRPr="00EA1CD8">
        <w:rPr>
          <w:rFonts w:cs="Arial"/>
          <w:lang w:val="en-US"/>
        </w:rPr>
        <w:t xml:space="preserve"> </w:t>
      </w:r>
      <w:r w:rsidRPr="00EA1CD8">
        <w:rPr>
          <w:rStyle w:val="hps"/>
          <w:rFonts w:cs="Arial"/>
          <w:lang w:val="en-US"/>
        </w:rPr>
        <w:t xml:space="preserve">social worker of the </w:t>
      </w:r>
      <w:r w:rsidRPr="00EA1CD8">
        <w:rPr>
          <w:rFonts w:cs="Arial"/>
          <w:lang w:val="en-US"/>
        </w:rPr>
        <w:t xml:space="preserve">homeless shelter observes: </w:t>
      </w:r>
    </w:p>
    <w:p w:rsidR="00650351" w:rsidRPr="00AC787C" w:rsidRDefault="00650351" w:rsidP="00AC787C">
      <w:pPr>
        <w:spacing w:before="240" w:after="240" w:line="240" w:lineRule="auto"/>
        <w:ind w:left="567"/>
      </w:pPr>
      <w:r w:rsidRPr="00AC787C">
        <w:t xml:space="preserve">“There are different cultures in addressing social exclusion with our prospective partners. For example, the City of Athens and the Church of Greece adhere to outdated, in my opinion, actions such as soup kitchens, which cost 7,000 to 10,000 Euros per day. With this money and with the assistance of other agencies (public and private) we could funded on an annual basis a housing </w:t>
      </w:r>
      <w:r w:rsidRPr="00AC787C">
        <w:lastRenderedPageBreak/>
        <w:t>structure, i.e. a permanent social housing for people who are in poverty" (staff member of Klimaka, 6/11/2012).</w:t>
      </w:r>
    </w:p>
    <w:p w:rsidR="00E875D5" w:rsidRDefault="00E875D5" w:rsidP="00AC787C">
      <w:pPr>
        <w:spacing w:after="120" w:line="276" w:lineRule="auto"/>
        <w:rPr>
          <w:rStyle w:val="hps"/>
          <w:rFonts w:cs="Arial"/>
          <w:lang w:val="en-US"/>
        </w:rPr>
      </w:pPr>
      <w:r>
        <w:rPr>
          <w:rStyle w:val="hps"/>
          <w:rFonts w:cs="Arial"/>
          <w:lang w:val="en-US"/>
        </w:rPr>
        <w:t>In what concerns the activities of the organized immigrant communities</w:t>
      </w:r>
      <w:r w:rsidR="00B00B10">
        <w:rPr>
          <w:rStyle w:val="hps"/>
          <w:rFonts w:cs="Arial"/>
          <w:lang w:val="en-US"/>
        </w:rPr>
        <w:t>,</w:t>
      </w:r>
      <w:r>
        <w:rPr>
          <w:rStyle w:val="hps"/>
          <w:rFonts w:cs="Arial"/>
          <w:lang w:val="en-US"/>
        </w:rPr>
        <w:t xml:space="preserve"> a main finding from the interviews has to do with the </w:t>
      </w:r>
      <w:r w:rsidR="004B6924">
        <w:rPr>
          <w:rStyle w:val="hps"/>
          <w:rFonts w:cs="Arial"/>
          <w:lang w:val="en-US"/>
        </w:rPr>
        <w:t xml:space="preserve">wide </w:t>
      </w:r>
      <w:r>
        <w:rPr>
          <w:rStyle w:val="hps"/>
          <w:rFonts w:cs="Arial"/>
          <w:lang w:val="en-US"/>
        </w:rPr>
        <w:t xml:space="preserve">importance of the legal support provided to their members. </w:t>
      </w:r>
      <w:r w:rsidR="00E555A3">
        <w:rPr>
          <w:rStyle w:val="hps"/>
          <w:rFonts w:cs="Arial"/>
          <w:lang w:val="en-US"/>
        </w:rPr>
        <w:t>Legal support takes mainly the form of information provision adjusted to the specific needs of each community (as</w:t>
      </w:r>
      <w:r w:rsidR="004B6924">
        <w:rPr>
          <w:rStyle w:val="hps"/>
          <w:rFonts w:cs="Arial"/>
          <w:lang w:val="en-US"/>
        </w:rPr>
        <w:t>,</w:t>
      </w:r>
      <w:r w:rsidR="00E555A3">
        <w:rPr>
          <w:rStyle w:val="hps"/>
          <w:rFonts w:cs="Arial"/>
          <w:lang w:val="en-US"/>
        </w:rPr>
        <w:t xml:space="preserve"> for example</w:t>
      </w:r>
      <w:r w:rsidR="004B6924">
        <w:rPr>
          <w:rStyle w:val="hps"/>
          <w:rFonts w:cs="Arial"/>
          <w:lang w:val="en-US"/>
        </w:rPr>
        <w:t>,</w:t>
      </w:r>
      <w:r w:rsidR="00E555A3">
        <w:rPr>
          <w:rStyle w:val="hps"/>
          <w:rFonts w:cs="Arial"/>
          <w:lang w:val="en-US"/>
        </w:rPr>
        <w:t xml:space="preserve"> the most important task for immigrants from Philippines is to validate existing residence permits, while for many Sudanese the only available way to some form of legalization is to apply for asylum). Moreover, the communities undertake the duty to support members that face specific difficulties in their relationships with </w:t>
      </w:r>
      <w:r w:rsidR="00E20D6B">
        <w:rPr>
          <w:rStyle w:val="hps"/>
          <w:rFonts w:cs="Arial"/>
          <w:lang w:val="en-US"/>
        </w:rPr>
        <w:t>public</w:t>
      </w:r>
      <w:r w:rsidR="00E555A3">
        <w:rPr>
          <w:rStyle w:val="hps"/>
          <w:rFonts w:cs="Arial"/>
          <w:lang w:val="en-US"/>
        </w:rPr>
        <w:t xml:space="preserve"> authorities or their employers. The interview</w:t>
      </w:r>
      <w:r w:rsidR="004C0458">
        <w:rPr>
          <w:rStyle w:val="hps"/>
          <w:rFonts w:cs="Arial"/>
          <w:lang w:val="en-US"/>
        </w:rPr>
        <w:t>e</w:t>
      </w:r>
      <w:r w:rsidR="00E555A3">
        <w:rPr>
          <w:rStyle w:val="hps"/>
          <w:rFonts w:cs="Arial"/>
          <w:lang w:val="en-US"/>
        </w:rPr>
        <w:t xml:space="preserve">d members of the Pakistani and the Sudanese community </w:t>
      </w:r>
      <w:r w:rsidR="00682108">
        <w:rPr>
          <w:rStyle w:val="hps"/>
          <w:rFonts w:cs="Arial"/>
          <w:lang w:val="en-US"/>
        </w:rPr>
        <w:t>mentioned several stories in which the experience and the social network</w:t>
      </w:r>
      <w:r w:rsidR="002E2B53">
        <w:rPr>
          <w:rStyle w:val="hps"/>
          <w:rFonts w:cs="Arial"/>
          <w:lang w:val="en-US"/>
        </w:rPr>
        <w:t>s</w:t>
      </w:r>
      <w:r w:rsidR="00682108">
        <w:rPr>
          <w:rStyle w:val="hps"/>
          <w:rFonts w:cs="Arial"/>
          <w:lang w:val="en-US"/>
        </w:rPr>
        <w:t xml:space="preserve"> of the established members and the official representatives of the community </w:t>
      </w:r>
      <w:r w:rsidR="002E2B53">
        <w:rPr>
          <w:rStyle w:val="hps"/>
          <w:rFonts w:cs="Arial"/>
          <w:lang w:val="en-US"/>
        </w:rPr>
        <w:t>proved</w:t>
      </w:r>
      <w:r w:rsidR="00682108">
        <w:rPr>
          <w:rStyle w:val="hps"/>
          <w:rFonts w:cs="Arial"/>
          <w:lang w:val="en-US"/>
        </w:rPr>
        <w:t xml:space="preserve"> </w:t>
      </w:r>
      <w:r w:rsidR="002E2B53">
        <w:rPr>
          <w:rStyle w:val="hps"/>
          <w:rFonts w:cs="Arial"/>
          <w:lang w:val="en-US"/>
        </w:rPr>
        <w:t xml:space="preserve">to be </w:t>
      </w:r>
      <w:r w:rsidR="00682108">
        <w:rPr>
          <w:rStyle w:val="hps"/>
          <w:rFonts w:cs="Arial"/>
          <w:lang w:val="en-US"/>
        </w:rPr>
        <w:t xml:space="preserve">significant in order to </w:t>
      </w:r>
      <w:r w:rsidR="00E20D6B">
        <w:rPr>
          <w:rStyle w:val="hps"/>
          <w:rFonts w:cs="Arial"/>
          <w:lang w:val="en-US"/>
        </w:rPr>
        <w:t xml:space="preserve">deal with instances of maltreatment and rights’ violation. </w:t>
      </w:r>
      <w:r w:rsidR="002E2B53">
        <w:rPr>
          <w:rStyle w:val="hps"/>
          <w:rFonts w:cs="Arial"/>
          <w:lang w:val="en-US"/>
        </w:rPr>
        <w:t>This happens to be a time-consuming activity organized mainly at the individual level.</w:t>
      </w:r>
    </w:p>
    <w:p w:rsidR="006D2245" w:rsidRDefault="00752BB0" w:rsidP="00AC787C">
      <w:pPr>
        <w:spacing w:after="120" w:line="276" w:lineRule="auto"/>
        <w:rPr>
          <w:rStyle w:val="hps"/>
          <w:rFonts w:cs="Arial"/>
          <w:lang w:val="en-US"/>
        </w:rPr>
      </w:pPr>
      <w:r>
        <w:rPr>
          <w:rStyle w:val="hps"/>
          <w:rFonts w:cs="Arial"/>
          <w:lang w:val="en-US"/>
        </w:rPr>
        <w:t xml:space="preserve">On the contrary, the official role of the communities is rarely recognized by the Greek public authorities. </w:t>
      </w:r>
      <w:r w:rsidR="000B1240">
        <w:rPr>
          <w:rStyle w:val="hps"/>
          <w:rFonts w:cs="Arial"/>
          <w:lang w:val="en-US"/>
        </w:rPr>
        <w:t xml:space="preserve">There is no funding from either the central or the local state and the relationship with them is more characterized by the communities’ effort to </w:t>
      </w:r>
      <w:r w:rsidR="00E04EC5">
        <w:rPr>
          <w:rStyle w:val="hps"/>
          <w:rFonts w:cs="Arial"/>
          <w:lang w:val="en-US"/>
        </w:rPr>
        <w:t>‘</w:t>
      </w:r>
      <w:r w:rsidR="000B1240">
        <w:rPr>
          <w:rStyle w:val="hps"/>
          <w:rFonts w:cs="Arial"/>
          <w:lang w:val="en-US"/>
        </w:rPr>
        <w:t>exercise pressure</w:t>
      </w:r>
      <w:r w:rsidR="00E04EC5">
        <w:rPr>
          <w:rStyle w:val="hps"/>
          <w:rFonts w:cs="Arial"/>
          <w:lang w:val="en-US"/>
        </w:rPr>
        <w:t>’</w:t>
      </w:r>
      <w:r w:rsidR="000B1240">
        <w:rPr>
          <w:rStyle w:val="hps"/>
          <w:rFonts w:cs="Arial"/>
          <w:lang w:val="en-US"/>
        </w:rPr>
        <w:t xml:space="preserve"> in order to achieve specific goals</w:t>
      </w:r>
      <w:r w:rsidR="00E04EC5">
        <w:rPr>
          <w:rStyle w:val="hps"/>
          <w:rFonts w:cs="Arial"/>
          <w:lang w:val="en-US"/>
        </w:rPr>
        <w:t>,</w:t>
      </w:r>
      <w:r w:rsidR="000B1240">
        <w:rPr>
          <w:rStyle w:val="hps"/>
          <w:rFonts w:cs="Arial"/>
          <w:lang w:val="en-US"/>
        </w:rPr>
        <w:t xml:space="preserve"> than </w:t>
      </w:r>
      <w:r w:rsidR="00E04EC5">
        <w:rPr>
          <w:rStyle w:val="hps"/>
          <w:rFonts w:cs="Arial"/>
          <w:lang w:val="en-US"/>
        </w:rPr>
        <w:t>by</w:t>
      </w:r>
      <w:r w:rsidR="000B1240">
        <w:rPr>
          <w:rStyle w:val="hps"/>
          <w:rFonts w:cs="Arial"/>
          <w:lang w:val="en-US"/>
        </w:rPr>
        <w:t xml:space="preserve"> formal communication and recognition. The recently established Immigrants’ Integration Councils which are organized at the local (Municipal) level might be an indication for the adoption of a more sustainable form of collaboration between the </w:t>
      </w:r>
      <w:r w:rsidR="00F717E8">
        <w:rPr>
          <w:rStyle w:val="hps"/>
          <w:rFonts w:cs="Arial"/>
          <w:lang w:val="en-US"/>
        </w:rPr>
        <w:t>communities and the authorities but there are no concrete outcomes from their activities so far.</w:t>
      </w:r>
      <w:r w:rsidR="006D2245">
        <w:rPr>
          <w:rStyle w:val="hps"/>
          <w:rFonts w:cs="Arial"/>
          <w:lang w:val="en-US"/>
        </w:rPr>
        <w:t xml:space="preserve"> </w:t>
      </w:r>
      <w:r w:rsidR="0012123B">
        <w:rPr>
          <w:rStyle w:val="hps"/>
          <w:rFonts w:cs="Arial"/>
          <w:lang w:val="en-US"/>
        </w:rPr>
        <w:t xml:space="preserve">The representative of the Pakistani community stressed the role of his organization in the political representation of the Pakistani group, through mobilizations and collaboration with Greek political parties. </w:t>
      </w:r>
    </w:p>
    <w:p w:rsidR="00F717E8" w:rsidRDefault="006D2245" w:rsidP="00AC787C">
      <w:pPr>
        <w:spacing w:after="120" w:line="276" w:lineRule="auto"/>
        <w:rPr>
          <w:rStyle w:val="hps"/>
          <w:rFonts w:cs="Arial"/>
          <w:lang w:val="en-US"/>
        </w:rPr>
      </w:pPr>
      <w:r>
        <w:rPr>
          <w:rStyle w:val="hps"/>
          <w:rFonts w:cs="Arial"/>
          <w:lang w:val="en-US"/>
        </w:rPr>
        <w:t xml:space="preserve">Moreover, the situation is already quite different regarding the relationships between immigrant groups and the NGOs, many of which communicate regularly with organized communities in order to better understand specific needs and to disseminate their potential for support more effectively. Medical and psychological support, legal advising, the provision of temporary dwellings and the organization of Greek language courses are among their activities. However, the collaboration </w:t>
      </w:r>
      <w:r w:rsidR="004946D1">
        <w:rPr>
          <w:rStyle w:val="hps"/>
          <w:rFonts w:cs="Arial"/>
          <w:lang w:val="en-US"/>
        </w:rPr>
        <w:t>between NGOs and the communities has to overcome obstacles posed by the failure to recognize particular priorities of the beneficiaries. As the representative of the Sudanese community reported for example, although speaking Greek is a crucial component of integration, most Greek language courses are held in working days and hours, thus neglecting the needs of employed immigrants.</w:t>
      </w:r>
    </w:p>
    <w:p w:rsidR="0058048E" w:rsidRDefault="0012123B" w:rsidP="00AC787C">
      <w:pPr>
        <w:spacing w:after="120" w:line="276" w:lineRule="auto"/>
        <w:rPr>
          <w:rStyle w:val="hps"/>
          <w:rFonts w:cs="Arial"/>
          <w:lang w:val="en-US"/>
        </w:rPr>
      </w:pPr>
      <w:r>
        <w:rPr>
          <w:rStyle w:val="hps"/>
          <w:rFonts w:cs="Arial"/>
          <w:lang w:val="en-US"/>
        </w:rPr>
        <w:t>T</w:t>
      </w:r>
      <w:r w:rsidR="00966168">
        <w:rPr>
          <w:rStyle w:val="hps"/>
          <w:rFonts w:cs="Arial"/>
          <w:lang w:val="en-US"/>
        </w:rPr>
        <w:t>he individualized basis of the support raises questions about the access of individual members to the services provided by their communities. In the case of the Pakistani and the Sudanese groups the main challenge is to communicate with undocumented newcomers who are not informed about the activities of the communities. The same applies with live-in Filipino domestic workers. All interviewed representatives insisted on the role of informal community networks, stressing that strong ties between co-ethnics offer a safet</w:t>
      </w:r>
      <w:r w:rsidR="00501B8A">
        <w:rPr>
          <w:rStyle w:val="hps"/>
          <w:rFonts w:cs="Arial"/>
          <w:lang w:val="en-US"/>
        </w:rPr>
        <w:t xml:space="preserve">y net. As the representative of the </w:t>
      </w:r>
      <w:r w:rsidR="00501B8A">
        <w:rPr>
          <w:rStyle w:val="hps"/>
          <w:rFonts w:cs="Arial"/>
          <w:lang w:val="en-US"/>
        </w:rPr>
        <w:lastRenderedPageBreak/>
        <w:t>Sudanese community mentioned</w:t>
      </w:r>
      <w:r w:rsidR="0058048E">
        <w:rPr>
          <w:rStyle w:val="hps"/>
          <w:rFonts w:cs="Arial"/>
          <w:lang w:val="en-US"/>
        </w:rPr>
        <w:t>,</w:t>
      </w:r>
      <w:r w:rsidR="00501B8A">
        <w:rPr>
          <w:rStyle w:val="hps"/>
          <w:rFonts w:cs="Arial"/>
          <w:lang w:val="en-US"/>
        </w:rPr>
        <w:t xml:space="preserve"> these ties either originate from the country of origin or are created in Greece or even during the long journey of emigration. </w:t>
      </w:r>
    </w:p>
    <w:p w:rsidR="00966168" w:rsidRDefault="00501B8A" w:rsidP="00AC787C">
      <w:pPr>
        <w:spacing w:after="120" w:line="276" w:lineRule="auto"/>
        <w:rPr>
          <w:rStyle w:val="hps"/>
          <w:rFonts w:cs="Arial"/>
          <w:lang w:val="en-US"/>
        </w:rPr>
      </w:pPr>
      <w:r>
        <w:rPr>
          <w:rStyle w:val="hps"/>
          <w:rFonts w:cs="Arial"/>
          <w:lang w:val="en-US"/>
        </w:rPr>
        <w:t xml:space="preserve">However, it is important to note that informal networks are spatialized in specific ways in the destination country. The representative of the Pakistani community </w:t>
      </w:r>
      <w:r w:rsidR="0058048E">
        <w:rPr>
          <w:rStyle w:val="hps"/>
          <w:rFonts w:cs="Arial"/>
          <w:lang w:val="en-US"/>
        </w:rPr>
        <w:t xml:space="preserve">explained that they decided to establish local organizations in every part of Greece where Pakistani people live, so that they enable them to participate in the activities of the community. The representative of the Sudanese community mentioned the importance of specific places such as a Sudanese local café and informal places of temporary accommodation </w:t>
      </w:r>
      <w:r w:rsidR="00EB75EB">
        <w:rPr>
          <w:rStyle w:val="hps"/>
          <w:rFonts w:cs="Arial"/>
          <w:lang w:val="en-US"/>
        </w:rPr>
        <w:t>in the city centre, where he could get in touch with newcomers and where they get informed about work opportunities and access to documents.</w:t>
      </w:r>
      <w:r w:rsidR="005075E3">
        <w:rPr>
          <w:rStyle w:val="hps"/>
          <w:rFonts w:cs="Arial"/>
          <w:lang w:val="en-US"/>
        </w:rPr>
        <w:t xml:space="preserve"> The representative of the Filipino community mentioned that the concentration of many of their members in the </w:t>
      </w:r>
      <w:r w:rsidR="005075E3" w:rsidRPr="005075E3">
        <w:rPr>
          <w:rStyle w:val="hps"/>
          <w:rFonts w:cs="Arial"/>
          <w:i/>
          <w:lang w:val="en-US"/>
        </w:rPr>
        <w:t xml:space="preserve">Ambelokipoi </w:t>
      </w:r>
      <w:r w:rsidR="005075E3">
        <w:rPr>
          <w:rStyle w:val="hps"/>
          <w:rFonts w:cs="Arial"/>
          <w:lang w:val="en-US"/>
        </w:rPr>
        <w:t>neighborhood is explained by the easy access to their work places in Northern Athens but it helped them to establish a Filipino school there.</w:t>
      </w:r>
      <w:r w:rsidR="003E13CB">
        <w:rPr>
          <w:rStyle w:val="hps"/>
          <w:rFonts w:cs="Arial"/>
          <w:lang w:val="en-US"/>
        </w:rPr>
        <w:t xml:space="preserve"> Accordingly, places of immigrants’ concentration prove to be important in order for relationships of solidarity to be expressed.</w:t>
      </w:r>
      <w:r w:rsidR="00826571">
        <w:rPr>
          <w:rStyle w:val="hps"/>
          <w:rFonts w:cs="Arial"/>
          <w:lang w:val="en-US"/>
        </w:rPr>
        <w:t xml:space="preserve"> Interestingly enough, this fact contradicts dominant </w:t>
      </w:r>
      <w:r w:rsidR="00005B95">
        <w:rPr>
          <w:rStyle w:val="hps"/>
          <w:rFonts w:cs="Arial"/>
          <w:lang w:val="en-US"/>
        </w:rPr>
        <w:t>representation</w:t>
      </w:r>
      <w:r w:rsidR="004B6924">
        <w:rPr>
          <w:rStyle w:val="hps"/>
          <w:rFonts w:cs="Arial"/>
          <w:lang w:val="en-US"/>
        </w:rPr>
        <w:t>s</w:t>
      </w:r>
      <w:r w:rsidR="00005B95">
        <w:rPr>
          <w:rStyle w:val="hps"/>
          <w:rFonts w:cs="Arial"/>
          <w:lang w:val="en-US"/>
        </w:rPr>
        <w:t xml:space="preserve"> of</w:t>
      </w:r>
      <w:r w:rsidR="00826571">
        <w:rPr>
          <w:rStyle w:val="hps"/>
          <w:rFonts w:cs="Arial"/>
          <w:lang w:val="en-US"/>
        </w:rPr>
        <w:t xml:space="preserve"> these places </w:t>
      </w:r>
      <w:r w:rsidR="0048763C">
        <w:rPr>
          <w:rStyle w:val="hps"/>
          <w:rFonts w:cs="Arial"/>
          <w:lang w:val="en-US"/>
        </w:rPr>
        <w:t>as areas of anomie and disorder.</w:t>
      </w:r>
    </w:p>
    <w:p w:rsidR="0048763C" w:rsidRPr="004A6D36" w:rsidRDefault="0048763C" w:rsidP="00AC787C">
      <w:pPr>
        <w:spacing w:after="120" w:line="276" w:lineRule="auto"/>
        <w:rPr>
          <w:rStyle w:val="hps"/>
          <w:rFonts w:cs="Arial"/>
          <w:lang w:val="en-US"/>
        </w:rPr>
      </w:pPr>
      <w:r>
        <w:rPr>
          <w:rStyle w:val="hps"/>
          <w:rFonts w:cs="Arial"/>
          <w:lang w:val="en-US"/>
        </w:rPr>
        <w:t xml:space="preserve">Another example of the complicated spatiality of community networks, one that also reveals their </w:t>
      </w:r>
      <w:r w:rsidR="004A6D36">
        <w:rPr>
          <w:rStyle w:val="hps"/>
          <w:rFonts w:cs="Arial"/>
          <w:lang w:val="en-US"/>
        </w:rPr>
        <w:t>organization at multiple scales</w:t>
      </w:r>
      <w:r w:rsidR="006D4F0F">
        <w:rPr>
          <w:rStyle w:val="hps"/>
          <w:rFonts w:cs="Arial"/>
          <w:lang w:val="en-US"/>
        </w:rPr>
        <w:t>,</w:t>
      </w:r>
      <w:r w:rsidR="004A6D36">
        <w:rPr>
          <w:rStyle w:val="hps"/>
          <w:rFonts w:cs="Arial"/>
          <w:lang w:val="en-US"/>
        </w:rPr>
        <w:t xml:space="preserve"> comes from the working class suburb of </w:t>
      </w:r>
      <w:r w:rsidR="004A6D36" w:rsidRPr="004A6D36">
        <w:rPr>
          <w:rStyle w:val="hps"/>
          <w:rFonts w:cs="Arial"/>
          <w:i/>
          <w:lang w:val="en-US"/>
        </w:rPr>
        <w:t>Aghia Varvara</w:t>
      </w:r>
      <w:r w:rsidR="004A6D36">
        <w:rPr>
          <w:rStyle w:val="hps"/>
          <w:rFonts w:cs="Arial"/>
          <w:lang w:val="en-US"/>
        </w:rPr>
        <w:t xml:space="preserve"> in Western Athens. Since decades, </w:t>
      </w:r>
      <w:r w:rsidR="004A6D36" w:rsidRPr="004A6D36">
        <w:rPr>
          <w:rStyle w:val="hps"/>
          <w:rFonts w:cs="Arial"/>
          <w:i/>
          <w:lang w:val="en-US"/>
        </w:rPr>
        <w:t>Aghia Varvara</w:t>
      </w:r>
      <w:r w:rsidR="004A6D36">
        <w:rPr>
          <w:rStyle w:val="hps"/>
          <w:rFonts w:cs="Arial"/>
          <w:lang w:val="en-US"/>
        </w:rPr>
        <w:t xml:space="preserve"> has been a residential area with many inhabitants of the Roma community, living together with the descendants of the refugees from Asia Minor who settled there in the 1920s and with </w:t>
      </w:r>
      <w:r w:rsidR="006D4F0F">
        <w:rPr>
          <w:rStyle w:val="hps"/>
          <w:rFonts w:cs="Arial"/>
          <w:lang w:val="en-US"/>
        </w:rPr>
        <w:t xml:space="preserve">earlier </w:t>
      </w:r>
      <w:r w:rsidR="004A6D36">
        <w:rPr>
          <w:rStyle w:val="hps"/>
          <w:rFonts w:cs="Arial"/>
          <w:lang w:val="en-US"/>
        </w:rPr>
        <w:t xml:space="preserve">immigrants of Greek origin from the former Soviet Union. According to the representative of the Roma community, </w:t>
      </w:r>
      <w:r w:rsidR="00775AD3">
        <w:rPr>
          <w:rStyle w:val="hps"/>
          <w:rFonts w:cs="Arial"/>
          <w:lang w:val="en-US"/>
        </w:rPr>
        <w:t xml:space="preserve">the </w:t>
      </w:r>
      <w:r w:rsidR="00775AD3" w:rsidRPr="00775AD3">
        <w:rPr>
          <w:rStyle w:val="hps"/>
          <w:rFonts w:cs="Arial"/>
          <w:lang w:val="en-US"/>
        </w:rPr>
        <w:t xml:space="preserve">coexistence of </w:t>
      </w:r>
      <w:r w:rsidR="00775AD3">
        <w:rPr>
          <w:rStyle w:val="hps"/>
          <w:rFonts w:cs="Arial"/>
          <w:lang w:val="en-US"/>
        </w:rPr>
        <w:t>poor</w:t>
      </w:r>
      <w:r w:rsidR="00775AD3" w:rsidRPr="00775AD3">
        <w:rPr>
          <w:rStyle w:val="hps"/>
          <w:rFonts w:cs="Arial"/>
          <w:lang w:val="en-US"/>
        </w:rPr>
        <w:t xml:space="preserve"> population groups in the same area</w:t>
      </w:r>
      <w:r w:rsidR="006D4F0F">
        <w:rPr>
          <w:rStyle w:val="hps"/>
          <w:rFonts w:cs="Arial"/>
          <w:lang w:val="en-US"/>
        </w:rPr>
        <w:t>, contributed to the absence of</w:t>
      </w:r>
      <w:r w:rsidR="00775AD3" w:rsidRPr="00775AD3">
        <w:rPr>
          <w:rStyle w:val="hps"/>
          <w:rFonts w:cs="Arial"/>
          <w:lang w:val="en-US"/>
        </w:rPr>
        <w:t xml:space="preserve"> social stigma</w:t>
      </w:r>
      <w:r w:rsidR="00775AD3">
        <w:rPr>
          <w:rStyle w:val="hps"/>
          <w:rFonts w:cs="Arial"/>
          <w:lang w:val="en-US"/>
        </w:rPr>
        <w:t>tization</w:t>
      </w:r>
      <w:r w:rsidR="006D4F0F" w:rsidRPr="006D4F0F">
        <w:rPr>
          <w:rStyle w:val="hps"/>
          <w:rFonts w:cs="Arial"/>
          <w:lang w:val="en-US"/>
        </w:rPr>
        <w:t xml:space="preserve"> </w:t>
      </w:r>
      <w:r w:rsidR="006D4F0F" w:rsidRPr="00775AD3">
        <w:rPr>
          <w:rStyle w:val="hps"/>
          <w:rFonts w:cs="Arial"/>
          <w:lang w:val="en-US"/>
        </w:rPr>
        <w:t>phenomena</w:t>
      </w:r>
      <w:r w:rsidR="00775AD3" w:rsidRPr="00775AD3">
        <w:rPr>
          <w:rStyle w:val="hps"/>
          <w:rFonts w:cs="Arial"/>
          <w:lang w:val="en-US"/>
        </w:rPr>
        <w:t>: "Here all people are poor, there is a common path for all.</w:t>
      </w:r>
      <w:r w:rsidR="00775AD3">
        <w:rPr>
          <w:rStyle w:val="hps"/>
          <w:rFonts w:cs="Arial"/>
          <w:lang w:val="en-US"/>
        </w:rPr>
        <w:t xml:space="preserve"> The Rom is poor, the non-Rom is poor. T</w:t>
      </w:r>
      <w:r w:rsidR="00775AD3" w:rsidRPr="00775AD3">
        <w:rPr>
          <w:rStyle w:val="hps"/>
          <w:rFonts w:cs="Arial"/>
          <w:lang w:val="en-US"/>
        </w:rPr>
        <w:t xml:space="preserve">here are no coffee shops for </w:t>
      </w:r>
      <w:r w:rsidR="00775AD3">
        <w:rPr>
          <w:rStyle w:val="hps"/>
          <w:rFonts w:cs="Arial"/>
          <w:lang w:val="en-US"/>
        </w:rPr>
        <w:t>Roma</w:t>
      </w:r>
      <w:r w:rsidR="00775AD3" w:rsidRPr="00775AD3">
        <w:rPr>
          <w:rStyle w:val="hps"/>
          <w:rFonts w:cs="Arial"/>
          <w:lang w:val="en-US"/>
        </w:rPr>
        <w:t xml:space="preserve"> and non-</w:t>
      </w:r>
      <w:r w:rsidR="00775AD3">
        <w:rPr>
          <w:rStyle w:val="hps"/>
          <w:rFonts w:cs="Arial"/>
          <w:lang w:val="en-US"/>
        </w:rPr>
        <w:t>Roma</w:t>
      </w:r>
      <w:r w:rsidR="00775AD3" w:rsidRPr="00775AD3">
        <w:rPr>
          <w:rStyle w:val="hps"/>
          <w:rFonts w:cs="Arial"/>
          <w:lang w:val="en-US"/>
        </w:rPr>
        <w:t>"</w:t>
      </w:r>
      <w:r w:rsidR="00775AD3">
        <w:rPr>
          <w:rStyle w:val="hps"/>
          <w:rFonts w:cs="Arial"/>
          <w:lang w:val="en-US"/>
        </w:rPr>
        <w:t>.</w:t>
      </w:r>
      <w:r w:rsidR="00482F8B">
        <w:rPr>
          <w:rStyle w:val="hps"/>
          <w:rFonts w:cs="Arial"/>
          <w:lang w:val="en-US"/>
        </w:rPr>
        <w:t xml:space="preserve"> In the current period of economic recession relatives</w:t>
      </w:r>
      <w:r w:rsidR="00482F8B" w:rsidRPr="00482F8B">
        <w:rPr>
          <w:rStyle w:val="hps"/>
          <w:rFonts w:cs="Arial"/>
          <w:lang w:val="en-US"/>
        </w:rPr>
        <w:t xml:space="preserve"> and social networks play an important role in the economic and social support for those who found themselves without work and income. </w:t>
      </w:r>
      <w:r w:rsidR="00482F8B">
        <w:rPr>
          <w:rStyle w:val="hps"/>
          <w:rFonts w:cs="Arial"/>
          <w:lang w:val="en-US"/>
        </w:rPr>
        <w:t>For this purpose</w:t>
      </w:r>
      <w:r w:rsidR="00482F8B" w:rsidRPr="00482F8B">
        <w:rPr>
          <w:rStyle w:val="hps"/>
          <w:rFonts w:cs="Arial"/>
          <w:lang w:val="en-US"/>
        </w:rPr>
        <w:t xml:space="preserve">, the </w:t>
      </w:r>
      <w:r w:rsidR="006D4F0F">
        <w:rPr>
          <w:rStyle w:val="hps"/>
          <w:rFonts w:cs="Arial"/>
          <w:lang w:val="en-US"/>
        </w:rPr>
        <w:t>voluntary</w:t>
      </w:r>
      <w:r w:rsidR="00482F8B">
        <w:rPr>
          <w:rStyle w:val="hps"/>
          <w:rFonts w:cs="Arial"/>
          <w:lang w:val="en-US"/>
        </w:rPr>
        <w:t xml:space="preserve"> </w:t>
      </w:r>
      <w:r w:rsidR="00482F8B" w:rsidRPr="00482F8B">
        <w:rPr>
          <w:rStyle w:val="hps"/>
          <w:rFonts w:cs="Arial"/>
          <w:lang w:val="en-US"/>
        </w:rPr>
        <w:t>Network of Social Solidarity and Mutual Aid plays was set up by residents of the municipa</w:t>
      </w:r>
      <w:r w:rsidR="00482F8B">
        <w:rPr>
          <w:rStyle w:val="hps"/>
          <w:rFonts w:cs="Arial"/>
          <w:lang w:val="en-US"/>
        </w:rPr>
        <w:t>lity (Roma and non Roma)</w:t>
      </w:r>
      <w:r w:rsidR="006D4F0F">
        <w:rPr>
          <w:rStyle w:val="hps"/>
          <w:rFonts w:cs="Arial"/>
          <w:lang w:val="en-US"/>
        </w:rPr>
        <w:t>,</w:t>
      </w:r>
      <w:r w:rsidR="00482F8B">
        <w:rPr>
          <w:rStyle w:val="hps"/>
          <w:rFonts w:cs="Arial"/>
          <w:lang w:val="en-US"/>
        </w:rPr>
        <w:t xml:space="preserve"> aiming at covering emergent needs</w:t>
      </w:r>
      <w:r w:rsidR="006D4F0F">
        <w:rPr>
          <w:rStyle w:val="hps"/>
          <w:rFonts w:cs="Arial"/>
          <w:lang w:val="en-US"/>
        </w:rPr>
        <w:t xml:space="preserve"> and crossing the ethnic boundaries</w:t>
      </w:r>
      <w:r w:rsidR="00482F8B">
        <w:rPr>
          <w:rStyle w:val="hps"/>
          <w:rFonts w:cs="Arial"/>
          <w:lang w:val="en-US"/>
        </w:rPr>
        <w:t>.</w:t>
      </w:r>
      <w:r w:rsidR="00356FCD">
        <w:rPr>
          <w:rStyle w:val="hps"/>
          <w:rFonts w:cs="Arial"/>
          <w:lang w:val="en-US"/>
        </w:rPr>
        <w:t xml:space="preserve"> At the same time</w:t>
      </w:r>
      <w:r w:rsidR="006D4F0F">
        <w:rPr>
          <w:rStyle w:val="hps"/>
          <w:rFonts w:cs="Arial"/>
          <w:lang w:val="en-US"/>
        </w:rPr>
        <w:t xml:space="preserve">, </w:t>
      </w:r>
      <w:r w:rsidR="00BC627D">
        <w:rPr>
          <w:rStyle w:val="hps"/>
          <w:rFonts w:cs="Arial"/>
          <w:lang w:val="en-US"/>
        </w:rPr>
        <w:t xml:space="preserve">according the representative, social inclusion prospects for Roma people have benefited from the establishment in 1995 of nationwide Roma </w:t>
      </w:r>
      <w:r w:rsidR="006B46C7">
        <w:rPr>
          <w:rStyle w:val="hps"/>
          <w:rFonts w:cs="Arial"/>
          <w:lang w:val="en-US"/>
        </w:rPr>
        <w:t>N</w:t>
      </w:r>
      <w:r w:rsidR="00BC627D">
        <w:rPr>
          <w:rStyle w:val="hps"/>
          <w:rFonts w:cs="Arial"/>
          <w:lang w:val="en-US"/>
        </w:rPr>
        <w:t xml:space="preserve">etwork in which 62 Municipalities with Roma inhabitants were involved. </w:t>
      </w:r>
      <w:r w:rsidR="006B46C7">
        <w:rPr>
          <w:rStyle w:val="hps"/>
          <w:rFonts w:cs="Arial"/>
          <w:lang w:val="en-US"/>
        </w:rPr>
        <w:t xml:space="preserve">In collaboration with the Universities of Athens and Thessaloniki, the activities of the Network contributed to the increase of the Roma children in public education. In the specific case of Aghia Varvara the increase rate was above the average, due to the </w:t>
      </w:r>
      <w:r w:rsidR="002862C4">
        <w:rPr>
          <w:rStyle w:val="hps"/>
          <w:rFonts w:cs="Arial"/>
          <w:lang w:val="en-US"/>
        </w:rPr>
        <w:t xml:space="preserve">active </w:t>
      </w:r>
      <w:r w:rsidR="006B46C7">
        <w:rPr>
          <w:rStyle w:val="hps"/>
          <w:rFonts w:cs="Arial"/>
          <w:lang w:val="en-US"/>
        </w:rPr>
        <w:t>colla</w:t>
      </w:r>
      <w:r w:rsidR="002862C4">
        <w:rPr>
          <w:rStyle w:val="hps"/>
          <w:rFonts w:cs="Arial"/>
          <w:lang w:val="en-US"/>
        </w:rPr>
        <w:t>boration of the local authority and the non-discriminatory culture of the members of the other local ethnic groups.</w:t>
      </w:r>
    </w:p>
    <w:p w:rsidR="00346BEF" w:rsidRDefault="00650351" w:rsidP="00AC787C">
      <w:pPr>
        <w:spacing w:after="120" w:line="276" w:lineRule="auto"/>
        <w:rPr>
          <w:rStyle w:val="hps"/>
          <w:rFonts w:cs="Arial"/>
          <w:lang w:val="en-US"/>
        </w:rPr>
      </w:pPr>
      <w:r w:rsidRPr="00BF2762">
        <w:rPr>
          <w:rStyle w:val="hps"/>
          <w:rFonts w:cs="Arial"/>
          <w:lang w:val="en-US"/>
        </w:rPr>
        <w:t>To sum up</w:t>
      </w:r>
      <w:r>
        <w:rPr>
          <w:rStyle w:val="hps"/>
          <w:rFonts w:cs="Arial"/>
          <w:lang w:val="en-US"/>
        </w:rPr>
        <w:t xml:space="preserve">, since the </w:t>
      </w:r>
      <w:r w:rsidR="00BF2762">
        <w:rPr>
          <w:rStyle w:val="hps"/>
          <w:rFonts w:cs="Arial"/>
          <w:lang w:val="en-US"/>
        </w:rPr>
        <w:t>early</w:t>
      </w:r>
      <w:r>
        <w:rPr>
          <w:rStyle w:val="hps"/>
          <w:rFonts w:cs="Arial"/>
          <w:lang w:val="en-US"/>
        </w:rPr>
        <w:t xml:space="preserve"> 2000s and during the crisis there has </w:t>
      </w:r>
      <w:r w:rsidR="00BB467D">
        <w:rPr>
          <w:rStyle w:val="hps"/>
          <w:rFonts w:cs="Arial"/>
          <w:lang w:val="en-US"/>
        </w:rPr>
        <w:t xml:space="preserve">been some effort to overcome </w:t>
      </w:r>
      <w:r>
        <w:rPr>
          <w:rStyle w:val="hps"/>
          <w:rFonts w:cs="Arial"/>
          <w:lang w:val="en-US"/>
        </w:rPr>
        <w:t>chronic deficiencies of central state’s immigration policy and municipalities’ social services. The establishment of the Direction of Immigration Policy and the enactment of a specific legislation dissociated partially the immigration policy from the question of public order. Municipalities experiment with more decentralized and volunteerism-oriented ways of social services provision</w:t>
      </w:r>
      <w:r w:rsidR="00B24023">
        <w:rPr>
          <w:rStyle w:val="hps"/>
          <w:rFonts w:cs="Arial"/>
          <w:lang w:val="en-US"/>
        </w:rPr>
        <w:t>,</w:t>
      </w:r>
      <w:r>
        <w:rPr>
          <w:rStyle w:val="hps"/>
          <w:rFonts w:cs="Arial"/>
          <w:lang w:val="en-US"/>
        </w:rPr>
        <w:t xml:space="preserve"> as a response to the </w:t>
      </w:r>
      <w:r>
        <w:rPr>
          <w:rStyle w:val="hps"/>
          <w:rFonts w:cs="Arial"/>
          <w:lang w:val="en-US"/>
        </w:rPr>
        <w:lastRenderedPageBreak/>
        <w:t xml:space="preserve">disorganization of traditional municipal social services. At the same time, other agencies with important financial and/or human resources, like the Orthodox Church and NGOs, play a significant role in social service provision within a context of weak central and local state presence. </w:t>
      </w:r>
    </w:p>
    <w:p w:rsidR="00650351" w:rsidRDefault="00650351" w:rsidP="00AC787C">
      <w:pPr>
        <w:spacing w:line="276" w:lineRule="auto"/>
        <w:rPr>
          <w:rStyle w:val="hps"/>
          <w:rFonts w:cs="Arial"/>
          <w:lang w:val="en-US"/>
        </w:rPr>
      </w:pPr>
      <w:r>
        <w:rPr>
          <w:rStyle w:val="hps"/>
          <w:rFonts w:cs="Arial"/>
          <w:lang w:val="en-US"/>
        </w:rPr>
        <w:t xml:space="preserve">However, public and third sector mobilization proves rather insufficient compared to the intensity of current trends of poverty and social exclusion. Immigration inflows continue to increase the number of undocumented immigrants in the country, while even legalized immigrants run the risk of </w:t>
      </w:r>
      <w:r w:rsidR="00346BEF">
        <w:rPr>
          <w:rStyle w:val="hps"/>
          <w:rFonts w:cs="Arial"/>
          <w:lang w:val="en-US"/>
        </w:rPr>
        <w:t>losing</w:t>
      </w:r>
      <w:r>
        <w:rPr>
          <w:rStyle w:val="hps"/>
          <w:rFonts w:cs="Arial"/>
          <w:lang w:val="en-US"/>
        </w:rPr>
        <w:t xml:space="preserve"> resident permit</w:t>
      </w:r>
      <w:r w:rsidR="00346BEF">
        <w:rPr>
          <w:rStyle w:val="hps"/>
          <w:rFonts w:cs="Arial"/>
          <w:lang w:val="en-US"/>
        </w:rPr>
        <w:t xml:space="preserve"> due to unemployment</w:t>
      </w:r>
      <w:r>
        <w:rPr>
          <w:rStyle w:val="hps"/>
          <w:rFonts w:cs="Arial"/>
          <w:lang w:val="en-US"/>
        </w:rPr>
        <w:t>. At the same time, unemployment and the shrinkage of household incomes lead to the emergence of new poor and multiply vulnerable social groups. The municipalities as well as third sector organizations have to cope with increas</w:t>
      </w:r>
      <w:r w:rsidR="00346BEF">
        <w:rPr>
          <w:rStyle w:val="hps"/>
          <w:rFonts w:cs="Arial"/>
          <w:lang w:val="en-US"/>
        </w:rPr>
        <w:t>ing</w:t>
      </w:r>
      <w:r>
        <w:rPr>
          <w:rStyle w:val="hps"/>
          <w:rFonts w:cs="Arial"/>
          <w:lang w:val="en-US"/>
        </w:rPr>
        <w:t xml:space="preserve"> needs in the provision of basic goods and services (food, cloths, health services, housing). However, despite some success of their initiati</w:t>
      </w:r>
      <w:r w:rsidR="00346BEF">
        <w:rPr>
          <w:rStyle w:val="hps"/>
          <w:rFonts w:cs="Arial"/>
          <w:lang w:val="en-US"/>
        </w:rPr>
        <w:t>ves, their action has two limitations</w:t>
      </w:r>
      <w:r>
        <w:rPr>
          <w:rStyle w:val="hps"/>
          <w:rFonts w:cs="Arial"/>
          <w:lang w:val="en-US"/>
        </w:rPr>
        <w:t>: first, they cannot address the roots of the problems, mainly the reduction of jobs in an economy in deep recession. Second, their action remains restr</w:t>
      </w:r>
      <w:r w:rsidR="00346BEF">
        <w:rPr>
          <w:rStyle w:val="hps"/>
          <w:rFonts w:cs="Arial"/>
          <w:lang w:val="en-US"/>
        </w:rPr>
        <w:t>icted</w:t>
      </w:r>
      <w:r>
        <w:rPr>
          <w:rStyle w:val="hps"/>
          <w:rFonts w:cs="Arial"/>
          <w:lang w:val="en-US"/>
        </w:rPr>
        <w:t xml:space="preserve"> in some emblematic activities and institutions (soup kitchens, agencies specialized in homelessness) and it does not lead to the creation of a new, adequate model of social protection of wider scope.</w:t>
      </w:r>
    </w:p>
    <w:p w:rsidR="00ED7B4D" w:rsidRDefault="00ED7B4D" w:rsidP="00AC787C">
      <w:pPr>
        <w:spacing w:line="276" w:lineRule="auto"/>
        <w:rPr>
          <w:lang w:val="en-US"/>
        </w:rPr>
      </w:pPr>
      <w:r>
        <w:rPr>
          <w:rStyle w:val="hps"/>
          <w:rFonts w:cs="Arial"/>
          <w:lang w:val="en-US"/>
        </w:rPr>
        <w:t xml:space="preserve">In what concerns the role of immigrants’ collective organization and representation, it is quite evident that organized communities </w:t>
      </w:r>
      <w:r w:rsidR="006D2245">
        <w:rPr>
          <w:rStyle w:val="hps"/>
          <w:rFonts w:cs="Arial"/>
          <w:lang w:val="en-US"/>
        </w:rPr>
        <w:t xml:space="preserve">provide multiple forms of support to their members, either established or newer ones. Representation in front of the Greek public authorities and third sector bodies and </w:t>
      </w:r>
      <w:r w:rsidR="0012123B">
        <w:rPr>
          <w:rStyle w:val="hps"/>
          <w:rFonts w:cs="Arial"/>
          <w:lang w:val="en-US"/>
        </w:rPr>
        <w:t>the tightening of the relations between members are among their most important duties.</w:t>
      </w:r>
      <w:r w:rsidR="00D32E2C">
        <w:rPr>
          <w:rStyle w:val="hps"/>
          <w:rFonts w:cs="Arial"/>
          <w:lang w:val="en-US"/>
        </w:rPr>
        <w:t xml:space="preserve"> The ability of the organized communities to reassure the access of their members to their services is based on informal networks which are in turn further developed by their contacts with formal activities. The condition of ‘illegality’ and institutional racism function as</w:t>
      </w:r>
      <w:r w:rsidR="00B00B10">
        <w:rPr>
          <w:rStyle w:val="hps"/>
          <w:rFonts w:cs="Arial"/>
          <w:lang w:val="en-US"/>
        </w:rPr>
        <w:t xml:space="preserve"> general</w:t>
      </w:r>
      <w:r w:rsidR="00D32E2C">
        <w:rPr>
          <w:rStyle w:val="hps"/>
          <w:rFonts w:cs="Arial"/>
          <w:lang w:val="en-US"/>
        </w:rPr>
        <w:t xml:space="preserve"> limitations of what the organized communities can do</w:t>
      </w:r>
      <w:r w:rsidR="00B00B10">
        <w:rPr>
          <w:rStyle w:val="hps"/>
          <w:rFonts w:cs="Arial"/>
          <w:lang w:val="en-US"/>
        </w:rPr>
        <w:t xml:space="preserve">, while the perception of any spatial concentration of immigrants as a threat of ‘ghettoization’ is an obstacle in recognizing the spatiality of immigrants’ networks. </w:t>
      </w:r>
    </w:p>
    <w:p w:rsidR="00360468" w:rsidRPr="00C82121" w:rsidRDefault="00360468" w:rsidP="00360468">
      <w:pPr>
        <w:rPr>
          <w:sz w:val="10"/>
          <w:szCs w:val="10"/>
        </w:rPr>
      </w:pPr>
    </w:p>
    <w:p w:rsidR="009817D0" w:rsidRDefault="002F7A8D" w:rsidP="00ED0F60">
      <w:pPr>
        <w:pStyle w:val="Heading2"/>
        <w:spacing w:before="360"/>
      </w:pPr>
      <w:bookmarkStart w:id="59" w:name="_Toc386013201"/>
      <w:r w:rsidRPr="002F7A8D">
        <w:t>Development</w:t>
      </w:r>
      <w:r w:rsidRPr="00D46A4C">
        <w:t xml:space="preserve"> over time and the influence of policies</w:t>
      </w:r>
      <w:r>
        <w:t xml:space="preserve"> and/</w:t>
      </w:r>
      <w:r w:rsidRPr="00D46A4C">
        <w:t>or other factors</w:t>
      </w:r>
      <w:bookmarkEnd w:id="59"/>
    </w:p>
    <w:p w:rsidR="00BF2762" w:rsidRPr="006D3344" w:rsidRDefault="00BF2762" w:rsidP="00C82121">
      <w:pPr>
        <w:spacing w:line="276" w:lineRule="auto"/>
        <w:rPr>
          <w:lang w:val="en-US"/>
        </w:rPr>
      </w:pPr>
      <w:r w:rsidRPr="006D3344">
        <w:rPr>
          <w:lang w:val="en-US"/>
        </w:rPr>
        <w:t>So</w:t>
      </w:r>
      <w:r>
        <w:rPr>
          <w:lang w:val="en-US"/>
        </w:rPr>
        <w:t>cial regulation in cities relies</w:t>
      </w:r>
      <w:r w:rsidRPr="006D3344">
        <w:rPr>
          <w:lang w:val="en-US"/>
        </w:rPr>
        <w:t xml:space="preserve"> on a kind of osmosis between the traditional solidarity mechanisms (domestic, relational, community) and the institutional solidarity mechanisms which is the welfare state. In Northern Europe, traditional solidarity mechanisms have gradually run down and in some cases vanished, leaving the welfare state in charge of social regulation. </w:t>
      </w:r>
      <w:r>
        <w:rPr>
          <w:lang w:val="en-US"/>
        </w:rPr>
        <w:t>On the other</w:t>
      </w:r>
      <w:r w:rsidRPr="006D3344">
        <w:rPr>
          <w:lang w:val="en-US"/>
        </w:rPr>
        <w:t xml:space="preserve"> </w:t>
      </w:r>
      <w:r>
        <w:rPr>
          <w:lang w:val="en-US"/>
        </w:rPr>
        <w:t>hand, in the countries of  Southern Europe</w:t>
      </w:r>
      <w:r w:rsidRPr="006D3344">
        <w:rPr>
          <w:lang w:val="en-US"/>
        </w:rPr>
        <w:t>, traditional solidarity mechanisms still thrive and have enabled cities to weather the dec</w:t>
      </w:r>
      <w:r>
        <w:rPr>
          <w:lang w:val="en-US"/>
        </w:rPr>
        <w:t>line of the</w:t>
      </w:r>
      <w:r w:rsidRPr="006D3344">
        <w:rPr>
          <w:lang w:val="en-US"/>
        </w:rPr>
        <w:t xml:space="preserve"> (in some cases </w:t>
      </w:r>
      <w:r>
        <w:rPr>
          <w:lang w:val="en-US"/>
        </w:rPr>
        <w:t>rudimentary) welfare state</w:t>
      </w:r>
      <w:r w:rsidRPr="006D3344">
        <w:rPr>
          <w:lang w:val="en-US"/>
        </w:rPr>
        <w:t xml:space="preserve"> (Friedrichs </w:t>
      </w:r>
      <w:r w:rsidR="00DB52B3">
        <w:rPr>
          <w:lang w:val="en-US"/>
        </w:rPr>
        <w:t>&amp;</w:t>
      </w:r>
      <w:r w:rsidRPr="006D3344">
        <w:rPr>
          <w:lang w:val="en-US"/>
        </w:rPr>
        <w:t xml:space="preserve"> Vranken</w:t>
      </w:r>
      <w:r w:rsidR="00C82121">
        <w:rPr>
          <w:lang w:val="en-US"/>
        </w:rPr>
        <w:t>,</w:t>
      </w:r>
      <w:r w:rsidRPr="006D3344">
        <w:rPr>
          <w:lang w:val="en-US"/>
        </w:rPr>
        <w:t xml:space="preserve"> </w:t>
      </w:r>
      <w:r w:rsidR="00DB52B3">
        <w:rPr>
          <w:lang w:val="en-US"/>
        </w:rPr>
        <w:t>2001</w:t>
      </w:r>
      <w:r w:rsidRPr="006D3344">
        <w:rPr>
          <w:lang w:val="en-US"/>
        </w:rPr>
        <w:t>).</w:t>
      </w:r>
    </w:p>
    <w:p w:rsidR="00BF2762" w:rsidRDefault="00BF2762" w:rsidP="00C82121">
      <w:pPr>
        <w:spacing w:line="276" w:lineRule="auto"/>
        <w:rPr>
          <w:lang w:eastAsia="el-GR"/>
        </w:rPr>
      </w:pPr>
      <w:r>
        <w:rPr>
          <w:lang w:eastAsia="el-GR"/>
        </w:rPr>
        <w:t>W</w:t>
      </w:r>
      <w:r w:rsidRPr="006D3344">
        <w:rPr>
          <w:lang w:eastAsia="el-GR"/>
        </w:rPr>
        <w:t>ith a history of high social mobility in the post-war decades</w:t>
      </w:r>
      <w:r>
        <w:rPr>
          <w:lang w:eastAsia="el-GR"/>
        </w:rPr>
        <w:t>,</w:t>
      </w:r>
      <w:r w:rsidRPr="006D3344">
        <w:rPr>
          <w:lang w:eastAsia="el-GR"/>
        </w:rPr>
        <w:t xml:space="preserve"> as well as of the rather limited integration of the city into the high-end of the global labor market and the consequent limited presence of an international corporate elite exercising pressure </w:t>
      </w:r>
      <w:r w:rsidRPr="006D3344">
        <w:rPr>
          <w:lang w:eastAsia="el-GR"/>
        </w:rPr>
        <w:lastRenderedPageBreak/>
        <w:t>on the higher end of the housing market</w:t>
      </w:r>
      <w:r>
        <w:rPr>
          <w:lang w:eastAsia="el-GR"/>
        </w:rPr>
        <w:t>, residential segregation between classes remained comparatively low in Athens</w:t>
      </w:r>
      <w:r w:rsidRPr="006D3344">
        <w:rPr>
          <w:lang w:eastAsia="el-GR"/>
        </w:rPr>
        <w:t>. Reduced segregation is also related to the dominance of two housing provision systems that had an ambivalent impact on both clas</w:t>
      </w:r>
      <w:r>
        <w:rPr>
          <w:lang w:eastAsia="el-GR"/>
        </w:rPr>
        <w:t>s and ethno-racial segregation:</w:t>
      </w:r>
    </w:p>
    <w:p w:rsidR="00BF2762" w:rsidRDefault="00BF2762" w:rsidP="00C82121">
      <w:pPr>
        <w:pStyle w:val="ListParagraph"/>
        <w:numPr>
          <w:ilvl w:val="0"/>
          <w:numId w:val="43"/>
        </w:numPr>
        <w:spacing w:line="276" w:lineRule="auto"/>
        <w:rPr>
          <w:lang w:eastAsia="el-GR"/>
        </w:rPr>
      </w:pPr>
      <w:r>
        <w:rPr>
          <w:lang w:eastAsia="el-GR"/>
        </w:rPr>
        <w:t xml:space="preserve">The so-called system of </w:t>
      </w:r>
      <w:r w:rsidRPr="00616F1E">
        <w:rPr>
          <w:i/>
          <w:lang w:eastAsia="el-GR"/>
        </w:rPr>
        <w:t>antiparochi</w:t>
      </w:r>
      <w:r>
        <w:rPr>
          <w:lang w:eastAsia="el-GR"/>
        </w:rPr>
        <w:t xml:space="preserve"> </w:t>
      </w:r>
      <w:r w:rsidR="00616F1E">
        <w:rPr>
          <w:lang w:eastAsia="el-GR"/>
        </w:rPr>
        <w:t>(</w:t>
      </w:r>
      <w:r w:rsidR="005F158A">
        <w:rPr>
          <w:lang w:eastAsia="el-GR"/>
        </w:rPr>
        <w:t>quid pro quo</w:t>
      </w:r>
      <w:r w:rsidR="00616F1E">
        <w:rPr>
          <w:lang w:eastAsia="el-GR"/>
        </w:rPr>
        <w:t xml:space="preserve">) </w:t>
      </w:r>
      <w:r>
        <w:rPr>
          <w:lang w:eastAsia="el-GR"/>
        </w:rPr>
        <w:t>by which a land-owner transfers a plot to the contractor, who undertakes in turn to construct the building. In practice, this system gives land-owners the opportunity to construct buildings with the help of a constructor who instead of money gets apartments in the building.</w:t>
      </w:r>
    </w:p>
    <w:p w:rsidR="00BF2762" w:rsidRDefault="00BF2762" w:rsidP="00C82121">
      <w:pPr>
        <w:pStyle w:val="ListParagraph"/>
        <w:numPr>
          <w:ilvl w:val="0"/>
          <w:numId w:val="43"/>
        </w:numPr>
        <w:spacing w:line="276" w:lineRule="auto"/>
        <w:rPr>
          <w:lang w:eastAsia="el-GR"/>
        </w:rPr>
      </w:pPr>
      <w:r>
        <w:rPr>
          <w:lang w:eastAsia="el-GR"/>
        </w:rPr>
        <w:t>Irregular self-help construction in areas where no master-plan is implemented. Irregular constructions were usually tolerated in the past, either for primary or second housing. Entire suburban areas were constructed this way and they were later incorporated in the official boundaries of the urban tissue, often to be reconstructed through the system of antiparochi.</w:t>
      </w:r>
    </w:p>
    <w:p w:rsidR="00BF2762" w:rsidRDefault="00BF2762" w:rsidP="00C82121">
      <w:pPr>
        <w:spacing w:line="276" w:lineRule="auto"/>
        <w:rPr>
          <w:lang w:eastAsia="el-GR"/>
        </w:rPr>
      </w:pPr>
      <w:r w:rsidRPr="006D3344">
        <w:rPr>
          <w:lang w:eastAsia="el-GR"/>
        </w:rPr>
        <w:t xml:space="preserve">These systems </w:t>
      </w:r>
      <w:r w:rsidR="004B6924">
        <w:rPr>
          <w:lang w:eastAsia="el-GR"/>
        </w:rPr>
        <w:t xml:space="preserve">were connected </w:t>
      </w:r>
      <w:r w:rsidR="00825B2F">
        <w:rPr>
          <w:lang w:eastAsia="el-GR"/>
        </w:rPr>
        <w:t>to</w:t>
      </w:r>
      <w:r>
        <w:rPr>
          <w:lang w:eastAsia="el-GR"/>
        </w:rPr>
        <w:t xml:space="preserve"> the family-</w:t>
      </w:r>
      <w:r w:rsidRPr="006D3344">
        <w:rPr>
          <w:lang w:eastAsia="el-GR"/>
        </w:rPr>
        <w:t>centred welfare model that, as in the rest of Southern Europe, has grown to depend on family solidarity networks, reducing both residential mobility and segregation. They were also constitutive parts of the clientelist/populist political system that relied on defending both high social mobility rates and massive access to hom</w:t>
      </w:r>
      <w:r>
        <w:rPr>
          <w:lang w:eastAsia="el-GR"/>
        </w:rPr>
        <w:t>eownership for its reproduction</w:t>
      </w:r>
      <w:r w:rsidRPr="00176AA8">
        <w:rPr>
          <w:lang w:eastAsia="el-GR"/>
        </w:rPr>
        <w:t>.</w:t>
      </w:r>
    </w:p>
    <w:p w:rsidR="00360468" w:rsidRDefault="00360468" w:rsidP="00C82121">
      <w:pPr>
        <w:spacing w:line="276" w:lineRule="auto"/>
        <w:rPr>
          <w:rStyle w:val="style7"/>
        </w:rPr>
      </w:pPr>
      <w:r>
        <w:rPr>
          <w:rStyle w:val="style7"/>
        </w:rPr>
        <w:t>Urban growth in Athens was quite impressive during the first post-war decades, on the grounds of rapid inflows of internal migrants from the rural areas of the country. A spatially diffuse production system (Vaiou and Hadjimichalis, 1997) and an unreliable planning system (Economou, 1997) resulted in piecemeal urbanization in the urban periphery, mainly through irregular self-hel</w:t>
      </w:r>
      <w:r w:rsidR="002E5211">
        <w:rPr>
          <w:rStyle w:val="style7"/>
        </w:rPr>
        <w:t>p construction (Leontidou, 1990</w:t>
      </w:r>
      <w:r>
        <w:rPr>
          <w:rStyle w:val="style7"/>
        </w:rPr>
        <w:t xml:space="preserve">). At the same time vast areas around the historical centre were built under the system of antiparochi that secured and reproduced the preceding pattern of small and socially widespread land property Besides nourishing the construction sector that was critical for the urban economy as a whole, antiparochi led to the production of sufficient housing units that made </w:t>
      </w:r>
      <w:r w:rsidR="00C70165">
        <w:rPr>
          <w:rStyle w:val="style7"/>
        </w:rPr>
        <w:t xml:space="preserve">access to home-ownership </w:t>
      </w:r>
      <w:r>
        <w:rPr>
          <w:rStyle w:val="style7"/>
        </w:rPr>
        <w:t xml:space="preserve">possible </w:t>
      </w:r>
      <w:r w:rsidR="00C70165">
        <w:rPr>
          <w:rStyle w:val="style7"/>
        </w:rPr>
        <w:t>for</w:t>
      </w:r>
      <w:r>
        <w:rPr>
          <w:rStyle w:val="style7"/>
        </w:rPr>
        <w:t xml:space="preserve"> large parts of the urban population (Leontidou, 1990; Maloutas, 2007).</w:t>
      </w:r>
    </w:p>
    <w:p w:rsidR="004B6924" w:rsidRDefault="004B6924" w:rsidP="00C82121">
      <w:pPr>
        <w:spacing w:line="276" w:lineRule="auto"/>
        <w:rPr>
          <w:lang w:val="en-US"/>
        </w:rPr>
      </w:pPr>
      <w:r w:rsidRPr="006D3344">
        <w:rPr>
          <w:lang w:eastAsia="el-GR"/>
        </w:rPr>
        <w:t>Economic restructuring in Athens has been comparatively gradual and limited in its impact due to the archetypal southern European character of the city’s post-war development, where Fordist industry has never been the principal driving force. The steadily-growing tertiarization and the switch from international emigration in the first post-war decades to intense immigration inflows since the early 1990s have led to a certain degree of social polarization—which shows, however, substantial differences to the global city model. Nevertheless, Athens’ polarization has not led to more segregation, either in terms of class, ethnicity or race; on the contrary, segregation indices have decreased in the 1990s, even though residential neighborhoods at the social extremes have increased their social homogeneity and members of distinct immigrant groups</w:t>
      </w:r>
      <w:r w:rsidR="00C82121">
        <w:rPr>
          <w:lang w:eastAsia="el-GR"/>
        </w:rPr>
        <w:t xml:space="preserve"> – especially the smaller ones – </w:t>
      </w:r>
      <w:r w:rsidRPr="006D3344">
        <w:rPr>
          <w:lang w:eastAsia="el-GR"/>
        </w:rPr>
        <w:t>tend to be concentrated in space following clear residential location patterns.</w:t>
      </w:r>
    </w:p>
    <w:p w:rsidR="002F7A8D" w:rsidRPr="006D3344" w:rsidRDefault="00FD7810" w:rsidP="00C82121">
      <w:pPr>
        <w:spacing w:line="276" w:lineRule="auto"/>
        <w:rPr>
          <w:lang w:val="en-US"/>
        </w:rPr>
      </w:pPr>
      <w:r>
        <w:rPr>
          <w:lang w:val="en-US"/>
        </w:rPr>
        <w:t>An</w:t>
      </w:r>
      <w:r w:rsidR="002F7A8D" w:rsidRPr="006D3344">
        <w:rPr>
          <w:lang w:val="en-US"/>
        </w:rPr>
        <w:t xml:space="preserve">y effort to provide a comprehensive description of social and economic developments in modern Greek urban </w:t>
      </w:r>
      <w:r w:rsidR="009453C2" w:rsidRPr="006D3344">
        <w:rPr>
          <w:lang w:val="en-US"/>
        </w:rPr>
        <w:t>centers</w:t>
      </w:r>
      <w:r w:rsidR="002F7A8D" w:rsidRPr="006D3344">
        <w:rPr>
          <w:lang w:val="en-US"/>
        </w:rPr>
        <w:t xml:space="preserve"> must include the importance of two factors </w:t>
      </w:r>
      <w:r>
        <w:rPr>
          <w:lang w:val="en-US"/>
        </w:rPr>
        <w:t>that contribute</w:t>
      </w:r>
      <w:r w:rsidR="002F7A8D" w:rsidRPr="006D3344">
        <w:rPr>
          <w:lang w:val="en-US"/>
        </w:rPr>
        <w:t xml:space="preserve"> to the eventual creation of serious problems of social </w:t>
      </w:r>
      <w:r w:rsidR="002F7A8D" w:rsidRPr="006D3344">
        <w:rPr>
          <w:lang w:val="en-US"/>
        </w:rPr>
        <w:lastRenderedPageBreak/>
        <w:t xml:space="preserve">exclusion: the almost total absence of public housing policy and the limited applicability of town planning. The first factor is largely due to the </w:t>
      </w:r>
      <w:r w:rsidR="009453C2">
        <w:rPr>
          <w:lang w:val="en-US"/>
        </w:rPr>
        <w:t>underdevelopment of the</w:t>
      </w:r>
      <w:r w:rsidR="002F7A8D" w:rsidRPr="006D3344">
        <w:rPr>
          <w:lang w:val="en-US"/>
        </w:rPr>
        <w:t xml:space="preserve"> welfare state in Greece and its consequent substitution by the family unit whose activities extend to large areas of social and economic life, like housing. </w:t>
      </w:r>
      <w:r w:rsidR="009453C2">
        <w:rPr>
          <w:lang w:val="en-US"/>
        </w:rPr>
        <w:t>This</w:t>
      </w:r>
      <w:r w:rsidR="002F7A8D" w:rsidRPr="006D3344">
        <w:rPr>
          <w:lang w:val="en-US"/>
        </w:rPr>
        <w:t xml:space="preserve"> characteristic of </w:t>
      </w:r>
      <w:r w:rsidR="009453C2">
        <w:rPr>
          <w:lang w:val="en-US"/>
        </w:rPr>
        <w:t>the G</w:t>
      </w:r>
      <w:r w:rsidR="002F7A8D" w:rsidRPr="006D3344">
        <w:rPr>
          <w:lang w:val="en-US"/>
        </w:rPr>
        <w:t xml:space="preserve">reek society was not </w:t>
      </w:r>
      <w:r w:rsidR="009453C2" w:rsidRPr="006D3344">
        <w:rPr>
          <w:lang w:val="en-US"/>
        </w:rPr>
        <w:t>avert</w:t>
      </w:r>
      <w:r w:rsidR="009453C2">
        <w:rPr>
          <w:lang w:val="en-US"/>
        </w:rPr>
        <w:t>ed</w:t>
      </w:r>
      <w:r w:rsidR="002F7A8D" w:rsidRPr="006D3344">
        <w:rPr>
          <w:lang w:val="en-US"/>
        </w:rPr>
        <w:t xml:space="preserve"> by the state, but has actually been reinforced through specific policies, non-policies and incentives. Trust in the effectiveness of the family’s invisible hand, together with the power of the prevailing system of political clientelism which promotes illegitimate claims or prevents policies</w:t>
      </w:r>
      <w:r w:rsidR="009453C2">
        <w:rPr>
          <w:lang w:val="en-US"/>
        </w:rPr>
        <w:t xml:space="preserve"> from</w:t>
      </w:r>
      <w:r w:rsidR="002F7A8D" w:rsidRPr="006D3344">
        <w:rPr>
          <w:lang w:val="en-US"/>
        </w:rPr>
        <w:t xml:space="preserve"> being implemented, lies behind the inability to apply various existing projects o</w:t>
      </w:r>
      <w:r w:rsidR="009453C2">
        <w:rPr>
          <w:lang w:val="en-US"/>
        </w:rPr>
        <w:t xml:space="preserve">f town planning. Small land ownership </w:t>
      </w:r>
      <w:r w:rsidR="002F7A8D" w:rsidRPr="006D3344">
        <w:rPr>
          <w:lang w:val="en-US"/>
        </w:rPr>
        <w:t>further discourages any substantial intervention in space (Vr</w:t>
      </w:r>
      <w:r w:rsidR="008016E9">
        <w:rPr>
          <w:lang w:val="en-US"/>
        </w:rPr>
        <w:t>ychea &amp; Golemis</w:t>
      </w:r>
      <w:r w:rsidR="00C82121">
        <w:rPr>
          <w:lang w:val="en-US"/>
        </w:rPr>
        <w:t>,</w:t>
      </w:r>
      <w:r w:rsidR="008016E9">
        <w:rPr>
          <w:lang w:val="en-US"/>
        </w:rPr>
        <w:t xml:space="preserve"> 1998</w:t>
      </w:r>
      <w:r w:rsidR="002F7A8D" w:rsidRPr="006D3344">
        <w:rPr>
          <w:lang w:val="en-US"/>
        </w:rPr>
        <w:t xml:space="preserve">). Initially, the absence of state intervention seemed not to have any serious </w:t>
      </w:r>
      <w:r w:rsidR="009453C2" w:rsidRPr="006D3344">
        <w:rPr>
          <w:lang w:val="en-US"/>
        </w:rPr>
        <w:t>effect</w:t>
      </w:r>
      <w:r w:rsidR="009453C2">
        <w:rPr>
          <w:lang w:val="en-US"/>
        </w:rPr>
        <w:t xml:space="preserve"> on social inclusion</w:t>
      </w:r>
      <w:r w:rsidR="002F7A8D" w:rsidRPr="006D3344">
        <w:rPr>
          <w:lang w:val="en-US"/>
        </w:rPr>
        <w:t>. However, more recently, this superficial c</w:t>
      </w:r>
      <w:r w:rsidR="009453C2">
        <w:rPr>
          <w:lang w:val="en-US"/>
        </w:rPr>
        <w:t>o</w:t>
      </w:r>
      <w:r w:rsidR="002F7A8D" w:rsidRPr="006D3344">
        <w:rPr>
          <w:lang w:val="en-US"/>
        </w:rPr>
        <w:t xml:space="preserve">nclusion has proved </w:t>
      </w:r>
      <w:r w:rsidR="008016E9">
        <w:rPr>
          <w:lang w:val="en-US"/>
        </w:rPr>
        <w:t>false for three reasons</w:t>
      </w:r>
      <w:r w:rsidR="002F7A8D" w:rsidRPr="006D3344">
        <w:rPr>
          <w:lang w:val="en-US"/>
        </w:rPr>
        <w:t>.</w:t>
      </w:r>
    </w:p>
    <w:p w:rsidR="002F7A8D" w:rsidRPr="00FD7810" w:rsidRDefault="002F7A8D" w:rsidP="00C82121">
      <w:pPr>
        <w:pStyle w:val="ListParagraph"/>
        <w:numPr>
          <w:ilvl w:val="0"/>
          <w:numId w:val="42"/>
        </w:numPr>
        <w:spacing w:line="276" w:lineRule="auto"/>
        <w:rPr>
          <w:lang w:val="en-US"/>
        </w:rPr>
      </w:pPr>
      <w:r w:rsidRPr="00FD7810">
        <w:rPr>
          <w:lang w:val="en-US"/>
        </w:rPr>
        <w:t xml:space="preserve">The </w:t>
      </w:r>
      <w:r w:rsidR="009453C2" w:rsidRPr="00FD7810">
        <w:rPr>
          <w:lang w:val="en-US"/>
        </w:rPr>
        <w:t>traditionally</w:t>
      </w:r>
      <w:r w:rsidRPr="00FD7810">
        <w:rPr>
          <w:lang w:val="en-US"/>
        </w:rPr>
        <w:t xml:space="preserve"> strong ties of the </w:t>
      </w:r>
      <w:r w:rsidR="009453C2">
        <w:rPr>
          <w:lang w:val="en-US"/>
        </w:rPr>
        <w:t>G</w:t>
      </w:r>
      <w:r w:rsidRPr="00FD7810">
        <w:rPr>
          <w:lang w:val="en-US"/>
        </w:rPr>
        <w:t>reek family, though still existing, are not as close as in the past.</w:t>
      </w:r>
    </w:p>
    <w:p w:rsidR="002F7A8D" w:rsidRPr="00FD7810" w:rsidRDefault="002F7A8D" w:rsidP="00C82121">
      <w:pPr>
        <w:pStyle w:val="ListParagraph"/>
        <w:numPr>
          <w:ilvl w:val="0"/>
          <w:numId w:val="42"/>
        </w:numPr>
        <w:spacing w:line="276" w:lineRule="auto"/>
        <w:rPr>
          <w:lang w:val="en-US"/>
        </w:rPr>
      </w:pPr>
      <w:r w:rsidRPr="00FD7810">
        <w:rPr>
          <w:lang w:val="en-US"/>
        </w:rPr>
        <w:t>Family income has been severely reduced following the restrictive macroeconomic polic</w:t>
      </w:r>
      <w:r w:rsidR="009453C2">
        <w:rPr>
          <w:lang w:val="en-US"/>
        </w:rPr>
        <w:t>ies implemented</w:t>
      </w:r>
      <w:r w:rsidRPr="00FD7810">
        <w:rPr>
          <w:lang w:val="en-US"/>
        </w:rPr>
        <w:t xml:space="preserve"> </w:t>
      </w:r>
      <w:r w:rsidR="009453C2" w:rsidRPr="00FD7810">
        <w:rPr>
          <w:lang w:val="en-US"/>
        </w:rPr>
        <w:t>during</w:t>
      </w:r>
      <w:r w:rsidRPr="00FD7810">
        <w:rPr>
          <w:lang w:val="en-US"/>
        </w:rPr>
        <w:t xml:space="preserve"> the 1990s</w:t>
      </w:r>
      <w:r w:rsidR="009453C2">
        <w:rPr>
          <w:lang w:val="en-US"/>
        </w:rPr>
        <w:t xml:space="preserve"> and dramatically intensified under the current economic crisis</w:t>
      </w:r>
      <w:r w:rsidRPr="00FD7810">
        <w:rPr>
          <w:lang w:val="en-US"/>
        </w:rPr>
        <w:t>.</w:t>
      </w:r>
    </w:p>
    <w:p w:rsidR="002F7A8D" w:rsidRPr="00FD7810" w:rsidRDefault="002F7A8D" w:rsidP="00C82121">
      <w:pPr>
        <w:pStyle w:val="ListParagraph"/>
        <w:numPr>
          <w:ilvl w:val="0"/>
          <w:numId w:val="42"/>
        </w:numPr>
        <w:spacing w:line="276" w:lineRule="auto"/>
        <w:rPr>
          <w:lang w:val="en-US"/>
        </w:rPr>
      </w:pPr>
      <w:r w:rsidRPr="00FD7810">
        <w:rPr>
          <w:lang w:val="en-US"/>
        </w:rPr>
        <w:t xml:space="preserve">These developments, together with a sharp rise in the number of foreign immigrants increased the number of segregated and socially excluded </w:t>
      </w:r>
      <w:r w:rsidR="009453C2" w:rsidRPr="00FD7810">
        <w:rPr>
          <w:lang w:val="en-US"/>
        </w:rPr>
        <w:t>neighborhoods</w:t>
      </w:r>
      <w:r w:rsidRPr="00FD7810">
        <w:rPr>
          <w:lang w:val="en-US"/>
        </w:rPr>
        <w:t>, especially in the greater Athens area.</w:t>
      </w:r>
    </w:p>
    <w:p w:rsidR="002F7A8D" w:rsidRPr="006D3344" w:rsidRDefault="002F7A8D" w:rsidP="00C82121">
      <w:pPr>
        <w:spacing w:line="276" w:lineRule="auto"/>
        <w:rPr>
          <w:lang w:val="en-US" w:eastAsia="el-GR"/>
        </w:rPr>
      </w:pPr>
      <w:r w:rsidRPr="006D3344">
        <w:rPr>
          <w:lang w:eastAsia="el-GR"/>
        </w:rPr>
        <w:t>Socio-spatial change in Athens is still dominated (since the mid-1970s) by the gradual and segregating relocation of upper and upper-middle strata to the suburbs (Maloutas et al., 2006) and, at the same time, by the desegregating effect of vertical social differentiation arou</w:t>
      </w:r>
      <w:r w:rsidR="004B6924">
        <w:rPr>
          <w:lang w:eastAsia="el-GR"/>
        </w:rPr>
        <w:t>nd the city centre (Maloutas</w:t>
      </w:r>
      <w:r w:rsidR="00C82121">
        <w:rPr>
          <w:lang w:eastAsia="el-GR"/>
        </w:rPr>
        <w:t>,</w:t>
      </w:r>
      <w:r w:rsidR="004B6924">
        <w:rPr>
          <w:lang w:eastAsia="el-GR"/>
        </w:rPr>
        <w:t xml:space="preserve"> </w:t>
      </w:r>
      <w:r w:rsidR="00C82121">
        <w:rPr>
          <w:lang w:eastAsia="el-GR"/>
        </w:rPr>
        <w:t xml:space="preserve">2011, p. </w:t>
      </w:r>
      <w:r w:rsidRPr="006D3344">
        <w:rPr>
          <w:lang w:eastAsia="el-GR"/>
        </w:rPr>
        <w:t>6)</w:t>
      </w:r>
      <w:r w:rsidR="004B6924">
        <w:rPr>
          <w:lang w:val="en-US" w:eastAsia="el-GR"/>
        </w:rPr>
        <w:t xml:space="preserve">. </w:t>
      </w:r>
      <w:r w:rsidRPr="006D3344">
        <w:rPr>
          <w:lang w:eastAsia="el-GR"/>
        </w:rPr>
        <w:t xml:space="preserve">Segregation indices have decreased in the 1990s even though, during the last three decades, the pattern of the city’s segregation has been changing in ways that usually </w:t>
      </w:r>
      <w:r w:rsidR="00C82121" w:rsidRPr="006D3344">
        <w:rPr>
          <w:lang w:eastAsia="el-GR"/>
        </w:rPr>
        <w:t>favour</w:t>
      </w:r>
      <w:r w:rsidRPr="006D3344">
        <w:rPr>
          <w:lang w:eastAsia="el-GR"/>
        </w:rPr>
        <w:t xml:space="preserve"> an increase in segregation indices. The higher class categories have been steadily relocating to more peripheral locations in suburbs of increasing social homogeneity, while gradually abandoning the </w:t>
      </w:r>
      <w:r w:rsidR="00C82121" w:rsidRPr="006D3344">
        <w:rPr>
          <w:lang w:eastAsia="el-GR"/>
        </w:rPr>
        <w:t>centre</w:t>
      </w:r>
      <w:r w:rsidRPr="006D3344">
        <w:rPr>
          <w:lang w:eastAsia="el-GR"/>
        </w:rPr>
        <w:t xml:space="preserve"> where they clustered almost exclusively until the mid-1970s. At the same time, processes of vertical segregation, spatial entrapment of social mobility in traditional working-class areas as well as the embryonic state of gentrification, indicate that segregation in Athens is influenced by a host of different factors.</w:t>
      </w:r>
    </w:p>
    <w:p w:rsidR="002F7A8D" w:rsidRPr="006D3344" w:rsidRDefault="00616F1E" w:rsidP="00C82121">
      <w:pPr>
        <w:spacing w:line="276" w:lineRule="auto"/>
        <w:rPr>
          <w:lang w:val="en-US" w:eastAsia="el-GR"/>
        </w:rPr>
      </w:pPr>
      <w:r>
        <w:rPr>
          <w:lang w:val="en-US" w:eastAsia="el-GR"/>
        </w:rPr>
        <w:t xml:space="preserve">Before the current period of economic crisis, </w:t>
      </w:r>
      <w:r w:rsidR="00BD25AC" w:rsidRPr="006D3344">
        <w:rPr>
          <w:lang w:eastAsia="el-GR"/>
        </w:rPr>
        <w:t>immigrants</w:t>
      </w:r>
      <w:r w:rsidR="002F7A8D" w:rsidRPr="006D3344">
        <w:rPr>
          <w:lang w:eastAsia="el-GR"/>
        </w:rPr>
        <w:t xml:space="preserve"> in </w:t>
      </w:r>
      <w:r>
        <w:rPr>
          <w:lang w:eastAsia="el-GR"/>
        </w:rPr>
        <w:t>MRA</w:t>
      </w:r>
      <w:r w:rsidR="002F7A8D" w:rsidRPr="006D3344">
        <w:rPr>
          <w:lang w:eastAsia="el-GR"/>
        </w:rPr>
        <w:t xml:space="preserve"> have also found labour market conditions that did not</w:t>
      </w:r>
      <w:r w:rsidR="00FD7810" w:rsidRPr="00FD7810">
        <w:rPr>
          <w:lang w:val="en-US" w:eastAsia="el-GR"/>
        </w:rPr>
        <w:t xml:space="preserve"> </w:t>
      </w:r>
      <w:r w:rsidR="002F7A8D" w:rsidRPr="006D3344">
        <w:rPr>
          <w:lang w:eastAsia="el-GR"/>
        </w:rPr>
        <w:t xml:space="preserve">massively push them to advanced marginality. They have not been the major victims of the more mitigated and gradual economic restructuring in this region, since they never occupied an important position in Fordist industries. On the contrary, they have found niches in small family businesses </w:t>
      </w:r>
      <w:r w:rsidR="00F773F3">
        <w:rPr>
          <w:lang w:eastAsia="el-GR"/>
        </w:rPr>
        <w:t xml:space="preserve">(in general </w:t>
      </w:r>
      <w:r w:rsidR="002F7A8D" w:rsidRPr="006D3344">
        <w:rPr>
          <w:lang w:eastAsia="el-GR"/>
        </w:rPr>
        <w:t>immigrants work in</w:t>
      </w:r>
      <w:r w:rsidR="00792F37">
        <w:rPr>
          <w:lang w:eastAsia="el-GR"/>
        </w:rPr>
        <w:t xml:space="preserve"> </w:t>
      </w:r>
      <w:r w:rsidR="002F7A8D" w:rsidRPr="006D3344">
        <w:rPr>
          <w:lang w:eastAsia="el-GR"/>
        </w:rPr>
        <w:t>substanti</w:t>
      </w:r>
      <w:r w:rsidR="00F773F3">
        <w:rPr>
          <w:lang w:eastAsia="el-GR"/>
        </w:rPr>
        <w:t xml:space="preserve">ally smaller units than locals, </w:t>
      </w:r>
      <w:r w:rsidR="002F7A8D" w:rsidRPr="006D3344">
        <w:rPr>
          <w:lang w:eastAsia="el-GR"/>
        </w:rPr>
        <w:t xml:space="preserve">Kandylis </w:t>
      </w:r>
      <w:r w:rsidR="002F7A8D" w:rsidRPr="006D3344">
        <w:rPr>
          <w:i/>
          <w:iCs/>
          <w:lang w:eastAsia="el-GR"/>
        </w:rPr>
        <w:t>et al.</w:t>
      </w:r>
      <w:r w:rsidR="00C82121">
        <w:rPr>
          <w:lang w:eastAsia="el-GR"/>
        </w:rPr>
        <w:t xml:space="preserve">, 2008) – </w:t>
      </w:r>
      <w:r w:rsidR="002F7A8D" w:rsidRPr="006D3344">
        <w:rPr>
          <w:lang w:eastAsia="el-GR"/>
        </w:rPr>
        <w:t>and in personal services. They have thus been a timely resource for the declining family business</w:t>
      </w:r>
      <w:r w:rsidR="00F773F3">
        <w:rPr>
          <w:lang w:eastAsia="el-GR"/>
        </w:rPr>
        <w:t>,</w:t>
      </w:r>
      <w:r w:rsidR="002F7A8D" w:rsidRPr="006D3344">
        <w:rPr>
          <w:lang w:eastAsia="el-GR"/>
        </w:rPr>
        <w:t xml:space="preserve"> as well as an invaluable substitute for traditional feminine roles (carrying the load of the residual welfare state) that the new generations of local women could hardly accommodate with their increasing employment. </w:t>
      </w:r>
      <w:r w:rsidR="00F773F3">
        <w:rPr>
          <w:lang w:eastAsia="el-GR"/>
        </w:rPr>
        <w:t xml:space="preserve">As in the rest of Southern Europe </w:t>
      </w:r>
      <w:r w:rsidR="002F7A8D" w:rsidRPr="006D3344">
        <w:rPr>
          <w:lang w:eastAsia="el-GR"/>
        </w:rPr>
        <w:t xml:space="preserve">Processes of marginalization and territorial stigmatization have comparatively been avoided, therefore, mainly due to the milder transition to post- </w:t>
      </w:r>
      <w:r w:rsidR="002F7A8D" w:rsidRPr="006D3344">
        <w:rPr>
          <w:lang w:eastAsia="el-GR"/>
        </w:rPr>
        <w:lastRenderedPageBreak/>
        <w:t>Fordism and to durable urban structures and configurations — i.e. the absence of consolidated spaces of relegation — rather than to policies aiming at opposing these processes. They were also avoided due to the recent arrival of the large immigration wave, which found a place in local labour markets, replacing more than displacing the local upwardly mobile work force. However, the future may hold substantial difficulties as the growing crisis in the social reproduction of middle- and lower-middle-class positions is leading to a stricter social (and ethno-racial) hierarchy in the access to the relevant serv</w:t>
      </w:r>
      <w:r w:rsidR="00C82121">
        <w:rPr>
          <w:lang w:eastAsia="el-GR"/>
        </w:rPr>
        <w:t>ices – and mainly to education –</w:t>
      </w:r>
      <w:r w:rsidR="002F7A8D" w:rsidRPr="006D3344">
        <w:rPr>
          <w:lang w:eastAsia="el-GR"/>
        </w:rPr>
        <w:t xml:space="preserve"> while the second generation of immigrants is evidently expected to be more demanding than the first in terms of social mobility </w:t>
      </w:r>
      <w:r w:rsidR="00BD25AC">
        <w:rPr>
          <w:lang w:eastAsia="el-GR"/>
        </w:rPr>
        <w:t>(Maloutas</w:t>
      </w:r>
      <w:r w:rsidR="00C82121">
        <w:rPr>
          <w:lang w:eastAsia="el-GR"/>
        </w:rPr>
        <w:t>,</w:t>
      </w:r>
      <w:r w:rsidR="00BD25AC">
        <w:rPr>
          <w:lang w:eastAsia="el-GR"/>
        </w:rPr>
        <w:t xml:space="preserve"> </w:t>
      </w:r>
      <w:r w:rsidR="00C82121">
        <w:rPr>
          <w:lang w:eastAsia="el-GR"/>
        </w:rPr>
        <w:t xml:space="preserve">2009, p. </w:t>
      </w:r>
      <w:r w:rsidR="002F7A8D" w:rsidRPr="006D3344">
        <w:rPr>
          <w:lang w:eastAsia="el-GR"/>
        </w:rPr>
        <w:t>832).</w:t>
      </w:r>
    </w:p>
    <w:p w:rsidR="002F7A8D" w:rsidRPr="00C82121" w:rsidRDefault="002F7A8D" w:rsidP="002F7A8D">
      <w:pPr>
        <w:rPr>
          <w:sz w:val="10"/>
          <w:szCs w:val="10"/>
          <w:lang w:val="en-US"/>
        </w:rPr>
      </w:pPr>
    </w:p>
    <w:p w:rsidR="009817D0" w:rsidRPr="00D93644" w:rsidRDefault="009817D0" w:rsidP="00ED0F60">
      <w:pPr>
        <w:pStyle w:val="Heading2"/>
        <w:spacing w:before="360"/>
        <w:rPr>
          <w:rFonts w:cs="Arial"/>
          <w:noProof/>
        </w:rPr>
      </w:pPr>
      <w:bookmarkStart w:id="60" w:name="_Toc386013202"/>
      <w:r w:rsidRPr="00D93644">
        <w:rPr>
          <w:rFonts w:cs="Arial"/>
          <w:szCs w:val="24"/>
        </w:rPr>
        <w:t>Policy challenges and policy solutions</w:t>
      </w:r>
      <w:bookmarkEnd w:id="60"/>
    </w:p>
    <w:p w:rsidR="00531FC2" w:rsidRPr="00D93644" w:rsidRDefault="009817D0" w:rsidP="00C82121">
      <w:pPr>
        <w:spacing w:line="276" w:lineRule="auto"/>
      </w:pPr>
      <w:r w:rsidRPr="00D93644">
        <w:t xml:space="preserve">In the historically underdeveloped Greek welfare state there is an equally poor tradition of policies aiming to manage the levels of urban segregation and its impacts. </w:t>
      </w:r>
      <w:r w:rsidR="00531FC2" w:rsidRPr="00D93644">
        <w:t xml:space="preserve">The concentration of poor and socially excluded people in specific parts of the urban tissue or its outskirts was </w:t>
      </w:r>
      <w:r w:rsidR="00E60D1A" w:rsidRPr="00D93644">
        <w:t xml:space="preserve">not considered to be a field for specific policy making. </w:t>
      </w:r>
      <w:r w:rsidRPr="00D93644">
        <w:t xml:space="preserve">Housing has generally been believed to be an issue of family strategies aiming to adapt to opportunities in the private housing market. The central </w:t>
      </w:r>
      <w:r w:rsidR="00C82121" w:rsidRPr="00D93644">
        <w:t>state</w:t>
      </w:r>
      <w:r w:rsidRPr="00D93644">
        <w:t xml:space="preserve"> provided mainly the basic rules that would regulate the market: it took measures to protect small land-ownership and the small construction </w:t>
      </w:r>
      <w:r w:rsidR="00C82121" w:rsidRPr="00D93644">
        <w:t>enterprises</w:t>
      </w:r>
      <w:r w:rsidRPr="00D93644">
        <w:t xml:space="preserve">, it provided the regulations for the housing stock and it was restricted to a marginal role in the construction process in the sense of public housing units. Mortgage market was not liberalized before the early 90s and banking loans were until then accessible only by specific groups such as the civil servants. When the massive immigration inflow started the response was to take some measures for immigrants of Greek origin and to insist on a </w:t>
      </w:r>
      <w:r w:rsidRPr="00C82121">
        <w:rPr>
          <w:i/>
        </w:rPr>
        <w:t>lais</w:t>
      </w:r>
      <w:r w:rsidR="00C82121">
        <w:rPr>
          <w:i/>
        </w:rPr>
        <w:t>s</w:t>
      </w:r>
      <w:r w:rsidRPr="00C82121">
        <w:rPr>
          <w:i/>
        </w:rPr>
        <w:t>ez-faire</w:t>
      </w:r>
      <w:r w:rsidRPr="00D93644">
        <w:t xml:space="preserve"> approach for the rest. </w:t>
      </w:r>
    </w:p>
    <w:p w:rsidR="009817D0" w:rsidRPr="00D93644" w:rsidRDefault="009817D0" w:rsidP="00C82121">
      <w:pPr>
        <w:spacing w:line="276" w:lineRule="auto"/>
      </w:pPr>
      <w:r w:rsidRPr="00D93644">
        <w:t>On the other hand the local state posses</w:t>
      </w:r>
      <w:r w:rsidR="00531FC2" w:rsidRPr="00D93644">
        <w:t>s</w:t>
      </w:r>
      <w:r w:rsidRPr="00D93644">
        <w:t xml:space="preserve">ed no tools </w:t>
      </w:r>
      <w:r w:rsidR="00531FC2" w:rsidRPr="00D93644">
        <w:t xml:space="preserve">for spatial planning </w:t>
      </w:r>
      <w:r w:rsidRPr="00D93644">
        <w:t xml:space="preserve">other than the implementation of regeneration projects. </w:t>
      </w:r>
      <w:r w:rsidR="00C82121">
        <w:t>Not</w:t>
      </w:r>
      <w:r w:rsidR="00531FC2" w:rsidRPr="00D93644">
        <w:t>rarely, central and local administration bodies had to provide basic physical and social infrastructure in the rapidly expanding outskirts of the city, only after irregular construction had already crystallized new residential areas. In the most densely populated areas around the city centre, planning process faced quite similar difficulties as they had to overcome the obstacle of a fragmented pattern of land property, with severely reduced physical space for intervention</w:t>
      </w:r>
    </w:p>
    <w:p w:rsidR="009817D0" w:rsidRPr="00D93644" w:rsidRDefault="009817D0" w:rsidP="00C82121">
      <w:pPr>
        <w:spacing w:line="276" w:lineRule="auto"/>
      </w:pPr>
      <w:r w:rsidRPr="00D93644">
        <w:t xml:space="preserve">In general, </w:t>
      </w:r>
      <w:r w:rsidR="00E3365A" w:rsidRPr="00D93644">
        <w:t>making</w:t>
      </w:r>
      <w:r w:rsidRPr="00D93644">
        <w:t xml:space="preserve"> the distinction between sectoral and area based policies, </w:t>
      </w:r>
      <w:r w:rsidR="00E3365A" w:rsidRPr="00D93644">
        <w:t>one can observe</w:t>
      </w:r>
      <w:r w:rsidRPr="00D93644">
        <w:t xml:space="preserve"> that some sectoral policies have reassured either the access of the general population to basic public goods (such as health protection and education), or the protection of specific groups (such as the unemployed, </w:t>
      </w:r>
      <w:r w:rsidR="00E3365A" w:rsidRPr="00D93644">
        <w:t>nuclear families, the retirees). Public expenditure on this sectoral model of social protection tended to increase from the early 1980s to the mid 1990s. O</w:t>
      </w:r>
      <w:r w:rsidRPr="00D93644">
        <w:t>n the contrary</w:t>
      </w:r>
      <w:r w:rsidR="00E3365A" w:rsidRPr="00D93644">
        <w:t>,</w:t>
      </w:r>
      <w:r w:rsidRPr="00D93644">
        <w:t xml:space="preserve"> </w:t>
      </w:r>
      <w:r w:rsidR="00E3365A" w:rsidRPr="00D93644">
        <w:t xml:space="preserve">there have been </w:t>
      </w:r>
      <w:r w:rsidRPr="00D93644">
        <w:t xml:space="preserve">few initiatives towards policies </w:t>
      </w:r>
      <w:r w:rsidR="003D05F6" w:rsidRPr="00D93644">
        <w:t>addressed</w:t>
      </w:r>
      <w:r w:rsidRPr="00D93644">
        <w:t xml:space="preserve"> to specific areas. Even when the EU orientations and funding started to direct resources to spatially focused projects</w:t>
      </w:r>
      <w:r w:rsidR="00E3365A" w:rsidRPr="00D93644">
        <w:t xml:space="preserve"> since the early 1990s</w:t>
      </w:r>
      <w:r w:rsidRPr="00D93644">
        <w:t xml:space="preserve">, the main response by the Greek spatial planning system was to elaborate physical planning projects rather than </w:t>
      </w:r>
      <w:r w:rsidR="003D05F6" w:rsidRPr="00D93644">
        <w:t>addressing</w:t>
      </w:r>
      <w:r w:rsidRPr="00D93644">
        <w:t xml:space="preserve"> social issues.</w:t>
      </w:r>
    </w:p>
    <w:p w:rsidR="00D7584F" w:rsidRPr="00D93644" w:rsidRDefault="00E3365A" w:rsidP="00C82121">
      <w:pPr>
        <w:spacing w:line="276" w:lineRule="auto"/>
      </w:pPr>
      <w:r w:rsidRPr="00D93644">
        <w:lastRenderedPageBreak/>
        <w:t>In the current period of economic crisis</w:t>
      </w:r>
      <w:r w:rsidR="00D7584F" w:rsidRPr="00D93644">
        <w:t>, massive unemployment and impoverishment of employed people</w:t>
      </w:r>
      <w:r w:rsidRPr="00D93644">
        <w:t xml:space="preserve">, austerity measures pose new obstacles in the development of a safety net. </w:t>
      </w:r>
      <w:r w:rsidR="002E19B7" w:rsidRPr="00D93644">
        <w:t xml:space="preserve">The </w:t>
      </w:r>
      <w:r w:rsidR="00D7584F" w:rsidRPr="00D93644">
        <w:t xml:space="preserve">general </w:t>
      </w:r>
      <w:r w:rsidR="002E19B7" w:rsidRPr="00D93644">
        <w:t xml:space="preserve">reduction of public expenditure threatens to leave unprotected not only the </w:t>
      </w:r>
      <w:r w:rsidR="00D7584F" w:rsidRPr="00D93644">
        <w:t xml:space="preserve">traditionally </w:t>
      </w:r>
      <w:r w:rsidR="002E19B7" w:rsidRPr="00D93644">
        <w:t xml:space="preserve">most vulnerable social groups </w:t>
      </w:r>
      <w:r w:rsidR="00D7584F" w:rsidRPr="00D93644">
        <w:t xml:space="preserve">such as the minorities and undocumented immigrants, </w:t>
      </w:r>
      <w:r w:rsidR="002E19B7" w:rsidRPr="00D93644">
        <w:t>but also people who used to have the benefit of a minimum level of protection</w:t>
      </w:r>
      <w:r w:rsidR="00D7584F" w:rsidRPr="00D93644">
        <w:t>, such as young unemployed, long-term unemployed and retirees</w:t>
      </w:r>
      <w:r w:rsidR="002E19B7" w:rsidRPr="00D93644">
        <w:t xml:space="preserve">. </w:t>
      </w:r>
      <w:r w:rsidR="00D7584F" w:rsidRPr="00D93644">
        <w:t>For many among them</w:t>
      </w:r>
      <w:r w:rsidR="00733C52">
        <w:t>,</w:t>
      </w:r>
      <w:r w:rsidR="00D7584F" w:rsidRPr="00D93644">
        <w:t xml:space="preserve"> family networks are still important but significantly less effective in transmitting resources to their members. </w:t>
      </w:r>
      <w:r w:rsidR="00754D87" w:rsidRPr="00D93644">
        <w:t>Austerity policy challenges the capacity of family networks to provide assistance, while it gives no alternative access to social protection.</w:t>
      </w:r>
    </w:p>
    <w:p w:rsidR="00754D87" w:rsidRPr="00D93644" w:rsidRDefault="00AF6C0D" w:rsidP="00C82121">
      <w:pPr>
        <w:spacing w:line="276" w:lineRule="auto"/>
      </w:pPr>
      <w:r w:rsidRPr="00D93644">
        <w:t xml:space="preserve">Furthermore, one has to keep in mind three separate </w:t>
      </w:r>
      <w:r w:rsidR="00754D87" w:rsidRPr="00D93644">
        <w:t xml:space="preserve">policy </w:t>
      </w:r>
      <w:r w:rsidR="00D7584F" w:rsidRPr="00D93644">
        <w:t>challenges</w:t>
      </w:r>
      <w:r w:rsidR="00754D87" w:rsidRPr="00D93644">
        <w:t xml:space="preserve"> that appeared before the ‘outburst’ of the economic crisis, only to become even more visible afterwards:</w:t>
      </w:r>
    </w:p>
    <w:p w:rsidR="00754D87" w:rsidRPr="00D93644" w:rsidRDefault="00E3365A" w:rsidP="00C82121">
      <w:pPr>
        <w:pStyle w:val="ListParagraph"/>
        <w:numPr>
          <w:ilvl w:val="0"/>
          <w:numId w:val="40"/>
        </w:numPr>
        <w:spacing w:line="276" w:lineRule="auto"/>
      </w:pPr>
      <w:r w:rsidRPr="00D93644">
        <w:t xml:space="preserve">One has to do </w:t>
      </w:r>
      <w:r w:rsidR="00151E23" w:rsidRPr="00D93644">
        <w:t xml:space="preserve">with the need to elaborate area-based policies, while up to now the dominant tendency was to </w:t>
      </w:r>
      <w:r w:rsidR="000232B9" w:rsidRPr="00D93644">
        <w:t>focus</w:t>
      </w:r>
      <w:r w:rsidR="00151E23" w:rsidRPr="00D93644">
        <w:t xml:space="preserve"> on sectoral policies (either for the general population or for specific population groups), without being able to address poverty and social exclusion in specific localities</w:t>
      </w:r>
      <w:r w:rsidRPr="00D93644">
        <w:t xml:space="preserve">. </w:t>
      </w:r>
      <w:r w:rsidR="000232B9" w:rsidRPr="00D93644">
        <w:t xml:space="preserve">The </w:t>
      </w:r>
      <w:r w:rsidR="000232B9" w:rsidRPr="003E2E0C">
        <w:rPr>
          <w:i/>
        </w:rPr>
        <w:t>laissez-faire</w:t>
      </w:r>
      <w:r w:rsidR="000232B9" w:rsidRPr="00D93644">
        <w:t xml:space="preserve"> approach towards the development of different areas of MRA provides no solutions in cases where impoverishment of parts of the local population alters the local social structure, often resulting in social polarization at the local level. As the case of the city centre </w:t>
      </w:r>
      <w:r w:rsidR="00DC1551" w:rsidRPr="00D93644">
        <w:t>indicates</w:t>
      </w:r>
      <w:r w:rsidR="000232B9" w:rsidRPr="00D93644">
        <w:t xml:space="preserve">, </w:t>
      </w:r>
      <w:r w:rsidR="00DC1551" w:rsidRPr="00D93644">
        <w:t>a</w:t>
      </w:r>
      <w:r w:rsidR="000232B9" w:rsidRPr="00D93644">
        <w:t xml:space="preserve"> discourse </w:t>
      </w:r>
      <w:r w:rsidR="00DC1551" w:rsidRPr="00D93644">
        <w:t xml:space="preserve">on degradation and ‘crisis’ may lead to the claim for the replacement of vulnerable population groups by other respectable groups. </w:t>
      </w:r>
    </w:p>
    <w:p w:rsidR="00D066BD" w:rsidRPr="00D93644" w:rsidRDefault="00E3365A" w:rsidP="00C82121">
      <w:pPr>
        <w:pStyle w:val="ListParagraph"/>
        <w:numPr>
          <w:ilvl w:val="0"/>
          <w:numId w:val="40"/>
        </w:numPr>
        <w:spacing w:line="276" w:lineRule="auto"/>
      </w:pPr>
      <w:r w:rsidRPr="00D93644">
        <w:t xml:space="preserve">The second issue </w:t>
      </w:r>
      <w:r w:rsidR="005E666E">
        <w:t>is related to</w:t>
      </w:r>
      <w:r w:rsidR="00151E23" w:rsidRPr="00D93644">
        <w:t xml:space="preserve"> the transition from a centralized model of policy making to a model where more actors </w:t>
      </w:r>
      <w:r w:rsidR="00A6289F" w:rsidRPr="00D93644">
        <w:t xml:space="preserve">such as </w:t>
      </w:r>
      <w:r w:rsidR="00151E23" w:rsidRPr="00D93644">
        <w:t>NGOs</w:t>
      </w:r>
      <w:r w:rsidR="000232B9" w:rsidRPr="00D93644">
        <w:t xml:space="preserve"> and</w:t>
      </w:r>
      <w:r w:rsidR="00151E23" w:rsidRPr="00D93644">
        <w:t xml:space="preserve"> private companies are involved in policy making and welfare provision. </w:t>
      </w:r>
      <w:r w:rsidR="000232B9" w:rsidRPr="00D93644">
        <w:t xml:space="preserve">There is today a large discussion </w:t>
      </w:r>
      <w:r w:rsidR="00A6289F" w:rsidRPr="00D93644">
        <w:t xml:space="preserve">in Greece </w:t>
      </w:r>
      <w:r w:rsidR="000232B9" w:rsidRPr="00D93644">
        <w:t>about the benefits of the social economy and the involvement of the ‘third sector’</w:t>
      </w:r>
      <w:r w:rsidR="00A6289F" w:rsidRPr="00D93644">
        <w:t xml:space="preserve"> in the social protection system</w:t>
      </w:r>
      <w:r w:rsidR="000232B9" w:rsidRPr="00D93644">
        <w:t xml:space="preserve">. </w:t>
      </w:r>
      <w:r w:rsidR="00A6289F" w:rsidRPr="00D93644">
        <w:t>However,</w:t>
      </w:r>
      <w:r w:rsidR="000232B9" w:rsidRPr="00D93644">
        <w:t xml:space="preserve"> </w:t>
      </w:r>
      <w:r w:rsidR="00A6289F" w:rsidRPr="00D93644">
        <w:t>t</w:t>
      </w:r>
      <w:r w:rsidR="00151E23" w:rsidRPr="00D93644">
        <w:t xml:space="preserve">his is not without contradictions </w:t>
      </w:r>
      <w:r w:rsidR="00A6289F" w:rsidRPr="00D93644">
        <w:t>as</w:t>
      </w:r>
      <w:r w:rsidR="00151E23" w:rsidRPr="00D93644">
        <w:t xml:space="preserve"> it might lead to a fragmented system of welfare provision</w:t>
      </w:r>
      <w:r w:rsidR="00A6289F" w:rsidRPr="00D93644">
        <w:t>, while it is not necessarily guaranteed against corruption</w:t>
      </w:r>
      <w:r w:rsidRPr="00D93644">
        <w:t xml:space="preserve">. </w:t>
      </w:r>
      <w:r w:rsidR="00C231B8" w:rsidRPr="00D93644">
        <w:t>M</w:t>
      </w:r>
      <w:r w:rsidR="0069599E" w:rsidRPr="00D93644">
        <w:t xml:space="preserve">oreover, is seems crucial to </w:t>
      </w:r>
      <w:r w:rsidR="00997164" w:rsidRPr="00D93644">
        <w:t xml:space="preserve">be able to </w:t>
      </w:r>
      <w:r w:rsidR="0069599E" w:rsidRPr="00D93644">
        <w:t>exploit the potential of a decentralized system of social protection in order to enhance the participation of the socially excluded</w:t>
      </w:r>
      <w:r w:rsidR="00D066BD" w:rsidRPr="00D93644">
        <w:t>,</w:t>
      </w:r>
      <w:r w:rsidR="0069599E" w:rsidRPr="00D93644">
        <w:t xml:space="preserve"> rather than adopting an approach of traditional philanthropic welfare provision</w:t>
      </w:r>
      <w:r w:rsidR="00997164" w:rsidRPr="00D93644">
        <w:t xml:space="preserve"> for the most deprived</w:t>
      </w:r>
    </w:p>
    <w:p w:rsidR="00E3365A" w:rsidRPr="00D93644" w:rsidRDefault="00997164" w:rsidP="00C82121">
      <w:pPr>
        <w:pStyle w:val="ListParagraph"/>
        <w:numPr>
          <w:ilvl w:val="0"/>
          <w:numId w:val="40"/>
        </w:numPr>
        <w:spacing w:line="276" w:lineRule="auto"/>
      </w:pPr>
      <w:r w:rsidRPr="00D93644">
        <w:t>L</w:t>
      </w:r>
      <w:r w:rsidR="00E3365A" w:rsidRPr="00D93644">
        <w:t>ast but not least</w:t>
      </w:r>
      <w:r w:rsidRPr="00D93644">
        <w:t>,</w:t>
      </w:r>
      <w:r w:rsidR="00E3365A" w:rsidRPr="00D93644">
        <w:t xml:space="preserve"> </w:t>
      </w:r>
      <w:r w:rsidRPr="00D93644">
        <w:t>one has</w:t>
      </w:r>
      <w:r w:rsidR="00E3365A" w:rsidRPr="00D93644">
        <w:t xml:space="preserve"> to mention the lack of a consistent immigration policy </w:t>
      </w:r>
      <w:r w:rsidR="00715D1F" w:rsidRPr="00D93644">
        <w:t>in Greece and</w:t>
      </w:r>
      <w:r w:rsidR="00E3365A" w:rsidRPr="00D93644">
        <w:t xml:space="preserve"> more specifically the issue of undocumented immigrants</w:t>
      </w:r>
      <w:r w:rsidRPr="00D93644">
        <w:t xml:space="preserve"> in MRA</w:t>
      </w:r>
      <w:r w:rsidR="00E3365A" w:rsidRPr="00D93644">
        <w:t>. New immigrants have today few opportunities to obtain any kind of legal residence</w:t>
      </w:r>
      <w:r w:rsidR="002F5085" w:rsidRPr="00D93644">
        <w:t>, after the official termination of the last legalization process in 2005</w:t>
      </w:r>
      <w:r w:rsidR="00E3365A" w:rsidRPr="00D93644">
        <w:t xml:space="preserve">. </w:t>
      </w:r>
      <w:r w:rsidR="000F4309" w:rsidRPr="00D93644">
        <w:t>In fact, an unknown part of the immigrant population find themselves in a sta</w:t>
      </w:r>
      <w:r w:rsidR="002C1B9B" w:rsidRPr="00D93644">
        <w:t>t</w:t>
      </w:r>
      <w:r w:rsidR="000F4309" w:rsidRPr="00D93644">
        <w:t xml:space="preserve">us of shadow residence, possessing </w:t>
      </w:r>
      <w:r w:rsidR="002C1B9B" w:rsidRPr="00D93644">
        <w:t xml:space="preserve">(if anything) </w:t>
      </w:r>
      <w:r w:rsidR="000F4309" w:rsidRPr="00D93644">
        <w:t>only</w:t>
      </w:r>
      <w:r w:rsidR="002C1B9B" w:rsidRPr="00D93644">
        <w:t xml:space="preserve"> the ‘rose card’ which proves </w:t>
      </w:r>
      <w:r w:rsidR="000F4309" w:rsidRPr="00D93644">
        <w:t xml:space="preserve"> </w:t>
      </w:r>
      <w:r w:rsidR="00E3365A" w:rsidRPr="00D93644">
        <w:t>For this reason they are extremely vulnerable and exposed to several forms of maltreatment</w:t>
      </w:r>
      <w:r w:rsidR="000F4309" w:rsidRPr="00D93644">
        <w:t xml:space="preserve">, from </w:t>
      </w:r>
      <w:r w:rsidR="002C1B9B" w:rsidRPr="00D93644">
        <w:t>exploitation at work to police abuse and imprisonment</w:t>
      </w:r>
      <w:r w:rsidR="00E3365A" w:rsidRPr="00D93644">
        <w:t xml:space="preserve">. Especially concerning urban segregation the issue of </w:t>
      </w:r>
      <w:r w:rsidR="002C1B9B" w:rsidRPr="00D93644">
        <w:t>‘</w:t>
      </w:r>
      <w:r w:rsidR="00E3365A" w:rsidRPr="00D93644">
        <w:t>illegality</w:t>
      </w:r>
      <w:r w:rsidR="002C1B9B" w:rsidRPr="00D93644">
        <w:t>’</w:t>
      </w:r>
      <w:r w:rsidR="00E3365A" w:rsidRPr="00D93644">
        <w:t xml:space="preserve"> has as a c</w:t>
      </w:r>
      <w:r w:rsidR="002F5085" w:rsidRPr="003E2E0C">
        <w:rPr>
          <w:bCs/>
        </w:rPr>
        <w:t>o</w:t>
      </w:r>
      <w:r w:rsidR="00E3365A" w:rsidRPr="00D93644">
        <w:t xml:space="preserve">nsequence to treat the concentration of immigrants </w:t>
      </w:r>
      <w:r w:rsidR="002F5085" w:rsidRPr="00D93644">
        <w:t xml:space="preserve">in specific places primarily as </w:t>
      </w:r>
      <w:r w:rsidR="00E3365A" w:rsidRPr="00D93644">
        <w:t>a matter of security and public order rather as an area for political intervention.</w:t>
      </w:r>
    </w:p>
    <w:p w:rsidR="00835D52" w:rsidRDefault="00835D52" w:rsidP="00C82121">
      <w:pPr>
        <w:spacing w:line="276" w:lineRule="auto"/>
        <w:rPr>
          <w:noProof/>
        </w:rPr>
      </w:pPr>
      <w:r>
        <w:rPr>
          <w:noProof/>
        </w:rPr>
        <w:lastRenderedPageBreak/>
        <w:t>The following directions seem to be of high importance towards the identification of policy solutions:</w:t>
      </w:r>
    </w:p>
    <w:p w:rsidR="00835D52" w:rsidRDefault="00835D52" w:rsidP="00C82121">
      <w:pPr>
        <w:pStyle w:val="ListParagraph"/>
        <w:numPr>
          <w:ilvl w:val="0"/>
          <w:numId w:val="44"/>
        </w:numPr>
        <w:spacing w:line="276" w:lineRule="auto"/>
        <w:rPr>
          <w:noProof/>
        </w:rPr>
      </w:pPr>
      <w:r>
        <w:rPr>
          <w:noProof/>
        </w:rPr>
        <w:t xml:space="preserve">The creation of new policy tools in order to elaborate and implement integrated area-based policies. The ability of the </w:t>
      </w:r>
      <w:r w:rsidR="00D81F67">
        <w:rPr>
          <w:noProof/>
        </w:rPr>
        <w:t xml:space="preserve">central and </w:t>
      </w:r>
      <w:r>
        <w:rPr>
          <w:noProof/>
        </w:rPr>
        <w:t>local state to apply social polic</w:t>
      </w:r>
      <w:r w:rsidR="00ED7478">
        <w:rPr>
          <w:noProof/>
        </w:rPr>
        <w:t>ies</w:t>
      </w:r>
      <w:r>
        <w:rPr>
          <w:noProof/>
        </w:rPr>
        <w:t xml:space="preserve"> together with physical planning should be enhanced through the increase of both financial and human resources.</w:t>
      </w:r>
      <w:r w:rsidR="00733C52">
        <w:rPr>
          <w:noProof/>
        </w:rPr>
        <w:t xml:space="preserve">  </w:t>
      </w:r>
    </w:p>
    <w:p w:rsidR="00835D52" w:rsidRDefault="00733C52" w:rsidP="00C82121">
      <w:pPr>
        <w:pStyle w:val="ListParagraph"/>
        <w:numPr>
          <w:ilvl w:val="0"/>
          <w:numId w:val="44"/>
        </w:numPr>
        <w:spacing w:line="276" w:lineRule="auto"/>
        <w:rPr>
          <w:noProof/>
        </w:rPr>
      </w:pPr>
      <w:r>
        <w:rPr>
          <w:noProof/>
        </w:rPr>
        <w:t>The decentralizing</w:t>
      </w:r>
      <w:r w:rsidR="00835D52">
        <w:rPr>
          <w:noProof/>
        </w:rPr>
        <w:t xml:space="preserve"> system of welfare provision calls for a minimum level of coordination and clear definitions about priorities and needs. </w:t>
      </w:r>
      <w:r w:rsidR="00ED7478">
        <w:rPr>
          <w:noProof/>
        </w:rPr>
        <w:t>At the same time, decentralized initiatives and provision should be combinated with a minimum level of social protection for all.</w:t>
      </w:r>
    </w:p>
    <w:p w:rsidR="00835D52" w:rsidRDefault="0054175D" w:rsidP="00C82121">
      <w:pPr>
        <w:pStyle w:val="ListParagraph"/>
        <w:numPr>
          <w:ilvl w:val="0"/>
          <w:numId w:val="44"/>
        </w:numPr>
        <w:spacing w:line="276" w:lineRule="auto"/>
        <w:rPr>
          <w:noProof/>
        </w:rPr>
      </w:pPr>
      <w:r>
        <w:rPr>
          <w:noProof/>
        </w:rPr>
        <w:t xml:space="preserve">Policies for the social inclusion of the diverse immigrant groups </w:t>
      </w:r>
      <w:r w:rsidR="00ED7478">
        <w:rPr>
          <w:noProof/>
        </w:rPr>
        <w:t>need to be promoted. For this purpose the issues of</w:t>
      </w:r>
      <w:r w:rsidR="00616F1E">
        <w:rPr>
          <w:noProof/>
        </w:rPr>
        <w:t xml:space="preserve"> institutional racism and especially the regulation of the</w:t>
      </w:r>
      <w:r w:rsidR="00ED7478">
        <w:rPr>
          <w:noProof/>
        </w:rPr>
        <w:t xml:space="preserve"> legal </w:t>
      </w:r>
      <w:r w:rsidR="00616F1E">
        <w:rPr>
          <w:noProof/>
        </w:rPr>
        <w:t>status</w:t>
      </w:r>
      <w:r w:rsidR="00ED7478">
        <w:rPr>
          <w:noProof/>
        </w:rPr>
        <w:t xml:space="preserve"> of the undocumented immigrants in a way that respects their human and social rights is of absolute priority.</w:t>
      </w:r>
    </w:p>
    <w:p w:rsidR="00835D52" w:rsidRDefault="00D61BB5" w:rsidP="00C82121">
      <w:pPr>
        <w:pStyle w:val="ListParagraph"/>
        <w:numPr>
          <w:ilvl w:val="0"/>
          <w:numId w:val="44"/>
        </w:numPr>
        <w:spacing w:line="276" w:lineRule="auto"/>
        <w:rPr>
          <w:noProof/>
        </w:rPr>
      </w:pPr>
      <w:r>
        <w:rPr>
          <w:noProof/>
        </w:rPr>
        <w:t>The spatiality of immigrants’ settlement has to be better understood.</w:t>
      </w:r>
      <w:r w:rsidR="00616F1E">
        <w:rPr>
          <w:noProof/>
        </w:rPr>
        <w:t xml:space="preserve"> As mentioned in chapter 2,</w:t>
      </w:r>
      <w:r>
        <w:rPr>
          <w:noProof/>
        </w:rPr>
        <w:t xml:space="preserve"> </w:t>
      </w:r>
      <w:r w:rsidR="00616F1E">
        <w:rPr>
          <w:noProof/>
        </w:rPr>
        <w:t xml:space="preserve">the concentration of immigrant groups </w:t>
      </w:r>
      <w:r w:rsidR="00900CBB">
        <w:rPr>
          <w:noProof/>
        </w:rPr>
        <w:t xml:space="preserve">in specific areas of the metropolitan region may mean either the concentration of poverty and social exclusion or the polarization of local social structures. </w:t>
      </w:r>
      <w:r w:rsidR="00CB0F38">
        <w:rPr>
          <w:noProof/>
        </w:rPr>
        <w:t>However, the same patterns of concentration are necessary for immigrants’ informal and formal networks. Accordingly, together with polici</w:t>
      </w:r>
      <w:r w:rsidR="00733C52">
        <w:rPr>
          <w:noProof/>
        </w:rPr>
        <w:t>es to combat with detrirating l</w:t>
      </w:r>
      <w:r w:rsidR="00CB0F38">
        <w:rPr>
          <w:noProof/>
        </w:rPr>
        <w:t>iving conditions, finding ways to fight against xenophobia and everyday racism at the local level is also crucial.</w:t>
      </w:r>
      <w:r w:rsidR="00733C52">
        <w:rPr>
          <w:noProof/>
        </w:rPr>
        <w:t xml:space="preserve"> Existing success stories have to be used as examples.</w:t>
      </w:r>
    </w:p>
    <w:p w:rsidR="00C82121" w:rsidRDefault="00C82121" w:rsidP="009C4510">
      <w:pPr>
        <w:pStyle w:val="Heading1"/>
        <w:sectPr w:rsidR="00C82121" w:rsidSect="00554710">
          <w:pgSz w:w="11906" w:h="16838"/>
          <w:pgMar w:top="1440" w:right="1797" w:bottom="1440" w:left="1797" w:header="720" w:footer="720" w:gutter="0"/>
          <w:pgNumType w:start="1"/>
          <w:cols w:space="720"/>
          <w:docGrid w:linePitch="240"/>
        </w:sectPr>
      </w:pPr>
    </w:p>
    <w:p w:rsidR="0053026B" w:rsidRPr="009C4510" w:rsidRDefault="00536563" w:rsidP="009C4510">
      <w:pPr>
        <w:pStyle w:val="Heading1"/>
      </w:pPr>
      <w:bookmarkStart w:id="61" w:name="_Toc386013203"/>
      <w:r w:rsidRPr="009C4510">
        <w:lastRenderedPageBreak/>
        <w:t xml:space="preserve">Validity of European-wide data analysis from a </w:t>
      </w:r>
      <w:r w:rsidR="00C82121">
        <w:t>l</w:t>
      </w:r>
      <w:r w:rsidRPr="009C4510">
        <w:t xml:space="preserve">ocal </w:t>
      </w:r>
      <w:r w:rsidR="00C82121">
        <w:t>p</w:t>
      </w:r>
      <w:r w:rsidRPr="009C4510">
        <w:t>erspective</w:t>
      </w:r>
      <w:bookmarkEnd w:id="61"/>
    </w:p>
    <w:p w:rsidR="00BC76DD" w:rsidRPr="00D93644" w:rsidRDefault="00BC76DD" w:rsidP="00BC76DD">
      <w:pPr>
        <w:rPr>
          <w:rFonts w:cs="Arial"/>
        </w:rPr>
      </w:pPr>
    </w:p>
    <w:p w:rsidR="00E66FFF" w:rsidRDefault="000F0388" w:rsidP="00C82121">
      <w:pPr>
        <w:spacing w:line="276" w:lineRule="auto"/>
        <w:rPr>
          <w:rFonts w:cs="Arial"/>
        </w:rPr>
      </w:pPr>
      <w:r>
        <w:rPr>
          <w:rFonts w:cs="Arial"/>
        </w:rPr>
        <w:t xml:space="preserve">The adoption of the </w:t>
      </w:r>
      <w:r w:rsidRPr="00347D69">
        <w:t>European Platform against Poverty and Social Exclusion</w:t>
      </w:r>
      <w:r>
        <w:t>, as a broad umbrella in order to reach the 2020 target (of bringing at least</w:t>
      </w:r>
      <w:r>
        <w:rPr>
          <w:rStyle w:val="Strong"/>
        </w:rPr>
        <w:t xml:space="preserve"> </w:t>
      </w:r>
      <w:r w:rsidRPr="00347D69">
        <w:rPr>
          <w:rStyle w:val="Strong"/>
          <w:b w:val="0"/>
        </w:rPr>
        <w:t>20 million people out of poverty and social exclusion by</w:t>
      </w:r>
      <w:r>
        <w:rPr>
          <w:rStyle w:val="Strong"/>
          <w:b w:val="0"/>
        </w:rPr>
        <w:t xml:space="preserve"> that year), shows that poverty and social exclusion are perceived as common European challenges by the EU. </w:t>
      </w:r>
      <w:r w:rsidR="00020FBF">
        <w:rPr>
          <w:rFonts w:cs="Arial"/>
        </w:rPr>
        <w:t>As indicated in</w:t>
      </w:r>
      <w:r w:rsidR="00450147">
        <w:rPr>
          <w:rFonts w:cs="Arial"/>
        </w:rPr>
        <w:t xml:space="preserve"> </w:t>
      </w:r>
      <w:r w:rsidR="00DD57F4">
        <w:rPr>
          <w:rFonts w:cs="Arial"/>
        </w:rPr>
        <w:t xml:space="preserve">the </w:t>
      </w:r>
      <w:r w:rsidR="00450147">
        <w:rPr>
          <w:rFonts w:cs="Arial"/>
        </w:rPr>
        <w:t>previous part of this report, t</w:t>
      </w:r>
      <w:r w:rsidR="00020FBF">
        <w:rPr>
          <w:rFonts w:cs="Arial"/>
        </w:rPr>
        <w:t xml:space="preserve">he dynamics of poverty and social exclusion at the local </w:t>
      </w:r>
      <w:r>
        <w:rPr>
          <w:rFonts w:cs="Arial"/>
        </w:rPr>
        <w:t>and regional levels a</w:t>
      </w:r>
      <w:r w:rsidR="00020FBF">
        <w:rPr>
          <w:rFonts w:cs="Arial"/>
        </w:rPr>
        <w:t xml:space="preserve">re </w:t>
      </w:r>
      <w:r w:rsidR="0013398F">
        <w:rPr>
          <w:rFonts w:cs="Arial"/>
        </w:rPr>
        <w:t>context-</w:t>
      </w:r>
      <w:r w:rsidR="00450147">
        <w:rPr>
          <w:rFonts w:cs="Arial"/>
        </w:rPr>
        <w:t xml:space="preserve">dependent. However, </w:t>
      </w:r>
      <w:r w:rsidR="0013398F">
        <w:rPr>
          <w:rFonts w:cs="Arial"/>
        </w:rPr>
        <w:t xml:space="preserve">local </w:t>
      </w:r>
      <w:r w:rsidR="00347D69">
        <w:rPr>
          <w:rFonts w:cs="Arial"/>
        </w:rPr>
        <w:t>conditions</w:t>
      </w:r>
      <w:r w:rsidR="0013398F">
        <w:rPr>
          <w:rFonts w:cs="Arial"/>
        </w:rPr>
        <w:t xml:space="preserve"> are highly influenced by economic and political circumstances and arrangements at various greater geographic</w:t>
      </w:r>
      <w:r w:rsidR="00347D69">
        <w:rPr>
          <w:rFonts w:cs="Arial"/>
        </w:rPr>
        <w:t>al</w:t>
      </w:r>
      <w:r w:rsidR="0013398F">
        <w:rPr>
          <w:rFonts w:cs="Arial"/>
        </w:rPr>
        <w:t xml:space="preserve"> scales. </w:t>
      </w:r>
      <w:r w:rsidR="0098450A">
        <w:rPr>
          <w:rFonts w:cs="Arial"/>
        </w:rPr>
        <w:t>In this perspective, there is a rich ground for comparison between proceedings and transformations at the European level and relevant proceedings and transformations at the local/regional level.</w:t>
      </w:r>
    </w:p>
    <w:p w:rsidR="00E3225E" w:rsidRDefault="00E3225E" w:rsidP="00C82121">
      <w:pPr>
        <w:spacing w:line="276" w:lineRule="auto"/>
        <w:rPr>
          <w:rFonts w:cs="Arial"/>
        </w:rPr>
      </w:pPr>
      <w:r>
        <w:rPr>
          <w:rFonts w:cs="Arial"/>
        </w:rPr>
        <w:t xml:space="preserve">One key issue is to estimate the extent to which </w:t>
      </w:r>
      <w:r w:rsidR="00C5487C">
        <w:rPr>
          <w:rFonts w:cs="Arial"/>
        </w:rPr>
        <w:t xml:space="preserve">‘universal’ </w:t>
      </w:r>
      <w:r>
        <w:rPr>
          <w:rFonts w:cs="Arial"/>
        </w:rPr>
        <w:t xml:space="preserve">EU policy responses to poverty and social exclusion are adequate </w:t>
      </w:r>
      <w:r w:rsidR="00C5487C">
        <w:rPr>
          <w:rFonts w:cs="Arial"/>
        </w:rPr>
        <w:t>across</w:t>
      </w:r>
      <w:r>
        <w:rPr>
          <w:rFonts w:cs="Arial"/>
        </w:rPr>
        <w:t xml:space="preserve"> </w:t>
      </w:r>
      <w:r w:rsidR="00C5487C">
        <w:rPr>
          <w:rFonts w:cs="Arial"/>
        </w:rPr>
        <w:t xml:space="preserve">differing welfare regimes. For example, the dominant ‘active inclusion’ approach in combating poverty and social exclusion, meaning the identification of social inclusion with integration in the labour market, seems to have </w:t>
      </w:r>
      <w:r w:rsidR="00BF0026">
        <w:rPr>
          <w:rFonts w:cs="Arial"/>
        </w:rPr>
        <w:t xml:space="preserve">doubtful effects in the familiarist variant of the conservative welfare regime, especially in times of severe economic slowdown, accompanied by unprecedented unemployment rates. </w:t>
      </w:r>
      <w:r w:rsidR="002944D4">
        <w:rPr>
          <w:rFonts w:cs="Arial"/>
        </w:rPr>
        <w:t>Against expectations, for an increasing part of the population of various age groups, finding employment is becoming harder</w:t>
      </w:r>
      <w:r w:rsidR="0049678D">
        <w:rPr>
          <w:rFonts w:cs="Arial"/>
        </w:rPr>
        <w:t xml:space="preserve"> and harder</w:t>
      </w:r>
      <w:r w:rsidR="002944D4">
        <w:rPr>
          <w:rFonts w:cs="Arial"/>
        </w:rPr>
        <w:t xml:space="preserve">, while family protection networks face the danger to exhaust their potential. </w:t>
      </w:r>
      <w:r w:rsidR="004C365E">
        <w:rPr>
          <w:rFonts w:cs="Arial"/>
        </w:rPr>
        <w:t xml:space="preserve">The settlement of a shadow immigrant population with no social rights </w:t>
      </w:r>
      <w:r w:rsidR="00F6390F">
        <w:rPr>
          <w:rFonts w:cs="Arial"/>
        </w:rPr>
        <w:t>and forced to find employment</w:t>
      </w:r>
      <w:r w:rsidR="002944D4">
        <w:rPr>
          <w:rFonts w:cs="Arial"/>
        </w:rPr>
        <w:t xml:space="preserve"> only</w:t>
      </w:r>
      <w:r w:rsidR="00F6390F">
        <w:rPr>
          <w:rFonts w:cs="Arial"/>
        </w:rPr>
        <w:t xml:space="preserve"> in the informal economic sector makes the situation even more complex.</w:t>
      </w:r>
      <w:r w:rsidR="002944D4">
        <w:rPr>
          <w:rFonts w:cs="Arial"/>
        </w:rPr>
        <w:t xml:space="preserve"> </w:t>
      </w:r>
    </w:p>
    <w:p w:rsidR="000C2753" w:rsidRPr="000C2753" w:rsidRDefault="0049678D" w:rsidP="00C82121">
      <w:pPr>
        <w:spacing w:line="276" w:lineRule="auto"/>
        <w:rPr>
          <w:rFonts w:cs="Arial"/>
        </w:rPr>
      </w:pPr>
      <w:r>
        <w:rPr>
          <w:rFonts w:cs="Arial"/>
        </w:rPr>
        <w:t xml:space="preserve">Moreover, the subordination of social integration goals to </w:t>
      </w:r>
      <w:r w:rsidR="00AD414D">
        <w:rPr>
          <w:rFonts w:cs="Arial"/>
        </w:rPr>
        <w:t xml:space="preserve">the priority of </w:t>
      </w:r>
      <w:r>
        <w:rPr>
          <w:rFonts w:cs="Arial"/>
        </w:rPr>
        <w:t xml:space="preserve">economic growth means that </w:t>
      </w:r>
      <w:r w:rsidR="00883D5E">
        <w:rPr>
          <w:rFonts w:cs="Arial"/>
        </w:rPr>
        <w:t>the fight against material deprivation and the fight for social inclusion and participation tend to be considered as side proj</w:t>
      </w:r>
      <w:r w:rsidR="001942D7">
        <w:rPr>
          <w:rFonts w:cs="Arial"/>
        </w:rPr>
        <w:t>ects of economic competitiveness</w:t>
      </w:r>
      <w:r w:rsidR="00883D5E">
        <w:rPr>
          <w:rFonts w:cs="Arial"/>
        </w:rPr>
        <w:t>.</w:t>
      </w:r>
      <w:r w:rsidR="001942D7">
        <w:rPr>
          <w:rFonts w:cs="Arial"/>
        </w:rPr>
        <w:t xml:space="preserve"> </w:t>
      </w:r>
      <w:r w:rsidR="00AD414D">
        <w:rPr>
          <w:rFonts w:cs="Arial"/>
        </w:rPr>
        <w:t xml:space="preserve">Economic prioritizations fail not only to recognize the multidimensional (non-economic) aspects of social exclusion, but also to take into consideration </w:t>
      </w:r>
      <w:r w:rsidR="00D304E5">
        <w:rPr>
          <w:rFonts w:cs="Arial"/>
        </w:rPr>
        <w:t xml:space="preserve">bad </w:t>
      </w:r>
      <w:r w:rsidR="00AD414D">
        <w:rPr>
          <w:rFonts w:cs="Arial"/>
        </w:rPr>
        <w:t xml:space="preserve">employment conditions, </w:t>
      </w:r>
      <w:r w:rsidR="00D304E5">
        <w:rPr>
          <w:rFonts w:cs="Arial"/>
        </w:rPr>
        <w:t xml:space="preserve">gendered work relations, </w:t>
      </w:r>
      <w:r w:rsidR="00AD414D">
        <w:rPr>
          <w:rFonts w:cs="Arial"/>
        </w:rPr>
        <w:t>precariousness</w:t>
      </w:r>
      <w:r w:rsidR="00D304E5">
        <w:rPr>
          <w:rFonts w:cs="Arial"/>
        </w:rPr>
        <w:t xml:space="preserve"> and more generally the</w:t>
      </w:r>
      <w:r w:rsidR="00AD414D">
        <w:rPr>
          <w:rFonts w:cs="Arial"/>
        </w:rPr>
        <w:t xml:space="preserve"> </w:t>
      </w:r>
      <w:r w:rsidR="00D304E5">
        <w:rPr>
          <w:rFonts w:cs="Arial"/>
        </w:rPr>
        <w:t xml:space="preserve">various forms of </w:t>
      </w:r>
      <w:r w:rsidR="00AD414D">
        <w:rPr>
          <w:rFonts w:cs="Arial"/>
        </w:rPr>
        <w:t>social exclusion of employed people</w:t>
      </w:r>
      <w:r w:rsidR="00D304E5">
        <w:rPr>
          <w:rFonts w:cs="Arial"/>
        </w:rPr>
        <w:t>.</w:t>
      </w:r>
      <w:r w:rsidR="000C2753">
        <w:rPr>
          <w:rFonts w:cs="Arial"/>
        </w:rPr>
        <w:t xml:space="preserve"> These issues can be better examined under the lens of everyday povertization and exclusion at the local level.</w:t>
      </w:r>
    </w:p>
    <w:p w:rsidR="00347D69" w:rsidRDefault="00347D69" w:rsidP="00C82121">
      <w:pPr>
        <w:spacing w:line="276" w:lineRule="auto"/>
        <w:rPr>
          <w:rFonts w:cs="Arial"/>
        </w:rPr>
      </w:pPr>
      <w:r>
        <w:rPr>
          <w:rFonts w:cs="Arial"/>
        </w:rPr>
        <w:t xml:space="preserve">The opinions of the interviewees concerning the position of Greece and MRA in the wider European environment reveal </w:t>
      </w:r>
      <w:r w:rsidR="009A1AC2">
        <w:rPr>
          <w:rFonts w:cs="Arial"/>
        </w:rPr>
        <w:t>some key cons</w:t>
      </w:r>
      <w:r>
        <w:rPr>
          <w:rFonts w:cs="Arial"/>
        </w:rPr>
        <w:t>ideration</w:t>
      </w:r>
      <w:r w:rsidR="009A1AC2">
        <w:rPr>
          <w:rFonts w:cs="Arial"/>
        </w:rPr>
        <w:t xml:space="preserve">s concerning economic and institutional priorities. </w:t>
      </w:r>
    </w:p>
    <w:p w:rsidR="00FF48C3" w:rsidRDefault="00FF48C3" w:rsidP="00C82121">
      <w:pPr>
        <w:pStyle w:val="ListParagraph"/>
        <w:numPr>
          <w:ilvl w:val="0"/>
          <w:numId w:val="47"/>
        </w:numPr>
        <w:spacing w:line="276" w:lineRule="auto"/>
        <w:rPr>
          <w:rFonts w:cs="Arial"/>
        </w:rPr>
      </w:pPr>
      <w:r>
        <w:rPr>
          <w:rFonts w:cs="Arial"/>
        </w:rPr>
        <w:t>A wider crisis discourse</w:t>
      </w:r>
      <w:r w:rsidR="00A157C4">
        <w:rPr>
          <w:rFonts w:cs="Arial"/>
        </w:rPr>
        <w:t xml:space="preserve">. Most respondents see poverty and social exclusion as the results of economic recession and crisis. Some of them stress that things became only worse by the austerity measures since 2010. Economic slowdown and austerity policies are recognized (and usually condemned) </w:t>
      </w:r>
      <w:r w:rsidR="00C87692">
        <w:rPr>
          <w:rFonts w:cs="Arial"/>
        </w:rPr>
        <w:t>as common European (and even global) trends</w:t>
      </w:r>
      <w:r w:rsidR="003357B0">
        <w:rPr>
          <w:rFonts w:cs="Arial"/>
        </w:rPr>
        <w:t xml:space="preserve">. It is, however believed that </w:t>
      </w:r>
      <w:r w:rsidR="003357B0">
        <w:rPr>
          <w:rFonts w:cs="Arial"/>
        </w:rPr>
        <w:lastRenderedPageBreak/>
        <w:t>Greece and the region of the Greek capital face the most severe and accelerated effects of global transformations</w:t>
      </w:r>
      <w:r w:rsidR="00C87692">
        <w:rPr>
          <w:rFonts w:cs="Arial"/>
        </w:rPr>
        <w:t xml:space="preserve">. On the one hand this leads to some pessimist way of thinking, where poverty and social exclusion of wider groups of the population in the </w:t>
      </w:r>
      <w:r w:rsidR="002D5E9C">
        <w:rPr>
          <w:rFonts w:cs="Arial"/>
        </w:rPr>
        <w:t>near future</w:t>
      </w:r>
      <w:r w:rsidR="00C87692">
        <w:rPr>
          <w:rFonts w:cs="Arial"/>
        </w:rPr>
        <w:t xml:space="preserve"> are considered inescapable. On the other hand, </w:t>
      </w:r>
      <w:r w:rsidR="003C38FC">
        <w:rPr>
          <w:rFonts w:cs="Arial"/>
        </w:rPr>
        <w:t xml:space="preserve">some respondents seek to find innovative ideas </w:t>
      </w:r>
      <w:r w:rsidR="0012055B">
        <w:rPr>
          <w:rFonts w:cs="Arial"/>
        </w:rPr>
        <w:t>on fostering social assistance and solidarity with local initiatives, aided by local authorities and third sector agents.</w:t>
      </w:r>
      <w:r w:rsidR="002D5E9C">
        <w:rPr>
          <w:rFonts w:cs="Arial"/>
        </w:rPr>
        <w:t xml:space="preserve"> </w:t>
      </w:r>
    </w:p>
    <w:p w:rsidR="000C2753" w:rsidRDefault="00FF48C3" w:rsidP="00C82121">
      <w:pPr>
        <w:pStyle w:val="ListParagraph"/>
        <w:numPr>
          <w:ilvl w:val="0"/>
          <w:numId w:val="47"/>
        </w:numPr>
        <w:spacing w:line="276" w:lineRule="auto"/>
        <w:rPr>
          <w:rFonts w:cs="Arial"/>
        </w:rPr>
      </w:pPr>
      <w:r>
        <w:rPr>
          <w:rFonts w:cs="Arial"/>
        </w:rPr>
        <w:t>Implementation of EU policies at the local level.</w:t>
      </w:r>
      <w:r w:rsidR="003357B0">
        <w:rPr>
          <w:rFonts w:cs="Arial"/>
        </w:rPr>
        <w:t xml:space="preserve"> </w:t>
      </w:r>
      <w:r w:rsidR="00A80DDF">
        <w:rPr>
          <w:rFonts w:cs="Arial"/>
        </w:rPr>
        <w:t>R</w:t>
      </w:r>
      <w:r w:rsidR="00EB5F3F">
        <w:rPr>
          <w:rFonts w:cs="Arial"/>
        </w:rPr>
        <w:t xml:space="preserve">espondents from central and local state agencies are quite informed about EU priorities, policies and opportunities for funding. </w:t>
      </w:r>
      <w:r w:rsidR="007A1804">
        <w:rPr>
          <w:rFonts w:cs="Arial"/>
        </w:rPr>
        <w:t xml:space="preserve">Moreover they see European policies as an important asset and their implementation as opportunity for modernization of the Greek administrative system. On the contrary, there are important reservations about the </w:t>
      </w:r>
      <w:r w:rsidR="00C720B8">
        <w:rPr>
          <w:rFonts w:cs="Arial"/>
        </w:rPr>
        <w:t>actual application</w:t>
      </w:r>
      <w:r w:rsidR="007A1804">
        <w:rPr>
          <w:rFonts w:cs="Arial"/>
        </w:rPr>
        <w:t xml:space="preserve"> of ce</w:t>
      </w:r>
      <w:r w:rsidR="00B412DA">
        <w:rPr>
          <w:rFonts w:cs="Arial"/>
        </w:rPr>
        <w:t>rtain European policy ‘trends’. There are co</w:t>
      </w:r>
      <w:r w:rsidR="00576871">
        <w:rPr>
          <w:rFonts w:cs="Arial"/>
        </w:rPr>
        <w:t>ntradicting</w:t>
      </w:r>
      <w:r w:rsidR="00B412DA">
        <w:rPr>
          <w:rFonts w:cs="Arial"/>
        </w:rPr>
        <w:t xml:space="preserve"> opinions concerning </w:t>
      </w:r>
      <w:r w:rsidR="00576871">
        <w:rPr>
          <w:rFonts w:cs="Arial"/>
        </w:rPr>
        <w:t>issues such as the decentralized system of policy provision and the involvement of third sector and private agents supported by EU institutions. For some respondents, despite that EU policies and funding are of great importance, their result is a fragmented system, characterized by lack of coordination and doubtful sustainability after the end of each specific project.</w:t>
      </w:r>
    </w:p>
    <w:p w:rsidR="00FF48C3" w:rsidRPr="00DD57F4" w:rsidRDefault="00FF48C3" w:rsidP="00C82121">
      <w:pPr>
        <w:pStyle w:val="ListParagraph"/>
        <w:numPr>
          <w:ilvl w:val="0"/>
          <w:numId w:val="47"/>
        </w:numPr>
        <w:spacing w:line="276" w:lineRule="auto"/>
        <w:rPr>
          <w:rFonts w:cs="Arial"/>
          <w:b/>
        </w:rPr>
      </w:pPr>
      <w:r w:rsidRPr="00504E16">
        <w:rPr>
          <w:rFonts w:cs="Arial"/>
        </w:rPr>
        <w:t>Fighting</w:t>
      </w:r>
      <w:r>
        <w:rPr>
          <w:rFonts w:cs="Arial"/>
        </w:rPr>
        <w:t xml:space="preserve"> against immigrants’ poverty and social exclusion.</w:t>
      </w:r>
      <w:r w:rsidR="00EB5F3F">
        <w:rPr>
          <w:rFonts w:cs="Arial"/>
        </w:rPr>
        <w:t xml:space="preserve"> Immigration is seen as an international issue. Respon</w:t>
      </w:r>
      <w:r w:rsidR="00C848B7">
        <w:rPr>
          <w:rFonts w:cs="Arial"/>
        </w:rPr>
        <w:t>d</w:t>
      </w:r>
      <w:r w:rsidR="00EB5F3F">
        <w:rPr>
          <w:rFonts w:cs="Arial"/>
        </w:rPr>
        <w:t xml:space="preserve">ents representing immigrant communities and respondents from agencies </w:t>
      </w:r>
      <w:r w:rsidR="00C848B7">
        <w:rPr>
          <w:rFonts w:cs="Arial"/>
        </w:rPr>
        <w:t xml:space="preserve">are highly concerned about the EU immigration policy and especially about the effects of the Dublin II Regulation that established </w:t>
      </w:r>
      <w:r w:rsidR="00C848B7">
        <w:t xml:space="preserve">the principle that </w:t>
      </w:r>
      <w:r w:rsidR="00C848B7" w:rsidRPr="00C848B7">
        <w:rPr>
          <w:rStyle w:val="Strong"/>
          <w:b w:val="0"/>
        </w:rPr>
        <w:t>only one Member State is responsible for examining an asylum application</w:t>
      </w:r>
      <w:r w:rsidR="00C848B7" w:rsidRPr="00C848B7">
        <w:t>.</w:t>
      </w:r>
      <w:r w:rsidR="00C848B7">
        <w:t xml:space="preserve"> </w:t>
      </w:r>
      <w:r w:rsidR="00504E16">
        <w:t>The respondents stress the conse</w:t>
      </w:r>
      <w:r w:rsidR="006727B8">
        <w:t>quent</w:t>
      </w:r>
      <w:r w:rsidR="00504E16">
        <w:t xml:space="preserve"> entrapment of transit migrants in Greece.</w:t>
      </w:r>
      <w:r w:rsidR="002E2425">
        <w:t xml:space="preserve"> At the MRA level</w:t>
      </w:r>
      <w:r w:rsidR="006727B8">
        <w:t>,</w:t>
      </w:r>
      <w:r w:rsidR="002E2425">
        <w:t xml:space="preserve"> the settlement of migrants that are unable to move either forward or backward has specific segregation effects, as many of these people concentrate in areas of the central city where they find employment in the informal sector, marginal accommodation and access to networks organizing attempts to escape to other European countries.</w:t>
      </w:r>
      <w:r w:rsidR="00D80F10">
        <w:t xml:space="preserve"> </w:t>
      </w:r>
      <w:r w:rsidR="006727B8">
        <w:t>For another part of The irregular immigrant population their inability either to obtain legal documents in Greece or to move to another European results in imprisonment in inhuman conditions and for periods extending to 18 months, in detention centres at the margins of the metropolitan area or in local police stations almost everywhere in the city.</w:t>
      </w:r>
    </w:p>
    <w:p w:rsidR="003643F8" w:rsidRDefault="003643F8" w:rsidP="00C82121">
      <w:pPr>
        <w:spacing w:line="276" w:lineRule="auto"/>
        <w:rPr>
          <w:rStyle w:val="hps"/>
          <w:rFonts w:cs="Arial"/>
          <w:szCs w:val="22"/>
        </w:rPr>
      </w:pPr>
      <w:r>
        <w:rPr>
          <w:rStyle w:val="hps"/>
          <w:rFonts w:cs="Arial"/>
          <w:szCs w:val="22"/>
        </w:rPr>
        <w:t>The 2001 poverty map produced in the TIPSE poverty mapping exercise shows that MRA performs better than most other Greek NUTS III Regions</w:t>
      </w:r>
      <w:r w:rsidR="00013B9C">
        <w:rPr>
          <w:rStyle w:val="hps"/>
          <w:rFonts w:cs="Arial"/>
          <w:szCs w:val="22"/>
        </w:rPr>
        <w:t xml:space="preserve"> (</w:t>
      </w:r>
      <w:r w:rsidR="00C82121">
        <w:rPr>
          <w:rStyle w:val="hps"/>
          <w:rFonts w:cs="Arial"/>
          <w:szCs w:val="22"/>
        </w:rPr>
        <w:t>see</w:t>
      </w:r>
      <w:r w:rsidR="004B23E3">
        <w:rPr>
          <w:rStyle w:val="hps"/>
          <w:rFonts w:cs="Arial"/>
          <w:szCs w:val="22"/>
        </w:rPr>
        <w:t xml:space="preserve"> </w:t>
      </w:r>
      <w:r w:rsidR="004B23E3">
        <w:rPr>
          <w:rStyle w:val="hps"/>
          <w:rFonts w:cs="Arial"/>
          <w:szCs w:val="22"/>
        </w:rPr>
        <w:fldChar w:fldCharType="begin"/>
      </w:r>
      <w:r w:rsidR="004B23E3">
        <w:rPr>
          <w:rStyle w:val="hps"/>
          <w:rFonts w:cs="Arial"/>
          <w:szCs w:val="22"/>
        </w:rPr>
        <w:instrText xml:space="preserve"> REF _Ref392504761 \h </w:instrText>
      </w:r>
      <w:r w:rsidR="004B23E3">
        <w:rPr>
          <w:rStyle w:val="hps"/>
          <w:rFonts w:cs="Arial"/>
          <w:szCs w:val="22"/>
        </w:rPr>
      </w:r>
      <w:r w:rsidR="004B23E3">
        <w:rPr>
          <w:rStyle w:val="hps"/>
          <w:rFonts w:cs="Arial"/>
          <w:szCs w:val="22"/>
        </w:rPr>
        <w:fldChar w:fldCharType="separate"/>
      </w:r>
      <w:r w:rsidR="002634D4">
        <w:t xml:space="preserve">Map </w:t>
      </w:r>
      <w:r w:rsidR="002634D4">
        <w:rPr>
          <w:noProof/>
        </w:rPr>
        <w:t>10</w:t>
      </w:r>
      <w:r w:rsidR="004B23E3">
        <w:rPr>
          <w:rStyle w:val="hps"/>
          <w:rFonts w:cs="Arial"/>
          <w:szCs w:val="22"/>
        </w:rPr>
        <w:fldChar w:fldCharType="end"/>
      </w:r>
      <w:r w:rsidR="00013B9C">
        <w:rPr>
          <w:rStyle w:val="hps"/>
          <w:rFonts w:cs="Arial"/>
          <w:szCs w:val="22"/>
        </w:rPr>
        <w:t>)</w:t>
      </w:r>
      <w:r>
        <w:rPr>
          <w:rStyle w:val="hps"/>
          <w:rFonts w:cs="Arial"/>
          <w:szCs w:val="22"/>
        </w:rPr>
        <w:t xml:space="preserve">. </w:t>
      </w:r>
    </w:p>
    <w:p w:rsidR="004B23E3" w:rsidRDefault="009E67F7" w:rsidP="004B23E3">
      <w:pPr>
        <w:keepNext/>
      </w:pPr>
      <w:r w:rsidRPr="009E67F7">
        <w:rPr>
          <w:rStyle w:val="hps"/>
          <w:rFonts w:cs="Arial"/>
          <w:noProof/>
          <w:szCs w:val="22"/>
          <w:lang w:val="fi-FI" w:eastAsia="fi-FI"/>
        </w:rPr>
        <w:lastRenderedPageBreak/>
        <w:drawing>
          <wp:inline distT="0" distB="0" distL="0" distR="0" wp14:anchorId="3EE4486A" wp14:editId="56BAEA57">
            <wp:extent cx="3027870" cy="2788920"/>
            <wp:effectExtent l="19050" t="0" r="1080" b="0"/>
            <wp:docPr id="2" name="Picture 1" descr="H:\RESEARCH_PROJECTS\TIPSE\POVMAP_NEW\POVMAP_TURKEY\Gree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RESEARCH_PROJECTS\TIPSE\POVMAP_NEW\POVMAP_TURKEY\Greece.jpg"/>
                    <pic:cNvPicPr>
                      <a:picLocks noChangeAspect="1" noChangeArrowheads="1"/>
                    </pic:cNvPicPr>
                  </pic:nvPicPr>
                  <pic:blipFill>
                    <a:blip r:embed="rId34" cstate="print"/>
                    <a:srcRect t="16696" b="18300"/>
                    <a:stretch>
                      <a:fillRect/>
                    </a:stretch>
                  </pic:blipFill>
                  <pic:spPr bwMode="auto">
                    <a:xfrm>
                      <a:off x="0" y="0"/>
                      <a:ext cx="3027870" cy="2788920"/>
                    </a:xfrm>
                    <a:prstGeom prst="rect">
                      <a:avLst/>
                    </a:prstGeom>
                    <a:noFill/>
                    <a:ln w="9525">
                      <a:noFill/>
                      <a:miter lim="800000"/>
                      <a:headEnd/>
                      <a:tailEnd/>
                    </a:ln>
                  </pic:spPr>
                </pic:pic>
              </a:graphicData>
            </a:graphic>
          </wp:inline>
        </w:drawing>
      </w:r>
    </w:p>
    <w:p w:rsidR="00C82121" w:rsidRDefault="004B23E3" w:rsidP="004B23E3">
      <w:pPr>
        <w:pStyle w:val="Caption"/>
      </w:pPr>
      <w:bookmarkStart w:id="62" w:name="_Ref392504761"/>
      <w:bookmarkStart w:id="63" w:name="_Toc392505065"/>
      <w:r>
        <w:t xml:space="preserve">Map </w:t>
      </w:r>
      <w:fldSimple w:instr=" SEQ Map \* ARABIC ">
        <w:r w:rsidR="002634D4">
          <w:rPr>
            <w:noProof/>
          </w:rPr>
          <w:t>10</w:t>
        </w:r>
      </w:fldSimple>
      <w:bookmarkEnd w:id="62"/>
      <w:r>
        <w:t xml:space="preserve">: </w:t>
      </w:r>
      <w:r w:rsidRPr="00C82121">
        <w:rPr>
          <w:rStyle w:val="hps"/>
          <w:rFonts w:cs="Arial"/>
          <w:szCs w:val="22"/>
        </w:rPr>
        <w:t>At-risk-of poverty in the Greek NUTS III Regions, 2001</w:t>
      </w:r>
      <w:bookmarkEnd w:id="63"/>
    </w:p>
    <w:p w:rsidR="009E67F7" w:rsidRDefault="00EB08FA" w:rsidP="00C82121">
      <w:pPr>
        <w:spacing w:line="276" w:lineRule="auto"/>
        <w:rPr>
          <w:rStyle w:val="hps"/>
          <w:rFonts w:cs="Arial"/>
          <w:szCs w:val="22"/>
        </w:rPr>
      </w:pPr>
      <w:r>
        <w:rPr>
          <w:rStyle w:val="hps"/>
          <w:rFonts w:cs="Arial"/>
          <w:szCs w:val="22"/>
        </w:rPr>
        <w:t>While this is a valid indication of the overall poverty rate in MRA, i</w:t>
      </w:r>
      <w:r w:rsidR="00863537">
        <w:rPr>
          <w:rStyle w:val="hps"/>
          <w:rFonts w:cs="Arial"/>
          <w:szCs w:val="22"/>
        </w:rPr>
        <w:t xml:space="preserve">n the perspective of the analysis in this report, it seems that this maps masks important sub-regional inequalities. Mapping at the regional level </w:t>
      </w:r>
      <w:r w:rsidR="008F0CC0">
        <w:rPr>
          <w:rStyle w:val="hps"/>
          <w:rFonts w:cs="Arial"/>
          <w:szCs w:val="22"/>
        </w:rPr>
        <w:t>seems to be of limited significance when complex metropolitan regions are concerned.</w:t>
      </w:r>
    </w:p>
    <w:p w:rsidR="00DD57F4" w:rsidRDefault="00DD57F4" w:rsidP="00C82121">
      <w:pPr>
        <w:spacing w:line="276" w:lineRule="auto"/>
        <w:rPr>
          <w:rFonts w:cs="Arial"/>
          <w:szCs w:val="22"/>
        </w:rPr>
      </w:pPr>
      <w:r w:rsidRPr="00DD57F4">
        <w:rPr>
          <w:rStyle w:val="hps"/>
          <w:rFonts w:cs="Arial"/>
          <w:szCs w:val="22"/>
        </w:rPr>
        <w:t>On the other</w:t>
      </w:r>
      <w:r w:rsidRPr="00DD57F4">
        <w:rPr>
          <w:rFonts w:cs="Arial"/>
          <w:szCs w:val="22"/>
        </w:rPr>
        <w:t xml:space="preserve"> hand, </w:t>
      </w:r>
      <w:r w:rsidRPr="00DD57F4">
        <w:rPr>
          <w:rStyle w:val="hps"/>
          <w:rFonts w:cs="Arial"/>
          <w:szCs w:val="22"/>
        </w:rPr>
        <w:t>some</w:t>
      </w:r>
      <w:r w:rsidRPr="00DD57F4">
        <w:rPr>
          <w:rFonts w:cs="Arial"/>
          <w:szCs w:val="22"/>
        </w:rPr>
        <w:t xml:space="preserve"> </w:t>
      </w:r>
      <w:r w:rsidRPr="00DD57F4">
        <w:rPr>
          <w:rStyle w:val="hps"/>
          <w:rFonts w:cs="Arial"/>
          <w:szCs w:val="22"/>
        </w:rPr>
        <w:t>interesting data</w:t>
      </w:r>
      <w:r w:rsidRPr="00DD57F4">
        <w:rPr>
          <w:rFonts w:cs="Arial"/>
          <w:szCs w:val="22"/>
        </w:rPr>
        <w:t xml:space="preserve"> </w:t>
      </w:r>
      <w:r>
        <w:rPr>
          <w:rFonts w:cs="Arial"/>
          <w:szCs w:val="22"/>
        </w:rPr>
        <w:t>are revealed</w:t>
      </w:r>
      <w:r w:rsidRPr="00DD57F4">
        <w:rPr>
          <w:rFonts w:cs="Arial"/>
          <w:szCs w:val="22"/>
        </w:rPr>
        <w:t xml:space="preserve"> </w:t>
      </w:r>
      <w:r>
        <w:rPr>
          <w:rFonts w:cs="Arial"/>
          <w:szCs w:val="22"/>
        </w:rPr>
        <w:t>by</w:t>
      </w:r>
      <w:r w:rsidRPr="00DD57F4">
        <w:rPr>
          <w:rFonts w:cs="Arial"/>
          <w:szCs w:val="22"/>
        </w:rPr>
        <w:t xml:space="preserve"> the </w:t>
      </w:r>
      <w:r>
        <w:rPr>
          <w:rFonts w:cs="Arial"/>
          <w:szCs w:val="22"/>
        </w:rPr>
        <w:t>TIPSE</w:t>
      </w:r>
      <w:r w:rsidRPr="00DD57F4">
        <w:rPr>
          <w:rFonts w:cs="Arial"/>
          <w:szCs w:val="22"/>
        </w:rPr>
        <w:t xml:space="preserve"> </w:t>
      </w:r>
      <w:r w:rsidR="008C2498">
        <w:rPr>
          <w:rFonts w:cs="Arial"/>
          <w:szCs w:val="22"/>
        </w:rPr>
        <w:t>social</w:t>
      </w:r>
      <w:r w:rsidR="009C68AB">
        <w:rPr>
          <w:rFonts w:cs="Arial"/>
          <w:szCs w:val="22"/>
        </w:rPr>
        <w:t xml:space="preserve"> </w:t>
      </w:r>
      <w:r w:rsidR="008C2498">
        <w:rPr>
          <w:rFonts w:cs="Arial"/>
          <w:szCs w:val="22"/>
        </w:rPr>
        <w:t>exclusion</w:t>
      </w:r>
      <w:r w:rsidR="009C68AB">
        <w:rPr>
          <w:rFonts w:cs="Arial"/>
          <w:szCs w:val="22"/>
        </w:rPr>
        <w:t xml:space="preserve"> mapping </w:t>
      </w:r>
      <w:r w:rsidR="007C4744">
        <w:rPr>
          <w:rFonts w:cs="Arial"/>
          <w:szCs w:val="22"/>
        </w:rPr>
        <w:t xml:space="preserve">and might be </w:t>
      </w:r>
      <w:r w:rsidRPr="00DD57F4">
        <w:rPr>
          <w:rStyle w:val="hps"/>
          <w:rFonts w:cs="Arial"/>
          <w:szCs w:val="22"/>
        </w:rPr>
        <w:t>use</w:t>
      </w:r>
      <w:r w:rsidR="007C4744">
        <w:rPr>
          <w:rStyle w:val="hps"/>
          <w:rFonts w:cs="Arial"/>
          <w:szCs w:val="22"/>
        </w:rPr>
        <w:t>ful</w:t>
      </w:r>
      <w:r w:rsidRPr="00DD57F4">
        <w:rPr>
          <w:rFonts w:cs="Arial"/>
          <w:szCs w:val="22"/>
        </w:rPr>
        <w:t xml:space="preserve"> </w:t>
      </w:r>
      <w:r w:rsidRPr="00DD57F4">
        <w:rPr>
          <w:rStyle w:val="hps"/>
          <w:rFonts w:cs="Arial"/>
          <w:szCs w:val="22"/>
        </w:rPr>
        <w:t>as</w:t>
      </w:r>
      <w:r w:rsidRPr="00DD57F4">
        <w:rPr>
          <w:rFonts w:cs="Arial"/>
          <w:szCs w:val="22"/>
        </w:rPr>
        <w:t xml:space="preserve"> </w:t>
      </w:r>
      <w:r w:rsidRPr="00DD57F4">
        <w:rPr>
          <w:rStyle w:val="hps"/>
          <w:rFonts w:cs="Arial"/>
          <w:szCs w:val="22"/>
        </w:rPr>
        <w:t>additional tools</w:t>
      </w:r>
      <w:r w:rsidRPr="00DD57F4">
        <w:rPr>
          <w:rFonts w:cs="Arial"/>
          <w:szCs w:val="22"/>
        </w:rPr>
        <w:t xml:space="preserve"> </w:t>
      </w:r>
      <w:r w:rsidRPr="00DD57F4">
        <w:rPr>
          <w:rStyle w:val="hps"/>
          <w:rFonts w:cs="Arial"/>
          <w:szCs w:val="22"/>
        </w:rPr>
        <w:t>for</w:t>
      </w:r>
      <w:r w:rsidRPr="00DD57F4">
        <w:rPr>
          <w:rFonts w:cs="Arial"/>
          <w:szCs w:val="22"/>
        </w:rPr>
        <w:t xml:space="preserve"> elaborating </w:t>
      </w:r>
      <w:r w:rsidRPr="00DD57F4">
        <w:rPr>
          <w:rStyle w:val="hps"/>
          <w:rFonts w:cs="Arial"/>
          <w:szCs w:val="22"/>
        </w:rPr>
        <w:t>further measures policies</w:t>
      </w:r>
      <w:r w:rsidRPr="00DD57F4">
        <w:rPr>
          <w:rFonts w:cs="Arial"/>
          <w:szCs w:val="22"/>
        </w:rPr>
        <w:t xml:space="preserve"> </w:t>
      </w:r>
      <w:r w:rsidRPr="00DD57F4">
        <w:rPr>
          <w:rStyle w:val="hps"/>
          <w:rFonts w:cs="Arial"/>
          <w:szCs w:val="22"/>
        </w:rPr>
        <w:t>for</w:t>
      </w:r>
      <w:r w:rsidRPr="00DD57F4">
        <w:rPr>
          <w:rFonts w:cs="Arial"/>
          <w:szCs w:val="22"/>
        </w:rPr>
        <w:t xml:space="preserve"> </w:t>
      </w:r>
      <w:r w:rsidRPr="00DD57F4">
        <w:rPr>
          <w:rStyle w:val="hps"/>
          <w:rFonts w:cs="Arial"/>
          <w:szCs w:val="22"/>
        </w:rPr>
        <w:t>a coordinated</w:t>
      </w:r>
      <w:r w:rsidRPr="00DD57F4">
        <w:rPr>
          <w:rFonts w:cs="Arial"/>
          <w:szCs w:val="22"/>
        </w:rPr>
        <w:t xml:space="preserve"> </w:t>
      </w:r>
      <w:r w:rsidRPr="00DD57F4">
        <w:rPr>
          <w:rStyle w:val="hps"/>
          <w:rFonts w:cs="Arial"/>
          <w:szCs w:val="22"/>
        </w:rPr>
        <w:t>and effective response to</w:t>
      </w:r>
      <w:r w:rsidRPr="00DD57F4">
        <w:rPr>
          <w:rFonts w:cs="Arial"/>
          <w:szCs w:val="22"/>
        </w:rPr>
        <w:t xml:space="preserve"> </w:t>
      </w:r>
      <w:r w:rsidRPr="00DD57F4">
        <w:rPr>
          <w:rStyle w:val="hps"/>
          <w:rFonts w:cs="Arial"/>
          <w:szCs w:val="22"/>
        </w:rPr>
        <w:t>poverty</w:t>
      </w:r>
      <w:r w:rsidRPr="00DD57F4">
        <w:rPr>
          <w:rFonts w:cs="Arial"/>
          <w:szCs w:val="22"/>
        </w:rPr>
        <w:t xml:space="preserve"> </w:t>
      </w:r>
      <w:r w:rsidRPr="00DD57F4">
        <w:rPr>
          <w:rStyle w:val="hps"/>
          <w:rFonts w:cs="Arial"/>
          <w:szCs w:val="22"/>
        </w:rPr>
        <w:t>and social</w:t>
      </w:r>
      <w:r w:rsidRPr="00DD57F4">
        <w:rPr>
          <w:rFonts w:cs="Arial"/>
          <w:szCs w:val="22"/>
        </w:rPr>
        <w:t xml:space="preserve"> </w:t>
      </w:r>
      <w:r w:rsidRPr="00DD57F4">
        <w:rPr>
          <w:rStyle w:val="hps"/>
          <w:rFonts w:cs="Arial"/>
          <w:szCs w:val="22"/>
        </w:rPr>
        <w:t>exclusion</w:t>
      </w:r>
      <w:r w:rsidRPr="00DD57F4">
        <w:rPr>
          <w:rFonts w:cs="Arial"/>
          <w:szCs w:val="22"/>
        </w:rPr>
        <w:t xml:space="preserve">, both at the state and </w:t>
      </w:r>
      <w:r w:rsidRPr="00DD57F4">
        <w:rPr>
          <w:rStyle w:val="hps"/>
          <w:rFonts w:cs="Arial"/>
          <w:szCs w:val="22"/>
        </w:rPr>
        <w:t>the local/regional</w:t>
      </w:r>
      <w:r w:rsidRPr="00DD57F4">
        <w:rPr>
          <w:rFonts w:cs="Arial"/>
          <w:szCs w:val="22"/>
        </w:rPr>
        <w:t xml:space="preserve"> </w:t>
      </w:r>
      <w:r w:rsidRPr="00DD57F4">
        <w:rPr>
          <w:rStyle w:val="hps"/>
          <w:rFonts w:cs="Arial"/>
          <w:szCs w:val="22"/>
        </w:rPr>
        <w:t>level</w:t>
      </w:r>
      <w:r w:rsidRPr="00DD57F4">
        <w:rPr>
          <w:rFonts w:cs="Arial"/>
          <w:szCs w:val="22"/>
        </w:rPr>
        <w:t>.</w:t>
      </w:r>
    </w:p>
    <w:p w:rsidR="009C68AB" w:rsidRPr="009C68AB" w:rsidRDefault="009C68AB" w:rsidP="00C82121">
      <w:pPr>
        <w:pStyle w:val="ListParagraph"/>
        <w:numPr>
          <w:ilvl w:val="0"/>
          <w:numId w:val="49"/>
        </w:numPr>
        <w:spacing w:line="276" w:lineRule="auto"/>
        <w:rPr>
          <w:rStyle w:val="Strong"/>
          <w:b w:val="0"/>
        </w:rPr>
      </w:pPr>
      <w:r w:rsidRPr="009C68AB">
        <w:rPr>
          <w:rStyle w:val="Strong"/>
          <w:b w:val="0"/>
        </w:rPr>
        <w:t xml:space="preserve">Regarding the Economic Activity Rate, we observe that the percentage of the economically active population in several European Mediterranean countries ranges between 45% - 50%, while this rate exceeds 65% in central and northern Europe. In the case of </w:t>
      </w:r>
      <w:r>
        <w:rPr>
          <w:rStyle w:val="Strong"/>
          <w:b w:val="0"/>
        </w:rPr>
        <w:t>MRA</w:t>
      </w:r>
      <w:r w:rsidRPr="009C68AB">
        <w:rPr>
          <w:rStyle w:val="Strong"/>
          <w:b w:val="0"/>
        </w:rPr>
        <w:t xml:space="preserve"> the percentage is between 50% - 55%.</w:t>
      </w:r>
    </w:p>
    <w:p w:rsidR="009C68AB" w:rsidRPr="009C68AB" w:rsidRDefault="009C68AB" w:rsidP="00C82121">
      <w:pPr>
        <w:pStyle w:val="ListParagraph"/>
        <w:numPr>
          <w:ilvl w:val="0"/>
          <w:numId w:val="49"/>
        </w:numPr>
        <w:spacing w:line="276" w:lineRule="auto"/>
        <w:rPr>
          <w:rStyle w:val="Strong"/>
          <w:b w:val="0"/>
        </w:rPr>
      </w:pPr>
      <w:r w:rsidRPr="009C68AB">
        <w:rPr>
          <w:rStyle w:val="Strong"/>
          <w:b w:val="0"/>
        </w:rPr>
        <w:t>Regarding the Activity Gender Gap, the female rate per male rate in most European Mediterr</w:t>
      </w:r>
      <w:r>
        <w:rPr>
          <w:rStyle w:val="Strong"/>
          <w:b w:val="0"/>
        </w:rPr>
        <w:t>anean countries is less than 60</w:t>
      </w:r>
      <w:r w:rsidRPr="009C68AB">
        <w:rPr>
          <w:rStyle w:val="Strong"/>
          <w:b w:val="0"/>
        </w:rPr>
        <w:t xml:space="preserve">% in contrast with the countries of central and northern Europe where is ranging over 80%. </w:t>
      </w:r>
      <w:r>
        <w:rPr>
          <w:rStyle w:val="Strong"/>
          <w:b w:val="0"/>
        </w:rPr>
        <w:t>In MRA</w:t>
      </w:r>
      <w:r w:rsidRPr="009C68AB">
        <w:rPr>
          <w:rStyle w:val="Strong"/>
          <w:b w:val="0"/>
        </w:rPr>
        <w:t xml:space="preserve"> region the </w:t>
      </w:r>
      <w:r>
        <w:rPr>
          <w:rStyle w:val="Strong"/>
          <w:b w:val="0"/>
        </w:rPr>
        <w:t>rate</w:t>
      </w:r>
      <w:r w:rsidRPr="009C68AB">
        <w:rPr>
          <w:rStyle w:val="Strong"/>
          <w:b w:val="0"/>
        </w:rPr>
        <w:t xml:space="preserve"> is around 65% as opposed to most areas of Greece where this figure is below 60 %. This is partly due to better employment opportunities offered to a large urban </w:t>
      </w:r>
      <w:r w:rsidR="009C01AF" w:rsidRPr="009C68AB">
        <w:rPr>
          <w:rStyle w:val="Strong"/>
          <w:b w:val="0"/>
        </w:rPr>
        <w:t>centre</w:t>
      </w:r>
      <w:r w:rsidRPr="009C68AB">
        <w:rPr>
          <w:rStyle w:val="Strong"/>
          <w:b w:val="0"/>
        </w:rPr>
        <w:t xml:space="preserve"> as well as to more strongly traditional attitudes and stereotypes on gendered division of roles and tasks within the family and the professional arena prevailing in regional / rural areas of Greece.</w:t>
      </w:r>
    </w:p>
    <w:p w:rsidR="009C68AB" w:rsidRPr="009C68AB" w:rsidRDefault="009C68AB" w:rsidP="00C82121">
      <w:pPr>
        <w:pStyle w:val="ListParagraph"/>
        <w:numPr>
          <w:ilvl w:val="0"/>
          <w:numId w:val="49"/>
        </w:numPr>
        <w:spacing w:line="276" w:lineRule="auto"/>
        <w:rPr>
          <w:rStyle w:val="Strong"/>
          <w:b w:val="0"/>
        </w:rPr>
      </w:pPr>
      <w:r w:rsidRPr="009C68AB">
        <w:rPr>
          <w:rStyle w:val="Strong"/>
          <w:b w:val="0"/>
        </w:rPr>
        <w:t xml:space="preserve">As regards the </w:t>
      </w:r>
      <w:r>
        <w:rPr>
          <w:rStyle w:val="Strong"/>
          <w:b w:val="0"/>
        </w:rPr>
        <w:t>r</w:t>
      </w:r>
      <w:r w:rsidRPr="009C68AB">
        <w:rPr>
          <w:rStyle w:val="Strong"/>
          <w:b w:val="0"/>
        </w:rPr>
        <w:t xml:space="preserve">atio of non-Citizen Population, the percentage of total non-European citizens varies </w:t>
      </w:r>
      <w:r>
        <w:rPr>
          <w:rStyle w:val="Strong"/>
          <w:b w:val="0"/>
        </w:rPr>
        <w:t>among countries</w:t>
      </w:r>
      <w:r w:rsidRPr="009C68AB">
        <w:rPr>
          <w:rStyle w:val="Strong"/>
          <w:b w:val="0"/>
        </w:rPr>
        <w:t xml:space="preserve">; in Greece the percentage is between 5% -10% compared with other Mediterranean countries where the rate ranges </w:t>
      </w:r>
      <w:r w:rsidR="009C01AF">
        <w:rPr>
          <w:rStyle w:val="Strong"/>
          <w:b w:val="0"/>
        </w:rPr>
        <w:t>from</w:t>
      </w:r>
      <w:r w:rsidRPr="009C68AB">
        <w:rPr>
          <w:rStyle w:val="Strong"/>
          <w:b w:val="0"/>
        </w:rPr>
        <w:t xml:space="preserve"> </w:t>
      </w:r>
      <w:r w:rsidR="009C01AF">
        <w:rPr>
          <w:rStyle w:val="Strong"/>
          <w:b w:val="0"/>
        </w:rPr>
        <w:t>1% to</w:t>
      </w:r>
      <w:r w:rsidRPr="009C68AB">
        <w:rPr>
          <w:rStyle w:val="Strong"/>
          <w:b w:val="0"/>
        </w:rPr>
        <w:t xml:space="preserve"> 5%. Concerning the case of </w:t>
      </w:r>
      <w:r>
        <w:rPr>
          <w:rStyle w:val="Strong"/>
          <w:b w:val="0"/>
        </w:rPr>
        <w:t>MRA</w:t>
      </w:r>
      <w:r w:rsidRPr="009C68AB">
        <w:rPr>
          <w:rStyle w:val="Strong"/>
          <w:b w:val="0"/>
        </w:rPr>
        <w:t>, the corresponding figures are similar to most of the countries of central and northern Europe ranging between 5</w:t>
      </w:r>
      <w:r w:rsidR="009C01AF" w:rsidRPr="009C68AB">
        <w:rPr>
          <w:rStyle w:val="Strong"/>
          <w:b w:val="0"/>
        </w:rPr>
        <w:t xml:space="preserve">% </w:t>
      </w:r>
      <w:r w:rsidR="009C01AF">
        <w:rPr>
          <w:rStyle w:val="Strong"/>
          <w:b w:val="0"/>
        </w:rPr>
        <w:t>and 10</w:t>
      </w:r>
      <w:r w:rsidRPr="009C68AB">
        <w:rPr>
          <w:rStyle w:val="Strong"/>
          <w:b w:val="0"/>
        </w:rPr>
        <w:t>%.</w:t>
      </w:r>
    </w:p>
    <w:p w:rsidR="009C68AB" w:rsidRPr="009C68AB" w:rsidRDefault="009C68AB" w:rsidP="00C82121">
      <w:pPr>
        <w:pStyle w:val="ListParagraph"/>
        <w:numPr>
          <w:ilvl w:val="0"/>
          <w:numId w:val="49"/>
        </w:numPr>
        <w:spacing w:line="276" w:lineRule="auto"/>
        <w:rPr>
          <w:rStyle w:val="Strong"/>
          <w:b w:val="0"/>
        </w:rPr>
      </w:pPr>
      <w:r w:rsidRPr="009C68AB">
        <w:rPr>
          <w:rStyle w:val="Strong"/>
          <w:b w:val="0"/>
        </w:rPr>
        <w:t xml:space="preserve">Concerning </w:t>
      </w:r>
      <w:r>
        <w:rPr>
          <w:rStyle w:val="Strong"/>
          <w:b w:val="0"/>
        </w:rPr>
        <w:t>u</w:t>
      </w:r>
      <w:r w:rsidRPr="009C68AB">
        <w:rPr>
          <w:rStyle w:val="Strong"/>
          <w:b w:val="0"/>
        </w:rPr>
        <w:t xml:space="preserve">nemployment, rates vary among Mediterranean European countries; e.g. in  southern regions of Spain, France and Italy the unemployment rate exceeds 20% in total active population while in Greece </w:t>
      </w:r>
      <w:r w:rsidRPr="009C68AB">
        <w:rPr>
          <w:rStyle w:val="Strong"/>
          <w:b w:val="0"/>
        </w:rPr>
        <w:lastRenderedPageBreak/>
        <w:t xml:space="preserve">ranges between 8% -12% including </w:t>
      </w:r>
      <w:r>
        <w:rPr>
          <w:rStyle w:val="Strong"/>
          <w:b w:val="0"/>
        </w:rPr>
        <w:t>MRA</w:t>
      </w:r>
      <w:r w:rsidRPr="009C68AB">
        <w:rPr>
          <w:rStyle w:val="Strong"/>
          <w:b w:val="0"/>
        </w:rPr>
        <w:t>. In contrast, in some countries of northern and central Europe (as in N. Italy, Austria, and the Netherlands) the rate is below 4%, while in others remains relatively high (e.g. Germany: 8% -12%).</w:t>
      </w:r>
    </w:p>
    <w:p w:rsidR="009C68AB" w:rsidRPr="009C68AB" w:rsidRDefault="009C68AB" w:rsidP="00C82121">
      <w:pPr>
        <w:pStyle w:val="ListParagraph"/>
        <w:numPr>
          <w:ilvl w:val="0"/>
          <w:numId w:val="49"/>
        </w:numPr>
        <w:spacing w:line="276" w:lineRule="auto"/>
        <w:rPr>
          <w:rStyle w:val="Strong"/>
          <w:b w:val="0"/>
        </w:rPr>
      </w:pPr>
      <w:r w:rsidRPr="009C68AB">
        <w:rPr>
          <w:rStyle w:val="Strong"/>
          <w:b w:val="0"/>
        </w:rPr>
        <w:t xml:space="preserve">Finally regarding the </w:t>
      </w:r>
      <w:r>
        <w:rPr>
          <w:rStyle w:val="Strong"/>
          <w:b w:val="0"/>
        </w:rPr>
        <w:t>a</w:t>
      </w:r>
      <w:r w:rsidRPr="009C68AB">
        <w:rPr>
          <w:rStyle w:val="Strong"/>
          <w:b w:val="0"/>
        </w:rPr>
        <w:t xml:space="preserve">verage </w:t>
      </w:r>
      <w:r>
        <w:rPr>
          <w:rStyle w:val="Strong"/>
          <w:b w:val="0"/>
        </w:rPr>
        <w:t>h</w:t>
      </w:r>
      <w:r w:rsidRPr="009C68AB">
        <w:rPr>
          <w:rStyle w:val="Strong"/>
          <w:b w:val="0"/>
        </w:rPr>
        <w:t xml:space="preserve">ousehold </w:t>
      </w:r>
      <w:r>
        <w:rPr>
          <w:rStyle w:val="Strong"/>
          <w:b w:val="0"/>
        </w:rPr>
        <w:t>s</w:t>
      </w:r>
      <w:r w:rsidRPr="009C68AB">
        <w:rPr>
          <w:rStyle w:val="Strong"/>
          <w:b w:val="0"/>
        </w:rPr>
        <w:t xml:space="preserve">ize, in the countries of the southern Mediterranean the average number of household members is between 3.25 and 3.75 persons. The same rate applies in the case of Attica </w:t>
      </w:r>
      <w:r>
        <w:rPr>
          <w:rStyle w:val="Strong"/>
          <w:b w:val="0"/>
        </w:rPr>
        <w:t>MRA</w:t>
      </w:r>
      <w:r w:rsidRPr="009C68AB">
        <w:rPr>
          <w:rStyle w:val="Strong"/>
          <w:b w:val="0"/>
        </w:rPr>
        <w:t xml:space="preserve"> in central and northern Europe the figure is lower ranging between 2.25 and 2.75 persons. This differentiation is largely due to the traditional role played by the institution of the family in the South as a supporting structure to provide services and care for the weaker members (children and the elderly)</w:t>
      </w:r>
      <w:r>
        <w:rPr>
          <w:rStyle w:val="Strong"/>
          <w:b w:val="0"/>
        </w:rPr>
        <w:t>,</w:t>
      </w:r>
      <w:r w:rsidRPr="009C68AB">
        <w:rPr>
          <w:rStyle w:val="Strong"/>
          <w:b w:val="0"/>
        </w:rPr>
        <w:t xml:space="preserve"> due to </w:t>
      </w:r>
      <w:r>
        <w:rPr>
          <w:rStyle w:val="Strong"/>
          <w:b w:val="0"/>
        </w:rPr>
        <w:t>the inefficiencies of the</w:t>
      </w:r>
      <w:r w:rsidRPr="009C68AB">
        <w:rPr>
          <w:rStyle w:val="Strong"/>
          <w:b w:val="0"/>
        </w:rPr>
        <w:t xml:space="preserve"> welfare state.</w:t>
      </w:r>
    </w:p>
    <w:p w:rsidR="009C68AB" w:rsidRPr="00EE6F89" w:rsidRDefault="009C68AB" w:rsidP="009C68AB">
      <w:pPr>
        <w:spacing w:before="0" w:line="276" w:lineRule="auto"/>
        <w:ind w:left="720"/>
        <w:rPr>
          <w:rFonts w:ascii="Times New Roman" w:hAnsi="Times New Roman"/>
          <w:sz w:val="24"/>
          <w:szCs w:val="24"/>
          <w:lang w:eastAsia="el-GR"/>
        </w:rPr>
      </w:pPr>
    </w:p>
    <w:p w:rsidR="00007B80" w:rsidRPr="009C4510" w:rsidRDefault="00536563" w:rsidP="009C4510">
      <w:pPr>
        <w:pStyle w:val="Heading1"/>
      </w:pPr>
      <w:r w:rsidRPr="00D93644">
        <w:rPr>
          <w:noProof/>
        </w:rPr>
        <w:br w:type="column"/>
      </w:r>
      <w:bookmarkStart w:id="64" w:name="_Toc386013204"/>
      <w:r w:rsidRPr="009C4510">
        <w:lastRenderedPageBreak/>
        <w:t xml:space="preserve">Transferability of </w:t>
      </w:r>
      <w:r w:rsidR="00C82121">
        <w:t>r</w:t>
      </w:r>
      <w:r w:rsidRPr="009C4510">
        <w:t>esults</w:t>
      </w:r>
      <w:bookmarkEnd w:id="64"/>
    </w:p>
    <w:p w:rsidR="0002608A" w:rsidRPr="00D93644" w:rsidRDefault="0002608A" w:rsidP="00B271A5">
      <w:pPr>
        <w:rPr>
          <w:rFonts w:cs="Arial"/>
        </w:rPr>
      </w:pPr>
    </w:p>
    <w:p w:rsidR="00971106" w:rsidRDefault="00F81AF2" w:rsidP="00C82121">
      <w:pPr>
        <w:spacing w:line="276" w:lineRule="auto"/>
        <w:rPr>
          <w:rFonts w:cs="Arial"/>
        </w:rPr>
      </w:pPr>
      <w:r>
        <w:rPr>
          <w:noProof/>
        </w:rPr>
        <w:t>The relationship between urban segregation and processes of poverty/social exclusion is context-related. Specific patterns of residential concentration or dispersal of social groups are interconnected with specific levels of exposure to risks of impoverisment and exclusion and not every conclusion drawn in MRA is necessarily generalizable and applicable in different socio-spatial contexts.</w:t>
      </w:r>
      <w:r w:rsidR="0012758F">
        <w:rPr>
          <w:noProof/>
        </w:rPr>
        <w:t xml:space="preserve"> However</w:t>
      </w:r>
      <w:r w:rsidR="000B26F4">
        <w:rPr>
          <w:noProof/>
        </w:rPr>
        <w:t>,</w:t>
      </w:r>
      <w:r w:rsidR="0012758F">
        <w:rPr>
          <w:noProof/>
        </w:rPr>
        <w:t xml:space="preserve"> there are some specific results of the above analysis that raise important questions at a macro</w:t>
      </w:r>
      <w:r w:rsidR="00971106">
        <w:rPr>
          <w:noProof/>
        </w:rPr>
        <w:t>regi</w:t>
      </w:r>
      <w:r w:rsidR="00EF2E43">
        <w:rPr>
          <w:noProof/>
        </w:rPr>
        <w:t xml:space="preserve">onal or even European level and </w:t>
      </w:r>
      <w:r w:rsidR="00971106">
        <w:rPr>
          <w:rFonts w:cs="Arial"/>
        </w:rPr>
        <w:t>could be used as a lens to examine segregation together with poverty and social exclusions in other parts of Europe.</w:t>
      </w:r>
    </w:p>
    <w:p w:rsidR="00B6172C" w:rsidRDefault="00B6172C" w:rsidP="00C82121">
      <w:pPr>
        <w:pStyle w:val="ListParagraph"/>
        <w:numPr>
          <w:ilvl w:val="0"/>
          <w:numId w:val="45"/>
        </w:numPr>
        <w:spacing w:line="276" w:lineRule="auto"/>
        <w:rPr>
          <w:noProof/>
        </w:rPr>
      </w:pPr>
      <w:r>
        <w:rPr>
          <w:noProof/>
        </w:rPr>
        <w:t>Immigrant groups may fin</w:t>
      </w:r>
      <w:r w:rsidR="009E13A0">
        <w:rPr>
          <w:noProof/>
        </w:rPr>
        <w:t xml:space="preserve">d themselves in conditions that entrap them </w:t>
      </w:r>
      <w:r w:rsidR="00F7349A">
        <w:rPr>
          <w:noProof/>
        </w:rPr>
        <w:t xml:space="preserve">in poverty and exclude them from social services and social participation. </w:t>
      </w:r>
      <w:r w:rsidR="000B5BDF">
        <w:rPr>
          <w:noProof/>
        </w:rPr>
        <w:t xml:space="preserve">These conditions are quite complex, as </w:t>
      </w:r>
      <w:r w:rsidR="001E6064">
        <w:rPr>
          <w:noProof/>
        </w:rPr>
        <w:t>they are takin</w:t>
      </w:r>
      <w:r w:rsidR="00EF2E43">
        <w:rPr>
          <w:noProof/>
        </w:rPr>
        <w:t>g</w:t>
      </w:r>
      <w:r w:rsidR="001E6064">
        <w:rPr>
          <w:noProof/>
        </w:rPr>
        <w:t xml:space="preserve"> shape by interacting factors</w:t>
      </w:r>
      <w:r w:rsidR="000B5BDF">
        <w:rPr>
          <w:noProof/>
        </w:rPr>
        <w:t xml:space="preserve"> </w:t>
      </w:r>
      <w:r w:rsidR="001E6064">
        <w:rPr>
          <w:noProof/>
        </w:rPr>
        <w:t>such as</w:t>
      </w:r>
      <w:r w:rsidR="000B5BDF">
        <w:rPr>
          <w:noProof/>
        </w:rPr>
        <w:t xml:space="preserve"> class, age, gender, legal status, education skills, employment opportunities in different economic sectors and the</w:t>
      </w:r>
      <w:r w:rsidR="001E6064">
        <w:rPr>
          <w:noProof/>
        </w:rPr>
        <w:t xml:space="preserve"> duration of settlement</w:t>
      </w:r>
      <w:r w:rsidR="000B5BDF">
        <w:rPr>
          <w:noProof/>
        </w:rPr>
        <w:t xml:space="preserve">. However, there seems to be a specific ethnic component </w:t>
      </w:r>
      <w:r w:rsidR="001E6064">
        <w:rPr>
          <w:noProof/>
        </w:rPr>
        <w:t>in the levels of exposure to poverty and social exclusion. B</w:t>
      </w:r>
      <w:r w:rsidR="00472E35">
        <w:rPr>
          <w:noProof/>
        </w:rPr>
        <w:t>e</w:t>
      </w:r>
      <w:r w:rsidR="001E6064">
        <w:rPr>
          <w:noProof/>
        </w:rPr>
        <w:t>longing to a specifi</w:t>
      </w:r>
      <w:r w:rsidR="00472E35">
        <w:rPr>
          <w:noProof/>
        </w:rPr>
        <w:t>c</w:t>
      </w:r>
      <w:r w:rsidR="001E6064">
        <w:rPr>
          <w:noProof/>
        </w:rPr>
        <w:t xml:space="preserve"> ethn</w:t>
      </w:r>
      <w:r w:rsidR="00EF2E43">
        <w:rPr>
          <w:noProof/>
        </w:rPr>
        <w:t>ic community seems to ‘explain’</w:t>
      </w:r>
      <w:r w:rsidR="00472E35">
        <w:rPr>
          <w:noProof/>
        </w:rPr>
        <w:t xml:space="preserve"> part of the differentiation in living conditions. </w:t>
      </w:r>
      <w:r w:rsidR="001E6064">
        <w:rPr>
          <w:noProof/>
        </w:rPr>
        <w:t xml:space="preserve">That is </w:t>
      </w:r>
      <w:r w:rsidR="00472E35">
        <w:rPr>
          <w:noProof/>
        </w:rPr>
        <w:t xml:space="preserve">possibly </w:t>
      </w:r>
      <w:r w:rsidR="001E6064">
        <w:rPr>
          <w:noProof/>
        </w:rPr>
        <w:t>because members of immigrants groups may share similar characteristics</w:t>
      </w:r>
      <w:r w:rsidR="00472E35">
        <w:rPr>
          <w:noProof/>
        </w:rPr>
        <w:t xml:space="preserve"> regarding other factors (e.g. position in the labour market and legal status)</w:t>
      </w:r>
      <w:r w:rsidR="001E6064">
        <w:rPr>
          <w:noProof/>
        </w:rPr>
        <w:t xml:space="preserve">, but more importantly it </w:t>
      </w:r>
      <w:r w:rsidR="00472E35">
        <w:rPr>
          <w:noProof/>
        </w:rPr>
        <w:t xml:space="preserve">may be connected with community solidarity relationships and the ability of established members to support the social integration prospects of the newcomers. </w:t>
      </w:r>
      <w:r w:rsidR="000B26F4">
        <w:rPr>
          <w:noProof/>
        </w:rPr>
        <w:t xml:space="preserve">The policy question here is how to support immigrants’ </w:t>
      </w:r>
      <w:r w:rsidR="009B650B">
        <w:rPr>
          <w:noProof/>
        </w:rPr>
        <w:t xml:space="preserve">(formal and informal) </w:t>
      </w:r>
      <w:r w:rsidR="000B26F4">
        <w:rPr>
          <w:noProof/>
        </w:rPr>
        <w:t>social networks, while enhancing their interaction with the ‘receiving’ society.</w:t>
      </w:r>
    </w:p>
    <w:p w:rsidR="009B650B" w:rsidRDefault="009B650B" w:rsidP="00C82121">
      <w:pPr>
        <w:pStyle w:val="ListParagraph"/>
        <w:numPr>
          <w:ilvl w:val="0"/>
          <w:numId w:val="45"/>
        </w:numPr>
        <w:spacing w:line="276" w:lineRule="auto"/>
        <w:rPr>
          <w:noProof/>
        </w:rPr>
      </w:pPr>
      <w:r>
        <w:rPr>
          <w:noProof/>
        </w:rPr>
        <w:t xml:space="preserve">Established welfare regimes that have been shaped after decades of political negotiation between different social actors in the European societies may underestimate the needs of </w:t>
      </w:r>
      <w:r w:rsidR="00B47D8F">
        <w:rPr>
          <w:noProof/>
        </w:rPr>
        <w:t>‘</w:t>
      </w:r>
      <w:r>
        <w:rPr>
          <w:noProof/>
        </w:rPr>
        <w:t>new</w:t>
      </w:r>
      <w:r w:rsidR="00B47D8F">
        <w:rPr>
          <w:noProof/>
        </w:rPr>
        <w:t>’</w:t>
      </w:r>
      <w:r>
        <w:rPr>
          <w:noProof/>
        </w:rPr>
        <w:t xml:space="preserve"> </w:t>
      </w:r>
      <w:r w:rsidR="00B47D8F">
        <w:rPr>
          <w:noProof/>
        </w:rPr>
        <w:t xml:space="preserve">vulnerable </w:t>
      </w:r>
      <w:r>
        <w:rPr>
          <w:noProof/>
        </w:rPr>
        <w:t xml:space="preserve">social groups such as undocumented immigrants, homeless and the new poor. What is more, their needs tend to be </w:t>
      </w:r>
      <w:r w:rsidR="00EF2E43">
        <w:rPr>
          <w:noProof/>
        </w:rPr>
        <w:t>understo</w:t>
      </w:r>
      <w:r w:rsidR="004032F3">
        <w:rPr>
          <w:noProof/>
        </w:rPr>
        <w:t xml:space="preserve">od and </w:t>
      </w:r>
      <w:r>
        <w:rPr>
          <w:noProof/>
        </w:rPr>
        <w:t xml:space="preserve">assessed in terms of the established preconditions of welfare provision. </w:t>
      </w:r>
      <w:r w:rsidR="004032F3">
        <w:rPr>
          <w:noProof/>
        </w:rPr>
        <w:t xml:space="preserve">For example, a family-centred housing provision model not only leaves poor space for </w:t>
      </w:r>
      <w:r w:rsidR="00C64E94">
        <w:rPr>
          <w:noProof/>
        </w:rPr>
        <w:t xml:space="preserve">developing policy responces for asylum-seekers outside family relationships but also even fails to recognize them as a particular category with special needs. </w:t>
      </w:r>
      <w:r>
        <w:rPr>
          <w:noProof/>
        </w:rPr>
        <w:t>The policy question here is how to adapt with changing needs and priorities</w:t>
      </w:r>
      <w:r w:rsidR="00EF2E43">
        <w:rPr>
          <w:noProof/>
        </w:rPr>
        <w:t xml:space="preserve"> and how to broaden the scope of policy intervention.</w:t>
      </w:r>
    </w:p>
    <w:p w:rsidR="0012758F" w:rsidRDefault="0012758F" w:rsidP="00C82121">
      <w:pPr>
        <w:pStyle w:val="ListParagraph"/>
        <w:numPr>
          <w:ilvl w:val="0"/>
          <w:numId w:val="45"/>
        </w:numPr>
        <w:spacing w:line="276" w:lineRule="auto"/>
        <w:rPr>
          <w:noProof/>
        </w:rPr>
      </w:pPr>
      <w:r>
        <w:rPr>
          <w:noProof/>
        </w:rPr>
        <w:t>The congregation of vulnerable social groups is often understood as mereley</w:t>
      </w:r>
      <w:r w:rsidR="0095245B">
        <w:rPr>
          <w:noProof/>
        </w:rPr>
        <w:t xml:space="preserve"> the spatial exp</w:t>
      </w:r>
      <w:r>
        <w:rPr>
          <w:noProof/>
        </w:rPr>
        <w:t>ression of phenomena of poverty and social exclusion</w:t>
      </w:r>
      <w:r w:rsidR="000B26F4">
        <w:rPr>
          <w:noProof/>
        </w:rPr>
        <w:t>, i.e. as an indication of spatial exclusion</w:t>
      </w:r>
      <w:r>
        <w:rPr>
          <w:noProof/>
        </w:rPr>
        <w:t>. Our analysis reveals</w:t>
      </w:r>
      <w:r w:rsidR="000B26F4">
        <w:rPr>
          <w:noProof/>
        </w:rPr>
        <w:t>, on the contrary,</w:t>
      </w:r>
      <w:r>
        <w:rPr>
          <w:noProof/>
        </w:rPr>
        <w:t xml:space="preserve"> that poverty and social exclusion may be present in situ</w:t>
      </w:r>
      <w:r w:rsidR="00CB0F38">
        <w:rPr>
          <w:noProof/>
        </w:rPr>
        <w:t>at</w:t>
      </w:r>
      <w:r>
        <w:rPr>
          <w:noProof/>
        </w:rPr>
        <w:t>ion</w:t>
      </w:r>
      <w:r w:rsidR="00CB0F38">
        <w:rPr>
          <w:noProof/>
        </w:rPr>
        <w:t>s</w:t>
      </w:r>
      <w:r>
        <w:rPr>
          <w:noProof/>
        </w:rPr>
        <w:t xml:space="preserve"> of spatial dispersal and</w:t>
      </w:r>
      <w:r w:rsidR="00CB0F38">
        <w:rPr>
          <w:noProof/>
        </w:rPr>
        <w:t>,</w:t>
      </w:r>
      <w:r>
        <w:rPr>
          <w:noProof/>
        </w:rPr>
        <w:t xml:space="preserve"> on the other hand</w:t>
      </w:r>
      <w:r w:rsidR="00CB0F38">
        <w:rPr>
          <w:noProof/>
        </w:rPr>
        <w:t>,</w:t>
      </w:r>
      <w:r>
        <w:rPr>
          <w:noProof/>
        </w:rPr>
        <w:t xml:space="preserve"> t</w:t>
      </w:r>
      <w:r w:rsidR="000B26F4">
        <w:rPr>
          <w:noProof/>
        </w:rPr>
        <w:t>hat some level</w:t>
      </w:r>
      <w:r>
        <w:rPr>
          <w:noProof/>
        </w:rPr>
        <w:t xml:space="preserve"> of congregation </w:t>
      </w:r>
      <w:r w:rsidR="000B26F4">
        <w:rPr>
          <w:noProof/>
        </w:rPr>
        <w:t>is</w:t>
      </w:r>
      <w:r>
        <w:rPr>
          <w:noProof/>
        </w:rPr>
        <w:t xml:space="preserve"> </w:t>
      </w:r>
      <w:r w:rsidR="000B26F4">
        <w:rPr>
          <w:noProof/>
        </w:rPr>
        <w:t xml:space="preserve">a </w:t>
      </w:r>
      <w:r>
        <w:rPr>
          <w:noProof/>
        </w:rPr>
        <w:t xml:space="preserve">positive </w:t>
      </w:r>
      <w:r w:rsidR="000B26F4">
        <w:rPr>
          <w:noProof/>
        </w:rPr>
        <w:t>factor</w:t>
      </w:r>
      <w:r>
        <w:rPr>
          <w:noProof/>
        </w:rPr>
        <w:t xml:space="preserve"> for social integration. The </w:t>
      </w:r>
      <w:r w:rsidR="000B26F4">
        <w:rPr>
          <w:noProof/>
        </w:rPr>
        <w:t xml:space="preserve">policy </w:t>
      </w:r>
      <w:r>
        <w:rPr>
          <w:noProof/>
        </w:rPr>
        <w:t xml:space="preserve">question here is how to </w:t>
      </w:r>
      <w:r w:rsidR="00EE6F6D">
        <w:rPr>
          <w:noProof/>
        </w:rPr>
        <w:t xml:space="preserve">adopt </w:t>
      </w:r>
      <w:r w:rsidR="00EE6F6D" w:rsidRPr="00EE6F6D">
        <w:rPr>
          <w:noProof/>
        </w:rPr>
        <w:t>policy interventions, in order to fight the negative and promote the</w:t>
      </w:r>
      <w:r w:rsidR="00EE6F6D">
        <w:rPr>
          <w:noProof/>
        </w:rPr>
        <w:t xml:space="preserve"> positive aspects </w:t>
      </w:r>
      <w:r w:rsidR="00EE6F6D">
        <w:rPr>
          <w:noProof/>
        </w:rPr>
        <w:lastRenderedPageBreak/>
        <w:t>of</w:t>
      </w:r>
      <w:r w:rsidR="00EE6F6D" w:rsidRPr="00EE6F6D">
        <w:rPr>
          <w:noProof/>
        </w:rPr>
        <w:t xml:space="preserve"> congregation</w:t>
      </w:r>
      <w:r w:rsidR="00EE6F6D">
        <w:rPr>
          <w:noProof/>
        </w:rPr>
        <w:t>, often having to c</w:t>
      </w:r>
      <w:r w:rsidR="00CA6764">
        <w:rPr>
          <w:noProof/>
        </w:rPr>
        <w:t>o</w:t>
      </w:r>
      <w:r w:rsidR="00EE6F6D">
        <w:rPr>
          <w:noProof/>
        </w:rPr>
        <w:t>mbat with dominant repres</w:t>
      </w:r>
      <w:r w:rsidR="00147D37">
        <w:rPr>
          <w:noProof/>
        </w:rPr>
        <w:t>e</w:t>
      </w:r>
      <w:r w:rsidR="00EE6F6D">
        <w:rPr>
          <w:noProof/>
        </w:rPr>
        <w:t>ntations about ‘ghettoization’.</w:t>
      </w:r>
    </w:p>
    <w:p w:rsidR="0012758F" w:rsidRDefault="0012758F" w:rsidP="00C82121">
      <w:pPr>
        <w:pStyle w:val="ListParagraph"/>
        <w:numPr>
          <w:ilvl w:val="0"/>
          <w:numId w:val="45"/>
        </w:numPr>
        <w:spacing w:line="276" w:lineRule="auto"/>
        <w:rPr>
          <w:noProof/>
        </w:rPr>
      </w:pPr>
      <w:r>
        <w:rPr>
          <w:noProof/>
        </w:rPr>
        <w:t>The shadow presence of undocumented immigrants in the European societies</w:t>
      </w:r>
      <w:r w:rsidR="00EE6F6D">
        <w:rPr>
          <w:noProof/>
        </w:rPr>
        <w:t xml:space="preserve"> pro</w:t>
      </w:r>
      <w:r w:rsidR="00CA6764">
        <w:rPr>
          <w:noProof/>
        </w:rPr>
        <w:t>duces unacceptable conditions of</w:t>
      </w:r>
      <w:r w:rsidR="00EE6F6D">
        <w:rPr>
          <w:noProof/>
        </w:rPr>
        <w:t xml:space="preserve"> poverty and social exclusion</w:t>
      </w:r>
      <w:r>
        <w:rPr>
          <w:noProof/>
        </w:rPr>
        <w:t>.</w:t>
      </w:r>
      <w:r w:rsidR="00EE6F6D">
        <w:rPr>
          <w:noProof/>
        </w:rPr>
        <w:t xml:space="preserve"> </w:t>
      </w:r>
      <w:r w:rsidR="000B26F4">
        <w:rPr>
          <w:noProof/>
        </w:rPr>
        <w:t xml:space="preserve">By far the most extreme case of </w:t>
      </w:r>
      <w:r w:rsidR="009B650B">
        <w:rPr>
          <w:noProof/>
        </w:rPr>
        <w:t>concurrence of segregation, poverty and social exclusion is found in the institutiononalized space of the detention centres</w:t>
      </w:r>
      <w:r w:rsidR="003B1A57">
        <w:rPr>
          <w:noProof/>
        </w:rPr>
        <w:t xml:space="preserve"> where undocumented immigrants are imprisoned awaiting deportation</w:t>
      </w:r>
      <w:r w:rsidR="009B650B">
        <w:rPr>
          <w:noProof/>
        </w:rPr>
        <w:t xml:space="preserve">. </w:t>
      </w:r>
      <w:r w:rsidR="00EE6F6D">
        <w:rPr>
          <w:noProof/>
        </w:rPr>
        <w:t xml:space="preserve">The </w:t>
      </w:r>
      <w:r w:rsidR="000B26F4">
        <w:rPr>
          <w:noProof/>
        </w:rPr>
        <w:t xml:space="preserve">policy </w:t>
      </w:r>
      <w:r w:rsidR="00EE6F6D">
        <w:rPr>
          <w:noProof/>
        </w:rPr>
        <w:t>question here is not how to manage the migratory movements at the European borders but rather how to combat with immigrants’ marginalization caused by a restrictive European immigration policy.</w:t>
      </w:r>
    </w:p>
    <w:p w:rsidR="00EE6F6D" w:rsidRDefault="00EE6F6D" w:rsidP="00C82121">
      <w:pPr>
        <w:pStyle w:val="ListParagraph"/>
        <w:numPr>
          <w:ilvl w:val="0"/>
          <w:numId w:val="45"/>
        </w:numPr>
        <w:spacing w:line="276" w:lineRule="auto"/>
        <w:rPr>
          <w:noProof/>
        </w:rPr>
      </w:pPr>
      <w:r>
        <w:rPr>
          <w:noProof/>
        </w:rPr>
        <w:t xml:space="preserve">Access of vulnerable groups to adequate housing is a crucial element of social integration. </w:t>
      </w:r>
      <w:r w:rsidR="0011614C">
        <w:rPr>
          <w:noProof/>
        </w:rPr>
        <w:t xml:space="preserve">Adequate dwellings that correspond to residents’ needs are not only indispensable for everyday material well-being but also means for social acceptance and recognition by others. </w:t>
      </w:r>
      <w:r w:rsidR="00495420">
        <w:rPr>
          <w:noProof/>
        </w:rPr>
        <w:t>A</w:t>
      </w:r>
      <w:r>
        <w:rPr>
          <w:noProof/>
        </w:rPr>
        <w:t>ffordable houses may be provided through a variety of different methods</w:t>
      </w:r>
      <w:r w:rsidR="00495420">
        <w:rPr>
          <w:noProof/>
        </w:rPr>
        <w:t xml:space="preserve"> in which the central and local state, the third sector and private investors may be involved</w:t>
      </w:r>
      <w:r>
        <w:rPr>
          <w:noProof/>
        </w:rPr>
        <w:t xml:space="preserve">. The </w:t>
      </w:r>
      <w:r w:rsidR="000B26F4">
        <w:rPr>
          <w:noProof/>
        </w:rPr>
        <w:t xml:space="preserve">policy </w:t>
      </w:r>
      <w:r>
        <w:rPr>
          <w:noProof/>
        </w:rPr>
        <w:t xml:space="preserve">question here is how to find flexible solutions in an environment of restricted allocated resources and without </w:t>
      </w:r>
      <w:r w:rsidR="0011614C">
        <w:rPr>
          <w:noProof/>
        </w:rPr>
        <w:t xml:space="preserve">spatially </w:t>
      </w:r>
      <w:r>
        <w:rPr>
          <w:noProof/>
        </w:rPr>
        <w:t>segregating the affected groups.</w:t>
      </w:r>
    </w:p>
    <w:p w:rsidR="007B72AE" w:rsidRDefault="007B72AE" w:rsidP="00C82121">
      <w:pPr>
        <w:spacing w:line="276" w:lineRule="auto"/>
        <w:rPr>
          <w:noProof/>
        </w:rPr>
      </w:pPr>
      <w:r>
        <w:rPr>
          <w:noProof/>
        </w:rPr>
        <w:t xml:space="preserve">In a </w:t>
      </w:r>
      <w:r w:rsidR="008708BD">
        <w:rPr>
          <w:noProof/>
        </w:rPr>
        <w:t>more general</w:t>
      </w:r>
      <w:r>
        <w:rPr>
          <w:noProof/>
        </w:rPr>
        <w:t xml:space="preserve"> context, the study of Attica raise</w:t>
      </w:r>
      <w:r w:rsidR="008708BD">
        <w:rPr>
          <w:noProof/>
        </w:rPr>
        <w:t>s some broader questions about policies</w:t>
      </w:r>
      <w:r>
        <w:rPr>
          <w:noProof/>
        </w:rPr>
        <w:t xml:space="preserve"> and policy systems against povert</w:t>
      </w:r>
      <w:r w:rsidR="008708BD">
        <w:rPr>
          <w:noProof/>
        </w:rPr>
        <w:t>y</w:t>
      </w:r>
      <w:r>
        <w:rPr>
          <w:noProof/>
        </w:rPr>
        <w:t xml:space="preserve"> and social exclusion w</w:t>
      </w:r>
      <w:r w:rsidR="008708BD">
        <w:rPr>
          <w:noProof/>
        </w:rPr>
        <w:t>hich are summarized in the next</w:t>
      </w:r>
      <w:r>
        <w:rPr>
          <w:noProof/>
        </w:rPr>
        <w:t xml:space="preserve"> section.</w:t>
      </w:r>
    </w:p>
    <w:p w:rsidR="00F81AF2" w:rsidRDefault="00F81AF2" w:rsidP="00F81AF2">
      <w:pPr>
        <w:rPr>
          <w:noProof/>
        </w:rPr>
      </w:pPr>
    </w:p>
    <w:p w:rsidR="00F81AF2" w:rsidRDefault="00F81AF2" w:rsidP="00F81AF2">
      <w:pPr>
        <w:rPr>
          <w:noProof/>
        </w:rPr>
      </w:pPr>
    </w:p>
    <w:p w:rsidR="00F81AF2" w:rsidRDefault="00F81AF2" w:rsidP="00F81AF2">
      <w:pPr>
        <w:rPr>
          <w:noProof/>
        </w:rPr>
        <w:sectPr w:rsidR="00F81AF2" w:rsidSect="00AC2579">
          <w:pgSz w:w="11906" w:h="16838"/>
          <w:pgMar w:top="1440" w:right="1797" w:bottom="1440" w:left="1797" w:header="720" w:footer="720" w:gutter="0"/>
          <w:cols w:space="720"/>
          <w:docGrid w:linePitch="240"/>
        </w:sectPr>
      </w:pPr>
      <w:r>
        <w:rPr>
          <w:noProof/>
        </w:rPr>
        <w:t xml:space="preserve"> </w:t>
      </w:r>
    </w:p>
    <w:p w:rsidR="00007B80" w:rsidRPr="00D93644" w:rsidRDefault="00536563" w:rsidP="00F81AF2">
      <w:pPr>
        <w:pStyle w:val="Heading1"/>
        <w:rPr>
          <w:noProof/>
        </w:rPr>
      </w:pPr>
      <w:bookmarkStart w:id="65" w:name="_Toc386013205"/>
      <w:r w:rsidRPr="00D93644">
        <w:rPr>
          <w:noProof/>
        </w:rPr>
        <w:lastRenderedPageBreak/>
        <w:t>Con</w:t>
      </w:r>
      <w:r w:rsidR="003379DE">
        <w:rPr>
          <w:noProof/>
        </w:rPr>
        <w:t xml:space="preserve">clusions for </w:t>
      </w:r>
      <w:r w:rsidR="00C82121">
        <w:rPr>
          <w:noProof/>
        </w:rPr>
        <w:t>p</w:t>
      </w:r>
      <w:r w:rsidR="003379DE">
        <w:rPr>
          <w:noProof/>
        </w:rPr>
        <w:t xml:space="preserve">olicy </w:t>
      </w:r>
      <w:r w:rsidR="00C82121">
        <w:rPr>
          <w:noProof/>
        </w:rPr>
        <w:t>d</w:t>
      </w:r>
      <w:r w:rsidR="003379DE">
        <w:rPr>
          <w:noProof/>
        </w:rPr>
        <w:t xml:space="preserve">evelopment </w:t>
      </w:r>
      <w:r w:rsidRPr="00D93644">
        <w:rPr>
          <w:noProof/>
        </w:rPr>
        <w:t xml:space="preserve">and </w:t>
      </w:r>
      <w:r w:rsidR="00C82121">
        <w:rPr>
          <w:noProof/>
        </w:rPr>
        <w:t>m</w:t>
      </w:r>
      <w:r w:rsidRPr="00D93644">
        <w:rPr>
          <w:noProof/>
        </w:rPr>
        <w:t>onitoring</w:t>
      </w:r>
      <w:bookmarkEnd w:id="65"/>
    </w:p>
    <w:p w:rsidR="00536563" w:rsidRPr="00D93644" w:rsidRDefault="00536563" w:rsidP="0002608A">
      <w:pPr>
        <w:rPr>
          <w:rFonts w:cs="Arial"/>
          <w:noProof/>
        </w:rPr>
      </w:pPr>
    </w:p>
    <w:p w:rsidR="00CB0F38" w:rsidRDefault="00B6172C" w:rsidP="00C82121">
      <w:pPr>
        <w:spacing w:line="276" w:lineRule="auto"/>
        <w:rPr>
          <w:noProof/>
        </w:rPr>
      </w:pPr>
      <w:r>
        <w:rPr>
          <w:noProof/>
        </w:rPr>
        <w:t xml:space="preserve">Issues </w:t>
      </w:r>
      <w:r w:rsidR="00CB0F38">
        <w:rPr>
          <w:noProof/>
        </w:rPr>
        <w:t xml:space="preserve">of residential segregation and especially its connections with poverty and social exclusion have </w:t>
      </w:r>
      <w:r>
        <w:rPr>
          <w:noProof/>
        </w:rPr>
        <w:t xml:space="preserve">often been neglected by policies at the urban and the petropolitan scale in MRA. </w:t>
      </w:r>
      <w:r w:rsidR="009E13A0">
        <w:rPr>
          <w:noProof/>
        </w:rPr>
        <w:t>This is</w:t>
      </w:r>
      <w:r w:rsidR="0064435D">
        <w:rPr>
          <w:noProof/>
        </w:rPr>
        <w:t xml:space="preserve"> by and large</w:t>
      </w:r>
      <w:r w:rsidR="009E13A0">
        <w:rPr>
          <w:noProof/>
        </w:rPr>
        <w:t xml:space="preserve"> a consequence of a family-centred welfare model and its </w:t>
      </w:r>
      <w:r w:rsidR="0064435D">
        <w:rPr>
          <w:noProof/>
        </w:rPr>
        <w:t xml:space="preserve">context-dependent </w:t>
      </w:r>
      <w:r w:rsidR="009E13A0">
        <w:rPr>
          <w:noProof/>
        </w:rPr>
        <w:t xml:space="preserve">spatial expressions: </w:t>
      </w:r>
      <w:r w:rsidR="0064435D">
        <w:rPr>
          <w:noProof/>
        </w:rPr>
        <w:t xml:space="preserve">the protected small land-ownership, socially dispersed home-ownership, low participation of public housing in the total housing stock, irregular construction, poor spatial planning, low levels of residential segregation. Most policies to combat with segregated and impoverished areas did not go beyond </w:t>
      </w:r>
      <w:r w:rsidR="000165D5">
        <w:rPr>
          <w:noProof/>
        </w:rPr>
        <w:t xml:space="preserve">fragmented ex-post </w:t>
      </w:r>
      <w:r w:rsidR="0064435D">
        <w:rPr>
          <w:noProof/>
        </w:rPr>
        <w:t>regeneration projects focusing on physical planning. Even the massive arival of transnational immigrants since the early 1990s, did not alter the dominant perceptions about how urban development occurs and how it is to be mana</w:t>
      </w:r>
      <w:r w:rsidR="00C8728E">
        <w:rPr>
          <w:noProof/>
        </w:rPr>
        <w:t>ged as  the private rented housing stock proved enough to prevent a housing crisis.</w:t>
      </w:r>
      <w:r w:rsidR="000165D5">
        <w:rPr>
          <w:noProof/>
        </w:rPr>
        <w:t xml:space="preserve"> </w:t>
      </w:r>
    </w:p>
    <w:p w:rsidR="008C5439" w:rsidRDefault="00971106" w:rsidP="00C82121">
      <w:pPr>
        <w:spacing w:line="276" w:lineRule="auto"/>
        <w:rPr>
          <w:rFonts w:cs="Arial"/>
        </w:rPr>
      </w:pPr>
      <w:r>
        <w:rPr>
          <w:noProof/>
        </w:rPr>
        <w:t xml:space="preserve">Both socioeconomic and ethnic segrgagation remain comparatively low after more than two decades of immigration and unequal social strata continue to live close to each other, even in the same urban neighborhoods or in the same block of flats. </w:t>
      </w:r>
      <w:r w:rsidR="00B3181C">
        <w:rPr>
          <w:noProof/>
        </w:rPr>
        <w:t>However, important inequalities</w:t>
      </w:r>
      <w:r w:rsidR="003D05F6">
        <w:rPr>
          <w:noProof/>
        </w:rPr>
        <w:t xml:space="preserve"> are recorded</w:t>
      </w:r>
      <w:r w:rsidR="00B3181C">
        <w:rPr>
          <w:noProof/>
        </w:rPr>
        <w:t xml:space="preserve"> between the native and the immigrant population. At the same time, e</w:t>
      </w:r>
      <w:r w:rsidR="008C5439" w:rsidRPr="00D93644">
        <w:rPr>
          <w:rFonts w:cs="Arial"/>
        </w:rPr>
        <w:t>thnic groups exhibit important variations regarding several demograph</w:t>
      </w:r>
      <w:r w:rsidR="008C5439">
        <w:rPr>
          <w:rFonts w:cs="Arial"/>
        </w:rPr>
        <w:t xml:space="preserve">ic and social features that </w:t>
      </w:r>
      <w:r w:rsidR="008C5439" w:rsidRPr="00D93644">
        <w:rPr>
          <w:rFonts w:cs="Arial"/>
        </w:rPr>
        <w:t>indicate different levels of exposure to poverty and/or social exclusion</w:t>
      </w:r>
      <w:r w:rsidR="008C5439">
        <w:rPr>
          <w:rFonts w:cs="Arial"/>
        </w:rPr>
        <w:t>.</w:t>
      </w:r>
      <w:r w:rsidR="003D05F6">
        <w:rPr>
          <w:rFonts w:cs="Arial"/>
        </w:rPr>
        <w:t xml:space="preserve"> In a period of rapid income redistribution</w:t>
      </w:r>
      <w:r w:rsidR="00D4764F">
        <w:rPr>
          <w:rFonts w:cs="Arial"/>
        </w:rPr>
        <w:t xml:space="preserve"> (as imposed by austerity measures)</w:t>
      </w:r>
      <w:r w:rsidR="003D05F6">
        <w:rPr>
          <w:rFonts w:cs="Arial"/>
        </w:rPr>
        <w:t xml:space="preserve"> not in favour of the less privileged social groups, those already exposed find themselves in greater danger.</w:t>
      </w:r>
    </w:p>
    <w:p w:rsidR="00B3181C" w:rsidRDefault="00B3181C" w:rsidP="00C82121">
      <w:pPr>
        <w:spacing w:line="276" w:lineRule="auto"/>
      </w:pPr>
      <w:r>
        <w:t>T</w:t>
      </w:r>
      <w:r w:rsidRPr="00704AC7">
        <w:t xml:space="preserve">he </w:t>
      </w:r>
      <w:r>
        <w:t xml:space="preserve">Greek </w:t>
      </w:r>
      <w:r w:rsidRPr="00704AC7">
        <w:t xml:space="preserve">immigration policy focuses on </w:t>
      </w:r>
      <w:r>
        <w:t>immigration control and</w:t>
      </w:r>
      <w:r w:rsidR="003D05F6">
        <w:t xml:space="preserve"> on</w:t>
      </w:r>
      <w:r>
        <w:t xml:space="preserve"> </w:t>
      </w:r>
      <w:r w:rsidRPr="00704AC7">
        <w:t xml:space="preserve">the </w:t>
      </w:r>
      <w:r>
        <w:t>regularization of access to legal documents (permanently leaving behin</w:t>
      </w:r>
      <w:r w:rsidR="00D4764F">
        <w:t>d a shadow population) and failed so far</w:t>
      </w:r>
      <w:r w:rsidRPr="00704AC7">
        <w:t xml:space="preserve"> </w:t>
      </w:r>
      <w:r>
        <w:t xml:space="preserve">to elaborate a </w:t>
      </w:r>
      <w:r w:rsidRPr="00704AC7">
        <w:t xml:space="preserve">more integrated strategy </w:t>
      </w:r>
      <w:r>
        <w:t>for combating against immigrant</w:t>
      </w:r>
      <w:r w:rsidRPr="00704AC7">
        <w:t>s</w:t>
      </w:r>
      <w:r>
        <w:t>’</w:t>
      </w:r>
      <w:r w:rsidRPr="00704AC7">
        <w:t xml:space="preserve"> poverty and social exclusion</w:t>
      </w:r>
      <w:r>
        <w:t>.</w:t>
      </w:r>
      <w:r w:rsidR="003D05F6">
        <w:t xml:space="preserve"> </w:t>
      </w:r>
      <w:r w:rsidR="00D4764F">
        <w:t>A more comprehensive</w:t>
      </w:r>
      <w:r w:rsidR="00323B63">
        <w:t xml:space="preserve"> evidence-based</w:t>
      </w:r>
      <w:r w:rsidR="00D4764F">
        <w:t xml:space="preserve"> immigration policy is needed, both in order to increase the level of recognition of immigrants’ rights and their position in the Greek society and in order to combat against several forms of deprivation.</w:t>
      </w:r>
    </w:p>
    <w:p w:rsidR="00D4764F" w:rsidRDefault="00D4764F" w:rsidP="00C82121">
      <w:pPr>
        <w:spacing w:line="276" w:lineRule="auto"/>
      </w:pPr>
      <w:r>
        <w:t xml:space="preserve">One aspect of this immigration policy should concern problems and opportunities that derive from the spatiality of immigrants’ settlement in MRA. The five </w:t>
      </w:r>
      <w:r w:rsidR="00323B63">
        <w:t xml:space="preserve">types of spatialized </w:t>
      </w:r>
      <w:r w:rsidR="0027081D">
        <w:t xml:space="preserve">deprived </w:t>
      </w:r>
      <w:r w:rsidR="00323B63">
        <w:t xml:space="preserve">socio-ethnic groups identified in </w:t>
      </w:r>
      <w:r w:rsidR="00CE3B2B">
        <w:t xml:space="preserve">the typology of </w:t>
      </w:r>
      <w:r w:rsidR="00323B63">
        <w:t xml:space="preserve">Chapter 2 need differential areal policy responses. Some innovative methods to provide </w:t>
      </w:r>
      <w:r w:rsidR="00CE3B2B">
        <w:t xml:space="preserve">affordable housing, as for example by repairing and reusing unoccupied buildings, would make some difference in </w:t>
      </w:r>
      <w:r w:rsidR="0027081D">
        <w:t>category</w:t>
      </w:r>
      <w:r w:rsidR="00CE3B2B">
        <w:t xml:space="preserve"> i. The organized immigrants’ communities can be involved in regeneration projects both there and</w:t>
      </w:r>
      <w:r w:rsidR="00CE7570">
        <w:t xml:space="preserve"> in </w:t>
      </w:r>
      <w:r w:rsidR="0027081D">
        <w:t>category</w:t>
      </w:r>
      <w:r w:rsidR="00CE7570">
        <w:t xml:space="preserve"> iv</w:t>
      </w:r>
      <w:r w:rsidR="0027081D">
        <w:t>,</w:t>
      </w:r>
      <w:r w:rsidR="00CE3B2B">
        <w:t xml:space="preserve"> </w:t>
      </w:r>
      <w:r w:rsidR="00CC3514">
        <w:t xml:space="preserve">where </w:t>
      </w:r>
      <w:r w:rsidR="00CE7570">
        <w:t>they could</w:t>
      </w:r>
      <w:r w:rsidR="00CC3514">
        <w:t xml:space="preserve"> additionally undertake the a</w:t>
      </w:r>
      <w:r w:rsidR="00CE7570">
        <w:t xml:space="preserve">llocation of the apartments to their members. </w:t>
      </w:r>
      <w:r w:rsidR="0027081D">
        <w:t>All categories</w:t>
      </w:r>
      <w:r w:rsidR="00CE7570">
        <w:t xml:space="preserve"> call for measures to improve immigrants’ access to </w:t>
      </w:r>
      <w:r w:rsidR="0027081D">
        <w:t xml:space="preserve">social services, but this is especially challenging in conditions of relative spatial isolation in categories iii and v. Enhancing the ability of the communities to communicate with their members is a special task in categories ii, iii and v. Finding ways to fight local expressions of racism is crucial in any case but especially in category i, where the polarization of the </w:t>
      </w:r>
      <w:r w:rsidR="0027081D">
        <w:lastRenderedPageBreak/>
        <w:t xml:space="preserve">social structure seems to increase xenophobia. </w:t>
      </w:r>
      <w:r w:rsidR="00C51388">
        <w:t>Immigrants’ entrepreneurship in the areas of the same category can be used as a positive example of enrichment of the local social and economic  life and the same holds true for areas of category iv.</w:t>
      </w:r>
    </w:p>
    <w:p w:rsidR="004525D5" w:rsidRDefault="00256F67" w:rsidP="00C82121">
      <w:pPr>
        <w:spacing w:line="276" w:lineRule="auto"/>
        <w:rPr>
          <w:noProof/>
        </w:rPr>
      </w:pPr>
      <w:r>
        <w:rPr>
          <w:noProof/>
        </w:rPr>
        <w:t>Despite local differences, there are some common challenges and preconditions</w:t>
      </w:r>
      <w:r w:rsidR="003379DE">
        <w:rPr>
          <w:noProof/>
        </w:rPr>
        <w:t>,</w:t>
      </w:r>
      <w:r>
        <w:rPr>
          <w:noProof/>
        </w:rPr>
        <w:t xml:space="preserve"> if it is to deal with variations of segregation and poverty/social exclusion. </w:t>
      </w:r>
      <w:r w:rsidR="00D81F67">
        <w:rPr>
          <w:noProof/>
        </w:rPr>
        <w:t>The ability of the central and local state to apply social policies together with physical planning should be enhanced through the increase of both financial and human resources</w:t>
      </w:r>
      <w:r>
        <w:rPr>
          <w:noProof/>
        </w:rPr>
        <w:t>. The welfare provision system is being decentralized, as more responsibilities are given to the local states and third sector or private actors are getting involved. While this has a positive aspect, especially if one takes into consideration th</w:t>
      </w:r>
      <w:r w:rsidR="003379DE">
        <w:rPr>
          <w:noProof/>
        </w:rPr>
        <w:t>e inneficiencies of the central</w:t>
      </w:r>
      <w:r>
        <w:rPr>
          <w:noProof/>
        </w:rPr>
        <w:t>ized welfare system, decentralization has to be followed by measures to keep the entire system coordinat</w:t>
      </w:r>
      <w:r w:rsidR="006804BD">
        <w:rPr>
          <w:noProof/>
        </w:rPr>
        <w:t>e</w:t>
      </w:r>
      <w:r>
        <w:rPr>
          <w:noProof/>
        </w:rPr>
        <w:t>d and effective.</w:t>
      </w:r>
      <w:r w:rsidR="00A17970">
        <w:rPr>
          <w:noProof/>
        </w:rPr>
        <w:t xml:space="preserve"> </w:t>
      </w:r>
      <w:r w:rsidR="003379DE">
        <w:rPr>
          <w:noProof/>
        </w:rPr>
        <w:t>Initiatives from below at the local level and networking at higher levels have to be supported and promoted by the organized institutions of the civil society, public bodies and the authorities.</w:t>
      </w:r>
    </w:p>
    <w:p w:rsidR="00A17970" w:rsidRDefault="00A17970" w:rsidP="00C82121">
      <w:pPr>
        <w:spacing w:line="276" w:lineRule="auto"/>
        <w:rPr>
          <w:noProof/>
        </w:rPr>
      </w:pPr>
      <w:r>
        <w:rPr>
          <w:noProof/>
        </w:rPr>
        <w:t>Above al</w:t>
      </w:r>
      <w:r w:rsidR="004178B0">
        <w:rPr>
          <w:noProof/>
        </w:rPr>
        <w:t>l, immigration policy should go far beyond control</w:t>
      </w:r>
      <w:r w:rsidR="003E0D67">
        <w:rPr>
          <w:noProof/>
        </w:rPr>
        <w:t>, policing</w:t>
      </w:r>
      <w:r w:rsidR="004178B0">
        <w:rPr>
          <w:noProof/>
        </w:rPr>
        <w:t xml:space="preserve"> and restriction measures. </w:t>
      </w:r>
      <w:r w:rsidR="003E0D67">
        <w:rPr>
          <w:noProof/>
        </w:rPr>
        <w:t>Understanding</w:t>
      </w:r>
      <w:r w:rsidR="004178B0">
        <w:rPr>
          <w:noProof/>
        </w:rPr>
        <w:t xml:space="preserve"> that i</w:t>
      </w:r>
      <w:r w:rsidR="003E0D67">
        <w:rPr>
          <w:noProof/>
        </w:rPr>
        <w:t>mmigration is an ongoing social reality</w:t>
      </w:r>
      <w:r w:rsidR="004178B0">
        <w:rPr>
          <w:noProof/>
        </w:rPr>
        <w:t xml:space="preserve">, the Greek immigration policy must deal with </w:t>
      </w:r>
      <w:r w:rsidR="003E0D67">
        <w:rPr>
          <w:noProof/>
        </w:rPr>
        <w:t xml:space="preserve">the multifaceted task of social integration which crucially comprises </w:t>
      </w:r>
      <w:r w:rsidR="004525D5">
        <w:rPr>
          <w:noProof/>
        </w:rPr>
        <w:t xml:space="preserve">the positive recognition of immigrants’ presence and redistribution measures against deprivation. What the current period of economic crisis </w:t>
      </w:r>
      <w:r w:rsidR="00A45D9F">
        <w:rPr>
          <w:noProof/>
        </w:rPr>
        <w:t>reveals</w:t>
      </w:r>
      <w:r w:rsidR="00500FC2">
        <w:rPr>
          <w:noProof/>
        </w:rPr>
        <w:t xml:space="preserve"> is that </w:t>
      </w:r>
      <w:r w:rsidR="002F5615">
        <w:rPr>
          <w:noProof/>
        </w:rPr>
        <w:t xml:space="preserve">fighting </w:t>
      </w:r>
      <w:r w:rsidR="00A45D9F">
        <w:rPr>
          <w:noProof/>
        </w:rPr>
        <w:t xml:space="preserve">poverty </w:t>
      </w:r>
      <w:r w:rsidR="002F5615">
        <w:rPr>
          <w:noProof/>
        </w:rPr>
        <w:t>and social exclusion of immigrants requires recognition together with redistribution, despite that austerity policy severely reduces the prospects for both.</w:t>
      </w:r>
      <w:r w:rsidR="00434FBC">
        <w:rPr>
          <w:noProof/>
        </w:rPr>
        <w:t xml:space="preserve"> </w:t>
      </w:r>
    </w:p>
    <w:p w:rsidR="00437141" w:rsidRDefault="00437141" w:rsidP="00142DEA">
      <w:pPr>
        <w:pStyle w:val="Heading1"/>
        <w:numPr>
          <w:ilvl w:val="0"/>
          <w:numId w:val="0"/>
        </w:numPr>
        <w:jc w:val="center"/>
        <w:rPr>
          <w:b w:val="0"/>
          <w:noProof/>
          <w:szCs w:val="28"/>
        </w:rPr>
      </w:pPr>
    </w:p>
    <w:p w:rsidR="00C82121" w:rsidRDefault="00C82121" w:rsidP="00437141">
      <w:pPr>
        <w:rPr>
          <w:b/>
          <w:noProof/>
        </w:rPr>
        <w:sectPr w:rsidR="00C82121" w:rsidSect="00AC2579">
          <w:pgSz w:w="11906" w:h="16838"/>
          <w:pgMar w:top="1440" w:right="1797" w:bottom="1440" w:left="1797" w:header="720" w:footer="720" w:gutter="0"/>
          <w:cols w:space="720"/>
          <w:docGrid w:linePitch="240"/>
        </w:sectPr>
      </w:pPr>
    </w:p>
    <w:p w:rsidR="00437141" w:rsidRDefault="00C82121" w:rsidP="00C82121">
      <w:pPr>
        <w:pStyle w:val="Heading1"/>
        <w:rPr>
          <w:noProof/>
        </w:rPr>
      </w:pPr>
      <w:bookmarkStart w:id="66" w:name="_Toc386013206"/>
      <w:r>
        <w:rPr>
          <w:noProof/>
        </w:rPr>
        <w:lastRenderedPageBreak/>
        <w:t>Literature</w:t>
      </w:r>
      <w:bookmarkEnd w:id="66"/>
      <w:r>
        <w:rPr>
          <w:noProof/>
        </w:rPr>
        <w:t xml:space="preserve"> </w:t>
      </w:r>
    </w:p>
    <w:p w:rsidR="00ED0F60" w:rsidRPr="00ED0F60" w:rsidRDefault="00ED0F60" w:rsidP="00ED0F60"/>
    <w:p w:rsidR="00CF7C86" w:rsidRPr="00CF7C86" w:rsidRDefault="00CF7C86" w:rsidP="00C82121">
      <w:pPr>
        <w:spacing w:line="240" w:lineRule="auto"/>
        <w:rPr>
          <w:noProof/>
        </w:rPr>
      </w:pPr>
      <w:r w:rsidRPr="00CF7C86">
        <w:rPr>
          <w:noProof/>
        </w:rPr>
        <w:t xml:space="preserve">Allen, J., Barlow, J., Leal, J., Maloutas, T. &amp; Padovani L. (2004) </w:t>
      </w:r>
      <w:r w:rsidRPr="00C82121">
        <w:rPr>
          <w:i/>
          <w:noProof/>
        </w:rPr>
        <w:t>Housing and welfare in Southern Europe</w:t>
      </w:r>
      <w:r w:rsidR="00A32643">
        <w:rPr>
          <w:noProof/>
        </w:rPr>
        <w:t>.</w:t>
      </w:r>
      <w:r w:rsidRPr="00CF7C86">
        <w:rPr>
          <w:noProof/>
        </w:rPr>
        <w:t xml:space="preserve"> Blackwell</w:t>
      </w:r>
      <w:r w:rsidR="00ED0F60">
        <w:rPr>
          <w:noProof/>
        </w:rPr>
        <w:t>, Oxford</w:t>
      </w:r>
      <w:r w:rsidRPr="00CF7C86">
        <w:rPr>
          <w:noProof/>
        </w:rPr>
        <w:t>.</w:t>
      </w:r>
    </w:p>
    <w:p w:rsidR="00CF7C86" w:rsidRPr="00CF7C86" w:rsidRDefault="00CF7C86" w:rsidP="00C82121">
      <w:pPr>
        <w:spacing w:line="240" w:lineRule="auto"/>
        <w:rPr>
          <w:noProof/>
        </w:rPr>
      </w:pPr>
      <w:r w:rsidRPr="00CF7C86">
        <w:rPr>
          <w:noProof/>
        </w:rPr>
        <w:t>Arapo</w:t>
      </w:r>
      <w:r w:rsidR="00C82121">
        <w:rPr>
          <w:noProof/>
        </w:rPr>
        <w:t xml:space="preserve">glou, V. &amp; Maloutas, T. (2011) </w:t>
      </w:r>
      <w:r w:rsidRPr="00CF7C86">
        <w:rPr>
          <w:noProof/>
        </w:rPr>
        <w:t>Segregation, inequality and marginality</w:t>
      </w:r>
      <w:r w:rsidR="00C82121">
        <w:rPr>
          <w:noProof/>
        </w:rPr>
        <w:t xml:space="preserve"> in context: The case of Athens</w:t>
      </w:r>
      <w:r w:rsidRPr="00CF7C86">
        <w:rPr>
          <w:noProof/>
        </w:rPr>
        <w:t xml:space="preserve">, </w:t>
      </w:r>
      <w:r w:rsidRPr="00C82121">
        <w:rPr>
          <w:i/>
          <w:noProof/>
        </w:rPr>
        <w:t>The Greek Review of Social Research</w:t>
      </w:r>
      <w:r w:rsidR="00C82121">
        <w:rPr>
          <w:noProof/>
        </w:rPr>
        <w:t>, 136 C´: 135-1</w:t>
      </w:r>
      <w:r w:rsidRPr="00CF7C86">
        <w:rPr>
          <w:noProof/>
        </w:rPr>
        <w:t>55.</w:t>
      </w:r>
    </w:p>
    <w:p w:rsidR="00CF7C86" w:rsidRPr="00CF7C86" w:rsidRDefault="00C82121" w:rsidP="00C82121">
      <w:pPr>
        <w:spacing w:line="240" w:lineRule="auto"/>
        <w:rPr>
          <w:noProof/>
        </w:rPr>
      </w:pPr>
      <w:r>
        <w:rPr>
          <w:noProof/>
        </w:rPr>
        <w:t xml:space="preserve">Arapoglou, V.P. (2006) </w:t>
      </w:r>
      <w:r w:rsidR="00CF7C86" w:rsidRPr="00CF7C86">
        <w:rPr>
          <w:noProof/>
        </w:rPr>
        <w:t>Immigration, Segregation and Urban Development in Athens: The Relevance of the LA Debate for</w:t>
      </w:r>
      <w:r>
        <w:rPr>
          <w:noProof/>
        </w:rPr>
        <w:t xml:space="preserve"> Southern European Metropolises</w:t>
      </w:r>
      <w:r w:rsidR="00CF7C86" w:rsidRPr="00CF7C86">
        <w:rPr>
          <w:noProof/>
        </w:rPr>
        <w:t xml:space="preserve">, </w:t>
      </w:r>
      <w:r w:rsidR="00CF7C86" w:rsidRPr="00C82121">
        <w:rPr>
          <w:i/>
          <w:noProof/>
        </w:rPr>
        <w:t>The Greek Review of Social Research</w:t>
      </w:r>
      <w:r>
        <w:rPr>
          <w:noProof/>
        </w:rPr>
        <w:t xml:space="preserve">, 121(C): </w:t>
      </w:r>
      <w:r w:rsidR="00CF7C86" w:rsidRPr="00CF7C86">
        <w:rPr>
          <w:noProof/>
        </w:rPr>
        <w:t>11-38.</w:t>
      </w:r>
    </w:p>
    <w:p w:rsidR="00CF7C86" w:rsidRPr="00CF7C86" w:rsidRDefault="00C82121" w:rsidP="00C82121">
      <w:pPr>
        <w:spacing w:line="240" w:lineRule="auto"/>
        <w:rPr>
          <w:noProof/>
        </w:rPr>
      </w:pPr>
      <w:r>
        <w:rPr>
          <w:noProof/>
        </w:rPr>
        <w:t xml:space="preserve">Economou D. (1997) </w:t>
      </w:r>
      <w:r w:rsidR="00CF7C86" w:rsidRPr="00CF7C86">
        <w:rPr>
          <w:noProof/>
        </w:rPr>
        <w:t>The planning system and rural land use control in</w:t>
      </w:r>
      <w:r>
        <w:rPr>
          <w:noProof/>
        </w:rPr>
        <w:t xml:space="preserve"> Greece: A European perspective</w:t>
      </w:r>
      <w:r w:rsidR="00CF7C86" w:rsidRPr="00CF7C86">
        <w:rPr>
          <w:noProof/>
        </w:rPr>
        <w:t xml:space="preserve">, </w:t>
      </w:r>
      <w:r w:rsidR="00CF7C86" w:rsidRPr="00C82121">
        <w:rPr>
          <w:i/>
          <w:noProof/>
        </w:rPr>
        <w:t>European Planning Studies</w:t>
      </w:r>
      <w:r>
        <w:rPr>
          <w:noProof/>
        </w:rPr>
        <w:t xml:space="preserve">, 5 (4): </w:t>
      </w:r>
      <w:r w:rsidR="00CF7C86" w:rsidRPr="00CF7C86">
        <w:rPr>
          <w:noProof/>
        </w:rPr>
        <w:t>461-476.</w:t>
      </w:r>
    </w:p>
    <w:p w:rsidR="00CF7C86" w:rsidRPr="00CF7C86" w:rsidRDefault="00C82121" w:rsidP="00C82121">
      <w:pPr>
        <w:spacing w:line="240" w:lineRule="auto"/>
        <w:rPr>
          <w:noProof/>
        </w:rPr>
      </w:pPr>
      <w:r>
        <w:rPr>
          <w:noProof/>
          <w:lang w:val="es-ES_tradnl"/>
        </w:rPr>
        <w:t xml:space="preserve">EKKE-ESYE (2005) </w:t>
      </w:r>
      <w:r w:rsidR="00CF7C86" w:rsidRPr="00C82121">
        <w:rPr>
          <w:i/>
          <w:noProof/>
          <w:lang w:val="es-ES_tradnl"/>
        </w:rPr>
        <w:t xml:space="preserve">Census data Panorama, 1991–2001. </w:t>
      </w:r>
      <w:r w:rsidR="00CF7C86" w:rsidRPr="00C82121">
        <w:rPr>
          <w:i/>
          <w:noProof/>
        </w:rPr>
        <w:t>Data base and mapping application in the Institute of Urban and Rural Sociology</w:t>
      </w:r>
      <w:r w:rsidR="00A32643">
        <w:rPr>
          <w:noProof/>
        </w:rPr>
        <w:t>.</w:t>
      </w:r>
      <w:r w:rsidR="00CF7C86" w:rsidRPr="00CF7C86">
        <w:rPr>
          <w:noProof/>
        </w:rPr>
        <w:t xml:space="preserve"> National Centre for Social Research, Athens.</w:t>
      </w:r>
    </w:p>
    <w:p w:rsidR="00CF7C86" w:rsidRPr="00CF7C86" w:rsidRDefault="00C82121" w:rsidP="00C82121">
      <w:pPr>
        <w:spacing w:line="240" w:lineRule="auto"/>
        <w:rPr>
          <w:noProof/>
        </w:rPr>
      </w:pPr>
      <w:r>
        <w:rPr>
          <w:noProof/>
        </w:rPr>
        <w:t xml:space="preserve">Emmanuel, D. (2004) </w:t>
      </w:r>
      <w:r w:rsidR="00CF7C86" w:rsidRPr="00CF7C86">
        <w:rPr>
          <w:noProof/>
        </w:rPr>
        <w:t>Socio-economic Inequalities and Housing in Athens: Impacts of the Mo</w:t>
      </w:r>
      <w:r>
        <w:rPr>
          <w:noProof/>
        </w:rPr>
        <w:t>netary  Revolution of the 1990s</w:t>
      </w:r>
      <w:r w:rsidR="00CF7C86" w:rsidRPr="00CF7C86">
        <w:rPr>
          <w:noProof/>
        </w:rPr>
        <w:t xml:space="preserve">, </w:t>
      </w:r>
      <w:r w:rsidR="00CF7C86" w:rsidRPr="00C82121">
        <w:rPr>
          <w:i/>
          <w:noProof/>
        </w:rPr>
        <w:t>The Greek Review of Social Research</w:t>
      </w:r>
      <w:r>
        <w:rPr>
          <w:noProof/>
        </w:rPr>
        <w:t>, 113A:</w:t>
      </w:r>
      <w:r w:rsidR="00CF7C86" w:rsidRPr="00CF7C86">
        <w:rPr>
          <w:noProof/>
        </w:rPr>
        <w:t xml:space="preserve"> 121-144.</w:t>
      </w:r>
    </w:p>
    <w:p w:rsidR="00CF7C86" w:rsidRPr="00CF7C86" w:rsidRDefault="00CF7C86" w:rsidP="00C82121">
      <w:pPr>
        <w:spacing w:line="240" w:lineRule="auto"/>
        <w:rPr>
          <w:noProof/>
        </w:rPr>
      </w:pPr>
      <w:r w:rsidRPr="00CF7C86">
        <w:rPr>
          <w:noProof/>
        </w:rPr>
        <w:t>Friedrichs, J. &amp; Vranken, J.</w:t>
      </w:r>
      <w:r w:rsidR="0001509E">
        <w:rPr>
          <w:noProof/>
        </w:rPr>
        <w:t xml:space="preserve"> (2001) </w:t>
      </w:r>
      <w:r w:rsidRPr="00CF7C86">
        <w:rPr>
          <w:noProof/>
        </w:rPr>
        <w:t>European urban gov</w:t>
      </w:r>
      <w:r w:rsidR="0001509E">
        <w:rPr>
          <w:noProof/>
        </w:rPr>
        <w:t>ernance in fragmented societies</w:t>
      </w:r>
      <w:r w:rsidRPr="00CF7C86">
        <w:rPr>
          <w:noProof/>
        </w:rPr>
        <w:t>. In</w:t>
      </w:r>
      <w:r w:rsidR="0001509E">
        <w:rPr>
          <w:noProof/>
        </w:rPr>
        <w:t>:</w:t>
      </w:r>
      <w:r w:rsidRPr="00CF7C86">
        <w:rPr>
          <w:noProof/>
        </w:rPr>
        <w:t xml:space="preserve"> A</w:t>
      </w:r>
      <w:r w:rsidR="00A32643">
        <w:rPr>
          <w:noProof/>
        </w:rPr>
        <w:t>ndersen, H.T. &amp; van Kempen, R., ed</w:t>
      </w:r>
      <w:r w:rsidR="00BB3C21">
        <w:rPr>
          <w:noProof/>
        </w:rPr>
        <w:t>s</w:t>
      </w:r>
      <w:r w:rsidR="00A32643">
        <w:rPr>
          <w:noProof/>
        </w:rPr>
        <w:t>.</w:t>
      </w:r>
      <w:r w:rsidRPr="00CF7C86">
        <w:rPr>
          <w:noProof/>
        </w:rPr>
        <w:t xml:space="preserve"> </w:t>
      </w:r>
      <w:r w:rsidRPr="0001509E">
        <w:rPr>
          <w:i/>
          <w:noProof/>
        </w:rPr>
        <w:t>Governing European Cities: Social Fragmentation, Social Exclusion and Urban Governance</w:t>
      </w:r>
      <w:r w:rsidR="00A32643">
        <w:rPr>
          <w:noProof/>
        </w:rPr>
        <w:t xml:space="preserve">. </w:t>
      </w:r>
      <w:r w:rsidRPr="00CF7C86">
        <w:rPr>
          <w:noProof/>
        </w:rPr>
        <w:t>Aldershot</w:t>
      </w:r>
      <w:r w:rsidR="00A32643">
        <w:rPr>
          <w:noProof/>
        </w:rPr>
        <w:t>: Ashgate</w:t>
      </w:r>
      <w:r w:rsidRPr="00CF7C86">
        <w:rPr>
          <w:noProof/>
        </w:rPr>
        <w:t>,</w:t>
      </w:r>
      <w:r w:rsidR="0001509E">
        <w:rPr>
          <w:noProof/>
        </w:rPr>
        <w:t xml:space="preserve"> pp.</w:t>
      </w:r>
      <w:r w:rsidRPr="00CF7C86">
        <w:rPr>
          <w:noProof/>
        </w:rPr>
        <w:t xml:space="preserve"> 19-39.</w:t>
      </w:r>
    </w:p>
    <w:p w:rsidR="00CF7C86" w:rsidRPr="00CF7C86" w:rsidRDefault="0001509E" w:rsidP="00C82121">
      <w:pPr>
        <w:spacing w:line="240" w:lineRule="auto"/>
        <w:rPr>
          <w:noProof/>
        </w:rPr>
      </w:pPr>
      <w:r>
        <w:rPr>
          <w:noProof/>
        </w:rPr>
        <w:t xml:space="preserve">INE (2008) </w:t>
      </w:r>
      <w:r w:rsidR="00CF7C86" w:rsidRPr="0001509E">
        <w:rPr>
          <w:i/>
          <w:noProof/>
        </w:rPr>
        <w:t>Annual report 2008: The Greek economy and employment</w:t>
      </w:r>
      <w:r w:rsidR="00CF7C86" w:rsidRPr="00CF7C86">
        <w:rPr>
          <w:noProof/>
        </w:rPr>
        <w:t>, Athens, INE (in Greek).</w:t>
      </w:r>
    </w:p>
    <w:p w:rsidR="00CF7C86" w:rsidRPr="00CF7C86" w:rsidRDefault="0001509E" w:rsidP="00C82121">
      <w:pPr>
        <w:spacing w:line="240" w:lineRule="auto"/>
        <w:rPr>
          <w:noProof/>
        </w:rPr>
      </w:pPr>
      <w:r>
        <w:rPr>
          <w:noProof/>
        </w:rPr>
        <w:t>Kalandides, A. &amp; Vaiou, D. (2012) E</w:t>
      </w:r>
      <w:r w:rsidR="00CF7C86" w:rsidRPr="00CF7C86">
        <w:rPr>
          <w:noProof/>
        </w:rPr>
        <w:t>thnic’ neighbourhoods? Practices of b</w:t>
      </w:r>
      <w:r>
        <w:rPr>
          <w:noProof/>
        </w:rPr>
        <w:t>elonging and claims to the city</w:t>
      </w:r>
      <w:r w:rsidR="00CF7C86" w:rsidRPr="00CF7C86">
        <w:rPr>
          <w:noProof/>
        </w:rPr>
        <w:t xml:space="preserve">, </w:t>
      </w:r>
      <w:r w:rsidR="00CF7C86" w:rsidRPr="0001509E">
        <w:rPr>
          <w:i/>
          <w:noProof/>
        </w:rPr>
        <w:t>European Urban and Regional Studies</w:t>
      </w:r>
      <w:r w:rsidR="00CF7C86" w:rsidRPr="00CF7C86">
        <w:rPr>
          <w:noProof/>
        </w:rPr>
        <w:t>, 19: 254–266.</w:t>
      </w:r>
    </w:p>
    <w:p w:rsidR="00CF7C86" w:rsidRPr="00CF7C86" w:rsidRDefault="0001509E" w:rsidP="00C82121">
      <w:pPr>
        <w:spacing w:line="240" w:lineRule="auto"/>
        <w:rPr>
          <w:noProof/>
        </w:rPr>
      </w:pPr>
      <w:r>
        <w:rPr>
          <w:noProof/>
        </w:rPr>
        <w:t xml:space="preserve">Kandylis, G. &amp; Kavoulakos, K. (2011) </w:t>
      </w:r>
      <w:r w:rsidR="00CF7C86" w:rsidRPr="00CF7C86">
        <w:rPr>
          <w:noProof/>
        </w:rPr>
        <w:t>Framing urban inequalities: Racist mobilizati</w:t>
      </w:r>
      <w:r>
        <w:rPr>
          <w:noProof/>
        </w:rPr>
        <w:t>on against immigrants in Athens</w:t>
      </w:r>
      <w:r w:rsidR="00CF7C86" w:rsidRPr="00CF7C86">
        <w:rPr>
          <w:noProof/>
        </w:rPr>
        <w:t xml:space="preserve">, </w:t>
      </w:r>
      <w:r w:rsidR="00CF7C86" w:rsidRPr="0001509E">
        <w:rPr>
          <w:i/>
          <w:noProof/>
        </w:rPr>
        <w:t>The Greek Review of Social Research</w:t>
      </w:r>
      <w:r w:rsidR="00CF7C86" w:rsidRPr="00CF7C86">
        <w:rPr>
          <w:noProof/>
        </w:rPr>
        <w:t>, 136 C´: 157-176.</w:t>
      </w:r>
    </w:p>
    <w:p w:rsidR="00CF7C86" w:rsidRPr="00CF7C86" w:rsidRDefault="0001509E" w:rsidP="00C82121">
      <w:pPr>
        <w:spacing w:line="240" w:lineRule="auto"/>
        <w:rPr>
          <w:noProof/>
        </w:rPr>
      </w:pPr>
      <w:r>
        <w:rPr>
          <w:noProof/>
        </w:rPr>
        <w:t xml:space="preserve">Kandylis, G. &amp; Maloutas, T. (2012) </w:t>
      </w:r>
      <w:r w:rsidR="00CF7C86" w:rsidRPr="00CF7C86">
        <w:rPr>
          <w:noProof/>
        </w:rPr>
        <w:t xml:space="preserve">Here for good: Immigrants’ residential mobility and social integration in Athens during the late </w:t>
      </w:r>
      <w:r>
        <w:rPr>
          <w:noProof/>
        </w:rPr>
        <w:t>1990s</w:t>
      </w:r>
      <w:r w:rsidR="00CF7C86" w:rsidRPr="00CF7C86">
        <w:rPr>
          <w:noProof/>
        </w:rPr>
        <w:t>. In: Finney, N. &amp; Catney, G.</w:t>
      </w:r>
      <w:r w:rsidR="00A32643">
        <w:rPr>
          <w:noProof/>
        </w:rPr>
        <w:t>,</w:t>
      </w:r>
      <w:r w:rsidR="00CF7C86" w:rsidRPr="00CF7C86">
        <w:rPr>
          <w:noProof/>
        </w:rPr>
        <w:t xml:space="preserve"> </w:t>
      </w:r>
      <w:r w:rsidR="00A32643">
        <w:rPr>
          <w:noProof/>
        </w:rPr>
        <w:t>ed</w:t>
      </w:r>
      <w:r w:rsidR="00BB3C21">
        <w:rPr>
          <w:noProof/>
        </w:rPr>
        <w:t>s</w:t>
      </w:r>
      <w:r w:rsidR="00A32643">
        <w:rPr>
          <w:noProof/>
        </w:rPr>
        <w:t>.</w:t>
      </w:r>
      <w:r w:rsidR="00A32643" w:rsidRPr="00CF7C86">
        <w:rPr>
          <w:noProof/>
        </w:rPr>
        <w:t xml:space="preserve"> </w:t>
      </w:r>
      <w:r w:rsidR="00CF7C86" w:rsidRPr="0001509E">
        <w:rPr>
          <w:i/>
          <w:noProof/>
        </w:rPr>
        <w:t>Minority Internal Migration in Europe</w:t>
      </w:r>
      <w:r w:rsidR="00A32643">
        <w:rPr>
          <w:noProof/>
        </w:rPr>
        <w:t>. Farnham:</w:t>
      </w:r>
      <w:r w:rsidR="00CF7C86" w:rsidRPr="00CF7C86">
        <w:rPr>
          <w:noProof/>
        </w:rPr>
        <w:t xml:space="preserve"> A</w:t>
      </w:r>
      <w:r w:rsidR="00A32643">
        <w:rPr>
          <w:noProof/>
        </w:rPr>
        <w:t>s</w:t>
      </w:r>
      <w:r w:rsidR="00CF7C86" w:rsidRPr="00CF7C86">
        <w:rPr>
          <w:noProof/>
        </w:rPr>
        <w:t>hgate.</w:t>
      </w:r>
    </w:p>
    <w:p w:rsidR="00CF7C86" w:rsidRPr="00CF7C86" w:rsidRDefault="00CF7C86" w:rsidP="00C82121">
      <w:pPr>
        <w:spacing w:line="240" w:lineRule="auto"/>
        <w:rPr>
          <w:noProof/>
        </w:rPr>
      </w:pPr>
      <w:r w:rsidRPr="00CF7C86">
        <w:rPr>
          <w:noProof/>
        </w:rPr>
        <w:t>Kandylis</w:t>
      </w:r>
      <w:r w:rsidR="0001509E">
        <w:rPr>
          <w:noProof/>
        </w:rPr>
        <w:t xml:space="preserve">, G., Maloutas, T. &amp; Sayas, J. (2012) </w:t>
      </w:r>
      <w:r w:rsidRPr="00CF7C86">
        <w:rPr>
          <w:noProof/>
        </w:rPr>
        <w:t xml:space="preserve">Immigration, inequality and diversity: socio-ethnic hierarchy and spatial organization in Athens, Greece, </w:t>
      </w:r>
      <w:r w:rsidRPr="0001509E">
        <w:rPr>
          <w:i/>
          <w:noProof/>
        </w:rPr>
        <w:t>European Urban and Regional Studies</w:t>
      </w:r>
      <w:r w:rsidRPr="00CF7C86">
        <w:rPr>
          <w:noProof/>
        </w:rPr>
        <w:t>, 19(3): 267-86.</w:t>
      </w:r>
    </w:p>
    <w:p w:rsidR="00CF7C86" w:rsidRPr="00CF7C86" w:rsidRDefault="0001509E" w:rsidP="00C82121">
      <w:pPr>
        <w:spacing w:line="240" w:lineRule="auto"/>
        <w:rPr>
          <w:noProof/>
        </w:rPr>
      </w:pPr>
      <w:r>
        <w:rPr>
          <w:noProof/>
        </w:rPr>
        <w:t xml:space="preserve">Karyotis, G. (2012) </w:t>
      </w:r>
      <w:r w:rsidR="00CF7C86" w:rsidRPr="00CF7C86">
        <w:rPr>
          <w:noProof/>
        </w:rPr>
        <w:t>Securitization of migration in Greece: Pr</w:t>
      </w:r>
      <w:r>
        <w:rPr>
          <w:noProof/>
        </w:rPr>
        <w:t xml:space="preserve">ocess, motives and implications, </w:t>
      </w:r>
      <w:r w:rsidRPr="0001509E">
        <w:rPr>
          <w:i/>
          <w:noProof/>
        </w:rPr>
        <w:t>Political Sociology</w:t>
      </w:r>
      <w:r>
        <w:rPr>
          <w:noProof/>
        </w:rPr>
        <w:t xml:space="preserve">, 6 (4): </w:t>
      </w:r>
      <w:r w:rsidR="00CF7C86" w:rsidRPr="00CF7C86">
        <w:rPr>
          <w:noProof/>
        </w:rPr>
        <w:t>390–408.</w:t>
      </w:r>
    </w:p>
    <w:p w:rsidR="00CF7C86" w:rsidRPr="00CF7C86" w:rsidRDefault="0001509E" w:rsidP="00C82121">
      <w:pPr>
        <w:spacing w:line="240" w:lineRule="auto"/>
        <w:rPr>
          <w:noProof/>
        </w:rPr>
      </w:pPr>
      <w:r>
        <w:rPr>
          <w:noProof/>
        </w:rPr>
        <w:t xml:space="preserve">King R. (2000) </w:t>
      </w:r>
      <w:r w:rsidR="00CF7C86" w:rsidRPr="00CF7C86">
        <w:rPr>
          <w:noProof/>
        </w:rPr>
        <w:t>Southern Europe in the c</w:t>
      </w:r>
      <w:r>
        <w:rPr>
          <w:noProof/>
        </w:rPr>
        <w:t>hanging global map of migration</w:t>
      </w:r>
      <w:r w:rsidR="00CF7C86" w:rsidRPr="00CF7C86">
        <w:rPr>
          <w:noProof/>
        </w:rPr>
        <w:t>. In: King R, L</w:t>
      </w:r>
      <w:r w:rsidR="00A32643">
        <w:rPr>
          <w:noProof/>
        </w:rPr>
        <w:t xml:space="preserve">azaridis G </w:t>
      </w:r>
      <w:r w:rsidR="00BB3C21">
        <w:rPr>
          <w:noProof/>
        </w:rPr>
        <w:t>&amp;</w:t>
      </w:r>
      <w:r w:rsidR="00A32643">
        <w:rPr>
          <w:noProof/>
        </w:rPr>
        <w:t xml:space="preserve"> Tsardanidis C.H., ed</w:t>
      </w:r>
      <w:r w:rsidR="00BB3C21">
        <w:rPr>
          <w:noProof/>
        </w:rPr>
        <w:t>s</w:t>
      </w:r>
      <w:r w:rsidR="00A32643">
        <w:rPr>
          <w:noProof/>
        </w:rPr>
        <w:t>.</w:t>
      </w:r>
      <w:r w:rsidR="00A32643" w:rsidRPr="00CF7C86">
        <w:rPr>
          <w:noProof/>
        </w:rPr>
        <w:t xml:space="preserve"> </w:t>
      </w:r>
      <w:r w:rsidR="00CF7C86" w:rsidRPr="0001509E">
        <w:rPr>
          <w:i/>
          <w:noProof/>
        </w:rPr>
        <w:t>Eldorado or Fortress? Migration in Southern Europe. Houndmills</w:t>
      </w:r>
      <w:r w:rsidR="00A32643">
        <w:rPr>
          <w:noProof/>
        </w:rPr>
        <w:t>.</w:t>
      </w:r>
      <w:r w:rsidR="00CF7C86" w:rsidRPr="00CF7C86">
        <w:rPr>
          <w:noProof/>
        </w:rPr>
        <w:t xml:space="preserve"> NY: Palgrave Macmillan, </w:t>
      </w:r>
      <w:r>
        <w:rPr>
          <w:noProof/>
        </w:rPr>
        <w:t xml:space="preserve">pp. </w:t>
      </w:r>
      <w:r w:rsidR="00CF7C86" w:rsidRPr="00CF7C86">
        <w:rPr>
          <w:noProof/>
        </w:rPr>
        <w:t>3–26.</w:t>
      </w:r>
    </w:p>
    <w:p w:rsidR="00CF7C86" w:rsidRPr="00CF7C86" w:rsidRDefault="0001509E" w:rsidP="00C82121">
      <w:pPr>
        <w:spacing w:line="240" w:lineRule="auto"/>
        <w:rPr>
          <w:noProof/>
        </w:rPr>
      </w:pPr>
      <w:r>
        <w:rPr>
          <w:noProof/>
        </w:rPr>
        <w:t xml:space="preserve">Leontidou L. (1990) </w:t>
      </w:r>
      <w:r w:rsidR="00CF7C86" w:rsidRPr="0001509E">
        <w:rPr>
          <w:i/>
          <w:noProof/>
        </w:rPr>
        <w:t>The Mediterranean City in Transition: Social Change and Urban Development</w:t>
      </w:r>
      <w:r w:rsidR="00A32643">
        <w:rPr>
          <w:noProof/>
        </w:rPr>
        <w:t>.</w:t>
      </w:r>
      <w:r w:rsidR="00CF7C86" w:rsidRPr="00CF7C86">
        <w:rPr>
          <w:noProof/>
        </w:rPr>
        <w:t xml:space="preserve"> Cambridge University Press, Cambridge.</w:t>
      </w:r>
    </w:p>
    <w:p w:rsidR="00CF7C86" w:rsidRPr="00CF7C86" w:rsidRDefault="00CF7C86" w:rsidP="00C82121">
      <w:pPr>
        <w:spacing w:line="240" w:lineRule="auto"/>
        <w:rPr>
          <w:noProof/>
        </w:rPr>
      </w:pPr>
      <w:r w:rsidRPr="00CF7C86">
        <w:rPr>
          <w:noProof/>
        </w:rPr>
        <w:lastRenderedPageBreak/>
        <w:t>M</w:t>
      </w:r>
      <w:r w:rsidR="0001509E">
        <w:rPr>
          <w:noProof/>
        </w:rPr>
        <w:t xml:space="preserve">aloutas, T. &amp; Karadimitriou, N. (2001) </w:t>
      </w:r>
      <w:r w:rsidRPr="00CF7C86">
        <w:rPr>
          <w:noProof/>
        </w:rPr>
        <w:t xml:space="preserve">Vertical social differentiation in Athens: alternative or </w:t>
      </w:r>
      <w:r w:rsidR="0001509E">
        <w:rPr>
          <w:noProof/>
        </w:rPr>
        <w:t>complementto urban segregation?</w:t>
      </w:r>
      <w:r w:rsidRPr="00CF7C86">
        <w:rPr>
          <w:noProof/>
        </w:rPr>
        <w:t xml:space="preserve"> </w:t>
      </w:r>
      <w:r w:rsidRPr="0001509E">
        <w:rPr>
          <w:i/>
          <w:noProof/>
        </w:rPr>
        <w:t>International Journal of Urban and Regional Research</w:t>
      </w:r>
      <w:r w:rsidRPr="00CF7C86">
        <w:rPr>
          <w:noProof/>
        </w:rPr>
        <w:t>, 25: 699–716.</w:t>
      </w:r>
    </w:p>
    <w:p w:rsidR="00CF7C86" w:rsidRPr="00CF7C86" w:rsidRDefault="00CF7C86" w:rsidP="00C82121">
      <w:pPr>
        <w:spacing w:line="240" w:lineRule="auto"/>
        <w:rPr>
          <w:noProof/>
        </w:rPr>
      </w:pPr>
      <w:r w:rsidRPr="00CF7C86">
        <w:rPr>
          <w:noProof/>
        </w:rPr>
        <w:t xml:space="preserve">Maloutas, T. </w:t>
      </w:r>
      <w:r w:rsidR="0001509E">
        <w:rPr>
          <w:noProof/>
        </w:rPr>
        <w:t xml:space="preserve">(2004) </w:t>
      </w:r>
      <w:r w:rsidRPr="00CF7C86">
        <w:rPr>
          <w:noProof/>
        </w:rPr>
        <w:t xml:space="preserve">Segregation and residential mobility: spatially entrapped social mobility and its impact on segregation in Athens, </w:t>
      </w:r>
      <w:r w:rsidRPr="0001509E">
        <w:rPr>
          <w:i/>
          <w:noProof/>
        </w:rPr>
        <w:t>European Urban and Regional Studies</w:t>
      </w:r>
      <w:r w:rsidRPr="00CF7C86">
        <w:rPr>
          <w:noProof/>
        </w:rPr>
        <w:t>, 11: 195–211.</w:t>
      </w:r>
    </w:p>
    <w:p w:rsidR="00CF7C86" w:rsidRPr="00CF7C86" w:rsidRDefault="0001509E" w:rsidP="00C82121">
      <w:pPr>
        <w:spacing w:line="240" w:lineRule="auto"/>
        <w:rPr>
          <w:noProof/>
        </w:rPr>
      </w:pPr>
      <w:r>
        <w:rPr>
          <w:noProof/>
        </w:rPr>
        <w:t xml:space="preserve">Maloutas, T. (2007) </w:t>
      </w:r>
      <w:r w:rsidR="00CF7C86" w:rsidRPr="00CF7C86">
        <w:rPr>
          <w:noProof/>
        </w:rPr>
        <w:t xml:space="preserve">Segregation, social polarization and immigration in Athens: theoretical expectations </w:t>
      </w:r>
      <w:r>
        <w:rPr>
          <w:noProof/>
        </w:rPr>
        <w:t>and contextual difference</w:t>
      </w:r>
      <w:r w:rsidR="00CF7C86" w:rsidRPr="00CF7C86">
        <w:rPr>
          <w:noProof/>
        </w:rPr>
        <w:t xml:space="preserve">, </w:t>
      </w:r>
      <w:r w:rsidR="00CF7C86" w:rsidRPr="0001509E">
        <w:rPr>
          <w:i/>
          <w:noProof/>
        </w:rPr>
        <w:t>International Journal of Urban and Regional Research</w:t>
      </w:r>
      <w:r w:rsidR="00CF7C86" w:rsidRPr="00CF7C86">
        <w:rPr>
          <w:noProof/>
        </w:rPr>
        <w:t>, 31: 733–758.</w:t>
      </w:r>
    </w:p>
    <w:p w:rsidR="00CF7C86" w:rsidRPr="00CF7C86" w:rsidRDefault="00CF7C86" w:rsidP="00C82121">
      <w:pPr>
        <w:spacing w:line="240" w:lineRule="auto"/>
        <w:rPr>
          <w:noProof/>
        </w:rPr>
      </w:pPr>
      <w:r w:rsidRPr="00CF7C86">
        <w:rPr>
          <w:noProof/>
        </w:rPr>
        <w:t>Maloutas, T., Arapoglou</w:t>
      </w:r>
      <w:r w:rsidR="0001509E">
        <w:rPr>
          <w:noProof/>
        </w:rPr>
        <w:t xml:space="preserve">, V., Kandylis, G. &amp; Sayas, J. (2012) </w:t>
      </w:r>
      <w:r w:rsidRPr="00CF7C86">
        <w:rPr>
          <w:noProof/>
        </w:rPr>
        <w:t>Social Polarizati</w:t>
      </w:r>
      <w:r w:rsidR="0001509E">
        <w:rPr>
          <w:noProof/>
        </w:rPr>
        <w:t>on and De-segregation in Athens</w:t>
      </w:r>
      <w:r w:rsidRPr="00CF7C86">
        <w:rPr>
          <w:noProof/>
        </w:rPr>
        <w:t>. In</w:t>
      </w:r>
      <w:r w:rsidR="0001509E">
        <w:rPr>
          <w:noProof/>
        </w:rPr>
        <w:t>:</w:t>
      </w:r>
      <w:r w:rsidR="00A32643">
        <w:rPr>
          <w:noProof/>
        </w:rPr>
        <w:t xml:space="preserve"> Maloutas, T. &amp; Fujita, K., ed</w:t>
      </w:r>
      <w:r w:rsidR="00BB3C21">
        <w:rPr>
          <w:noProof/>
        </w:rPr>
        <w:t>s</w:t>
      </w:r>
      <w:r w:rsidR="00A32643">
        <w:rPr>
          <w:noProof/>
        </w:rPr>
        <w:t>.</w:t>
      </w:r>
      <w:r w:rsidRPr="00CF7C86">
        <w:rPr>
          <w:noProof/>
        </w:rPr>
        <w:t xml:space="preserve"> </w:t>
      </w:r>
      <w:r w:rsidRPr="0001509E">
        <w:rPr>
          <w:i/>
          <w:noProof/>
        </w:rPr>
        <w:t>Residential Segregation Aroun</w:t>
      </w:r>
      <w:r w:rsidR="00A32643">
        <w:rPr>
          <w:i/>
          <w:noProof/>
        </w:rPr>
        <w:t>d the World. Why Context Matter.</w:t>
      </w:r>
      <w:r w:rsidRPr="0001509E">
        <w:rPr>
          <w:i/>
          <w:noProof/>
        </w:rPr>
        <w:t xml:space="preserve"> </w:t>
      </w:r>
      <w:r w:rsidR="00A32643">
        <w:rPr>
          <w:noProof/>
        </w:rPr>
        <w:t>Faringham</w:t>
      </w:r>
      <w:r w:rsidR="00ED0F60">
        <w:rPr>
          <w:noProof/>
        </w:rPr>
        <w:t>: Ashgate</w:t>
      </w:r>
      <w:r w:rsidR="00A32643">
        <w:rPr>
          <w:noProof/>
        </w:rPr>
        <w:t>.</w:t>
      </w:r>
    </w:p>
    <w:p w:rsidR="0001509E" w:rsidRPr="0001509E" w:rsidRDefault="0001509E" w:rsidP="0001509E">
      <w:pPr>
        <w:spacing w:line="240" w:lineRule="auto"/>
        <w:rPr>
          <w:noProof/>
          <w:sz w:val="4"/>
          <w:szCs w:val="4"/>
        </w:rPr>
      </w:pPr>
      <w:r>
        <w:rPr>
          <w:noProof/>
        </w:rPr>
        <w:t xml:space="preserve">Maroukis, T. (2009) </w:t>
      </w:r>
      <w:r w:rsidR="00CF7C86" w:rsidRPr="0001509E">
        <w:rPr>
          <w:i/>
          <w:noProof/>
        </w:rPr>
        <w:t xml:space="preserve">Undocumented Migration Counting the Uncountable. Data and Trends across </w:t>
      </w:r>
      <w:r w:rsidRPr="0001509E">
        <w:rPr>
          <w:i/>
          <w:noProof/>
        </w:rPr>
        <w:t>Europe. Country report – Greece</w:t>
      </w:r>
      <w:r w:rsidR="00CF7C86" w:rsidRPr="00CF7C86">
        <w:rPr>
          <w:noProof/>
        </w:rPr>
        <w:t xml:space="preserve">. Report prepared under the research project CLANDESTINO. </w:t>
      </w:r>
      <w:r>
        <w:rPr>
          <w:noProof/>
        </w:rPr>
        <w:t>[online] Available</w:t>
      </w:r>
      <w:r w:rsidR="00CF7C86" w:rsidRPr="00CF7C86">
        <w:rPr>
          <w:noProof/>
        </w:rPr>
        <w:t xml:space="preserve"> at: http://clandestino.eliamep.gr/wp-content/uploads/ 2009/10/clandestino_report gree ce_final_3.pdf</w:t>
      </w:r>
      <w:r w:rsidR="00CF7C86" w:rsidRPr="00CF7C86">
        <w:rPr>
          <w:noProof/>
        </w:rPr>
        <w:cr/>
      </w:r>
    </w:p>
    <w:p w:rsidR="00CF7C86" w:rsidRPr="00CF7C86" w:rsidRDefault="0001509E" w:rsidP="0001509E">
      <w:pPr>
        <w:spacing w:line="240" w:lineRule="auto"/>
        <w:rPr>
          <w:noProof/>
        </w:rPr>
      </w:pPr>
      <w:r>
        <w:rPr>
          <w:noProof/>
        </w:rPr>
        <w:t xml:space="preserve">Massey, D.S. &amp; Denton, N.A. (1988) </w:t>
      </w:r>
      <w:r w:rsidR="00CF7C86" w:rsidRPr="00CF7C86">
        <w:rPr>
          <w:noProof/>
        </w:rPr>
        <w:t>The Dimens</w:t>
      </w:r>
      <w:r>
        <w:rPr>
          <w:noProof/>
        </w:rPr>
        <w:t>ions of Residential Segregation</w:t>
      </w:r>
      <w:r w:rsidR="00CF7C86" w:rsidRPr="00CF7C86">
        <w:rPr>
          <w:noProof/>
        </w:rPr>
        <w:t xml:space="preserve">, </w:t>
      </w:r>
      <w:r w:rsidR="00CF7C86" w:rsidRPr="0001509E">
        <w:rPr>
          <w:i/>
          <w:noProof/>
        </w:rPr>
        <w:t>Social Forces</w:t>
      </w:r>
      <w:r w:rsidR="00CF7C86" w:rsidRPr="00CF7C86">
        <w:rPr>
          <w:noProof/>
        </w:rPr>
        <w:t>, 67 (2): 281-315.</w:t>
      </w:r>
    </w:p>
    <w:p w:rsidR="00CF7C86" w:rsidRPr="00CF7C86" w:rsidRDefault="0001509E" w:rsidP="00C82121">
      <w:pPr>
        <w:spacing w:line="240" w:lineRule="auto"/>
        <w:rPr>
          <w:noProof/>
        </w:rPr>
      </w:pPr>
      <w:r>
        <w:rPr>
          <w:noProof/>
        </w:rPr>
        <w:t xml:space="preserve">Parsanoglou, D. (2009) </w:t>
      </w:r>
      <w:r w:rsidR="00CF7C86" w:rsidRPr="00CF7C86">
        <w:rPr>
          <w:noProof/>
        </w:rPr>
        <w:t>When social sciences reproduce ideological patterns: The uncontested alibi of ‘surprise’ of t</w:t>
      </w:r>
      <w:r>
        <w:rPr>
          <w:noProof/>
        </w:rPr>
        <w:t>he Greek society by immigration</w:t>
      </w:r>
      <w:r w:rsidR="00CF7C86" w:rsidRPr="00CF7C86">
        <w:rPr>
          <w:noProof/>
        </w:rPr>
        <w:t>. In</w:t>
      </w:r>
      <w:r>
        <w:rPr>
          <w:noProof/>
        </w:rPr>
        <w:t>:</w:t>
      </w:r>
      <w:r w:rsidR="00A32643">
        <w:rPr>
          <w:noProof/>
        </w:rPr>
        <w:t xml:space="preserve"> Pavlou M. &amp; Skoulariki, A., ed</w:t>
      </w:r>
      <w:r w:rsidR="00BB3C21">
        <w:rPr>
          <w:noProof/>
        </w:rPr>
        <w:t>s</w:t>
      </w:r>
      <w:r w:rsidR="00A32643">
        <w:rPr>
          <w:noProof/>
        </w:rPr>
        <w:t>.</w:t>
      </w:r>
      <w:r w:rsidR="00A32643" w:rsidRPr="00CF7C86">
        <w:rPr>
          <w:noProof/>
        </w:rPr>
        <w:t xml:space="preserve"> </w:t>
      </w:r>
      <w:r w:rsidR="00CF7C86" w:rsidRPr="0001509E">
        <w:rPr>
          <w:i/>
          <w:noProof/>
        </w:rPr>
        <w:t>Immigrants and Minorities</w:t>
      </w:r>
      <w:r w:rsidR="00A32643">
        <w:rPr>
          <w:noProof/>
        </w:rPr>
        <w:t>.</w:t>
      </w:r>
      <w:r w:rsidR="00CF7C86" w:rsidRPr="00CF7C86">
        <w:rPr>
          <w:noProof/>
        </w:rPr>
        <w:t xml:space="preserve"> </w:t>
      </w:r>
      <w:r w:rsidR="00A32643">
        <w:rPr>
          <w:noProof/>
        </w:rPr>
        <w:t>Athens</w:t>
      </w:r>
      <w:r w:rsidR="00ED0F60">
        <w:rPr>
          <w:noProof/>
        </w:rPr>
        <w:t xml:space="preserve">: </w:t>
      </w:r>
      <w:r w:rsidR="00ED0F60" w:rsidRPr="00CF7C86">
        <w:rPr>
          <w:noProof/>
        </w:rPr>
        <w:t>Vivliorama</w:t>
      </w:r>
      <w:r w:rsidR="00CF7C86" w:rsidRPr="00CF7C86">
        <w:rPr>
          <w:noProof/>
        </w:rPr>
        <w:t>.</w:t>
      </w:r>
    </w:p>
    <w:p w:rsidR="00CF7C86" w:rsidRPr="00CF7C86" w:rsidRDefault="0001509E" w:rsidP="00C82121">
      <w:pPr>
        <w:spacing w:line="240" w:lineRule="auto"/>
        <w:rPr>
          <w:noProof/>
        </w:rPr>
      </w:pPr>
      <w:r>
        <w:rPr>
          <w:noProof/>
        </w:rPr>
        <w:t xml:space="preserve">Pavlou D. (2007) </w:t>
      </w:r>
      <w:r w:rsidR="00CF7C86" w:rsidRPr="0001509E">
        <w:rPr>
          <w:i/>
          <w:noProof/>
        </w:rPr>
        <w:t>Racism and Discrimination against Immigrants in Greece: The State of Play</w:t>
      </w:r>
      <w:r w:rsidR="00CF7C86" w:rsidRPr="00CF7C86">
        <w:rPr>
          <w:noProof/>
        </w:rPr>
        <w:t>, Athens, HLHR-KEMO. [In Greek].</w:t>
      </w:r>
    </w:p>
    <w:p w:rsidR="00CF7C86" w:rsidRPr="00CF7C86" w:rsidRDefault="0001509E" w:rsidP="00C82121">
      <w:pPr>
        <w:spacing w:line="240" w:lineRule="auto"/>
        <w:rPr>
          <w:noProof/>
        </w:rPr>
      </w:pPr>
      <w:r>
        <w:rPr>
          <w:noProof/>
        </w:rPr>
        <w:t xml:space="preserve">Pavlou, M. (2009) </w:t>
      </w:r>
      <w:r w:rsidR="00CF7C86" w:rsidRPr="00CF7C86">
        <w:rPr>
          <w:noProof/>
        </w:rPr>
        <w:t>Discourse and policies on immigrants. In</w:t>
      </w:r>
      <w:r>
        <w:rPr>
          <w:noProof/>
        </w:rPr>
        <w:t>:</w:t>
      </w:r>
      <w:r w:rsidR="00CF7C86" w:rsidRPr="00CF7C86">
        <w:rPr>
          <w:noProof/>
        </w:rPr>
        <w:t xml:space="preserve"> Pavlo</w:t>
      </w:r>
      <w:r w:rsidR="00513BAF">
        <w:rPr>
          <w:noProof/>
        </w:rPr>
        <w:t>u M. &amp; Skoulariki, A., ed</w:t>
      </w:r>
      <w:r w:rsidR="00BB3C21">
        <w:rPr>
          <w:noProof/>
        </w:rPr>
        <w:t>s</w:t>
      </w:r>
      <w:r w:rsidR="00513BAF">
        <w:rPr>
          <w:noProof/>
        </w:rPr>
        <w:t>.</w:t>
      </w:r>
      <w:r w:rsidR="00CF7C86" w:rsidRPr="00CF7C86">
        <w:rPr>
          <w:noProof/>
        </w:rPr>
        <w:t xml:space="preserve"> </w:t>
      </w:r>
      <w:r w:rsidR="00CF7C86" w:rsidRPr="0001509E">
        <w:rPr>
          <w:i/>
          <w:noProof/>
        </w:rPr>
        <w:t>Immigrants and Minorities</w:t>
      </w:r>
      <w:r w:rsidR="00A32643">
        <w:rPr>
          <w:noProof/>
        </w:rPr>
        <w:t>.</w:t>
      </w:r>
      <w:r w:rsidR="00CF7C86" w:rsidRPr="00CF7C86">
        <w:rPr>
          <w:noProof/>
        </w:rPr>
        <w:t xml:space="preserve"> Vivliorama</w:t>
      </w:r>
      <w:r w:rsidR="00A32643">
        <w:rPr>
          <w:noProof/>
        </w:rPr>
        <w:t>, Athens.</w:t>
      </w:r>
    </w:p>
    <w:p w:rsidR="00CF7C86" w:rsidRPr="00CF7C86" w:rsidRDefault="0001509E" w:rsidP="00C82121">
      <w:pPr>
        <w:spacing w:line="240" w:lineRule="auto"/>
        <w:rPr>
          <w:noProof/>
        </w:rPr>
      </w:pPr>
      <w:r>
        <w:rPr>
          <w:noProof/>
        </w:rPr>
        <w:t xml:space="preserve">Stathakis, G. (2010) </w:t>
      </w:r>
      <w:r w:rsidR="00CF7C86" w:rsidRPr="00CF7C86">
        <w:rPr>
          <w:noProof/>
        </w:rPr>
        <w:t>The sovereign debt crisis of the G</w:t>
      </w:r>
      <w:r>
        <w:rPr>
          <w:noProof/>
        </w:rPr>
        <w:t>reek economy. A historical view</w:t>
      </w:r>
      <w:r w:rsidR="00CF7C86" w:rsidRPr="00CF7C86">
        <w:rPr>
          <w:noProof/>
        </w:rPr>
        <w:t xml:space="preserve">, </w:t>
      </w:r>
      <w:r w:rsidR="00CF7C86" w:rsidRPr="0001509E">
        <w:rPr>
          <w:i/>
          <w:noProof/>
        </w:rPr>
        <w:t>Sinchrona Themata</w:t>
      </w:r>
      <w:r w:rsidR="00A32643">
        <w:rPr>
          <w:noProof/>
        </w:rPr>
        <w:t>,</w:t>
      </w:r>
      <w:r w:rsidR="00CF7C86" w:rsidRPr="00CF7C86">
        <w:rPr>
          <w:noProof/>
        </w:rPr>
        <w:t xml:space="preserve"> 108</w:t>
      </w:r>
      <w:r w:rsidR="00A32643">
        <w:rPr>
          <w:noProof/>
        </w:rPr>
        <w:t>:</w:t>
      </w:r>
      <w:r w:rsidR="00CF7C86" w:rsidRPr="00CF7C86">
        <w:rPr>
          <w:noProof/>
        </w:rPr>
        <w:t xml:space="preserve"> 5-9 (in Greek).</w:t>
      </w:r>
    </w:p>
    <w:p w:rsidR="00CF7C86" w:rsidRPr="00CF7C86" w:rsidRDefault="0001509E" w:rsidP="00C82121">
      <w:pPr>
        <w:spacing w:line="240" w:lineRule="auto"/>
        <w:rPr>
          <w:noProof/>
        </w:rPr>
      </w:pPr>
      <w:r>
        <w:rPr>
          <w:noProof/>
        </w:rPr>
        <w:t xml:space="preserve">Swarts, J. &amp; Karakatsanis, N. (2012) </w:t>
      </w:r>
      <w:r w:rsidR="00CF7C86" w:rsidRPr="00CF7C86">
        <w:rPr>
          <w:noProof/>
        </w:rPr>
        <w:t>The securitization of</w:t>
      </w:r>
      <w:r>
        <w:rPr>
          <w:noProof/>
        </w:rPr>
        <w:t xml:space="preserve"> migration: Greece in the 1990s</w:t>
      </w:r>
      <w:r w:rsidR="00CF7C86" w:rsidRPr="00CF7C86">
        <w:rPr>
          <w:noProof/>
        </w:rPr>
        <w:t xml:space="preserve">, </w:t>
      </w:r>
      <w:r w:rsidR="00CF7C86" w:rsidRPr="0001509E">
        <w:rPr>
          <w:i/>
          <w:noProof/>
        </w:rPr>
        <w:t>Journal of Balkan and Near Eastern Studies</w:t>
      </w:r>
      <w:r>
        <w:rPr>
          <w:noProof/>
        </w:rPr>
        <w:t xml:space="preserve">, 14 (1): </w:t>
      </w:r>
      <w:r w:rsidR="00CF7C86" w:rsidRPr="00CF7C86">
        <w:rPr>
          <w:noProof/>
        </w:rPr>
        <w:t>33-51.</w:t>
      </w:r>
    </w:p>
    <w:p w:rsidR="00CF7C86" w:rsidRPr="00CF7C86" w:rsidRDefault="00CF7C86" w:rsidP="00C82121">
      <w:pPr>
        <w:spacing w:line="240" w:lineRule="auto"/>
        <w:rPr>
          <w:noProof/>
        </w:rPr>
      </w:pPr>
      <w:r w:rsidRPr="00CF7C86">
        <w:rPr>
          <w:noProof/>
        </w:rPr>
        <w:t>Vaiou D. &amp; Stratigaki M.</w:t>
      </w:r>
      <w:r w:rsidR="0001509E">
        <w:rPr>
          <w:noProof/>
        </w:rPr>
        <w:t xml:space="preserve"> (2008) </w:t>
      </w:r>
      <w:r w:rsidRPr="00CF7C86">
        <w:rPr>
          <w:noProof/>
        </w:rPr>
        <w:t>From ‘Settlement’ to ‘Integration’: informal practices and social servic</w:t>
      </w:r>
      <w:r w:rsidR="0001509E">
        <w:rPr>
          <w:noProof/>
        </w:rPr>
        <w:t>es for women migrants in Athens</w:t>
      </w:r>
      <w:r w:rsidRPr="00CF7C86">
        <w:rPr>
          <w:noProof/>
        </w:rPr>
        <w:t xml:space="preserve">, </w:t>
      </w:r>
      <w:r w:rsidRPr="0001509E">
        <w:rPr>
          <w:i/>
          <w:noProof/>
        </w:rPr>
        <w:t>European Urban and Regional Studies</w:t>
      </w:r>
      <w:r w:rsidRPr="00CF7C86">
        <w:rPr>
          <w:noProof/>
        </w:rPr>
        <w:t>, 15: 119–131.</w:t>
      </w:r>
    </w:p>
    <w:p w:rsidR="00CF7C86" w:rsidRPr="00CF7C86" w:rsidRDefault="0001509E" w:rsidP="00C82121">
      <w:pPr>
        <w:spacing w:line="240" w:lineRule="auto"/>
        <w:rPr>
          <w:noProof/>
        </w:rPr>
      </w:pPr>
      <w:r>
        <w:rPr>
          <w:noProof/>
        </w:rPr>
        <w:t xml:space="preserve">Vaiou, D. &amp; Chadjimichalis, K. (1997) </w:t>
      </w:r>
      <w:r w:rsidR="00CF7C86" w:rsidRPr="0001509E">
        <w:rPr>
          <w:i/>
          <w:noProof/>
        </w:rPr>
        <w:t>With the Sewing Machine in the Kitchenand the Polish in the Fields.</w:t>
      </w:r>
      <w:r w:rsidR="00ED0F60">
        <w:rPr>
          <w:i/>
          <w:noProof/>
        </w:rPr>
        <w:t xml:space="preserve"> </w:t>
      </w:r>
      <w:r w:rsidR="00CF7C86" w:rsidRPr="0001509E">
        <w:rPr>
          <w:i/>
          <w:noProof/>
        </w:rPr>
        <w:t>Cities, Regions and Informal Work</w:t>
      </w:r>
      <w:r w:rsidR="00A32643">
        <w:rPr>
          <w:noProof/>
        </w:rPr>
        <w:t xml:space="preserve">. </w:t>
      </w:r>
      <w:r w:rsidR="00CF7C86" w:rsidRPr="00CF7C86">
        <w:rPr>
          <w:noProof/>
        </w:rPr>
        <w:t>Exadas</w:t>
      </w:r>
      <w:r w:rsidR="00A32643">
        <w:rPr>
          <w:noProof/>
        </w:rPr>
        <w:t>, Athens</w:t>
      </w:r>
      <w:r w:rsidR="00CF7C86" w:rsidRPr="00CF7C86">
        <w:rPr>
          <w:noProof/>
        </w:rPr>
        <w:t xml:space="preserve">. </w:t>
      </w:r>
    </w:p>
    <w:p w:rsidR="00CF7C86" w:rsidRPr="00CF7C86" w:rsidRDefault="00645140" w:rsidP="00C82121">
      <w:pPr>
        <w:spacing w:line="240" w:lineRule="auto"/>
        <w:rPr>
          <w:noProof/>
        </w:rPr>
      </w:pPr>
      <w:r>
        <w:rPr>
          <w:noProof/>
        </w:rPr>
        <w:t xml:space="preserve">Vrychea, A. &amp; </w:t>
      </w:r>
      <w:r w:rsidR="0001509E">
        <w:rPr>
          <w:noProof/>
        </w:rPr>
        <w:t>Golemis,</w:t>
      </w:r>
      <w:r>
        <w:rPr>
          <w:noProof/>
        </w:rPr>
        <w:t xml:space="preserve"> </w:t>
      </w:r>
      <w:r w:rsidR="0001509E">
        <w:rPr>
          <w:noProof/>
        </w:rPr>
        <w:t xml:space="preserve">C. (1998) </w:t>
      </w:r>
      <w:r w:rsidR="00CF7C86" w:rsidRPr="00CF7C86">
        <w:rPr>
          <w:noProof/>
        </w:rPr>
        <w:t>Spatial segregation and social Exclusion in a peripheral Greek neighbourhood. In</w:t>
      </w:r>
      <w:r w:rsidR="0001509E">
        <w:rPr>
          <w:noProof/>
        </w:rPr>
        <w:t>:</w:t>
      </w:r>
      <w:r w:rsidR="00CF7C86" w:rsidRPr="00CF7C86">
        <w:rPr>
          <w:noProof/>
        </w:rPr>
        <w:t xml:space="preserve"> Madan</w:t>
      </w:r>
      <w:r w:rsidR="00BB3C21">
        <w:rPr>
          <w:noProof/>
        </w:rPr>
        <w:t>ipour, A., Cars, G. &amp;</w:t>
      </w:r>
      <w:r w:rsidR="00A32643">
        <w:rPr>
          <w:noProof/>
        </w:rPr>
        <w:t xml:space="preserve"> Allen, J., ed</w:t>
      </w:r>
      <w:r w:rsidR="00BB3C21">
        <w:rPr>
          <w:noProof/>
        </w:rPr>
        <w:t>s</w:t>
      </w:r>
      <w:r w:rsidR="00A32643">
        <w:rPr>
          <w:noProof/>
        </w:rPr>
        <w:t>.</w:t>
      </w:r>
      <w:r w:rsidR="00A32643" w:rsidRPr="00CF7C86">
        <w:rPr>
          <w:noProof/>
        </w:rPr>
        <w:t xml:space="preserve"> </w:t>
      </w:r>
      <w:r w:rsidR="00CF7C86" w:rsidRPr="0001509E">
        <w:rPr>
          <w:i/>
          <w:noProof/>
        </w:rPr>
        <w:t>Social Exclusion in European Cities</w:t>
      </w:r>
      <w:r w:rsidR="00A32643">
        <w:rPr>
          <w:noProof/>
        </w:rPr>
        <w:t>.</w:t>
      </w:r>
      <w:r w:rsidR="00CF7C86" w:rsidRPr="00CF7C86">
        <w:rPr>
          <w:noProof/>
        </w:rPr>
        <w:t xml:space="preserve"> </w:t>
      </w:r>
      <w:r w:rsidR="00A32643">
        <w:rPr>
          <w:noProof/>
        </w:rPr>
        <w:t xml:space="preserve">London: </w:t>
      </w:r>
      <w:r w:rsidR="00CF7C86" w:rsidRPr="00CF7C86">
        <w:rPr>
          <w:noProof/>
        </w:rPr>
        <w:t>Jessica Kingsley.</w:t>
      </w:r>
    </w:p>
    <w:p w:rsidR="00CF7C86" w:rsidRPr="00CF7C86" w:rsidRDefault="0001509E" w:rsidP="00C82121">
      <w:pPr>
        <w:spacing w:line="240" w:lineRule="auto"/>
        <w:rPr>
          <w:noProof/>
        </w:rPr>
      </w:pPr>
      <w:r>
        <w:rPr>
          <w:noProof/>
        </w:rPr>
        <w:t>Wacquant, L.</w:t>
      </w:r>
      <w:r w:rsidR="00CF7C86" w:rsidRPr="00CF7C86">
        <w:rPr>
          <w:noProof/>
        </w:rPr>
        <w:t xml:space="preserve"> </w:t>
      </w:r>
      <w:r>
        <w:rPr>
          <w:noProof/>
        </w:rPr>
        <w:t>(2008)</w:t>
      </w:r>
      <w:r w:rsidR="00CF7C86" w:rsidRPr="00CF7C86">
        <w:rPr>
          <w:noProof/>
        </w:rPr>
        <w:t xml:space="preserve"> </w:t>
      </w:r>
      <w:r w:rsidR="00CF7C86" w:rsidRPr="0001509E">
        <w:rPr>
          <w:i/>
          <w:noProof/>
        </w:rPr>
        <w:t>Urban Outcasts: A Comparative Sociology of Advanced Marginality</w:t>
      </w:r>
      <w:r w:rsidR="00ED0F60">
        <w:rPr>
          <w:noProof/>
        </w:rPr>
        <w:t>.</w:t>
      </w:r>
      <w:r w:rsidR="00CF7C86" w:rsidRPr="00CF7C86">
        <w:rPr>
          <w:noProof/>
        </w:rPr>
        <w:t xml:space="preserve"> Polity Press</w:t>
      </w:r>
      <w:r w:rsidR="00ED0F60">
        <w:rPr>
          <w:noProof/>
        </w:rPr>
        <w:t>, Cambridge</w:t>
      </w:r>
      <w:r w:rsidR="00CF7C86" w:rsidRPr="00CF7C86">
        <w:rPr>
          <w:noProof/>
        </w:rPr>
        <w:t>.</w:t>
      </w:r>
    </w:p>
    <w:p w:rsidR="00CF7C86" w:rsidRDefault="00CF7C86" w:rsidP="00C82121">
      <w:pPr>
        <w:spacing w:line="240" w:lineRule="auto"/>
        <w:rPr>
          <w:b/>
          <w:noProof/>
        </w:rPr>
      </w:pPr>
    </w:p>
    <w:p w:rsidR="00437141" w:rsidRDefault="00437141" w:rsidP="00437141">
      <w:pPr>
        <w:rPr>
          <w:b/>
          <w:noProof/>
        </w:rPr>
      </w:pPr>
    </w:p>
    <w:p w:rsidR="002154C2" w:rsidRPr="0021754B" w:rsidRDefault="00536563" w:rsidP="00D208AB">
      <w:pPr>
        <w:pStyle w:val="Heading1"/>
        <w:numPr>
          <w:ilvl w:val="0"/>
          <w:numId w:val="0"/>
        </w:numPr>
        <w:jc w:val="center"/>
      </w:pPr>
      <w:r w:rsidRPr="000E2CDD">
        <w:rPr>
          <w:noProof/>
        </w:rPr>
        <w:br w:type="column"/>
      </w:r>
      <w:bookmarkStart w:id="67" w:name="_Toc386013207"/>
      <w:r w:rsidR="002154C2" w:rsidRPr="0021754B">
        <w:rPr>
          <w:rFonts w:cs="Arial"/>
        </w:rPr>
        <w:lastRenderedPageBreak/>
        <w:t>Annex</w:t>
      </w:r>
      <w:r w:rsidR="002154C2" w:rsidRPr="0021754B">
        <w:t xml:space="preserve"> </w:t>
      </w:r>
      <w:r w:rsidRPr="0021754B">
        <w:t>1</w:t>
      </w:r>
      <w:r w:rsidR="002154C2" w:rsidRPr="0021754B">
        <w:t xml:space="preserve">: </w:t>
      </w:r>
      <w:r w:rsidR="005D011A" w:rsidRPr="0021754B">
        <w:t xml:space="preserve">Additional </w:t>
      </w:r>
      <w:r w:rsidR="00724794">
        <w:t>m</w:t>
      </w:r>
      <w:r w:rsidRPr="0021754B">
        <w:t xml:space="preserve">aps and </w:t>
      </w:r>
      <w:r w:rsidR="00724794">
        <w:t>t</w:t>
      </w:r>
      <w:r w:rsidRPr="0021754B">
        <w:t>ables</w:t>
      </w:r>
      <w:bookmarkEnd w:id="67"/>
    </w:p>
    <w:p w:rsidR="00101107" w:rsidRPr="0021754B" w:rsidRDefault="00101107" w:rsidP="00101107"/>
    <w:p w:rsidR="00101107" w:rsidRPr="00484C96" w:rsidRDefault="00101107" w:rsidP="00101107">
      <w:pPr>
        <w:pStyle w:val="3"/>
        <w:tabs>
          <w:tab w:val="left" w:pos="0"/>
        </w:tabs>
        <w:spacing w:after="0" w:line="360" w:lineRule="auto"/>
        <w:ind w:left="0"/>
        <w:jc w:val="both"/>
        <w:rPr>
          <w:rFonts w:ascii="Arial" w:hAnsi="Arial" w:cs="Arial"/>
          <w:i/>
          <w:sz w:val="22"/>
          <w:szCs w:val="22"/>
          <w:lang w:val="en-GB"/>
        </w:rPr>
      </w:pPr>
      <w:r w:rsidRPr="0021754B">
        <w:rPr>
          <w:rFonts w:ascii="Arial" w:hAnsi="Arial" w:cs="Arial"/>
          <w:i/>
          <w:sz w:val="22"/>
          <w:szCs w:val="22"/>
          <w:lang w:val="en-GB"/>
        </w:rPr>
        <w:t xml:space="preserve">Demographic </w:t>
      </w:r>
      <w:r w:rsidRPr="00484C96">
        <w:rPr>
          <w:rFonts w:ascii="Arial" w:hAnsi="Arial" w:cs="Arial"/>
          <w:i/>
          <w:sz w:val="22"/>
          <w:szCs w:val="22"/>
          <w:lang w:val="en-GB"/>
        </w:rPr>
        <w:t>and social di</w:t>
      </w:r>
      <w:r w:rsidR="00484C96">
        <w:rPr>
          <w:rFonts w:ascii="Arial" w:hAnsi="Arial" w:cs="Arial"/>
          <w:i/>
          <w:sz w:val="22"/>
          <w:szCs w:val="22"/>
          <w:lang w:val="en-GB"/>
        </w:rPr>
        <w:t xml:space="preserve">fferentiation </w:t>
      </w:r>
      <w:r w:rsidR="00484C96" w:rsidRPr="00484C96">
        <w:rPr>
          <w:rFonts w:ascii="Arial" w:hAnsi="Arial" w:cs="Arial"/>
          <w:i/>
          <w:sz w:val="22"/>
          <w:szCs w:val="22"/>
          <w:lang w:val="en-GB"/>
        </w:rPr>
        <w:t>of ethnic groups</w:t>
      </w:r>
    </w:p>
    <w:p w:rsidR="0081416D" w:rsidRDefault="006502D5" w:rsidP="00101107">
      <w:pPr>
        <w:pStyle w:val="3"/>
        <w:tabs>
          <w:tab w:val="left" w:pos="0"/>
        </w:tabs>
        <w:spacing w:after="0" w:line="360" w:lineRule="auto"/>
        <w:ind w:left="0"/>
        <w:jc w:val="both"/>
        <w:rPr>
          <w:rFonts w:ascii="Arial" w:hAnsi="Arial" w:cs="Arial"/>
          <w:b/>
          <w:color w:val="000000"/>
          <w:sz w:val="22"/>
          <w:szCs w:val="22"/>
          <w:lang w:val="en-GB"/>
        </w:rPr>
      </w:pPr>
      <w:r>
        <w:rPr>
          <w:rFonts w:ascii="Arial" w:hAnsi="Arial" w:cs="Arial"/>
          <w:b/>
          <w:noProof/>
          <w:sz w:val="22"/>
          <w:szCs w:val="22"/>
          <w:lang w:val="fi-FI" w:eastAsia="fi-FI" w:bidi="ar-SA"/>
        </w:rPr>
        <mc:AlternateContent>
          <mc:Choice Requires="wpg">
            <w:drawing>
              <wp:anchor distT="0" distB="0" distL="114300" distR="114300" simplePos="0" relativeHeight="251663360" behindDoc="0" locked="0" layoutInCell="1" allowOverlap="1" wp14:anchorId="055EF5AA" wp14:editId="27032279">
                <wp:simplePos x="0" y="0"/>
                <wp:positionH relativeFrom="column">
                  <wp:posOffset>-53340</wp:posOffset>
                </wp:positionH>
                <wp:positionV relativeFrom="paragraph">
                  <wp:posOffset>63500</wp:posOffset>
                </wp:positionV>
                <wp:extent cx="5753100" cy="4739005"/>
                <wp:effectExtent l="0" t="6350" r="0" b="0"/>
                <wp:wrapSquare wrapText="bothSides"/>
                <wp:docPr id="5"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0" cy="4739005"/>
                          <a:chOff x="900" y="1617"/>
                          <a:chExt cx="9060" cy="7463"/>
                        </a:xfrm>
                      </wpg:grpSpPr>
                      <pic:pic xmlns:pic="http://schemas.openxmlformats.org/drawingml/2006/picture">
                        <pic:nvPicPr>
                          <pic:cNvPr id="7"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900" y="1617"/>
                            <a:ext cx="9060" cy="7463"/>
                          </a:xfrm>
                          <a:prstGeom prst="rect">
                            <a:avLst/>
                          </a:prstGeom>
                          <a:noFill/>
                          <a:extLst>
                            <a:ext uri="{909E8E84-426E-40DD-AFC4-6F175D3DCCD1}">
                              <a14:hiddenFill xmlns:a14="http://schemas.microsoft.com/office/drawing/2010/main">
                                <a:solidFill>
                                  <a:srgbClr val="FFFFFF"/>
                                </a:solidFill>
                              </a14:hiddenFill>
                            </a:ext>
                          </a:extLst>
                        </pic:spPr>
                      </pic:pic>
                      <wps:wsp>
                        <wps:cNvPr id="8" name="Line 15"/>
                        <wps:cNvCnPr/>
                        <wps:spPr bwMode="auto">
                          <a:xfrm>
                            <a:off x="9950" y="1797"/>
                            <a:ext cx="0" cy="51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2BB49EE" id="Group 13" o:spid="_x0000_s1026" style="position:absolute;margin-left:-4.2pt;margin-top:5pt;width:453pt;height:373.15pt;z-index:251663360" coordorigin="900,1617" coordsize="9060,746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style="position:absolute;left:900;top:1617;width:9060;height:74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L8L2bEAAAA2gAAAA8AAABkcnMvZG93bnJldi54bWxEj0uLAjEQhO+C/yG04EU0oweV0SgiuHpx&#10;YX0g3nonPQ920pmdRB3//WZB8FhU1VfUfNmYUtypdoVlBcNBBII4sbrgTMHpuOlPQTiPrLG0TAqe&#10;5GC5aLfmGGv74C+6H3wmAoRdjApy76tYSpfkZNANbEUcvNTWBn2QdSZ1jY8AN6UcRdFYGiw4LORY&#10;0Tqn5OdwMwrwXI5+t8XO73ury/o7zarP9OOqVLfTrGYgPDX+HX61d1rBBP6vhBsgF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L8L2bEAAAA2gAAAA8AAAAAAAAAAAAAAAAA&#10;nwIAAGRycy9kb3ducmV2LnhtbFBLBQYAAAAABAAEAPcAAACQAwAAAAA=&#10;">
                  <v:imagedata r:id="rId36" o:title=""/>
                </v:shape>
                <v:line id="Line 15" o:spid="_x0000_s1028" style="position:absolute;visibility:visible;mso-wrap-style:square" from="9950,1797" to="9950,6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W+rcEAAADaAAAADwAAAGRycy9kb3ducmV2LnhtbERPz2vCMBS+C/sfwht403QTilSjyMZA&#10;PYi6wTw+m2db17yUJLb1vzcHYceP7/d82ZtatOR8ZVnB2zgBQZxbXXGh4Of7azQF4QOyxtoyKbiT&#10;h+XiZTDHTNuOD9QeQyFiCPsMFZQhNJmUPi/JoB/bhjhyF+sMhghdIbXDLoabWr4nSSoNVhwbSmzo&#10;o6T873gzCnaTfdquNtt1/7tJz/nn4Xy6dk6p4Wu/moEI1Id/8dO91gri1ngl3gC5e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Fb6twQAAANoAAAAPAAAAAAAAAAAAAAAA&#10;AKECAABkcnMvZG93bnJldi54bWxQSwUGAAAAAAQABAD5AAAAjwMAAAAA&#10;"/>
                <w10:wrap type="square"/>
              </v:group>
            </w:pict>
          </mc:Fallback>
        </mc:AlternateContent>
      </w:r>
    </w:p>
    <w:p w:rsidR="0081416D" w:rsidRDefault="00484C96" w:rsidP="00101107">
      <w:pPr>
        <w:pStyle w:val="3"/>
        <w:tabs>
          <w:tab w:val="left" w:pos="0"/>
        </w:tabs>
        <w:spacing w:after="0" w:line="360" w:lineRule="auto"/>
        <w:ind w:left="0"/>
        <w:jc w:val="both"/>
        <w:rPr>
          <w:rFonts w:ascii="Arial" w:hAnsi="Arial" w:cs="Arial"/>
          <w:b/>
          <w:color w:val="000000"/>
          <w:sz w:val="22"/>
          <w:szCs w:val="22"/>
          <w:lang w:val="en-GB"/>
        </w:rPr>
      </w:pPr>
      <w:r>
        <w:rPr>
          <w:noProof/>
          <w:lang w:val="fi-FI" w:eastAsia="fi-FI" w:bidi="ar-SA"/>
        </w:rPr>
        <mc:AlternateContent>
          <mc:Choice Requires="wps">
            <w:drawing>
              <wp:anchor distT="0" distB="0" distL="114300" distR="114300" simplePos="0" relativeHeight="251667456" behindDoc="0" locked="0" layoutInCell="1" allowOverlap="1" wp14:anchorId="3E4E39C6" wp14:editId="5A0B3526">
                <wp:simplePos x="0" y="0"/>
                <wp:positionH relativeFrom="column">
                  <wp:posOffset>-55245</wp:posOffset>
                </wp:positionH>
                <wp:positionV relativeFrom="paragraph">
                  <wp:posOffset>316865</wp:posOffset>
                </wp:positionV>
                <wp:extent cx="5753100" cy="180975"/>
                <wp:effectExtent l="0" t="0" r="0" b="9525"/>
                <wp:wrapSquare wrapText="bothSides"/>
                <wp:docPr id="38" name="Textfeld 38"/>
                <wp:cNvGraphicFramePr/>
                <a:graphic xmlns:a="http://schemas.openxmlformats.org/drawingml/2006/main">
                  <a:graphicData uri="http://schemas.microsoft.com/office/word/2010/wordprocessingShape">
                    <wps:wsp>
                      <wps:cNvSpPr txBox="1"/>
                      <wps:spPr>
                        <a:xfrm>
                          <a:off x="0" y="0"/>
                          <a:ext cx="5753100" cy="180975"/>
                        </a:xfrm>
                        <a:prstGeom prst="rect">
                          <a:avLst/>
                        </a:prstGeom>
                        <a:solidFill>
                          <a:prstClr val="white"/>
                        </a:solidFill>
                        <a:ln>
                          <a:noFill/>
                        </a:ln>
                        <a:effectLst/>
                      </wps:spPr>
                      <wps:txbx>
                        <w:txbxContent>
                          <w:p w:rsidR="00724794" w:rsidRPr="0081416D" w:rsidRDefault="00724794" w:rsidP="00484C96">
                            <w:pPr>
                              <w:pStyle w:val="3"/>
                              <w:tabs>
                                <w:tab w:val="left" w:pos="0"/>
                              </w:tabs>
                              <w:spacing w:after="0" w:line="360" w:lineRule="auto"/>
                              <w:ind w:left="0"/>
                              <w:jc w:val="both"/>
                              <w:rPr>
                                <w:rFonts w:ascii="Arial" w:hAnsi="Arial" w:cs="Arial"/>
                                <w:b/>
                                <w:color w:val="000000"/>
                                <w:sz w:val="22"/>
                                <w:szCs w:val="22"/>
                                <w:lang w:val="en-GB"/>
                              </w:rPr>
                            </w:pPr>
                            <w:bookmarkStart w:id="68" w:name="_Toc392505025"/>
                            <w:r w:rsidRPr="00484C96">
                              <w:rPr>
                                <w:rFonts w:ascii="Arial" w:hAnsi="Arial" w:cs="Arial"/>
                                <w:b/>
                                <w:sz w:val="22"/>
                                <w:szCs w:val="22"/>
                              </w:rPr>
                              <w:t xml:space="preserve">Figure </w:t>
                            </w:r>
                            <w:r w:rsidRPr="00484C96">
                              <w:rPr>
                                <w:rFonts w:ascii="Arial" w:hAnsi="Arial" w:cs="Arial"/>
                                <w:b/>
                                <w:sz w:val="22"/>
                                <w:szCs w:val="22"/>
                              </w:rPr>
                              <w:fldChar w:fldCharType="begin"/>
                            </w:r>
                            <w:r w:rsidRPr="00484C96">
                              <w:rPr>
                                <w:rFonts w:ascii="Arial" w:hAnsi="Arial" w:cs="Arial"/>
                                <w:b/>
                                <w:sz w:val="22"/>
                                <w:szCs w:val="22"/>
                              </w:rPr>
                              <w:instrText xml:space="preserve"> SEQ Figure \* ARABIC </w:instrText>
                            </w:r>
                            <w:r w:rsidRPr="00484C96">
                              <w:rPr>
                                <w:rFonts w:ascii="Arial" w:hAnsi="Arial" w:cs="Arial"/>
                                <w:b/>
                                <w:sz w:val="22"/>
                                <w:szCs w:val="22"/>
                              </w:rPr>
                              <w:fldChar w:fldCharType="separate"/>
                            </w:r>
                            <w:r w:rsidR="002634D4">
                              <w:rPr>
                                <w:rFonts w:ascii="Arial" w:hAnsi="Arial" w:cs="Arial"/>
                                <w:b/>
                                <w:noProof/>
                                <w:sz w:val="22"/>
                                <w:szCs w:val="22"/>
                              </w:rPr>
                              <w:t>2</w:t>
                            </w:r>
                            <w:r w:rsidRPr="00484C96">
                              <w:rPr>
                                <w:rFonts w:ascii="Arial" w:hAnsi="Arial" w:cs="Arial"/>
                                <w:b/>
                                <w:sz w:val="22"/>
                                <w:szCs w:val="22"/>
                              </w:rPr>
                              <w:fldChar w:fldCharType="end"/>
                            </w:r>
                            <w:r w:rsidRPr="00484C96">
                              <w:rPr>
                                <w:rFonts w:ascii="Arial" w:hAnsi="Arial" w:cs="Arial"/>
                                <w:b/>
                                <w:sz w:val="22"/>
                                <w:szCs w:val="22"/>
                              </w:rPr>
                              <w:t xml:space="preserve">: </w:t>
                            </w:r>
                            <w:r w:rsidRPr="00484C96">
                              <w:rPr>
                                <w:rFonts w:ascii="Arial" w:hAnsi="Arial" w:cs="Arial"/>
                                <w:b/>
                                <w:sz w:val="22"/>
                                <w:szCs w:val="22"/>
                                <w:lang w:val="en-GB"/>
                              </w:rPr>
                              <w:t xml:space="preserve">Mean </w:t>
                            </w:r>
                            <w:r w:rsidRPr="0081416D">
                              <w:rPr>
                                <w:rFonts w:ascii="Arial" w:hAnsi="Arial" w:cs="Arial"/>
                                <w:b/>
                                <w:color w:val="000000"/>
                                <w:sz w:val="22"/>
                                <w:szCs w:val="22"/>
                                <w:lang w:val="en-GB"/>
                              </w:rPr>
                              <w:t>duration of resi</w:t>
                            </w:r>
                            <w:r>
                              <w:rPr>
                                <w:rFonts w:ascii="Arial" w:hAnsi="Arial" w:cs="Arial"/>
                                <w:b/>
                                <w:color w:val="000000"/>
                                <w:sz w:val="22"/>
                                <w:szCs w:val="22"/>
                                <w:lang w:val="en-GB"/>
                              </w:rPr>
                              <w:t>dence by ethnic group. MRA 2001</w:t>
                            </w:r>
                            <w:bookmarkEnd w:id="68"/>
                          </w:p>
                          <w:p w:rsidR="00724794" w:rsidRPr="00A516DD" w:rsidRDefault="00724794" w:rsidP="00484C96">
                            <w:pPr>
                              <w:pStyle w:val="Caption"/>
                              <w:rPr>
                                <w:rFonts w:eastAsia="DejaVu Sans" w:cs="Arial"/>
                                <w:noProof/>
                                <w:kern w:val="1"/>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3E4E39C6" id="Textfeld 38" o:spid="_x0000_s1032" type="#_x0000_t202" style="position:absolute;left:0;text-align:left;margin-left:-4.35pt;margin-top:24.95pt;width:453pt;height:14.2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" stroked="f">
                <v:textbox inset="0,0,0,0">
                  <w:txbxContent>
                    <w:p w:rsidR="00724794" w:rsidRPr="0081416D" w:rsidRDefault="00724794" w:rsidP="00484C96">
                      <w:pPr>
                        <w:pStyle w:val="3"/>
                        <w:tabs>
                          <w:tab w:val="left" w:pos="0"/>
                        </w:tabs>
                        <w:spacing w:after="0" w:line="360" w:lineRule="auto"/>
                        <w:ind w:left="0"/>
                        <w:jc w:val="both"/>
                        <w:rPr>
                          <w:rFonts w:ascii="Arial" w:hAnsi="Arial" w:cs="Arial"/>
                          <w:b/>
                          <w:color w:val="000000"/>
                          <w:sz w:val="22"/>
                          <w:szCs w:val="22"/>
                          <w:lang w:val="en-GB"/>
                        </w:rPr>
                      </w:pPr>
                      <w:bookmarkStart w:id="77" w:name="_Toc392505025"/>
                      <w:r w:rsidRPr="00484C96">
                        <w:rPr>
                          <w:rFonts w:ascii="Arial" w:hAnsi="Arial" w:cs="Arial"/>
                          <w:b/>
                          <w:sz w:val="22"/>
                          <w:szCs w:val="22"/>
                        </w:rPr>
                        <w:t xml:space="preserve">Figure </w:t>
                      </w:r>
                      <w:r w:rsidRPr="00484C96">
                        <w:rPr>
                          <w:rFonts w:ascii="Arial" w:hAnsi="Arial" w:cs="Arial"/>
                          <w:b/>
                          <w:sz w:val="22"/>
                          <w:szCs w:val="22"/>
                        </w:rPr>
                        <w:fldChar w:fldCharType="begin"/>
                      </w:r>
                      <w:r w:rsidRPr="00484C96">
                        <w:rPr>
                          <w:rFonts w:ascii="Arial" w:hAnsi="Arial" w:cs="Arial"/>
                          <w:b/>
                          <w:sz w:val="22"/>
                          <w:szCs w:val="22"/>
                        </w:rPr>
                        <w:instrText xml:space="preserve"> SEQ Figure \* ARABIC </w:instrText>
                      </w:r>
                      <w:r w:rsidRPr="00484C96">
                        <w:rPr>
                          <w:rFonts w:ascii="Arial" w:hAnsi="Arial" w:cs="Arial"/>
                          <w:b/>
                          <w:sz w:val="22"/>
                          <w:szCs w:val="22"/>
                        </w:rPr>
                        <w:fldChar w:fldCharType="separate"/>
                      </w:r>
                      <w:r w:rsidR="002634D4">
                        <w:rPr>
                          <w:rFonts w:ascii="Arial" w:hAnsi="Arial" w:cs="Arial"/>
                          <w:b/>
                          <w:noProof/>
                          <w:sz w:val="22"/>
                          <w:szCs w:val="22"/>
                        </w:rPr>
                        <w:t>2</w:t>
                      </w:r>
                      <w:r w:rsidRPr="00484C96">
                        <w:rPr>
                          <w:rFonts w:ascii="Arial" w:hAnsi="Arial" w:cs="Arial"/>
                          <w:b/>
                          <w:sz w:val="22"/>
                          <w:szCs w:val="22"/>
                        </w:rPr>
                        <w:fldChar w:fldCharType="end"/>
                      </w:r>
                      <w:r w:rsidRPr="00484C96">
                        <w:rPr>
                          <w:rFonts w:ascii="Arial" w:hAnsi="Arial" w:cs="Arial"/>
                          <w:b/>
                          <w:sz w:val="22"/>
                          <w:szCs w:val="22"/>
                        </w:rPr>
                        <w:t xml:space="preserve">: </w:t>
                      </w:r>
                      <w:r w:rsidRPr="00484C96">
                        <w:rPr>
                          <w:rFonts w:ascii="Arial" w:hAnsi="Arial" w:cs="Arial"/>
                          <w:b/>
                          <w:sz w:val="22"/>
                          <w:szCs w:val="22"/>
                          <w:lang w:val="en-GB"/>
                        </w:rPr>
                        <w:t xml:space="preserve">Mean </w:t>
                      </w:r>
                      <w:r w:rsidRPr="0081416D">
                        <w:rPr>
                          <w:rFonts w:ascii="Arial" w:hAnsi="Arial" w:cs="Arial"/>
                          <w:b/>
                          <w:color w:val="000000"/>
                          <w:sz w:val="22"/>
                          <w:szCs w:val="22"/>
                          <w:lang w:val="en-GB"/>
                        </w:rPr>
                        <w:t>duration of resi</w:t>
                      </w:r>
                      <w:r>
                        <w:rPr>
                          <w:rFonts w:ascii="Arial" w:hAnsi="Arial" w:cs="Arial"/>
                          <w:b/>
                          <w:color w:val="000000"/>
                          <w:sz w:val="22"/>
                          <w:szCs w:val="22"/>
                          <w:lang w:val="en-GB"/>
                        </w:rPr>
                        <w:t>dence by ethnic group. MRA 2001</w:t>
                      </w:r>
                      <w:bookmarkEnd w:id="77"/>
                    </w:p>
                    <w:p w:rsidR="00724794" w:rsidRPr="00A516DD" w:rsidRDefault="00724794" w:rsidP="00484C96">
                      <w:pPr>
                        <w:pStyle w:val="Kuvaotsikko"/>
                        <w:rPr>
                          <w:rFonts w:eastAsia="DejaVu Sans" w:cs="Arial"/>
                          <w:noProof/>
                          <w:kern w:val="1"/>
                        </w:rPr>
                      </w:pPr>
                    </w:p>
                  </w:txbxContent>
                </v:textbox>
                <w10:wrap type="square"/>
              </v:shape>
            </w:pict>
          </mc:Fallback>
        </mc:AlternateContent>
      </w:r>
    </w:p>
    <w:p w:rsidR="00484C96" w:rsidRPr="00484C96" w:rsidRDefault="00484C96" w:rsidP="00484C96">
      <w:pPr>
        <w:pStyle w:val="3"/>
        <w:spacing w:before="120" w:after="240" w:line="360" w:lineRule="auto"/>
        <w:ind w:left="0"/>
        <w:jc w:val="both"/>
        <w:rPr>
          <w:rFonts w:ascii="Arial" w:hAnsi="Arial" w:cs="Arial"/>
          <w:sz w:val="18"/>
          <w:szCs w:val="18"/>
          <w:lang w:val="en-GB"/>
        </w:rPr>
      </w:pPr>
      <w:r w:rsidRPr="00484C96">
        <w:rPr>
          <w:rFonts w:ascii="Arial" w:hAnsi="Arial" w:cs="Arial"/>
          <w:b/>
          <w:sz w:val="18"/>
          <w:szCs w:val="18"/>
          <w:lang w:val="en-GB"/>
        </w:rPr>
        <w:t>Source:</w:t>
      </w:r>
      <w:r w:rsidRPr="00484C96">
        <w:rPr>
          <w:rFonts w:ascii="Arial" w:hAnsi="Arial" w:cs="Arial"/>
          <w:sz w:val="18"/>
          <w:szCs w:val="18"/>
          <w:lang w:val="en-GB"/>
        </w:rPr>
        <w:t xml:space="preserve"> EKKE-ESYE 2005</w:t>
      </w:r>
    </w:p>
    <w:p w:rsidR="00484C96" w:rsidRDefault="00484C96" w:rsidP="00101107">
      <w:pPr>
        <w:pStyle w:val="3"/>
        <w:spacing w:after="0" w:line="360" w:lineRule="auto"/>
        <w:ind w:left="0"/>
        <w:jc w:val="both"/>
        <w:rPr>
          <w:rFonts w:ascii="Arial" w:hAnsi="Arial" w:cs="Arial"/>
          <w:lang w:val="en-GB"/>
        </w:rPr>
      </w:pPr>
    </w:p>
    <w:p w:rsidR="0081416D" w:rsidRPr="005D011A" w:rsidRDefault="0081416D" w:rsidP="00101107">
      <w:pPr>
        <w:pStyle w:val="3"/>
        <w:spacing w:after="0" w:line="360" w:lineRule="auto"/>
        <w:ind w:left="0"/>
        <w:jc w:val="both"/>
        <w:rPr>
          <w:rFonts w:ascii="Arial" w:hAnsi="Arial" w:cs="Arial"/>
          <w:lang w:val="en-GB"/>
        </w:rPr>
        <w:sectPr w:rsidR="0081416D" w:rsidRPr="005D011A" w:rsidSect="00AC2579">
          <w:pgSz w:w="11906" w:h="16838"/>
          <w:pgMar w:top="1440" w:right="1797" w:bottom="1440" w:left="1797" w:header="720" w:footer="720" w:gutter="0"/>
          <w:cols w:space="720"/>
          <w:docGrid w:linePitch="240"/>
        </w:sectPr>
      </w:pPr>
    </w:p>
    <w:p w:rsidR="00101107" w:rsidRDefault="0021754B" w:rsidP="0021754B">
      <w:pPr>
        <w:pStyle w:val="3"/>
        <w:tabs>
          <w:tab w:val="left" w:pos="1418"/>
        </w:tabs>
        <w:spacing w:after="0" w:line="360" w:lineRule="auto"/>
        <w:ind w:left="284"/>
        <w:jc w:val="both"/>
        <w:rPr>
          <w:rFonts w:ascii="Arial" w:hAnsi="Arial" w:cs="Arial"/>
          <w:b/>
          <w:color w:val="000000"/>
          <w:sz w:val="22"/>
          <w:szCs w:val="22"/>
          <w:lang w:val="en-GB"/>
        </w:rPr>
      </w:pPr>
      <w:r>
        <w:rPr>
          <w:rFonts w:ascii="Arial" w:hAnsi="Arial" w:cs="Arial"/>
          <w:b/>
          <w:noProof/>
          <w:color w:val="000000"/>
          <w:sz w:val="22"/>
          <w:szCs w:val="22"/>
          <w:lang w:val="fi-FI" w:eastAsia="fi-FI" w:bidi="ar-SA"/>
        </w:rPr>
        <w:lastRenderedPageBreak/>
        <w:drawing>
          <wp:anchor distT="0" distB="0" distL="114300" distR="114300" simplePos="0" relativeHeight="251656192" behindDoc="0" locked="0" layoutInCell="1" allowOverlap="1" wp14:anchorId="7B02D2EF" wp14:editId="36631CC0">
            <wp:simplePos x="0" y="0"/>
            <wp:positionH relativeFrom="column">
              <wp:posOffset>-66040</wp:posOffset>
            </wp:positionH>
            <wp:positionV relativeFrom="paragraph">
              <wp:posOffset>145415</wp:posOffset>
            </wp:positionV>
            <wp:extent cx="6512560" cy="4186555"/>
            <wp:effectExtent l="0" t="0" r="21590" b="23495"/>
            <wp:wrapTopAndBottom/>
            <wp:docPr id="37" name="Αντικείμενο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anchor>
        </w:drawing>
      </w:r>
      <w:r w:rsidR="00484C96">
        <w:rPr>
          <w:noProof/>
          <w:lang w:val="fi-FI" w:eastAsia="fi-FI" w:bidi="ar-SA"/>
        </w:rPr>
        <mc:AlternateContent>
          <mc:Choice Requires="wps">
            <w:drawing>
              <wp:anchor distT="0" distB="0" distL="114300" distR="114300" simplePos="0" relativeHeight="251669504" behindDoc="0" locked="0" layoutInCell="1" allowOverlap="1" wp14:anchorId="1352CA3E" wp14:editId="6A2573DA">
                <wp:simplePos x="0" y="0"/>
                <wp:positionH relativeFrom="column">
                  <wp:posOffset>-114935</wp:posOffset>
                </wp:positionH>
                <wp:positionV relativeFrom="paragraph">
                  <wp:posOffset>4389120</wp:posOffset>
                </wp:positionV>
                <wp:extent cx="6512560" cy="635"/>
                <wp:effectExtent l="0" t="0" r="0" b="0"/>
                <wp:wrapNone/>
                <wp:docPr id="44" name="Textfeld 44"/>
                <wp:cNvGraphicFramePr/>
                <a:graphic xmlns:a="http://schemas.openxmlformats.org/drawingml/2006/main">
                  <a:graphicData uri="http://schemas.microsoft.com/office/word/2010/wordprocessingShape">
                    <wps:wsp>
                      <wps:cNvSpPr txBox="1"/>
                      <wps:spPr>
                        <a:xfrm>
                          <a:off x="0" y="0"/>
                          <a:ext cx="6512560" cy="635"/>
                        </a:xfrm>
                        <a:prstGeom prst="rect">
                          <a:avLst/>
                        </a:prstGeom>
                        <a:solidFill>
                          <a:prstClr val="white"/>
                        </a:solidFill>
                        <a:ln>
                          <a:noFill/>
                        </a:ln>
                        <a:effectLst/>
                      </wps:spPr>
                      <wps:txbx>
                        <w:txbxContent>
                          <w:p w:rsidR="00724794" w:rsidRPr="00EB18A8" w:rsidRDefault="00724794" w:rsidP="00484C96">
                            <w:pPr>
                              <w:pStyle w:val="Caption"/>
                              <w:rPr>
                                <w:rFonts w:eastAsia="DejaVu Sans" w:cs="Arial"/>
                                <w:noProof/>
                                <w:color w:val="000000"/>
                                <w:kern w:val="1"/>
                              </w:rPr>
                            </w:pPr>
                            <w:bookmarkStart w:id="69" w:name="_Ref384796673"/>
                            <w:bookmarkStart w:id="70" w:name="_Toc392505026"/>
                            <w:r>
                              <w:t xml:space="preserve">Figure </w:t>
                            </w:r>
                            <w:r w:rsidR="00CC1B00">
                              <w:fldChar w:fldCharType="begin"/>
                            </w:r>
                            <w:r w:rsidR="00CC1B00">
                              <w:instrText xml:space="preserve"> SEQ Figure \* ARABIC </w:instrText>
                            </w:r>
                            <w:r w:rsidR="00CC1B00">
                              <w:fldChar w:fldCharType="separate"/>
                            </w:r>
                            <w:r w:rsidR="002634D4">
                              <w:rPr>
                                <w:noProof/>
                              </w:rPr>
                              <w:t>3</w:t>
                            </w:r>
                            <w:r w:rsidR="00CC1B00">
                              <w:rPr>
                                <w:noProof/>
                              </w:rPr>
                              <w:fldChar w:fldCharType="end"/>
                            </w:r>
                            <w:bookmarkEnd w:id="69"/>
                            <w:r>
                              <w:t xml:space="preserve">: </w:t>
                            </w:r>
                            <w:r w:rsidRPr="00484C96">
                              <w:rPr>
                                <w:rFonts w:cs="Arial"/>
                                <w:color w:val="000000"/>
                                <w:szCs w:val="22"/>
                              </w:rPr>
                              <w:t>Gender distribution by ethnic group. MRA 2001</w:t>
                            </w:r>
                            <w:bookmarkEnd w:id="7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1352CA3E" id="Textfeld 44" o:spid="_x0000_s1033" type="#_x0000_t202" style="position:absolute;left:0;text-align:left;margin-left:-9.05pt;margin-top:345.6pt;width:512.8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" stroked="f">
                <v:textbox style="mso-fit-shape-to-text:t" inset="0,0,0,0">
                  <w:txbxContent>
                    <w:p w:rsidR="00724794" w:rsidRPr="00EB18A8" w:rsidRDefault="00724794" w:rsidP="00484C96">
                      <w:pPr>
                        <w:pStyle w:val="Kuvaotsikko"/>
                        <w:rPr>
                          <w:rFonts w:eastAsia="DejaVu Sans" w:cs="Arial"/>
                          <w:noProof/>
                          <w:color w:val="000000"/>
                          <w:kern w:val="1"/>
                        </w:rPr>
                      </w:pPr>
                      <w:bookmarkStart w:id="80" w:name="_Ref384796673"/>
                      <w:bookmarkStart w:id="81" w:name="_Toc392505026"/>
                      <w:r>
                        <w:t xml:space="preserve">Figure </w:t>
                      </w:r>
                      <w:fldSimple w:instr=" SEQ Figure \* ARABIC ">
                        <w:r w:rsidR="002634D4">
                          <w:rPr>
                            <w:noProof/>
                          </w:rPr>
                          <w:t>3</w:t>
                        </w:r>
                      </w:fldSimple>
                      <w:bookmarkEnd w:id="80"/>
                      <w:r>
                        <w:t xml:space="preserve">: </w:t>
                      </w:r>
                      <w:r w:rsidRPr="00484C96">
                        <w:rPr>
                          <w:rFonts w:cs="Arial"/>
                          <w:color w:val="000000"/>
                          <w:szCs w:val="22"/>
                        </w:rPr>
                        <w:t>Gender distribution by ethnic group. MRA 2001</w:t>
                      </w:r>
                      <w:bookmarkEnd w:id="81"/>
                    </w:p>
                  </w:txbxContent>
                </v:textbox>
              </v:shape>
            </w:pict>
          </mc:Fallback>
        </mc:AlternateContent>
      </w:r>
      <w:r w:rsidR="00101107" w:rsidRPr="0081416D">
        <w:rPr>
          <w:rFonts w:ascii="Arial" w:hAnsi="Arial" w:cs="Arial"/>
          <w:b/>
          <w:color w:val="000000"/>
          <w:sz w:val="22"/>
          <w:szCs w:val="22"/>
          <w:lang w:val="en-GB"/>
        </w:rPr>
        <w:t xml:space="preserve"> </w:t>
      </w:r>
    </w:p>
    <w:p w:rsidR="0021754B" w:rsidRDefault="00484C96" w:rsidP="0021754B">
      <w:pPr>
        <w:pStyle w:val="3"/>
        <w:tabs>
          <w:tab w:val="clear" w:pos="709"/>
          <w:tab w:val="left" w:pos="-284"/>
        </w:tabs>
        <w:spacing w:before="240" w:after="240" w:line="360" w:lineRule="auto"/>
        <w:ind w:left="0" w:hanging="142"/>
        <w:jc w:val="both"/>
        <w:rPr>
          <w:rFonts w:ascii="Arial" w:hAnsi="Arial" w:cs="Arial"/>
          <w:sz w:val="18"/>
          <w:szCs w:val="18"/>
          <w:lang w:val="en-GB"/>
        </w:rPr>
      </w:pPr>
      <w:r w:rsidRPr="00484C96">
        <w:rPr>
          <w:rFonts w:ascii="Arial" w:hAnsi="Arial" w:cs="Arial"/>
          <w:b/>
          <w:sz w:val="18"/>
          <w:szCs w:val="18"/>
          <w:lang w:val="en-GB"/>
        </w:rPr>
        <w:t>Source:</w:t>
      </w:r>
      <w:r w:rsidRPr="00484C96">
        <w:rPr>
          <w:rFonts w:ascii="Arial" w:hAnsi="Arial" w:cs="Arial"/>
          <w:sz w:val="18"/>
          <w:szCs w:val="18"/>
          <w:lang w:val="en-GB"/>
        </w:rPr>
        <w:t xml:space="preserve"> EKKE-ESYE 2005</w:t>
      </w:r>
    </w:p>
    <w:p w:rsidR="0021754B" w:rsidRDefault="0021754B" w:rsidP="0021754B">
      <w:pPr>
        <w:pStyle w:val="3"/>
        <w:tabs>
          <w:tab w:val="clear" w:pos="709"/>
          <w:tab w:val="left" w:pos="-284"/>
        </w:tabs>
        <w:spacing w:before="240" w:after="240" w:line="360" w:lineRule="auto"/>
        <w:ind w:left="0" w:hanging="142"/>
        <w:jc w:val="both"/>
        <w:rPr>
          <w:rFonts w:ascii="Arial" w:hAnsi="Arial" w:cs="Arial"/>
          <w:sz w:val="18"/>
          <w:szCs w:val="18"/>
          <w:lang w:val="en-GB"/>
        </w:rPr>
        <w:sectPr w:rsidR="0021754B" w:rsidSect="0021754B">
          <w:pgSz w:w="16838" w:h="11906" w:orient="landscape"/>
          <w:pgMar w:top="1797" w:right="1440" w:bottom="1797" w:left="1440" w:header="720" w:footer="720" w:gutter="0"/>
          <w:cols w:space="720"/>
          <w:docGrid w:linePitch="240"/>
        </w:sectPr>
      </w:pPr>
    </w:p>
    <w:p w:rsidR="00101107" w:rsidRPr="005D011A" w:rsidRDefault="00484C96" w:rsidP="0021754B">
      <w:pPr>
        <w:pStyle w:val="3"/>
        <w:tabs>
          <w:tab w:val="left" w:pos="0"/>
        </w:tabs>
        <w:spacing w:before="360" w:after="240" w:line="360" w:lineRule="auto"/>
        <w:ind w:left="0"/>
        <w:jc w:val="both"/>
        <w:rPr>
          <w:rFonts w:ascii="Arial" w:hAnsi="Arial" w:cs="Arial"/>
          <w:lang w:val="en-GB"/>
        </w:rPr>
      </w:pPr>
      <w:r>
        <w:rPr>
          <w:noProof/>
          <w:lang w:val="fi-FI" w:eastAsia="fi-FI" w:bidi="ar-SA"/>
        </w:rPr>
        <w:lastRenderedPageBreak/>
        <mc:AlternateContent>
          <mc:Choice Requires="wps">
            <w:drawing>
              <wp:anchor distT="0" distB="0" distL="114300" distR="114300" simplePos="0" relativeHeight="251671552" behindDoc="0" locked="0" layoutInCell="1" allowOverlap="1" wp14:anchorId="39DA6F67" wp14:editId="0BF089E7">
                <wp:simplePos x="0" y="0"/>
                <wp:positionH relativeFrom="column">
                  <wp:posOffset>-360045</wp:posOffset>
                </wp:positionH>
                <wp:positionV relativeFrom="paragraph">
                  <wp:posOffset>4628515</wp:posOffset>
                </wp:positionV>
                <wp:extent cx="5505450" cy="635"/>
                <wp:effectExtent l="0" t="0" r="0" b="0"/>
                <wp:wrapSquare wrapText="bothSides"/>
                <wp:docPr id="45" name="Textfeld 45"/>
                <wp:cNvGraphicFramePr/>
                <a:graphic xmlns:a="http://schemas.openxmlformats.org/drawingml/2006/main">
                  <a:graphicData uri="http://schemas.microsoft.com/office/word/2010/wordprocessingShape">
                    <wps:wsp>
                      <wps:cNvSpPr txBox="1"/>
                      <wps:spPr>
                        <a:xfrm>
                          <a:off x="0" y="0"/>
                          <a:ext cx="5505450" cy="635"/>
                        </a:xfrm>
                        <a:prstGeom prst="rect">
                          <a:avLst/>
                        </a:prstGeom>
                        <a:solidFill>
                          <a:prstClr val="white"/>
                        </a:solidFill>
                        <a:ln>
                          <a:noFill/>
                        </a:ln>
                        <a:effectLst/>
                      </wps:spPr>
                      <wps:txbx>
                        <w:txbxContent>
                          <w:p w:rsidR="00724794" w:rsidRPr="00712356" w:rsidRDefault="00724794" w:rsidP="00F84731">
                            <w:pPr>
                              <w:pStyle w:val="Caption"/>
                              <w:ind w:left="284" w:firstLine="283"/>
                              <w:rPr>
                                <w:rFonts w:eastAsia="DejaVu Sans" w:cs="Arial"/>
                                <w:noProof/>
                                <w:color w:val="000000"/>
                                <w:kern w:val="1"/>
                              </w:rPr>
                            </w:pPr>
                            <w:bookmarkStart w:id="71" w:name="_Ref384796763"/>
                            <w:bookmarkStart w:id="72" w:name="_Toc392505027"/>
                            <w:r>
                              <w:t xml:space="preserve">Figure </w:t>
                            </w:r>
                            <w:r w:rsidR="00CC1B00">
                              <w:fldChar w:fldCharType="begin"/>
                            </w:r>
                            <w:r w:rsidR="00CC1B00">
                              <w:instrText xml:space="preserve"> SEQ Figure \* ARABIC </w:instrText>
                            </w:r>
                            <w:r w:rsidR="00CC1B00">
                              <w:fldChar w:fldCharType="separate"/>
                            </w:r>
                            <w:r w:rsidR="002634D4">
                              <w:rPr>
                                <w:noProof/>
                              </w:rPr>
                              <w:t>4</w:t>
                            </w:r>
                            <w:r w:rsidR="00CC1B00">
                              <w:rPr>
                                <w:noProof/>
                              </w:rPr>
                              <w:fldChar w:fldCharType="end"/>
                            </w:r>
                            <w:bookmarkEnd w:id="71"/>
                            <w:r>
                              <w:t xml:space="preserve">: </w:t>
                            </w:r>
                            <w:r w:rsidRPr="00484C96">
                              <w:rPr>
                                <w:rFonts w:cs="Arial"/>
                                <w:color w:val="000000"/>
                                <w:szCs w:val="22"/>
                              </w:rPr>
                              <w:t>Mean age by ethnic group. MRA, 2001</w:t>
                            </w:r>
                            <w:bookmarkEnd w:id="7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39DA6F67" id="Textfeld 45" o:spid="_x0000_s1034" type="#_x0000_t202" style="position:absolute;left:0;text-align:left;margin-left:-28.35pt;margin-top:364.45pt;width:433.5pt;height:.0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" stroked="f">
                <v:textbox style="mso-fit-shape-to-text:t" inset="0,0,0,0">
                  <w:txbxContent>
                    <w:p w:rsidR="00724794" w:rsidRPr="00712356" w:rsidRDefault="00724794" w:rsidP="00F84731">
                      <w:pPr>
                        <w:pStyle w:val="Kuvaotsikko"/>
                        <w:ind w:left="284" w:firstLine="283"/>
                        <w:rPr>
                          <w:rFonts w:eastAsia="DejaVu Sans" w:cs="Arial"/>
                          <w:noProof/>
                          <w:color w:val="000000"/>
                          <w:kern w:val="1"/>
                        </w:rPr>
                      </w:pPr>
                      <w:bookmarkStart w:id="84" w:name="_Ref384796763"/>
                      <w:bookmarkStart w:id="85" w:name="_Toc392505027"/>
                      <w:r>
                        <w:t xml:space="preserve">Figure </w:t>
                      </w:r>
                      <w:fldSimple w:instr=" SEQ Figure \* ARABIC ">
                        <w:r w:rsidR="002634D4">
                          <w:rPr>
                            <w:noProof/>
                          </w:rPr>
                          <w:t>4</w:t>
                        </w:r>
                      </w:fldSimple>
                      <w:bookmarkEnd w:id="84"/>
                      <w:r>
                        <w:t xml:space="preserve">: </w:t>
                      </w:r>
                      <w:r w:rsidRPr="00484C96">
                        <w:rPr>
                          <w:rFonts w:cs="Arial"/>
                          <w:color w:val="000000"/>
                          <w:szCs w:val="22"/>
                        </w:rPr>
                        <w:t>Mean age by ethnic group. MRA, 2001</w:t>
                      </w:r>
                      <w:bookmarkEnd w:id="85"/>
                    </w:p>
                  </w:txbxContent>
                </v:textbox>
                <w10:wrap type="square"/>
              </v:shape>
            </w:pict>
          </mc:Fallback>
        </mc:AlternateContent>
      </w:r>
      <w:r w:rsidR="00496D1E">
        <w:rPr>
          <w:rFonts w:ascii="Arial" w:hAnsi="Arial" w:cs="Arial"/>
          <w:b/>
          <w:noProof/>
          <w:color w:val="000000"/>
          <w:sz w:val="22"/>
          <w:szCs w:val="22"/>
          <w:lang w:val="fi-FI" w:eastAsia="fi-FI" w:bidi="ar-SA"/>
        </w:rPr>
        <w:drawing>
          <wp:anchor distT="0" distB="0" distL="114300" distR="114300" simplePos="0" relativeHeight="251653120" behindDoc="0" locked="0" layoutInCell="1" allowOverlap="1" wp14:anchorId="25E72156" wp14:editId="2EF69F7C">
            <wp:simplePos x="0" y="0"/>
            <wp:positionH relativeFrom="column">
              <wp:posOffset>-360045</wp:posOffset>
            </wp:positionH>
            <wp:positionV relativeFrom="paragraph">
              <wp:posOffset>38100</wp:posOffset>
            </wp:positionV>
            <wp:extent cx="5505450" cy="4533265"/>
            <wp:effectExtent l="0" t="0" r="0" b="635"/>
            <wp:wrapSquare wrapText="bothSides"/>
            <wp:docPr id="3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cstate="print"/>
                    <a:srcRect/>
                    <a:stretch>
                      <a:fillRect/>
                    </a:stretch>
                  </pic:blipFill>
                  <pic:spPr bwMode="auto">
                    <a:xfrm>
                      <a:off x="0" y="0"/>
                      <a:ext cx="5505450" cy="453326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F84731">
        <w:rPr>
          <w:rFonts w:ascii="Arial" w:hAnsi="Arial" w:cs="Arial"/>
          <w:b/>
          <w:sz w:val="18"/>
          <w:szCs w:val="18"/>
          <w:lang w:val="en-GB"/>
        </w:rPr>
        <w:t>So</w:t>
      </w:r>
      <w:r w:rsidR="00F84731" w:rsidRPr="00F84731">
        <w:rPr>
          <w:rFonts w:ascii="Arial" w:hAnsi="Arial" w:cs="Arial"/>
          <w:b/>
          <w:sz w:val="18"/>
          <w:szCs w:val="18"/>
          <w:lang w:val="en-GB"/>
        </w:rPr>
        <w:t>urce:</w:t>
      </w:r>
      <w:r w:rsidR="00F84731" w:rsidRPr="00F84731">
        <w:rPr>
          <w:rFonts w:ascii="Arial" w:hAnsi="Arial" w:cs="Arial"/>
          <w:sz w:val="18"/>
          <w:szCs w:val="18"/>
          <w:lang w:val="en-GB"/>
        </w:rPr>
        <w:t xml:space="preserve"> EKKE-ESYE 2005</w:t>
      </w:r>
    </w:p>
    <w:p w:rsidR="00101107" w:rsidRPr="005D011A" w:rsidRDefault="00101107" w:rsidP="00101107">
      <w:pPr>
        <w:pStyle w:val="3"/>
        <w:spacing w:after="0" w:line="360" w:lineRule="auto"/>
        <w:ind w:left="0"/>
        <w:jc w:val="both"/>
        <w:rPr>
          <w:rFonts w:ascii="Arial" w:hAnsi="Arial" w:cs="Arial"/>
          <w:lang w:val="en-GB"/>
        </w:rPr>
        <w:sectPr w:rsidR="00101107" w:rsidRPr="005D011A" w:rsidSect="0021754B">
          <w:pgSz w:w="11906" w:h="16838"/>
          <w:pgMar w:top="1440" w:right="1797" w:bottom="1440" w:left="1797" w:header="720" w:footer="720" w:gutter="0"/>
          <w:cols w:space="720"/>
          <w:docGrid w:linePitch="240"/>
        </w:sectPr>
      </w:pPr>
    </w:p>
    <w:p w:rsidR="00496D1E" w:rsidRDefault="0021754B" w:rsidP="00101107">
      <w:pPr>
        <w:pStyle w:val="3"/>
        <w:spacing w:after="0" w:line="360" w:lineRule="auto"/>
        <w:ind w:left="0"/>
        <w:jc w:val="both"/>
        <w:rPr>
          <w:rFonts w:ascii="Arial" w:hAnsi="Arial" w:cs="Arial"/>
          <w:color w:val="000000"/>
          <w:lang w:val="en-GB"/>
        </w:rPr>
      </w:pPr>
      <w:r>
        <w:rPr>
          <w:noProof/>
          <w:lang w:val="fi-FI" w:eastAsia="fi-FI" w:bidi="ar-SA"/>
        </w:rPr>
        <w:lastRenderedPageBreak/>
        <mc:AlternateContent>
          <mc:Choice Requires="wps">
            <w:drawing>
              <wp:anchor distT="0" distB="0" distL="114300" distR="114300" simplePos="0" relativeHeight="251673600" behindDoc="0" locked="0" layoutInCell="1" allowOverlap="1" wp14:anchorId="46511736" wp14:editId="2FF4512E">
                <wp:simplePos x="0" y="0"/>
                <wp:positionH relativeFrom="column">
                  <wp:posOffset>13970</wp:posOffset>
                </wp:positionH>
                <wp:positionV relativeFrom="paragraph">
                  <wp:posOffset>3876675</wp:posOffset>
                </wp:positionV>
                <wp:extent cx="7354570" cy="635"/>
                <wp:effectExtent l="0" t="0" r="0" b="0"/>
                <wp:wrapNone/>
                <wp:docPr id="46" name="Textfeld 46"/>
                <wp:cNvGraphicFramePr/>
                <a:graphic xmlns:a="http://schemas.openxmlformats.org/drawingml/2006/main">
                  <a:graphicData uri="http://schemas.microsoft.com/office/word/2010/wordprocessingShape">
                    <wps:wsp>
                      <wps:cNvSpPr txBox="1"/>
                      <wps:spPr>
                        <a:xfrm>
                          <a:off x="0" y="0"/>
                          <a:ext cx="7354570" cy="635"/>
                        </a:xfrm>
                        <a:prstGeom prst="rect">
                          <a:avLst/>
                        </a:prstGeom>
                        <a:solidFill>
                          <a:prstClr val="white"/>
                        </a:solidFill>
                        <a:ln>
                          <a:noFill/>
                        </a:ln>
                        <a:effectLst/>
                      </wps:spPr>
                      <wps:txbx>
                        <w:txbxContent>
                          <w:p w:rsidR="00724794" w:rsidRPr="006D55FE" w:rsidRDefault="00724794" w:rsidP="0021754B">
                            <w:pPr>
                              <w:pStyle w:val="Caption"/>
                              <w:rPr>
                                <w:rFonts w:eastAsia="DejaVu Sans" w:cs="Arial"/>
                                <w:noProof/>
                                <w:color w:val="000000"/>
                                <w:kern w:val="1"/>
                                <w:sz w:val="24"/>
                                <w:szCs w:val="24"/>
                              </w:rPr>
                            </w:pPr>
                            <w:bookmarkStart w:id="73" w:name="_Ref384797266"/>
                            <w:bookmarkStart w:id="74" w:name="_Toc392505028"/>
                            <w:r>
                              <w:t xml:space="preserve">Figure </w:t>
                            </w:r>
                            <w:r w:rsidR="00CC1B00">
                              <w:fldChar w:fldCharType="begin"/>
                            </w:r>
                            <w:r w:rsidR="00CC1B00">
                              <w:instrText xml:space="preserve"> SEQ Figure \* ARABIC </w:instrText>
                            </w:r>
                            <w:r w:rsidR="00CC1B00">
                              <w:fldChar w:fldCharType="separate"/>
                            </w:r>
                            <w:r w:rsidR="002634D4">
                              <w:rPr>
                                <w:noProof/>
                              </w:rPr>
                              <w:t>5</w:t>
                            </w:r>
                            <w:r w:rsidR="00CC1B00">
                              <w:rPr>
                                <w:noProof/>
                              </w:rPr>
                              <w:fldChar w:fldCharType="end"/>
                            </w:r>
                            <w:bookmarkEnd w:id="73"/>
                            <w:r>
                              <w:t xml:space="preserve">: </w:t>
                            </w:r>
                            <w:r w:rsidRPr="0021754B">
                              <w:rPr>
                                <w:rFonts w:cs="Arial"/>
                                <w:color w:val="000000"/>
                                <w:szCs w:val="22"/>
                              </w:rPr>
                              <w:t>Household structure by ethnic group. MRA, 2001</w:t>
                            </w:r>
                            <w:bookmarkEnd w:id="7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46511736" id="Textfeld 46" o:spid="_x0000_s1035" type="#_x0000_t202" style="position:absolute;left:0;text-align:left;margin-left:1.1pt;margin-top:305.25pt;width:579.1pt;height:.0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" stroked="f">
                <v:textbox style="mso-fit-shape-to-text:t" inset="0,0,0,0">
                  <w:txbxContent>
                    <w:p w:rsidR="00724794" w:rsidRPr="006D55FE" w:rsidRDefault="00724794" w:rsidP="0021754B">
                      <w:pPr>
                        <w:pStyle w:val="Kuvaotsikko"/>
                        <w:rPr>
                          <w:rFonts w:eastAsia="DejaVu Sans" w:cs="Arial"/>
                          <w:noProof/>
                          <w:color w:val="000000"/>
                          <w:kern w:val="1"/>
                          <w:sz w:val="24"/>
                          <w:szCs w:val="24"/>
                        </w:rPr>
                      </w:pPr>
                      <w:bookmarkStart w:id="88" w:name="_Ref384797266"/>
                      <w:bookmarkStart w:id="89" w:name="_Toc392505028"/>
                      <w:r>
                        <w:t xml:space="preserve">Figure </w:t>
                      </w:r>
                      <w:fldSimple w:instr=" SEQ Figure \* ARABIC ">
                        <w:r w:rsidR="002634D4">
                          <w:rPr>
                            <w:noProof/>
                          </w:rPr>
                          <w:t>5</w:t>
                        </w:r>
                      </w:fldSimple>
                      <w:bookmarkEnd w:id="88"/>
                      <w:r>
                        <w:t xml:space="preserve">: </w:t>
                      </w:r>
                      <w:r w:rsidRPr="0021754B">
                        <w:rPr>
                          <w:rFonts w:cs="Arial"/>
                          <w:color w:val="000000"/>
                          <w:szCs w:val="22"/>
                        </w:rPr>
                        <w:t>Household structure by ethnic group. MRA, 2001</w:t>
                      </w:r>
                      <w:bookmarkEnd w:id="89"/>
                    </w:p>
                  </w:txbxContent>
                </v:textbox>
              </v:shape>
            </w:pict>
          </mc:Fallback>
        </mc:AlternateContent>
      </w:r>
      <w:r w:rsidR="00496D1E">
        <w:rPr>
          <w:rFonts w:ascii="Arial" w:hAnsi="Arial" w:cs="Arial"/>
          <w:noProof/>
          <w:color w:val="000000"/>
          <w:lang w:val="fi-FI" w:eastAsia="fi-FI" w:bidi="ar-SA"/>
        </w:rPr>
        <w:drawing>
          <wp:anchor distT="0" distB="0" distL="114300" distR="114300" simplePos="0" relativeHeight="251657216" behindDoc="0" locked="0" layoutInCell="1" allowOverlap="1" wp14:anchorId="4ADB0E07" wp14:editId="50B604D9">
            <wp:simplePos x="0" y="0"/>
            <wp:positionH relativeFrom="column">
              <wp:posOffset>13970</wp:posOffset>
            </wp:positionH>
            <wp:positionV relativeFrom="paragraph">
              <wp:posOffset>210185</wp:posOffset>
            </wp:positionV>
            <wp:extent cx="7354570" cy="3609340"/>
            <wp:effectExtent l="0" t="0" r="17780" b="10160"/>
            <wp:wrapTopAndBottom/>
            <wp:docPr id="35" name="Αντικείμενο 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anchor>
        </w:drawing>
      </w:r>
    </w:p>
    <w:p w:rsidR="00496D1E" w:rsidRPr="00A02C38" w:rsidRDefault="00A02C38" w:rsidP="00A02C38">
      <w:pPr>
        <w:pStyle w:val="3"/>
        <w:spacing w:before="240" w:after="240" w:line="360" w:lineRule="auto"/>
        <w:ind w:left="0"/>
        <w:jc w:val="both"/>
        <w:rPr>
          <w:rFonts w:ascii="Arial" w:hAnsi="Arial" w:cs="Arial"/>
          <w:sz w:val="18"/>
          <w:szCs w:val="18"/>
          <w:lang w:val="en-GB"/>
        </w:rPr>
      </w:pPr>
      <w:r w:rsidRPr="00A02C38">
        <w:rPr>
          <w:rFonts w:ascii="Arial" w:hAnsi="Arial" w:cs="Arial"/>
          <w:b/>
          <w:sz w:val="18"/>
          <w:szCs w:val="18"/>
          <w:lang w:val="en-GB"/>
        </w:rPr>
        <w:t>Source:</w:t>
      </w:r>
      <w:r w:rsidRPr="00A02C38">
        <w:rPr>
          <w:rFonts w:ascii="Arial" w:hAnsi="Arial" w:cs="Arial"/>
          <w:sz w:val="18"/>
          <w:szCs w:val="18"/>
          <w:lang w:val="en-GB"/>
        </w:rPr>
        <w:t xml:space="preserve"> EKKE-ESYE 2005</w:t>
      </w:r>
    </w:p>
    <w:p w:rsidR="00101107" w:rsidRPr="005D011A" w:rsidRDefault="00101107" w:rsidP="00101107">
      <w:pPr>
        <w:pStyle w:val="3"/>
        <w:spacing w:after="0" w:line="360" w:lineRule="auto"/>
        <w:ind w:left="0"/>
        <w:jc w:val="both"/>
        <w:rPr>
          <w:rFonts w:ascii="Arial" w:hAnsi="Arial" w:cs="Arial"/>
          <w:lang w:val="en-GB"/>
        </w:rPr>
        <w:sectPr w:rsidR="00101107" w:rsidRPr="005D011A" w:rsidSect="0021754B">
          <w:pgSz w:w="16838" w:h="11906" w:orient="landscape"/>
          <w:pgMar w:top="1797" w:right="1440" w:bottom="1797" w:left="1440" w:header="720" w:footer="720" w:gutter="0"/>
          <w:cols w:space="720"/>
          <w:docGrid w:linePitch="240"/>
        </w:sectPr>
      </w:pPr>
    </w:p>
    <w:p w:rsidR="005F4516" w:rsidRDefault="00A02C38" w:rsidP="005F4516">
      <w:pPr>
        <w:pStyle w:val="3"/>
        <w:spacing w:after="0" w:line="360" w:lineRule="auto"/>
        <w:ind w:left="0"/>
        <w:jc w:val="both"/>
        <w:rPr>
          <w:rFonts w:ascii="Arial" w:hAnsi="Arial" w:cs="Arial"/>
          <w:sz w:val="22"/>
          <w:szCs w:val="22"/>
          <w:lang w:val="en-GB"/>
        </w:rPr>
      </w:pPr>
      <w:r>
        <w:rPr>
          <w:noProof/>
          <w:lang w:val="fi-FI" w:eastAsia="fi-FI" w:bidi="ar-SA"/>
        </w:rPr>
        <w:lastRenderedPageBreak/>
        <mc:AlternateContent>
          <mc:Choice Requires="wps">
            <w:drawing>
              <wp:anchor distT="0" distB="0" distL="114300" distR="114300" simplePos="0" relativeHeight="251675648" behindDoc="0" locked="0" layoutInCell="1" allowOverlap="1" wp14:anchorId="71E4DEA8" wp14:editId="743ECD76">
                <wp:simplePos x="0" y="0"/>
                <wp:positionH relativeFrom="column">
                  <wp:posOffset>-14605</wp:posOffset>
                </wp:positionH>
                <wp:positionV relativeFrom="paragraph">
                  <wp:posOffset>4925060</wp:posOffset>
                </wp:positionV>
                <wp:extent cx="8304530" cy="635"/>
                <wp:effectExtent l="0" t="0" r="1270" b="6350"/>
                <wp:wrapNone/>
                <wp:docPr id="47" name="Textfeld 47"/>
                <wp:cNvGraphicFramePr/>
                <a:graphic xmlns:a="http://schemas.openxmlformats.org/drawingml/2006/main">
                  <a:graphicData uri="http://schemas.microsoft.com/office/word/2010/wordprocessingShape">
                    <wps:wsp>
                      <wps:cNvSpPr txBox="1"/>
                      <wps:spPr>
                        <a:xfrm>
                          <a:off x="0" y="0"/>
                          <a:ext cx="8304530" cy="635"/>
                        </a:xfrm>
                        <a:prstGeom prst="rect">
                          <a:avLst/>
                        </a:prstGeom>
                        <a:solidFill>
                          <a:prstClr val="white"/>
                        </a:solidFill>
                        <a:ln>
                          <a:noFill/>
                        </a:ln>
                        <a:effectLst/>
                      </wps:spPr>
                      <wps:txbx>
                        <w:txbxContent>
                          <w:p w:rsidR="00724794" w:rsidRPr="008E3051" w:rsidRDefault="00724794" w:rsidP="00A02C38">
                            <w:pPr>
                              <w:pStyle w:val="Caption"/>
                              <w:rPr>
                                <w:rFonts w:eastAsia="DejaVu Sans" w:cs="Arial"/>
                                <w:noProof/>
                                <w:kern w:val="1"/>
                              </w:rPr>
                            </w:pPr>
                            <w:bookmarkStart w:id="75" w:name="_Ref384797393"/>
                            <w:bookmarkStart w:id="76" w:name="_Toc392505029"/>
                            <w:r>
                              <w:t xml:space="preserve">Figure </w:t>
                            </w:r>
                            <w:r w:rsidR="00CC1B00">
                              <w:fldChar w:fldCharType="begin"/>
                            </w:r>
                            <w:r w:rsidR="00CC1B00">
                              <w:instrText xml:space="preserve"> SEQ Figure \* ARABIC </w:instrText>
                            </w:r>
                            <w:r w:rsidR="00CC1B00">
                              <w:fldChar w:fldCharType="separate"/>
                            </w:r>
                            <w:r w:rsidR="002634D4">
                              <w:rPr>
                                <w:noProof/>
                              </w:rPr>
                              <w:t>6</w:t>
                            </w:r>
                            <w:r w:rsidR="00CC1B00">
                              <w:rPr>
                                <w:noProof/>
                              </w:rPr>
                              <w:fldChar w:fldCharType="end"/>
                            </w:r>
                            <w:bookmarkEnd w:id="75"/>
                            <w:r>
                              <w:t xml:space="preserve">: </w:t>
                            </w:r>
                            <w:r w:rsidRPr="00A02C38">
                              <w:rPr>
                                <w:rFonts w:cs="Arial"/>
                                <w:szCs w:val="22"/>
                              </w:rPr>
                              <w:t>Educat</w:t>
                            </w:r>
                            <w:r>
                              <w:rPr>
                                <w:rFonts w:cs="Arial"/>
                                <w:szCs w:val="22"/>
                              </w:rPr>
                              <w:t xml:space="preserve">ion level by age group. Region </w:t>
                            </w:r>
                            <w:r w:rsidRPr="00A02C38">
                              <w:rPr>
                                <w:rFonts w:cs="Arial"/>
                                <w:szCs w:val="22"/>
                              </w:rPr>
                              <w:t>of Attiki</w:t>
                            </w:r>
                            <w:r>
                              <w:rPr>
                                <w:rFonts w:cs="Arial"/>
                                <w:szCs w:val="22"/>
                              </w:rPr>
                              <w:t>, 2001</w:t>
                            </w:r>
                            <w:bookmarkEnd w:id="7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71E4DEA8" id="Textfeld 47" o:spid="_x0000_s1036" type="#_x0000_t202" style="position:absolute;left:0;text-align:left;margin-left:-1.15pt;margin-top:387.8pt;width:653.9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" stroked="f">
                <v:textbox style="mso-fit-shape-to-text:t" inset="0,0,0,0">
                  <w:txbxContent>
                    <w:p w:rsidR="00724794" w:rsidRPr="008E3051" w:rsidRDefault="00724794" w:rsidP="00A02C38">
                      <w:pPr>
                        <w:pStyle w:val="Kuvaotsikko"/>
                        <w:rPr>
                          <w:rFonts w:eastAsia="DejaVu Sans" w:cs="Arial"/>
                          <w:noProof/>
                          <w:kern w:val="1"/>
                        </w:rPr>
                      </w:pPr>
                      <w:bookmarkStart w:id="92" w:name="_Ref384797393"/>
                      <w:bookmarkStart w:id="93" w:name="_Toc392505029"/>
                      <w:r>
                        <w:t xml:space="preserve">Figure </w:t>
                      </w:r>
                      <w:fldSimple w:instr=" SEQ Figure \* ARABIC ">
                        <w:r w:rsidR="002634D4">
                          <w:rPr>
                            <w:noProof/>
                          </w:rPr>
                          <w:t>6</w:t>
                        </w:r>
                      </w:fldSimple>
                      <w:bookmarkEnd w:id="92"/>
                      <w:r>
                        <w:t xml:space="preserve">: </w:t>
                      </w:r>
                      <w:r w:rsidRPr="00A02C38">
                        <w:rPr>
                          <w:rFonts w:cs="Arial"/>
                          <w:szCs w:val="22"/>
                        </w:rPr>
                        <w:t>Educat</w:t>
                      </w:r>
                      <w:r>
                        <w:rPr>
                          <w:rFonts w:cs="Arial"/>
                          <w:szCs w:val="22"/>
                        </w:rPr>
                        <w:t xml:space="preserve">ion level by age group. Region </w:t>
                      </w:r>
                      <w:r w:rsidRPr="00A02C38">
                        <w:rPr>
                          <w:rFonts w:cs="Arial"/>
                          <w:szCs w:val="22"/>
                        </w:rPr>
                        <w:t>of Attiki</w:t>
                      </w:r>
                      <w:r>
                        <w:rPr>
                          <w:rFonts w:cs="Arial"/>
                          <w:szCs w:val="22"/>
                        </w:rPr>
                        <w:t>, 2001</w:t>
                      </w:r>
                      <w:bookmarkEnd w:id="93"/>
                    </w:p>
                  </w:txbxContent>
                </v:textbox>
              </v:shape>
            </w:pict>
          </mc:Fallback>
        </mc:AlternateContent>
      </w:r>
      <w:r w:rsidRPr="005F4516">
        <w:rPr>
          <w:rFonts w:ascii="Arial" w:hAnsi="Arial" w:cs="Arial"/>
          <w:b/>
          <w:noProof/>
          <w:sz w:val="22"/>
          <w:szCs w:val="22"/>
          <w:lang w:val="fi-FI" w:eastAsia="fi-FI" w:bidi="ar-SA"/>
        </w:rPr>
        <w:drawing>
          <wp:anchor distT="0" distB="0" distL="114300" distR="114300" simplePos="0" relativeHeight="251659264" behindDoc="0" locked="0" layoutInCell="1" allowOverlap="1" wp14:anchorId="285D206E" wp14:editId="17B1D97B">
            <wp:simplePos x="0" y="0"/>
            <wp:positionH relativeFrom="column">
              <wp:posOffset>-14605</wp:posOffset>
            </wp:positionH>
            <wp:positionV relativeFrom="paragraph">
              <wp:posOffset>-95885</wp:posOffset>
            </wp:positionV>
            <wp:extent cx="7782560" cy="4919980"/>
            <wp:effectExtent l="0" t="0" r="27940" b="13970"/>
            <wp:wrapTopAndBottom/>
            <wp:docPr id="34" name="Αντικείμενο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margin">
              <wp14:pctWidth>0</wp14:pctWidth>
            </wp14:sizeRelH>
            <wp14:sizeRelV relativeFrom="margin">
              <wp14:pctHeight>0</wp14:pctHeight>
            </wp14:sizeRelV>
          </wp:anchor>
        </w:drawing>
      </w:r>
      <w:r w:rsidR="00101107" w:rsidRPr="005F4516">
        <w:rPr>
          <w:rFonts w:ascii="Arial" w:hAnsi="Arial" w:cs="Arial"/>
          <w:b/>
          <w:sz w:val="22"/>
          <w:szCs w:val="22"/>
          <w:lang w:val="en-GB"/>
        </w:rPr>
        <w:t xml:space="preserve"> </w:t>
      </w:r>
    </w:p>
    <w:p w:rsidR="00A02C38" w:rsidRPr="00A02C38" w:rsidRDefault="00A02C38" w:rsidP="00A02C38">
      <w:pPr>
        <w:pStyle w:val="3"/>
        <w:spacing w:before="360" w:after="240" w:line="360" w:lineRule="auto"/>
        <w:ind w:left="0"/>
        <w:jc w:val="both"/>
        <w:rPr>
          <w:rFonts w:ascii="Arial" w:hAnsi="Arial" w:cs="Arial"/>
          <w:sz w:val="18"/>
          <w:szCs w:val="18"/>
          <w:lang w:val="en-GB"/>
        </w:rPr>
      </w:pPr>
      <w:r w:rsidRPr="00A02C38">
        <w:rPr>
          <w:rFonts w:ascii="Arial" w:hAnsi="Arial" w:cs="Arial"/>
          <w:b/>
          <w:sz w:val="18"/>
          <w:szCs w:val="18"/>
          <w:lang w:val="en-GB"/>
        </w:rPr>
        <w:t>Source:</w:t>
      </w:r>
      <w:r w:rsidRPr="00A02C38">
        <w:rPr>
          <w:rFonts w:ascii="Arial" w:hAnsi="Arial" w:cs="Arial"/>
          <w:sz w:val="18"/>
          <w:szCs w:val="18"/>
          <w:lang w:val="en-GB"/>
        </w:rPr>
        <w:t xml:space="preserve"> EKKE-ESYE 2005</w:t>
      </w:r>
    </w:p>
    <w:p w:rsidR="00101107" w:rsidRPr="005D011A" w:rsidRDefault="00101107" w:rsidP="00101107">
      <w:pPr>
        <w:pStyle w:val="3"/>
        <w:spacing w:after="0" w:line="360" w:lineRule="auto"/>
        <w:ind w:left="0"/>
        <w:jc w:val="both"/>
        <w:rPr>
          <w:rFonts w:ascii="Arial" w:hAnsi="Arial" w:cs="Arial"/>
          <w:lang w:val="en-GB"/>
        </w:rPr>
        <w:sectPr w:rsidR="00101107" w:rsidRPr="005D011A" w:rsidSect="00AC2579">
          <w:pgSz w:w="16838" w:h="11906" w:orient="landscape"/>
          <w:pgMar w:top="1440" w:right="1797" w:bottom="1440" w:left="1797" w:header="720" w:footer="720" w:gutter="0"/>
          <w:cols w:space="720"/>
          <w:docGrid w:linePitch="240"/>
        </w:sectPr>
      </w:pPr>
    </w:p>
    <w:p w:rsidR="005F4516" w:rsidRDefault="00A02C38" w:rsidP="00101107">
      <w:pPr>
        <w:pStyle w:val="3"/>
        <w:spacing w:after="0" w:line="360" w:lineRule="auto"/>
        <w:ind w:left="0"/>
        <w:jc w:val="both"/>
        <w:rPr>
          <w:rFonts w:ascii="Arial" w:hAnsi="Arial" w:cs="Arial"/>
          <w:lang w:val="en-GB"/>
        </w:rPr>
      </w:pPr>
      <w:r>
        <w:rPr>
          <w:noProof/>
          <w:lang w:val="fi-FI" w:eastAsia="fi-FI" w:bidi="ar-SA"/>
        </w:rPr>
        <w:lastRenderedPageBreak/>
        <mc:AlternateContent>
          <mc:Choice Requires="wps">
            <w:drawing>
              <wp:anchor distT="0" distB="0" distL="114300" distR="114300" simplePos="0" relativeHeight="251677696" behindDoc="0" locked="0" layoutInCell="1" allowOverlap="1" wp14:anchorId="1CF0FC08" wp14:editId="64018929">
                <wp:simplePos x="0" y="0"/>
                <wp:positionH relativeFrom="column">
                  <wp:posOffset>-21590</wp:posOffset>
                </wp:positionH>
                <wp:positionV relativeFrom="paragraph">
                  <wp:posOffset>4565015</wp:posOffset>
                </wp:positionV>
                <wp:extent cx="8241665" cy="635"/>
                <wp:effectExtent l="0" t="0" r="0" b="0"/>
                <wp:wrapNone/>
                <wp:docPr id="48" name="Textfeld 48"/>
                <wp:cNvGraphicFramePr/>
                <a:graphic xmlns:a="http://schemas.openxmlformats.org/drawingml/2006/main">
                  <a:graphicData uri="http://schemas.microsoft.com/office/word/2010/wordprocessingShape">
                    <wps:wsp>
                      <wps:cNvSpPr txBox="1"/>
                      <wps:spPr>
                        <a:xfrm>
                          <a:off x="0" y="0"/>
                          <a:ext cx="8241665" cy="635"/>
                        </a:xfrm>
                        <a:prstGeom prst="rect">
                          <a:avLst/>
                        </a:prstGeom>
                        <a:solidFill>
                          <a:prstClr val="white"/>
                        </a:solidFill>
                        <a:ln>
                          <a:noFill/>
                        </a:ln>
                        <a:effectLst/>
                      </wps:spPr>
                      <wps:txbx>
                        <w:txbxContent>
                          <w:p w:rsidR="00724794" w:rsidRPr="004E35CB" w:rsidRDefault="00724794" w:rsidP="00A02C38">
                            <w:pPr>
                              <w:pStyle w:val="Caption"/>
                              <w:rPr>
                                <w:rFonts w:eastAsia="DejaVu Sans" w:cs="Arial"/>
                                <w:noProof/>
                                <w:kern w:val="1"/>
                                <w:sz w:val="24"/>
                                <w:szCs w:val="24"/>
                              </w:rPr>
                            </w:pPr>
                            <w:bookmarkStart w:id="77" w:name="_Ref384797494"/>
                            <w:bookmarkStart w:id="78" w:name="_Toc392505030"/>
                            <w:r>
                              <w:t xml:space="preserve">Figure </w:t>
                            </w:r>
                            <w:r w:rsidR="00CC1B00">
                              <w:fldChar w:fldCharType="begin"/>
                            </w:r>
                            <w:r w:rsidR="00CC1B00">
                              <w:instrText xml:space="preserve"> SEQ Figure \* ARABIC </w:instrText>
                            </w:r>
                            <w:r w:rsidR="00CC1B00">
                              <w:fldChar w:fldCharType="separate"/>
                            </w:r>
                            <w:r w:rsidR="002634D4">
                              <w:rPr>
                                <w:noProof/>
                              </w:rPr>
                              <w:t>7</w:t>
                            </w:r>
                            <w:r w:rsidR="00CC1B00">
                              <w:rPr>
                                <w:noProof/>
                              </w:rPr>
                              <w:fldChar w:fldCharType="end"/>
                            </w:r>
                            <w:bookmarkEnd w:id="77"/>
                            <w:r>
                              <w:t xml:space="preserve">: </w:t>
                            </w:r>
                            <w:r w:rsidRPr="00A02C38">
                              <w:rPr>
                                <w:rFonts w:cs="Arial"/>
                                <w:szCs w:val="22"/>
                              </w:rPr>
                              <w:t>Socioeconomic classification by ethnic group. MRA, 2001</w:t>
                            </w:r>
                            <w:bookmarkEnd w:id="7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1CF0FC08" id="Textfeld 48" o:spid="_x0000_s1037" type="#_x0000_t202" style="position:absolute;left:0;text-align:left;margin-left:-1.7pt;margin-top:359.45pt;width:648.95pt;height:.0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" stroked="f">
                <v:textbox style="mso-fit-shape-to-text:t" inset="0,0,0,0">
                  <w:txbxContent>
                    <w:p w:rsidR="00724794" w:rsidRPr="004E35CB" w:rsidRDefault="00724794" w:rsidP="00A02C38">
                      <w:pPr>
                        <w:pStyle w:val="Kuvaotsikko"/>
                        <w:rPr>
                          <w:rFonts w:eastAsia="DejaVu Sans" w:cs="Arial"/>
                          <w:noProof/>
                          <w:kern w:val="1"/>
                          <w:sz w:val="24"/>
                          <w:szCs w:val="24"/>
                        </w:rPr>
                      </w:pPr>
                      <w:bookmarkStart w:id="96" w:name="_Ref384797494"/>
                      <w:bookmarkStart w:id="97" w:name="_Toc392505030"/>
                      <w:r>
                        <w:t xml:space="preserve">Figure </w:t>
                      </w:r>
                      <w:fldSimple w:instr=" SEQ Figure \* ARABIC ">
                        <w:r w:rsidR="002634D4">
                          <w:rPr>
                            <w:noProof/>
                          </w:rPr>
                          <w:t>7</w:t>
                        </w:r>
                      </w:fldSimple>
                      <w:bookmarkEnd w:id="96"/>
                      <w:r>
                        <w:t xml:space="preserve">: </w:t>
                      </w:r>
                      <w:r w:rsidRPr="00A02C38">
                        <w:rPr>
                          <w:rFonts w:cs="Arial"/>
                          <w:szCs w:val="22"/>
                        </w:rPr>
                        <w:t>Socioeconomic classification by ethnic group. MRA, 2001</w:t>
                      </w:r>
                      <w:bookmarkEnd w:id="97"/>
                    </w:p>
                  </w:txbxContent>
                </v:textbox>
              </v:shape>
            </w:pict>
          </mc:Fallback>
        </mc:AlternateContent>
      </w:r>
      <w:r w:rsidR="005F4516">
        <w:rPr>
          <w:rFonts w:ascii="Arial" w:hAnsi="Arial" w:cs="Arial"/>
          <w:noProof/>
          <w:lang w:val="fi-FI" w:eastAsia="fi-FI" w:bidi="ar-SA"/>
        </w:rPr>
        <w:drawing>
          <wp:anchor distT="0" distB="0" distL="114300" distR="114300" simplePos="0" relativeHeight="251661312" behindDoc="0" locked="0" layoutInCell="1" allowOverlap="1" wp14:anchorId="29F7C3F6" wp14:editId="21257495">
            <wp:simplePos x="0" y="0"/>
            <wp:positionH relativeFrom="column">
              <wp:posOffset>-21590</wp:posOffset>
            </wp:positionH>
            <wp:positionV relativeFrom="paragraph">
              <wp:posOffset>29845</wp:posOffset>
            </wp:positionV>
            <wp:extent cx="8241665" cy="4478020"/>
            <wp:effectExtent l="19050" t="0" r="26035" b="0"/>
            <wp:wrapTopAndBottom/>
            <wp:docPr id="33" name="Αντικείμενο 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anchor>
        </w:drawing>
      </w:r>
    </w:p>
    <w:p w:rsidR="00101107" w:rsidRPr="005D011A" w:rsidRDefault="00A02C38" w:rsidP="00A02C38">
      <w:pPr>
        <w:pStyle w:val="3"/>
        <w:spacing w:before="360" w:after="240" w:line="360" w:lineRule="auto"/>
        <w:ind w:left="0"/>
        <w:jc w:val="both"/>
        <w:rPr>
          <w:rFonts w:ascii="Arial" w:hAnsi="Arial" w:cs="Arial"/>
          <w:lang w:val="en-GB"/>
        </w:rPr>
      </w:pPr>
      <w:r w:rsidRPr="00A02C38">
        <w:rPr>
          <w:rFonts w:ascii="Arial" w:hAnsi="Arial" w:cs="Arial"/>
          <w:b/>
          <w:sz w:val="18"/>
          <w:szCs w:val="18"/>
          <w:lang w:val="en-GB"/>
        </w:rPr>
        <w:t>Source:</w:t>
      </w:r>
      <w:r w:rsidRPr="00A02C38">
        <w:rPr>
          <w:rFonts w:ascii="Arial" w:hAnsi="Arial" w:cs="Arial"/>
          <w:sz w:val="18"/>
          <w:szCs w:val="18"/>
          <w:lang w:val="en-GB"/>
        </w:rPr>
        <w:t xml:space="preserve"> EKKE-ESYE 2005</w:t>
      </w:r>
    </w:p>
    <w:p w:rsidR="00101107" w:rsidRPr="005D011A" w:rsidRDefault="00101107" w:rsidP="00101107">
      <w:pPr>
        <w:pStyle w:val="3"/>
        <w:spacing w:after="0" w:line="360" w:lineRule="auto"/>
        <w:ind w:left="0"/>
        <w:jc w:val="both"/>
        <w:rPr>
          <w:rFonts w:ascii="Arial" w:hAnsi="Arial" w:cs="Arial"/>
          <w:lang w:val="en-GB"/>
        </w:rPr>
      </w:pPr>
    </w:p>
    <w:p w:rsidR="00101107" w:rsidRPr="005D011A" w:rsidRDefault="00101107" w:rsidP="00101107">
      <w:pPr>
        <w:pStyle w:val="3"/>
        <w:spacing w:after="0" w:line="360" w:lineRule="auto"/>
        <w:ind w:left="0"/>
        <w:jc w:val="both"/>
        <w:rPr>
          <w:rFonts w:ascii="Arial" w:hAnsi="Arial" w:cs="Arial"/>
          <w:lang w:val="en-GB"/>
        </w:rPr>
        <w:sectPr w:rsidR="00101107" w:rsidRPr="005D011A" w:rsidSect="00AC2579">
          <w:pgSz w:w="16838" w:h="11906" w:orient="landscape" w:code="9"/>
          <w:pgMar w:top="1440" w:right="1797" w:bottom="1440" w:left="1797" w:header="720" w:footer="720" w:gutter="0"/>
          <w:cols w:space="720"/>
          <w:docGrid w:linePitch="240"/>
        </w:sectPr>
      </w:pPr>
    </w:p>
    <w:p w:rsidR="005F4516" w:rsidRDefault="00D208AB" w:rsidP="00101107">
      <w:pPr>
        <w:pStyle w:val="3"/>
        <w:spacing w:after="0" w:line="360" w:lineRule="auto"/>
        <w:ind w:left="0"/>
        <w:jc w:val="both"/>
        <w:rPr>
          <w:rFonts w:ascii="Arial" w:hAnsi="Arial" w:cs="Arial"/>
          <w:lang w:val="en-GB"/>
        </w:rPr>
      </w:pPr>
      <w:r>
        <w:rPr>
          <w:noProof/>
          <w:lang w:val="fi-FI" w:eastAsia="fi-FI" w:bidi="ar-SA"/>
        </w:rPr>
        <w:lastRenderedPageBreak/>
        <mc:AlternateContent>
          <mc:Choice Requires="wps">
            <w:drawing>
              <wp:anchor distT="0" distB="0" distL="114300" distR="114300" simplePos="0" relativeHeight="251679744" behindDoc="0" locked="0" layoutInCell="1" allowOverlap="1" wp14:anchorId="34F64528" wp14:editId="66C7DEE1">
                <wp:simplePos x="0" y="0"/>
                <wp:positionH relativeFrom="column">
                  <wp:posOffset>-21590</wp:posOffset>
                </wp:positionH>
                <wp:positionV relativeFrom="paragraph">
                  <wp:posOffset>4839970</wp:posOffset>
                </wp:positionV>
                <wp:extent cx="7720330" cy="635"/>
                <wp:effectExtent l="0" t="0" r="0" b="6350"/>
                <wp:wrapNone/>
                <wp:docPr id="49" name="Textfeld 49"/>
                <wp:cNvGraphicFramePr/>
                <a:graphic xmlns:a="http://schemas.openxmlformats.org/drawingml/2006/main">
                  <a:graphicData uri="http://schemas.microsoft.com/office/word/2010/wordprocessingShape">
                    <wps:wsp>
                      <wps:cNvSpPr txBox="1"/>
                      <wps:spPr>
                        <a:xfrm>
                          <a:off x="0" y="0"/>
                          <a:ext cx="7720330" cy="635"/>
                        </a:xfrm>
                        <a:prstGeom prst="rect">
                          <a:avLst/>
                        </a:prstGeom>
                        <a:solidFill>
                          <a:prstClr val="white"/>
                        </a:solidFill>
                        <a:ln>
                          <a:noFill/>
                        </a:ln>
                        <a:effectLst/>
                      </wps:spPr>
                      <wps:txbx>
                        <w:txbxContent>
                          <w:p w:rsidR="00724794" w:rsidRPr="0033044E" w:rsidRDefault="00724794" w:rsidP="00B4355A">
                            <w:pPr>
                              <w:pStyle w:val="Caption"/>
                              <w:rPr>
                                <w:rFonts w:eastAsia="DejaVu Sans" w:cs="Arial"/>
                                <w:noProof/>
                                <w:kern w:val="1"/>
                                <w:sz w:val="24"/>
                                <w:szCs w:val="24"/>
                              </w:rPr>
                            </w:pPr>
                            <w:bookmarkStart w:id="79" w:name="_Ref384797561"/>
                            <w:bookmarkStart w:id="80" w:name="_Toc392505031"/>
                            <w:r>
                              <w:t xml:space="preserve">Figure </w:t>
                            </w:r>
                            <w:r w:rsidR="00CC1B00">
                              <w:fldChar w:fldCharType="begin"/>
                            </w:r>
                            <w:r w:rsidR="00CC1B00">
                              <w:instrText xml:space="preserve"> SEQ Figure \* ARABIC </w:instrText>
                            </w:r>
                            <w:r w:rsidR="00CC1B00">
                              <w:fldChar w:fldCharType="separate"/>
                            </w:r>
                            <w:r w:rsidR="002634D4">
                              <w:rPr>
                                <w:noProof/>
                              </w:rPr>
                              <w:t>8</w:t>
                            </w:r>
                            <w:r w:rsidR="00CC1B00">
                              <w:rPr>
                                <w:noProof/>
                              </w:rPr>
                              <w:fldChar w:fldCharType="end"/>
                            </w:r>
                            <w:bookmarkEnd w:id="79"/>
                            <w:r>
                              <w:t xml:space="preserve">: </w:t>
                            </w:r>
                            <w:r w:rsidRPr="00B4355A">
                              <w:rPr>
                                <w:rFonts w:cs="Arial"/>
                                <w:szCs w:val="22"/>
                              </w:rPr>
                              <w:t>Tenure by ethnic group. MRA, 2001</w:t>
                            </w:r>
                            <w:bookmarkEnd w:id="8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34F64528" id="Textfeld 49" o:spid="_x0000_s1038" type="#_x0000_t202" style="position:absolute;left:0;text-align:left;margin-left:-1.7pt;margin-top:381.1pt;width:607.9pt;height:.0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" stroked="f">
                <v:textbox style="mso-fit-shape-to-text:t" inset="0,0,0,0">
                  <w:txbxContent>
                    <w:p w:rsidR="00724794" w:rsidRPr="0033044E" w:rsidRDefault="00724794" w:rsidP="00B4355A">
                      <w:pPr>
                        <w:pStyle w:val="Kuvaotsikko"/>
                        <w:rPr>
                          <w:rFonts w:eastAsia="DejaVu Sans" w:cs="Arial"/>
                          <w:noProof/>
                          <w:kern w:val="1"/>
                          <w:sz w:val="24"/>
                          <w:szCs w:val="24"/>
                        </w:rPr>
                      </w:pPr>
                      <w:bookmarkStart w:id="100" w:name="_Ref384797561"/>
                      <w:bookmarkStart w:id="101" w:name="_Toc392505031"/>
                      <w:r>
                        <w:t xml:space="preserve">Figure </w:t>
                      </w:r>
                      <w:fldSimple w:instr=" SEQ Figure \* ARABIC ">
                        <w:r w:rsidR="002634D4">
                          <w:rPr>
                            <w:noProof/>
                          </w:rPr>
                          <w:t>8</w:t>
                        </w:r>
                      </w:fldSimple>
                      <w:bookmarkEnd w:id="100"/>
                      <w:r>
                        <w:t xml:space="preserve">: </w:t>
                      </w:r>
                      <w:r w:rsidRPr="00B4355A">
                        <w:rPr>
                          <w:rFonts w:cs="Arial"/>
                          <w:szCs w:val="22"/>
                        </w:rPr>
                        <w:t>Tenure by ethnic group. MRA, 2001</w:t>
                      </w:r>
                      <w:bookmarkEnd w:id="101"/>
                    </w:p>
                  </w:txbxContent>
                </v:textbox>
              </v:shape>
            </w:pict>
          </mc:Fallback>
        </mc:AlternateContent>
      </w:r>
      <w:r>
        <w:rPr>
          <w:rFonts w:ascii="Arial" w:hAnsi="Arial" w:cs="Arial"/>
          <w:noProof/>
          <w:lang w:val="fi-FI" w:eastAsia="fi-FI" w:bidi="ar-SA"/>
        </w:rPr>
        <w:drawing>
          <wp:anchor distT="0" distB="0" distL="114300" distR="114300" simplePos="0" relativeHeight="251662336" behindDoc="0" locked="0" layoutInCell="1" allowOverlap="1" wp14:anchorId="1CBE454B" wp14:editId="4A7502C5">
            <wp:simplePos x="0" y="0"/>
            <wp:positionH relativeFrom="column">
              <wp:posOffset>-24765</wp:posOffset>
            </wp:positionH>
            <wp:positionV relativeFrom="paragraph">
              <wp:posOffset>31750</wp:posOffset>
            </wp:positionV>
            <wp:extent cx="7367905" cy="4624705"/>
            <wp:effectExtent l="0" t="0" r="23495" b="23495"/>
            <wp:wrapTopAndBottom/>
            <wp:docPr id="32" name="Αντικείμενο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margin">
              <wp14:pctWidth>0</wp14:pctWidth>
            </wp14:sizeRelH>
            <wp14:sizeRelV relativeFrom="margin">
              <wp14:pctHeight>0</wp14:pctHeight>
            </wp14:sizeRelV>
          </wp:anchor>
        </w:drawing>
      </w:r>
    </w:p>
    <w:p w:rsidR="00D208AB" w:rsidRPr="005D011A" w:rsidRDefault="00D208AB" w:rsidP="00D208AB">
      <w:pPr>
        <w:pStyle w:val="3"/>
        <w:spacing w:before="480" w:after="240" w:line="360" w:lineRule="auto"/>
        <w:ind w:left="0"/>
        <w:jc w:val="both"/>
        <w:rPr>
          <w:rFonts w:ascii="Arial" w:hAnsi="Arial" w:cs="Arial"/>
          <w:lang w:val="en-GB"/>
        </w:rPr>
      </w:pPr>
      <w:r w:rsidRPr="00A02C38">
        <w:rPr>
          <w:rFonts w:ascii="Arial" w:hAnsi="Arial" w:cs="Arial"/>
          <w:b/>
          <w:sz w:val="18"/>
          <w:szCs w:val="18"/>
          <w:lang w:val="en-GB"/>
        </w:rPr>
        <w:t>Source:</w:t>
      </w:r>
      <w:r w:rsidRPr="00A02C38">
        <w:rPr>
          <w:rFonts w:ascii="Arial" w:hAnsi="Arial" w:cs="Arial"/>
          <w:sz w:val="18"/>
          <w:szCs w:val="18"/>
          <w:lang w:val="en-GB"/>
        </w:rPr>
        <w:t xml:space="preserve"> EKKE-ESYE 2005</w:t>
      </w:r>
    </w:p>
    <w:p w:rsidR="00101107" w:rsidRPr="005D011A" w:rsidRDefault="00101107" w:rsidP="00101107">
      <w:pPr>
        <w:pStyle w:val="3"/>
        <w:spacing w:after="0" w:line="360" w:lineRule="auto"/>
        <w:ind w:left="0"/>
        <w:jc w:val="both"/>
        <w:rPr>
          <w:rFonts w:ascii="Arial" w:hAnsi="Arial" w:cs="Arial"/>
          <w:lang w:val="en-GB"/>
        </w:rPr>
        <w:sectPr w:rsidR="00101107" w:rsidRPr="005D011A" w:rsidSect="00AC2579">
          <w:pgSz w:w="16838" w:h="11906" w:orient="landscape" w:code="9"/>
          <w:pgMar w:top="1440" w:right="1797" w:bottom="1440" w:left="1797" w:header="720" w:footer="720" w:gutter="0"/>
          <w:cols w:space="720"/>
          <w:docGrid w:linePitch="240"/>
        </w:sectPr>
      </w:pPr>
    </w:p>
    <w:p w:rsidR="00D208AB" w:rsidRDefault="00D208AB" w:rsidP="00D208AB">
      <w:pPr>
        <w:pStyle w:val="3"/>
        <w:keepNext/>
        <w:spacing w:after="0" w:line="360" w:lineRule="auto"/>
        <w:ind w:left="0"/>
        <w:jc w:val="both"/>
      </w:pPr>
      <w:r>
        <w:rPr>
          <w:rFonts w:ascii="Arial" w:hAnsi="Arial" w:cs="Arial"/>
          <w:b/>
          <w:noProof/>
          <w:sz w:val="22"/>
          <w:szCs w:val="22"/>
          <w:lang w:val="fi-FI" w:eastAsia="fi-FI" w:bidi="ar-SA"/>
        </w:rPr>
        <w:lastRenderedPageBreak/>
        <w:drawing>
          <wp:inline distT="0" distB="0" distL="0" distR="0" wp14:anchorId="05F82612" wp14:editId="1BD94699">
            <wp:extent cx="5430264" cy="4229100"/>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8_Athens report.jpg"/>
                    <pic:cNvPicPr/>
                  </pic:nvPicPr>
                  <pic:blipFill rotWithShape="1">
                    <a:blip r:embed="rId43">
                      <a:extLst>
                        <a:ext uri="{28A0092B-C50C-407E-A947-70E740481C1C}">
                          <a14:useLocalDpi xmlns:a14="http://schemas.microsoft.com/office/drawing/2010/main" val="0"/>
                        </a:ext>
                      </a:extLst>
                    </a:blip>
                    <a:srcRect r="60830" b="44192"/>
                    <a:stretch/>
                  </pic:blipFill>
                  <pic:spPr bwMode="auto">
                    <a:xfrm>
                      <a:off x="0" y="0"/>
                      <a:ext cx="5438837" cy="4235776"/>
                    </a:xfrm>
                    <a:prstGeom prst="rect">
                      <a:avLst/>
                    </a:prstGeom>
                    <a:ln>
                      <a:noFill/>
                    </a:ln>
                    <a:extLst>
                      <a:ext uri="{53640926-AAD7-44D8-BBD7-CCE9431645EC}">
                        <a14:shadowObscured xmlns:a14="http://schemas.microsoft.com/office/drawing/2010/main"/>
                      </a:ext>
                    </a:extLst>
                  </pic:spPr>
                </pic:pic>
              </a:graphicData>
            </a:graphic>
          </wp:inline>
        </w:drawing>
      </w:r>
    </w:p>
    <w:p w:rsidR="00D208AB" w:rsidRPr="005F4516" w:rsidRDefault="00D208AB" w:rsidP="00D208AB">
      <w:pPr>
        <w:pStyle w:val="3"/>
        <w:spacing w:after="0" w:line="360" w:lineRule="auto"/>
        <w:ind w:left="0"/>
        <w:jc w:val="both"/>
        <w:rPr>
          <w:rFonts w:ascii="Arial" w:hAnsi="Arial" w:cs="Arial"/>
          <w:b/>
          <w:sz w:val="22"/>
          <w:szCs w:val="22"/>
          <w:lang w:val="en-GB"/>
        </w:rPr>
      </w:pPr>
      <w:bookmarkStart w:id="81" w:name="_Toc392505032"/>
      <w:r w:rsidRPr="00D208AB">
        <w:rPr>
          <w:rFonts w:ascii="Arial" w:hAnsi="Arial" w:cs="Arial"/>
          <w:b/>
          <w:sz w:val="22"/>
          <w:szCs w:val="22"/>
        </w:rPr>
        <w:t xml:space="preserve">Figure </w:t>
      </w:r>
      <w:r w:rsidRPr="00D208AB">
        <w:rPr>
          <w:rFonts w:ascii="Arial" w:hAnsi="Arial" w:cs="Arial"/>
          <w:b/>
          <w:sz w:val="22"/>
          <w:szCs w:val="22"/>
        </w:rPr>
        <w:fldChar w:fldCharType="begin"/>
      </w:r>
      <w:r w:rsidRPr="00D208AB">
        <w:rPr>
          <w:rFonts w:ascii="Arial" w:hAnsi="Arial" w:cs="Arial"/>
          <w:b/>
          <w:sz w:val="22"/>
          <w:szCs w:val="22"/>
        </w:rPr>
        <w:instrText xml:space="preserve"> SEQ Figure \* ARABIC </w:instrText>
      </w:r>
      <w:r w:rsidRPr="00D208AB">
        <w:rPr>
          <w:rFonts w:ascii="Arial" w:hAnsi="Arial" w:cs="Arial"/>
          <w:b/>
          <w:sz w:val="22"/>
          <w:szCs w:val="22"/>
        </w:rPr>
        <w:fldChar w:fldCharType="separate"/>
      </w:r>
      <w:r w:rsidR="002634D4">
        <w:rPr>
          <w:rFonts w:ascii="Arial" w:hAnsi="Arial" w:cs="Arial"/>
          <w:b/>
          <w:noProof/>
          <w:sz w:val="22"/>
          <w:szCs w:val="22"/>
        </w:rPr>
        <w:t>9</w:t>
      </w:r>
      <w:r w:rsidRPr="00D208AB">
        <w:rPr>
          <w:rFonts w:ascii="Arial" w:hAnsi="Arial" w:cs="Arial"/>
          <w:b/>
          <w:sz w:val="22"/>
          <w:szCs w:val="22"/>
        </w:rPr>
        <w:fldChar w:fldCharType="end"/>
      </w:r>
      <w:r w:rsidRPr="00D208AB">
        <w:rPr>
          <w:rFonts w:ascii="Arial" w:hAnsi="Arial" w:cs="Arial"/>
          <w:b/>
          <w:sz w:val="22"/>
          <w:szCs w:val="22"/>
        </w:rPr>
        <w:t xml:space="preserve">: </w:t>
      </w:r>
      <w:r w:rsidRPr="00D208AB">
        <w:rPr>
          <w:rFonts w:ascii="Arial" w:hAnsi="Arial" w:cs="Arial"/>
          <w:b/>
          <w:sz w:val="22"/>
          <w:szCs w:val="22"/>
          <w:lang w:val="en-GB"/>
        </w:rPr>
        <w:t>Mean</w:t>
      </w:r>
      <w:r w:rsidRPr="005F4516">
        <w:rPr>
          <w:rFonts w:ascii="Arial" w:hAnsi="Arial" w:cs="Arial"/>
          <w:b/>
          <w:sz w:val="22"/>
          <w:szCs w:val="22"/>
          <w:lang w:val="en-GB"/>
        </w:rPr>
        <w:t xml:space="preserve"> domestic surface by ethnic group. MRA, 2001</w:t>
      </w:r>
      <w:bookmarkEnd w:id="81"/>
    </w:p>
    <w:p w:rsidR="00D208AB" w:rsidRPr="005D011A" w:rsidRDefault="00D208AB" w:rsidP="00D208AB">
      <w:pPr>
        <w:pStyle w:val="3"/>
        <w:spacing w:after="240" w:line="360" w:lineRule="auto"/>
        <w:ind w:left="0"/>
        <w:jc w:val="both"/>
        <w:rPr>
          <w:rFonts w:ascii="Arial" w:hAnsi="Arial" w:cs="Arial"/>
          <w:lang w:val="en-GB"/>
        </w:rPr>
      </w:pPr>
      <w:r w:rsidRPr="00A02C38">
        <w:rPr>
          <w:rFonts w:ascii="Arial" w:hAnsi="Arial" w:cs="Arial"/>
          <w:b/>
          <w:sz w:val="18"/>
          <w:szCs w:val="18"/>
          <w:lang w:val="en-GB"/>
        </w:rPr>
        <w:t>Source:</w:t>
      </w:r>
      <w:r w:rsidRPr="00A02C38">
        <w:rPr>
          <w:rFonts w:ascii="Arial" w:hAnsi="Arial" w:cs="Arial"/>
          <w:sz w:val="18"/>
          <w:szCs w:val="18"/>
          <w:lang w:val="en-GB"/>
        </w:rPr>
        <w:t xml:space="preserve"> EKKE-ESYE 2005</w:t>
      </w:r>
    </w:p>
    <w:p w:rsidR="005F4516" w:rsidRPr="005D011A" w:rsidRDefault="005F4516" w:rsidP="00101107">
      <w:pPr>
        <w:pStyle w:val="3"/>
        <w:spacing w:after="0" w:line="360" w:lineRule="auto"/>
        <w:ind w:left="0"/>
        <w:jc w:val="both"/>
        <w:rPr>
          <w:rFonts w:ascii="Arial" w:hAnsi="Arial" w:cs="Arial"/>
          <w:lang w:val="en-GB"/>
        </w:rPr>
      </w:pPr>
    </w:p>
    <w:p w:rsidR="00101107" w:rsidRPr="005D011A" w:rsidRDefault="00101107" w:rsidP="00101107">
      <w:pPr>
        <w:pStyle w:val="3"/>
        <w:spacing w:after="0" w:line="360" w:lineRule="auto"/>
        <w:ind w:left="0"/>
        <w:jc w:val="both"/>
        <w:rPr>
          <w:rFonts w:ascii="Arial" w:hAnsi="Arial" w:cs="Arial"/>
          <w:lang w:val="en-GB"/>
        </w:rPr>
      </w:pPr>
    </w:p>
    <w:p w:rsidR="00101107" w:rsidRPr="00D208AB" w:rsidRDefault="00101107" w:rsidP="00101107">
      <w:pPr>
        <w:pStyle w:val="3"/>
        <w:spacing w:after="0" w:line="360" w:lineRule="auto"/>
        <w:ind w:left="0"/>
        <w:jc w:val="both"/>
        <w:rPr>
          <w:rFonts w:ascii="Arial" w:hAnsi="Arial" w:cs="Arial"/>
          <w:i/>
          <w:sz w:val="22"/>
          <w:szCs w:val="22"/>
          <w:lang w:val="en-GB"/>
        </w:rPr>
      </w:pPr>
      <w:r w:rsidRPr="005D011A">
        <w:rPr>
          <w:rFonts w:ascii="Arial" w:hAnsi="Arial" w:cs="Arial"/>
          <w:lang w:val="en-GB"/>
        </w:rPr>
        <w:br w:type="page"/>
      </w:r>
      <w:r w:rsidRPr="00D208AB">
        <w:rPr>
          <w:rFonts w:ascii="Arial" w:hAnsi="Arial" w:cs="Arial"/>
          <w:i/>
          <w:sz w:val="22"/>
          <w:szCs w:val="22"/>
          <w:lang w:val="en-GB"/>
        </w:rPr>
        <w:lastRenderedPageBreak/>
        <w:t>Segr</w:t>
      </w:r>
      <w:r w:rsidR="005D011A" w:rsidRPr="00D208AB">
        <w:rPr>
          <w:rFonts w:ascii="Arial" w:hAnsi="Arial" w:cs="Arial"/>
          <w:i/>
          <w:sz w:val="22"/>
          <w:szCs w:val="22"/>
          <w:lang w:val="en-GB"/>
        </w:rPr>
        <w:t>e</w:t>
      </w:r>
      <w:r w:rsidRPr="00D208AB">
        <w:rPr>
          <w:rFonts w:ascii="Arial" w:hAnsi="Arial" w:cs="Arial"/>
          <w:i/>
          <w:sz w:val="22"/>
          <w:szCs w:val="22"/>
          <w:lang w:val="en-GB"/>
        </w:rPr>
        <w:t>gation indices</w:t>
      </w:r>
    </w:p>
    <w:p w:rsidR="00101107" w:rsidRPr="005D011A" w:rsidRDefault="00101107" w:rsidP="00101107">
      <w:pPr>
        <w:pStyle w:val="3"/>
        <w:spacing w:after="0" w:line="360" w:lineRule="auto"/>
        <w:ind w:left="0"/>
        <w:jc w:val="both"/>
        <w:rPr>
          <w:rFonts w:ascii="Arial" w:hAnsi="Arial" w:cs="Arial"/>
          <w:lang w:val="en-GB"/>
        </w:rPr>
      </w:pPr>
    </w:p>
    <w:p w:rsidR="00101107" w:rsidRPr="005D011A" w:rsidRDefault="00101107" w:rsidP="00101107">
      <w:pPr>
        <w:pStyle w:val="3"/>
        <w:tabs>
          <w:tab w:val="clear" w:pos="709"/>
          <w:tab w:val="left" w:pos="0"/>
        </w:tabs>
        <w:spacing w:after="0" w:line="360" w:lineRule="auto"/>
        <w:ind w:left="0" w:firstLine="17"/>
        <w:jc w:val="both"/>
        <w:rPr>
          <w:rFonts w:ascii="Arial" w:hAnsi="Arial" w:cs="Arial"/>
          <w:color w:val="000000"/>
          <w:lang w:val="en-GB"/>
        </w:rPr>
      </w:pPr>
      <w:r w:rsidRPr="005D011A">
        <w:rPr>
          <w:rFonts w:ascii="Arial" w:hAnsi="Arial" w:cs="Arial"/>
          <w:color w:val="000000"/>
          <w:lang w:val="en-GB"/>
        </w:rPr>
        <w:t xml:space="preserve">1. Segregation index. </w:t>
      </w:r>
      <w:r w:rsidRPr="005D011A">
        <w:rPr>
          <w:rFonts w:ascii="Arial" w:hAnsi="Arial" w:cs="Arial"/>
          <w:color w:val="000000"/>
          <w:lang w:val="en-US"/>
        </w:rPr>
        <w:t xml:space="preserve"> </w:t>
      </w:r>
      <w:r w:rsidRPr="005D011A">
        <w:rPr>
          <w:rFonts w:ascii="Arial" w:hAnsi="Arial" w:cs="Arial"/>
          <w:color w:val="000000"/>
          <w:position w:val="-28"/>
          <w:lang w:val="en-US"/>
        </w:rPr>
        <w:object w:dxaOrig="212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6pt;height:33.6pt" o:ole="">
            <v:imagedata r:id="rId44" o:title=""/>
          </v:shape>
          <o:OLEObject Type="Embed" ProgID="Equation.3" ShapeID="_x0000_i1025" DrawAspect="Content" ObjectID="_1475066224" r:id="rId45"/>
        </w:object>
      </w:r>
    </w:p>
    <w:p w:rsidR="00101107" w:rsidRPr="005D011A" w:rsidRDefault="00101107" w:rsidP="00101107">
      <w:pPr>
        <w:pStyle w:val="3"/>
        <w:tabs>
          <w:tab w:val="clear" w:pos="709"/>
          <w:tab w:val="left" w:pos="0"/>
        </w:tabs>
        <w:spacing w:after="0" w:line="360" w:lineRule="auto"/>
        <w:ind w:left="0" w:firstLine="17"/>
        <w:jc w:val="both"/>
        <w:rPr>
          <w:rFonts w:ascii="Arial" w:hAnsi="Arial" w:cs="Arial"/>
          <w:color w:val="000000"/>
          <w:lang w:val="en-GB"/>
        </w:rPr>
      </w:pPr>
      <w:r w:rsidRPr="005D011A">
        <w:rPr>
          <w:rFonts w:ascii="Arial" w:hAnsi="Arial" w:cs="Arial"/>
          <w:color w:val="000000"/>
          <w:lang w:val="en-GB"/>
        </w:rPr>
        <w:t xml:space="preserve">2. Entropy index. </w:t>
      </w:r>
      <w:r w:rsidRPr="005D011A">
        <w:rPr>
          <w:rFonts w:ascii="Arial" w:hAnsi="Arial" w:cs="Arial"/>
          <w:color w:val="000000"/>
          <w:position w:val="-28"/>
          <w:lang w:val="en-GB"/>
        </w:rPr>
        <w:object w:dxaOrig="2260" w:dyaOrig="680">
          <v:shape id="_x0000_i1026" type="#_x0000_t75" style="width:114pt;height:33.6pt" o:ole="">
            <v:imagedata r:id="rId46" o:title=""/>
          </v:shape>
          <o:OLEObject Type="Embed" ProgID="Equation.3" ShapeID="_x0000_i1026" DrawAspect="Content" ObjectID="_1475066225" r:id="rId47"/>
        </w:object>
      </w:r>
    </w:p>
    <w:p w:rsidR="00101107" w:rsidRPr="005D011A" w:rsidRDefault="00101107" w:rsidP="00101107">
      <w:pPr>
        <w:pStyle w:val="3"/>
        <w:tabs>
          <w:tab w:val="clear" w:pos="709"/>
          <w:tab w:val="left" w:pos="0"/>
        </w:tabs>
        <w:spacing w:after="0" w:line="360" w:lineRule="auto"/>
        <w:ind w:left="0" w:firstLine="17"/>
        <w:jc w:val="both"/>
        <w:rPr>
          <w:rFonts w:ascii="Arial" w:hAnsi="Arial" w:cs="Arial"/>
          <w:color w:val="000000"/>
          <w:lang w:val="en-GB"/>
        </w:rPr>
      </w:pPr>
      <w:r w:rsidRPr="005D011A">
        <w:rPr>
          <w:rFonts w:ascii="Arial" w:hAnsi="Arial" w:cs="Arial"/>
          <w:color w:val="000000"/>
          <w:lang w:val="en-GB"/>
        </w:rPr>
        <w:tab/>
        <w:t xml:space="preserve">with </w:t>
      </w:r>
      <w:r w:rsidRPr="005D011A">
        <w:rPr>
          <w:rFonts w:ascii="Arial" w:hAnsi="Arial" w:cs="Arial"/>
          <w:color w:val="000000"/>
          <w:position w:val="-10"/>
          <w:lang w:val="en-GB"/>
        </w:rPr>
        <w:object w:dxaOrig="3560" w:dyaOrig="340">
          <v:shape id="_x0000_i1027" type="#_x0000_t75" style="width:177.65pt;height:15.6pt" o:ole="">
            <v:imagedata r:id="rId48" o:title=""/>
          </v:shape>
          <o:OLEObject Type="Embed" ProgID="Equation.3" ShapeID="_x0000_i1027" DrawAspect="Content" ObjectID="_1475066226" r:id="rId49"/>
        </w:object>
      </w:r>
      <w:r w:rsidRPr="005D011A">
        <w:rPr>
          <w:rFonts w:ascii="Arial" w:hAnsi="Arial" w:cs="Arial"/>
          <w:color w:val="000000"/>
          <w:lang w:val="en-GB"/>
        </w:rPr>
        <w:t xml:space="preserve"> and </w:t>
      </w:r>
      <w:r w:rsidRPr="005D011A">
        <w:rPr>
          <w:rFonts w:ascii="Arial" w:hAnsi="Arial" w:cs="Arial"/>
          <w:color w:val="000000"/>
          <w:position w:val="-12"/>
          <w:lang w:val="en-GB"/>
        </w:rPr>
        <w:object w:dxaOrig="3700" w:dyaOrig="360">
          <v:shape id="_x0000_i1028" type="#_x0000_t75" style="width:183.5pt;height:19.2pt" o:ole="">
            <v:imagedata r:id="rId50" o:title=""/>
          </v:shape>
          <o:OLEObject Type="Embed" ProgID="Equation.3" ShapeID="_x0000_i1028" DrawAspect="Content" ObjectID="_1475066227" r:id="rId51"/>
        </w:object>
      </w:r>
    </w:p>
    <w:p w:rsidR="00101107" w:rsidRPr="005D011A" w:rsidRDefault="00101107" w:rsidP="00101107">
      <w:pPr>
        <w:pStyle w:val="3"/>
        <w:tabs>
          <w:tab w:val="clear" w:pos="709"/>
          <w:tab w:val="left" w:pos="0"/>
        </w:tabs>
        <w:spacing w:after="0" w:line="360" w:lineRule="auto"/>
        <w:ind w:left="0" w:firstLine="17"/>
        <w:jc w:val="both"/>
        <w:rPr>
          <w:rFonts w:ascii="Arial" w:hAnsi="Arial" w:cs="Arial"/>
          <w:color w:val="000000"/>
          <w:lang w:val="en-GB"/>
        </w:rPr>
      </w:pPr>
      <w:r w:rsidRPr="005D011A">
        <w:rPr>
          <w:rFonts w:ascii="Arial" w:hAnsi="Arial" w:cs="Arial"/>
          <w:color w:val="000000"/>
          <w:lang w:val="en-GB"/>
        </w:rPr>
        <w:t xml:space="preserve">3. Delta Index. </w:t>
      </w:r>
      <w:r w:rsidRPr="005D011A">
        <w:rPr>
          <w:rFonts w:ascii="Arial" w:hAnsi="Arial" w:cs="Arial"/>
          <w:color w:val="000000"/>
          <w:position w:val="-28"/>
          <w:lang w:val="en-GB"/>
        </w:rPr>
        <w:object w:dxaOrig="2000" w:dyaOrig="680">
          <v:shape id="_x0000_i1029" type="#_x0000_t75" style="width:99pt;height:33.6pt" o:ole="">
            <v:imagedata r:id="rId52" o:title=""/>
          </v:shape>
          <o:OLEObject Type="Embed" ProgID="Equation.3" ShapeID="_x0000_i1029" DrawAspect="Content" ObjectID="_1475066228" r:id="rId53"/>
        </w:object>
      </w:r>
    </w:p>
    <w:p w:rsidR="00101107" w:rsidRPr="005D011A" w:rsidRDefault="00101107" w:rsidP="00101107">
      <w:pPr>
        <w:pStyle w:val="3"/>
        <w:tabs>
          <w:tab w:val="clear" w:pos="709"/>
          <w:tab w:val="left" w:pos="0"/>
        </w:tabs>
        <w:spacing w:after="0" w:line="360" w:lineRule="auto"/>
        <w:ind w:left="0" w:firstLine="17"/>
        <w:jc w:val="both"/>
        <w:rPr>
          <w:rFonts w:ascii="Arial" w:hAnsi="Arial" w:cs="Arial"/>
          <w:color w:val="000000"/>
          <w:lang w:val="en-GB"/>
        </w:rPr>
      </w:pPr>
      <w:r w:rsidRPr="005D011A">
        <w:rPr>
          <w:rFonts w:ascii="Arial" w:hAnsi="Arial" w:cs="Arial"/>
          <w:color w:val="000000"/>
          <w:lang w:val="en-GB"/>
        </w:rPr>
        <w:t xml:space="preserve">4. Absolute Centralization Index. </w:t>
      </w:r>
      <w:r w:rsidRPr="005D011A">
        <w:rPr>
          <w:rFonts w:ascii="Arial" w:hAnsi="Arial" w:cs="Arial"/>
          <w:color w:val="000000"/>
          <w:position w:val="-30"/>
          <w:lang w:val="en-GB"/>
        </w:rPr>
        <w:object w:dxaOrig="3220" w:dyaOrig="720">
          <v:shape id="_x0000_i1030" type="#_x0000_t75" style="width:159.55pt;height:36.6pt" o:ole="">
            <v:imagedata r:id="rId54" o:title=""/>
          </v:shape>
          <o:OLEObject Type="Embed" ProgID="Equation.3" ShapeID="_x0000_i1030" DrawAspect="Content" ObjectID="_1475066229" r:id="rId55"/>
        </w:object>
      </w:r>
    </w:p>
    <w:p w:rsidR="00101107" w:rsidRPr="005D011A" w:rsidRDefault="00101107" w:rsidP="00101107">
      <w:pPr>
        <w:pStyle w:val="3"/>
        <w:tabs>
          <w:tab w:val="clear" w:pos="709"/>
          <w:tab w:val="left" w:pos="0"/>
        </w:tabs>
        <w:spacing w:after="0" w:line="360" w:lineRule="auto"/>
        <w:ind w:left="0" w:firstLine="17"/>
        <w:jc w:val="both"/>
        <w:rPr>
          <w:rFonts w:ascii="Arial" w:hAnsi="Arial" w:cs="Arial"/>
          <w:color w:val="000000"/>
          <w:lang w:val="en-GB"/>
        </w:rPr>
      </w:pPr>
      <w:r w:rsidRPr="005D011A">
        <w:rPr>
          <w:rFonts w:ascii="Arial" w:hAnsi="Arial" w:cs="Arial"/>
          <w:color w:val="000000"/>
          <w:lang w:val="en-GB"/>
        </w:rPr>
        <w:t>5. Absolute clustering index.</w:t>
      </w:r>
    </w:p>
    <w:p w:rsidR="00101107" w:rsidRPr="005D011A" w:rsidRDefault="00101107" w:rsidP="00101107">
      <w:pPr>
        <w:pStyle w:val="3"/>
        <w:tabs>
          <w:tab w:val="clear" w:pos="709"/>
          <w:tab w:val="left" w:pos="0"/>
        </w:tabs>
        <w:spacing w:after="0" w:line="360" w:lineRule="auto"/>
        <w:ind w:left="0" w:firstLine="17"/>
        <w:jc w:val="both"/>
        <w:rPr>
          <w:rFonts w:ascii="Arial" w:hAnsi="Arial" w:cs="Arial"/>
          <w:color w:val="000000"/>
          <w:lang w:val="en-GB"/>
        </w:rPr>
      </w:pPr>
      <w:r w:rsidRPr="005D011A">
        <w:rPr>
          <w:rFonts w:ascii="Arial" w:hAnsi="Arial" w:cs="Arial"/>
          <w:color w:val="000000"/>
          <w:lang w:val="en-GB"/>
        </w:rPr>
        <w:t xml:space="preserve"> </w:t>
      </w:r>
      <w:r w:rsidRPr="005D011A">
        <w:rPr>
          <w:rFonts w:ascii="Arial" w:hAnsi="Arial" w:cs="Arial"/>
          <w:color w:val="000000"/>
          <w:position w:val="-36"/>
          <w:lang w:val="en-GB"/>
        </w:rPr>
        <w:object w:dxaOrig="8840" w:dyaOrig="840">
          <v:shape id="_x0000_i1031" type="#_x0000_t75" style="width:441.1pt;height:42.6pt" o:ole="">
            <v:imagedata r:id="rId56" o:title=""/>
          </v:shape>
          <o:OLEObject Type="Embed" ProgID="Equation.3" ShapeID="_x0000_i1031" DrawAspect="Content" ObjectID="_1475066230" r:id="rId57"/>
        </w:object>
      </w:r>
    </w:p>
    <w:p w:rsidR="00101107" w:rsidRPr="005D011A" w:rsidRDefault="00101107" w:rsidP="00101107">
      <w:pPr>
        <w:pStyle w:val="3"/>
        <w:tabs>
          <w:tab w:val="clear" w:pos="709"/>
          <w:tab w:val="left" w:pos="0"/>
        </w:tabs>
        <w:spacing w:after="0" w:line="360" w:lineRule="auto"/>
        <w:ind w:left="0" w:firstLine="17"/>
        <w:jc w:val="both"/>
        <w:rPr>
          <w:rFonts w:ascii="Arial" w:hAnsi="Arial" w:cs="Arial"/>
          <w:color w:val="000000"/>
          <w:lang w:val="en-GB"/>
        </w:rPr>
      </w:pPr>
      <w:r w:rsidRPr="005D011A">
        <w:rPr>
          <w:rFonts w:ascii="Arial" w:hAnsi="Arial" w:cs="Arial"/>
          <w:color w:val="000000"/>
          <w:lang w:val="en-GB"/>
        </w:rPr>
        <w:t xml:space="preserve">6. Interaction index. </w:t>
      </w:r>
      <w:r w:rsidRPr="005D011A">
        <w:rPr>
          <w:rFonts w:ascii="Arial" w:hAnsi="Arial" w:cs="Arial"/>
          <w:color w:val="000000"/>
          <w:position w:val="-28"/>
          <w:lang w:val="en-GB"/>
        </w:rPr>
        <w:object w:dxaOrig="2180" w:dyaOrig="680">
          <v:shape id="_x0000_i1032" type="#_x0000_t75" style="width:108.55pt;height:33.6pt" o:ole="">
            <v:imagedata r:id="rId58" o:title=""/>
          </v:shape>
          <o:OLEObject Type="Embed" ProgID="Equation.3" ShapeID="_x0000_i1032" DrawAspect="Content" ObjectID="_1475066231" r:id="rId59"/>
        </w:object>
      </w:r>
    </w:p>
    <w:p w:rsidR="00101107" w:rsidRPr="005D011A" w:rsidRDefault="00101107" w:rsidP="00D208AB">
      <w:pPr>
        <w:pStyle w:val="3"/>
        <w:spacing w:after="0"/>
        <w:ind w:left="0"/>
        <w:jc w:val="both"/>
        <w:rPr>
          <w:rFonts w:ascii="Arial" w:hAnsi="Arial" w:cs="Arial"/>
          <w:lang w:val="en-GB"/>
        </w:rPr>
      </w:pPr>
      <w:r w:rsidRPr="005D011A">
        <w:rPr>
          <w:rFonts w:ascii="Arial" w:hAnsi="Arial" w:cs="Arial"/>
          <w:lang w:val="en-GB"/>
        </w:rPr>
        <w:t>x</w:t>
      </w:r>
      <w:r w:rsidRPr="005D011A">
        <w:rPr>
          <w:rFonts w:ascii="Arial" w:hAnsi="Arial" w:cs="Arial"/>
          <w:kern w:val="24"/>
          <w:vertAlign w:val="subscript"/>
          <w:lang w:val="en-GB"/>
        </w:rPr>
        <w:t>i</w:t>
      </w:r>
      <w:r w:rsidRPr="005D011A">
        <w:rPr>
          <w:rFonts w:ascii="Arial" w:hAnsi="Arial" w:cs="Arial"/>
          <w:kern w:val="24"/>
          <w:vertAlign w:val="subscript"/>
          <w:lang w:val="en-GB"/>
        </w:rPr>
        <w:tab/>
      </w:r>
      <w:r w:rsidRPr="005D011A">
        <w:rPr>
          <w:rFonts w:ascii="Arial" w:hAnsi="Arial" w:cs="Arial"/>
          <w:kern w:val="24"/>
          <w:lang w:val="en-GB"/>
        </w:rPr>
        <w:t>Population</w:t>
      </w:r>
      <w:r w:rsidRPr="005D011A">
        <w:rPr>
          <w:rFonts w:ascii="Arial" w:hAnsi="Arial" w:cs="Arial"/>
          <w:kern w:val="24"/>
          <w:vertAlign w:val="subscript"/>
          <w:lang w:val="en-GB"/>
        </w:rPr>
        <w:t xml:space="preserve"> </w:t>
      </w:r>
      <w:r w:rsidRPr="005D011A">
        <w:rPr>
          <w:rFonts w:ascii="Arial" w:hAnsi="Arial" w:cs="Arial"/>
          <w:lang w:val="en-GB"/>
        </w:rPr>
        <w:t>of group X in spatial unit i</w:t>
      </w:r>
    </w:p>
    <w:p w:rsidR="00101107" w:rsidRPr="005D011A" w:rsidRDefault="00101107" w:rsidP="00D208AB">
      <w:pPr>
        <w:pStyle w:val="3"/>
        <w:spacing w:after="0"/>
        <w:ind w:left="0"/>
        <w:jc w:val="both"/>
        <w:rPr>
          <w:rFonts w:ascii="Arial" w:hAnsi="Arial" w:cs="Arial"/>
          <w:lang w:val="en-GB"/>
        </w:rPr>
      </w:pPr>
      <w:r w:rsidRPr="005D011A">
        <w:rPr>
          <w:rFonts w:ascii="Arial" w:hAnsi="Arial" w:cs="Arial"/>
          <w:lang w:val="en-GB"/>
        </w:rPr>
        <w:t>x</w:t>
      </w:r>
      <w:r w:rsidRPr="005D011A">
        <w:rPr>
          <w:rFonts w:ascii="Arial" w:hAnsi="Arial" w:cs="Arial"/>
          <w:kern w:val="24"/>
          <w:vertAlign w:val="subscript"/>
          <w:lang w:val="en-GB"/>
        </w:rPr>
        <w:t>j</w:t>
      </w:r>
      <w:r w:rsidRPr="005D011A">
        <w:rPr>
          <w:rFonts w:ascii="Arial" w:hAnsi="Arial" w:cs="Arial"/>
          <w:lang w:val="en-GB"/>
        </w:rPr>
        <w:tab/>
      </w:r>
      <w:r w:rsidRPr="005D011A">
        <w:rPr>
          <w:rFonts w:ascii="Arial" w:hAnsi="Arial" w:cs="Arial"/>
          <w:kern w:val="24"/>
          <w:lang w:val="en-GB"/>
        </w:rPr>
        <w:t>Population</w:t>
      </w:r>
      <w:r w:rsidRPr="005D011A">
        <w:rPr>
          <w:rFonts w:ascii="Arial" w:hAnsi="Arial" w:cs="Arial"/>
          <w:kern w:val="24"/>
          <w:vertAlign w:val="subscript"/>
          <w:lang w:val="en-GB"/>
        </w:rPr>
        <w:t xml:space="preserve"> </w:t>
      </w:r>
      <w:r w:rsidRPr="005D011A">
        <w:rPr>
          <w:rFonts w:ascii="Arial" w:hAnsi="Arial" w:cs="Arial"/>
          <w:lang w:val="en-GB"/>
        </w:rPr>
        <w:t>of group X in spatial unit j</w:t>
      </w:r>
    </w:p>
    <w:p w:rsidR="00101107" w:rsidRPr="005D011A" w:rsidRDefault="00101107" w:rsidP="00D208AB">
      <w:pPr>
        <w:pStyle w:val="3"/>
        <w:spacing w:after="0"/>
        <w:ind w:left="0"/>
        <w:jc w:val="both"/>
        <w:rPr>
          <w:rFonts w:ascii="Arial" w:hAnsi="Arial" w:cs="Arial"/>
          <w:lang w:val="en-GB"/>
        </w:rPr>
      </w:pPr>
      <w:r w:rsidRPr="005D011A">
        <w:rPr>
          <w:rFonts w:ascii="Arial" w:hAnsi="Arial" w:cs="Arial"/>
          <w:lang w:val="en-GB"/>
        </w:rPr>
        <w:t>y</w:t>
      </w:r>
      <w:r w:rsidRPr="005D011A">
        <w:rPr>
          <w:rFonts w:ascii="Arial" w:hAnsi="Arial" w:cs="Arial"/>
          <w:kern w:val="24"/>
          <w:vertAlign w:val="subscript"/>
          <w:lang w:val="en-GB"/>
        </w:rPr>
        <w:t>i</w:t>
      </w:r>
      <w:r w:rsidRPr="005D011A">
        <w:rPr>
          <w:rFonts w:ascii="Arial" w:hAnsi="Arial" w:cs="Arial"/>
          <w:lang w:val="en-GB"/>
        </w:rPr>
        <w:tab/>
      </w:r>
      <w:r w:rsidRPr="005D011A">
        <w:rPr>
          <w:rFonts w:ascii="Arial" w:hAnsi="Arial" w:cs="Arial"/>
          <w:kern w:val="24"/>
          <w:lang w:val="en-GB"/>
        </w:rPr>
        <w:t>Population</w:t>
      </w:r>
      <w:r w:rsidRPr="005D011A">
        <w:rPr>
          <w:rFonts w:ascii="Arial" w:hAnsi="Arial" w:cs="Arial"/>
          <w:kern w:val="24"/>
          <w:vertAlign w:val="subscript"/>
          <w:lang w:val="en-GB"/>
        </w:rPr>
        <w:t xml:space="preserve"> </w:t>
      </w:r>
      <w:r w:rsidRPr="005D011A">
        <w:rPr>
          <w:rFonts w:ascii="Arial" w:hAnsi="Arial" w:cs="Arial"/>
          <w:lang w:val="en-GB"/>
        </w:rPr>
        <w:t>of group Y in spatial unit i</w:t>
      </w:r>
    </w:p>
    <w:p w:rsidR="00101107" w:rsidRPr="005D011A" w:rsidRDefault="00101107" w:rsidP="00D208AB">
      <w:pPr>
        <w:pStyle w:val="3"/>
        <w:spacing w:after="0"/>
        <w:ind w:left="0"/>
        <w:jc w:val="both"/>
        <w:rPr>
          <w:rFonts w:ascii="Arial" w:hAnsi="Arial" w:cs="Arial"/>
          <w:lang w:val="en-GB"/>
        </w:rPr>
      </w:pPr>
      <w:r w:rsidRPr="005D011A">
        <w:rPr>
          <w:rFonts w:ascii="Arial" w:hAnsi="Arial" w:cs="Arial"/>
          <w:lang w:val="en-GB"/>
        </w:rPr>
        <w:t>X</w:t>
      </w:r>
      <w:r w:rsidRPr="005D011A">
        <w:rPr>
          <w:rFonts w:ascii="Arial" w:hAnsi="Arial" w:cs="Arial"/>
          <w:lang w:val="en-GB"/>
        </w:rPr>
        <w:tab/>
        <w:t>Total population of group X in metropolitan area</w:t>
      </w:r>
    </w:p>
    <w:p w:rsidR="00101107" w:rsidRPr="005D011A" w:rsidRDefault="00101107" w:rsidP="00D208AB">
      <w:pPr>
        <w:pStyle w:val="3"/>
        <w:spacing w:after="0"/>
        <w:ind w:left="0"/>
        <w:jc w:val="both"/>
        <w:rPr>
          <w:rFonts w:ascii="Arial" w:hAnsi="Arial" w:cs="Arial"/>
          <w:lang w:val="en-GB"/>
        </w:rPr>
      </w:pPr>
      <w:r w:rsidRPr="005D011A">
        <w:rPr>
          <w:rFonts w:ascii="Arial" w:hAnsi="Arial" w:cs="Arial"/>
          <w:lang w:val="en-GB"/>
        </w:rPr>
        <w:t>t</w:t>
      </w:r>
      <w:r w:rsidRPr="005D011A">
        <w:rPr>
          <w:rFonts w:ascii="Arial" w:hAnsi="Arial" w:cs="Arial"/>
          <w:kern w:val="24"/>
          <w:vertAlign w:val="subscript"/>
          <w:lang w:val="en-GB"/>
        </w:rPr>
        <w:t>i</w:t>
      </w:r>
      <w:r w:rsidRPr="005D011A">
        <w:rPr>
          <w:rFonts w:ascii="Arial" w:hAnsi="Arial" w:cs="Arial"/>
          <w:lang w:val="en-GB"/>
        </w:rPr>
        <w:tab/>
        <w:t>Total population in spatial unit i</w:t>
      </w:r>
    </w:p>
    <w:p w:rsidR="00101107" w:rsidRPr="005D011A" w:rsidRDefault="00101107" w:rsidP="00D208AB">
      <w:pPr>
        <w:pStyle w:val="3"/>
        <w:spacing w:after="0"/>
        <w:ind w:left="0"/>
        <w:jc w:val="both"/>
        <w:rPr>
          <w:rFonts w:ascii="Arial" w:hAnsi="Arial" w:cs="Arial"/>
          <w:lang w:val="en-GB"/>
        </w:rPr>
      </w:pPr>
      <w:r w:rsidRPr="005D011A">
        <w:rPr>
          <w:rFonts w:ascii="Arial" w:hAnsi="Arial" w:cs="Arial"/>
          <w:lang w:val="en-GB"/>
        </w:rPr>
        <w:t>t</w:t>
      </w:r>
      <w:r w:rsidRPr="005D011A">
        <w:rPr>
          <w:rFonts w:ascii="Arial" w:hAnsi="Arial" w:cs="Arial"/>
          <w:kern w:val="24"/>
          <w:vertAlign w:val="subscript"/>
          <w:lang w:val="en-GB"/>
        </w:rPr>
        <w:t>j</w:t>
      </w:r>
      <w:r w:rsidRPr="005D011A">
        <w:rPr>
          <w:rFonts w:ascii="Arial" w:hAnsi="Arial" w:cs="Arial"/>
          <w:lang w:val="en-GB"/>
        </w:rPr>
        <w:tab/>
        <w:t>Total population in spatial unit j</w:t>
      </w:r>
    </w:p>
    <w:p w:rsidR="00101107" w:rsidRPr="005D011A" w:rsidRDefault="00101107" w:rsidP="00D208AB">
      <w:pPr>
        <w:pStyle w:val="3"/>
        <w:spacing w:after="0"/>
        <w:ind w:left="0"/>
        <w:jc w:val="both"/>
        <w:rPr>
          <w:rFonts w:ascii="Arial" w:hAnsi="Arial" w:cs="Arial"/>
          <w:lang w:val="en-GB"/>
        </w:rPr>
      </w:pPr>
      <w:r w:rsidRPr="005D011A">
        <w:rPr>
          <w:rFonts w:ascii="Arial" w:hAnsi="Arial" w:cs="Arial"/>
          <w:lang w:val="en-GB"/>
        </w:rPr>
        <w:t>T</w:t>
      </w:r>
      <w:r w:rsidRPr="005D011A">
        <w:rPr>
          <w:rFonts w:ascii="Arial" w:hAnsi="Arial" w:cs="Arial"/>
          <w:lang w:val="en-GB"/>
        </w:rPr>
        <w:tab/>
        <w:t>Total population in the metropolitan area</w:t>
      </w:r>
    </w:p>
    <w:p w:rsidR="00101107" w:rsidRPr="005D011A" w:rsidRDefault="00101107" w:rsidP="00D208AB">
      <w:pPr>
        <w:pStyle w:val="3"/>
        <w:spacing w:after="0"/>
        <w:ind w:left="0"/>
        <w:jc w:val="both"/>
        <w:rPr>
          <w:rFonts w:ascii="Arial" w:hAnsi="Arial" w:cs="Arial"/>
          <w:lang w:val="en-GB"/>
        </w:rPr>
      </w:pPr>
      <w:r w:rsidRPr="005D011A">
        <w:rPr>
          <w:rFonts w:ascii="Arial" w:hAnsi="Arial" w:cs="Arial"/>
          <w:lang w:val="en-GB"/>
        </w:rPr>
        <w:t>P</w:t>
      </w:r>
      <w:r w:rsidRPr="005D011A">
        <w:rPr>
          <w:rFonts w:ascii="Arial" w:hAnsi="Arial" w:cs="Arial"/>
          <w:lang w:val="en-GB"/>
        </w:rPr>
        <w:tab/>
        <w:t>Proportion of group in the metropolitan area (i.e. X/T)</w:t>
      </w:r>
    </w:p>
    <w:p w:rsidR="00101107" w:rsidRPr="005D011A" w:rsidRDefault="00101107" w:rsidP="00D208AB">
      <w:pPr>
        <w:pStyle w:val="3"/>
        <w:spacing w:after="0"/>
        <w:ind w:left="0"/>
        <w:jc w:val="both"/>
        <w:rPr>
          <w:rFonts w:ascii="Arial" w:hAnsi="Arial" w:cs="Arial"/>
          <w:lang w:val="en-GB"/>
        </w:rPr>
      </w:pPr>
      <w:r w:rsidRPr="005D011A">
        <w:rPr>
          <w:rFonts w:ascii="Arial" w:hAnsi="Arial" w:cs="Arial"/>
          <w:lang w:val="en-GB"/>
        </w:rPr>
        <w:t>A</w:t>
      </w:r>
      <w:r w:rsidRPr="005D011A">
        <w:rPr>
          <w:rFonts w:ascii="Arial" w:hAnsi="Arial" w:cs="Arial"/>
          <w:kern w:val="24"/>
          <w:vertAlign w:val="subscript"/>
          <w:lang w:val="en-GB"/>
        </w:rPr>
        <w:t>i</w:t>
      </w:r>
      <w:r w:rsidRPr="005D011A">
        <w:rPr>
          <w:rFonts w:ascii="Arial" w:hAnsi="Arial" w:cs="Arial"/>
          <w:lang w:val="en-GB"/>
        </w:rPr>
        <w:tab/>
        <w:t>Area of spatial unit i</w:t>
      </w:r>
    </w:p>
    <w:p w:rsidR="00101107" w:rsidRPr="005D011A" w:rsidRDefault="00101107" w:rsidP="00D208AB">
      <w:pPr>
        <w:pStyle w:val="3"/>
        <w:spacing w:after="0"/>
        <w:ind w:left="0"/>
        <w:jc w:val="both"/>
        <w:rPr>
          <w:rFonts w:ascii="Arial" w:hAnsi="Arial" w:cs="Arial"/>
          <w:lang w:val="en-GB"/>
        </w:rPr>
      </w:pPr>
      <w:r w:rsidRPr="005D011A">
        <w:rPr>
          <w:rFonts w:ascii="Arial" w:hAnsi="Arial" w:cs="Arial"/>
          <w:lang w:val="en-GB"/>
        </w:rPr>
        <w:t>A</w:t>
      </w:r>
      <w:r w:rsidRPr="005D011A">
        <w:rPr>
          <w:rFonts w:ascii="Arial" w:hAnsi="Arial" w:cs="Arial"/>
          <w:lang w:val="en-GB"/>
        </w:rPr>
        <w:tab/>
        <w:t>Area of metropolitan area</w:t>
      </w:r>
    </w:p>
    <w:p w:rsidR="00101107" w:rsidRPr="005D011A" w:rsidRDefault="00101107" w:rsidP="00D208AB">
      <w:pPr>
        <w:pStyle w:val="3"/>
        <w:spacing w:after="0"/>
        <w:ind w:left="705" w:hanging="705"/>
        <w:jc w:val="both"/>
        <w:rPr>
          <w:rFonts w:ascii="Arial" w:hAnsi="Arial" w:cs="Arial"/>
          <w:lang w:val="en-GB"/>
        </w:rPr>
      </w:pPr>
      <w:r w:rsidRPr="005D011A">
        <w:rPr>
          <w:rFonts w:ascii="Arial" w:hAnsi="Arial" w:cs="Arial"/>
          <w:lang w:val="en-GB"/>
        </w:rPr>
        <w:t>S</w:t>
      </w:r>
      <w:r w:rsidRPr="005D011A">
        <w:rPr>
          <w:rFonts w:ascii="Arial" w:hAnsi="Arial" w:cs="Arial"/>
          <w:kern w:val="24"/>
          <w:vertAlign w:val="subscript"/>
          <w:lang w:val="en-GB"/>
        </w:rPr>
        <w:t>i</w:t>
      </w:r>
      <w:r w:rsidRPr="005D011A">
        <w:rPr>
          <w:rFonts w:ascii="Arial" w:hAnsi="Arial" w:cs="Arial"/>
          <w:lang w:val="en-GB"/>
        </w:rPr>
        <w:tab/>
        <w:t>Cumulative proportion of area of spatial unit i (from 1 to i). Spatial units are sorted by distance from the centre in ascending order.</w:t>
      </w:r>
    </w:p>
    <w:p w:rsidR="00101107" w:rsidRPr="005D011A" w:rsidRDefault="00101107" w:rsidP="00D208AB">
      <w:pPr>
        <w:pStyle w:val="3"/>
        <w:spacing w:after="0"/>
        <w:ind w:left="705" w:hanging="705"/>
        <w:jc w:val="both"/>
        <w:rPr>
          <w:rFonts w:ascii="Arial" w:hAnsi="Arial" w:cs="Arial"/>
          <w:kern w:val="24"/>
          <w:lang w:val="en-GB"/>
        </w:rPr>
      </w:pPr>
      <w:r w:rsidRPr="005D011A">
        <w:rPr>
          <w:rFonts w:ascii="Arial" w:hAnsi="Arial" w:cs="Arial"/>
          <w:lang w:val="en-GB"/>
        </w:rPr>
        <w:t>c</w:t>
      </w:r>
      <w:r w:rsidRPr="005D011A">
        <w:rPr>
          <w:rFonts w:ascii="Arial" w:hAnsi="Arial" w:cs="Arial"/>
          <w:kern w:val="24"/>
          <w:vertAlign w:val="subscript"/>
          <w:lang w:val="en-GB"/>
        </w:rPr>
        <w:t>ij</w:t>
      </w:r>
      <w:r w:rsidRPr="005D011A">
        <w:rPr>
          <w:rFonts w:ascii="Arial" w:hAnsi="Arial" w:cs="Arial"/>
          <w:kern w:val="24"/>
          <w:vertAlign w:val="subscript"/>
          <w:lang w:val="en-GB"/>
        </w:rPr>
        <w:tab/>
      </w:r>
      <w:r w:rsidRPr="005D011A">
        <w:rPr>
          <w:rFonts w:ascii="Arial" w:hAnsi="Arial" w:cs="Arial"/>
          <w:kern w:val="24"/>
          <w:lang w:val="en-GB"/>
        </w:rPr>
        <w:t>1 if units i and j are contiguous; 0 otherwise</w:t>
      </w:r>
    </w:p>
    <w:p w:rsidR="00101107" w:rsidRPr="005D011A" w:rsidRDefault="00101107" w:rsidP="00D208AB">
      <w:pPr>
        <w:pStyle w:val="3"/>
        <w:spacing w:after="0"/>
        <w:ind w:left="705" w:hanging="705"/>
        <w:jc w:val="both"/>
        <w:rPr>
          <w:rFonts w:ascii="Arial" w:hAnsi="Arial" w:cs="Arial"/>
          <w:kern w:val="24"/>
          <w:lang w:val="en-GB"/>
        </w:rPr>
      </w:pPr>
      <w:r w:rsidRPr="005D011A">
        <w:rPr>
          <w:rFonts w:ascii="Arial" w:hAnsi="Arial" w:cs="Arial"/>
          <w:kern w:val="24"/>
          <w:lang w:val="en-GB"/>
        </w:rPr>
        <w:t>n</w:t>
      </w:r>
      <w:r w:rsidRPr="005D011A">
        <w:rPr>
          <w:rFonts w:ascii="Arial" w:hAnsi="Arial" w:cs="Arial"/>
          <w:kern w:val="24"/>
          <w:lang w:val="en-GB"/>
        </w:rPr>
        <w:tab/>
        <w:t>Number of spatial units in the metropolitan area</w:t>
      </w:r>
    </w:p>
    <w:p w:rsidR="00D208AB" w:rsidRDefault="00D208AB" w:rsidP="00101107">
      <w:pPr>
        <w:pStyle w:val="3"/>
        <w:spacing w:after="0" w:line="360" w:lineRule="auto"/>
        <w:ind w:left="705" w:hanging="705"/>
        <w:jc w:val="both"/>
        <w:rPr>
          <w:rFonts w:ascii="Arial" w:hAnsi="Arial" w:cs="Arial"/>
          <w:b/>
          <w:kern w:val="24"/>
          <w:lang w:val="en-GB"/>
        </w:rPr>
      </w:pPr>
    </w:p>
    <w:p w:rsidR="00D208AB" w:rsidRDefault="00D208AB" w:rsidP="00101107">
      <w:pPr>
        <w:pStyle w:val="3"/>
        <w:spacing w:after="0" w:line="360" w:lineRule="auto"/>
        <w:ind w:left="705" w:hanging="705"/>
        <w:jc w:val="both"/>
        <w:rPr>
          <w:rFonts w:ascii="Arial" w:hAnsi="Arial" w:cs="Arial"/>
          <w:b/>
          <w:kern w:val="24"/>
          <w:lang w:val="en-GB"/>
        </w:rPr>
      </w:pPr>
    </w:p>
    <w:p w:rsidR="00D208AB" w:rsidRDefault="00D208AB" w:rsidP="00101107">
      <w:pPr>
        <w:pStyle w:val="3"/>
        <w:spacing w:after="0" w:line="360" w:lineRule="auto"/>
        <w:ind w:left="705" w:hanging="705"/>
        <w:jc w:val="both"/>
        <w:rPr>
          <w:rFonts w:ascii="Arial" w:hAnsi="Arial" w:cs="Arial"/>
          <w:b/>
          <w:kern w:val="24"/>
          <w:lang w:val="en-GB"/>
        </w:rPr>
      </w:pPr>
    </w:p>
    <w:p w:rsidR="00101107" w:rsidRPr="00D208AB" w:rsidRDefault="00101107" w:rsidP="00101107">
      <w:pPr>
        <w:pStyle w:val="3"/>
        <w:spacing w:after="0" w:line="360" w:lineRule="auto"/>
        <w:ind w:left="705" w:hanging="705"/>
        <w:jc w:val="both"/>
        <w:rPr>
          <w:rFonts w:ascii="Arial" w:hAnsi="Arial" w:cs="Arial"/>
          <w:bCs/>
          <w:i/>
          <w:kern w:val="24"/>
          <w:sz w:val="22"/>
          <w:szCs w:val="22"/>
          <w:lang w:val="en-GB"/>
        </w:rPr>
      </w:pPr>
      <w:r w:rsidRPr="00D208AB">
        <w:rPr>
          <w:rFonts w:ascii="Arial" w:hAnsi="Arial" w:cs="Arial"/>
          <w:bCs/>
          <w:i/>
          <w:kern w:val="24"/>
          <w:sz w:val="22"/>
          <w:szCs w:val="22"/>
          <w:lang w:val="en-GB"/>
        </w:rPr>
        <w:lastRenderedPageBreak/>
        <w:t>Regression models: quantific</w:t>
      </w:r>
      <w:r w:rsidR="00D208AB" w:rsidRPr="00D208AB">
        <w:rPr>
          <w:rFonts w:ascii="Arial" w:hAnsi="Arial" w:cs="Arial"/>
          <w:bCs/>
          <w:i/>
          <w:kern w:val="24"/>
          <w:sz w:val="22"/>
          <w:szCs w:val="22"/>
          <w:lang w:val="en-GB"/>
        </w:rPr>
        <w:t>ations of categorical variables</w:t>
      </w:r>
      <w:r w:rsidRPr="00D208AB">
        <w:rPr>
          <w:rFonts w:ascii="Arial" w:hAnsi="Arial" w:cs="Arial"/>
          <w:bCs/>
          <w:i/>
          <w:kern w:val="24"/>
          <w:sz w:val="22"/>
          <w:szCs w:val="22"/>
          <w:lang w:val="en-GB"/>
        </w:rPr>
        <w:t xml:space="preserve"> </w:t>
      </w:r>
    </w:p>
    <w:p w:rsidR="00101107" w:rsidRPr="005D011A" w:rsidRDefault="00101107" w:rsidP="00101107">
      <w:pPr>
        <w:pStyle w:val="3"/>
        <w:spacing w:after="0" w:line="360" w:lineRule="auto"/>
        <w:ind w:left="705" w:hanging="705"/>
        <w:jc w:val="both"/>
        <w:rPr>
          <w:rFonts w:ascii="Arial" w:hAnsi="Arial" w:cs="Arial"/>
          <w:b/>
          <w:kern w:val="24"/>
          <w:sz w:val="22"/>
          <w:szCs w:val="22"/>
          <w:lang w:val="en-GB"/>
        </w:rPr>
      </w:pPr>
    </w:p>
    <w:p w:rsidR="00101107" w:rsidRPr="005D011A" w:rsidRDefault="00101107" w:rsidP="00101107">
      <w:pPr>
        <w:pStyle w:val="3"/>
        <w:spacing w:after="0" w:line="360" w:lineRule="auto"/>
        <w:ind w:left="705" w:hanging="705"/>
        <w:jc w:val="both"/>
        <w:rPr>
          <w:rFonts w:ascii="Arial" w:hAnsi="Arial" w:cs="Arial"/>
          <w:b/>
          <w:kern w:val="24"/>
          <w:sz w:val="22"/>
          <w:szCs w:val="22"/>
          <w:lang w:val="en-GB"/>
        </w:rPr>
      </w:pPr>
      <w:r w:rsidRPr="005D011A">
        <w:rPr>
          <w:rFonts w:ascii="Arial" w:hAnsi="Arial" w:cs="Arial"/>
          <w:b/>
          <w:kern w:val="24"/>
          <w:sz w:val="22"/>
          <w:szCs w:val="22"/>
          <w:lang w:val="en-GB"/>
        </w:rPr>
        <w:t>Model I</w:t>
      </w:r>
    </w:p>
    <w:p w:rsidR="00101107" w:rsidRPr="005D011A" w:rsidRDefault="00101107" w:rsidP="00101107">
      <w:pPr>
        <w:autoSpaceDE w:val="0"/>
        <w:autoSpaceDN w:val="0"/>
        <w:adjustRightInd w:val="0"/>
        <w:rPr>
          <w:rFonts w:cs="Arial"/>
          <w:b/>
          <w:bCs/>
          <w:sz w:val="20"/>
          <w:lang w:eastAsia="el-GR"/>
        </w:rPr>
      </w:pPr>
      <w:r w:rsidRPr="005D011A">
        <w:rPr>
          <w:rFonts w:cs="Arial"/>
          <w:b/>
          <w:bCs/>
          <w:noProof/>
          <w:sz w:val="20"/>
          <w:lang w:val="fi-FI" w:eastAsia="fi-FI"/>
        </w:rPr>
        <w:drawing>
          <wp:inline distT="0" distB="0" distL="0" distR="0" wp14:anchorId="79762F0D" wp14:editId="45F7ECE6">
            <wp:extent cx="2420620" cy="1147445"/>
            <wp:effectExtent l="19050" t="0" r="0" b="0"/>
            <wp:docPr id="31"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0" cstate="print"/>
                    <a:srcRect/>
                    <a:stretch>
                      <a:fillRect/>
                    </a:stretch>
                  </pic:blipFill>
                  <pic:spPr bwMode="auto">
                    <a:xfrm>
                      <a:off x="0" y="0"/>
                      <a:ext cx="2420620" cy="1147445"/>
                    </a:xfrm>
                    <a:prstGeom prst="rect">
                      <a:avLst/>
                    </a:prstGeom>
                    <a:noFill/>
                    <a:ln w="9525">
                      <a:noFill/>
                      <a:miter lim="800000"/>
                      <a:headEnd/>
                      <a:tailEnd/>
                    </a:ln>
                  </pic:spPr>
                </pic:pic>
              </a:graphicData>
            </a:graphic>
          </wp:inline>
        </w:drawing>
      </w:r>
    </w:p>
    <w:p w:rsidR="00101107" w:rsidRPr="005D011A" w:rsidRDefault="00101107" w:rsidP="00101107">
      <w:pPr>
        <w:autoSpaceDE w:val="0"/>
        <w:autoSpaceDN w:val="0"/>
        <w:adjustRightInd w:val="0"/>
        <w:rPr>
          <w:rFonts w:cs="Arial"/>
          <w:sz w:val="20"/>
          <w:lang w:eastAsia="el-GR"/>
        </w:rPr>
      </w:pPr>
    </w:p>
    <w:p w:rsidR="00101107" w:rsidRPr="005D011A" w:rsidRDefault="00101107" w:rsidP="00101107">
      <w:pPr>
        <w:autoSpaceDE w:val="0"/>
        <w:autoSpaceDN w:val="0"/>
        <w:adjustRightInd w:val="0"/>
        <w:rPr>
          <w:rFonts w:cs="Arial"/>
          <w:b/>
          <w:bCs/>
          <w:sz w:val="20"/>
          <w:lang w:eastAsia="el-GR"/>
        </w:rPr>
      </w:pPr>
      <w:r w:rsidRPr="005D011A">
        <w:rPr>
          <w:rFonts w:cs="Arial"/>
          <w:b/>
          <w:bCs/>
          <w:noProof/>
          <w:sz w:val="20"/>
          <w:lang w:val="fi-FI" w:eastAsia="fi-FI"/>
        </w:rPr>
        <w:drawing>
          <wp:inline distT="0" distB="0" distL="0" distR="0" wp14:anchorId="5348120A" wp14:editId="0EE8E559">
            <wp:extent cx="3317240" cy="3997960"/>
            <wp:effectExtent l="19050" t="0" r="0" b="0"/>
            <wp:docPr id="3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cstate="print"/>
                    <a:srcRect/>
                    <a:stretch>
                      <a:fillRect/>
                    </a:stretch>
                  </pic:blipFill>
                  <pic:spPr bwMode="auto">
                    <a:xfrm>
                      <a:off x="0" y="0"/>
                      <a:ext cx="3317240" cy="3997960"/>
                    </a:xfrm>
                    <a:prstGeom prst="rect">
                      <a:avLst/>
                    </a:prstGeom>
                    <a:noFill/>
                    <a:ln w="9525">
                      <a:noFill/>
                      <a:miter lim="800000"/>
                      <a:headEnd/>
                      <a:tailEnd/>
                    </a:ln>
                  </pic:spPr>
                </pic:pic>
              </a:graphicData>
            </a:graphic>
          </wp:inline>
        </w:drawing>
      </w:r>
    </w:p>
    <w:p w:rsidR="00101107" w:rsidRPr="005D011A" w:rsidRDefault="00101107" w:rsidP="00101107">
      <w:pPr>
        <w:autoSpaceDE w:val="0"/>
        <w:autoSpaceDN w:val="0"/>
        <w:adjustRightInd w:val="0"/>
        <w:rPr>
          <w:rFonts w:cs="Arial"/>
          <w:sz w:val="20"/>
          <w:lang w:eastAsia="el-GR"/>
        </w:rPr>
      </w:pPr>
    </w:p>
    <w:p w:rsidR="00101107" w:rsidRPr="005D011A" w:rsidRDefault="00101107" w:rsidP="00101107">
      <w:pPr>
        <w:autoSpaceDE w:val="0"/>
        <w:autoSpaceDN w:val="0"/>
        <w:adjustRightInd w:val="0"/>
        <w:rPr>
          <w:rFonts w:cs="Arial"/>
          <w:b/>
          <w:bCs/>
          <w:sz w:val="20"/>
          <w:lang w:eastAsia="el-GR"/>
        </w:rPr>
      </w:pPr>
      <w:r w:rsidRPr="005D011A">
        <w:rPr>
          <w:rFonts w:cs="Arial"/>
          <w:b/>
          <w:bCs/>
          <w:noProof/>
          <w:sz w:val="20"/>
          <w:lang w:val="fi-FI" w:eastAsia="fi-FI"/>
        </w:rPr>
        <w:lastRenderedPageBreak/>
        <w:drawing>
          <wp:inline distT="0" distB="0" distL="0" distR="0" wp14:anchorId="17B34766" wp14:editId="53C6D325">
            <wp:extent cx="3065780" cy="2420620"/>
            <wp:effectExtent l="19050" t="0" r="1270" b="0"/>
            <wp:docPr id="29"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2" cstate="print"/>
                    <a:srcRect/>
                    <a:stretch>
                      <a:fillRect/>
                    </a:stretch>
                  </pic:blipFill>
                  <pic:spPr bwMode="auto">
                    <a:xfrm>
                      <a:off x="0" y="0"/>
                      <a:ext cx="3065780" cy="2420620"/>
                    </a:xfrm>
                    <a:prstGeom prst="rect">
                      <a:avLst/>
                    </a:prstGeom>
                    <a:noFill/>
                    <a:ln w="9525">
                      <a:noFill/>
                      <a:miter lim="800000"/>
                      <a:headEnd/>
                      <a:tailEnd/>
                    </a:ln>
                  </pic:spPr>
                </pic:pic>
              </a:graphicData>
            </a:graphic>
          </wp:inline>
        </w:drawing>
      </w:r>
    </w:p>
    <w:p w:rsidR="00101107" w:rsidRPr="005D011A" w:rsidRDefault="00101107" w:rsidP="00101107">
      <w:pPr>
        <w:autoSpaceDE w:val="0"/>
        <w:autoSpaceDN w:val="0"/>
        <w:adjustRightInd w:val="0"/>
        <w:rPr>
          <w:rFonts w:cs="Arial"/>
          <w:sz w:val="20"/>
          <w:lang w:eastAsia="el-GR"/>
        </w:rPr>
      </w:pPr>
    </w:p>
    <w:p w:rsidR="00101107" w:rsidRPr="005D011A" w:rsidRDefault="00101107" w:rsidP="00101107">
      <w:pPr>
        <w:autoSpaceDE w:val="0"/>
        <w:autoSpaceDN w:val="0"/>
        <w:adjustRightInd w:val="0"/>
        <w:rPr>
          <w:rFonts w:cs="Arial"/>
          <w:b/>
          <w:bCs/>
          <w:sz w:val="20"/>
          <w:lang w:eastAsia="el-GR"/>
        </w:rPr>
      </w:pPr>
      <w:r w:rsidRPr="005D011A">
        <w:rPr>
          <w:rFonts w:cs="Arial"/>
          <w:b/>
          <w:bCs/>
          <w:noProof/>
          <w:sz w:val="20"/>
          <w:lang w:val="fi-FI" w:eastAsia="fi-FI"/>
        </w:rPr>
        <w:drawing>
          <wp:inline distT="0" distB="0" distL="0" distR="0" wp14:anchorId="0D9F0A09" wp14:editId="2950BBB6">
            <wp:extent cx="3263265" cy="2098040"/>
            <wp:effectExtent l="19050" t="0" r="0" b="0"/>
            <wp:docPr id="28"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3" cstate="print"/>
                    <a:srcRect/>
                    <a:stretch>
                      <a:fillRect/>
                    </a:stretch>
                  </pic:blipFill>
                  <pic:spPr bwMode="auto">
                    <a:xfrm>
                      <a:off x="0" y="0"/>
                      <a:ext cx="3263265" cy="2098040"/>
                    </a:xfrm>
                    <a:prstGeom prst="rect">
                      <a:avLst/>
                    </a:prstGeom>
                    <a:noFill/>
                    <a:ln w="9525">
                      <a:noFill/>
                      <a:miter lim="800000"/>
                      <a:headEnd/>
                      <a:tailEnd/>
                    </a:ln>
                  </pic:spPr>
                </pic:pic>
              </a:graphicData>
            </a:graphic>
          </wp:inline>
        </w:drawing>
      </w:r>
    </w:p>
    <w:p w:rsidR="00101107" w:rsidRPr="005D011A" w:rsidRDefault="00101107" w:rsidP="00101107">
      <w:pPr>
        <w:autoSpaceDE w:val="0"/>
        <w:autoSpaceDN w:val="0"/>
        <w:adjustRightInd w:val="0"/>
        <w:rPr>
          <w:rFonts w:cs="Arial"/>
          <w:sz w:val="20"/>
          <w:lang w:eastAsia="el-GR"/>
        </w:rPr>
      </w:pPr>
    </w:p>
    <w:p w:rsidR="00101107" w:rsidRPr="005D011A" w:rsidRDefault="00101107" w:rsidP="00101107">
      <w:pPr>
        <w:autoSpaceDE w:val="0"/>
        <w:autoSpaceDN w:val="0"/>
        <w:adjustRightInd w:val="0"/>
        <w:rPr>
          <w:rFonts w:cs="Arial"/>
          <w:b/>
          <w:bCs/>
          <w:sz w:val="20"/>
          <w:lang w:eastAsia="el-GR"/>
        </w:rPr>
      </w:pPr>
      <w:r w:rsidRPr="005D011A">
        <w:rPr>
          <w:rFonts w:cs="Arial"/>
          <w:b/>
          <w:bCs/>
          <w:noProof/>
          <w:sz w:val="20"/>
          <w:lang w:val="fi-FI" w:eastAsia="fi-FI"/>
        </w:rPr>
        <w:lastRenderedPageBreak/>
        <w:drawing>
          <wp:inline distT="0" distB="0" distL="0" distR="0" wp14:anchorId="193DF0B0" wp14:editId="784752EC">
            <wp:extent cx="2599690" cy="5486400"/>
            <wp:effectExtent l="19050" t="0" r="0" b="0"/>
            <wp:docPr id="27"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4" cstate="print"/>
                    <a:srcRect/>
                    <a:stretch>
                      <a:fillRect/>
                    </a:stretch>
                  </pic:blipFill>
                  <pic:spPr bwMode="auto">
                    <a:xfrm>
                      <a:off x="0" y="0"/>
                      <a:ext cx="2599690" cy="5486400"/>
                    </a:xfrm>
                    <a:prstGeom prst="rect">
                      <a:avLst/>
                    </a:prstGeom>
                    <a:noFill/>
                    <a:ln w="9525">
                      <a:noFill/>
                      <a:miter lim="800000"/>
                      <a:headEnd/>
                      <a:tailEnd/>
                    </a:ln>
                  </pic:spPr>
                </pic:pic>
              </a:graphicData>
            </a:graphic>
          </wp:inline>
        </w:drawing>
      </w:r>
    </w:p>
    <w:p w:rsidR="00101107" w:rsidRPr="005D011A" w:rsidRDefault="00101107" w:rsidP="00101107">
      <w:pPr>
        <w:autoSpaceDE w:val="0"/>
        <w:autoSpaceDN w:val="0"/>
        <w:adjustRightInd w:val="0"/>
        <w:rPr>
          <w:rFonts w:cs="Arial"/>
          <w:sz w:val="20"/>
          <w:lang w:eastAsia="el-GR"/>
        </w:rPr>
      </w:pPr>
    </w:p>
    <w:p w:rsidR="00101107" w:rsidRPr="00D208AB" w:rsidRDefault="00101107" w:rsidP="00101107">
      <w:pPr>
        <w:pStyle w:val="3"/>
        <w:spacing w:after="0" w:line="360" w:lineRule="auto"/>
        <w:ind w:left="705" w:hanging="705"/>
        <w:jc w:val="both"/>
        <w:rPr>
          <w:rFonts w:ascii="Arial" w:hAnsi="Arial" w:cs="Arial"/>
          <w:b/>
          <w:sz w:val="22"/>
          <w:szCs w:val="22"/>
          <w:lang w:val="en-GB"/>
        </w:rPr>
      </w:pPr>
      <w:r w:rsidRPr="005D011A">
        <w:rPr>
          <w:rFonts w:ascii="Arial" w:hAnsi="Arial" w:cs="Arial"/>
          <w:lang w:val="en-GB"/>
        </w:rPr>
        <w:br w:type="page"/>
      </w:r>
      <w:r w:rsidRPr="00D208AB">
        <w:rPr>
          <w:rFonts w:ascii="Arial" w:hAnsi="Arial" w:cs="Arial"/>
          <w:b/>
          <w:sz w:val="22"/>
          <w:szCs w:val="22"/>
          <w:lang w:val="en-GB"/>
        </w:rPr>
        <w:lastRenderedPageBreak/>
        <w:t>Model II</w:t>
      </w:r>
    </w:p>
    <w:p w:rsidR="00101107" w:rsidRPr="005D011A" w:rsidRDefault="00101107" w:rsidP="00101107">
      <w:pPr>
        <w:autoSpaceDE w:val="0"/>
        <w:autoSpaceDN w:val="0"/>
        <w:adjustRightInd w:val="0"/>
        <w:rPr>
          <w:rFonts w:cs="Arial"/>
          <w:b/>
          <w:bCs/>
          <w:sz w:val="20"/>
          <w:lang w:eastAsia="el-GR"/>
        </w:rPr>
      </w:pPr>
      <w:r w:rsidRPr="005D011A">
        <w:rPr>
          <w:rFonts w:cs="Arial"/>
          <w:b/>
          <w:bCs/>
          <w:noProof/>
          <w:sz w:val="20"/>
          <w:lang w:val="fi-FI" w:eastAsia="fi-FI"/>
        </w:rPr>
        <w:drawing>
          <wp:inline distT="0" distB="0" distL="0" distR="0" wp14:anchorId="63451068" wp14:editId="6B935C8A">
            <wp:extent cx="2420620" cy="1147445"/>
            <wp:effectExtent l="19050" t="0" r="0" b="0"/>
            <wp:docPr id="26" name="Εικόνα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5" cstate="print"/>
                    <a:srcRect/>
                    <a:stretch>
                      <a:fillRect/>
                    </a:stretch>
                  </pic:blipFill>
                  <pic:spPr bwMode="auto">
                    <a:xfrm>
                      <a:off x="0" y="0"/>
                      <a:ext cx="2420620" cy="1147445"/>
                    </a:xfrm>
                    <a:prstGeom prst="rect">
                      <a:avLst/>
                    </a:prstGeom>
                    <a:noFill/>
                    <a:ln w="9525">
                      <a:noFill/>
                      <a:miter lim="800000"/>
                      <a:headEnd/>
                      <a:tailEnd/>
                    </a:ln>
                  </pic:spPr>
                </pic:pic>
              </a:graphicData>
            </a:graphic>
          </wp:inline>
        </w:drawing>
      </w:r>
    </w:p>
    <w:p w:rsidR="00101107" w:rsidRPr="005D011A" w:rsidRDefault="00101107" w:rsidP="00101107">
      <w:pPr>
        <w:autoSpaceDE w:val="0"/>
        <w:autoSpaceDN w:val="0"/>
        <w:adjustRightInd w:val="0"/>
        <w:rPr>
          <w:rFonts w:cs="Arial"/>
          <w:sz w:val="20"/>
          <w:lang w:eastAsia="el-GR"/>
        </w:rPr>
      </w:pPr>
    </w:p>
    <w:p w:rsidR="00101107" w:rsidRPr="005D011A" w:rsidRDefault="00101107" w:rsidP="00101107">
      <w:pPr>
        <w:autoSpaceDE w:val="0"/>
        <w:autoSpaceDN w:val="0"/>
        <w:adjustRightInd w:val="0"/>
        <w:rPr>
          <w:rFonts w:cs="Arial"/>
          <w:b/>
          <w:bCs/>
          <w:sz w:val="20"/>
          <w:lang w:eastAsia="el-GR"/>
        </w:rPr>
      </w:pPr>
      <w:r w:rsidRPr="005D011A">
        <w:rPr>
          <w:rFonts w:cs="Arial"/>
          <w:b/>
          <w:bCs/>
          <w:noProof/>
          <w:sz w:val="20"/>
          <w:lang w:val="fi-FI" w:eastAsia="fi-FI"/>
        </w:rPr>
        <w:drawing>
          <wp:inline distT="0" distB="0" distL="0" distR="0" wp14:anchorId="0F521684" wp14:editId="5B368D82">
            <wp:extent cx="3317240" cy="3997960"/>
            <wp:effectExtent l="19050" t="0" r="0" b="0"/>
            <wp:docPr id="2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6" cstate="print"/>
                    <a:srcRect/>
                    <a:stretch>
                      <a:fillRect/>
                    </a:stretch>
                  </pic:blipFill>
                  <pic:spPr bwMode="auto">
                    <a:xfrm>
                      <a:off x="0" y="0"/>
                      <a:ext cx="3317240" cy="3997960"/>
                    </a:xfrm>
                    <a:prstGeom prst="rect">
                      <a:avLst/>
                    </a:prstGeom>
                    <a:noFill/>
                    <a:ln w="9525">
                      <a:noFill/>
                      <a:miter lim="800000"/>
                      <a:headEnd/>
                      <a:tailEnd/>
                    </a:ln>
                  </pic:spPr>
                </pic:pic>
              </a:graphicData>
            </a:graphic>
          </wp:inline>
        </w:drawing>
      </w:r>
    </w:p>
    <w:p w:rsidR="00101107" w:rsidRPr="005D011A" w:rsidRDefault="00101107" w:rsidP="00101107">
      <w:pPr>
        <w:autoSpaceDE w:val="0"/>
        <w:autoSpaceDN w:val="0"/>
        <w:adjustRightInd w:val="0"/>
        <w:rPr>
          <w:rFonts w:cs="Arial"/>
          <w:sz w:val="20"/>
          <w:lang w:eastAsia="el-GR"/>
        </w:rPr>
      </w:pPr>
    </w:p>
    <w:p w:rsidR="00101107" w:rsidRPr="005D011A" w:rsidRDefault="00101107" w:rsidP="00101107">
      <w:pPr>
        <w:autoSpaceDE w:val="0"/>
        <w:autoSpaceDN w:val="0"/>
        <w:adjustRightInd w:val="0"/>
        <w:rPr>
          <w:rFonts w:cs="Arial"/>
          <w:b/>
          <w:bCs/>
          <w:sz w:val="20"/>
          <w:lang w:eastAsia="el-GR"/>
        </w:rPr>
      </w:pPr>
      <w:r w:rsidRPr="005D011A">
        <w:rPr>
          <w:rFonts w:cs="Arial"/>
          <w:b/>
          <w:bCs/>
          <w:noProof/>
          <w:sz w:val="20"/>
          <w:lang w:val="fi-FI" w:eastAsia="fi-FI"/>
        </w:rPr>
        <w:drawing>
          <wp:inline distT="0" distB="0" distL="0" distR="0" wp14:anchorId="56DF9FF9" wp14:editId="5C08F4F0">
            <wp:extent cx="3065780" cy="2420620"/>
            <wp:effectExtent l="19050" t="0" r="1270" b="0"/>
            <wp:docPr id="24"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7" cstate="print"/>
                    <a:srcRect/>
                    <a:stretch>
                      <a:fillRect/>
                    </a:stretch>
                  </pic:blipFill>
                  <pic:spPr bwMode="auto">
                    <a:xfrm>
                      <a:off x="0" y="0"/>
                      <a:ext cx="3065780" cy="2420620"/>
                    </a:xfrm>
                    <a:prstGeom prst="rect">
                      <a:avLst/>
                    </a:prstGeom>
                    <a:noFill/>
                    <a:ln w="9525">
                      <a:noFill/>
                      <a:miter lim="800000"/>
                      <a:headEnd/>
                      <a:tailEnd/>
                    </a:ln>
                  </pic:spPr>
                </pic:pic>
              </a:graphicData>
            </a:graphic>
          </wp:inline>
        </w:drawing>
      </w:r>
    </w:p>
    <w:p w:rsidR="00101107" w:rsidRPr="005D011A" w:rsidRDefault="00101107" w:rsidP="00101107">
      <w:pPr>
        <w:autoSpaceDE w:val="0"/>
        <w:autoSpaceDN w:val="0"/>
        <w:adjustRightInd w:val="0"/>
        <w:rPr>
          <w:rFonts w:cs="Arial"/>
          <w:sz w:val="20"/>
          <w:lang w:eastAsia="el-GR"/>
        </w:rPr>
      </w:pPr>
    </w:p>
    <w:p w:rsidR="00101107" w:rsidRPr="005D011A" w:rsidRDefault="00101107" w:rsidP="00101107">
      <w:pPr>
        <w:autoSpaceDE w:val="0"/>
        <w:autoSpaceDN w:val="0"/>
        <w:adjustRightInd w:val="0"/>
        <w:rPr>
          <w:rFonts w:cs="Arial"/>
          <w:b/>
          <w:bCs/>
          <w:sz w:val="20"/>
          <w:lang w:eastAsia="el-GR"/>
        </w:rPr>
      </w:pPr>
      <w:r w:rsidRPr="005D011A">
        <w:rPr>
          <w:rFonts w:cs="Arial"/>
          <w:b/>
          <w:bCs/>
          <w:noProof/>
          <w:sz w:val="20"/>
          <w:lang w:val="fi-FI" w:eastAsia="fi-FI"/>
        </w:rPr>
        <w:drawing>
          <wp:inline distT="0" distB="0" distL="0" distR="0" wp14:anchorId="5EA98117" wp14:editId="27CA2A65">
            <wp:extent cx="3263265" cy="2098040"/>
            <wp:effectExtent l="19050" t="0" r="0" b="0"/>
            <wp:docPr id="23"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8" cstate="print"/>
                    <a:srcRect/>
                    <a:stretch>
                      <a:fillRect/>
                    </a:stretch>
                  </pic:blipFill>
                  <pic:spPr bwMode="auto">
                    <a:xfrm>
                      <a:off x="0" y="0"/>
                      <a:ext cx="3263265" cy="2098040"/>
                    </a:xfrm>
                    <a:prstGeom prst="rect">
                      <a:avLst/>
                    </a:prstGeom>
                    <a:noFill/>
                    <a:ln w="9525">
                      <a:noFill/>
                      <a:miter lim="800000"/>
                      <a:headEnd/>
                      <a:tailEnd/>
                    </a:ln>
                  </pic:spPr>
                </pic:pic>
              </a:graphicData>
            </a:graphic>
          </wp:inline>
        </w:drawing>
      </w:r>
    </w:p>
    <w:p w:rsidR="00101107" w:rsidRPr="005D011A" w:rsidRDefault="00101107" w:rsidP="00101107">
      <w:pPr>
        <w:autoSpaceDE w:val="0"/>
        <w:autoSpaceDN w:val="0"/>
        <w:adjustRightInd w:val="0"/>
        <w:rPr>
          <w:rFonts w:cs="Arial"/>
          <w:sz w:val="20"/>
          <w:lang w:eastAsia="el-GR"/>
        </w:rPr>
      </w:pPr>
    </w:p>
    <w:p w:rsidR="00101107" w:rsidRPr="005D011A" w:rsidRDefault="00101107" w:rsidP="00101107">
      <w:pPr>
        <w:autoSpaceDE w:val="0"/>
        <w:autoSpaceDN w:val="0"/>
        <w:adjustRightInd w:val="0"/>
        <w:rPr>
          <w:rFonts w:cs="Arial"/>
          <w:b/>
          <w:bCs/>
          <w:sz w:val="20"/>
          <w:lang w:eastAsia="el-GR"/>
        </w:rPr>
      </w:pPr>
      <w:r w:rsidRPr="005D011A">
        <w:rPr>
          <w:rFonts w:cs="Arial"/>
          <w:b/>
          <w:bCs/>
          <w:noProof/>
          <w:sz w:val="20"/>
          <w:lang w:val="fi-FI" w:eastAsia="fi-FI"/>
        </w:rPr>
        <w:drawing>
          <wp:inline distT="0" distB="0" distL="0" distR="0" wp14:anchorId="11C932C5" wp14:editId="6EAD6D61">
            <wp:extent cx="2599690" cy="5486400"/>
            <wp:effectExtent l="19050" t="0" r="0" b="0"/>
            <wp:docPr id="22"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9" cstate="print"/>
                    <a:srcRect/>
                    <a:stretch>
                      <a:fillRect/>
                    </a:stretch>
                  </pic:blipFill>
                  <pic:spPr bwMode="auto">
                    <a:xfrm>
                      <a:off x="0" y="0"/>
                      <a:ext cx="2599690" cy="5486400"/>
                    </a:xfrm>
                    <a:prstGeom prst="rect">
                      <a:avLst/>
                    </a:prstGeom>
                    <a:noFill/>
                    <a:ln w="9525">
                      <a:noFill/>
                      <a:miter lim="800000"/>
                      <a:headEnd/>
                      <a:tailEnd/>
                    </a:ln>
                  </pic:spPr>
                </pic:pic>
              </a:graphicData>
            </a:graphic>
          </wp:inline>
        </w:drawing>
      </w:r>
    </w:p>
    <w:p w:rsidR="00101107" w:rsidRPr="005D011A" w:rsidRDefault="00101107" w:rsidP="00101107">
      <w:pPr>
        <w:autoSpaceDE w:val="0"/>
        <w:autoSpaceDN w:val="0"/>
        <w:adjustRightInd w:val="0"/>
        <w:rPr>
          <w:rFonts w:cs="Arial"/>
          <w:sz w:val="20"/>
          <w:lang w:eastAsia="el-GR"/>
        </w:rPr>
      </w:pPr>
    </w:p>
    <w:p w:rsidR="00101107" w:rsidRPr="005D011A" w:rsidRDefault="00101107" w:rsidP="00101107">
      <w:pPr>
        <w:pStyle w:val="3"/>
        <w:spacing w:after="0" w:line="360" w:lineRule="auto"/>
        <w:ind w:left="705" w:hanging="705"/>
        <w:jc w:val="both"/>
        <w:rPr>
          <w:rFonts w:ascii="Arial" w:hAnsi="Arial" w:cs="Arial"/>
          <w:lang w:val="en-GB"/>
        </w:rPr>
      </w:pPr>
    </w:p>
    <w:p w:rsidR="004B23E3" w:rsidRDefault="00006463" w:rsidP="004B23E3">
      <w:pPr>
        <w:keepNext/>
      </w:pPr>
      <w:r w:rsidRPr="005D011A">
        <w:rPr>
          <w:rFonts w:cs="Arial"/>
          <w:noProof/>
          <w:lang w:val="fi-FI" w:eastAsia="fi-FI"/>
        </w:rPr>
        <w:lastRenderedPageBreak/>
        <w:drawing>
          <wp:inline distT="0" distB="0" distL="0" distR="0" wp14:anchorId="44A918AE" wp14:editId="26249611">
            <wp:extent cx="3859005" cy="3356244"/>
            <wp:effectExtent l="19050" t="0" r="8145" b="0"/>
            <wp:docPr id="6" name="5 - Εικόνα" descr="imm_p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_pc.jpeg"/>
                    <pic:cNvPicPr/>
                  </pic:nvPicPr>
                  <pic:blipFill>
                    <a:blip r:embed="rId70" cstate="print"/>
                    <a:srcRect/>
                    <a:stretch>
                      <a:fillRect/>
                    </a:stretch>
                  </pic:blipFill>
                  <pic:spPr>
                    <a:xfrm>
                      <a:off x="0" y="0"/>
                      <a:ext cx="3859005" cy="3356244"/>
                    </a:xfrm>
                    <a:prstGeom prst="rect">
                      <a:avLst/>
                    </a:prstGeom>
                  </pic:spPr>
                </pic:pic>
              </a:graphicData>
            </a:graphic>
          </wp:inline>
        </w:drawing>
      </w:r>
    </w:p>
    <w:p w:rsidR="00D208AB" w:rsidRDefault="004B23E3" w:rsidP="004B23E3">
      <w:pPr>
        <w:pStyle w:val="Caption"/>
      </w:pPr>
      <w:bookmarkStart w:id="82" w:name="_Toc392505066"/>
      <w:r>
        <w:t xml:space="preserve">Map </w:t>
      </w:r>
      <w:fldSimple w:instr=" SEQ Map \* ARABIC ">
        <w:r w:rsidR="002634D4">
          <w:rPr>
            <w:noProof/>
          </w:rPr>
          <w:t>11</w:t>
        </w:r>
      </w:fldSimple>
      <w:r>
        <w:t xml:space="preserve">: </w:t>
      </w:r>
      <w:r w:rsidRPr="00D208AB">
        <w:rPr>
          <w:rFonts w:cs="Arial"/>
          <w:szCs w:val="22"/>
        </w:rPr>
        <w:t>Percentage of immigrant population per 1km grid cell. MRA 2001</w:t>
      </w:r>
      <w:bookmarkEnd w:id="82"/>
    </w:p>
    <w:p w:rsidR="00A330BC" w:rsidRPr="00D208AB" w:rsidRDefault="00D208AB" w:rsidP="00D208AB">
      <w:pPr>
        <w:spacing w:before="0" w:after="240"/>
        <w:rPr>
          <w:rFonts w:cs="Arial"/>
          <w:sz w:val="18"/>
          <w:szCs w:val="18"/>
        </w:rPr>
      </w:pPr>
      <w:r w:rsidRPr="00D208AB">
        <w:rPr>
          <w:rFonts w:cs="Arial"/>
          <w:b/>
          <w:sz w:val="18"/>
          <w:szCs w:val="18"/>
        </w:rPr>
        <w:t>Source:</w:t>
      </w:r>
      <w:r w:rsidR="00A330BC" w:rsidRPr="00D208AB">
        <w:rPr>
          <w:rFonts w:cs="Arial"/>
          <w:sz w:val="18"/>
          <w:szCs w:val="18"/>
        </w:rPr>
        <w:t xml:space="preserve"> 2001 census, EKKE-ESYE 2005</w:t>
      </w:r>
    </w:p>
    <w:p w:rsidR="00465765" w:rsidRPr="005D011A" w:rsidRDefault="00465765" w:rsidP="00A330BC">
      <w:pPr>
        <w:rPr>
          <w:rFonts w:cs="Arial"/>
        </w:rPr>
      </w:pPr>
    </w:p>
    <w:p w:rsidR="004B23E3" w:rsidRDefault="00A330BC" w:rsidP="004B23E3">
      <w:pPr>
        <w:keepNext/>
      </w:pPr>
      <w:r w:rsidRPr="005D011A">
        <w:rPr>
          <w:rFonts w:cs="Arial"/>
          <w:b/>
          <w:noProof/>
          <w:sz w:val="24"/>
          <w:szCs w:val="24"/>
          <w:lang w:val="fi-FI" w:eastAsia="fi-FI"/>
        </w:rPr>
        <w:drawing>
          <wp:inline distT="0" distB="0" distL="0" distR="0" wp14:anchorId="492A7C06" wp14:editId="7DE4DD53">
            <wp:extent cx="3919325" cy="3355163"/>
            <wp:effectExtent l="19050" t="0" r="4975" b="0"/>
            <wp:docPr id="39" name="37 - Εικόνα" descr="SEC1_p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1_pc.jpeg"/>
                    <pic:cNvPicPr/>
                  </pic:nvPicPr>
                  <pic:blipFill>
                    <a:blip r:embed="rId71" cstate="print"/>
                    <a:srcRect/>
                    <a:stretch>
                      <a:fillRect/>
                    </a:stretch>
                  </pic:blipFill>
                  <pic:spPr>
                    <a:xfrm>
                      <a:off x="0" y="0"/>
                      <a:ext cx="3919325" cy="3355163"/>
                    </a:xfrm>
                    <a:prstGeom prst="rect">
                      <a:avLst/>
                    </a:prstGeom>
                  </pic:spPr>
                </pic:pic>
              </a:graphicData>
            </a:graphic>
          </wp:inline>
        </w:drawing>
      </w:r>
    </w:p>
    <w:p w:rsidR="00D208AB" w:rsidRDefault="004B23E3" w:rsidP="004B23E3">
      <w:pPr>
        <w:pStyle w:val="Caption"/>
      </w:pPr>
      <w:bookmarkStart w:id="83" w:name="_Toc392505067"/>
      <w:r>
        <w:t xml:space="preserve">Map </w:t>
      </w:r>
      <w:fldSimple w:instr=" SEQ Map \* ARABIC ">
        <w:r w:rsidR="002634D4">
          <w:rPr>
            <w:noProof/>
          </w:rPr>
          <w:t>12</w:t>
        </w:r>
      </w:fldSimple>
      <w:r>
        <w:t xml:space="preserve">: </w:t>
      </w:r>
      <w:r w:rsidRPr="00D208AB">
        <w:rPr>
          <w:rFonts w:cs="Arial"/>
          <w:szCs w:val="22"/>
        </w:rPr>
        <w:t>Percentage of SEG 1 population per 1km grid cell. MRA 2001</w:t>
      </w:r>
      <w:bookmarkEnd w:id="83"/>
    </w:p>
    <w:p w:rsidR="00D208AB" w:rsidRPr="00D208AB" w:rsidRDefault="00D208AB" w:rsidP="00D208AB">
      <w:pPr>
        <w:spacing w:before="0" w:after="240"/>
        <w:rPr>
          <w:rFonts w:cs="Arial"/>
          <w:sz w:val="18"/>
          <w:szCs w:val="18"/>
        </w:rPr>
      </w:pPr>
      <w:r w:rsidRPr="00D208AB">
        <w:rPr>
          <w:rFonts w:cs="Arial"/>
          <w:b/>
          <w:sz w:val="18"/>
          <w:szCs w:val="18"/>
        </w:rPr>
        <w:t>Source:</w:t>
      </w:r>
      <w:r w:rsidRPr="00D208AB">
        <w:rPr>
          <w:rFonts w:cs="Arial"/>
          <w:sz w:val="18"/>
          <w:szCs w:val="18"/>
        </w:rPr>
        <w:t xml:space="preserve"> 2001 census, EKKE-ESYE 2005</w:t>
      </w:r>
    </w:p>
    <w:p w:rsidR="00465765" w:rsidRDefault="00465765" w:rsidP="00465765">
      <w:pPr>
        <w:rPr>
          <w:rFonts w:cs="Arial"/>
          <w:b/>
          <w:sz w:val="24"/>
          <w:szCs w:val="24"/>
        </w:rPr>
      </w:pPr>
    </w:p>
    <w:p w:rsidR="00D208AB" w:rsidRPr="005D011A" w:rsidRDefault="00D208AB" w:rsidP="00465765">
      <w:pPr>
        <w:rPr>
          <w:rFonts w:cs="Arial"/>
          <w:b/>
          <w:sz w:val="24"/>
          <w:szCs w:val="24"/>
        </w:rPr>
      </w:pPr>
    </w:p>
    <w:p w:rsidR="004B23E3" w:rsidRDefault="00465765" w:rsidP="004B23E3">
      <w:pPr>
        <w:keepNext/>
      </w:pPr>
      <w:r w:rsidRPr="005D011A">
        <w:rPr>
          <w:rFonts w:cs="Arial"/>
          <w:b/>
          <w:noProof/>
          <w:sz w:val="24"/>
          <w:szCs w:val="24"/>
          <w:lang w:val="fi-FI" w:eastAsia="fi-FI"/>
        </w:rPr>
        <w:lastRenderedPageBreak/>
        <w:drawing>
          <wp:inline distT="0" distB="0" distL="0" distR="0" wp14:anchorId="29344BD7" wp14:editId="564E3C43">
            <wp:extent cx="3967887" cy="3379484"/>
            <wp:effectExtent l="19050" t="0" r="0" b="0"/>
            <wp:docPr id="40" name="39 - Εικόνα" descr="SEC2_p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2_pc.jpeg"/>
                    <pic:cNvPicPr/>
                  </pic:nvPicPr>
                  <pic:blipFill>
                    <a:blip r:embed="rId72" cstate="print"/>
                    <a:srcRect/>
                    <a:stretch>
                      <a:fillRect/>
                    </a:stretch>
                  </pic:blipFill>
                  <pic:spPr>
                    <a:xfrm>
                      <a:off x="0" y="0"/>
                      <a:ext cx="3967887" cy="3379484"/>
                    </a:xfrm>
                    <a:prstGeom prst="rect">
                      <a:avLst/>
                    </a:prstGeom>
                  </pic:spPr>
                </pic:pic>
              </a:graphicData>
            </a:graphic>
          </wp:inline>
        </w:drawing>
      </w:r>
    </w:p>
    <w:p w:rsidR="00D208AB" w:rsidRDefault="004B23E3" w:rsidP="004B23E3">
      <w:pPr>
        <w:pStyle w:val="Caption"/>
      </w:pPr>
      <w:bookmarkStart w:id="84" w:name="_Toc392505068"/>
      <w:r>
        <w:t xml:space="preserve">Map </w:t>
      </w:r>
      <w:fldSimple w:instr=" SEQ Map \* ARABIC ">
        <w:r w:rsidR="002634D4">
          <w:rPr>
            <w:noProof/>
          </w:rPr>
          <w:t>13</w:t>
        </w:r>
      </w:fldSimple>
      <w:r>
        <w:t xml:space="preserve">: </w:t>
      </w:r>
      <w:r w:rsidRPr="00D208AB">
        <w:rPr>
          <w:rFonts w:cs="Arial"/>
          <w:szCs w:val="22"/>
        </w:rPr>
        <w:t>Percentage of SEG 2 population per 1km grid cell. MRA 2001</w:t>
      </w:r>
      <w:bookmarkEnd w:id="84"/>
    </w:p>
    <w:p w:rsidR="00D208AB" w:rsidRPr="00D208AB" w:rsidRDefault="00D208AB" w:rsidP="00D208AB">
      <w:pPr>
        <w:spacing w:before="0" w:after="240"/>
        <w:rPr>
          <w:rFonts w:cs="Arial"/>
          <w:sz w:val="18"/>
          <w:szCs w:val="18"/>
        </w:rPr>
      </w:pPr>
      <w:r w:rsidRPr="00D208AB">
        <w:rPr>
          <w:rFonts w:cs="Arial"/>
          <w:b/>
          <w:sz w:val="18"/>
          <w:szCs w:val="18"/>
        </w:rPr>
        <w:t>Source:</w:t>
      </w:r>
      <w:r w:rsidRPr="00D208AB">
        <w:rPr>
          <w:rFonts w:cs="Arial"/>
          <w:sz w:val="18"/>
          <w:szCs w:val="18"/>
        </w:rPr>
        <w:t xml:space="preserve"> 2001 census, EKKE-ESYE 2005</w:t>
      </w:r>
    </w:p>
    <w:p w:rsidR="00A330BC" w:rsidRPr="005D011A" w:rsidRDefault="00A330BC" w:rsidP="00A330BC">
      <w:pPr>
        <w:rPr>
          <w:rFonts w:cs="Arial"/>
          <w:b/>
          <w:sz w:val="24"/>
          <w:szCs w:val="24"/>
        </w:rPr>
      </w:pPr>
    </w:p>
    <w:p w:rsidR="004B23E3" w:rsidRDefault="00465765" w:rsidP="004B23E3">
      <w:pPr>
        <w:keepNext/>
      </w:pPr>
      <w:r w:rsidRPr="005D011A">
        <w:rPr>
          <w:noProof/>
          <w:lang w:val="fi-FI" w:eastAsia="fi-FI"/>
        </w:rPr>
        <w:drawing>
          <wp:inline distT="0" distB="0" distL="0" distR="0" wp14:anchorId="3F78A845" wp14:editId="12DC353D">
            <wp:extent cx="3916739" cy="3342940"/>
            <wp:effectExtent l="19050" t="0" r="7561" b="0"/>
            <wp:docPr id="41" name="40 - Εικόνα" descr="SEC3_p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3_pc.jpeg"/>
                    <pic:cNvPicPr/>
                  </pic:nvPicPr>
                  <pic:blipFill>
                    <a:blip r:embed="rId73" cstate="print"/>
                    <a:srcRect/>
                    <a:stretch>
                      <a:fillRect/>
                    </a:stretch>
                  </pic:blipFill>
                  <pic:spPr>
                    <a:xfrm>
                      <a:off x="0" y="0"/>
                      <a:ext cx="3916739" cy="3342940"/>
                    </a:xfrm>
                    <a:prstGeom prst="rect">
                      <a:avLst/>
                    </a:prstGeom>
                  </pic:spPr>
                </pic:pic>
              </a:graphicData>
            </a:graphic>
          </wp:inline>
        </w:drawing>
      </w:r>
    </w:p>
    <w:p w:rsidR="00D208AB" w:rsidRDefault="004B23E3" w:rsidP="004B23E3">
      <w:pPr>
        <w:pStyle w:val="Caption"/>
      </w:pPr>
      <w:bookmarkStart w:id="85" w:name="_Toc392505069"/>
      <w:r>
        <w:t xml:space="preserve">Map </w:t>
      </w:r>
      <w:fldSimple w:instr=" SEQ Map \* ARABIC ">
        <w:r w:rsidR="002634D4">
          <w:rPr>
            <w:noProof/>
          </w:rPr>
          <w:t>14</w:t>
        </w:r>
      </w:fldSimple>
      <w:r>
        <w:t xml:space="preserve">: </w:t>
      </w:r>
      <w:r w:rsidRPr="00D208AB">
        <w:rPr>
          <w:rFonts w:cs="Arial"/>
          <w:szCs w:val="22"/>
        </w:rPr>
        <w:t>Percentage of SEG 3 population per 1km grid cell. MRA 2001</w:t>
      </w:r>
      <w:bookmarkEnd w:id="85"/>
    </w:p>
    <w:p w:rsidR="00D208AB" w:rsidRPr="00D208AB" w:rsidRDefault="00D208AB" w:rsidP="00D208AB">
      <w:pPr>
        <w:spacing w:before="0" w:after="240"/>
        <w:rPr>
          <w:rFonts w:cs="Arial"/>
          <w:sz w:val="18"/>
          <w:szCs w:val="18"/>
        </w:rPr>
      </w:pPr>
      <w:bookmarkStart w:id="86" w:name="_Toc346898022"/>
      <w:bookmarkStart w:id="87" w:name="_Toc346985730"/>
      <w:r w:rsidRPr="00D208AB">
        <w:rPr>
          <w:rFonts w:cs="Arial"/>
          <w:b/>
          <w:sz w:val="18"/>
          <w:szCs w:val="18"/>
        </w:rPr>
        <w:t>Source:</w:t>
      </w:r>
      <w:r w:rsidRPr="00D208AB">
        <w:rPr>
          <w:rFonts w:cs="Arial"/>
          <w:sz w:val="18"/>
          <w:szCs w:val="18"/>
        </w:rPr>
        <w:t xml:space="preserve"> 2001 census, EKKE-ESYE 2005</w:t>
      </w:r>
    </w:p>
    <w:p w:rsidR="00794E3E" w:rsidRDefault="00794E3E">
      <w:pPr>
        <w:spacing w:before="0"/>
      </w:pPr>
      <w:r>
        <w:br w:type="page"/>
      </w:r>
    </w:p>
    <w:bookmarkEnd w:id="86"/>
    <w:bookmarkEnd w:id="87"/>
    <w:p w:rsidR="004B23E3" w:rsidRDefault="00465765" w:rsidP="004B23E3">
      <w:pPr>
        <w:keepNext/>
      </w:pPr>
      <w:r w:rsidRPr="005D011A">
        <w:rPr>
          <w:noProof/>
          <w:lang w:val="fi-FI" w:eastAsia="fi-FI"/>
        </w:rPr>
        <w:lastRenderedPageBreak/>
        <w:drawing>
          <wp:inline distT="0" distB="0" distL="0" distR="0" wp14:anchorId="4A45F4C0" wp14:editId="78CB5917">
            <wp:extent cx="3899748" cy="3410832"/>
            <wp:effectExtent l="19050" t="0" r="5502" b="0"/>
            <wp:docPr id="42" name="41 - Εικόνα" descr="SEC4_p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4_pc.jpeg"/>
                    <pic:cNvPicPr/>
                  </pic:nvPicPr>
                  <pic:blipFill>
                    <a:blip r:embed="rId74" cstate="print"/>
                    <a:srcRect/>
                    <a:stretch>
                      <a:fillRect/>
                    </a:stretch>
                  </pic:blipFill>
                  <pic:spPr>
                    <a:xfrm>
                      <a:off x="0" y="0"/>
                      <a:ext cx="3899748" cy="3410832"/>
                    </a:xfrm>
                    <a:prstGeom prst="rect">
                      <a:avLst/>
                    </a:prstGeom>
                  </pic:spPr>
                </pic:pic>
              </a:graphicData>
            </a:graphic>
          </wp:inline>
        </w:drawing>
      </w:r>
    </w:p>
    <w:p w:rsidR="00D208AB" w:rsidRDefault="004B23E3" w:rsidP="004B23E3">
      <w:pPr>
        <w:pStyle w:val="Caption"/>
      </w:pPr>
      <w:bookmarkStart w:id="88" w:name="_Toc392505070"/>
      <w:r>
        <w:t xml:space="preserve">Map </w:t>
      </w:r>
      <w:fldSimple w:instr=" SEQ Map \* ARABIC ">
        <w:r w:rsidR="002634D4">
          <w:rPr>
            <w:noProof/>
          </w:rPr>
          <w:t>15</w:t>
        </w:r>
      </w:fldSimple>
      <w:r>
        <w:t xml:space="preserve">: </w:t>
      </w:r>
      <w:r w:rsidRPr="00D208AB">
        <w:rPr>
          <w:szCs w:val="22"/>
        </w:rPr>
        <w:t>Percentage of SEG 4 population per 1km grid cell. MRA 2001</w:t>
      </w:r>
      <w:bookmarkEnd w:id="88"/>
    </w:p>
    <w:p w:rsidR="00D208AB" w:rsidRPr="00D208AB" w:rsidRDefault="00D208AB" w:rsidP="00D208AB">
      <w:pPr>
        <w:spacing w:before="0" w:after="240"/>
        <w:rPr>
          <w:rFonts w:cs="Arial"/>
          <w:sz w:val="18"/>
          <w:szCs w:val="18"/>
        </w:rPr>
      </w:pPr>
      <w:r w:rsidRPr="00D208AB">
        <w:rPr>
          <w:rFonts w:cs="Arial"/>
          <w:b/>
          <w:sz w:val="18"/>
          <w:szCs w:val="18"/>
        </w:rPr>
        <w:t>Source:</w:t>
      </w:r>
      <w:r w:rsidRPr="00D208AB">
        <w:rPr>
          <w:rFonts w:cs="Arial"/>
          <w:sz w:val="18"/>
          <w:szCs w:val="18"/>
        </w:rPr>
        <w:t xml:space="preserve"> 2001 census, EKKE-ESYE 2005</w:t>
      </w:r>
    </w:p>
    <w:p w:rsidR="00465765" w:rsidRPr="005D011A" w:rsidRDefault="00465765" w:rsidP="00465765">
      <w:pPr>
        <w:rPr>
          <w:rFonts w:cs="Arial"/>
        </w:rPr>
      </w:pPr>
    </w:p>
    <w:p w:rsidR="00465765" w:rsidRPr="005D011A" w:rsidRDefault="00465765" w:rsidP="00465765">
      <w:pPr>
        <w:rPr>
          <w:rFonts w:cs="Arial"/>
        </w:rPr>
      </w:pPr>
    </w:p>
    <w:p w:rsidR="004B23E3" w:rsidRDefault="00465765" w:rsidP="004B23E3">
      <w:pPr>
        <w:keepNext/>
      </w:pPr>
      <w:r w:rsidRPr="005D011A">
        <w:rPr>
          <w:noProof/>
          <w:lang w:val="fi-FI" w:eastAsia="fi-FI"/>
        </w:rPr>
        <w:drawing>
          <wp:inline distT="0" distB="0" distL="0" distR="0" wp14:anchorId="3AFDB3BB" wp14:editId="31E4F084">
            <wp:extent cx="3916739" cy="3393869"/>
            <wp:effectExtent l="19050" t="0" r="7561" b="0"/>
            <wp:docPr id="43" name="42 - Εικόνα" descr="SEC5_p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5_pc.jpeg"/>
                    <pic:cNvPicPr/>
                  </pic:nvPicPr>
                  <pic:blipFill>
                    <a:blip r:embed="rId75" cstate="print"/>
                    <a:srcRect/>
                    <a:stretch>
                      <a:fillRect/>
                    </a:stretch>
                  </pic:blipFill>
                  <pic:spPr>
                    <a:xfrm>
                      <a:off x="0" y="0"/>
                      <a:ext cx="3916739" cy="3393869"/>
                    </a:xfrm>
                    <a:prstGeom prst="rect">
                      <a:avLst/>
                    </a:prstGeom>
                  </pic:spPr>
                </pic:pic>
              </a:graphicData>
            </a:graphic>
          </wp:inline>
        </w:drawing>
      </w:r>
    </w:p>
    <w:p w:rsidR="00D208AB" w:rsidRDefault="004B23E3" w:rsidP="004B23E3">
      <w:pPr>
        <w:pStyle w:val="Caption"/>
      </w:pPr>
      <w:bookmarkStart w:id="89" w:name="_Toc392505071"/>
      <w:r>
        <w:t xml:space="preserve">Map </w:t>
      </w:r>
      <w:fldSimple w:instr=" SEQ Map \* ARABIC ">
        <w:r w:rsidR="002634D4">
          <w:rPr>
            <w:noProof/>
          </w:rPr>
          <w:t>16</w:t>
        </w:r>
      </w:fldSimple>
      <w:r>
        <w:t xml:space="preserve">: </w:t>
      </w:r>
      <w:r w:rsidRPr="00D208AB">
        <w:rPr>
          <w:rFonts w:cs="Arial"/>
          <w:szCs w:val="22"/>
        </w:rPr>
        <w:t>Percentage of SEG 5 population per 1km grid cell. MRA 2001</w:t>
      </w:r>
      <w:bookmarkEnd w:id="89"/>
    </w:p>
    <w:p w:rsidR="00D208AB" w:rsidRPr="00D208AB" w:rsidRDefault="00D208AB" w:rsidP="00D208AB">
      <w:pPr>
        <w:spacing w:before="0" w:after="240"/>
        <w:rPr>
          <w:rFonts w:cs="Arial"/>
          <w:sz w:val="18"/>
          <w:szCs w:val="18"/>
        </w:rPr>
      </w:pPr>
      <w:r w:rsidRPr="00D208AB">
        <w:rPr>
          <w:rFonts w:cs="Arial"/>
          <w:b/>
          <w:sz w:val="18"/>
          <w:szCs w:val="18"/>
        </w:rPr>
        <w:t>Source:</w:t>
      </w:r>
      <w:r w:rsidRPr="00D208AB">
        <w:rPr>
          <w:rFonts w:cs="Arial"/>
          <w:sz w:val="18"/>
          <w:szCs w:val="18"/>
        </w:rPr>
        <w:t xml:space="preserve"> 2001 census, EKKE-ESYE 2005</w:t>
      </w:r>
    </w:p>
    <w:p w:rsidR="00645FF6" w:rsidRPr="005D011A" w:rsidRDefault="00465765" w:rsidP="00A16217">
      <w:pPr>
        <w:pStyle w:val="Heading1"/>
        <w:numPr>
          <w:ilvl w:val="0"/>
          <w:numId w:val="0"/>
        </w:numPr>
        <w:jc w:val="center"/>
        <w:rPr>
          <w:rFonts w:cs="Arial"/>
        </w:rPr>
      </w:pPr>
      <w:r w:rsidRPr="005D011A">
        <w:rPr>
          <w:rFonts w:cs="Arial"/>
        </w:rPr>
        <w:br w:type="column"/>
      </w:r>
      <w:bookmarkStart w:id="90" w:name="_Toc386013208"/>
      <w:r w:rsidRPr="005D011A">
        <w:rPr>
          <w:rFonts w:cs="Arial"/>
        </w:rPr>
        <w:lastRenderedPageBreak/>
        <w:t>A</w:t>
      </w:r>
      <w:r w:rsidR="00536563" w:rsidRPr="005D011A">
        <w:rPr>
          <w:rFonts w:cs="Arial"/>
        </w:rPr>
        <w:t xml:space="preserve">nnex 2: List of </w:t>
      </w:r>
      <w:r w:rsidR="00C4450C">
        <w:rPr>
          <w:rFonts w:cs="Arial"/>
        </w:rPr>
        <w:t>i</w:t>
      </w:r>
      <w:r w:rsidR="00536563" w:rsidRPr="005D011A">
        <w:rPr>
          <w:rFonts w:cs="Arial"/>
        </w:rPr>
        <w:t xml:space="preserve">nterviewed </w:t>
      </w:r>
      <w:r w:rsidR="00C4450C">
        <w:rPr>
          <w:rFonts w:cs="Arial"/>
        </w:rPr>
        <w:t>e</w:t>
      </w:r>
      <w:r w:rsidR="00536563" w:rsidRPr="005D011A">
        <w:rPr>
          <w:rFonts w:cs="Arial"/>
        </w:rPr>
        <w:t>xperts</w:t>
      </w:r>
      <w:bookmarkEnd w:id="90"/>
    </w:p>
    <w:p w:rsidR="00536563" w:rsidRPr="005D011A" w:rsidRDefault="00536563" w:rsidP="00536563">
      <w:pPr>
        <w:rPr>
          <w:rFonts w:cs="Arial"/>
        </w:rPr>
      </w:pPr>
    </w:p>
    <w:tbl>
      <w:tblPr>
        <w:tblStyle w:val="TableGrid"/>
        <w:tblW w:w="0" w:type="auto"/>
        <w:tblLook w:val="04A0" w:firstRow="1" w:lastRow="0" w:firstColumn="1" w:lastColumn="0" w:noHBand="0" w:noVBand="1"/>
      </w:tblPr>
      <w:tblGrid>
        <w:gridCol w:w="1893"/>
        <w:gridCol w:w="1646"/>
        <w:gridCol w:w="2515"/>
        <w:gridCol w:w="1073"/>
        <w:gridCol w:w="1402"/>
      </w:tblGrid>
      <w:tr w:rsidR="00AA7D6F" w:rsidRPr="00F26CE4" w:rsidTr="00A36BF7">
        <w:tc>
          <w:tcPr>
            <w:tcW w:w="1893" w:type="dxa"/>
            <w:tcBorders>
              <w:bottom w:val="single" w:sz="18" w:space="0" w:color="auto"/>
            </w:tcBorders>
          </w:tcPr>
          <w:p w:rsidR="00AA7D6F" w:rsidRPr="00A36BF7" w:rsidRDefault="00AA7D6F" w:rsidP="00A36BF7">
            <w:pPr>
              <w:spacing w:before="20" w:after="20" w:line="240" w:lineRule="auto"/>
              <w:jc w:val="center"/>
              <w:rPr>
                <w:rFonts w:cs="Arial"/>
                <w:b/>
                <w:sz w:val="18"/>
                <w:szCs w:val="18"/>
              </w:rPr>
            </w:pPr>
            <w:r w:rsidRPr="00A36BF7">
              <w:rPr>
                <w:rFonts w:cs="Arial"/>
                <w:b/>
                <w:sz w:val="18"/>
                <w:szCs w:val="18"/>
              </w:rPr>
              <w:t>Institution</w:t>
            </w:r>
          </w:p>
        </w:tc>
        <w:tc>
          <w:tcPr>
            <w:tcW w:w="1646" w:type="dxa"/>
            <w:tcBorders>
              <w:bottom w:val="single" w:sz="18" w:space="0" w:color="auto"/>
            </w:tcBorders>
          </w:tcPr>
          <w:p w:rsidR="00AA7D6F" w:rsidRPr="00A36BF7" w:rsidRDefault="00AA7D6F" w:rsidP="00A36BF7">
            <w:pPr>
              <w:spacing w:before="20" w:after="20" w:line="240" w:lineRule="auto"/>
              <w:jc w:val="center"/>
              <w:rPr>
                <w:rFonts w:cs="Arial"/>
                <w:b/>
                <w:sz w:val="18"/>
                <w:szCs w:val="18"/>
              </w:rPr>
            </w:pPr>
            <w:r w:rsidRPr="00A36BF7">
              <w:rPr>
                <w:rFonts w:cs="Arial"/>
                <w:b/>
                <w:sz w:val="18"/>
                <w:szCs w:val="18"/>
              </w:rPr>
              <w:t>Role in dealing with pover</w:t>
            </w:r>
            <w:r w:rsidR="004D151D" w:rsidRPr="00A36BF7">
              <w:rPr>
                <w:rFonts w:cs="Arial"/>
                <w:b/>
                <w:sz w:val="18"/>
                <w:szCs w:val="18"/>
              </w:rPr>
              <w:t>t</w:t>
            </w:r>
            <w:r w:rsidRPr="00A36BF7">
              <w:rPr>
                <w:rFonts w:cs="Arial"/>
                <w:b/>
                <w:sz w:val="18"/>
                <w:szCs w:val="18"/>
              </w:rPr>
              <w:t>y and/or social exclusion</w:t>
            </w:r>
          </w:p>
        </w:tc>
        <w:tc>
          <w:tcPr>
            <w:tcW w:w="2515" w:type="dxa"/>
            <w:tcBorders>
              <w:bottom w:val="single" w:sz="18" w:space="0" w:color="auto"/>
            </w:tcBorders>
          </w:tcPr>
          <w:p w:rsidR="00AA7D6F" w:rsidRPr="00A36BF7" w:rsidRDefault="00AA7D6F" w:rsidP="00A36BF7">
            <w:pPr>
              <w:spacing w:before="20" w:after="20" w:line="240" w:lineRule="auto"/>
              <w:jc w:val="center"/>
              <w:rPr>
                <w:rFonts w:cs="Arial"/>
                <w:b/>
                <w:sz w:val="18"/>
                <w:szCs w:val="18"/>
              </w:rPr>
            </w:pPr>
            <w:r w:rsidRPr="00A36BF7">
              <w:rPr>
                <w:rFonts w:cs="Arial"/>
                <w:b/>
                <w:sz w:val="18"/>
                <w:szCs w:val="18"/>
              </w:rPr>
              <w:t>Geographical/political level</w:t>
            </w:r>
          </w:p>
        </w:tc>
        <w:tc>
          <w:tcPr>
            <w:tcW w:w="1073" w:type="dxa"/>
            <w:tcBorders>
              <w:bottom w:val="single" w:sz="18" w:space="0" w:color="auto"/>
            </w:tcBorders>
          </w:tcPr>
          <w:p w:rsidR="00AA7D6F" w:rsidRPr="00A36BF7" w:rsidRDefault="00AA7D6F" w:rsidP="00A36BF7">
            <w:pPr>
              <w:spacing w:before="20" w:after="20" w:line="240" w:lineRule="auto"/>
              <w:jc w:val="center"/>
              <w:rPr>
                <w:rFonts w:cs="Arial"/>
                <w:b/>
                <w:sz w:val="18"/>
                <w:szCs w:val="18"/>
              </w:rPr>
            </w:pPr>
            <w:r w:rsidRPr="00A36BF7">
              <w:rPr>
                <w:rFonts w:cs="Arial"/>
                <w:b/>
                <w:sz w:val="18"/>
                <w:szCs w:val="18"/>
              </w:rPr>
              <w:t>Date</w:t>
            </w:r>
          </w:p>
        </w:tc>
        <w:tc>
          <w:tcPr>
            <w:tcW w:w="1402" w:type="dxa"/>
            <w:tcBorders>
              <w:bottom w:val="single" w:sz="18" w:space="0" w:color="auto"/>
            </w:tcBorders>
          </w:tcPr>
          <w:p w:rsidR="00AA7D6F" w:rsidRPr="00A36BF7" w:rsidRDefault="00AA7D6F" w:rsidP="00A36BF7">
            <w:pPr>
              <w:spacing w:before="20" w:after="20" w:line="240" w:lineRule="auto"/>
              <w:jc w:val="center"/>
              <w:rPr>
                <w:rFonts w:cs="Arial"/>
                <w:b/>
                <w:sz w:val="18"/>
                <w:szCs w:val="18"/>
              </w:rPr>
            </w:pPr>
            <w:r w:rsidRPr="00A36BF7">
              <w:rPr>
                <w:rFonts w:cs="Arial"/>
                <w:b/>
                <w:sz w:val="18"/>
                <w:szCs w:val="18"/>
              </w:rPr>
              <w:t>Has declared willingness to work with TIPSE?</w:t>
            </w:r>
          </w:p>
        </w:tc>
      </w:tr>
      <w:tr w:rsidR="00AA7D6F" w:rsidRPr="00F26CE4" w:rsidTr="00A36BF7">
        <w:tc>
          <w:tcPr>
            <w:tcW w:w="1893" w:type="dxa"/>
            <w:tcBorders>
              <w:top w:val="single" w:sz="18" w:space="0" w:color="auto"/>
            </w:tcBorders>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Municipality of Argyropuli-Elliniko</w:t>
            </w:r>
          </w:p>
        </w:tc>
        <w:tc>
          <w:tcPr>
            <w:tcW w:w="1646" w:type="dxa"/>
            <w:tcBorders>
              <w:top w:val="single" w:sz="18" w:space="0" w:color="auto"/>
            </w:tcBorders>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Vice Mayor, Responsible for the Social Policy Department</w:t>
            </w:r>
          </w:p>
        </w:tc>
        <w:tc>
          <w:tcPr>
            <w:tcW w:w="2515" w:type="dxa"/>
            <w:tcBorders>
              <w:top w:val="single" w:sz="18" w:space="0" w:color="auto"/>
            </w:tcBorders>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Local government, Policy making/ Policy implementation</w:t>
            </w:r>
          </w:p>
        </w:tc>
        <w:tc>
          <w:tcPr>
            <w:tcW w:w="1073" w:type="dxa"/>
            <w:tcBorders>
              <w:top w:val="single" w:sz="18" w:space="0" w:color="auto"/>
            </w:tcBorders>
            <w:shd w:val="clear" w:color="auto" w:fill="D9D9D9" w:themeFill="background1" w:themeFillShade="D9"/>
          </w:tcPr>
          <w:p w:rsidR="00AA7D6F" w:rsidRPr="00A36BF7" w:rsidRDefault="00AA7D6F" w:rsidP="00A36BF7">
            <w:pPr>
              <w:spacing w:before="20" w:after="20" w:line="240" w:lineRule="auto"/>
              <w:rPr>
                <w:rFonts w:cs="Arial"/>
                <w:sz w:val="18"/>
                <w:szCs w:val="18"/>
              </w:rPr>
            </w:pPr>
            <w:r w:rsidRPr="00A36BF7">
              <w:rPr>
                <w:rFonts w:cs="Arial"/>
                <w:sz w:val="18"/>
                <w:szCs w:val="18"/>
              </w:rPr>
              <w:t>25/10/12</w:t>
            </w:r>
          </w:p>
        </w:tc>
        <w:tc>
          <w:tcPr>
            <w:tcW w:w="1402" w:type="dxa"/>
            <w:tcBorders>
              <w:top w:val="single" w:sz="18" w:space="0" w:color="auto"/>
            </w:tcBorders>
            <w:shd w:val="clear" w:color="auto" w:fill="D9D9D9" w:themeFill="background1" w:themeFillShade="D9"/>
          </w:tcPr>
          <w:p w:rsidR="00AA7D6F" w:rsidRPr="00A36BF7" w:rsidRDefault="00AA7D6F" w:rsidP="00A36BF7">
            <w:pPr>
              <w:spacing w:before="20" w:after="20" w:line="240" w:lineRule="auto"/>
              <w:jc w:val="center"/>
              <w:rPr>
                <w:rFonts w:cs="Arial"/>
                <w:sz w:val="18"/>
                <w:szCs w:val="18"/>
              </w:rPr>
            </w:pPr>
            <w:r w:rsidRPr="00A36BF7">
              <w:rPr>
                <w:rFonts w:cs="Arial"/>
                <w:sz w:val="18"/>
                <w:szCs w:val="18"/>
              </w:rPr>
              <w:t>YES</w:t>
            </w:r>
          </w:p>
        </w:tc>
      </w:tr>
      <w:tr w:rsidR="00AA7D6F" w:rsidRPr="00F26CE4" w:rsidTr="003448B9">
        <w:tc>
          <w:tcPr>
            <w:tcW w:w="1893"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Charity Fund of the Archdiocese of Athens</w:t>
            </w:r>
          </w:p>
        </w:tc>
        <w:tc>
          <w:tcPr>
            <w:tcW w:w="1646"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Director</w:t>
            </w:r>
          </w:p>
        </w:tc>
        <w:tc>
          <w:tcPr>
            <w:tcW w:w="2515"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Third sector, Policy making</w:t>
            </w:r>
          </w:p>
        </w:tc>
        <w:tc>
          <w:tcPr>
            <w:tcW w:w="1073" w:type="dxa"/>
          </w:tcPr>
          <w:p w:rsidR="00AA7D6F" w:rsidRPr="00A36BF7" w:rsidRDefault="00AA7D6F" w:rsidP="00A36BF7">
            <w:pPr>
              <w:spacing w:before="20" w:after="20" w:line="240" w:lineRule="auto"/>
              <w:rPr>
                <w:rFonts w:cs="Arial"/>
                <w:sz w:val="18"/>
                <w:szCs w:val="18"/>
              </w:rPr>
            </w:pPr>
            <w:r w:rsidRPr="00A36BF7">
              <w:rPr>
                <w:rFonts w:cs="Arial"/>
                <w:sz w:val="18"/>
                <w:szCs w:val="18"/>
              </w:rPr>
              <w:t>9/10/12</w:t>
            </w:r>
          </w:p>
        </w:tc>
        <w:tc>
          <w:tcPr>
            <w:tcW w:w="1402" w:type="dxa"/>
          </w:tcPr>
          <w:p w:rsidR="00AA7D6F" w:rsidRPr="00A36BF7" w:rsidRDefault="00AA7D6F" w:rsidP="00A36BF7">
            <w:pPr>
              <w:spacing w:before="20" w:after="20" w:line="240" w:lineRule="auto"/>
              <w:rPr>
                <w:rFonts w:cs="Arial"/>
                <w:sz w:val="18"/>
                <w:szCs w:val="18"/>
              </w:rPr>
            </w:pPr>
          </w:p>
        </w:tc>
      </w:tr>
      <w:tr w:rsidR="00AA7D6F" w:rsidRPr="00F26CE4" w:rsidTr="00A36BF7">
        <w:tc>
          <w:tcPr>
            <w:tcW w:w="1893"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NGO Klimaka</w:t>
            </w:r>
          </w:p>
        </w:tc>
        <w:tc>
          <w:tcPr>
            <w:tcW w:w="1646"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Responsible for actions about homelessness</w:t>
            </w:r>
          </w:p>
        </w:tc>
        <w:tc>
          <w:tcPr>
            <w:tcW w:w="2515"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Third sector, Policy implementation</w:t>
            </w:r>
          </w:p>
        </w:tc>
        <w:tc>
          <w:tcPr>
            <w:tcW w:w="1073" w:type="dxa"/>
            <w:shd w:val="clear" w:color="auto" w:fill="D9D9D9" w:themeFill="background1" w:themeFillShade="D9"/>
          </w:tcPr>
          <w:p w:rsidR="00AA7D6F" w:rsidRPr="00A36BF7" w:rsidRDefault="00AA7D6F" w:rsidP="00A36BF7">
            <w:pPr>
              <w:spacing w:before="20" w:after="20" w:line="240" w:lineRule="auto"/>
              <w:rPr>
                <w:rFonts w:cs="Arial"/>
                <w:sz w:val="18"/>
                <w:szCs w:val="18"/>
              </w:rPr>
            </w:pPr>
            <w:r w:rsidRPr="00A36BF7">
              <w:rPr>
                <w:rFonts w:cs="Arial"/>
                <w:sz w:val="18"/>
                <w:szCs w:val="18"/>
              </w:rPr>
              <w:t>6/11/12</w:t>
            </w:r>
          </w:p>
        </w:tc>
        <w:tc>
          <w:tcPr>
            <w:tcW w:w="1402" w:type="dxa"/>
            <w:shd w:val="clear" w:color="auto" w:fill="D9D9D9" w:themeFill="background1" w:themeFillShade="D9"/>
          </w:tcPr>
          <w:p w:rsidR="00AA7D6F" w:rsidRPr="00A36BF7" w:rsidRDefault="00AA7D6F" w:rsidP="00A36BF7">
            <w:pPr>
              <w:spacing w:before="20" w:after="20" w:line="240" w:lineRule="auto"/>
              <w:jc w:val="center"/>
              <w:rPr>
                <w:rFonts w:cs="Arial"/>
                <w:sz w:val="18"/>
                <w:szCs w:val="18"/>
              </w:rPr>
            </w:pPr>
            <w:r w:rsidRPr="00A36BF7">
              <w:rPr>
                <w:rFonts w:cs="Arial"/>
                <w:sz w:val="18"/>
                <w:szCs w:val="18"/>
              </w:rPr>
              <w:t>YES</w:t>
            </w:r>
          </w:p>
        </w:tc>
      </w:tr>
      <w:tr w:rsidR="00AA7D6F" w:rsidRPr="00F26CE4" w:rsidTr="003448B9">
        <w:tc>
          <w:tcPr>
            <w:tcW w:w="1893"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Municipality of Athens</w:t>
            </w:r>
          </w:p>
        </w:tc>
        <w:tc>
          <w:tcPr>
            <w:tcW w:w="1646"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Social worker</w:t>
            </w:r>
          </w:p>
        </w:tc>
        <w:tc>
          <w:tcPr>
            <w:tcW w:w="2515"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Local government, Policy implementation</w:t>
            </w:r>
          </w:p>
        </w:tc>
        <w:tc>
          <w:tcPr>
            <w:tcW w:w="1073" w:type="dxa"/>
          </w:tcPr>
          <w:p w:rsidR="00AA7D6F" w:rsidRPr="00A36BF7" w:rsidRDefault="00AA7D6F" w:rsidP="00A36BF7">
            <w:pPr>
              <w:spacing w:before="20" w:after="20" w:line="240" w:lineRule="auto"/>
              <w:rPr>
                <w:rFonts w:cs="Arial"/>
                <w:sz w:val="18"/>
                <w:szCs w:val="18"/>
              </w:rPr>
            </w:pPr>
            <w:r w:rsidRPr="00A36BF7">
              <w:rPr>
                <w:rFonts w:cs="Arial"/>
                <w:sz w:val="18"/>
                <w:szCs w:val="18"/>
              </w:rPr>
              <w:t>18/10/12</w:t>
            </w:r>
          </w:p>
        </w:tc>
        <w:tc>
          <w:tcPr>
            <w:tcW w:w="1402" w:type="dxa"/>
          </w:tcPr>
          <w:p w:rsidR="00AA7D6F" w:rsidRPr="00A36BF7" w:rsidRDefault="00AA7D6F" w:rsidP="00A36BF7">
            <w:pPr>
              <w:spacing w:before="20" w:after="20" w:line="240" w:lineRule="auto"/>
              <w:jc w:val="center"/>
              <w:rPr>
                <w:rFonts w:cs="Arial"/>
                <w:sz w:val="18"/>
                <w:szCs w:val="18"/>
              </w:rPr>
            </w:pPr>
            <w:r w:rsidRPr="00A36BF7">
              <w:rPr>
                <w:rFonts w:cs="Arial"/>
                <w:sz w:val="18"/>
                <w:szCs w:val="18"/>
              </w:rPr>
              <w:t>YES</w:t>
            </w:r>
          </w:p>
        </w:tc>
      </w:tr>
      <w:tr w:rsidR="00AA7D6F" w:rsidRPr="00F26CE4" w:rsidTr="00A36BF7">
        <w:tc>
          <w:tcPr>
            <w:tcW w:w="1893"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Centre of Reception and Solidarity of the Municipality of Athens</w:t>
            </w:r>
          </w:p>
        </w:tc>
        <w:tc>
          <w:tcPr>
            <w:tcW w:w="1646"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Vice-president</w:t>
            </w:r>
          </w:p>
        </w:tc>
        <w:tc>
          <w:tcPr>
            <w:tcW w:w="2515"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Local government, Policy making</w:t>
            </w:r>
          </w:p>
        </w:tc>
        <w:tc>
          <w:tcPr>
            <w:tcW w:w="1073" w:type="dxa"/>
            <w:shd w:val="clear" w:color="auto" w:fill="D9D9D9" w:themeFill="background1" w:themeFillShade="D9"/>
          </w:tcPr>
          <w:p w:rsidR="00AA7D6F" w:rsidRPr="00A36BF7" w:rsidRDefault="00AA7D6F" w:rsidP="00A36BF7">
            <w:pPr>
              <w:spacing w:before="20" w:after="20" w:line="240" w:lineRule="auto"/>
              <w:rPr>
                <w:rFonts w:cs="Arial"/>
                <w:sz w:val="18"/>
                <w:szCs w:val="18"/>
              </w:rPr>
            </w:pPr>
            <w:r w:rsidRPr="00A36BF7">
              <w:rPr>
                <w:rFonts w:cs="Arial"/>
                <w:sz w:val="18"/>
                <w:szCs w:val="18"/>
              </w:rPr>
              <w:t>25/10/12</w:t>
            </w:r>
          </w:p>
        </w:tc>
        <w:tc>
          <w:tcPr>
            <w:tcW w:w="1402" w:type="dxa"/>
            <w:shd w:val="clear" w:color="auto" w:fill="D9D9D9" w:themeFill="background1" w:themeFillShade="D9"/>
          </w:tcPr>
          <w:p w:rsidR="00AA7D6F" w:rsidRPr="00A36BF7" w:rsidRDefault="00AA7D6F" w:rsidP="00A36BF7">
            <w:pPr>
              <w:spacing w:before="20" w:after="20" w:line="240" w:lineRule="auto"/>
              <w:rPr>
                <w:rFonts w:cs="Arial"/>
                <w:sz w:val="18"/>
                <w:szCs w:val="18"/>
              </w:rPr>
            </w:pPr>
          </w:p>
        </w:tc>
      </w:tr>
      <w:tr w:rsidR="00AA7D6F" w:rsidRPr="00F26CE4" w:rsidTr="003448B9">
        <w:tc>
          <w:tcPr>
            <w:tcW w:w="1893"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Direction of Immigration Policy, Ministry of Interior</w:t>
            </w:r>
          </w:p>
        </w:tc>
        <w:tc>
          <w:tcPr>
            <w:tcW w:w="1646"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Head of the Department of Legal Coordination and Control,</w:t>
            </w:r>
          </w:p>
        </w:tc>
        <w:tc>
          <w:tcPr>
            <w:tcW w:w="2515"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Central government, Policy making</w:t>
            </w:r>
          </w:p>
        </w:tc>
        <w:tc>
          <w:tcPr>
            <w:tcW w:w="1073" w:type="dxa"/>
          </w:tcPr>
          <w:p w:rsidR="00AA7D6F" w:rsidRPr="00A36BF7" w:rsidRDefault="00AA7D6F" w:rsidP="00A36BF7">
            <w:pPr>
              <w:spacing w:before="20" w:after="20" w:line="240" w:lineRule="auto"/>
              <w:rPr>
                <w:rFonts w:cs="Arial"/>
                <w:sz w:val="18"/>
                <w:szCs w:val="18"/>
              </w:rPr>
            </w:pPr>
            <w:r w:rsidRPr="00A36BF7">
              <w:rPr>
                <w:rFonts w:cs="Arial"/>
                <w:sz w:val="18"/>
                <w:szCs w:val="18"/>
              </w:rPr>
              <w:t>15/11/12</w:t>
            </w:r>
          </w:p>
        </w:tc>
        <w:tc>
          <w:tcPr>
            <w:tcW w:w="1402" w:type="dxa"/>
          </w:tcPr>
          <w:p w:rsidR="00AA7D6F" w:rsidRPr="00A36BF7" w:rsidRDefault="00AA7D6F" w:rsidP="00A36BF7">
            <w:pPr>
              <w:spacing w:before="20" w:after="20" w:line="240" w:lineRule="auto"/>
              <w:jc w:val="center"/>
              <w:rPr>
                <w:rFonts w:cs="Arial"/>
                <w:sz w:val="18"/>
                <w:szCs w:val="18"/>
              </w:rPr>
            </w:pPr>
            <w:r w:rsidRPr="00A36BF7">
              <w:rPr>
                <w:rFonts w:cs="Arial"/>
                <w:sz w:val="18"/>
                <w:szCs w:val="18"/>
              </w:rPr>
              <w:t>YES</w:t>
            </w:r>
          </w:p>
        </w:tc>
      </w:tr>
      <w:tr w:rsidR="00AA7D6F" w:rsidRPr="00F26CE4" w:rsidTr="00A36BF7">
        <w:tc>
          <w:tcPr>
            <w:tcW w:w="1893"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Sudanese Community of Attiki</w:t>
            </w:r>
          </w:p>
        </w:tc>
        <w:tc>
          <w:tcPr>
            <w:tcW w:w="1646"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Secretary</w:t>
            </w:r>
          </w:p>
        </w:tc>
        <w:tc>
          <w:tcPr>
            <w:tcW w:w="2515"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Minority group, policy implementation</w:t>
            </w:r>
          </w:p>
        </w:tc>
        <w:tc>
          <w:tcPr>
            <w:tcW w:w="1073" w:type="dxa"/>
            <w:shd w:val="clear" w:color="auto" w:fill="D9D9D9" w:themeFill="background1" w:themeFillShade="D9"/>
          </w:tcPr>
          <w:p w:rsidR="00AA7D6F" w:rsidRPr="00A36BF7" w:rsidRDefault="00AA7D6F" w:rsidP="00A36BF7">
            <w:pPr>
              <w:spacing w:before="20" w:after="20" w:line="240" w:lineRule="auto"/>
              <w:rPr>
                <w:rFonts w:cs="Arial"/>
                <w:sz w:val="18"/>
                <w:szCs w:val="18"/>
              </w:rPr>
            </w:pPr>
            <w:r w:rsidRPr="00A36BF7">
              <w:rPr>
                <w:rFonts w:cs="Arial"/>
                <w:sz w:val="18"/>
                <w:szCs w:val="18"/>
              </w:rPr>
              <w:t>3/12/12</w:t>
            </w:r>
          </w:p>
        </w:tc>
        <w:tc>
          <w:tcPr>
            <w:tcW w:w="1402" w:type="dxa"/>
            <w:shd w:val="clear" w:color="auto" w:fill="D9D9D9" w:themeFill="background1" w:themeFillShade="D9"/>
          </w:tcPr>
          <w:p w:rsidR="00AA7D6F" w:rsidRPr="00A36BF7" w:rsidRDefault="00AA7D6F" w:rsidP="00A36BF7">
            <w:pPr>
              <w:spacing w:before="20" w:after="20" w:line="240" w:lineRule="auto"/>
              <w:jc w:val="center"/>
              <w:rPr>
                <w:rFonts w:cs="Arial"/>
                <w:sz w:val="18"/>
                <w:szCs w:val="18"/>
              </w:rPr>
            </w:pPr>
            <w:r w:rsidRPr="00A36BF7">
              <w:rPr>
                <w:rFonts w:cs="Arial"/>
                <w:sz w:val="18"/>
                <w:szCs w:val="18"/>
              </w:rPr>
              <w:t>YES</w:t>
            </w:r>
          </w:p>
        </w:tc>
      </w:tr>
      <w:tr w:rsidR="00AA7D6F" w:rsidRPr="00F26CE4" w:rsidTr="003448B9">
        <w:tc>
          <w:tcPr>
            <w:tcW w:w="1893"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‘KASAPI’, Filipino Community in Greece</w:t>
            </w:r>
          </w:p>
        </w:tc>
        <w:tc>
          <w:tcPr>
            <w:tcW w:w="1646" w:type="dxa"/>
          </w:tcPr>
          <w:p w:rsidR="00AA7D6F" w:rsidRPr="00A36BF7" w:rsidRDefault="006104B4" w:rsidP="00A36BF7">
            <w:pPr>
              <w:spacing w:before="20" w:after="20" w:line="240" w:lineRule="auto"/>
              <w:jc w:val="left"/>
              <w:rPr>
                <w:rFonts w:cs="Arial"/>
                <w:sz w:val="18"/>
                <w:szCs w:val="18"/>
              </w:rPr>
            </w:pPr>
            <w:r w:rsidRPr="00A36BF7">
              <w:rPr>
                <w:rFonts w:cs="Arial"/>
                <w:sz w:val="18"/>
                <w:szCs w:val="18"/>
              </w:rPr>
              <w:t>Member</w:t>
            </w:r>
          </w:p>
        </w:tc>
        <w:tc>
          <w:tcPr>
            <w:tcW w:w="2515"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Minority group, policy implementation</w:t>
            </w:r>
          </w:p>
        </w:tc>
        <w:tc>
          <w:tcPr>
            <w:tcW w:w="1073" w:type="dxa"/>
          </w:tcPr>
          <w:p w:rsidR="00AA7D6F" w:rsidRPr="00A36BF7" w:rsidRDefault="006104B4" w:rsidP="00A36BF7">
            <w:pPr>
              <w:spacing w:before="20" w:after="20" w:line="240" w:lineRule="auto"/>
              <w:rPr>
                <w:rFonts w:cs="Arial"/>
                <w:sz w:val="18"/>
                <w:szCs w:val="18"/>
              </w:rPr>
            </w:pPr>
            <w:r w:rsidRPr="00A36BF7">
              <w:rPr>
                <w:rFonts w:cs="Arial"/>
                <w:sz w:val="18"/>
                <w:szCs w:val="18"/>
              </w:rPr>
              <w:t>20/1/13</w:t>
            </w:r>
          </w:p>
        </w:tc>
        <w:tc>
          <w:tcPr>
            <w:tcW w:w="1402" w:type="dxa"/>
          </w:tcPr>
          <w:p w:rsidR="00AA7D6F" w:rsidRPr="00A36BF7" w:rsidRDefault="006104B4" w:rsidP="00A36BF7">
            <w:pPr>
              <w:spacing w:before="20" w:after="20" w:line="240" w:lineRule="auto"/>
              <w:jc w:val="center"/>
              <w:rPr>
                <w:rFonts w:cs="Arial"/>
                <w:sz w:val="18"/>
                <w:szCs w:val="18"/>
              </w:rPr>
            </w:pPr>
            <w:r w:rsidRPr="00A36BF7">
              <w:rPr>
                <w:rFonts w:cs="Arial"/>
                <w:sz w:val="18"/>
                <w:szCs w:val="18"/>
              </w:rPr>
              <w:t>YES</w:t>
            </w:r>
          </w:p>
        </w:tc>
      </w:tr>
      <w:tr w:rsidR="00AA7D6F" w:rsidRPr="00F26CE4" w:rsidTr="00A36BF7">
        <w:tc>
          <w:tcPr>
            <w:tcW w:w="1893"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Pakistani Community in Greece</w:t>
            </w:r>
          </w:p>
        </w:tc>
        <w:tc>
          <w:tcPr>
            <w:tcW w:w="1646" w:type="dxa"/>
            <w:shd w:val="clear" w:color="auto" w:fill="D9D9D9" w:themeFill="background1" w:themeFillShade="D9"/>
          </w:tcPr>
          <w:p w:rsidR="00AA7D6F" w:rsidRPr="00A36BF7" w:rsidRDefault="006104B4" w:rsidP="00A36BF7">
            <w:pPr>
              <w:spacing w:before="20" w:after="20" w:line="240" w:lineRule="auto"/>
              <w:jc w:val="left"/>
              <w:rPr>
                <w:rFonts w:cs="Arial"/>
                <w:sz w:val="18"/>
                <w:szCs w:val="18"/>
              </w:rPr>
            </w:pPr>
            <w:r w:rsidRPr="00A36BF7">
              <w:rPr>
                <w:rFonts w:cs="Arial"/>
                <w:sz w:val="18"/>
                <w:szCs w:val="18"/>
              </w:rPr>
              <w:t>President</w:t>
            </w:r>
          </w:p>
        </w:tc>
        <w:tc>
          <w:tcPr>
            <w:tcW w:w="2515" w:type="dxa"/>
            <w:shd w:val="clear" w:color="auto" w:fill="D9D9D9" w:themeFill="background1" w:themeFillShade="D9"/>
          </w:tcPr>
          <w:p w:rsidR="00AA7D6F" w:rsidRPr="00A36BF7" w:rsidRDefault="00AA7D6F" w:rsidP="00A36BF7">
            <w:pPr>
              <w:spacing w:before="20" w:after="20" w:line="240" w:lineRule="auto"/>
              <w:jc w:val="left"/>
              <w:rPr>
                <w:rFonts w:cs="Arial"/>
                <w:sz w:val="18"/>
                <w:szCs w:val="18"/>
              </w:rPr>
            </w:pPr>
            <w:r w:rsidRPr="00A36BF7">
              <w:rPr>
                <w:rFonts w:cs="Arial"/>
                <w:sz w:val="18"/>
                <w:szCs w:val="18"/>
              </w:rPr>
              <w:t>Minority group, policy implementation</w:t>
            </w:r>
          </w:p>
        </w:tc>
        <w:tc>
          <w:tcPr>
            <w:tcW w:w="1073" w:type="dxa"/>
            <w:shd w:val="clear" w:color="auto" w:fill="D9D9D9" w:themeFill="background1" w:themeFillShade="D9"/>
          </w:tcPr>
          <w:p w:rsidR="00AA7D6F" w:rsidRPr="00A36BF7" w:rsidRDefault="006104B4" w:rsidP="00A36BF7">
            <w:pPr>
              <w:spacing w:before="20" w:after="20" w:line="240" w:lineRule="auto"/>
              <w:rPr>
                <w:rFonts w:cs="Arial"/>
                <w:sz w:val="18"/>
                <w:szCs w:val="18"/>
              </w:rPr>
            </w:pPr>
            <w:r w:rsidRPr="00A36BF7">
              <w:rPr>
                <w:rFonts w:cs="Arial"/>
                <w:sz w:val="18"/>
                <w:szCs w:val="18"/>
              </w:rPr>
              <w:t>15/12/12</w:t>
            </w:r>
          </w:p>
        </w:tc>
        <w:tc>
          <w:tcPr>
            <w:tcW w:w="1402" w:type="dxa"/>
            <w:shd w:val="clear" w:color="auto" w:fill="D9D9D9" w:themeFill="background1" w:themeFillShade="D9"/>
          </w:tcPr>
          <w:p w:rsidR="00AA7D6F" w:rsidRPr="00A36BF7" w:rsidRDefault="006104B4" w:rsidP="00A36BF7">
            <w:pPr>
              <w:spacing w:before="20" w:after="20" w:line="240" w:lineRule="auto"/>
              <w:jc w:val="center"/>
              <w:rPr>
                <w:rFonts w:cs="Arial"/>
                <w:sz w:val="18"/>
                <w:szCs w:val="18"/>
              </w:rPr>
            </w:pPr>
            <w:r w:rsidRPr="00A36BF7">
              <w:rPr>
                <w:rFonts w:cs="Arial"/>
                <w:sz w:val="18"/>
                <w:szCs w:val="18"/>
              </w:rPr>
              <w:t>YES</w:t>
            </w:r>
          </w:p>
        </w:tc>
      </w:tr>
      <w:tr w:rsidR="00AA7D6F" w:rsidRPr="00F26CE4" w:rsidTr="003448B9">
        <w:tc>
          <w:tcPr>
            <w:tcW w:w="1893" w:type="dxa"/>
          </w:tcPr>
          <w:p w:rsidR="00AA7D6F" w:rsidRPr="00A36BF7" w:rsidRDefault="00D51655" w:rsidP="00A36BF7">
            <w:pPr>
              <w:spacing w:before="20" w:after="20" w:line="240" w:lineRule="auto"/>
              <w:jc w:val="left"/>
              <w:rPr>
                <w:rFonts w:eastAsiaTheme="minorHAnsi" w:cs="Arial"/>
                <w:sz w:val="18"/>
                <w:szCs w:val="18"/>
                <w:lang w:val="en-US"/>
              </w:rPr>
            </w:pPr>
            <w:r w:rsidRPr="00A36BF7">
              <w:rPr>
                <w:rFonts w:cs="Arial"/>
                <w:sz w:val="18"/>
                <w:szCs w:val="18"/>
              </w:rPr>
              <w:t>Roma network of Gr</w:t>
            </w:r>
            <w:r w:rsidR="004D151D" w:rsidRPr="00A36BF7">
              <w:rPr>
                <w:rFonts w:cs="Arial"/>
                <w:sz w:val="18"/>
                <w:szCs w:val="18"/>
              </w:rPr>
              <w:t>eece</w:t>
            </w:r>
          </w:p>
        </w:tc>
        <w:tc>
          <w:tcPr>
            <w:tcW w:w="1646" w:type="dxa"/>
          </w:tcPr>
          <w:p w:rsidR="00AA7D6F" w:rsidRPr="00A36BF7" w:rsidRDefault="004D151D" w:rsidP="00A36BF7">
            <w:pPr>
              <w:spacing w:before="20" w:after="20" w:line="240" w:lineRule="auto"/>
              <w:jc w:val="left"/>
              <w:rPr>
                <w:rFonts w:cs="Arial"/>
                <w:sz w:val="18"/>
                <w:szCs w:val="18"/>
              </w:rPr>
            </w:pPr>
            <w:r w:rsidRPr="00A36BF7">
              <w:rPr>
                <w:rFonts w:cs="Arial"/>
                <w:sz w:val="18"/>
                <w:szCs w:val="18"/>
              </w:rPr>
              <w:t>Ex-Direcrtor</w:t>
            </w:r>
          </w:p>
        </w:tc>
        <w:tc>
          <w:tcPr>
            <w:tcW w:w="2515" w:type="dxa"/>
          </w:tcPr>
          <w:p w:rsidR="00AA7D6F" w:rsidRPr="00A36BF7" w:rsidRDefault="00AA7D6F" w:rsidP="00A36BF7">
            <w:pPr>
              <w:spacing w:before="20" w:after="20" w:line="240" w:lineRule="auto"/>
              <w:jc w:val="left"/>
              <w:rPr>
                <w:rFonts w:cs="Arial"/>
                <w:sz w:val="18"/>
                <w:szCs w:val="18"/>
              </w:rPr>
            </w:pPr>
            <w:r w:rsidRPr="00A36BF7">
              <w:rPr>
                <w:rFonts w:cs="Arial"/>
                <w:sz w:val="18"/>
                <w:szCs w:val="18"/>
              </w:rPr>
              <w:t>Minority group, policy implementation</w:t>
            </w:r>
          </w:p>
        </w:tc>
        <w:tc>
          <w:tcPr>
            <w:tcW w:w="1073" w:type="dxa"/>
          </w:tcPr>
          <w:p w:rsidR="00AA7D6F" w:rsidRPr="00A36BF7" w:rsidRDefault="004D151D" w:rsidP="00A36BF7">
            <w:pPr>
              <w:spacing w:before="20" w:after="20" w:line="240" w:lineRule="auto"/>
              <w:rPr>
                <w:rFonts w:cs="Arial"/>
                <w:sz w:val="18"/>
                <w:szCs w:val="18"/>
              </w:rPr>
            </w:pPr>
            <w:r w:rsidRPr="00A36BF7">
              <w:rPr>
                <w:rFonts w:cs="Arial"/>
                <w:sz w:val="18"/>
                <w:szCs w:val="18"/>
              </w:rPr>
              <w:t>3/4/13</w:t>
            </w:r>
          </w:p>
        </w:tc>
        <w:tc>
          <w:tcPr>
            <w:tcW w:w="1402" w:type="dxa"/>
          </w:tcPr>
          <w:p w:rsidR="00AA7D6F" w:rsidRPr="00A36BF7" w:rsidRDefault="00AA7D6F" w:rsidP="00A36BF7">
            <w:pPr>
              <w:spacing w:before="20" w:after="20" w:line="240" w:lineRule="auto"/>
              <w:rPr>
                <w:rFonts w:cs="Arial"/>
                <w:sz w:val="18"/>
                <w:szCs w:val="18"/>
              </w:rPr>
            </w:pPr>
          </w:p>
        </w:tc>
      </w:tr>
    </w:tbl>
    <w:p w:rsidR="00536563" w:rsidRPr="005D011A" w:rsidRDefault="00536563" w:rsidP="005F4516">
      <w:pPr>
        <w:rPr>
          <w:rFonts w:cs="Arial"/>
        </w:rPr>
      </w:pPr>
    </w:p>
    <w:sectPr w:rsidR="00536563" w:rsidRPr="005D011A" w:rsidSect="00AC2579">
      <w:headerReference w:type="even" r:id="rId76"/>
      <w:pgSz w:w="11907" w:h="16840" w:code="9"/>
      <w:pgMar w:top="1440" w:right="1797" w:bottom="1440" w:left="179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1B00" w:rsidRDefault="00CC1B00">
      <w:r>
        <w:separator/>
      </w:r>
    </w:p>
    <w:p w:rsidR="00CC1B00" w:rsidRDefault="00CC1B00"/>
  </w:endnote>
  <w:endnote w:type="continuationSeparator" w:id="0">
    <w:p w:rsidR="00CC1B00" w:rsidRDefault="00CC1B00">
      <w:r>
        <w:continuationSeparator/>
      </w:r>
    </w:p>
    <w:p w:rsidR="00CC1B00" w:rsidRDefault="00CC1B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DejaVu Sans">
    <w:charset w:val="A1"/>
    <w:family w:val="swiss"/>
    <w:pitch w:val="variable"/>
    <w:sig w:usb0="E7000EFF" w:usb1="5200FDFF" w:usb2="0A042021" w:usb3="00000000" w:csb0="000001BF" w:csb1="00000000"/>
  </w:font>
  <w:font w:name="Garamond">
    <w:panose1 w:val="02020404030301010803"/>
    <w:charset w:val="00"/>
    <w:family w:val="roman"/>
    <w:pitch w:val="variable"/>
    <w:sig w:usb0="00000287" w:usb1="00000000" w:usb2="00000000" w:usb3="00000000" w:csb0="0000009F" w:csb1="00000000"/>
  </w:font>
  <w:font w:name="Gulim">
    <w:altName w:val="굴림"/>
    <w:panose1 w:val="020B0600000101010101"/>
    <w:charset w:val="81"/>
    <w:family w:val="swiss"/>
    <w:pitch w:val="variable"/>
    <w:sig w:usb0="B00002AF" w:usb1="69D77CFB" w:usb2="00000030" w:usb3="00000000" w:csb0="0008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Liberation Serif">
    <w:altName w:val="MS PMincho"/>
    <w:charset w:val="80"/>
    <w:family w:val="roman"/>
    <w:pitch w:val="variable"/>
  </w:font>
  <w:font w:name="WenQuanYi Micro Hei">
    <w:altName w:val="MS Mincho"/>
    <w:charset w:val="80"/>
    <w:family w:val="auto"/>
    <w:pitch w:val="variable"/>
  </w:font>
  <w:font w:name="Lohit Hindi">
    <w:altName w:val="MS Mincho"/>
    <w:charset w:val="80"/>
    <w:family w:val="auto"/>
    <w:pitch w:val="variable"/>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6877832"/>
      <w:docPartObj>
        <w:docPartGallery w:val="Page Numbers (Bottom of Page)"/>
        <w:docPartUnique/>
      </w:docPartObj>
    </w:sdtPr>
    <w:sdtEndPr/>
    <w:sdtContent>
      <w:p w:rsidR="00724794" w:rsidRDefault="00724794">
        <w:pPr>
          <w:pStyle w:val="Footer"/>
          <w:jc w:val="right"/>
        </w:pPr>
        <w:r>
          <w:fldChar w:fldCharType="begin"/>
        </w:r>
        <w:r>
          <w:instrText>PAGE   \* MERGEFORMAT</w:instrText>
        </w:r>
        <w:r>
          <w:fldChar w:fldCharType="separate"/>
        </w:r>
        <w:r w:rsidR="00BA0556" w:rsidRPr="00BA0556">
          <w:rPr>
            <w:noProof/>
            <w:lang w:val="de-DE"/>
          </w:rPr>
          <w:t>ii</w:t>
        </w:r>
        <w:r>
          <w:fldChar w:fldCharType="end"/>
        </w:r>
      </w:p>
    </w:sdtContent>
  </w:sdt>
  <w:p w:rsidR="00724794" w:rsidRDefault="00724794" w:rsidP="00676302">
    <w:pPr>
      <w:pStyle w:val="Footer"/>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4794" w:rsidRDefault="00724794">
    <w:pPr>
      <w:pStyle w:val="Footer"/>
      <w:jc w:val="right"/>
    </w:pPr>
    <w:r>
      <w:fldChar w:fldCharType="begin"/>
    </w:r>
    <w:r>
      <w:instrText xml:space="preserve"> PAGE   \* MERGEFORMAT </w:instrText>
    </w:r>
    <w:r>
      <w:fldChar w:fldCharType="separate"/>
    </w:r>
    <w:r w:rsidR="00BA0556">
      <w:rPr>
        <w:noProof/>
      </w:rPr>
      <w:t>67</w:t>
    </w:r>
    <w:r>
      <w:rPr>
        <w:noProof/>
      </w:rPr>
      <w:fldChar w:fldCharType="end"/>
    </w:r>
  </w:p>
  <w:p w:rsidR="00724794" w:rsidRDefault="00724794">
    <w:pPr>
      <w:pStyle w:val="Footer"/>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1B00" w:rsidRDefault="00CC1B00">
      <w:r>
        <w:separator/>
      </w:r>
    </w:p>
  </w:footnote>
  <w:footnote w:type="continuationSeparator" w:id="0">
    <w:p w:rsidR="00CC1B00" w:rsidRDefault="00CC1B00">
      <w:r>
        <w:continuationSeparator/>
      </w:r>
    </w:p>
    <w:p w:rsidR="00CC1B00" w:rsidRDefault="00CC1B00"/>
  </w:footnote>
  <w:footnote w:id="1">
    <w:p w:rsidR="00724794" w:rsidRPr="006502D5" w:rsidRDefault="00724794" w:rsidP="006502D5">
      <w:pPr>
        <w:pStyle w:val="FootnoteText"/>
        <w:spacing w:before="60" w:line="240" w:lineRule="auto"/>
        <w:rPr>
          <w:rFonts w:cs="Arial"/>
          <w:sz w:val="18"/>
          <w:szCs w:val="18"/>
          <w:lang w:val="en-US"/>
        </w:rPr>
      </w:pPr>
      <w:r w:rsidRPr="006502D5">
        <w:rPr>
          <w:rStyle w:val="FootnoteReference"/>
          <w:sz w:val="18"/>
          <w:szCs w:val="18"/>
        </w:rPr>
        <w:footnoteRef/>
      </w:r>
      <w:r w:rsidRPr="006502D5">
        <w:rPr>
          <w:sz w:val="18"/>
          <w:szCs w:val="18"/>
          <w:lang w:val="en-US"/>
        </w:rPr>
        <w:t xml:space="preserve"> </w:t>
      </w:r>
      <w:r w:rsidRPr="006502D5">
        <w:rPr>
          <w:rFonts w:cs="Arial"/>
          <w:sz w:val="18"/>
          <w:szCs w:val="18"/>
          <w:lang w:val="en-US"/>
        </w:rPr>
        <w:t>Provisional data.</w:t>
      </w:r>
    </w:p>
  </w:footnote>
  <w:footnote w:id="2">
    <w:p w:rsidR="00724794" w:rsidRPr="00F47AF1" w:rsidRDefault="00724794" w:rsidP="00F47AF1">
      <w:pPr>
        <w:pStyle w:val="FootnoteText"/>
        <w:spacing w:before="60" w:line="240" w:lineRule="auto"/>
        <w:rPr>
          <w:rFonts w:cs="Arial"/>
          <w:sz w:val="18"/>
          <w:szCs w:val="18"/>
          <w:lang w:val="en-US"/>
        </w:rPr>
      </w:pPr>
      <w:r w:rsidRPr="00F47AF1">
        <w:rPr>
          <w:rStyle w:val="FootnoteReference"/>
          <w:rFonts w:cs="Arial"/>
          <w:sz w:val="18"/>
          <w:szCs w:val="18"/>
        </w:rPr>
        <w:footnoteRef/>
      </w:r>
      <w:r w:rsidRPr="00F47AF1">
        <w:rPr>
          <w:rFonts w:cs="Arial"/>
          <w:sz w:val="18"/>
          <w:szCs w:val="18"/>
          <w:lang w:val="en-US"/>
        </w:rPr>
        <w:t xml:space="preserve"> First and second trimester</w:t>
      </w:r>
    </w:p>
  </w:footnote>
  <w:footnote w:id="3">
    <w:p w:rsidR="00724794" w:rsidRPr="007C7EFC" w:rsidRDefault="00724794" w:rsidP="007C7EFC">
      <w:pPr>
        <w:pStyle w:val="FootnoteText"/>
        <w:spacing w:before="60" w:line="240" w:lineRule="auto"/>
        <w:rPr>
          <w:sz w:val="18"/>
          <w:szCs w:val="18"/>
          <w:lang w:val="en-US"/>
        </w:rPr>
      </w:pPr>
      <w:r w:rsidRPr="007C7EFC">
        <w:rPr>
          <w:rStyle w:val="FootnoteReference"/>
          <w:sz w:val="18"/>
          <w:szCs w:val="18"/>
        </w:rPr>
        <w:footnoteRef/>
      </w:r>
      <w:r w:rsidRPr="007C7EFC">
        <w:rPr>
          <w:sz w:val="18"/>
          <w:szCs w:val="18"/>
        </w:rPr>
        <w:t xml:space="preserve"> </w:t>
      </w:r>
      <w:r w:rsidRPr="007C7EFC">
        <w:rPr>
          <w:sz w:val="18"/>
          <w:szCs w:val="18"/>
          <w:lang w:val="en-US"/>
        </w:rPr>
        <w:t>See Appendix</w:t>
      </w:r>
      <w:r>
        <w:rPr>
          <w:sz w:val="18"/>
          <w:szCs w:val="18"/>
          <w:lang w:val="en-US"/>
        </w:rPr>
        <w:t>.</w:t>
      </w:r>
      <w:r w:rsidRPr="007C7EFC">
        <w:rPr>
          <w:sz w:val="18"/>
          <w:szCs w:val="18"/>
          <w:lang w:val="en-US"/>
        </w:rPr>
        <w:t xml:space="preserve"> </w:t>
      </w:r>
    </w:p>
  </w:footnote>
  <w:footnote w:id="4">
    <w:p w:rsidR="00724794" w:rsidRPr="000C6768" w:rsidRDefault="00724794" w:rsidP="00F47AF1">
      <w:pPr>
        <w:pStyle w:val="FootnoteText"/>
        <w:spacing w:before="60" w:line="240" w:lineRule="auto"/>
        <w:rPr>
          <w:rFonts w:cs="Arial"/>
          <w:sz w:val="18"/>
          <w:szCs w:val="18"/>
        </w:rPr>
      </w:pPr>
      <w:r w:rsidRPr="000C6768">
        <w:rPr>
          <w:rStyle w:val="a0"/>
          <w:rFonts w:cs="Arial"/>
          <w:sz w:val="18"/>
          <w:szCs w:val="18"/>
          <w:vertAlign w:val="superscript"/>
        </w:rPr>
        <w:footnoteRef/>
      </w:r>
      <w:r>
        <w:rPr>
          <w:rFonts w:cs="Arial"/>
          <w:sz w:val="18"/>
          <w:szCs w:val="18"/>
        </w:rPr>
        <w:t xml:space="preserve"> </w:t>
      </w:r>
      <w:r w:rsidRPr="000C6768">
        <w:rPr>
          <w:rFonts w:cs="Arial"/>
          <w:sz w:val="18"/>
          <w:szCs w:val="18"/>
        </w:rPr>
        <w:t xml:space="preserve">There are no census data concerning the legal status of immigrants' residence in Greece. To some extent we can assume that this indicator is reflected on the duration of residence, although this is rather problematic if one considers the cycles of legalization and delegalization based on temporary work permits. However there is good reason to suppose that the 2001 census data concern a by and large regular immigrant population, as the first legalization process had started a few years earlier. </w:t>
      </w:r>
    </w:p>
  </w:footnote>
  <w:footnote w:id="5">
    <w:p w:rsidR="00724794" w:rsidRPr="00AC787C" w:rsidRDefault="00724794" w:rsidP="00AC787C">
      <w:pPr>
        <w:pStyle w:val="FootnoteText"/>
        <w:spacing w:before="60" w:line="240" w:lineRule="auto"/>
        <w:rPr>
          <w:sz w:val="18"/>
          <w:szCs w:val="18"/>
          <w:lang w:val="en-US"/>
        </w:rPr>
      </w:pPr>
      <w:r w:rsidRPr="00AC787C">
        <w:rPr>
          <w:rStyle w:val="FootnoteReference"/>
          <w:sz w:val="18"/>
          <w:szCs w:val="18"/>
        </w:rPr>
        <w:footnoteRef/>
      </w:r>
      <w:r w:rsidRPr="00AC787C">
        <w:rPr>
          <w:sz w:val="18"/>
          <w:szCs w:val="18"/>
        </w:rPr>
        <w:t xml:space="preserve"> </w:t>
      </w:r>
      <w:r w:rsidRPr="00AC787C">
        <w:rPr>
          <w:sz w:val="18"/>
          <w:szCs w:val="18"/>
          <w:lang w:val="en-US"/>
        </w:rPr>
        <w:t>Tables about the percentage of SEG members in the local population per grid are provided ion the Annex.</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4794" w:rsidRDefault="0072479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Num3"/>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
    <w:nsid w:val="00000003"/>
    <w:multiLevelType w:val="multilevel"/>
    <w:tmpl w:val="C5166846"/>
    <w:name w:val="WWNum4"/>
    <w:lvl w:ilvl="0">
      <w:start w:val="1"/>
      <w:numFmt w:val="lowerLetter"/>
      <w:lvlText w:val="%1."/>
      <w:lvlJc w:val="left"/>
      <w:pPr>
        <w:tabs>
          <w:tab w:val="num" w:pos="391"/>
        </w:tabs>
        <w:ind w:left="720" w:hanging="360"/>
      </w:pPr>
      <w:rPr>
        <w:rFonts w:ascii="Times New Roman" w:eastAsia="DejaVu Sans" w:hAnsi="Times New Roman" w:cs="DejaVu Sans"/>
      </w:rPr>
    </w:lvl>
    <w:lvl w:ilvl="1">
      <w:start w:val="1"/>
      <w:numFmt w:val="decimal"/>
      <w:lvlText w:val="%2."/>
      <w:lvlJc w:val="left"/>
      <w:pPr>
        <w:tabs>
          <w:tab w:val="num" w:pos="1080"/>
        </w:tabs>
        <w:ind w:left="1080" w:hanging="360"/>
      </w:pPr>
    </w:lvl>
    <w:lvl w:ilvl="2">
      <w:start w:val="1"/>
      <w:numFmt w:val="lowerRoman"/>
      <w:lvlText w:val="%3."/>
      <w:lvlJc w:val="left"/>
      <w:pPr>
        <w:tabs>
          <w:tab w:val="num" w:pos="391"/>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27"/>
    <w:multiLevelType w:val="singleLevel"/>
    <w:tmpl w:val="00000027"/>
    <w:name w:val="WW8Num41"/>
    <w:lvl w:ilvl="0">
      <w:start w:val="1"/>
      <w:numFmt w:val="decimal"/>
      <w:lvlText w:val="%1."/>
      <w:lvlJc w:val="left"/>
      <w:pPr>
        <w:tabs>
          <w:tab w:val="num" w:pos="720"/>
        </w:tabs>
        <w:ind w:left="720" w:hanging="360"/>
      </w:pPr>
    </w:lvl>
  </w:abstractNum>
  <w:abstractNum w:abstractNumId="3">
    <w:nsid w:val="02743FC4"/>
    <w:multiLevelType w:val="hybridMultilevel"/>
    <w:tmpl w:val="F56CCE1C"/>
    <w:lvl w:ilvl="0" w:tplc="757C9638">
      <w:start w:val="1"/>
      <w:numFmt w:val="bullet"/>
      <w:lvlText w:val="-"/>
      <w:lvlJc w:val="left"/>
      <w:pPr>
        <w:ind w:left="360" w:hanging="360"/>
      </w:pPr>
      <w:rPr>
        <w:rFonts w:ascii="Garamond" w:eastAsia="Gulim" w:hAnsi="Garamond"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4">
    <w:nsid w:val="03591933"/>
    <w:multiLevelType w:val="hybridMultilevel"/>
    <w:tmpl w:val="D012C1B6"/>
    <w:lvl w:ilvl="0" w:tplc="CE1817C6">
      <w:start w:val="1"/>
      <w:numFmt w:val="lowerLetter"/>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F916A5A"/>
    <w:multiLevelType w:val="hybridMultilevel"/>
    <w:tmpl w:val="9D46254A"/>
    <w:lvl w:ilvl="0" w:tplc="757C9638">
      <w:start w:val="1"/>
      <w:numFmt w:val="bullet"/>
      <w:lvlText w:val="-"/>
      <w:lvlJc w:val="left"/>
      <w:pPr>
        <w:ind w:left="360" w:hanging="360"/>
      </w:pPr>
      <w:rPr>
        <w:rFonts w:ascii="Garamond" w:eastAsia="Gulim" w:hAnsi="Garamond"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6">
    <w:nsid w:val="107A4B68"/>
    <w:multiLevelType w:val="hybridMultilevel"/>
    <w:tmpl w:val="8772C6C0"/>
    <w:lvl w:ilvl="0" w:tplc="04080017">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nsid w:val="11B21C82"/>
    <w:multiLevelType w:val="hybridMultilevel"/>
    <w:tmpl w:val="39BE80D2"/>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8">
    <w:nsid w:val="14D97B95"/>
    <w:multiLevelType w:val="hybridMultilevel"/>
    <w:tmpl w:val="97D8A9E2"/>
    <w:lvl w:ilvl="0" w:tplc="6D28089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15B75017"/>
    <w:multiLevelType w:val="multilevel"/>
    <w:tmpl w:val="1158E470"/>
    <w:lvl w:ilvl="0">
      <w:start w:val="1"/>
      <w:numFmt w:val="decimal"/>
      <w:pStyle w:val="Heading1"/>
      <w:lvlText w:val="%1"/>
      <w:lvlJc w:val="left"/>
      <w:pPr>
        <w:tabs>
          <w:tab w:val="num" w:pos="510"/>
        </w:tabs>
        <w:ind w:left="510" w:hanging="510"/>
      </w:pPr>
    </w:lvl>
    <w:lvl w:ilvl="1">
      <w:start w:val="1"/>
      <w:numFmt w:val="decimal"/>
      <w:pStyle w:val="Heading2"/>
      <w:lvlText w:val="%1.%2"/>
      <w:lvlJc w:val="left"/>
      <w:pPr>
        <w:tabs>
          <w:tab w:val="num" w:pos="5274"/>
        </w:tabs>
        <w:ind w:left="5274" w:hanging="737"/>
      </w:pPr>
    </w:lvl>
    <w:lvl w:ilvl="2">
      <w:start w:val="1"/>
      <w:numFmt w:val="decimal"/>
      <w:pStyle w:val="Heading3"/>
      <w:lvlText w:val="%1.%2.%3"/>
      <w:lvlJc w:val="left"/>
      <w:pPr>
        <w:tabs>
          <w:tab w:val="num" w:pos="1021"/>
        </w:tabs>
        <w:ind w:left="1021" w:hanging="1021"/>
      </w:pPr>
    </w:lvl>
    <w:lvl w:ilvl="3">
      <w:start w:val="1"/>
      <w:numFmt w:val="decimal"/>
      <w:pStyle w:val="Heading4"/>
      <w:lvlText w:val="%1.%2.%3.%4"/>
      <w:lvlJc w:val="left"/>
      <w:pPr>
        <w:tabs>
          <w:tab w:val="num" w:pos="1304"/>
        </w:tabs>
        <w:ind w:left="1304" w:hanging="1304"/>
      </w:pPr>
    </w:lvl>
    <w:lvl w:ilvl="4">
      <w:start w:val="1"/>
      <w:numFmt w:val="decimal"/>
      <w:pStyle w:val="Heading5"/>
      <w:lvlText w:val="%1.%2.%3.%4.%5"/>
      <w:lvlJc w:val="left"/>
      <w:pPr>
        <w:tabs>
          <w:tab w:val="num" w:pos="1644"/>
        </w:tabs>
        <w:ind w:left="1644" w:hanging="1644"/>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0">
    <w:nsid w:val="1AD17791"/>
    <w:multiLevelType w:val="hybridMultilevel"/>
    <w:tmpl w:val="418A9A04"/>
    <w:lvl w:ilvl="0" w:tplc="04080019">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nsid w:val="1B1527E7"/>
    <w:multiLevelType w:val="hybridMultilevel"/>
    <w:tmpl w:val="2856E8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E7E7264"/>
    <w:multiLevelType w:val="hybridMultilevel"/>
    <w:tmpl w:val="D722B272"/>
    <w:lvl w:ilvl="0" w:tplc="89A634BE">
      <w:start w:val="1"/>
      <w:numFmt w:val="lowerLetter"/>
      <w:lvlText w:val="%1."/>
      <w:lvlJc w:val="left"/>
      <w:pPr>
        <w:ind w:left="720" w:hanging="360"/>
      </w:pPr>
      <w:rPr>
        <w:rFonts w:hint="default"/>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21B2665E"/>
    <w:multiLevelType w:val="hybridMultilevel"/>
    <w:tmpl w:val="FC62FE04"/>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4">
    <w:nsid w:val="23010E82"/>
    <w:multiLevelType w:val="hybridMultilevel"/>
    <w:tmpl w:val="5F5E0A56"/>
    <w:lvl w:ilvl="0" w:tplc="F3BE6BD6">
      <w:start w:val="3"/>
      <w:numFmt w:val="bullet"/>
      <w:lvlText w:val="-"/>
      <w:lvlJc w:val="left"/>
      <w:pPr>
        <w:ind w:left="720" w:hanging="360"/>
      </w:pPr>
      <w:rPr>
        <w:rFonts w:ascii="Arial" w:eastAsia="Times New Roman"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24FF7192"/>
    <w:multiLevelType w:val="hybridMultilevel"/>
    <w:tmpl w:val="A192D0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2A8E4062"/>
    <w:multiLevelType w:val="hybridMultilevel"/>
    <w:tmpl w:val="674C508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nsid w:val="2D5713FD"/>
    <w:multiLevelType w:val="hybridMultilevel"/>
    <w:tmpl w:val="D8106DB0"/>
    <w:lvl w:ilvl="0" w:tplc="E612D750">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31F67722"/>
    <w:multiLevelType w:val="hybridMultilevel"/>
    <w:tmpl w:val="6DA6DE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nsid w:val="39E3008B"/>
    <w:multiLevelType w:val="hybridMultilevel"/>
    <w:tmpl w:val="286AD21A"/>
    <w:lvl w:ilvl="0" w:tplc="08090017">
      <w:start w:val="1"/>
      <w:numFmt w:val="lowerLetter"/>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nsid w:val="3ADE0E94"/>
    <w:multiLevelType w:val="hybridMultilevel"/>
    <w:tmpl w:val="62A6DF5A"/>
    <w:lvl w:ilvl="0" w:tplc="04080019">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nsid w:val="42DB7E9B"/>
    <w:multiLevelType w:val="hybridMultilevel"/>
    <w:tmpl w:val="B540CBC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nsid w:val="436376F1"/>
    <w:multiLevelType w:val="hybridMultilevel"/>
    <w:tmpl w:val="93081826"/>
    <w:lvl w:ilvl="0" w:tplc="94CCDC6E">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43FF5893"/>
    <w:multiLevelType w:val="hybridMultilevel"/>
    <w:tmpl w:val="6FC8D4E2"/>
    <w:lvl w:ilvl="0" w:tplc="1DE2E99A">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nsid w:val="471C3389"/>
    <w:multiLevelType w:val="hybridMultilevel"/>
    <w:tmpl w:val="7C82EFE6"/>
    <w:lvl w:ilvl="0" w:tplc="18105F8C">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nsid w:val="48D732AB"/>
    <w:multiLevelType w:val="hybridMultilevel"/>
    <w:tmpl w:val="1E1C603A"/>
    <w:lvl w:ilvl="0" w:tplc="94CCDC6E">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48F40DDC"/>
    <w:multiLevelType w:val="hybridMultilevel"/>
    <w:tmpl w:val="5E44C220"/>
    <w:lvl w:ilvl="0" w:tplc="CE1817C6">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nsid w:val="49DA06A3"/>
    <w:multiLevelType w:val="hybridMultilevel"/>
    <w:tmpl w:val="91EA3FFC"/>
    <w:lvl w:ilvl="0" w:tplc="242045AA">
      <w:start w:val="1"/>
      <w:numFmt w:val="lowerLetter"/>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nsid w:val="4AA4326B"/>
    <w:multiLevelType w:val="hybridMultilevel"/>
    <w:tmpl w:val="85404BA6"/>
    <w:lvl w:ilvl="0" w:tplc="04080019">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nsid w:val="4D11404E"/>
    <w:multiLevelType w:val="hybridMultilevel"/>
    <w:tmpl w:val="6846DD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nsid w:val="56D61023"/>
    <w:multiLevelType w:val="hybridMultilevel"/>
    <w:tmpl w:val="CA884A20"/>
    <w:lvl w:ilvl="0" w:tplc="04080019">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nsid w:val="57884497"/>
    <w:multiLevelType w:val="hybridMultilevel"/>
    <w:tmpl w:val="1B969248"/>
    <w:lvl w:ilvl="0" w:tplc="04080019">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nsid w:val="57CE3545"/>
    <w:multiLevelType w:val="hybridMultilevel"/>
    <w:tmpl w:val="D722B272"/>
    <w:lvl w:ilvl="0" w:tplc="89A634BE">
      <w:start w:val="1"/>
      <w:numFmt w:val="lowerLetter"/>
      <w:lvlText w:val="%1."/>
      <w:lvlJc w:val="left"/>
      <w:pPr>
        <w:ind w:left="720" w:hanging="360"/>
      </w:pPr>
      <w:rPr>
        <w:rFonts w:hint="default"/>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
    <w:nsid w:val="603D3DA5"/>
    <w:multiLevelType w:val="hybridMultilevel"/>
    <w:tmpl w:val="2A44B6DE"/>
    <w:lvl w:ilvl="0" w:tplc="F27E6E34">
      <w:start w:val="1"/>
      <w:numFmt w:val="lowerLetter"/>
      <w:lvlText w:val="(%1)"/>
      <w:lvlJc w:val="left"/>
      <w:pPr>
        <w:ind w:left="405" w:hanging="405"/>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4">
    <w:nsid w:val="656A5317"/>
    <w:multiLevelType w:val="hybridMultilevel"/>
    <w:tmpl w:val="6142B3F8"/>
    <w:lvl w:ilvl="0" w:tplc="0408001B">
      <w:start w:val="1"/>
      <w:numFmt w:val="lowerRoman"/>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
    <w:nsid w:val="66121617"/>
    <w:multiLevelType w:val="hybridMultilevel"/>
    <w:tmpl w:val="D9BCBAD4"/>
    <w:lvl w:ilvl="0" w:tplc="80A82278">
      <w:start w:val="2"/>
      <w:numFmt w:val="bullet"/>
      <w:lvlText w:val="-"/>
      <w:lvlJc w:val="left"/>
      <w:pPr>
        <w:tabs>
          <w:tab w:val="num" w:pos="375"/>
        </w:tabs>
        <w:ind w:left="375" w:hanging="360"/>
      </w:pPr>
      <w:rPr>
        <w:rFonts w:ascii="Times New Roman" w:eastAsia="DejaVu Sans" w:hAnsi="Times New Roman" w:cs="Times New Roman" w:hint="default"/>
      </w:rPr>
    </w:lvl>
    <w:lvl w:ilvl="1" w:tplc="04080003" w:tentative="1">
      <w:start w:val="1"/>
      <w:numFmt w:val="bullet"/>
      <w:lvlText w:val="o"/>
      <w:lvlJc w:val="left"/>
      <w:pPr>
        <w:tabs>
          <w:tab w:val="num" w:pos="1095"/>
        </w:tabs>
        <w:ind w:left="1095" w:hanging="360"/>
      </w:pPr>
      <w:rPr>
        <w:rFonts w:ascii="Courier New" w:hAnsi="Courier New" w:hint="default"/>
      </w:rPr>
    </w:lvl>
    <w:lvl w:ilvl="2" w:tplc="04080005" w:tentative="1">
      <w:start w:val="1"/>
      <w:numFmt w:val="bullet"/>
      <w:lvlText w:val=""/>
      <w:lvlJc w:val="left"/>
      <w:pPr>
        <w:tabs>
          <w:tab w:val="num" w:pos="1815"/>
        </w:tabs>
        <w:ind w:left="1815" w:hanging="360"/>
      </w:pPr>
      <w:rPr>
        <w:rFonts w:ascii="Wingdings" w:hAnsi="Wingdings" w:hint="default"/>
      </w:rPr>
    </w:lvl>
    <w:lvl w:ilvl="3" w:tplc="04080001" w:tentative="1">
      <w:start w:val="1"/>
      <w:numFmt w:val="bullet"/>
      <w:lvlText w:val=""/>
      <w:lvlJc w:val="left"/>
      <w:pPr>
        <w:tabs>
          <w:tab w:val="num" w:pos="2535"/>
        </w:tabs>
        <w:ind w:left="2535" w:hanging="360"/>
      </w:pPr>
      <w:rPr>
        <w:rFonts w:ascii="Symbol" w:hAnsi="Symbol" w:hint="default"/>
      </w:rPr>
    </w:lvl>
    <w:lvl w:ilvl="4" w:tplc="04080003" w:tentative="1">
      <w:start w:val="1"/>
      <w:numFmt w:val="bullet"/>
      <w:lvlText w:val="o"/>
      <w:lvlJc w:val="left"/>
      <w:pPr>
        <w:tabs>
          <w:tab w:val="num" w:pos="3255"/>
        </w:tabs>
        <w:ind w:left="3255" w:hanging="360"/>
      </w:pPr>
      <w:rPr>
        <w:rFonts w:ascii="Courier New" w:hAnsi="Courier New" w:hint="default"/>
      </w:rPr>
    </w:lvl>
    <w:lvl w:ilvl="5" w:tplc="04080005" w:tentative="1">
      <w:start w:val="1"/>
      <w:numFmt w:val="bullet"/>
      <w:lvlText w:val=""/>
      <w:lvlJc w:val="left"/>
      <w:pPr>
        <w:tabs>
          <w:tab w:val="num" w:pos="3975"/>
        </w:tabs>
        <w:ind w:left="3975" w:hanging="360"/>
      </w:pPr>
      <w:rPr>
        <w:rFonts w:ascii="Wingdings" w:hAnsi="Wingdings" w:hint="default"/>
      </w:rPr>
    </w:lvl>
    <w:lvl w:ilvl="6" w:tplc="04080001" w:tentative="1">
      <w:start w:val="1"/>
      <w:numFmt w:val="bullet"/>
      <w:lvlText w:val=""/>
      <w:lvlJc w:val="left"/>
      <w:pPr>
        <w:tabs>
          <w:tab w:val="num" w:pos="4695"/>
        </w:tabs>
        <w:ind w:left="4695" w:hanging="360"/>
      </w:pPr>
      <w:rPr>
        <w:rFonts w:ascii="Symbol" w:hAnsi="Symbol" w:hint="default"/>
      </w:rPr>
    </w:lvl>
    <w:lvl w:ilvl="7" w:tplc="04080003" w:tentative="1">
      <w:start w:val="1"/>
      <w:numFmt w:val="bullet"/>
      <w:lvlText w:val="o"/>
      <w:lvlJc w:val="left"/>
      <w:pPr>
        <w:tabs>
          <w:tab w:val="num" w:pos="5415"/>
        </w:tabs>
        <w:ind w:left="5415" w:hanging="360"/>
      </w:pPr>
      <w:rPr>
        <w:rFonts w:ascii="Courier New" w:hAnsi="Courier New" w:hint="default"/>
      </w:rPr>
    </w:lvl>
    <w:lvl w:ilvl="8" w:tplc="04080005" w:tentative="1">
      <w:start w:val="1"/>
      <w:numFmt w:val="bullet"/>
      <w:lvlText w:val=""/>
      <w:lvlJc w:val="left"/>
      <w:pPr>
        <w:tabs>
          <w:tab w:val="num" w:pos="6135"/>
        </w:tabs>
        <w:ind w:left="6135" w:hanging="360"/>
      </w:pPr>
      <w:rPr>
        <w:rFonts w:ascii="Wingdings" w:hAnsi="Wingdings" w:hint="default"/>
      </w:rPr>
    </w:lvl>
  </w:abstractNum>
  <w:abstractNum w:abstractNumId="36">
    <w:nsid w:val="68236064"/>
    <w:multiLevelType w:val="hybridMultilevel"/>
    <w:tmpl w:val="38E28B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nsid w:val="6DA941F0"/>
    <w:multiLevelType w:val="hybridMultilevel"/>
    <w:tmpl w:val="3720589C"/>
    <w:lvl w:ilvl="0" w:tplc="04080019">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nsid w:val="7370700C"/>
    <w:multiLevelType w:val="hybridMultilevel"/>
    <w:tmpl w:val="3CD8AF58"/>
    <w:lvl w:ilvl="0" w:tplc="FFE82F1A">
      <w:start w:val="1"/>
      <w:numFmt w:val="lowerLetter"/>
      <w:lvlText w:val="%1."/>
      <w:lvlJc w:val="left"/>
      <w:pPr>
        <w:ind w:left="375" w:hanging="360"/>
      </w:pPr>
      <w:rPr>
        <w:rFonts w:hint="default"/>
      </w:rPr>
    </w:lvl>
    <w:lvl w:ilvl="1" w:tplc="04080019" w:tentative="1">
      <w:start w:val="1"/>
      <w:numFmt w:val="lowerLetter"/>
      <w:lvlText w:val="%2."/>
      <w:lvlJc w:val="left"/>
      <w:pPr>
        <w:ind w:left="1095" w:hanging="360"/>
      </w:pPr>
    </w:lvl>
    <w:lvl w:ilvl="2" w:tplc="0408001B" w:tentative="1">
      <w:start w:val="1"/>
      <w:numFmt w:val="lowerRoman"/>
      <w:lvlText w:val="%3."/>
      <w:lvlJc w:val="right"/>
      <w:pPr>
        <w:ind w:left="1815" w:hanging="180"/>
      </w:pPr>
    </w:lvl>
    <w:lvl w:ilvl="3" w:tplc="0408000F" w:tentative="1">
      <w:start w:val="1"/>
      <w:numFmt w:val="decimal"/>
      <w:lvlText w:val="%4."/>
      <w:lvlJc w:val="left"/>
      <w:pPr>
        <w:ind w:left="2535" w:hanging="360"/>
      </w:pPr>
    </w:lvl>
    <w:lvl w:ilvl="4" w:tplc="04080019" w:tentative="1">
      <w:start w:val="1"/>
      <w:numFmt w:val="lowerLetter"/>
      <w:lvlText w:val="%5."/>
      <w:lvlJc w:val="left"/>
      <w:pPr>
        <w:ind w:left="3255" w:hanging="360"/>
      </w:pPr>
    </w:lvl>
    <w:lvl w:ilvl="5" w:tplc="0408001B" w:tentative="1">
      <w:start w:val="1"/>
      <w:numFmt w:val="lowerRoman"/>
      <w:lvlText w:val="%6."/>
      <w:lvlJc w:val="right"/>
      <w:pPr>
        <w:ind w:left="3975" w:hanging="180"/>
      </w:pPr>
    </w:lvl>
    <w:lvl w:ilvl="6" w:tplc="0408000F" w:tentative="1">
      <w:start w:val="1"/>
      <w:numFmt w:val="decimal"/>
      <w:lvlText w:val="%7."/>
      <w:lvlJc w:val="left"/>
      <w:pPr>
        <w:ind w:left="4695" w:hanging="360"/>
      </w:pPr>
    </w:lvl>
    <w:lvl w:ilvl="7" w:tplc="04080019" w:tentative="1">
      <w:start w:val="1"/>
      <w:numFmt w:val="lowerLetter"/>
      <w:lvlText w:val="%8."/>
      <w:lvlJc w:val="left"/>
      <w:pPr>
        <w:ind w:left="5415" w:hanging="360"/>
      </w:pPr>
    </w:lvl>
    <w:lvl w:ilvl="8" w:tplc="0408001B" w:tentative="1">
      <w:start w:val="1"/>
      <w:numFmt w:val="lowerRoman"/>
      <w:lvlText w:val="%9."/>
      <w:lvlJc w:val="right"/>
      <w:pPr>
        <w:ind w:left="6135" w:hanging="180"/>
      </w:pPr>
    </w:lvl>
  </w:abstractNum>
  <w:abstractNum w:abstractNumId="39">
    <w:nsid w:val="74110CAE"/>
    <w:multiLevelType w:val="hybridMultilevel"/>
    <w:tmpl w:val="550034A6"/>
    <w:lvl w:ilvl="0" w:tplc="94CCDC6E">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75A4709D"/>
    <w:multiLevelType w:val="hybridMultilevel"/>
    <w:tmpl w:val="E8C696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nsid w:val="75CF5A23"/>
    <w:multiLevelType w:val="hybridMultilevel"/>
    <w:tmpl w:val="607CDF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nsid w:val="7A31765F"/>
    <w:multiLevelType w:val="hybridMultilevel"/>
    <w:tmpl w:val="E924CD0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nsid w:val="7A38165D"/>
    <w:multiLevelType w:val="hybridMultilevel"/>
    <w:tmpl w:val="23802824"/>
    <w:lvl w:ilvl="0" w:tplc="94CCDC6E">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nsid w:val="7ACB0D5D"/>
    <w:multiLevelType w:val="hybridMultilevel"/>
    <w:tmpl w:val="C0AAB7D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5">
    <w:nsid w:val="7B17060F"/>
    <w:multiLevelType w:val="hybridMultilevel"/>
    <w:tmpl w:val="1BD89B60"/>
    <w:lvl w:ilvl="0" w:tplc="757C9638">
      <w:start w:val="1"/>
      <w:numFmt w:val="bullet"/>
      <w:lvlText w:val="-"/>
      <w:lvlJc w:val="left"/>
      <w:pPr>
        <w:ind w:left="360" w:hanging="360"/>
      </w:pPr>
      <w:rPr>
        <w:rFonts w:ascii="Garamond" w:eastAsia="Gulim" w:hAnsi="Garamond"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46">
    <w:nsid w:val="7C7039DE"/>
    <w:multiLevelType w:val="hybridMultilevel"/>
    <w:tmpl w:val="C686B990"/>
    <w:lvl w:ilvl="0" w:tplc="08090001">
      <w:start w:val="1"/>
      <w:numFmt w:val="bullet"/>
      <w:lvlText w:val=""/>
      <w:lvlJc w:val="left"/>
      <w:pPr>
        <w:tabs>
          <w:tab w:val="num" w:pos="360"/>
        </w:tabs>
        <w:ind w:left="360" w:hanging="360"/>
      </w:pPr>
      <w:rPr>
        <w:rFonts w:ascii="Symbol" w:hAnsi="Symbol" w:hint="default"/>
      </w:rPr>
    </w:lvl>
    <w:lvl w:ilvl="1" w:tplc="18105F8C">
      <w:start w:val="1"/>
      <w:numFmt w:val="lowerRoman"/>
      <w:lvlText w:val="(%2)"/>
      <w:lvlJc w:val="left"/>
      <w:pPr>
        <w:tabs>
          <w:tab w:val="num" w:pos="1800"/>
        </w:tabs>
        <w:ind w:left="1800" w:hanging="1080"/>
      </w:pPr>
      <w:rPr>
        <w:rFonts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47">
    <w:nsid w:val="7D230125"/>
    <w:multiLevelType w:val="hybridMultilevel"/>
    <w:tmpl w:val="3410DA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15"/>
  </w:num>
  <w:num w:numId="3">
    <w:abstractNumId w:val="46"/>
  </w:num>
  <w:num w:numId="4">
    <w:abstractNumId w:val="40"/>
  </w:num>
  <w:num w:numId="5">
    <w:abstractNumId w:val="16"/>
  </w:num>
  <w:num w:numId="6">
    <w:abstractNumId w:val="44"/>
  </w:num>
  <w:num w:numId="7">
    <w:abstractNumId w:val="11"/>
  </w:num>
  <w:num w:numId="8">
    <w:abstractNumId w:val="7"/>
  </w:num>
  <w:num w:numId="9">
    <w:abstractNumId w:val="36"/>
  </w:num>
  <w:num w:numId="10">
    <w:abstractNumId w:val="33"/>
  </w:num>
  <w:num w:numId="11">
    <w:abstractNumId w:val="17"/>
  </w:num>
  <w:num w:numId="12">
    <w:abstractNumId w:val="23"/>
  </w:num>
  <w:num w:numId="13">
    <w:abstractNumId w:val="26"/>
  </w:num>
  <w:num w:numId="14">
    <w:abstractNumId w:val="4"/>
  </w:num>
  <w:num w:numId="15">
    <w:abstractNumId w:val="19"/>
  </w:num>
  <w:num w:numId="16">
    <w:abstractNumId w:val="27"/>
  </w:num>
  <w:num w:numId="17">
    <w:abstractNumId w:val="24"/>
  </w:num>
  <w:num w:numId="18">
    <w:abstractNumId w:val="47"/>
  </w:num>
  <w:num w:numId="19">
    <w:abstractNumId w:val="25"/>
  </w:num>
  <w:num w:numId="20">
    <w:abstractNumId w:val="22"/>
  </w:num>
  <w:num w:numId="21">
    <w:abstractNumId w:val="43"/>
  </w:num>
  <w:num w:numId="22">
    <w:abstractNumId w:val="39"/>
  </w:num>
  <w:num w:numId="23">
    <w:abstractNumId w:val="21"/>
  </w:num>
  <w:num w:numId="24">
    <w:abstractNumId w:val="18"/>
  </w:num>
  <w:num w:numId="25">
    <w:abstractNumId w:val="41"/>
  </w:num>
  <w:num w:numId="26">
    <w:abstractNumId w:val="29"/>
  </w:num>
  <w:num w:numId="27">
    <w:abstractNumId w:val="8"/>
  </w:num>
  <w:num w:numId="28">
    <w:abstractNumId w:val="5"/>
  </w:num>
  <w:num w:numId="29">
    <w:abstractNumId w:val="45"/>
  </w:num>
  <w:num w:numId="30">
    <w:abstractNumId w:val="3"/>
  </w:num>
  <w:num w:numId="31">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2"/>
  </w:num>
  <w:num w:numId="33">
    <w:abstractNumId w:val="14"/>
  </w:num>
  <w:num w:numId="34">
    <w:abstractNumId w:val="38"/>
  </w:num>
  <w:num w:numId="35">
    <w:abstractNumId w:val="0"/>
  </w:num>
  <w:num w:numId="36">
    <w:abstractNumId w:val="1"/>
  </w:num>
  <w:num w:numId="37">
    <w:abstractNumId w:val="35"/>
  </w:num>
  <w:num w:numId="38">
    <w:abstractNumId w:val="31"/>
  </w:num>
  <w:num w:numId="39">
    <w:abstractNumId w:val="34"/>
  </w:num>
  <w:num w:numId="40">
    <w:abstractNumId w:val="30"/>
  </w:num>
  <w:num w:numId="41">
    <w:abstractNumId w:val="2"/>
  </w:num>
  <w:num w:numId="42">
    <w:abstractNumId w:val="10"/>
  </w:num>
  <w:num w:numId="43">
    <w:abstractNumId w:val="28"/>
  </w:num>
  <w:num w:numId="44">
    <w:abstractNumId w:val="37"/>
  </w:num>
  <w:num w:numId="45">
    <w:abstractNumId w:val="20"/>
  </w:num>
  <w:num w:numId="46">
    <w:abstractNumId w:val="9"/>
  </w:num>
  <w:num w:numId="47">
    <w:abstractNumId w:val="32"/>
  </w:num>
  <w:num w:numId="48">
    <w:abstractNumId w:val="6"/>
  </w:num>
  <w:num w:numId="49">
    <w:abstractNumId w:val="1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mirrorMargins/>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de-DE" w:vendorID="64" w:dllVersion="131078" w:nlCheck="1" w:checkStyle="1"/>
  <w:activeWritingStyle w:appName="MSWord" w:lang="fr-FR" w:vendorID="64" w:dllVersion="131078" w:nlCheck="1" w:checkStyle="1"/>
  <w:activeWritingStyle w:appName="MSWord" w:lang="es-ES_tradnl" w:vendorID="64" w:dllVersion="131078" w:nlCheck="1" w:checkStyle="1"/>
  <w:activeWritingStyle w:appName="MSWord" w:lang="de-DE" w:vendorID="9" w:dllVersion="512" w:checkStyle="1"/>
  <w:activeWritingStyle w:appName="MSWord" w:lang="sv-SE" w:vendorID="666" w:dllVersion="513" w:checkStyle="1"/>
  <w:activeWritingStyle w:appName="MSWord" w:lang="sv-SE" w:vendorID="22" w:dllVersion="513"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evenAndOddHeaders/>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EB2"/>
    <w:rsid w:val="0000028F"/>
    <w:rsid w:val="000006F2"/>
    <w:rsid w:val="00000B0C"/>
    <w:rsid w:val="00001202"/>
    <w:rsid w:val="00001391"/>
    <w:rsid w:val="000017E6"/>
    <w:rsid w:val="00002167"/>
    <w:rsid w:val="00005B95"/>
    <w:rsid w:val="00006463"/>
    <w:rsid w:val="000067E6"/>
    <w:rsid w:val="00006BE0"/>
    <w:rsid w:val="00007B80"/>
    <w:rsid w:val="000113CF"/>
    <w:rsid w:val="0001183B"/>
    <w:rsid w:val="000127A1"/>
    <w:rsid w:val="00012AD7"/>
    <w:rsid w:val="00012ECC"/>
    <w:rsid w:val="00013B9C"/>
    <w:rsid w:val="000140DE"/>
    <w:rsid w:val="0001509E"/>
    <w:rsid w:val="000165D5"/>
    <w:rsid w:val="00016B2C"/>
    <w:rsid w:val="00017991"/>
    <w:rsid w:val="00017F32"/>
    <w:rsid w:val="000202B2"/>
    <w:rsid w:val="00020FBF"/>
    <w:rsid w:val="000213DB"/>
    <w:rsid w:val="000216BC"/>
    <w:rsid w:val="000230A7"/>
    <w:rsid w:val="000231EB"/>
    <w:rsid w:val="000232B9"/>
    <w:rsid w:val="00025AF4"/>
    <w:rsid w:val="0002608A"/>
    <w:rsid w:val="0002775E"/>
    <w:rsid w:val="00031896"/>
    <w:rsid w:val="000321CA"/>
    <w:rsid w:val="0003392C"/>
    <w:rsid w:val="00033EFC"/>
    <w:rsid w:val="00034461"/>
    <w:rsid w:val="000346BE"/>
    <w:rsid w:val="00034A1E"/>
    <w:rsid w:val="00034E16"/>
    <w:rsid w:val="00034ECB"/>
    <w:rsid w:val="000375E7"/>
    <w:rsid w:val="00037ACA"/>
    <w:rsid w:val="00040905"/>
    <w:rsid w:val="000412CF"/>
    <w:rsid w:val="00041655"/>
    <w:rsid w:val="00042531"/>
    <w:rsid w:val="0004374E"/>
    <w:rsid w:val="00044645"/>
    <w:rsid w:val="00045B9A"/>
    <w:rsid w:val="0005053A"/>
    <w:rsid w:val="0005364B"/>
    <w:rsid w:val="00053C9F"/>
    <w:rsid w:val="00054EE7"/>
    <w:rsid w:val="00055AEC"/>
    <w:rsid w:val="000561E7"/>
    <w:rsid w:val="00056948"/>
    <w:rsid w:val="000630F9"/>
    <w:rsid w:val="00064076"/>
    <w:rsid w:val="00064A7E"/>
    <w:rsid w:val="00065BDB"/>
    <w:rsid w:val="00067257"/>
    <w:rsid w:val="0006781E"/>
    <w:rsid w:val="000679AE"/>
    <w:rsid w:val="00067CB5"/>
    <w:rsid w:val="00070603"/>
    <w:rsid w:val="00070F10"/>
    <w:rsid w:val="000720FE"/>
    <w:rsid w:val="00074A6D"/>
    <w:rsid w:val="000750A5"/>
    <w:rsid w:val="000757B4"/>
    <w:rsid w:val="0007691F"/>
    <w:rsid w:val="00076CE3"/>
    <w:rsid w:val="00077EC7"/>
    <w:rsid w:val="00080637"/>
    <w:rsid w:val="00080C5E"/>
    <w:rsid w:val="00083086"/>
    <w:rsid w:val="00083584"/>
    <w:rsid w:val="00083B2D"/>
    <w:rsid w:val="0008436F"/>
    <w:rsid w:val="000848D0"/>
    <w:rsid w:val="00084E99"/>
    <w:rsid w:val="000858C8"/>
    <w:rsid w:val="00086448"/>
    <w:rsid w:val="00086B1F"/>
    <w:rsid w:val="000876F1"/>
    <w:rsid w:val="000932C8"/>
    <w:rsid w:val="000955C3"/>
    <w:rsid w:val="000A4357"/>
    <w:rsid w:val="000A5445"/>
    <w:rsid w:val="000A55A7"/>
    <w:rsid w:val="000A5C93"/>
    <w:rsid w:val="000A6B6E"/>
    <w:rsid w:val="000B0A14"/>
    <w:rsid w:val="000B1240"/>
    <w:rsid w:val="000B141D"/>
    <w:rsid w:val="000B1C1D"/>
    <w:rsid w:val="000B26F4"/>
    <w:rsid w:val="000B321B"/>
    <w:rsid w:val="000B3347"/>
    <w:rsid w:val="000B4AD8"/>
    <w:rsid w:val="000B4BBC"/>
    <w:rsid w:val="000B5BDF"/>
    <w:rsid w:val="000B6473"/>
    <w:rsid w:val="000C02FC"/>
    <w:rsid w:val="000C0B1C"/>
    <w:rsid w:val="000C232A"/>
    <w:rsid w:val="000C2753"/>
    <w:rsid w:val="000C3116"/>
    <w:rsid w:val="000C41E1"/>
    <w:rsid w:val="000C4473"/>
    <w:rsid w:val="000C47EA"/>
    <w:rsid w:val="000C4907"/>
    <w:rsid w:val="000C57FB"/>
    <w:rsid w:val="000C5BDC"/>
    <w:rsid w:val="000C6768"/>
    <w:rsid w:val="000C694E"/>
    <w:rsid w:val="000C7211"/>
    <w:rsid w:val="000D0B9C"/>
    <w:rsid w:val="000D3760"/>
    <w:rsid w:val="000D3E21"/>
    <w:rsid w:val="000D5AE1"/>
    <w:rsid w:val="000D621B"/>
    <w:rsid w:val="000D6230"/>
    <w:rsid w:val="000D6D23"/>
    <w:rsid w:val="000E2716"/>
    <w:rsid w:val="000E27F4"/>
    <w:rsid w:val="000E292D"/>
    <w:rsid w:val="000E2CDD"/>
    <w:rsid w:val="000E410F"/>
    <w:rsid w:val="000E42A3"/>
    <w:rsid w:val="000E4847"/>
    <w:rsid w:val="000E4A6B"/>
    <w:rsid w:val="000E54B7"/>
    <w:rsid w:val="000E6776"/>
    <w:rsid w:val="000E7061"/>
    <w:rsid w:val="000E73F1"/>
    <w:rsid w:val="000E75A3"/>
    <w:rsid w:val="000F0388"/>
    <w:rsid w:val="000F1DF3"/>
    <w:rsid w:val="000F1F18"/>
    <w:rsid w:val="000F4309"/>
    <w:rsid w:val="000F4604"/>
    <w:rsid w:val="000F4747"/>
    <w:rsid w:val="000F5B25"/>
    <w:rsid w:val="000F5BFE"/>
    <w:rsid w:val="000F75FA"/>
    <w:rsid w:val="000F7F2F"/>
    <w:rsid w:val="00101107"/>
    <w:rsid w:val="001020E0"/>
    <w:rsid w:val="0010210C"/>
    <w:rsid w:val="00102CEF"/>
    <w:rsid w:val="0010333F"/>
    <w:rsid w:val="00103677"/>
    <w:rsid w:val="00103CF5"/>
    <w:rsid w:val="00103D07"/>
    <w:rsid w:val="00103E0C"/>
    <w:rsid w:val="001041C4"/>
    <w:rsid w:val="0010441A"/>
    <w:rsid w:val="00105086"/>
    <w:rsid w:val="00106186"/>
    <w:rsid w:val="001069FE"/>
    <w:rsid w:val="001078B6"/>
    <w:rsid w:val="00110672"/>
    <w:rsid w:val="00112276"/>
    <w:rsid w:val="00112CC8"/>
    <w:rsid w:val="00112EA9"/>
    <w:rsid w:val="0011367E"/>
    <w:rsid w:val="00114D9A"/>
    <w:rsid w:val="001158E3"/>
    <w:rsid w:val="0011614C"/>
    <w:rsid w:val="00117328"/>
    <w:rsid w:val="0011739D"/>
    <w:rsid w:val="0012005B"/>
    <w:rsid w:val="0012055B"/>
    <w:rsid w:val="0012123B"/>
    <w:rsid w:val="001232C7"/>
    <w:rsid w:val="001238A1"/>
    <w:rsid w:val="00123957"/>
    <w:rsid w:val="00124AE2"/>
    <w:rsid w:val="00124E1D"/>
    <w:rsid w:val="0012683A"/>
    <w:rsid w:val="00126A28"/>
    <w:rsid w:val="0012724A"/>
    <w:rsid w:val="00127468"/>
    <w:rsid w:val="0012758F"/>
    <w:rsid w:val="00131688"/>
    <w:rsid w:val="00132CEF"/>
    <w:rsid w:val="001337C3"/>
    <w:rsid w:val="0013398F"/>
    <w:rsid w:val="00134A21"/>
    <w:rsid w:val="001355B8"/>
    <w:rsid w:val="00135A3D"/>
    <w:rsid w:val="0013603B"/>
    <w:rsid w:val="00141052"/>
    <w:rsid w:val="0014164F"/>
    <w:rsid w:val="00142531"/>
    <w:rsid w:val="00142DEA"/>
    <w:rsid w:val="001443BC"/>
    <w:rsid w:val="00145352"/>
    <w:rsid w:val="001455CB"/>
    <w:rsid w:val="001456F6"/>
    <w:rsid w:val="00147D37"/>
    <w:rsid w:val="00151E23"/>
    <w:rsid w:val="001552EA"/>
    <w:rsid w:val="001566B2"/>
    <w:rsid w:val="00161317"/>
    <w:rsid w:val="0016381B"/>
    <w:rsid w:val="001644F5"/>
    <w:rsid w:val="00164958"/>
    <w:rsid w:val="00164B49"/>
    <w:rsid w:val="00165D18"/>
    <w:rsid w:val="00167721"/>
    <w:rsid w:val="00171736"/>
    <w:rsid w:val="0017265C"/>
    <w:rsid w:val="00172B10"/>
    <w:rsid w:val="001737DD"/>
    <w:rsid w:val="001758F2"/>
    <w:rsid w:val="00176E13"/>
    <w:rsid w:val="001803F8"/>
    <w:rsid w:val="0018124A"/>
    <w:rsid w:val="001813C9"/>
    <w:rsid w:val="0018352F"/>
    <w:rsid w:val="00184360"/>
    <w:rsid w:val="0018444A"/>
    <w:rsid w:val="0018445E"/>
    <w:rsid w:val="00184AC0"/>
    <w:rsid w:val="00184DC6"/>
    <w:rsid w:val="00184E8D"/>
    <w:rsid w:val="00186983"/>
    <w:rsid w:val="00186BC7"/>
    <w:rsid w:val="001903D6"/>
    <w:rsid w:val="0019070F"/>
    <w:rsid w:val="00192FAB"/>
    <w:rsid w:val="00193DC7"/>
    <w:rsid w:val="001942D7"/>
    <w:rsid w:val="0019503C"/>
    <w:rsid w:val="001A1B56"/>
    <w:rsid w:val="001A1C86"/>
    <w:rsid w:val="001A264C"/>
    <w:rsid w:val="001A281D"/>
    <w:rsid w:val="001A357B"/>
    <w:rsid w:val="001A3A68"/>
    <w:rsid w:val="001A43C8"/>
    <w:rsid w:val="001A4A11"/>
    <w:rsid w:val="001A4A16"/>
    <w:rsid w:val="001A4FDA"/>
    <w:rsid w:val="001A72FA"/>
    <w:rsid w:val="001B0442"/>
    <w:rsid w:val="001B06C0"/>
    <w:rsid w:val="001B06D3"/>
    <w:rsid w:val="001B2097"/>
    <w:rsid w:val="001B312D"/>
    <w:rsid w:val="001B332E"/>
    <w:rsid w:val="001B35A9"/>
    <w:rsid w:val="001B4FB4"/>
    <w:rsid w:val="001C068B"/>
    <w:rsid w:val="001C0EBB"/>
    <w:rsid w:val="001C1BDD"/>
    <w:rsid w:val="001C35B1"/>
    <w:rsid w:val="001C3A8C"/>
    <w:rsid w:val="001C4BFB"/>
    <w:rsid w:val="001C4CCC"/>
    <w:rsid w:val="001C4CD5"/>
    <w:rsid w:val="001C5ABE"/>
    <w:rsid w:val="001C7C0E"/>
    <w:rsid w:val="001C7F2C"/>
    <w:rsid w:val="001D342C"/>
    <w:rsid w:val="001D39C1"/>
    <w:rsid w:val="001D491F"/>
    <w:rsid w:val="001D7873"/>
    <w:rsid w:val="001E117C"/>
    <w:rsid w:val="001E1583"/>
    <w:rsid w:val="001E1A1C"/>
    <w:rsid w:val="001E24BA"/>
    <w:rsid w:val="001E3140"/>
    <w:rsid w:val="001E3840"/>
    <w:rsid w:val="001E3ED5"/>
    <w:rsid w:val="001E4469"/>
    <w:rsid w:val="001E5F9A"/>
    <w:rsid w:val="001E6064"/>
    <w:rsid w:val="001E6504"/>
    <w:rsid w:val="001E6CE5"/>
    <w:rsid w:val="001E7358"/>
    <w:rsid w:val="001F2182"/>
    <w:rsid w:val="001F288D"/>
    <w:rsid w:val="001F2983"/>
    <w:rsid w:val="001F2C7C"/>
    <w:rsid w:val="001F3B17"/>
    <w:rsid w:val="001F3B68"/>
    <w:rsid w:val="001F7573"/>
    <w:rsid w:val="0020057B"/>
    <w:rsid w:val="0020078E"/>
    <w:rsid w:val="002008F4"/>
    <w:rsid w:val="00201098"/>
    <w:rsid w:val="002010FF"/>
    <w:rsid w:val="002011F9"/>
    <w:rsid w:val="0020231D"/>
    <w:rsid w:val="00204D37"/>
    <w:rsid w:val="00205306"/>
    <w:rsid w:val="00205E2A"/>
    <w:rsid w:val="00207519"/>
    <w:rsid w:val="00210090"/>
    <w:rsid w:val="00211179"/>
    <w:rsid w:val="00211287"/>
    <w:rsid w:val="00213880"/>
    <w:rsid w:val="002147C8"/>
    <w:rsid w:val="002154C2"/>
    <w:rsid w:val="00215B72"/>
    <w:rsid w:val="0021754B"/>
    <w:rsid w:val="002200D9"/>
    <w:rsid w:val="002205A7"/>
    <w:rsid w:val="00220791"/>
    <w:rsid w:val="0022390E"/>
    <w:rsid w:val="00224958"/>
    <w:rsid w:val="00224A28"/>
    <w:rsid w:val="00225964"/>
    <w:rsid w:val="00226092"/>
    <w:rsid w:val="0022682D"/>
    <w:rsid w:val="00226871"/>
    <w:rsid w:val="00232225"/>
    <w:rsid w:val="00233E96"/>
    <w:rsid w:val="002342F3"/>
    <w:rsid w:val="0023544B"/>
    <w:rsid w:val="00235C20"/>
    <w:rsid w:val="00236C3D"/>
    <w:rsid w:val="002374BB"/>
    <w:rsid w:val="002418BE"/>
    <w:rsid w:val="002419F4"/>
    <w:rsid w:val="00242599"/>
    <w:rsid w:val="00242F8B"/>
    <w:rsid w:val="002433F0"/>
    <w:rsid w:val="00245BCF"/>
    <w:rsid w:val="00245D9F"/>
    <w:rsid w:val="00246B4C"/>
    <w:rsid w:val="0024704A"/>
    <w:rsid w:val="00251F9E"/>
    <w:rsid w:val="00254997"/>
    <w:rsid w:val="00255476"/>
    <w:rsid w:val="00256038"/>
    <w:rsid w:val="00256C08"/>
    <w:rsid w:val="00256CCE"/>
    <w:rsid w:val="00256F67"/>
    <w:rsid w:val="00257897"/>
    <w:rsid w:val="00260458"/>
    <w:rsid w:val="00261332"/>
    <w:rsid w:val="002615F1"/>
    <w:rsid w:val="00261846"/>
    <w:rsid w:val="002634D4"/>
    <w:rsid w:val="00266F82"/>
    <w:rsid w:val="00267206"/>
    <w:rsid w:val="00267928"/>
    <w:rsid w:val="00267B2C"/>
    <w:rsid w:val="0027046F"/>
    <w:rsid w:val="0027063C"/>
    <w:rsid w:val="0027081D"/>
    <w:rsid w:val="00271198"/>
    <w:rsid w:val="00273722"/>
    <w:rsid w:val="00273A3A"/>
    <w:rsid w:val="002742E8"/>
    <w:rsid w:val="00276709"/>
    <w:rsid w:val="00276F23"/>
    <w:rsid w:val="00277045"/>
    <w:rsid w:val="00277054"/>
    <w:rsid w:val="00280DAD"/>
    <w:rsid w:val="0028616F"/>
    <w:rsid w:val="002862C4"/>
    <w:rsid w:val="00287CB5"/>
    <w:rsid w:val="00290383"/>
    <w:rsid w:val="00291573"/>
    <w:rsid w:val="002944D4"/>
    <w:rsid w:val="00295871"/>
    <w:rsid w:val="002967A9"/>
    <w:rsid w:val="00296FA3"/>
    <w:rsid w:val="002977F2"/>
    <w:rsid w:val="00297F5A"/>
    <w:rsid w:val="002A0D2E"/>
    <w:rsid w:val="002A1040"/>
    <w:rsid w:val="002A19E9"/>
    <w:rsid w:val="002A2CB0"/>
    <w:rsid w:val="002A38AF"/>
    <w:rsid w:val="002A41F9"/>
    <w:rsid w:val="002A6DE0"/>
    <w:rsid w:val="002A74E1"/>
    <w:rsid w:val="002A7DF8"/>
    <w:rsid w:val="002B09F4"/>
    <w:rsid w:val="002B4ED5"/>
    <w:rsid w:val="002B5E46"/>
    <w:rsid w:val="002B6353"/>
    <w:rsid w:val="002B6894"/>
    <w:rsid w:val="002B7D59"/>
    <w:rsid w:val="002C00C7"/>
    <w:rsid w:val="002C0CB3"/>
    <w:rsid w:val="002C130D"/>
    <w:rsid w:val="002C1832"/>
    <w:rsid w:val="002C1B81"/>
    <w:rsid w:val="002C1B9B"/>
    <w:rsid w:val="002C2E64"/>
    <w:rsid w:val="002C6129"/>
    <w:rsid w:val="002C70AA"/>
    <w:rsid w:val="002D542B"/>
    <w:rsid w:val="002D55EA"/>
    <w:rsid w:val="002D5AA7"/>
    <w:rsid w:val="002D5E9C"/>
    <w:rsid w:val="002D6531"/>
    <w:rsid w:val="002D7500"/>
    <w:rsid w:val="002D7F22"/>
    <w:rsid w:val="002E0E85"/>
    <w:rsid w:val="002E19B7"/>
    <w:rsid w:val="002E2425"/>
    <w:rsid w:val="002E2567"/>
    <w:rsid w:val="002E257B"/>
    <w:rsid w:val="002E26A0"/>
    <w:rsid w:val="002E2B53"/>
    <w:rsid w:val="002E2D82"/>
    <w:rsid w:val="002E38CA"/>
    <w:rsid w:val="002E3AB0"/>
    <w:rsid w:val="002E4263"/>
    <w:rsid w:val="002E50FF"/>
    <w:rsid w:val="002E5211"/>
    <w:rsid w:val="002E5386"/>
    <w:rsid w:val="002E5783"/>
    <w:rsid w:val="002E5F59"/>
    <w:rsid w:val="002E6532"/>
    <w:rsid w:val="002E6C4C"/>
    <w:rsid w:val="002E782C"/>
    <w:rsid w:val="002F0188"/>
    <w:rsid w:val="002F0FD4"/>
    <w:rsid w:val="002F107C"/>
    <w:rsid w:val="002F121E"/>
    <w:rsid w:val="002F4897"/>
    <w:rsid w:val="002F5085"/>
    <w:rsid w:val="002F5615"/>
    <w:rsid w:val="002F59AA"/>
    <w:rsid w:val="002F661A"/>
    <w:rsid w:val="002F7A8D"/>
    <w:rsid w:val="002F7AE3"/>
    <w:rsid w:val="003004C2"/>
    <w:rsid w:val="003016AB"/>
    <w:rsid w:val="003028B8"/>
    <w:rsid w:val="00302E0A"/>
    <w:rsid w:val="0030322D"/>
    <w:rsid w:val="00303F10"/>
    <w:rsid w:val="0030445F"/>
    <w:rsid w:val="00306116"/>
    <w:rsid w:val="0030618A"/>
    <w:rsid w:val="0030641F"/>
    <w:rsid w:val="00307F3C"/>
    <w:rsid w:val="00310A28"/>
    <w:rsid w:val="0031283D"/>
    <w:rsid w:val="00312B44"/>
    <w:rsid w:val="003132F9"/>
    <w:rsid w:val="00320501"/>
    <w:rsid w:val="003234F3"/>
    <w:rsid w:val="00323B63"/>
    <w:rsid w:val="00324460"/>
    <w:rsid w:val="00326086"/>
    <w:rsid w:val="0032621C"/>
    <w:rsid w:val="003308CD"/>
    <w:rsid w:val="00330B77"/>
    <w:rsid w:val="003346E4"/>
    <w:rsid w:val="003357B0"/>
    <w:rsid w:val="00335EBC"/>
    <w:rsid w:val="00336B6A"/>
    <w:rsid w:val="003379DE"/>
    <w:rsid w:val="00337C7F"/>
    <w:rsid w:val="003429F0"/>
    <w:rsid w:val="0034456D"/>
    <w:rsid w:val="003446AF"/>
    <w:rsid w:val="003448B9"/>
    <w:rsid w:val="00346BEF"/>
    <w:rsid w:val="00346E28"/>
    <w:rsid w:val="00347D69"/>
    <w:rsid w:val="00350416"/>
    <w:rsid w:val="003511EB"/>
    <w:rsid w:val="003524C9"/>
    <w:rsid w:val="0035392E"/>
    <w:rsid w:val="00355255"/>
    <w:rsid w:val="00356071"/>
    <w:rsid w:val="00356FCD"/>
    <w:rsid w:val="003573F3"/>
    <w:rsid w:val="0035793C"/>
    <w:rsid w:val="00360468"/>
    <w:rsid w:val="00361448"/>
    <w:rsid w:val="00362778"/>
    <w:rsid w:val="00362DEE"/>
    <w:rsid w:val="003630B0"/>
    <w:rsid w:val="0036333D"/>
    <w:rsid w:val="003637EB"/>
    <w:rsid w:val="00363E65"/>
    <w:rsid w:val="0036430A"/>
    <w:rsid w:val="003643F8"/>
    <w:rsid w:val="003649CA"/>
    <w:rsid w:val="00366226"/>
    <w:rsid w:val="00366B28"/>
    <w:rsid w:val="00367E4F"/>
    <w:rsid w:val="00367EB0"/>
    <w:rsid w:val="003705CD"/>
    <w:rsid w:val="003711B3"/>
    <w:rsid w:val="003719EB"/>
    <w:rsid w:val="00371A39"/>
    <w:rsid w:val="00372936"/>
    <w:rsid w:val="00372DE1"/>
    <w:rsid w:val="00373929"/>
    <w:rsid w:val="003747B6"/>
    <w:rsid w:val="00374AB1"/>
    <w:rsid w:val="00375109"/>
    <w:rsid w:val="00376527"/>
    <w:rsid w:val="00377F72"/>
    <w:rsid w:val="00380A7F"/>
    <w:rsid w:val="0038166F"/>
    <w:rsid w:val="003822DC"/>
    <w:rsid w:val="0038256D"/>
    <w:rsid w:val="00382A20"/>
    <w:rsid w:val="00382E94"/>
    <w:rsid w:val="00384379"/>
    <w:rsid w:val="003848CA"/>
    <w:rsid w:val="003860D6"/>
    <w:rsid w:val="00386725"/>
    <w:rsid w:val="00387A47"/>
    <w:rsid w:val="00390969"/>
    <w:rsid w:val="00390BCC"/>
    <w:rsid w:val="00391521"/>
    <w:rsid w:val="00392031"/>
    <w:rsid w:val="0039222F"/>
    <w:rsid w:val="003937A3"/>
    <w:rsid w:val="003938EF"/>
    <w:rsid w:val="00393E13"/>
    <w:rsid w:val="00394353"/>
    <w:rsid w:val="003945E2"/>
    <w:rsid w:val="00395ADD"/>
    <w:rsid w:val="003966B1"/>
    <w:rsid w:val="00397647"/>
    <w:rsid w:val="003A0177"/>
    <w:rsid w:val="003A2C71"/>
    <w:rsid w:val="003A7A02"/>
    <w:rsid w:val="003B12D7"/>
    <w:rsid w:val="003B17E4"/>
    <w:rsid w:val="003B1A57"/>
    <w:rsid w:val="003B217A"/>
    <w:rsid w:val="003B2AE3"/>
    <w:rsid w:val="003B75DA"/>
    <w:rsid w:val="003B7BFC"/>
    <w:rsid w:val="003C05E9"/>
    <w:rsid w:val="003C18A5"/>
    <w:rsid w:val="003C1C4A"/>
    <w:rsid w:val="003C1E88"/>
    <w:rsid w:val="003C31B4"/>
    <w:rsid w:val="003C38FC"/>
    <w:rsid w:val="003C3E1B"/>
    <w:rsid w:val="003C4896"/>
    <w:rsid w:val="003C54C6"/>
    <w:rsid w:val="003C6A59"/>
    <w:rsid w:val="003C6AD6"/>
    <w:rsid w:val="003C6B4A"/>
    <w:rsid w:val="003C76C9"/>
    <w:rsid w:val="003D026B"/>
    <w:rsid w:val="003D05F6"/>
    <w:rsid w:val="003D1330"/>
    <w:rsid w:val="003D1894"/>
    <w:rsid w:val="003D1CA1"/>
    <w:rsid w:val="003D36A7"/>
    <w:rsid w:val="003D4AAC"/>
    <w:rsid w:val="003D4AC0"/>
    <w:rsid w:val="003D4D91"/>
    <w:rsid w:val="003D5518"/>
    <w:rsid w:val="003D6738"/>
    <w:rsid w:val="003D73C8"/>
    <w:rsid w:val="003D7B3B"/>
    <w:rsid w:val="003E0D67"/>
    <w:rsid w:val="003E13CB"/>
    <w:rsid w:val="003E2E0C"/>
    <w:rsid w:val="003E3A50"/>
    <w:rsid w:val="003E40B4"/>
    <w:rsid w:val="003E51E2"/>
    <w:rsid w:val="003E6A8B"/>
    <w:rsid w:val="003E700A"/>
    <w:rsid w:val="003E715A"/>
    <w:rsid w:val="003F00CA"/>
    <w:rsid w:val="003F0E17"/>
    <w:rsid w:val="003F173E"/>
    <w:rsid w:val="003F41AB"/>
    <w:rsid w:val="003F6AEC"/>
    <w:rsid w:val="003F6C51"/>
    <w:rsid w:val="003F7C2B"/>
    <w:rsid w:val="00401204"/>
    <w:rsid w:val="00402A26"/>
    <w:rsid w:val="00402C1C"/>
    <w:rsid w:val="004032F3"/>
    <w:rsid w:val="0040404A"/>
    <w:rsid w:val="004048E5"/>
    <w:rsid w:val="00404B5C"/>
    <w:rsid w:val="00404F97"/>
    <w:rsid w:val="004053AC"/>
    <w:rsid w:val="004066DC"/>
    <w:rsid w:val="004069CA"/>
    <w:rsid w:val="00412310"/>
    <w:rsid w:val="004129AF"/>
    <w:rsid w:val="004144EA"/>
    <w:rsid w:val="00415862"/>
    <w:rsid w:val="004178B0"/>
    <w:rsid w:val="004209D7"/>
    <w:rsid w:val="00420F4C"/>
    <w:rsid w:val="00422996"/>
    <w:rsid w:val="00423E76"/>
    <w:rsid w:val="00424C48"/>
    <w:rsid w:val="0042721F"/>
    <w:rsid w:val="00427D00"/>
    <w:rsid w:val="004303C4"/>
    <w:rsid w:val="00430686"/>
    <w:rsid w:val="00430F39"/>
    <w:rsid w:val="0043149C"/>
    <w:rsid w:val="00431886"/>
    <w:rsid w:val="004344FA"/>
    <w:rsid w:val="00434634"/>
    <w:rsid w:val="00434FBC"/>
    <w:rsid w:val="00435BBC"/>
    <w:rsid w:val="0043696D"/>
    <w:rsid w:val="00437141"/>
    <w:rsid w:val="00437D67"/>
    <w:rsid w:val="00442D41"/>
    <w:rsid w:val="0044301B"/>
    <w:rsid w:val="004431D0"/>
    <w:rsid w:val="004437E7"/>
    <w:rsid w:val="00445CA6"/>
    <w:rsid w:val="00446A29"/>
    <w:rsid w:val="00447854"/>
    <w:rsid w:val="00450147"/>
    <w:rsid w:val="004525D5"/>
    <w:rsid w:val="00452917"/>
    <w:rsid w:val="00453265"/>
    <w:rsid w:val="004539E7"/>
    <w:rsid w:val="00453A34"/>
    <w:rsid w:val="00455209"/>
    <w:rsid w:val="00455D6B"/>
    <w:rsid w:val="004569C4"/>
    <w:rsid w:val="00460005"/>
    <w:rsid w:val="00461CF3"/>
    <w:rsid w:val="00461D0D"/>
    <w:rsid w:val="00463197"/>
    <w:rsid w:val="00465765"/>
    <w:rsid w:val="00465EC5"/>
    <w:rsid w:val="00465F14"/>
    <w:rsid w:val="00467115"/>
    <w:rsid w:val="0047003F"/>
    <w:rsid w:val="00470AAD"/>
    <w:rsid w:val="00471A27"/>
    <w:rsid w:val="00472E35"/>
    <w:rsid w:val="00473821"/>
    <w:rsid w:val="0047662B"/>
    <w:rsid w:val="004806D6"/>
    <w:rsid w:val="004822A5"/>
    <w:rsid w:val="0048298D"/>
    <w:rsid w:val="00482F8B"/>
    <w:rsid w:val="00483AD5"/>
    <w:rsid w:val="0048433B"/>
    <w:rsid w:val="00484C96"/>
    <w:rsid w:val="00486CF9"/>
    <w:rsid w:val="0048763C"/>
    <w:rsid w:val="00487BD9"/>
    <w:rsid w:val="00490E1F"/>
    <w:rsid w:val="004929E9"/>
    <w:rsid w:val="00492A81"/>
    <w:rsid w:val="00493C92"/>
    <w:rsid w:val="00493FAE"/>
    <w:rsid w:val="004946D1"/>
    <w:rsid w:val="00495420"/>
    <w:rsid w:val="0049678D"/>
    <w:rsid w:val="004967E1"/>
    <w:rsid w:val="00496D1E"/>
    <w:rsid w:val="004A057E"/>
    <w:rsid w:val="004A2F61"/>
    <w:rsid w:val="004A4FF6"/>
    <w:rsid w:val="004A5512"/>
    <w:rsid w:val="004A5D38"/>
    <w:rsid w:val="004A6152"/>
    <w:rsid w:val="004A678B"/>
    <w:rsid w:val="004A6CA1"/>
    <w:rsid w:val="004A6D36"/>
    <w:rsid w:val="004A7D60"/>
    <w:rsid w:val="004A7E57"/>
    <w:rsid w:val="004B0CD7"/>
    <w:rsid w:val="004B0D5C"/>
    <w:rsid w:val="004B1109"/>
    <w:rsid w:val="004B23E3"/>
    <w:rsid w:val="004B32A5"/>
    <w:rsid w:val="004B3372"/>
    <w:rsid w:val="004B485B"/>
    <w:rsid w:val="004B5647"/>
    <w:rsid w:val="004B5D42"/>
    <w:rsid w:val="004B5DBA"/>
    <w:rsid w:val="004B60E6"/>
    <w:rsid w:val="004B6400"/>
    <w:rsid w:val="004B641B"/>
    <w:rsid w:val="004B6924"/>
    <w:rsid w:val="004B701E"/>
    <w:rsid w:val="004B7128"/>
    <w:rsid w:val="004B7235"/>
    <w:rsid w:val="004C0458"/>
    <w:rsid w:val="004C0F78"/>
    <w:rsid w:val="004C1755"/>
    <w:rsid w:val="004C2A5F"/>
    <w:rsid w:val="004C2B82"/>
    <w:rsid w:val="004C365E"/>
    <w:rsid w:val="004C6434"/>
    <w:rsid w:val="004C652F"/>
    <w:rsid w:val="004C7D49"/>
    <w:rsid w:val="004D151D"/>
    <w:rsid w:val="004D233E"/>
    <w:rsid w:val="004D2DFC"/>
    <w:rsid w:val="004D32E8"/>
    <w:rsid w:val="004D4A49"/>
    <w:rsid w:val="004D51CD"/>
    <w:rsid w:val="004D64B7"/>
    <w:rsid w:val="004D6D24"/>
    <w:rsid w:val="004E09A6"/>
    <w:rsid w:val="004E266B"/>
    <w:rsid w:val="004E2B35"/>
    <w:rsid w:val="004E330F"/>
    <w:rsid w:val="004E6737"/>
    <w:rsid w:val="004E6CB4"/>
    <w:rsid w:val="004E6D6D"/>
    <w:rsid w:val="004E6EDF"/>
    <w:rsid w:val="004E7FEE"/>
    <w:rsid w:val="004F179E"/>
    <w:rsid w:val="004F3C45"/>
    <w:rsid w:val="004F4190"/>
    <w:rsid w:val="004F5AD4"/>
    <w:rsid w:val="005007A3"/>
    <w:rsid w:val="00500FC2"/>
    <w:rsid w:val="00501048"/>
    <w:rsid w:val="0050106A"/>
    <w:rsid w:val="00501B8A"/>
    <w:rsid w:val="00504D9D"/>
    <w:rsid w:val="00504E16"/>
    <w:rsid w:val="00505452"/>
    <w:rsid w:val="005075E3"/>
    <w:rsid w:val="005112FB"/>
    <w:rsid w:val="005133F2"/>
    <w:rsid w:val="00513BAF"/>
    <w:rsid w:val="0051479A"/>
    <w:rsid w:val="00514EAA"/>
    <w:rsid w:val="005156AF"/>
    <w:rsid w:val="005169AD"/>
    <w:rsid w:val="00517649"/>
    <w:rsid w:val="0052046A"/>
    <w:rsid w:val="005217A3"/>
    <w:rsid w:val="00521BA2"/>
    <w:rsid w:val="00522698"/>
    <w:rsid w:val="00524BC5"/>
    <w:rsid w:val="0053026B"/>
    <w:rsid w:val="00531A57"/>
    <w:rsid w:val="00531FC2"/>
    <w:rsid w:val="005330B9"/>
    <w:rsid w:val="00533768"/>
    <w:rsid w:val="00533E0F"/>
    <w:rsid w:val="005355FE"/>
    <w:rsid w:val="005356B5"/>
    <w:rsid w:val="00535F58"/>
    <w:rsid w:val="00536563"/>
    <w:rsid w:val="00536C3C"/>
    <w:rsid w:val="005371CC"/>
    <w:rsid w:val="005376D5"/>
    <w:rsid w:val="005409B5"/>
    <w:rsid w:val="00541074"/>
    <w:rsid w:val="0054175D"/>
    <w:rsid w:val="0054367E"/>
    <w:rsid w:val="00544768"/>
    <w:rsid w:val="00544FCA"/>
    <w:rsid w:val="00546D91"/>
    <w:rsid w:val="0054799C"/>
    <w:rsid w:val="00547E40"/>
    <w:rsid w:val="005505B9"/>
    <w:rsid w:val="00550DD5"/>
    <w:rsid w:val="00551C08"/>
    <w:rsid w:val="005535F1"/>
    <w:rsid w:val="00553651"/>
    <w:rsid w:val="00554197"/>
    <w:rsid w:val="00554710"/>
    <w:rsid w:val="00554B91"/>
    <w:rsid w:val="00556AF5"/>
    <w:rsid w:val="00557DBD"/>
    <w:rsid w:val="00560F65"/>
    <w:rsid w:val="0056216C"/>
    <w:rsid w:val="0056240A"/>
    <w:rsid w:val="00564205"/>
    <w:rsid w:val="005649A4"/>
    <w:rsid w:val="0056557A"/>
    <w:rsid w:val="005659CC"/>
    <w:rsid w:val="00566F14"/>
    <w:rsid w:val="005671C8"/>
    <w:rsid w:val="005674F3"/>
    <w:rsid w:val="005703AA"/>
    <w:rsid w:val="005715AF"/>
    <w:rsid w:val="00571677"/>
    <w:rsid w:val="00572B35"/>
    <w:rsid w:val="00573A7D"/>
    <w:rsid w:val="00573EF5"/>
    <w:rsid w:val="00574D4A"/>
    <w:rsid w:val="00576871"/>
    <w:rsid w:val="0058048E"/>
    <w:rsid w:val="00580616"/>
    <w:rsid w:val="00580BC9"/>
    <w:rsid w:val="005812F3"/>
    <w:rsid w:val="0058169D"/>
    <w:rsid w:val="005852DD"/>
    <w:rsid w:val="00590078"/>
    <w:rsid w:val="0059040F"/>
    <w:rsid w:val="005907B4"/>
    <w:rsid w:val="00590F92"/>
    <w:rsid w:val="0059201D"/>
    <w:rsid w:val="00592095"/>
    <w:rsid w:val="0059313B"/>
    <w:rsid w:val="00593BEB"/>
    <w:rsid w:val="00593EFA"/>
    <w:rsid w:val="005960D2"/>
    <w:rsid w:val="00596D61"/>
    <w:rsid w:val="00597BD7"/>
    <w:rsid w:val="005A0174"/>
    <w:rsid w:val="005A2AF1"/>
    <w:rsid w:val="005A5D6F"/>
    <w:rsid w:val="005A6AE3"/>
    <w:rsid w:val="005A6AEA"/>
    <w:rsid w:val="005A7BAD"/>
    <w:rsid w:val="005B0A2D"/>
    <w:rsid w:val="005B137C"/>
    <w:rsid w:val="005B2879"/>
    <w:rsid w:val="005B2CD3"/>
    <w:rsid w:val="005B2F2B"/>
    <w:rsid w:val="005B346C"/>
    <w:rsid w:val="005B3D76"/>
    <w:rsid w:val="005B447E"/>
    <w:rsid w:val="005B4758"/>
    <w:rsid w:val="005B5790"/>
    <w:rsid w:val="005B65C6"/>
    <w:rsid w:val="005B779A"/>
    <w:rsid w:val="005C0029"/>
    <w:rsid w:val="005C0147"/>
    <w:rsid w:val="005C0BE9"/>
    <w:rsid w:val="005C13F8"/>
    <w:rsid w:val="005C1A28"/>
    <w:rsid w:val="005C2119"/>
    <w:rsid w:val="005C32D8"/>
    <w:rsid w:val="005C36A4"/>
    <w:rsid w:val="005C6675"/>
    <w:rsid w:val="005C7CBA"/>
    <w:rsid w:val="005D011A"/>
    <w:rsid w:val="005D0882"/>
    <w:rsid w:val="005D1C9E"/>
    <w:rsid w:val="005D44E4"/>
    <w:rsid w:val="005D5616"/>
    <w:rsid w:val="005D5755"/>
    <w:rsid w:val="005D7C57"/>
    <w:rsid w:val="005E08A5"/>
    <w:rsid w:val="005E2274"/>
    <w:rsid w:val="005E245B"/>
    <w:rsid w:val="005E3104"/>
    <w:rsid w:val="005E4676"/>
    <w:rsid w:val="005E55E2"/>
    <w:rsid w:val="005E5F2D"/>
    <w:rsid w:val="005E666E"/>
    <w:rsid w:val="005E76E8"/>
    <w:rsid w:val="005E778B"/>
    <w:rsid w:val="005E7DEB"/>
    <w:rsid w:val="005F0859"/>
    <w:rsid w:val="005F158A"/>
    <w:rsid w:val="005F158C"/>
    <w:rsid w:val="005F3194"/>
    <w:rsid w:val="005F323E"/>
    <w:rsid w:val="005F3919"/>
    <w:rsid w:val="005F4516"/>
    <w:rsid w:val="005F4B5C"/>
    <w:rsid w:val="005F4E29"/>
    <w:rsid w:val="005F4F6F"/>
    <w:rsid w:val="005F6F0E"/>
    <w:rsid w:val="005F7D5B"/>
    <w:rsid w:val="00600549"/>
    <w:rsid w:val="006005EE"/>
    <w:rsid w:val="00600AF7"/>
    <w:rsid w:val="006014AE"/>
    <w:rsid w:val="00601BAD"/>
    <w:rsid w:val="00602381"/>
    <w:rsid w:val="00603C42"/>
    <w:rsid w:val="00603DC0"/>
    <w:rsid w:val="00603FCB"/>
    <w:rsid w:val="00604CC4"/>
    <w:rsid w:val="0060506C"/>
    <w:rsid w:val="006053EB"/>
    <w:rsid w:val="00605433"/>
    <w:rsid w:val="00610026"/>
    <w:rsid w:val="006100B6"/>
    <w:rsid w:val="00610405"/>
    <w:rsid w:val="006104B4"/>
    <w:rsid w:val="006109BA"/>
    <w:rsid w:val="00610AC8"/>
    <w:rsid w:val="00611E25"/>
    <w:rsid w:val="006131A0"/>
    <w:rsid w:val="0061330E"/>
    <w:rsid w:val="0061373E"/>
    <w:rsid w:val="00615784"/>
    <w:rsid w:val="00615957"/>
    <w:rsid w:val="00616205"/>
    <w:rsid w:val="00616CDA"/>
    <w:rsid w:val="00616F1E"/>
    <w:rsid w:val="00617362"/>
    <w:rsid w:val="00617478"/>
    <w:rsid w:val="00617CE1"/>
    <w:rsid w:val="006214D8"/>
    <w:rsid w:val="00622043"/>
    <w:rsid w:val="006232E5"/>
    <w:rsid w:val="00623AEF"/>
    <w:rsid w:val="00625AFF"/>
    <w:rsid w:val="0062696A"/>
    <w:rsid w:val="0062714D"/>
    <w:rsid w:val="00630513"/>
    <w:rsid w:val="00631A6D"/>
    <w:rsid w:val="006322E1"/>
    <w:rsid w:val="006351F2"/>
    <w:rsid w:val="0063531A"/>
    <w:rsid w:val="0063584F"/>
    <w:rsid w:val="006358A4"/>
    <w:rsid w:val="00636012"/>
    <w:rsid w:val="0063732F"/>
    <w:rsid w:val="00637487"/>
    <w:rsid w:val="00637E1B"/>
    <w:rsid w:val="0064005D"/>
    <w:rsid w:val="00640777"/>
    <w:rsid w:val="006424AB"/>
    <w:rsid w:val="006425A1"/>
    <w:rsid w:val="006425E0"/>
    <w:rsid w:val="0064435D"/>
    <w:rsid w:val="00645140"/>
    <w:rsid w:val="00645B2E"/>
    <w:rsid w:val="00645FF6"/>
    <w:rsid w:val="00646114"/>
    <w:rsid w:val="006479FD"/>
    <w:rsid w:val="00647AAB"/>
    <w:rsid w:val="006502D5"/>
    <w:rsid w:val="00650351"/>
    <w:rsid w:val="00652DD6"/>
    <w:rsid w:val="00655359"/>
    <w:rsid w:val="0065537D"/>
    <w:rsid w:val="0066247D"/>
    <w:rsid w:val="00662CE3"/>
    <w:rsid w:val="0066377D"/>
    <w:rsid w:val="0066429B"/>
    <w:rsid w:val="006646D9"/>
    <w:rsid w:val="006648FB"/>
    <w:rsid w:val="00664DFB"/>
    <w:rsid w:val="00664F4E"/>
    <w:rsid w:val="00667921"/>
    <w:rsid w:val="00670DF1"/>
    <w:rsid w:val="00671002"/>
    <w:rsid w:val="00671350"/>
    <w:rsid w:val="006719C1"/>
    <w:rsid w:val="00671FA8"/>
    <w:rsid w:val="00672297"/>
    <w:rsid w:val="006727B8"/>
    <w:rsid w:val="006732BB"/>
    <w:rsid w:val="0067593C"/>
    <w:rsid w:val="00675EA7"/>
    <w:rsid w:val="00676302"/>
    <w:rsid w:val="006804BD"/>
    <w:rsid w:val="00680762"/>
    <w:rsid w:val="00682108"/>
    <w:rsid w:val="00683AB8"/>
    <w:rsid w:val="006844CD"/>
    <w:rsid w:val="00685036"/>
    <w:rsid w:val="00685ED7"/>
    <w:rsid w:val="00686BF7"/>
    <w:rsid w:val="00687132"/>
    <w:rsid w:val="006907E0"/>
    <w:rsid w:val="00690C57"/>
    <w:rsid w:val="006913B0"/>
    <w:rsid w:val="006915E2"/>
    <w:rsid w:val="006915EA"/>
    <w:rsid w:val="006922C2"/>
    <w:rsid w:val="00694E36"/>
    <w:rsid w:val="00695659"/>
    <w:rsid w:val="0069599E"/>
    <w:rsid w:val="006977F9"/>
    <w:rsid w:val="006A0171"/>
    <w:rsid w:val="006A0AF0"/>
    <w:rsid w:val="006A0CBB"/>
    <w:rsid w:val="006A0FDD"/>
    <w:rsid w:val="006A1DF6"/>
    <w:rsid w:val="006A20E6"/>
    <w:rsid w:val="006A3846"/>
    <w:rsid w:val="006A4239"/>
    <w:rsid w:val="006A4E94"/>
    <w:rsid w:val="006A5F53"/>
    <w:rsid w:val="006A631F"/>
    <w:rsid w:val="006A7148"/>
    <w:rsid w:val="006A7DF4"/>
    <w:rsid w:val="006B0102"/>
    <w:rsid w:val="006B17BF"/>
    <w:rsid w:val="006B3ECA"/>
    <w:rsid w:val="006B3FEB"/>
    <w:rsid w:val="006B46C7"/>
    <w:rsid w:val="006B54F3"/>
    <w:rsid w:val="006B57A5"/>
    <w:rsid w:val="006B5896"/>
    <w:rsid w:val="006B5E7A"/>
    <w:rsid w:val="006C1415"/>
    <w:rsid w:val="006C1EDD"/>
    <w:rsid w:val="006C20A5"/>
    <w:rsid w:val="006C2123"/>
    <w:rsid w:val="006C33A1"/>
    <w:rsid w:val="006C3864"/>
    <w:rsid w:val="006C3892"/>
    <w:rsid w:val="006C3CC8"/>
    <w:rsid w:val="006C40BF"/>
    <w:rsid w:val="006C42D0"/>
    <w:rsid w:val="006C4AC4"/>
    <w:rsid w:val="006C56D9"/>
    <w:rsid w:val="006C6D13"/>
    <w:rsid w:val="006D13E0"/>
    <w:rsid w:val="006D145A"/>
    <w:rsid w:val="006D2245"/>
    <w:rsid w:val="006D22F7"/>
    <w:rsid w:val="006D2C4A"/>
    <w:rsid w:val="006D4F0F"/>
    <w:rsid w:val="006D502E"/>
    <w:rsid w:val="006D6890"/>
    <w:rsid w:val="006D72E1"/>
    <w:rsid w:val="006D7958"/>
    <w:rsid w:val="006D7F0D"/>
    <w:rsid w:val="006E17AD"/>
    <w:rsid w:val="006F3218"/>
    <w:rsid w:val="006F336D"/>
    <w:rsid w:val="006F4045"/>
    <w:rsid w:val="006F48B9"/>
    <w:rsid w:val="006F54A0"/>
    <w:rsid w:val="006F5A5C"/>
    <w:rsid w:val="006F7F00"/>
    <w:rsid w:val="0070177E"/>
    <w:rsid w:val="00702603"/>
    <w:rsid w:val="00702617"/>
    <w:rsid w:val="007027B2"/>
    <w:rsid w:val="00702CFB"/>
    <w:rsid w:val="0070738A"/>
    <w:rsid w:val="007104E5"/>
    <w:rsid w:val="007113C0"/>
    <w:rsid w:val="007114C7"/>
    <w:rsid w:val="00712764"/>
    <w:rsid w:val="00712CC9"/>
    <w:rsid w:val="00713221"/>
    <w:rsid w:val="00715D1F"/>
    <w:rsid w:val="00715F9E"/>
    <w:rsid w:val="0072085E"/>
    <w:rsid w:val="00720E58"/>
    <w:rsid w:val="00721715"/>
    <w:rsid w:val="00723487"/>
    <w:rsid w:val="00723871"/>
    <w:rsid w:val="00723EA4"/>
    <w:rsid w:val="00724424"/>
    <w:rsid w:val="00724794"/>
    <w:rsid w:val="007250D9"/>
    <w:rsid w:val="007254E4"/>
    <w:rsid w:val="00725E62"/>
    <w:rsid w:val="00726CC0"/>
    <w:rsid w:val="00727BDE"/>
    <w:rsid w:val="00731BD3"/>
    <w:rsid w:val="00731C1D"/>
    <w:rsid w:val="00731CC9"/>
    <w:rsid w:val="00731DCD"/>
    <w:rsid w:val="00732F51"/>
    <w:rsid w:val="00733C52"/>
    <w:rsid w:val="00743764"/>
    <w:rsid w:val="00744346"/>
    <w:rsid w:val="00745C96"/>
    <w:rsid w:val="00745F63"/>
    <w:rsid w:val="00747297"/>
    <w:rsid w:val="00747DAC"/>
    <w:rsid w:val="0075160D"/>
    <w:rsid w:val="00752BB0"/>
    <w:rsid w:val="00752E2A"/>
    <w:rsid w:val="007547C3"/>
    <w:rsid w:val="00754D87"/>
    <w:rsid w:val="00755765"/>
    <w:rsid w:val="007566B2"/>
    <w:rsid w:val="00757356"/>
    <w:rsid w:val="007607C5"/>
    <w:rsid w:val="007610CD"/>
    <w:rsid w:val="007631FF"/>
    <w:rsid w:val="00766D75"/>
    <w:rsid w:val="00767035"/>
    <w:rsid w:val="00770688"/>
    <w:rsid w:val="007726A2"/>
    <w:rsid w:val="00772EE5"/>
    <w:rsid w:val="00774F4B"/>
    <w:rsid w:val="00775612"/>
    <w:rsid w:val="00775AD3"/>
    <w:rsid w:val="00776A31"/>
    <w:rsid w:val="00776FE1"/>
    <w:rsid w:val="007803AB"/>
    <w:rsid w:val="007828ED"/>
    <w:rsid w:val="00782E33"/>
    <w:rsid w:val="00783B19"/>
    <w:rsid w:val="007845D4"/>
    <w:rsid w:val="00784B03"/>
    <w:rsid w:val="007857D9"/>
    <w:rsid w:val="00786E19"/>
    <w:rsid w:val="00787C73"/>
    <w:rsid w:val="00791139"/>
    <w:rsid w:val="00791B17"/>
    <w:rsid w:val="00792244"/>
    <w:rsid w:val="00792830"/>
    <w:rsid w:val="00792F37"/>
    <w:rsid w:val="00794083"/>
    <w:rsid w:val="0079481E"/>
    <w:rsid w:val="00794E39"/>
    <w:rsid w:val="00794E3E"/>
    <w:rsid w:val="0079546B"/>
    <w:rsid w:val="00795A75"/>
    <w:rsid w:val="0079644C"/>
    <w:rsid w:val="007965C9"/>
    <w:rsid w:val="00796772"/>
    <w:rsid w:val="00796BE5"/>
    <w:rsid w:val="00796D91"/>
    <w:rsid w:val="007975AF"/>
    <w:rsid w:val="0079778D"/>
    <w:rsid w:val="007A0AA6"/>
    <w:rsid w:val="007A1804"/>
    <w:rsid w:val="007A32B4"/>
    <w:rsid w:val="007A420A"/>
    <w:rsid w:val="007A4D19"/>
    <w:rsid w:val="007A5481"/>
    <w:rsid w:val="007A57CA"/>
    <w:rsid w:val="007A60D0"/>
    <w:rsid w:val="007B0404"/>
    <w:rsid w:val="007B1110"/>
    <w:rsid w:val="007B4DC3"/>
    <w:rsid w:val="007B598F"/>
    <w:rsid w:val="007B61F3"/>
    <w:rsid w:val="007B72AE"/>
    <w:rsid w:val="007B78B4"/>
    <w:rsid w:val="007B7C1F"/>
    <w:rsid w:val="007C1DB4"/>
    <w:rsid w:val="007C2E15"/>
    <w:rsid w:val="007C30CC"/>
    <w:rsid w:val="007C37B0"/>
    <w:rsid w:val="007C3FFD"/>
    <w:rsid w:val="007C4744"/>
    <w:rsid w:val="007C7EFC"/>
    <w:rsid w:val="007D02E9"/>
    <w:rsid w:val="007D1558"/>
    <w:rsid w:val="007D1642"/>
    <w:rsid w:val="007D2C33"/>
    <w:rsid w:val="007D30CA"/>
    <w:rsid w:val="007D4026"/>
    <w:rsid w:val="007D4160"/>
    <w:rsid w:val="007D41A1"/>
    <w:rsid w:val="007D6303"/>
    <w:rsid w:val="007D70F2"/>
    <w:rsid w:val="007D7466"/>
    <w:rsid w:val="007E03CC"/>
    <w:rsid w:val="007E3CF9"/>
    <w:rsid w:val="007E4955"/>
    <w:rsid w:val="007E4CC6"/>
    <w:rsid w:val="007E59B3"/>
    <w:rsid w:val="007F0498"/>
    <w:rsid w:val="007F19B7"/>
    <w:rsid w:val="007F3409"/>
    <w:rsid w:val="007F4062"/>
    <w:rsid w:val="007F46D4"/>
    <w:rsid w:val="007F487A"/>
    <w:rsid w:val="007F4ABE"/>
    <w:rsid w:val="007F7488"/>
    <w:rsid w:val="007F7C12"/>
    <w:rsid w:val="00800440"/>
    <w:rsid w:val="008016E9"/>
    <w:rsid w:val="00801BA5"/>
    <w:rsid w:val="00802831"/>
    <w:rsid w:val="00803A67"/>
    <w:rsid w:val="00804508"/>
    <w:rsid w:val="0080548D"/>
    <w:rsid w:val="00805B90"/>
    <w:rsid w:val="008060CF"/>
    <w:rsid w:val="0080622A"/>
    <w:rsid w:val="00806670"/>
    <w:rsid w:val="00810650"/>
    <w:rsid w:val="00811551"/>
    <w:rsid w:val="00812482"/>
    <w:rsid w:val="0081416D"/>
    <w:rsid w:val="0081694E"/>
    <w:rsid w:val="008179C2"/>
    <w:rsid w:val="00817F63"/>
    <w:rsid w:val="00820C34"/>
    <w:rsid w:val="00822864"/>
    <w:rsid w:val="008230B1"/>
    <w:rsid w:val="00823B25"/>
    <w:rsid w:val="00824FAA"/>
    <w:rsid w:val="00825B2F"/>
    <w:rsid w:val="00826571"/>
    <w:rsid w:val="00826748"/>
    <w:rsid w:val="00827380"/>
    <w:rsid w:val="0082742A"/>
    <w:rsid w:val="0083059A"/>
    <w:rsid w:val="008306B8"/>
    <w:rsid w:val="0083294C"/>
    <w:rsid w:val="00832B7E"/>
    <w:rsid w:val="008349C0"/>
    <w:rsid w:val="00834A55"/>
    <w:rsid w:val="0083524C"/>
    <w:rsid w:val="00835D2F"/>
    <w:rsid w:val="00835D52"/>
    <w:rsid w:val="00836A32"/>
    <w:rsid w:val="00837CE7"/>
    <w:rsid w:val="008414C5"/>
    <w:rsid w:val="0084378D"/>
    <w:rsid w:val="008446C7"/>
    <w:rsid w:val="00844768"/>
    <w:rsid w:val="00844D4C"/>
    <w:rsid w:val="0084589F"/>
    <w:rsid w:val="00846160"/>
    <w:rsid w:val="00847FCD"/>
    <w:rsid w:val="00850FA9"/>
    <w:rsid w:val="00853B7C"/>
    <w:rsid w:val="008550C3"/>
    <w:rsid w:val="008557BC"/>
    <w:rsid w:val="00855A27"/>
    <w:rsid w:val="00855E03"/>
    <w:rsid w:val="008567E3"/>
    <w:rsid w:val="00856EA6"/>
    <w:rsid w:val="0086232B"/>
    <w:rsid w:val="0086314C"/>
    <w:rsid w:val="00863537"/>
    <w:rsid w:val="0086364C"/>
    <w:rsid w:val="0086607C"/>
    <w:rsid w:val="00866F0B"/>
    <w:rsid w:val="00867014"/>
    <w:rsid w:val="00867BE1"/>
    <w:rsid w:val="008708BD"/>
    <w:rsid w:val="00872457"/>
    <w:rsid w:val="00872D70"/>
    <w:rsid w:val="00872E6B"/>
    <w:rsid w:val="00873A9D"/>
    <w:rsid w:val="00873B3E"/>
    <w:rsid w:val="00874491"/>
    <w:rsid w:val="008750DE"/>
    <w:rsid w:val="0087685F"/>
    <w:rsid w:val="008773E8"/>
    <w:rsid w:val="008801C7"/>
    <w:rsid w:val="008802AA"/>
    <w:rsid w:val="00880E45"/>
    <w:rsid w:val="00881200"/>
    <w:rsid w:val="0088317F"/>
    <w:rsid w:val="008831A1"/>
    <w:rsid w:val="008836CB"/>
    <w:rsid w:val="008837B4"/>
    <w:rsid w:val="00883D5E"/>
    <w:rsid w:val="008842D1"/>
    <w:rsid w:val="00885E95"/>
    <w:rsid w:val="00887473"/>
    <w:rsid w:val="00887F5C"/>
    <w:rsid w:val="0089020B"/>
    <w:rsid w:val="0089147A"/>
    <w:rsid w:val="008924D7"/>
    <w:rsid w:val="00892A52"/>
    <w:rsid w:val="00892CA5"/>
    <w:rsid w:val="00893585"/>
    <w:rsid w:val="00893D93"/>
    <w:rsid w:val="00894C3B"/>
    <w:rsid w:val="00895002"/>
    <w:rsid w:val="008952B1"/>
    <w:rsid w:val="008957AC"/>
    <w:rsid w:val="00895C3B"/>
    <w:rsid w:val="00895DF5"/>
    <w:rsid w:val="008971E8"/>
    <w:rsid w:val="008A027A"/>
    <w:rsid w:val="008A0864"/>
    <w:rsid w:val="008A1AB6"/>
    <w:rsid w:val="008A1AD3"/>
    <w:rsid w:val="008A32A9"/>
    <w:rsid w:val="008A48A6"/>
    <w:rsid w:val="008A5AF4"/>
    <w:rsid w:val="008A651D"/>
    <w:rsid w:val="008B2334"/>
    <w:rsid w:val="008B2D8B"/>
    <w:rsid w:val="008B2DCC"/>
    <w:rsid w:val="008B412B"/>
    <w:rsid w:val="008B42DE"/>
    <w:rsid w:val="008B5A4D"/>
    <w:rsid w:val="008B5DAC"/>
    <w:rsid w:val="008B69D5"/>
    <w:rsid w:val="008B7B84"/>
    <w:rsid w:val="008C20BA"/>
    <w:rsid w:val="008C2498"/>
    <w:rsid w:val="008C2D1E"/>
    <w:rsid w:val="008C3D90"/>
    <w:rsid w:val="008C4AA9"/>
    <w:rsid w:val="008C5439"/>
    <w:rsid w:val="008C5A2C"/>
    <w:rsid w:val="008C5E12"/>
    <w:rsid w:val="008D0421"/>
    <w:rsid w:val="008D1874"/>
    <w:rsid w:val="008D5889"/>
    <w:rsid w:val="008D6005"/>
    <w:rsid w:val="008E13A2"/>
    <w:rsid w:val="008E2633"/>
    <w:rsid w:val="008E2FD9"/>
    <w:rsid w:val="008E40BA"/>
    <w:rsid w:val="008E4357"/>
    <w:rsid w:val="008E4E43"/>
    <w:rsid w:val="008E5889"/>
    <w:rsid w:val="008E58F5"/>
    <w:rsid w:val="008E5FA1"/>
    <w:rsid w:val="008E631F"/>
    <w:rsid w:val="008E697F"/>
    <w:rsid w:val="008F0522"/>
    <w:rsid w:val="008F0882"/>
    <w:rsid w:val="008F0CC0"/>
    <w:rsid w:val="008F14A5"/>
    <w:rsid w:val="008F172F"/>
    <w:rsid w:val="008F1BAC"/>
    <w:rsid w:val="008F1DAE"/>
    <w:rsid w:val="008F2301"/>
    <w:rsid w:val="008F28F1"/>
    <w:rsid w:val="008F3543"/>
    <w:rsid w:val="008F5C2F"/>
    <w:rsid w:val="008F6657"/>
    <w:rsid w:val="008F7D45"/>
    <w:rsid w:val="00900872"/>
    <w:rsid w:val="00900A3C"/>
    <w:rsid w:val="00900CBB"/>
    <w:rsid w:val="00901D94"/>
    <w:rsid w:val="009020AB"/>
    <w:rsid w:val="009027B9"/>
    <w:rsid w:val="009049F1"/>
    <w:rsid w:val="00905673"/>
    <w:rsid w:val="0090771F"/>
    <w:rsid w:val="0090787C"/>
    <w:rsid w:val="00907C2C"/>
    <w:rsid w:val="00911975"/>
    <w:rsid w:val="00913528"/>
    <w:rsid w:val="00915918"/>
    <w:rsid w:val="0091603D"/>
    <w:rsid w:val="00916850"/>
    <w:rsid w:val="009179CE"/>
    <w:rsid w:val="00922549"/>
    <w:rsid w:val="00922F7A"/>
    <w:rsid w:val="009236EB"/>
    <w:rsid w:val="0092457F"/>
    <w:rsid w:val="009250D9"/>
    <w:rsid w:val="00925C23"/>
    <w:rsid w:val="00927A69"/>
    <w:rsid w:val="009309AB"/>
    <w:rsid w:val="00930B97"/>
    <w:rsid w:val="00930CC4"/>
    <w:rsid w:val="0093340F"/>
    <w:rsid w:val="0093414F"/>
    <w:rsid w:val="0093418C"/>
    <w:rsid w:val="00934DAA"/>
    <w:rsid w:val="0093548D"/>
    <w:rsid w:val="0093559E"/>
    <w:rsid w:val="0093632B"/>
    <w:rsid w:val="00936501"/>
    <w:rsid w:val="009373B3"/>
    <w:rsid w:val="0093747B"/>
    <w:rsid w:val="009378DA"/>
    <w:rsid w:val="009403D2"/>
    <w:rsid w:val="00940982"/>
    <w:rsid w:val="00940EEB"/>
    <w:rsid w:val="009429FC"/>
    <w:rsid w:val="00942BB8"/>
    <w:rsid w:val="00943BCE"/>
    <w:rsid w:val="009453C2"/>
    <w:rsid w:val="00945FCB"/>
    <w:rsid w:val="00946B3E"/>
    <w:rsid w:val="009472D4"/>
    <w:rsid w:val="00950896"/>
    <w:rsid w:val="00950EE3"/>
    <w:rsid w:val="00951054"/>
    <w:rsid w:val="0095163E"/>
    <w:rsid w:val="009519FE"/>
    <w:rsid w:val="0095245B"/>
    <w:rsid w:val="00953064"/>
    <w:rsid w:val="009537C4"/>
    <w:rsid w:val="00953B36"/>
    <w:rsid w:val="0095411C"/>
    <w:rsid w:val="009541E4"/>
    <w:rsid w:val="009556EC"/>
    <w:rsid w:val="00956017"/>
    <w:rsid w:val="00956CB4"/>
    <w:rsid w:val="00956CEA"/>
    <w:rsid w:val="00956E3A"/>
    <w:rsid w:val="00957D1D"/>
    <w:rsid w:val="009611FF"/>
    <w:rsid w:val="00963AE1"/>
    <w:rsid w:val="00963B92"/>
    <w:rsid w:val="00963BFD"/>
    <w:rsid w:val="00965790"/>
    <w:rsid w:val="00966168"/>
    <w:rsid w:val="00966B91"/>
    <w:rsid w:val="00967201"/>
    <w:rsid w:val="00970D52"/>
    <w:rsid w:val="00970D5D"/>
    <w:rsid w:val="00971106"/>
    <w:rsid w:val="00972AFD"/>
    <w:rsid w:val="00973540"/>
    <w:rsid w:val="00973669"/>
    <w:rsid w:val="0097407B"/>
    <w:rsid w:val="0097516F"/>
    <w:rsid w:val="00975B57"/>
    <w:rsid w:val="009817D0"/>
    <w:rsid w:val="0098450A"/>
    <w:rsid w:val="00984B0E"/>
    <w:rsid w:val="009853D0"/>
    <w:rsid w:val="009871A0"/>
    <w:rsid w:val="00987AB3"/>
    <w:rsid w:val="00987B29"/>
    <w:rsid w:val="00990F74"/>
    <w:rsid w:val="009916C1"/>
    <w:rsid w:val="00991788"/>
    <w:rsid w:val="00992A1F"/>
    <w:rsid w:val="00994A96"/>
    <w:rsid w:val="00994E4D"/>
    <w:rsid w:val="00997032"/>
    <w:rsid w:val="00997164"/>
    <w:rsid w:val="009971EB"/>
    <w:rsid w:val="009972C5"/>
    <w:rsid w:val="00997D31"/>
    <w:rsid w:val="00997FCE"/>
    <w:rsid w:val="009A0E71"/>
    <w:rsid w:val="009A100C"/>
    <w:rsid w:val="009A1010"/>
    <w:rsid w:val="009A10AD"/>
    <w:rsid w:val="009A1AC2"/>
    <w:rsid w:val="009A2176"/>
    <w:rsid w:val="009A27DB"/>
    <w:rsid w:val="009A27DF"/>
    <w:rsid w:val="009A2A4F"/>
    <w:rsid w:val="009A349F"/>
    <w:rsid w:val="009A3AE9"/>
    <w:rsid w:val="009A4D3E"/>
    <w:rsid w:val="009A69D7"/>
    <w:rsid w:val="009A7FB3"/>
    <w:rsid w:val="009B0927"/>
    <w:rsid w:val="009B0C9B"/>
    <w:rsid w:val="009B0DE2"/>
    <w:rsid w:val="009B1ACA"/>
    <w:rsid w:val="009B1B84"/>
    <w:rsid w:val="009B4113"/>
    <w:rsid w:val="009B4178"/>
    <w:rsid w:val="009B52BC"/>
    <w:rsid w:val="009B650B"/>
    <w:rsid w:val="009B669F"/>
    <w:rsid w:val="009B6701"/>
    <w:rsid w:val="009B7E64"/>
    <w:rsid w:val="009B7F1E"/>
    <w:rsid w:val="009B7F39"/>
    <w:rsid w:val="009C01AF"/>
    <w:rsid w:val="009C08E5"/>
    <w:rsid w:val="009C0A44"/>
    <w:rsid w:val="009C1A63"/>
    <w:rsid w:val="009C2535"/>
    <w:rsid w:val="009C2FA9"/>
    <w:rsid w:val="009C2FC0"/>
    <w:rsid w:val="009C3139"/>
    <w:rsid w:val="009C4510"/>
    <w:rsid w:val="009C68AB"/>
    <w:rsid w:val="009C6996"/>
    <w:rsid w:val="009D1E23"/>
    <w:rsid w:val="009D4725"/>
    <w:rsid w:val="009D4EC0"/>
    <w:rsid w:val="009D6084"/>
    <w:rsid w:val="009D67B9"/>
    <w:rsid w:val="009D6D77"/>
    <w:rsid w:val="009D7AD5"/>
    <w:rsid w:val="009E0AF5"/>
    <w:rsid w:val="009E0B08"/>
    <w:rsid w:val="009E13A0"/>
    <w:rsid w:val="009E177E"/>
    <w:rsid w:val="009E2912"/>
    <w:rsid w:val="009E4ED3"/>
    <w:rsid w:val="009E527B"/>
    <w:rsid w:val="009E5432"/>
    <w:rsid w:val="009E59D6"/>
    <w:rsid w:val="009E5AB5"/>
    <w:rsid w:val="009E5E13"/>
    <w:rsid w:val="009E60F4"/>
    <w:rsid w:val="009E67F7"/>
    <w:rsid w:val="009E763E"/>
    <w:rsid w:val="009F0982"/>
    <w:rsid w:val="009F0D2B"/>
    <w:rsid w:val="009F151F"/>
    <w:rsid w:val="009F3094"/>
    <w:rsid w:val="009F3E56"/>
    <w:rsid w:val="009F46F0"/>
    <w:rsid w:val="009F5490"/>
    <w:rsid w:val="009F5912"/>
    <w:rsid w:val="009F5DE5"/>
    <w:rsid w:val="009F75EB"/>
    <w:rsid w:val="009F7F7F"/>
    <w:rsid w:val="00A0036C"/>
    <w:rsid w:val="00A0297C"/>
    <w:rsid w:val="00A02C38"/>
    <w:rsid w:val="00A0449B"/>
    <w:rsid w:val="00A04C05"/>
    <w:rsid w:val="00A053FF"/>
    <w:rsid w:val="00A05E8E"/>
    <w:rsid w:val="00A06918"/>
    <w:rsid w:val="00A06E55"/>
    <w:rsid w:val="00A076E3"/>
    <w:rsid w:val="00A1027C"/>
    <w:rsid w:val="00A12DD8"/>
    <w:rsid w:val="00A1333C"/>
    <w:rsid w:val="00A13874"/>
    <w:rsid w:val="00A13988"/>
    <w:rsid w:val="00A1421F"/>
    <w:rsid w:val="00A14590"/>
    <w:rsid w:val="00A1464D"/>
    <w:rsid w:val="00A157C4"/>
    <w:rsid w:val="00A16217"/>
    <w:rsid w:val="00A1746D"/>
    <w:rsid w:val="00A1752B"/>
    <w:rsid w:val="00A17970"/>
    <w:rsid w:val="00A17C27"/>
    <w:rsid w:val="00A20060"/>
    <w:rsid w:val="00A20102"/>
    <w:rsid w:val="00A20428"/>
    <w:rsid w:val="00A20540"/>
    <w:rsid w:val="00A208E9"/>
    <w:rsid w:val="00A229A7"/>
    <w:rsid w:val="00A230BA"/>
    <w:rsid w:val="00A24CE2"/>
    <w:rsid w:val="00A25015"/>
    <w:rsid w:val="00A25C86"/>
    <w:rsid w:val="00A30468"/>
    <w:rsid w:val="00A32643"/>
    <w:rsid w:val="00A32C77"/>
    <w:rsid w:val="00A330BC"/>
    <w:rsid w:val="00A33EC5"/>
    <w:rsid w:val="00A354D2"/>
    <w:rsid w:val="00A35964"/>
    <w:rsid w:val="00A36829"/>
    <w:rsid w:val="00A36BF7"/>
    <w:rsid w:val="00A37D69"/>
    <w:rsid w:val="00A41725"/>
    <w:rsid w:val="00A418EB"/>
    <w:rsid w:val="00A43302"/>
    <w:rsid w:val="00A447F8"/>
    <w:rsid w:val="00A455AF"/>
    <w:rsid w:val="00A458E9"/>
    <w:rsid w:val="00A45D9F"/>
    <w:rsid w:val="00A472AA"/>
    <w:rsid w:val="00A5056B"/>
    <w:rsid w:val="00A52D41"/>
    <w:rsid w:val="00A53484"/>
    <w:rsid w:val="00A53945"/>
    <w:rsid w:val="00A5479D"/>
    <w:rsid w:val="00A56E7C"/>
    <w:rsid w:val="00A57EF4"/>
    <w:rsid w:val="00A6289F"/>
    <w:rsid w:val="00A62B5C"/>
    <w:rsid w:val="00A66F73"/>
    <w:rsid w:val="00A6766E"/>
    <w:rsid w:val="00A67B37"/>
    <w:rsid w:val="00A67B9E"/>
    <w:rsid w:val="00A67BAC"/>
    <w:rsid w:val="00A67E83"/>
    <w:rsid w:val="00A701BF"/>
    <w:rsid w:val="00A705E6"/>
    <w:rsid w:val="00A722BC"/>
    <w:rsid w:val="00A73D24"/>
    <w:rsid w:val="00A75531"/>
    <w:rsid w:val="00A766DB"/>
    <w:rsid w:val="00A774E3"/>
    <w:rsid w:val="00A77650"/>
    <w:rsid w:val="00A80995"/>
    <w:rsid w:val="00A80DDF"/>
    <w:rsid w:val="00A81A4C"/>
    <w:rsid w:val="00A83160"/>
    <w:rsid w:val="00A8342E"/>
    <w:rsid w:val="00A83C6B"/>
    <w:rsid w:val="00A85123"/>
    <w:rsid w:val="00A86CDF"/>
    <w:rsid w:val="00A879D3"/>
    <w:rsid w:val="00A912BA"/>
    <w:rsid w:val="00A9269D"/>
    <w:rsid w:val="00A9303F"/>
    <w:rsid w:val="00A94126"/>
    <w:rsid w:val="00A94B9B"/>
    <w:rsid w:val="00A94E70"/>
    <w:rsid w:val="00A95787"/>
    <w:rsid w:val="00A96C4F"/>
    <w:rsid w:val="00A97056"/>
    <w:rsid w:val="00A97A2A"/>
    <w:rsid w:val="00A97F05"/>
    <w:rsid w:val="00AA0002"/>
    <w:rsid w:val="00AA016D"/>
    <w:rsid w:val="00AA0C5C"/>
    <w:rsid w:val="00AA1232"/>
    <w:rsid w:val="00AA1278"/>
    <w:rsid w:val="00AA149B"/>
    <w:rsid w:val="00AA3FBB"/>
    <w:rsid w:val="00AA620F"/>
    <w:rsid w:val="00AA78EC"/>
    <w:rsid w:val="00AA7D6F"/>
    <w:rsid w:val="00AB1713"/>
    <w:rsid w:val="00AB1AC6"/>
    <w:rsid w:val="00AB1E22"/>
    <w:rsid w:val="00AB1F33"/>
    <w:rsid w:val="00AB24A2"/>
    <w:rsid w:val="00AB2C7D"/>
    <w:rsid w:val="00AB6CD2"/>
    <w:rsid w:val="00AC05F0"/>
    <w:rsid w:val="00AC07B4"/>
    <w:rsid w:val="00AC098F"/>
    <w:rsid w:val="00AC0D28"/>
    <w:rsid w:val="00AC1E5B"/>
    <w:rsid w:val="00AC2579"/>
    <w:rsid w:val="00AC29B5"/>
    <w:rsid w:val="00AC2CD6"/>
    <w:rsid w:val="00AC3DC1"/>
    <w:rsid w:val="00AC541E"/>
    <w:rsid w:val="00AC6AFD"/>
    <w:rsid w:val="00AC6C96"/>
    <w:rsid w:val="00AC787C"/>
    <w:rsid w:val="00AD295F"/>
    <w:rsid w:val="00AD32B9"/>
    <w:rsid w:val="00AD3A1B"/>
    <w:rsid w:val="00AD414D"/>
    <w:rsid w:val="00AD45B0"/>
    <w:rsid w:val="00AD4735"/>
    <w:rsid w:val="00AD5AEB"/>
    <w:rsid w:val="00AD5CBA"/>
    <w:rsid w:val="00AD6689"/>
    <w:rsid w:val="00AD6FBE"/>
    <w:rsid w:val="00AE0357"/>
    <w:rsid w:val="00AE0924"/>
    <w:rsid w:val="00AE3F79"/>
    <w:rsid w:val="00AE470F"/>
    <w:rsid w:val="00AE5E68"/>
    <w:rsid w:val="00AE6DD1"/>
    <w:rsid w:val="00AE7D4D"/>
    <w:rsid w:val="00AF0423"/>
    <w:rsid w:val="00AF2A9E"/>
    <w:rsid w:val="00AF3EAB"/>
    <w:rsid w:val="00AF577F"/>
    <w:rsid w:val="00AF6C0D"/>
    <w:rsid w:val="00AF6C49"/>
    <w:rsid w:val="00AF738B"/>
    <w:rsid w:val="00AF748E"/>
    <w:rsid w:val="00AF7930"/>
    <w:rsid w:val="00B00118"/>
    <w:rsid w:val="00B00B10"/>
    <w:rsid w:val="00B010E1"/>
    <w:rsid w:val="00B022BE"/>
    <w:rsid w:val="00B023B6"/>
    <w:rsid w:val="00B02B94"/>
    <w:rsid w:val="00B03742"/>
    <w:rsid w:val="00B05AF4"/>
    <w:rsid w:val="00B06033"/>
    <w:rsid w:val="00B065F6"/>
    <w:rsid w:val="00B076E6"/>
    <w:rsid w:val="00B10AE5"/>
    <w:rsid w:val="00B13D05"/>
    <w:rsid w:val="00B13F17"/>
    <w:rsid w:val="00B15EFF"/>
    <w:rsid w:val="00B16539"/>
    <w:rsid w:val="00B16F1F"/>
    <w:rsid w:val="00B2296A"/>
    <w:rsid w:val="00B24023"/>
    <w:rsid w:val="00B24FCB"/>
    <w:rsid w:val="00B2540B"/>
    <w:rsid w:val="00B271A5"/>
    <w:rsid w:val="00B30CDE"/>
    <w:rsid w:val="00B31613"/>
    <w:rsid w:val="00B3181C"/>
    <w:rsid w:val="00B32855"/>
    <w:rsid w:val="00B32C93"/>
    <w:rsid w:val="00B35254"/>
    <w:rsid w:val="00B35680"/>
    <w:rsid w:val="00B35E7E"/>
    <w:rsid w:val="00B36030"/>
    <w:rsid w:val="00B3647B"/>
    <w:rsid w:val="00B369F0"/>
    <w:rsid w:val="00B412DA"/>
    <w:rsid w:val="00B415A9"/>
    <w:rsid w:val="00B41B18"/>
    <w:rsid w:val="00B4355A"/>
    <w:rsid w:val="00B43949"/>
    <w:rsid w:val="00B43C0F"/>
    <w:rsid w:val="00B45A99"/>
    <w:rsid w:val="00B465BD"/>
    <w:rsid w:val="00B47323"/>
    <w:rsid w:val="00B47D8F"/>
    <w:rsid w:val="00B51379"/>
    <w:rsid w:val="00B5352F"/>
    <w:rsid w:val="00B537AA"/>
    <w:rsid w:val="00B60963"/>
    <w:rsid w:val="00B60A32"/>
    <w:rsid w:val="00B60BE9"/>
    <w:rsid w:val="00B6172C"/>
    <w:rsid w:val="00B61F2F"/>
    <w:rsid w:val="00B644D0"/>
    <w:rsid w:val="00B64517"/>
    <w:rsid w:val="00B65567"/>
    <w:rsid w:val="00B6567D"/>
    <w:rsid w:val="00B65F25"/>
    <w:rsid w:val="00B663B1"/>
    <w:rsid w:val="00B670F4"/>
    <w:rsid w:val="00B67C63"/>
    <w:rsid w:val="00B70C9E"/>
    <w:rsid w:val="00B71502"/>
    <w:rsid w:val="00B73790"/>
    <w:rsid w:val="00B73DE7"/>
    <w:rsid w:val="00B74515"/>
    <w:rsid w:val="00B75E47"/>
    <w:rsid w:val="00B75FBA"/>
    <w:rsid w:val="00B75FBD"/>
    <w:rsid w:val="00B805D5"/>
    <w:rsid w:val="00B809D8"/>
    <w:rsid w:val="00B80C0B"/>
    <w:rsid w:val="00B80CBD"/>
    <w:rsid w:val="00B83EB5"/>
    <w:rsid w:val="00B83EC1"/>
    <w:rsid w:val="00B85F2B"/>
    <w:rsid w:val="00B86DF5"/>
    <w:rsid w:val="00B925BF"/>
    <w:rsid w:val="00B93310"/>
    <w:rsid w:val="00B93C95"/>
    <w:rsid w:val="00B96333"/>
    <w:rsid w:val="00B963BC"/>
    <w:rsid w:val="00BA0556"/>
    <w:rsid w:val="00BA1E78"/>
    <w:rsid w:val="00BA2C67"/>
    <w:rsid w:val="00BA3542"/>
    <w:rsid w:val="00BA4B8E"/>
    <w:rsid w:val="00BA5D81"/>
    <w:rsid w:val="00BA6DD5"/>
    <w:rsid w:val="00BB0AF3"/>
    <w:rsid w:val="00BB0CF3"/>
    <w:rsid w:val="00BB16E9"/>
    <w:rsid w:val="00BB1EE3"/>
    <w:rsid w:val="00BB3C21"/>
    <w:rsid w:val="00BB467D"/>
    <w:rsid w:val="00BB5A9A"/>
    <w:rsid w:val="00BB7162"/>
    <w:rsid w:val="00BB72E8"/>
    <w:rsid w:val="00BC1832"/>
    <w:rsid w:val="00BC19FF"/>
    <w:rsid w:val="00BC3B09"/>
    <w:rsid w:val="00BC438F"/>
    <w:rsid w:val="00BC45F5"/>
    <w:rsid w:val="00BC5794"/>
    <w:rsid w:val="00BC5FFE"/>
    <w:rsid w:val="00BC627D"/>
    <w:rsid w:val="00BC76DD"/>
    <w:rsid w:val="00BD01AA"/>
    <w:rsid w:val="00BD0263"/>
    <w:rsid w:val="00BD1275"/>
    <w:rsid w:val="00BD25AC"/>
    <w:rsid w:val="00BD27EA"/>
    <w:rsid w:val="00BD28CA"/>
    <w:rsid w:val="00BD42D4"/>
    <w:rsid w:val="00BD6A24"/>
    <w:rsid w:val="00BE021D"/>
    <w:rsid w:val="00BE0C92"/>
    <w:rsid w:val="00BE15DB"/>
    <w:rsid w:val="00BE182E"/>
    <w:rsid w:val="00BE1836"/>
    <w:rsid w:val="00BE3176"/>
    <w:rsid w:val="00BE3EEA"/>
    <w:rsid w:val="00BE3F40"/>
    <w:rsid w:val="00BE3F8B"/>
    <w:rsid w:val="00BE5D6C"/>
    <w:rsid w:val="00BE6CB5"/>
    <w:rsid w:val="00BE6D46"/>
    <w:rsid w:val="00BE7D1B"/>
    <w:rsid w:val="00BF0026"/>
    <w:rsid w:val="00BF00B9"/>
    <w:rsid w:val="00BF09EE"/>
    <w:rsid w:val="00BF0DFA"/>
    <w:rsid w:val="00BF2178"/>
    <w:rsid w:val="00BF21C8"/>
    <w:rsid w:val="00BF2762"/>
    <w:rsid w:val="00BF2787"/>
    <w:rsid w:val="00BF3A89"/>
    <w:rsid w:val="00BF5663"/>
    <w:rsid w:val="00BF58E8"/>
    <w:rsid w:val="00BF5B2A"/>
    <w:rsid w:val="00BF6E4C"/>
    <w:rsid w:val="00C0013E"/>
    <w:rsid w:val="00C01363"/>
    <w:rsid w:val="00C018F4"/>
    <w:rsid w:val="00C01D41"/>
    <w:rsid w:val="00C03473"/>
    <w:rsid w:val="00C035DF"/>
    <w:rsid w:val="00C0591F"/>
    <w:rsid w:val="00C05C2C"/>
    <w:rsid w:val="00C06036"/>
    <w:rsid w:val="00C06FF7"/>
    <w:rsid w:val="00C10104"/>
    <w:rsid w:val="00C10CA7"/>
    <w:rsid w:val="00C10EC0"/>
    <w:rsid w:val="00C1293E"/>
    <w:rsid w:val="00C12DE7"/>
    <w:rsid w:val="00C12ECE"/>
    <w:rsid w:val="00C13247"/>
    <w:rsid w:val="00C152B5"/>
    <w:rsid w:val="00C15BB3"/>
    <w:rsid w:val="00C15F53"/>
    <w:rsid w:val="00C164E3"/>
    <w:rsid w:val="00C16540"/>
    <w:rsid w:val="00C1683E"/>
    <w:rsid w:val="00C175E5"/>
    <w:rsid w:val="00C17A46"/>
    <w:rsid w:val="00C17AEF"/>
    <w:rsid w:val="00C20E68"/>
    <w:rsid w:val="00C21F6C"/>
    <w:rsid w:val="00C231B8"/>
    <w:rsid w:val="00C233EF"/>
    <w:rsid w:val="00C23408"/>
    <w:rsid w:val="00C237D5"/>
    <w:rsid w:val="00C237FB"/>
    <w:rsid w:val="00C2389C"/>
    <w:rsid w:val="00C27242"/>
    <w:rsid w:val="00C300AA"/>
    <w:rsid w:val="00C3011F"/>
    <w:rsid w:val="00C3023D"/>
    <w:rsid w:val="00C3239B"/>
    <w:rsid w:val="00C32CEE"/>
    <w:rsid w:val="00C33CC9"/>
    <w:rsid w:val="00C3591C"/>
    <w:rsid w:val="00C359A0"/>
    <w:rsid w:val="00C364F9"/>
    <w:rsid w:val="00C37296"/>
    <w:rsid w:val="00C378CB"/>
    <w:rsid w:val="00C409E5"/>
    <w:rsid w:val="00C40B54"/>
    <w:rsid w:val="00C41148"/>
    <w:rsid w:val="00C41DFE"/>
    <w:rsid w:val="00C41E82"/>
    <w:rsid w:val="00C41F7A"/>
    <w:rsid w:val="00C43045"/>
    <w:rsid w:val="00C4450C"/>
    <w:rsid w:val="00C44F68"/>
    <w:rsid w:val="00C462FA"/>
    <w:rsid w:val="00C51388"/>
    <w:rsid w:val="00C5182A"/>
    <w:rsid w:val="00C5465A"/>
    <w:rsid w:val="00C5487C"/>
    <w:rsid w:val="00C55E68"/>
    <w:rsid w:val="00C56138"/>
    <w:rsid w:val="00C564F3"/>
    <w:rsid w:val="00C56B65"/>
    <w:rsid w:val="00C57D50"/>
    <w:rsid w:val="00C61157"/>
    <w:rsid w:val="00C6122E"/>
    <w:rsid w:val="00C618BB"/>
    <w:rsid w:val="00C62DB9"/>
    <w:rsid w:val="00C64E94"/>
    <w:rsid w:val="00C6579A"/>
    <w:rsid w:val="00C65983"/>
    <w:rsid w:val="00C66BC1"/>
    <w:rsid w:val="00C7004C"/>
    <w:rsid w:val="00C70165"/>
    <w:rsid w:val="00C70916"/>
    <w:rsid w:val="00C7101D"/>
    <w:rsid w:val="00C720B8"/>
    <w:rsid w:val="00C7672A"/>
    <w:rsid w:val="00C809EC"/>
    <w:rsid w:val="00C8131F"/>
    <w:rsid w:val="00C81476"/>
    <w:rsid w:val="00C81736"/>
    <w:rsid w:val="00C818EC"/>
    <w:rsid w:val="00C82121"/>
    <w:rsid w:val="00C82741"/>
    <w:rsid w:val="00C8307E"/>
    <w:rsid w:val="00C840B2"/>
    <w:rsid w:val="00C848B7"/>
    <w:rsid w:val="00C86F04"/>
    <w:rsid w:val="00C8728E"/>
    <w:rsid w:val="00C87414"/>
    <w:rsid w:val="00C87692"/>
    <w:rsid w:val="00C901E1"/>
    <w:rsid w:val="00C9035F"/>
    <w:rsid w:val="00C90448"/>
    <w:rsid w:val="00C907E1"/>
    <w:rsid w:val="00C91978"/>
    <w:rsid w:val="00C91DAE"/>
    <w:rsid w:val="00C93170"/>
    <w:rsid w:val="00C933C8"/>
    <w:rsid w:val="00C93943"/>
    <w:rsid w:val="00C94391"/>
    <w:rsid w:val="00C947E3"/>
    <w:rsid w:val="00C94D7E"/>
    <w:rsid w:val="00C95EAB"/>
    <w:rsid w:val="00C962EB"/>
    <w:rsid w:val="00C96D95"/>
    <w:rsid w:val="00C96EB0"/>
    <w:rsid w:val="00CA0A66"/>
    <w:rsid w:val="00CA1124"/>
    <w:rsid w:val="00CA14A3"/>
    <w:rsid w:val="00CA190F"/>
    <w:rsid w:val="00CA27EF"/>
    <w:rsid w:val="00CA2F9F"/>
    <w:rsid w:val="00CA53E3"/>
    <w:rsid w:val="00CA6764"/>
    <w:rsid w:val="00CA6BED"/>
    <w:rsid w:val="00CA6E28"/>
    <w:rsid w:val="00CA72BB"/>
    <w:rsid w:val="00CA74F1"/>
    <w:rsid w:val="00CA7598"/>
    <w:rsid w:val="00CA7991"/>
    <w:rsid w:val="00CB0F38"/>
    <w:rsid w:val="00CB1BF4"/>
    <w:rsid w:val="00CB204E"/>
    <w:rsid w:val="00CB2CF4"/>
    <w:rsid w:val="00CB2FAA"/>
    <w:rsid w:val="00CB30A4"/>
    <w:rsid w:val="00CB4348"/>
    <w:rsid w:val="00CB4552"/>
    <w:rsid w:val="00CB4B6D"/>
    <w:rsid w:val="00CB58B7"/>
    <w:rsid w:val="00CB5B3E"/>
    <w:rsid w:val="00CB5EEC"/>
    <w:rsid w:val="00CB68AE"/>
    <w:rsid w:val="00CC1B00"/>
    <w:rsid w:val="00CC1E8F"/>
    <w:rsid w:val="00CC26AD"/>
    <w:rsid w:val="00CC3160"/>
    <w:rsid w:val="00CC3514"/>
    <w:rsid w:val="00CC3D0C"/>
    <w:rsid w:val="00CC4591"/>
    <w:rsid w:val="00CC4836"/>
    <w:rsid w:val="00CC4883"/>
    <w:rsid w:val="00CC6141"/>
    <w:rsid w:val="00CC62B6"/>
    <w:rsid w:val="00CC6619"/>
    <w:rsid w:val="00CC7C03"/>
    <w:rsid w:val="00CD12AF"/>
    <w:rsid w:val="00CD1712"/>
    <w:rsid w:val="00CD180E"/>
    <w:rsid w:val="00CD1A39"/>
    <w:rsid w:val="00CD1BFB"/>
    <w:rsid w:val="00CD2284"/>
    <w:rsid w:val="00CD300F"/>
    <w:rsid w:val="00CD3548"/>
    <w:rsid w:val="00CD36E5"/>
    <w:rsid w:val="00CD49B6"/>
    <w:rsid w:val="00CD728A"/>
    <w:rsid w:val="00CD7E6A"/>
    <w:rsid w:val="00CE0E9B"/>
    <w:rsid w:val="00CE112A"/>
    <w:rsid w:val="00CE1323"/>
    <w:rsid w:val="00CE3B2B"/>
    <w:rsid w:val="00CE4498"/>
    <w:rsid w:val="00CE4B35"/>
    <w:rsid w:val="00CE52B1"/>
    <w:rsid w:val="00CE6204"/>
    <w:rsid w:val="00CE7570"/>
    <w:rsid w:val="00CE7BF9"/>
    <w:rsid w:val="00CF018B"/>
    <w:rsid w:val="00CF38F0"/>
    <w:rsid w:val="00CF482E"/>
    <w:rsid w:val="00CF4FE6"/>
    <w:rsid w:val="00CF534C"/>
    <w:rsid w:val="00CF5F95"/>
    <w:rsid w:val="00CF729B"/>
    <w:rsid w:val="00CF7C86"/>
    <w:rsid w:val="00D00516"/>
    <w:rsid w:val="00D00748"/>
    <w:rsid w:val="00D007A0"/>
    <w:rsid w:val="00D02743"/>
    <w:rsid w:val="00D066BD"/>
    <w:rsid w:val="00D06E7F"/>
    <w:rsid w:val="00D077F3"/>
    <w:rsid w:val="00D12793"/>
    <w:rsid w:val="00D13C79"/>
    <w:rsid w:val="00D14D7B"/>
    <w:rsid w:val="00D17971"/>
    <w:rsid w:val="00D208AB"/>
    <w:rsid w:val="00D21FAC"/>
    <w:rsid w:val="00D26D97"/>
    <w:rsid w:val="00D2717A"/>
    <w:rsid w:val="00D272BF"/>
    <w:rsid w:val="00D27D69"/>
    <w:rsid w:val="00D304E5"/>
    <w:rsid w:val="00D31BAA"/>
    <w:rsid w:val="00D31C5F"/>
    <w:rsid w:val="00D32E2C"/>
    <w:rsid w:val="00D3303D"/>
    <w:rsid w:val="00D3369E"/>
    <w:rsid w:val="00D33B04"/>
    <w:rsid w:val="00D34263"/>
    <w:rsid w:val="00D35AC8"/>
    <w:rsid w:val="00D35D00"/>
    <w:rsid w:val="00D35D93"/>
    <w:rsid w:val="00D37537"/>
    <w:rsid w:val="00D37FE5"/>
    <w:rsid w:val="00D42D86"/>
    <w:rsid w:val="00D44341"/>
    <w:rsid w:val="00D44ABF"/>
    <w:rsid w:val="00D4526F"/>
    <w:rsid w:val="00D461DA"/>
    <w:rsid w:val="00D46E1E"/>
    <w:rsid w:val="00D47035"/>
    <w:rsid w:val="00D473F7"/>
    <w:rsid w:val="00D4764F"/>
    <w:rsid w:val="00D50839"/>
    <w:rsid w:val="00D50C1A"/>
    <w:rsid w:val="00D51655"/>
    <w:rsid w:val="00D51D8B"/>
    <w:rsid w:val="00D52459"/>
    <w:rsid w:val="00D540C8"/>
    <w:rsid w:val="00D54140"/>
    <w:rsid w:val="00D54ED0"/>
    <w:rsid w:val="00D57F47"/>
    <w:rsid w:val="00D6046F"/>
    <w:rsid w:val="00D60597"/>
    <w:rsid w:val="00D60B58"/>
    <w:rsid w:val="00D617BD"/>
    <w:rsid w:val="00D61BB5"/>
    <w:rsid w:val="00D63A30"/>
    <w:rsid w:val="00D6464A"/>
    <w:rsid w:val="00D658AA"/>
    <w:rsid w:val="00D71267"/>
    <w:rsid w:val="00D714E0"/>
    <w:rsid w:val="00D7584F"/>
    <w:rsid w:val="00D80238"/>
    <w:rsid w:val="00D80F10"/>
    <w:rsid w:val="00D81F67"/>
    <w:rsid w:val="00D82636"/>
    <w:rsid w:val="00D85F1D"/>
    <w:rsid w:val="00D86F00"/>
    <w:rsid w:val="00D873C5"/>
    <w:rsid w:val="00D91BAB"/>
    <w:rsid w:val="00D91E7E"/>
    <w:rsid w:val="00D92624"/>
    <w:rsid w:val="00D93644"/>
    <w:rsid w:val="00D94F42"/>
    <w:rsid w:val="00D95FA4"/>
    <w:rsid w:val="00D979F5"/>
    <w:rsid w:val="00D97C8F"/>
    <w:rsid w:val="00DA329A"/>
    <w:rsid w:val="00DA561B"/>
    <w:rsid w:val="00DA5761"/>
    <w:rsid w:val="00DA5BF1"/>
    <w:rsid w:val="00DA7666"/>
    <w:rsid w:val="00DA7E17"/>
    <w:rsid w:val="00DB0F27"/>
    <w:rsid w:val="00DB161C"/>
    <w:rsid w:val="00DB2B08"/>
    <w:rsid w:val="00DB3C46"/>
    <w:rsid w:val="00DB3EA8"/>
    <w:rsid w:val="00DB4A78"/>
    <w:rsid w:val="00DB52B3"/>
    <w:rsid w:val="00DB5C15"/>
    <w:rsid w:val="00DC1551"/>
    <w:rsid w:val="00DC1A9E"/>
    <w:rsid w:val="00DC2492"/>
    <w:rsid w:val="00DC3FF8"/>
    <w:rsid w:val="00DC4DEA"/>
    <w:rsid w:val="00DC6991"/>
    <w:rsid w:val="00DD0566"/>
    <w:rsid w:val="00DD09D0"/>
    <w:rsid w:val="00DD0FB7"/>
    <w:rsid w:val="00DD2439"/>
    <w:rsid w:val="00DD406F"/>
    <w:rsid w:val="00DD44D4"/>
    <w:rsid w:val="00DD57F4"/>
    <w:rsid w:val="00DE08AD"/>
    <w:rsid w:val="00DE16BB"/>
    <w:rsid w:val="00DE2057"/>
    <w:rsid w:val="00DE261B"/>
    <w:rsid w:val="00DE2F7E"/>
    <w:rsid w:val="00DE3E0E"/>
    <w:rsid w:val="00DE5131"/>
    <w:rsid w:val="00DE539F"/>
    <w:rsid w:val="00DE5991"/>
    <w:rsid w:val="00DE68BB"/>
    <w:rsid w:val="00DE758E"/>
    <w:rsid w:val="00DF1ED6"/>
    <w:rsid w:val="00DF2648"/>
    <w:rsid w:val="00DF2C85"/>
    <w:rsid w:val="00DF3767"/>
    <w:rsid w:val="00DF61A5"/>
    <w:rsid w:val="00DF6C1B"/>
    <w:rsid w:val="00DF7215"/>
    <w:rsid w:val="00E00700"/>
    <w:rsid w:val="00E013CA"/>
    <w:rsid w:val="00E0202C"/>
    <w:rsid w:val="00E03405"/>
    <w:rsid w:val="00E04393"/>
    <w:rsid w:val="00E04EC5"/>
    <w:rsid w:val="00E04FAD"/>
    <w:rsid w:val="00E07759"/>
    <w:rsid w:val="00E11A48"/>
    <w:rsid w:val="00E131FA"/>
    <w:rsid w:val="00E15181"/>
    <w:rsid w:val="00E161C2"/>
    <w:rsid w:val="00E2073B"/>
    <w:rsid w:val="00E20D6B"/>
    <w:rsid w:val="00E21E2F"/>
    <w:rsid w:val="00E23FDE"/>
    <w:rsid w:val="00E240F8"/>
    <w:rsid w:val="00E2510F"/>
    <w:rsid w:val="00E2674B"/>
    <w:rsid w:val="00E26799"/>
    <w:rsid w:val="00E267C6"/>
    <w:rsid w:val="00E27192"/>
    <w:rsid w:val="00E318D7"/>
    <w:rsid w:val="00E31B04"/>
    <w:rsid w:val="00E3225E"/>
    <w:rsid w:val="00E32D77"/>
    <w:rsid w:val="00E3365A"/>
    <w:rsid w:val="00E33F73"/>
    <w:rsid w:val="00E36546"/>
    <w:rsid w:val="00E36FE5"/>
    <w:rsid w:val="00E3709B"/>
    <w:rsid w:val="00E42384"/>
    <w:rsid w:val="00E42A94"/>
    <w:rsid w:val="00E42F73"/>
    <w:rsid w:val="00E433BF"/>
    <w:rsid w:val="00E4427D"/>
    <w:rsid w:val="00E45451"/>
    <w:rsid w:val="00E462AB"/>
    <w:rsid w:val="00E46736"/>
    <w:rsid w:val="00E47FA2"/>
    <w:rsid w:val="00E504B5"/>
    <w:rsid w:val="00E50F1D"/>
    <w:rsid w:val="00E51210"/>
    <w:rsid w:val="00E512AA"/>
    <w:rsid w:val="00E51A0B"/>
    <w:rsid w:val="00E54223"/>
    <w:rsid w:val="00E54D46"/>
    <w:rsid w:val="00E55455"/>
    <w:rsid w:val="00E555A3"/>
    <w:rsid w:val="00E55E49"/>
    <w:rsid w:val="00E56B55"/>
    <w:rsid w:val="00E572F5"/>
    <w:rsid w:val="00E60D1A"/>
    <w:rsid w:val="00E613C7"/>
    <w:rsid w:val="00E65413"/>
    <w:rsid w:val="00E66911"/>
    <w:rsid w:val="00E66FFF"/>
    <w:rsid w:val="00E67B37"/>
    <w:rsid w:val="00E70E19"/>
    <w:rsid w:val="00E7233B"/>
    <w:rsid w:val="00E734D4"/>
    <w:rsid w:val="00E74AD2"/>
    <w:rsid w:val="00E75887"/>
    <w:rsid w:val="00E761B4"/>
    <w:rsid w:val="00E763D0"/>
    <w:rsid w:val="00E77D57"/>
    <w:rsid w:val="00E808CF"/>
    <w:rsid w:val="00E875D5"/>
    <w:rsid w:val="00E90F0F"/>
    <w:rsid w:val="00E90F8D"/>
    <w:rsid w:val="00E92550"/>
    <w:rsid w:val="00E97EB5"/>
    <w:rsid w:val="00E97FD3"/>
    <w:rsid w:val="00EA028D"/>
    <w:rsid w:val="00EA0549"/>
    <w:rsid w:val="00EA1FF2"/>
    <w:rsid w:val="00EA2368"/>
    <w:rsid w:val="00EA27B7"/>
    <w:rsid w:val="00EA3D91"/>
    <w:rsid w:val="00EA59E4"/>
    <w:rsid w:val="00EA6868"/>
    <w:rsid w:val="00EA68A1"/>
    <w:rsid w:val="00EA6B25"/>
    <w:rsid w:val="00EA6B3E"/>
    <w:rsid w:val="00EB08FA"/>
    <w:rsid w:val="00EB1AE4"/>
    <w:rsid w:val="00EB57B8"/>
    <w:rsid w:val="00EB57D7"/>
    <w:rsid w:val="00EB5F3F"/>
    <w:rsid w:val="00EB6EC1"/>
    <w:rsid w:val="00EB75EB"/>
    <w:rsid w:val="00EB78AE"/>
    <w:rsid w:val="00EC219A"/>
    <w:rsid w:val="00EC5106"/>
    <w:rsid w:val="00EC5B0E"/>
    <w:rsid w:val="00EC609E"/>
    <w:rsid w:val="00EC622F"/>
    <w:rsid w:val="00EC66B9"/>
    <w:rsid w:val="00EC6772"/>
    <w:rsid w:val="00EC694D"/>
    <w:rsid w:val="00EC6E84"/>
    <w:rsid w:val="00EC714C"/>
    <w:rsid w:val="00EC7BEF"/>
    <w:rsid w:val="00ED043E"/>
    <w:rsid w:val="00ED04D0"/>
    <w:rsid w:val="00ED055B"/>
    <w:rsid w:val="00ED0F60"/>
    <w:rsid w:val="00ED1A09"/>
    <w:rsid w:val="00ED2DF9"/>
    <w:rsid w:val="00ED62B1"/>
    <w:rsid w:val="00ED7478"/>
    <w:rsid w:val="00ED7B4D"/>
    <w:rsid w:val="00EE1132"/>
    <w:rsid w:val="00EE2736"/>
    <w:rsid w:val="00EE2CF2"/>
    <w:rsid w:val="00EE4070"/>
    <w:rsid w:val="00EE4797"/>
    <w:rsid w:val="00EE51F2"/>
    <w:rsid w:val="00EE5EB2"/>
    <w:rsid w:val="00EE65A3"/>
    <w:rsid w:val="00EE6BDF"/>
    <w:rsid w:val="00EE6F6D"/>
    <w:rsid w:val="00EE735E"/>
    <w:rsid w:val="00EE7619"/>
    <w:rsid w:val="00EE7E64"/>
    <w:rsid w:val="00EF122C"/>
    <w:rsid w:val="00EF2062"/>
    <w:rsid w:val="00EF2E43"/>
    <w:rsid w:val="00EF4A8B"/>
    <w:rsid w:val="00EF4C9E"/>
    <w:rsid w:val="00EF5ABB"/>
    <w:rsid w:val="00F00B28"/>
    <w:rsid w:val="00F0103F"/>
    <w:rsid w:val="00F01107"/>
    <w:rsid w:val="00F018BA"/>
    <w:rsid w:val="00F01A90"/>
    <w:rsid w:val="00F02EC2"/>
    <w:rsid w:val="00F0660E"/>
    <w:rsid w:val="00F07615"/>
    <w:rsid w:val="00F10015"/>
    <w:rsid w:val="00F1473C"/>
    <w:rsid w:val="00F14786"/>
    <w:rsid w:val="00F148D9"/>
    <w:rsid w:val="00F15206"/>
    <w:rsid w:val="00F154EB"/>
    <w:rsid w:val="00F1655A"/>
    <w:rsid w:val="00F1667A"/>
    <w:rsid w:val="00F17DE6"/>
    <w:rsid w:val="00F2254B"/>
    <w:rsid w:val="00F24187"/>
    <w:rsid w:val="00F2446E"/>
    <w:rsid w:val="00F24BE0"/>
    <w:rsid w:val="00F260D4"/>
    <w:rsid w:val="00F26442"/>
    <w:rsid w:val="00F26E39"/>
    <w:rsid w:val="00F27717"/>
    <w:rsid w:val="00F31048"/>
    <w:rsid w:val="00F3108B"/>
    <w:rsid w:val="00F312BF"/>
    <w:rsid w:val="00F31E2F"/>
    <w:rsid w:val="00F33031"/>
    <w:rsid w:val="00F35730"/>
    <w:rsid w:val="00F35768"/>
    <w:rsid w:val="00F36952"/>
    <w:rsid w:val="00F40264"/>
    <w:rsid w:val="00F4166C"/>
    <w:rsid w:val="00F41A97"/>
    <w:rsid w:val="00F41F67"/>
    <w:rsid w:val="00F430B9"/>
    <w:rsid w:val="00F44441"/>
    <w:rsid w:val="00F447E1"/>
    <w:rsid w:val="00F44EA2"/>
    <w:rsid w:val="00F452BD"/>
    <w:rsid w:val="00F471F1"/>
    <w:rsid w:val="00F47AA4"/>
    <w:rsid w:val="00F47AF1"/>
    <w:rsid w:val="00F520B0"/>
    <w:rsid w:val="00F5252C"/>
    <w:rsid w:val="00F56700"/>
    <w:rsid w:val="00F61A21"/>
    <w:rsid w:val="00F627E1"/>
    <w:rsid w:val="00F63597"/>
    <w:rsid w:val="00F6390F"/>
    <w:rsid w:val="00F64274"/>
    <w:rsid w:val="00F65E0F"/>
    <w:rsid w:val="00F65E94"/>
    <w:rsid w:val="00F66408"/>
    <w:rsid w:val="00F666CC"/>
    <w:rsid w:val="00F66798"/>
    <w:rsid w:val="00F71174"/>
    <w:rsid w:val="00F717E8"/>
    <w:rsid w:val="00F71EF5"/>
    <w:rsid w:val="00F7224E"/>
    <w:rsid w:val="00F73191"/>
    <w:rsid w:val="00F7349A"/>
    <w:rsid w:val="00F73BFB"/>
    <w:rsid w:val="00F744AD"/>
    <w:rsid w:val="00F75AFC"/>
    <w:rsid w:val="00F75F62"/>
    <w:rsid w:val="00F76176"/>
    <w:rsid w:val="00F763B1"/>
    <w:rsid w:val="00F767D3"/>
    <w:rsid w:val="00F773F3"/>
    <w:rsid w:val="00F77EB8"/>
    <w:rsid w:val="00F804E6"/>
    <w:rsid w:val="00F807E0"/>
    <w:rsid w:val="00F8096D"/>
    <w:rsid w:val="00F80D87"/>
    <w:rsid w:val="00F81158"/>
    <w:rsid w:val="00F815D0"/>
    <w:rsid w:val="00F81992"/>
    <w:rsid w:val="00F81AF2"/>
    <w:rsid w:val="00F823AA"/>
    <w:rsid w:val="00F836F4"/>
    <w:rsid w:val="00F83D32"/>
    <w:rsid w:val="00F84731"/>
    <w:rsid w:val="00F85163"/>
    <w:rsid w:val="00F85D7C"/>
    <w:rsid w:val="00F87521"/>
    <w:rsid w:val="00F8798F"/>
    <w:rsid w:val="00F9054A"/>
    <w:rsid w:val="00F91F57"/>
    <w:rsid w:val="00F922FB"/>
    <w:rsid w:val="00F933E1"/>
    <w:rsid w:val="00F948D3"/>
    <w:rsid w:val="00F94F3B"/>
    <w:rsid w:val="00F9549F"/>
    <w:rsid w:val="00F9591C"/>
    <w:rsid w:val="00F96297"/>
    <w:rsid w:val="00FA011B"/>
    <w:rsid w:val="00FA1D83"/>
    <w:rsid w:val="00FA3BBE"/>
    <w:rsid w:val="00FA4DD6"/>
    <w:rsid w:val="00FA5813"/>
    <w:rsid w:val="00FA5E6E"/>
    <w:rsid w:val="00FA6271"/>
    <w:rsid w:val="00FA69CA"/>
    <w:rsid w:val="00FA6CFC"/>
    <w:rsid w:val="00FA701F"/>
    <w:rsid w:val="00FB2102"/>
    <w:rsid w:val="00FB2BE1"/>
    <w:rsid w:val="00FB2DC9"/>
    <w:rsid w:val="00FB4DDA"/>
    <w:rsid w:val="00FB583F"/>
    <w:rsid w:val="00FB693B"/>
    <w:rsid w:val="00FB73E9"/>
    <w:rsid w:val="00FB7ECD"/>
    <w:rsid w:val="00FC0629"/>
    <w:rsid w:val="00FC0B66"/>
    <w:rsid w:val="00FC14C9"/>
    <w:rsid w:val="00FC2290"/>
    <w:rsid w:val="00FC2F4B"/>
    <w:rsid w:val="00FC3FA2"/>
    <w:rsid w:val="00FC43CD"/>
    <w:rsid w:val="00FC692D"/>
    <w:rsid w:val="00FC74B5"/>
    <w:rsid w:val="00FC7555"/>
    <w:rsid w:val="00FC7850"/>
    <w:rsid w:val="00FC7861"/>
    <w:rsid w:val="00FC78FE"/>
    <w:rsid w:val="00FC7A96"/>
    <w:rsid w:val="00FD0284"/>
    <w:rsid w:val="00FD055F"/>
    <w:rsid w:val="00FD0DDA"/>
    <w:rsid w:val="00FD1861"/>
    <w:rsid w:val="00FD2251"/>
    <w:rsid w:val="00FD3959"/>
    <w:rsid w:val="00FD4D19"/>
    <w:rsid w:val="00FD4E25"/>
    <w:rsid w:val="00FD589D"/>
    <w:rsid w:val="00FD5CF8"/>
    <w:rsid w:val="00FD6BDD"/>
    <w:rsid w:val="00FD6C13"/>
    <w:rsid w:val="00FD77A6"/>
    <w:rsid w:val="00FD7810"/>
    <w:rsid w:val="00FE1BCB"/>
    <w:rsid w:val="00FE2E0A"/>
    <w:rsid w:val="00FE2E86"/>
    <w:rsid w:val="00FE2FD3"/>
    <w:rsid w:val="00FE42A7"/>
    <w:rsid w:val="00FE516E"/>
    <w:rsid w:val="00FE627A"/>
    <w:rsid w:val="00FF17CE"/>
    <w:rsid w:val="00FF2B12"/>
    <w:rsid w:val="00FF2F7B"/>
    <w:rsid w:val="00FF3E15"/>
    <w:rsid w:val="00FF48C3"/>
    <w:rsid w:val="00FF5D15"/>
    <w:rsid w:val="00FF6439"/>
    <w:rsid w:val="00FF678D"/>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pPr>
        <w:spacing w:line="320" w:lineRule="atLeast"/>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50A5"/>
    <w:pPr>
      <w:spacing w:before="120"/>
    </w:pPr>
    <w:rPr>
      <w:rFonts w:ascii="Arial" w:hAnsi="Arial"/>
      <w:sz w:val="22"/>
      <w:lang w:eastAsia="en-US"/>
    </w:rPr>
  </w:style>
  <w:style w:type="paragraph" w:styleId="Heading1">
    <w:name w:val="heading 1"/>
    <w:aliases w:val="ESPON Heading 1"/>
    <w:basedOn w:val="Normal"/>
    <w:next w:val="Normal"/>
    <w:link w:val="Heading1Char"/>
    <w:qFormat/>
    <w:rsid w:val="00637487"/>
    <w:pPr>
      <w:keepNext/>
      <w:numPr>
        <w:numId w:val="1"/>
      </w:numPr>
      <w:spacing w:before="480" w:after="120"/>
      <w:outlineLvl w:val="0"/>
    </w:pPr>
    <w:rPr>
      <w:b/>
      <w:kern w:val="28"/>
      <w:sz w:val="28"/>
    </w:rPr>
  </w:style>
  <w:style w:type="paragraph" w:styleId="Heading2">
    <w:name w:val="heading 2"/>
    <w:aliases w:val="ESPON Heading 2"/>
    <w:basedOn w:val="Normal"/>
    <w:next w:val="Normal"/>
    <w:qFormat/>
    <w:rsid w:val="00AE5E68"/>
    <w:pPr>
      <w:keepNext/>
      <w:numPr>
        <w:ilvl w:val="1"/>
        <w:numId w:val="1"/>
      </w:numPr>
      <w:tabs>
        <w:tab w:val="clear" w:pos="5274"/>
      </w:tabs>
      <w:spacing w:after="120"/>
      <w:ind w:left="737"/>
      <w:outlineLvl w:val="1"/>
    </w:pPr>
    <w:rPr>
      <w:b/>
      <w:sz w:val="24"/>
    </w:rPr>
  </w:style>
  <w:style w:type="paragraph" w:styleId="Heading3">
    <w:name w:val="heading 3"/>
    <w:aliases w:val="ESPON Heading 3"/>
    <w:basedOn w:val="Normal"/>
    <w:next w:val="Normal"/>
    <w:qFormat/>
    <w:rsid w:val="00AF6C49"/>
    <w:pPr>
      <w:keepNext/>
      <w:numPr>
        <w:ilvl w:val="2"/>
        <w:numId w:val="1"/>
      </w:numPr>
      <w:spacing w:after="120"/>
      <w:outlineLvl w:val="2"/>
    </w:pPr>
    <w:rPr>
      <w:b/>
    </w:rPr>
  </w:style>
  <w:style w:type="paragraph" w:styleId="Heading4">
    <w:name w:val="heading 4"/>
    <w:aliases w:val="ESPON Heading 4"/>
    <w:basedOn w:val="Normal"/>
    <w:next w:val="Normal"/>
    <w:qFormat/>
    <w:rsid w:val="00AF6C49"/>
    <w:pPr>
      <w:keepNext/>
      <w:numPr>
        <w:ilvl w:val="3"/>
        <w:numId w:val="1"/>
      </w:numPr>
      <w:spacing w:after="120"/>
      <w:outlineLvl w:val="3"/>
    </w:pPr>
    <w:rPr>
      <w:b/>
      <w:sz w:val="24"/>
    </w:rPr>
  </w:style>
  <w:style w:type="paragraph" w:styleId="Heading5">
    <w:name w:val="heading 5"/>
    <w:aliases w:val="ESPON Heading 5"/>
    <w:basedOn w:val="Normal"/>
    <w:next w:val="Normal"/>
    <w:qFormat/>
    <w:rsid w:val="00AF6C49"/>
    <w:pPr>
      <w:numPr>
        <w:ilvl w:val="4"/>
        <w:numId w:val="1"/>
      </w:numPr>
      <w:spacing w:after="120"/>
      <w:outlineLvl w:val="4"/>
    </w:pPr>
    <w:rPr>
      <w:b/>
      <w:sz w:val="24"/>
    </w:rPr>
  </w:style>
  <w:style w:type="paragraph" w:styleId="Heading6">
    <w:name w:val="heading 6"/>
    <w:basedOn w:val="Normal"/>
    <w:next w:val="Normal"/>
    <w:qFormat/>
    <w:rsid w:val="00AF6C49"/>
    <w:pPr>
      <w:numPr>
        <w:ilvl w:val="5"/>
        <w:numId w:val="1"/>
      </w:numPr>
      <w:spacing w:before="240" w:after="60"/>
      <w:outlineLvl w:val="5"/>
    </w:pPr>
    <w:rPr>
      <w:i/>
    </w:rPr>
  </w:style>
  <w:style w:type="paragraph" w:styleId="Heading7">
    <w:name w:val="heading 7"/>
    <w:basedOn w:val="Normal"/>
    <w:next w:val="Normal"/>
    <w:qFormat/>
    <w:rsid w:val="00CF018B"/>
    <w:pPr>
      <w:numPr>
        <w:ilvl w:val="6"/>
        <w:numId w:val="1"/>
      </w:numPr>
      <w:spacing w:before="240" w:after="60"/>
      <w:outlineLvl w:val="6"/>
    </w:pPr>
  </w:style>
  <w:style w:type="paragraph" w:styleId="Heading8">
    <w:name w:val="heading 8"/>
    <w:basedOn w:val="Normal"/>
    <w:next w:val="Normal"/>
    <w:qFormat/>
    <w:rsid w:val="00CF018B"/>
    <w:pPr>
      <w:numPr>
        <w:ilvl w:val="7"/>
        <w:numId w:val="1"/>
      </w:numPr>
      <w:spacing w:before="240" w:after="60"/>
      <w:outlineLvl w:val="7"/>
    </w:pPr>
    <w:rPr>
      <w:i/>
    </w:rPr>
  </w:style>
  <w:style w:type="paragraph" w:styleId="Heading9">
    <w:name w:val="heading 9"/>
    <w:basedOn w:val="Normal"/>
    <w:next w:val="Normal"/>
    <w:qFormat/>
    <w:rsid w:val="00CF018B"/>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aliases w:val="ESPON Index 1"/>
    <w:basedOn w:val="Normal"/>
    <w:next w:val="Normal"/>
    <w:autoRedefine/>
    <w:uiPriority w:val="39"/>
    <w:rsid w:val="00EC7BEF"/>
    <w:pPr>
      <w:tabs>
        <w:tab w:val="right" w:leader="dot" w:pos="9356"/>
      </w:tabs>
      <w:spacing w:before="0" w:line="360" w:lineRule="auto"/>
      <w:ind w:left="907" w:right="1134" w:hanging="907"/>
    </w:pPr>
    <w:rPr>
      <w:noProof/>
    </w:rPr>
  </w:style>
  <w:style w:type="paragraph" w:styleId="TOC5">
    <w:name w:val="toc 5"/>
    <w:aliases w:val="ESPON Index 5"/>
    <w:basedOn w:val="Normal"/>
    <w:next w:val="Normal"/>
    <w:autoRedefine/>
    <w:semiHidden/>
    <w:rsid w:val="00CF018B"/>
    <w:pPr>
      <w:tabs>
        <w:tab w:val="right" w:leader="dot" w:pos="9356"/>
      </w:tabs>
      <w:spacing w:line="240" w:lineRule="auto"/>
      <w:ind w:left="1134" w:right="1134" w:hanging="1134"/>
    </w:pPr>
    <w:rPr>
      <w:rFonts w:ascii="Verdana" w:hAnsi="Verdana"/>
      <w:noProof/>
    </w:rPr>
  </w:style>
  <w:style w:type="paragraph" w:styleId="Header">
    <w:name w:val="header"/>
    <w:basedOn w:val="Normal"/>
    <w:rsid w:val="00CF018B"/>
    <w:pPr>
      <w:tabs>
        <w:tab w:val="center" w:pos="4536"/>
        <w:tab w:val="right" w:pos="9072"/>
      </w:tabs>
    </w:pPr>
  </w:style>
  <w:style w:type="paragraph" w:styleId="TOC2">
    <w:name w:val="toc 2"/>
    <w:aliases w:val="ESPON Index 2"/>
    <w:basedOn w:val="Normal"/>
    <w:next w:val="Normal"/>
    <w:autoRedefine/>
    <w:uiPriority w:val="39"/>
    <w:rsid w:val="00BB5A9A"/>
    <w:pPr>
      <w:tabs>
        <w:tab w:val="right" w:leader="dot" w:pos="9356"/>
      </w:tabs>
      <w:spacing w:line="360" w:lineRule="auto"/>
      <w:ind w:left="1191" w:right="1134" w:hanging="907"/>
    </w:pPr>
  </w:style>
  <w:style w:type="paragraph" w:styleId="TOC3">
    <w:name w:val="toc 3"/>
    <w:aliases w:val="ESPON Index 3"/>
    <w:basedOn w:val="Normal"/>
    <w:next w:val="Normal"/>
    <w:autoRedefine/>
    <w:semiHidden/>
    <w:rsid w:val="00CF018B"/>
    <w:pPr>
      <w:tabs>
        <w:tab w:val="right" w:leader="dot" w:pos="9356"/>
      </w:tabs>
      <w:spacing w:line="240" w:lineRule="auto"/>
      <w:ind w:left="907" w:right="1134" w:hanging="907"/>
    </w:pPr>
  </w:style>
  <w:style w:type="paragraph" w:styleId="TOC4">
    <w:name w:val="toc 4"/>
    <w:aliases w:val="ESPON Index 4"/>
    <w:basedOn w:val="Normal"/>
    <w:next w:val="Normal"/>
    <w:autoRedefine/>
    <w:semiHidden/>
    <w:rsid w:val="00CF018B"/>
    <w:pPr>
      <w:tabs>
        <w:tab w:val="right" w:leader="dot" w:pos="9356"/>
      </w:tabs>
      <w:spacing w:line="240" w:lineRule="auto"/>
      <w:ind w:left="1021" w:right="1134" w:hanging="1021"/>
    </w:pPr>
    <w:rPr>
      <w:rFonts w:ascii="Verdana" w:hAnsi="Verdana"/>
      <w:noProof/>
    </w:rPr>
  </w:style>
  <w:style w:type="paragraph" w:styleId="TOC6">
    <w:name w:val="toc 6"/>
    <w:aliases w:val="ESPON Index 6"/>
    <w:basedOn w:val="Normal"/>
    <w:next w:val="Normal"/>
    <w:autoRedefine/>
    <w:semiHidden/>
    <w:rsid w:val="00CF018B"/>
    <w:pPr>
      <w:tabs>
        <w:tab w:val="right" w:leader="dot" w:pos="9356"/>
      </w:tabs>
      <w:spacing w:line="240" w:lineRule="auto"/>
      <w:ind w:left="907" w:right="1134" w:hanging="907"/>
    </w:pPr>
    <w:rPr>
      <w:rFonts w:ascii="Verdana" w:hAnsi="Verdana"/>
      <w:b/>
      <w:noProof/>
    </w:rPr>
  </w:style>
  <w:style w:type="paragraph" w:styleId="TOC7">
    <w:name w:val="toc 7"/>
    <w:aliases w:val="ESPON Index 7"/>
    <w:basedOn w:val="Normal"/>
    <w:next w:val="Normal"/>
    <w:autoRedefine/>
    <w:semiHidden/>
    <w:rsid w:val="00CF018B"/>
    <w:pPr>
      <w:tabs>
        <w:tab w:val="right" w:leader="dot" w:pos="9356"/>
      </w:tabs>
      <w:spacing w:line="240" w:lineRule="auto"/>
      <w:ind w:left="907" w:right="1134" w:hanging="907"/>
    </w:pPr>
    <w:rPr>
      <w:rFonts w:ascii="Verdana" w:hAnsi="Verdana"/>
    </w:rPr>
  </w:style>
  <w:style w:type="paragraph" w:styleId="TOC8">
    <w:name w:val="toc 8"/>
    <w:basedOn w:val="Normal"/>
    <w:next w:val="Normal"/>
    <w:autoRedefine/>
    <w:semiHidden/>
    <w:rsid w:val="00CF018B"/>
    <w:pPr>
      <w:ind w:left="1400"/>
    </w:pPr>
  </w:style>
  <w:style w:type="paragraph" w:styleId="TOC9">
    <w:name w:val="toc 9"/>
    <w:basedOn w:val="Normal"/>
    <w:next w:val="Normal"/>
    <w:autoRedefine/>
    <w:semiHidden/>
    <w:rsid w:val="00CF018B"/>
    <w:pPr>
      <w:ind w:left="1600"/>
    </w:pPr>
  </w:style>
  <w:style w:type="paragraph" w:styleId="Footer">
    <w:name w:val="footer"/>
    <w:basedOn w:val="Normal"/>
    <w:link w:val="FooterChar"/>
    <w:uiPriority w:val="99"/>
    <w:rsid w:val="00CF018B"/>
    <w:pPr>
      <w:tabs>
        <w:tab w:val="center" w:pos="4536"/>
        <w:tab w:val="right" w:pos="9072"/>
      </w:tabs>
    </w:pPr>
  </w:style>
  <w:style w:type="character" w:customStyle="1" w:styleId="Heading1Char">
    <w:name w:val="Heading 1 Char"/>
    <w:aliases w:val="ESPON Heading 1 Char"/>
    <w:basedOn w:val="DefaultParagraphFont"/>
    <w:link w:val="Heading1"/>
    <w:rsid w:val="00056948"/>
    <w:rPr>
      <w:rFonts w:ascii="Arial" w:hAnsi="Arial"/>
      <w:b/>
      <w:kern w:val="28"/>
      <w:sz w:val="28"/>
      <w:lang w:eastAsia="en-US"/>
    </w:rPr>
  </w:style>
  <w:style w:type="paragraph" w:styleId="Caption">
    <w:name w:val="caption"/>
    <w:basedOn w:val="Normal"/>
    <w:next w:val="Normal"/>
    <w:qFormat/>
    <w:rsid w:val="00D95FA4"/>
    <w:rPr>
      <w:b/>
      <w:bCs/>
    </w:rPr>
  </w:style>
  <w:style w:type="table" w:styleId="TableGrid">
    <w:name w:val="Table Grid"/>
    <w:basedOn w:val="TableNormal"/>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82741"/>
    <w:rPr>
      <w:color w:val="0000FF"/>
      <w:u w:val="single"/>
    </w:rPr>
  </w:style>
  <w:style w:type="paragraph" w:styleId="DocumentMap">
    <w:name w:val="Document Map"/>
    <w:basedOn w:val="Normal"/>
    <w:semiHidden/>
    <w:rsid w:val="003630B0"/>
    <w:rPr>
      <w:rFonts w:cs="Tahoma"/>
    </w:rPr>
  </w:style>
  <w:style w:type="paragraph" w:styleId="NormalWeb">
    <w:name w:val="Normal (Web)"/>
    <w:basedOn w:val="Normal"/>
    <w:rsid w:val="00AF6C49"/>
    <w:pPr>
      <w:spacing w:before="100" w:beforeAutospacing="1" w:after="100" w:afterAutospacing="1" w:line="240" w:lineRule="auto"/>
      <w:jc w:val="left"/>
    </w:pPr>
    <w:rPr>
      <w:sz w:val="24"/>
      <w:szCs w:val="24"/>
      <w:lang w:val="de-DE" w:eastAsia="de-DE"/>
    </w:rPr>
  </w:style>
  <w:style w:type="character" w:styleId="FollowedHyperlink">
    <w:name w:val="FollowedHyperlink"/>
    <w:basedOn w:val="DefaultParagraphFont"/>
    <w:rsid w:val="00AF6C49"/>
    <w:rPr>
      <w:rFonts w:ascii="Arial" w:hAnsi="Arial"/>
      <w:color w:val="800080"/>
      <w:u w:val="single"/>
    </w:rPr>
  </w:style>
  <w:style w:type="paragraph" w:styleId="TableofFigures">
    <w:name w:val="table of figures"/>
    <w:basedOn w:val="Normal"/>
    <w:next w:val="Normal"/>
    <w:uiPriority w:val="99"/>
    <w:rsid w:val="005B346C"/>
  </w:style>
  <w:style w:type="character" w:styleId="CommentReference">
    <w:name w:val="annotation reference"/>
    <w:basedOn w:val="DefaultParagraphFont"/>
    <w:semiHidden/>
    <w:rsid w:val="004E266B"/>
    <w:rPr>
      <w:sz w:val="16"/>
      <w:szCs w:val="16"/>
    </w:rPr>
  </w:style>
  <w:style w:type="paragraph" w:styleId="CommentText">
    <w:name w:val="annotation text"/>
    <w:basedOn w:val="Normal"/>
    <w:semiHidden/>
    <w:rsid w:val="004E266B"/>
  </w:style>
  <w:style w:type="paragraph" w:styleId="CommentSubject">
    <w:name w:val="annotation subject"/>
    <w:basedOn w:val="CommentText"/>
    <w:next w:val="CommentText"/>
    <w:semiHidden/>
    <w:rsid w:val="004E266B"/>
    <w:rPr>
      <w:b/>
      <w:bCs/>
    </w:rPr>
  </w:style>
  <w:style w:type="paragraph" w:styleId="BalloonText">
    <w:name w:val="Balloon Text"/>
    <w:basedOn w:val="Normal"/>
    <w:semiHidden/>
    <w:rsid w:val="001B06C0"/>
    <w:rPr>
      <w:rFonts w:ascii="Tahoma" w:hAnsi="Tahoma" w:cs="Tahoma"/>
      <w:sz w:val="16"/>
      <w:szCs w:val="16"/>
    </w:rPr>
  </w:style>
  <w:style w:type="character" w:styleId="FootnoteReference">
    <w:name w:val="footnote reference"/>
    <w:aliases w:val="Footnote symbol,Times 10 Point,Exposant 3 Point"/>
    <w:basedOn w:val="DefaultParagraphFont"/>
    <w:unhideWhenUsed/>
    <w:rsid w:val="00AF6C49"/>
    <w:rPr>
      <w:rFonts w:ascii="Arial" w:hAnsi="Arial"/>
      <w:vertAlign w:val="superscript"/>
    </w:rPr>
  </w:style>
  <w:style w:type="character" w:customStyle="1" w:styleId="FooterChar">
    <w:name w:val="Footer Char"/>
    <w:basedOn w:val="DefaultParagraphFont"/>
    <w:link w:val="Footer"/>
    <w:uiPriority w:val="99"/>
    <w:rsid w:val="004929E9"/>
    <w:rPr>
      <w:rFonts w:ascii="Arial" w:hAnsi="Arial"/>
      <w:sz w:val="22"/>
      <w:lang w:eastAsia="en-US"/>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basedOn w:val="DefaultParagraphFont"/>
    <w:rsid w:val="00AF6C49"/>
    <w:rPr>
      <w:rFonts w:ascii="Arial" w:hAnsi="Arial"/>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semiHidden/>
    <w:rsid w:val="00F75F62"/>
    <w:rPr>
      <w:sz w:val="20"/>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istParagraph">
    <w:name w:val="List Paragraph"/>
    <w:basedOn w:val="Normal"/>
    <w:uiPriority w:val="34"/>
    <w:qFormat/>
    <w:rsid w:val="007631FF"/>
    <w:pPr>
      <w:ind w:left="720"/>
      <w:contextualSpacing/>
    </w:pPr>
  </w:style>
  <w:style w:type="character" w:customStyle="1" w:styleId="FootnoteTextChar">
    <w:name w:val="Footnote Text Char"/>
    <w:aliases w:val="Schriftart: 9 pt Char,Schriftart: 10 pt Char,Schriftart: 8 pt Char,WB-Fußnotentext Char,fn Char,Footnotes Char,Footnote ak Char"/>
    <w:link w:val="FootnoteText"/>
    <w:semiHidden/>
    <w:locked/>
    <w:rsid w:val="0012683A"/>
    <w:rPr>
      <w:rFonts w:ascii="Arial" w:hAnsi="Arial"/>
      <w:lang w:eastAsia="en-US"/>
    </w:rPr>
  </w:style>
  <w:style w:type="table" w:customStyle="1" w:styleId="LightGrid1">
    <w:name w:val="Light Grid1"/>
    <w:basedOn w:val="TableNormal"/>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customStyle="1" w:styleId="1">
    <w:name w:val="Παράγραφος λίστας1"/>
    <w:basedOn w:val="Normal"/>
    <w:qFormat/>
    <w:rsid w:val="009817D0"/>
    <w:pPr>
      <w:widowControl w:val="0"/>
      <w:tabs>
        <w:tab w:val="left" w:pos="1429"/>
      </w:tabs>
      <w:suppressAutoHyphens/>
      <w:spacing w:before="0" w:after="200" w:line="276" w:lineRule="auto"/>
      <w:ind w:left="720"/>
      <w:jc w:val="left"/>
    </w:pPr>
    <w:rPr>
      <w:rFonts w:ascii="Liberation Serif" w:eastAsia="WenQuanYi Micro Hei" w:hAnsi="Liberation Serif" w:cs="Lohit Hindi"/>
      <w:kern w:val="16"/>
      <w:sz w:val="24"/>
      <w:szCs w:val="24"/>
      <w:lang w:val="en-US" w:eastAsia="zh-CN" w:bidi="hi-IN"/>
    </w:rPr>
  </w:style>
  <w:style w:type="paragraph" w:customStyle="1" w:styleId="a">
    <w:name w:val="Περιεχόμενα πίνακα"/>
    <w:basedOn w:val="Normal"/>
    <w:rsid w:val="00C90448"/>
    <w:pPr>
      <w:widowControl w:val="0"/>
      <w:suppressLineNumbers/>
      <w:suppressAutoHyphens/>
      <w:spacing w:before="0" w:line="240" w:lineRule="auto"/>
      <w:jc w:val="left"/>
    </w:pPr>
    <w:rPr>
      <w:rFonts w:ascii="Liberation Serif" w:eastAsia="DejaVu Sans" w:hAnsi="Liberation Serif" w:cs="DejaVu Sans"/>
      <w:kern w:val="1"/>
      <w:sz w:val="24"/>
      <w:szCs w:val="24"/>
      <w:lang w:val="el-GR" w:eastAsia="hi-IN" w:bidi="hi-IN"/>
    </w:rPr>
  </w:style>
  <w:style w:type="character" w:customStyle="1" w:styleId="a0">
    <w:name w:val="Σύμβολο υποσημείωσης"/>
    <w:rsid w:val="00F7224E"/>
  </w:style>
  <w:style w:type="paragraph" w:customStyle="1" w:styleId="2">
    <w:name w:val="Παράγραφος λίστας2"/>
    <w:basedOn w:val="Normal"/>
    <w:rsid w:val="00F7224E"/>
    <w:pPr>
      <w:widowControl w:val="0"/>
      <w:tabs>
        <w:tab w:val="left" w:pos="709"/>
      </w:tabs>
      <w:suppressAutoHyphens/>
      <w:spacing w:before="0" w:after="200" w:line="276" w:lineRule="auto"/>
      <w:ind w:left="720"/>
      <w:jc w:val="left"/>
    </w:pPr>
    <w:rPr>
      <w:rFonts w:ascii="Liberation Serif" w:eastAsia="DejaVu Sans" w:hAnsi="Liberation Serif" w:cs="DejaVu Sans"/>
      <w:kern w:val="1"/>
      <w:sz w:val="24"/>
      <w:szCs w:val="24"/>
      <w:lang w:val="el-GR" w:eastAsia="zh-CN" w:bidi="hi-IN"/>
    </w:rPr>
  </w:style>
  <w:style w:type="paragraph" w:customStyle="1" w:styleId="3">
    <w:name w:val="Παράγραφος λίστας3"/>
    <w:basedOn w:val="Normal"/>
    <w:rsid w:val="00101107"/>
    <w:pPr>
      <w:widowControl w:val="0"/>
      <w:tabs>
        <w:tab w:val="left" w:pos="709"/>
      </w:tabs>
      <w:suppressAutoHyphens/>
      <w:spacing w:before="0" w:after="200" w:line="276" w:lineRule="auto"/>
      <w:ind w:left="720"/>
      <w:jc w:val="left"/>
    </w:pPr>
    <w:rPr>
      <w:rFonts w:ascii="Liberation Serif" w:eastAsia="DejaVu Sans" w:hAnsi="Liberation Serif" w:cs="DejaVu Sans"/>
      <w:kern w:val="1"/>
      <w:sz w:val="24"/>
      <w:szCs w:val="24"/>
      <w:lang w:val="el-GR" w:eastAsia="zh-CN" w:bidi="hi-IN"/>
    </w:rPr>
  </w:style>
  <w:style w:type="character" w:customStyle="1" w:styleId="style7">
    <w:name w:val="style7"/>
    <w:basedOn w:val="DefaultParagraphFont"/>
    <w:rsid w:val="00360468"/>
  </w:style>
  <w:style w:type="character" w:customStyle="1" w:styleId="hps">
    <w:name w:val="hps"/>
    <w:basedOn w:val="DefaultParagraphFont"/>
    <w:rsid w:val="00650351"/>
    <w:rPr>
      <w:rFonts w:cs="Times New Roman"/>
    </w:rPr>
  </w:style>
  <w:style w:type="character" w:customStyle="1" w:styleId="atn">
    <w:name w:val="atn"/>
    <w:basedOn w:val="DefaultParagraphFont"/>
    <w:rsid w:val="00650351"/>
    <w:rPr>
      <w:rFonts w:cs="Times New Roman"/>
    </w:rPr>
  </w:style>
  <w:style w:type="character" w:customStyle="1" w:styleId="longtext">
    <w:name w:val="long_text"/>
    <w:basedOn w:val="DefaultParagraphFont"/>
    <w:rsid w:val="00650351"/>
    <w:rPr>
      <w:rFonts w:cs="Times New Roman"/>
    </w:rPr>
  </w:style>
  <w:style w:type="character" w:customStyle="1" w:styleId="alt-edited">
    <w:name w:val="alt-edited"/>
    <w:basedOn w:val="DefaultParagraphFont"/>
    <w:rsid w:val="00650351"/>
    <w:rPr>
      <w:rFonts w:cs="Times New Roman"/>
    </w:rPr>
  </w:style>
  <w:style w:type="paragraph" w:customStyle="1" w:styleId="a1">
    <w:name w:val="βασικό"/>
    <w:basedOn w:val="Normal"/>
    <w:rsid w:val="003448B9"/>
    <w:pPr>
      <w:spacing w:before="0" w:line="240" w:lineRule="auto"/>
      <w:jc w:val="left"/>
    </w:pPr>
    <w:rPr>
      <w:rFonts w:ascii="Times New Roman" w:hAnsi="Times New Roman"/>
      <w:color w:val="000000"/>
      <w:sz w:val="20"/>
      <w:lang w:val="el-GR" w:eastAsia="el-GR"/>
    </w:rPr>
  </w:style>
  <w:style w:type="character" w:customStyle="1" w:styleId="st1">
    <w:name w:val="st1"/>
    <w:basedOn w:val="DefaultParagraphFont"/>
    <w:rsid w:val="003448B9"/>
  </w:style>
  <w:style w:type="paragraph" w:customStyle="1" w:styleId="20">
    <w:name w:val="παράγραφοςλίστας2"/>
    <w:basedOn w:val="Normal"/>
    <w:rsid w:val="00C7672A"/>
    <w:pPr>
      <w:spacing w:before="100" w:beforeAutospacing="1" w:after="100" w:afterAutospacing="1" w:line="240" w:lineRule="auto"/>
      <w:jc w:val="left"/>
    </w:pPr>
    <w:rPr>
      <w:rFonts w:ascii="Times New Roman" w:hAnsi="Times New Roman"/>
      <w:sz w:val="24"/>
      <w:szCs w:val="24"/>
      <w:lang w:val="el-GR" w:eastAsia="el-GR"/>
    </w:rPr>
  </w:style>
  <w:style w:type="character" w:styleId="Emphasis">
    <w:name w:val="Emphasis"/>
    <w:basedOn w:val="DefaultParagraphFont"/>
    <w:uiPriority w:val="20"/>
    <w:qFormat/>
    <w:rsid w:val="005E08A5"/>
    <w:rPr>
      <w:i/>
      <w:iCs/>
    </w:rPr>
  </w:style>
  <w:style w:type="character" w:styleId="Strong">
    <w:name w:val="Strong"/>
    <w:basedOn w:val="DefaultParagraphFont"/>
    <w:uiPriority w:val="22"/>
    <w:qFormat/>
    <w:rsid w:val="00347D69"/>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pPr>
        <w:spacing w:line="320" w:lineRule="atLeast"/>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50A5"/>
    <w:pPr>
      <w:spacing w:before="120"/>
    </w:pPr>
    <w:rPr>
      <w:rFonts w:ascii="Arial" w:hAnsi="Arial"/>
      <w:sz w:val="22"/>
      <w:lang w:eastAsia="en-US"/>
    </w:rPr>
  </w:style>
  <w:style w:type="paragraph" w:styleId="Heading1">
    <w:name w:val="heading 1"/>
    <w:aliases w:val="ESPON Heading 1"/>
    <w:basedOn w:val="Normal"/>
    <w:next w:val="Normal"/>
    <w:link w:val="Heading1Char"/>
    <w:qFormat/>
    <w:rsid w:val="00637487"/>
    <w:pPr>
      <w:keepNext/>
      <w:numPr>
        <w:numId w:val="1"/>
      </w:numPr>
      <w:spacing w:before="480" w:after="120"/>
      <w:outlineLvl w:val="0"/>
    </w:pPr>
    <w:rPr>
      <w:b/>
      <w:kern w:val="28"/>
      <w:sz w:val="28"/>
    </w:rPr>
  </w:style>
  <w:style w:type="paragraph" w:styleId="Heading2">
    <w:name w:val="heading 2"/>
    <w:aliases w:val="ESPON Heading 2"/>
    <w:basedOn w:val="Normal"/>
    <w:next w:val="Normal"/>
    <w:qFormat/>
    <w:rsid w:val="00AE5E68"/>
    <w:pPr>
      <w:keepNext/>
      <w:numPr>
        <w:ilvl w:val="1"/>
        <w:numId w:val="1"/>
      </w:numPr>
      <w:tabs>
        <w:tab w:val="clear" w:pos="5274"/>
      </w:tabs>
      <w:spacing w:after="120"/>
      <w:ind w:left="737"/>
      <w:outlineLvl w:val="1"/>
    </w:pPr>
    <w:rPr>
      <w:b/>
      <w:sz w:val="24"/>
    </w:rPr>
  </w:style>
  <w:style w:type="paragraph" w:styleId="Heading3">
    <w:name w:val="heading 3"/>
    <w:aliases w:val="ESPON Heading 3"/>
    <w:basedOn w:val="Normal"/>
    <w:next w:val="Normal"/>
    <w:qFormat/>
    <w:rsid w:val="00AF6C49"/>
    <w:pPr>
      <w:keepNext/>
      <w:numPr>
        <w:ilvl w:val="2"/>
        <w:numId w:val="1"/>
      </w:numPr>
      <w:spacing w:after="120"/>
      <w:outlineLvl w:val="2"/>
    </w:pPr>
    <w:rPr>
      <w:b/>
    </w:rPr>
  </w:style>
  <w:style w:type="paragraph" w:styleId="Heading4">
    <w:name w:val="heading 4"/>
    <w:aliases w:val="ESPON Heading 4"/>
    <w:basedOn w:val="Normal"/>
    <w:next w:val="Normal"/>
    <w:qFormat/>
    <w:rsid w:val="00AF6C49"/>
    <w:pPr>
      <w:keepNext/>
      <w:numPr>
        <w:ilvl w:val="3"/>
        <w:numId w:val="1"/>
      </w:numPr>
      <w:spacing w:after="120"/>
      <w:outlineLvl w:val="3"/>
    </w:pPr>
    <w:rPr>
      <w:b/>
      <w:sz w:val="24"/>
    </w:rPr>
  </w:style>
  <w:style w:type="paragraph" w:styleId="Heading5">
    <w:name w:val="heading 5"/>
    <w:aliases w:val="ESPON Heading 5"/>
    <w:basedOn w:val="Normal"/>
    <w:next w:val="Normal"/>
    <w:qFormat/>
    <w:rsid w:val="00AF6C49"/>
    <w:pPr>
      <w:numPr>
        <w:ilvl w:val="4"/>
        <w:numId w:val="1"/>
      </w:numPr>
      <w:spacing w:after="120"/>
      <w:outlineLvl w:val="4"/>
    </w:pPr>
    <w:rPr>
      <w:b/>
      <w:sz w:val="24"/>
    </w:rPr>
  </w:style>
  <w:style w:type="paragraph" w:styleId="Heading6">
    <w:name w:val="heading 6"/>
    <w:basedOn w:val="Normal"/>
    <w:next w:val="Normal"/>
    <w:qFormat/>
    <w:rsid w:val="00AF6C49"/>
    <w:pPr>
      <w:numPr>
        <w:ilvl w:val="5"/>
        <w:numId w:val="1"/>
      </w:numPr>
      <w:spacing w:before="240" w:after="60"/>
      <w:outlineLvl w:val="5"/>
    </w:pPr>
    <w:rPr>
      <w:i/>
    </w:rPr>
  </w:style>
  <w:style w:type="paragraph" w:styleId="Heading7">
    <w:name w:val="heading 7"/>
    <w:basedOn w:val="Normal"/>
    <w:next w:val="Normal"/>
    <w:qFormat/>
    <w:rsid w:val="00CF018B"/>
    <w:pPr>
      <w:numPr>
        <w:ilvl w:val="6"/>
        <w:numId w:val="1"/>
      </w:numPr>
      <w:spacing w:before="240" w:after="60"/>
      <w:outlineLvl w:val="6"/>
    </w:pPr>
  </w:style>
  <w:style w:type="paragraph" w:styleId="Heading8">
    <w:name w:val="heading 8"/>
    <w:basedOn w:val="Normal"/>
    <w:next w:val="Normal"/>
    <w:qFormat/>
    <w:rsid w:val="00CF018B"/>
    <w:pPr>
      <w:numPr>
        <w:ilvl w:val="7"/>
        <w:numId w:val="1"/>
      </w:numPr>
      <w:spacing w:before="240" w:after="60"/>
      <w:outlineLvl w:val="7"/>
    </w:pPr>
    <w:rPr>
      <w:i/>
    </w:rPr>
  </w:style>
  <w:style w:type="paragraph" w:styleId="Heading9">
    <w:name w:val="heading 9"/>
    <w:basedOn w:val="Normal"/>
    <w:next w:val="Normal"/>
    <w:qFormat/>
    <w:rsid w:val="00CF018B"/>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aliases w:val="ESPON Index 1"/>
    <w:basedOn w:val="Normal"/>
    <w:next w:val="Normal"/>
    <w:autoRedefine/>
    <w:uiPriority w:val="39"/>
    <w:rsid w:val="00EC7BEF"/>
    <w:pPr>
      <w:tabs>
        <w:tab w:val="right" w:leader="dot" w:pos="9356"/>
      </w:tabs>
      <w:spacing w:before="0" w:line="360" w:lineRule="auto"/>
      <w:ind w:left="907" w:right="1134" w:hanging="907"/>
    </w:pPr>
    <w:rPr>
      <w:noProof/>
    </w:rPr>
  </w:style>
  <w:style w:type="paragraph" w:styleId="TOC5">
    <w:name w:val="toc 5"/>
    <w:aliases w:val="ESPON Index 5"/>
    <w:basedOn w:val="Normal"/>
    <w:next w:val="Normal"/>
    <w:autoRedefine/>
    <w:semiHidden/>
    <w:rsid w:val="00CF018B"/>
    <w:pPr>
      <w:tabs>
        <w:tab w:val="right" w:leader="dot" w:pos="9356"/>
      </w:tabs>
      <w:spacing w:line="240" w:lineRule="auto"/>
      <w:ind w:left="1134" w:right="1134" w:hanging="1134"/>
    </w:pPr>
    <w:rPr>
      <w:rFonts w:ascii="Verdana" w:hAnsi="Verdana"/>
      <w:noProof/>
    </w:rPr>
  </w:style>
  <w:style w:type="paragraph" w:styleId="Header">
    <w:name w:val="header"/>
    <w:basedOn w:val="Normal"/>
    <w:rsid w:val="00CF018B"/>
    <w:pPr>
      <w:tabs>
        <w:tab w:val="center" w:pos="4536"/>
        <w:tab w:val="right" w:pos="9072"/>
      </w:tabs>
    </w:pPr>
  </w:style>
  <w:style w:type="paragraph" w:styleId="TOC2">
    <w:name w:val="toc 2"/>
    <w:aliases w:val="ESPON Index 2"/>
    <w:basedOn w:val="Normal"/>
    <w:next w:val="Normal"/>
    <w:autoRedefine/>
    <w:uiPriority w:val="39"/>
    <w:rsid w:val="00BB5A9A"/>
    <w:pPr>
      <w:tabs>
        <w:tab w:val="right" w:leader="dot" w:pos="9356"/>
      </w:tabs>
      <w:spacing w:line="360" w:lineRule="auto"/>
      <w:ind w:left="1191" w:right="1134" w:hanging="907"/>
    </w:pPr>
  </w:style>
  <w:style w:type="paragraph" w:styleId="TOC3">
    <w:name w:val="toc 3"/>
    <w:aliases w:val="ESPON Index 3"/>
    <w:basedOn w:val="Normal"/>
    <w:next w:val="Normal"/>
    <w:autoRedefine/>
    <w:semiHidden/>
    <w:rsid w:val="00CF018B"/>
    <w:pPr>
      <w:tabs>
        <w:tab w:val="right" w:leader="dot" w:pos="9356"/>
      </w:tabs>
      <w:spacing w:line="240" w:lineRule="auto"/>
      <w:ind w:left="907" w:right="1134" w:hanging="907"/>
    </w:pPr>
  </w:style>
  <w:style w:type="paragraph" w:styleId="TOC4">
    <w:name w:val="toc 4"/>
    <w:aliases w:val="ESPON Index 4"/>
    <w:basedOn w:val="Normal"/>
    <w:next w:val="Normal"/>
    <w:autoRedefine/>
    <w:semiHidden/>
    <w:rsid w:val="00CF018B"/>
    <w:pPr>
      <w:tabs>
        <w:tab w:val="right" w:leader="dot" w:pos="9356"/>
      </w:tabs>
      <w:spacing w:line="240" w:lineRule="auto"/>
      <w:ind w:left="1021" w:right="1134" w:hanging="1021"/>
    </w:pPr>
    <w:rPr>
      <w:rFonts w:ascii="Verdana" w:hAnsi="Verdana"/>
      <w:noProof/>
    </w:rPr>
  </w:style>
  <w:style w:type="paragraph" w:styleId="TOC6">
    <w:name w:val="toc 6"/>
    <w:aliases w:val="ESPON Index 6"/>
    <w:basedOn w:val="Normal"/>
    <w:next w:val="Normal"/>
    <w:autoRedefine/>
    <w:semiHidden/>
    <w:rsid w:val="00CF018B"/>
    <w:pPr>
      <w:tabs>
        <w:tab w:val="right" w:leader="dot" w:pos="9356"/>
      </w:tabs>
      <w:spacing w:line="240" w:lineRule="auto"/>
      <w:ind w:left="907" w:right="1134" w:hanging="907"/>
    </w:pPr>
    <w:rPr>
      <w:rFonts w:ascii="Verdana" w:hAnsi="Verdana"/>
      <w:b/>
      <w:noProof/>
    </w:rPr>
  </w:style>
  <w:style w:type="paragraph" w:styleId="TOC7">
    <w:name w:val="toc 7"/>
    <w:aliases w:val="ESPON Index 7"/>
    <w:basedOn w:val="Normal"/>
    <w:next w:val="Normal"/>
    <w:autoRedefine/>
    <w:semiHidden/>
    <w:rsid w:val="00CF018B"/>
    <w:pPr>
      <w:tabs>
        <w:tab w:val="right" w:leader="dot" w:pos="9356"/>
      </w:tabs>
      <w:spacing w:line="240" w:lineRule="auto"/>
      <w:ind w:left="907" w:right="1134" w:hanging="907"/>
    </w:pPr>
    <w:rPr>
      <w:rFonts w:ascii="Verdana" w:hAnsi="Verdana"/>
    </w:rPr>
  </w:style>
  <w:style w:type="paragraph" w:styleId="TOC8">
    <w:name w:val="toc 8"/>
    <w:basedOn w:val="Normal"/>
    <w:next w:val="Normal"/>
    <w:autoRedefine/>
    <w:semiHidden/>
    <w:rsid w:val="00CF018B"/>
    <w:pPr>
      <w:ind w:left="1400"/>
    </w:pPr>
  </w:style>
  <w:style w:type="paragraph" w:styleId="TOC9">
    <w:name w:val="toc 9"/>
    <w:basedOn w:val="Normal"/>
    <w:next w:val="Normal"/>
    <w:autoRedefine/>
    <w:semiHidden/>
    <w:rsid w:val="00CF018B"/>
    <w:pPr>
      <w:ind w:left="1600"/>
    </w:pPr>
  </w:style>
  <w:style w:type="paragraph" w:styleId="Footer">
    <w:name w:val="footer"/>
    <w:basedOn w:val="Normal"/>
    <w:link w:val="FooterChar"/>
    <w:uiPriority w:val="99"/>
    <w:rsid w:val="00CF018B"/>
    <w:pPr>
      <w:tabs>
        <w:tab w:val="center" w:pos="4536"/>
        <w:tab w:val="right" w:pos="9072"/>
      </w:tabs>
    </w:pPr>
  </w:style>
  <w:style w:type="character" w:customStyle="1" w:styleId="Heading1Char">
    <w:name w:val="Heading 1 Char"/>
    <w:aliases w:val="ESPON Heading 1 Char"/>
    <w:basedOn w:val="DefaultParagraphFont"/>
    <w:link w:val="Heading1"/>
    <w:rsid w:val="00056948"/>
    <w:rPr>
      <w:rFonts w:ascii="Arial" w:hAnsi="Arial"/>
      <w:b/>
      <w:kern w:val="28"/>
      <w:sz w:val="28"/>
      <w:lang w:eastAsia="en-US"/>
    </w:rPr>
  </w:style>
  <w:style w:type="paragraph" w:styleId="Caption">
    <w:name w:val="caption"/>
    <w:basedOn w:val="Normal"/>
    <w:next w:val="Normal"/>
    <w:qFormat/>
    <w:rsid w:val="00D95FA4"/>
    <w:rPr>
      <w:b/>
      <w:bCs/>
    </w:rPr>
  </w:style>
  <w:style w:type="table" w:styleId="TableGrid">
    <w:name w:val="Table Grid"/>
    <w:basedOn w:val="TableNormal"/>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82741"/>
    <w:rPr>
      <w:color w:val="0000FF"/>
      <w:u w:val="single"/>
    </w:rPr>
  </w:style>
  <w:style w:type="paragraph" w:styleId="DocumentMap">
    <w:name w:val="Document Map"/>
    <w:basedOn w:val="Normal"/>
    <w:semiHidden/>
    <w:rsid w:val="003630B0"/>
    <w:rPr>
      <w:rFonts w:cs="Tahoma"/>
    </w:rPr>
  </w:style>
  <w:style w:type="paragraph" w:styleId="NormalWeb">
    <w:name w:val="Normal (Web)"/>
    <w:basedOn w:val="Normal"/>
    <w:rsid w:val="00AF6C49"/>
    <w:pPr>
      <w:spacing w:before="100" w:beforeAutospacing="1" w:after="100" w:afterAutospacing="1" w:line="240" w:lineRule="auto"/>
      <w:jc w:val="left"/>
    </w:pPr>
    <w:rPr>
      <w:sz w:val="24"/>
      <w:szCs w:val="24"/>
      <w:lang w:val="de-DE" w:eastAsia="de-DE"/>
    </w:rPr>
  </w:style>
  <w:style w:type="character" w:styleId="FollowedHyperlink">
    <w:name w:val="FollowedHyperlink"/>
    <w:basedOn w:val="DefaultParagraphFont"/>
    <w:rsid w:val="00AF6C49"/>
    <w:rPr>
      <w:rFonts w:ascii="Arial" w:hAnsi="Arial"/>
      <w:color w:val="800080"/>
      <w:u w:val="single"/>
    </w:rPr>
  </w:style>
  <w:style w:type="paragraph" w:styleId="TableofFigures">
    <w:name w:val="table of figures"/>
    <w:basedOn w:val="Normal"/>
    <w:next w:val="Normal"/>
    <w:uiPriority w:val="99"/>
    <w:rsid w:val="005B346C"/>
  </w:style>
  <w:style w:type="character" w:styleId="CommentReference">
    <w:name w:val="annotation reference"/>
    <w:basedOn w:val="DefaultParagraphFont"/>
    <w:semiHidden/>
    <w:rsid w:val="004E266B"/>
    <w:rPr>
      <w:sz w:val="16"/>
      <w:szCs w:val="16"/>
    </w:rPr>
  </w:style>
  <w:style w:type="paragraph" w:styleId="CommentText">
    <w:name w:val="annotation text"/>
    <w:basedOn w:val="Normal"/>
    <w:semiHidden/>
    <w:rsid w:val="004E266B"/>
  </w:style>
  <w:style w:type="paragraph" w:styleId="CommentSubject">
    <w:name w:val="annotation subject"/>
    <w:basedOn w:val="CommentText"/>
    <w:next w:val="CommentText"/>
    <w:semiHidden/>
    <w:rsid w:val="004E266B"/>
    <w:rPr>
      <w:b/>
      <w:bCs/>
    </w:rPr>
  </w:style>
  <w:style w:type="paragraph" w:styleId="BalloonText">
    <w:name w:val="Balloon Text"/>
    <w:basedOn w:val="Normal"/>
    <w:semiHidden/>
    <w:rsid w:val="001B06C0"/>
    <w:rPr>
      <w:rFonts w:ascii="Tahoma" w:hAnsi="Tahoma" w:cs="Tahoma"/>
      <w:sz w:val="16"/>
      <w:szCs w:val="16"/>
    </w:rPr>
  </w:style>
  <w:style w:type="character" w:styleId="FootnoteReference">
    <w:name w:val="footnote reference"/>
    <w:aliases w:val="Footnote symbol,Times 10 Point,Exposant 3 Point"/>
    <w:basedOn w:val="DefaultParagraphFont"/>
    <w:unhideWhenUsed/>
    <w:rsid w:val="00AF6C49"/>
    <w:rPr>
      <w:rFonts w:ascii="Arial" w:hAnsi="Arial"/>
      <w:vertAlign w:val="superscript"/>
    </w:rPr>
  </w:style>
  <w:style w:type="character" w:customStyle="1" w:styleId="FooterChar">
    <w:name w:val="Footer Char"/>
    <w:basedOn w:val="DefaultParagraphFont"/>
    <w:link w:val="Footer"/>
    <w:uiPriority w:val="99"/>
    <w:rsid w:val="004929E9"/>
    <w:rPr>
      <w:rFonts w:ascii="Arial" w:hAnsi="Arial"/>
      <w:sz w:val="22"/>
      <w:lang w:eastAsia="en-US"/>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basedOn w:val="DefaultParagraphFont"/>
    <w:rsid w:val="00AF6C49"/>
    <w:rPr>
      <w:rFonts w:ascii="Arial" w:hAnsi="Arial"/>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semiHidden/>
    <w:rsid w:val="00F75F62"/>
    <w:rPr>
      <w:sz w:val="20"/>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istParagraph">
    <w:name w:val="List Paragraph"/>
    <w:basedOn w:val="Normal"/>
    <w:uiPriority w:val="34"/>
    <w:qFormat/>
    <w:rsid w:val="007631FF"/>
    <w:pPr>
      <w:ind w:left="720"/>
      <w:contextualSpacing/>
    </w:pPr>
  </w:style>
  <w:style w:type="character" w:customStyle="1" w:styleId="FootnoteTextChar">
    <w:name w:val="Footnote Text Char"/>
    <w:aliases w:val="Schriftart: 9 pt Char,Schriftart: 10 pt Char,Schriftart: 8 pt Char,WB-Fußnotentext Char,fn Char,Footnotes Char,Footnote ak Char"/>
    <w:link w:val="FootnoteText"/>
    <w:semiHidden/>
    <w:locked/>
    <w:rsid w:val="0012683A"/>
    <w:rPr>
      <w:rFonts w:ascii="Arial" w:hAnsi="Arial"/>
      <w:lang w:eastAsia="en-US"/>
    </w:rPr>
  </w:style>
  <w:style w:type="table" w:customStyle="1" w:styleId="LightGrid1">
    <w:name w:val="Light Grid1"/>
    <w:basedOn w:val="TableNormal"/>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customStyle="1" w:styleId="1">
    <w:name w:val="Παράγραφος λίστας1"/>
    <w:basedOn w:val="Normal"/>
    <w:qFormat/>
    <w:rsid w:val="009817D0"/>
    <w:pPr>
      <w:widowControl w:val="0"/>
      <w:tabs>
        <w:tab w:val="left" w:pos="1429"/>
      </w:tabs>
      <w:suppressAutoHyphens/>
      <w:spacing w:before="0" w:after="200" w:line="276" w:lineRule="auto"/>
      <w:ind w:left="720"/>
      <w:jc w:val="left"/>
    </w:pPr>
    <w:rPr>
      <w:rFonts w:ascii="Liberation Serif" w:eastAsia="WenQuanYi Micro Hei" w:hAnsi="Liberation Serif" w:cs="Lohit Hindi"/>
      <w:kern w:val="16"/>
      <w:sz w:val="24"/>
      <w:szCs w:val="24"/>
      <w:lang w:val="en-US" w:eastAsia="zh-CN" w:bidi="hi-IN"/>
    </w:rPr>
  </w:style>
  <w:style w:type="paragraph" w:customStyle="1" w:styleId="a">
    <w:name w:val="Περιεχόμενα πίνακα"/>
    <w:basedOn w:val="Normal"/>
    <w:rsid w:val="00C90448"/>
    <w:pPr>
      <w:widowControl w:val="0"/>
      <w:suppressLineNumbers/>
      <w:suppressAutoHyphens/>
      <w:spacing w:before="0" w:line="240" w:lineRule="auto"/>
      <w:jc w:val="left"/>
    </w:pPr>
    <w:rPr>
      <w:rFonts w:ascii="Liberation Serif" w:eastAsia="DejaVu Sans" w:hAnsi="Liberation Serif" w:cs="DejaVu Sans"/>
      <w:kern w:val="1"/>
      <w:sz w:val="24"/>
      <w:szCs w:val="24"/>
      <w:lang w:val="el-GR" w:eastAsia="hi-IN" w:bidi="hi-IN"/>
    </w:rPr>
  </w:style>
  <w:style w:type="character" w:customStyle="1" w:styleId="a0">
    <w:name w:val="Σύμβολο υποσημείωσης"/>
    <w:rsid w:val="00F7224E"/>
  </w:style>
  <w:style w:type="paragraph" w:customStyle="1" w:styleId="2">
    <w:name w:val="Παράγραφος λίστας2"/>
    <w:basedOn w:val="Normal"/>
    <w:rsid w:val="00F7224E"/>
    <w:pPr>
      <w:widowControl w:val="0"/>
      <w:tabs>
        <w:tab w:val="left" w:pos="709"/>
      </w:tabs>
      <w:suppressAutoHyphens/>
      <w:spacing w:before="0" w:after="200" w:line="276" w:lineRule="auto"/>
      <w:ind w:left="720"/>
      <w:jc w:val="left"/>
    </w:pPr>
    <w:rPr>
      <w:rFonts w:ascii="Liberation Serif" w:eastAsia="DejaVu Sans" w:hAnsi="Liberation Serif" w:cs="DejaVu Sans"/>
      <w:kern w:val="1"/>
      <w:sz w:val="24"/>
      <w:szCs w:val="24"/>
      <w:lang w:val="el-GR" w:eastAsia="zh-CN" w:bidi="hi-IN"/>
    </w:rPr>
  </w:style>
  <w:style w:type="paragraph" w:customStyle="1" w:styleId="3">
    <w:name w:val="Παράγραφος λίστας3"/>
    <w:basedOn w:val="Normal"/>
    <w:rsid w:val="00101107"/>
    <w:pPr>
      <w:widowControl w:val="0"/>
      <w:tabs>
        <w:tab w:val="left" w:pos="709"/>
      </w:tabs>
      <w:suppressAutoHyphens/>
      <w:spacing w:before="0" w:after="200" w:line="276" w:lineRule="auto"/>
      <w:ind w:left="720"/>
      <w:jc w:val="left"/>
    </w:pPr>
    <w:rPr>
      <w:rFonts w:ascii="Liberation Serif" w:eastAsia="DejaVu Sans" w:hAnsi="Liberation Serif" w:cs="DejaVu Sans"/>
      <w:kern w:val="1"/>
      <w:sz w:val="24"/>
      <w:szCs w:val="24"/>
      <w:lang w:val="el-GR" w:eastAsia="zh-CN" w:bidi="hi-IN"/>
    </w:rPr>
  </w:style>
  <w:style w:type="character" w:customStyle="1" w:styleId="style7">
    <w:name w:val="style7"/>
    <w:basedOn w:val="DefaultParagraphFont"/>
    <w:rsid w:val="00360468"/>
  </w:style>
  <w:style w:type="character" w:customStyle="1" w:styleId="hps">
    <w:name w:val="hps"/>
    <w:basedOn w:val="DefaultParagraphFont"/>
    <w:rsid w:val="00650351"/>
    <w:rPr>
      <w:rFonts w:cs="Times New Roman"/>
    </w:rPr>
  </w:style>
  <w:style w:type="character" w:customStyle="1" w:styleId="atn">
    <w:name w:val="atn"/>
    <w:basedOn w:val="DefaultParagraphFont"/>
    <w:rsid w:val="00650351"/>
    <w:rPr>
      <w:rFonts w:cs="Times New Roman"/>
    </w:rPr>
  </w:style>
  <w:style w:type="character" w:customStyle="1" w:styleId="longtext">
    <w:name w:val="long_text"/>
    <w:basedOn w:val="DefaultParagraphFont"/>
    <w:rsid w:val="00650351"/>
    <w:rPr>
      <w:rFonts w:cs="Times New Roman"/>
    </w:rPr>
  </w:style>
  <w:style w:type="character" w:customStyle="1" w:styleId="alt-edited">
    <w:name w:val="alt-edited"/>
    <w:basedOn w:val="DefaultParagraphFont"/>
    <w:rsid w:val="00650351"/>
    <w:rPr>
      <w:rFonts w:cs="Times New Roman"/>
    </w:rPr>
  </w:style>
  <w:style w:type="paragraph" w:customStyle="1" w:styleId="a1">
    <w:name w:val="βασικό"/>
    <w:basedOn w:val="Normal"/>
    <w:rsid w:val="003448B9"/>
    <w:pPr>
      <w:spacing w:before="0" w:line="240" w:lineRule="auto"/>
      <w:jc w:val="left"/>
    </w:pPr>
    <w:rPr>
      <w:rFonts w:ascii="Times New Roman" w:hAnsi="Times New Roman"/>
      <w:color w:val="000000"/>
      <w:sz w:val="20"/>
      <w:lang w:val="el-GR" w:eastAsia="el-GR"/>
    </w:rPr>
  </w:style>
  <w:style w:type="character" w:customStyle="1" w:styleId="st1">
    <w:name w:val="st1"/>
    <w:basedOn w:val="DefaultParagraphFont"/>
    <w:rsid w:val="003448B9"/>
  </w:style>
  <w:style w:type="paragraph" w:customStyle="1" w:styleId="20">
    <w:name w:val="παράγραφοςλίστας2"/>
    <w:basedOn w:val="Normal"/>
    <w:rsid w:val="00C7672A"/>
    <w:pPr>
      <w:spacing w:before="100" w:beforeAutospacing="1" w:after="100" w:afterAutospacing="1" w:line="240" w:lineRule="auto"/>
      <w:jc w:val="left"/>
    </w:pPr>
    <w:rPr>
      <w:rFonts w:ascii="Times New Roman" w:hAnsi="Times New Roman"/>
      <w:sz w:val="24"/>
      <w:szCs w:val="24"/>
      <w:lang w:val="el-GR" w:eastAsia="el-GR"/>
    </w:rPr>
  </w:style>
  <w:style w:type="character" w:styleId="Emphasis">
    <w:name w:val="Emphasis"/>
    <w:basedOn w:val="DefaultParagraphFont"/>
    <w:uiPriority w:val="20"/>
    <w:qFormat/>
    <w:rsid w:val="005E08A5"/>
    <w:rPr>
      <w:i/>
      <w:iCs/>
    </w:rPr>
  </w:style>
  <w:style w:type="character" w:styleId="Strong">
    <w:name w:val="Strong"/>
    <w:basedOn w:val="DefaultParagraphFont"/>
    <w:uiPriority w:val="22"/>
    <w:qFormat/>
    <w:rsid w:val="00347D6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4260">
      <w:bodyDiv w:val="1"/>
      <w:marLeft w:val="0"/>
      <w:marRight w:val="0"/>
      <w:marTop w:val="0"/>
      <w:marBottom w:val="0"/>
      <w:divBdr>
        <w:top w:val="none" w:sz="0" w:space="0" w:color="auto"/>
        <w:left w:val="none" w:sz="0" w:space="0" w:color="auto"/>
        <w:bottom w:val="none" w:sz="0" w:space="0" w:color="auto"/>
        <w:right w:val="none" w:sz="0" w:space="0" w:color="auto"/>
      </w:divBdr>
    </w:div>
    <w:div w:id="412357200">
      <w:bodyDiv w:val="1"/>
      <w:marLeft w:val="0"/>
      <w:marRight w:val="0"/>
      <w:marTop w:val="0"/>
      <w:marBottom w:val="0"/>
      <w:divBdr>
        <w:top w:val="none" w:sz="0" w:space="0" w:color="auto"/>
        <w:left w:val="none" w:sz="0" w:space="0" w:color="auto"/>
        <w:bottom w:val="none" w:sz="0" w:space="0" w:color="auto"/>
        <w:right w:val="none" w:sz="0" w:space="0" w:color="auto"/>
      </w:divBdr>
    </w:div>
    <w:div w:id="505171505">
      <w:bodyDiv w:val="1"/>
      <w:marLeft w:val="0"/>
      <w:marRight w:val="0"/>
      <w:marTop w:val="0"/>
      <w:marBottom w:val="0"/>
      <w:divBdr>
        <w:top w:val="none" w:sz="0" w:space="0" w:color="auto"/>
        <w:left w:val="none" w:sz="0" w:space="0" w:color="auto"/>
        <w:bottom w:val="none" w:sz="0" w:space="0" w:color="auto"/>
        <w:right w:val="none" w:sz="0" w:space="0" w:color="auto"/>
      </w:divBdr>
    </w:div>
    <w:div w:id="856699746">
      <w:bodyDiv w:val="1"/>
      <w:marLeft w:val="0"/>
      <w:marRight w:val="0"/>
      <w:marTop w:val="0"/>
      <w:marBottom w:val="0"/>
      <w:divBdr>
        <w:top w:val="none" w:sz="0" w:space="0" w:color="auto"/>
        <w:left w:val="none" w:sz="0" w:space="0" w:color="auto"/>
        <w:bottom w:val="none" w:sz="0" w:space="0" w:color="auto"/>
        <w:right w:val="none" w:sz="0" w:space="0" w:color="auto"/>
      </w:divBdr>
    </w:div>
    <w:div w:id="1257787801">
      <w:bodyDiv w:val="1"/>
      <w:marLeft w:val="0"/>
      <w:marRight w:val="0"/>
      <w:marTop w:val="0"/>
      <w:marBottom w:val="0"/>
      <w:divBdr>
        <w:top w:val="none" w:sz="0" w:space="0" w:color="auto"/>
        <w:left w:val="none" w:sz="0" w:space="0" w:color="auto"/>
        <w:bottom w:val="none" w:sz="0" w:space="0" w:color="auto"/>
        <w:right w:val="none" w:sz="0" w:space="0" w:color="auto"/>
      </w:divBdr>
    </w:div>
    <w:div w:id="1451822145">
      <w:bodyDiv w:val="1"/>
      <w:marLeft w:val="0"/>
      <w:marRight w:val="0"/>
      <w:marTop w:val="0"/>
      <w:marBottom w:val="0"/>
      <w:divBdr>
        <w:top w:val="none" w:sz="0" w:space="0" w:color="auto"/>
        <w:left w:val="none" w:sz="0" w:space="0" w:color="auto"/>
        <w:bottom w:val="none" w:sz="0" w:space="0" w:color="auto"/>
        <w:right w:val="none" w:sz="0" w:space="0" w:color="auto"/>
      </w:divBdr>
    </w:div>
    <w:div w:id="1452163356">
      <w:bodyDiv w:val="1"/>
      <w:marLeft w:val="0"/>
      <w:marRight w:val="0"/>
      <w:marTop w:val="0"/>
      <w:marBottom w:val="0"/>
      <w:divBdr>
        <w:top w:val="none" w:sz="0" w:space="0" w:color="auto"/>
        <w:left w:val="none" w:sz="0" w:space="0" w:color="auto"/>
        <w:bottom w:val="none" w:sz="0" w:space="0" w:color="auto"/>
        <w:right w:val="none" w:sz="0" w:space="0" w:color="auto"/>
      </w:divBdr>
    </w:div>
    <w:div w:id="1862543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file:///P:\FF%204_Projekte\ESPON%20TiPSE\Reports\Final%20Report\Case%20Study%20Reports_final%20version\fertig%20formatiert\TiPSE%20Case%20Study%20Report%20Attiki_final.docx" TargetMode="External"/><Relationship Id="rId26" Type="http://schemas.openxmlformats.org/officeDocument/2006/relationships/image" Target="media/image3.jpeg"/><Relationship Id="rId39" Type="http://schemas.openxmlformats.org/officeDocument/2006/relationships/chart" Target="charts/chart2.xml"/><Relationship Id="rId21" Type="http://schemas.openxmlformats.org/officeDocument/2006/relationships/hyperlink" Target="file:///P:\FF%204_Projekte\ESPON%20TiPSE\Reports\Final%20Report\Case%20Study%20Reports_final%20version\fertig%20formatiert\TiPSE%20Case%20Study%20Report%20Attiki_final.docx" TargetMode="External"/><Relationship Id="rId34" Type="http://schemas.openxmlformats.org/officeDocument/2006/relationships/image" Target="media/image11.jpeg"/><Relationship Id="rId42" Type="http://schemas.openxmlformats.org/officeDocument/2006/relationships/chart" Target="charts/chart5.xml"/><Relationship Id="rId47" Type="http://schemas.openxmlformats.org/officeDocument/2006/relationships/oleObject" Target="embeddings/oleObject2.bin"/><Relationship Id="rId50" Type="http://schemas.openxmlformats.org/officeDocument/2006/relationships/image" Target="media/image19.wmf"/><Relationship Id="rId55" Type="http://schemas.openxmlformats.org/officeDocument/2006/relationships/oleObject" Target="embeddings/oleObject6.bin"/><Relationship Id="rId63" Type="http://schemas.openxmlformats.org/officeDocument/2006/relationships/image" Target="media/image27.wmf"/><Relationship Id="rId68" Type="http://schemas.openxmlformats.org/officeDocument/2006/relationships/image" Target="media/image32.wmf"/><Relationship Id="rId76" Type="http://schemas.openxmlformats.org/officeDocument/2006/relationships/header" Target="header1.xml"/><Relationship Id="rId7" Type="http://schemas.microsoft.com/office/2007/relationships/stylesWithEffects" Target="stylesWithEffects.xml"/><Relationship Id="rId71" Type="http://schemas.openxmlformats.org/officeDocument/2006/relationships/image" Target="media/image35.jpeg"/><Relationship Id="rId2" Type="http://schemas.openxmlformats.org/officeDocument/2006/relationships/customXml" Target="../customXml/item2.xml"/><Relationship Id="rId16" Type="http://schemas.openxmlformats.org/officeDocument/2006/relationships/hyperlink" Target="file:///P:\FF%204_Projekte\ESPON%20TiPSE\Reports\Final%20Report\Case%20Study%20Reports_final%20version\fertig%20formatiert\TiPSE%20Case%20Study%20Report%20Attiki_final.docx" TargetMode="External"/><Relationship Id="rId29" Type="http://schemas.openxmlformats.org/officeDocument/2006/relationships/image" Target="media/image6.jpeg"/><Relationship Id="rId11" Type="http://schemas.openxmlformats.org/officeDocument/2006/relationships/endnotes" Target="endnotes.xml"/><Relationship Id="rId24" Type="http://schemas.openxmlformats.org/officeDocument/2006/relationships/hyperlink" Target="file:///P:\FF%204_Projekte\ESPON%20TiPSE\Reports\Final%20Report\Case%20Study%20Reports_final%20version\fertig%20formatiert\TiPSE%20Case%20Study%20Report%20Attiki_final.docx" TargetMode="External"/><Relationship Id="rId32" Type="http://schemas.openxmlformats.org/officeDocument/2006/relationships/image" Target="media/image9.jpeg"/><Relationship Id="rId37" Type="http://schemas.openxmlformats.org/officeDocument/2006/relationships/chart" Target="charts/chart1.xml"/><Relationship Id="rId40" Type="http://schemas.openxmlformats.org/officeDocument/2006/relationships/chart" Target="charts/chart3.xml"/><Relationship Id="rId45" Type="http://schemas.openxmlformats.org/officeDocument/2006/relationships/oleObject" Target="embeddings/oleObject1.bin"/><Relationship Id="rId53" Type="http://schemas.openxmlformats.org/officeDocument/2006/relationships/oleObject" Target="embeddings/oleObject5.bin"/><Relationship Id="rId58" Type="http://schemas.openxmlformats.org/officeDocument/2006/relationships/image" Target="media/image23.wmf"/><Relationship Id="rId66" Type="http://schemas.openxmlformats.org/officeDocument/2006/relationships/image" Target="media/image30.wmf"/><Relationship Id="rId74" Type="http://schemas.openxmlformats.org/officeDocument/2006/relationships/image" Target="media/image38.jpeg"/><Relationship Id="rId5" Type="http://schemas.openxmlformats.org/officeDocument/2006/relationships/numbering" Target="numbering.xml"/><Relationship Id="rId15" Type="http://schemas.openxmlformats.org/officeDocument/2006/relationships/hyperlink" Target="http://www.espon.eu" TargetMode="External"/><Relationship Id="rId23" Type="http://schemas.openxmlformats.org/officeDocument/2006/relationships/hyperlink" Target="file:///P:\FF%204_Projekte\ESPON%20TiPSE\Reports\Final%20Report\Case%20Study%20Reports_final%20version\fertig%20formatiert\TiPSE%20Case%20Study%20Report%20Attiki_final.docx" TargetMode="External"/><Relationship Id="rId28" Type="http://schemas.openxmlformats.org/officeDocument/2006/relationships/image" Target="media/image5.jpeg"/><Relationship Id="rId36" Type="http://schemas.openxmlformats.org/officeDocument/2006/relationships/image" Target="media/image13.emf"/><Relationship Id="rId49" Type="http://schemas.openxmlformats.org/officeDocument/2006/relationships/oleObject" Target="embeddings/oleObject3.bin"/><Relationship Id="rId57" Type="http://schemas.openxmlformats.org/officeDocument/2006/relationships/oleObject" Target="embeddings/oleObject7.bin"/><Relationship Id="rId61" Type="http://schemas.openxmlformats.org/officeDocument/2006/relationships/image" Target="media/image25.wmf"/><Relationship Id="rId10" Type="http://schemas.openxmlformats.org/officeDocument/2006/relationships/footnotes" Target="footnotes.xml"/><Relationship Id="rId19" Type="http://schemas.openxmlformats.org/officeDocument/2006/relationships/hyperlink" Target="file:///P:\FF%204_Projekte\ESPON%20TiPSE\Reports\Final%20Report\Case%20Study%20Reports_final%20version\fertig%20formatiert\TiPSE%20Case%20Study%20Report%20Attiki_final.docx" TargetMode="External"/><Relationship Id="rId31" Type="http://schemas.openxmlformats.org/officeDocument/2006/relationships/image" Target="media/image8.jpeg"/><Relationship Id="rId44" Type="http://schemas.openxmlformats.org/officeDocument/2006/relationships/image" Target="media/image16.wmf"/><Relationship Id="rId52" Type="http://schemas.openxmlformats.org/officeDocument/2006/relationships/image" Target="media/image20.wmf"/><Relationship Id="rId60" Type="http://schemas.openxmlformats.org/officeDocument/2006/relationships/image" Target="media/image24.wmf"/><Relationship Id="rId65" Type="http://schemas.openxmlformats.org/officeDocument/2006/relationships/image" Target="media/image29.wmf"/><Relationship Id="rId73" Type="http://schemas.openxmlformats.org/officeDocument/2006/relationships/image" Target="media/image37.jpeg"/><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file:///P:\FF%204_Projekte\ESPON%20TiPSE\Reports\Final%20Report\Case%20Study%20Reports_final%20version\fertig%20formatiert\TiPSE%20Case%20Study%20Report%20Attiki_final.docx" TargetMode="External"/><Relationship Id="rId27" Type="http://schemas.openxmlformats.org/officeDocument/2006/relationships/image" Target="media/image4.png"/><Relationship Id="rId30" Type="http://schemas.openxmlformats.org/officeDocument/2006/relationships/image" Target="media/image7.jpeg"/><Relationship Id="rId35" Type="http://schemas.openxmlformats.org/officeDocument/2006/relationships/image" Target="media/image12.emf"/><Relationship Id="rId43" Type="http://schemas.openxmlformats.org/officeDocument/2006/relationships/image" Target="media/image15.jpg"/><Relationship Id="rId48" Type="http://schemas.openxmlformats.org/officeDocument/2006/relationships/image" Target="media/image18.wmf"/><Relationship Id="rId56" Type="http://schemas.openxmlformats.org/officeDocument/2006/relationships/image" Target="media/image22.wmf"/><Relationship Id="rId64" Type="http://schemas.openxmlformats.org/officeDocument/2006/relationships/image" Target="media/image28.wmf"/><Relationship Id="rId69" Type="http://schemas.openxmlformats.org/officeDocument/2006/relationships/image" Target="media/image33.wmf"/><Relationship Id="rId77"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oleObject" Target="embeddings/oleObject4.bin"/><Relationship Id="rId72" Type="http://schemas.openxmlformats.org/officeDocument/2006/relationships/image" Target="media/image36.jpe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file:///P:\FF%204_Projekte\ESPON%20TiPSE\Reports\Final%20Report\Case%20Study%20Reports_final%20version\fertig%20formatiert\TiPSE%20Case%20Study%20Report%20Attiki_final.docx" TargetMode="External"/><Relationship Id="rId25" Type="http://schemas.openxmlformats.org/officeDocument/2006/relationships/image" Target="media/image2.tiff"/><Relationship Id="rId33" Type="http://schemas.openxmlformats.org/officeDocument/2006/relationships/image" Target="media/image10.jpeg"/><Relationship Id="rId38" Type="http://schemas.openxmlformats.org/officeDocument/2006/relationships/image" Target="media/image14.emf"/><Relationship Id="rId46" Type="http://schemas.openxmlformats.org/officeDocument/2006/relationships/image" Target="media/image17.wmf"/><Relationship Id="rId59" Type="http://schemas.openxmlformats.org/officeDocument/2006/relationships/oleObject" Target="embeddings/oleObject8.bin"/><Relationship Id="rId67" Type="http://schemas.openxmlformats.org/officeDocument/2006/relationships/image" Target="media/image31.wmf"/><Relationship Id="rId20" Type="http://schemas.openxmlformats.org/officeDocument/2006/relationships/hyperlink" Target="file:///P:\FF%204_Projekte\ESPON%20TiPSE\Reports\Final%20Report\Case%20Study%20Reports_final%20version\fertig%20formatiert\TiPSE%20Case%20Study%20Report%20Attiki_final.docx" TargetMode="External"/><Relationship Id="rId41" Type="http://schemas.openxmlformats.org/officeDocument/2006/relationships/chart" Target="charts/chart4.xml"/><Relationship Id="rId54" Type="http://schemas.openxmlformats.org/officeDocument/2006/relationships/image" Target="media/image21.wmf"/><Relationship Id="rId62" Type="http://schemas.openxmlformats.org/officeDocument/2006/relationships/image" Target="media/image26.wmf"/><Relationship Id="rId70" Type="http://schemas.openxmlformats.org/officeDocument/2006/relationships/image" Target="media/image34.jpeg"/><Relationship Id="rId75" Type="http://schemas.openxmlformats.org/officeDocument/2006/relationships/image" Target="media/image39.jpeg"/><Relationship Id="rId1" Type="http://schemas.openxmlformats.org/officeDocument/2006/relationships/customXml" Target="../customXml/item1.xml"/><Relationship Id="rId6"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57270029673597"/>
          <c:y val="2.5641025641025869E-2"/>
          <c:w val="0.75370919881305665"/>
          <c:h val="0.8904428904428906"/>
        </c:manualLayout>
      </c:layout>
      <c:barChart>
        <c:barDir val="bar"/>
        <c:grouping val="percentStacked"/>
        <c:varyColors val="0"/>
        <c:ser>
          <c:idx val="0"/>
          <c:order val="0"/>
          <c:tx>
            <c:strRef>
              <c:f>GEN!$J$42</c:f>
              <c:strCache>
                <c:ptCount val="1"/>
                <c:pt idx="0">
                  <c:v>Male </c:v>
                </c:pt>
              </c:strCache>
            </c:strRef>
          </c:tx>
          <c:spPr>
            <a:solidFill>
              <a:srgbClr val="FFFFFF"/>
            </a:solidFill>
            <a:ln w="12671">
              <a:solidFill>
                <a:srgbClr val="000000"/>
              </a:solidFill>
              <a:prstDash val="solid"/>
            </a:ln>
          </c:spPr>
          <c:invertIfNegative val="0"/>
          <c:cat>
            <c:strRef>
              <c:f>GEN!$I$43:$I$61</c:f>
              <c:strCache>
                <c:ptCount val="19"/>
                <c:pt idx="0">
                  <c:v>Pakistan</c:v>
                </c:pt>
                <c:pt idx="1">
                  <c:v>Bangladesh</c:v>
                </c:pt>
                <c:pt idx="2">
                  <c:v>India</c:v>
                </c:pt>
                <c:pt idx="3">
                  <c:v>Syria</c:v>
                </c:pt>
                <c:pt idx="4">
                  <c:v>Egypt</c:v>
                </c:pt>
                <c:pt idx="5">
                  <c:v>Nigeria</c:v>
                </c:pt>
                <c:pt idx="6">
                  <c:v>Iraq</c:v>
                </c:pt>
                <c:pt idx="7">
                  <c:v>Albania</c:v>
                </c:pt>
                <c:pt idx="8">
                  <c:v>Romania</c:v>
                </c:pt>
                <c:pt idx="9">
                  <c:v>Turkey</c:v>
                </c:pt>
                <c:pt idx="10">
                  <c:v>Poland</c:v>
                </c:pt>
                <c:pt idx="11">
                  <c:v>Armenia</c:v>
                </c:pt>
                <c:pt idx="12">
                  <c:v>Kazakhstan</c:v>
                </c:pt>
                <c:pt idx="13">
                  <c:v>Russia</c:v>
                </c:pt>
                <c:pt idx="14">
                  <c:v>Moldova</c:v>
                </c:pt>
                <c:pt idx="15">
                  <c:v>Georgia</c:v>
                </c:pt>
                <c:pt idx="16">
                  <c:v>Bulgaria</c:v>
                </c:pt>
                <c:pt idx="17">
                  <c:v>Ukraine</c:v>
                </c:pt>
                <c:pt idx="18">
                  <c:v>Filippines</c:v>
                </c:pt>
              </c:strCache>
            </c:strRef>
          </c:cat>
          <c:val>
            <c:numRef>
              <c:f>GEN!$J$43:$J$61</c:f>
              <c:numCache>
                <c:formatCode>0.0%</c:formatCode>
                <c:ptCount val="19"/>
                <c:pt idx="0">
                  <c:v>0.96395193591455264</c:v>
                </c:pt>
                <c:pt idx="1">
                  <c:v>0.96012269938650363</c:v>
                </c:pt>
                <c:pt idx="2">
                  <c:v>0.90434782608695652</c:v>
                </c:pt>
                <c:pt idx="3">
                  <c:v>0.84406779661016962</c:v>
                </c:pt>
                <c:pt idx="4">
                  <c:v>0.78270509977827063</c:v>
                </c:pt>
                <c:pt idx="5">
                  <c:v>0.7222222222222221</c:v>
                </c:pt>
                <c:pt idx="6">
                  <c:v>0.69541778975740431</c:v>
                </c:pt>
                <c:pt idx="7">
                  <c:v>0.55173601543124828</c:v>
                </c:pt>
                <c:pt idx="8">
                  <c:v>0.51829268292682928</c:v>
                </c:pt>
                <c:pt idx="9">
                  <c:v>0.48896434634974917</c:v>
                </c:pt>
                <c:pt idx="10">
                  <c:v>0.47753530166880631</c:v>
                </c:pt>
                <c:pt idx="11">
                  <c:v>0.46231155778894684</c:v>
                </c:pt>
                <c:pt idx="12">
                  <c:v>0.42400000000000032</c:v>
                </c:pt>
                <c:pt idx="13">
                  <c:v>0.34591194968553457</c:v>
                </c:pt>
                <c:pt idx="14">
                  <c:v>0.24705882352941191</c:v>
                </c:pt>
                <c:pt idx="15">
                  <c:v>0.24215246636771301</c:v>
                </c:pt>
                <c:pt idx="16">
                  <c:v>0.22710163111668755</c:v>
                </c:pt>
                <c:pt idx="17">
                  <c:v>0.22312703583061888</c:v>
                </c:pt>
                <c:pt idx="18">
                  <c:v>0.18380743982494677</c:v>
                </c:pt>
              </c:numCache>
            </c:numRef>
          </c:val>
        </c:ser>
        <c:ser>
          <c:idx val="1"/>
          <c:order val="1"/>
          <c:tx>
            <c:strRef>
              <c:f>GEN!$K$42</c:f>
              <c:strCache>
                <c:ptCount val="1"/>
                <c:pt idx="0">
                  <c:v>Female</c:v>
                </c:pt>
              </c:strCache>
            </c:strRef>
          </c:tx>
          <c:spPr>
            <a:solidFill>
              <a:srgbClr val="333333"/>
            </a:solidFill>
            <a:ln w="12671">
              <a:solidFill>
                <a:srgbClr val="000000"/>
              </a:solidFill>
              <a:prstDash val="solid"/>
            </a:ln>
          </c:spPr>
          <c:invertIfNegative val="0"/>
          <c:cat>
            <c:strRef>
              <c:f>GEN!$I$43:$I$61</c:f>
              <c:strCache>
                <c:ptCount val="19"/>
                <c:pt idx="0">
                  <c:v>Pakistan</c:v>
                </c:pt>
                <c:pt idx="1">
                  <c:v>Bangladesh</c:v>
                </c:pt>
                <c:pt idx="2">
                  <c:v>India</c:v>
                </c:pt>
                <c:pt idx="3">
                  <c:v>Syria</c:v>
                </c:pt>
                <c:pt idx="4">
                  <c:v>Egypt</c:v>
                </c:pt>
                <c:pt idx="5">
                  <c:v>Nigeria</c:v>
                </c:pt>
                <c:pt idx="6">
                  <c:v>Iraq</c:v>
                </c:pt>
                <c:pt idx="7">
                  <c:v>Albania</c:v>
                </c:pt>
                <c:pt idx="8">
                  <c:v>Romania</c:v>
                </c:pt>
                <c:pt idx="9">
                  <c:v>Turkey</c:v>
                </c:pt>
                <c:pt idx="10">
                  <c:v>Poland</c:v>
                </c:pt>
                <c:pt idx="11">
                  <c:v>Armenia</c:v>
                </c:pt>
                <c:pt idx="12">
                  <c:v>Kazakhstan</c:v>
                </c:pt>
                <c:pt idx="13">
                  <c:v>Russia</c:v>
                </c:pt>
                <c:pt idx="14">
                  <c:v>Moldova</c:v>
                </c:pt>
                <c:pt idx="15">
                  <c:v>Georgia</c:v>
                </c:pt>
                <c:pt idx="16">
                  <c:v>Bulgaria</c:v>
                </c:pt>
                <c:pt idx="17">
                  <c:v>Ukraine</c:v>
                </c:pt>
                <c:pt idx="18">
                  <c:v>Filippines</c:v>
                </c:pt>
              </c:strCache>
            </c:strRef>
          </c:cat>
          <c:val>
            <c:numRef>
              <c:f>GEN!$K$43:$K$61</c:f>
              <c:numCache>
                <c:formatCode>0.0%</c:formatCode>
                <c:ptCount val="19"/>
                <c:pt idx="0">
                  <c:v>3.6048064085447265E-2</c:v>
                </c:pt>
                <c:pt idx="1">
                  <c:v>3.9877300613497264E-2</c:v>
                </c:pt>
                <c:pt idx="2">
                  <c:v>9.5652173913044244E-2</c:v>
                </c:pt>
                <c:pt idx="3">
                  <c:v>0.15593220338983202</c:v>
                </c:pt>
                <c:pt idx="4">
                  <c:v>0.21729490022173054</c:v>
                </c:pt>
                <c:pt idx="5">
                  <c:v>0.2777777777777799</c:v>
                </c:pt>
                <c:pt idx="6">
                  <c:v>0.30458221024259002</c:v>
                </c:pt>
                <c:pt idx="7">
                  <c:v>0.44826398456875166</c:v>
                </c:pt>
                <c:pt idx="8">
                  <c:v>0.48170731707317072</c:v>
                </c:pt>
                <c:pt idx="9">
                  <c:v>0.51103565365025472</c:v>
                </c:pt>
                <c:pt idx="10">
                  <c:v>0.5224646983311938</c:v>
                </c:pt>
                <c:pt idx="11">
                  <c:v>0.53768844221105561</c:v>
                </c:pt>
                <c:pt idx="12">
                  <c:v>0.57600000000000062</c:v>
                </c:pt>
                <c:pt idx="13">
                  <c:v>0.65408805031447004</c:v>
                </c:pt>
                <c:pt idx="14">
                  <c:v>0.75294117647059933</c:v>
                </c:pt>
                <c:pt idx="15">
                  <c:v>0.75784753363229274</c:v>
                </c:pt>
                <c:pt idx="16">
                  <c:v>0.77289836888331265</c:v>
                </c:pt>
                <c:pt idx="17">
                  <c:v>0.77687296416938523</c:v>
                </c:pt>
                <c:pt idx="18">
                  <c:v>0.81619256017505459</c:v>
                </c:pt>
              </c:numCache>
            </c:numRef>
          </c:val>
        </c:ser>
        <c:dLbls>
          <c:showLegendKey val="0"/>
          <c:showVal val="0"/>
          <c:showCatName val="0"/>
          <c:showSerName val="0"/>
          <c:showPercent val="0"/>
          <c:showBubbleSize val="0"/>
        </c:dLbls>
        <c:gapWidth val="150"/>
        <c:overlap val="100"/>
        <c:axId val="201797632"/>
        <c:axId val="201799168"/>
      </c:barChart>
      <c:catAx>
        <c:axId val="201797632"/>
        <c:scaling>
          <c:orientation val="minMax"/>
        </c:scaling>
        <c:delete val="0"/>
        <c:axPos val="l"/>
        <c:numFmt formatCode="General" sourceLinked="1"/>
        <c:majorTickMark val="out"/>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Greek"/>
                <a:ea typeface="Arial Greek"/>
                <a:cs typeface="Arial Greek"/>
              </a:defRPr>
            </a:pPr>
            <a:endParaRPr lang="fi-FI"/>
          </a:p>
        </c:txPr>
        <c:crossAx val="201799168"/>
        <c:crosses val="autoZero"/>
        <c:auto val="1"/>
        <c:lblAlgn val="ctr"/>
        <c:lblOffset val="100"/>
        <c:tickLblSkip val="2"/>
        <c:tickMarkSkip val="1"/>
        <c:noMultiLvlLbl val="0"/>
      </c:catAx>
      <c:valAx>
        <c:axId val="201799168"/>
        <c:scaling>
          <c:orientation val="minMax"/>
        </c:scaling>
        <c:delete val="0"/>
        <c:axPos val="b"/>
        <c:numFmt formatCode="0%" sourceLinked="1"/>
        <c:majorTickMark val="out"/>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Greek"/>
                <a:ea typeface="Arial Greek"/>
                <a:cs typeface="Arial Greek"/>
              </a:defRPr>
            </a:pPr>
            <a:endParaRPr lang="fi-FI"/>
          </a:p>
        </c:txPr>
        <c:crossAx val="201797632"/>
        <c:crosses val="autoZero"/>
        <c:crossBetween val="between"/>
        <c:majorUnit val="0.2"/>
      </c:valAx>
      <c:spPr>
        <a:noFill/>
        <a:ln w="25342">
          <a:noFill/>
        </a:ln>
      </c:spPr>
    </c:plotArea>
    <c:legend>
      <c:legendPos val="r"/>
      <c:layout>
        <c:manualLayout>
          <c:xMode val="edge"/>
          <c:yMode val="edge"/>
          <c:x val="0.91691394658753711"/>
          <c:y val="0.42424242424242431"/>
          <c:w val="7.71513353115727E-2"/>
          <c:h val="9.0909090909091064E-2"/>
        </c:manualLayout>
      </c:layout>
      <c:overlay val="0"/>
      <c:spPr>
        <a:solidFill>
          <a:srgbClr val="FFFFFF"/>
        </a:solidFill>
        <a:ln w="3168">
          <a:solidFill>
            <a:srgbClr val="000000"/>
          </a:solidFill>
          <a:prstDash val="solid"/>
        </a:ln>
      </c:spPr>
      <c:txPr>
        <a:bodyPr/>
        <a:lstStyle/>
        <a:p>
          <a:pPr>
            <a:defRPr sz="733" b="0" i="0" u="none" strike="noStrike" baseline="0">
              <a:solidFill>
                <a:srgbClr val="000000"/>
              </a:solidFill>
              <a:latin typeface="Arial Greek"/>
              <a:ea typeface="Arial Greek"/>
              <a:cs typeface="Arial Greek"/>
            </a:defRPr>
          </a:pPr>
          <a:endParaRPr lang="fi-FI"/>
        </a:p>
      </c:txPr>
    </c:legend>
    <c:plotVisOnly val="1"/>
    <c:dispBlanksAs val="gap"/>
    <c:showDLblsOverMax val="0"/>
  </c:chart>
  <c:spPr>
    <a:solidFill>
      <a:srgbClr val="FFFFFF"/>
    </a:solidFill>
    <a:ln w="3168">
      <a:solidFill>
        <a:srgbClr val="000000"/>
      </a:solidFill>
      <a:prstDash val="solid"/>
    </a:ln>
  </c:spPr>
  <c:txPr>
    <a:bodyPr/>
    <a:lstStyle/>
    <a:p>
      <a:pPr>
        <a:defRPr sz="1197" b="0" i="0" u="none" strike="noStrike" baseline="0">
          <a:solidFill>
            <a:srgbClr val="000000"/>
          </a:solidFill>
          <a:latin typeface="Arial Greek"/>
          <a:ea typeface="Arial Greek"/>
          <a:cs typeface="Arial Greek"/>
        </a:defRPr>
      </a:pPr>
      <a:endParaRPr lang="fi-FI"/>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1984231274638631E-2"/>
          <c:y val="5.9620596205962072E-2"/>
          <c:w val="0.57424441524310821"/>
          <c:h val="0.69647696476964227"/>
        </c:manualLayout>
      </c:layout>
      <c:barChart>
        <c:barDir val="col"/>
        <c:grouping val="percentStacked"/>
        <c:varyColors val="0"/>
        <c:ser>
          <c:idx val="0"/>
          <c:order val="0"/>
          <c:tx>
            <c:strRef>
              <c:f>HHTYPE!$C$2</c:f>
              <c:strCache>
                <c:ptCount val="1"/>
                <c:pt idx="0">
                  <c:v>Couple</c:v>
                </c:pt>
              </c:strCache>
            </c:strRef>
          </c:tx>
          <c:spPr>
            <a:solidFill>
              <a:srgbClr val="333333"/>
            </a:solidFill>
            <a:ln w="12699">
              <a:solidFill>
                <a:srgbClr val="000000"/>
              </a:solidFill>
              <a:prstDash val="solid"/>
            </a:ln>
          </c:spPr>
          <c:invertIfNegative val="0"/>
          <c:cat>
            <c:strRef>
              <c:f>HHTYPE!$B$3:$B$21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HHTYPE!$C$3:$C$21</c:f>
              <c:numCache>
                <c:formatCode>General</c:formatCode>
                <c:ptCount val="19"/>
                <c:pt idx="0">
                  <c:v>1883</c:v>
                </c:pt>
                <c:pt idx="1">
                  <c:v>39</c:v>
                </c:pt>
                <c:pt idx="2">
                  <c:v>11</c:v>
                </c:pt>
                <c:pt idx="3">
                  <c:v>196</c:v>
                </c:pt>
                <c:pt idx="4">
                  <c:v>84</c:v>
                </c:pt>
                <c:pt idx="5">
                  <c:v>68</c:v>
                </c:pt>
                <c:pt idx="6">
                  <c:v>30</c:v>
                </c:pt>
                <c:pt idx="7">
                  <c:v>21</c:v>
                </c:pt>
                <c:pt idx="8">
                  <c:v>18</c:v>
                </c:pt>
                <c:pt idx="9">
                  <c:v>16</c:v>
                </c:pt>
                <c:pt idx="10">
                  <c:v>60</c:v>
                </c:pt>
                <c:pt idx="11">
                  <c:v>24</c:v>
                </c:pt>
                <c:pt idx="12">
                  <c:v>19</c:v>
                </c:pt>
                <c:pt idx="13">
                  <c:v>209</c:v>
                </c:pt>
                <c:pt idx="14">
                  <c:v>235</c:v>
                </c:pt>
                <c:pt idx="15">
                  <c:v>87</c:v>
                </c:pt>
                <c:pt idx="16">
                  <c:v>61</c:v>
                </c:pt>
                <c:pt idx="17">
                  <c:v>141</c:v>
                </c:pt>
                <c:pt idx="18">
                  <c:v>143</c:v>
                </c:pt>
              </c:numCache>
            </c:numRef>
          </c:val>
        </c:ser>
        <c:ser>
          <c:idx val="1"/>
          <c:order val="1"/>
          <c:tx>
            <c:strRef>
              <c:f>HHTYPE!$D$2</c:f>
              <c:strCache>
                <c:ptCount val="1"/>
                <c:pt idx="0">
                  <c:v>Nuclear</c:v>
                </c:pt>
              </c:strCache>
            </c:strRef>
          </c:tx>
          <c:spPr>
            <a:solidFill>
              <a:srgbClr val="FFFFFF"/>
            </a:solidFill>
            <a:ln w="12699">
              <a:solidFill>
                <a:srgbClr val="000000"/>
              </a:solidFill>
              <a:prstDash val="solid"/>
            </a:ln>
          </c:spPr>
          <c:invertIfNegative val="0"/>
          <c:cat>
            <c:strRef>
              <c:f>HHTYPE!$B$3:$B$21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HHTYPE!$D$3:$D$21</c:f>
              <c:numCache>
                <c:formatCode>General</c:formatCode>
                <c:ptCount val="19"/>
                <c:pt idx="0">
                  <c:v>13218</c:v>
                </c:pt>
                <c:pt idx="1">
                  <c:v>123</c:v>
                </c:pt>
                <c:pt idx="2">
                  <c:v>6</c:v>
                </c:pt>
                <c:pt idx="3">
                  <c:v>133</c:v>
                </c:pt>
                <c:pt idx="4">
                  <c:v>228</c:v>
                </c:pt>
                <c:pt idx="5">
                  <c:v>143</c:v>
                </c:pt>
                <c:pt idx="6">
                  <c:v>62</c:v>
                </c:pt>
                <c:pt idx="7">
                  <c:v>27</c:v>
                </c:pt>
                <c:pt idx="8">
                  <c:v>249</c:v>
                </c:pt>
                <c:pt idx="9">
                  <c:v>81</c:v>
                </c:pt>
                <c:pt idx="10">
                  <c:v>53</c:v>
                </c:pt>
                <c:pt idx="11">
                  <c:v>42</c:v>
                </c:pt>
                <c:pt idx="12">
                  <c:v>35</c:v>
                </c:pt>
                <c:pt idx="13">
                  <c:v>449</c:v>
                </c:pt>
                <c:pt idx="14">
                  <c:v>178</c:v>
                </c:pt>
                <c:pt idx="15">
                  <c:v>256</c:v>
                </c:pt>
                <c:pt idx="16">
                  <c:v>138</c:v>
                </c:pt>
                <c:pt idx="17">
                  <c:v>247</c:v>
                </c:pt>
                <c:pt idx="18">
                  <c:v>147</c:v>
                </c:pt>
              </c:numCache>
            </c:numRef>
          </c:val>
        </c:ser>
        <c:ser>
          <c:idx val="2"/>
          <c:order val="2"/>
          <c:tx>
            <c:strRef>
              <c:f>HHTYPE!$E$2</c:f>
              <c:strCache>
                <c:ptCount val="1"/>
                <c:pt idx="0">
                  <c:v>Single-parent household</c:v>
                </c:pt>
              </c:strCache>
            </c:strRef>
          </c:tx>
          <c:spPr>
            <a:pattFill prst="ltHorz">
              <a:fgClr>
                <a:srgbClr val="000000"/>
              </a:fgClr>
              <a:bgClr>
                <a:srgbClr val="FFFFFF"/>
              </a:bgClr>
            </a:pattFill>
            <a:ln w="12699">
              <a:solidFill>
                <a:srgbClr val="000000"/>
              </a:solidFill>
              <a:prstDash val="solid"/>
            </a:ln>
          </c:spPr>
          <c:invertIfNegative val="0"/>
          <c:cat>
            <c:strRef>
              <c:f>HHTYPE!$B$3:$B$21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HHTYPE!$E$3:$E$21</c:f>
              <c:numCache>
                <c:formatCode>General</c:formatCode>
                <c:ptCount val="19"/>
                <c:pt idx="0">
                  <c:v>895</c:v>
                </c:pt>
                <c:pt idx="1">
                  <c:v>25</c:v>
                </c:pt>
                <c:pt idx="2">
                  <c:v>1</c:v>
                </c:pt>
                <c:pt idx="3">
                  <c:v>83</c:v>
                </c:pt>
                <c:pt idx="4">
                  <c:v>17</c:v>
                </c:pt>
                <c:pt idx="5">
                  <c:v>40</c:v>
                </c:pt>
                <c:pt idx="6">
                  <c:v>32</c:v>
                </c:pt>
                <c:pt idx="7">
                  <c:v>3</c:v>
                </c:pt>
                <c:pt idx="8">
                  <c:v>49</c:v>
                </c:pt>
                <c:pt idx="9">
                  <c:v>12</c:v>
                </c:pt>
                <c:pt idx="10">
                  <c:v>35</c:v>
                </c:pt>
                <c:pt idx="11">
                  <c:v>6</c:v>
                </c:pt>
                <c:pt idx="12">
                  <c:v>8</c:v>
                </c:pt>
                <c:pt idx="13">
                  <c:v>50</c:v>
                </c:pt>
                <c:pt idx="14">
                  <c:v>30</c:v>
                </c:pt>
                <c:pt idx="15">
                  <c:v>80</c:v>
                </c:pt>
                <c:pt idx="16">
                  <c:v>8</c:v>
                </c:pt>
                <c:pt idx="17">
                  <c:v>55</c:v>
                </c:pt>
                <c:pt idx="18">
                  <c:v>67</c:v>
                </c:pt>
              </c:numCache>
            </c:numRef>
          </c:val>
        </c:ser>
        <c:ser>
          <c:idx val="3"/>
          <c:order val="3"/>
          <c:tx>
            <c:strRef>
              <c:f>HHTYPE!$F$2</c:f>
              <c:strCache>
                <c:ptCount val="1"/>
                <c:pt idx="0">
                  <c:v>Single-member household</c:v>
                </c:pt>
              </c:strCache>
            </c:strRef>
          </c:tx>
          <c:spPr>
            <a:solidFill>
              <a:srgbClr val="C0C0C0"/>
            </a:solidFill>
            <a:ln w="12699">
              <a:solidFill>
                <a:srgbClr val="000000"/>
              </a:solidFill>
              <a:prstDash val="solid"/>
            </a:ln>
          </c:spPr>
          <c:invertIfNegative val="0"/>
          <c:cat>
            <c:strRef>
              <c:f>HHTYPE!$B$3:$B$21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HHTYPE!$F$3:$F$21</c:f>
              <c:numCache>
                <c:formatCode>General</c:formatCode>
                <c:ptCount val="19"/>
                <c:pt idx="0">
                  <c:v>285</c:v>
                </c:pt>
                <c:pt idx="1">
                  <c:v>10</c:v>
                </c:pt>
                <c:pt idx="2">
                  <c:v>11</c:v>
                </c:pt>
                <c:pt idx="3">
                  <c:v>67</c:v>
                </c:pt>
                <c:pt idx="4">
                  <c:v>69</c:v>
                </c:pt>
                <c:pt idx="5">
                  <c:v>29</c:v>
                </c:pt>
                <c:pt idx="6">
                  <c:v>12</c:v>
                </c:pt>
                <c:pt idx="7">
                  <c:v>21</c:v>
                </c:pt>
                <c:pt idx="8">
                  <c:v>20</c:v>
                </c:pt>
                <c:pt idx="9">
                  <c:v>6</c:v>
                </c:pt>
                <c:pt idx="10">
                  <c:v>17</c:v>
                </c:pt>
                <c:pt idx="11">
                  <c:v>19</c:v>
                </c:pt>
                <c:pt idx="12">
                  <c:v>37</c:v>
                </c:pt>
                <c:pt idx="13">
                  <c:v>71</c:v>
                </c:pt>
                <c:pt idx="14">
                  <c:v>38</c:v>
                </c:pt>
                <c:pt idx="15">
                  <c:v>29</c:v>
                </c:pt>
                <c:pt idx="16">
                  <c:v>53</c:v>
                </c:pt>
                <c:pt idx="17">
                  <c:v>93</c:v>
                </c:pt>
                <c:pt idx="18">
                  <c:v>51</c:v>
                </c:pt>
              </c:numCache>
            </c:numRef>
          </c:val>
        </c:ser>
        <c:ser>
          <c:idx val="4"/>
          <c:order val="4"/>
          <c:tx>
            <c:strRef>
              <c:f>HHTYPE!$G$2</c:f>
              <c:strCache>
                <c:ptCount val="1"/>
                <c:pt idx="0">
                  <c:v>No family nucleus or members outside family nucleus</c:v>
                </c:pt>
              </c:strCache>
            </c:strRef>
          </c:tx>
          <c:spPr>
            <a:pattFill prst="wdDnDiag">
              <a:fgClr>
                <a:srgbClr val="000000"/>
              </a:fgClr>
              <a:bgClr>
                <a:srgbClr val="FFFFFF"/>
              </a:bgClr>
            </a:pattFill>
            <a:ln w="12699">
              <a:solidFill>
                <a:srgbClr val="000000"/>
              </a:solidFill>
              <a:prstDash val="solid"/>
            </a:ln>
          </c:spPr>
          <c:invertIfNegative val="0"/>
          <c:cat>
            <c:strRef>
              <c:f>HHTYPE!$B$3:$B$21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HHTYPE!$G$3:$G$21</c:f>
              <c:numCache>
                <c:formatCode>General</c:formatCode>
                <c:ptCount val="19"/>
                <c:pt idx="0">
                  <c:v>2848</c:v>
                </c:pt>
                <c:pt idx="1">
                  <c:v>34</c:v>
                </c:pt>
                <c:pt idx="2">
                  <c:v>300</c:v>
                </c:pt>
                <c:pt idx="3">
                  <c:v>362</c:v>
                </c:pt>
                <c:pt idx="4">
                  <c:v>129</c:v>
                </c:pt>
                <c:pt idx="5">
                  <c:v>239</c:v>
                </c:pt>
                <c:pt idx="6">
                  <c:v>110</c:v>
                </c:pt>
                <c:pt idx="7">
                  <c:v>169</c:v>
                </c:pt>
                <c:pt idx="8">
                  <c:v>151</c:v>
                </c:pt>
                <c:pt idx="9">
                  <c:v>24</c:v>
                </c:pt>
                <c:pt idx="10">
                  <c:v>113</c:v>
                </c:pt>
                <c:pt idx="11">
                  <c:v>39</c:v>
                </c:pt>
                <c:pt idx="12">
                  <c:v>664</c:v>
                </c:pt>
                <c:pt idx="13">
                  <c:v>144</c:v>
                </c:pt>
                <c:pt idx="14">
                  <c:v>226</c:v>
                </c:pt>
                <c:pt idx="15">
                  <c:v>98</c:v>
                </c:pt>
                <c:pt idx="16">
                  <c:v>89</c:v>
                </c:pt>
                <c:pt idx="17">
                  <c:v>79</c:v>
                </c:pt>
                <c:pt idx="18">
                  <c:v>260</c:v>
                </c:pt>
              </c:numCache>
            </c:numRef>
          </c:val>
        </c:ser>
        <c:dLbls>
          <c:showLegendKey val="0"/>
          <c:showVal val="0"/>
          <c:showCatName val="0"/>
          <c:showSerName val="0"/>
          <c:showPercent val="0"/>
          <c:showBubbleSize val="0"/>
        </c:dLbls>
        <c:gapWidth val="150"/>
        <c:overlap val="100"/>
        <c:axId val="214786816"/>
        <c:axId val="214788352"/>
      </c:barChart>
      <c:catAx>
        <c:axId val="214786816"/>
        <c:scaling>
          <c:orientation val="minMax"/>
        </c:scaling>
        <c:delete val="0"/>
        <c:axPos val="b"/>
        <c:numFmt formatCode="General" sourceLinked="1"/>
        <c:majorTickMark val="out"/>
        <c:minorTickMark val="none"/>
        <c:tickLblPos val="nextTo"/>
        <c:spPr>
          <a:ln w="3175">
            <a:solidFill>
              <a:srgbClr val="000000"/>
            </a:solidFill>
            <a:prstDash val="solid"/>
          </a:ln>
        </c:spPr>
        <c:txPr>
          <a:bodyPr rot="-5400000" vert="horz"/>
          <a:lstStyle/>
          <a:p>
            <a:pPr>
              <a:defRPr sz="950" b="0" i="0" u="none" strike="noStrike" baseline="0">
                <a:solidFill>
                  <a:srgbClr val="000000"/>
                </a:solidFill>
                <a:latin typeface="Arial Greek"/>
                <a:ea typeface="Arial Greek"/>
                <a:cs typeface="Arial Greek"/>
              </a:defRPr>
            </a:pPr>
            <a:endParaRPr lang="fi-FI"/>
          </a:p>
        </c:txPr>
        <c:crossAx val="214788352"/>
        <c:crosses val="autoZero"/>
        <c:auto val="1"/>
        <c:lblAlgn val="ctr"/>
        <c:lblOffset val="100"/>
        <c:tickLblSkip val="1"/>
        <c:tickMarkSkip val="1"/>
        <c:noMultiLvlLbl val="0"/>
      </c:catAx>
      <c:valAx>
        <c:axId val="214788352"/>
        <c:scaling>
          <c:orientation val="minMax"/>
        </c:scaling>
        <c:delete val="0"/>
        <c:axPos val="l"/>
        <c:numFmt formatCode="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fi-FI"/>
          </a:p>
        </c:txPr>
        <c:crossAx val="214786816"/>
        <c:crosses val="autoZero"/>
        <c:crossBetween val="between"/>
        <c:majorUnit val="0.2"/>
      </c:valAx>
      <c:spPr>
        <a:noFill/>
        <a:ln w="25398">
          <a:noFill/>
        </a:ln>
      </c:spPr>
    </c:plotArea>
    <c:legend>
      <c:legendPos val="r"/>
      <c:layout>
        <c:manualLayout>
          <c:xMode val="edge"/>
          <c:yMode val="edge"/>
          <c:x val="0.67805519053877006"/>
          <c:y val="0.15176151761517614"/>
          <c:w val="0.26281208935611222"/>
          <c:h val="0.56910569105691067"/>
        </c:manualLayout>
      </c:layout>
      <c:overlay val="0"/>
      <c:spPr>
        <a:solidFill>
          <a:srgbClr val="FFFFFF"/>
        </a:solidFill>
        <a:ln w="3175">
          <a:solidFill>
            <a:srgbClr val="000000"/>
          </a:solidFill>
          <a:prstDash val="solid"/>
        </a:ln>
      </c:spPr>
      <c:txPr>
        <a:bodyPr/>
        <a:lstStyle/>
        <a:p>
          <a:pPr>
            <a:defRPr sz="920" b="0" i="0" u="none" strike="noStrike" baseline="0">
              <a:solidFill>
                <a:srgbClr val="000000"/>
              </a:solidFill>
              <a:latin typeface="Arial Greek"/>
              <a:ea typeface="Arial Greek"/>
              <a:cs typeface="Arial Greek"/>
            </a:defRPr>
          </a:pPr>
          <a:endParaRPr lang="fi-FI"/>
        </a:p>
      </c:txPr>
    </c:legend>
    <c:plotVisOnly val="1"/>
    <c:dispBlanksAs val="gap"/>
    <c:showDLblsOverMax val="0"/>
  </c:chart>
  <c:spPr>
    <a:solidFill>
      <a:srgbClr val="FFFFFF"/>
    </a:solidFill>
    <a:ln w="3175">
      <a:solidFill>
        <a:srgbClr val="000000"/>
      </a:solidFill>
      <a:prstDash val="solid"/>
    </a:ln>
  </c:spPr>
  <c:txPr>
    <a:bodyPr/>
    <a:lstStyle/>
    <a:p>
      <a:pPr>
        <a:defRPr sz="1200" b="0" i="0" u="none" strike="noStrike" baseline="0">
          <a:solidFill>
            <a:srgbClr val="000000"/>
          </a:solidFill>
          <a:latin typeface="Arial Greek"/>
          <a:ea typeface="Arial Greek"/>
          <a:cs typeface="Arial Greek"/>
        </a:defRPr>
      </a:pPr>
      <a:endParaRPr lang="fi-FI"/>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707970228297085E-2"/>
          <c:y val="6.4782880334991771E-2"/>
          <c:w val="0.65997638724911878"/>
          <c:h val="0.79259259259259263"/>
        </c:manualLayout>
      </c:layout>
      <c:barChart>
        <c:barDir val="col"/>
        <c:grouping val="percentStacked"/>
        <c:varyColors val="0"/>
        <c:ser>
          <c:idx val="0"/>
          <c:order val="0"/>
          <c:tx>
            <c:strRef>
              <c:f>EDUL!$M$2</c:f>
              <c:strCache>
                <c:ptCount val="1"/>
                <c:pt idx="0">
                  <c:v>Less than primary education</c:v>
                </c:pt>
              </c:strCache>
            </c:strRef>
          </c:tx>
          <c:spPr>
            <a:solidFill>
              <a:srgbClr val="333333"/>
            </a:solidFill>
            <a:ln w="12700">
              <a:solidFill>
                <a:srgbClr val="000000"/>
              </a:solidFill>
              <a:prstDash val="solid"/>
            </a:ln>
          </c:spPr>
          <c:invertIfNegative val="0"/>
          <c:cat>
            <c:strRef>
              <c:f>EDUL!$L$3:$L$21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EDUL!$M$3:$M$21</c:f>
              <c:numCache>
                <c:formatCode>General</c:formatCode>
                <c:ptCount val="19"/>
                <c:pt idx="0">
                  <c:v>4250</c:v>
                </c:pt>
                <c:pt idx="1">
                  <c:v>40</c:v>
                </c:pt>
                <c:pt idx="2">
                  <c:v>58</c:v>
                </c:pt>
                <c:pt idx="3">
                  <c:v>53</c:v>
                </c:pt>
                <c:pt idx="4">
                  <c:v>103</c:v>
                </c:pt>
                <c:pt idx="5">
                  <c:v>75</c:v>
                </c:pt>
                <c:pt idx="6">
                  <c:v>30</c:v>
                </c:pt>
                <c:pt idx="7">
                  <c:v>37</c:v>
                </c:pt>
                <c:pt idx="8">
                  <c:v>167</c:v>
                </c:pt>
                <c:pt idx="9">
                  <c:v>17</c:v>
                </c:pt>
                <c:pt idx="10">
                  <c:v>21</c:v>
                </c:pt>
                <c:pt idx="11">
                  <c:v>31</c:v>
                </c:pt>
                <c:pt idx="12">
                  <c:v>177</c:v>
                </c:pt>
                <c:pt idx="13">
                  <c:v>138</c:v>
                </c:pt>
                <c:pt idx="14">
                  <c:v>60</c:v>
                </c:pt>
                <c:pt idx="15">
                  <c:v>81</c:v>
                </c:pt>
                <c:pt idx="16">
                  <c:v>93</c:v>
                </c:pt>
                <c:pt idx="17">
                  <c:v>61</c:v>
                </c:pt>
                <c:pt idx="18">
                  <c:v>53</c:v>
                </c:pt>
              </c:numCache>
            </c:numRef>
          </c:val>
        </c:ser>
        <c:ser>
          <c:idx val="1"/>
          <c:order val="1"/>
          <c:tx>
            <c:strRef>
              <c:f>EDUL!$N$2</c:f>
              <c:strCache>
                <c:ptCount val="1"/>
                <c:pt idx="0">
                  <c:v>Primary education</c:v>
                </c:pt>
              </c:strCache>
            </c:strRef>
          </c:tx>
          <c:spPr>
            <a:solidFill>
              <a:srgbClr val="C0C0C0"/>
            </a:solidFill>
            <a:ln w="12700">
              <a:solidFill>
                <a:srgbClr val="000000"/>
              </a:solidFill>
              <a:prstDash val="solid"/>
            </a:ln>
          </c:spPr>
          <c:invertIfNegative val="0"/>
          <c:cat>
            <c:strRef>
              <c:f>EDUL!$L$3:$L$21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EDUL!$N$3:$N$21</c:f>
              <c:numCache>
                <c:formatCode>General</c:formatCode>
                <c:ptCount val="19"/>
                <c:pt idx="0">
                  <c:v>3663</c:v>
                </c:pt>
                <c:pt idx="1">
                  <c:v>44</c:v>
                </c:pt>
                <c:pt idx="2">
                  <c:v>93</c:v>
                </c:pt>
                <c:pt idx="3">
                  <c:v>72</c:v>
                </c:pt>
                <c:pt idx="4">
                  <c:v>66</c:v>
                </c:pt>
                <c:pt idx="5">
                  <c:v>49</c:v>
                </c:pt>
                <c:pt idx="6">
                  <c:v>26</c:v>
                </c:pt>
                <c:pt idx="7">
                  <c:v>66</c:v>
                </c:pt>
                <c:pt idx="8">
                  <c:v>130</c:v>
                </c:pt>
                <c:pt idx="9">
                  <c:v>24</c:v>
                </c:pt>
                <c:pt idx="10">
                  <c:v>26</c:v>
                </c:pt>
                <c:pt idx="11">
                  <c:v>13</c:v>
                </c:pt>
                <c:pt idx="12">
                  <c:v>217</c:v>
                </c:pt>
                <c:pt idx="13">
                  <c:v>98</c:v>
                </c:pt>
                <c:pt idx="14">
                  <c:v>59</c:v>
                </c:pt>
                <c:pt idx="15">
                  <c:v>68</c:v>
                </c:pt>
                <c:pt idx="16">
                  <c:v>69</c:v>
                </c:pt>
                <c:pt idx="17">
                  <c:v>179</c:v>
                </c:pt>
                <c:pt idx="18">
                  <c:v>61</c:v>
                </c:pt>
              </c:numCache>
            </c:numRef>
          </c:val>
        </c:ser>
        <c:ser>
          <c:idx val="2"/>
          <c:order val="2"/>
          <c:tx>
            <c:strRef>
              <c:f>EDUL!$O$2</c:f>
              <c:strCache>
                <c:ptCount val="1"/>
                <c:pt idx="0">
                  <c:v>Secondary education (9 years)</c:v>
                </c:pt>
              </c:strCache>
            </c:strRef>
          </c:tx>
          <c:spPr>
            <a:pattFill prst="ltHorz">
              <a:fgClr>
                <a:srgbClr val="000000"/>
              </a:fgClr>
              <a:bgClr>
                <a:srgbClr val="FFFFFF"/>
              </a:bgClr>
            </a:pattFill>
            <a:ln w="12700">
              <a:solidFill>
                <a:srgbClr val="000000"/>
              </a:solidFill>
              <a:prstDash val="solid"/>
            </a:ln>
          </c:spPr>
          <c:invertIfNegative val="0"/>
          <c:cat>
            <c:strRef>
              <c:f>EDUL!$L$3:$L$21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EDUL!$O$3:$O$21</c:f>
              <c:numCache>
                <c:formatCode>General</c:formatCode>
                <c:ptCount val="19"/>
                <c:pt idx="0">
                  <c:v>3530</c:v>
                </c:pt>
                <c:pt idx="1">
                  <c:v>32</c:v>
                </c:pt>
                <c:pt idx="2">
                  <c:v>64</c:v>
                </c:pt>
                <c:pt idx="3">
                  <c:v>130</c:v>
                </c:pt>
                <c:pt idx="4">
                  <c:v>46</c:v>
                </c:pt>
                <c:pt idx="5">
                  <c:v>67</c:v>
                </c:pt>
                <c:pt idx="6">
                  <c:v>21</c:v>
                </c:pt>
                <c:pt idx="7">
                  <c:v>62</c:v>
                </c:pt>
                <c:pt idx="8">
                  <c:v>70</c:v>
                </c:pt>
                <c:pt idx="9">
                  <c:v>21</c:v>
                </c:pt>
                <c:pt idx="10">
                  <c:v>23</c:v>
                </c:pt>
                <c:pt idx="11">
                  <c:v>15</c:v>
                </c:pt>
                <c:pt idx="12">
                  <c:v>162</c:v>
                </c:pt>
                <c:pt idx="13">
                  <c:v>103</c:v>
                </c:pt>
                <c:pt idx="14">
                  <c:v>100</c:v>
                </c:pt>
                <c:pt idx="15">
                  <c:v>72</c:v>
                </c:pt>
                <c:pt idx="16">
                  <c:v>60</c:v>
                </c:pt>
                <c:pt idx="17">
                  <c:v>70</c:v>
                </c:pt>
                <c:pt idx="18">
                  <c:v>61</c:v>
                </c:pt>
              </c:numCache>
            </c:numRef>
          </c:val>
        </c:ser>
        <c:ser>
          <c:idx val="3"/>
          <c:order val="3"/>
          <c:tx>
            <c:strRef>
              <c:f>EDUL!$P$2</c:f>
              <c:strCache>
                <c:ptCount val="1"/>
                <c:pt idx="0">
                  <c:v>Secondary education (12 years)</c:v>
                </c:pt>
              </c:strCache>
            </c:strRef>
          </c:tx>
          <c:spPr>
            <a:solidFill>
              <a:srgbClr val="FFFFFF"/>
            </a:solidFill>
            <a:ln w="12700">
              <a:solidFill>
                <a:srgbClr val="000000"/>
              </a:solidFill>
              <a:prstDash val="solid"/>
            </a:ln>
          </c:spPr>
          <c:invertIfNegative val="0"/>
          <c:cat>
            <c:strRef>
              <c:f>EDUL!$L$3:$L$21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EDUL!$P$3:$P$21</c:f>
              <c:numCache>
                <c:formatCode>General</c:formatCode>
                <c:ptCount val="19"/>
                <c:pt idx="0">
                  <c:v>5965</c:v>
                </c:pt>
                <c:pt idx="1">
                  <c:v>76</c:v>
                </c:pt>
                <c:pt idx="2">
                  <c:v>74</c:v>
                </c:pt>
                <c:pt idx="3">
                  <c:v>372</c:v>
                </c:pt>
                <c:pt idx="4">
                  <c:v>175</c:v>
                </c:pt>
                <c:pt idx="5">
                  <c:v>215</c:v>
                </c:pt>
                <c:pt idx="6">
                  <c:v>81</c:v>
                </c:pt>
                <c:pt idx="7">
                  <c:v>61</c:v>
                </c:pt>
                <c:pt idx="8">
                  <c:v>84</c:v>
                </c:pt>
                <c:pt idx="9">
                  <c:v>51</c:v>
                </c:pt>
                <c:pt idx="10">
                  <c:v>105</c:v>
                </c:pt>
                <c:pt idx="11">
                  <c:v>41</c:v>
                </c:pt>
                <c:pt idx="12">
                  <c:v>170</c:v>
                </c:pt>
                <c:pt idx="13">
                  <c:v>449</c:v>
                </c:pt>
                <c:pt idx="14">
                  <c:v>393</c:v>
                </c:pt>
                <c:pt idx="15">
                  <c:v>175</c:v>
                </c:pt>
                <c:pt idx="16">
                  <c:v>82</c:v>
                </c:pt>
                <c:pt idx="17">
                  <c:v>221</c:v>
                </c:pt>
                <c:pt idx="18">
                  <c:v>265</c:v>
                </c:pt>
              </c:numCache>
            </c:numRef>
          </c:val>
        </c:ser>
        <c:ser>
          <c:idx val="4"/>
          <c:order val="4"/>
          <c:tx>
            <c:strRef>
              <c:f>EDUL!$Q$2</c:f>
              <c:strCache>
                <c:ptCount val="1"/>
                <c:pt idx="0">
                  <c:v>Post-secondary education</c:v>
                </c:pt>
              </c:strCache>
            </c:strRef>
          </c:tx>
          <c:spPr>
            <a:pattFill prst="wdDnDiag">
              <a:fgClr>
                <a:srgbClr val="000000"/>
              </a:fgClr>
              <a:bgClr>
                <a:srgbClr val="FFFFFF"/>
              </a:bgClr>
            </a:pattFill>
            <a:ln w="12700">
              <a:solidFill>
                <a:srgbClr val="000000"/>
              </a:solidFill>
              <a:prstDash val="solid"/>
            </a:ln>
          </c:spPr>
          <c:invertIfNegative val="0"/>
          <c:cat>
            <c:strRef>
              <c:f>EDUL!$L$3:$L$21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EDUL!$Q$3:$Q$21</c:f>
              <c:numCache>
                <c:formatCode>General</c:formatCode>
                <c:ptCount val="19"/>
                <c:pt idx="0">
                  <c:v>597</c:v>
                </c:pt>
                <c:pt idx="1">
                  <c:v>5</c:v>
                </c:pt>
                <c:pt idx="2">
                  <c:v>23</c:v>
                </c:pt>
                <c:pt idx="3">
                  <c:v>97</c:v>
                </c:pt>
                <c:pt idx="4">
                  <c:v>51</c:v>
                </c:pt>
                <c:pt idx="5">
                  <c:v>69</c:v>
                </c:pt>
                <c:pt idx="6">
                  <c:v>25</c:v>
                </c:pt>
                <c:pt idx="7">
                  <c:v>4</c:v>
                </c:pt>
                <c:pt idx="8">
                  <c:v>16</c:v>
                </c:pt>
                <c:pt idx="9">
                  <c:v>11</c:v>
                </c:pt>
                <c:pt idx="10">
                  <c:v>44</c:v>
                </c:pt>
                <c:pt idx="11">
                  <c:v>12</c:v>
                </c:pt>
                <c:pt idx="12">
                  <c:v>24</c:v>
                </c:pt>
                <c:pt idx="13">
                  <c:v>70</c:v>
                </c:pt>
                <c:pt idx="14">
                  <c:v>37</c:v>
                </c:pt>
                <c:pt idx="15">
                  <c:v>55</c:v>
                </c:pt>
                <c:pt idx="16">
                  <c:v>17</c:v>
                </c:pt>
                <c:pt idx="17">
                  <c:v>38</c:v>
                </c:pt>
                <c:pt idx="18">
                  <c:v>91</c:v>
                </c:pt>
              </c:numCache>
            </c:numRef>
          </c:val>
        </c:ser>
        <c:ser>
          <c:idx val="5"/>
          <c:order val="5"/>
          <c:tx>
            <c:strRef>
              <c:f>EDUL!$R$2</c:f>
              <c:strCache>
                <c:ptCount val="1"/>
                <c:pt idx="0">
                  <c:v>Higher education</c:v>
                </c:pt>
              </c:strCache>
            </c:strRef>
          </c:tx>
          <c:spPr>
            <a:pattFill prst="ltVert">
              <a:fgClr>
                <a:srgbClr val="000000"/>
              </a:fgClr>
              <a:bgClr>
                <a:srgbClr val="FFFFFF"/>
              </a:bgClr>
            </a:pattFill>
            <a:ln w="12700">
              <a:solidFill>
                <a:srgbClr val="000000"/>
              </a:solidFill>
              <a:prstDash val="solid"/>
            </a:ln>
          </c:spPr>
          <c:invertIfNegative val="0"/>
          <c:cat>
            <c:strRef>
              <c:f>EDUL!$L$3:$L$21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EDUL!$R$3:$R$21</c:f>
              <c:numCache>
                <c:formatCode>General</c:formatCode>
                <c:ptCount val="19"/>
                <c:pt idx="0">
                  <c:v>1124</c:v>
                </c:pt>
                <c:pt idx="1">
                  <c:v>34</c:v>
                </c:pt>
                <c:pt idx="2">
                  <c:v>17</c:v>
                </c:pt>
                <c:pt idx="3">
                  <c:v>117</c:v>
                </c:pt>
                <c:pt idx="4">
                  <c:v>86</c:v>
                </c:pt>
                <c:pt idx="5">
                  <c:v>44</c:v>
                </c:pt>
                <c:pt idx="6">
                  <c:v>63</c:v>
                </c:pt>
                <c:pt idx="7">
                  <c:v>11</c:v>
                </c:pt>
                <c:pt idx="8">
                  <c:v>20</c:v>
                </c:pt>
                <c:pt idx="9">
                  <c:v>15</c:v>
                </c:pt>
                <c:pt idx="10">
                  <c:v>59</c:v>
                </c:pt>
                <c:pt idx="11">
                  <c:v>18</c:v>
                </c:pt>
                <c:pt idx="12">
                  <c:v>13</c:v>
                </c:pt>
                <c:pt idx="13">
                  <c:v>65</c:v>
                </c:pt>
                <c:pt idx="14">
                  <c:v>58</c:v>
                </c:pt>
                <c:pt idx="15">
                  <c:v>99</c:v>
                </c:pt>
                <c:pt idx="16">
                  <c:v>28</c:v>
                </c:pt>
                <c:pt idx="17">
                  <c:v>46</c:v>
                </c:pt>
                <c:pt idx="18">
                  <c:v>137</c:v>
                </c:pt>
              </c:numCache>
            </c:numRef>
          </c:val>
        </c:ser>
        <c:dLbls>
          <c:showLegendKey val="0"/>
          <c:showVal val="0"/>
          <c:showCatName val="0"/>
          <c:showSerName val="0"/>
          <c:showPercent val="0"/>
          <c:showBubbleSize val="0"/>
        </c:dLbls>
        <c:gapWidth val="150"/>
        <c:overlap val="100"/>
        <c:axId val="247974144"/>
        <c:axId val="247984128"/>
      </c:barChart>
      <c:catAx>
        <c:axId val="247974144"/>
        <c:scaling>
          <c:orientation val="minMax"/>
        </c:scaling>
        <c:delete val="0"/>
        <c:axPos val="b"/>
        <c:numFmt formatCode="General" sourceLinked="1"/>
        <c:majorTickMark val="out"/>
        <c:minorTickMark val="none"/>
        <c:tickLblPos val="nextTo"/>
        <c:spPr>
          <a:ln w="3175">
            <a:solidFill>
              <a:srgbClr val="000000"/>
            </a:solidFill>
            <a:prstDash val="solid"/>
          </a:ln>
        </c:spPr>
        <c:txPr>
          <a:bodyPr rot="-5400000" vert="horz"/>
          <a:lstStyle/>
          <a:p>
            <a:pPr>
              <a:defRPr sz="975" b="0" i="0" u="none" strike="noStrike" baseline="0">
                <a:solidFill>
                  <a:srgbClr val="000000"/>
                </a:solidFill>
                <a:latin typeface="Arial Greek"/>
                <a:ea typeface="Arial Greek"/>
                <a:cs typeface="Arial Greek"/>
              </a:defRPr>
            </a:pPr>
            <a:endParaRPr lang="fi-FI"/>
          </a:p>
        </c:txPr>
        <c:crossAx val="247984128"/>
        <c:crosses val="autoZero"/>
        <c:auto val="1"/>
        <c:lblAlgn val="ctr"/>
        <c:lblOffset val="100"/>
        <c:tickLblSkip val="1"/>
        <c:tickMarkSkip val="1"/>
        <c:noMultiLvlLbl val="0"/>
      </c:catAx>
      <c:valAx>
        <c:axId val="247984128"/>
        <c:scaling>
          <c:orientation val="minMax"/>
        </c:scaling>
        <c:delete val="0"/>
        <c:axPos val="l"/>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Greek"/>
                <a:ea typeface="Arial Greek"/>
                <a:cs typeface="Arial Greek"/>
              </a:defRPr>
            </a:pPr>
            <a:endParaRPr lang="fi-FI"/>
          </a:p>
        </c:txPr>
        <c:crossAx val="247974144"/>
        <c:crosses val="autoZero"/>
        <c:crossBetween val="between"/>
        <c:majorUnit val="0.2"/>
      </c:valAx>
      <c:spPr>
        <a:noFill/>
        <a:ln w="25399">
          <a:noFill/>
        </a:ln>
      </c:spPr>
    </c:plotArea>
    <c:legend>
      <c:legendPos val="r"/>
      <c:layout>
        <c:manualLayout>
          <c:xMode val="edge"/>
          <c:yMode val="edge"/>
          <c:x val="0.75748597452233901"/>
          <c:y val="0.37666506102243108"/>
          <c:w val="0.2408500590318772"/>
          <c:h val="0.23518518518518541"/>
        </c:manualLayout>
      </c:layout>
      <c:overlay val="0"/>
      <c:spPr>
        <a:solidFill>
          <a:srgbClr val="FFFFFF"/>
        </a:solidFill>
        <a:ln w="3175">
          <a:solidFill>
            <a:srgbClr val="000000"/>
          </a:solidFill>
          <a:prstDash val="solid"/>
        </a:ln>
      </c:spPr>
      <c:txPr>
        <a:bodyPr/>
        <a:lstStyle/>
        <a:p>
          <a:pPr>
            <a:defRPr sz="895" b="0" i="0" u="none" strike="noStrike" baseline="0">
              <a:solidFill>
                <a:srgbClr val="000000"/>
              </a:solidFill>
              <a:latin typeface="Arial Greek"/>
              <a:ea typeface="Arial Greek"/>
              <a:cs typeface="Arial Greek"/>
            </a:defRPr>
          </a:pPr>
          <a:endParaRPr lang="fi-FI"/>
        </a:p>
      </c:txPr>
    </c:legend>
    <c:plotVisOnly val="1"/>
    <c:dispBlanksAs val="gap"/>
    <c:showDLblsOverMax val="0"/>
  </c:chart>
  <c:spPr>
    <a:solidFill>
      <a:srgbClr val="FFFFFF"/>
    </a:solidFill>
    <a:ln w="3175">
      <a:solidFill>
        <a:srgbClr val="000000"/>
      </a:solidFill>
      <a:prstDash val="solid"/>
    </a:ln>
  </c:spPr>
  <c:txPr>
    <a:bodyPr/>
    <a:lstStyle/>
    <a:p>
      <a:pPr algn="just">
        <a:defRPr sz="1750" b="0" i="0" u="none" strike="noStrike" baseline="0">
          <a:solidFill>
            <a:srgbClr val="000000"/>
          </a:solidFill>
          <a:latin typeface="Arial Greek"/>
          <a:ea typeface="Arial Greek"/>
          <a:cs typeface="Arial Greek"/>
        </a:defRPr>
      </a:pPr>
      <a:endParaRPr lang="fi-FI"/>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1871345029240622E-2"/>
          <c:y val="4.7722342733188719E-2"/>
          <c:w val="0.56959064327485465"/>
          <c:h val="0.75704989154013835"/>
        </c:manualLayout>
      </c:layout>
      <c:barChart>
        <c:barDir val="col"/>
        <c:grouping val="percentStacked"/>
        <c:varyColors val="0"/>
        <c:ser>
          <c:idx val="0"/>
          <c:order val="0"/>
          <c:tx>
            <c:strRef>
              <c:f>ESeC!$O$2</c:f>
              <c:strCache>
                <c:ptCount val="1"/>
                <c:pt idx="0">
                  <c:v>Non-economically active</c:v>
                </c:pt>
              </c:strCache>
            </c:strRef>
          </c:tx>
          <c:spPr>
            <a:solidFill>
              <a:srgbClr val="000000"/>
            </a:solidFill>
            <a:ln w="12700">
              <a:solidFill>
                <a:srgbClr val="000000"/>
              </a:solidFill>
              <a:prstDash val="solid"/>
            </a:ln>
          </c:spPr>
          <c:invertIfNegative val="0"/>
          <c:cat>
            <c:strRef>
              <c:f>ESeC!$N$3:$N$21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ESeC!$O$3:$O$21</c:f>
              <c:numCache>
                <c:formatCode>General</c:formatCode>
                <c:ptCount val="19"/>
                <c:pt idx="0">
                  <c:v>8857</c:v>
                </c:pt>
                <c:pt idx="1">
                  <c:v>104</c:v>
                </c:pt>
                <c:pt idx="2">
                  <c:v>19</c:v>
                </c:pt>
                <c:pt idx="3">
                  <c:v>200</c:v>
                </c:pt>
                <c:pt idx="4">
                  <c:v>169</c:v>
                </c:pt>
                <c:pt idx="5">
                  <c:v>119</c:v>
                </c:pt>
                <c:pt idx="6">
                  <c:v>87</c:v>
                </c:pt>
                <c:pt idx="7">
                  <c:v>40</c:v>
                </c:pt>
                <c:pt idx="8">
                  <c:v>234</c:v>
                </c:pt>
                <c:pt idx="9">
                  <c:v>69</c:v>
                </c:pt>
                <c:pt idx="10">
                  <c:v>71</c:v>
                </c:pt>
                <c:pt idx="11">
                  <c:v>37</c:v>
                </c:pt>
                <c:pt idx="12">
                  <c:v>59</c:v>
                </c:pt>
                <c:pt idx="13">
                  <c:v>323</c:v>
                </c:pt>
                <c:pt idx="14">
                  <c:v>193</c:v>
                </c:pt>
                <c:pt idx="15">
                  <c:v>255</c:v>
                </c:pt>
                <c:pt idx="16">
                  <c:v>97</c:v>
                </c:pt>
                <c:pt idx="17">
                  <c:v>399</c:v>
                </c:pt>
                <c:pt idx="18">
                  <c:v>199</c:v>
                </c:pt>
              </c:numCache>
            </c:numRef>
          </c:val>
        </c:ser>
        <c:ser>
          <c:idx val="1"/>
          <c:order val="1"/>
          <c:tx>
            <c:strRef>
              <c:f>ESeC!$P$2</c:f>
              <c:strCache>
                <c:ptCount val="1"/>
                <c:pt idx="0">
                  <c:v>Routine occupations (ESeC 9)</c:v>
                </c:pt>
              </c:strCache>
            </c:strRef>
          </c:tx>
          <c:spPr>
            <a:solidFill>
              <a:srgbClr val="C0C0C0"/>
            </a:solidFill>
            <a:ln w="12700">
              <a:solidFill>
                <a:srgbClr val="000000"/>
              </a:solidFill>
              <a:prstDash val="solid"/>
            </a:ln>
          </c:spPr>
          <c:invertIfNegative val="0"/>
          <c:cat>
            <c:strRef>
              <c:f>ESeC!$N$3:$N$21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ESeC!$P$3:$P$21</c:f>
              <c:numCache>
                <c:formatCode>General</c:formatCode>
                <c:ptCount val="19"/>
                <c:pt idx="0">
                  <c:v>5067</c:v>
                </c:pt>
                <c:pt idx="1">
                  <c:v>53</c:v>
                </c:pt>
                <c:pt idx="2">
                  <c:v>94</c:v>
                </c:pt>
                <c:pt idx="3">
                  <c:v>388</c:v>
                </c:pt>
                <c:pt idx="4">
                  <c:v>147</c:v>
                </c:pt>
                <c:pt idx="5">
                  <c:v>292</c:v>
                </c:pt>
                <c:pt idx="6">
                  <c:v>106</c:v>
                </c:pt>
                <c:pt idx="7">
                  <c:v>125</c:v>
                </c:pt>
                <c:pt idx="8">
                  <c:v>117</c:v>
                </c:pt>
                <c:pt idx="9">
                  <c:v>33</c:v>
                </c:pt>
                <c:pt idx="10">
                  <c:v>138</c:v>
                </c:pt>
                <c:pt idx="11">
                  <c:v>31</c:v>
                </c:pt>
                <c:pt idx="12">
                  <c:v>358</c:v>
                </c:pt>
                <c:pt idx="13">
                  <c:v>271</c:v>
                </c:pt>
                <c:pt idx="14">
                  <c:v>235</c:v>
                </c:pt>
                <c:pt idx="15">
                  <c:v>141</c:v>
                </c:pt>
                <c:pt idx="16">
                  <c:v>56</c:v>
                </c:pt>
                <c:pt idx="17">
                  <c:v>36</c:v>
                </c:pt>
                <c:pt idx="18">
                  <c:v>288</c:v>
                </c:pt>
              </c:numCache>
            </c:numRef>
          </c:val>
        </c:ser>
        <c:ser>
          <c:idx val="2"/>
          <c:order val="2"/>
          <c:tx>
            <c:strRef>
              <c:f>ESeC!$Q$2</c:f>
              <c:strCache>
                <c:ptCount val="1"/>
                <c:pt idx="0">
                  <c:v>Lower technical occupations (ESeC 8)</c:v>
                </c:pt>
              </c:strCache>
            </c:strRef>
          </c:tx>
          <c:spPr>
            <a:pattFill prst="ltHorz">
              <a:fgClr>
                <a:srgbClr val="000000"/>
              </a:fgClr>
              <a:bgClr>
                <a:srgbClr val="FFFFFF"/>
              </a:bgClr>
            </a:pattFill>
            <a:ln w="12700">
              <a:solidFill>
                <a:srgbClr val="000000"/>
              </a:solidFill>
              <a:prstDash val="solid"/>
            </a:ln>
          </c:spPr>
          <c:invertIfNegative val="0"/>
          <c:cat>
            <c:strRef>
              <c:f>ESeC!$N$3:$N$21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ESeC!$Q$3:$Q$21</c:f>
              <c:numCache>
                <c:formatCode>General</c:formatCode>
                <c:ptCount val="19"/>
                <c:pt idx="0">
                  <c:v>2779</c:v>
                </c:pt>
                <c:pt idx="1">
                  <c:v>29</c:v>
                </c:pt>
                <c:pt idx="2">
                  <c:v>157</c:v>
                </c:pt>
                <c:pt idx="3">
                  <c:v>77</c:v>
                </c:pt>
                <c:pt idx="4">
                  <c:v>116</c:v>
                </c:pt>
                <c:pt idx="5">
                  <c:v>28</c:v>
                </c:pt>
                <c:pt idx="6">
                  <c:v>13</c:v>
                </c:pt>
                <c:pt idx="7">
                  <c:v>40</c:v>
                </c:pt>
                <c:pt idx="8">
                  <c:v>53</c:v>
                </c:pt>
                <c:pt idx="9">
                  <c:v>15</c:v>
                </c:pt>
                <c:pt idx="10">
                  <c:v>26</c:v>
                </c:pt>
                <c:pt idx="11">
                  <c:v>0</c:v>
                </c:pt>
                <c:pt idx="12">
                  <c:v>208</c:v>
                </c:pt>
                <c:pt idx="13">
                  <c:v>177</c:v>
                </c:pt>
                <c:pt idx="14">
                  <c:v>157</c:v>
                </c:pt>
                <c:pt idx="15">
                  <c:v>35</c:v>
                </c:pt>
                <c:pt idx="16">
                  <c:v>114</c:v>
                </c:pt>
                <c:pt idx="17">
                  <c:v>17</c:v>
                </c:pt>
                <c:pt idx="18">
                  <c:v>57</c:v>
                </c:pt>
              </c:numCache>
            </c:numRef>
          </c:val>
        </c:ser>
        <c:ser>
          <c:idx val="3"/>
          <c:order val="3"/>
          <c:tx>
            <c:strRef>
              <c:f>ESeC!$R$2</c:f>
              <c:strCache>
                <c:ptCount val="1"/>
                <c:pt idx="0">
                  <c:v>Lower supervisory, technician, services, sales &amp; clerical occupations (ESeC 6, 7)</c:v>
                </c:pt>
              </c:strCache>
            </c:strRef>
          </c:tx>
          <c:spPr>
            <a:pattFill prst="wdDnDiag">
              <a:fgClr>
                <a:srgbClr val="000000"/>
              </a:fgClr>
              <a:bgClr>
                <a:srgbClr val="FFFFFF"/>
              </a:bgClr>
            </a:pattFill>
            <a:ln w="12700">
              <a:solidFill>
                <a:srgbClr val="000000"/>
              </a:solidFill>
              <a:prstDash val="solid"/>
            </a:ln>
          </c:spPr>
          <c:invertIfNegative val="0"/>
          <c:cat>
            <c:strRef>
              <c:f>ESeC!$N$3:$N$21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ESeC!$R$3:$R$21</c:f>
              <c:numCache>
                <c:formatCode>General</c:formatCode>
                <c:ptCount val="19"/>
                <c:pt idx="0">
                  <c:v>757</c:v>
                </c:pt>
                <c:pt idx="1">
                  <c:v>11</c:v>
                </c:pt>
                <c:pt idx="2">
                  <c:v>6</c:v>
                </c:pt>
                <c:pt idx="3">
                  <c:v>57</c:v>
                </c:pt>
                <c:pt idx="4">
                  <c:v>22</c:v>
                </c:pt>
                <c:pt idx="5">
                  <c:v>26</c:v>
                </c:pt>
                <c:pt idx="6">
                  <c:v>17</c:v>
                </c:pt>
                <c:pt idx="7">
                  <c:v>3</c:v>
                </c:pt>
                <c:pt idx="8">
                  <c:v>20</c:v>
                </c:pt>
                <c:pt idx="9">
                  <c:v>7</c:v>
                </c:pt>
                <c:pt idx="10">
                  <c:v>26</c:v>
                </c:pt>
                <c:pt idx="11">
                  <c:v>6</c:v>
                </c:pt>
                <c:pt idx="12">
                  <c:v>38</c:v>
                </c:pt>
                <c:pt idx="13">
                  <c:v>30</c:v>
                </c:pt>
                <c:pt idx="14">
                  <c:v>27</c:v>
                </c:pt>
                <c:pt idx="15">
                  <c:v>29</c:v>
                </c:pt>
                <c:pt idx="16">
                  <c:v>7</c:v>
                </c:pt>
                <c:pt idx="17">
                  <c:v>33</c:v>
                </c:pt>
                <c:pt idx="18">
                  <c:v>41</c:v>
                </c:pt>
              </c:numCache>
            </c:numRef>
          </c:val>
        </c:ser>
        <c:ser>
          <c:idx val="4"/>
          <c:order val="4"/>
          <c:tx>
            <c:strRef>
              <c:f>ESeC!$S$2</c:f>
              <c:strCache>
                <c:ptCount val="1"/>
                <c:pt idx="0">
                  <c:v>Small employers and self-employed (ESeC 4,5)</c:v>
                </c:pt>
              </c:strCache>
            </c:strRef>
          </c:tx>
          <c:spPr>
            <a:solidFill>
              <a:srgbClr val="FFFFFF"/>
            </a:solidFill>
            <a:ln w="12700">
              <a:solidFill>
                <a:srgbClr val="000000"/>
              </a:solidFill>
              <a:prstDash val="solid"/>
            </a:ln>
          </c:spPr>
          <c:invertIfNegative val="0"/>
          <c:cat>
            <c:strRef>
              <c:f>ESeC!$N$3:$N$21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ESeC!$S$3:$S$21</c:f>
              <c:numCache>
                <c:formatCode>General</c:formatCode>
                <c:ptCount val="19"/>
                <c:pt idx="0">
                  <c:v>537</c:v>
                </c:pt>
                <c:pt idx="1">
                  <c:v>9</c:v>
                </c:pt>
                <c:pt idx="2">
                  <c:v>26</c:v>
                </c:pt>
                <c:pt idx="3">
                  <c:v>17</c:v>
                </c:pt>
                <c:pt idx="4">
                  <c:v>34</c:v>
                </c:pt>
                <c:pt idx="5">
                  <c:v>9</c:v>
                </c:pt>
                <c:pt idx="6">
                  <c:v>2</c:v>
                </c:pt>
                <c:pt idx="7">
                  <c:v>10</c:v>
                </c:pt>
                <c:pt idx="8">
                  <c:v>9</c:v>
                </c:pt>
                <c:pt idx="9">
                  <c:v>1</c:v>
                </c:pt>
                <c:pt idx="10">
                  <c:v>4</c:v>
                </c:pt>
                <c:pt idx="11">
                  <c:v>30</c:v>
                </c:pt>
                <c:pt idx="12">
                  <c:v>24</c:v>
                </c:pt>
                <c:pt idx="13">
                  <c:v>38</c:v>
                </c:pt>
                <c:pt idx="14">
                  <c:v>17</c:v>
                </c:pt>
                <c:pt idx="15">
                  <c:v>15</c:v>
                </c:pt>
                <c:pt idx="16">
                  <c:v>42</c:v>
                </c:pt>
                <c:pt idx="17">
                  <c:v>45</c:v>
                </c:pt>
                <c:pt idx="18">
                  <c:v>17</c:v>
                </c:pt>
              </c:numCache>
            </c:numRef>
          </c:val>
        </c:ser>
        <c:ser>
          <c:idx val="5"/>
          <c:order val="5"/>
          <c:tx>
            <c:strRef>
              <c:f>ESeC!$T$2</c:f>
              <c:strCache>
                <c:ptCount val="1"/>
                <c:pt idx="0">
                  <c:v>Large Employers, higher and lower grade professionals and managers, intermediate occupations (ESeC 1, 2, 3)</c:v>
                </c:pt>
              </c:strCache>
            </c:strRef>
          </c:tx>
          <c:spPr>
            <a:pattFill prst="ltVert">
              <a:fgClr>
                <a:srgbClr val="000000"/>
              </a:fgClr>
              <a:bgClr>
                <a:srgbClr val="FFFFFF"/>
              </a:bgClr>
            </a:pattFill>
            <a:ln w="12700">
              <a:solidFill>
                <a:srgbClr val="000000"/>
              </a:solidFill>
              <a:prstDash val="solid"/>
            </a:ln>
          </c:spPr>
          <c:invertIfNegative val="0"/>
          <c:cat>
            <c:strRef>
              <c:f>ESeC!$N$3:$N$21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ESeC!$T$3:$T$21</c:f>
              <c:numCache>
                <c:formatCode>General</c:formatCode>
                <c:ptCount val="19"/>
                <c:pt idx="0">
                  <c:v>345</c:v>
                </c:pt>
                <c:pt idx="1">
                  <c:v>6</c:v>
                </c:pt>
                <c:pt idx="2">
                  <c:v>4</c:v>
                </c:pt>
                <c:pt idx="3">
                  <c:v>44</c:v>
                </c:pt>
                <c:pt idx="4">
                  <c:v>22</c:v>
                </c:pt>
                <c:pt idx="5">
                  <c:v>18</c:v>
                </c:pt>
                <c:pt idx="6">
                  <c:v>10</c:v>
                </c:pt>
                <c:pt idx="7">
                  <c:v>6</c:v>
                </c:pt>
                <c:pt idx="8">
                  <c:v>10</c:v>
                </c:pt>
                <c:pt idx="9">
                  <c:v>6</c:v>
                </c:pt>
                <c:pt idx="10">
                  <c:v>5</c:v>
                </c:pt>
                <c:pt idx="11">
                  <c:v>6</c:v>
                </c:pt>
                <c:pt idx="12">
                  <c:v>8</c:v>
                </c:pt>
                <c:pt idx="13">
                  <c:v>38</c:v>
                </c:pt>
                <c:pt idx="14">
                  <c:v>39</c:v>
                </c:pt>
                <c:pt idx="15">
                  <c:v>38</c:v>
                </c:pt>
                <c:pt idx="16">
                  <c:v>13</c:v>
                </c:pt>
                <c:pt idx="17">
                  <c:v>58</c:v>
                </c:pt>
                <c:pt idx="18">
                  <c:v>39</c:v>
                </c:pt>
              </c:numCache>
            </c:numRef>
          </c:val>
        </c:ser>
        <c:dLbls>
          <c:showLegendKey val="0"/>
          <c:showVal val="0"/>
          <c:showCatName val="0"/>
          <c:showSerName val="0"/>
          <c:showPercent val="0"/>
          <c:showBubbleSize val="0"/>
        </c:dLbls>
        <c:gapWidth val="150"/>
        <c:overlap val="100"/>
        <c:axId val="248049664"/>
        <c:axId val="248051200"/>
      </c:barChart>
      <c:catAx>
        <c:axId val="248049664"/>
        <c:scaling>
          <c:orientation val="minMax"/>
        </c:scaling>
        <c:delete val="0"/>
        <c:axPos val="b"/>
        <c:numFmt formatCode="General" sourceLinked="1"/>
        <c:majorTickMark val="out"/>
        <c:minorTickMark val="none"/>
        <c:tickLblPos val="nextTo"/>
        <c:spPr>
          <a:ln w="3175">
            <a:solidFill>
              <a:srgbClr val="000000"/>
            </a:solidFill>
            <a:prstDash val="solid"/>
          </a:ln>
        </c:spPr>
        <c:txPr>
          <a:bodyPr rot="-5400000" vert="horz"/>
          <a:lstStyle/>
          <a:p>
            <a:pPr>
              <a:defRPr sz="975" b="0" i="0" u="none" strike="noStrike" baseline="0">
                <a:solidFill>
                  <a:srgbClr val="000000"/>
                </a:solidFill>
                <a:latin typeface="Arial Greek"/>
                <a:ea typeface="Arial Greek"/>
                <a:cs typeface="Arial Greek"/>
              </a:defRPr>
            </a:pPr>
            <a:endParaRPr lang="fi-FI"/>
          </a:p>
        </c:txPr>
        <c:crossAx val="248051200"/>
        <c:crosses val="autoZero"/>
        <c:auto val="1"/>
        <c:lblAlgn val="ctr"/>
        <c:lblOffset val="100"/>
        <c:tickLblSkip val="1"/>
        <c:tickMarkSkip val="1"/>
        <c:noMultiLvlLbl val="0"/>
      </c:catAx>
      <c:valAx>
        <c:axId val="248051200"/>
        <c:scaling>
          <c:orientation val="minMax"/>
        </c:scaling>
        <c:delete val="0"/>
        <c:axPos val="l"/>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Greek"/>
                <a:ea typeface="Arial Greek"/>
                <a:cs typeface="Arial Greek"/>
              </a:defRPr>
            </a:pPr>
            <a:endParaRPr lang="fi-FI"/>
          </a:p>
        </c:txPr>
        <c:crossAx val="248049664"/>
        <c:crosses val="autoZero"/>
        <c:crossBetween val="between"/>
        <c:majorUnit val="0.2"/>
      </c:valAx>
      <c:spPr>
        <a:noFill/>
        <a:ln w="25400">
          <a:noFill/>
        </a:ln>
      </c:spPr>
    </c:plotArea>
    <c:legend>
      <c:legendPos val="r"/>
      <c:layout>
        <c:manualLayout>
          <c:xMode val="edge"/>
          <c:yMode val="edge"/>
          <c:x val="0.66315789473684261"/>
          <c:y val="7.8091106290672452E-2"/>
          <c:w val="0.33216374269005888"/>
          <c:h val="0.69197396963123647"/>
        </c:manualLayout>
      </c:layout>
      <c:overlay val="0"/>
      <c:spPr>
        <a:solidFill>
          <a:srgbClr val="FFFFFF"/>
        </a:solidFill>
        <a:ln w="3175">
          <a:solidFill>
            <a:srgbClr val="000000"/>
          </a:solidFill>
          <a:prstDash val="solid"/>
        </a:ln>
      </c:spPr>
      <c:txPr>
        <a:bodyPr/>
        <a:lstStyle/>
        <a:p>
          <a:pPr>
            <a:defRPr sz="895" b="0" i="0" u="none" strike="noStrike" baseline="0">
              <a:solidFill>
                <a:srgbClr val="000000"/>
              </a:solidFill>
              <a:latin typeface="Arial Greek"/>
              <a:ea typeface="Arial Greek"/>
              <a:cs typeface="Arial Greek"/>
            </a:defRPr>
          </a:pPr>
          <a:endParaRPr lang="fi-FI"/>
        </a:p>
      </c:txPr>
    </c:legend>
    <c:plotVisOnly val="1"/>
    <c:dispBlanksAs val="gap"/>
    <c:showDLblsOverMax val="0"/>
  </c:chart>
  <c:spPr>
    <a:solidFill>
      <a:srgbClr val="FFFFFF"/>
    </a:solidFill>
    <a:ln w="3175">
      <a:solidFill>
        <a:srgbClr val="000000"/>
      </a:solidFill>
      <a:prstDash val="solid"/>
    </a:ln>
  </c:spPr>
  <c:txPr>
    <a:bodyPr/>
    <a:lstStyle/>
    <a:p>
      <a:pPr>
        <a:defRPr sz="1700" b="0" i="0" u="none" strike="noStrike" baseline="0">
          <a:solidFill>
            <a:srgbClr val="000000"/>
          </a:solidFill>
          <a:latin typeface="Arial Greek"/>
          <a:ea typeface="Arial Greek"/>
          <a:cs typeface="Arial Greek"/>
        </a:defRPr>
      </a:pPr>
      <a:endParaRPr lang="fi-FI"/>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7500000000000008E-2"/>
          <c:y val="4.3999999999999997E-2"/>
          <c:w val="0.72375000000000411"/>
          <c:h val="0.77600000000000435"/>
        </c:manualLayout>
      </c:layout>
      <c:barChart>
        <c:barDir val="col"/>
        <c:grouping val="percentStacked"/>
        <c:varyColors val="0"/>
        <c:ser>
          <c:idx val="0"/>
          <c:order val="0"/>
          <c:tx>
            <c:strRef>
              <c:f>TEN!$C$2</c:f>
              <c:strCache>
                <c:ptCount val="1"/>
                <c:pt idx="0">
                  <c:v>Non-owner occupied</c:v>
                </c:pt>
              </c:strCache>
            </c:strRef>
          </c:tx>
          <c:spPr>
            <a:solidFill>
              <a:srgbClr val="333333"/>
            </a:solidFill>
            <a:ln w="12684">
              <a:solidFill>
                <a:srgbClr val="000000"/>
              </a:solidFill>
              <a:prstDash val="solid"/>
            </a:ln>
          </c:spPr>
          <c:invertIfNegative val="0"/>
          <c:cat>
            <c:strRef>
              <c:f>TEN!$B$3:$B$21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TEN!$C$3:$C$21</c:f>
              <c:numCache>
                <c:formatCode>General</c:formatCode>
                <c:ptCount val="19"/>
                <c:pt idx="0">
                  <c:v>17108</c:v>
                </c:pt>
                <c:pt idx="1">
                  <c:v>201</c:v>
                </c:pt>
                <c:pt idx="2">
                  <c:v>310</c:v>
                </c:pt>
                <c:pt idx="3">
                  <c:v>595</c:v>
                </c:pt>
                <c:pt idx="4">
                  <c:v>452</c:v>
                </c:pt>
                <c:pt idx="5">
                  <c:v>424</c:v>
                </c:pt>
                <c:pt idx="6">
                  <c:v>166</c:v>
                </c:pt>
                <c:pt idx="7">
                  <c:v>183</c:v>
                </c:pt>
                <c:pt idx="8">
                  <c:v>473</c:v>
                </c:pt>
                <c:pt idx="9">
                  <c:v>94</c:v>
                </c:pt>
                <c:pt idx="10">
                  <c:v>212</c:v>
                </c:pt>
                <c:pt idx="11">
                  <c:v>123</c:v>
                </c:pt>
                <c:pt idx="12">
                  <c:v>687</c:v>
                </c:pt>
                <c:pt idx="13">
                  <c:v>832</c:v>
                </c:pt>
                <c:pt idx="14">
                  <c:v>606</c:v>
                </c:pt>
                <c:pt idx="15">
                  <c:v>336</c:v>
                </c:pt>
                <c:pt idx="16">
                  <c:v>313</c:v>
                </c:pt>
                <c:pt idx="17">
                  <c:v>259</c:v>
                </c:pt>
                <c:pt idx="18">
                  <c:v>467</c:v>
                </c:pt>
              </c:numCache>
            </c:numRef>
          </c:val>
        </c:ser>
        <c:ser>
          <c:idx val="1"/>
          <c:order val="1"/>
          <c:tx>
            <c:strRef>
              <c:f>TEN!$D$2</c:f>
              <c:strCache>
                <c:ptCount val="1"/>
                <c:pt idx="0">
                  <c:v>Owner occupied</c:v>
                </c:pt>
              </c:strCache>
            </c:strRef>
          </c:tx>
          <c:spPr>
            <a:solidFill>
              <a:srgbClr val="FFFFFF"/>
            </a:solidFill>
            <a:ln w="12684">
              <a:solidFill>
                <a:srgbClr val="000000"/>
              </a:solidFill>
              <a:prstDash val="solid"/>
            </a:ln>
          </c:spPr>
          <c:invertIfNegative val="0"/>
          <c:cat>
            <c:strRef>
              <c:f>TEN!$B$3:$B$21</c:f>
              <c:strCache>
                <c:ptCount val="19"/>
                <c:pt idx="0">
                  <c:v>Albania</c:v>
                </c:pt>
                <c:pt idx="1">
                  <c:v>Armenia</c:v>
                </c:pt>
                <c:pt idx="2">
                  <c:v>Bangladesh</c:v>
                </c:pt>
                <c:pt idx="3">
                  <c:v>Bulgaria</c:v>
                </c:pt>
                <c:pt idx="4">
                  <c:v>Egypt</c:v>
                </c:pt>
                <c:pt idx="5">
                  <c:v>Filippines</c:v>
                </c:pt>
                <c:pt idx="6">
                  <c:v>Georgia</c:v>
                </c:pt>
                <c:pt idx="7">
                  <c:v>India</c:v>
                </c:pt>
                <c:pt idx="8">
                  <c:v>Iraq</c:v>
                </c:pt>
                <c:pt idx="9">
                  <c:v>Kazakhstan</c:v>
                </c:pt>
                <c:pt idx="10">
                  <c:v>Moldova</c:v>
                </c:pt>
                <c:pt idx="11">
                  <c:v>Nigeria</c:v>
                </c:pt>
                <c:pt idx="12">
                  <c:v>Pakistan</c:v>
                </c:pt>
                <c:pt idx="13">
                  <c:v>Poland</c:v>
                </c:pt>
                <c:pt idx="14">
                  <c:v>Romania</c:v>
                </c:pt>
                <c:pt idx="15">
                  <c:v>Russia</c:v>
                </c:pt>
                <c:pt idx="16">
                  <c:v>Syria</c:v>
                </c:pt>
                <c:pt idx="17">
                  <c:v>Turkey</c:v>
                </c:pt>
                <c:pt idx="18">
                  <c:v>Ukraine</c:v>
                </c:pt>
              </c:strCache>
            </c:strRef>
          </c:cat>
          <c:val>
            <c:numRef>
              <c:f>TEN!$D$3:$D$21</c:f>
              <c:numCache>
                <c:formatCode>General</c:formatCode>
                <c:ptCount val="19"/>
                <c:pt idx="0">
                  <c:v>1888</c:v>
                </c:pt>
                <c:pt idx="1">
                  <c:v>30</c:v>
                </c:pt>
                <c:pt idx="2">
                  <c:v>19</c:v>
                </c:pt>
                <c:pt idx="3">
                  <c:v>245</c:v>
                </c:pt>
                <c:pt idx="4">
                  <c:v>70</c:v>
                </c:pt>
                <c:pt idx="5">
                  <c:v>95</c:v>
                </c:pt>
                <c:pt idx="6">
                  <c:v>80</c:v>
                </c:pt>
                <c:pt idx="7">
                  <c:v>25</c:v>
                </c:pt>
                <c:pt idx="8">
                  <c:v>14</c:v>
                </c:pt>
                <c:pt idx="9">
                  <c:v>45</c:v>
                </c:pt>
                <c:pt idx="10">
                  <c:v>66</c:v>
                </c:pt>
                <c:pt idx="11">
                  <c:v>7</c:v>
                </c:pt>
                <c:pt idx="12">
                  <c:v>44</c:v>
                </c:pt>
                <c:pt idx="13">
                  <c:v>91</c:v>
                </c:pt>
                <c:pt idx="14">
                  <c:v>100</c:v>
                </c:pt>
                <c:pt idx="15">
                  <c:v>214</c:v>
                </c:pt>
                <c:pt idx="16">
                  <c:v>35</c:v>
                </c:pt>
                <c:pt idx="17">
                  <c:v>354</c:v>
                </c:pt>
                <c:pt idx="18">
                  <c:v>201</c:v>
                </c:pt>
              </c:numCache>
            </c:numRef>
          </c:val>
        </c:ser>
        <c:dLbls>
          <c:showLegendKey val="0"/>
          <c:showVal val="0"/>
          <c:showCatName val="0"/>
          <c:showSerName val="0"/>
          <c:showPercent val="0"/>
          <c:showBubbleSize val="0"/>
        </c:dLbls>
        <c:gapWidth val="150"/>
        <c:overlap val="100"/>
        <c:axId val="248100736"/>
        <c:axId val="248102272"/>
      </c:barChart>
      <c:catAx>
        <c:axId val="248100736"/>
        <c:scaling>
          <c:orientation val="minMax"/>
        </c:scaling>
        <c:delete val="0"/>
        <c:axPos val="b"/>
        <c:numFmt formatCode="General" sourceLinked="1"/>
        <c:majorTickMark val="out"/>
        <c:minorTickMark val="none"/>
        <c:tickLblPos val="nextTo"/>
        <c:spPr>
          <a:ln w="3171">
            <a:solidFill>
              <a:srgbClr val="000000"/>
            </a:solidFill>
            <a:prstDash val="solid"/>
          </a:ln>
        </c:spPr>
        <c:txPr>
          <a:bodyPr rot="-5400000" vert="horz"/>
          <a:lstStyle/>
          <a:p>
            <a:pPr>
              <a:defRPr sz="974" b="0" i="0" u="none" strike="noStrike" baseline="0">
                <a:solidFill>
                  <a:srgbClr val="000000"/>
                </a:solidFill>
                <a:latin typeface="Arial Greek"/>
                <a:ea typeface="Arial Greek"/>
                <a:cs typeface="Arial Greek"/>
              </a:defRPr>
            </a:pPr>
            <a:endParaRPr lang="fi-FI"/>
          </a:p>
        </c:txPr>
        <c:crossAx val="248102272"/>
        <c:crosses val="autoZero"/>
        <c:auto val="1"/>
        <c:lblAlgn val="ctr"/>
        <c:lblOffset val="100"/>
        <c:tickLblSkip val="1"/>
        <c:tickMarkSkip val="1"/>
        <c:noMultiLvlLbl val="0"/>
      </c:catAx>
      <c:valAx>
        <c:axId val="248102272"/>
        <c:scaling>
          <c:orientation val="minMax"/>
        </c:scaling>
        <c:delete val="0"/>
        <c:axPos val="l"/>
        <c:numFmt formatCode="0%" sourceLinked="1"/>
        <c:majorTickMark val="out"/>
        <c:minorTickMark val="none"/>
        <c:tickLblPos val="nextTo"/>
        <c:spPr>
          <a:ln w="3171">
            <a:solidFill>
              <a:srgbClr val="000000"/>
            </a:solidFill>
            <a:prstDash val="solid"/>
          </a:ln>
        </c:spPr>
        <c:txPr>
          <a:bodyPr rot="0" vert="horz"/>
          <a:lstStyle/>
          <a:p>
            <a:pPr>
              <a:defRPr sz="974" b="0" i="0" u="none" strike="noStrike" baseline="0">
                <a:solidFill>
                  <a:srgbClr val="000000"/>
                </a:solidFill>
                <a:latin typeface="Arial Greek"/>
                <a:ea typeface="Arial Greek"/>
                <a:cs typeface="Arial Greek"/>
              </a:defRPr>
            </a:pPr>
            <a:endParaRPr lang="fi-FI"/>
          </a:p>
        </c:txPr>
        <c:crossAx val="248100736"/>
        <c:crosses val="autoZero"/>
        <c:crossBetween val="between"/>
        <c:majorUnit val="0.2"/>
      </c:valAx>
      <c:spPr>
        <a:noFill/>
        <a:ln w="25367">
          <a:noFill/>
        </a:ln>
      </c:spPr>
    </c:plotArea>
    <c:legend>
      <c:legendPos val="r"/>
      <c:layout>
        <c:manualLayout>
          <c:xMode val="edge"/>
          <c:yMode val="edge"/>
          <c:x val="0.82375000000000065"/>
          <c:y val="0.38800000000000207"/>
          <c:w val="0.17125000000000001"/>
          <c:h val="8.6000000000000021E-2"/>
        </c:manualLayout>
      </c:layout>
      <c:overlay val="0"/>
      <c:spPr>
        <a:solidFill>
          <a:srgbClr val="FFFFFF"/>
        </a:solidFill>
        <a:ln w="3171">
          <a:solidFill>
            <a:srgbClr val="000000"/>
          </a:solidFill>
          <a:prstDash val="solid"/>
        </a:ln>
      </c:spPr>
      <c:txPr>
        <a:bodyPr/>
        <a:lstStyle/>
        <a:p>
          <a:pPr>
            <a:defRPr sz="894" b="0" i="0" u="none" strike="noStrike" baseline="0">
              <a:solidFill>
                <a:srgbClr val="000000"/>
              </a:solidFill>
              <a:latin typeface="Arial Greek"/>
              <a:ea typeface="Arial Greek"/>
              <a:cs typeface="Arial Greek"/>
            </a:defRPr>
          </a:pPr>
          <a:endParaRPr lang="fi-FI"/>
        </a:p>
      </c:txPr>
    </c:legend>
    <c:plotVisOnly val="1"/>
    <c:dispBlanksAs val="gap"/>
    <c:showDLblsOverMax val="0"/>
  </c:chart>
  <c:spPr>
    <a:solidFill>
      <a:srgbClr val="FFFFFF"/>
    </a:solidFill>
    <a:ln w="3171">
      <a:solidFill>
        <a:srgbClr val="000000"/>
      </a:solidFill>
      <a:prstDash val="solid"/>
    </a:ln>
  </c:spPr>
  <c:txPr>
    <a:bodyPr/>
    <a:lstStyle/>
    <a:p>
      <a:pPr>
        <a:defRPr sz="1673" b="0" i="0" u="none" strike="noStrike" baseline="0">
          <a:solidFill>
            <a:srgbClr val="000000"/>
          </a:solidFill>
          <a:latin typeface="Arial Greek"/>
          <a:ea typeface="Arial Greek"/>
          <a:cs typeface="Arial Greek"/>
        </a:defRPr>
      </a:pPr>
      <a:endParaRPr lang="fi-FI"/>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B55545BE707EE41963776E429A300E2" ma:contentTypeVersion="0" ma:contentTypeDescription="Create a new document." ma:contentTypeScope="" ma:versionID="1960ad8117ed82e40aadc2475d47e6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AE09CE-C9B8-4FE0-B948-993015FFA8B2}">
  <ds:schemaRefs>
    <ds:schemaRef ds:uri="http://schemas.microsoft.com/office/2006/metadata/properties"/>
  </ds:schemaRefs>
</ds:datastoreItem>
</file>

<file path=customXml/itemProps2.xml><?xml version="1.0" encoding="utf-8"?>
<ds:datastoreItem xmlns:ds="http://schemas.openxmlformats.org/officeDocument/2006/customXml" ds:itemID="{77FE4FE3-1031-48E6-82B9-B8E73FB97E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B52304C2-920D-494F-A993-C09157E6FC11}">
  <ds:schemaRefs>
    <ds:schemaRef ds:uri="http://schemas.microsoft.com/sharepoint/v3/contenttype/forms"/>
  </ds:schemaRefs>
</ds:datastoreItem>
</file>

<file path=customXml/itemProps4.xml><?xml version="1.0" encoding="utf-8"?>
<ds:datastoreItem xmlns:ds="http://schemas.openxmlformats.org/officeDocument/2006/customXml" ds:itemID="{98DF1A83-A8A6-4559-8E24-E4E11FB72A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78</Pages>
  <Words>16898</Words>
  <Characters>136875</Characters>
  <Application>Microsoft Office Word</Application>
  <DocSecurity>0</DocSecurity>
  <Lines>1140</Lines>
  <Paragraphs>306</Paragraphs>
  <ScaleCrop>false</ScaleCrop>
  <HeadingPairs>
    <vt:vector size="8" baseType="variant">
      <vt:variant>
        <vt:lpstr>Title</vt:lpstr>
      </vt:variant>
      <vt:variant>
        <vt:i4>1</vt:i4>
      </vt:variant>
      <vt:variant>
        <vt:lpstr>Otsikko</vt:lpstr>
      </vt:variant>
      <vt:variant>
        <vt:i4>1</vt:i4>
      </vt:variant>
      <vt:variant>
        <vt:lpstr>Titel</vt:lpstr>
      </vt:variant>
      <vt:variant>
        <vt:i4>1</vt:i4>
      </vt:variant>
      <vt:variant>
        <vt:lpstr>Τίτλος</vt:lpstr>
      </vt:variant>
      <vt:variant>
        <vt:i4>1</vt:i4>
      </vt:variant>
    </vt:vector>
  </HeadingPairs>
  <TitlesOfParts>
    <vt:vector size="4" baseType="lpstr">
      <vt:lpstr>Version 1 22/09/2008</vt:lpstr>
      <vt:lpstr>Version 1 22/09/2008</vt:lpstr>
      <vt:lpstr>Version 1 22/09/2008</vt:lpstr>
      <vt:lpstr>Version 1 22/09/2008</vt:lpstr>
    </vt:vector>
  </TitlesOfParts>
  <Company>BBR</Company>
  <LinksUpToDate>false</LinksUpToDate>
  <CharactersWithSpaces>153467</CharactersWithSpaces>
  <SharedDoc>false</SharedDoc>
  <HLinks>
    <vt:vector size="408" baseType="variant">
      <vt:variant>
        <vt:i4>1835105</vt:i4>
      </vt:variant>
      <vt:variant>
        <vt:i4>531</vt:i4>
      </vt:variant>
      <vt:variant>
        <vt:i4>0</vt:i4>
      </vt:variant>
      <vt:variant>
        <vt:i4>5</vt:i4>
      </vt:variant>
      <vt:variant>
        <vt:lpwstr>http://www.espon.eu/main/Menu_Projects/Menu_ESPON2006Projects/Menu_StudiesScientificSupportProjects/smallandmediumcities.html</vt:lpwstr>
      </vt:variant>
      <vt:variant>
        <vt:lpwstr/>
      </vt:variant>
      <vt:variant>
        <vt:i4>6029340</vt:i4>
      </vt:variant>
      <vt:variant>
        <vt:i4>528</vt:i4>
      </vt:variant>
      <vt:variant>
        <vt:i4>0</vt:i4>
      </vt:variant>
      <vt:variant>
        <vt:i4>5</vt:i4>
      </vt:variant>
      <vt:variant>
        <vt:lpwstr>http://www.abdn.ac.uk/irr/arkleton/conf2000/papers.shtml</vt:lpwstr>
      </vt:variant>
      <vt:variant>
        <vt:lpwstr/>
      </vt:variant>
      <vt:variant>
        <vt:i4>4063279</vt:i4>
      </vt:variant>
      <vt:variant>
        <vt:i4>525</vt:i4>
      </vt:variant>
      <vt:variant>
        <vt:i4>0</vt:i4>
      </vt:variant>
      <vt:variant>
        <vt:i4>5</vt:i4>
      </vt:variant>
      <vt:variant>
        <vt:lpwstr>http://ec.europa.eu/regional_policy/sources/docoffic/official/reports/cohesion5/index_en.cfm</vt:lpwstr>
      </vt:variant>
      <vt:variant>
        <vt:lpwstr/>
      </vt:variant>
      <vt:variant>
        <vt:i4>8126554</vt:i4>
      </vt:variant>
      <vt:variant>
        <vt:i4>522</vt:i4>
      </vt:variant>
      <vt:variant>
        <vt:i4>0</vt:i4>
      </vt:variant>
      <vt:variant>
        <vt:i4>5</vt:i4>
      </vt:variant>
      <vt:variant>
        <vt:lpwstr>http://ec.europa.eu/agriculture/cap-post-2013/communication/index_en.htm</vt:lpwstr>
      </vt:variant>
      <vt:variant>
        <vt:lpwstr/>
      </vt:variant>
      <vt:variant>
        <vt:i4>2883679</vt:i4>
      </vt:variant>
      <vt:variant>
        <vt:i4>519</vt:i4>
      </vt:variant>
      <vt:variant>
        <vt:i4>0</vt:i4>
      </vt:variant>
      <vt:variant>
        <vt:i4>5</vt:i4>
      </vt:variant>
      <vt:variant>
        <vt:lpwstr>http://ec.europa.eu/regional_policy/sources/docgener/focus/2008_01_rural.pdf</vt:lpwstr>
      </vt:variant>
      <vt:variant>
        <vt:lpwstr/>
      </vt:variant>
      <vt:variant>
        <vt:i4>1507331</vt:i4>
      </vt:variant>
      <vt:variant>
        <vt:i4>516</vt:i4>
      </vt:variant>
      <vt:variant>
        <vt:i4>0</vt:i4>
      </vt:variant>
      <vt:variant>
        <vt:i4>5</vt:i4>
      </vt:variant>
      <vt:variant>
        <vt:lpwstr>http://www.espon.eu/main/Menu_Projects/Menu_AppliedResearch/demifer.html</vt:lpwstr>
      </vt:variant>
      <vt:variant>
        <vt:lpwstr/>
      </vt:variant>
      <vt:variant>
        <vt:i4>7995501</vt:i4>
      </vt:variant>
      <vt:variant>
        <vt:i4>513</vt:i4>
      </vt:variant>
      <vt:variant>
        <vt:i4>0</vt:i4>
      </vt:variant>
      <vt:variant>
        <vt:i4>5</vt:i4>
      </vt:variant>
      <vt:variant>
        <vt:lpwstr>http://www.eu-territorial-agenda.eu/Pages/Default.aspx</vt:lpwstr>
      </vt:variant>
      <vt:variant>
        <vt:lpwstr/>
      </vt:variant>
      <vt:variant>
        <vt:i4>2097188</vt:i4>
      </vt:variant>
      <vt:variant>
        <vt:i4>510</vt:i4>
      </vt:variant>
      <vt:variant>
        <vt:i4>0</vt:i4>
      </vt:variant>
      <vt:variant>
        <vt:i4>5</vt:i4>
      </vt:variant>
      <vt:variant>
        <vt:lpwstr>http://www.espon.eu/main/Menu_Projects/Menu_AppliedResearch/tiptap.html</vt:lpwstr>
      </vt:variant>
      <vt:variant>
        <vt:lpwstr/>
      </vt:variant>
      <vt:variant>
        <vt:i4>8061041</vt:i4>
      </vt:variant>
      <vt:variant>
        <vt:i4>507</vt:i4>
      </vt:variant>
      <vt:variant>
        <vt:i4>0</vt:i4>
      </vt:variant>
      <vt:variant>
        <vt:i4>5</vt:i4>
      </vt:variant>
      <vt:variant>
        <vt:lpwstr>http://www.espon.eu/main/Menu_Projects/Menu_ScientificPlatform/typologycompilation.html</vt:lpwstr>
      </vt:variant>
      <vt:variant>
        <vt:lpwstr/>
      </vt:variant>
      <vt:variant>
        <vt:i4>7340057</vt:i4>
      </vt:variant>
      <vt:variant>
        <vt:i4>504</vt:i4>
      </vt:variant>
      <vt:variant>
        <vt:i4>0</vt:i4>
      </vt:variant>
      <vt:variant>
        <vt:i4>5</vt:i4>
      </vt:variant>
      <vt:variant>
        <vt:lpwstr>http://www.espon.eu/main/Menu_Projects/Menu_ESPON2006Projects/Menu_ThematicProjects/urbanrural.html</vt:lpwstr>
      </vt:variant>
      <vt:variant>
        <vt:lpwstr/>
      </vt:variant>
      <vt:variant>
        <vt:i4>1441845</vt:i4>
      </vt:variant>
      <vt:variant>
        <vt:i4>350</vt:i4>
      </vt:variant>
      <vt:variant>
        <vt:i4>0</vt:i4>
      </vt:variant>
      <vt:variant>
        <vt:i4>5</vt:i4>
      </vt:variant>
      <vt:variant>
        <vt:lpwstr/>
      </vt:variant>
      <vt:variant>
        <vt:lpwstr>_Toc287882830</vt:lpwstr>
      </vt:variant>
      <vt:variant>
        <vt:i4>1507381</vt:i4>
      </vt:variant>
      <vt:variant>
        <vt:i4>344</vt:i4>
      </vt:variant>
      <vt:variant>
        <vt:i4>0</vt:i4>
      </vt:variant>
      <vt:variant>
        <vt:i4>5</vt:i4>
      </vt:variant>
      <vt:variant>
        <vt:lpwstr/>
      </vt:variant>
      <vt:variant>
        <vt:lpwstr>_Toc287882829</vt:lpwstr>
      </vt:variant>
      <vt:variant>
        <vt:i4>1507381</vt:i4>
      </vt:variant>
      <vt:variant>
        <vt:i4>338</vt:i4>
      </vt:variant>
      <vt:variant>
        <vt:i4>0</vt:i4>
      </vt:variant>
      <vt:variant>
        <vt:i4>5</vt:i4>
      </vt:variant>
      <vt:variant>
        <vt:lpwstr/>
      </vt:variant>
      <vt:variant>
        <vt:lpwstr>_Toc287882828</vt:lpwstr>
      </vt:variant>
      <vt:variant>
        <vt:i4>1507381</vt:i4>
      </vt:variant>
      <vt:variant>
        <vt:i4>332</vt:i4>
      </vt:variant>
      <vt:variant>
        <vt:i4>0</vt:i4>
      </vt:variant>
      <vt:variant>
        <vt:i4>5</vt:i4>
      </vt:variant>
      <vt:variant>
        <vt:lpwstr/>
      </vt:variant>
      <vt:variant>
        <vt:lpwstr>_Toc287882827</vt:lpwstr>
      </vt:variant>
      <vt:variant>
        <vt:i4>1507381</vt:i4>
      </vt:variant>
      <vt:variant>
        <vt:i4>323</vt:i4>
      </vt:variant>
      <vt:variant>
        <vt:i4>0</vt:i4>
      </vt:variant>
      <vt:variant>
        <vt:i4>5</vt:i4>
      </vt:variant>
      <vt:variant>
        <vt:lpwstr/>
      </vt:variant>
      <vt:variant>
        <vt:lpwstr>_Toc287882826</vt:lpwstr>
      </vt:variant>
      <vt:variant>
        <vt:i4>1507381</vt:i4>
      </vt:variant>
      <vt:variant>
        <vt:i4>317</vt:i4>
      </vt:variant>
      <vt:variant>
        <vt:i4>0</vt:i4>
      </vt:variant>
      <vt:variant>
        <vt:i4>5</vt:i4>
      </vt:variant>
      <vt:variant>
        <vt:lpwstr/>
      </vt:variant>
      <vt:variant>
        <vt:lpwstr>_Toc287882825</vt:lpwstr>
      </vt:variant>
      <vt:variant>
        <vt:i4>1507381</vt:i4>
      </vt:variant>
      <vt:variant>
        <vt:i4>311</vt:i4>
      </vt:variant>
      <vt:variant>
        <vt:i4>0</vt:i4>
      </vt:variant>
      <vt:variant>
        <vt:i4>5</vt:i4>
      </vt:variant>
      <vt:variant>
        <vt:lpwstr/>
      </vt:variant>
      <vt:variant>
        <vt:lpwstr>_Toc287882824</vt:lpwstr>
      </vt:variant>
      <vt:variant>
        <vt:i4>1507381</vt:i4>
      </vt:variant>
      <vt:variant>
        <vt:i4>305</vt:i4>
      </vt:variant>
      <vt:variant>
        <vt:i4>0</vt:i4>
      </vt:variant>
      <vt:variant>
        <vt:i4>5</vt:i4>
      </vt:variant>
      <vt:variant>
        <vt:lpwstr/>
      </vt:variant>
      <vt:variant>
        <vt:lpwstr>_Toc287882823</vt:lpwstr>
      </vt:variant>
      <vt:variant>
        <vt:i4>1507381</vt:i4>
      </vt:variant>
      <vt:variant>
        <vt:i4>299</vt:i4>
      </vt:variant>
      <vt:variant>
        <vt:i4>0</vt:i4>
      </vt:variant>
      <vt:variant>
        <vt:i4>5</vt:i4>
      </vt:variant>
      <vt:variant>
        <vt:lpwstr/>
      </vt:variant>
      <vt:variant>
        <vt:lpwstr>_Toc287882822</vt:lpwstr>
      </vt:variant>
      <vt:variant>
        <vt:i4>1507381</vt:i4>
      </vt:variant>
      <vt:variant>
        <vt:i4>293</vt:i4>
      </vt:variant>
      <vt:variant>
        <vt:i4>0</vt:i4>
      </vt:variant>
      <vt:variant>
        <vt:i4>5</vt:i4>
      </vt:variant>
      <vt:variant>
        <vt:lpwstr/>
      </vt:variant>
      <vt:variant>
        <vt:lpwstr>_Toc287882821</vt:lpwstr>
      </vt:variant>
      <vt:variant>
        <vt:i4>1507381</vt:i4>
      </vt:variant>
      <vt:variant>
        <vt:i4>287</vt:i4>
      </vt:variant>
      <vt:variant>
        <vt:i4>0</vt:i4>
      </vt:variant>
      <vt:variant>
        <vt:i4>5</vt:i4>
      </vt:variant>
      <vt:variant>
        <vt:lpwstr/>
      </vt:variant>
      <vt:variant>
        <vt:lpwstr>_Toc287882820</vt:lpwstr>
      </vt:variant>
      <vt:variant>
        <vt:i4>1310773</vt:i4>
      </vt:variant>
      <vt:variant>
        <vt:i4>281</vt:i4>
      </vt:variant>
      <vt:variant>
        <vt:i4>0</vt:i4>
      </vt:variant>
      <vt:variant>
        <vt:i4>5</vt:i4>
      </vt:variant>
      <vt:variant>
        <vt:lpwstr/>
      </vt:variant>
      <vt:variant>
        <vt:lpwstr>_Toc287882819</vt:lpwstr>
      </vt:variant>
      <vt:variant>
        <vt:i4>1310773</vt:i4>
      </vt:variant>
      <vt:variant>
        <vt:i4>275</vt:i4>
      </vt:variant>
      <vt:variant>
        <vt:i4>0</vt:i4>
      </vt:variant>
      <vt:variant>
        <vt:i4>5</vt:i4>
      </vt:variant>
      <vt:variant>
        <vt:lpwstr/>
      </vt:variant>
      <vt:variant>
        <vt:lpwstr>_Toc287882818</vt:lpwstr>
      </vt:variant>
      <vt:variant>
        <vt:i4>1310773</vt:i4>
      </vt:variant>
      <vt:variant>
        <vt:i4>269</vt:i4>
      </vt:variant>
      <vt:variant>
        <vt:i4>0</vt:i4>
      </vt:variant>
      <vt:variant>
        <vt:i4>5</vt:i4>
      </vt:variant>
      <vt:variant>
        <vt:lpwstr/>
      </vt:variant>
      <vt:variant>
        <vt:lpwstr>_Toc287882817</vt:lpwstr>
      </vt:variant>
      <vt:variant>
        <vt:i4>1310773</vt:i4>
      </vt:variant>
      <vt:variant>
        <vt:i4>263</vt:i4>
      </vt:variant>
      <vt:variant>
        <vt:i4>0</vt:i4>
      </vt:variant>
      <vt:variant>
        <vt:i4>5</vt:i4>
      </vt:variant>
      <vt:variant>
        <vt:lpwstr/>
      </vt:variant>
      <vt:variant>
        <vt:lpwstr>_Toc287882816</vt:lpwstr>
      </vt:variant>
      <vt:variant>
        <vt:i4>1310773</vt:i4>
      </vt:variant>
      <vt:variant>
        <vt:i4>254</vt:i4>
      </vt:variant>
      <vt:variant>
        <vt:i4>0</vt:i4>
      </vt:variant>
      <vt:variant>
        <vt:i4>5</vt:i4>
      </vt:variant>
      <vt:variant>
        <vt:lpwstr/>
      </vt:variant>
      <vt:variant>
        <vt:lpwstr>_Toc287882810</vt:lpwstr>
      </vt:variant>
      <vt:variant>
        <vt:i4>1114169</vt:i4>
      </vt:variant>
      <vt:variant>
        <vt:i4>245</vt:i4>
      </vt:variant>
      <vt:variant>
        <vt:i4>0</vt:i4>
      </vt:variant>
      <vt:variant>
        <vt:i4>5</vt:i4>
      </vt:variant>
      <vt:variant>
        <vt:lpwstr/>
      </vt:variant>
      <vt:variant>
        <vt:lpwstr>_Toc287882440</vt:lpwstr>
      </vt:variant>
      <vt:variant>
        <vt:i4>1441849</vt:i4>
      </vt:variant>
      <vt:variant>
        <vt:i4>239</vt:i4>
      </vt:variant>
      <vt:variant>
        <vt:i4>0</vt:i4>
      </vt:variant>
      <vt:variant>
        <vt:i4>5</vt:i4>
      </vt:variant>
      <vt:variant>
        <vt:lpwstr/>
      </vt:variant>
      <vt:variant>
        <vt:lpwstr>_Toc287882439</vt:lpwstr>
      </vt:variant>
      <vt:variant>
        <vt:i4>1441849</vt:i4>
      </vt:variant>
      <vt:variant>
        <vt:i4>233</vt:i4>
      </vt:variant>
      <vt:variant>
        <vt:i4>0</vt:i4>
      </vt:variant>
      <vt:variant>
        <vt:i4>5</vt:i4>
      </vt:variant>
      <vt:variant>
        <vt:lpwstr/>
      </vt:variant>
      <vt:variant>
        <vt:lpwstr>_Toc287882438</vt:lpwstr>
      </vt:variant>
      <vt:variant>
        <vt:i4>1441849</vt:i4>
      </vt:variant>
      <vt:variant>
        <vt:i4>227</vt:i4>
      </vt:variant>
      <vt:variant>
        <vt:i4>0</vt:i4>
      </vt:variant>
      <vt:variant>
        <vt:i4>5</vt:i4>
      </vt:variant>
      <vt:variant>
        <vt:lpwstr/>
      </vt:variant>
      <vt:variant>
        <vt:lpwstr>_Toc287882437</vt:lpwstr>
      </vt:variant>
      <vt:variant>
        <vt:i4>1441849</vt:i4>
      </vt:variant>
      <vt:variant>
        <vt:i4>221</vt:i4>
      </vt:variant>
      <vt:variant>
        <vt:i4>0</vt:i4>
      </vt:variant>
      <vt:variant>
        <vt:i4>5</vt:i4>
      </vt:variant>
      <vt:variant>
        <vt:lpwstr/>
      </vt:variant>
      <vt:variant>
        <vt:lpwstr>_Toc287882436</vt:lpwstr>
      </vt:variant>
      <vt:variant>
        <vt:i4>1441849</vt:i4>
      </vt:variant>
      <vt:variant>
        <vt:i4>215</vt:i4>
      </vt:variant>
      <vt:variant>
        <vt:i4>0</vt:i4>
      </vt:variant>
      <vt:variant>
        <vt:i4>5</vt:i4>
      </vt:variant>
      <vt:variant>
        <vt:lpwstr/>
      </vt:variant>
      <vt:variant>
        <vt:lpwstr>_Toc287882435</vt:lpwstr>
      </vt:variant>
      <vt:variant>
        <vt:i4>1441849</vt:i4>
      </vt:variant>
      <vt:variant>
        <vt:i4>209</vt:i4>
      </vt:variant>
      <vt:variant>
        <vt:i4>0</vt:i4>
      </vt:variant>
      <vt:variant>
        <vt:i4>5</vt:i4>
      </vt:variant>
      <vt:variant>
        <vt:lpwstr/>
      </vt:variant>
      <vt:variant>
        <vt:lpwstr>_Toc287882434</vt:lpwstr>
      </vt:variant>
      <vt:variant>
        <vt:i4>1441849</vt:i4>
      </vt:variant>
      <vt:variant>
        <vt:i4>203</vt:i4>
      </vt:variant>
      <vt:variant>
        <vt:i4>0</vt:i4>
      </vt:variant>
      <vt:variant>
        <vt:i4>5</vt:i4>
      </vt:variant>
      <vt:variant>
        <vt:lpwstr/>
      </vt:variant>
      <vt:variant>
        <vt:lpwstr>_Toc287882433</vt:lpwstr>
      </vt:variant>
      <vt:variant>
        <vt:i4>1441849</vt:i4>
      </vt:variant>
      <vt:variant>
        <vt:i4>197</vt:i4>
      </vt:variant>
      <vt:variant>
        <vt:i4>0</vt:i4>
      </vt:variant>
      <vt:variant>
        <vt:i4>5</vt:i4>
      </vt:variant>
      <vt:variant>
        <vt:lpwstr/>
      </vt:variant>
      <vt:variant>
        <vt:lpwstr>_Toc287882432</vt:lpwstr>
      </vt:variant>
      <vt:variant>
        <vt:i4>1441849</vt:i4>
      </vt:variant>
      <vt:variant>
        <vt:i4>191</vt:i4>
      </vt:variant>
      <vt:variant>
        <vt:i4>0</vt:i4>
      </vt:variant>
      <vt:variant>
        <vt:i4>5</vt:i4>
      </vt:variant>
      <vt:variant>
        <vt:lpwstr/>
      </vt:variant>
      <vt:variant>
        <vt:lpwstr>_Toc287882431</vt:lpwstr>
      </vt:variant>
      <vt:variant>
        <vt:i4>1441849</vt:i4>
      </vt:variant>
      <vt:variant>
        <vt:i4>185</vt:i4>
      </vt:variant>
      <vt:variant>
        <vt:i4>0</vt:i4>
      </vt:variant>
      <vt:variant>
        <vt:i4>5</vt:i4>
      </vt:variant>
      <vt:variant>
        <vt:lpwstr/>
      </vt:variant>
      <vt:variant>
        <vt:lpwstr>_Toc287882430</vt:lpwstr>
      </vt:variant>
      <vt:variant>
        <vt:i4>1507385</vt:i4>
      </vt:variant>
      <vt:variant>
        <vt:i4>179</vt:i4>
      </vt:variant>
      <vt:variant>
        <vt:i4>0</vt:i4>
      </vt:variant>
      <vt:variant>
        <vt:i4>5</vt:i4>
      </vt:variant>
      <vt:variant>
        <vt:lpwstr/>
      </vt:variant>
      <vt:variant>
        <vt:lpwstr>_Toc287882429</vt:lpwstr>
      </vt:variant>
      <vt:variant>
        <vt:i4>1507385</vt:i4>
      </vt:variant>
      <vt:variant>
        <vt:i4>173</vt:i4>
      </vt:variant>
      <vt:variant>
        <vt:i4>0</vt:i4>
      </vt:variant>
      <vt:variant>
        <vt:i4>5</vt:i4>
      </vt:variant>
      <vt:variant>
        <vt:lpwstr/>
      </vt:variant>
      <vt:variant>
        <vt:lpwstr>_Toc287882428</vt:lpwstr>
      </vt:variant>
      <vt:variant>
        <vt:i4>1507385</vt:i4>
      </vt:variant>
      <vt:variant>
        <vt:i4>167</vt:i4>
      </vt:variant>
      <vt:variant>
        <vt:i4>0</vt:i4>
      </vt:variant>
      <vt:variant>
        <vt:i4>5</vt:i4>
      </vt:variant>
      <vt:variant>
        <vt:lpwstr/>
      </vt:variant>
      <vt:variant>
        <vt:lpwstr>_Toc287882427</vt:lpwstr>
      </vt:variant>
      <vt:variant>
        <vt:i4>1507385</vt:i4>
      </vt:variant>
      <vt:variant>
        <vt:i4>161</vt:i4>
      </vt:variant>
      <vt:variant>
        <vt:i4>0</vt:i4>
      </vt:variant>
      <vt:variant>
        <vt:i4>5</vt:i4>
      </vt:variant>
      <vt:variant>
        <vt:lpwstr/>
      </vt:variant>
      <vt:variant>
        <vt:lpwstr>_Toc287882426</vt:lpwstr>
      </vt:variant>
      <vt:variant>
        <vt:i4>1507385</vt:i4>
      </vt:variant>
      <vt:variant>
        <vt:i4>155</vt:i4>
      </vt:variant>
      <vt:variant>
        <vt:i4>0</vt:i4>
      </vt:variant>
      <vt:variant>
        <vt:i4>5</vt:i4>
      </vt:variant>
      <vt:variant>
        <vt:lpwstr/>
      </vt:variant>
      <vt:variant>
        <vt:lpwstr>_Toc287882425</vt:lpwstr>
      </vt:variant>
      <vt:variant>
        <vt:i4>1507385</vt:i4>
      </vt:variant>
      <vt:variant>
        <vt:i4>149</vt:i4>
      </vt:variant>
      <vt:variant>
        <vt:i4>0</vt:i4>
      </vt:variant>
      <vt:variant>
        <vt:i4>5</vt:i4>
      </vt:variant>
      <vt:variant>
        <vt:lpwstr/>
      </vt:variant>
      <vt:variant>
        <vt:lpwstr>_Toc287882424</vt:lpwstr>
      </vt:variant>
      <vt:variant>
        <vt:i4>1507385</vt:i4>
      </vt:variant>
      <vt:variant>
        <vt:i4>143</vt:i4>
      </vt:variant>
      <vt:variant>
        <vt:i4>0</vt:i4>
      </vt:variant>
      <vt:variant>
        <vt:i4>5</vt:i4>
      </vt:variant>
      <vt:variant>
        <vt:lpwstr/>
      </vt:variant>
      <vt:variant>
        <vt:lpwstr>_Toc287882423</vt:lpwstr>
      </vt:variant>
      <vt:variant>
        <vt:i4>1507385</vt:i4>
      </vt:variant>
      <vt:variant>
        <vt:i4>137</vt:i4>
      </vt:variant>
      <vt:variant>
        <vt:i4>0</vt:i4>
      </vt:variant>
      <vt:variant>
        <vt:i4>5</vt:i4>
      </vt:variant>
      <vt:variant>
        <vt:lpwstr/>
      </vt:variant>
      <vt:variant>
        <vt:lpwstr>_Toc287882422</vt:lpwstr>
      </vt:variant>
      <vt:variant>
        <vt:i4>1507385</vt:i4>
      </vt:variant>
      <vt:variant>
        <vt:i4>131</vt:i4>
      </vt:variant>
      <vt:variant>
        <vt:i4>0</vt:i4>
      </vt:variant>
      <vt:variant>
        <vt:i4>5</vt:i4>
      </vt:variant>
      <vt:variant>
        <vt:lpwstr/>
      </vt:variant>
      <vt:variant>
        <vt:lpwstr>_Toc287882421</vt:lpwstr>
      </vt:variant>
      <vt:variant>
        <vt:i4>1507385</vt:i4>
      </vt:variant>
      <vt:variant>
        <vt:i4>125</vt:i4>
      </vt:variant>
      <vt:variant>
        <vt:i4>0</vt:i4>
      </vt:variant>
      <vt:variant>
        <vt:i4>5</vt:i4>
      </vt:variant>
      <vt:variant>
        <vt:lpwstr/>
      </vt:variant>
      <vt:variant>
        <vt:lpwstr>_Toc287882420</vt:lpwstr>
      </vt:variant>
      <vt:variant>
        <vt:i4>1310777</vt:i4>
      </vt:variant>
      <vt:variant>
        <vt:i4>119</vt:i4>
      </vt:variant>
      <vt:variant>
        <vt:i4>0</vt:i4>
      </vt:variant>
      <vt:variant>
        <vt:i4>5</vt:i4>
      </vt:variant>
      <vt:variant>
        <vt:lpwstr/>
      </vt:variant>
      <vt:variant>
        <vt:lpwstr>_Toc287882419</vt:lpwstr>
      </vt:variant>
      <vt:variant>
        <vt:i4>1310777</vt:i4>
      </vt:variant>
      <vt:variant>
        <vt:i4>113</vt:i4>
      </vt:variant>
      <vt:variant>
        <vt:i4>0</vt:i4>
      </vt:variant>
      <vt:variant>
        <vt:i4>5</vt:i4>
      </vt:variant>
      <vt:variant>
        <vt:lpwstr/>
      </vt:variant>
      <vt:variant>
        <vt:lpwstr>_Toc287882418</vt:lpwstr>
      </vt:variant>
      <vt:variant>
        <vt:i4>1310777</vt:i4>
      </vt:variant>
      <vt:variant>
        <vt:i4>107</vt:i4>
      </vt:variant>
      <vt:variant>
        <vt:i4>0</vt:i4>
      </vt:variant>
      <vt:variant>
        <vt:i4>5</vt:i4>
      </vt:variant>
      <vt:variant>
        <vt:lpwstr/>
      </vt:variant>
      <vt:variant>
        <vt:lpwstr>_Toc287882417</vt:lpwstr>
      </vt:variant>
      <vt:variant>
        <vt:i4>1310777</vt:i4>
      </vt:variant>
      <vt:variant>
        <vt:i4>101</vt:i4>
      </vt:variant>
      <vt:variant>
        <vt:i4>0</vt:i4>
      </vt:variant>
      <vt:variant>
        <vt:i4>5</vt:i4>
      </vt:variant>
      <vt:variant>
        <vt:lpwstr/>
      </vt:variant>
      <vt:variant>
        <vt:lpwstr>_Toc287882416</vt:lpwstr>
      </vt:variant>
      <vt:variant>
        <vt:i4>1310777</vt:i4>
      </vt:variant>
      <vt:variant>
        <vt:i4>95</vt:i4>
      </vt:variant>
      <vt:variant>
        <vt:i4>0</vt:i4>
      </vt:variant>
      <vt:variant>
        <vt:i4>5</vt:i4>
      </vt:variant>
      <vt:variant>
        <vt:lpwstr/>
      </vt:variant>
      <vt:variant>
        <vt:lpwstr>_Toc287882415</vt:lpwstr>
      </vt:variant>
      <vt:variant>
        <vt:i4>1310777</vt:i4>
      </vt:variant>
      <vt:variant>
        <vt:i4>89</vt:i4>
      </vt:variant>
      <vt:variant>
        <vt:i4>0</vt:i4>
      </vt:variant>
      <vt:variant>
        <vt:i4>5</vt:i4>
      </vt:variant>
      <vt:variant>
        <vt:lpwstr/>
      </vt:variant>
      <vt:variant>
        <vt:lpwstr>_Toc287882414</vt:lpwstr>
      </vt:variant>
      <vt:variant>
        <vt:i4>1310777</vt:i4>
      </vt:variant>
      <vt:variant>
        <vt:i4>83</vt:i4>
      </vt:variant>
      <vt:variant>
        <vt:i4>0</vt:i4>
      </vt:variant>
      <vt:variant>
        <vt:i4>5</vt:i4>
      </vt:variant>
      <vt:variant>
        <vt:lpwstr/>
      </vt:variant>
      <vt:variant>
        <vt:lpwstr>_Toc287882413</vt:lpwstr>
      </vt:variant>
      <vt:variant>
        <vt:i4>1310777</vt:i4>
      </vt:variant>
      <vt:variant>
        <vt:i4>77</vt:i4>
      </vt:variant>
      <vt:variant>
        <vt:i4>0</vt:i4>
      </vt:variant>
      <vt:variant>
        <vt:i4>5</vt:i4>
      </vt:variant>
      <vt:variant>
        <vt:lpwstr/>
      </vt:variant>
      <vt:variant>
        <vt:lpwstr>_Toc287882412</vt:lpwstr>
      </vt:variant>
      <vt:variant>
        <vt:i4>1310777</vt:i4>
      </vt:variant>
      <vt:variant>
        <vt:i4>71</vt:i4>
      </vt:variant>
      <vt:variant>
        <vt:i4>0</vt:i4>
      </vt:variant>
      <vt:variant>
        <vt:i4>5</vt:i4>
      </vt:variant>
      <vt:variant>
        <vt:lpwstr/>
      </vt:variant>
      <vt:variant>
        <vt:lpwstr>_Toc287882411</vt:lpwstr>
      </vt:variant>
      <vt:variant>
        <vt:i4>1310777</vt:i4>
      </vt:variant>
      <vt:variant>
        <vt:i4>65</vt:i4>
      </vt:variant>
      <vt:variant>
        <vt:i4>0</vt:i4>
      </vt:variant>
      <vt:variant>
        <vt:i4>5</vt:i4>
      </vt:variant>
      <vt:variant>
        <vt:lpwstr/>
      </vt:variant>
      <vt:variant>
        <vt:lpwstr>_Toc287882410</vt:lpwstr>
      </vt:variant>
      <vt:variant>
        <vt:i4>1376313</vt:i4>
      </vt:variant>
      <vt:variant>
        <vt:i4>59</vt:i4>
      </vt:variant>
      <vt:variant>
        <vt:i4>0</vt:i4>
      </vt:variant>
      <vt:variant>
        <vt:i4>5</vt:i4>
      </vt:variant>
      <vt:variant>
        <vt:lpwstr/>
      </vt:variant>
      <vt:variant>
        <vt:lpwstr>_Toc287882409</vt:lpwstr>
      </vt:variant>
      <vt:variant>
        <vt:i4>1376313</vt:i4>
      </vt:variant>
      <vt:variant>
        <vt:i4>53</vt:i4>
      </vt:variant>
      <vt:variant>
        <vt:i4>0</vt:i4>
      </vt:variant>
      <vt:variant>
        <vt:i4>5</vt:i4>
      </vt:variant>
      <vt:variant>
        <vt:lpwstr/>
      </vt:variant>
      <vt:variant>
        <vt:lpwstr>_Toc287882408</vt:lpwstr>
      </vt:variant>
      <vt:variant>
        <vt:i4>1376313</vt:i4>
      </vt:variant>
      <vt:variant>
        <vt:i4>47</vt:i4>
      </vt:variant>
      <vt:variant>
        <vt:i4>0</vt:i4>
      </vt:variant>
      <vt:variant>
        <vt:i4>5</vt:i4>
      </vt:variant>
      <vt:variant>
        <vt:lpwstr/>
      </vt:variant>
      <vt:variant>
        <vt:lpwstr>_Toc287882407</vt:lpwstr>
      </vt:variant>
      <vt:variant>
        <vt:i4>1376313</vt:i4>
      </vt:variant>
      <vt:variant>
        <vt:i4>41</vt:i4>
      </vt:variant>
      <vt:variant>
        <vt:i4>0</vt:i4>
      </vt:variant>
      <vt:variant>
        <vt:i4>5</vt:i4>
      </vt:variant>
      <vt:variant>
        <vt:lpwstr/>
      </vt:variant>
      <vt:variant>
        <vt:lpwstr>_Toc287882406</vt:lpwstr>
      </vt:variant>
      <vt:variant>
        <vt:i4>1376313</vt:i4>
      </vt:variant>
      <vt:variant>
        <vt:i4>35</vt:i4>
      </vt:variant>
      <vt:variant>
        <vt:i4>0</vt:i4>
      </vt:variant>
      <vt:variant>
        <vt:i4>5</vt:i4>
      </vt:variant>
      <vt:variant>
        <vt:lpwstr/>
      </vt:variant>
      <vt:variant>
        <vt:lpwstr>_Toc287882405</vt:lpwstr>
      </vt:variant>
      <vt:variant>
        <vt:i4>1376313</vt:i4>
      </vt:variant>
      <vt:variant>
        <vt:i4>29</vt:i4>
      </vt:variant>
      <vt:variant>
        <vt:i4>0</vt:i4>
      </vt:variant>
      <vt:variant>
        <vt:i4>5</vt:i4>
      </vt:variant>
      <vt:variant>
        <vt:lpwstr/>
      </vt:variant>
      <vt:variant>
        <vt:lpwstr>_Toc287882404</vt:lpwstr>
      </vt:variant>
      <vt:variant>
        <vt:i4>1376313</vt:i4>
      </vt:variant>
      <vt:variant>
        <vt:i4>23</vt:i4>
      </vt:variant>
      <vt:variant>
        <vt:i4>0</vt:i4>
      </vt:variant>
      <vt:variant>
        <vt:i4>5</vt:i4>
      </vt:variant>
      <vt:variant>
        <vt:lpwstr/>
      </vt:variant>
      <vt:variant>
        <vt:lpwstr>_Toc287882403</vt:lpwstr>
      </vt:variant>
      <vt:variant>
        <vt:i4>1376313</vt:i4>
      </vt:variant>
      <vt:variant>
        <vt:i4>17</vt:i4>
      </vt:variant>
      <vt:variant>
        <vt:i4>0</vt:i4>
      </vt:variant>
      <vt:variant>
        <vt:i4>5</vt:i4>
      </vt:variant>
      <vt:variant>
        <vt:lpwstr/>
      </vt:variant>
      <vt:variant>
        <vt:lpwstr>_Toc287882402</vt:lpwstr>
      </vt:variant>
      <vt:variant>
        <vt:i4>1376313</vt:i4>
      </vt:variant>
      <vt:variant>
        <vt:i4>11</vt:i4>
      </vt:variant>
      <vt:variant>
        <vt:i4>0</vt:i4>
      </vt:variant>
      <vt:variant>
        <vt:i4>5</vt:i4>
      </vt:variant>
      <vt:variant>
        <vt:lpwstr/>
      </vt:variant>
      <vt:variant>
        <vt:lpwstr>_Toc287882401</vt:lpwstr>
      </vt:variant>
      <vt:variant>
        <vt:i4>1376313</vt:i4>
      </vt:variant>
      <vt:variant>
        <vt:i4>5</vt:i4>
      </vt:variant>
      <vt:variant>
        <vt:i4>0</vt:i4>
      </vt:variant>
      <vt:variant>
        <vt:i4>5</vt:i4>
      </vt:variant>
      <vt:variant>
        <vt:lpwstr/>
      </vt:variant>
      <vt:variant>
        <vt:lpwstr>_Toc287882400</vt:lpwstr>
      </vt:variant>
      <vt:variant>
        <vt:i4>1703959</vt:i4>
      </vt:variant>
      <vt:variant>
        <vt:i4>0</vt:i4>
      </vt:variant>
      <vt:variant>
        <vt:i4>0</vt:i4>
      </vt:variant>
      <vt:variant>
        <vt:i4>5</vt:i4>
      </vt:variant>
      <vt:variant>
        <vt:lpwstr>http://www.espon.eu/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1 22/09/2008</dc:title>
  <dc:creator>mehlbye</dc:creator>
  <cp:lastModifiedBy>Petri Kahila</cp:lastModifiedBy>
  <cp:revision>2</cp:revision>
  <cp:lastPrinted>2014-10-07T06:51:00Z</cp:lastPrinted>
  <dcterms:created xsi:type="dcterms:W3CDTF">2014-10-17T12:50:00Z</dcterms:created>
  <dcterms:modified xsi:type="dcterms:W3CDTF">2014-10-17T12:50:00Z</dcterms:modified>
</cp:coreProperties>
</file>