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30686" w:rsidRPr="00C36DAF" w:rsidRDefault="00AB0F53" w:rsidP="00430686">
      <w:pPr>
        <w:spacing w:before="0"/>
        <w:ind w:left="-1701"/>
        <w:rPr>
          <w:iCs/>
        </w:rPr>
      </w:pPr>
      <w:bookmarkStart w:id="0" w:name="_Toc221439757"/>
      <w:r>
        <w:rPr>
          <w:noProof/>
          <w:lang w:val="fi-FI" w:eastAsia="fi-FI"/>
        </w:rPr>
        <mc:AlternateContent>
          <mc:Choice Requires="wps">
            <w:drawing>
              <wp:anchor distT="0" distB="0" distL="114300" distR="114300" simplePos="0" relativeHeight="251657216" behindDoc="0" locked="0" layoutInCell="1" allowOverlap="1">
                <wp:simplePos x="0" y="0"/>
                <wp:positionH relativeFrom="column">
                  <wp:posOffset>-813435</wp:posOffset>
                </wp:positionH>
                <wp:positionV relativeFrom="paragraph">
                  <wp:posOffset>3930650</wp:posOffset>
                </wp:positionV>
                <wp:extent cx="7035800" cy="1835150"/>
                <wp:effectExtent l="0" t="0" r="0" b="0"/>
                <wp:wrapNone/>
                <wp:docPr id="7" name="Text Box 3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35800" cy="1835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4717" w:rsidRDefault="00714717" w:rsidP="00430686">
                            <w:pPr>
                              <w:ind w:left="426" w:right="530"/>
                              <w:jc w:val="center"/>
                              <w:rPr>
                                <w:rFonts w:cs="Arial"/>
                                <w:sz w:val="60"/>
                                <w:szCs w:val="60"/>
                              </w:rPr>
                            </w:pPr>
                            <w:r>
                              <w:rPr>
                                <w:rFonts w:cs="Arial"/>
                                <w:sz w:val="60"/>
                                <w:szCs w:val="60"/>
                              </w:rPr>
                              <w:t>TiPSE</w:t>
                            </w:r>
                          </w:p>
                          <w:p w:rsidR="00714717" w:rsidRPr="00721B03" w:rsidRDefault="00714717" w:rsidP="00430686">
                            <w:pPr>
                              <w:ind w:left="426" w:right="530"/>
                              <w:jc w:val="center"/>
                              <w:rPr>
                                <w:rFonts w:cs="Arial"/>
                                <w:sz w:val="60"/>
                                <w:szCs w:val="60"/>
                              </w:rPr>
                            </w:pPr>
                            <w:r w:rsidRPr="00377F72">
                              <w:rPr>
                                <w:rFonts w:cs="Arial"/>
                                <w:sz w:val="60"/>
                                <w:szCs w:val="60"/>
                              </w:rPr>
                              <w:t xml:space="preserve">The </w:t>
                            </w:r>
                            <w:r>
                              <w:rPr>
                                <w:rFonts w:cs="Arial"/>
                                <w:color w:val="FF0000"/>
                                <w:sz w:val="60"/>
                                <w:szCs w:val="60"/>
                              </w:rPr>
                              <w:t>T</w:t>
                            </w:r>
                            <w:r>
                              <w:rPr>
                                <w:rFonts w:cs="Arial"/>
                                <w:sz w:val="60"/>
                                <w:szCs w:val="60"/>
                              </w:rPr>
                              <w:t>erritorial D</w:t>
                            </w:r>
                            <w:r w:rsidRPr="00377F72">
                              <w:rPr>
                                <w:rFonts w:cs="Arial"/>
                                <w:color w:val="FF0000"/>
                                <w:sz w:val="60"/>
                                <w:szCs w:val="60"/>
                              </w:rPr>
                              <w:t>i</w:t>
                            </w:r>
                            <w:r>
                              <w:rPr>
                                <w:rFonts w:cs="Arial"/>
                                <w:sz w:val="60"/>
                                <w:szCs w:val="60"/>
                              </w:rPr>
                              <w:t xml:space="preserve">mension of </w:t>
                            </w:r>
                            <w:r>
                              <w:rPr>
                                <w:rFonts w:cs="Arial"/>
                                <w:color w:val="FF0000"/>
                                <w:sz w:val="60"/>
                                <w:szCs w:val="60"/>
                              </w:rPr>
                              <w:t>P</w:t>
                            </w:r>
                            <w:r>
                              <w:rPr>
                                <w:rFonts w:cs="Arial"/>
                                <w:sz w:val="60"/>
                                <w:szCs w:val="60"/>
                              </w:rPr>
                              <w:t xml:space="preserve">overty and </w:t>
                            </w:r>
                            <w:r>
                              <w:rPr>
                                <w:rFonts w:cs="Arial"/>
                                <w:color w:val="FF0000"/>
                                <w:sz w:val="60"/>
                                <w:szCs w:val="60"/>
                              </w:rPr>
                              <w:t>S</w:t>
                            </w:r>
                            <w:r>
                              <w:rPr>
                                <w:rFonts w:cs="Arial"/>
                                <w:sz w:val="60"/>
                                <w:szCs w:val="60"/>
                              </w:rPr>
                              <w:t xml:space="preserve">ocial </w:t>
                            </w:r>
                            <w:r>
                              <w:rPr>
                                <w:rFonts w:cs="Arial"/>
                                <w:color w:val="FF0000"/>
                                <w:sz w:val="60"/>
                                <w:szCs w:val="60"/>
                              </w:rPr>
                              <w:t>E</w:t>
                            </w:r>
                            <w:r>
                              <w:rPr>
                                <w:rFonts w:cs="Arial"/>
                                <w:sz w:val="60"/>
                                <w:szCs w:val="60"/>
                              </w:rPr>
                              <w:t>xclusion in Europe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01" o:spid="_x0000_s1026" type="#_x0000_t202" style="position:absolute;left:0;text-align:left;margin-left:-64.05pt;margin-top:309.5pt;width:554pt;height:144.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" filled="f" stroked="f">
                <v:textbox>
                  <w:txbxContent>
                    <w:p w:rsidR="00714717" w:rsidRDefault="00714717" w:rsidP="00430686">
                      <w:pPr>
                        <w:ind w:left="426" w:right="530"/>
                        <w:jc w:val="center"/>
                        <w:rPr>
                          <w:rFonts w:cs="Arial"/>
                          <w:sz w:val="60"/>
                          <w:szCs w:val="60"/>
                        </w:rPr>
                      </w:pPr>
                      <w:r>
                        <w:rPr>
                          <w:rFonts w:cs="Arial"/>
                          <w:sz w:val="60"/>
                          <w:szCs w:val="60"/>
                        </w:rPr>
                        <w:t>TiPSE</w:t>
                      </w:r>
                    </w:p>
                    <w:p w:rsidR="00714717" w:rsidRPr="00721B03" w:rsidRDefault="00714717" w:rsidP="00430686">
                      <w:pPr>
                        <w:ind w:left="426" w:right="530"/>
                        <w:jc w:val="center"/>
                        <w:rPr>
                          <w:rFonts w:cs="Arial"/>
                          <w:sz w:val="60"/>
                          <w:szCs w:val="60"/>
                        </w:rPr>
                      </w:pPr>
                      <w:r w:rsidRPr="00377F72">
                        <w:rPr>
                          <w:rFonts w:cs="Arial"/>
                          <w:sz w:val="60"/>
                          <w:szCs w:val="60"/>
                        </w:rPr>
                        <w:t xml:space="preserve">The </w:t>
                      </w:r>
                      <w:r>
                        <w:rPr>
                          <w:rFonts w:cs="Arial"/>
                          <w:color w:val="FF0000"/>
                          <w:sz w:val="60"/>
                          <w:szCs w:val="60"/>
                        </w:rPr>
                        <w:t>T</w:t>
                      </w:r>
                      <w:r>
                        <w:rPr>
                          <w:rFonts w:cs="Arial"/>
                          <w:sz w:val="60"/>
                          <w:szCs w:val="60"/>
                        </w:rPr>
                        <w:t>erritorial D</w:t>
                      </w:r>
                      <w:r w:rsidRPr="00377F72">
                        <w:rPr>
                          <w:rFonts w:cs="Arial"/>
                          <w:color w:val="FF0000"/>
                          <w:sz w:val="60"/>
                          <w:szCs w:val="60"/>
                        </w:rPr>
                        <w:t>i</w:t>
                      </w:r>
                      <w:r>
                        <w:rPr>
                          <w:rFonts w:cs="Arial"/>
                          <w:sz w:val="60"/>
                          <w:szCs w:val="60"/>
                        </w:rPr>
                        <w:t xml:space="preserve">mension of </w:t>
                      </w:r>
                      <w:r>
                        <w:rPr>
                          <w:rFonts w:cs="Arial"/>
                          <w:color w:val="FF0000"/>
                          <w:sz w:val="60"/>
                          <w:szCs w:val="60"/>
                        </w:rPr>
                        <w:t>P</w:t>
                      </w:r>
                      <w:r>
                        <w:rPr>
                          <w:rFonts w:cs="Arial"/>
                          <w:sz w:val="60"/>
                          <w:szCs w:val="60"/>
                        </w:rPr>
                        <w:t xml:space="preserve">overty and </w:t>
                      </w:r>
                      <w:r>
                        <w:rPr>
                          <w:rFonts w:cs="Arial"/>
                          <w:color w:val="FF0000"/>
                          <w:sz w:val="60"/>
                          <w:szCs w:val="60"/>
                        </w:rPr>
                        <w:t>S</w:t>
                      </w:r>
                      <w:r>
                        <w:rPr>
                          <w:rFonts w:cs="Arial"/>
                          <w:sz w:val="60"/>
                          <w:szCs w:val="60"/>
                        </w:rPr>
                        <w:t xml:space="preserve">ocial </w:t>
                      </w:r>
                      <w:r>
                        <w:rPr>
                          <w:rFonts w:cs="Arial"/>
                          <w:color w:val="FF0000"/>
                          <w:sz w:val="60"/>
                          <w:szCs w:val="60"/>
                        </w:rPr>
                        <w:t>E</w:t>
                      </w:r>
                      <w:r>
                        <w:rPr>
                          <w:rFonts w:cs="Arial"/>
                          <w:sz w:val="60"/>
                          <w:szCs w:val="60"/>
                        </w:rPr>
                        <w:t>xclusion in Europe</w:t>
                      </w:r>
                    </w:p>
                  </w:txbxContent>
                </v:textbox>
              </v:shape>
            </w:pict>
          </mc:Fallback>
        </mc:AlternateContent>
      </w:r>
      <w:r>
        <w:rPr>
          <w:noProof/>
          <w:lang w:val="fi-FI" w:eastAsia="fi-FI"/>
        </w:rPr>
        <mc:AlternateContent>
          <mc:Choice Requires="wps">
            <w:drawing>
              <wp:anchor distT="0" distB="0" distL="114300" distR="114300" simplePos="0" relativeHeight="251659264" behindDoc="0" locked="0" layoutInCell="1" allowOverlap="1">
                <wp:simplePos x="0" y="0"/>
                <wp:positionH relativeFrom="column">
                  <wp:posOffset>-813435</wp:posOffset>
                </wp:positionH>
                <wp:positionV relativeFrom="paragraph">
                  <wp:posOffset>6451600</wp:posOffset>
                </wp:positionV>
                <wp:extent cx="7035800" cy="1950720"/>
                <wp:effectExtent l="0" t="0" r="0" b="0"/>
                <wp:wrapNone/>
                <wp:docPr id="5" name="Text Box 3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35800" cy="1950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4717" w:rsidRDefault="00714717" w:rsidP="006A7D86">
                            <w:pPr>
                              <w:jc w:val="center"/>
                              <w:rPr>
                                <w:rFonts w:cs="Arial"/>
                                <w:sz w:val="32"/>
                                <w:szCs w:val="32"/>
                                <w:lang w:val="en-US"/>
                              </w:rPr>
                            </w:pPr>
                            <w:r>
                              <w:rPr>
                                <w:rFonts w:cs="Arial"/>
                                <w:sz w:val="32"/>
                                <w:szCs w:val="32"/>
                                <w:lang w:val="en-US"/>
                              </w:rPr>
                              <w:t>Final Report</w:t>
                            </w:r>
                          </w:p>
                          <w:p w:rsidR="00714717" w:rsidRDefault="00714717" w:rsidP="006A7D86">
                            <w:pPr>
                              <w:jc w:val="center"/>
                              <w:rPr>
                                <w:rFonts w:cs="Arial"/>
                                <w:sz w:val="32"/>
                                <w:szCs w:val="32"/>
                                <w:lang w:val="en-US"/>
                              </w:rPr>
                            </w:pPr>
                          </w:p>
                          <w:p w:rsidR="00714717" w:rsidRDefault="00EB7708" w:rsidP="006A7D86">
                            <w:pPr>
                              <w:jc w:val="center"/>
                              <w:rPr>
                                <w:rFonts w:cs="Arial"/>
                                <w:color w:val="17365D" w:themeColor="text2" w:themeShade="BF"/>
                                <w:sz w:val="32"/>
                                <w:szCs w:val="32"/>
                                <w:lang w:val="en-US"/>
                              </w:rPr>
                            </w:pPr>
                            <w:r>
                              <w:rPr>
                                <w:rFonts w:cs="Arial"/>
                                <w:color w:val="17365D" w:themeColor="text2" w:themeShade="BF"/>
                                <w:sz w:val="32"/>
                                <w:szCs w:val="32"/>
                                <w:lang w:val="en-US"/>
                              </w:rPr>
                              <w:t>Annex</w:t>
                            </w:r>
                            <w:r w:rsidR="00714717" w:rsidRPr="00446288">
                              <w:rPr>
                                <w:rFonts w:cs="Arial"/>
                                <w:color w:val="17365D" w:themeColor="text2" w:themeShade="BF"/>
                                <w:sz w:val="32"/>
                                <w:szCs w:val="32"/>
                                <w:lang w:val="en-US"/>
                              </w:rPr>
                              <w:t xml:space="preserve"> </w:t>
                            </w:r>
                            <w:r w:rsidR="00714717">
                              <w:rPr>
                                <w:rFonts w:cs="Arial"/>
                                <w:color w:val="17365D" w:themeColor="text2" w:themeShade="BF"/>
                                <w:sz w:val="32"/>
                                <w:szCs w:val="32"/>
                                <w:lang w:val="en-US"/>
                              </w:rPr>
                              <w:t>7</w:t>
                            </w:r>
                          </w:p>
                          <w:p w:rsidR="00714717" w:rsidRDefault="00714717" w:rsidP="006A7D86">
                            <w:pPr>
                              <w:jc w:val="center"/>
                              <w:rPr>
                                <w:rFonts w:cs="Arial"/>
                                <w:b/>
                                <w:color w:val="17365D" w:themeColor="text2" w:themeShade="BF"/>
                                <w:sz w:val="56"/>
                                <w:szCs w:val="32"/>
                                <w:lang w:val="en-US"/>
                              </w:rPr>
                            </w:pPr>
                            <w:r>
                              <w:rPr>
                                <w:rFonts w:cs="Arial"/>
                                <w:b/>
                                <w:color w:val="17365D" w:themeColor="text2" w:themeShade="BF"/>
                                <w:sz w:val="56"/>
                                <w:szCs w:val="32"/>
                                <w:lang w:val="en-US"/>
                              </w:rPr>
                              <w:t>Commentary on</w:t>
                            </w:r>
                            <w:r w:rsidRPr="002D0318">
                              <w:rPr>
                                <w:rFonts w:cs="Arial"/>
                                <w:b/>
                                <w:color w:val="17365D" w:themeColor="text2" w:themeShade="BF"/>
                                <w:sz w:val="56"/>
                                <w:szCs w:val="32"/>
                                <w:lang w:val="en-US"/>
                              </w:rPr>
                              <w:t xml:space="preserve"> Poverty Map</w:t>
                            </w:r>
                            <w:r>
                              <w:rPr>
                                <w:rFonts w:cs="Arial"/>
                                <w:b/>
                                <w:color w:val="17365D" w:themeColor="text2" w:themeShade="BF"/>
                                <w:sz w:val="56"/>
                                <w:szCs w:val="32"/>
                                <w:lang w:val="en-US"/>
                              </w:rPr>
                              <w:t>s and Analysis</w:t>
                            </w:r>
                          </w:p>
                          <w:p w:rsidR="00714717" w:rsidRDefault="00714717" w:rsidP="006A7D86">
                            <w:pPr>
                              <w:jc w:val="center"/>
                              <w:rPr>
                                <w:rFonts w:cs="Arial"/>
                                <w:color w:val="17365D" w:themeColor="text2" w:themeShade="BF"/>
                                <w:sz w:val="32"/>
                                <w:szCs w:val="32"/>
                                <w:lang w:val="de-DE"/>
                              </w:rPr>
                            </w:pPr>
                            <w:r>
                              <w:rPr>
                                <w:rFonts w:cs="Arial"/>
                                <w:color w:val="17365D" w:themeColor="text2" w:themeShade="BF"/>
                                <w:sz w:val="32"/>
                                <w:szCs w:val="32"/>
                                <w:lang w:val="de-DE"/>
                              </w:rPr>
                              <w:t>Andrew Copus</w:t>
                            </w:r>
                          </w:p>
                          <w:p w:rsidR="00714717" w:rsidRDefault="00714717" w:rsidP="006A7D86">
                            <w:pPr>
                              <w:jc w:val="center"/>
                              <w:rPr>
                                <w:rFonts w:cs="Arial"/>
                                <w:color w:val="17365D" w:themeColor="text2" w:themeShade="BF"/>
                                <w:sz w:val="32"/>
                                <w:szCs w:val="32"/>
                                <w:lang w:val="de-DE"/>
                              </w:rPr>
                            </w:pPr>
                            <w:r>
                              <w:rPr>
                                <w:rFonts w:cs="Arial"/>
                                <w:color w:val="17365D" w:themeColor="text2" w:themeShade="BF"/>
                                <w:sz w:val="32"/>
                                <w:szCs w:val="32"/>
                                <w:lang w:val="de-DE"/>
                              </w:rPr>
                              <w:t>The James Hutton Institute, Aberdeen</w:t>
                            </w:r>
                          </w:p>
                          <w:p w:rsidR="00714717" w:rsidRDefault="00714717" w:rsidP="006A7D86">
                            <w:pPr>
                              <w:jc w:val="center"/>
                              <w:rPr>
                                <w:rFonts w:cs="Arial"/>
                                <w:color w:val="17365D" w:themeColor="text2" w:themeShade="BF"/>
                                <w:sz w:val="32"/>
                                <w:szCs w:val="32"/>
                                <w:lang w:val="de-DE"/>
                              </w:rPr>
                            </w:pPr>
                          </w:p>
                          <w:p w:rsidR="00714717" w:rsidRDefault="00714717" w:rsidP="006A7D86">
                            <w:pPr>
                              <w:jc w:val="center"/>
                              <w:rPr>
                                <w:rFonts w:cs="Arial"/>
                                <w:color w:val="17365D" w:themeColor="text2" w:themeShade="BF"/>
                                <w:sz w:val="32"/>
                                <w:szCs w:val="32"/>
                                <w:lang w:val="de-DE"/>
                              </w:rPr>
                            </w:pPr>
                          </w:p>
                          <w:p w:rsidR="00714717" w:rsidRPr="006A7D86" w:rsidRDefault="00714717" w:rsidP="00430686">
                            <w:pPr>
                              <w:jc w:val="center"/>
                              <w:rPr>
                                <w:rFonts w:cs="Arial"/>
                                <w:sz w:val="32"/>
                                <w:szCs w:val="32"/>
                                <w:lang w:val="de-DE"/>
                              </w:rPr>
                            </w:pPr>
                            <w:r>
                              <w:rPr>
                                <w:rFonts w:cs="Arial"/>
                                <w:sz w:val="32"/>
                                <w:szCs w:val="32"/>
                                <w:lang w:val="de-DE"/>
                              </w:rPr>
                              <w:t>July 2014</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303" o:spid="_x0000_s1027" type="#_x0000_t202" style="position:absolute;left:0;text-align:left;margin-left:-64.05pt;margin-top:508pt;width:554pt;height:153.6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" filled="f" stroked="f">
                <v:textbox style="mso-fit-shape-to-text:t">
                  <w:txbxContent>
                    <w:p w:rsidR="00714717" w:rsidRDefault="00714717" w:rsidP="006A7D86">
                      <w:pPr>
                        <w:jc w:val="center"/>
                        <w:rPr>
                          <w:rFonts w:cs="Arial"/>
                          <w:sz w:val="32"/>
                          <w:szCs w:val="32"/>
                          <w:lang w:val="en-US"/>
                        </w:rPr>
                      </w:pPr>
                      <w:r>
                        <w:rPr>
                          <w:rFonts w:cs="Arial"/>
                          <w:sz w:val="32"/>
                          <w:szCs w:val="32"/>
                          <w:lang w:val="en-US"/>
                        </w:rPr>
                        <w:t>Final Report</w:t>
                      </w:r>
                    </w:p>
                    <w:p w:rsidR="00714717" w:rsidRDefault="00714717" w:rsidP="006A7D86">
                      <w:pPr>
                        <w:jc w:val="center"/>
                        <w:rPr>
                          <w:rFonts w:cs="Arial"/>
                          <w:sz w:val="32"/>
                          <w:szCs w:val="32"/>
                          <w:lang w:val="en-US"/>
                        </w:rPr>
                      </w:pPr>
                    </w:p>
                    <w:p w:rsidR="00714717" w:rsidRDefault="00EB7708" w:rsidP="006A7D86">
                      <w:pPr>
                        <w:jc w:val="center"/>
                        <w:rPr>
                          <w:rFonts w:cs="Arial"/>
                          <w:color w:val="17365D" w:themeColor="text2" w:themeShade="BF"/>
                          <w:sz w:val="32"/>
                          <w:szCs w:val="32"/>
                          <w:lang w:val="en-US"/>
                        </w:rPr>
                      </w:pPr>
                      <w:r>
                        <w:rPr>
                          <w:rFonts w:cs="Arial"/>
                          <w:color w:val="17365D" w:themeColor="text2" w:themeShade="BF"/>
                          <w:sz w:val="32"/>
                          <w:szCs w:val="32"/>
                          <w:lang w:val="en-US"/>
                        </w:rPr>
                        <w:t>Annex</w:t>
                      </w:r>
                      <w:r w:rsidR="00714717" w:rsidRPr="00446288">
                        <w:rPr>
                          <w:rFonts w:cs="Arial"/>
                          <w:color w:val="17365D" w:themeColor="text2" w:themeShade="BF"/>
                          <w:sz w:val="32"/>
                          <w:szCs w:val="32"/>
                          <w:lang w:val="en-US"/>
                        </w:rPr>
                        <w:t xml:space="preserve"> </w:t>
                      </w:r>
                      <w:r w:rsidR="00714717">
                        <w:rPr>
                          <w:rFonts w:cs="Arial"/>
                          <w:color w:val="17365D" w:themeColor="text2" w:themeShade="BF"/>
                          <w:sz w:val="32"/>
                          <w:szCs w:val="32"/>
                          <w:lang w:val="en-US"/>
                        </w:rPr>
                        <w:t>7</w:t>
                      </w:r>
                    </w:p>
                    <w:p w:rsidR="00714717" w:rsidRDefault="00714717" w:rsidP="006A7D86">
                      <w:pPr>
                        <w:jc w:val="center"/>
                        <w:rPr>
                          <w:rFonts w:cs="Arial"/>
                          <w:b/>
                          <w:color w:val="17365D" w:themeColor="text2" w:themeShade="BF"/>
                          <w:sz w:val="56"/>
                          <w:szCs w:val="32"/>
                          <w:lang w:val="en-US"/>
                        </w:rPr>
                      </w:pPr>
                      <w:r>
                        <w:rPr>
                          <w:rFonts w:cs="Arial"/>
                          <w:b/>
                          <w:color w:val="17365D" w:themeColor="text2" w:themeShade="BF"/>
                          <w:sz w:val="56"/>
                          <w:szCs w:val="32"/>
                          <w:lang w:val="en-US"/>
                        </w:rPr>
                        <w:t>Commentary on</w:t>
                      </w:r>
                      <w:r w:rsidRPr="002D0318">
                        <w:rPr>
                          <w:rFonts w:cs="Arial"/>
                          <w:b/>
                          <w:color w:val="17365D" w:themeColor="text2" w:themeShade="BF"/>
                          <w:sz w:val="56"/>
                          <w:szCs w:val="32"/>
                          <w:lang w:val="en-US"/>
                        </w:rPr>
                        <w:t xml:space="preserve"> Poverty Map</w:t>
                      </w:r>
                      <w:r>
                        <w:rPr>
                          <w:rFonts w:cs="Arial"/>
                          <w:b/>
                          <w:color w:val="17365D" w:themeColor="text2" w:themeShade="BF"/>
                          <w:sz w:val="56"/>
                          <w:szCs w:val="32"/>
                          <w:lang w:val="en-US"/>
                        </w:rPr>
                        <w:t>s and Analysis</w:t>
                      </w:r>
                    </w:p>
                    <w:p w:rsidR="00714717" w:rsidRDefault="00714717" w:rsidP="006A7D86">
                      <w:pPr>
                        <w:jc w:val="center"/>
                        <w:rPr>
                          <w:rFonts w:cs="Arial"/>
                          <w:color w:val="17365D" w:themeColor="text2" w:themeShade="BF"/>
                          <w:sz w:val="32"/>
                          <w:szCs w:val="32"/>
                          <w:lang w:val="de-DE"/>
                        </w:rPr>
                      </w:pPr>
                      <w:r>
                        <w:rPr>
                          <w:rFonts w:cs="Arial"/>
                          <w:color w:val="17365D" w:themeColor="text2" w:themeShade="BF"/>
                          <w:sz w:val="32"/>
                          <w:szCs w:val="32"/>
                          <w:lang w:val="de-DE"/>
                        </w:rPr>
                        <w:t>Andrew Copus</w:t>
                      </w:r>
                    </w:p>
                    <w:p w:rsidR="00714717" w:rsidRDefault="00714717" w:rsidP="006A7D86">
                      <w:pPr>
                        <w:jc w:val="center"/>
                        <w:rPr>
                          <w:rFonts w:cs="Arial"/>
                          <w:color w:val="17365D" w:themeColor="text2" w:themeShade="BF"/>
                          <w:sz w:val="32"/>
                          <w:szCs w:val="32"/>
                          <w:lang w:val="de-DE"/>
                        </w:rPr>
                      </w:pPr>
                      <w:r>
                        <w:rPr>
                          <w:rFonts w:cs="Arial"/>
                          <w:color w:val="17365D" w:themeColor="text2" w:themeShade="BF"/>
                          <w:sz w:val="32"/>
                          <w:szCs w:val="32"/>
                          <w:lang w:val="de-DE"/>
                        </w:rPr>
                        <w:t>The James Hutton Institute, Aberdeen</w:t>
                      </w:r>
                    </w:p>
                    <w:p w:rsidR="00714717" w:rsidRDefault="00714717" w:rsidP="006A7D86">
                      <w:pPr>
                        <w:jc w:val="center"/>
                        <w:rPr>
                          <w:rFonts w:cs="Arial"/>
                          <w:color w:val="17365D" w:themeColor="text2" w:themeShade="BF"/>
                          <w:sz w:val="32"/>
                          <w:szCs w:val="32"/>
                          <w:lang w:val="de-DE"/>
                        </w:rPr>
                      </w:pPr>
                    </w:p>
                    <w:p w:rsidR="00714717" w:rsidRDefault="00714717" w:rsidP="006A7D86">
                      <w:pPr>
                        <w:jc w:val="center"/>
                        <w:rPr>
                          <w:rFonts w:cs="Arial"/>
                          <w:color w:val="17365D" w:themeColor="text2" w:themeShade="BF"/>
                          <w:sz w:val="32"/>
                          <w:szCs w:val="32"/>
                          <w:lang w:val="de-DE"/>
                        </w:rPr>
                      </w:pPr>
                    </w:p>
                    <w:p w:rsidR="00714717" w:rsidRPr="006A7D86" w:rsidRDefault="00714717" w:rsidP="00430686">
                      <w:pPr>
                        <w:jc w:val="center"/>
                        <w:rPr>
                          <w:rFonts w:cs="Arial"/>
                          <w:sz w:val="32"/>
                          <w:szCs w:val="32"/>
                          <w:lang w:val="de-DE"/>
                        </w:rPr>
                      </w:pPr>
                      <w:r>
                        <w:rPr>
                          <w:rFonts w:cs="Arial"/>
                          <w:sz w:val="32"/>
                          <w:szCs w:val="32"/>
                          <w:lang w:val="de-DE"/>
                        </w:rPr>
                        <w:t>July 2014</w:t>
                      </w:r>
                    </w:p>
                  </w:txbxContent>
                </v:textbox>
              </v:shape>
            </w:pict>
          </mc:Fallback>
        </mc:AlternateContent>
      </w:r>
      <w:r>
        <w:rPr>
          <w:noProof/>
          <w:lang w:val="fi-FI" w:eastAsia="fi-FI"/>
        </w:rPr>
        <mc:AlternateContent>
          <mc:Choice Requires="wps">
            <w:drawing>
              <wp:anchor distT="0" distB="0" distL="114300" distR="114300" simplePos="0" relativeHeight="251658240" behindDoc="0" locked="0" layoutInCell="1" allowOverlap="1">
                <wp:simplePos x="0" y="0"/>
                <wp:positionH relativeFrom="column">
                  <wp:posOffset>-813435</wp:posOffset>
                </wp:positionH>
                <wp:positionV relativeFrom="paragraph">
                  <wp:posOffset>5969000</wp:posOffset>
                </wp:positionV>
                <wp:extent cx="7035800" cy="401320"/>
                <wp:effectExtent l="0" t="0" r="0" b="0"/>
                <wp:wrapNone/>
                <wp:docPr id="3" name="Text Box 3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35800" cy="401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4717" w:rsidRPr="00DC3CE6" w:rsidRDefault="00714717" w:rsidP="00430686">
                            <w:pPr>
                              <w:jc w:val="center"/>
                              <w:rPr>
                                <w:rFonts w:cs="Arial"/>
                                <w:sz w:val="32"/>
                                <w:szCs w:val="32"/>
                                <w:lang w:val="en-US"/>
                              </w:rPr>
                            </w:pPr>
                            <w:r>
                              <w:rPr>
                                <w:rFonts w:cs="Arial"/>
                                <w:sz w:val="32"/>
                                <w:szCs w:val="32"/>
                                <w:lang w:val="en-US"/>
                              </w:rPr>
                              <w:t>Applied Research</w:t>
                            </w:r>
                            <w:r w:rsidRPr="00DC3CE6">
                              <w:rPr>
                                <w:rFonts w:cs="Arial"/>
                                <w:sz w:val="32"/>
                                <w:szCs w:val="32"/>
                                <w:lang w:val="en-US"/>
                              </w:rPr>
                              <w:t xml:space="preserve"> 2013/</w:t>
                            </w:r>
                            <w:r>
                              <w:rPr>
                                <w:rFonts w:cs="Arial"/>
                                <w:sz w:val="32"/>
                                <w:szCs w:val="32"/>
                                <w:lang w:val="en-US"/>
                              </w:rPr>
                              <w:t>1</w:t>
                            </w:r>
                            <w:r w:rsidRPr="00DC3CE6">
                              <w:rPr>
                                <w:rFonts w:cs="Arial"/>
                                <w:sz w:val="32"/>
                                <w:szCs w:val="32"/>
                                <w:lang w:val="en-US"/>
                              </w:rPr>
                              <w:t>/</w:t>
                            </w:r>
                            <w:r>
                              <w:rPr>
                                <w:rFonts w:cs="Arial"/>
                                <w:sz w:val="32"/>
                                <w:szCs w:val="32"/>
                                <w:lang w:val="en-US"/>
                              </w:rPr>
                              <w:t>24</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302" o:spid="_x0000_s1028" type="#_x0000_t202" style="position:absolute;left:0;text-align:left;margin-left:-64.05pt;margin-top:470pt;width:554pt;height:31.6pt;z-index:25165824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" filled="f" stroked="f">
                <v:textbox style="mso-fit-shape-to-text:t">
                  <w:txbxContent>
                    <w:p w:rsidR="00714717" w:rsidRPr="00DC3CE6" w:rsidRDefault="00714717" w:rsidP="00430686">
                      <w:pPr>
                        <w:jc w:val="center"/>
                        <w:rPr>
                          <w:rFonts w:cs="Arial"/>
                          <w:sz w:val="32"/>
                          <w:szCs w:val="32"/>
                          <w:lang w:val="en-US"/>
                        </w:rPr>
                      </w:pPr>
                      <w:r>
                        <w:rPr>
                          <w:rFonts w:cs="Arial"/>
                          <w:sz w:val="32"/>
                          <w:szCs w:val="32"/>
                          <w:lang w:val="en-US"/>
                        </w:rPr>
                        <w:t>Applied Research</w:t>
                      </w:r>
                      <w:r w:rsidRPr="00DC3CE6">
                        <w:rPr>
                          <w:rFonts w:cs="Arial"/>
                          <w:sz w:val="32"/>
                          <w:szCs w:val="32"/>
                          <w:lang w:val="en-US"/>
                        </w:rPr>
                        <w:t xml:space="preserve"> 2013/</w:t>
                      </w:r>
                      <w:r>
                        <w:rPr>
                          <w:rFonts w:cs="Arial"/>
                          <w:sz w:val="32"/>
                          <w:szCs w:val="32"/>
                          <w:lang w:val="en-US"/>
                        </w:rPr>
                        <w:t>1</w:t>
                      </w:r>
                      <w:r w:rsidRPr="00DC3CE6">
                        <w:rPr>
                          <w:rFonts w:cs="Arial"/>
                          <w:sz w:val="32"/>
                          <w:szCs w:val="32"/>
                          <w:lang w:val="en-US"/>
                        </w:rPr>
                        <w:t>/</w:t>
                      </w:r>
                      <w:r>
                        <w:rPr>
                          <w:rFonts w:cs="Arial"/>
                          <w:sz w:val="32"/>
                          <w:szCs w:val="32"/>
                          <w:lang w:val="en-US"/>
                        </w:rPr>
                        <w:t>24</w:t>
                      </w:r>
                    </w:p>
                  </w:txbxContent>
                </v:textbox>
              </v:shape>
            </w:pict>
          </mc:Fallback>
        </mc:AlternateContent>
      </w:r>
      <w:r w:rsidR="004929E9" w:rsidRPr="00C36DAF">
        <w:rPr>
          <w:noProof/>
          <w:lang w:val="fi-FI" w:eastAsia="fi-FI"/>
        </w:rPr>
        <w:drawing>
          <wp:inline distT="0" distB="0" distL="0" distR="0">
            <wp:extent cx="7572375" cy="13944600"/>
            <wp:effectExtent l="19050" t="0" r="9525" b="0"/>
            <wp:docPr id="1" name="Picture 1" descr="Cover-TPG-Whi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over-TPG-White"/>
                    <pic:cNvPicPr preferRelativeResize="0">
                      <a:picLocks noChangeArrowheads="1"/>
                    </pic:cNvPicPr>
                  </pic:nvPicPr>
                  <pic:blipFill>
                    <a:blip r:embed="rId11"/>
                    <a:srcRect l="51128"/>
                    <a:stretch>
                      <a:fillRect/>
                    </a:stretch>
                  </pic:blipFill>
                  <pic:spPr bwMode="auto">
                    <a:xfrm>
                      <a:off x="0" y="0"/>
                      <a:ext cx="7572375" cy="13944600"/>
                    </a:xfrm>
                    <a:prstGeom prst="rect">
                      <a:avLst/>
                    </a:prstGeom>
                    <a:noFill/>
                    <a:ln w="9525">
                      <a:noFill/>
                      <a:miter lim="800000"/>
                      <a:headEnd/>
                      <a:tailEnd/>
                    </a:ln>
                  </pic:spPr>
                </pic:pic>
              </a:graphicData>
            </a:graphic>
          </wp:inline>
        </w:drawing>
      </w:r>
    </w:p>
    <w:bookmarkEnd w:id="0"/>
    <w:p w:rsidR="00956CB4" w:rsidRPr="00C36DAF" w:rsidRDefault="00956CB4" w:rsidP="00006BE0">
      <w:pPr>
        <w:pStyle w:val="ESPONText"/>
      </w:pPr>
    </w:p>
    <w:p w:rsidR="00390969" w:rsidRPr="00C36DAF" w:rsidRDefault="00390969" w:rsidP="00ED043E">
      <w:pPr>
        <w:pStyle w:val="ESPONColophon"/>
        <w:ind w:left="810"/>
        <w:sectPr w:rsidR="00390969" w:rsidRPr="00C36DAF" w:rsidSect="000858C8">
          <w:footerReference w:type="even" r:id="rId12"/>
          <w:footerReference w:type="default" r:id="rId13"/>
          <w:pgSz w:w="11906" w:h="16838" w:code="9"/>
          <w:pgMar w:top="0" w:right="851" w:bottom="0" w:left="1701" w:header="720" w:footer="720" w:gutter="0"/>
          <w:pgNumType w:fmt="lowerRoman" w:start="1"/>
          <w:cols w:space="720"/>
          <w:titlePg/>
        </w:sectPr>
      </w:pPr>
    </w:p>
    <w:p w:rsidR="00ED043E" w:rsidRPr="00C36DAF" w:rsidRDefault="00ED043E" w:rsidP="00AF6C49">
      <w:pPr>
        <w:pStyle w:val="ESPONColophon"/>
      </w:pPr>
    </w:p>
    <w:p w:rsidR="00ED043E" w:rsidRPr="00C36DAF" w:rsidRDefault="00560F65" w:rsidP="00560F65">
      <w:pPr>
        <w:pStyle w:val="ESPONColophon"/>
        <w:ind w:left="810"/>
      </w:pPr>
      <w:r w:rsidRPr="00C36DAF">
        <w:t xml:space="preserve">This report presents </w:t>
      </w:r>
      <w:r w:rsidR="00EE30EE">
        <w:t>an account of the implementation of Poverty Mapping, within Task 2.5 of the TiPSE project</w:t>
      </w:r>
      <w:r w:rsidRPr="00C36DAF">
        <w:t>. This Applied Research Project is conducted within the framework of the ESPON 2013 Programme, partly financed by the European Regional Development Fund.</w:t>
      </w:r>
    </w:p>
    <w:p w:rsidR="00560F65" w:rsidRPr="00C36DAF" w:rsidRDefault="00560F65" w:rsidP="00560F65">
      <w:pPr>
        <w:pStyle w:val="ESPONColophon"/>
        <w:ind w:left="810"/>
      </w:pPr>
    </w:p>
    <w:p w:rsidR="00ED043E" w:rsidRPr="00C36DAF" w:rsidRDefault="00ED043E" w:rsidP="00ED043E">
      <w:pPr>
        <w:pStyle w:val="ESPONColophon"/>
        <w:ind w:left="810"/>
      </w:pPr>
      <w:r w:rsidRPr="00C36DAF">
        <w:t>The partnership behind the ESPON Programme consists of the EU Commission and the Member States of the EU27, plus Iceland, Liechtenstein, Norway and Switzerland. Each partner is represented in the ESPON Monitoring Committee.</w:t>
      </w:r>
    </w:p>
    <w:p w:rsidR="00ED043E" w:rsidRPr="00C36DAF" w:rsidRDefault="00ED043E" w:rsidP="00ED043E">
      <w:pPr>
        <w:pStyle w:val="ESPONColophon"/>
        <w:ind w:left="810"/>
      </w:pPr>
    </w:p>
    <w:p w:rsidR="00ED043E" w:rsidRPr="00C36DAF" w:rsidRDefault="00ED043E" w:rsidP="00ED043E">
      <w:pPr>
        <w:pStyle w:val="ESPONColophon"/>
        <w:ind w:left="810"/>
      </w:pPr>
      <w:r w:rsidRPr="00C36DAF">
        <w:t>This report does not necessarily reflect the opinion of the members of the Monitoring Committee.</w:t>
      </w:r>
    </w:p>
    <w:p w:rsidR="00ED043E" w:rsidRPr="00C36DAF" w:rsidRDefault="00ED043E" w:rsidP="00ED043E">
      <w:pPr>
        <w:pStyle w:val="ESPONColophon"/>
        <w:ind w:left="810"/>
      </w:pPr>
    </w:p>
    <w:p w:rsidR="00ED043E" w:rsidRPr="00C36DAF" w:rsidRDefault="00ED043E" w:rsidP="00ED043E">
      <w:pPr>
        <w:pStyle w:val="ESPONColophon"/>
        <w:ind w:left="810"/>
      </w:pPr>
      <w:r w:rsidRPr="00C36DAF">
        <w:t xml:space="preserve">Information on the ESPON Programme and projects can be found on </w:t>
      </w:r>
      <w:hyperlink r:id="rId14" w:history="1">
        <w:r w:rsidRPr="00C36DAF">
          <w:rPr>
            <w:rStyle w:val="Hyperlinkki"/>
          </w:rPr>
          <w:t>www.espon.eu</w:t>
        </w:r>
      </w:hyperlink>
    </w:p>
    <w:p w:rsidR="00ED043E" w:rsidRPr="00C36DAF" w:rsidRDefault="00ED043E" w:rsidP="00ED043E">
      <w:pPr>
        <w:pStyle w:val="ESPONColophon"/>
        <w:ind w:left="810"/>
      </w:pPr>
    </w:p>
    <w:p w:rsidR="00ED043E" w:rsidRPr="00C36DAF" w:rsidRDefault="00ED043E" w:rsidP="00ED043E">
      <w:pPr>
        <w:pStyle w:val="ESPONColophon"/>
        <w:ind w:left="810"/>
      </w:pPr>
      <w:r w:rsidRPr="00C36DAF">
        <w:t>The web site provides the possibility to download and examine the most recent documents produced by finalised and ongoing ESPON projects.</w:t>
      </w:r>
    </w:p>
    <w:p w:rsidR="00ED043E" w:rsidRPr="00C36DAF" w:rsidRDefault="00ED043E" w:rsidP="00ED043E">
      <w:pPr>
        <w:pStyle w:val="ESPONColophon"/>
        <w:ind w:left="810"/>
      </w:pPr>
    </w:p>
    <w:p w:rsidR="00ED043E" w:rsidRPr="00C36DAF" w:rsidRDefault="00ED043E" w:rsidP="00ED043E">
      <w:pPr>
        <w:pStyle w:val="ESPONColophon"/>
        <w:ind w:left="810"/>
      </w:pPr>
      <w:r w:rsidRPr="00C36DAF">
        <w:t>This basic report exists only in an electronic version.</w:t>
      </w:r>
    </w:p>
    <w:p w:rsidR="00ED043E" w:rsidRPr="00C36DAF" w:rsidRDefault="00ED043E" w:rsidP="00ED043E">
      <w:pPr>
        <w:pStyle w:val="ESPONColophon"/>
        <w:ind w:left="810"/>
      </w:pPr>
    </w:p>
    <w:p w:rsidR="003E5398" w:rsidRDefault="003E5398" w:rsidP="003E5398">
      <w:pPr>
        <w:pStyle w:val="ESPONColophon"/>
        <w:ind w:left="810" w:right="4484"/>
      </w:pPr>
      <w:r>
        <w:t>ISBN number – 987-2-919777-42-6</w:t>
      </w:r>
    </w:p>
    <w:p w:rsidR="00895002" w:rsidRPr="00C36DAF" w:rsidRDefault="00895002" w:rsidP="00ED043E">
      <w:pPr>
        <w:pStyle w:val="ESPONColophon"/>
        <w:ind w:left="810"/>
      </w:pPr>
      <w:bookmarkStart w:id="1" w:name="_GoBack"/>
      <w:bookmarkEnd w:id="1"/>
    </w:p>
    <w:p w:rsidR="00ED043E" w:rsidRPr="00C36DAF" w:rsidRDefault="00ED043E" w:rsidP="00ED043E">
      <w:pPr>
        <w:pStyle w:val="ESPONColophon"/>
        <w:ind w:left="810"/>
      </w:pPr>
      <w:r w:rsidRPr="00C36DAF">
        <w:t>© ESPON &amp;</w:t>
      </w:r>
      <w:r w:rsidR="002D0318">
        <w:t xml:space="preserve"> James Hutton Institute</w:t>
      </w:r>
      <w:r w:rsidRPr="00C36DAF">
        <w:t>, 201</w:t>
      </w:r>
      <w:r w:rsidR="002D0318">
        <w:t>4</w:t>
      </w:r>
      <w:r w:rsidRPr="00C36DAF">
        <w:t>.</w:t>
      </w:r>
    </w:p>
    <w:p w:rsidR="00ED043E" w:rsidRPr="00C36DAF" w:rsidRDefault="00ED043E" w:rsidP="00ED043E">
      <w:pPr>
        <w:pStyle w:val="ESPONColophon"/>
        <w:ind w:left="810"/>
      </w:pPr>
    </w:p>
    <w:p w:rsidR="00ED043E" w:rsidRPr="00C36DAF" w:rsidRDefault="00ED043E" w:rsidP="00ED043E">
      <w:pPr>
        <w:pStyle w:val="ESPONColophon"/>
        <w:ind w:left="810"/>
      </w:pPr>
      <w:r w:rsidRPr="00C36DAF">
        <w:t>Printing, reproduction or quotation is authorised provided the source is acknowledged and a copy is forwarded to the ESPON Coordination Unit in Luxembourg.</w:t>
      </w:r>
    </w:p>
    <w:p w:rsidR="00ED043E" w:rsidRPr="00C36DAF" w:rsidRDefault="00ED043E" w:rsidP="00ED043E">
      <w:pPr>
        <w:pStyle w:val="ESPONColophon"/>
        <w:ind w:left="810"/>
      </w:pPr>
    </w:p>
    <w:p w:rsidR="005703AA" w:rsidRPr="00C36DAF" w:rsidRDefault="005703AA" w:rsidP="00A9269D">
      <w:pPr>
        <w:pStyle w:val="ESPONText"/>
      </w:pPr>
    </w:p>
    <w:p w:rsidR="005703AA" w:rsidRPr="00C36DAF" w:rsidRDefault="005703AA" w:rsidP="00AA149B">
      <w:pPr>
        <w:pStyle w:val="ESPONText"/>
        <w:rPr>
          <w:sz w:val="32"/>
          <w:szCs w:val="32"/>
        </w:rPr>
      </w:pPr>
      <w:r w:rsidRPr="00C36DAF">
        <w:br w:type="column"/>
      </w:r>
      <w:r w:rsidRPr="00C36DAF">
        <w:rPr>
          <w:sz w:val="32"/>
          <w:szCs w:val="32"/>
        </w:rPr>
        <w:lastRenderedPageBreak/>
        <w:t>LIST OF ABBREVIATIONS</w:t>
      </w:r>
    </w:p>
    <w:p w:rsidR="00AA1FC7" w:rsidRDefault="00AA1FC7" w:rsidP="005703AA">
      <w:pPr>
        <w:pStyle w:val="ESPONText"/>
        <w:spacing w:after="0"/>
      </w:pPr>
      <w:r>
        <w:t>EC</w:t>
      </w:r>
      <w:r>
        <w:tab/>
        <w:t>European Commission</w:t>
      </w:r>
    </w:p>
    <w:p w:rsidR="00AA1FC7" w:rsidRDefault="00AA1FC7" w:rsidP="005703AA">
      <w:pPr>
        <w:pStyle w:val="ESPONText"/>
        <w:spacing w:after="0"/>
      </w:pPr>
      <w:r>
        <w:t xml:space="preserve">ECB </w:t>
      </w:r>
      <w:r>
        <w:tab/>
      </w:r>
      <w:r w:rsidRPr="00BC1049">
        <w:t xml:space="preserve">European Central Bank </w:t>
      </w:r>
    </w:p>
    <w:p w:rsidR="00AA1FC7" w:rsidRDefault="00AA1FC7" w:rsidP="005703AA">
      <w:pPr>
        <w:pStyle w:val="ESPONText"/>
        <w:spacing w:after="0"/>
      </w:pPr>
      <w:r>
        <w:t>IMF</w:t>
      </w:r>
      <w:r>
        <w:tab/>
      </w:r>
      <w:r w:rsidRPr="00BC1049">
        <w:t>International Monetary Fund</w:t>
      </w:r>
    </w:p>
    <w:p w:rsidR="005703AA" w:rsidRPr="00C36DAF" w:rsidRDefault="00E32D77" w:rsidP="005703AA">
      <w:pPr>
        <w:pStyle w:val="ESPONText"/>
        <w:spacing w:after="0"/>
      </w:pPr>
      <w:r w:rsidRPr="00C36DAF">
        <w:t>MS</w:t>
      </w:r>
      <w:r w:rsidRPr="00C36DAF">
        <w:tab/>
        <w:t>Member State</w:t>
      </w:r>
    </w:p>
    <w:p w:rsidR="00E32D77" w:rsidRPr="00C36DAF" w:rsidRDefault="00E32D77" w:rsidP="005703AA">
      <w:pPr>
        <w:pStyle w:val="ESPONText"/>
        <w:spacing w:after="0"/>
      </w:pPr>
      <w:r w:rsidRPr="00C36DAF">
        <w:t>NMS</w:t>
      </w:r>
      <w:r w:rsidRPr="00C36DAF">
        <w:tab/>
        <w:t>New Member States</w:t>
      </w:r>
    </w:p>
    <w:p w:rsidR="008E697F" w:rsidRPr="00C36DAF" w:rsidRDefault="008E697F" w:rsidP="005703AA">
      <w:pPr>
        <w:pStyle w:val="ESPONText"/>
        <w:spacing w:after="0"/>
      </w:pPr>
      <w:r w:rsidRPr="00C36DAF">
        <w:t>NSI</w:t>
      </w:r>
      <w:r w:rsidRPr="00C36DAF">
        <w:tab/>
        <w:t>National Statistical Institute</w:t>
      </w:r>
    </w:p>
    <w:p w:rsidR="00E32D77" w:rsidRPr="00C36DAF" w:rsidRDefault="00E32D77" w:rsidP="005703AA">
      <w:pPr>
        <w:pStyle w:val="ESPONText"/>
        <w:spacing w:after="0"/>
      </w:pPr>
      <w:r w:rsidRPr="00C36DAF">
        <w:t>OMC</w:t>
      </w:r>
      <w:r w:rsidRPr="00C36DAF">
        <w:tab/>
        <w:t>Open Method of Coordination</w:t>
      </w:r>
    </w:p>
    <w:p w:rsidR="007D30CA" w:rsidRPr="00C36DAF" w:rsidRDefault="007D30CA" w:rsidP="005703AA">
      <w:pPr>
        <w:pStyle w:val="ESPONText"/>
        <w:spacing w:after="0"/>
      </w:pPr>
      <w:r w:rsidRPr="00C36DAF">
        <w:t>TPG</w:t>
      </w:r>
      <w:r w:rsidRPr="00C36DAF">
        <w:tab/>
        <w:t>Transnational Project Group</w:t>
      </w:r>
    </w:p>
    <w:p w:rsidR="0061373E" w:rsidRPr="00C36DAF" w:rsidRDefault="00E32D77" w:rsidP="005703AA">
      <w:pPr>
        <w:pStyle w:val="ESPONText"/>
        <w:spacing w:after="0"/>
      </w:pPr>
      <w:r w:rsidRPr="00C36DAF">
        <w:t>WB</w:t>
      </w:r>
      <w:r w:rsidRPr="00C36DAF">
        <w:tab/>
        <w:t>World Bank</w:t>
      </w:r>
    </w:p>
    <w:p w:rsidR="0061373E" w:rsidRPr="00C36DAF" w:rsidRDefault="0061373E" w:rsidP="005703AA">
      <w:pPr>
        <w:pStyle w:val="ESPONText"/>
        <w:spacing w:after="0"/>
      </w:pPr>
    </w:p>
    <w:p w:rsidR="005703AA" w:rsidRPr="00C36DAF" w:rsidRDefault="005703AA" w:rsidP="005703AA">
      <w:pPr>
        <w:pStyle w:val="ESPONText"/>
        <w:spacing w:after="0"/>
        <w:rPr>
          <w:szCs w:val="22"/>
        </w:rPr>
      </w:pPr>
      <w:r w:rsidRPr="00C36DAF">
        <w:rPr>
          <w:sz w:val="32"/>
          <w:szCs w:val="32"/>
        </w:rPr>
        <w:t>Standard Abbreviations for Country Names:</w:t>
      </w:r>
    </w:p>
    <w:p w:rsidR="00AF6C49" w:rsidRPr="00C36DAF" w:rsidRDefault="00AF6C49" w:rsidP="005703AA">
      <w:pPr>
        <w:pStyle w:val="ESPONText"/>
        <w:spacing w:after="0"/>
        <w:rPr>
          <w:sz w:val="32"/>
          <w:szCs w:val="32"/>
        </w:rPr>
        <w:sectPr w:rsidR="00AF6C49" w:rsidRPr="00C36DAF" w:rsidSect="005703AA">
          <w:footerReference w:type="default" r:id="rId15"/>
          <w:type w:val="continuous"/>
          <w:pgSz w:w="11906" w:h="16838"/>
          <w:pgMar w:top="1644" w:right="851" w:bottom="1644" w:left="1701" w:header="720" w:footer="720" w:gutter="0"/>
          <w:pgNumType w:fmt="lowerRoman" w:start="1"/>
          <w:cols w:space="720"/>
        </w:sectPr>
      </w:pPr>
    </w:p>
    <w:p w:rsidR="007D30CA" w:rsidRPr="00C36DAF" w:rsidRDefault="007D30CA" w:rsidP="008544A4">
      <w:pPr>
        <w:pStyle w:val="ESPONText"/>
        <w:spacing w:after="0" w:line="240" w:lineRule="auto"/>
      </w:pPr>
      <w:r w:rsidRPr="00C36DAF">
        <w:lastRenderedPageBreak/>
        <w:t>AL</w:t>
      </w:r>
      <w:r w:rsidRPr="00C36DAF">
        <w:tab/>
        <w:t>Albania</w:t>
      </w:r>
    </w:p>
    <w:p w:rsidR="005703AA" w:rsidRPr="00C36DAF" w:rsidRDefault="005703AA" w:rsidP="008544A4">
      <w:pPr>
        <w:pStyle w:val="ESPONText"/>
        <w:spacing w:after="0" w:line="240" w:lineRule="auto"/>
      </w:pPr>
      <w:r w:rsidRPr="00C36DAF">
        <w:t>AT</w:t>
      </w:r>
      <w:r w:rsidRPr="00C36DAF">
        <w:tab/>
        <w:t>Austria</w:t>
      </w:r>
    </w:p>
    <w:p w:rsidR="00075DAB" w:rsidRDefault="00075DAB" w:rsidP="008544A4">
      <w:pPr>
        <w:pStyle w:val="ESPONText"/>
        <w:spacing w:after="0" w:line="240" w:lineRule="auto"/>
      </w:pPr>
      <w:r>
        <w:t>BA</w:t>
      </w:r>
      <w:r>
        <w:tab/>
        <w:t>Bosnia Hezegovina</w:t>
      </w:r>
    </w:p>
    <w:p w:rsidR="005703AA" w:rsidRPr="00C36DAF" w:rsidRDefault="005703AA" w:rsidP="008544A4">
      <w:pPr>
        <w:pStyle w:val="ESPONText"/>
        <w:spacing w:after="0" w:line="240" w:lineRule="auto"/>
      </w:pPr>
      <w:r w:rsidRPr="00C36DAF">
        <w:t>BE</w:t>
      </w:r>
      <w:r w:rsidRPr="00C36DAF">
        <w:tab/>
        <w:t>Belgium</w:t>
      </w:r>
    </w:p>
    <w:p w:rsidR="005703AA" w:rsidRPr="00C36DAF" w:rsidRDefault="005703AA" w:rsidP="008544A4">
      <w:pPr>
        <w:pStyle w:val="ESPONText"/>
        <w:spacing w:after="0" w:line="240" w:lineRule="auto"/>
      </w:pPr>
      <w:r w:rsidRPr="00C36DAF">
        <w:t>BG</w:t>
      </w:r>
      <w:r w:rsidRPr="00C36DAF">
        <w:tab/>
        <w:t>Bulgaria</w:t>
      </w:r>
    </w:p>
    <w:p w:rsidR="005703AA" w:rsidRPr="00C36DAF" w:rsidRDefault="005703AA" w:rsidP="008544A4">
      <w:pPr>
        <w:pStyle w:val="ESPONText"/>
        <w:spacing w:after="0" w:line="240" w:lineRule="auto"/>
      </w:pPr>
      <w:r w:rsidRPr="00C36DAF">
        <w:t>CH</w:t>
      </w:r>
      <w:r w:rsidRPr="00C36DAF">
        <w:tab/>
        <w:t>Switzerland</w:t>
      </w:r>
    </w:p>
    <w:p w:rsidR="007D30CA" w:rsidRPr="00C36DAF" w:rsidRDefault="007D30CA" w:rsidP="008544A4">
      <w:pPr>
        <w:pStyle w:val="ESPONText"/>
        <w:spacing w:after="0" w:line="240" w:lineRule="auto"/>
      </w:pPr>
      <w:r w:rsidRPr="00C36DAF">
        <w:t>CR</w:t>
      </w:r>
      <w:r w:rsidRPr="00C36DAF">
        <w:tab/>
        <w:t>Croatia</w:t>
      </w:r>
    </w:p>
    <w:p w:rsidR="005703AA" w:rsidRPr="00C36DAF" w:rsidRDefault="005703AA" w:rsidP="008544A4">
      <w:pPr>
        <w:pStyle w:val="ESPONText"/>
        <w:spacing w:after="0" w:line="240" w:lineRule="auto"/>
      </w:pPr>
      <w:r w:rsidRPr="00C36DAF">
        <w:t>CY</w:t>
      </w:r>
      <w:r w:rsidRPr="00C36DAF">
        <w:tab/>
        <w:t>Cyprus</w:t>
      </w:r>
    </w:p>
    <w:p w:rsidR="005703AA" w:rsidRPr="00C36DAF" w:rsidRDefault="005703AA" w:rsidP="008544A4">
      <w:pPr>
        <w:pStyle w:val="ESPONText"/>
        <w:spacing w:after="0" w:line="240" w:lineRule="auto"/>
      </w:pPr>
      <w:r w:rsidRPr="00C36DAF">
        <w:t>CZ</w:t>
      </w:r>
      <w:r w:rsidRPr="00C36DAF">
        <w:tab/>
        <w:t>Czech Republic</w:t>
      </w:r>
    </w:p>
    <w:p w:rsidR="005703AA" w:rsidRPr="003E5398" w:rsidRDefault="005703AA" w:rsidP="008544A4">
      <w:pPr>
        <w:pStyle w:val="ESPONText"/>
        <w:spacing w:after="0" w:line="240" w:lineRule="auto"/>
        <w:rPr>
          <w:lang w:val="sv-SE"/>
        </w:rPr>
      </w:pPr>
      <w:r w:rsidRPr="003E5398">
        <w:rPr>
          <w:lang w:val="sv-SE"/>
        </w:rPr>
        <w:t>DE</w:t>
      </w:r>
      <w:r w:rsidRPr="003E5398">
        <w:rPr>
          <w:lang w:val="sv-SE"/>
        </w:rPr>
        <w:tab/>
        <w:t>Germany</w:t>
      </w:r>
    </w:p>
    <w:p w:rsidR="005703AA" w:rsidRPr="003E5398" w:rsidRDefault="005703AA" w:rsidP="008544A4">
      <w:pPr>
        <w:pStyle w:val="ESPONText"/>
        <w:spacing w:after="0" w:line="240" w:lineRule="auto"/>
        <w:rPr>
          <w:lang w:val="sv-SE"/>
        </w:rPr>
      </w:pPr>
      <w:r w:rsidRPr="003E5398">
        <w:rPr>
          <w:lang w:val="sv-SE"/>
        </w:rPr>
        <w:t>DK</w:t>
      </w:r>
      <w:r w:rsidRPr="003E5398">
        <w:rPr>
          <w:lang w:val="sv-SE"/>
        </w:rPr>
        <w:tab/>
        <w:t>Denmark</w:t>
      </w:r>
    </w:p>
    <w:p w:rsidR="005703AA" w:rsidRPr="003E5398" w:rsidRDefault="005703AA" w:rsidP="008544A4">
      <w:pPr>
        <w:pStyle w:val="ESPONText"/>
        <w:spacing w:after="0" w:line="240" w:lineRule="auto"/>
        <w:rPr>
          <w:lang w:val="sv-SE"/>
        </w:rPr>
      </w:pPr>
      <w:r w:rsidRPr="003E5398">
        <w:rPr>
          <w:lang w:val="sv-SE"/>
        </w:rPr>
        <w:t>EE</w:t>
      </w:r>
      <w:r w:rsidRPr="003E5398">
        <w:rPr>
          <w:lang w:val="sv-SE"/>
        </w:rPr>
        <w:tab/>
        <w:t>Estonia</w:t>
      </w:r>
    </w:p>
    <w:p w:rsidR="005703AA" w:rsidRPr="002E52A6" w:rsidRDefault="005703AA" w:rsidP="008544A4">
      <w:pPr>
        <w:pStyle w:val="ESPONText"/>
        <w:spacing w:after="0" w:line="240" w:lineRule="auto"/>
        <w:rPr>
          <w:lang w:val="de-DE"/>
        </w:rPr>
      </w:pPr>
      <w:r w:rsidRPr="002E52A6">
        <w:rPr>
          <w:lang w:val="de-DE"/>
        </w:rPr>
        <w:t>ES</w:t>
      </w:r>
      <w:r w:rsidRPr="002E52A6">
        <w:rPr>
          <w:lang w:val="de-DE"/>
        </w:rPr>
        <w:tab/>
        <w:t>Spain</w:t>
      </w:r>
    </w:p>
    <w:p w:rsidR="005703AA" w:rsidRPr="0019589D" w:rsidRDefault="005703AA" w:rsidP="008544A4">
      <w:pPr>
        <w:pStyle w:val="ESPONText"/>
        <w:spacing w:after="0" w:line="240" w:lineRule="auto"/>
        <w:rPr>
          <w:lang w:val="de-DE"/>
        </w:rPr>
      </w:pPr>
      <w:r w:rsidRPr="0019589D">
        <w:rPr>
          <w:lang w:val="de-DE"/>
        </w:rPr>
        <w:t>FI</w:t>
      </w:r>
      <w:r w:rsidRPr="0019589D">
        <w:rPr>
          <w:lang w:val="de-DE"/>
        </w:rPr>
        <w:tab/>
        <w:t>Finland</w:t>
      </w:r>
    </w:p>
    <w:p w:rsidR="005703AA" w:rsidRPr="0019589D" w:rsidRDefault="005703AA" w:rsidP="008544A4">
      <w:pPr>
        <w:pStyle w:val="ESPONText"/>
        <w:spacing w:after="0" w:line="240" w:lineRule="auto"/>
        <w:rPr>
          <w:lang w:val="de-DE"/>
        </w:rPr>
      </w:pPr>
      <w:r w:rsidRPr="0019589D">
        <w:rPr>
          <w:lang w:val="de-DE"/>
        </w:rPr>
        <w:t>FR</w:t>
      </w:r>
      <w:r w:rsidRPr="0019589D">
        <w:rPr>
          <w:lang w:val="de-DE"/>
        </w:rPr>
        <w:tab/>
        <w:t>France</w:t>
      </w:r>
    </w:p>
    <w:p w:rsidR="00034DDE" w:rsidRDefault="00075DAB" w:rsidP="008544A4">
      <w:pPr>
        <w:pStyle w:val="ESPONText"/>
        <w:spacing w:after="0" w:line="240" w:lineRule="auto"/>
      </w:pPr>
      <w:r>
        <w:t>MK</w:t>
      </w:r>
      <w:r w:rsidR="007D30CA" w:rsidRPr="00C36DAF">
        <w:tab/>
        <w:t>FYROM</w:t>
      </w:r>
    </w:p>
    <w:p w:rsidR="005703AA" w:rsidRPr="00C36DAF" w:rsidRDefault="007D30CA" w:rsidP="008544A4">
      <w:pPr>
        <w:pStyle w:val="ESPONText"/>
        <w:spacing w:after="0" w:line="240" w:lineRule="auto"/>
      </w:pPr>
      <w:r w:rsidRPr="00C36DAF">
        <w:t>EL</w:t>
      </w:r>
      <w:r w:rsidR="005703AA" w:rsidRPr="00C36DAF">
        <w:tab/>
        <w:t>Greece</w:t>
      </w:r>
    </w:p>
    <w:p w:rsidR="005703AA" w:rsidRPr="00C36DAF" w:rsidRDefault="005703AA" w:rsidP="008544A4">
      <w:pPr>
        <w:pStyle w:val="ESPONText"/>
        <w:spacing w:after="0" w:line="240" w:lineRule="auto"/>
      </w:pPr>
      <w:r w:rsidRPr="00C36DAF">
        <w:t>HU</w:t>
      </w:r>
      <w:r w:rsidRPr="00C36DAF">
        <w:tab/>
        <w:t>Hungary</w:t>
      </w:r>
    </w:p>
    <w:p w:rsidR="005703AA" w:rsidRPr="00C36DAF" w:rsidRDefault="005703AA" w:rsidP="008544A4">
      <w:pPr>
        <w:pStyle w:val="ESPONText"/>
        <w:spacing w:after="0" w:line="240" w:lineRule="auto"/>
      </w:pPr>
      <w:r w:rsidRPr="00C36DAF">
        <w:t>IE</w:t>
      </w:r>
      <w:r w:rsidRPr="00C36DAF">
        <w:tab/>
        <w:t>Ireland</w:t>
      </w:r>
    </w:p>
    <w:p w:rsidR="007D30CA" w:rsidRPr="00C36DAF" w:rsidRDefault="007D30CA" w:rsidP="008544A4">
      <w:pPr>
        <w:pStyle w:val="ESPONText"/>
        <w:spacing w:after="0" w:line="240" w:lineRule="auto"/>
      </w:pPr>
      <w:r w:rsidRPr="00C36DAF">
        <w:t>IS</w:t>
      </w:r>
      <w:r w:rsidRPr="00C36DAF">
        <w:tab/>
        <w:t>Iceland</w:t>
      </w:r>
    </w:p>
    <w:p w:rsidR="005703AA" w:rsidRPr="0019589D" w:rsidRDefault="008544A4" w:rsidP="008544A4">
      <w:pPr>
        <w:pStyle w:val="ESPONText"/>
        <w:spacing w:after="0" w:line="240" w:lineRule="auto"/>
        <w:rPr>
          <w:lang w:val="en-US"/>
        </w:rPr>
      </w:pPr>
      <w:r>
        <w:rPr>
          <w:lang w:val="en-US"/>
        </w:rPr>
        <w:br w:type="column"/>
      </w:r>
      <w:r w:rsidR="00075DAB" w:rsidRPr="0019589D">
        <w:rPr>
          <w:lang w:val="en-US"/>
        </w:rPr>
        <w:lastRenderedPageBreak/>
        <w:t>IT</w:t>
      </w:r>
      <w:r w:rsidR="00075DAB" w:rsidRPr="0019589D">
        <w:rPr>
          <w:lang w:val="en-US"/>
        </w:rPr>
        <w:tab/>
        <w:t>Italy</w:t>
      </w:r>
    </w:p>
    <w:p w:rsidR="007D30CA" w:rsidRPr="00022713" w:rsidRDefault="007D30CA" w:rsidP="008544A4">
      <w:pPr>
        <w:pStyle w:val="ESPONText"/>
        <w:spacing w:after="0" w:line="240" w:lineRule="auto"/>
        <w:rPr>
          <w:lang w:val="en-US"/>
        </w:rPr>
      </w:pPr>
      <w:r w:rsidRPr="00022713">
        <w:rPr>
          <w:lang w:val="en-US"/>
        </w:rPr>
        <w:t>KO</w:t>
      </w:r>
      <w:r w:rsidRPr="00022713">
        <w:rPr>
          <w:lang w:val="en-US"/>
        </w:rPr>
        <w:tab/>
        <w:t>Kosovo</w:t>
      </w:r>
    </w:p>
    <w:p w:rsidR="005703AA" w:rsidRPr="002E52A6" w:rsidRDefault="005703AA" w:rsidP="008544A4">
      <w:pPr>
        <w:pStyle w:val="ESPONText"/>
        <w:spacing w:after="0" w:line="240" w:lineRule="auto"/>
        <w:rPr>
          <w:lang w:val="de-DE"/>
        </w:rPr>
      </w:pPr>
      <w:r w:rsidRPr="002E52A6">
        <w:rPr>
          <w:lang w:val="de-DE"/>
        </w:rPr>
        <w:t>LI</w:t>
      </w:r>
      <w:r w:rsidRPr="002E52A6">
        <w:rPr>
          <w:lang w:val="de-DE"/>
        </w:rPr>
        <w:tab/>
        <w:t>Liechtenstein</w:t>
      </w:r>
    </w:p>
    <w:p w:rsidR="005703AA" w:rsidRPr="002E52A6" w:rsidRDefault="005703AA" w:rsidP="008544A4">
      <w:pPr>
        <w:pStyle w:val="ESPONText"/>
        <w:spacing w:after="0" w:line="240" w:lineRule="auto"/>
        <w:rPr>
          <w:lang w:val="pt-PT"/>
        </w:rPr>
      </w:pPr>
      <w:r w:rsidRPr="002E52A6">
        <w:rPr>
          <w:lang w:val="pt-PT"/>
        </w:rPr>
        <w:t>LT</w:t>
      </w:r>
      <w:r w:rsidRPr="002E52A6">
        <w:rPr>
          <w:lang w:val="pt-PT"/>
        </w:rPr>
        <w:tab/>
        <w:t>Lithuania</w:t>
      </w:r>
    </w:p>
    <w:p w:rsidR="005703AA" w:rsidRPr="002E52A6" w:rsidRDefault="005703AA" w:rsidP="008544A4">
      <w:pPr>
        <w:pStyle w:val="ESPONText"/>
        <w:spacing w:after="0" w:line="240" w:lineRule="auto"/>
        <w:rPr>
          <w:lang w:val="pt-PT"/>
        </w:rPr>
      </w:pPr>
      <w:r w:rsidRPr="002E52A6">
        <w:rPr>
          <w:lang w:val="pt-PT"/>
        </w:rPr>
        <w:t>LU</w:t>
      </w:r>
      <w:r w:rsidRPr="002E52A6">
        <w:rPr>
          <w:lang w:val="pt-PT"/>
        </w:rPr>
        <w:tab/>
        <w:t>Luxemburg</w:t>
      </w:r>
    </w:p>
    <w:p w:rsidR="005703AA" w:rsidRPr="002E52A6" w:rsidRDefault="005703AA" w:rsidP="008544A4">
      <w:pPr>
        <w:pStyle w:val="ESPONText"/>
        <w:spacing w:after="0" w:line="240" w:lineRule="auto"/>
        <w:rPr>
          <w:lang w:val="pt-PT"/>
        </w:rPr>
      </w:pPr>
      <w:r w:rsidRPr="002E52A6">
        <w:rPr>
          <w:lang w:val="pt-PT"/>
        </w:rPr>
        <w:t>LV</w:t>
      </w:r>
      <w:r w:rsidRPr="002E52A6">
        <w:rPr>
          <w:lang w:val="pt-PT"/>
        </w:rPr>
        <w:tab/>
        <w:t>Latvia</w:t>
      </w:r>
    </w:p>
    <w:p w:rsidR="007D30CA" w:rsidRPr="002E52A6" w:rsidRDefault="007D30CA" w:rsidP="008544A4">
      <w:pPr>
        <w:pStyle w:val="ESPONText"/>
        <w:spacing w:after="0" w:line="240" w:lineRule="auto"/>
        <w:rPr>
          <w:lang w:val="pt-PT"/>
        </w:rPr>
      </w:pPr>
      <w:r w:rsidRPr="002E52A6">
        <w:rPr>
          <w:lang w:val="pt-PT"/>
        </w:rPr>
        <w:t>M</w:t>
      </w:r>
      <w:r w:rsidR="00075DAB">
        <w:rPr>
          <w:lang w:val="pt-PT"/>
        </w:rPr>
        <w:t>E</w:t>
      </w:r>
      <w:r w:rsidRPr="002E52A6">
        <w:rPr>
          <w:lang w:val="pt-PT"/>
        </w:rPr>
        <w:tab/>
        <w:t>Montenegro</w:t>
      </w:r>
    </w:p>
    <w:p w:rsidR="005703AA" w:rsidRPr="002E52A6" w:rsidRDefault="005703AA" w:rsidP="008544A4">
      <w:pPr>
        <w:pStyle w:val="ESPONText"/>
        <w:spacing w:after="0" w:line="240" w:lineRule="auto"/>
        <w:rPr>
          <w:lang w:val="pt-PT"/>
        </w:rPr>
      </w:pPr>
      <w:r w:rsidRPr="002E52A6">
        <w:rPr>
          <w:lang w:val="pt-PT"/>
        </w:rPr>
        <w:t>MT</w:t>
      </w:r>
      <w:r w:rsidRPr="002E52A6">
        <w:rPr>
          <w:lang w:val="pt-PT"/>
        </w:rPr>
        <w:tab/>
        <w:t>Malta</w:t>
      </w:r>
    </w:p>
    <w:p w:rsidR="005703AA" w:rsidRPr="002E52A6" w:rsidRDefault="005703AA" w:rsidP="008544A4">
      <w:pPr>
        <w:pStyle w:val="ESPONText"/>
        <w:spacing w:after="0" w:line="240" w:lineRule="auto"/>
        <w:rPr>
          <w:lang w:val="pt-PT"/>
        </w:rPr>
      </w:pPr>
      <w:r w:rsidRPr="002E52A6">
        <w:rPr>
          <w:lang w:val="pt-PT"/>
        </w:rPr>
        <w:t>NO</w:t>
      </w:r>
      <w:r w:rsidRPr="002E52A6">
        <w:rPr>
          <w:lang w:val="pt-PT"/>
        </w:rPr>
        <w:tab/>
        <w:t>Norway</w:t>
      </w:r>
    </w:p>
    <w:p w:rsidR="005703AA" w:rsidRPr="002E52A6" w:rsidRDefault="005703AA" w:rsidP="008544A4">
      <w:pPr>
        <w:pStyle w:val="ESPONText"/>
        <w:spacing w:after="0" w:line="240" w:lineRule="auto"/>
        <w:rPr>
          <w:lang w:val="pt-PT"/>
        </w:rPr>
      </w:pPr>
      <w:r w:rsidRPr="002E52A6">
        <w:rPr>
          <w:lang w:val="pt-PT"/>
        </w:rPr>
        <w:t>NL</w:t>
      </w:r>
      <w:r w:rsidRPr="002E52A6">
        <w:rPr>
          <w:lang w:val="pt-PT"/>
        </w:rPr>
        <w:tab/>
        <w:t>Netherlands</w:t>
      </w:r>
    </w:p>
    <w:p w:rsidR="005703AA" w:rsidRPr="002E52A6" w:rsidRDefault="005703AA" w:rsidP="008544A4">
      <w:pPr>
        <w:pStyle w:val="ESPONText"/>
        <w:spacing w:after="0" w:line="240" w:lineRule="auto"/>
        <w:rPr>
          <w:lang w:val="pt-PT"/>
        </w:rPr>
      </w:pPr>
      <w:r w:rsidRPr="002E52A6">
        <w:rPr>
          <w:lang w:val="pt-PT"/>
        </w:rPr>
        <w:t>PL</w:t>
      </w:r>
      <w:r w:rsidRPr="002E52A6">
        <w:rPr>
          <w:lang w:val="pt-PT"/>
        </w:rPr>
        <w:tab/>
        <w:t>Poland</w:t>
      </w:r>
    </w:p>
    <w:p w:rsidR="005703AA" w:rsidRPr="002E52A6" w:rsidRDefault="005703AA" w:rsidP="008544A4">
      <w:pPr>
        <w:pStyle w:val="ESPONText"/>
        <w:spacing w:after="0" w:line="240" w:lineRule="auto"/>
        <w:rPr>
          <w:lang w:val="pt-PT"/>
        </w:rPr>
      </w:pPr>
      <w:r w:rsidRPr="002E52A6">
        <w:rPr>
          <w:lang w:val="pt-PT"/>
        </w:rPr>
        <w:t>PT</w:t>
      </w:r>
      <w:r w:rsidRPr="002E52A6">
        <w:rPr>
          <w:lang w:val="pt-PT"/>
        </w:rPr>
        <w:tab/>
        <w:t>Portugal</w:t>
      </w:r>
    </w:p>
    <w:p w:rsidR="005703AA" w:rsidRPr="002E52A6" w:rsidRDefault="005703AA" w:rsidP="008544A4">
      <w:pPr>
        <w:pStyle w:val="ESPONText"/>
        <w:spacing w:after="0" w:line="240" w:lineRule="auto"/>
        <w:rPr>
          <w:lang w:val="pt-PT"/>
        </w:rPr>
      </w:pPr>
      <w:r w:rsidRPr="002E52A6">
        <w:rPr>
          <w:lang w:val="pt-PT"/>
        </w:rPr>
        <w:t>RO</w:t>
      </w:r>
      <w:r w:rsidRPr="002E52A6">
        <w:rPr>
          <w:lang w:val="pt-PT"/>
        </w:rPr>
        <w:tab/>
        <w:t>Romania</w:t>
      </w:r>
    </w:p>
    <w:p w:rsidR="007D30CA" w:rsidRPr="002E52A6" w:rsidRDefault="00075DAB" w:rsidP="008544A4">
      <w:pPr>
        <w:pStyle w:val="ESPONText"/>
        <w:spacing w:after="0" w:line="240" w:lineRule="auto"/>
        <w:rPr>
          <w:lang w:val="pt-PT"/>
        </w:rPr>
      </w:pPr>
      <w:r>
        <w:rPr>
          <w:lang w:val="pt-PT"/>
        </w:rPr>
        <w:t>RS</w:t>
      </w:r>
      <w:r w:rsidR="007D30CA" w:rsidRPr="002E52A6">
        <w:rPr>
          <w:lang w:val="pt-PT"/>
        </w:rPr>
        <w:tab/>
        <w:t>Serbia</w:t>
      </w:r>
    </w:p>
    <w:p w:rsidR="005703AA" w:rsidRPr="002E52A6" w:rsidRDefault="005703AA" w:rsidP="008544A4">
      <w:pPr>
        <w:pStyle w:val="ESPONText"/>
        <w:spacing w:after="0" w:line="240" w:lineRule="auto"/>
        <w:rPr>
          <w:lang w:val="pt-PT"/>
        </w:rPr>
      </w:pPr>
      <w:r w:rsidRPr="002E52A6">
        <w:rPr>
          <w:lang w:val="pt-PT"/>
        </w:rPr>
        <w:t>SE</w:t>
      </w:r>
      <w:r w:rsidRPr="002E52A6">
        <w:rPr>
          <w:lang w:val="pt-PT"/>
        </w:rPr>
        <w:tab/>
        <w:t>Sweden</w:t>
      </w:r>
    </w:p>
    <w:p w:rsidR="005703AA" w:rsidRPr="002E52A6" w:rsidRDefault="005703AA" w:rsidP="008544A4">
      <w:pPr>
        <w:pStyle w:val="ESPONText"/>
        <w:spacing w:after="0" w:line="240" w:lineRule="auto"/>
        <w:rPr>
          <w:lang w:val="pt-PT"/>
        </w:rPr>
      </w:pPr>
      <w:r w:rsidRPr="002E52A6">
        <w:rPr>
          <w:lang w:val="pt-PT"/>
        </w:rPr>
        <w:t>SI</w:t>
      </w:r>
      <w:r w:rsidRPr="002E52A6">
        <w:rPr>
          <w:lang w:val="pt-PT"/>
        </w:rPr>
        <w:tab/>
        <w:t>Slovenia</w:t>
      </w:r>
    </w:p>
    <w:p w:rsidR="005703AA" w:rsidRPr="002E52A6" w:rsidRDefault="005703AA" w:rsidP="008544A4">
      <w:pPr>
        <w:pStyle w:val="ESPONText"/>
        <w:spacing w:after="0" w:line="240" w:lineRule="auto"/>
        <w:rPr>
          <w:lang w:val="pt-PT"/>
        </w:rPr>
      </w:pPr>
      <w:r w:rsidRPr="002E52A6">
        <w:rPr>
          <w:lang w:val="pt-PT"/>
        </w:rPr>
        <w:t>SK</w:t>
      </w:r>
      <w:r w:rsidRPr="002E52A6">
        <w:rPr>
          <w:lang w:val="pt-PT"/>
        </w:rPr>
        <w:tab/>
        <w:t>Slovakia</w:t>
      </w:r>
    </w:p>
    <w:p w:rsidR="005703AA" w:rsidRPr="00C36DAF" w:rsidRDefault="005703AA" w:rsidP="008544A4">
      <w:pPr>
        <w:pStyle w:val="ESPONText"/>
        <w:spacing w:after="0" w:line="240" w:lineRule="auto"/>
      </w:pPr>
      <w:r w:rsidRPr="00C36DAF">
        <w:t>TR</w:t>
      </w:r>
      <w:r w:rsidRPr="00C36DAF">
        <w:tab/>
        <w:t>Turkey</w:t>
      </w:r>
    </w:p>
    <w:p w:rsidR="005703AA" w:rsidRPr="00C36DAF" w:rsidRDefault="005703AA" w:rsidP="008544A4">
      <w:pPr>
        <w:pStyle w:val="ESPONText"/>
        <w:spacing w:after="0" w:line="240" w:lineRule="auto"/>
      </w:pPr>
      <w:r w:rsidRPr="00C36DAF">
        <w:t>UK</w:t>
      </w:r>
      <w:r w:rsidRPr="00C36DAF">
        <w:tab/>
        <w:t>United Kingdom</w:t>
      </w:r>
    </w:p>
    <w:p w:rsidR="008544A4" w:rsidRDefault="008544A4" w:rsidP="005703AA">
      <w:pPr>
        <w:pStyle w:val="ESPONText"/>
        <w:spacing w:after="0"/>
        <w:sectPr w:rsidR="008544A4" w:rsidSect="00164958">
          <w:type w:val="continuous"/>
          <w:pgSz w:w="11906" w:h="16838"/>
          <w:pgMar w:top="1644" w:right="851" w:bottom="1644" w:left="1701" w:header="720" w:footer="720" w:gutter="0"/>
          <w:pgNumType w:fmt="lowerRoman" w:start="1"/>
          <w:cols w:num="2" w:space="720"/>
        </w:sectPr>
      </w:pPr>
    </w:p>
    <w:p w:rsidR="008544A4" w:rsidRDefault="008544A4" w:rsidP="008544A4">
      <w:pPr>
        <w:pStyle w:val="ESPONText"/>
      </w:pPr>
    </w:p>
    <w:p w:rsidR="008544A4" w:rsidRPr="00C36DAF" w:rsidRDefault="008544A4" w:rsidP="008544A4">
      <w:pPr>
        <w:pStyle w:val="ESPONText"/>
      </w:pPr>
      <w:r w:rsidRPr="00C36DAF">
        <w:t xml:space="preserve">The TiPSE research team comprises </w:t>
      </w:r>
      <w:r>
        <w:t>7</w:t>
      </w:r>
      <w:r w:rsidRPr="00C36DAF">
        <w:t xml:space="preserve"> partners from 5 EU Member States:</w:t>
      </w:r>
    </w:p>
    <w:tbl>
      <w:tblPr>
        <w:tblW w:w="9009" w:type="dxa"/>
        <w:tblInd w:w="103"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ook w:val="0000" w:firstRow="0" w:lastRow="0" w:firstColumn="0" w:lastColumn="0" w:noHBand="0" w:noVBand="0"/>
      </w:tblPr>
      <w:tblGrid>
        <w:gridCol w:w="539"/>
        <w:gridCol w:w="5635"/>
        <w:gridCol w:w="567"/>
        <w:gridCol w:w="2268"/>
      </w:tblGrid>
      <w:tr w:rsidR="008544A4" w:rsidRPr="00C36DAF" w:rsidTr="008544A4">
        <w:trPr>
          <w:trHeight w:val="255"/>
        </w:trPr>
        <w:tc>
          <w:tcPr>
            <w:tcW w:w="539" w:type="dxa"/>
            <w:tcBorders>
              <w:top w:val="single" w:sz="4" w:space="0" w:color="auto"/>
              <w:bottom w:val="single" w:sz="4" w:space="0" w:color="auto"/>
            </w:tcBorders>
            <w:shd w:val="clear" w:color="auto" w:fill="auto"/>
            <w:noWrap/>
            <w:tcMar>
              <w:top w:w="0" w:type="dxa"/>
              <w:left w:w="40" w:type="dxa"/>
              <w:bottom w:w="0" w:type="dxa"/>
              <w:right w:w="40" w:type="dxa"/>
            </w:tcMar>
            <w:vAlign w:val="center"/>
          </w:tcPr>
          <w:p w:rsidR="008544A4" w:rsidRPr="00C36DAF" w:rsidRDefault="008544A4" w:rsidP="008544A4">
            <w:pPr>
              <w:spacing w:before="0" w:line="240" w:lineRule="auto"/>
              <w:jc w:val="right"/>
              <w:rPr>
                <w:rFonts w:cs="Arial"/>
                <w:b/>
                <w:bCs/>
                <w:sz w:val="20"/>
                <w:lang w:eastAsia="en-GB"/>
              </w:rPr>
            </w:pPr>
            <w:r w:rsidRPr="00C36DAF">
              <w:rPr>
                <w:rFonts w:cs="Arial"/>
                <w:b/>
                <w:bCs/>
                <w:sz w:val="20"/>
                <w:lang w:eastAsia="en-GB"/>
              </w:rPr>
              <w:t>No.</w:t>
            </w:r>
          </w:p>
        </w:tc>
        <w:tc>
          <w:tcPr>
            <w:tcW w:w="5635" w:type="dxa"/>
            <w:tcBorders>
              <w:top w:val="single" w:sz="4" w:space="0" w:color="auto"/>
              <w:bottom w:val="single" w:sz="4" w:space="0" w:color="auto"/>
            </w:tcBorders>
            <w:shd w:val="clear" w:color="auto" w:fill="auto"/>
            <w:noWrap/>
            <w:tcMar>
              <w:top w:w="0" w:type="dxa"/>
              <w:left w:w="40" w:type="dxa"/>
              <w:bottom w:w="0" w:type="dxa"/>
              <w:right w:w="40" w:type="dxa"/>
            </w:tcMar>
            <w:vAlign w:val="center"/>
          </w:tcPr>
          <w:p w:rsidR="008544A4" w:rsidRPr="00C36DAF" w:rsidRDefault="008544A4" w:rsidP="008544A4">
            <w:pPr>
              <w:spacing w:before="0" w:line="240" w:lineRule="auto"/>
              <w:jc w:val="left"/>
              <w:rPr>
                <w:rFonts w:cs="Arial"/>
                <w:b/>
                <w:bCs/>
                <w:sz w:val="20"/>
                <w:lang w:eastAsia="en-GB"/>
              </w:rPr>
            </w:pPr>
            <w:r w:rsidRPr="00C36DAF">
              <w:rPr>
                <w:rFonts w:cs="Arial"/>
                <w:b/>
                <w:bCs/>
                <w:sz w:val="20"/>
                <w:lang w:eastAsia="en-GB"/>
              </w:rPr>
              <w:t>Partner</w:t>
            </w:r>
          </w:p>
        </w:tc>
        <w:tc>
          <w:tcPr>
            <w:tcW w:w="567" w:type="dxa"/>
            <w:tcBorders>
              <w:top w:val="single" w:sz="4" w:space="0" w:color="auto"/>
              <w:bottom w:val="single" w:sz="4" w:space="0" w:color="auto"/>
            </w:tcBorders>
            <w:shd w:val="clear" w:color="auto" w:fill="auto"/>
            <w:noWrap/>
            <w:tcMar>
              <w:top w:w="0" w:type="dxa"/>
              <w:left w:w="40" w:type="dxa"/>
              <w:bottom w:w="0" w:type="dxa"/>
              <w:right w:w="40" w:type="dxa"/>
            </w:tcMar>
            <w:vAlign w:val="center"/>
          </w:tcPr>
          <w:p w:rsidR="008544A4" w:rsidRPr="00C36DAF" w:rsidRDefault="008544A4" w:rsidP="008544A4">
            <w:pPr>
              <w:spacing w:before="0" w:line="240" w:lineRule="auto"/>
              <w:jc w:val="left"/>
              <w:rPr>
                <w:rFonts w:cs="Arial"/>
                <w:b/>
                <w:bCs/>
                <w:sz w:val="20"/>
                <w:lang w:eastAsia="en-GB"/>
              </w:rPr>
            </w:pPr>
            <w:r w:rsidRPr="00C36DAF">
              <w:rPr>
                <w:rFonts w:cs="Arial"/>
                <w:b/>
                <w:bCs/>
                <w:sz w:val="20"/>
                <w:lang w:eastAsia="en-GB"/>
              </w:rPr>
              <w:t>MS</w:t>
            </w:r>
          </w:p>
        </w:tc>
        <w:tc>
          <w:tcPr>
            <w:tcW w:w="2268" w:type="dxa"/>
            <w:tcBorders>
              <w:top w:val="single" w:sz="4" w:space="0" w:color="auto"/>
              <w:bottom w:val="single" w:sz="4" w:space="0" w:color="auto"/>
            </w:tcBorders>
            <w:tcMar>
              <w:top w:w="0" w:type="dxa"/>
              <w:left w:w="40" w:type="dxa"/>
              <w:bottom w:w="0" w:type="dxa"/>
              <w:right w:w="40" w:type="dxa"/>
            </w:tcMar>
            <w:vAlign w:val="center"/>
          </w:tcPr>
          <w:p w:rsidR="008544A4" w:rsidRPr="00C36DAF" w:rsidRDefault="008544A4" w:rsidP="008544A4">
            <w:pPr>
              <w:spacing w:before="0" w:line="240" w:lineRule="auto"/>
              <w:jc w:val="left"/>
              <w:rPr>
                <w:rFonts w:cs="Arial"/>
                <w:b/>
                <w:bCs/>
                <w:sz w:val="20"/>
                <w:lang w:eastAsia="en-GB"/>
              </w:rPr>
            </w:pPr>
            <w:r w:rsidRPr="00C36DAF">
              <w:rPr>
                <w:rFonts w:cs="Arial"/>
                <w:b/>
                <w:bCs/>
                <w:sz w:val="20"/>
                <w:lang w:eastAsia="en-GB"/>
              </w:rPr>
              <w:t>Principal Researchers</w:t>
            </w:r>
          </w:p>
        </w:tc>
      </w:tr>
      <w:tr w:rsidR="008544A4" w:rsidRPr="00C36DAF" w:rsidTr="008544A4">
        <w:trPr>
          <w:trHeight w:val="255"/>
        </w:trPr>
        <w:tc>
          <w:tcPr>
            <w:tcW w:w="539" w:type="dxa"/>
            <w:tcBorders>
              <w:top w:val="single" w:sz="4" w:space="0" w:color="auto"/>
            </w:tcBorders>
            <w:shd w:val="clear" w:color="auto" w:fill="auto"/>
            <w:tcMar>
              <w:top w:w="0" w:type="dxa"/>
              <w:left w:w="40" w:type="dxa"/>
              <w:bottom w:w="0" w:type="dxa"/>
              <w:right w:w="40" w:type="dxa"/>
            </w:tcMar>
            <w:vAlign w:val="center"/>
          </w:tcPr>
          <w:p w:rsidR="008544A4" w:rsidRPr="00C36DAF" w:rsidRDefault="008544A4" w:rsidP="008544A4">
            <w:pPr>
              <w:spacing w:before="0" w:line="240" w:lineRule="auto"/>
              <w:jc w:val="center"/>
              <w:rPr>
                <w:rFonts w:cs="Arial"/>
                <w:color w:val="000000"/>
                <w:sz w:val="20"/>
                <w:lang w:eastAsia="en-GB"/>
              </w:rPr>
            </w:pPr>
            <w:r w:rsidRPr="00C36DAF">
              <w:rPr>
                <w:rFonts w:cs="Arial"/>
                <w:color w:val="000000"/>
                <w:sz w:val="20"/>
                <w:lang w:eastAsia="en-GB"/>
              </w:rPr>
              <w:t>LP</w:t>
            </w:r>
          </w:p>
        </w:tc>
        <w:tc>
          <w:tcPr>
            <w:tcW w:w="5635" w:type="dxa"/>
            <w:tcBorders>
              <w:top w:val="single" w:sz="4" w:space="0" w:color="auto"/>
            </w:tcBorders>
            <w:shd w:val="clear" w:color="auto" w:fill="auto"/>
            <w:tcMar>
              <w:top w:w="0" w:type="dxa"/>
              <w:left w:w="40" w:type="dxa"/>
              <w:bottom w:w="0" w:type="dxa"/>
              <w:right w:w="40" w:type="dxa"/>
            </w:tcMar>
            <w:vAlign w:val="center"/>
          </w:tcPr>
          <w:p w:rsidR="008544A4" w:rsidRPr="00C36DAF" w:rsidRDefault="008544A4" w:rsidP="008544A4">
            <w:pPr>
              <w:spacing w:before="0" w:line="240" w:lineRule="auto"/>
              <w:jc w:val="left"/>
              <w:rPr>
                <w:rFonts w:cs="Arial"/>
                <w:color w:val="000000"/>
                <w:sz w:val="20"/>
                <w:lang w:eastAsia="en-GB"/>
              </w:rPr>
            </w:pPr>
            <w:r w:rsidRPr="00C36DAF">
              <w:rPr>
                <w:rFonts w:cs="Arial"/>
                <w:color w:val="000000"/>
                <w:sz w:val="20"/>
                <w:lang w:eastAsia="en-GB"/>
              </w:rPr>
              <w:t>Nordregio - Nordic Centre for Spatial Development</w:t>
            </w:r>
          </w:p>
        </w:tc>
        <w:tc>
          <w:tcPr>
            <w:tcW w:w="567" w:type="dxa"/>
            <w:tcBorders>
              <w:top w:val="single" w:sz="4" w:space="0" w:color="auto"/>
            </w:tcBorders>
            <w:shd w:val="clear" w:color="auto" w:fill="auto"/>
            <w:noWrap/>
            <w:tcMar>
              <w:top w:w="0" w:type="dxa"/>
              <w:left w:w="40" w:type="dxa"/>
              <w:bottom w:w="0" w:type="dxa"/>
              <w:right w:w="40" w:type="dxa"/>
            </w:tcMar>
            <w:vAlign w:val="center"/>
          </w:tcPr>
          <w:p w:rsidR="008544A4" w:rsidRPr="00C36DAF" w:rsidRDefault="008544A4" w:rsidP="008544A4">
            <w:pPr>
              <w:spacing w:before="0" w:line="240" w:lineRule="auto"/>
              <w:jc w:val="left"/>
              <w:rPr>
                <w:rFonts w:cs="Arial"/>
                <w:sz w:val="20"/>
                <w:lang w:eastAsia="en-GB"/>
              </w:rPr>
            </w:pPr>
            <w:r w:rsidRPr="00C36DAF">
              <w:rPr>
                <w:rFonts w:cs="Arial"/>
                <w:sz w:val="20"/>
                <w:lang w:eastAsia="en-GB"/>
              </w:rPr>
              <w:t>SE</w:t>
            </w:r>
          </w:p>
        </w:tc>
        <w:tc>
          <w:tcPr>
            <w:tcW w:w="2268" w:type="dxa"/>
            <w:tcBorders>
              <w:top w:val="single" w:sz="4" w:space="0" w:color="auto"/>
            </w:tcBorders>
            <w:tcMar>
              <w:top w:w="0" w:type="dxa"/>
              <w:left w:w="40" w:type="dxa"/>
              <w:bottom w:w="0" w:type="dxa"/>
              <w:right w:w="40" w:type="dxa"/>
            </w:tcMar>
            <w:vAlign w:val="center"/>
          </w:tcPr>
          <w:p w:rsidR="008544A4" w:rsidRPr="00C36DAF" w:rsidRDefault="008544A4" w:rsidP="008544A4">
            <w:pPr>
              <w:spacing w:before="0" w:line="240" w:lineRule="auto"/>
              <w:jc w:val="left"/>
              <w:rPr>
                <w:rFonts w:cs="Arial"/>
                <w:sz w:val="20"/>
                <w:lang w:eastAsia="en-GB"/>
              </w:rPr>
            </w:pPr>
            <w:r w:rsidRPr="00C36DAF">
              <w:rPr>
                <w:rFonts w:cs="Arial"/>
                <w:sz w:val="20"/>
                <w:lang w:eastAsia="en-GB"/>
              </w:rPr>
              <w:t>Petri Kahila</w:t>
            </w:r>
          </w:p>
        </w:tc>
      </w:tr>
      <w:tr w:rsidR="008544A4" w:rsidRPr="00C36DAF" w:rsidTr="008544A4">
        <w:trPr>
          <w:trHeight w:val="255"/>
        </w:trPr>
        <w:tc>
          <w:tcPr>
            <w:tcW w:w="539" w:type="dxa"/>
            <w:shd w:val="clear" w:color="auto" w:fill="auto"/>
            <w:tcMar>
              <w:top w:w="0" w:type="dxa"/>
              <w:left w:w="40" w:type="dxa"/>
              <w:bottom w:w="0" w:type="dxa"/>
              <w:right w:w="40" w:type="dxa"/>
            </w:tcMar>
            <w:vAlign w:val="center"/>
          </w:tcPr>
          <w:p w:rsidR="008544A4" w:rsidRPr="00C36DAF" w:rsidRDefault="008544A4" w:rsidP="008544A4">
            <w:pPr>
              <w:spacing w:before="0" w:line="240" w:lineRule="auto"/>
              <w:jc w:val="center"/>
              <w:rPr>
                <w:rFonts w:cs="Arial"/>
                <w:bCs/>
                <w:color w:val="000000"/>
                <w:sz w:val="20"/>
                <w:lang w:eastAsia="en-GB"/>
              </w:rPr>
            </w:pPr>
            <w:r w:rsidRPr="00C36DAF">
              <w:rPr>
                <w:rFonts w:cs="Arial"/>
                <w:bCs/>
                <w:color w:val="000000"/>
                <w:sz w:val="20"/>
                <w:lang w:eastAsia="en-GB"/>
              </w:rPr>
              <w:t>2</w:t>
            </w:r>
          </w:p>
        </w:tc>
        <w:tc>
          <w:tcPr>
            <w:tcW w:w="5635" w:type="dxa"/>
            <w:shd w:val="clear" w:color="auto" w:fill="auto"/>
            <w:tcMar>
              <w:top w:w="0" w:type="dxa"/>
              <w:left w:w="40" w:type="dxa"/>
              <w:bottom w:w="0" w:type="dxa"/>
              <w:right w:w="40" w:type="dxa"/>
            </w:tcMar>
            <w:vAlign w:val="center"/>
          </w:tcPr>
          <w:p w:rsidR="008544A4" w:rsidRPr="00C36DAF" w:rsidRDefault="008544A4" w:rsidP="008544A4">
            <w:pPr>
              <w:spacing w:before="0" w:line="240" w:lineRule="auto"/>
              <w:jc w:val="left"/>
              <w:rPr>
                <w:rFonts w:cs="Arial"/>
                <w:bCs/>
                <w:color w:val="000000"/>
                <w:sz w:val="20"/>
                <w:lang w:eastAsia="en-GB"/>
              </w:rPr>
            </w:pPr>
            <w:r w:rsidRPr="00C36DAF">
              <w:rPr>
                <w:rFonts w:cs="Arial"/>
                <w:bCs/>
                <w:color w:val="000000"/>
                <w:sz w:val="20"/>
                <w:lang w:eastAsia="en-GB"/>
              </w:rPr>
              <w:t>UHI Millennium Institute</w:t>
            </w:r>
          </w:p>
        </w:tc>
        <w:tc>
          <w:tcPr>
            <w:tcW w:w="567" w:type="dxa"/>
            <w:shd w:val="clear" w:color="auto" w:fill="auto"/>
            <w:noWrap/>
            <w:tcMar>
              <w:top w:w="0" w:type="dxa"/>
              <w:left w:w="40" w:type="dxa"/>
              <w:bottom w:w="0" w:type="dxa"/>
              <w:right w:w="40" w:type="dxa"/>
            </w:tcMar>
            <w:vAlign w:val="center"/>
          </w:tcPr>
          <w:p w:rsidR="008544A4" w:rsidRPr="00C36DAF" w:rsidRDefault="008544A4" w:rsidP="008544A4">
            <w:pPr>
              <w:spacing w:before="0" w:line="240" w:lineRule="auto"/>
              <w:jc w:val="left"/>
              <w:rPr>
                <w:rFonts w:cs="Arial"/>
                <w:bCs/>
                <w:sz w:val="20"/>
                <w:lang w:eastAsia="en-GB"/>
              </w:rPr>
            </w:pPr>
            <w:r w:rsidRPr="00C36DAF">
              <w:rPr>
                <w:rFonts w:cs="Arial"/>
                <w:bCs/>
                <w:sz w:val="20"/>
                <w:lang w:eastAsia="en-GB"/>
              </w:rPr>
              <w:t>UK</w:t>
            </w:r>
          </w:p>
        </w:tc>
        <w:tc>
          <w:tcPr>
            <w:tcW w:w="2268" w:type="dxa"/>
            <w:tcMar>
              <w:top w:w="0" w:type="dxa"/>
              <w:left w:w="40" w:type="dxa"/>
              <w:bottom w:w="0" w:type="dxa"/>
              <w:right w:w="40" w:type="dxa"/>
            </w:tcMar>
            <w:vAlign w:val="center"/>
          </w:tcPr>
          <w:p w:rsidR="008544A4" w:rsidRPr="00C36DAF" w:rsidRDefault="008544A4" w:rsidP="008544A4">
            <w:pPr>
              <w:spacing w:before="0" w:line="240" w:lineRule="auto"/>
              <w:jc w:val="left"/>
              <w:rPr>
                <w:rFonts w:cs="Arial"/>
                <w:bCs/>
                <w:sz w:val="20"/>
                <w:lang w:eastAsia="en-GB"/>
              </w:rPr>
            </w:pPr>
            <w:r>
              <w:rPr>
                <w:rFonts w:cs="Arial"/>
                <w:bCs/>
                <w:sz w:val="20"/>
                <w:lang w:eastAsia="en-GB"/>
              </w:rPr>
              <w:t>Philomena de Lima</w:t>
            </w:r>
          </w:p>
        </w:tc>
      </w:tr>
      <w:tr w:rsidR="008544A4" w:rsidRPr="00C36DAF" w:rsidTr="008544A4">
        <w:trPr>
          <w:trHeight w:val="285"/>
        </w:trPr>
        <w:tc>
          <w:tcPr>
            <w:tcW w:w="539" w:type="dxa"/>
            <w:shd w:val="clear" w:color="auto" w:fill="auto"/>
            <w:tcMar>
              <w:top w:w="0" w:type="dxa"/>
              <w:left w:w="40" w:type="dxa"/>
              <w:bottom w:w="0" w:type="dxa"/>
              <w:right w:w="40" w:type="dxa"/>
            </w:tcMar>
            <w:vAlign w:val="center"/>
          </w:tcPr>
          <w:p w:rsidR="008544A4" w:rsidRPr="00C36DAF" w:rsidRDefault="008544A4" w:rsidP="008544A4">
            <w:pPr>
              <w:spacing w:before="0" w:line="240" w:lineRule="auto"/>
              <w:jc w:val="center"/>
              <w:rPr>
                <w:rFonts w:cs="Arial"/>
                <w:color w:val="000000"/>
                <w:sz w:val="20"/>
                <w:lang w:eastAsia="en-GB"/>
              </w:rPr>
            </w:pPr>
            <w:r w:rsidRPr="00C36DAF">
              <w:rPr>
                <w:rFonts w:cs="Arial"/>
                <w:color w:val="000000"/>
                <w:sz w:val="20"/>
                <w:lang w:eastAsia="en-GB"/>
              </w:rPr>
              <w:t>3</w:t>
            </w:r>
          </w:p>
        </w:tc>
        <w:tc>
          <w:tcPr>
            <w:tcW w:w="5635" w:type="dxa"/>
            <w:shd w:val="clear" w:color="auto" w:fill="auto"/>
            <w:tcMar>
              <w:top w:w="0" w:type="dxa"/>
              <w:left w:w="40" w:type="dxa"/>
              <w:bottom w:w="0" w:type="dxa"/>
              <w:right w:w="40" w:type="dxa"/>
            </w:tcMar>
            <w:vAlign w:val="center"/>
          </w:tcPr>
          <w:p w:rsidR="008544A4" w:rsidRPr="00C36DAF" w:rsidRDefault="008544A4" w:rsidP="008544A4">
            <w:pPr>
              <w:spacing w:before="0" w:line="240" w:lineRule="auto"/>
              <w:jc w:val="left"/>
              <w:rPr>
                <w:rFonts w:cs="Arial"/>
                <w:color w:val="000000"/>
                <w:sz w:val="20"/>
                <w:lang w:eastAsia="en-GB"/>
              </w:rPr>
            </w:pPr>
            <w:r w:rsidRPr="00C36DAF">
              <w:rPr>
                <w:rFonts w:cs="Arial"/>
                <w:color w:val="000000"/>
                <w:sz w:val="20"/>
                <w:lang w:eastAsia="en-GB"/>
              </w:rPr>
              <w:t>Newcastle University</w:t>
            </w:r>
          </w:p>
        </w:tc>
        <w:tc>
          <w:tcPr>
            <w:tcW w:w="567" w:type="dxa"/>
            <w:shd w:val="clear" w:color="auto" w:fill="auto"/>
            <w:noWrap/>
            <w:tcMar>
              <w:top w:w="0" w:type="dxa"/>
              <w:left w:w="40" w:type="dxa"/>
              <w:bottom w:w="0" w:type="dxa"/>
              <w:right w:w="40" w:type="dxa"/>
            </w:tcMar>
            <w:vAlign w:val="center"/>
          </w:tcPr>
          <w:p w:rsidR="008544A4" w:rsidRPr="00C36DAF" w:rsidRDefault="008544A4" w:rsidP="008544A4">
            <w:pPr>
              <w:spacing w:before="0" w:line="240" w:lineRule="auto"/>
              <w:jc w:val="left"/>
              <w:rPr>
                <w:rFonts w:cs="Arial"/>
                <w:sz w:val="20"/>
                <w:lang w:eastAsia="en-GB"/>
              </w:rPr>
            </w:pPr>
            <w:r w:rsidRPr="00C36DAF">
              <w:rPr>
                <w:rFonts w:cs="Arial"/>
                <w:sz w:val="20"/>
                <w:lang w:eastAsia="en-GB"/>
              </w:rPr>
              <w:t>UK</w:t>
            </w:r>
          </w:p>
        </w:tc>
        <w:tc>
          <w:tcPr>
            <w:tcW w:w="2268" w:type="dxa"/>
            <w:tcMar>
              <w:top w:w="0" w:type="dxa"/>
              <w:left w:w="40" w:type="dxa"/>
              <w:bottom w:w="0" w:type="dxa"/>
              <w:right w:w="40" w:type="dxa"/>
            </w:tcMar>
            <w:vAlign w:val="center"/>
          </w:tcPr>
          <w:p w:rsidR="008544A4" w:rsidRPr="00C36DAF" w:rsidRDefault="008544A4" w:rsidP="008544A4">
            <w:pPr>
              <w:spacing w:before="0" w:line="240" w:lineRule="auto"/>
              <w:jc w:val="left"/>
              <w:rPr>
                <w:rFonts w:cs="Arial"/>
                <w:sz w:val="20"/>
                <w:lang w:eastAsia="en-GB"/>
              </w:rPr>
            </w:pPr>
            <w:r w:rsidRPr="00C36DAF">
              <w:rPr>
                <w:rFonts w:cs="Arial"/>
                <w:sz w:val="20"/>
                <w:lang w:eastAsia="en-GB"/>
              </w:rPr>
              <w:t>Mark Shucksmith</w:t>
            </w:r>
          </w:p>
        </w:tc>
      </w:tr>
      <w:tr w:rsidR="008544A4" w:rsidRPr="00C36DAF" w:rsidTr="008544A4">
        <w:trPr>
          <w:trHeight w:val="255"/>
        </w:trPr>
        <w:tc>
          <w:tcPr>
            <w:tcW w:w="539" w:type="dxa"/>
            <w:shd w:val="clear" w:color="auto" w:fill="auto"/>
            <w:tcMar>
              <w:top w:w="0" w:type="dxa"/>
              <w:left w:w="40" w:type="dxa"/>
              <w:bottom w:w="0" w:type="dxa"/>
              <w:right w:w="40" w:type="dxa"/>
            </w:tcMar>
            <w:vAlign w:val="center"/>
          </w:tcPr>
          <w:p w:rsidR="008544A4" w:rsidRPr="00C36DAF" w:rsidRDefault="008544A4" w:rsidP="008544A4">
            <w:pPr>
              <w:spacing w:before="0" w:line="240" w:lineRule="auto"/>
              <w:jc w:val="center"/>
              <w:rPr>
                <w:rFonts w:cs="Arial"/>
                <w:color w:val="000000"/>
                <w:sz w:val="20"/>
                <w:lang w:eastAsia="en-GB"/>
              </w:rPr>
            </w:pPr>
            <w:r w:rsidRPr="00C36DAF">
              <w:rPr>
                <w:rFonts w:cs="Arial"/>
                <w:color w:val="000000"/>
                <w:sz w:val="20"/>
                <w:lang w:eastAsia="en-GB"/>
              </w:rPr>
              <w:t>4</w:t>
            </w:r>
          </w:p>
        </w:tc>
        <w:tc>
          <w:tcPr>
            <w:tcW w:w="5635" w:type="dxa"/>
            <w:shd w:val="clear" w:color="auto" w:fill="auto"/>
            <w:tcMar>
              <w:top w:w="0" w:type="dxa"/>
              <w:left w:w="40" w:type="dxa"/>
              <w:bottom w:w="0" w:type="dxa"/>
              <w:right w:w="40" w:type="dxa"/>
            </w:tcMar>
            <w:vAlign w:val="center"/>
          </w:tcPr>
          <w:p w:rsidR="008544A4" w:rsidRPr="00C36DAF" w:rsidRDefault="008544A4" w:rsidP="008544A4">
            <w:pPr>
              <w:spacing w:before="0" w:line="240" w:lineRule="auto"/>
              <w:jc w:val="left"/>
              <w:rPr>
                <w:rFonts w:cs="Arial"/>
                <w:color w:val="000000"/>
                <w:sz w:val="20"/>
                <w:lang w:eastAsia="en-GB"/>
              </w:rPr>
            </w:pPr>
            <w:r w:rsidRPr="00C36DAF">
              <w:rPr>
                <w:rFonts w:cs="Arial"/>
                <w:color w:val="000000"/>
                <w:sz w:val="20"/>
                <w:lang w:eastAsia="en-GB"/>
              </w:rPr>
              <w:t>Institute of Economics Hungarian Academy of Sciences</w:t>
            </w:r>
          </w:p>
        </w:tc>
        <w:tc>
          <w:tcPr>
            <w:tcW w:w="567" w:type="dxa"/>
            <w:shd w:val="clear" w:color="auto" w:fill="auto"/>
            <w:noWrap/>
            <w:tcMar>
              <w:top w:w="0" w:type="dxa"/>
              <w:left w:w="40" w:type="dxa"/>
              <w:bottom w:w="0" w:type="dxa"/>
              <w:right w:w="40" w:type="dxa"/>
            </w:tcMar>
            <w:vAlign w:val="center"/>
          </w:tcPr>
          <w:p w:rsidR="008544A4" w:rsidRPr="00C36DAF" w:rsidRDefault="008544A4" w:rsidP="008544A4">
            <w:pPr>
              <w:spacing w:before="0" w:line="240" w:lineRule="auto"/>
              <w:jc w:val="left"/>
              <w:rPr>
                <w:rFonts w:cs="Arial"/>
                <w:sz w:val="20"/>
                <w:lang w:eastAsia="en-GB"/>
              </w:rPr>
            </w:pPr>
            <w:r w:rsidRPr="00C36DAF">
              <w:rPr>
                <w:rFonts w:cs="Arial"/>
                <w:sz w:val="20"/>
                <w:lang w:eastAsia="en-GB"/>
              </w:rPr>
              <w:t>HU</w:t>
            </w:r>
          </w:p>
        </w:tc>
        <w:tc>
          <w:tcPr>
            <w:tcW w:w="2268" w:type="dxa"/>
            <w:tcMar>
              <w:top w:w="0" w:type="dxa"/>
              <w:left w:w="40" w:type="dxa"/>
              <w:bottom w:w="0" w:type="dxa"/>
              <w:right w:w="40" w:type="dxa"/>
            </w:tcMar>
            <w:vAlign w:val="center"/>
          </w:tcPr>
          <w:p w:rsidR="008544A4" w:rsidRPr="00C36DAF" w:rsidRDefault="008544A4" w:rsidP="008544A4">
            <w:pPr>
              <w:spacing w:before="0" w:line="240" w:lineRule="auto"/>
              <w:jc w:val="left"/>
              <w:rPr>
                <w:rFonts w:cs="Arial"/>
                <w:sz w:val="20"/>
                <w:lang w:eastAsia="en-GB"/>
              </w:rPr>
            </w:pPr>
            <w:r w:rsidRPr="00C36DAF">
              <w:rPr>
                <w:rFonts w:cs="Arial"/>
                <w:sz w:val="20"/>
                <w:lang w:eastAsia="en-GB"/>
              </w:rPr>
              <w:t>Katalin Kovács</w:t>
            </w:r>
          </w:p>
        </w:tc>
      </w:tr>
      <w:tr w:rsidR="008544A4" w:rsidRPr="00C36DAF" w:rsidTr="008544A4">
        <w:trPr>
          <w:trHeight w:val="255"/>
        </w:trPr>
        <w:tc>
          <w:tcPr>
            <w:tcW w:w="539" w:type="dxa"/>
            <w:shd w:val="clear" w:color="auto" w:fill="auto"/>
            <w:tcMar>
              <w:top w:w="0" w:type="dxa"/>
              <w:left w:w="40" w:type="dxa"/>
              <w:bottom w:w="0" w:type="dxa"/>
              <w:right w:w="40" w:type="dxa"/>
            </w:tcMar>
            <w:vAlign w:val="center"/>
          </w:tcPr>
          <w:p w:rsidR="008544A4" w:rsidRPr="00C36DAF" w:rsidRDefault="008544A4" w:rsidP="008544A4">
            <w:pPr>
              <w:spacing w:before="0" w:line="240" w:lineRule="auto"/>
              <w:jc w:val="center"/>
              <w:rPr>
                <w:rFonts w:cs="Arial"/>
                <w:color w:val="000000"/>
                <w:sz w:val="20"/>
                <w:lang w:eastAsia="en-GB"/>
              </w:rPr>
            </w:pPr>
            <w:r w:rsidRPr="00C36DAF">
              <w:rPr>
                <w:rFonts w:cs="Arial"/>
                <w:color w:val="000000"/>
                <w:sz w:val="20"/>
                <w:lang w:eastAsia="en-GB"/>
              </w:rPr>
              <w:t>5</w:t>
            </w:r>
          </w:p>
        </w:tc>
        <w:tc>
          <w:tcPr>
            <w:tcW w:w="5635" w:type="dxa"/>
            <w:shd w:val="clear" w:color="auto" w:fill="auto"/>
            <w:tcMar>
              <w:top w:w="0" w:type="dxa"/>
              <w:left w:w="40" w:type="dxa"/>
              <w:bottom w:w="0" w:type="dxa"/>
              <w:right w:w="40" w:type="dxa"/>
            </w:tcMar>
            <w:vAlign w:val="center"/>
          </w:tcPr>
          <w:p w:rsidR="008544A4" w:rsidRPr="00C36DAF" w:rsidRDefault="008544A4" w:rsidP="008544A4">
            <w:pPr>
              <w:spacing w:before="0" w:line="240" w:lineRule="auto"/>
              <w:jc w:val="left"/>
              <w:rPr>
                <w:rFonts w:cs="Arial"/>
                <w:color w:val="000000"/>
                <w:sz w:val="20"/>
                <w:lang w:eastAsia="en-GB"/>
              </w:rPr>
            </w:pPr>
            <w:r w:rsidRPr="00C36DAF">
              <w:rPr>
                <w:rFonts w:cs="Arial"/>
                <w:color w:val="000000"/>
                <w:sz w:val="20"/>
                <w:lang w:eastAsia="en-GB"/>
              </w:rPr>
              <w:t>ILS - Research Institute for Regional and Urban Development</w:t>
            </w:r>
          </w:p>
        </w:tc>
        <w:tc>
          <w:tcPr>
            <w:tcW w:w="567" w:type="dxa"/>
            <w:shd w:val="clear" w:color="auto" w:fill="auto"/>
            <w:noWrap/>
            <w:tcMar>
              <w:top w:w="0" w:type="dxa"/>
              <w:left w:w="40" w:type="dxa"/>
              <w:bottom w:w="0" w:type="dxa"/>
              <w:right w:w="40" w:type="dxa"/>
            </w:tcMar>
            <w:vAlign w:val="center"/>
          </w:tcPr>
          <w:p w:rsidR="008544A4" w:rsidRPr="00C36DAF" w:rsidRDefault="008544A4" w:rsidP="008544A4">
            <w:pPr>
              <w:spacing w:before="0" w:line="240" w:lineRule="auto"/>
              <w:jc w:val="left"/>
              <w:rPr>
                <w:rFonts w:cs="Arial"/>
                <w:sz w:val="20"/>
                <w:lang w:eastAsia="en-GB"/>
              </w:rPr>
            </w:pPr>
            <w:r w:rsidRPr="00C36DAF">
              <w:rPr>
                <w:rFonts w:cs="Arial"/>
                <w:sz w:val="20"/>
                <w:lang w:eastAsia="en-GB"/>
              </w:rPr>
              <w:t>DE</w:t>
            </w:r>
          </w:p>
        </w:tc>
        <w:tc>
          <w:tcPr>
            <w:tcW w:w="2268" w:type="dxa"/>
            <w:tcMar>
              <w:top w:w="0" w:type="dxa"/>
              <w:left w:w="40" w:type="dxa"/>
              <w:bottom w:w="0" w:type="dxa"/>
              <w:right w:w="40" w:type="dxa"/>
            </w:tcMar>
            <w:vAlign w:val="center"/>
          </w:tcPr>
          <w:p w:rsidR="008544A4" w:rsidRPr="00C36DAF" w:rsidRDefault="008544A4" w:rsidP="008544A4">
            <w:pPr>
              <w:spacing w:before="0" w:line="240" w:lineRule="auto"/>
              <w:jc w:val="left"/>
              <w:rPr>
                <w:rFonts w:cs="Arial"/>
                <w:sz w:val="20"/>
                <w:lang w:eastAsia="en-GB"/>
              </w:rPr>
            </w:pPr>
            <w:r w:rsidRPr="00C36DAF">
              <w:rPr>
                <w:rFonts w:cs="Arial"/>
                <w:sz w:val="20"/>
                <w:lang w:eastAsia="en-GB"/>
              </w:rPr>
              <w:t>Sabine Weck</w:t>
            </w:r>
          </w:p>
        </w:tc>
      </w:tr>
      <w:tr w:rsidR="008544A4" w:rsidRPr="00C36DAF" w:rsidTr="008544A4">
        <w:trPr>
          <w:trHeight w:val="285"/>
        </w:trPr>
        <w:tc>
          <w:tcPr>
            <w:tcW w:w="539" w:type="dxa"/>
            <w:shd w:val="clear" w:color="auto" w:fill="auto"/>
            <w:tcMar>
              <w:top w:w="0" w:type="dxa"/>
              <w:left w:w="40" w:type="dxa"/>
              <w:bottom w:w="0" w:type="dxa"/>
              <w:right w:w="40" w:type="dxa"/>
            </w:tcMar>
            <w:vAlign w:val="center"/>
          </w:tcPr>
          <w:p w:rsidR="008544A4" w:rsidRPr="00C36DAF" w:rsidRDefault="008544A4" w:rsidP="008544A4">
            <w:pPr>
              <w:spacing w:before="0" w:line="240" w:lineRule="auto"/>
              <w:jc w:val="center"/>
              <w:rPr>
                <w:rFonts w:cs="Arial"/>
                <w:color w:val="000000"/>
                <w:sz w:val="20"/>
                <w:lang w:eastAsia="en-GB"/>
              </w:rPr>
            </w:pPr>
            <w:r w:rsidRPr="00C36DAF">
              <w:rPr>
                <w:rFonts w:cs="Arial"/>
                <w:color w:val="000000"/>
                <w:sz w:val="20"/>
                <w:lang w:eastAsia="en-GB"/>
              </w:rPr>
              <w:t>6</w:t>
            </w:r>
          </w:p>
        </w:tc>
        <w:tc>
          <w:tcPr>
            <w:tcW w:w="5635" w:type="dxa"/>
            <w:shd w:val="clear" w:color="auto" w:fill="auto"/>
            <w:tcMar>
              <w:top w:w="0" w:type="dxa"/>
              <w:left w:w="40" w:type="dxa"/>
              <w:bottom w:w="0" w:type="dxa"/>
              <w:right w:w="40" w:type="dxa"/>
            </w:tcMar>
            <w:vAlign w:val="center"/>
          </w:tcPr>
          <w:p w:rsidR="008544A4" w:rsidRPr="00C36DAF" w:rsidRDefault="008544A4" w:rsidP="008544A4">
            <w:pPr>
              <w:spacing w:before="0" w:line="240" w:lineRule="auto"/>
              <w:jc w:val="left"/>
              <w:rPr>
                <w:rFonts w:cs="Arial"/>
                <w:color w:val="000000"/>
                <w:sz w:val="20"/>
                <w:lang w:eastAsia="en-GB"/>
              </w:rPr>
            </w:pPr>
            <w:r w:rsidRPr="00C36DAF">
              <w:rPr>
                <w:rFonts w:cs="Arial"/>
                <w:color w:val="000000"/>
                <w:sz w:val="20"/>
                <w:lang w:eastAsia="en-GB"/>
              </w:rPr>
              <w:t xml:space="preserve">EKKE - </w:t>
            </w:r>
            <w:r w:rsidRPr="00C36DAF">
              <w:rPr>
                <w:rFonts w:cs="Arial"/>
                <w:sz w:val="20"/>
              </w:rPr>
              <w:t>National Centre for Social Research</w:t>
            </w:r>
          </w:p>
        </w:tc>
        <w:tc>
          <w:tcPr>
            <w:tcW w:w="567" w:type="dxa"/>
            <w:shd w:val="clear" w:color="auto" w:fill="auto"/>
            <w:noWrap/>
            <w:tcMar>
              <w:top w:w="0" w:type="dxa"/>
              <w:left w:w="40" w:type="dxa"/>
              <w:bottom w:w="0" w:type="dxa"/>
              <w:right w:w="40" w:type="dxa"/>
            </w:tcMar>
            <w:vAlign w:val="center"/>
          </w:tcPr>
          <w:p w:rsidR="008544A4" w:rsidRPr="00C36DAF" w:rsidRDefault="008544A4" w:rsidP="008544A4">
            <w:pPr>
              <w:spacing w:before="0" w:line="240" w:lineRule="auto"/>
              <w:jc w:val="left"/>
              <w:rPr>
                <w:rFonts w:cs="Arial"/>
                <w:sz w:val="20"/>
                <w:lang w:eastAsia="en-GB"/>
              </w:rPr>
            </w:pPr>
            <w:r w:rsidRPr="00C36DAF">
              <w:rPr>
                <w:rFonts w:cs="Arial"/>
                <w:sz w:val="20"/>
                <w:lang w:eastAsia="en-GB"/>
              </w:rPr>
              <w:t>EL</w:t>
            </w:r>
          </w:p>
        </w:tc>
        <w:tc>
          <w:tcPr>
            <w:tcW w:w="2268" w:type="dxa"/>
            <w:tcMar>
              <w:top w:w="0" w:type="dxa"/>
              <w:left w:w="40" w:type="dxa"/>
              <w:bottom w:w="0" w:type="dxa"/>
              <w:right w:w="40" w:type="dxa"/>
            </w:tcMar>
            <w:vAlign w:val="center"/>
          </w:tcPr>
          <w:p w:rsidR="008544A4" w:rsidRPr="00C36DAF" w:rsidRDefault="008544A4" w:rsidP="008544A4">
            <w:pPr>
              <w:spacing w:before="0" w:line="240" w:lineRule="auto"/>
              <w:jc w:val="left"/>
              <w:rPr>
                <w:rFonts w:cs="Arial"/>
                <w:sz w:val="20"/>
                <w:lang w:eastAsia="en-GB"/>
              </w:rPr>
            </w:pPr>
            <w:r w:rsidRPr="00C36DAF">
              <w:rPr>
                <w:rFonts w:cs="Arial"/>
                <w:sz w:val="20"/>
                <w:lang w:eastAsia="en-GB"/>
              </w:rPr>
              <w:t>Thomas Maloutas</w:t>
            </w:r>
          </w:p>
        </w:tc>
      </w:tr>
      <w:tr w:rsidR="008544A4" w:rsidRPr="00C36DAF" w:rsidTr="008544A4">
        <w:trPr>
          <w:trHeight w:val="285"/>
        </w:trPr>
        <w:tc>
          <w:tcPr>
            <w:tcW w:w="539" w:type="dxa"/>
            <w:shd w:val="clear" w:color="auto" w:fill="auto"/>
            <w:tcMar>
              <w:top w:w="0" w:type="dxa"/>
              <w:left w:w="40" w:type="dxa"/>
              <w:bottom w:w="0" w:type="dxa"/>
              <w:right w:w="40" w:type="dxa"/>
            </w:tcMar>
            <w:vAlign w:val="center"/>
          </w:tcPr>
          <w:p w:rsidR="008544A4" w:rsidRPr="00C36DAF" w:rsidRDefault="008544A4" w:rsidP="008544A4">
            <w:pPr>
              <w:spacing w:before="0" w:line="240" w:lineRule="auto"/>
              <w:jc w:val="center"/>
              <w:rPr>
                <w:rFonts w:cs="Arial"/>
                <w:color w:val="000000"/>
                <w:sz w:val="20"/>
                <w:lang w:eastAsia="en-GB"/>
              </w:rPr>
            </w:pPr>
            <w:r>
              <w:rPr>
                <w:rFonts w:cs="Arial"/>
                <w:color w:val="000000"/>
                <w:sz w:val="20"/>
                <w:lang w:eastAsia="en-GB"/>
              </w:rPr>
              <w:t>7</w:t>
            </w:r>
          </w:p>
        </w:tc>
        <w:tc>
          <w:tcPr>
            <w:tcW w:w="5635" w:type="dxa"/>
            <w:shd w:val="clear" w:color="auto" w:fill="auto"/>
            <w:tcMar>
              <w:top w:w="0" w:type="dxa"/>
              <w:left w:w="40" w:type="dxa"/>
              <w:bottom w:w="0" w:type="dxa"/>
              <w:right w:w="40" w:type="dxa"/>
            </w:tcMar>
            <w:vAlign w:val="center"/>
          </w:tcPr>
          <w:p w:rsidR="008544A4" w:rsidRPr="00C36DAF" w:rsidRDefault="008544A4" w:rsidP="008544A4">
            <w:pPr>
              <w:spacing w:before="0" w:line="240" w:lineRule="auto"/>
              <w:jc w:val="left"/>
              <w:rPr>
                <w:rFonts w:cs="Arial"/>
                <w:color w:val="000000"/>
                <w:sz w:val="20"/>
                <w:lang w:eastAsia="en-GB"/>
              </w:rPr>
            </w:pPr>
            <w:r>
              <w:rPr>
                <w:rFonts w:cs="Arial"/>
                <w:color w:val="000000"/>
                <w:sz w:val="20"/>
                <w:lang w:eastAsia="en-GB"/>
              </w:rPr>
              <w:t>JHI – The James Hutton Institute</w:t>
            </w:r>
          </w:p>
        </w:tc>
        <w:tc>
          <w:tcPr>
            <w:tcW w:w="567" w:type="dxa"/>
            <w:shd w:val="clear" w:color="auto" w:fill="auto"/>
            <w:noWrap/>
            <w:tcMar>
              <w:top w:w="0" w:type="dxa"/>
              <w:left w:w="40" w:type="dxa"/>
              <w:bottom w:w="0" w:type="dxa"/>
              <w:right w:w="40" w:type="dxa"/>
            </w:tcMar>
            <w:vAlign w:val="center"/>
          </w:tcPr>
          <w:p w:rsidR="008544A4" w:rsidRPr="00C36DAF" w:rsidRDefault="008544A4" w:rsidP="008544A4">
            <w:pPr>
              <w:spacing w:before="0" w:line="240" w:lineRule="auto"/>
              <w:jc w:val="left"/>
              <w:rPr>
                <w:rFonts w:cs="Arial"/>
                <w:sz w:val="20"/>
                <w:lang w:eastAsia="en-GB"/>
              </w:rPr>
            </w:pPr>
            <w:r>
              <w:rPr>
                <w:rFonts w:cs="Arial"/>
                <w:sz w:val="20"/>
                <w:lang w:eastAsia="en-GB"/>
              </w:rPr>
              <w:t>UK</w:t>
            </w:r>
          </w:p>
        </w:tc>
        <w:tc>
          <w:tcPr>
            <w:tcW w:w="2268" w:type="dxa"/>
            <w:tcMar>
              <w:top w:w="0" w:type="dxa"/>
              <w:left w:w="40" w:type="dxa"/>
              <w:bottom w:w="0" w:type="dxa"/>
              <w:right w:w="40" w:type="dxa"/>
            </w:tcMar>
            <w:vAlign w:val="center"/>
          </w:tcPr>
          <w:p w:rsidR="008544A4" w:rsidRPr="00C36DAF" w:rsidRDefault="008544A4" w:rsidP="008544A4">
            <w:pPr>
              <w:spacing w:before="0" w:line="240" w:lineRule="auto"/>
              <w:jc w:val="left"/>
              <w:rPr>
                <w:rFonts w:cs="Arial"/>
                <w:sz w:val="20"/>
                <w:lang w:eastAsia="en-GB"/>
              </w:rPr>
            </w:pPr>
            <w:r w:rsidRPr="00C36DAF">
              <w:rPr>
                <w:rFonts w:cs="Arial"/>
                <w:bCs/>
                <w:sz w:val="20"/>
                <w:lang w:eastAsia="en-GB"/>
              </w:rPr>
              <w:t>Andrew Copus</w:t>
            </w:r>
          </w:p>
        </w:tc>
      </w:tr>
    </w:tbl>
    <w:p w:rsidR="008544A4" w:rsidRDefault="008544A4" w:rsidP="005703AA">
      <w:pPr>
        <w:pStyle w:val="ESPONText"/>
        <w:spacing w:after="0"/>
      </w:pPr>
    </w:p>
    <w:p w:rsidR="008544A4" w:rsidRPr="00C36DAF" w:rsidRDefault="008544A4" w:rsidP="005703AA">
      <w:pPr>
        <w:pStyle w:val="ESPONText"/>
        <w:spacing w:after="0"/>
        <w:sectPr w:rsidR="008544A4" w:rsidRPr="00C36DAF" w:rsidSect="008544A4">
          <w:type w:val="continuous"/>
          <w:pgSz w:w="11906" w:h="16838"/>
          <w:pgMar w:top="1644" w:right="851" w:bottom="1644" w:left="1701" w:header="720" w:footer="720" w:gutter="0"/>
          <w:pgNumType w:fmt="lowerRoman" w:start="1"/>
          <w:cols w:space="720"/>
        </w:sectPr>
      </w:pPr>
    </w:p>
    <w:p w:rsidR="00D95FA4" w:rsidRPr="00C36DAF" w:rsidRDefault="00C82741" w:rsidP="000775D8">
      <w:pPr>
        <w:pStyle w:val="ESPONSubtitle"/>
        <w:jc w:val="center"/>
      </w:pPr>
      <w:r w:rsidRPr="00C36DAF">
        <w:lastRenderedPageBreak/>
        <w:t>CONTENTS</w:t>
      </w:r>
    </w:p>
    <w:p w:rsidR="009F1846" w:rsidRDefault="000D4AAA">
      <w:pPr>
        <w:pStyle w:val="Sisluet1"/>
        <w:rPr>
          <w:rFonts w:asciiTheme="minorHAnsi" w:eastAsiaTheme="minorEastAsia" w:hAnsiTheme="minorHAnsi" w:cstheme="minorBidi"/>
          <w:szCs w:val="22"/>
          <w:lang w:eastAsia="en-GB"/>
        </w:rPr>
      </w:pPr>
      <w:r>
        <w:rPr>
          <w:szCs w:val="22"/>
        </w:rPr>
        <w:fldChar w:fldCharType="begin"/>
      </w:r>
      <w:r>
        <w:rPr>
          <w:szCs w:val="22"/>
        </w:rPr>
        <w:instrText xml:space="preserve"> TOC \o "1-2" \h \z \u </w:instrText>
      </w:r>
      <w:r>
        <w:rPr>
          <w:szCs w:val="22"/>
        </w:rPr>
        <w:fldChar w:fldCharType="separate"/>
      </w:r>
      <w:hyperlink w:anchor="_Toc394071820" w:history="1">
        <w:r w:rsidR="009F1846" w:rsidRPr="000C7F9F">
          <w:rPr>
            <w:rStyle w:val="Hyperlinkki"/>
          </w:rPr>
          <w:t>1</w:t>
        </w:r>
        <w:r w:rsidR="009F1846">
          <w:rPr>
            <w:rFonts w:asciiTheme="minorHAnsi" w:eastAsiaTheme="minorEastAsia" w:hAnsiTheme="minorHAnsi" w:cstheme="minorBidi"/>
            <w:szCs w:val="22"/>
            <w:lang w:eastAsia="en-GB"/>
          </w:rPr>
          <w:tab/>
        </w:r>
        <w:r w:rsidR="009F1846" w:rsidRPr="000C7F9F">
          <w:rPr>
            <w:rStyle w:val="Hyperlinkki"/>
          </w:rPr>
          <w:t>Introduction and Background</w:t>
        </w:r>
        <w:r w:rsidR="009F1846">
          <w:rPr>
            <w:webHidden/>
          </w:rPr>
          <w:tab/>
        </w:r>
        <w:r w:rsidR="009F1846">
          <w:rPr>
            <w:webHidden/>
          </w:rPr>
          <w:fldChar w:fldCharType="begin"/>
        </w:r>
        <w:r w:rsidR="009F1846">
          <w:rPr>
            <w:webHidden/>
          </w:rPr>
          <w:instrText xml:space="preserve"> PAGEREF _Toc394071820 \h </w:instrText>
        </w:r>
        <w:r w:rsidR="009F1846">
          <w:rPr>
            <w:webHidden/>
          </w:rPr>
        </w:r>
        <w:r w:rsidR="009F1846">
          <w:rPr>
            <w:webHidden/>
          </w:rPr>
          <w:fldChar w:fldCharType="separate"/>
        </w:r>
        <w:r w:rsidR="00075DAB">
          <w:rPr>
            <w:webHidden/>
          </w:rPr>
          <w:t>1</w:t>
        </w:r>
        <w:r w:rsidR="009F1846">
          <w:rPr>
            <w:webHidden/>
          </w:rPr>
          <w:fldChar w:fldCharType="end"/>
        </w:r>
      </w:hyperlink>
    </w:p>
    <w:p w:rsidR="009F1846" w:rsidRDefault="00A11F7B">
      <w:pPr>
        <w:pStyle w:val="Sisluet1"/>
        <w:rPr>
          <w:rFonts w:asciiTheme="minorHAnsi" w:eastAsiaTheme="minorEastAsia" w:hAnsiTheme="minorHAnsi" w:cstheme="minorBidi"/>
          <w:szCs w:val="22"/>
          <w:lang w:eastAsia="en-GB"/>
        </w:rPr>
      </w:pPr>
      <w:hyperlink w:anchor="_Toc394071821" w:history="1">
        <w:r w:rsidR="009F1846" w:rsidRPr="000C7F9F">
          <w:rPr>
            <w:rStyle w:val="Hyperlinkki"/>
            <w:rFonts w:eastAsia="Calibri"/>
            <w:lang w:eastAsia="en-GB"/>
          </w:rPr>
          <w:t>2</w:t>
        </w:r>
        <w:r w:rsidR="009F1846">
          <w:rPr>
            <w:rFonts w:asciiTheme="minorHAnsi" w:eastAsiaTheme="minorEastAsia" w:hAnsiTheme="minorHAnsi" w:cstheme="minorBidi"/>
            <w:szCs w:val="22"/>
            <w:lang w:eastAsia="en-GB"/>
          </w:rPr>
          <w:tab/>
        </w:r>
        <w:r w:rsidR="009F1846" w:rsidRPr="000C7F9F">
          <w:rPr>
            <w:rStyle w:val="Hyperlinkki"/>
            <w:rFonts w:eastAsia="Calibri"/>
            <w:lang w:eastAsia="en-GB"/>
          </w:rPr>
          <w:t>Interpreting ARoP rates</w:t>
        </w:r>
        <w:r w:rsidR="009F1846">
          <w:rPr>
            <w:webHidden/>
          </w:rPr>
          <w:tab/>
        </w:r>
        <w:r w:rsidR="009F1846">
          <w:rPr>
            <w:webHidden/>
          </w:rPr>
          <w:fldChar w:fldCharType="begin"/>
        </w:r>
        <w:r w:rsidR="009F1846">
          <w:rPr>
            <w:webHidden/>
          </w:rPr>
          <w:instrText xml:space="preserve"> PAGEREF _Toc394071821 \h </w:instrText>
        </w:r>
        <w:r w:rsidR="009F1846">
          <w:rPr>
            <w:webHidden/>
          </w:rPr>
        </w:r>
        <w:r w:rsidR="009F1846">
          <w:rPr>
            <w:webHidden/>
          </w:rPr>
          <w:fldChar w:fldCharType="separate"/>
        </w:r>
        <w:r w:rsidR="00075DAB">
          <w:rPr>
            <w:webHidden/>
          </w:rPr>
          <w:t>1</w:t>
        </w:r>
        <w:r w:rsidR="009F1846">
          <w:rPr>
            <w:webHidden/>
          </w:rPr>
          <w:fldChar w:fldCharType="end"/>
        </w:r>
      </w:hyperlink>
    </w:p>
    <w:p w:rsidR="009F1846" w:rsidRDefault="00A11F7B">
      <w:pPr>
        <w:pStyle w:val="Sisluet1"/>
        <w:rPr>
          <w:rFonts w:asciiTheme="minorHAnsi" w:eastAsiaTheme="minorEastAsia" w:hAnsiTheme="minorHAnsi" w:cstheme="minorBidi"/>
          <w:szCs w:val="22"/>
          <w:lang w:eastAsia="en-GB"/>
        </w:rPr>
      </w:pPr>
      <w:hyperlink w:anchor="_Toc394071822" w:history="1">
        <w:r w:rsidR="009F1846" w:rsidRPr="000C7F9F">
          <w:rPr>
            <w:rStyle w:val="Hyperlinkki"/>
          </w:rPr>
          <w:t>3</w:t>
        </w:r>
        <w:r w:rsidR="009F1846">
          <w:rPr>
            <w:rFonts w:asciiTheme="minorHAnsi" w:eastAsiaTheme="minorEastAsia" w:hAnsiTheme="minorHAnsi" w:cstheme="minorBidi"/>
            <w:szCs w:val="22"/>
            <w:lang w:eastAsia="en-GB"/>
          </w:rPr>
          <w:tab/>
        </w:r>
        <w:r w:rsidR="009F1846" w:rsidRPr="000C7F9F">
          <w:rPr>
            <w:rStyle w:val="Hyperlinkki"/>
          </w:rPr>
          <w:t>Merging the Individual Poverty Maps</w:t>
        </w:r>
        <w:r w:rsidR="009F1846">
          <w:rPr>
            <w:webHidden/>
          </w:rPr>
          <w:tab/>
        </w:r>
        <w:r w:rsidR="009F1846">
          <w:rPr>
            <w:webHidden/>
          </w:rPr>
          <w:fldChar w:fldCharType="begin"/>
        </w:r>
        <w:r w:rsidR="009F1846">
          <w:rPr>
            <w:webHidden/>
          </w:rPr>
          <w:instrText xml:space="preserve"> PAGEREF _Toc394071822 \h </w:instrText>
        </w:r>
        <w:r w:rsidR="009F1846">
          <w:rPr>
            <w:webHidden/>
          </w:rPr>
        </w:r>
        <w:r w:rsidR="009F1846">
          <w:rPr>
            <w:webHidden/>
          </w:rPr>
          <w:fldChar w:fldCharType="separate"/>
        </w:r>
        <w:r w:rsidR="00075DAB">
          <w:rPr>
            <w:webHidden/>
          </w:rPr>
          <w:t>2</w:t>
        </w:r>
        <w:r w:rsidR="009F1846">
          <w:rPr>
            <w:webHidden/>
          </w:rPr>
          <w:fldChar w:fldCharType="end"/>
        </w:r>
      </w:hyperlink>
    </w:p>
    <w:p w:rsidR="009F1846" w:rsidRDefault="00A11F7B">
      <w:pPr>
        <w:pStyle w:val="Sisluet1"/>
        <w:rPr>
          <w:rFonts w:asciiTheme="minorHAnsi" w:eastAsiaTheme="minorEastAsia" w:hAnsiTheme="minorHAnsi" w:cstheme="minorBidi"/>
          <w:szCs w:val="22"/>
          <w:lang w:eastAsia="en-GB"/>
        </w:rPr>
      </w:pPr>
      <w:hyperlink w:anchor="_Toc394071823" w:history="1">
        <w:r w:rsidR="009F1846" w:rsidRPr="000C7F9F">
          <w:rPr>
            <w:rStyle w:val="Hyperlinkki"/>
          </w:rPr>
          <w:t>4</w:t>
        </w:r>
        <w:r w:rsidR="009F1846">
          <w:rPr>
            <w:rFonts w:asciiTheme="minorHAnsi" w:eastAsiaTheme="minorEastAsia" w:hAnsiTheme="minorHAnsi" w:cstheme="minorBidi"/>
            <w:szCs w:val="22"/>
            <w:lang w:eastAsia="en-GB"/>
          </w:rPr>
          <w:tab/>
        </w:r>
        <w:r w:rsidR="009F1846" w:rsidRPr="000C7F9F">
          <w:rPr>
            <w:rStyle w:val="Hyperlinkki"/>
          </w:rPr>
          <w:t>Simple Adjustments to Enhance the Macro-Scale Pattern</w:t>
        </w:r>
        <w:r w:rsidR="009F1846">
          <w:rPr>
            <w:webHidden/>
          </w:rPr>
          <w:tab/>
        </w:r>
        <w:r w:rsidR="009F1846">
          <w:rPr>
            <w:webHidden/>
          </w:rPr>
          <w:fldChar w:fldCharType="begin"/>
        </w:r>
        <w:r w:rsidR="009F1846">
          <w:rPr>
            <w:webHidden/>
          </w:rPr>
          <w:instrText xml:space="preserve"> PAGEREF _Toc394071823 \h </w:instrText>
        </w:r>
        <w:r w:rsidR="009F1846">
          <w:rPr>
            <w:webHidden/>
          </w:rPr>
        </w:r>
        <w:r w:rsidR="009F1846">
          <w:rPr>
            <w:webHidden/>
          </w:rPr>
          <w:fldChar w:fldCharType="separate"/>
        </w:r>
        <w:r w:rsidR="00075DAB">
          <w:rPr>
            <w:webHidden/>
          </w:rPr>
          <w:t>5</w:t>
        </w:r>
        <w:r w:rsidR="009F1846">
          <w:rPr>
            <w:webHidden/>
          </w:rPr>
          <w:fldChar w:fldCharType="end"/>
        </w:r>
      </w:hyperlink>
    </w:p>
    <w:p w:rsidR="009F1846" w:rsidRDefault="00A11F7B">
      <w:pPr>
        <w:pStyle w:val="Sisluet1"/>
        <w:rPr>
          <w:rFonts w:asciiTheme="minorHAnsi" w:eastAsiaTheme="minorEastAsia" w:hAnsiTheme="minorHAnsi" w:cstheme="minorBidi"/>
          <w:szCs w:val="22"/>
          <w:lang w:eastAsia="en-GB"/>
        </w:rPr>
      </w:pPr>
      <w:hyperlink w:anchor="_Toc394071824" w:history="1">
        <w:r w:rsidR="009F1846" w:rsidRPr="000C7F9F">
          <w:rPr>
            <w:rStyle w:val="Hyperlinkki"/>
          </w:rPr>
          <w:t>5</w:t>
        </w:r>
        <w:r w:rsidR="009F1846">
          <w:rPr>
            <w:rFonts w:asciiTheme="minorHAnsi" w:eastAsiaTheme="minorEastAsia" w:hAnsiTheme="minorHAnsi" w:cstheme="minorBidi"/>
            <w:szCs w:val="22"/>
            <w:lang w:eastAsia="en-GB"/>
          </w:rPr>
          <w:tab/>
        </w:r>
        <w:r w:rsidR="009F1846" w:rsidRPr="000C7F9F">
          <w:rPr>
            <w:rStyle w:val="Hyperlinkki"/>
          </w:rPr>
          <w:t>Comparing with the ESPON Typologies</w:t>
        </w:r>
        <w:r w:rsidR="009F1846">
          <w:rPr>
            <w:webHidden/>
          </w:rPr>
          <w:tab/>
        </w:r>
        <w:r w:rsidR="009F1846">
          <w:rPr>
            <w:webHidden/>
          </w:rPr>
          <w:fldChar w:fldCharType="begin"/>
        </w:r>
        <w:r w:rsidR="009F1846">
          <w:rPr>
            <w:webHidden/>
          </w:rPr>
          <w:instrText xml:space="preserve"> PAGEREF _Toc394071824 \h </w:instrText>
        </w:r>
        <w:r w:rsidR="009F1846">
          <w:rPr>
            <w:webHidden/>
          </w:rPr>
        </w:r>
        <w:r w:rsidR="009F1846">
          <w:rPr>
            <w:webHidden/>
          </w:rPr>
          <w:fldChar w:fldCharType="separate"/>
        </w:r>
        <w:r w:rsidR="00075DAB">
          <w:rPr>
            <w:webHidden/>
          </w:rPr>
          <w:t>8</w:t>
        </w:r>
        <w:r w:rsidR="009F1846">
          <w:rPr>
            <w:webHidden/>
          </w:rPr>
          <w:fldChar w:fldCharType="end"/>
        </w:r>
      </w:hyperlink>
    </w:p>
    <w:p w:rsidR="009F1846" w:rsidRDefault="00A11F7B">
      <w:pPr>
        <w:pStyle w:val="Sisluet1"/>
        <w:rPr>
          <w:rFonts w:asciiTheme="minorHAnsi" w:eastAsiaTheme="minorEastAsia" w:hAnsiTheme="minorHAnsi" w:cstheme="minorBidi"/>
          <w:szCs w:val="22"/>
          <w:lang w:eastAsia="en-GB"/>
        </w:rPr>
      </w:pPr>
      <w:hyperlink w:anchor="_Toc394071825" w:history="1">
        <w:r w:rsidR="009F1846" w:rsidRPr="000C7F9F">
          <w:rPr>
            <w:rStyle w:val="Hyperlinkki"/>
          </w:rPr>
          <w:t>6</w:t>
        </w:r>
        <w:r w:rsidR="009F1846">
          <w:rPr>
            <w:rFonts w:asciiTheme="minorHAnsi" w:eastAsiaTheme="minorEastAsia" w:hAnsiTheme="minorHAnsi" w:cstheme="minorBidi"/>
            <w:szCs w:val="22"/>
            <w:lang w:eastAsia="en-GB"/>
          </w:rPr>
          <w:tab/>
        </w:r>
        <w:r w:rsidR="009F1846" w:rsidRPr="000C7F9F">
          <w:rPr>
            <w:rStyle w:val="Hyperlinkki"/>
          </w:rPr>
          <w:t>Statistical Relationships between the ARoP rates and other Socio-economic Indicators</w:t>
        </w:r>
        <w:r w:rsidR="009F1846">
          <w:rPr>
            <w:webHidden/>
          </w:rPr>
          <w:tab/>
        </w:r>
        <w:r w:rsidR="009F1846">
          <w:rPr>
            <w:webHidden/>
          </w:rPr>
          <w:fldChar w:fldCharType="begin"/>
        </w:r>
        <w:r w:rsidR="009F1846">
          <w:rPr>
            <w:webHidden/>
          </w:rPr>
          <w:instrText xml:space="preserve"> PAGEREF _Toc394071825 \h </w:instrText>
        </w:r>
        <w:r w:rsidR="009F1846">
          <w:rPr>
            <w:webHidden/>
          </w:rPr>
        </w:r>
        <w:r w:rsidR="009F1846">
          <w:rPr>
            <w:webHidden/>
          </w:rPr>
          <w:fldChar w:fldCharType="separate"/>
        </w:r>
        <w:r w:rsidR="00075DAB">
          <w:rPr>
            <w:webHidden/>
          </w:rPr>
          <w:t>13</w:t>
        </w:r>
        <w:r w:rsidR="009F1846">
          <w:rPr>
            <w:webHidden/>
          </w:rPr>
          <w:fldChar w:fldCharType="end"/>
        </w:r>
      </w:hyperlink>
    </w:p>
    <w:p w:rsidR="009F1846" w:rsidRDefault="00A11F7B">
      <w:pPr>
        <w:pStyle w:val="Sisluet1"/>
        <w:rPr>
          <w:rFonts w:asciiTheme="minorHAnsi" w:eastAsiaTheme="minorEastAsia" w:hAnsiTheme="minorHAnsi" w:cstheme="minorBidi"/>
          <w:szCs w:val="22"/>
          <w:lang w:eastAsia="en-GB"/>
        </w:rPr>
      </w:pPr>
      <w:hyperlink w:anchor="_Toc394071826" w:history="1">
        <w:r w:rsidR="009F1846" w:rsidRPr="000C7F9F">
          <w:rPr>
            <w:rStyle w:val="Hyperlinkki"/>
          </w:rPr>
          <w:t>7</w:t>
        </w:r>
        <w:r w:rsidR="009F1846">
          <w:rPr>
            <w:rFonts w:asciiTheme="minorHAnsi" w:eastAsiaTheme="minorEastAsia" w:hAnsiTheme="minorHAnsi" w:cstheme="minorBidi"/>
            <w:szCs w:val="22"/>
            <w:lang w:eastAsia="en-GB"/>
          </w:rPr>
          <w:tab/>
        </w:r>
        <w:r w:rsidR="009F1846" w:rsidRPr="000C7F9F">
          <w:rPr>
            <w:rStyle w:val="Hyperlinkki"/>
          </w:rPr>
          <w:t>Discussion and Conclusions</w:t>
        </w:r>
        <w:r w:rsidR="009F1846">
          <w:rPr>
            <w:webHidden/>
          </w:rPr>
          <w:tab/>
        </w:r>
        <w:r w:rsidR="009F1846">
          <w:rPr>
            <w:webHidden/>
          </w:rPr>
          <w:fldChar w:fldCharType="begin"/>
        </w:r>
        <w:r w:rsidR="009F1846">
          <w:rPr>
            <w:webHidden/>
          </w:rPr>
          <w:instrText xml:space="preserve"> PAGEREF _Toc394071826 \h </w:instrText>
        </w:r>
        <w:r w:rsidR="009F1846">
          <w:rPr>
            <w:webHidden/>
          </w:rPr>
        </w:r>
        <w:r w:rsidR="009F1846">
          <w:rPr>
            <w:webHidden/>
          </w:rPr>
          <w:fldChar w:fldCharType="separate"/>
        </w:r>
        <w:r w:rsidR="00075DAB">
          <w:rPr>
            <w:webHidden/>
          </w:rPr>
          <w:t>21</w:t>
        </w:r>
        <w:r w:rsidR="009F1846">
          <w:rPr>
            <w:webHidden/>
          </w:rPr>
          <w:fldChar w:fldCharType="end"/>
        </w:r>
      </w:hyperlink>
    </w:p>
    <w:p w:rsidR="00675A2D" w:rsidRPr="00C36DAF" w:rsidRDefault="000D4AAA" w:rsidP="00675A2D">
      <w:pPr>
        <w:pStyle w:val="ESPONSubtitle"/>
        <w:spacing w:before="0" w:after="0"/>
        <w:jc w:val="center"/>
      </w:pPr>
      <w:r>
        <w:rPr>
          <w:noProof/>
          <w:szCs w:val="22"/>
        </w:rPr>
        <w:fldChar w:fldCharType="end"/>
      </w:r>
      <w:r w:rsidR="00675A2D">
        <w:rPr>
          <w:noProof/>
          <w:szCs w:val="22"/>
        </w:rPr>
        <w:t>MAPS</w:t>
      </w:r>
    </w:p>
    <w:p w:rsidR="009F1846" w:rsidRDefault="00D76F5D">
      <w:pPr>
        <w:pStyle w:val="Kuvaotsikkoluettelo"/>
        <w:tabs>
          <w:tab w:val="right" w:leader="dot" w:pos="8303"/>
        </w:tabs>
        <w:rPr>
          <w:rFonts w:asciiTheme="minorHAnsi" w:eastAsiaTheme="minorEastAsia" w:hAnsiTheme="minorHAnsi" w:cstheme="minorBidi"/>
          <w:noProof/>
          <w:szCs w:val="22"/>
          <w:lang w:eastAsia="en-GB"/>
        </w:rPr>
      </w:pPr>
      <w:r>
        <w:rPr>
          <w:noProof/>
          <w:szCs w:val="22"/>
        </w:rPr>
        <w:fldChar w:fldCharType="begin"/>
      </w:r>
      <w:r>
        <w:rPr>
          <w:noProof/>
          <w:szCs w:val="22"/>
        </w:rPr>
        <w:instrText xml:space="preserve"> TOC \h \z \c "Map" </w:instrText>
      </w:r>
      <w:r>
        <w:rPr>
          <w:noProof/>
          <w:szCs w:val="22"/>
        </w:rPr>
        <w:fldChar w:fldCharType="separate"/>
      </w:r>
      <w:hyperlink w:anchor="_Toc394071829" w:history="1">
        <w:r w:rsidR="009F1846" w:rsidRPr="00E43A73">
          <w:rPr>
            <w:rStyle w:val="Hyperlinkki"/>
            <w:noProof/>
          </w:rPr>
          <w:t>Map 1: NUTS 3 At Risk of Poverty Rates: Unadjusted</w:t>
        </w:r>
        <w:r w:rsidR="009F1846">
          <w:rPr>
            <w:noProof/>
            <w:webHidden/>
          </w:rPr>
          <w:tab/>
        </w:r>
        <w:r w:rsidR="009F1846">
          <w:rPr>
            <w:noProof/>
            <w:webHidden/>
          </w:rPr>
          <w:fldChar w:fldCharType="begin"/>
        </w:r>
        <w:r w:rsidR="009F1846">
          <w:rPr>
            <w:noProof/>
            <w:webHidden/>
          </w:rPr>
          <w:instrText xml:space="preserve"> PAGEREF _Toc394071829 \h </w:instrText>
        </w:r>
        <w:r w:rsidR="009F1846">
          <w:rPr>
            <w:noProof/>
            <w:webHidden/>
          </w:rPr>
        </w:r>
        <w:r w:rsidR="009F1846">
          <w:rPr>
            <w:noProof/>
            <w:webHidden/>
          </w:rPr>
          <w:fldChar w:fldCharType="separate"/>
        </w:r>
        <w:r w:rsidR="009F1846">
          <w:rPr>
            <w:noProof/>
            <w:webHidden/>
          </w:rPr>
          <w:t>3</w:t>
        </w:r>
        <w:r w:rsidR="009F1846">
          <w:rPr>
            <w:noProof/>
            <w:webHidden/>
          </w:rPr>
          <w:fldChar w:fldCharType="end"/>
        </w:r>
      </w:hyperlink>
    </w:p>
    <w:p w:rsidR="009F1846" w:rsidRDefault="00A11F7B">
      <w:pPr>
        <w:pStyle w:val="Kuvaotsikkoluettelo"/>
        <w:tabs>
          <w:tab w:val="right" w:leader="dot" w:pos="8303"/>
        </w:tabs>
        <w:rPr>
          <w:rFonts w:asciiTheme="minorHAnsi" w:eastAsiaTheme="minorEastAsia" w:hAnsiTheme="minorHAnsi" w:cstheme="minorBidi"/>
          <w:noProof/>
          <w:szCs w:val="22"/>
          <w:lang w:eastAsia="en-GB"/>
        </w:rPr>
      </w:pPr>
      <w:hyperlink w:anchor="_Toc394071830" w:history="1">
        <w:r w:rsidR="009F1846" w:rsidRPr="00E43A73">
          <w:rPr>
            <w:rStyle w:val="Hyperlinkki"/>
            <w:noProof/>
          </w:rPr>
          <w:t>Map 2: Eurostat ARoP Rates (NUTS 2/1/0)</w:t>
        </w:r>
        <w:r w:rsidR="009F1846">
          <w:rPr>
            <w:noProof/>
            <w:webHidden/>
          </w:rPr>
          <w:tab/>
        </w:r>
        <w:r w:rsidR="009F1846">
          <w:rPr>
            <w:noProof/>
            <w:webHidden/>
          </w:rPr>
          <w:fldChar w:fldCharType="begin"/>
        </w:r>
        <w:r w:rsidR="009F1846">
          <w:rPr>
            <w:noProof/>
            <w:webHidden/>
          </w:rPr>
          <w:instrText xml:space="preserve"> PAGEREF _Toc394071830 \h </w:instrText>
        </w:r>
        <w:r w:rsidR="009F1846">
          <w:rPr>
            <w:noProof/>
            <w:webHidden/>
          </w:rPr>
        </w:r>
        <w:r w:rsidR="009F1846">
          <w:rPr>
            <w:noProof/>
            <w:webHidden/>
          </w:rPr>
          <w:fldChar w:fldCharType="separate"/>
        </w:r>
        <w:r w:rsidR="009F1846">
          <w:rPr>
            <w:noProof/>
            <w:webHidden/>
          </w:rPr>
          <w:t>4</w:t>
        </w:r>
        <w:r w:rsidR="009F1846">
          <w:rPr>
            <w:noProof/>
            <w:webHidden/>
          </w:rPr>
          <w:fldChar w:fldCharType="end"/>
        </w:r>
      </w:hyperlink>
    </w:p>
    <w:p w:rsidR="009F1846" w:rsidRDefault="00A11F7B">
      <w:pPr>
        <w:pStyle w:val="Kuvaotsikkoluettelo"/>
        <w:tabs>
          <w:tab w:val="right" w:leader="dot" w:pos="8303"/>
        </w:tabs>
        <w:rPr>
          <w:rFonts w:asciiTheme="minorHAnsi" w:eastAsiaTheme="minorEastAsia" w:hAnsiTheme="minorHAnsi" w:cstheme="minorBidi"/>
          <w:noProof/>
          <w:szCs w:val="22"/>
          <w:lang w:eastAsia="en-GB"/>
        </w:rPr>
      </w:pPr>
      <w:hyperlink w:anchor="_Toc394071831" w:history="1">
        <w:r w:rsidR="009F1846" w:rsidRPr="00E43A73">
          <w:rPr>
            <w:rStyle w:val="Hyperlinkki"/>
            <w:noProof/>
          </w:rPr>
          <w:t>Map 3: NUTS 3 At Risk of Poverty Rates: National Quintiles</w:t>
        </w:r>
        <w:r w:rsidR="009F1846">
          <w:rPr>
            <w:noProof/>
            <w:webHidden/>
          </w:rPr>
          <w:tab/>
        </w:r>
        <w:r w:rsidR="009F1846">
          <w:rPr>
            <w:noProof/>
            <w:webHidden/>
          </w:rPr>
          <w:fldChar w:fldCharType="begin"/>
        </w:r>
        <w:r w:rsidR="009F1846">
          <w:rPr>
            <w:noProof/>
            <w:webHidden/>
          </w:rPr>
          <w:instrText xml:space="preserve"> PAGEREF _Toc394071831 \h </w:instrText>
        </w:r>
        <w:r w:rsidR="009F1846">
          <w:rPr>
            <w:noProof/>
            <w:webHidden/>
          </w:rPr>
        </w:r>
        <w:r w:rsidR="009F1846">
          <w:rPr>
            <w:noProof/>
            <w:webHidden/>
          </w:rPr>
          <w:fldChar w:fldCharType="separate"/>
        </w:r>
        <w:r w:rsidR="009F1846">
          <w:rPr>
            <w:noProof/>
            <w:webHidden/>
          </w:rPr>
          <w:t>6</w:t>
        </w:r>
        <w:r w:rsidR="009F1846">
          <w:rPr>
            <w:noProof/>
            <w:webHidden/>
          </w:rPr>
          <w:fldChar w:fldCharType="end"/>
        </w:r>
      </w:hyperlink>
    </w:p>
    <w:p w:rsidR="009F1846" w:rsidRDefault="00A11F7B">
      <w:pPr>
        <w:pStyle w:val="Kuvaotsikkoluettelo"/>
        <w:tabs>
          <w:tab w:val="right" w:leader="dot" w:pos="8303"/>
        </w:tabs>
        <w:rPr>
          <w:rFonts w:asciiTheme="minorHAnsi" w:eastAsiaTheme="minorEastAsia" w:hAnsiTheme="minorHAnsi" w:cstheme="minorBidi"/>
          <w:noProof/>
          <w:szCs w:val="22"/>
          <w:lang w:eastAsia="en-GB"/>
        </w:rPr>
      </w:pPr>
      <w:hyperlink w:anchor="_Toc394071832" w:history="1">
        <w:r w:rsidR="009F1846" w:rsidRPr="00E43A73">
          <w:rPr>
            <w:rStyle w:val="Hyperlinkki"/>
            <w:noProof/>
          </w:rPr>
          <w:t>Map 4: NUTS 3 At Risk of Poverty Rates: National Average =100</w:t>
        </w:r>
        <w:r w:rsidR="009F1846">
          <w:rPr>
            <w:noProof/>
            <w:webHidden/>
          </w:rPr>
          <w:tab/>
        </w:r>
        <w:r w:rsidR="009F1846">
          <w:rPr>
            <w:noProof/>
            <w:webHidden/>
          </w:rPr>
          <w:fldChar w:fldCharType="begin"/>
        </w:r>
        <w:r w:rsidR="009F1846">
          <w:rPr>
            <w:noProof/>
            <w:webHidden/>
          </w:rPr>
          <w:instrText xml:space="preserve"> PAGEREF _Toc394071832 \h </w:instrText>
        </w:r>
        <w:r w:rsidR="009F1846">
          <w:rPr>
            <w:noProof/>
            <w:webHidden/>
          </w:rPr>
        </w:r>
        <w:r w:rsidR="009F1846">
          <w:rPr>
            <w:noProof/>
            <w:webHidden/>
          </w:rPr>
          <w:fldChar w:fldCharType="separate"/>
        </w:r>
        <w:r w:rsidR="009F1846">
          <w:rPr>
            <w:noProof/>
            <w:webHidden/>
          </w:rPr>
          <w:t>7</w:t>
        </w:r>
        <w:r w:rsidR="009F1846">
          <w:rPr>
            <w:noProof/>
            <w:webHidden/>
          </w:rPr>
          <w:fldChar w:fldCharType="end"/>
        </w:r>
      </w:hyperlink>
    </w:p>
    <w:p w:rsidR="002A7DF8" w:rsidRPr="00C36DAF" w:rsidRDefault="00D76F5D" w:rsidP="00006BE0">
      <w:pPr>
        <w:pStyle w:val="ESPONText"/>
        <w:rPr>
          <w:noProof/>
          <w:szCs w:val="22"/>
          <w:lang w:eastAsia="en-US"/>
        </w:rPr>
      </w:pPr>
      <w:r>
        <w:rPr>
          <w:noProof/>
          <w:szCs w:val="22"/>
          <w:lang w:eastAsia="en-US"/>
        </w:rPr>
        <w:fldChar w:fldCharType="end"/>
      </w:r>
    </w:p>
    <w:p w:rsidR="00BF09EE" w:rsidRPr="00C36DAF" w:rsidRDefault="005B346C" w:rsidP="00675A2D">
      <w:pPr>
        <w:pStyle w:val="ESPONSubtitle"/>
        <w:spacing w:before="0" w:after="0"/>
        <w:jc w:val="center"/>
      </w:pPr>
      <w:r w:rsidRPr="00C36DAF">
        <w:t>TABLES</w:t>
      </w:r>
    </w:p>
    <w:p w:rsidR="009F1846" w:rsidRDefault="00F61E50">
      <w:pPr>
        <w:pStyle w:val="Kuvaotsikkoluettelo"/>
        <w:tabs>
          <w:tab w:val="right" w:pos="8303"/>
        </w:tabs>
        <w:rPr>
          <w:rFonts w:asciiTheme="minorHAnsi" w:eastAsiaTheme="minorEastAsia" w:hAnsiTheme="minorHAnsi" w:cstheme="minorBidi"/>
          <w:noProof/>
          <w:szCs w:val="22"/>
          <w:lang w:eastAsia="en-GB"/>
        </w:rPr>
      </w:pPr>
      <w:r w:rsidRPr="00C36DAF">
        <w:fldChar w:fldCharType="begin"/>
      </w:r>
      <w:r w:rsidR="00EA1FF2" w:rsidRPr="00C36DAF">
        <w:instrText xml:space="preserve"> TOC \h \z \c "Table" </w:instrText>
      </w:r>
      <w:r w:rsidRPr="00C36DAF">
        <w:fldChar w:fldCharType="separate"/>
      </w:r>
      <w:hyperlink w:anchor="_Toc394071838" w:history="1">
        <w:r w:rsidR="009F1846" w:rsidRPr="00F05BCD">
          <w:rPr>
            <w:rStyle w:val="Hyperlinkki"/>
            <w:noProof/>
          </w:rPr>
          <w:t>Table 1: The indicators used in the Correlation Analysis</w:t>
        </w:r>
        <w:r w:rsidR="009F1846">
          <w:rPr>
            <w:noProof/>
            <w:webHidden/>
          </w:rPr>
          <w:tab/>
        </w:r>
        <w:r w:rsidR="009F1846">
          <w:rPr>
            <w:noProof/>
            <w:webHidden/>
          </w:rPr>
          <w:fldChar w:fldCharType="begin"/>
        </w:r>
        <w:r w:rsidR="009F1846">
          <w:rPr>
            <w:noProof/>
            <w:webHidden/>
          </w:rPr>
          <w:instrText xml:space="preserve"> PAGEREF _Toc394071838 \h </w:instrText>
        </w:r>
        <w:r w:rsidR="009F1846">
          <w:rPr>
            <w:noProof/>
            <w:webHidden/>
          </w:rPr>
        </w:r>
        <w:r w:rsidR="009F1846">
          <w:rPr>
            <w:noProof/>
            <w:webHidden/>
          </w:rPr>
          <w:fldChar w:fldCharType="separate"/>
        </w:r>
        <w:r w:rsidR="009F1846">
          <w:rPr>
            <w:noProof/>
            <w:webHidden/>
          </w:rPr>
          <w:t>14</w:t>
        </w:r>
        <w:r w:rsidR="009F1846">
          <w:rPr>
            <w:noProof/>
            <w:webHidden/>
          </w:rPr>
          <w:fldChar w:fldCharType="end"/>
        </w:r>
      </w:hyperlink>
    </w:p>
    <w:p w:rsidR="009F1846" w:rsidRDefault="00A11F7B">
      <w:pPr>
        <w:pStyle w:val="Kuvaotsikkoluettelo"/>
        <w:tabs>
          <w:tab w:val="right" w:pos="8303"/>
        </w:tabs>
        <w:rPr>
          <w:rFonts w:asciiTheme="minorHAnsi" w:eastAsiaTheme="minorEastAsia" w:hAnsiTheme="minorHAnsi" w:cstheme="minorBidi"/>
          <w:noProof/>
          <w:szCs w:val="22"/>
          <w:lang w:eastAsia="en-GB"/>
        </w:rPr>
      </w:pPr>
      <w:hyperlink w:anchor="_Toc394071839" w:history="1">
        <w:r w:rsidR="009F1846" w:rsidRPr="00F05BCD">
          <w:rPr>
            <w:rStyle w:val="Hyperlinkki"/>
            <w:noProof/>
          </w:rPr>
          <w:t>Table 2: Pearson Correlation Coefficients between ARoP rates (unadjusted) and selected socio-economic indicators, ESPON space, EU15, and EU12.</w:t>
        </w:r>
        <w:r w:rsidR="009F1846">
          <w:rPr>
            <w:noProof/>
            <w:webHidden/>
          </w:rPr>
          <w:tab/>
        </w:r>
        <w:r w:rsidR="009F1846">
          <w:rPr>
            <w:noProof/>
            <w:webHidden/>
          </w:rPr>
          <w:fldChar w:fldCharType="begin"/>
        </w:r>
        <w:r w:rsidR="009F1846">
          <w:rPr>
            <w:noProof/>
            <w:webHidden/>
          </w:rPr>
          <w:instrText xml:space="preserve"> PAGEREF _Toc394071839 \h </w:instrText>
        </w:r>
        <w:r w:rsidR="009F1846">
          <w:rPr>
            <w:noProof/>
            <w:webHidden/>
          </w:rPr>
        </w:r>
        <w:r w:rsidR="009F1846">
          <w:rPr>
            <w:noProof/>
            <w:webHidden/>
          </w:rPr>
          <w:fldChar w:fldCharType="separate"/>
        </w:r>
        <w:r w:rsidR="009F1846">
          <w:rPr>
            <w:noProof/>
            <w:webHidden/>
          </w:rPr>
          <w:t>16</w:t>
        </w:r>
        <w:r w:rsidR="009F1846">
          <w:rPr>
            <w:noProof/>
            <w:webHidden/>
          </w:rPr>
          <w:fldChar w:fldCharType="end"/>
        </w:r>
      </w:hyperlink>
    </w:p>
    <w:p w:rsidR="009F1846" w:rsidRDefault="00A11F7B">
      <w:pPr>
        <w:pStyle w:val="Kuvaotsikkoluettelo"/>
        <w:tabs>
          <w:tab w:val="right" w:pos="8303"/>
        </w:tabs>
        <w:rPr>
          <w:rFonts w:asciiTheme="minorHAnsi" w:eastAsiaTheme="minorEastAsia" w:hAnsiTheme="minorHAnsi" w:cstheme="minorBidi"/>
          <w:noProof/>
          <w:szCs w:val="22"/>
          <w:lang w:eastAsia="en-GB"/>
        </w:rPr>
      </w:pPr>
      <w:hyperlink w:anchor="_Toc394071840" w:history="1">
        <w:r w:rsidR="009F1846" w:rsidRPr="00F05BCD">
          <w:rPr>
            <w:rStyle w:val="Hyperlinkki"/>
            <w:noProof/>
          </w:rPr>
          <w:t>Table 3: Pearson Correlation Coefficients between ARoP rates (unadjusted) and selected socio-economic indicators – by welfare regime classification</w:t>
        </w:r>
        <w:r w:rsidR="009F1846">
          <w:rPr>
            <w:noProof/>
            <w:webHidden/>
          </w:rPr>
          <w:tab/>
        </w:r>
        <w:r w:rsidR="009F1846">
          <w:rPr>
            <w:noProof/>
            <w:webHidden/>
          </w:rPr>
          <w:fldChar w:fldCharType="begin"/>
        </w:r>
        <w:r w:rsidR="009F1846">
          <w:rPr>
            <w:noProof/>
            <w:webHidden/>
          </w:rPr>
          <w:instrText xml:space="preserve"> PAGEREF _Toc394071840 \h </w:instrText>
        </w:r>
        <w:r w:rsidR="009F1846">
          <w:rPr>
            <w:noProof/>
            <w:webHidden/>
          </w:rPr>
        </w:r>
        <w:r w:rsidR="009F1846">
          <w:rPr>
            <w:noProof/>
            <w:webHidden/>
          </w:rPr>
          <w:fldChar w:fldCharType="separate"/>
        </w:r>
        <w:r w:rsidR="009F1846">
          <w:rPr>
            <w:noProof/>
            <w:webHidden/>
          </w:rPr>
          <w:t>18</w:t>
        </w:r>
        <w:r w:rsidR="009F1846">
          <w:rPr>
            <w:noProof/>
            <w:webHidden/>
          </w:rPr>
          <w:fldChar w:fldCharType="end"/>
        </w:r>
      </w:hyperlink>
    </w:p>
    <w:p w:rsidR="009F1846" w:rsidRDefault="00A11F7B">
      <w:pPr>
        <w:pStyle w:val="Kuvaotsikkoluettelo"/>
        <w:tabs>
          <w:tab w:val="right" w:pos="8303"/>
        </w:tabs>
        <w:rPr>
          <w:rFonts w:asciiTheme="minorHAnsi" w:eastAsiaTheme="minorEastAsia" w:hAnsiTheme="minorHAnsi" w:cstheme="minorBidi"/>
          <w:noProof/>
          <w:szCs w:val="22"/>
          <w:lang w:eastAsia="en-GB"/>
        </w:rPr>
      </w:pPr>
      <w:hyperlink w:anchor="_Toc394071841" w:history="1">
        <w:r w:rsidR="009F1846" w:rsidRPr="00F05BCD">
          <w:rPr>
            <w:rStyle w:val="Hyperlinkki"/>
            <w:noProof/>
          </w:rPr>
          <w:t>Table 4: Pearson Correlation Coefficients between ARoP rates (unadjusted) and selected socio-economic indicators – by TiPSE Cluster</w:t>
        </w:r>
        <w:r w:rsidR="009F1846">
          <w:rPr>
            <w:noProof/>
            <w:webHidden/>
          </w:rPr>
          <w:tab/>
        </w:r>
        <w:r w:rsidR="009F1846">
          <w:rPr>
            <w:noProof/>
            <w:webHidden/>
          </w:rPr>
          <w:fldChar w:fldCharType="begin"/>
        </w:r>
        <w:r w:rsidR="009F1846">
          <w:rPr>
            <w:noProof/>
            <w:webHidden/>
          </w:rPr>
          <w:instrText xml:space="preserve"> PAGEREF _Toc394071841 \h </w:instrText>
        </w:r>
        <w:r w:rsidR="009F1846">
          <w:rPr>
            <w:noProof/>
            <w:webHidden/>
          </w:rPr>
        </w:r>
        <w:r w:rsidR="009F1846">
          <w:rPr>
            <w:noProof/>
            <w:webHidden/>
          </w:rPr>
          <w:fldChar w:fldCharType="separate"/>
        </w:r>
        <w:r w:rsidR="009F1846">
          <w:rPr>
            <w:noProof/>
            <w:webHidden/>
          </w:rPr>
          <w:t>20</w:t>
        </w:r>
        <w:r w:rsidR="009F1846">
          <w:rPr>
            <w:noProof/>
            <w:webHidden/>
          </w:rPr>
          <w:fldChar w:fldCharType="end"/>
        </w:r>
      </w:hyperlink>
    </w:p>
    <w:p w:rsidR="00675A2D" w:rsidRDefault="00F61E50" w:rsidP="00AA149B">
      <w:pPr>
        <w:pStyle w:val="ESPONText"/>
        <w:tabs>
          <w:tab w:val="left" w:pos="9072"/>
        </w:tabs>
        <w:spacing w:after="0"/>
      </w:pPr>
      <w:r w:rsidRPr="00C36DAF">
        <w:fldChar w:fldCharType="end"/>
      </w:r>
    </w:p>
    <w:p w:rsidR="00956CB4" w:rsidRPr="00C36DAF" w:rsidRDefault="00675A2D" w:rsidP="00AA149B">
      <w:pPr>
        <w:pStyle w:val="ESPONText"/>
        <w:tabs>
          <w:tab w:val="left" w:pos="9072"/>
        </w:tabs>
        <w:spacing w:after="0"/>
      </w:pPr>
      <w:r>
        <w:br w:type="column"/>
      </w:r>
    </w:p>
    <w:p w:rsidR="00BF09EE" w:rsidRPr="00C36DAF" w:rsidRDefault="005B346C" w:rsidP="00675A2D">
      <w:pPr>
        <w:pStyle w:val="ESPONSubtitle"/>
        <w:spacing w:before="0" w:after="0"/>
        <w:jc w:val="center"/>
      </w:pPr>
      <w:r w:rsidRPr="00C36DAF">
        <w:t>FIGURES</w:t>
      </w:r>
    </w:p>
    <w:p w:rsidR="009F1846" w:rsidRDefault="00F61E50">
      <w:pPr>
        <w:pStyle w:val="Kuvaotsikkoluettelo"/>
        <w:tabs>
          <w:tab w:val="right" w:pos="8303"/>
        </w:tabs>
        <w:rPr>
          <w:rFonts w:asciiTheme="minorHAnsi" w:eastAsiaTheme="minorEastAsia" w:hAnsiTheme="minorHAnsi" w:cstheme="minorBidi"/>
          <w:noProof/>
          <w:szCs w:val="22"/>
          <w:lang w:eastAsia="en-GB"/>
        </w:rPr>
      </w:pPr>
      <w:r w:rsidRPr="00C36DAF">
        <w:fldChar w:fldCharType="begin"/>
      </w:r>
      <w:r w:rsidR="005B346C" w:rsidRPr="00C36DAF">
        <w:instrText xml:space="preserve"> TOC \h \z \c "Figure" </w:instrText>
      </w:r>
      <w:r w:rsidRPr="00C36DAF">
        <w:fldChar w:fldCharType="separate"/>
      </w:r>
      <w:hyperlink w:anchor="_Toc394071846" w:history="1">
        <w:r w:rsidR="009F1846" w:rsidRPr="00960DE4">
          <w:rPr>
            <w:rStyle w:val="Hyperlinkki"/>
            <w:noProof/>
          </w:rPr>
          <w:t>Figure 1: The ARoP Rate</w:t>
        </w:r>
        <w:r w:rsidR="009F1846">
          <w:rPr>
            <w:noProof/>
            <w:webHidden/>
          </w:rPr>
          <w:tab/>
        </w:r>
        <w:r w:rsidR="009F1846">
          <w:rPr>
            <w:noProof/>
            <w:webHidden/>
          </w:rPr>
          <w:fldChar w:fldCharType="begin"/>
        </w:r>
        <w:r w:rsidR="009F1846">
          <w:rPr>
            <w:noProof/>
            <w:webHidden/>
          </w:rPr>
          <w:instrText xml:space="preserve"> PAGEREF _Toc394071846 \h </w:instrText>
        </w:r>
        <w:r w:rsidR="009F1846">
          <w:rPr>
            <w:noProof/>
            <w:webHidden/>
          </w:rPr>
        </w:r>
        <w:r w:rsidR="009F1846">
          <w:rPr>
            <w:noProof/>
            <w:webHidden/>
          </w:rPr>
          <w:fldChar w:fldCharType="separate"/>
        </w:r>
        <w:r w:rsidR="009F1846">
          <w:rPr>
            <w:noProof/>
            <w:webHidden/>
          </w:rPr>
          <w:t>2</w:t>
        </w:r>
        <w:r w:rsidR="009F1846">
          <w:rPr>
            <w:noProof/>
            <w:webHidden/>
          </w:rPr>
          <w:fldChar w:fldCharType="end"/>
        </w:r>
      </w:hyperlink>
    </w:p>
    <w:p w:rsidR="009F1846" w:rsidRDefault="00A11F7B">
      <w:pPr>
        <w:pStyle w:val="Kuvaotsikkoluettelo"/>
        <w:tabs>
          <w:tab w:val="right" w:pos="8303"/>
        </w:tabs>
        <w:rPr>
          <w:rFonts w:asciiTheme="minorHAnsi" w:eastAsiaTheme="minorEastAsia" w:hAnsiTheme="minorHAnsi" w:cstheme="minorBidi"/>
          <w:noProof/>
          <w:szCs w:val="22"/>
          <w:lang w:eastAsia="en-GB"/>
        </w:rPr>
      </w:pPr>
      <w:hyperlink w:anchor="_Toc394071847" w:history="1">
        <w:r w:rsidR="009F1846" w:rsidRPr="00960DE4">
          <w:rPr>
            <w:rStyle w:val="Hyperlinkki"/>
            <w:noProof/>
          </w:rPr>
          <w:t>Figure 2: At Risk of Poverty by Urban-Rural Type</w:t>
        </w:r>
        <w:r w:rsidR="009F1846">
          <w:rPr>
            <w:noProof/>
            <w:webHidden/>
          </w:rPr>
          <w:tab/>
        </w:r>
        <w:r w:rsidR="009F1846">
          <w:rPr>
            <w:noProof/>
            <w:webHidden/>
          </w:rPr>
          <w:fldChar w:fldCharType="begin"/>
        </w:r>
        <w:r w:rsidR="009F1846">
          <w:rPr>
            <w:noProof/>
            <w:webHidden/>
          </w:rPr>
          <w:instrText xml:space="preserve"> PAGEREF _Toc394071847 \h </w:instrText>
        </w:r>
        <w:r w:rsidR="009F1846">
          <w:rPr>
            <w:noProof/>
            <w:webHidden/>
          </w:rPr>
        </w:r>
        <w:r w:rsidR="009F1846">
          <w:rPr>
            <w:noProof/>
            <w:webHidden/>
          </w:rPr>
          <w:fldChar w:fldCharType="separate"/>
        </w:r>
        <w:r w:rsidR="009F1846">
          <w:rPr>
            <w:noProof/>
            <w:webHidden/>
          </w:rPr>
          <w:t>8</w:t>
        </w:r>
        <w:r w:rsidR="009F1846">
          <w:rPr>
            <w:noProof/>
            <w:webHidden/>
          </w:rPr>
          <w:fldChar w:fldCharType="end"/>
        </w:r>
      </w:hyperlink>
    </w:p>
    <w:p w:rsidR="009F1846" w:rsidRDefault="00A11F7B">
      <w:pPr>
        <w:pStyle w:val="Kuvaotsikkoluettelo"/>
        <w:tabs>
          <w:tab w:val="right" w:pos="8303"/>
        </w:tabs>
        <w:rPr>
          <w:rFonts w:asciiTheme="minorHAnsi" w:eastAsiaTheme="minorEastAsia" w:hAnsiTheme="minorHAnsi" w:cstheme="minorBidi"/>
          <w:noProof/>
          <w:szCs w:val="22"/>
          <w:lang w:eastAsia="en-GB"/>
        </w:rPr>
      </w:pPr>
      <w:hyperlink w:anchor="_Toc394071848" w:history="1">
        <w:r w:rsidR="009F1846" w:rsidRPr="00960DE4">
          <w:rPr>
            <w:rStyle w:val="Hyperlinkki"/>
            <w:noProof/>
          </w:rPr>
          <w:t>Figure 3: At Risk of Poverty Rate in Metropolitan and non-Metropolitan Regions</w:t>
        </w:r>
        <w:r w:rsidR="009F1846">
          <w:rPr>
            <w:noProof/>
            <w:webHidden/>
          </w:rPr>
          <w:tab/>
        </w:r>
        <w:r w:rsidR="009F1846">
          <w:rPr>
            <w:noProof/>
            <w:webHidden/>
          </w:rPr>
          <w:fldChar w:fldCharType="begin"/>
        </w:r>
        <w:r w:rsidR="009F1846">
          <w:rPr>
            <w:noProof/>
            <w:webHidden/>
          </w:rPr>
          <w:instrText xml:space="preserve"> PAGEREF _Toc394071848 \h </w:instrText>
        </w:r>
        <w:r w:rsidR="009F1846">
          <w:rPr>
            <w:noProof/>
            <w:webHidden/>
          </w:rPr>
        </w:r>
        <w:r w:rsidR="009F1846">
          <w:rPr>
            <w:noProof/>
            <w:webHidden/>
          </w:rPr>
          <w:fldChar w:fldCharType="separate"/>
        </w:r>
        <w:r w:rsidR="009F1846">
          <w:rPr>
            <w:noProof/>
            <w:webHidden/>
          </w:rPr>
          <w:t>9</w:t>
        </w:r>
        <w:r w:rsidR="009F1846">
          <w:rPr>
            <w:noProof/>
            <w:webHidden/>
          </w:rPr>
          <w:fldChar w:fldCharType="end"/>
        </w:r>
      </w:hyperlink>
    </w:p>
    <w:p w:rsidR="009F1846" w:rsidRDefault="00A11F7B">
      <w:pPr>
        <w:pStyle w:val="Kuvaotsikkoluettelo"/>
        <w:tabs>
          <w:tab w:val="right" w:pos="8303"/>
        </w:tabs>
        <w:rPr>
          <w:rFonts w:asciiTheme="minorHAnsi" w:eastAsiaTheme="minorEastAsia" w:hAnsiTheme="minorHAnsi" w:cstheme="minorBidi"/>
          <w:noProof/>
          <w:szCs w:val="22"/>
          <w:lang w:eastAsia="en-GB"/>
        </w:rPr>
      </w:pPr>
      <w:hyperlink w:anchor="_Toc394071849" w:history="1">
        <w:r w:rsidR="009F1846" w:rsidRPr="00960DE4">
          <w:rPr>
            <w:rStyle w:val="Hyperlinkki"/>
            <w:noProof/>
          </w:rPr>
          <w:t>Figure 4: At risk of poverty rates in different types of rural region</w:t>
        </w:r>
        <w:r w:rsidR="009F1846">
          <w:rPr>
            <w:noProof/>
            <w:webHidden/>
          </w:rPr>
          <w:tab/>
        </w:r>
        <w:r w:rsidR="009F1846">
          <w:rPr>
            <w:noProof/>
            <w:webHidden/>
          </w:rPr>
          <w:fldChar w:fldCharType="begin"/>
        </w:r>
        <w:r w:rsidR="009F1846">
          <w:rPr>
            <w:noProof/>
            <w:webHidden/>
          </w:rPr>
          <w:instrText xml:space="preserve"> PAGEREF _Toc394071849 \h </w:instrText>
        </w:r>
        <w:r w:rsidR="009F1846">
          <w:rPr>
            <w:noProof/>
            <w:webHidden/>
          </w:rPr>
        </w:r>
        <w:r w:rsidR="009F1846">
          <w:rPr>
            <w:noProof/>
            <w:webHidden/>
          </w:rPr>
          <w:fldChar w:fldCharType="separate"/>
        </w:r>
        <w:r w:rsidR="009F1846">
          <w:rPr>
            <w:noProof/>
            <w:webHidden/>
          </w:rPr>
          <w:t>10</w:t>
        </w:r>
        <w:r w:rsidR="009F1846">
          <w:rPr>
            <w:noProof/>
            <w:webHidden/>
          </w:rPr>
          <w:fldChar w:fldCharType="end"/>
        </w:r>
      </w:hyperlink>
    </w:p>
    <w:p w:rsidR="009F1846" w:rsidRDefault="00A11F7B">
      <w:pPr>
        <w:pStyle w:val="Kuvaotsikkoluettelo"/>
        <w:tabs>
          <w:tab w:val="right" w:pos="8303"/>
        </w:tabs>
        <w:rPr>
          <w:rFonts w:asciiTheme="minorHAnsi" w:eastAsiaTheme="minorEastAsia" w:hAnsiTheme="minorHAnsi" w:cstheme="minorBidi"/>
          <w:noProof/>
          <w:szCs w:val="22"/>
          <w:lang w:eastAsia="en-GB"/>
        </w:rPr>
      </w:pPr>
      <w:hyperlink w:anchor="_Toc394071850" w:history="1">
        <w:r w:rsidR="009F1846" w:rsidRPr="00960DE4">
          <w:rPr>
            <w:rStyle w:val="Hyperlinkki"/>
            <w:noProof/>
          </w:rPr>
          <w:t>Figure 5: At Risk of Poverty Rate, Border and Internal Regions</w:t>
        </w:r>
        <w:r w:rsidR="009F1846">
          <w:rPr>
            <w:noProof/>
            <w:webHidden/>
          </w:rPr>
          <w:tab/>
        </w:r>
        <w:r w:rsidR="009F1846">
          <w:rPr>
            <w:noProof/>
            <w:webHidden/>
          </w:rPr>
          <w:fldChar w:fldCharType="begin"/>
        </w:r>
        <w:r w:rsidR="009F1846">
          <w:rPr>
            <w:noProof/>
            <w:webHidden/>
          </w:rPr>
          <w:instrText xml:space="preserve"> PAGEREF _Toc394071850 \h </w:instrText>
        </w:r>
        <w:r w:rsidR="009F1846">
          <w:rPr>
            <w:noProof/>
            <w:webHidden/>
          </w:rPr>
        </w:r>
        <w:r w:rsidR="009F1846">
          <w:rPr>
            <w:noProof/>
            <w:webHidden/>
          </w:rPr>
          <w:fldChar w:fldCharType="separate"/>
        </w:r>
        <w:r w:rsidR="009F1846">
          <w:rPr>
            <w:noProof/>
            <w:webHidden/>
          </w:rPr>
          <w:t>10</w:t>
        </w:r>
        <w:r w:rsidR="009F1846">
          <w:rPr>
            <w:noProof/>
            <w:webHidden/>
          </w:rPr>
          <w:fldChar w:fldCharType="end"/>
        </w:r>
      </w:hyperlink>
    </w:p>
    <w:p w:rsidR="009F1846" w:rsidRDefault="00A11F7B">
      <w:pPr>
        <w:pStyle w:val="Kuvaotsikkoluettelo"/>
        <w:tabs>
          <w:tab w:val="right" w:pos="8303"/>
        </w:tabs>
        <w:rPr>
          <w:rFonts w:asciiTheme="minorHAnsi" w:eastAsiaTheme="minorEastAsia" w:hAnsiTheme="minorHAnsi" w:cstheme="minorBidi"/>
          <w:noProof/>
          <w:szCs w:val="22"/>
          <w:lang w:eastAsia="en-GB"/>
        </w:rPr>
      </w:pPr>
      <w:hyperlink w:anchor="_Toc394071851" w:history="1">
        <w:r w:rsidR="009F1846" w:rsidRPr="00960DE4">
          <w:rPr>
            <w:rStyle w:val="Hyperlinkki"/>
            <w:noProof/>
          </w:rPr>
          <w:t>Figure 6: At Risk of Poverty Rate, Island and Mainland Regions</w:t>
        </w:r>
        <w:r w:rsidR="009F1846">
          <w:rPr>
            <w:noProof/>
            <w:webHidden/>
          </w:rPr>
          <w:tab/>
        </w:r>
        <w:r w:rsidR="009F1846">
          <w:rPr>
            <w:noProof/>
            <w:webHidden/>
          </w:rPr>
          <w:fldChar w:fldCharType="begin"/>
        </w:r>
        <w:r w:rsidR="009F1846">
          <w:rPr>
            <w:noProof/>
            <w:webHidden/>
          </w:rPr>
          <w:instrText xml:space="preserve"> PAGEREF _Toc394071851 \h </w:instrText>
        </w:r>
        <w:r w:rsidR="009F1846">
          <w:rPr>
            <w:noProof/>
            <w:webHidden/>
          </w:rPr>
        </w:r>
        <w:r w:rsidR="009F1846">
          <w:rPr>
            <w:noProof/>
            <w:webHidden/>
          </w:rPr>
          <w:fldChar w:fldCharType="separate"/>
        </w:r>
        <w:r w:rsidR="009F1846">
          <w:rPr>
            <w:noProof/>
            <w:webHidden/>
          </w:rPr>
          <w:t>11</w:t>
        </w:r>
        <w:r w:rsidR="009F1846">
          <w:rPr>
            <w:noProof/>
            <w:webHidden/>
          </w:rPr>
          <w:fldChar w:fldCharType="end"/>
        </w:r>
      </w:hyperlink>
    </w:p>
    <w:p w:rsidR="009F1846" w:rsidRDefault="00A11F7B">
      <w:pPr>
        <w:pStyle w:val="Kuvaotsikkoluettelo"/>
        <w:tabs>
          <w:tab w:val="right" w:pos="8303"/>
        </w:tabs>
        <w:rPr>
          <w:rFonts w:asciiTheme="minorHAnsi" w:eastAsiaTheme="minorEastAsia" w:hAnsiTheme="minorHAnsi" w:cstheme="minorBidi"/>
          <w:noProof/>
          <w:szCs w:val="22"/>
          <w:lang w:eastAsia="en-GB"/>
        </w:rPr>
      </w:pPr>
      <w:hyperlink w:anchor="_Toc394071852" w:history="1">
        <w:r w:rsidR="009F1846" w:rsidRPr="00960DE4">
          <w:rPr>
            <w:rStyle w:val="Hyperlinkki"/>
            <w:noProof/>
          </w:rPr>
          <w:t>Figure 7: At Risk of Poverty Rate, Mountain and Lowland Regions</w:t>
        </w:r>
        <w:r w:rsidR="009F1846">
          <w:rPr>
            <w:noProof/>
            <w:webHidden/>
          </w:rPr>
          <w:tab/>
        </w:r>
        <w:r w:rsidR="009F1846">
          <w:rPr>
            <w:noProof/>
            <w:webHidden/>
          </w:rPr>
          <w:fldChar w:fldCharType="begin"/>
        </w:r>
        <w:r w:rsidR="009F1846">
          <w:rPr>
            <w:noProof/>
            <w:webHidden/>
          </w:rPr>
          <w:instrText xml:space="preserve"> PAGEREF _Toc394071852 \h </w:instrText>
        </w:r>
        <w:r w:rsidR="009F1846">
          <w:rPr>
            <w:noProof/>
            <w:webHidden/>
          </w:rPr>
        </w:r>
        <w:r w:rsidR="009F1846">
          <w:rPr>
            <w:noProof/>
            <w:webHidden/>
          </w:rPr>
          <w:fldChar w:fldCharType="separate"/>
        </w:r>
        <w:r w:rsidR="009F1846">
          <w:rPr>
            <w:noProof/>
            <w:webHidden/>
          </w:rPr>
          <w:t>11</w:t>
        </w:r>
        <w:r w:rsidR="009F1846">
          <w:rPr>
            <w:noProof/>
            <w:webHidden/>
          </w:rPr>
          <w:fldChar w:fldCharType="end"/>
        </w:r>
      </w:hyperlink>
    </w:p>
    <w:p w:rsidR="009F1846" w:rsidRDefault="00A11F7B">
      <w:pPr>
        <w:pStyle w:val="Kuvaotsikkoluettelo"/>
        <w:tabs>
          <w:tab w:val="right" w:pos="8303"/>
        </w:tabs>
        <w:rPr>
          <w:rFonts w:asciiTheme="minorHAnsi" w:eastAsiaTheme="minorEastAsia" w:hAnsiTheme="minorHAnsi" w:cstheme="minorBidi"/>
          <w:noProof/>
          <w:szCs w:val="22"/>
          <w:lang w:eastAsia="en-GB"/>
        </w:rPr>
      </w:pPr>
      <w:hyperlink w:anchor="_Toc394071853" w:history="1">
        <w:r w:rsidR="009F1846" w:rsidRPr="00960DE4">
          <w:rPr>
            <w:rStyle w:val="Hyperlinkki"/>
            <w:noProof/>
          </w:rPr>
          <w:t>Figure 8: At Risk of Poverty Rate, Coastal and Inland Regions</w:t>
        </w:r>
        <w:r w:rsidR="009F1846">
          <w:rPr>
            <w:noProof/>
            <w:webHidden/>
          </w:rPr>
          <w:tab/>
        </w:r>
        <w:r w:rsidR="009F1846">
          <w:rPr>
            <w:noProof/>
            <w:webHidden/>
          </w:rPr>
          <w:fldChar w:fldCharType="begin"/>
        </w:r>
        <w:r w:rsidR="009F1846">
          <w:rPr>
            <w:noProof/>
            <w:webHidden/>
          </w:rPr>
          <w:instrText xml:space="preserve"> PAGEREF _Toc394071853 \h </w:instrText>
        </w:r>
        <w:r w:rsidR="009F1846">
          <w:rPr>
            <w:noProof/>
            <w:webHidden/>
          </w:rPr>
        </w:r>
        <w:r w:rsidR="009F1846">
          <w:rPr>
            <w:noProof/>
            <w:webHidden/>
          </w:rPr>
          <w:fldChar w:fldCharType="separate"/>
        </w:r>
        <w:r w:rsidR="009F1846">
          <w:rPr>
            <w:noProof/>
            <w:webHidden/>
          </w:rPr>
          <w:t>12</w:t>
        </w:r>
        <w:r w:rsidR="009F1846">
          <w:rPr>
            <w:noProof/>
            <w:webHidden/>
          </w:rPr>
          <w:fldChar w:fldCharType="end"/>
        </w:r>
      </w:hyperlink>
    </w:p>
    <w:p w:rsidR="009F1846" w:rsidRDefault="00A11F7B">
      <w:pPr>
        <w:pStyle w:val="Kuvaotsikkoluettelo"/>
        <w:tabs>
          <w:tab w:val="right" w:pos="8303"/>
        </w:tabs>
        <w:rPr>
          <w:rFonts w:asciiTheme="minorHAnsi" w:eastAsiaTheme="minorEastAsia" w:hAnsiTheme="minorHAnsi" w:cstheme="minorBidi"/>
          <w:noProof/>
          <w:szCs w:val="22"/>
          <w:lang w:eastAsia="en-GB"/>
        </w:rPr>
      </w:pPr>
      <w:hyperlink w:anchor="_Toc394071854" w:history="1">
        <w:r w:rsidR="009F1846" w:rsidRPr="00960DE4">
          <w:rPr>
            <w:rStyle w:val="Hyperlinkki"/>
            <w:noProof/>
          </w:rPr>
          <w:t>Figure 9: At Risk of Poverty Rate, Industrial and Non-Industrial Regions</w:t>
        </w:r>
        <w:r w:rsidR="009F1846">
          <w:rPr>
            <w:noProof/>
            <w:webHidden/>
          </w:rPr>
          <w:tab/>
        </w:r>
        <w:r w:rsidR="009F1846">
          <w:rPr>
            <w:noProof/>
            <w:webHidden/>
          </w:rPr>
          <w:fldChar w:fldCharType="begin"/>
        </w:r>
        <w:r w:rsidR="009F1846">
          <w:rPr>
            <w:noProof/>
            <w:webHidden/>
          </w:rPr>
          <w:instrText xml:space="preserve"> PAGEREF _Toc394071854 \h </w:instrText>
        </w:r>
        <w:r w:rsidR="009F1846">
          <w:rPr>
            <w:noProof/>
            <w:webHidden/>
          </w:rPr>
        </w:r>
        <w:r w:rsidR="009F1846">
          <w:rPr>
            <w:noProof/>
            <w:webHidden/>
          </w:rPr>
          <w:fldChar w:fldCharType="separate"/>
        </w:r>
        <w:r w:rsidR="009F1846">
          <w:rPr>
            <w:noProof/>
            <w:webHidden/>
          </w:rPr>
          <w:t>12</w:t>
        </w:r>
        <w:r w:rsidR="009F1846">
          <w:rPr>
            <w:noProof/>
            <w:webHidden/>
          </w:rPr>
          <w:fldChar w:fldCharType="end"/>
        </w:r>
      </w:hyperlink>
    </w:p>
    <w:p w:rsidR="00956CB4" w:rsidRDefault="00F61E50" w:rsidP="00AA149B">
      <w:pPr>
        <w:pStyle w:val="ESPONText"/>
        <w:tabs>
          <w:tab w:val="left" w:pos="9072"/>
        </w:tabs>
        <w:spacing w:after="0"/>
      </w:pPr>
      <w:r w:rsidRPr="00C36DAF">
        <w:fldChar w:fldCharType="end"/>
      </w:r>
    </w:p>
    <w:p w:rsidR="00133443" w:rsidRDefault="00133443" w:rsidP="00AA149B">
      <w:pPr>
        <w:pStyle w:val="ESPONText"/>
        <w:tabs>
          <w:tab w:val="left" w:pos="9072"/>
        </w:tabs>
        <w:spacing w:after="0"/>
      </w:pPr>
    </w:p>
    <w:p w:rsidR="00133443" w:rsidRDefault="00133443" w:rsidP="00AA149B">
      <w:pPr>
        <w:pStyle w:val="ESPONText"/>
        <w:tabs>
          <w:tab w:val="left" w:pos="9072"/>
        </w:tabs>
        <w:spacing w:after="0"/>
      </w:pPr>
    </w:p>
    <w:p w:rsidR="00133443" w:rsidRDefault="00133443" w:rsidP="00AA149B">
      <w:pPr>
        <w:pStyle w:val="ESPONText"/>
        <w:tabs>
          <w:tab w:val="left" w:pos="9072"/>
        </w:tabs>
        <w:spacing w:after="0"/>
        <w:sectPr w:rsidR="00133443" w:rsidSect="00920EB4">
          <w:headerReference w:type="default" r:id="rId16"/>
          <w:footerReference w:type="default" r:id="rId17"/>
          <w:type w:val="continuous"/>
          <w:pgSz w:w="11907" w:h="16840" w:code="9"/>
          <w:pgMar w:top="1440" w:right="1797" w:bottom="1440" w:left="1797" w:header="709" w:footer="709" w:gutter="0"/>
          <w:pgNumType w:start="1"/>
          <w:cols w:space="708"/>
          <w:docGrid w:linePitch="360"/>
        </w:sectPr>
      </w:pPr>
    </w:p>
    <w:p w:rsidR="00007B80" w:rsidRDefault="00855D5A" w:rsidP="00007B80">
      <w:pPr>
        <w:pStyle w:val="Otsikko1"/>
        <w:rPr>
          <w:noProof/>
        </w:rPr>
      </w:pPr>
      <w:bookmarkStart w:id="2" w:name="_Toc394071820"/>
      <w:r w:rsidRPr="00692B36">
        <w:rPr>
          <w:noProof/>
        </w:rPr>
        <w:lastRenderedPageBreak/>
        <w:t>Introduction and Background</w:t>
      </w:r>
      <w:bookmarkEnd w:id="2"/>
    </w:p>
    <w:p w:rsidR="00133443" w:rsidRDefault="00B449F5" w:rsidP="00133443">
      <w:r>
        <w:t xml:space="preserve">This </w:t>
      </w:r>
      <w:r w:rsidR="00EB7708">
        <w:t>annex</w:t>
      </w:r>
      <w:r>
        <w:t xml:space="preserve"> continues the description of research relating to spatial patterns of at-risk-of-poverty (ARoP) rates which was begun in </w:t>
      </w:r>
      <w:r w:rsidR="00EB7708">
        <w:t>Annex</w:t>
      </w:r>
      <w:r>
        <w:t xml:space="preserve"> 5. The latter described how NUTS 3 ARoP rate data was collected or estimated for 23 European countries. The remaining countries within the ESPON space are the responsibility of a parallel project conducted by the World Bank. All the individual maps, country by country, are reproduced in </w:t>
      </w:r>
      <w:r w:rsidR="00EB7708">
        <w:t>Annex</w:t>
      </w:r>
      <w:r>
        <w:t xml:space="preserve"> 5, together with full details of the several kinds of data source and estimation methods.</w:t>
      </w:r>
    </w:p>
    <w:p w:rsidR="00B449F5" w:rsidRDefault="00B449F5" w:rsidP="00133443">
      <w:r>
        <w:t xml:space="preserve">In this paper we begin by presenting all the ARoP rates on a single map. We then consider two simple ways in which </w:t>
      </w:r>
      <w:r w:rsidR="00A64F3A">
        <w:t xml:space="preserve">the data may be made more comparable between countries, bearing in mind the fact that the most obvious solution - re-estimation using a common (European) poverty line </w:t>
      </w:r>
      <w:r w:rsidR="00926DE6">
        <w:t>–</w:t>
      </w:r>
      <w:r w:rsidR="00A64F3A">
        <w:t xml:space="preserve"> </w:t>
      </w:r>
      <w:r w:rsidR="00926DE6">
        <w:t>seems to be</w:t>
      </w:r>
      <w:r w:rsidR="00A64F3A">
        <w:t xml:space="preserve"> precluded by the nature of the data provided for most countries.</w:t>
      </w:r>
    </w:p>
    <w:p w:rsidR="00B449F5" w:rsidRDefault="00A64F3A" w:rsidP="00133443">
      <w:r>
        <w:t>This is followed by a simple graphical analysis of the relationship between ARoP rates and the different kinds of region specified by the ESPON typologies. This provides the first insights into the complexity of the distribution of poverty across the ESPON space. Further information is provided by carrying out correlation analysis to explore relationships with some key socio-economic indicators. This final stage of our research will continue to be developed, and final results will be presented in the Final Report (August 2014).</w:t>
      </w:r>
    </w:p>
    <w:p w:rsidR="00013BDE" w:rsidRDefault="00013BDE" w:rsidP="00133443">
      <w:r>
        <w:t>Before embarking on this empirical analysis, however it will be helpful to reflect upon certain peculiarities of the ARoP rate, which must be kept in mind when attempting to interpret spatial patterns.</w:t>
      </w:r>
    </w:p>
    <w:p w:rsidR="00B5162F" w:rsidRDefault="00B5162F" w:rsidP="00B449F5">
      <w:pPr>
        <w:pStyle w:val="Otsikko1"/>
        <w:rPr>
          <w:rFonts w:eastAsia="Calibri"/>
          <w:lang w:eastAsia="en-GB"/>
        </w:rPr>
      </w:pPr>
      <w:bookmarkStart w:id="3" w:name="_Toc394071821"/>
      <w:r>
        <w:rPr>
          <w:rFonts w:eastAsia="Calibri"/>
          <w:lang w:eastAsia="en-GB"/>
        </w:rPr>
        <w:t>Interpreting ARoP rates</w:t>
      </w:r>
      <w:bookmarkEnd w:id="3"/>
    </w:p>
    <w:p w:rsidR="00013BDE" w:rsidRDefault="00013BDE" w:rsidP="00B5162F">
      <w:r>
        <w:rPr>
          <w:noProof/>
        </w:rPr>
        <w:t>This ARoP rate is defined as the percentage of people</w:t>
      </w:r>
      <w:r w:rsidR="00926DE6">
        <w:rPr>
          <w:noProof/>
        </w:rPr>
        <w:t xml:space="preserve"> or households</w:t>
      </w:r>
      <w:r>
        <w:rPr>
          <w:noProof/>
        </w:rPr>
        <w:t xml:space="preserve"> who have a net income of less than 60% of the national median </w:t>
      </w:r>
      <w:r w:rsidRPr="00013BDE">
        <w:rPr>
          <w:i/>
          <w:noProof/>
        </w:rPr>
        <w:t>equivalised</w:t>
      </w:r>
      <w:r>
        <w:rPr>
          <w:noProof/>
        </w:rPr>
        <w:t xml:space="preserve"> disposable income (after social transfers). “Equivalised” disposable income is adjusted to take account of the size of the household, using standard factors first developed by the OECD.</w:t>
      </w:r>
    </w:p>
    <w:p w:rsidR="00B5162F" w:rsidRDefault="00B5162F" w:rsidP="00B5162F">
      <w:r>
        <w:t xml:space="preserve">The ARoP indicator has some rather unusual characteristics, which makes it rather tricky to interpret. It is both an indicator of the regional </w:t>
      </w:r>
      <w:r w:rsidRPr="008E02E9">
        <w:rPr>
          <w:i/>
        </w:rPr>
        <w:t>level</w:t>
      </w:r>
      <w:r>
        <w:t xml:space="preserve"> of income, and its </w:t>
      </w:r>
      <w:r w:rsidRPr="008E02E9">
        <w:rPr>
          <w:i/>
        </w:rPr>
        <w:t>distribution</w:t>
      </w:r>
      <w:r>
        <w:t>. The relative strength of these two sources of variation depends upon the choice of “benchmark” to define the “60%” of median disposable income. Thus if a single European benchmark was used</w:t>
      </w:r>
      <w:r w:rsidR="00013BDE">
        <w:t>,</w:t>
      </w:r>
      <w:r>
        <w:t xml:space="preserve"> the ARoP rate in any individual region would be closely correlated with the </w:t>
      </w:r>
      <w:r w:rsidR="00013BDE">
        <w:t>average regional</w:t>
      </w:r>
      <w:r>
        <w:t xml:space="preserve"> disposable income level. At the other extreme, if each region had its own ARoP benchmark, based upon its </w:t>
      </w:r>
      <w:r w:rsidR="00013BDE">
        <w:t xml:space="preserve">own </w:t>
      </w:r>
      <w:r>
        <w:t>median income, variation in the ARoP would be entirely a function of the local income distribution – or degree of inequity (Eurostat 2004). To express it another way the geogra</w:t>
      </w:r>
      <w:r>
        <w:lastRenderedPageBreak/>
        <w:t xml:space="preserve">phy of ARoP rates is a complex combination of variations in income levels and distributions.  In terms of Figure </w:t>
      </w:r>
      <w:r w:rsidR="00013BDE">
        <w:t>1</w:t>
      </w:r>
      <w:r>
        <w:t xml:space="preserve">, regional rates vary partly as a result of </w:t>
      </w:r>
      <w:r w:rsidRPr="00D616D0">
        <w:rPr>
          <w:i/>
        </w:rPr>
        <w:t>shifts</w:t>
      </w:r>
      <w:r>
        <w:t xml:space="preserve"> in the income distribution curve to the left or right, and partly due to changes in the </w:t>
      </w:r>
      <w:r w:rsidRPr="00D616D0">
        <w:rPr>
          <w:i/>
        </w:rPr>
        <w:t>shape</w:t>
      </w:r>
      <w:r>
        <w:t xml:space="preserve"> of the distribution.</w:t>
      </w:r>
    </w:p>
    <w:p w:rsidR="00B5162F" w:rsidRDefault="00B5162F" w:rsidP="00B5162F">
      <w:pPr>
        <w:keepNext/>
      </w:pPr>
      <w:r>
        <w:rPr>
          <w:noProof/>
          <w:lang w:val="fi-FI" w:eastAsia="fi-FI"/>
        </w:rPr>
        <w:drawing>
          <wp:inline distT="0" distB="0" distL="0" distR="0" wp14:anchorId="4ACA0D64" wp14:editId="44709037">
            <wp:extent cx="5051837" cy="267652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062896" cy="2682384"/>
                    </a:xfrm>
                    <a:prstGeom prst="rect">
                      <a:avLst/>
                    </a:prstGeom>
                    <a:noFill/>
                  </pic:spPr>
                </pic:pic>
              </a:graphicData>
            </a:graphic>
          </wp:inline>
        </w:drawing>
      </w:r>
    </w:p>
    <w:p w:rsidR="00B5162F" w:rsidRDefault="00B5162F" w:rsidP="00B5162F">
      <w:pPr>
        <w:pStyle w:val="Kuvaotsikko"/>
        <w:rPr>
          <w:rFonts w:eastAsia="Calibri"/>
          <w:szCs w:val="22"/>
          <w:lang w:eastAsia="en-GB"/>
        </w:rPr>
      </w:pPr>
      <w:bookmarkStart w:id="4" w:name="_Toc385492870"/>
      <w:bookmarkStart w:id="5" w:name="_Toc394071846"/>
      <w:r>
        <w:t xml:space="preserve">Figure </w:t>
      </w:r>
      <w:r w:rsidR="00A11F7B">
        <w:fldChar w:fldCharType="begin"/>
      </w:r>
      <w:r w:rsidR="00A11F7B">
        <w:instrText xml:space="preserve"> SEQ Figure \* ARABIC </w:instrText>
      </w:r>
      <w:r w:rsidR="00A11F7B">
        <w:fldChar w:fldCharType="separate"/>
      </w:r>
      <w:r w:rsidR="00CA570A">
        <w:rPr>
          <w:noProof/>
        </w:rPr>
        <w:t>1</w:t>
      </w:r>
      <w:r w:rsidR="00A11F7B">
        <w:rPr>
          <w:noProof/>
        </w:rPr>
        <w:fldChar w:fldCharType="end"/>
      </w:r>
      <w:r>
        <w:t>: The ARoP Rate</w:t>
      </w:r>
      <w:bookmarkEnd w:id="4"/>
      <w:bookmarkEnd w:id="5"/>
    </w:p>
    <w:p w:rsidR="00B5162F" w:rsidRDefault="00B5162F" w:rsidP="00B5162F">
      <w:pPr>
        <w:rPr>
          <w:rFonts w:eastAsia="Calibri"/>
          <w:szCs w:val="22"/>
          <w:lang w:eastAsia="en-GB"/>
        </w:rPr>
      </w:pPr>
      <w:r>
        <w:rPr>
          <w:rFonts w:eastAsia="Calibri"/>
          <w:szCs w:val="22"/>
          <w:lang w:eastAsia="en-GB"/>
        </w:rPr>
        <w:t xml:space="preserve">The EU2020 ARoP indicator is specified in terms of national benchmarks. It therefore reflects both income levels and distribution within each region. In addition the poverty line varies from country to country, raising questions of comparability. If the principal concern is </w:t>
      </w:r>
      <w:r w:rsidRPr="00013BDE">
        <w:rPr>
          <w:rFonts w:eastAsia="Calibri"/>
          <w:i/>
          <w:szCs w:val="22"/>
          <w:lang w:eastAsia="en-GB"/>
        </w:rPr>
        <w:t>within-</w:t>
      </w:r>
      <w:r>
        <w:rPr>
          <w:rFonts w:eastAsia="Calibri"/>
          <w:szCs w:val="22"/>
          <w:lang w:eastAsia="en-GB"/>
        </w:rPr>
        <w:t xml:space="preserve">country variation this is not an issue. On the other hand in order to better illustrate macro-scale patterns it would have been preferable to estimate the rates on the basis of a standardised poverty line. Unfortunately the variety of sources and estimation methodologies which have been involved in the TiPSE data collection precludes this. </w:t>
      </w:r>
    </w:p>
    <w:p w:rsidR="00B5162F" w:rsidRDefault="00B5162F" w:rsidP="00B5162F">
      <w:pPr>
        <w:rPr>
          <w:rFonts w:eastAsia="Calibri"/>
          <w:szCs w:val="22"/>
          <w:lang w:eastAsia="en-GB"/>
        </w:rPr>
      </w:pPr>
      <w:r>
        <w:rPr>
          <w:rFonts w:eastAsia="Calibri"/>
          <w:szCs w:val="22"/>
          <w:lang w:eastAsia="en-GB"/>
        </w:rPr>
        <w:t>Thus the following composite maps of the ESPON space require careful interpretation. First the (unadjusted) map of available NUTS 3 ARoP rates is presented, followed by two further versions illustrating simple adjustments which can aid the understanding of the macro-scale pattern.</w:t>
      </w:r>
    </w:p>
    <w:p w:rsidR="00B5162F" w:rsidRPr="00C370D7" w:rsidRDefault="00B5162F" w:rsidP="00B5162F">
      <w:pPr>
        <w:rPr>
          <w:rFonts w:eastAsia="Calibri"/>
          <w:szCs w:val="22"/>
          <w:lang w:eastAsia="en-GB"/>
        </w:rPr>
      </w:pPr>
    </w:p>
    <w:p w:rsidR="009C2FF7" w:rsidRDefault="001E065A" w:rsidP="009C2FF7">
      <w:pPr>
        <w:pStyle w:val="Otsikko1"/>
        <w:rPr>
          <w:noProof/>
        </w:rPr>
      </w:pPr>
      <w:bookmarkStart w:id="6" w:name="_Toc394071822"/>
      <w:r>
        <w:t>Merging the Individual Poverty Maps</w:t>
      </w:r>
      <w:bookmarkEnd w:id="6"/>
    </w:p>
    <w:p w:rsidR="002B3A47" w:rsidRDefault="002B3A47" w:rsidP="002B3A47">
      <w:pPr>
        <w:rPr>
          <w:rFonts w:eastAsia="Calibri"/>
          <w:lang w:eastAsia="en-GB"/>
        </w:rPr>
      </w:pPr>
      <w:r>
        <w:rPr>
          <w:rFonts w:eastAsia="Calibri"/>
          <w:lang w:eastAsia="en-GB"/>
        </w:rPr>
        <w:t xml:space="preserve">Map </w:t>
      </w:r>
      <w:r w:rsidR="007A6BC3">
        <w:rPr>
          <w:rFonts w:eastAsia="Calibri"/>
          <w:lang w:eastAsia="en-GB"/>
        </w:rPr>
        <w:t>1</w:t>
      </w:r>
      <w:r>
        <w:rPr>
          <w:rFonts w:eastAsia="Calibri"/>
          <w:lang w:eastAsia="en-GB"/>
        </w:rPr>
        <w:t xml:space="preserve"> shows all the NUTS 3 ARoP rates estimated or collected by the TiPSE research team</w:t>
      </w:r>
      <w:r w:rsidR="00B43417">
        <w:rPr>
          <w:rFonts w:eastAsia="Calibri"/>
          <w:lang w:eastAsia="en-GB"/>
        </w:rPr>
        <w:t>, and by the World Bank Team, with EUROSTAT (NUTS 0-2) data “patched in” where gaps exist.</w:t>
      </w:r>
      <w:r>
        <w:rPr>
          <w:rFonts w:eastAsia="Calibri"/>
          <w:lang w:eastAsia="en-GB"/>
        </w:rPr>
        <w:t xml:space="preserve"> As already explained each country has a different poverty threshold, depending upon the distribution of household disposable income across its population. These range from €20,362 in Switzerland to €5,520 in Greece. From one perspective this could be said to be justified by differences in the cost of living, and by different expectations or perceptions of poverty. Nevertheless it seems </w:t>
      </w:r>
      <w:r>
        <w:rPr>
          <w:rFonts w:eastAsia="Calibri"/>
          <w:lang w:eastAsia="en-GB"/>
        </w:rPr>
        <w:lastRenderedPageBreak/>
        <w:t>problematic that such differences take place abruptly along national borders, and either the map must be carefully interpreted with this in mind, or some form of adjustment must be attempted.</w:t>
      </w:r>
    </w:p>
    <w:p w:rsidR="002B3A47" w:rsidRDefault="002B3A47" w:rsidP="002B3A47">
      <w:pPr>
        <w:rPr>
          <w:rFonts w:eastAsia="Calibri"/>
          <w:lang w:eastAsia="en-GB"/>
        </w:rPr>
      </w:pPr>
      <w:r>
        <w:rPr>
          <w:rFonts w:eastAsia="Calibri"/>
          <w:lang w:eastAsia="en-GB"/>
        </w:rPr>
        <w:t>Taking the first of these option</w:t>
      </w:r>
      <w:r w:rsidR="00926DE6">
        <w:rPr>
          <w:rFonts w:eastAsia="Calibri"/>
          <w:lang w:eastAsia="en-GB"/>
        </w:rPr>
        <w:t>s, the pattern revealed by Map 1</w:t>
      </w:r>
      <w:r>
        <w:rPr>
          <w:rFonts w:eastAsia="Calibri"/>
          <w:lang w:eastAsia="en-GB"/>
        </w:rPr>
        <w:t xml:space="preserve"> is mostly quite reassuring. The highest rates of poverty are in Southern Spain, Southern Italy, </w:t>
      </w:r>
      <w:r w:rsidR="00B43417">
        <w:rPr>
          <w:rFonts w:eastAsia="Calibri"/>
          <w:lang w:eastAsia="en-GB"/>
        </w:rPr>
        <w:t>Eastern Turkey, and Romania,</w:t>
      </w:r>
      <w:r>
        <w:rPr>
          <w:rFonts w:eastAsia="Calibri"/>
          <w:lang w:eastAsia="en-GB"/>
        </w:rPr>
        <w:t xml:space="preserve"> whilst the lowest rates are generally found in Northern Italy, Austria, Southern Germany, Netherlands, Norway, and Iceland.</w:t>
      </w:r>
    </w:p>
    <w:p w:rsidR="002B3A47" w:rsidRDefault="00B43417" w:rsidP="002B3A47">
      <w:pPr>
        <w:keepNext/>
      </w:pPr>
      <w:r>
        <w:rPr>
          <w:noProof/>
          <w:lang w:val="fi-FI" w:eastAsia="fi-FI"/>
        </w:rPr>
        <w:drawing>
          <wp:inline distT="0" distB="0" distL="0" distR="0" wp14:anchorId="2D59747C" wp14:editId="5BD67F1A">
            <wp:extent cx="5276850" cy="6448425"/>
            <wp:effectExtent l="0" t="0" r="0"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oP Percent NUTS32 180714 (no NUTS 3 boundaries.jpg"/>
                    <pic:cNvPicPr/>
                  </pic:nvPicPr>
                  <pic:blipFill rotWithShape="1">
                    <a:blip r:embed="rId19">
                      <a:extLst>
                        <a:ext uri="{28A0092B-C50C-407E-A947-70E740481C1C}">
                          <a14:useLocalDpi xmlns:a14="http://schemas.microsoft.com/office/drawing/2010/main" val="0"/>
                        </a:ext>
                      </a:extLst>
                    </a:blip>
                    <a:srcRect t="9197" b="4325"/>
                    <a:stretch/>
                  </pic:blipFill>
                  <pic:spPr bwMode="auto">
                    <a:xfrm>
                      <a:off x="0" y="0"/>
                      <a:ext cx="5278755" cy="6450753"/>
                    </a:xfrm>
                    <a:prstGeom prst="rect">
                      <a:avLst/>
                    </a:prstGeom>
                    <a:ln>
                      <a:noFill/>
                    </a:ln>
                    <a:extLst>
                      <a:ext uri="{53640926-AAD7-44D8-BBD7-CCE9431645EC}">
                        <a14:shadowObscured xmlns:a14="http://schemas.microsoft.com/office/drawing/2010/main"/>
                      </a:ext>
                    </a:extLst>
                  </pic:spPr>
                </pic:pic>
              </a:graphicData>
            </a:graphic>
          </wp:inline>
        </w:drawing>
      </w:r>
    </w:p>
    <w:p w:rsidR="002B3A47" w:rsidRDefault="002B3A47" w:rsidP="002B3A47">
      <w:pPr>
        <w:pStyle w:val="Kuvaotsikko"/>
      </w:pPr>
      <w:bookmarkStart w:id="7" w:name="_Toc385603881"/>
      <w:bookmarkStart w:id="8" w:name="_Toc394071829"/>
      <w:r>
        <w:t xml:space="preserve">Map </w:t>
      </w:r>
      <w:r w:rsidR="00A11F7B">
        <w:fldChar w:fldCharType="begin"/>
      </w:r>
      <w:r w:rsidR="00A11F7B">
        <w:instrText xml:space="preserve"> SEQ Map \* ARABIC </w:instrText>
      </w:r>
      <w:r w:rsidR="00A11F7B">
        <w:fldChar w:fldCharType="separate"/>
      </w:r>
      <w:r w:rsidR="00CA570A">
        <w:rPr>
          <w:noProof/>
        </w:rPr>
        <w:t>1</w:t>
      </w:r>
      <w:r w:rsidR="00A11F7B">
        <w:rPr>
          <w:noProof/>
        </w:rPr>
        <w:fldChar w:fldCharType="end"/>
      </w:r>
      <w:r>
        <w:t>: NUTS 3 At Risk of Poverty Rates: Unadjusted</w:t>
      </w:r>
      <w:bookmarkEnd w:id="7"/>
      <w:bookmarkEnd w:id="8"/>
    </w:p>
    <w:p w:rsidR="00FB1201" w:rsidRDefault="00C219E2" w:rsidP="002B3A47">
      <w:r>
        <w:lastRenderedPageBreak/>
        <w:t xml:space="preserve">Comparison with the map based on Eurostat data at NUTS 2, 1 or 0 (Map 2) shows </w:t>
      </w:r>
      <w:r w:rsidR="00FB1201">
        <w:t xml:space="preserve">a broadly similar pattern, except that Map 1 has greater detail. Turkey is a good illustration of this – </w:t>
      </w:r>
      <w:r w:rsidR="00926DE6">
        <w:t xml:space="preserve">in </w:t>
      </w:r>
      <w:r w:rsidR="00FB1201">
        <w:t xml:space="preserve">Map 1 </w:t>
      </w:r>
      <w:r w:rsidR="00926DE6">
        <w:t>Turkey is mapped at</w:t>
      </w:r>
      <w:r w:rsidR="00FB1201">
        <w:t xml:space="preserve"> NUTS 3, </w:t>
      </w:r>
      <w:r w:rsidR="00926DE6">
        <w:t xml:space="preserve">whilst in </w:t>
      </w:r>
      <w:r w:rsidR="00FB1201">
        <w:t xml:space="preserve">Map 2 </w:t>
      </w:r>
      <w:r w:rsidR="00926DE6">
        <w:t xml:space="preserve">only </w:t>
      </w:r>
      <w:r w:rsidR="00FB1201">
        <w:t>NUTS 0</w:t>
      </w:r>
      <w:r w:rsidR="00926DE6">
        <w:t xml:space="preserve"> is available</w:t>
      </w:r>
      <w:r w:rsidR="00FB1201">
        <w:t>.</w:t>
      </w:r>
    </w:p>
    <w:p w:rsidR="002B3A47" w:rsidRDefault="00FB1201" w:rsidP="002B3A47">
      <w:r>
        <w:t xml:space="preserve">However, some areas of the map are slightly different. For example rates are lower in Map 1 than in Map 2 </w:t>
      </w:r>
      <w:r w:rsidR="00BD3AEC">
        <w:t>in</w:t>
      </w:r>
      <w:r>
        <w:t xml:space="preserve"> France</w:t>
      </w:r>
      <w:r w:rsidR="00BD3AEC">
        <w:t>,</w:t>
      </w:r>
      <w:r>
        <w:t xml:space="preserve"> Italy</w:t>
      </w:r>
      <w:r w:rsidR="00BD3AEC">
        <w:t xml:space="preserve"> Greece, and Bulgaria</w:t>
      </w:r>
      <w:r>
        <w:t>. There are also substantial differences in the UK.</w:t>
      </w:r>
    </w:p>
    <w:p w:rsidR="00C219E2" w:rsidRDefault="00BD3AEC" w:rsidP="00C219E2">
      <w:pPr>
        <w:keepNext/>
      </w:pPr>
      <w:r>
        <w:rPr>
          <w:noProof/>
          <w:lang w:val="fi-FI" w:eastAsia="fi-FI"/>
        </w:rPr>
        <w:drawing>
          <wp:inline distT="0" distB="0" distL="0" distR="0" wp14:anchorId="4ED70247" wp14:editId="297F44F9">
            <wp:extent cx="5276850" cy="631507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urostat AROP 160714.jpg"/>
                    <pic:cNvPicPr/>
                  </pic:nvPicPr>
                  <pic:blipFill rotWithShape="1">
                    <a:blip r:embed="rId20">
                      <a:extLst>
                        <a:ext uri="{28A0092B-C50C-407E-A947-70E740481C1C}">
                          <a14:useLocalDpi xmlns:a14="http://schemas.microsoft.com/office/drawing/2010/main" val="0"/>
                        </a:ext>
                      </a:extLst>
                    </a:blip>
                    <a:srcRect t="8559" b="6751"/>
                    <a:stretch/>
                  </pic:blipFill>
                  <pic:spPr bwMode="auto">
                    <a:xfrm>
                      <a:off x="0" y="0"/>
                      <a:ext cx="5278755" cy="6317355"/>
                    </a:xfrm>
                    <a:prstGeom prst="rect">
                      <a:avLst/>
                    </a:prstGeom>
                    <a:ln>
                      <a:noFill/>
                    </a:ln>
                    <a:extLst>
                      <a:ext uri="{53640926-AAD7-44D8-BBD7-CCE9431645EC}">
                        <a14:shadowObscured xmlns:a14="http://schemas.microsoft.com/office/drawing/2010/main"/>
                      </a:ext>
                    </a:extLst>
                  </pic:spPr>
                </pic:pic>
              </a:graphicData>
            </a:graphic>
          </wp:inline>
        </w:drawing>
      </w:r>
    </w:p>
    <w:p w:rsidR="00C219E2" w:rsidRDefault="00C219E2" w:rsidP="00C219E2">
      <w:pPr>
        <w:pStyle w:val="Kuvaotsikko"/>
      </w:pPr>
      <w:bookmarkStart w:id="9" w:name="_Toc394071830"/>
      <w:r>
        <w:t xml:space="preserve">Map </w:t>
      </w:r>
      <w:r w:rsidR="00A11F7B">
        <w:fldChar w:fldCharType="begin"/>
      </w:r>
      <w:r w:rsidR="00A11F7B">
        <w:instrText xml:space="preserve"> SEQ Map \* ARABI</w:instrText>
      </w:r>
      <w:r w:rsidR="00A11F7B">
        <w:instrText xml:space="preserve">C </w:instrText>
      </w:r>
      <w:r w:rsidR="00A11F7B">
        <w:fldChar w:fldCharType="separate"/>
      </w:r>
      <w:r w:rsidR="00CA570A">
        <w:rPr>
          <w:noProof/>
        </w:rPr>
        <w:t>2</w:t>
      </w:r>
      <w:r w:rsidR="00A11F7B">
        <w:rPr>
          <w:noProof/>
        </w:rPr>
        <w:fldChar w:fldCharType="end"/>
      </w:r>
      <w:r>
        <w:t>: Eurostat ARoP Rates (NUTS 2/1/0)</w:t>
      </w:r>
      <w:bookmarkEnd w:id="9"/>
    </w:p>
    <w:p w:rsidR="00926DE6" w:rsidRDefault="00CA744B" w:rsidP="00926DE6">
      <w:r>
        <w:br w:type="column"/>
      </w:r>
    </w:p>
    <w:p w:rsidR="00916400" w:rsidRDefault="001E065A" w:rsidP="00916400">
      <w:pPr>
        <w:pStyle w:val="Otsikko1"/>
      </w:pPr>
      <w:bookmarkStart w:id="10" w:name="_Toc394071823"/>
      <w:r>
        <w:t>Simple Adjustments to Enhance the Macro-Scale Pattern</w:t>
      </w:r>
      <w:bookmarkEnd w:id="10"/>
    </w:p>
    <w:p w:rsidR="00A71475" w:rsidRDefault="00A71475" w:rsidP="002B3A47">
      <w:pPr>
        <w:rPr>
          <w:rFonts w:eastAsia="Calibri"/>
          <w:lang w:eastAsia="en-GB"/>
        </w:rPr>
      </w:pPr>
    </w:p>
    <w:p w:rsidR="00B72C00" w:rsidRDefault="00B72C00" w:rsidP="002B3A47">
      <w:pPr>
        <w:rPr>
          <w:rFonts w:eastAsia="Calibri"/>
          <w:lang w:eastAsia="en-GB"/>
        </w:rPr>
      </w:pPr>
      <w:r>
        <w:rPr>
          <w:rFonts w:eastAsia="Calibri"/>
          <w:lang w:eastAsia="en-GB"/>
        </w:rPr>
        <w:t xml:space="preserve">As already </w:t>
      </w:r>
      <w:r w:rsidR="006063D5">
        <w:rPr>
          <w:rFonts w:eastAsia="Calibri"/>
          <w:lang w:eastAsia="en-GB"/>
        </w:rPr>
        <w:t>mentioned, the pattern shown in Map 1 is not easy to interpret because each country uses a different poverty threshold to define their ARoP rate. Unfortunately, because it was not possible to model disposable income distribution (using the World Bank PovMap procedure) in t</w:t>
      </w:r>
      <w:r w:rsidR="00CA744B">
        <w:rPr>
          <w:rFonts w:eastAsia="Calibri"/>
          <w:lang w:eastAsia="en-GB"/>
        </w:rPr>
        <w:t>he majority of countries, it seems not possible</w:t>
      </w:r>
      <w:r w:rsidR="006063D5">
        <w:rPr>
          <w:rFonts w:eastAsia="Calibri"/>
          <w:lang w:eastAsia="en-GB"/>
        </w:rPr>
        <w:t xml:space="preserve"> to adjust the ARoP rates shown in Map 1 to a si</w:t>
      </w:r>
      <w:r w:rsidR="00CA744B">
        <w:rPr>
          <w:rFonts w:eastAsia="Calibri"/>
          <w:lang w:eastAsia="en-GB"/>
        </w:rPr>
        <w:t xml:space="preserve">ngle European poverty line. In </w:t>
      </w:r>
      <w:r w:rsidR="006063D5">
        <w:rPr>
          <w:rFonts w:eastAsia="Calibri"/>
          <w:lang w:eastAsia="en-GB"/>
        </w:rPr>
        <w:t xml:space="preserve">his section we show two simple ways in which the data may be manipulated in order to reveal different </w:t>
      </w:r>
      <w:r w:rsidR="00A71475">
        <w:rPr>
          <w:rFonts w:eastAsia="Calibri"/>
          <w:lang w:eastAsia="en-GB"/>
        </w:rPr>
        <w:t xml:space="preserve">patterns inherent </w:t>
      </w:r>
      <w:r w:rsidR="00CA744B">
        <w:rPr>
          <w:rFonts w:eastAsia="Calibri"/>
          <w:lang w:eastAsia="en-GB"/>
        </w:rPr>
        <w:t>with</w:t>
      </w:r>
      <w:r w:rsidR="00A71475">
        <w:rPr>
          <w:rFonts w:eastAsia="Calibri"/>
          <w:lang w:eastAsia="en-GB"/>
        </w:rPr>
        <w:t xml:space="preserve">in it. </w:t>
      </w:r>
    </w:p>
    <w:p w:rsidR="002B3A47" w:rsidRDefault="002B3A47" w:rsidP="002B3A47">
      <w:pPr>
        <w:rPr>
          <w:rFonts w:eastAsia="Calibri"/>
          <w:lang w:eastAsia="en-GB"/>
        </w:rPr>
      </w:pPr>
      <w:r>
        <w:rPr>
          <w:rFonts w:eastAsia="Calibri"/>
          <w:lang w:eastAsia="en-GB"/>
        </w:rPr>
        <w:t xml:space="preserve">In Map </w:t>
      </w:r>
      <w:r w:rsidR="00A71475">
        <w:rPr>
          <w:rFonts w:eastAsia="Calibri"/>
          <w:lang w:eastAsia="en-GB"/>
        </w:rPr>
        <w:t>3</w:t>
      </w:r>
      <w:r>
        <w:rPr>
          <w:rFonts w:eastAsia="Calibri"/>
          <w:lang w:eastAsia="en-GB"/>
        </w:rPr>
        <w:t xml:space="preserve"> the ARoP rates are shown as </w:t>
      </w:r>
      <w:r w:rsidRPr="00CA744B">
        <w:rPr>
          <w:rFonts w:eastAsia="Calibri"/>
          <w:i/>
          <w:lang w:eastAsia="en-GB"/>
        </w:rPr>
        <w:t>within-country-quintiles</w:t>
      </w:r>
      <w:r>
        <w:rPr>
          <w:rFonts w:eastAsia="Calibri"/>
          <w:lang w:eastAsia="en-GB"/>
        </w:rPr>
        <w:t xml:space="preserve">. The darkest reds pick out those regions within the highest 20% in each country, whilst the palest yellow regions are those in the 20% of regions with the lowest ARoP rates. In this map broad macro-regional disparities are “downplayed” </w:t>
      </w:r>
      <w:r w:rsidR="00CA744B">
        <w:rPr>
          <w:rFonts w:eastAsia="Calibri"/>
          <w:lang w:eastAsia="en-GB"/>
        </w:rPr>
        <w:t>whilst</w:t>
      </w:r>
      <w:r>
        <w:rPr>
          <w:rFonts w:eastAsia="Calibri"/>
          <w:lang w:eastAsia="en-GB"/>
        </w:rPr>
        <w:t xml:space="preserve"> more localised variation is emphasised. The pattern reveals a tendency for lower ARoP rates in the vicinity of capitals and other large cities (but not necessarily in the cities themselves, if tightly bounded), and relatively high rates of income poverty in remoter regions (such as Eastern Turkey, the Southern parts of Italy, Greece, France and Spain, South-West Ireland, West Wales, Western Scotland, Eastern Germany, Northern Sweden and Eastern Finland. The area along the Franco-Belgian border, and the North-East coast of the Netherlands also show up as having relatively high rates of income poverty.</w:t>
      </w:r>
    </w:p>
    <w:p w:rsidR="002B3A47" w:rsidRDefault="007A3D62" w:rsidP="002B3A47">
      <w:pPr>
        <w:keepNext/>
      </w:pPr>
      <w:r>
        <w:rPr>
          <w:noProof/>
          <w:lang w:val="fi-FI" w:eastAsia="fi-FI"/>
        </w:rPr>
        <w:lastRenderedPageBreak/>
        <w:drawing>
          <wp:inline distT="0" distB="0" distL="0" distR="0" wp14:anchorId="1285BC82" wp14:editId="2F9D759C">
            <wp:extent cx="5279366" cy="6211019"/>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oP Quint 210714.jpg"/>
                    <pic:cNvPicPr/>
                  </pic:nvPicPr>
                  <pic:blipFill rotWithShape="1">
                    <a:blip r:embed="rId21">
                      <a:extLst>
                        <a:ext uri="{28A0092B-C50C-407E-A947-70E740481C1C}">
                          <a14:useLocalDpi xmlns:a14="http://schemas.microsoft.com/office/drawing/2010/main" val="0"/>
                        </a:ext>
                      </a:extLst>
                    </a:blip>
                    <a:srcRect t="7401" b="9344"/>
                    <a:stretch/>
                  </pic:blipFill>
                  <pic:spPr bwMode="auto">
                    <a:xfrm>
                      <a:off x="0" y="0"/>
                      <a:ext cx="5278755" cy="6210300"/>
                    </a:xfrm>
                    <a:prstGeom prst="rect">
                      <a:avLst/>
                    </a:prstGeom>
                    <a:ln>
                      <a:noFill/>
                    </a:ln>
                    <a:extLst>
                      <a:ext uri="{53640926-AAD7-44D8-BBD7-CCE9431645EC}">
                        <a14:shadowObscured xmlns:a14="http://schemas.microsoft.com/office/drawing/2010/main"/>
                      </a:ext>
                    </a:extLst>
                  </pic:spPr>
                </pic:pic>
              </a:graphicData>
            </a:graphic>
          </wp:inline>
        </w:drawing>
      </w:r>
    </w:p>
    <w:p w:rsidR="002B3A47" w:rsidRDefault="002B3A47" w:rsidP="002B3A47">
      <w:pPr>
        <w:pStyle w:val="Kuvaotsikko"/>
        <w:rPr>
          <w:rFonts w:cs="Arial"/>
          <w:szCs w:val="22"/>
          <w:lang w:eastAsia="en-GB"/>
        </w:rPr>
      </w:pPr>
      <w:bookmarkStart w:id="11" w:name="_Toc385603882"/>
      <w:bookmarkStart w:id="12" w:name="_Toc394071831"/>
      <w:r>
        <w:t xml:space="preserve">Map </w:t>
      </w:r>
      <w:r w:rsidR="00A11F7B">
        <w:fldChar w:fldCharType="begin"/>
      </w:r>
      <w:r w:rsidR="00A11F7B">
        <w:instrText xml:space="preserve"> SEQ Map \* ARABIC </w:instrText>
      </w:r>
      <w:r w:rsidR="00A11F7B">
        <w:fldChar w:fldCharType="separate"/>
      </w:r>
      <w:r w:rsidR="00CA570A">
        <w:rPr>
          <w:noProof/>
        </w:rPr>
        <w:t>3</w:t>
      </w:r>
      <w:r w:rsidR="00A11F7B">
        <w:rPr>
          <w:noProof/>
        </w:rPr>
        <w:fldChar w:fldCharType="end"/>
      </w:r>
      <w:r>
        <w:t>: NUTS 3 At Risk of Poverty Rates: National Quintiles</w:t>
      </w:r>
      <w:bookmarkEnd w:id="11"/>
      <w:bookmarkEnd w:id="12"/>
    </w:p>
    <w:p w:rsidR="002B3A47" w:rsidRDefault="002B3A47" w:rsidP="002B3A47">
      <w:pPr>
        <w:rPr>
          <w:rFonts w:eastAsia="Calibri"/>
          <w:lang w:eastAsia="en-GB"/>
        </w:rPr>
      </w:pPr>
    </w:p>
    <w:p w:rsidR="002B3A47" w:rsidRDefault="002B3A47" w:rsidP="002B3A47">
      <w:pPr>
        <w:rPr>
          <w:rFonts w:eastAsia="Calibri"/>
          <w:lang w:eastAsia="en-GB"/>
        </w:rPr>
      </w:pPr>
      <w:r>
        <w:rPr>
          <w:rFonts w:eastAsia="Calibri"/>
          <w:lang w:eastAsia="en-GB"/>
        </w:rPr>
        <w:t xml:space="preserve">Map </w:t>
      </w:r>
      <w:r w:rsidR="00A71475">
        <w:rPr>
          <w:rFonts w:eastAsia="Calibri"/>
          <w:lang w:eastAsia="en-GB"/>
        </w:rPr>
        <w:t>4</w:t>
      </w:r>
      <w:r>
        <w:rPr>
          <w:rFonts w:eastAsia="Calibri"/>
          <w:lang w:eastAsia="en-GB"/>
        </w:rPr>
        <w:t xml:space="preserve"> shows the same ARoP data, but this time expressed as an index of the national mean. The difference between this approach and the previous map is that the index reflects the scale/degree of the disparity between each region and the national mean, a metric which is to some extent lost</w:t>
      </w:r>
      <w:r w:rsidR="00765738">
        <w:rPr>
          <w:rFonts w:eastAsia="Calibri"/>
          <w:lang w:eastAsia="en-GB"/>
        </w:rPr>
        <w:t xml:space="preserve"> in the quintile approach. Map </w:t>
      </w:r>
      <w:r w:rsidR="00A71475">
        <w:rPr>
          <w:rFonts w:eastAsia="Calibri"/>
          <w:lang w:eastAsia="en-GB"/>
        </w:rPr>
        <w:t>4</w:t>
      </w:r>
      <w:r>
        <w:rPr>
          <w:rFonts w:eastAsia="Calibri"/>
          <w:lang w:eastAsia="en-GB"/>
        </w:rPr>
        <w:t xml:space="preserve"> therefore enables us to pick out the more extreme values, both positive and negative. Some of these reinforce the ge</w:t>
      </w:r>
      <w:r w:rsidR="00765738">
        <w:rPr>
          <w:rFonts w:eastAsia="Calibri"/>
          <w:lang w:eastAsia="en-GB"/>
        </w:rPr>
        <w:t>neralisations derived from Map</w:t>
      </w:r>
      <w:r w:rsidR="00CA744B">
        <w:rPr>
          <w:rFonts w:eastAsia="Calibri"/>
          <w:lang w:eastAsia="en-GB"/>
        </w:rPr>
        <w:t>s</w:t>
      </w:r>
      <w:r w:rsidR="00765738">
        <w:rPr>
          <w:rFonts w:eastAsia="Calibri"/>
          <w:lang w:eastAsia="en-GB"/>
        </w:rPr>
        <w:t xml:space="preserve"> 1</w:t>
      </w:r>
      <w:r w:rsidR="00CA744B">
        <w:rPr>
          <w:rFonts w:eastAsia="Calibri"/>
          <w:lang w:eastAsia="en-GB"/>
        </w:rPr>
        <w:t xml:space="preserve"> and 2</w:t>
      </w:r>
      <w:r>
        <w:rPr>
          <w:rFonts w:eastAsia="Calibri"/>
          <w:lang w:eastAsia="en-GB"/>
        </w:rPr>
        <w:t xml:space="preserve"> (for example low rates around capital cities, high rates in Southern Italy and Spain). Others are less expected, such as the low rates of poverty along the border between Spain and France, in Brittany, and in parts of Northern England.</w:t>
      </w:r>
    </w:p>
    <w:p w:rsidR="002B3A47" w:rsidRPr="00D1493A" w:rsidRDefault="002B3A47" w:rsidP="002B3A47">
      <w:pPr>
        <w:rPr>
          <w:rFonts w:eastAsia="Calibri"/>
          <w:lang w:eastAsia="en-GB"/>
        </w:rPr>
      </w:pPr>
    </w:p>
    <w:p w:rsidR="002B3A47" w:rsidRDefault="007A3D62" w:rsidP="002B3A47">
      <w:pPr>
        <w:keepNext/>
      </w:pPr>
      <w:r>
        <w:rPr>
          <w:noProof/>
          <w:lang w:val="fi-FI" w:eastAsia="fi-FI"/>
        </w:rPr>
        <w:drawing>
          <wp:inline distT="0" distB="0" distL="0" distR="0" wp14:anchorId="46B5A5DB" wp14:editId="41A8A7A3">
            <wp:extent cx="5279366" cy="6211019"/>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oP Index NUTS2010 210714.jpg"/>
                    <pic:cNvPicPr/>
                  </pic:nvPicPr>
                  <pic:blipFill rotWithShape="1">
                    <a:blip r:embed="rId22">
                      <a:extLst>
                        <a:ext uri="{28A0092B-C50C-407E-A947-70E740481C1C}">
                          <a14:useLocalDpi xmlns:a14="http://schemas.microsoft.com/office/drawing/2010/main" val="0"/>
                        </a:ext>
                      </a:extLst>
                    </a:blip>
                    <a:srcRect t="6939" b="9806"/>
                    <a:stretch/>
                  </pic:blipFill>
                  <pic:spPr bwMode="auto">
                    <a:xfrm>
                      <a:off x="0" y="0"/>
                      <a:ext cx="5278755" cy="6210300"/>
                    </a:xfrm>
                    <a:prstGeom prst="rect">
                      <a:avLst/>
                    </a:prstGeom>
                    <a:ln>
                      <a:noFill/>
                    </a:ln>
                    <a:extLst>
                      <a:ext uri="{53640926-AAD7-44D8-BBD7-CCE9431645EC}">
                        <a14:shadowObscured xmlns:a14="http://schemas.microsoft.com/office/drawing/2010/main"/>
                      </a:ext>
                    </a:extLst>
                  </pic:spPr>
                </pic:pic>
              </a:graphicData>
            </a:graphic>
          </wp:inline>
        </w:drawing>
      </w:r>
    </w:p>
    <w:p w:rsidR="002B3A47" w:rsidRDefault="002B3A47" w:rsidP="002B3A47">
      <w:pPr>
        <w:pStyle w:val="Kuvaotsikko"/>
        <w:rPr>
          <w:rFonts w:cs="Arial"/>
          <w:szCs w:val="22"/>
          <w:lang w:eastAsia="en-GB"/>
        </w:rPr>
      </w:pPr>
      <w:bookmarkStart w:id="13" w:name="_Toc385603883"/>
      <w:bookmarkStart w:id="14" w:name="_Toc394071832"/>
      <w:r>
        <w:t xml:space="preserve">Map </w:t>
      </w:r>
      <w:r w:rsidR="00A11F7B">
        <w:fldChar w:fldCharType="begin"/>
      </w:r>
      <w:r w:rsidR="00A11F7B">
        <w:instrText xml:space="preserve"> SEQ Map \* ARABIC </w:instrText>
      </w:r>
      <w:r w:rsidR="00A11F7B">
        <w:fldChar w:fldCharType="separate"/>
      </w:r>
      <w:r w:rsidR="00CA570A">
        <w:rPr>
          <w:noProof/>
        </w:rPr>
        <w:t>4</w:t>
      </w:r>
      <w:r w:rsidR="00A11F7B">
        <w:rPr>
          <w:noProof/>
        </w:rPr>
        <w:fldChar w:fldCharType="end"/>
      </w:r>
      <w:r>
        <w:t>: NUTS 3 At Risk of Poverty Rates: National Average =100</w:t>
      </w:r>
      <w:bookmarkEnd w:id="13"/>
      <w:bookmarkEnd w:id="14"/>
    </w:p>
    <w:p w:rsidR="001E065A" w:rsidRDefault="001E065A" w:rsidP="001E065A"/>
    <w:p w:rsidR="001E065A" w:rsidRPr="001E065A" w:rsidRDefault="001E065A" w:rsidP="001E065A"/>
    <w:p w:rsidR="000D34E9" w:rsidRDefault="001E065A" w:rsidP="00ED0DF2">
      <w:pPr>
        <w:pStyle w:val="Otsikko1"/>
      </w:pPr>
      <w:r>
        <w:br w:type="column"/>
      </w:r>
      <w:bookmarkStart w:id="15" w:name="_Toc394071824"/>
      <w:r>
        <w:lastRenderedPageBreak/>
        <w:t>Comparing with the ESPON Typologies</w:t>
      </w:r>
      <w:bookmarkEnd w:id="15"/>
    </w:p>
    <w:p w:rsidR="002B3A47" w:rsidRDefault="002B3A47" w:rsidP="002B3A47">
      <w:pPr>
        <w:rPr>
          <w:lang w:eastAsia="en-GB"/>
        </w:rPr>
      </w:pPr>
      <w:r>
        <w:rPr>
          <w:lang w:eastAsia="en-GB"/>
        </w:rPr>
        <w:t>The above maps and commentary provide some initial first impressions of the spatial variation of income poverty at the NUTS 3 level. However they do not take us very far in terms of developing an explanation of the processes which cause regional differentiation in income poverty. One simple way to begin to shed light upon such processes is to use the ESPON regional typologies to explore how ARoP rates vary in different kinds of region. A large number of typologies have been devised within the auspices of the ESPON programme. In the following analysis we will restrict ourselves to what may be described as the “core” typologies, which relate to rurality, metropolitan regions, border regions, islands, mountain regions, coastal regions, and regions in industrial transition</w:t>
      </w:r>
      <w:r>
        <w:rPr>
          <w:rStyle w:val="Alaviitteenviite"/>
          <w:rFonts w:cs="Arial"/>
          <w:szCs w:val="22"/>
          <w:lang w:eastAsia="en-GB"/>
        </w:rPr>
        <w:footnoteReference w:id="1"/>
      </w:r>
      <w:r>
        <w:rPr>
          <w:lang w:eastAsia="en-GB"/>
        </w:rPr>
        <w:t xml:space="preserve">. Two typologies (sparsely populated regions and outermost regions) have been excluded from this review, since they relate to a relatively small number of regions. </w:t>
      </w:r>
    </w:p>
    <w:p w:rsidR="002B3A47" w:rsidRDefault="002B3A47" w:rsidP="002B3A47">
      <w:pPr>
        <w:rPr>
          <w:lang w:eastAsia="en-GB"/>
        </w:rPr>
      </w:pPr>
      <w:r>
        <w:rPr>
          <w:lang w:eastAsia="en-GB"/>
        </w:rPr>
        <w:t>The review has been implemented through a series of simple bar charts, which present ARoP rates averaged across each type of region within each country. This approach both avoids including data from countries in which a typology is not relevant (such as island regions in Austria), and means that we are not combining data from different countries, with different poverty lines.</w:t>
      </w:r>
    </w:p>
    <w:p w:rsidR="002B3A47" w:rsidRDefault="00DE11C1" w:rsidP="002B3A47">
      <w:pPr>
        <w:keepNext/>
      </w:pPr>
      <w:r>
        <w:rPr>
          <w:noProof/>
          <w:lang w:val="fi-FI" w:eastAsia="fi-FI"/>
        </w:rPr>
        <w:drawing>
          <wp:inline distT="0" distB="0" distL="0" distR="0" wp14:anchorId="7E33F353" wp14:editId="2A0AB290">
            <wp:extent cx="5641675" cy="1936481"/>
            <wp:effectExtent l="0" t="0" r="0" b="698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52829" cy="1940309"/>
                    </a:xfrm>
                    <a:prstGeom prst="rect">
                      <a:avLst/>
                    </a:prstGeom>
                    <a:noFill/>
                  </pic:spPr>
                </pic:pic>
              </a:graphicData>
            </a:graphic>
          </wp:inline>
        </w:drawing>
      </w:r>
    </w:p>
    <w:p w:rsidR="002B3A47" w:rsidRDefault="002B3A47" w:rsidP="002B3A47">
      <w:pPr>
        <w:pStyle w:val="Kuvaotsikko"/>
      </w:pPr>
      <w:bookmarkStart w:id="16" w:name="_Toc385492871"/>
      <w:bookmarkStart w:id="17" w:name="_Toc394071847"/>
      <w:r>
        <w:t xml:space="preserve">Figure </w:t>
      </w:r>
      <w:r w:rsidR="00A11F7B">
        <w:fldChar w:fldCharType="begin"/>
      </w:r>
      <w:r w:rsidR="00A11F7B">
        <w:instrText xml:space="preserve"> SEQ Figure \* ARABI</w:instrText>
      </w:r>
      <w:r w:rsidR="00A11F7B">
        <w:instrText xml:space="preserve">C </w:instrText>
      </w:r>
      <w:r w:rsidR="00A11F7B">
        <w:fldChar w:fldCharType="separate"/>
      </w:r>
      <w:r w:rsidR="00CA570A">
        <w:rPr>
          <w:noProof/>
        </w:rPr>
        <w:t>2</w:t>
      </w:r>
      <w:r w:rsidR="00A11F7B">
        <w:rPr>
          <w:noProof/>
        </w:rPr>
        <w:fldChar w:fldCharType="end"/>
      </w:r>
      <w:r>
        <w:t>: At Risk of Poverty by Urban-Rural Type</w:t>
      </w:r>
      <w:bookmarkEnd w:id="16"/>
      <w:bookmarkEnd w:id="17"/>
    </w:p>
    <w:p w:rsidR="002B3A47" w:rsidRDefault="002B3A47" w:rsidP="002B3A47">
      <w:r>
        <w:t xml:space="preserve">The first typology (Figure </w:t>
      </w:r>
      <w:r w:rsidR="00765738">
        <w:t>2</w:t>
      </w:r>
      <w:r>
        <w:t xml:space="preserve">) is the classification of NUTS 3 regions by </w:t>
      </w:r>
      <w:r w:rsidRPr="007F660B">
        <w:rPr>
          <w:b/>
        </w:rPr>
        <w:t>rurality and accessibility</w:t>
      </w:r>
      <w:r w:rsidR="00DE647B">
        <w:rPr>
          <w:rStyle w:val="Alaviitteenviite"/>
          <w:b/>
        </w:rPr>
        <w:footnoteReference w:id="2"/>
      </w:r>
      <w:r>
        <w:t>. The five categories are</w:t>
      </w:r>
      <w:r w:rsidR="0070354E">
        <w:t>;</w:t>
      </w:r>
      <w:r>
        <w:t xml:space="preserve"> predominantly urban, intermediate close to a city, intermediate remote, predominantly rural close to a city, and predominantly rural </w:t>
      </w:r>
      <w:r>
        <w:lastRenderedPageBreak/>
        <w:t>remote. There are very few regions in the third category, and for this reason we do not distinguish accessible and remote intermediate regions.</w:t>
      </w:r>
    </w:p>
    <w:p w:rsidR="002B3A47" w:rsidRDefault="002B3A47" w:rsidP="002B3A47">
      <w:r>
        <w:t xml:space="preserve">Figure </w:t>
      </w:r>
      <w:r w:rsidR="00765738">
        <w:t>2</w:t>
      </w:r>
      <w:r>
        <w:t xml:space="preserve"> shows that there are some quite substantial differences between ARoP rates across this typology. In four central countries (Belgium, Germany Netherlands</w:t>
      </w:r>
      <w:r w:rsidR="0070354E" w:rsidRPr="0070354E">
        <w:t xml:space="preserve"> </w:t>
      </w:r>
      <w:r w:rsidR="0070354E">
        <w:t>and Denmark</w:t>
      </w:r>
      <w:r>
        <w:t xml:space="preserve">) income poverty rates are higher in urban areas than in intermediate or rural areas. In </w:t>
      </w:r>
      <w:r w:rsidR="002A6678">
        <w:t>an</w:t>
      </w:r>
      <w:r>
        <w:t xml:space="preserve">other </w:t>
      </w:r>
      <w:r w:rsidR="0070354E">
        <w:t>eleven</w:t>
      </w:r>
      <w:r>
        <w:t xml:space="preserve"> countries, income poverty rates are higher in rural and/or intermediate regions. The strongest associations with rurality are in the Mediterranean countries (Spain, Portugal Greece and Italy)</w:t>
      </w:r>
      <w:r w:rsidR="0070354E">
        <w:t>, and in Romania, Slovenia and Slovakia</w:t>
      </w:r>
      <w:r>
        <w:t>.</w:t>
      </w:r>
      <w:r w:rsidR="0070354E">
        <w:t xml:space="preserve"> In most of these there is also an apparent association between poverty and remoteness.</w:t>
      </w:r>
      <w:r>
        <w:t xml:space="preserve"> </w:t>
      </w:r>
      <w:r w:rsidR="0070354E">
        <w:t>In Turkey accessible rural areas (mostly along the Eastern border) exhibit the highest poverty rates</w:t>
      </w:r>
      <w:r>
        <w:t>.</w:t>
      </w:r>
      <w:r w:rsidR="00DE11C1">
        <w:t xml:space="preserve"> The remaining countries, (UK, FR, SE AT and NO) poverty rates are not strongly differentiated across the Dijkstra-Poelman typology.</w:t>
      </w:r>
    </w:p>
    <w:p w:rsidR="00495C95" w:rsidRDefault="00495C95" w:rsidP="002B3A47"/>
    <w:p w:rsidR="002B3A47" w:rsidRDefault="00DE11C1" w:rsidP="002B3A47">
      <w:pPr>
        <w:keepNext/>
      </w:pPr>
      <w:r>
        <w:rPr>
          <w:noProof/>
          <w:lang w:val="fi-FI" w:eastAsia="fi-FI"/>
        </w:rPr>
        <w:drawing>
          <wp:inline distT="0" distB="0" distL="0" distR="0" wp14:anchorId="7770F814" wp14:editId="43EA1931">
            <wp:extent cx="5780332" cy="198407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95731" cy="1989361"/>
                    </a:xfrm>
                    <a:prstGeom prst="rect">
                      <a:avLst/>
                    </a:prstGeom>
                    <a:noFill/>
                  </pic:spPr>
                </pic:pic>
              </a:graphicData>
            </a:graphic>
          </wp:inline>
        </w:drawing>
      </w:r>
    </w:p>
    <w:p w:rsidR="002B3A47" w:rsidRDefault="002B3A47" w:rsidP="002B3A47">
      <w:pPr>
        <w:pStyle w:val="Kuvaotsikko"/>
      </w:pPr>
      <w:bookmarkStart w:id="18" w:name="_Toc385492872"/>
      <w:bookmarkStart w:id="19" w:name="_Toc394071848"/>
      <w:r>
        <w:t xml:space="preserve">Figure </w:t>
      </w:r>
      <w:r w:rsidR="00A11F7B">
        <w:fldChar w:fldCharType="begin"/>
      </w:r>
      <w:r w:rsidR="00A11F7B">
        <w:instrText xml:space="preserve"> SEQ Figure \* ARABIC </w:instrText>
      </w:r>
      <w:r w:rsidR="00A11F7B">
        <w:fldChar w:fldCharType="separate"/>
      </w:r>
      <w:r w:rsidR="00CA570A">
        <w:rPr>
          <w:noProof/>
        </w:rPr>
        <w:t>3</w:t>
      </w:r>
      <w:r w:rsidR="00A11F7B">
        <w:rPr>
          <w:noProof/>
        </w:rPr>
        <w:fldChar w:fldCharType="end"/>
      </w:r>
      <w:r>
        <w:t xml:space="preserve">: At Risk of Poverty Rate </w:t>
      </w:r>
      <w:r w:rsidR="00495C95">
        <w:t>in</w:t>
      </w:r>
      <w:r>
        <w:t xml:space="preserve"> Metropolitan </w:t>
      </w:r>
      <w:r w:rsidR="00495C95">
        <w:t xml:space="preserve">and non-Metropolitan </w:t>
      </w:r>
      <w:r>
        <w:t>Region</w:t>
      </w:r>
      <w:r w:rsidR="00495C95">
        <w:t>s</w:t>
      </w:r>
      <w:bookmarkEnd w:id="18"/>
      <w:bookmarkEnd w:id="19"/>
    </w:p>
    <w:p w:rsidR="002B3A47" w:rsidRDefault="002B3A47" w:rsidP="00495C95">
      <w:r>
        <w:t xml:space="preserve">The second typology focuses on </w:t>
      </w:r>
      <w:r w:rsidR="00495C95" w:rsidRPr="00495C95">
        <w:rPr>
          <w:b/>
        </w:rPr>
        <w:t>metropolitan and non-metropolitan</w:t>
      </w:r>
      <w:r w:rsidR="00495C95">
        <w:t xml:space="preserve"> regions</w:t>
      </w:r>
      <w:r w:rsidR="00495C95">
        <w:rPr>
          <w:rStyle w:val="Alaviitteenviite"/>
        </w:rPr>
        <w:footnoteReference w:id="3"/>
      </w:r>
      <w:r>
        <w:t xml:space="preserve">. </w:t>
      </w:r>
      <w:r w:rsidR="00495C95">
        <w:t>A clear picture emerges which reinforces the impression gained from the previous typology, that (at the NUTS 3 level) poverty is less often associated with cities than with rural areas. Thus in 12 of the 20 countries for which data is available, poverty rates are higher in non-metropolitan region</w:t>
      </w:r>
      <w:r w:rsidR="00CD43B3">
        <w:t>s.</w:t>
      </w:r>
      <w:r w:rsidR="00495C95">
        <w:t xml:space="preserve"> This group </w:t>
      </w:r>
      <w:r w:rsidR="00CD43B3">
        <w:t>contains all the M</w:t>
      </w:r>
      <w:r w:rsidR="00495C95">
        <w:t>editerranean countries, t</w:t>
      </w:r>
      <w:r w:rsidR="00CD43B3">
        <w:t xml:space="preserve">hree </w:t>
      </w:r>
      <w:r w:rsidR="00495C95">
        <w:t>Nordic countries (</w:t>
      </w:r>
      <w:r w:rsidR="00CD43B3">
        <w:t xml:space="preserve">SE, </w:t>
      </w:r>
      <w:r w:rsidR="00495C95">
        <w:t xml:space="preserve">NO and DK) </w:t>
      </w:r>
      <w:r w:rsidR="00CD43B3">
        <w:t>three former socialist states (HR, RO, SI), together with a single NW European country (IE).</w:t>
      </w:r>
      <w:r w:rsidR="00495C95">
        <w:t xml:space="preserve"> </w:t>
      </w:r>
      <w:r w:rsidR="00CD43B3">
        <w:t>I</w:t>
      </w:r>
      <w:r w:rsidR="00495C95">
        <w:t xml:space="preserve">n </w:t>
      </w:r>
      <w:r w:rsidR="00CD43B3">
        <w:t xml:space="preserve">a further </w:t>
      </w:r>
      <w:r w:rsidR="00495C95">
        <w:t>seven coun</w:t>
      </w:r>
      <w:r w:rsidR="00CD43B3">
        <w:t>tries poverty rates are higher in metropolitan regions</w:t>
      </w:r>
      <w:r w:rsidR="00495C95">
        <w:t>.</w:t>
      </w:r>
      <w:r w:rsidR="00CD43B3" w:rsidRPr="00CD43B3">
        <w:t xml:space="preserve"> </w:t>
      </w:r>
      <w:r w:rsidR="00CD43B3">
        <w:t>The majority of these are Central or NW European states (UK, BE, DE, NL, SE), whilst two (HU, SK) are former socialist countries. In the remaining two countries, (FR and AT) metropolitan and non-metropolitan rates are very similar.</w:t>
      </w:r>
    </w:p>
    <w:p w:rsidR="00436F2F" w:rsidRDefault="00436F2F" w:rsidP="00495C95">
      <w:r>
        <w:t xml:space="preserve">Figure 4 provides more detail on poverty rates in different kinds of rural region, using a typology </w:t>
      </w:r>
      <w:r w:rsidR="007570F4">
        <w:t xml:space="preserve">of economic structure </w:t>
      </w:r>
      <w:r>
        <w:t xml:space="preserve">developed by the ESPON EDORA project. In five </w:t>
      </w:r>
      <w:r>
        <w:lastRenderedPageBreak/>
        <w:t>countries (IT, PT, SI, UK and FR) rural regions whose economy is dominated by the primary sector have the highest rates of poverty. At the other extreme four countries (IE, BE, DE, and SE) show particularly high rates in diversified rural regions with an emphasis upon market services. In the remaining nine countries for which we have data poverty rates are similar across the EDORA types. It is perhaps worth noting that in no country do consumption countryside regions</w:t>
      </w:r>
      <w:r w:rsidR="007570F4">
        <w:t>, characterised by strong</w:t>
      </w:r>
      <w:r>
        <w:t xml:space="preserve"> tourism </w:t>
      </w:r>
      <w:r w:rsidR="007570F4">
        <w:t xml:space="preserve">activity </w:t>
      </w:r>
      <w:r>
        <w:t xml:space="preserve">and </w:t>
      </w:r>
      <w:r w:rsidR="007570F4">
        <w:t xml:space="preserve">economically important </w:t>
      </w:r>
      <w:r>
        <w:t>environmental pub</w:t>
      </w:r>
      <w:r w:rsidR="007570F4">
        <w:t>lic goods,</w:t>
      </w:r>
      <w:r>
        <w:t xml:space="preserve"> have significantly higher rates than the other </w:t>
      </w:r>
      <w:r w:rsidR="007570F4">
        <w:t xml:space="preserve">structural </w:t>
      </w:r>
      <w:r>
        <w:t>types.</w:t>
      </w:r>
    </w:p>
    <w:p w:rsidR="00436F2F" w:rsidRDefault="00436F2F" w:rsidP="00436F2F">
      <w:pPr>
        <w:keepNext/>
      </w:pPr>
      <w:r>
        <w:rPr>
          <w:noProof/>
          <w:lang w:val="fi-FI" w:eastAsia="fi-FI"/>
        </w:rPr>
        <w:drawing>
          <wp:inline distT="0" distB="0" distL="0" distR="0" wp14:anchorId="06D5454B" wp14:editId="3ED01594">
            <wp:extent cx="5817335" cy="1996776"/>
            <wp:effectExtent l="0" t="0" r="0" b="381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25947" cy="1999732"/>
                    </a:xfrm>
                    <a:prstGeom prst="rect">
                      <a:avLst/>
                    </a:prstGeom>
                    <a:noFill/>
                  </pic:spPr>
                </pic:pic>
              </a:graphicData>
            </a:graphic>
          </wp:inline>
        </w:drawing>
      </w:r>
    </w:p>
    <w:p w:rsidR="00436F2F" w:rsidRDefault="00436F2F" w:rsidP="00436F2F">
      <w:pPr>
        <w:pStyle w:val="Kuvaotsikko"/>
      </w:pPr>
      <w:bookmarkStart w:id="20" w:name="_Toc394071849"/>
      <w:r>
        <w:t xml:space="preserve">Figure </w:t>
      </w:r>
      <w:r w:rsidR="00A11F7B">
        <w:fldChar w:fldCharType="begin"/>
      </w:r>
      <w:r w:rsidR="00A11F7B">
        <w:instrText xml:space="preserve"> SEQ Figure \* ARABIC </w:instrText>
      </w:r>
      <w:r w:rsidR="00A11F7B">
        <w:fldChar w:fldCharType="separate"/>
      </w:r>
      <w:r w:rsidR="00CA570A">
        <w:rPr>
          <w:noProof/>
        </w:rPr>
        <w:t>4</w:t>
      </w:r>
      <w:r w:rsidR="00A11F7B">
        <w:rPr>
          <w:noProof/>
        </w:rPr>
        <w:fldChar w:fldCharType="end"/>
      </w:r>
      <w:r>
        <w:t>: At risk of poverty rates in different types of rural region</w:t>
      </w:r>
      <w:bookmarkEnd w:id="20"/>
    </w:p>
    <w:p w:rsidR="002B3A47" w:rsidRDefault="002B3A47" w:rsidP="002B3A47">
      <w:r>
        <w:t xml:space="preserve">The </w:t>
      </w:r>
      <w:r w:rsidR="007570F4">
        <w:t>fourth</w:t>
      </w:r>
      <w:r>
        <w:t xml:space="preserve"> typology distinguishes </w:t>
      </w:r>
      <w:r w:rsidRPr="00CE7B1D">
        <w:rPr>
          <w:b/>
        </w:rPr>
        <w:t>border regions</w:t>
      </w:r>
      <w:r w:rsidR="00765738">
        <w:t xml:space="preserve"> (Figure </w:t>
      </w:r>
      <w:r w:rsidR="007570F4">
        <w:t>5</w:t>
      </w:r>
      <w:r>
        <w:t>) from internal regions. Border regions are defined as “</w:t>
      </w:r>
      <w:r w:rsidRPr="004E4011">
        <w:t>regions participating in the core areas of cross-border cooperation programmes in the programming period 2007-2013</w:t>
      </w:r>
      <w:r>
        <w:t xml:space="preserve">”. </w:t>
      </w:r>
      <w:r w:rsidR="00D8660E">
        <w:t>Eleven</w:t>
      </w:r>
      <w:r>
        <w:t xml:space="preserve"> countries show higher ARoP rates in border regions, whilst </w:t>
      </w:r>
      <w:r w:rsidR="00D8660E">
        <w:t>seven</w:t>
      </w:r>
      <w:r>
        <w:t xml:space="preserve"> have higher rates of poverty in “internal” regions. </w:t>
      </w:r>
      <w:r w:rsidR="00D8660E">
        <w:t>One country (NL) has no difference in poverty rates between regions included in border cooperation programmes and those which are not. In two countries, (DK and SK) all regions are involved in border cooperation programmes. These results are difficult to interpret. Presumably</w:t>
      </w:r>
      <w:r>
        <w:t xml:space="preserve"> a great deal depends upon </w:t>
      </w:r>
      <w:r w:rsidR="00D8660E">
        <w:t>the socio-economic profile</w:t>
      </w:r>
      <w:r>
        <w:t xml:space="preserve"> of the border regions, and the nature of the region</w:t>
      </w:r>
      <w:r w:rsidR="00D8660E">
        <w:t>(s)</w:t>
      </w:r>
      <w:r>
        <w:t xml:space="preserve"> on the other side of the border.</w:t>
      </w:r>
    </w:p>
    <w:p w:rsidR="002B3A47" w:rsidRDefault="00D8660E" w:rsidP="002B3A47">
      <w:pPr>
        <w:keepNext/>
      </w:pPr>
      <w:r>
        <w:rPr>
          <w:noProof/>
          <w:lang w:val="fi-FI" w:eastAsia="fi-FI"/>
        </w:rPr>
        <w:drawing>
          <wp:inline distT="0" distB="0" distL="0" distR="0" wp14:anchorId="4FD8A59B" wp14:editId="45561927">
            <wp:extent cx="5579279" cy="1915064"/>
            <wp:effectExtent l="0" t="0" r="2540"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591129" cy="1919132"/>
                    </a:xfrm>
                    <a:prstGeom prst="rect">
                      <a:avLst/>
                    </a:prstGeom>
                    <a:noFill/>
                  </pic:spPr>
                </pic:pic>
              </a:graphicData>
            </a:graphic>
          </wp:inline>
        </w:drawing>
      </w:r>
    </w:p>
    <w:p w:rsidR="002B3A47" w:rsidRDefault="002B3A47" w:rsidP="002B3A47">
      <w:pPr>
        <w:pStyle w:val="Kuvaotsikko"/>
      </w:pPr>
      <w:bookmarkStart w:id="21" w:name="_Toc385492873"/>
      <w:bookmarkStart w:id="22" w:name="_Toc394071850"/>
      <w:r>
        <w:t xml:space="preserve">Figure </w:t>
      </w:r>
      <w:r w:rsidR="00A11F7B">
        <w:fldChar w:fldCharType="begin"/>
      </w:r>
      <w:r w:rsidR="00A11F7B">
        <w:instrText xml:space="preserve"> SEQ Figure \* ARABIC </w:instrText>
      </w:r>
      <w:r w:rsidR="00A11F7B">
        <w:fldChar w:fldCharType="separate"/>
      </w:r>
      <w:r w:rsidR="00CA570A">
        <w:rPr>
          <w:noProof/>
        </w:rPr>
        <w:t>5</w:t>
      </w:r>
      <w:r w:rsidR="00A11F7B">
        <w:rPr>
          <w:noProof/>
        </w:rPr>
        <w:fldChar w:fldCharType="end"/>
      </w:r>
      <w:r>
        <w:t>: At Risk of Poverty Rate, Border and Internal Regions</w:t>
      </w:r>
      <w:bookmarkEnd w:id="21"/>
      <w:bookmarkEnd w:id="22"/>
    </w:p>
    <w:p w:rsidR="002B3A47" w:rsidRDefault="003B0B9A" w:rsidP="002B3A47">
      <w:r>
        <w:lastRenderedPageBreak/>
        <w:t xml:space="preserve">In some national contexts </w:t>
      </w:r>
      <w:r w:rsidR="00D8660E">
        <w:t xml:space="preserve">NUTS 3 is too large a scale to pick up the role of insularity. Most islands are subsumed within larger regions which are predominantly “mainland”. </w:t>
      </w:r>
      <w:r>
        <w:t xml:space="preserve">Nevertheless in Italy, Spain, Greece and France (Figure </w:t>
      </w:r>
      <w:r w:rsidR="007570F4">
        <w:t>6</w:t>
      </w:r>
      <w:r>
        <w:t xml:space="preserve">) island regions have significantly higher poverty rates. In Sweden, UK and Denmark island and mainland rates are almost identical. </w:t>
      </w:r>
      <w:r w:rsidR="002B3A47">
        <w:t xml:space="preserve">The remaining two countries, Portugal and Finland can be seen as special cases, due to the relatively low rates in Madeira (the only Portuguese island region for which there is data), and in Finnish </w:t>
      </w:r>
      <w:r w:rsidR="002B3A47">
        <w:rPr>
          <w:rFonts w:cs="Arial"/>
        </w:rPr>
        <w:t>Å</w:t>
      </w:r>
      <w:r w:rsidR="002B3A47">
        <w:t xml:space="preserve">land. </w:t>
      </w:r>
    </w:p>
    <w:p w:rsidR="00D8660E" w:rsidRDefault="00D8660E" w:rsidP="002B3A47"/>
    <w:p w:rsidR="002B3A47" w:rsidRDefault="00D8660E" w:rsidP="002B3A47">
      <w:pPr>
        <w:keepNext/>
      </w:pPr>
      <w:r>
        <w:rPr>
          <w:noProof/>
          <w:lang w:val="fi-FI" w:eastAsia="fi-FI"/>
        </w:rPr>
        <w:drawing>
          <wp:inline distT="0" distB="0" distL="0" distR="0" wp14:anchorId="130FD1F3" wp14:editId="60F61684">
            <wp:extent cx="5796951" cy="1988206"/>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17281" cy="1995179"/>
                    </a:xfrm>
                    <a:prstGeom prst="rect">
                      <a:avLst/>
                    </a:prstGeom>
                    <a:noFill/>
                  </pic:spPr>
                </pic:pic>
              </a:graphicData>
            </a:graphic>
          </wp:inline>
        </w:drawing>
      </w:r>
    </w:p>
    <w:p w:rsidR="002B3A47" w:rsidRDefault="002B3A47" w:rsidP="002B3A47">
      <w:pPr>
        <w:pStyle w:val="Kuvaotsikko"/>
      </w:pPr>
      <w:bookmarkStart w:id="23" w:name="_Toc385492874"/>
      <w:bookmarkStart w:id="24" w:name="_Toc394071851"/>
      <w:r>
        <w:t xml:space="preserve">Figure </w:t>
      </w:r>
      <w:r w:rsidR="00A11F7B">
        <w:fldChar w:fldCharType="begin"/>
      </w:r>
      <w:r w:rsidR="00A11F7B">
        <w:instrText xml:space="preserve"> SEQ Figure \* ARABIC </w:instrText>
      </w:r>
      <w:r w:rsidR="00A11F7B">
        <w:fldChar w:fldCharType="separate"/>
      </w:r>
      <w:r w:rsidR="00CA570A">
        <w:rPr>
          <w:noProof/>
        </w:rPr>
        <w:t>6</w:t>
      </w:r>
      <w:r w:rsidR="00A11F7B">
        <w:rPr>
          <w:noProof/>
        </w:rPr>
        <w:fldChar w:fldCharType="end"/>
      </w:r>
      <w:r>
        <w:t>: At Risk of Poverty Rate, Island and Mainland Regions</w:t>
      </w:r>
      <w:bookmarkEnd w:id="23"/>
      <w:bookmarkEnd w:id="24"/>
    </w:p>
    <w:p w:rsidR="002B3A47" w:rsidRDefault="002B3A47" w:rsidP="002B3A47">
      <w:r>
        <w:t xml:space="preserve">In </w:t>
      </w:r>
      <w:r w:rsidR="003B0B9A">
        <w:t>six</w:t>
      </w:r>
      <w:r>
        <w:t xml:space="preserve"> countries (</w:t>
      </w:r>
      <w:r w:rsidR="003B0B9A">
        <w:t xml:space="preserve">NO, AT, IT, BE, </w:t>
      </w:r>
      <w:r w:rsidR="007D3006">
        <w:t xml:space="preserve">UK </w:t>
      </w:r>
      <w:r w:rsidR="003B0B9A">
        <w:t xml:space="preserve">and </w:t>
      </w:r>
      <w:r w:rsidR="007D3006">
        <w:t>PT</w:t>
      </w:r>
      <w:r>
        <w:t xml:space="preserve">) </w:t>
      </w:r>
      <w:r w:rsidRPr="00CE7B1D">
        <w:rPr>
          <w:b/>
        </w:rPr>
        <w:t>mountain regions</w:t>
      </w:r>
      <w:r>
        <w:t xml:space="preserve"> are associated with significantly greater r</w:t>
      </w:r>
      <w:r w:rsidR="00765738">
        <w:t xml:space="preserve">ates of income poverty (Figure </w:t>
      </w:r>
      <w:r w:rsidR="007570F4">
        <w:t>7</w:t>
      </w:r>
      <w:r>
        <w:t xml:space="preserve">). In </w:t>
      </w:r>
      <w:r w:rsidR="007D3006">
        <w:t>four countries (RO, EL, SK and FR)</w:t>
      </w:r>
      <w:r>
        <w:t xml:space="preserve"> the presence of mountains seems to make little difference</w:t>
      </w:r>
      <w:r w:rsidR="007D3006">
        <w:t>. In four countries (ES, SI, DE and HR) lowland rates are significantly higher than those in mountain regions</w:t>
      </w:r>
      <w:r>
        <w:t>.</w:t>
      </w:r>
    </w:p>
    <w:p w:rsidR="002B3A47" w:rsidRDefault="003B0B9A" w:rsidP="002B3A47">
      <w:pPr>
        <w:keepNext/>
      </w:pPr>
      <w:r>
        <w:rPr>
          <w:noProof/>
          <w:lang w:val="fi-FI" w:eastAsia="fi-FI"/>
        </w:rPr>
        <w:drawing>
          <wp:inline distT="0" distB="0" distL="0" distR="0" wp14:anchorId="5BCAAB7B" wp14:editId="09216C3F">
            <wp:extent cx="5676181" cy="1958703"/>
            <wp:effectExtent l="0" t="0" r="127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88166" cy="1962839"/>
                    </a:xfrm>
                    <a:prstGeom prst="rect">
                      <a:avLst/>
                    </a:prstGeom>
                    <a:noFill/>
                  </pic:spPr>
                </pic:pic>
              </a:graphicData>
            </a:graphic>
          </wp:inline>
        </w:drawing>
      </w:r>
    </w:p>
    <w:p w:rsidR="002B3A47" w:rsidRDefault="002B3A47" w:rsidP="002B3A47">
      <w:pPr>
        <w:pStyle w:val="Kuvaotsikko"/>
      </w:pPr>
      <w:bookmarkStart w:id="25" w:name="_Toc385492875"/>
      <w:bookmarkStart w:id="26" w:name="_Toc394071852"/>
      <w:r>
        <w:t xml:space="preserve">Figure </w:t>
      </w:r>
      <w:r w:rsidR="00A11F7B">
        <w:fldChar w:fldCharType="begin"/>
      </w:r>
      <w:r w:rsidR="00A11F7B">
        <w:instrText xml:space="preserve"> SEQ Figure \* ARABIC </w:instrText>
      </w:r>
      <w:r w:rsidR="00A11F7B">
        <w:fldChar w:fldCharType="separate"/>
      </w:r>
      <w:r w:rsidR="00CA570A">
        <w:rPr>
          <w:noProof/>
        </w:rPr>
        <w:t>7</w:t>
      </w:r>
      <w:r w:rsidR="00A11F7B">
        <w:rPr>
          <w:noProof/>
        </w:rPr>
        <w:fldChar w:fldCharType="end"/>
      </w:r>
      <w:r>
        <w:t>: At Risk of Poverty Rate, Mountain and Lowland Regions</w:t>
      </w:r>
      <w:bookmarkEnd w:id="25"/>
      <w:bookmarkEnd w:id="26"/>
    </w:p>
    <w:p w:rsidR="002B3A47" w:rsidRDefault="002B3A47" w:rsidP="002B3A47">
      <w:r>
        <w:t xml:space="preserve">Similarly the effect of being a </w:t>
      </w:r>
      <w:r w:rsidRPr="00CE7B1D">
        <w:rPr>
          <w:b/>
        </w:rPr>
        <w:t>coastal region</w:t>
      </w:r>
      <w:r w:rsidR="00765738">
        <w:t xml:space="preserve"> (Figure </w:t>
      </w:r>
      <w:r w:rsidR="007570F4">
        <w:t>8</w:t>
      </w:r>
      <w:r>
        <w:t xml:space="preserve">) seems to be </w:t>
      </w:r>
      <w:r w:rsidR="007D3006">
        <w:t>mixed</w:t>
      </w:r>
      <w:r>
        <w:t>.</w:t>
      </w:r>
      <w:r w:rsidR="007D3006">
        <w:t xml:space="preserve"> Seven countries (NO, FI, BE, EL, UK, IE, and PT) had higher rates in inland regions, whilst six (ES, RO, IT, DE, NL and FR) had higher rates in coastal regions. In Sweden rates for coastal and inland regions were very similar, whilst Denmark has no “inland” regions</w:t>
      </w:r>
      <w:r>
        <w:t>.</w:t>
      </w:r>
    </w:p>
    <w:p w:rsidR="002B3A47" w:rsidRDefault="007D3006" w:rsidP="002B3A47">
      <w:pPr>
        <w:keepNext/>
      </w:pPr>
      <w:r>
        <w:rPr>
          <w:noProof/>
          <w:lang w:val="fi-FI" w:eastAsia="fi-FI"/>
        </w:rPr>
        <w:lastRenderedPageBreak/>
        <w:drawing>
          <wp:inline distT="0" distB="0" distL="0" distR="0" wp14:anchorId="62426934" wp14:editId="28CAD233">
            <wp:extent cx="5676181" cy="1948325"/>
            <wp:effectExtent l="0" t="0" r="127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82282" cy="1950419"/>
                    </a:xfrm>
                    <a:prstGeom prst="rect">
                      <a:avLst/>
                    </a:prstGeom>
                    <a:noFill/>
                  </pic:spPr>
                </pic:pic>
              </a:graphicData>
            </a:graphic>
          </wp:inline>
        </w:drawing>
      </w:r>
    </w:p>
    <w:p w:rsidR="002B3A47" w:rsidRDefault="002B3A47" w:rsidP="002B3A47">
      <w:pPr>
        <w:pStyle w:val="Kuvaotsikko"/>
      </w:pPr>
      <w:bookmarkStart w:id="27" w:name="_Toc385492876"/>
      <w:bookmarkStart w:id="28" w:name="_Toc394071853"/>
      <w:r>
        <w:t xml:space="preserve">Figure </w:t>
      </w:r>
      <w:r w:rsidR="00A11F7B">
        <w:fldChar w:fldCharType="begin"/>
      </w:r>
      <w:r w:rsidR="00A11F7B">
        <w:instrText xml:space="preserve"> SEQ Figure \* ARABIC </w:instrText>
      </w:r>
      <w:r w:rsidR="00A11F7B">
        <w:fldChar w:fldCharType="separate"/>
      </w:r>
      <w:r w:rsidR="00CA570A">
        <w:rPr>
          <w:noProof/>
        </w:rPr>
        <w:t>8</w:t>
      </w:r>
      <w:r w:rsidR="00A11F7B">
        <w:rPr>
          <w:noProof/>
        </w:rPr>
        <w:fldChar w:fldCharType="end"/>
      </w:r>
      <w:r>
        <w:t>: At Risk of Poverty Rate, Coastal and Inland Regions</w:t>
      </w:r>
      <w:bookmarkEnd w:id="27"/>
      <w:bookmarkEnd w:id="28"/>
    </w:p>
    <w:p w:rsidR="002B3A47" w:rsidRDefault="0013791B" w:rsidP="002B3A47">
      <w:r>
        <w:t xml:space="preserve">The classification of regions as industrial or non-industrial </w:t>
      </w:r>
      <w:r w:rsidR="007570F4">
        <w:t xml:space="preserve">(Figure 9) </w:t>
      </w:r>
      <w:r>
        <w:t>shows no clear relationship with poverty rates, ten countries having higher rates in each category, and one (Norway), showing no difference. There is no clear geographic pattern associated with the two groups of countries.</w:t>
      </w:r>
      <w:r w:rsidR="002B3A47">
        <w:t xml:space="preserve"> </w:t>
      </w:r>
    </w:p>
    <w:p w:rsidR="002B3A47" w:rsidRDefault="0013791B" w:rsidP="002B3A47">
      <w:pPr>
        <w:keepNext/>
      </w:pPr>
      <w:r>
        <w:rPr>
          <w:noProof/>
          <w:lang w:val="fi-FI" w:eastAsia="fi-FI"/>
        </w:rPr>
        <w:drawing>
          <wp:inline distT="0" distB="0" distL="0" distR="0" wp14:anchorId="07EEADFF" wp14:editId="6A95BD57">
            <wp:extent cx="5508236" cy="188918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23224" cy="1894325"/>
                    </a:xfrm>
                    <a:prstGeom prst="rect">
                      <a:avLst/>
                    </a:prstGeom>
                    <a:noFill/>
                  </pic:spPr>
                </pic:pic>
              </a:graphicData>
            </a:graphic>
          </wp:inline>
        </w:drawing>
      </w:r>
    </w:p>
    <w:p w:rsidR="002B3A47" w:rsidRDefault="002B3A47" w:rsidP="002B3A47">
      <w:pPr>
        <w:pStyle w:val="Kuvaotsikko"/>
      </w:pPr>
      <w:bookmarkStart w:id="29" w:name="_Toc385492877"/>
      <w:bookmarkStart w:id="30" w:name="_Toc394071854"/>
      <w:r>
        <w:t xml:space="preserve">Figure </w:t>
      </w:r>
      <w:r w:rsidR="00A11F7B">
        <w:fldChar w:fldCharType="begin"/>
      </w:r>
      <w:r w:rsidR="00A11F7B">
        <w:instrText xml:space="preserve"> SEQ Figure \* ARABIC </w:instrText>
      </w:r>
      <w:r w:rsidR="00A11F7B">
        <w:fldChar w:fldCharType="separate"/>
      </w:r>
      <w:r w:rsidR="00CA570A">
        <w:rPr>
          <w:noProof/>
        </w:rPr>
        <w:t>9</w:t>
      </w:r>
      <w:r w:rsidR="00A11F7B">
        <w:rPr>
          <w:noProof/>
        </w:rPr>
        <w:fldChar w:fldCharType="end"/>
      </w:r>
      <w:r>
        <w:t>: At Risk of Poverty Rate, Industrial and Non-Industrial Regions</w:t>
      </w:r>
      <w:bookmarkEnd w:id="29"/>
      <w:bookmarkEnd w:id="30"/>
    </w:p>
    <w:p w:rsidR="0013791B" w:rsidRDefault="0013791B" w:rsidP="0013791B"/>
    <w:p w:rsidR="00214E9A" w:rsidRDefault="007570F4" w:rsidP="0013791B">
      <w:r>
        <w:t>The main conclusion from the above review of poverty rates by different types of region is that (viewed at NUTS 3 at least)</w:t>
      </w:r>
      <w:r w:rsidR="00214E9A">
        <w:t>,</w:t>
      </w:r>
      <w:r>
        <w:t xml:space="preserve"> outside the European core, poverty is more often associated with rural areas, than with urban or metropolitan ones. There is some weak evidence of higher rates in island,</w:t>
      </w:r>
      <w:r w:rsidR="00214E9A">
        <w:t xml:space="preserve"> mountain and</w:t>
      </w:r>
      <w:r>
        <w:t xml:space="preserve"> border</w:t>
      </w:r>
      <w:r w:rsidR="00214E9A">
        <w:t xml:space="preserve"> regions, and with agrarian rural economies.</w:t>
      </w:r>
    </w:p>
    <w:p w:rsidR="0013791B" w:rsidRDefault="00214E9A" w:rsidP="0013791B">
      <w:r>
        <w:t>However it is important to be cautious in interpreting the graphs above, since NUTS 3 regions are rather larger than most concentrations of poverty. Furthermore the ESPON typologies are based upon physical geographic features, whereas it is reasonable to assume that patterns of poverty are more likely to be determined by socio-economic characteristics. In the next section this assumption will be tested through correlation analysis.</w:t>
      </w:r>
    </w:p>
    <w:p w:rsidR="00FE13D1" w:rsidRDefault="00FE13D1" w:rsidP="008F0D22">
      <w:pPr>
        <w:pStyle w:val="Otsikko1"/>
      </w:pPr>
      <w:r>
        <w:br w:type="column"/>
      </w:r>
      <w:bookmarkStart w:id="31" w:name="_Toc394071825"/>
      <w:r w:rsidR="00133443">
        <w:lastRenderedPageBreak/>
        <w:t xml:space="preserve">Statistical Relationships between the ARoP rates and </w:t>
      </w:r>
      <w:r w:rsidR="00CA744B">
        <w:t>o</w:t>
      </w:r>
      <w:r w:rsidR="00133443">
        <w:t>ther Socio-economic Indicators</w:t>
      </w:r>
      <w:bookmarkEnd w:id="31"/>
    </w:p>
    <w:p w:rsidR="002B3A47" w:rsidRDefault="002B3A47" w:rsidP="002B3A47">
      <w:pPr>
        <w:rPr>
          <w:lang w:eastAsia="en-GB"/>
        </w:rPr>
      </w:pPr>
      <w:r>
        <w:rPr>
          <w:lang w:eastAsia="en-GB"/>
        </w:rPr>
        <w:t xml:space="preserve">The majority of the ESPON typologies relate to geographical features, rather than socio-economic characteristics. The latter </w:t>
      </w:r>
      <w:r w:rsidR="00255596">
        <w:rPr>
          <w:lang w:eastAsia="en-GB"/>
        </w:rPr>
        <w:t>may</w:t>
      </w:r>
      <w:r>
        <w:rPr>
          <w:lang w:eastAsia="en-GB"/>
        </w:rPr>
        <w:t xml:space="preserve"> be explored through correlation analysis with a selection of key indicators from the Eurostat Regio database, </w:t>
      </w:r>
      <w:r w:rsidR="00D96671">
        <w:rPr>
          <w:lang w:eastAsia="en-GB"/>
        </w:rPr>
        <w:t>and from the Population Census variables collected by the TiPSE project as part of the efforts to map aspects of social exclusion (Annex 6 and Annex 8). In choosing indicators the underlying aim is to identify socio-economic characteristics which seem likely to be associated with spatial variations in poverty rates. The selection of indicators will necessarily be constrained by data availability at NUTS 3. It is of course acknowledged that correlation</w:t>
      </w:r>
      <w:r w:rsidR="0056738E">
        <w:rPr>
          <w:lang w:eastAsia="en-GB"/>
        </w:rPr>
        <w:t>s are</w:t>
      </w:r>
      <w:r w:rsidR="00D96671">
        <w:rPr>
          <w:lang w:eastAsia="en-GB"/>
        </w:rPr>
        <w:t xml:space="preserve"> not evidence of causality, </w:t>
      </w:r>
      <w:r w:rsidR="0056738E">
        <w:rPr>
          <w:lang w:eastAsia="en-GB"/>
        </w:rPr>
        <w:t>but they may nevertheless provide valuable pointers to policy approaches and targeting.</w:t>
      </w:r>
    </w:p>
    <w:p w:rsidR="0056738E" w:rsidRDefault="0056738E" w:rsidP="002B3A47">
      <w:pPr>
        <w:rPr>
          <w:lang w:eastAsia="en-GB"/>
        </w:rPr>
      </w:pPr>
      <w:r>
        <w:rPr>
          <w:lang w:eastAsia="en-GB"/>
        </w:rPr>
        <w:t xml:space="preserve">The selected indicators </w:t>
      </w:r>
      <w:r w:rsidR="00C401EE">
        <w:rPr>
          <w:lang w:eastAsia="en-GB"/>
        </w:rPr>
        <w:t>fall</w:t>
      </w:r>
      <w:r>
        <w:rPr>
          <w:lang w:eastAsia="en-GB"/>
        </w:rPr>
        <w:t xml:space="preserve"> into five broad groups, according to assumptions about the way in which they may be associated with regional variations in the incidence of poverty:</w:t>
      </w:r>
    </w:p>
    <w:p w:rsidR="0056738E" w:rsidRDefault="0056738E" w:rsidP="00986069">
      <w:pPr>
        <w:pStyle w:val="Luettelokappale"/>
        <w:numPr>
          <w:ilvl w:val="0"/>
          <w:numId w:val="5"/>
        </w:numPr>
        <w:rPr>
          <w:lang w:eastAsia="en-GB"/>
        </w:rPr>
      </w:pPr>
      <w:r w:rsidRPr="0056738E">
        <w:rPr>
          <w:b/>
          <w:lang w:eastAsia="en-GB"/>
        </w:rPr>
        <w:t>Agglomeration</w:t>
      </w:r>
      <w:r>
        <w:rPr>
          <w:lang w:eastAsia="en-GB"/>
        </w:rPr>
        <w:t xml:space="preserve"> - The first group of indicators represent the assumption that low rates of poverty may be associated with agglomerative advantages. Access to larger centres of economic activity may increase earning potential, while peripherality may increase vulnerability to poverty.</w:t>
      </w:r>
    </w:p>
    <w:p w:rsidR="0056738E" w:rsidRDefault="00C401EE" w:rsidP="00986069">
      <w:pPr>
        <w:pStyle w:val="Luettelokappale"/>
        <w:numPr>
          <w:ilvl w:val="0"/>
          <w:numId w:val="5"/>
        </w:numPr>
        <w:rPr>
          <w:lang w:eastAsia="en-GB"/>
        </w:rPr>
      </w:pPr>
      <w:r w:rsidRPr="00C401EE">
        <w:rPr>
          <w:b/>
          <w:lang w:eastAsia="en-GB"/>
        </w:rPr>
        <w:t>Productivity</w:t>
      </w:r>
      <w:r>
        <w:rPr>
          <w:lang w:eastAsia="en-GB"/>
        </w:rPr>
        <w:t xml:space="preserve"> - </w:t>
      </w:r>
      <w:r w:rsidR="0056738E">
        <w:rPr>
          <w:lang w:eastAsia="en-GB"/>
        </w:rPr>
        <w:t>The second category of indicator is derived from the assumption that higher productivity in a region may be associated with lower poverty rates.</w:t>
      </w:r>
    </w:p>
    <w:p w:rsidR="00C401EE" w:rsidRPr="00C401EE" w:rsidRDefault="00C401EE" w:rsidP="00986069">
      <w:pPr>
        <w:pStyle w:val="Luettelokappale"/>
        <w:numPr>
          <w:ilvl w:val="0"/>
          <w:numId w:val="5"/>
        </w:numPr>
        <w:rPr>
          <w:lang w:eastAsia="en-GB"/>
        </w:rPr>
      </w:pPr>
      <w:r w:rsidRPr="00C401EE">
        <w:rPr>
          <w:b/>
          <w:lang w:eastAsia="en-GB"/>
        </w:rPr>
        <w:t>Labour market</w:t>
      </w:r>
      <w:r>
        <w:rPr>
          <w:lang w:eastAsia="en-GB"/>
        </w:rPr>
        <w:t xml:space="preserve"> – Poverty rates are often associated with labour market characteristics, high levels of inactivity or unemployment are assumed to be lead to a higher incidence of poverty.</w:t>
      </w:r>
    </w:p>
    <w:p w:rsidR="00C401EE" w:rsidRDefault="00C401EE" w:rsidP="00986069">
      <w:pPr>
        <w:pStyle w:val="Luettelokappale"/>
        <w:numPr>
          <w:ilvl w:val="0"/>
          <w:numId w:val="5"/>
        </w:numPr>
        <w:rPr>
          <w:lang w:eastAsia="en-GB"/>
        </w:rPr>
      </w:pPr>
      <w:r>
        <w:rPr>
          <w:b/>
          <w:lang w:eastAsia="en-GB"/>
        </w:rPr>
        <w:t xml:space="preserve">Sectoral structure – </w:t>
      </w:r>
      <w:r w:rsidRPr="00C401EE">
        <w:rPr>
          <w:lang w:eastAsia="en-GB"/>
        </w:rPr>
        <w:t>Poverty can be caused by lags in adjustment of the economy to a changing economic environment or the impact of globalisation</w:t>
      </w:r>
      <w:r>
        <w:rPr>
          <w:lang w:eastAsia="en-GB"/>
        </w:rPr>
        <w:t>. It is reasonable to assume that regions with a high incidence of poverty may have particular structural characteristics.</w:t>
      </w:r>
    </w:p>
    <w:p w:rsidR="00C401EE" w:rsidRDefault="00C401EE" w:rsidP="00986069">
      <w:pPr>
        <w:pStyle w:val="Luettelokappale"/>
        <w:numPr>
          <w:ilvl w:val="0"/>
          <w:numId w:val="5"/>
        </w:numPr>
        <w:rPr>
          <w:lang w:eastAsia="en-GB"/>
        </w:rPr>
      </w:pPr>
      <w:r>
        <w:rPr>
          <w:b/>
          <w:lang w:eastAsia="en-GB"/>
        </w:rPr>
        <w:t>Human capital –</w:t>
      </w:r>
      <w:r>
        <w:rPr>
          <w:lang w:eastAsia="en-GB"/>
        </w:rPr>
        <w:t xml:space="preserve"> In addition to sectoral characteristics, it is conceivable that high rates of poverty may be associated with social characteristics, such as education and skills, age, household/family structures, ethnicity or citizenship.</w:t>
      </w:r>
    </w:p>
    <w:p w:rsidR="00EA7236" w:rsidRDefault="00986069" w:rsidP="00EA7236">
      <w:r>
        <w:rPr>
          <w:lang w:eastAsia="en-GB"/>
        </w:rPr>
        <w:t xml:space="preserve">Table 1 describes the 32 indicators included in the correlation analysis which follows. It shows that the majority are available at NUTS 3 level, but that six </w:t>
      </w:r>
      <w:r w:rsidR="005C00B9">
        <w:rPr>
          <w:lang w:eastAsia="en-GB"/>
        </w:rPr>
        <w:t xml:space="preserve">NUTS 2 </w:t>
      </w:r>
      <w:r>
        <w:rPr>
          <w:lang w:eastAsia="en-GB"/>
        </w:rPr>
        <w:t>indicators (derived from the Labour Force Survey</w:t>
      </w:r>
      <w:r w:rsidR="00ED1E41">
        <w:rPr>
          <w:lang w:eastAsia="en-GB"/>
        </w:rPr>
        <w:t xml:space="preserve"> (LFS)</w:t>
      </w:r>
      <w:r>
        <w:rPr>
          <w:lang w:eastAsia="en-GB"/>
        </w:rPr>
        <w:t xml:space="preserve">, are also included. Most of the indicators relate to the year 2011, though in a few cases recourse has to earlier data has been necessary. For some indicators gaps in the NUTS 3 data availability have been filled with data for NUTS 2, and in a small number of cases NUTS 1 or NUTS 0. As a result data is available for at least 1,100 NUTS 3 for each of the indicators. At best the number of regions rises to almost 1,500. </w:t>
      </w:r>
    </w:p>
    <w:p w:rsidR="00802CFB" w:rsidRDefault="00802CFB" w:rsidP="00EA7236">
      <w:pPr>
        <w:sectPr w:rsidR="00802CFB" w:rsidSect="00133443">
          <w:footerReference w:type="default" r:id="rId31"/>
          <w:pgSz w:w="11907" w:h="16840" w:code="9"/>
          <w:pgMar w:top="1440" w:right="1797" w:bottom="1440" w:left="1797" w:header="709" w:footer="709" w:gutter="0"/>
          <w:pgNumType w:start="1"/>
          <w:cols w:space="708"/>
          <w:docGrid w:linePitch="360"/>
        </w:sectPr>
      </w:pPr>
    </w:p>
    <w:p w:rsidR="00972293" w:rsidRDefault="00972293" w:rsidP="00972293">
      <w:pPr>
        <w:pStyle w:val="Kuvaotsikko"/>
        <w:keepNext/>
      </w:pPr>
      <w:bookmarkStart w:id="32" w:name="_Toc394071838"/>
      <w:r>
        <w:lastRenderedPageBreak/>
        <w:t xml:space="preserve">Table </w:t>
      </w:r>
      <w:r w:rsidR="00A11F7B">
        <w:fldChar w:fldCharType="begin"/>
      </w:r>
      <w:r w:rsidR="00A11F7B">
        <w:instrText xml:space="preserve"> SEQ Table \* ARABIC </w:instrText>
      </w:r>
      <w:r w:rsidR="00A11F7B">
        <w:fldChar w:fldCharType="separate"/>
      </w:r>
      <w:r w:rsidR="00CA570A">
        <w:rPr>
          <w:noProof/>
        </w:rPr>
        <w:t>1</w:t>
      </w:r>
      <w:r w:rsidR="00A11F7B">
        <w:rPr>
          <w:noProof/>
        </w:rPr>
        <w:fldChar w:fldCharType="end"/>
      </w:r>
      <w:r>
        <w:t>: The indicators used in the Correlation Analysis</w:t>
      </w:r>
      <w:bookmarkEnd w:id="32"/>
    </w:p>
    <w:tbl>
      <w:tblPr>
        <w:tblW w:w="0" w:type="auto"/>
        <w:tblInd w:w="93" w:type="dxa"/>
        <w:tblLayout w:type="fixed"/>
        <w:tblLook w:val="04A0" w:firstRow="1" w:lastRow="0" w:firstColumn="1" w:lastColumn="0" w:noHBand="0" w:noVBand="1"/>
      </w:tblPr>
      <w:tblGrid>
        <w:gridCol w:w="1291"/>
        <w:gridCol w:w="1559"/>
        <w:gridCol w:w="5245"/>
        <w:gridCol w:w="3827"/>
        <w:gridCol w:w="851"/>
        <w:gridCol w:w="1276"/>
        <w:gridCol w:w="850"/>
      </w:tblGrid>
      <w:tr w:rsidR="00972293" w:rsidRPr="00972293" w:rsidTr="00972293">
        <w:trPr>
          <w:trHeight w:val="20"/>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2CFB" w:rsidRPr="00972293" w:rsidRDefault="00802CFB" w:rsidP="00972293">
            <w:pPr>
              <w:spacing w:before="0" w:line="240" w:lineRule="auto"/>
              <w:jc w:val="left"/>
              <w:rPr>
                <w:rFonts w:ascii="Calibri" w:hAnsi="Calibri"/>
                <w:b/>
                <w:bCs/>
                <w:color w:val="000000"/>
                <w:sz w:val="20"/>
                <w:lang w:eastAsia="en-GB"/>
              </w:rPr>
            </w:pPr>
            <w:r w:rsidRPr="00972293">
              <w:rPr>
                <w:rFonts w:ascii="Calibri" w:hAnsi="Calibri"/>
                <w:b/>
                <w:bCs/>
                <w:color w:val="000000"/>
                <w:sz w:val="20"/>
                <w:lang w:eastAsia="en-GB"/>
              </w:rPr>
              <w:t>Theme</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802CFB" w:rsidRPr="00972293" w:rsidRDefault="00802CFB" w:rsidP="00972293">
            <w:pPr>
              <w:spacing w:before="0" w:line="240" w:lineRule="auto"/>
              <w:jc w:val="left"/>
              <w:rPr>
                <w:rFonts w:ascii="Calibri" w:hAnsi="Calibri"/>
                <w:b/>
                <w:bCs/>
                <w:color w:val="000000"/>
                <w:sz w:val="20"/>
                <w:lang w:eastAsia="en-GB"/>
              </w:rPr>
            </w:pPr>
            <w:r w:rsidRPr="00972293">
              <w:rPr>
                <w:rFonts w:ascii="Calibri" w:hAnsi="Calibri"/>
                <w:b/>
                <w:bCs/>
                <w:color w:val="000000"/>
                <w:sz w:val="20"/>
                <w:lang w:eastAsia="en-GB"/>
              </w:rPr>
              <w:t>Indicator Name</w:t>
            </w:r>
          </w:p>
        </w:tc>
        <w:tc>
          <w:tcPr>
            <w:tcW w:w="5245" w:type="dxa"/>
            <w:tcBorders>
              <w:top w:val="single" w:sz="4" w:space="0" w:color="auto"/>
              <w:left w:val="nil"/>
              <w:bottom w:val="single" w:sz="4" w:space="0" w:color="auto"/>
              <w:right w:val="single" w:sz="4" w:space="0" w:color="auto"/>
            </w:tcBorders>
            <w:shd w:val="clear" w:color="auto" w:fill="auto"/>
            <w:noWrap/>
            <w:vAlign w:val="center"/>
            <w:hideMark/>
          </w:tcPr>
          <w:p w:rsidR="00802CFB" w:rsidRPr="00972293" w:rsidRDefault="00802CFB" w:rsidP="00972293">
            <w:pPr>
              <w:spacing w:before="0" w:line="240" w:lineRule="auto"/>
              <w:jc w:val="left"/>
              <w:rPr>
                <w:rFonts w:ascii="Calibri" w:hAnsi="Calibri"/>
                <w:b/>
                <w:bCs/>
                <w:color w:val="000000"/>
                <w:sz w:val="20"/>
                <w:lang w:eastAsia="en-GB"/>
              </w:rPr>
            </w:pPr>
            <w:r w:rsidRPr="00972293">
              <w:rPr>
                <w:rFonts w:ascii="Calibri" w:hAnsi="Calibri"/>
                <w:b/>
                <w:bCs/>
                <w:color w:val="000000"/>
                <w:sz w:val="20"/>
                <w:lang w:eastAsia="en-GB"/>
              </w:rPr>
              <w:t>Description</w:t>
            </w:r>
          </w:p>
        </w:tc>
        <w:tc>
          <w:tcPr>
            <w:tcW w:w="3827" w:type="dxa"/>
            <w:tcBorders>
              <w:top w:val="single" w:sz="4" w:space="0" w:color="auto"/>
              <w:left w:val="nil"/>
              <w:bottom w:val="single" w:sz="4" w:space="0" w:color="auto"/>
              <w:right w:val="single" w:sz="4" w:space="0" w:color="auto"/>
            </w:tcBorders>
            <w:shd w:val="clear" w:color="auto" w:fill="auto"/>
            <w:noWrap/>
            <w:vAlign w:val="center"/>
            <w:hideMark/>
          </w:tcPr>
          <w:p w:rsidR="00802CFB" w:rsidRPr="00972293" w:rsidRDefault="00802CFB" w:rsidP="00972293">
            <w:pPr>
              <w:spacing w:before="0" w:line="240" w:lineRule="auto"/>
              <w:jc w:val="left"/>
              <w:rPr>
                <w:rFonts w:ascii="Calibri" w:hAnsi="Calibri"/>
                <w:b/>
                <w:bCs/>
                <w:color w:val="000000"/>
                <w:sz w:val="20"/>
                <w:lang w:eastAsia="en-GB"/>
              </w:rPr>
            </w:pPr>
            <w:r w:rsidRPr="00972293">
              <w:rPr>
                <w:rFonts w:ascii="Calibri" w:hAnsi="Calibri"/>
                <w:b/>
                <w:bCs/>
                <w:color w:val="000000"/>
                <w:sz w:val="20"/>
                <w:lang w:eastAsia="en-GB"/>
              </w:rPr>
              <w:t>Source</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802CFB" w:rsidRPr="00972293" w:rsidRDefault="00802CFB" w:rsidP="00972293">
            <w:pPr>
              <w:spacing w:before="0" w:line="240" w:lineRule="auto"/>
              <w:jc w:val="left"/>
              <w:rPr>
                <w:rFonts w:ascii="Calibri" w:hAnsi="Calibri"/>
                <w:b/>
                <w:bCs/>
                <w:color w:val="000000"/>
                <w:sz w:val="20"/>
                <w:lang w:eastAsia="en-GB"/>
              </w:rPr>
            </w:pPr>
            <w:r w:rsidRPr="00972293">
              <w:rPr>
                <w:rFonts w:ascii="Calibri" w:hAnsi="Calibri"/>
                <w:b/>
                <w:bCs/>
                <w:color w:val="000000"/>
                <w:sz w:val="20"/>
                <w:lang w:eastAsia="en-GB"/>
              </w:rPr>
              <w:t>Year</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802CFB" w:rsidRPr="00972293" w:rsidRDefault="00802CFB" w:rsidP="00972293">
            <w:pPr>
              <w:spacing w:before="0" w:line="240" w:lineRule="auto"/>
              <w:jc w:val="left"/>
              <w:rPr>
                <w:rFonts w:ascii="Calibri" w:hAnsi="Calibri"/>
                <w:b/>
                <w:bCs/>
                <w:color w:val="000000"/>
                <w:sz w:val="20"/>
                <w:lang w:eastAsia="en-GB"/>
              </w:rPr>
            </w:pPr>
            <w:r w:rsidRPr="00972293">
              <w:rPr>
                <w:rFonts w:ascii="Calibri" w:hAnsi="Calibri"/>
                <w:b/>
                <w:bCs/>
                <w:color w:val="000000"/>
                <w:sz w:val="20"/>
                <w:lang w:eastAsia="en-GB"/>
              </w:rPr>
              <w:t>NUTS Level</w:t>
            </w:r>
          </w:p>
        </w:tc>
        <w:tc>
          <w:tcPr>
            <w:tcW w:w="850" w:type="dxa"/>
            <w:tcBorders>
              <w:top w:val="single" w:sz="4" w:space="0" w:color="auto"/>
              <w:left w:val="nil"/>
              <w:bottom w:val="single" w:sz="4" w:space="0" w:color="auto"/>
              <w:right w:val="single" w:sz="4" w:space="0" w:color="auto"/>
            </w:tcBorders>
            <w:shd w:val="clear" w:color="auto" w:fill="auto"/>
            <w:noWrap/>
            <w:vAlign w:val="bottom"/>
            <w:hideMark/>
          </w:tcPr>
          <w:p w:rsidR="00802CFB" w:rsidRPr="00972293" w:rsidRDefault="00802CFB" w:rsidP="00802CFB">
            <w:pPr>
              <w:spacing w:before="0" w:line="240" w:lineRule="auto"/>
              <w:jc w:val="center"/>
              <w:rPr>
                <w:rFonts w:ascii="Calibri" w:hAnsi="Calibri"/>
                <w:b/>
                <w:bCs/>
                <w:color w:val="000000"/>
                <w:sz w:val="20"/>
                <w:lang w:eastAsia="en-GB"/>
              </w:rPr>
            </w:pPr>
            <w:r w:rsidRPr="00972293">
              <w:rPr>
                <w:rFonts w:ascii="Calibri" w:hAnsi="Calibri"/>
                <w:b/>
                <w:bCs/>
                <w:color w:val="000000"/>
                <w:sz w:val="20"/>
                <w:lang w:eastAsia="en-GB"/>
              </w:rPr>
              <w:t>n</w:t>
            </w:r>
          </w:p>
        </w:tc>
      </w:tr>
      <w:tr w:rsidR="00972293" w:rsidRPr="00972293" w:rsidTr="00972293">
        <w:trPr>
          <w:trHeight w:val="20"/>
        </w:trPr>
        <w:tc>
          <w:tcPr>
            <w:tcW w:w="1291" w:type="dxa"/>
            <w:vMerge w:val="restart"/>
            <w:tcBorders>
              <w:top w:val="nil"/>
              <w:left w:val="single" w:sz="4" w:space="0" w:color="auto"/>
              <w:bottom w:val="single" w:sz="4" w:space="0" w:color="000000"/>
              <w:right w:val="single" w:sz="4" w:space="0" w:color="auto"/>
            </w:tcBorders>
            <w:shd w:val="clear" w:color="auto" w:fill="auto"/>
            <w:vAlign w:val="center"/>
            <w:hideMark/>
          </w:tcPr>
          <w:p w:rsidR="00802CFB" w:rsidRPr="00972293" w:rsidRDefault="00972293" w:rsidP="00972293">
            <w:pPr>
              <w:spacing w:before="0" w:line="240" w:lineRule="auto"/>
              <w:jc w:val="left"/>
              <w:rPr>
                <w:rFonts w:ascii="Calibri" w:hAnsi="Calibri"/>
                <w:b/>
                <w:bCs/>
                <w:color w:val="000000"/>
                <w:sz w:val="20"/>
                <w:lang w:eastAsia="en-GB"/>
              </w:rPr>
            </w:pPr>
            <w:r w:rsidRPr="00972293">
              <w:rPr>
                <w:rFonts w:ascii="Calibri" w:hAnsi="Calibri"/>
                <w:b/>
                <w:bCs/>
                <w:color w:val="000000"/>
                <w:sz w:val="20"/>
                <w:lang w:eastAsia="en-GB"/>
              </w:rPr>
              <w:t>Agglom</w:t>
            </w:r>
            <w:r w:rsidR="00802CFB" w:rsidRPr="00972293">
              <w:rPr>
                <w:rFonts w:ascii="Calibri" w:hAnsi="Calibri"/>
                <w:b/>
                <w:bCs/>
                <w:color w:val="000000"/>
                <w:sz w:val="20"/>
                <w:lang w:eastAsia="en-GB"/>
              </w:rPr>
              <w:t>eration</w:t>
            </w:r>
          </w:p>
        </w:tc>
        <w:tc>
          <w:tcPr>
            <w:tcW w:w="1559"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bCs/>
                <w:color w:val="000000"/>
                <w:sz w:val="20"/>
                <w:lang w:eastAsia="en-GB"/>
              </w:rPr>
            </w:pPr>
            <w:r w:rsidRPr="00972293">
              <w:rPr>
                <w:rFonts w:ascii="Calibri" w:hAnsi="Calibri"/>
                <w:bCs/>
                <w:color w:val="000000"/>
                <w:sz w:val="20"/>
                <w:lang w:eastAsia="en-GB"/>
              </w:rPr>
              <w:t>Density</w:t>
            </w:r>
          </w:p>
        </w:tc>
        <w:tc>
          <w:tcPr>
            <w:tcW w:w="5245"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Population Density</w:t>
            </w:r>
          </w:p>
        </w:tc>
        <w:tc>
          <w:tcPr>
            <w:tcW w:w="3827"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Eurostat database table demo_r_d3dens</w:t>
            </w:r>
          </w:p>
        </w:tc>
        <w:tc>
          <w:tcPr>
            <w:tcW w:w="851"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2011</w:t>
            </w:r>
          </w:p>
        </w:tc>
        <w:tc>
          <w:tcPr>
            <w:tcW w:w="1276"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3</w:t>
            </w:r>
          </w:p>
        </w:tc>
        <w:tc>
          <w:tcPr>
            <w:tcW w:w="850"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 xml:space="preserve">1,422 </w:t>
            </w:r>
          </w:p>
        </w:tc>
      </w:tr>
      <w:tr w:rsidR="00972293" w:rsidRPr="00972293" w:rsidTr="00972293">
        <w:trPr>
          <w:trHeight w:val="20"/>
        </w:trPr>
        <w:tc>
          <w:tcPr>
            <w:tcW w:w="1291" w:type="dxa"/>
            <w:vMerge/>
            <w:tcBorders>
              <w:top w:val="nil"/>
              <w:left w:val="single" w:sz="4" w:space="0" w:color="auto"/>
              <w:bottom w:val="single" w:sz="4" w:space="0" w:color="000000"/>
              <w:right w:val="single" w:sz="4" w:space="0" w:color="auto"/>
            </w:tcBorders>
            <w:vAlign w:val="center"/>
            <w:hideMark/>
          </w:tcPr>
          <w:p w:rsidR="00802CFB" w:rsidRPr="00972293" w:rsidRDefault="00802CFB" w:rsidP="00972293">
            <w:pPr>
              <w:spacing w:before="0" w:line="240" w:lineRule="auto"/>
              <w:jc w:val="left"/>
              <w:rPr>
                <w:rFonts w:ascii="Calibri" w:hAnsi="Calibri"/>
                <w:b/>
                <w:bCs/>
                <w:color w:val="000000"/>
                <w:sz w:val="20"/>
                <w:lang w:eastAsia="en-GB"/>
              </w:rPr>
            </w:pPr>
          </w:p>
        </w:tc>
        <w:tc>
          <w:tcPr>
            <w:tcW w:w="1559"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bCs/>
                <w:color w:val="000000"/>
                <w:sz w:val="20"/>
                <w:lang w:eastAsia="en-GB"/>
              </w:rPr>
            </w:pPr>
            <w:r w:rsidRPr="00972293">
              <w:rPr>
                <w:rFonts w:ascii="Calibri" w:hAnsi="Calibri"/>
                <w:bCs/>
                <w:color w:val="000000"/>
                <w:sz w:val="20"/>
                <w:lang w:eastAsia="en-GB"/>
              </w:rPr>
              <w:t>Access MM</w:t>
            </w:r>
          </w:p>
        </w:tc>
        <w:tc>
          <w:tcPr>
            <w:tcW w:w="5245"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Multimodal accessibility Index</w:t>
            </w:r>
          </w:p>
        </w:tc>
        <w:tc>
          <w:tcPr>
            <w:tcW w:w="3827"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ESPON Territorial Observation No. 2</w:t>
            </w:r>
          </w:p>
        </w:tc>
        <w:tc>
          <w:tcPr>
            <w:tcW w:w="851"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2009</w:t>
            </w:r>
          </w:p>
        </w:tc>
        <w:tc>
          <w:tcPr>
            <w:tcW w:w="1276"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3</w:t>
            </w:r>
          </w:p>
        </w:tc>
        <w:tc>
          <w:tcPr>
            <w:tcW w:w="850"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 xml:space="preserve">1,331 </w:t>
            </w:r>
          </w:p>
        </w:tc>
      </w:tr>
      <w:tr w:rsidR="00972293" w:rsidRPr="00972293" w:rsidTr="00972293">
        <w:trPr>
          <w:trHeight w:val="20"/>
        </w:trPr>
        <w:tc>
          <w:tcPr>
            <w:tcW w:w="1291" w:type="dxa"/>
            <w:vMerge/>
            <w:tcBorders>
              <w:top w:val="nil"/>
              <w:left w:val="single" w:sz="4" w:space="0" w:color="auto"/>
              <w:bottom w:val="single" w:sz="4" w:space="0" w:color="000000"/>
              <w:right w:val="single" w:sz="4" w:space="0" w:color="auto"/>
            </w:tcBorders>
            <w:vAlign w:val="center"/>
            <w:hideMark/>
          </w:tcPr>
          <w:p w:rsidR="00802CFB" w:rsidRPr="00972293" w:rsidRDefault="00802CFB" w:rsidP="00972293">
            <w:pPr>
              <w:spacing w:before="0" w:line="240" w:lineRule="auto"/>
              <w:jc w:val="left"/>
              <w:rPr>
                <w:rFonts w:ascii="Calibri" w:hAnsi="Calibri"/>
                <w:b/>
                <w:bCs/>
                <w:color w:val="000000"/>
                <w:sz w:val="20"/>
                <w:lang w:eastAsia="en-GB"/>
              </w:rPr>
            </w:pPr>
          </w:p>
        </w:tc>
        <w:tc>
          <w:tcPr>
            <w:tcW w:w="1559" w:type="dxa"/>
            <w:tcBorders>
              <w:top w:val="nil"/>
              <w:left w:val="nil"/>
              <w:bottom w:val="single" w:sz="4" w:space="0" w:color="auto"/>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bCs/>
                <w:color w:val="000000"/>
                <w:sz w:val="20"/>
                <w:lang w:eastAsia="en-GB"/>
              </w:rPr>
            </w:pPr>
            <w:r w:rsidRPr="00972293">
              <w:rPr>
                <w:rFonts w:ascii="Calibri" w:hAnsi="Calibri"/>
                <w:bCs/>
                <w:color w:val="000000"/>
                <w:sz w:val="20"/>
                <w:lang w:eastAsia="en-GB"/>
              </w:rPr>
              <w:t>Access RD</w:t>
            </w:r>
          </w:p>
        </w:tc>
        <w:tc>
          <w:tcPr>
            <w:tcW w:w="5245"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Road accessibility index</w:t>
            </w:r>
          </w:p>
        </w:tc>
        <w:tc>
          <w:tcPr>
            <w:tcW w:w="3827"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ESPON Territorial Observation No. 2</w:t>
            </w:r>
          </w:p>
        </w:tc>
        <w:tc>
          <w:tcPr>
            <w:tcW w:w="851"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2009</w:t>
            </w:r>
          </w:p>
        </w:tc>
        <w:tc>
          <w:tcPr>
            <w:tcW w:w="1276"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3</w:t>
            </w:r>
          </w:p>
        </w:tc>
        <w:tc>
          <w:tcPr>
            <w:tcW w:w="850"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 xml:space="preserve">1,123 </w:t>
            </w:r>
          </w:p>
        </w:tc>
      </w:tr>
      <w:tr w:rsidR="00972293" w:rsidRPr="00972293" w:rsidTr="00972293">
        <w:trPr>
          <w:trHeight w:val="20"/>
        </w:trPr>
        <w:tc>
          <w:tcPr>
            <w:tcW w:w="1291" w:type="dxa"/>
            <w:tcBorders>
              <w:top w:val="nil"/>
              <w:left w:val="single" w:sz="4" w:space="0" w:color="auto"/>
              <w:bottom w:val="single" w:sz="4" w:space="0" w:color="auto"/>
              <w:right w:val="single" w:sz="4" w:space="0" w:color="auto"/>
            </w:tcBorders>
            <w:shd w:val="clear" w:color="auto" w:fill="auto"/>
            <w:noWrap/>
            <w:vAlign w:val="center"/>
            <w:hideMark/>
          </w:tcPr>
          <w:p w:rsidR="00802CFB" w:rsidRPr="00972293" w:rsidRDefault="00802CFB" w:rsidP="00972293">
            <w:pPr>
              <w:spacing w:before="0" w:line="240" w:lineRule="auto"/>
              <w:jc w:val="left"/>
              <w:rPr>
                <w:rFonts w:ascii="Calibri" w:hAnsi="Calibri"/>
                <w:b/>
                <w:bCs/>
                <w:color w:val="000000"/>
                <w:sz w:val="20"/>
                <w:lang w:eastAsia="en-GB"/>
              </w:rPr>
            </w:pPr>
            <w:r w:rsidRPr="00972293">
              <w:rPr>
                <w:rFonts w:ascii="Calibri" w:hAnsi="Calibri"/>
                <w:b/>
                <w:bCs/>
                <w:color w:val="000000"/>
                <w:sz w:val="20"/>
                <w:lang w:eastAsia="en-GB"/>
              </w:rPr>
              <w:t>Productivity</w:t>
            </w:r>
          </w:p>
        </w:tc>
        <w:tc>
          <w:tcPr>
            <w:tcW w:w="1559" w:type="dxa"/>
            <w:tcBorders>
              <w:top w:val="nil"/>
              <w:left w:val="nil"/>
              <w:bottom w:val="single" w:sz="4" w:space="0" w:color="auto"/>
              <w:right w:val="single" w:sz="4" w:space="0" w:color="auto"/>
            </w:tcBorders>
            <w:shd w:val="clear" w:color="auto" w:fill="auto"/>
            <w:noWrap/>
            <w:hideMark/>
          </w:tcPr>
          <w:p w:rsidR="00802CFB" w:rsidRPr="00972293" w:rsidRDefault="00802CFB" w:rsidP="008872DB">
            <w:pPr>
              <w:spacing w:before="0" w:line="240" w:lineRule="auto"/>
              <w:jc w:val="left"/>
              <w:rPr>
                <w:rFonts w:ascii="Calibri" w:hAnsi="Calibri"/>
                <w:bCs/>
                <w:color w:val="000000"/>
                <w:sz w:val="20"/>
                <w:lang w:eastAsia="en-GB"/>
              </w:rPr>
            </w:pPr>
            <w:r w:rsidRPr="00972293">
              <w:rPr>
                <w:rFonts w:ascii="Calibri" w:hAnsi="Calibri"/>
                <w:bCs/>
                <w:color w:val="000000"/>
                <w:sz w:val="20"/>
                <w:lang w:eastAsia="en-GB"/>
              </w:rPr>
              <w:t>GDP</w:t>
            </w:r>
            <w:r w:rsidR="008872DB">
              <w:rPr>
                <w:rFonts w:ascii="Calibri" w:hAnsi="Calibri"/>
                <w:bCs/>
                <w:color w:val="000000"/>
                <w:sz w:val="20"/>
                <w:lang w:eastAsia="en-GB"/>
              </w:rPr>
              <w:t xml:space="preserve"> </w:t>
            </w:r>
            <w:r w:rsidRPr="00972293">
              <w:rPr>
                <w:rFonts w:ascii="Calibri" w:hAnsi="Calibri"/>
                <w:bCs/>
                <w:color w:val="000000"/>
                <w:sz w:val="20"/>
                <w:lang w:eastAsia="en-GB"/>
              </w:rPr>
              <w:t>PPS</w:t>
            </w:r>
            <w:r w:rsidR="008872DB">
              <w:rPr>
                <w:rFonts w:ascii="Calibri" w:hAnsi="Calibri"/>
                <w:bCs/>
                <w:color w:val="000000"/>
                <w:sz w:val="20"/>
                <w:lang w:eastAsia="en-GB"/>
              </w:rPr>
              <w:t xml:space="preserve"> </w:t>
            </w:r>
            <w:r w:rsidRPr="00972293">
              <w:rPr>
                <w:rFonts w:ascii="Calibri" w:hAnsi="Calibri"/>
                <w:bCs/>
                <w:color w:val="000000"/>
                <w:sz w:val="20"/>
                <w:lang w:eastAsia="en-GB"/>
              </w:rPr>
              <w:t>HAB</w:t>
            </w:r>
          </w:p>
        </w:tc>
        <w:tc>
          <w:tcPr>
            <w:tcW w:w="5245" w:type="dxa"/>
            <w:tcBorders>
              <w:top w:val="single" w:sz="4" w:space="0" w:color="auto"/>
              <w:left w:val="nil"/>
              <w:bottom w:val="single" w:sz="4" w:space="0" w:color="auto"/>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GDP per capita</w:t>
            </w:r>
          </w:p>
        </w:tc>
        <w:tc>
          <w:tcPr>
            <w:tcW w:w="3827" w:type="dxa"/>
            <w:tcBorders>
              <w:top w:val="single" w:sz="4" w:space="0" w:color="auto"/>
              <w:left w:val="nil"/>
              <w:bottom w:val="single" w:sz="4" w:space="0" w:color="auto"/>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Eurostat database table nama_r_e3gdp</w:t>
            </w:r>
          </w:p>
        </w:tc>
        <w:tc>
          <w:tcPr>
            <w:tcW w:w="851" w:type="dxa"/>
            <w:tcBorders>
              <w:top w:val="single" w:sz="4" w:space="0" w:color="auto"/>
              <w:left w:val="nil"/>
              <w:bottom w:val="single" w:sz="4" w:space="0" w:color="auto"/>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2011</w:t>
            </w:r>
          </w:p>
        </w:tc>
        <w:tc>
          <w:tcPr>
            <w:tcW w:w="1276" w:type="dxa"/>
            <w:tcBorders>
              <w:top w:val="single" w:sz="4" w:space="0" w:color="auto"/>
              <w:left w:val="nil"/>
              <w:bottom w:val="single" w:sz="4" w:space="0" w:color="auto"/>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3</w:t>
            </w:r>
          </w:p>
        </w:tc>
        <w:tc>
          <w:tcPr>
            <w:tcW w:w="850" w:type="dxa"/>
            <w:tcBorders>
              <w:top w:val="single" w:sz="4" w:space="0" w:color="auto"/>
              <w:left w:val="nil"/>
              <w:bottom w:val="single" w:sz="4" w:space="0" w:color="auto"/>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 xml:space="preserve">1,436 </w:t>
            </w:r>
          </w:p>
        </w:tc>
      </w:tr>
      <w:tr w:rsidR="00972293" w:rsidRPr="00972293" w:rsidTr="00972293">
        <w:trPr>
          <w:trHeight w:val="20"/>
        </w:trPr>
        <w:tc>
          <w:tcPr>
            <w:tcW w:w="1291" w:type="dxa"/>
            <w:vMerge w:val="restart"/>
            <w:tcBorders>
              <w:top w:val="nil"/>
              <w:left w:val="single" w:sz="4" w:space="0" w:color="auto"/>
              <w:bottom w:val="single" w:sz="4" w:space="0" w:color="000000"/>
              <w:right w:val="single" w:sz="4" w:space="0" w:color="auto"/>
            </w:tcBorders>
            <w:shd w:val="clear" w:color="auto" w:fill="auto"/>
            <w:vAlign w:val="center"/>
            <w:hideMark/>
          </w:tcPr>
          <w:p w:rsidR="00802CFB" w:rsidRPr="00972293" w:rsidRDefault="00802CFB" w:rsidP="00972293">
            <w:pPr>
              <w:spacing w:before="0" w:line="240" w:lineRule="auto"/>
              <w:jc w:val="left"/>
              <w:rPr>
                <w:rFonts w:ascii="Calibri" w:hAnsi="Calibri"/>
                <w:b/>
                <w:bCs/>
                <w:color w:val="000000"/>
                <w:sz w:val="20"/>
                <w:lang w:eastAsia="en-GB"/>
              </w:rPr>
            </w:pPr>
            <w:r w:rsidRPr="00972293">
              <w:rPr>
                <w:rFonts w:ascii="Calibri" w:hAnsi="Calibri"/>
                <w:b/>
                <w:bCs/>
                <w:color w:val="000000"/>
                <w:sz w:val="20"/>
                <w:lang w:eastAsia="en-GB"/>
              </w:rPr>
              <w:t>Labour</w:t>
            </w:r>
            <w:r w:rsidR="008872DB">
              <w:rPr>
                <w:rFonts w:ascii="Calibri" w:hAnsi="Calibri"/>
                <w:b/>
                <w:bCs/>
                <w:color w:val="000000"/>
                <w:sz w:val="20"/>
                <w:lang w:eastAsia="en-GB"/>
              </w:rPr>
              <w:t xml:space="preserve"> </w:t>
            </w:r>
            <w:r w:rsidRPr="00972293">
              <w:rPr>
                <w:rFonts w:ascii="Calibri" w:hAnsi="Calibri"/>
                <w:b/>
                <w:bCs/>
                <w:color w:val="000000"/>
                <w:sz w:val="20"/>
                <w:lang w:eastAsia="en-GB"/>
              </w:rPr>
              <w:t xml:space="preserve"> Market</w:t>
            </w:r>
          </w:p>
        </w:tc>
        <w:tc>
          <w:tcPr>
            <w:tcW w:w="1559"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bCs/>
                <w:color w:val="000000"/>
                <w:sz w:val="20"/>
                <w:lang w:eastAsia="en-GB"/>
              </w:rPr>
            </w:pPr>
            <w:r w:rsidRPr="00972293">
              <w:rPr>
                <w:rFonts w:ascii="Calibri" w:hAnsi="Calibri"/>
                <w:bCs/>
                <w:color w:val="000000"/>
                <w:sz w:val="20"/>
                <w:lang w:eastAsia="en-GB"/>
              </w:rPr>
              <w:t>Unemp(Reg)</w:t>
            </w:r>
          </w:p>
        </w:tc>
        <w:tc>
          <w:tcPr>
            <w:tcW w:w="5245"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Unemployment rate</w:t>
            </w:r>
          </w:p>
        </w:tc>
        <w:tc>
          <w:tcPr>
            <w:tcW w:w="3827"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Eurostat database table lfst_r_lfu3rt</w:t>
            </w:r>
          </w:p>
        </w:tc>
        <w:tc>
          <w:tcPr>
            <w:tcW w:w="851"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2009</w:t>
            </w:r>
          </w:p>
        </w:tc>
        <w:tc>
          <w:tcPr>
            <w:tcW w:w="1276"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3/2</w:t>
            </w:r>
          </w:p>
        </w:tc>
        <w:tc>
          <w:tcPr>
            <w:tcW w:w="850"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 xml:space="preserve">1,430 </w:t>
            </w:r>
          </w:p>
        </w:tc>
      </w:tr>
      <w:tr w:rsidR="00972293" w:rsidRPr="00972293" w:rsidTr="00972293">
        <w:trPr>
          <w:trHeight w:val="20"/>
        </w:trPr>
        <w:tc>
          <w:tcPr>
            <w:tcW w:w="1291" w:type="dxa"/>
            <w:vMerge/>
            <w:tcBorders>
              <w:top w:val="nil"/>
              <w:left w:val="single" w:sz="4" w:space="0" w:color="auto"/>
              <w:bottom w:val="single" w:sz="4" w:space="0" w:color="000000"/>
              <w:right w:val="single" w:sz="4" w:space="0" w:color="auto"/>
            </w:tcBorders>
            <w:vAlign w:val="center"/>
            <w:hideMark/>
          </w:tcPr>
          <w:p w:rsidR="00802CFB" w:rsidRPr="00972293" w:rsidRDefault="00802CFB" w:rsidP="00972293">
            <w:pPr>
              <w:spacing w:before="0" w:line="240" w:lineRule="auto"/>
              <w:jc w:val="left"/>
              <w:rPr>
                <w:rFonts w:ascii="Calibri" w:hAnsi="Calibri"/>
                <w:b/>
                <w:bCs/>
                <w:color w:val="000000"/>
                <w:sz w:val="20"/>
                <w:lang w:eastAsia="en-GB"/>
              </w:rPr>
            </w:pPr>
          </w:p>
        </w:tc>
        <w:tc>
          <w:tcPr>
            <w:tcW w:w="1559"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bCs/>
                <w:color w:val="000000"/>
                <w:sz w:val="20"/>
                <w:lang w:eastAsia="en-GB"/>
              </w:rPr>
            </w:pPr>
            <w:r w:rsidRPr="00972293">
              <w:rPr>
                <w:rFonts w:ascii="Calibri" w:hAnsi="Calibri"/>
                <w:bCs/>
                <w:color w:val="000000"/>
                <w:sz w:val="20"/>
                <w:lang w:eastAsia="en-GB"/>
              </w:rPr>
              <w:t>Unemp(Cen)</w:t>
            </w:r>
          </w:p>
        </w:tc>
        <w:tc>
          <w:tcPr>
            <w:tcW w:w="5245"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Unemployment rate</w:t>
            </w:r>
          </w:p>
        </w:tc>
        <w:tc>
          <w:tcPr>
            <w:tcW w:w="3827"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2011 Census (TiPSE database)</w:t>
            </w:r>
          </w:p>
        </w:tc>
        <w:tc>
          <w:tcPr>
            <w:tcW w:w="851"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2011</w:t>
            </w:r>
          </w:p>
        </w:tc>
        <w:tc>
          <w:tcPr>
            <w:tcW w:w="1276"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3</w:t>
            </w:r>
          </w:p>
        </w:tc>
        <w:tc>
          <w:tcPr>
            <w:tcW w:w="850"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 xml:space="preserve">1,355 </w:t>
            </w:r>
          </w:p>
        </w:tc>
      </w:tr>
      <w:tr w:rsidR="00972293" w:rsidRPr="00972293" w:rsidTr="00972293">
        <w:trPr>
          <w:trHeight w:val="20"/>
        </w:trPr>
        <w:tc>
          <w:tcPr>
            <w:tcW w:w="1291" w:type="dxa"/>
            <w:vMerge/>
            <w:tcBorders>
              <w:top w:val="nil"/>
              <w:left w:val="single" w:sz="4" w:space="0" w:color="auto"/>
              <w:bottom w:val="single" w:sz="4" w:space="0" w:color="000000"/>
              <w:right w:val="single" w:sz="4" w:space="0" w:color="auto"/>
            </w:tcBorders>
            <w:vAlign w:val="center"/>
            <w:hideMark/>
          </w:tcPr>
          <w:p w:rsidR="00802CFB" w:rsidRPr="00972293" w:rsidRDefault="00802CFB" w:rsidP="00972293">
            <w:pPr>
              <w:spacing w:before="0" w:line="240" w:lineRule="auto"/>
              <w:jc w:val="left"/>
              <w:rPr>
                <w:rFonts w:ascii="Calibri" w:hAnsi="Calibri"/>
                <w:b/>
                <w:bCs/>
                <w:color w:val="000000"/>
                <w:sz w:val="20"/>
                <w:lang w:eastAsia="en-GB"/>
              </w:rPr>
            </w:pPr>
          </w:p>
        </w:tc>
        <w:tc>
          <w:tcPr>
            <w:tcW w:w="1559"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bCs/>
                <w:color w:val="000000"/>
                <w:sz w:val="20"/>
                <w:lang w:eastAsia="en-GB"/>
              </w:rPr>
            </w:pPr>
            <w:r w:rsidRPr="00972293">
              <w:rPr>
                <w:rFonts w:ascii="Calibri" w:hAnsi="Calibri"/>
                <w:bCs/>
                <w:color w:val="000000"/>
                <w:sz w:val="20"/>
                <w:lang w:eastAsia="en-GB"/>
              </w:rPr>
              <w:t>Yunemp(Reg)</w:t>
            </w:r>
          </w:p>
        </w:tc>
        <w:tc>
          <w:tcPr>
            <w:tcW w:w="5245"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Youth unemployment rate</w:t>
            </w:r>
          </w:p>
        </w:tc>
        <w:tc>
          <w:tcPr>
            <w:tcW w:w="3827"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Eurostat database table lfst_r_lfu3rt</w:t>
            </w:r>
          </w:p>
        </w:tc>
        <w:tc>
          <w:tcPr>
            <w:tcW w:w="851"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2009</w:t>
            </w:r>
          </w:p>
        </w:tc>
        <w:tc>
          <w:tcPr>
            <w:tcW w:w="1276"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3/2</w:t>
            </w:r>
          </w:p>
        </w:tc>
        <w:tc>
          <w:tcPr>
            <w:tcW w:w="850"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 xml:space="preserve">1,433 </w:t>
            </w:r>
          </w:p>
        </w:tc>
      </w:tr>
      <w:tr w:rsidR="00972293" w:rsidRPr="00972293" w:rsidTr="00972293">
        <w:trPr>
          <w:trHeight w:val="20"/>
        </w:trPr>
        <w:tc>
          <w:tcPr>
            <w:tcW w:w="1291" w:type="dxa"/>
            <w:vMerge/>
            <w:tcBorders>
              <w:top w:val="nil"/>
              <w:left w:val="single" w:sz="4" w:space="0" w:color="auto"/>
              <w:bottom w:val="single" w:sz="4" w:space="0" w:color="000000"/>
              <w:right w:val="single" w:sz="4" w:space="0" w:color="auto"/>
            </w:tcBorders>
            <w:vAlign w:val="center"/>
            <w:hideMark/>
          </w:tcPr>
          <w:p w:rsidR="00802CFB" w:rsidRPr="00972293" w:rsidRDefault="00802CFB" w:rsidP="00972293">
            <w:pPr>
              <w:spacing w:before="0" w:line="240" w:lineRule="auto"/>
              <w:jc w:val="left"/>
              <w:rPr>
                <w:rFonts w:ascii="Calibri" w:hAnsi="Calibri"/>
                <w:b/>
                <w:bCs/>
                <w:color w:val="000000"/>
                <w:sz w:val="20"/>
                <w:lang w:eastAsia="en-GB"/>
              </w:rPr>
            </w:pPr>
          </w:p>
        </w:tc>
        <w:tc>
          <w:tcPr>
            <w:tcW w:w="1559"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bCs/>
                <w:color w:val="000000"/>
                <w:sz w:val="20"/>
                <w:lang w:eastAsia="en-GB"/>
              </w:rPr>
            </w:pPr>
            <w:r w:rsidRPr="00972293">
              <w:rPr>
                <w:rFonts w:ascii="Calibri" w:hAnsi="Calibri"/>
                <w:bCs/>
                <w:color w:val="000000"/>
                <w:sz w:val="20"/>
                <w:lang w:eastAsia="en-GB"/>
              </w:rPr>
              <w:t>Yunemp(Cen)</w:t>
            </w:r>
          </w:p>
        </w:tc>
        <w:tc>
          <w:tcPr>
            <w:tcW w:w="5245"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Youth unemployment rate</w:t>
            </w:r>
          </w:p>
        </w:tc>
        <w:tc>
          <w:tcPr>
            <w:tcW w:w="3827"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2011 Census (TiPSE database)</w:t>
            </w:r>
          </w:p>
        </w:tc>
        <w:tc>
          <w:tcPr>
            <w:tcW w:w="851"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2011</w:t>
            </w:r>
          </w:p>
        </w:tc>
        <w:tc>
          <w:tcPr>
            <w:tcW w:w="1276"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3</w:t>
            </w:r>
          </w:p>
        </w:tc>
        <w:tc>
          <w:tcPr>
            <w:tcW w:w="850"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 xml:space="preserve">1,355 </w:t>
            </w:r>
          </w:p>
        </w:tc>
      </w:tr>
      <w:tr w:rsidR="00972293" w:rsidRPr="00972293" w:rsidTr="00972293">
        <w:trPr>
          <w:trHeight w:val="20"/>
        </w:trPr>
        <w:tc>
          <w:tcPr>
            <w:tcW w:w="1291" w:type="dxa"/>
            <w:vMerge/>
            <w:tcBorders>
              <w:top w:val="nil"/>
              <w:left w:val="single" w:sz="4" w:space="0" w:color="auto"/>
              <w:bottom w:val="single" w:sz="4" w:space="0" w:color="000000"/>
              <w:right w:val="single" w:sz="4" w:space="0" w:color="auto"/>
            </w:tcBorders>
            <w:vAlign w:val="center"/>
            <w:hideMark/>
          </w:tcPr>
          <w:p w:rsidR="00802CFB" w:rsidRPr="00972293" w:rsidRDefault="00802CFB" w:rsidP="00972293">
            <w:pPr>
              <w:spacing w:before="0" w:line="240" w:lineRule="auto"/>
              <w:jc w:val="left"/>
              <w:rPr>
                <w:rFonts w:ascii="Calibri" w:hAnsi="Calibri"/>
                <w:b/>
                <w:bCs/>
                <w:color w:val="000000"/>
                <w:sz w:val="20"/>
                <w:lang w:eastAsia="en-GB"/>
              </w:rPr>
            </w:pPr>
          </w:p>
        </w:tc>
        <w:tc>
          <w:tcPr>
            <w:tcW w:w="1559"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bCs/>
                <w:color w:val="000000"/>
                <w:sz w:val="20"/>
                <w:lang w:eastAsia="en-GB"/>
              </w:rPr>
            </w:pPr>
            <w:r w:rsidRPr="00972293">
              <w:rPr>
                <w:rFonts w:ascii="Calibri" w:hAnsi="Calibri"/>
                <w:bCs/>
                <w:color w:val="000000"/>
                <w:sz w:val="20"/>
                <w:lang w:eastAsia="en-GB"/>
              </w:rPr>
              <w:t>LTUnemp(Reg)</w:t>
            </w:r>
          </w:p>
        </w:tc>
        <w:tc>
          <w:tcPr>
            <w:tcW w:w="5245"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Long-term unemployment rate</w:t>
            </w:r>
          </w:p>
        </w:tc>
        <w:tc>
          <w:tcPr>
            <w:tcW w:w="3827"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Eurostat database table lfst_r_lfu2ltu</w:t>
            </w:r>
          </w:p>
        </w:tc>
        <w:tc>
          <w:tcPr>
            <w:tcW w:w="851"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2011</w:t>
            </w:r>
          </w:p>
        </w:tc>
        <w:tc>
          <w:tcPr>
            <w:tcW w:w="1276"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w:t>
            </w:r>
          </w:p>
        </w:tc>
        <w:tc>
          <w:tcPr>
            <w:tcW w:w="850"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 xml:space="preserve">1,429 </w:t>
            </w:r>
          </w:p>
        </w:tc>
      </w:tr>
      <w:tr w:rsidR="00972293" w:rsidRPr="00972293" w:rsidTr="00972293">
        <w:trPr>
          <w:trHeight w:val="20"/>
        </w:trPr>
        <w:tc>
          <w:tcPr>
            <w:tcW w:w="1291" w:type="dxa"/>
            <w:vMerge/>
            <w:tcBorders>
              <w:top w:val="nil"/>
              <w:left w:val="single" w:sz="4" w:space="0" w:color="auto"/>
              <w:bottom w:val="single" w:sz="4" w:space="0" w:color="000000"/>
              <w:right w:val="single" w:sz="4" w:space="0" w:color="auto"/>
            </w:tcBorders>
            <w:vAlign w:val="center"/>
            <w:hideMark/>
          </w:tcPr>
          <w:p w:rsidR="00802CFB" w:rsidRPr="00972293" w:rsidRDefault="00802CFB" w:rsidP="00972293">
            <w:pPr>
              <w:spacing w:before="0" w:line="240" w:lineRule="auto"/>
              <w:jc w:val="left"/>
              <w:rPr>
                <w:rFonts w:ascii="Calibri" w:hAnsi="Calibri"/>
                <w:b/>
                <w:bCs/>
                <w:color w:val="000000"/>
                <w:sz w:val="20"/>
                <w:lang w:eastAsia="en-GB"/>
              </w:rPr>
            </w:pPr>
          </w:p>
        </w:tc>
        <w:tc>
          <w:tcPr>
            <w:tcW w:w="1559"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bCs/>
                <w:color w:val="000000"/>
                <w:sz w:val="20"/>
                <w:lang w:eastAsia="en-GB"/>
              </w:rPr>
            </w:pPr>
            <w:r w:rsidRPr="00972293">
              <w:rPr>
                <w:rFonts w:ascii="Calibri" w:hAnsi="Calibri"/>
                <w:bCs/>
                <w:color w:val="000000"/>
                <w:sz w:val="20"/>
                <w:lang w:eastAsia="en-GB"/>
              </w:rPr>
              <w:t>EARate</w:t>
            </w:r>
          </w:p>
        </w:tc>
        <w:tc>
          <w:tcPr>
            <w:tcW w:w="5245"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Economic activity rate</w:t>
            </w:r>
          </w:p>
        </w:tc>
        <w:tc>
          <w:tcPr>
            <w:tcW w:w="3827"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Eurostat database table lfst_r_lfp2actrt</w:t>
            </w:r>
          </w:p>
        </w:tc>
        <w:tc>
          <w:tcPr>
            <w:tcW w:w="851"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2011</w:t>
            </w:r>
          </w:p>
        </w:tc>
        <w:tc>
          <w:tcPr>
            <w:tcW w:w="1276"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w:t>
            </w:r>
          </w:p>
        </w:tc>
        <w:tc>
          <w:tcPr>
            <w:tcW w:w="850"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 xml:space="preserve">1,436 </w:t>
            </w:r>
          </w:p>
        </w:tc>
      </w:tr>
      <w:tr w:rsidR="00972293" w:rsidRPr="00972293" w:rsidTr="00972293">
        <w:trPr>
          <w:trHeight w:val="20"/>
        </w:trPr>
        <w:tc>
          <w:tcPr>
            <w:tcW w:w="1291" w:type="dxa"/>
            <w:vMerge/>
            <w:tcBorders>
              <w:top w:val="nil"/>
              <w:left w:val="single" w:sz="4" w:space="0" w:color="auto"/>
              <w:bottom w:val="single" w:sz="4" w:space="0" w:color="000000"/>
              <w:right w:val="single" w:sz="4" w:space="0" w:color="auto"/>
            </w:tcBorders>
            <w:vAlign w:val="center"/>
            <w:hideMark/>
          </w:tcPr>
          <w:p w:rsidR="00802CFB" w:rsidRPr="00972293" w:rsidRDefault="00802CFB" w:rsidP="00972293">
            <w:pPr>
              <w:spacing w:before="0" w:line="240" w:lineRule="auto"/>
              <w:jc w:val="left"/>
              <w:rPr>
                <w:rFonts w:ascii="Calibri" w:hAnsi="Calibri"/>
                <w:b/>
                <w:bCs/>
                <w:color w:val="000000"/>
                <w:sz w:val="20"/>
                <w:lang w:eastAsia="en-GB"/>
              </w:rPr>
            </w:pPr>
          </w:p>
        </w:tc>
        <w:tc>
          <w:tcPr>
            <w:tcW w:w="1559" w:type="dxa"/>
            <w:tcBorders>
              <w:top w:val="nil"/>
              <w:left w:val="nil"/>
              <w:bottom w:val="nil"/>
              <w:right w:val="single" w:sz="4" w:space="0" w:color="auto"/>
            </w:tcBorders>
            <w:shd w:val="clear" w:color="auto" w:fill="auto"/>
            <w:noWrap/>
            <w:hideMark/>
          </w:tcPr>
          <w:p w:rsidR="00802CFB" w:rsidRPr="00972293" w:rsidRDefault="00802CFB" w:rsidP="008872DB">
            <w:pPr>
              <w:spacing w:before="0" w:line="240" w:lineRule="auto"/>
              <w:jc w:val="left"/>
              <w:rPr>
                <w:rFonts w:ascii="Calibri" w:hAnsi="Calibri"/>
                <w:bCs/>
                <w:color w:val="000000"/>
                <w:sz w:val="20"/>
                <w:lang w:eastAsia="en-GB"/>
              </w:rPr>
            </w:pPr>
            <w:r w:rsidRPr="00972293">
              <w:rPr>
                <w:rFonts w:ascii="Calibri" w:hAnsi="Calibri"/>
                <w:bCs/>
                <w:color w:val="000000"/>
                <w:sz w:val="20"/>
                <w:lang w:eastAsia="en-GB"/>
              </w:rPr>
              <w:t>Inact</w:t>
            </w:r>
          </w:p>
        </w:tc>
        <w:tc>
          <w:tcPr>
            <w:tcW w:w="5245"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Economic inactivity rate</w:t>
            </w:r>
          </w:p>
        </w:tc>
        <w:tc>
          <w:tcPr>
            <w:tcW w:w="3827"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2011 Census (TiPSE database)</w:t>
            </w:r>
          </w:p>
        </w:tc>
        <w:tc>
          <w:tcPr>
            <w:tcW w:w="851"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2011</w:t>
            </w:r>
          </w:p>
        </w:tc>
        <w:tc>
          <w:tcPr>
            <w:tcW w:w="1276"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3</w:t>
            </w:r>
          </w:p>
        </w:tc>
        <w:tc>
          <w:tcPr>
            <w:tcW w:w="850"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 xml:space="preserve">1,355 </w:t>
            </w:r>
          </w:p>
        </w:tc>
      </w:tr>
      <w:tr w:rsidR="00972293" w:rsidRPr="00972293" w:rsidTr="00972293">
        <w:trPr>
          <w:trHeight w:val="20"/>
        </w:trPr>
        <w:tc>
          <w:tcPr>
            <w:tcW w:w="1291" w:type="dxa"/>
            <w:vMerge/>
            <w:tcBorders>
              <w:top w:val="nil"/>
              <w:left w:val="single" w:sz="4" w:space="0" w:color="auto"/>
              <w:bottom w:val="single" w:sz="4" w:space="0" w:color="000000"/>
              <w:right w:val="single" w:sz="4" w:space="0" w:color="auto"/>
            </w:tcBorders>
            <w:vAlign w:val="center"/>
            <w:hideMark/>
          </w:tcPr>
          <w:p w:rsidR="00802CFB" w:rsidRPr="00972293" w:rsidRDefault="00802CFB" w:rsidP="00972293">
            <w:pPr>
              <w:spacing w:before="0" w:line="240" w:lineRule="auto"/>
              <w:jc w:val="left"/>
              <w:rPr>
                <w:rFonts w:ascii="Calibri" w:hAnsi="Calibri"/>
                <w:b/>
                <w:bCs/>
                <w:color w:val="000000"/>
                <w:sz w:val="20"/>
                <w:lang w:eastAsia="en-GB"/>
              </w:rPr>
            </w:pPr>
          </w:p>
        </w:tc>
        <w:tc>
          <w:tcPr>
            <w:tcW w:w="1559"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bCs/>
                <w:color w:val="000000"/>
                <w:sz w:val="20"/>
                <w:lang w:eastAsia="en-GB"/>
              </w:rPr>
            </w:pPr>
            <w:r w:rsidRPr="00972293">
              <w:rPr>
                <w:rFonts w:ascii="Calibri" w:hAnsi="Calibri"/>
                <w:bCs/>
                <w:color w:val="000000"/>
                <w:sz w:val="20"/>
                <w:lang w:eastAsia="en-GB"/>
              </w:rPr>
              <w:t>EmpRate</w:t>
            </w:r>
          </w:p>
        </w:tc>
        <w:tc>
          <w:tcPr>
            <w:tcW w:w="5245"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Employment rate</w:t>
            </w:r>
          </w:p>
        </w:tc>
        <w:tc>
          <w:tcPr>
            <w:tcW w:w="3827"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Eurostat database table lfst_r_lfe2emprt</w:t>
            </w:r>
          </w:p>
        </w:tc>
        <w:tc>
          <w:tcPr>
            <w:tcW w:w="851"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2011</w:t>
            </w:r>
          </w:p>
        </w:tc>
        <w:tc>
          <w:tcPr>
            <w:tcW w:w="1276"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w:t>
            </w:r>
          </w:p>
        </w:tc>
        <w:tc>
          <w:tcPr>
            <w:tcW w:w="850"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 xml:space="preserve">1,436 </w:t>
            </w:r>
          </w:p>
        </w:tc>
      </w:tr>
      <w:tr w:rsidR="00972293" w:rsidRPr="00972293" w:rsidTr="00972293">
        <w:trPr>
          <w:trHeight w:val="20"/>
        </w:trPr>
        <w:tc>
          <w:tcPr>
            <w:tcW w:w="1291" w:type="dxa"/>
            <w:vMerge w:val="restart"/>
            <w:tcBorders>
              <w:top w:val="nil"/>
              <w:left w:val="single" w:sz="4" w:space="0" w:color="auto"/>
              <w:bottom w:val="single" w:sz="4" w:space="0" w:color="000000"/>
              <w:right w:val="single" w:sz="4" w:space="0" w:color="auto"/>
            </w:tcBorders>
            <w:shd w:val="clear" w:color="auto" w:fill="auto"/>
            <w:vAlign w:val="center"/>
            <w:hideMark/>
          </w:tcPr>
          <w:p w:rsidR="00802CFB" w:rsidRPr="00972293" w:rsidRDefault="00802CFB" w:rsidP="00972293">
            <w:pPr>
              <w:spacing w:before="0" w:line="240" w:lineRule="auto"/>
              <w:jc w:val="left"/>
              <w:rPr>
                <w:rFonts w:ascii="Calibri" w:hAnsi="Calibri"/>
                <w:b/>
                <w:bCs/>
                <w:color w:val="000000"/>
                <w:sz w:val="20"/>
                <w:lang w:eastAsia="en-GB"/>
              </w:rPr>
            </w:pPr>
            <w:r w:rsidRPr="00972293">
              <w:rPr>
                <w:rFonts w:ascii="Calibri" w:hAnsi="Calibri"/>
                <w:b/>
                <w:bCs/>
                <w:color w:val="000000"/>
                <w:sz w:val="20"/>
                <w:lang w:eastAsia="en-GB"/>
              </w:rPr>
              <w:t>Sectoral Structure</w:t>
            </w:r>
          </w:p>
        </w:tc>
        <w:tc>
          <w:tcPr>
            <w:tcW w:w="1559" w:type="dxa"/>
            <w:tcBorders>
              <w:top w:val="single" w:sz="4" w:space="0" w:color="auto"/>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bCs/>
                <w:color w:val="000000"/>
                <w:sz w:val="20"/>
                <w:lang w:eastAsia="en-GB"/>
              </w:rPr>
            </w:pPr>
            <w:r w:rsidRPr="00972293">
              <w:rPr>
                <w:rFonts w:ascii="Calibri" w:hAnsi="Calibri"/>
                <w:bCs/>
                <w:color w:val="000000"/>
                <w:sz w:val="20"/>
                <w:lang w:eastAsia="en-GB"/>
              </w:rPr>
              <w:t>A</w:t>
            </w:r>
          </w:p>
        </w:tc>
        <w:tc>
          <w:tcPr>
            <w:tcW w:w="5245" w:type="dxa"/>
            <w:tcBorders>
              <w:top w:val="single" w:sz="4" w:space="0" w:color="auto"/>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Percent employed in NACE sector A</w:t>
            </w:r>
          </w:p>
        </w:tc>
        <w:tc>
          <w:tcPr>
            <w:tcW w:w="3827" w:type="dxa"/>
            <w:tcBorders>
              <w:top w:val="single" w:sz="4" w:space="0" w:color="auto"/>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Eurostat database table nama_r_e3em95r2</w:t>
            </w:r>
          </w:p>
        </w:tc>
        <w:tc>
          <w:tcPr>
            <w:tcW w:w="851" w:type="dxa"/>
            <w:tcBorders>
              <w:top w:val="single" w:sz="4" w:space="0" w:color="auto"/>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2010</w:t>
            </w:r>
          </w:p>
        </w:tc>
        <w:tc>
          <w:tcPr>
            <w:tcW w:w="1276" w:type="dxa"/>
            <w:tcBorders>
              <w:top w:val="single" w:sz="4" w:space="0" w:color="auto"/>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3</w:t>
            </w:r>
          </w:p>
        </w:tc>
        <w:tc>
          <w:tcPr>
            <w:tcW w:w="850" w:type="dxa"/>
            <w:tcBorders>
              <w:top w:val="single" w:sz="4" w:space="0" w:color="auto"/>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 xml:space="preserve">1,311 </w:t>
            </w:r>
          </w:p>
        </w:tc>
      </w:tr>
      <w:tr w:rsidR="00972293" w:rsidRPr="00972293" w:rsidTr="00972293">
        <w:trPr>
          <w:trHeight w:val="20"/>
        </w:trPr>
        <w:tc>
          <w:tcPr>
            <w:tcW w:w="1291" w:type="dxa"/>
            <w:vMerge/>
            <w:tcBorders>
              <w:top w:val="nil"/>
              <w:left w:val="single" w:sz="4" w:space="0" w:color="auto"/>
              <w:bottom w:val="single" w:sz="4" w:space="0" w:color="000000"/>
              <w:right w:val="single" w:sz="4" w:space="0" w:color="auto"/>
            </w:tcBorders>
            <w:vAlign w:val="center"/>
            <w:hideMark/>
          </w:tcPr>
          <w:p w:rsidR="00802CFB" w:rsidRPr="00972293" w:rsidRDefault="00802CFB" w:rsidP="00972293">
            <w:pPr>
              <w:spacing w:before="0" w:line="240" w:lineRule="auto"/>
              <w:jc w:val="left"/>
              <w:rPr>
                <w:rFonts w:ascii="Calibri" w:hAnsi="Calibri"/>
                <w:b/>
                <w:bCs/>
                <w:color w:val="000000"/>
                <w:sz w:val="20"/>
                <w:lang w:eastAsia="en-GB"/>
              </w:rPr>
            </w:pPr>
          </w:p>
        </w:tc>
        <w:tc>
          <w:tcPr>
            <w:tcW w:w="1559"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bCs/>
                <w:color w:val="000000"/>
                <w:sz w:val="20"/>
                <w:lang w:eastAsia="en-GB"/>
              </w:rPr>
            </w:pPr>
            <w:r w:rsidRPr="00972293">
              <w:rPr>
                <w:rFonts w:ascii="Calibri" w:hAnsi="Calibri"/>
                <w:bCs/>
                <w:color w:val="000000"/>
                <w:sz w:val="20"/>
                <w:lang w:eastAsia="en-GB"/>
              </w:rPr>
              <w:t>B-E</w:t>
            </w:r>
          </w:p>
        </w:tc>
        <w:tc>
          <w:tcPr>
            <w:tcW w:w="5245"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Percent employed in NACE sectors B-E</w:t>
            </w:r>
          </w:p>
        </w:tc>
        <w:tc>
          <w:tcPr>
            <w:tcW w:w="3827"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ditto</w:t>
            </w:r>
          </w:p>
        </w:tc>
        <w:tc>
          <w:tcPr>
            <w:tcW w:w="851"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ditto</w:t>
            </w:r>
          </w:p>
        </w:tc>
        <w:tc>
          <w:tcPr>
            <w:tcW w:w="1276"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ditto</w:t>
            </w:r>
          </w:p>
        </w:tc>
        <w:tc>
          <w:tcPr>
            <w:tcW w:w="850"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 xml:space="preserve">1,327 </w:t>
            </w:r>
          </w:p>
        </w:tc>
      </w:tr>
      <w:tr w:rsidR="00972293" w:rsidRPr="00972293" w:rsidTr="00972293">
        <w:trPr>
          <w:trHeight w:val="20"/>
        </w:trPr>
        <w:tc>
          <w:tcPr>
            <w:tcW w:w="1291" w:type="dxa"/>
            <w:vMerge/>
            <w:tcBorders>
              <w:top w:val="nil"/>
              <w:left w:val="single" w:sz="4" w:space="0" w:color="auto"/>
              <w:bottom w:val="single" w:sz="4" w:space="0" w:color="000000"/>
              <w:right w:val="single" w:sz="4" w:space="0" w:color="auto"/>
            </w:tcBorders>
            <w:vAlign w:val="center"/>
            <w:hideMark/>
          </w:tcPr>
          <w:p w:rsidR="00802CFB" w:rsidRPr="00972293" w:rsidRDefault="00802CFB" w:rsidP="00972293">
            <w:pPr>
              <w:spacing w:before="0" w:line="240" w:lineRule="auto"/>
              <w:jc w:val="left"/>
              <w:rPr>
                <w:rFonts w:ascii="Calibri" w:hAnsi="Calibri"/>
                <w:b/>
                <w:bCs/>
                <w:color w:val="000000"/>
                <w:sz w:val="20"/>
                <w:lang w:eastAsia="en-GB"/>
              </w:rPr>
            </w:pPr>
          </w:p>
        </w:tc>
        <w:tc>
          <w:tcPr>
            <w:tcW w:w="1559"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bCs/>
                <w:color w:val="000000"/>
                <w:sz w:val="20"/>
                <w:lang w:eastAsia="en-GB"/>
              </w:rPr>
            </w:pPr>
            <w:r w:rsidRPr="00972293">
              <w:rPr>
                <w:rFonts w:ascii="Calibri" w:hAnsi="Calibri"/>
                <w:bCs/>
                <w:color w:val="000000"/>
                <w:sz w:val="20"/>
                <w:lang w:eastAsia="en-GB"/>
              </w:rPr>
              <w:t>C</w:t>
            </w:r>
          </w:p>
        </w:tc>
        <w:tc>
          <w:tcPr>
            <w:tcW w:w="5245"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Percent employed in NACE sector C</w:t>
            </w:r>
          </w:p>
        </w:tc>
        <w:tc>
          <w:tcPr>
            <w:tcW w:w="3827"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ditto</w:t>
            </w:r>
          </w:p>
        </w:tc>
        <w:tc>
          <w:tcPr>
            <w:tcW w:w="851"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ditto</w:t>
            </w:r>
          </w:p>
        </w:tc>
        <w:tc>
          <w:tcPr>
            <w:tcW w:w="1276"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ditto</w:t>
            </w:r>
          </w:p>
        </w:tc>
        <w:tc>
          <w:tcPr>
            <w:tcW w:w="850"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 xml:space="preserve">1,231 </w:t>
            </w:r>
          </w:p>
        </w:tc>
      </w:tr>
      <w:tr w:rsidR="00972293" w:rsidRPr="00972293" w:rsidTr="00972293">
        <w:trPr>
          <w:trHeight w:val="20"/>
        </w:trPr>
        <w:tc>
          <w:tcPr>
            <w:tcW w:w="1291" w:type="dxa"/>
            <w:vMerge/>
            <w:tcBorders>
              <w:top w:val="nil"/>
              <w:left w:val="single" w:sz="4" w:space="0" w:color="auto"/>
              <w:bottom w:val="single" w:sz="4" w:space="0" w:color="000000"/>
              <w:right w:val="single" w:sz="4" w:space="0" w:color="auto"/>
            </w:tcBorders>
            <w:vAlign w:val="center"/>
            <w:hideMark/>
          </w:tcPr>
          <w:p w:rsidR="00802CFB" w:rsidRPr="00972293" w:rsidRDefault="00802CFB" w:rsidP="00972293">
            <w:pPr>
              <w:spacing w:before="0" w:line="240" w:lineRule="auto"/>
              <w:jc w:val="left"/>
              <w:rPr>
                <w:rFonts w:ascii="Calibri" w:hAnsi="Calibri"/>
                <w:b/>
                <w:bCs/>
                <w:color w:val="000000"/>
                <w:sz w:val="20"/>
                <w:lang w:eastAsia="en-GB"/>
              </w:rPr>
            </w:pPr>
          </w:p>
        </w:tc>
        <w:tc>
          <w:tcPr>
            <w:tcW w:w="1559"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bCs/>
                <w:color w:val="000000"/>
                <w:sz w:val="20"/>
                <w:lang w:eastAsia="en-GB"/>
              </w:rPr>
            </w:pPr>
            <w:r w:rsidRPr="00972293">
              <w:rPr>
                <w:rFonts w:ascii="Calibri" w:hAnsi="Calibri"/>
                <w:bCs/>
                <w:color w:val="000000"/>
                <w:sz w:val="20"/>
                <w:lang w:eastAsia="en-GB"/>
              </w:rPr>
              <w:t>F</w:t>
            </w:r>
          </w:p>
        </w:tc>
        <w:tc>
          <w:tcPr>
            <w:tcW w:w="5245"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Percent employed in NACE sector F</w:t>
            </w:r>
          </w:p>
        </w:tc>
        <w:tc>
          <w:tcPr>
            <w:tcW w:w="3827"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ditto</w:t>
            </w:r>
          </w:p>
        </w:tc>
        <w:tc>
          <w:tcPr>
            <w:tcW w:w="851"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ditto</w:t>
            </w:r>
          </w:p>
        </w:tc>
        <w:tc>
          <w:tcPr>
            <w:tcW w:w="1276"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ditto</w:t>
            </w:r>
          </w:p>
        </w:tc>
        <w:tc>
          <w:tcPr>
            <w:tcW w:w="850"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 xml:space="preserve">1,327 </w:t>
            </w:r>
          </w:p>
        </w:tc>
      </w:tr>
      <w:tr w:rsidR="00972293" w:rsidRPr="00972293" w:rsidTr="00972293">
        <w:trPr>
          <w:trHeight w:val="20"/>
        </w:trPr>
        <w:tc>
          <w:tcPr>
            <w:tcW w:w="1291" w:type="dxa"/>
            <w:vMerge/>
            <w:tcBorders>
              <w:top w:val="nil"/>
              <w:left w:val="single" w:sz="4" w:space="0" w:color="auto"/>
              <w:bottom w:val="single" w:sz="4" w:space="0" w:color="000000"/>
              <w:right w:val="single" w:sz="4" w:space="0" w:color="auto"/>
            </w:tcBorders>
            <w:vAlign w:val="center"/>
            <w:hideMark/>
          </w:tcPr>
          <w:p w:rsidR="00802CFB" w:rsidRPr="00972293" w:rsidRDefault="00802CFB" w:rsidP="00972293">
            <w:pPr>
              <w:spacing w:before="0" w:line="240" w:lineRule="auto"/>
              <w:jc w:val="left"/>
              <w:rPr>
                <w:rFonts w:ascii="Calibri" w:hAnsi="Calibri"/>
                <w:b/>
                <w:bCs/>
                <w:color w:val="000000"/>
                <w:sz w:val="20"/>
                <w:lang w:eastAsia="en-GB"/>
              </w:rPr>
            </w:pPr>
          </w:p>
        </w:tc>
        <w:tc>
          <w:tcPr>
            <w:tcW w:w="1559"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bCs/>
                <w:color w:val="000000"/>
                <w:sz w:val="20"/>
                <w:lang w:eastAsia="en-GB"/>
              </w:rPr>
            </w:pPr>
            <w:r w:rsidRPr="00972293">
              <w:rPr>
                <w:rFonts w:ascii="Calibri" w:hAnsi="Calibri"/>
                <w:bCs/>
                <w:color w:val="000000"/>
                <w:sz w:val="20"/>
                <w:lang w:eastAsia="en-GB"/>
              </w:rPr>
              <w:t>G-J</w:t>
            </w:r>
          </w:p>
        </w:tc>
        <w:tc>
          <w:tcPr>
            <w:tcW w:w="5245"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Percent employed in NACE sectors G-J</w:t>
            </w:r>
          </w:p>
        </w:tc>
        <w:tc>
          <w:tcPr>
            <w:tcW w:w="3827"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ditto</w:t>
            </w:r>
          </w:p>
        </w:tc>
        <w:tc>
          <w:tcPr>
            <w:tcW w:w="851"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ditto</w:t>
            </w:r>
          </w:p>
        </w:tc>
        <w:tc>
          <w:tcPr>
            <w:tcW w:w="1276"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ditto</w:t>
            </w:r>
          </w:p>
        </w:tc>
        <w:tc>
          <w:tcPr>
            <w:tcW w:w="850"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 xml:space="preserve">1,231 </w:t>
            </w:r>
          </w:p>
        </w:tc>
      </w:tr>
      <w:tr w:rsidR="00972293" w:rsidRPr="00972293" w:rsidTr="00972293">
        <w:trPr>
          <w:trHeight w:val="20"/>
        </w:trPr>
        <w:tc>
          <w:tcPr>
            <w:tcW w:w="1291" w:type="dxa"/>
            <w:vMerge/>
            <w:tcBorders>
              <w:top w:val="nil"/>
              <w:left w:val="single" w:sz="4" w:space="0" w:color="auto"/>
              <w:bottom w:val="single" w:sz="4" w:space="0" w:color="000000"/>
              <w:right w:val="single" w:sz="4" w:space="0" w:color="auto"/>
            </w:tcBorders>
            <w:vAlign w:val="center"/>
            <w:hideMark/>
          </w:tcPr>
          <w:p w:rsidR="00802CFB" w:rsidRPr="00972293" w:rsidRDefault="00802CFB" w:rsidP="00972293">
            <w:pPr>
              <w:spacing w:before="0" w:line="240" w:lineRule="auto"/>
              <w:jc w:val="left"/>
              <w:rPr>
                <w:rFonts w:ascii="Calibri" w:hAnsi="Calibri"/>
                <w:b/>
                <w:bCs/>
                <w:color w:val="000000"/>
                <w:sz w:val="20"/>
                <w:lang w:eastAsia="en-GB"/>
              </w:rPr>
            </w:pPr>
          </w:p>
        </w:tc>
        <w:tc>
          <w:tcPr>
            <w:tcW w:w="1559"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bCs/>
                <w:color w:val="000000"/>
                <w:sz w:val="20"/>
                <w:lang w:eastAsia="en-GB"/>
              </w:rPr>
            </w:pPr>
            <w:r w:rsidRPr="00972293">
              <w:rPr>
                <w:rFonts w:ascii="Calibri" w:hAnsi="Calibri"/>
                <w:bCs/>
                <w:color w:val="000000"/>
                <w:sz w:val="20"/>
                <w:lang w:eastAsia="en-GB"/>
              </w:rPr>
              <w:t>K-N</w:t>
            </w:r>
          </w:p>
        </w:tc>
        <w:tc>
          <w:tcPr>
            <w:tcW w:w="5245"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Percent employed in NACE sectors K-N</w:t>
            </w:r>
          </w:p>
        </w:tc>
        <w:tc>
          <w:tcPr>
            <w:tcW w:w="3827"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ditto</w:t>
            </w:r>
          </w:p>
        </w:tc>
        <w:tc>
          <w:tcPr>
            <w:tcW w:w="851"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ditto</w:t>
            </w:r>
          </w:p>
        </w:tc>
        <w:tc>
          <w:tcPr>
            <w:tcW w:w="1276"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ditto</w:t>
            </w:r>
          </w:p>
        </w:tc>
        <w:tc>
          <w:tcPr>
            <w:tcW w:w="850"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 xml:space="preserve">1,231 </w:t>
            </w:r>
          </w:p>
        </w:tc>
      </w:tr>
      <w:tr w:rsidR="00972293" w:rsidRPr="00972293" w:rsidTr="00972293">
        <w:trPr>
          <w:trHeight w:val="20"/>
        </w:trPr>
        <w:tc>
          <w:tcPr>
            <w:tcW w:w="1291" w:type="dxa"/>
            <w:vMerge/>
            <w:tcBorders>
              <w:top w:val="nil"/>
              <w:left w:val="single" w:sz="4" w:space="0" w:color="auto"/>
              <w:bottom w:val="single" w:sz="4" w:space="0" w:color="000000"/>
              <w:right w:val="single" w:sz="4" w:space="0" w:color="auto"/>
            </w:tcBorders>
            <w:vAlign w:val="center"/>
            <w:hideMark/>
          </w:tcPr>
          <w:p w:rsidR="00802CFB" w:rsidRPr="00972293" w:rsidRDefault="00802CFB" w:rsidP="00972293">
            <w:pPr>
              <w:spacing w:before="0" w:line="240" w:lineRule="auto"/>
              <w:jc w:val="left"/>
              <w:rPr>
                <w:rFonts w:ascii="Calibri" w:hAnsi="Calibri"/>
                <w:b/>
                <w:bCs/>
                <w:color w:val="000000"/>
                <w:sz w:val="20"/>
                <w:lang w:eastAsia="en-GB"/>
              </w:rPr>
            </w:pPr>
          </w:p>
        </w:tc>
        <w:tc>
          <w:tcPr>
            <w:tcW w:w="1559"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bCs/>
                <w:color w:val="000000"/>
                <w:sz w:val="20"/>
                <w:lang w:eastAsia="en-GB"/>
              </w:rPr>
            </w:pPr>
            <w:r w:rsidRPr="00972293">
              <w:rPr>
                <w:rFonts w:ascii="Calibri" w:hAnsi="Calibri"/>
                <w:bCs/>
                <w:color w:val="000000"/>
                <w:sz w:val="20"/>
                <w:lang w:eastAsia="en-GB"/>
              </w:rPr>
              <w:t>O-U</w:t>
            </w:r>
          </w:p>
        </w:tc>
        <w:tc>
          <w:tcPr>
            <w:tcW w:w="5245"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Percent employed in NACE sectors O-U</w:t>
            </w:r>
          </w:p>
        </w:tc>
        <w:tc>
          <w:tcPr>
            <w:tcW w:w="3827"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ditto</w:t>
            </w:r>
          </w:p>
        </w:tc>
        <w:tc>
          <w:tcPr>
            <w:tcW w:w="851"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ditto</w:t>
            </w:r>
          </w:p>
        </w:tc>
        <w:tc>
          <w:tcPr>
            <w:tcW w:w="1276"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ditto</w:t>
            </w:r>
          </w:p>
        </w:tc>
        <w:tc>
          <w:tcPr>
            <w:tcW w:w="850"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 xml:space="preserve">1,327 </w:t>
            </w:r>
          </w:p>
        </w:tc>
      </w:tr>
      <w:tr w:rsidR="00972293" w:rsidRPr="00972293" w:rsidTr="00972293">
        <w:trPr>
          <w:trHeight w:val="20"/>
        </w:trPr>
        <w:tc>
          <w:tcPr>
            <w:tcW w:w="1291" w:type="dxa"/>
            <w:vMerge/>
            <w:tcBorders>
              <w:top w:val="nil"/>
              <w:left w:val="single" w:sz="4" w:space="0" w:color="auto"/>
              <w:bottom w:val="single" w:sz="4" w:space="0" w:color="000000"/>
              <w:right w:val="single" w:sz="4" w:space="0" w:color="auto"/>
            </w:tcBorders>
            <w:vAlign w:val="center"/>
            <w:hideMark/>
          </w:tcPr>
          <w:p w:rsidR="00802CFB" w:rsidRPr="00972293" w:rsidRDefault="00802CFB" w:rsidP="00972293">
            <w:pPr>
              <w:spacing w:before="0" w:line="240" w:lineRule="auto"/>
              <w:jc w:val="left"/>
              <w:rPr>
                <w:rFonts w:ascii="Calibri" w:hAnsi="Calibri"/>
                <w:b/>
                <w:bCs/>
                <w:color w:val="000000"/>
                <w:sz w:val="20"/>
                <w:lang w:eastAsia="en-GB"/>
              </w:rPr>
            </w:pPr>
          </w:p>
        </w:tc>
        <w:tc>
          <w:tcPr>
            <w:tcW w:w="1559" w:type="dxa"/>
            <w:tcBorders>
              <w:top w:val="nil"/>
              <w:left w:val="nil"/>
              <w:bottom w:val="single" w:sz="4" w:space="0" w:color="auto"/>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bCs/>
                <w:color w:val="000000"/>
                <w:sz w:val="20"/>
                <w:lang w:eastAsia="en-GB"/>
              </w:rPr>
            </w:pPr>
            <w:r w:rsidRPr="00972293">
              <w:rPr>
                <w:rFonts w:ascii="Calibri" w:hAnsi="Calibri"/>
                <w:bCs/>
                <w:color w:val="000000"/>
                <w:sz w:val="20"/>
                <w:lang w:eastAsia="en-GB"/>
              </w:rPr>
              <w:t>ElemOcc</w:t>
            </w:r>
          </w:p>
        </w:tc>
        <w:tc>
          <w:tcPr>
            <w:tcW w:w="5245" w:type="dxa"/>
            <w:tcBorders>
              <w:top w:val="nil"/>
              <w:left w:val="nil"/>
              <w:bottom w:val="single" w:sz="4" w:space="0" w:color="auto"/>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Percent employed in Elementary Occupations</w:t>
            </w:r>
          </w:p>
        </w:tc>
        <w:tc>
          <w:tcPr>
            <w:tcW w:w="3827"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2011 Census (TiPSE database)</w:t>
            </w:r>
          </w:p>
        </w:tc>
        <w:tc>
          <w:tcPr>
            <w:tcW w:w="851" w:type="dxa"/>
            <w:tcBorders>
              <w:top w:val="nil"/>
              <w:left w:val="nil"/>
              <w:bottom w:val="single" w:sz="4" w:space="0" w:color="auto"/>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2011</w:t>
            </w:r>
          </w:p>
        </w:tc>
        <w:tc>
          <w:tcPr>
            <w:tcW w:w="1276" w:type="dxa"/>
            <w:tcBorders>
              <w:top w:val="nil"/>
              <w:left w:val="nil"/>
              <w:bottom w:val="single" w:sz="4" w:space="0" w:color="auto"/>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3</w:t>
            </w:r>
          </w:p>
        </w:tc>
        <w:tc>
          <w:tcPr>
            <w:tcW w:w="850" w:type="dxa"/>
            <w:tcBorders>
              <w:top w:val="nil"/>
              <w:left w:val="nil"/>
              <w:bottom w:val="single" w:sz="4" w:space="0" w:color="auto"/>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 xml:space="preserve">1,327 </w:t>
            </w:r>
          </w:p>
        </w:tc>
      </w:tr>
      <w:tr w:rsidR="00972293" w:rsidRPr="00972293" w:rsidTr="00972293">
        <w:trPr>
          <w:trHeight w:val="20"/>
        </w:trPr>
        <w:tc>
          <w:tcPr>
            <w:tcW w:w="1291" w:type="dxa"/>
            <w:vMerge w:val="restart"/>
            <w:tcBorders>
              <w:top w:val="nil"/>
              <w:left w:val="single" w:sz="4" w:space="0" w:color="auto"/>
              <w:bottom w:val="single" w:sz="4" w:space="0" w:color="000000"/>
              <w:right w:val="single" w:sz="4" w:space="0" w:color="auto"/>
            </w:tcBorders>
            <w:shd w:val="clear" w:color="auto" w:fill="auto"/>
            <w:vAlign w:val="center"/>
            <w:hideMark/>
          </w:tcPr>
          <w:p w:rsidR="008872DB" w:rsidRDefault="00802CFB" w:rsidP="00972293">
            <w:pPr>
              <w:spacing w:before="0" w:line="240" w:lineRule="auto"/>
              <w:jc w:val="left"/>
              <w:rPr>
                <w:rFonts w:ascii="Calibri" w:hAnsi="Calibri"/>
                <w:b/>
                <w:bCs/>
                <w:color w:val="000000"/>
                <w:sz w:val="20"/>
                <w:lang w:eastAsia="en-GB"/>
              </w:rPr>
            </w:pPr>
            <w:r w:rsidRPr="00972293">
              <w:rPr>
                <w:rFonts w:ascii="Calibri" w:hAnsi="Calibri"/>
                <w:b/>
                <w:bCs/>
                <w:color w:val="000000"/>
                <w:sz w:val="20"/>
                <w:lang w:eastAsia="en-GB"/>
              </w:rPr>
              <w:t xml:space="preserve">Human </w:t>
            </w:r>
          </w:p>
          <w:p w:rsidR="00802CFB" w:rsidRPr="00972293" w:rsidRDefault="00802CFB" w:rsidP="00972293">
            <w:pPr>
              <w:spacing w:before="0" w:line="240" w:lineRule="auto"/>
              <w:jc w:val="left"/>
              <w:rPr>
                <w:rFonts w:ascii="Calibri" w:hAnsi="Calibri"/>
                <w:b/>
                <w:bCs/>
                <w:color w:val="000000"/>
                <w:sz w:val="20"/>
                <w:lang w:eastAsia="en-GB"/>
              </w:rPr>
            </w:pPr>
            <w:r w:rsidRPr="00972293">
              <w:rPr>
                <w:rFonts w:ascii="Calibri" w:hAnsi="Calibri"/>
                <w:b/>
                <w:bCs/>
                <w:color w:val="000000"/>
                <w:sz w:val="20"/>
                <w:lang w:eastAsia="en-GB"/>
              </w:rPr>
              <w:t>Capital</w:t>
            </w:r>
          </w:p>
        </w:tc>
        <w:tc>
          <w:tcPr>
            <w:tcW w:w="1559"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bCs/>
                <w:color w:val="000000"/>
                <w:sz w:val="20"/>
                <w:lang w:eastAsia="en-GB"/>
              </w:rPr>
            </w:pPr>
            <w:r w:rsidRPr="00972293">
              <w:rPr>
                <w:rFonts w:ascii="Calibri" w:hAnsi="Calibri"/>
                <w:bCs/>
                <w:color w:val="000000"/>
                <w:sz w:val="20"/>
                <w:lang w:eastAsia="en-GB"/>
              </w:rPr>
              <w:t>LowEd(Reg)</w:t>
            </w:r>
          </w:p>
        </w:tc>
        <w:tc>
          <w:tcPr>
            <w:tcW w:w="5245"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Percent of persons with low educational attainment</w:t>
            </w:r>
          </w:p>
        </w:tc>
        <w:tc>
          <w:tcPr>
            <w:tcW w:w="3827" w:type="dxa"/>
            <w:tcBorders>
              <w:top w:val="single" w:sz="4" w:space="0" w:color="auto"/>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Eurostat database table edat_lfse_09</w:t>
            </w:r>
          </w:p>
        </w:tc>
        <w:tc>
          <w:tcPr>
            <w:tcW w:w="851"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2011</w:t>
            </w:r>
          </w:p>
        </w:tc>
        <w:tc>
          <w:tcPr>
            <w:tcW w:w="1276"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w:t>
            </w:r>
          </w:p>
        </w:tc>
        <w:tc>
          <w:tcPr>
            <w:tcW w:w="850"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 xml:space="preserve">1,420 </w:t>
            </w:r>
          </w:p>
        </w:tc>
      </w:tr>
      <w:tr w:rsidR="00972293" w:rsidRPr="00972293" w:rsidTr="00972293">
        <w:trPr>
          <w:trHeight w:val="20"/>
        </w:trPr>
        <w:tc>
          <w:tcPr>
            <w:tcW w:w="1291" w:type="dxa"/>
            <w:vMerge/>
            <w:tcBorders>
              <w:top w:val="nil"/>
              <w:left w:val="single" w:sz="4" w:space="0" w:color="auto"/>
              <w:bottom w:val="single" w:sz="4" w:space="0" w:color="000000"/>
              <w:right w:val="single" w:sz="4" w:space="0" w:color="auto"/>
            </w:tcBorders>
            <w:hideMark/>
          </w:tcPr>
          <w:p w:rsidR="00802CFB" w:rsidRPr="00972293" w:rsidRDefault="00802CFB" w:rsidP="00972293">
            <w:pPr>
              <w:spacing w:before="0" w:line="240" w:lineRule="auto"/>
              <w:jc w:val="left"/>
              <w:rPr>
                <w:rFonts w:ascii="Calibri" w:hAnsi="Calibri"/>
                <w:b/>
                <w:bCs/>
                <w:color w:val="000000"/>
                <w:sz w:val="20"/>
                <w:lang w:eastAsia="en-GB"/>
              </w:rPr>
            </w:pPr>
          </w:p>
        </w:tc>
        <w:tc>
          <w:tcPr>
            <w:tcW w:w="1559"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bCs/>
                <w:color w:val="000000"/>
                <w:sz w:val="20"/>
                <w:lang w:eastAsia="en-GB"/>
              </w:rPr>
            </w:pPr>
            <w:r w:rsidRPr="00972293">
              <w:rPr>
                <w:rFonts w:ascii="Calibri" w:hAnsi="Calibri"/>
                <w:bCs/>
                <w:color w:val="000000"/>
                <w:sz w:val="20"/>
                <w:lang w:eastAsia="en-GB"/>
              </w:rPr>
              <w:t>LowED(Cen</w:t>
            </w:r>
          </w:p>
        </w:tc>
        <w:tc>
          <w:tcPr>
            <w:tcW w:w="5245"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Percent of persons with low educational attainment</w:t>
            </w:r>
          </w:p>
        </w:tc>
        <w:tc>
          <w:tcPr>
            <w:tcW w:w="3827"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2011 Census (TiPSE database)</w:t>
            </w:r>
          </w:p>
        </w:tc>
        <w:tc>
          <w:tcPr>
            <w:tcW w:w="851"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2011</w:t>
            </w:r>
          </w:p>
        </w:tc>
        <w:tc>
          <w:tcPr>
            <w:tcW w:w="1276"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3</w:t>
            </w:r>
          </w:p>
        </w:tc>
        <w:tc>
          <w:tcPr>
            <w:tcW w:w="850"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 xml:space="preserve">1,367 </w:t>
            </w:r>
          </w:p>
        </w:tc>
      </w:tr>
      <w:tr w:rsidR="00972293" w:rsidRPr="00972293" w:rsidTr="00972293">
        <w:trPr>
          <w:trHeight w:val="20"/>
        </w:trPr>
        <w:tc>
          <w:tcPr>
            <w:tcW w:w="1291" w:type="dxa"/>
            <w:vMerge/>
            <w:tcBorders>
              <w:top w:val="nil"/>
              <w:left w:val="single" w:sz="4" w:space="0" w:color="auto"/>
              <w:bottom w:val="single" w:sz="4" w:space="0" w:color="000000"/>
              <w:right w:val="single" w:sz="4" w:space="0" w:color="auto"/>
            </w:tcBorders>
            <w:hideMark/>
          </w:tcPr>
          <w:p w:rsidR="00802CFB" w:rsidRPr="00972293" w:rsidRDefault="00802CFB" w:rsidP="00972293">
            <w:pPr>
              <w:spacing w:before="0" w:line="240" w:lineRule="auto"/>
              <w:jc w:val="left"/>
              <w:rPr>
                <w:rFonts w:ascii="Calibri" w:hAnsi="Calibri"/>
                <w:b/>
                <w:bCs/>
                <w:color w:val="000000"/>
                <w:sz w:val="20"/>
                <w:lang w:eastAsia="en-GB"/>
              </w:rPr>
            </w:pPr>
          </w:p>
        </w:tc>
        <w:tc>
          <w:tcPr>
            <w:tcW w:w="1559" w:type="dxa"/>
            <w:tcBorders>
              <w:top w:val="nil"/>
              <w:left w:val="nil"/>
              <w:bottom w:val="nil"/>
              <w:right w:val="single" w:sz="4" w:space="0" w:color="auto"/>
            </w:tcBorders>
            <w:shd w:val="clear" w:color="auto" w:fill="auto"/>
            <w:noWrap/>
            <w:hideMark/>
          </w:tcPr>
          <w:p w:rsidR="00802CFB" w:rsidRPr="00972293" w:rsidRDefault="00802CFB" w:rsidP="008872DB">
            <w:pPr>
              <w:spacing w:before="0" w:line="240" w:lineRule="auto"/>
              <w:jc w:val="left"/>
              <w:rPr>
                <w:rFonts w:ascii="Calibri" w:hAnsi="Calibri"/>
                <w:bCs/>
                <w:color w:val="000000"/>
                <w:sz w:val="20"/>
                <w:lang w:eastAsia="en-GB"/>
              </w:rPr>
            </w:pPr>
            <w:r w:rsidRPr="00972293">
              <w:rPr>
                <w:rFonts w:ascii="Calibri" w:hAnsi="Calibri"/>
                <w:bCs/>
                <w:color w:val="000000"/>
                <w:sz w:val="20"/>
                <w:lang w:eastAsia="en-GB"/>
              </w:rPr>
              <w:t>HiEd(</w:t>
            </w:r>
            <w:r w:rsidR="008872DB">
              <w:rPr>
                <w:rFonts w:ascii="Calibri" w:hAnsi="Calibri"/>
                <w:bCs/>
                <w:color w:val="000000"/>
                <w:sz w:val="20"/>
                <w:lang w:eastAsia="en-GB"/>
              </w:rPr>
              <w:t>Reg</w:t>
            </w:r>
            <w:r w:rsidRPr="00972293">
              <w:rPr>
                <w:rFonts w:ascii="Calibri" w:hAnsi="Calibri"/>
                <w:bCs/>
                <w:color w:val="000000"/>
                <w:sz w:val="20"/>
                <w:lang w:eastAsia="en-GB"/>
              </w:rPr>
              <w:t>)</w:t>
            </w:r>
          </w:p>
        </w:tc>
        <w:tc>
          <w:tcPr>
            <w:tcW w:w="5245"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Percent of persons with high educational attainment</w:t>
            </w:r>
          </w:p>
        </w:tc>
        <w:tc>
          <w:tcPr>
            <w:tcW w:w="3827"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Eurostat database table edat_lfse_13</w:t>
            </w:r>
          </w:p>
        </w:tc>
        <w:tc>
          <w:tcPr>
            <w:tcW w:w="851"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2011</w:t>
            </w:r>
          </w:p>
        </w:tc>
        <w:tc>
          <w:tcPr>
            <w:tcW w:w="1276"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w:t>
            </w:r>
          </w:p>
        </w:tc>
        <w:tc>
          <w:tcPr>
            <w:tcW w:w="850"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 xml:space="preserve">1,420 </w:t>
            </w:r>
          </w:p>
        </w:tc>
      </w:tr>
      <w:tr w:rsidR="00972293" w:rsidRPr="00972293" w:rsidTr="00972293">
        <w:trPr>
          <w:trHeight w:val="20"/>
        </w:trPr>
        <w:tc>
          <w:tcPr>
            <w:tcW w:w="1291" w:type="dxa"/>
            <w:vMerge/>
            <w:tcBorders>
              <w:top w:val="nil"/>
              <w:left w:val="single" w:sz="4" w:space="0" w:color="auto"/>
              <w:bottom w:val="single" w:sz="4" w:space="0" w:color="000000"/>
              <w:right w:val="single" w:sz="4" w:space="0" w:color="auto"/>
            </w:tcBorders>
            <w:hideMark/>
          </w:tcPr>
          <w:p w:rsidR="00802CFB" w:rsidRPr="00972293" w:rsidRDefault="00802CFB" w:rsidP="00972293">
            <w:pPr>
              <w:spacing w:before="0" w:line="240" w:lineRule="auto"/>
              <w:jc w:val="left"/>
              <w:rPr>
                <w:rFonts w:ascii="Calibri" w:hAnsi="Calibri"/>
                <w:b/>
                <w:bCs/>
                <w:color w:val="000000"/>
                <w:sz w:val="20"/>
                <w:lang w:eastAsia="en-GB"/>
              </w:rPr>
            </w:pPr>
          </w:p>
        </w:tc>
        <w:tc>
          <w:tcPr>
            <w:tcW w:w="1559"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bCs/>
                <w:color w:val="000000"/>
                <w:sz w:val="20"/>
                <w:lang w:eastAsia="en-GB"/>
              </w:rPr>
            </w:pPr>
            <w:r w:rsidRPr="00972293">
              <w:rPr>
                <w:rFonts w:ascii="Calibri" w:hAnsi="Calibri"/>
                <w:bCs/>
                <w:color w:val="000000"/>
                <w:sz w:val="20"/>
                <w:lang w:eastAsia="en-GB"/>
              </w:rPr>
              <w:t>HiEd(Cen)</w:t>
            </w:r>
          </w:p>
        </w:tc>
        <w:tc>
          <w:tcPr>
            <w:tcW w:w="5245"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Percent of persons without high educational attainment</w:t>
            </w:r>
          </w:p>
        </w:tc>
        <w:tc>
          <w:tcPr>
            <w:tcW w:w="3827"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2011 Census (TiPSE database)</w:t>
            </w:r>
          </w:p>
        </w:tc>
        <w:tc>
          <w:tcPr>
            <w:tcW w:w="851"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2011</w:t>
            </w:r>
          </w:p>
        </w:tc>
        <w:tc>
          <w:tcPr>
            <w:tcW w:w="1276"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3</w:t>
            </w:r>
          </w:p>
        </w:tc>
        <w:tc>
          <w:tcPr>
            <w:tcW w:w="850"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 xml:space="preserve">1,367 </w:t>
            </w:r>
          </w:p>
        </w:tc>
      </w:tr>
      <w:tr w:rsidR="00972293" w:rsidRPr="00972293" w:rsidTr="00972293">
        <w:trPr>
          <w:trHeight w:val="20"/>
        </w:trPr>
        <w:tc>
          <w:tcPr>
            <w:tcW w:w="1291" w:type="dxa"/>
            <w:vMerge/>
            <w:tcBorders>
              <w:top w:val="nil"/>
              <w:left w:val="single" w:sz="4" w:space="0" w:color="auto"/>
              <w:bottom w:val="single" w:sz="4" w:space="0" w:color="000000"/>
              <w:right w:val="single" w:sz="4" w:space="0" w:color="auto"/>
            </w:tcBorders>
            <w:hideMark/>
          </w:tcPr>
          <w:p w:rsidR="00802CFB" w:rsidRPr="00972293" w:rsidRDefault="00802CFB" w:rsidP="00972293">
            <w:pPr>
              <w:spacing w:before="0" w:line="240" w:lineRule="auto"/>
              <w:jc w:val="left"/>
              <w:rPr>
                <w:rFonts w:ascii="Calibri" w:hAnsi="Calibri"/>
                <w:b/>
                <w:bCs/>
                <w:color w:val="000000"/>
                <w:sz w:val="20"/>
                <w:lang w:eastAsia="en-GB"/>
              </w:rPr>
            </w:pPr>
          </w:p>
        </w:tc>
        <w:tc>
          <w:tcPr>
            <w:tcW w:w="1559"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bCs/>
                <w:color w:val="000000"/>
                <w:sz w:val="20"/>
                <w:lang w:eastAsia="en-GB"/>
              </w:rPr>
            </w:pPr>
            <w:r w:rsidRPr="00972293">
              <w:rPr>
                <w:rFonts w:ascii="Calibri" w:hAnsi="Calibri"/>
                <w:bCs/>
                <w:color w:val="000000"/>
                <w:sz w:val="20"/>
                <w:lang w:eastAsia="en-GB"/>
              </w:rPr>
              <w:t>HRST</w:t>
            </w:r>
          </w:p>
        </w:tc>
        <w:tc>
          <w:tcPr>
            <w:tcW w:w="5245" w:type="dxa"/>
            <w:tcBorders>
              <w:top w:val="nil"/>
              <w:left w:val="nil"/>
              <w:bottom w:val="nil"/>
              <w:right w:val="nil"/>
            </w:tcBorders>
            <w:shd w:val="clear" w:color="auto" w:fill="auto"/>
            <w:noWrap/>
            <w:hideMark/>
          </w:tcPr>
          <w:p w:rsidR="00802CFB" w:rsidRPr="00972293" w:rsidRDefault="00802CFB" w:rsidP="00972293">
            <w:pPr>
              <w:spacing w:before="0" w:line="240" w:lineRule="auto"/>
              <w:jc w:val="left"/>
              <w:rPr>
                <w:rFonts w:ascii="Calibri" w:hAnsi="Calibri"/>
                <w:sz w:val="20"/>
                <w:lang w:eastAsia="en-GB"/>
              </w:rPr>
            </w:pPr>
            <w:r w:rsidRPr="00972293">
              <w:rPr>
                <w:rFonts w:ascii="Calibri" w:hAnsi="Calibri"/>
                <w:sz w:val="20"/>
                <w:lang w:eastAsia="en-GB"/>
              </w:rPr>
              <w:t>Percent of population with tertiary education and/or employed in science and technology</w:t>
            </w:r>
          </w:p>
        </w:tc>
        <w:tc>
          <w:tcPr>
            <w:tcW w:w="3827" w:type="dxa"/>
            <w:tcBorders>
              <w:top w:val="nil"/>
              <w:left w:val="single" w:sz="4" w:space="0" w:color="auto"/>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Eurostat database table hrst_st_rcat</w:t>
            </w:r>
          </w:p>
        </w:tc>
        <w:tc>
          <w:tcPr>
            <w:tcW w:w="851"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2011</w:t>
            </w:r>
          </w:p>
        </w:tc>
        <w:tc>
          <w:tcPr>
            <w:tcW w:w="1276"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w:t>
            </w:r>
          </w:p>
        </w:tc>
        <w:tc>
          <w:tcPr>
            <w:tcW w:w="850"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 xml:space="preserve">1,422 </w:t>
            </w:r>
          </w:p>
        </w:tc>
      </w:tr>
      <w:tr w:rsidR="00972293" w:rsidRPr="00972293" w:rsidTr="00972293">
        <w:trPr>
          <w:trHeight w:val="20"/>
        </w:trPr>
        <w:tc>
          <w:tcPr>
            <w:tcW w:w="1291" w:type="dxa"/>
            <w:vMerge/>
            <w:tcBorders>
              <w:top w:val="nil"/>
              <w:left w:val="single" w:sz="4" w:space="0" w:color="auto"/>
              <w:bottom w:val="single" w:sz="4" w:space="0" w:color="000000"/>
              <w:right w:val="single" w:sz="4" w:space="0" w:color="auto"/>
            </w:tcBorders>
            <w:hideMark/>
          </w:tcPr>
          <w:p w:rsidR="00802CFB" w:rsidRPr="00972293" w:rsidRDefault="00802CFB" w:rsidP="00972293">
            <w:pPr>
              <w:spacing w:before="0" w:line="240" w:lineRule="auto"/>
              <w:jc w:val="left"/>
              <w:rPr>
                <w:rFonts w:ascii="Calibri" w:hAnsi="Calibri"/>
                <w:b/>
                <w:bCs/>
                <w:color w:val="000000"/>
                <w:sz w:val="20"/>
                <w:lang w:eastAsia="en-GB"/>
              </w:rPr>
            </w:pPr>
          </w:p>
        </w:tc>
        <w:tc>
          <w:tcPr>
            <w:tcW w:w="1559"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bCs/>
                <w:color w:val="000000"/>
                <w:sz w:val="20"/>
                <w:lang w:eastAsia="en-GB"/>
              </w:rPr>
            </w:pPr>
            <w:r w:rsidRPr="00972293">
              <w:rPr>
                <w:rFonts w:ascii="Calibri" w:hAnsi="Calibri"/>
                <w:bCs/>
                <w:color w:val="000000"/>
                <w:sz w:val="20"/>
                <w:lang w:eastAsia="en-GB"/>
              </w:rPr>
              <w:t>CDR(Reg)</w:t>
            </w:r>
          </w:p>
        </w:tc>
        <w:tc>
          <w:tcPr>
            <w:tcW w:w="5245"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Child dependency rate</w:t>
            </w:r>
          </w:p>
        </w:tc>
        <w:tc>
          <w:tcPr>
            <w:tcW w:w="3827"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Eurostat database table demo_r_pjanaggr3</w:t>
            </w:r>
          </w:p>
        </w:tc>
        <w:tc>
          <w:tcPr>
            <w:tcW w:w="851"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2011</w:t>
            </w:r>
          </w:p>
        </w:tc>
        <w:tc>
          <w:tcPr>
            <w:tcW w:w="1276"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3</w:t>
            </w:r>
          </w:p>
        </w:tc>
        <w:tc>
          <w:tcPr>
            <w:tcW w:w="850"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 xml:space="preserve">1,436 </w:t>
            </w:r>
          </w:p>
        </w:tc>
      </w:tr>
      <w:tr w:rsidR="00972293" w:rsidRPr="00972293" w:rsidTr="00972293">
        <w:trPr>
          <w:trHeight w:val="20"/>
        </w:trPr>
        <w:tc>
          <w:tcPr>
            <w:tcW w:w="1291" w:type="dxa"/>
            <w:vMerge/>
            <w:tcBorders>
              <w:top w:val="nil"/>
              <w:left w:val="single" w:sz="4" w:space="0" w:color="auto"/>
              <w:bottom w:val="single" w:sz="4" w:space="0" w:color="000000"/>
              <w:right w:val="single" w:sz="4" w:space="0" w:color="auto"/>
            </w:tcBorders>
            <w:hideMark/>
          </w:tcPr>
          <w:p w:rsidR="00802CFB" w:rsidRPr="00972293" w:rsidRDefault="00802CFB" w:rsidP="00972293">
            <w:pPr>
              <w:spacing w:before="0" w:line="240" w:lineRule="auto"/>
              <w:jc w:val="left"/>
              <w:rPr>
                <w:rFonts w:ascii="Calibri" w:hAnsi="Calibri"/>
                <w:b/>
                <w:bCs/>
                <w:color w:val="000000"/>
                <w:sz w:val="20"/>
                <w:lang w:eastAsia="en-GB"/>
              </w:rPr>
            </w:pPr>
          </w:p>
        </w:tc>
        <w:tc>
          <w:tcPr>
            <w:tcW w:w="1559"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bCs/>
                <w:color w:val="000000"/>
                <w:sz w:val="20"/>
                <w:lang w:eastAsia="en-GB"/>
              </w:rPr>
            </w:pPr>
            <w:r w:rsidRPr="00972293">
              <w:rPr>
                <w:rFonts w:ascii="Calibri" w:hAnsi="Calibri"/>
                <w:bCs/>
                <w:color w:val="000000"/>
                <w:sz w:val="20"/>
                <w:lang w:eastAsia="en-GB"/>
              </w:rPr>
              <w:t>CDR(Cen)</w:t>
            </w:r>
          </w:p>
        </w:tc>
        <w:tc>
          <w:tcPr>
            <w:tcW w:w="5245"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Child dependency rate</w:t>
            </w:r>
          </w:p>
        </w:tc>
        <w:tc>
          <w:tcPr>
            <w:tcW w:w="3827"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2011 Census (TiPSE database)</w:t>
            </w:r>
          </w:p>
        </w:tc>
        <w:tc>
          <w:tcPr>
            <w:tcW w:w="851"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2011</w:t>
            </w:r>
          </w:p>
        </w:tc>
        <w:tc>
          <w:tcPr>
            <w:tcW w:w="1276"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3</w:t>
            </w:r>
          </w:p>
        </w:tc>
        <w:tc>
          <w:tcPr>
            <w:tcW w:w="850"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 xml:space="preserve">1,448 </w:t>
            </w:r>
          </w:p>
        </w:tc>
      </w:tr>
      <w:tr w:rsidR="00972293" w:rsidRPr="00972293" w:rsidTr="00972293">
        <w:trPr>
          <w:trHeight w:val="20"/>
        </w:trPr>
        <w:tc>
          <w:tcPr>
            <w:tcW w:w="1291" w:type="dxa"/>
            <w:vMerge/>
            <w:tcBorders>
              <w:top w:val="nil"/>
              <w:left w:val="single" w:sz="4" w:space="0" w:color="auto"/>
              <w:bottom w:val="single" w:sz="4" w:space="0" w:color="000000"/>
              <w:right w:val="single" w:sz="4" w:space="0" w:color="auto"/>
            </w:tcBorders>
            <w:hideMark/>
          </w:tcPr>
          <w:p w:rsidR="00802CFB" w:rsidRPr="00972293" w:rsidRDefault="00802CFB" w:rsidP="00972293">
            <w:pPr>
              <w:spacing w:before="0" w:line="240" w:lineRule="auto"/>
              <w:jc w:val="left"/>
              <w:rPr>
                <w:rFonts w:ascii="Calibri" w:hAnsi="Calibri"/>
                <w:b/>
                <w:bCs/>
                <w:color w:val="000000"/>
                <w:sz w:val="20"/>
                <w:lang w:eastAsia="en-GB"/>
              </w:rPr>
            </w:pPr>
          </w:p>
        </w:tc>
        <w:tc>
          <w:tcPr>
            <w:tcW w:w="1559"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bCs/>
                <w:color w:val="000000"/>
                <w:sz w:val="20"/>
                <w:lang w:eastAsia="en-GB"/>
              </w:rPr>
            </w:pPr>
            <w:r w:rsidRPr="00972293">
              <w:rPr>
                <w:rFonts w:ascii="Calibri" w:hAnsi="Calibri"/>
                <w:bCs/>
                <w:color w:val="000000"/>
                <w:sz w:val="20"/>
                <w:lang w:eastAsia="en-GB"/>
              </w:rPr>
              <w:t>OADR(Reg)</w:t>
            </w:r>
          </w:p>
        </w:tc>
        <w:tc>
          <w:tcPr>
            <w:tcW w:w="5245"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Old age dependency rate</w:t>
            </w:r>
          </w:p>
        </w:tc>
        <w:tc>
          <w:tcPr>
            <w:tcW w:w="3827"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Eurostat database table demo_r_pjanaggr3</w:t>
            </w:r>
          </w:p>
        </w:tc>
        <w:tc>
          <w:tcPr>
            <w:tcW w:w="851"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2011</w:t>
            </w:r>
          </w:p>
        </w:tc>
        <w:tc>
          <w:tcPr>
            <w:tcW w:w="1276"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3</w:t>
            </w:r>
          </w:p>
        </w:tc>
        <w:tc>
          <w:tcPr>
            <w:tcW w:w="850"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 xml:space="preserve">1,422 </w:t>
            </w:r>
          </w:p>
        </w:tc>
      </w:tr>
      <w:tr w:rsidR="00972293" w:rsidRPr="00972293" w:rsidTr="00972293">
        <w:trPr>
          <w:trHeight w:val="20"/>
        </w:trPr>
        <w:tc>
          <w:tcPr>
            <w:tcW w:w="1291" w:type="dxa"/>
            <w:vMerge/>
            <w:tcBorders>
              <w:top w:val="nil"/>
              <w:left w:val="single" w:sz="4" w:space="0" w:color="auto"/>
              <w:bottom w:val="single" w:sz="4" w:space="0" w:color="000000"/>
              <w:right w:val="single" w:sz="4" w:space="0" w:color="auto"/>
            </w:tcBorders>
            <w:hideMark/>
          </w:tcPr>
          <w:p w:rsidR="00802CFB" w:rsidRPr="00972293" w:rsidRDefault="00802CFB" w:rsidP="00972293">
            <w:pPr>
              <w:spacing w:before="0" w:line="240" w:lineRule="auto"/>
              <w:jc w:val="left"/>
              <w:rPr>
                <w:rFonts w:ascii="Calibri" w:hAnsi="Calibri"/>
                <w:b/>
                <w:bCs/>
                <w:color w:val="000000"/>
                <w:sz w:val="20"/>
                <w:lang w:eastAsia="en-GB"/>
              </w:rPr>
            </w:pPr>
          </w:p>
        </w:tc>
        <w:tc>
          <w:tcPr>
            <w:tcW w:w="1559"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bCs/>
                <w:color w:val="000000"/>
                <w:sz w:val="20"/>
                <w:lang w:eastAsia="en-GB"/>
              </w:rPr>
            </w:pPr>
            <w:r w:rsidRPr="00972293">
              <w:rPr>
                <w:rFonts w:ascii="Calibri" w:hAnsi="Calibri"/>
                <w:bCs/>
                <w:color w:val="000000"/>
                <w:sz w:val="20"/>
                <w:lang w:eastAsia="en-GB"/>
              </w:rPr>
              <w:t>OADR(Cen</w:t>
            </w:r>
          </w:p>
        </w:tc>
        <w:tc>
          <w:tcPr>
            <w:tcW w:w="5245"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Old age dependency rate</w:t>
            </w:r>
          </w:p>
        </w:tc>
        <w:tc>
          <w:tcPr>
            <w:tcW w:w="3827"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2011 Census (TiPSE database)</w:t>
            </w:r>
          </w:p>
        </w:tc>
        <w:tc>
          <w:tcPr>
            <w:tcW w:w="851"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2011</w:t>
            </w:r>
          </w:p>
        </w:tc>
        <w:tc>
          <w:tcPr>
            <w:tcW w:w="1276"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3</w:t>
            </w:r>
          </w:p>
        </w:tc>
        <w:tc>
          <w:tcPr>
            <w:tcW w:w="850"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 xml:space="preserve">1,448 </w:t>
            </w:r>
          </w:p>
        </w:tc>
      </w:tr>
      <w:tr w:rsidR="00972293" w:rsidRPr="00972293" w:rsidTr="00972293">
        <w:trPr>
          <w:trHeight w:val="20"/>
        </w:trPr>
        <w:tc>
          <w:tcPr>
            <w:tcW w:w="1291" w:type="dxa"/>
            <w:vMerge/>
            <w:tcBorders>
              <w:top w:val="nil"/>
              <w:left w:val="single" w:sz="4" w:space="0" w:color="auto"/>
              <w:bottom w:val="single" w:sz="4" w:space="0" w:color="000000"/>
              <w:right w:val="single" w:sz="4" w:space="0" w:color="auto"/>
            </w:tcBorders>
            <w:hideMark/>
          </w:tcPr>
          <w:p w:rsidR="00802CFB" w:rsidRPr="00972293" w:rsidRDefault="00802CFB" w:rsidP="00972293">
            <w:pPr>
              <w:spacing w:before="0" w:line="240" w:lineRule="auto"/>
              <w:jc w:val="left"/>
              <w:rPr>
                <w:rFonts w:ascii="Calibri" w:hAnsi="Calibri"/>
                <w:b/>
                <w:bCs/>
                <w:color w:val="000000"/>
                <w:sz w:val="20"/>
                <w:lang w:eastAsia="en-GB"/>
              </w:rPr>
            </w:pPr>
          </w:p>
        </w:tc>
        <w:tc>
          <w:tcPr>
            <w:tcW w:w="1559"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bCs/>
                <w:color w:val="000000"/>
                <w:sz w:val="20"/>
                <w:lang w:eastAsia="en-GB"/>
              </w:rPr>
            </w:pPr>
            <w:r w:rsidRPr="00972293">
              <w:rPr>
                <w:rFonts w:ascii="Calibri" w:hAnsi="Calibri"/>
                <w:bCs/>
                <w:color w:val="000000"/>
                <w:sz w:val="20"/>
                <w:lang w:eastAsia="en-GB"/>
              </w:rPr>
              <w:t>LoneP(Cen)</w:t>
            </w:r>
          </w:p>
        </w:tc>
        <w:tc>
          <w:tcPr>
            <w:tcW w:w="5245"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Lone parent households as a percentage of all households</w:t>
            </w:r>
          </w:p>
        </w:tc>
        <w:tc>
          <w:tcPr>
            <w:tcW w:w="3827"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2011 Census (TiPSE database)</w:t>
            </w:r>
          </w:p>
        </w:tc>
        <w:tc>
          <w:tcPr>
            <w:tcW w:w="851"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2011</w:t>
            </w:r>
          </w:p>
        </w:tc>
        <w:tc>
          <w:tcPr>
            <w:tcW w:w="1276"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3</w:t>
            </w:r>
          </w:p>
        </w:tc>
        <w:tc>
          <w:tcPr>
            <w:tcW w:w="850"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 xml:space="preserve">1,366 </w:t>
            </w:r>
          </w:p>
        </w:tc>
      </w:tr>
      <w:tr w:rsidR="00972293" w:rsidRPr="00972293" w:rsidTr="00972293">
        <w:trPr>
          <w:trHeight w:val="20"/>
        </w:trPr>
        <w:tc>
          <w:tcPr>
            <w:tcW w:w="1291" w:type="dxa"/>
            <w:vMerge/>
            <w:tcBorders>
              <w:top w:val="nil"/>
              <w:left w:val="single" w:sz="4" w:space="0" w:color="auto"/>
              <w:bottom w:val="single" w:sz="4" w:space="0" w:color="000000"/>
              <w:right w:val="single" w:sz="4" w:space="0" w:color="auto"/>
            </w:tcBorders>
            <w:hideMark/>
          </w:tcPr>
          <w:p w:rsidR="00802CFB" w:rsidRPr="00972293" w:rsidRDefault="00802CFB" w:rsidP="00972293">
            <w:pPr>
              <w:spacing w:before="0" w:line="240" w:lineRule="auto"/>
              <w:jc w:val="left"/>
              <w:rPr>
                <w:rFonts w:ascii="Calibri" w:hAnsi="Calibri"/>
                <w:b/>
                <w:bCs/>
                <w:color w:val="000000"/>
                <w:sz w:val="20"/>
                <w:lang w:eastAsia="en-GB"/>
              </w:rPr>
            </w:pPr>
          </w:p>
        </w:tc>
        <w:tc>
          <w:tcPr>
            <w:tcW w:w="1559"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bCs/>
                <w:color w:val="000000"/>
                <w:sz w:val="20"/>
                <w:lang w:eastAsia="en-GB"/>
              </w:rPr>
            </w:pPr>
            <w:r w:rsidRPr="00972293">
              <w:rPr>
                <w:rFonts w:ascii="Calibri" w:hAnsi="Calibri"/>
                <w:bCs/>
                <w:color w:val="000000"/>
                <w:sz w:val="20"/>
                <w:lang w:eastAsia="en-GB"/>
              </w:rPr>
              <w:t>Foreign(Cen)</w:t>
            </w:r>
          </w:p>
        </w:tc>
        <w:tc>
          <w:tcPr>
            <w:tcW w:w="5245"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Percent of population born abroad</w:t>
            </w:r>
          </w:p>
        </w:tc>
        <w:tc>
          <w:tcPr>
            <w:tcW w:w="3827"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2011 Census (TiPSE database)</w:t>
            </w:r>
          </w:p>
        </w:tc>
        <w:tc>
          <w:tcPr>
            <w:tcW w:w="851"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2011</w:t>
            </w:r>
          </w:p>
        </w:tc>
        <w:tc>
          <w:tcPr>
            <w:tcW w:w="1276"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3</w:t>
            </w:r>
          </w:p>
        </w:tc>
        <w:tc>
          <w:tcPr>
            <w:tcW w:w="850" w:type="dxa"/>
            <w:tcBorders>
              <w:top w:val="nil"/>
              <w:left w:val="nil"/>
              <w:bottom w:val="nil"/>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 xml:space="preserve">1,367 </w:t>
            </w:r>
          </w:p>
        </w:tc>
      </w:tr>
      <w:tr w:rsidR="00972293" w:rsidRPr="00972293" w:rsidTr="00972293">
        <w:trPr>
          <w:trHeight w:val="20"/>
        </w:trPr>
        <w:tc>
          <w:tcPr>
            <w:tcW w:w="1291" w:type="dxa"/>
            <w:vMerge/>
            <w:tcBorders>
              <w:top w:val="nil"/>
              <w:left w:val="single" w:sz="4" w:space="0" w:color="auto"/>
              <w:bottom w:val="single" w:sz="4" w:space="0" w:color="000000"/>
              <w:right w:val="single" w:sz="4" w:space="0" w:color="auto"/>
            </w:tcBorders>
            <w:hideMark/>
          </w:tcPr>
          <w:p w:rsidR="00802CFB" w:rsidRPr="00972293" w:rsidRDefault="00802CFB" w:rsidP="00972293">
            <w:pPr>
              <w:spacing w:before="0" w:line="240" w:lineRule="auto"/>
              <w:jc w:val="left"/>
              <w:rPr>
                <w:rFonts w:ascii="Calibri" w:hAnsi="Calibri"/>
                <w:b/>
                <w:bCs/>
                <w:color w:val="000000"/>
                <w:sz w:val="20"/>
                <w:lang w:eastAsia="en-GB"/>
              </w:rPr>
            </w:pPr>
          </w:p>
        </w:tc>
        <w:tc>
          <w:tcPr>
            <w:tcW w:w="1559" w:type="dxa"/>
            <w:tcBorders>
              <w:top w:val="nil"/>
              <w:left w:val="nil"/>
              <w:bottom w:val="single" w:sz="4" w:space="0" w:color="auto"/>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bCs/>
                <w:color w:val="000000"/>
                <w:sz w:val="20"/>
                <w:lang w:eastAsia="en-GB"/>
              </w:rPr>
            </w:pPr>
            <w:r w:rsidRPr="00972293">
              <w:rPr>
                <w:rFonts w:ascii="Calibri" w:hAnsi="Calibri"/>
                <w:bCs/>
                <w:color w:val="000000"/>
                <w:sz w:val="20"/>
                <w:lang w:eastAsia="en-GB"/>
              </w:rPr>
              <w:t>NonCit(Cen)</w:t>
            </w:r>
          </w:p>
        </w:tc>
        <w:tc>
          <w:tcPr>
            <w:tcW w:w="5245" w:type="dxa"/>
            <w:tcBorders>
              <w:top w:val="nil"/>
              <w:left w:val="nil"/>
              <w:bottom w:val="single" w:sz="4" w:space="0" w:color="auto"/>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Percent of population who are not citizens of the coun</w:t>
            </w:r>
            <w:r w:rsidR="00972293">
              <w:rPr>
                <w:rFonts w:ascii="Calibri" w:hAnsi="Calibri"/>
                <w:color w:val="000000"/>
                <w:sz w:val="20"/>
                <w:lang w:eastAsia="en-GB"/>
              </w:rPr>
              <w:t>try</w:t>
            </w:r>
          </w:p>
        </w:tc>
        <w:tc>
          <w:tcPr>
            <w:tcW w:w="3827" w:type="dxa"/>
            <w:tcBorders>
              <w:top w:val="nil"/>
              <w:left w:val="nil"/>
              <w:bottom w:val="single" w:sz="4" w:space="0" w:color="auto"/>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2011 Census (TiPSE database)</w:t>
            </w:r>
          </w:p>
        </w:tc>
        <w:tc>
          <w:tcPr>
            <w:tcW w:w="851" w:type="dxa"/>
            <w:tcBorders>
              <w:top w:val="nil"/>
              <w:left w:val="nil"/>
              <w:bottom w:val="single" w:sz="4" w:space="0" w:color="auto"/>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2011</w:t>
            </w:r>
          </w:p>
        </w:tc>
        <w:tc>
          <w:tcPr>
            <w:tcW w:w="1276" w:type="dxa"/>
            <w:tcBorders>
              <w:top w:val="nil"/>
              <w:left w:val="nil"/>
              <w:bottom w:val="single" w:sz="4" w:space="0" w:color="auto"/>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3</w:t>
            </w:r>
          </w:p>
        </w:tc>
        <w:tc>
          <w:tcPr>
            <w:tcW w:w="850" w:type="dxa"/>
            <w:tcBorders>
              <w:top w:val="nil"/>
              <w:left w:val="nil"/>
              <w:bottom w:val="single" w:sz="4" w:space="0" w:color="auto"/>
              <w:right w:val="single" w:sz="4" w:space="0" w:color="auto"/>
            </w:tcBorders>
            <w:shd w:val="clear" w:color="auto" w:fill="auto"/>
            <w:noWrap/>
            <w:hideMark/>
          </w:tcPr>
          <w:p w:rsidR="00802CFB" w:rsidRPr="00972293" w:rsidRDefault="00802CFB" w:rsidP="00972293">
            <w:pPr>
              <w:spacing w:before="0" w:line="240" w:lineRule="auto"/>
              <w:jc w:val="left"/>
              <w:rPr>
                <w:rFonts w:ascii="Calibri" w:hAnsi="Calibri"/>
                <w:color w:val="000000"/>
                <w:sz w:val="20"/>
                <w:lang w:eastAsia="en-GB"/>
              </w:rPr>
            </w:pPr>
            <w:r w:rsidRPr="00972293">
              <w:rPr>
                <w:rFonts w:ascii="Calibri" w:hAnsi="Calibri"/>
                <w:color w:val="000000"/>
                <w:sz w:val="20"/>
                <w:lang w:eastAsia="en-GB"/>
              </w:rPr>
              <w:t xml:space="preserve">1,367 </w:t>
            </w:r>
          </w:p>
        </w:tc>
      </w:tr>
    </w:tbl>
    <w:p w:rsidR="00802CFB" w:rsidRDefault="00802CFB" w:rsidP="00255596">
      <w:pPr>
        <w:pStyle w:val="Kuvaotsikko"/>
        <w:sectPr w:rsidR="00802CFB" w:rsidSect="00493199">
          <w:footerReference w:type="default" r:id="rId32"/>
          <w:pgSz w:w="16840" w:h="11907" w:orient="landscape" w:code="9"/>
          <w:pgMar w:top="720" w:right="720" w:bottom="720" w:left="720" w:header="709" w:footer="709" w:gutter="0"/>
          <w:cols w:space="708"/>
          <w:docGrid w:linePitch="360"/>
        </w:sectPr>
      </w:pPr>
    </w:p>
    <w:p w:rsidR="00986069" w:rsidRDefault="00CA570A" w:rsidP="00986069">
      <w:r>
        <w:lastRenderedPageBreak/>
        <w:t>The methodology used to explore relationships between ARoP rates and the indicators listed in Table 1 was simple. Pearson product moment correlation coefficients were calculated between the ARoP rate and each of the 31 indicators, first for the full set of regions within the ESPON space for which data was available, and then for various sub-sets of regions, EU15 and EU12, the welfare regimes proposed in Annex 1, and the Clusters of countries which are presented in Annex 9</w:t>
      </w:r>
      <w:r>
        <w:rPr>
          <w:rStyle w:val="Alaviitteenviite"/>
        </w:rPr>
        <w:footnoteReference w:id="4"/>
      </w:r>
      <w:r>
        <w:t xml:space="preserve">. </w:t>
      </w:r>
      <w:r w:rsidR="00ED1E41">
        <w:t>The results of these analyses are presented in Tables 2-4 below. In each case coefficients which are not significant at the 0.01 level are identified by grey shading, whilst those in excess of +/-0.5 are highlighted in bold.</w:t>
      </w:r>
    </w:p>
    <w:p w:rsidR="00986069" w:rsidRDefault="00ED1E41" w:rsidP="00986069">
      <w:r>
        <w:t>The “ESPON space” column of Table 2 is based upon the full database of up to 1,448 regions. At fi</w:t>
      </w:r>
      <w:r w:rsidR="00335482">
        <w:t>r</w:t>
      </w:r>
      <w:r>
        <w:t xml:space="preserve">st sight this may lead us to expect the strongest associations. However this is not the case, since it is clear from the EU15 and EU12 columns, and from Tables 3 and 4, that different relationships pertain in different parts of Europe. This perhaps explains the fact that only four indicators have coefficients in excess of +/-0.5. The strongest association, which is sustained across the ESPON space is between poverty rates and unemployment rates (both those derived from the LFS and the Census). Employment rates are also closely related to poverty rates. </w:t>
      </w:r>
      <w:r w:rsidR="00903468">
        <w:t>Youth unemployment rates and long term unemployment rates are close behind.</w:t>
      </w:r>
    </w:p>
    <w:p w:rsidR="00903468" w:rsidRDefault="00903468" w:rsidP="00986069">
      <w:r>
        <w:t xml:space="preserve">Although none of the broad NACE employment sectors is has a coefficient above 4 (the primary sector reaches 0.39) employment in elementary occupations shows a relatively strong association with ARoP rates, (+0.51). The other three broad groups of indicators, (agglomeration, productivity, and human capital) all have coefficients of less than 0.5, suggesting that if there are relationships with the incidence of poverty they are not consistent across the ESPON space. The closest association from these three broad groups is with educational attainment. </w:t>
      </w:r>
    </w:p>
    <w:p w:rsidR="00903468" w:rsidRDefault="00FE2100" w:rsidP="00986069">
      <w:r>
        <w:t>We begin to see different relationships in different parts of the ESPON space as soon as we separate the EU15, from the New Member States (NMS) of the EU12</w:t>
      </w:r>
      <w:r>
        <w:rPr>
          <w:rStyle w:val="Alaviitteenviite"/>
        </w:rPr>
        <w:footnoteReference w:id="5"/>
      </w:r>
      <w:r>
        <w:t xml:space="preserve"> The difference may be summed up as follows: In the EU15 countries poverty is strongly associated with labour market characteristics, and employment in elementary occupations. By contrast, in the NMS accessibility, primary sector employment, education and skills, and productivity are all much more important than labour market characteristics.</w:t>
      </w:r>
    </w:p>
    <w:p w:rsidR="002B3A47" w:rsidRDefault="003B6927" w:rsidP="00986069">
      <w:pPr>
        <w:pStyle w:val="Kuvaotsikko"/>
        <w:spacing w:after="240"/>
      </w:pPr>
      <w:r>
        <w:br w:type="column"/>
      </w:r>
      <w:bookmarkStart w:id="33" w:name="_Toc394071839"/>
      <w:r w:rsidR="00255596">
        <w:lastRenderedPageBreak/>
        <w:t xml:space="preserve">Table </w:t>
      </w:r>
      <w:r w:rsidR="00A11F7B">
        <w:fldChar w:fldCharType="begin"/>
      </w:r>
      <w:r w:rsidR="00A11F7B">
        <w:instrText xml:space="preserve"> SEQ Table \* ARABIC </w:instrText>
      </w:r>
      <w:r w:rsidR="00A11F7B">
        <w:fldChar w:fldCharType="separate"/>
      </w:r>
      <w:r w:rsidR="00CA570A">
        <w:rPr>
          <w:noProof/>
        </w:rPr>
        <w:t>2</w:t>
      </w:r>
      <w:r w:rsidR="00A11F7B">
        <w:rPr>
          <w:noProof/>
        </w:rPr>
        <w:fldChar w:fldCharType="end"/>
      </w:r>
      <w:r w:rsidR="00255596">
        <w:t>: Pearson Correlation Coefficients between ARoP rates (unadjusted) and selected socio-economic indicators</w:t>
      </w:r>
      <w:r w:rsidR="00CA2C90">
        <w:t>, ESPON space, EU15, and EU12</w:t>
      </w:r>
      <w:r w:rsidR="00255596">
        <w:t>.</w:t>
      </w:r>
      <w:bookmarkEnd w:id="33"/>
    </w:p>
    <w:tbl>
      <w:tblPr>
        <w:tblW w:w="0" w:type="auto"/>
        <w:tblInd w:w="93" w:type="dxa"/>
        <w:tblLook w:val="04A0" w:firstRow="1" w:lastRow="0" w:firstColumn="1" w:lastColumn="0" w:noHBand="0" w:noVBand="1"/>
      </w:tblPr>
      <w:tblGrid>
        <w:gridCol w:w="1711"/>
        <w:gridCol w:w="1419"/>
        <w:gridCol w:w="1312"/>
        <w:gridCol w:w="737"/>
        <w:gridCol w:w="737"/>
      </w:tblGrid>
      <w:tr w:rsidR="00C95C69" w:rsidRPr="00C95C69" w:rsidTr="0023036B">
        <w:trPr>
          <w:trHeight w:val="283"/>
        </w:trPr>
        <w:tc>
          <w:tcPr>
            <w:tcW w:w="0" w:type="auto"/>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C95C69" w:rsidRPr="006C6A7D" w:rsidRDefault="00C95C69" w:rsidP="006C6A7D">
            <w:pPr>
              <w:spacing w:before="0" w:line="240" w:lineRule="auto"/>
              <w:jc w:val="right"/>
              <w:rPr>
                <w:rFonts w:ascii="Calibri" w:hAnsi="Calibri"/>
                <w:b/>
                <w:bCs/>
                <w:color w:val="000000"/>
                <w:sz w:val="20"/>
                <w:lang w:eastAsia="en-GB"/>
              </w:rPr>
            </w:pPr>
            <w:r w:rsidRPr="006C6A7D">
              <w:rPr>
                <w:rFonts w:ascii="Calibri" w:hAnsi="Calibri"/>
                <w:b/>
                <w:bCs/>
                <w:color w:val="000000"/>
                <w:sz w:val="20"/>
                <w:lang w:eastAsia="en-GB"/>
              </w:rPr>
              <w:t>Theme</w:t>
            </w:r>
          </w:p>
        </w:tc>
        <w:tc>
          <w:tcPr>
            <w:tcW w:w="0" w:type="auto"/>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C95C69" w:rsidRPr="006C6A7D" w:rsidRDefault="00C95C69" w:rsidP="006C6A7D">
            <w:pPr>
              <w:spacing w:before="0" w:line="240" w:lineRule="auto"/>
              <w:jc w:val="right"/>
              <w:rPr>
                <w:rFonts w:ascii="Calibri" w:hAnsi="Calibri"/>
                <w:b/>
                <w:bCs/>
                <w:color w:val="000000"/>
                <w:sz w:val="20"/>
                <w:lang w:eastAsia="en-GB"/>
              </w:rPr>
            </w:pPr>
            <w:r w:rsidRPr="006C6A7D">
              <w:rPr>
                <w:rFonts w:ascii="Calibri" w:hAnsi="Calibri"/>
                <w:b/>
                <w:bCs/>
                <w:color w:val="000000"/>
                <w:sz w:val="20"/>
                <w:lang w:eastAsia="en-GB"/>
              </w:rPr>
              <w:t>Indicator</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C95C69" w:rsidRPr="006C6A7D" w:rsidRDefault="00C95C69" w:rsidP="006C6A7D">
            <w:pPr>
              <w:spacing w:before="0" w:line="240" w:lineRule="auto"/>
              <w:rPr>
                <w:rFonts w:ascii="Calibri" w:hAnsi="Calibri"/>
                <w:color w:val="000000"/>
                <w:sz w:val="20"/>
                <w:lang w:eastAsia="en-GB"/>
              </w:rPr>
            </w:pPr>
            <w:r w:rsidRPr="006C6A7D">
              <w:rPr>
                <w:rFonts w:ascii="Calibri" w:hAnsi="Calibri"/>
                <w:b/>
                <w:bCs/>
                <w:color w:val="000000"/>
                <w:sz w:val="20"/>
                <w:lang w:eastAsia="en-GB"/>
              </w:rPr>
              <w:t>ESPON Space</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b/>
                <w:bCs/>
                <w:color w:val="000000"/>
                <w:sz w:val="20"/>
                <w:lang w:eastAsia="en-GB"/>
              </w:rPr>
              <w:t>EU15</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b/>
                <w:bCs/>
                <w:color w:val="000000"/>
                <w:sz w:val="20"/>
                <w:lang w:eastAsia="en-GB"/>
              </w:rPr>
              <w:t>EU12</w:t>
            </w:r>
          </w:p>
        </w:tc>
      </w:tr>
      <w:tr w:rsidR="00C95C69" w:rsidRPr="00C95C69" w:rsidTr="0023036B">
        <w:trPr>
          <w:trHeight w:val="283"/>
        </w:trPr>
        <w:tc>
          <w:tcPr>
            <w:tcW w:w="0" w:type="auto"/>
            <w:vMerge w:val="restart"/>
            <w:tcBorders>
              <w:top w:val="nil"/>
              <w:left w:val="single" w:sz="4" w:space="0" w:color="auto"/>
              <w:bottom w:val="single" w:sz="4" w:space="0" w:color="000000"/>
              <w:right w:val="single" w:sz="4" w:space="0" w:color="auto"/>
            </w:tcBorders>
            <w:shd w:val="clear" w:color="auto" w:fill="auto"/>
            <w:vAlign w:val="center"/>
            <w:hideMark/>
          </w:tcPr>
          <w:p w:rsidR="00C95C69" w:rsidRPr="006C6A7D" w:rsidRDefault="006C6A7D" w:rsidP="006C6A7D">
            <w:pPr>
              <w:spacing w:before="0" w:line="240" w:lineRule="auto"/>
              <w:jc w:val="center"/>
              <w:rPr>
                <w:rFonts w:ascii="Calibri" w:hAnsi="Calibri"/>
                <w:b/>
                <w:bCs/>
                <w:color w:val="000000"/>
                <w:sz w:val="20"/>
                <w:lang w:eastAsia="en-GB"/>
              </w:rPr>
            </w:pPr>
            <w:r>
              <w:rPr>
                <w:rFonts w:ascii="Calibri" w:hAnsi="Calibri"/>
                <w:b/>
                <w:bCs/>
                <w:color w:val="000000"/>
                <w:sz w:val="20"/>
                <w:lang w:eastAsia="en-GB"/>
              </w:rPr>
              <w:t>Agglom</w:t>
            </w:r>
            <w:r w:rsidR="00C95C69" w:rsidRPr="006C6A7D">
              <w:rPr>
                <w:rFonts w:ascii="Calibri" w:hAnsi="Calibri"/>
                <w:b/>
                <w:bCs/>
                <w:color w:val="000000"/>
                <w:sz w:val="20"/>
                <w:lang w:eastAsia="en-GB"/>
              </w:rPr>
              <w:t>eration</w:t>
            </w: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left"/>
              <w:rPr>
                <w:rFonts w:ascii="Calibri" w:hAnsi="Calibri"/>
                <w:bCs/>
                <w:color w:val="000000"/>
                <w:sz w:val="20"/>
                <w:lang w:eastAsia="en-GB"/>
              </w:rPr>
            </w:pPr>
            <w:r w:rsidRPr="006C6A7D">
              <w:rPr>
                <w:rFonts w:ascii="Calibri" w:hAnsi="Calibri"/>
                <w:bCs/>
                <w:color w:val="000000"/>
                <w:sz w:val="20"/>
                <w:lang w:eastAsia="en-GB"/>
              </w:rPr>
              <w:t>Density</w:t>
            </w:r>
          </w:p>
        </w:tc>
        <w:tc>
          <w:tcPr>
            <w:tcW w:w="0" w:type="auto"/>
            <w:tcBorders>
              <w:top w:val="single" w:sz="4" w:space="0" w:color="auto"/>
              <w:left w:val="nil"/>
              <w:bottom w:val="nil"/>
              <w:right w:val="single" w:sz="4" w:space="0" w:color="auto"/>
            </w:tcBorders>
            <w:shd w:val="clear" w:color="000000" w:fill="BFBFBF"/>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0.029 </w:t>
            </w:r>
          </w:p>
        </w:tc>
        <w:tc>
          <w:tcPr>
            <w:tcW w:w="0" w:type="auto"/>
            <w:tcBorders>
              <w:top w:val="single" w:sz="4" w:space="0" w:color="auto"/>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0.107 </w:t>
            </w:r>
          </w:p>
        </w:tc>
        <w:tc>
          <w:tcPr>
            <w:tcW w:w="0" w:type="auto"/>
            <w:tcBorders>
              <w:top w:val="single" w:sz="4" w:space="0" w:color="auto"/>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-0.285 </w:t>
            </w:r>
          </w:p>
        </w:tc>
      </w:tr>
      <w:tr w:rsidR="00C95C69" w:rsidRPr="00C95C69" w:rsidTr="0023036B">
        <w:trPr>
          <w:trHeight w:val="283"/>
        </w:trPr>
        <w:tc>
          <w:tcPr>
            <w:tcW w:w="0" w:type="auto"/>
            <w:vMerge/>
            <w:tcBorders>
              <w:top w:val="nil"/>
              <w:left w:val="single" w:sz="4" w:space="0" w:color="auto"/>
              <w:bottom w:val="single" w:sz="4" w:space="0" w:color="000000"/>
              <w:right w:val="single" w:sz="4" w:space="0" w:color="auto"/>
            </w:tcBorders>
            <w:vAlign w:val="center"/>
            <w:hideMark/>
          </w:tcPr>
          <w:p w:rsidR="00C95C69" w:rsidRPr="006C6A7D" w:rsidRDefault="00C95C69" w:rsidP="006C6A7D">
            <w:pPr>
              <w:spacing w:before="0" w:line="240" w:lineRule="auto"/>
              <w:jc w:val="left"/>
              <w:rPr>
                <w:rFonts w:ascii="Calibri" w:hAnsi="Calibr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left"/>
              <w:rPr>
                <w:rFonts w:ascii="Calibri" w:hAnsi="Calibri"/>
                <w:bCs/>
                <w:color w:val="000000"/>
                <w:sz w:val="20"/>
                <w:lang w:eastAsia="en-GB"/>
              </w:rPr>
            </w:pPr>
            <w:r w:rsidRPr="006C6A7D">
              <w:rPr>
                <w:rFonts w:ascii="Calibri" w:hAnsi="Calibri"/>
                <w:bCs/>
                <w:color w:val="000000"/>
                <w:sz w:val="20"/>
                <w:lang w:eastAsia="en-GB"/>
              </w:rPr>
              <w:t>Access MM</w:t>
            </w: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-0.386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-0.396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b/>
                <w:bCs/>
                <w:color w:val="000000"/>
                <w:sz w:val="20"/>
                <w:lang w:eastAsia="en-GB"/>
              </w:rPr>
            </w:pPr>
            <w:r w:rsidRPr="006C6A7D">
              <w:rPr>
                <w:rFonts w:ascii="Calibri" w:hAnsi="Calibri"/>
                <w:b/>
                <w:bCs/>
                <w:color w:val="000000"/>
                <w:sz w:val="20"/>
                <w:lang w:eastAsia="en-GB"/>
              </w:rPr>
              <w:t xml:space="preserve">-0.580 </w:t>
            </w:r>
          </w:p>
        </w:tc>
      </w:tr>
      <w:tr w:rsidR="00C95C69" w:rsidRPr="00C95C69" w:rsidTr="0023036B">
        <w:trPr>
          <w:trHeight w:val="283"/>
        </w:trPr>
        <w:tc>
          <w:tcPr>
            <w:tcW w:w="0" w:type="auto"/>
            <w:vMerge/>
            <w:tcBorders>
              <w:top w:val="nil"/>
              <w:left w:val="single" w:sz="4" w:space="0" w:color="auto"/>
              <w:bottom w:val="single" w:sz="4" w:space="0" w:color="000000"/>
              <w:right w:val="single" w:sz="4" w:space="0" w:color="auto"/>
            </w:tcBorders>
            <w:vAlign w:val="center"/>
            <w:hideMark/>
          </w:tcPr>
          <w:p w:rsidR="00C95C69" w:rsidRPr="006C6A7D" w:rsidRDefault="00C95C69" w:rsidP="006C6A7D">
            <w:pPr>
              <w:spacing w:before="0" w:line="240" w:lineRule="auto"/>
              <w:jc w:val="left"/>
              <w:rPr>
                <w:rFonts w:ascii="Calibri" w:hAnsi="Calibri"/>
                <w:b/>
                <w:bCs/>
                <w:color w:val="000000"/>
                <w:sz w:val="20"/>
                <w:lang w:eastAsia="en-GB"/>
              </w:rPr>
            </w:pPr>
          </w:p>
        </w:tc>
        <w:tc>
          <w:tcPr>
            <w:tcW w:w="0" w:type="auto"/>
            <w:tcBorders>
              <w:top w:val="nil"/>
              <w:left w:val="nil"/>
              <w:bottom w:val="single" w:sz="4" w:space="0" w:color="auto"/>
              <w:right w:val="single" w:sz="4" w:space="0" w:color="auto"/>
            </w:tcBorders>
            <w:shd w:val="clear" w:color="auto" w:fill="auto"/>
            <w:noWrap/>
            <w:vAlign w:val="bottom"/>
            <w:hideMark/>
          </w:tcPr>
          <w:p w:rsidR="00C95C69" w:rsidRPr="006C6A7D" w:rsidRDefault="00C95C69" w:rsidP="006C6A7D">
            <w:pPr>
              <w:spacing w:before="0" w:line="240" w:lineRule="auto"/>
              <w:jc w:val="left"/>
              <w:rPr>
                <w:rFonts w:ascii="Calibri" w:hAnsi="Calibri"/>
                <w:bCs/>
                <w:color w:val="000000"/>
                <w:sz w:val="20"/>
                <w:lang w:eastAsia="en-GB"/>
              </w:rPr>
            </w:pPr>
            <w:r w:rsidRPr="006C6A7D">
              <w:rPr>
                <w:rFonts w:ascii="Calibri" w:hAnsi="Calibri"/>
                <w:bCs/>
                <w:color w:val="000000"/>
                <w:sz w:val="20"/>
                <w:lang w:eastAsia="en-GB"/>
              </w:rPr>
              <w:t>Access RD</w:t>
            </w:r>
          </w:p>
        </w:tc>
        <w:tc>
          <w:tcPr>
            <w:tcW w:w="0" w:type="auto"/>
            <w:tcBorders>
              <w:top w:val="nil"/>
              <w:left w:val="nil"/>
              <w:bottom w:val="single" w:sz="4" w:space="0" w:color="auto"/>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-0.384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-0.474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b/>
                <w:bCs/>
                <w:color w:val="000000"/>
                <w:sz w:val="20"/>
                <w:lang w:eastAsia="en-GB"/>
              </w:rPr>
            </w:pPr>
            <w:r w:rsidRPr="006C6A7D">
              <w:rPr>
                <w:rFonts w:ascii="Calibri" w:hAnsi="Calibri"/>
                <w:b/>
                <w:bCs/>
                <w:color w:val="000000"/>
                <w:sz w:val="20"/>
                <w:lang w:eastAsia="en-GB"/>
              </w:rPr>
              <w:t xml:space="preserve">-0.706 </w:t>
            </w:r>
          </w:p>
        </w:tc>
      </w:tr>
      <w:tr w:rsidR="00C95C69" w:rsidRPr="00C95C69" w:rsidTr="0023036B">
        <w:trPr>
          <w:trHeight w:val="28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C95C69" w:rsidRPr="006C6A7D" w:rsidRDefault="00C95C69" w:rsidP="006C6A7D">
            <w:pPr>
              <w:spacing w:before="0" w:line="240" w:lineRule="auto"/>
              <w:jc w:val="left"/>
              <w:rPr>
                <w:rFonts w:ascii="Calibri" w:hAnsi="Calibri"/>
                <w:b/>
                <w:bCs/>
                <w:color w:val="000000"/>
                <w:sz w:val="20"/>
                <w:lang w:eastAsia="en-GB"/>
              </w:rPr>
            </w:pPr>
            <w:r w:rsidRPr="006C6A7D">
              <w:rPr>
                <w:rFonts w:ascii="Calibri" w:hAnsi="Calibri"/>
                <w:b/>
                <w:bCs/>
                <w:color w:val="000000"/>
                <w:sz w:val="20"/>
                <w:lang w:eastAsia="en-GB"/>
              </w:rPr>
              <w:t>Productivity</w:t>
            </w:r>
          </w:p>
        </w:tc>
        <w:tc>
          <w:tcPr>
            <w:tcW w:w="0" w:type="auto"/>
            <w:tcBorders>
              <w:top w:val="nil"/>
              <w:left w:val="nil"/>
              <w:bottom w:val="single" w:sz="4" w:space="0" w:color="auto"/>
              <w:right w:val="single" w:sz="4" w:space="0" w:color="auto"/>
            </w:tcBorders>
            <w:shd w:val="clear" w:color="auto" w:fill="auto"/>
            <w:noWrap/>
            <w:vAlign w:val="bottom"/>
            <w:hideMark/>
          </w:tcPr>
          <w:p w:rsidR="00C95C69" w:rsidRPr="006C6A7D" w:rsidRDefault="00C95C69" w:rsidP="00CA2C90">
            <w:pPr>
              <w:spacing w:before="0" w:line="240" w:lineRule="auto"/>
              <w:jc w:val="left"/>
              <w:rPr>
                <w:rFonts w:ascii="Calibri" w:hAnsi="Calibri"/>
                <w:bCs/>
                <w:color w:val="000000"/>
                <w:sz w:val="20"/>
                <w:lang w:eastAsia="en-GB"/>
              </w:rPr>
            </w:pPr>
            <w:r w:rsidRPr="006C6A7D">
              <w:rPr>
                <w:rFonts w:ascii="Calibri" w:hAnsi="Calibri"/>
                <w:bCs/>
                <w:color w:val="000000"/>
                <w:sz w:val="20"/>
                <w:lang w:eastAsia="en-GB"/>
              </w:rPr>
              <w:t>GDP</w:t>
            </w:r>
            <w:r w:rsidR="00CA2C90">
              <w:rPr>
                <w:rFonts w:ascii="Calibri" w:hAnsi="Calibri"/>
                <w:bCs/>
                <w:color w:val="000000"/>
                <w:sz w:val="20"/>
                <w:lang w:eastAsia="en-GB"/>
              </w:rPr>
              <w:t xml:space="preserve"> </w:t>
            </w:r>
            <w:r w:rsidRPr="006C6A7D">
              <w:rPr>
                <w:rFonts w:ascii="Calibri" w:hAnsi="Calibri"/>
                <w:bCs/>
                <w:color w:val="000000"/>
                <w:sz w:val="20"/>
                <w:lang w:eastAsia="en-GB"/>
              </w:rPr>
              <w:t>PPS</w:t>
            </w:r>
            <w:r w:rsidR="00CA2C90">
              <w:rPr>
                <w:rFonts w:ascii="Calibri" w:hAnsi="Calibri"/>
                <w:bCs/>
                <w:color w:val="000000"/>
                <w:sz w:val="20"/>
                <w:lang w:eastAsia="en-GB"/>
              </w:rPr>
              <w:t xml:space="preserve"> </w:t>
            </w:r>
            <w:r w:rsidRPr="006C6A7D">
              <w:rPr>
                <w:rFonts w:ascii="Calibri" w:hAnsi="Calibri"/>
                <w:bCs/>
                <w:color w:val="000000"/>
                <w:sz w:val="20"/>
                <w:lang w:eastAsia="en-GB"/>
              </w:rPr>
              <w:t>HAB</w:t>
            </w:r>
          </w:p>
        </w:tc>
        <w:tc>
          <w:tcPr>
            <w:tcW w:w="0" w:type="auto"/>
            <w:tcBorders>
              <w:top w:val="nil"/>
              <w:left w:val="nil"/>
              <w:bottom w:val="single" w:sz="4" w:space="0" w:color="auto"/>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-0.385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-0.300 </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b/>
                <w:bCs/>
                <w:color w:val="000000"/>
                <w:sz w:val="20"/>
                <w:lang w:eastAsia="en-GB"/>
              </w:rPr>
            </w:pPr>
            <w:r w:rsidRPr="006C6A7D">
              <w:rPr>
                <w:rFonts w:ascii="Calibri" w:hAnsi="Calibri"/>
                <w:b/>
                <w:bCs/>
                <w:color w:val="000000"/>
                <w:sz w:val="20"/>
                <w:lang w:eastAsia="en-GB"/>
              </w:rPr>
              <w:t xml:space="preserve">-0.561 </w:t>
            </w:r>
          </w:p>
        </w:tc>
      </w:tr>
      <w:tr w:rsidR="00C95C69" w:rsidRPr="00C95C69" w:rsidTr="0023036B">
        <w:trPr>
          <w:trHeight w:val="283"/>
        </w:trPr>
        <w:tc>
          <w:tcPr>
            <w:tcW w:w="0" w:type="auto"/>
            <w:vMerge w:val="restart"/>
            <w:tcBorders>
              <w:top w:val="nil"/>
              <w:left w:val="single" w:sz="4" w:space="0" w:color="auto"/>
              <w:bottom w:val="single" w:sz="4" w:space="0" w:color="000000"/>
              <w:right w:val="single" w:sz="4" w:space="0" w:color="auto"/>
            </w:tcBorders>
            <w:shd w:val="clear" w:color="auto" w:fill="auto"/>
            <w:vAlign w:val="center"/>
            <w:hideMark/>
          </w:tcPr>
          <w:p w:rsidR="00C95C69" w:rsidRPr="006C6A7D" w:rsidRDefault="00C95C69" w:rsidP="006C6A7D">
            <w:pPr>
              <w:spacing w:before="0" w:line="240" w:lineRule="auto"/>
              <w:jc w:val="center"/>
              <w:rPr>
                <w:rFonts w:ascii="Calibri" w:hAnsi="Calibri"/>
                <w:b/>
                <w:bCs/>
                <w:color w:val="000000"/>
                <w:sz w:val="20"/>
                <w:lang w:eastAsia="en-GB"/>
              </w:rPr>
            </w:pPr>
            <w:r w:rsidRPr="006C6A7D">
              <w:rPr>
                <w:rFonts w:ascii="Calibri" w:hAnsi="Calibri"/>
                <w:b/>
                <w:bCs/>
                <w:color w:val="000000"/>
                <w:sz w:val="20"/>
                <w:lang w:eastAsia="en-GB"/>
              </w:rPr>
              <w:t>Labour Market</w:t>
            </w: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left"/>
              <w:rPr>
                <w:rFonts w:ascii="Calibri" w:hAnsi="Calibri"/>
                <w:bCs/>
                <w:color w:val="000000"/>
                <w:sz w:val="20"/>
                <w:lang w:eastAsia="en-GB"/>
              </w:rPr>
            </w:pPr>
            <w:r w:rsidRPr="006C6A7D">
              <w:rPr>
                <w:rFonts w:ascii="Calibri" w:hAnsi="Calibri"/>
                <w:bCs/>
                <w:color w:val="000000"/>
                <w:sz w:val="20"/>
                <w:lang w:eastAsia="en-GB"/>
              </w:rPr>
              <w:t>Unemp(Reg)</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b/>
                <w:bCs/>
                <w:color w:val="000000"/>
                <w:sz w:val="20"/>
                <w:lang w:eastAsia="en-GB"/>
              </w:rPr>
            </w:pPr>
            <w:r w:rsidRPr="006C6A7D">
              <w:rPr>
                <w:rFonts w:ascii="Calibri" w:hAnsi="Calibri"/>
                <w:b/>
                <w:bCs/>
                <w:color w:val="000000"/>
                <w:sz w:val="20"/>
                <w:lang w:eastAsia="en-GB"/>
              </w:rPr>
              <w:t xml:space="preserve">0.542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b/>
                <w:bCs/>
                <w:color w:val="000000"/>
                <w:sz w:val="20"/>
                <w:lang w:eastAsia="en-GB"/>
              </w:rPr>
            </w:pPr>
            <w:r w:rsidRPr="006C6A7D">
              <w:rPr>
                <w:rFonts w:ascii="Calibri" w:hAnsi="Calibri"/>
                <w:b/>
                <w:bCs/>
                <w:color w:val="000000"/>
                <w:sz w:val="20"/>
                <w:lang w:eastAsia="en-GB"/>
              </w:rPr>
              <w:t xml:space="preserve">0.667 </w:t>
            </w:r>
          </w:p>
        </w:tc>
        <w:tc>
          <w:tcPr>
            <w:tcW w:w="0" w:type="auto"/>
            <w:tcBorders>
              <w:top w:val="nil"/>
              <w:left w:val="single" w:sz="4" w:space="0" w:color="auto"/>
              <w:bottom w:val="nil"/>
              <w:right w:val="single" w:sz="4" w:space="0" w:color="auto"/>
            </w:tcBorders>
            <w:shd w:val="clear" w:color="000000" w:fill="BFBFBF"/>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0.099 </w:t>
            </w:r>
          </w:p>
        </w:tc>
      </w:tr>
      <w:tr w:rsidR="00C95C69" w:rsidRPr="00C95C69" w:rsidTr="0023036B">
        <w:trPr>
          <w:trHeight w:val="283"/>
        </w:trPr>
        <w:tc>
          <w:tcPr>
            <w:tcW w:w="0" w:type="auto"/>
            <w:vMerge/>
            <w:tcBorders>
              <w:top w:val="nil"/>
              <w:left w:val="single" w:sz="4" w:space="0" w:color="auto"/>
              <w:bottom w:val="single" w:sz="4" w:space="0" w:color="000000"/>
              <w:right w:val="single" w:sz="4" w:space="0" w:color="auto"/>
            </w:tcBorders>
            <w:vAlign w:val="center"/>
            <w:hideMark/>
          </w:tcPr>
          <w:p w:rsidR="00C95C69" w:rsidRPr="006C6A7D" w:rsidRDefault="00C95C69" w:rsidP="006C6A7D">
            <w:pPr>
              <w:spacing w:before="0" w:line="240" w:lineRule="auto"/>
              <w:jc w:val="left"/>
              <w:rPr>
                <w:rFonts w:ascii="Calibri" w:hAnsi="Calibr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left"/>
              <w:rPr>
                <w:rFonts w:ascii="Calibri" w:hAnsi="Calibri"/>
                <w:bCs/>
                <w:color w:val="000000"/>
                <w:sz w:val="20"/>
                <w:lang w:eastAsia="en-GB"/>
              </w:rPr>
            </w:pPr>
            <w:r w:rsidRPr="006C6A7D">
              <w:rPr>
                <w:rFonts w:ascii="Calibri" w:hAnsi="Calibri"/>
                <w:bCs/>
                <w:color w:val="000000"/>
                <w:sz w:val="20"/>
                <w:lang w:eastAsia="en-GB"/>
              </w:rPr>
              <w:t>Unemp(Cen)</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b/>
                <w:bCs/>
                <w:color w:val="000000"/>
                <w:sz w:val="20"/>
                <w:lang w:eastAsia="en-GB"/>
              </w:rPr>
            </w:pPr>
            <w:r w:rsidRPr="006C6A7D">
              <w:rPr>
                <w:rFonts w:ascii="Calibri" w:hAnsi="Calibri"/>
                <w:b/>
                <w:bCs/>
                <w:color w:val="000000"/>
                <w:sz w:val="20"/>
                <w:lang w:eastAsia="en-GB"/>
              </w:rPr>
              <w:t xml:space="preserve">0.551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b/>
                <w:bCs/>
                <w:color w:val="000000"/>
                <w:sz w:val="20"/>
                <w:lang w:eastAsia="en-GB"/>
              </w:rPr>
            </w:pPr>
            <w:r w:rsidRPr="006C6A7D">
              <w:rPr>
                <w:rFonts w:ascii="Calibri" w:hAnsi="Calibri"/>
                <w:b/>
                <w:bCs/>
                <w:color w:val="000000"/>
                <w:sz w:val="20"/>
                <w:lang w:eastAsia="en-GB"/>
              </w:rPr>
              <w:t xml:space="preserve">0.618 </w:t>
            </w:r>
          </w:p>
        </w:tc>
        <w:tc>
          <w:tcPr>
            <w:tcW w:w="0" w:type="auto"/>
            <w:tcBorders>
              <w:top w:val="nil"/>
              <w:left w:val="single" w:sz="4" w:space="0" w:color="auto"/>
              <w:bottom w:val="nil"/>
              <w:right w:val="single" w:sz="4" w:space="0" w:color="auto"/>
            </w:tcBorders>
            <w:shd w:val="clear" w:color="000000" w:fill="BFBFBF"/>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0.111 </w:t>
            </w:r>
          </w:p>
        </w:tc>
      </w:tr>
      <w:tr w:rsidR="00C95C69" w:rsidRPr="00C95C69" w:rsidTr="0023036B">
        <w:trPr>
          <w:trHeight w:val="283"/>
        </w:trPr>
        <w:tc>
          <w:tcPr>
            <w:tcW w:w="0" w:type="auto"/>
            <w:vMerge/>
            <w:tcBorders>
              <w:top w:val="nil"/>
              <w:left w:val="single" w:sz="4" w:space="0" w:color="auto"/>
              <w:bottom w:val="single" w:sz="4" w:space="0" w:color="000000"/>
              <w:right w:val="single" w:sz="4" w:space="0" w:color="auto"/>
            </w:tcBorders>
            <w:vAlign w:val="center"/>
            <w:hideMark/>
          </w:tcPr>
          <w:p w:rsidR="00C95C69" w:rsidRPr="006C6A7D" w:rsidRDefault="00C95C69" w:rsidP="006C6A7D">
            <w:pPr>
              <w:spacing w:before="0" w:line="240" w:lineRule="auto"/>
              <w:jc w:val="left"/>
              <w:rPr>
                <w:rFonts w:ascii="Calibri" w:hAnsi="Calibr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left"/>
              <w:rPr>
                <w:rFonts w:ascii="Calibri" w:hAnsi="Calibri"/>
                <w:bCs/>
                <w:color w:val="000000"/>
                <w:sz w:val="20"/>
                <w:lang w:eastAsia="en-GB"/>
              </w:rPr>
            </w:pPr>
            <w:r w:rsidRPr="006C6A7D">
              <w:rPr>
                <w:rFonts w:ascii="Calibri" w:hAnsi="Calibri"/>
                <w:bCs/>
                <w:color w:val="000000"/>
                <w:sz w:val="20"/>
                <w:lang w:eastAsia="en-GB"/>
              </w:rPr>
              <w:t>Yunemp(Reg)</w:t>
            </w: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0.471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b/>
                <w:bCs/>
                <w:color w:val="000000"/>
                <w:sz w:val="20"/>
                <w:lang w:eastAsia="en-GB"/>
              </w:rPr>
            </w:pPr>
            <w:r w:rsidRPr="006C6A7D">
              <w:rPr>
                <w:rFonts w:ascii="Calibri" w:hAnsi="Calibri"/>
                <w:b/>
                <w:bCs/>
                <w:color w:val="000000"/>
                <w:sz w:val="20"/>
                <w:lang w:eastAsia="en-GB"/>
              </w:rPr>
              <w:t xml:space="preserve">0.603 </w:t>
            </w:r>
          </w:p>
        </w:tc>
        <w:tc>
          <w:tcPr>
            <w:tcW w:w="0" w:type="auto"/>
            <w:tcBorders>
              <w:top w:val="nil"/>
              <w:left w:val="single" w:sz="4" w:space="0" w:color="auto"/>
              <w:bottom w:val="nil"/>
              <w:right w:val="single" w:sz="4" w:space="0" w:color="auto"/>
            </w:tcBorders>
            <w:shd w:val="clear" w:color="000000" w:fill="BFBFBF"/>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0.150 </w:t>
            </w:r>
          </w:p>
        </w:tc>
      </w:tr>
      <w:tr w:rsidR="00C95C69" w:rsidRPr="00C95C69" w:rsidTr="0023036B">
        <w:trPr>
          <w:trHeight w:val="283"/>
        </w:trPr>
        <w:tc>
          <w:tcPr>
            <w:tcW w:w="0" w:type="auto"/>
            <w:vMerge/>
            <w:tcBorders>
              <w:top w:val="nil"/>
              <w:left w:val="single" w:sz="4" w:space="0" w:color="auto"/>
              <w:bottom w:val="single" w:sz="4" w:space="0" w:color="000000"/>
              <w:right w:val="single" w:sz="4" w:space="0" w:color="auto"/>
            </w:tcBorders>
            <w:vAlign w:val="center"/>
            <w:hideMark/>
          </w:tcPr>
          <w:p w:rsidR="00C95C69" w:rsidRPr="006C6A7D" w:rsidRDefault="00C95C69" w:rsidP="006C6A7D">
            <w:pPr>
              <w:spacing w:before="0" w:line="240" w:lineRule="auto"/>
              <w:jc w:val="left"/>
              <w:rPr>
                <w:rFonts w:ascii="Calibri" w:hAnsi="Calibr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left"/>
              <w:rPr>
                <w:rFonts w:ascii="Calibri" w:hAnsi="Calibri"/>
                <w:bCs/>
                <w:color w:val="000000"/>
                <w:sz w:val="20"/>
                <w:lang w:eastAsia="en-GB"/>
              </w:rPr>
            </w:pPr>
            <w:r w:rsidRPr="006C6A7D">
              <w:rPr>
                <w:rFonts w:ascii="Calibri" w:hAnsi="Calibri"/>
                <w:bCs/>
                <w:color w:val="000000"/>
                <w:sz w:val="20"/>
                <w:lang w:eastAsia="en-GB"/>
              </w:rPr>
              <w:t>Yunemp(Cen)</w:t>
            </w: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0.493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b/>
                <w:bCs/>
                <w:color w:val="000000"/>
                <w:sz w:val="20"/>
                <w:lang w:eastAsia="en-GB"/>
              </w:rPr>
            </w:pPr>
            <w:r w:rsidRPr="006C6A7D">
              <w:rPr>
                <w:rFonts w:ascii="Calibri" w:hAnsi="Calibri"/>
                <w:b/>
                <w:bCs/>
                <w:color w:val="000000"/>
                <w:sz w:val="20"/>
                <w:lang w:eastAsia="en-GB"/>
              </w:rPr>
              <w:t xml:space="preserve">0.526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0.375 </w:t>
            </w:r>
          </w:p>
        </w:tc>
      </w:tr>
      <w:tr w:rsidR="00C95C69" w:rsidRPr="00C95C69" w:rsidTr="0023036B">
        <w:trPr>
          <w:trHeight w:val="283"/>
        </w:trPr>
        <w:tc>
          <w:tcPr>
            <w:tcW w:w="0" w:type="auto"/>
            <w:vMerge/>
            <w:tcBorders>
              <w:top w:val="nil"/>
              <w:left w:val="single" w:sz="4" w:space="0" w:color="auto"/>
              <w:bottom w:val="single" w:sz="4" w:space="0" w:color="000000"/>
              <w:right w:val="single" w:sz="4" w:space="0" w:color="auto"/>
            </w:tcBorders>
            <w:vAlign w:val="center"/>
            <w:hideMark/>
          </w:tcPr>
          <w:p w:rsidR="00C95C69" w:rsidRPr="006C6A7D" w:rsidRDefault="00C95C69" w:rsidP="006C6A7D">
            <w:pPr>
              <w:spacing w:before="0" w:line="240" w:lineRule="auto"/>
              <w:jc w:val="left"/>
              <w:rPr>
                <w:rFonts w:ascii="Calibri" w:hAnsi="Calibr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left"/>
              <w:rPr>
                <w:rFonts w:ascii="Calibri" w:hAnsi="Calibri"/>
                <w:bCs/>
                <w:color w:val="000000"/>
                <w:sz w:val="20"/>
                <w:lang w:eastAsia="en-GB"/>
              </w:rPr>
            </w:pPr>
            <w:r w:rsidRPr="006C6A7D">
              <w:rPr>
                <w:rFonts w:ascii="Calibri" w:hAnsi="Calibri"/>
                <w:bCs/>
                <w:color w:val="000000"/>
                <w:sz w:val="20"/>
                <w:lang w:eastAsia="en-GB"/>
              </w:rPr>
              <w:t>LTUnemp(Reg)</w:t>
            </w: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0.408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b/>
                <w:bCs/>
                <w:color w:val="000000"/>
                <w:sz w:val="20"/>
                <w:lang w:eastAsia="en-GB"/>
              </w:rPr>
            </w:pPr>
            <w:r w:rsidRPr="006C6A7D">
              <w:rPr>
                <w:rFonts w:ascii="Calibri" w:hAnsi="Calibri"/>
                <w:b/>
                <w:bCs/>
                <w:color w:val="000000"/>
                <w:sz w:val="20"/>
                <w:lang w:eastAsia="en-GB"/>
              </w:rPr>
              <w:t xml:space="preserve">0.631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0.195 </w:t>
            </w:r>
          </w:p>
        </w:tc>
      </w:tr>
      <w:tr w:rsidR="00C95C69" w:rsidRPr="00C95C69" w:rsidTr="0023036B">
        <w:trPr>
          <w:trHeight w:val="283"/>
        </w:trPr>
        <w:tc>
          <w:tcPr>
            <w:tcW w:w="0" w:type="auto"/>
            <w:vMerge/>
            <w:tcBorders>
              <w:top w:val="nil"/>
              <w:left w:val="single" w:sz="4" w:space="0" w:color="auto"/>
              <w:bottom w:val="single" w:sz="4" w:space="0" w:color="000000"/>
              <w:right w:val="single" w:sz="4" w:space="0" w:color="auto"/>
            </w:tcBorders>
            <w:vAlign w:val="center"/>
            <w:hideMark/>
          </w:tcPr>
          <w:p w:rsidR="00C95C69" w:rsidRPr="006C6A7D" w:rsidRDefault="00C95C69" w:rsidP="006C6A7D">
            <w:pPr>
              <w:spacing w:before="0" w:line="240" w:lineRule="auto"/>
              <w:jc w:val="left"/>
              <w:rPr>
                <w:rFonts w:ascii="Calibri" w:hAnsi="Calibr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left"/>
              <w:rPr>
                <w:rFonts w:ascii="Calibri" w:hAnsi="Calibri"/>
                <w:bCs/>
                <w:color w:val="000000"/>
                <w:sz w:val="20"/>
                <w:lang w:eastAsia="en-GB"/>
              </w:rPr>
            </w:pPr>
            <w:r w:rsidRPr="006C6A7D">
              <w:rPr>
                <w:rFonts w:ascii="Calibri" w:hAnsi="Calibri"/>
                <w:bCs/>
                <w:color w:val="000000"/>
                <w:sz w:val="20"/>
                <w:lang w:eastAsia="en-GB"/>
              </w:rPr>
              <w:t>EARate</w:t>
            </w: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-0.397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-0.312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-0.247 </w:t>
            </w:r>
          </w:p>
        </w:tc>
      </w:tr>
      <w:tr w:rsidR="00C95C69" w:rsidRPr="00C95C69" w:rsidTr="0023036B">
        <w:trPr>
          <w:trHeight w:val="283"/>
        </w:trPr>
        <w:tc>
          <w:tcPr>
            <w:tcW w:w="0" w:type="auto"/>
            <w:vMerge/>
            <w:tcBorders>
              <w:top w:val="nil"/>
              <w:left w:val="single" w:sz="4" w:space="0" w:color="auto"/>
              <w:bottom w:val="single" w:sz="4" w:space="0" w:color="000000"/>
              <w:right w:val="single" w:sz="4" w:space="0" w:color="auto"/>
            </w:tcBorders>
            <w:vAlign w:val="center"/>
            <w:hideMark/>
          </w:tcPr>
          <w:p w:rsidR="00C95C69" w:rsidRPr="006C6A7D" w:rsidRDefault="00C95C69" w:rsidP="006C6A7D">
            <w:pPr>
              <w:spacing w:before="0" w:line="240" w:lineRule="auto"/>
              <w:jc w:val="left"/>
              <w:rPr>
                <w:rFonts w:ascii="Calibri" w:hAnsi="Calibr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C95C69" w:rsidRPr="006C6A7D" w:rsidRDefault="00CA2C90" w:rsidP="00CA2C90">
            <w:pPr>
              <w:spacing w:before="0" w:line="240" w:lineRule="auto"/>
              <w:jc w:val="left"/>
              <w:rPr>
                <w:rFonts w:ascii="Calibri" w:hAnsi="Calibri"/>
                <w:bCs/>
                <w:color w:val="000000"/>
                <w:sz w:val="20"/>
                <w:lang w:eastAsia="en-GB"/>
              </w:rPr>
            </w:pPr>
            <w:r>
              <w:rPr>
                <w:rFonts w:ascii="Calibri" w:hAnsi="Calibri"/>
                <w:bCs/>
                <w:color w:val="000000"/>
                <w:sz w:val="20"/>
                <w:lang w:eastAsia="en-GB"/>
              </w:rPr>
              <w:t>Inactivity</w:t>
            </w: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0.275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0.243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0.315 </w:t>
            </w:r>
          </w:p>
        </w:tc>
      </w:tr>
      <w:tr w:rsidR="00C95C69" w:rsidRPr="00C95C69" w:rsidTr="0023036B">
        <w:trPr>
          <w:trHeight w:val="283"/>
        </w:trPr>
        <w:tc>
          <w:tcPr>
            <w:tcW w:w="0" w:type="auto"/>
            <w:vMerge/>
            <w:tcBorders>
              <w:top w:val="nil"/>
              <w:left w:val="single" w:sz="4" w:space="0" w:color="auto"/>
              <w:bottom w:val="single" w:sz="4" w:space="0" w:color="000000"/>
              <w:right w:val="single" w:sz="4" w:space="0" w:color="auto"/>
            </w:tcBorders>
            <w:vAlign w:val="center"/>
            <w:hideMark/>
          </w:tcPr>
          <w:p w:rsidR="00C95C69" w:rsidRPr="006C6A7D" w:rsidRDefault="00C95C69" w:rsidP="006C6A7D">
            <w:pPr>
              <w:spacing w:before="0" w:line="240" w:lineRule="auto"/>
              <w:jc w:val="left"/>
              <w:rPr>
                <w:rFonts w:ascii="Calibri" w:hAnsi="Calibr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left"/>
              <w:rPr>
                <w:rFonts w:ascii="Calibri" w:hAnsi="Calibri"/>
                <w:bCs/>
                <w:color w:val="000000"/>
                <w:sz w:val="20"/>
                <w:lang w:eastAsia="en-GB"/>
              </w:rPr>
            </w:pPr>
            <w:r w:rsidRPr="006C6A7D">
              <w:rPr>
                <w:rFonts w:ascii="Calibri" w:hAnsi="Calibri"/>
                <w:bCs/>
                <w:color w:val="000000"/>
                <w:sz w:val="20"/>
                <w:lang w:eastAsia="en-GB"/>
              </w:rPr>
              <w:t>EmpRate</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b/>
                <w:bCs/>
                <w:color w:val="000000"/>
                <w:sz w:val="20"/>
                <w:lang w:eastAsia="en-GB"/>
              </w:rPr>
            </w:pPr>
            <w:r w:rsidRPr="006C6A7D">
              <w:rPr>
                <w:rFonts w:ascii="Calibri" w:hAnsi="Calibri"/>
                <w:b/>
                <w:bCs/>
                <w:color w:val="000000"/>
                <w:sz w:val="20"/>
                <w:lang w:eastAsia="en-GB"/>
              </w:rPr>
              <w:t xml:space="preserve">-0.503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b/>
                <w:bCs/>
                <w:color w:val="000000"/>
                <w:sz w:val="20"/>
                <w:lang w:eastAsia="en-GB"/>
              </w:rPr>
            </w:pPr>
            <w:r w:rsidRPr="006C6A7D">
              <w:rPr>
                <w:rFonts w:ascii="Calibri" w:hAnsi="Calibri"/>
                <w:b/>
                <w:bCs/>
                <w:color w:val="000000"/>
                <w:sz w:val="20"/>
                <w:lang w:eastAsia="en-GB"/>
              </w:rPr>
              <w:t xml:space="preserve">-0.522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-0.260 </w:t>
            </w:r>
          </w:p>
        </w:tc>
      </w:tr>
      <w:tr w:rsidR="00C95C69" w:rsidRPr="00C95C69" w:rsidTr="0023036B">
        <w:trPr>
          <w:trHeight w:val="283"/>
        </w:trPr>
        <w:tc>
          <w:tcPr>
            <w:tcW w:w="0" w:type="auto"/>
            <w:vMerge w:val="restart"/>
            <w:tcBorders>
              <w:top w:val="nil"/>
              <w:left w:val="single" w:sz="4" w:space="0" w:color="auto"/>
              <w:bottom w:val="single" w:sz="4" w:space="0" w:color="000000"/>
              <w:right w:val="single" w:sz="4" w:space="0" w:color="auto"/>
            </w:tcBorders>
            <w:shd w:val="clear" w:color="auto" w:fill="auto"/>
            <w:vAlign w:val="center"/>
            <w:hideMark/>
          </w:tcPr>
          <w:p w:rsidR="00C95C69" w:rsidRPr="006C6A7D" w:rsidRDefault="00C95C69" w:rsidP="006C6A7D">
            <w:pPr>
              <w:spacing w:before="0" w:line="240" w:lineRule="auto"/>
              <w:jc w:val="center"/>
              <w:rPr>
                <w:rFonts w:ascii="Calibri" w:hAnsi="Calibri"/>
                <w:b/>
                <w:bCs/>
                <w:color w:val="000000"/>
                <w:sz w:val="20"/>
                <w:lang w:eastAsia="en-GB"/>
              </w:rPr>
            </w:pPr>
            <w:r w:rsidRPr="006C6A7D">
              <w:rPr>
                <w:rFonts w:ascii="Calibri" w:hAnsi="Calibri"/>
                <w:b/>
                <w:bCs/>
                <w:color w:val="000000"/>
                <w:sz w:val="20"/>
                <w:lang w:eastAsia="en-GB"/>
              </w:rPr>
              <w:t>Sectoral Structure</w:t>
            </w:r>
          </w:p>
          <w:p w:rsidR="00C95C69" w:rsidRPr="006C6A7D" w:rsidRDefault="00C95C69" w:rsidP="006C6A7D">
            <w:pPr>
              <w:spacing w:before="0" w:line="240" w:lineRule="auto"/>
              <w:jc w:val="center"/>
              <w:rPr>
                <w:rFonts w:ascii="Calibri" w:hAnsi="Calibri"/>
                <w:b/>
                <w:bCs/>
                <w:color w:val="000000"/>
                <w:sz w:val="20"/>
                <w:lang w:eastAsia="en-GB"/>
              </w:rPr>
            </w:pPr>
            <w:r w:rsidRPr="006C6A7D">
              <w:rPr>
                <w:rFonts w:ascii="Calibri" w:hAnsi="Calibri"/>
                <w:b/>
                <w:bCs/>
                <w:color w:val="000000"/>
                <w:sz w:val="20"/>
                <w:lang w:eastAsia="en-GB"/>
              </w:rPr>
              <w:t>(Employment)</w:t>
            </w:r>
          </w:p>
        </w:tc>
        <w:tc>
          <w:tcPr>
            <w:tcW w:w="0" w:type="auto"/>
            <w:tcBorders>
              <w:top w:val="single" w:sz="4" w:space="0" w:color="auto"/>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left"/>
              <w:rPr>
                <w:rFonts w:ascii="Calibri" w:hAnsi="Calibri"/>
                <w:bCs/>
                <w:color w:val="000000"/>
                <w:sz w:val="20"/>
                <w:lang w:eastAsia="en-GB"/>
              </w:rPr>
            </w:pPr>
            <w:r w:rsidRPr="006C6A7D">
              <w:rPr>
                <w:rFonts w:ascii="Calibri" w:hAnsi="Calibri"/>
                <w:bCs/>
                <w:color w:val="000000"/>
                <w:sz w:val="20"/>
                <w:lang w:eastAsia="en-GB"/>
              </w:rPr>
              <w:t>A</w:t>
            </w:r>
          </w:p>
        </w:tc>
        <w:tc>
          <w:tcPr>
            <w:tcW w:w="0" w:type="auto"/>
            <w:tcBorders>
              <w:top w:val="single" w:sz="4" w:space="0" w:color="auto"/>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0.387 </w:t>
            </w:r>
          </w:p>
        </w:tc>
        <w:tc>
          <w:tcPr>
            <w:tcW w:w="0" w:type="auto"/>
            <w:tcBorders>
              <w:top w:val="single" w:sz="4" w:space="0" w:color="auto"/>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0.279 </w:t>
            </w:r>
          </w:p>
        </w:tc>
        <w:tc>
          <w:tcPr>
            <w:tcW w:w="0" w:type="auto"/>
            <w:tcBorders>
              <w:top w:val="single" w:sz="4" w:space="0" w:color="auto"/>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b/>
                <w:bCs/>
                <w:color w:val="000000"/>
                <w:sz w:val="20"/>
                <w:lang w:eastAsia="en-GB"/>
              </w:rPr>
            </w:pPr>
            <w:r w:rsidRPr="006C6A7D">
              <w:rPr>
                <w:rFonts w:ascii="Calibri" w:hAnsi="Calibri"/>
                <w:b/>
                <w:bCs/>
                <w:color w:val="000000"/>
                <w:sz w:val="20"/>
                <w:lang w:eastAsia="en-GB"/>
              </w:rPr>
              <w:t xml:space="preserve">0.714 </w:t>
            </w:r>
          </w:p>
        </w:tc>
      </w:tr>
      <w:tr w:rsidR="00C95C69" w:rsidRPr="00C95C69" w:rsidTr="0023036B">
        <w:trPr>
          <w:trHeight w:val="283"/>
        </w:trPr>
        <w:tc>
          <w:tcPr>
            <w:tcW w:w="0" w:type="auto"/>
            <w:vMerge/>
            <w:tcBorders>
              <w:top w:val="nil"/>
              <w:left w:val="single" w:sz="4" w:space="0" w:color="auto"/>
              <w:bottom w:val="single" w:sz="4" w:space="0" w:color="000000"/>
              <w:right w:val="single" w:sz="4" w:space="0" w:color="auto"/>
            </w:tcBorders>
            <w:vAlign w:val="center"/>
            <w:hideMark/>
          </w:tcPr>
          <w:p w:rsidR="00C95C69" w:rsidRPr="006C6A7D" w:rsidRDefault="00C95C69" w:rsidP="006C6A7D">
            <w:pPr>
              <w:spacing w:before="0" w:line="240" w:lineRule="auto"/>
              <w:jc w:val="left"/>
              <w:rPr>
                <w:rFonts w:ascii="Calibri" w:hAnsi="Calibr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left"/>
              <w:rPr>
                <w:rFonts w:ascii="Calibri" w:hAnsi="Calibri"/>
                <w:bCs/>
                <w:color w:val="000000"/>
                <w:sz w:val="20"/>
                <w:lang w:eastAsia="en-GB"/>
              </w:rPr>
            </w:pPr>
            <w:r w:rsidRPr="006C6A7D">
              <w:rPr>
                <w:rFonts w:ascii="Calibri" w:hAnsi="Calibri"/>
                <w:bCs/>
                <w:color w:val="000000"/>
                <w:sz w:val="20"/>
                <w:lang w:eastAsia="en-GB"/>
              </w:rPr>
              <w:t>B-E</w:t>
            </w: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-0.261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-0.336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-0.301 </w:t>
            </w:r>
          </w:p>
        </w:tc>
      </w:tr>
      <w:tr w:rsidR="00C95C69" w:rsidRPr="00C95C69" w:rsidTr="0023036B">
        <w:trPr>
          <w:trHeight w:val="283"/>
        </w:trPr>
        <w:tc>
          <w:tcPr>
            <w:tcW w:w="0" w:type="auto"/>
            <w:vMerge/>
            <w:tcBorders>
              <w:top w:val="nil"/>
              <w:left w:val="single" w:sz="4" w:space="0" w:color="auto"/>
              <w:bottom w:val="single" w:sz="4" w:space="0" w:color="000000"/>
              <w:right w:val="single" w:sz="4" w:space="0" w:color="auto"/>
            </w:tcBorders>
            <w:vAlign w:val="center"/>
            <w:hideMark/>
          </w:tcPr>
          <w:p w:rsidR="00C95C69" w:rsidRPr="006C6A7D" w:rsidRDefault="00C95C69" w:rsidP="006C6A7D">
            <w:pPr>
              <w:spacing w:before="0" w:line="240" w:lineRule="auto"/>
              <w:jc w:val="left"/>
              <w:rPr>
                <w:rFonts w:ascii="Calibri" w:hAnsi="Calibr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left"/>
              <w:rPr>
                <w:rFonts w:ascii="Calibri" w:hAnsi="Calibri"/>
                <w:bCs/>
                <w:color w:val="000000"/>
                <w:sz w:val="20"/>
                <w:lang w:eastAsia="en-GB"/>
              </w:rPr>
            </w:pPr>
            <w:r w:rsidRPr="006C6A7D">
              <w:rPr>
                <w:rFonts w:ascii="Calibri" w:hAnsi="Calibri"/>
                <w:bCs/>
                <w:color w:val="000000"/>
                <w:sz w:val="20"/>
                <w:lang w:eastAsia="en-GB"/>
              </w:rPr>
              <w:t>C</w:t>
            </w: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-0.298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-0.369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-0.288 </w:t>
            </w:r>
          </w:p>
        </w:tc>
      </w:tr>
      <w:tr w:rsidR="00C95C69" w:rsidRPr="00C95C69" w:rsidTr="0023036B">
        <w:trPr>
          <w:trHeight w:val="283"/>
        </w:trPr>
        <w:tc>
          <w:tcPr>
            <w:tcW w:w="0" w:type="auto"/>
            <w:vMerge/>
            <w:tcBorders>
              <w:top w:val="nil"/>
              <w:left w:val="single" w:sz="4" w:space="0" w:color="auto"/>
              <w:bottom w:val="single" w:sz="4" w:space="0" w:color="000000"/>
              <w:right w:val="single" w:sz="4" w:space="0" w:color="auto"/>
            </w:tcBorders>
            <w:vAlign w:val="center"/>
            <w:hideMark/>
          </w:tcPr>
          <w:p w:rsidR="00C95C69" w:rsidRPr="006C6A7D" w:rsidRDefault="00C95C69" w:rsidP="006C6A7D">
            <w:pPr>
              <w:spacing w:before="0" w:line="240" w:lineRule="auto"/>
              <w:jc w:val="left"/>
              <w:rPr>
                <w:rFonts w:ascii="Calibri" w:hAnsi="Calibr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left"/>
              <w:rPr>
                <w:rFonts w:ascii="Calibri" w:hAnsi="Calibri"/>
                <w:bCs/>
                <w:color w:val="000000"/>
                <w:sz w:val="20"/>
                <w:lang w:eastAsia="en-GB"/>
              </w:rPr>
            </w:pPr>
            <w:r w:rsidRPr="006C6A7D">
              <w:rPr>
                <w:rFonts w:ascii="Calibri" w:hAnsi="Calibri"/>
                <w:bCs/>
                <w:color w:val="000000"/>
                <w:sz w:val="20"/>
                <w:lang w:eastAsia="en-GB"/>
              </w:rPr>
              <w:t>F</w:t>
            </w: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0.096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0.205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-0.430 </w:t>
            </w:r>
          </w:p>
        </w:tc>
      </w:tr>
      <w:tr w:rsidR="00C95C69" w:rsidRPr="00C95C69" w:rsidTr="0023036B">
        <w:trPr>
          <w:trHeight w:val="283"/>
        </w:trPr>
        <w:tc>
          <w:tcPr>
            <w:tcW w:w="0" w:type="auto"/>
            <w:vMerge/>
            <w:tcBorders>
              <w:top w:val="nil"/>
              <w:left w:val="single" w:sz="4" w:space="0" w:color="auto"/>
              <w:bottom w:val="single" w:sz="4" w:space="0" w:color="000000"/>
              <w:right w:val="single" w:sz="4" w:space="0" w:color="auto"/>
            </w:tcBorders>
            <w:vAlign w:val="center"/>
            <w:hideMark/>
          </w:tcPr>
          <w:p w:rsidR="00C95C69" w:rsidRPr="006C6A7D" w:rsidRDefault="00C95C69" w:rsidP="006C6A7D">
            <w:pPr>
              <w:spacing w:before="0" w:line="240" w:lineRule="auto"/>
              <w:jc w:val="left"/>
              <w:rPr>
                <w:rFonts w:ascii="Calibri" w:hAnsi="Calibr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left"/>
              <w:rPr>
                <w:rFonts w:ascii="Calibri" w:hAnsi="Calibri"/>
                <w:bCs/>
                <w:color w:val="000000"/>
                <w:sz w:val="20"/>
                <w:lang w:eastAsia="en-GB"/>
              </w:rPr>
            </w:pPr>
            <w:r w:rsidRPr="006C6A7D">
              <w:rPr>
                <w:rFonts w:ascii="Calibri" w:hAnsi="Calibri"/>
                <w:bCs/>
                <w:color w:val="000000"/>
                <w:sz w:val="20"/>
                <w:lang w:eastAsia="en-GB"/>
              </w:rPr>
              <w:t>G-J</w:t>
            </w: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-0.103 </w:t>
            </w:r>
          </w:p>
        </w:tc>
        <w:tc>
          <w:tcPr>
            <w:tcW w:w="0" w:type="auto"/>
            <w:tcBorders>
              <w:top w:val="nil"/>
              <w:left w:val="single" w:sz="4" w:space="0" w:color="auto"/>
              <w:bottom w:val="nil"/>
              <w:right w:val="single" w:sz="4" w:space="0" w:color="auto"/>
            </w:tcBorders>
            <w:shd w:val="clear" w:color="000000" w:fill="BFBFBF"/>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0.054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b/>
                <w:bCs/>
                <w:color w:val="000000"/>
                <w:sz w:val="20"/>
                <w:lang w:eastAsia="en-GB"/>
              </w:rPr>
            </w:pPr>
            <w:r w:rsidRPr="00FE2100">
              <w:rPr>
                <w:rFonts w:ascii="Calibri" w:hAnsi="Calibri"/>
                <w:b/>
                <w:bCs/>
                <w:color w:val="FF0000"/>
                <w:sz w:val="20"/>
                <w:lang w:eastAsia="en-GB"/>
              </w:rPr>
              <w:t xml:space="preserve">-0.582 </w:t>
            </w:r>
          </w:p>
        </w:tc>
      </w:tr>
      <w:tr w:rsidR="00C95C69" w:rsidRPr="00C95C69" w:rsidTr="0023036B">
        <w:trPr>
          <w:trHeight w:val="283"/>
        </w:trPr>
        <w:tc>
          <w:tcPr>
            <w:tcW w:w="0" w:type="auto"/>
            <w:vMerge/>
            <w:tcBorders>
              <w:top w:val="nil"/>
              <w:left w:val="single" w:sz="4" w:space="0" w:color="auto"/>
              <w:bottom w:val="single" w:sz="4" w:space="0" w:color="000000"/>
              <w:right w:val="single" w:sz="4" w:space="0" w:color="auto"/>
            </w:tcBorders>
            <w:vAlign w:val="center"/>
            <w:hideMark/>
          </w:tcPr>
          <w:p w:rsidR="00C95C69" w:rsidRPr="006C6A7D" w:rsidRDefault="00C95C69" w:rsidP="006C6A7D">
            <w:pPr>
              <w:spacing w:before="0" w:line="240" w:lineRule="auto"/>
              <w:jc w:val="left"/>
              <w:rPr>
                <w:rFonts w:ascii="Calibri" w:hAnsi="Calibr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left"/>
              <w:rPr>
                <w:rFonts w:ascii="Calibri" w:hAnsi="Calibri"/>
                <w:bCs/>
                <w:color w:val="000000"/>
                <w:sz w:val="20"/>
                <w:lang w:eastAsia="en-GB"/>
              </w:rPr>
            </w:pPr>
            <w:r w:rsidRPr="006C6A7D">
              <w:rPr>
                <w:rFonts w:ascii="Calibri" w:hAnsi="Calibri"/>
                <w:bCs/>
                <w:color w:val="000000"/>
                <w:sz w:val="20"/>
                <w:lang w:eastAsia="en-GB"/>
              </w:rPr>
              <w:t>K-N</w:t>
            </w: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-0.231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-0.185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-0.496 </w:t>
            </w:r>
          </w:p>
        </w:tc>
      </w:tr>
      <w:tr w:rsidR="00C95C69" w:rsidRPr="00C95C69" w:rsidTr="0023036B">
        <w:trPr>
          <w:trHeight w:val="283"/>
        </w:trPr>
        <w:tc>
          <w:tcPr>
            <w:tcW w:w="0" w:type="auto"/>
            <w:vMerge/>
            <w:tcBorders>
              <w:top w:val="nil"/>
              <w:left w:val="single" w:sz="4" w:space="0" w:color="auto"/>
              <w:bottom w:val="single" w:sz="4" w:space="0" w:color="000000"/>
              <w:right w:val="single" w:sz="4" w:space="0" w:color="auto"/>
            </w:tcBorders>
            <w:vAlign w:val="center"/>
            <w:hideMark/>
          </w:tcPr>
          <w:p w:rsidR="00C95C69" w:rsidRPr="006C6A7D" w:rsidRDefault="00C95C69" w:rsidP="006C6A7D">
            <w:pPr>
              <w:spacing w:before="0" w:line="240" w:lineRule="auto"/>
              <w:jc w:val="left"/>
              <w:rPr>
                <w:rFonts w:ascii="Calibri" w:hAnsi="Calibr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left"/>
              <w:rPr>
                <w:rFonts w:ascii="Calibri" w:hAnsi="Calibri"/>
                <w:bCs/>
                <w:color w:val="000000"/>
                <w:sz w:val="20"/>
                <w:lang w:eastAsia="en-GB"/>
              </w:rPr>
            </w:pPr>
            <w:r w:rsidRPr="006C6A7D">
              <w:rPr>
                <w:rFonts w:ascii="Calibri" w:hAnsi="Calibri"/>
                <w:bCs/>
                <w:color w:val="000000"/>
                <w:sz w:val="20"/>
                <w:lang w:eastAsia="en-GB"/>
              </w:rPr>
              <w:t>O-U</w:t>
            </w:r>
          </w:p>
        </w:tc>
        <w:tc>
          <w:tcPr>
            <w:tcW w:w="0" w:type="auto"/>
            <w:tcBorders>
              <w:top w:val="nil"/>
              <w:left w:val="nil"/>
              <w:bottom w:val="nil"/>
              <w:right w:val="single" w:sz="4" w:space="0" w:color="auto"/>
            </w:tcBorders>
            <w:shd w:val="clear" w:color="000000" w:fill="BFBFBF"/>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0.007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0.180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-0.372 </w:t>
            </w:r>
          </w:p>
        </w:tc>
      </w:tr>
      <w:tr w:rsidR="00C95C69" w:rsidRPr="00C95C69" w:rsidTr="0023036B">
        <w:trPr>
          <w:trHeight w:val="283"/>
        </w:trPr>
        <w:tc>
          <w:tcPr>
            <w:tcW w:w="0" w:type="auto"/>
            <w:vMerge/>
            <w:tcBorders>
              <w:top w:val="nil"/>
              <w:left w:val="single" w:sz="4" w:space="0" w:color="auto"/>
              <w:bottom w:val="single" w:sz="4" w:space="0" w:color="000000"/>
              <w:right w:val="single" w:sz="4" w:space="0" w:color="auto"/>
            </w:tcBorders>
            <w:vAlign w:val="center"/>
            <w:hideMark/>
          </w:tcPr>
          <w:p w:rsidR="00C95C69" w:rsidRPr="006C6A7D" w:rsidRDefault="00C95C69" w:rsidP="006C6A7D">
            <w:pPr>
              <w:spacing w:before="0" w:line="240" w:lineRule="auto"/>
              <w:jc w:val="left"/>
              <w:rPr>
                <w:rFonts w:ascii="Calibri" w:hAnsi="Calibri"/>
                <w:b/>
                <w:bCs/>
                <w:color w:val="000000"/>
                <w:sz w:val="20"/>
                <w:lang w:eastAsia="en-GB"/>
              </w:rPr>
            </w:pPr>
          </w:p>
        </w:tc>
        <w:tc>
          <w:tcPr>
            <w:tcW w:w="0" w:type="auto"/>
            <w:tcBorders>
              <w:top w:val="nil"/>
              <w:left w:val="nil"/>
              <w:bottom w:val="single" w:sz="4" w:space="0" w:color="auto"/>
              <w:right w:val="single" w:sz="4" w:space="0" w:color="auto"/>
            </w:tcBorders>
            <w:shd w:val="clear" w:color="auto" w:fill="auto"/>
            <w:noWrap/>
            <w:vAlign w:val="bottom"/>
            <w:hideMark/>
          </w:tcPr>
          <w:p w:rsidR="00C95C69" w:rsidRPr="006C6A7D" w:rsidRDefault="00C95C69" w:rsidP="006C6A7D">
            <w:pPr>
              <w:spacing w:before="0" w:line="240" w:lineRule="auto"/>
              <w:jc w:val="left"/>
              <w:rPr>
                <w:rFonts w:ascii="Calibri" w:hAnsi="Calibri"/>
                <w:bCs/>
                <w:color w:val="000000"/>
                <w:sz w:val="20"/>
                <w:lang w:eastAsia="en-GB"/>
              </w:rPr>
            </w:pPr>
            <w:r w:rsidRPr="006C6A7D">
              <w:rPr>
                <w:rFonts w:ascii="Calibri" w:hAnsi="Calibri"/>
                <w:bCs/>
                <w:color w:val="000000"/>
                <w:sz w:val="20"/>
                <w:lang w:eastAsia="en-GB"/>
              </w:rPr>
              <w:t>ElemOcc</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b/>
                <w:bCs/>
                <w:color w:val="000000"/>
                <w:sz w:val="20"/>
                <w:lang w:eastAsia="en-GB"/>
              </w:rPr>
            </w:pPr>
            <w:r w:rsidRPr="006C6A7D">
              <w:rPr>
                <w:rFonts w:ascii="Calibri" w:hAnsi="Calibri"/>
                <w:b/>
                <w:bCs/>
                <w:color w:val="000000"/>
                <w:sz w:val="20"/>
                <w:lang w:eastAsia="en-GB"/>
              </w:rPr>
              <w:t xml:space="preserve">0.509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b/>
                <w:bCs/>
                <w:color w:val="000000"/>
                <w:sz w:val="20"/>
                <w:lang w:eastAsia="en-GB"/>
              </w:rPr>
            </w:pPr>
            <w:r w:rsidRPr="006C6A7D">
              <w:rPr>
                <w:rFonts w:ascii="Calibri" w:hAnsi="Calibri"/>
                <w:b/>
                <w:bCs/>
                <w:color w:val="000000"/>
                <w:sz w:val="20"/>
                <w:lang w:eastAsia="en-GB"/>
              </w:rPr>
              <w:t xml:space="preserve">0.569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0.415 </w:t>
            </w:r>
          </w:p>
        </w:tc>
      </w:tr>
      <w:tr w:rsidR="00C95C69" w:rsidRPr="00C95C69" w:rsidTr="0023036B">
        <w:trPr>
          <w:trHeight w:val="283"/>
        </w:trPr>
        <w:tc>
          <w:tcPr>
            <w:tcW w:w="0" w:type="auto"/>
            <w:vMerge w:val="restart"/>
            <w:tcBorders>
              <w:top w:val="nil"/>
              <w:left w:val="single" w:sz="4" w:space="0" w:color="auto"/>
              <w:bottom w:val="single" w:sz="4" w:space="0" w:color="000000"/>
              <w:right w:val="single" w:sz="4" w:space="0" w:color="auto"/>
            </w:tcBorders>
            <w:shd w:val="clear" w:color="auto" w:fill="auto"/>
            <w:vAlign w:val="center"/>
            <w:hideMark/>
          </w:tcPr>
          <w:p w:rsidR="00C95C69" w:rsidRPr="006C6A7D" w:rsidRDefault="00C95C69" w:rsidP="006C6A7D">
            <w:pPr>
              <w:spacing w:before="0" w:line="240" w:lineRule="auto"/>
              <w:jc w:val="center"/>
              <w:rPr>
                <w:rFonts w:ascii="Calibri" w:hAnsi="Calibri"/>
                <w:b/>
                <w:bCs/>
                <w:color w:val="000000"/>
                <w:sz w:val="20"/>
                <w:lang w:eastAsia="en-GB"/>
              </w:rPr>
            </w:pPr>
            <w:r w:rsidRPr="006C6A7D">
              <w:rPr>
                <w:rFonts w:ascii="Calibri" w:hAnsi="Calibri"/>
                <w:b/>
                <w:bCs/>
                <w:color w:val="000000"/>
                <w:sz w:val="20"/>
                <w:lang w:eastAsia="en-GB"/>
              </w:rPr>
              <w:t>Human Capital</w:t>
            </w: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left"/>
              <w:rPr>
                <w:rFonts w:ascii="Calibri" w:hAnsi="Calibri"/>
                <w:bCs/>
                <w:color w:val="000000"/>
                <w:sz w:val="20"/>
                <w:lang w:eastAsia="en-GB"/>
              </w:rPr>
            </w:pPr>
            <w:r w:rsidRPr="006C6A7D">
              <w:rPr>
                <w:rFonts w:ascii="Calibri" w:hAnsi="Calibri"/>
                <w:bCs/>
                <w:color w:val="000000"/>
                <w:sz w:val="20"/>
                <w:lang w:eastAsia="en-GB"/>
              </w:rPr>
              <w:t>LowEd(Reg)</w:t>
            </w: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0.476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0.437 </w:t>
            </w:r>
          </w:p>
        </w:tc>
        <w:tc>
          <w:tcPr>
            <w:tcW w:w="0" w:type="auto"/>
            <w:tcBorders>
              <w:top w:val="single" w:sz="4" w:space="0" w:color="auto"/>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b/>
                <w:bCs/>
                <w:color w:val="000000"/>
                <w:sz w:val="20"/>
                <w:lang w:eastAsia="en-GB"/>
              </w:rPr>
            </w:pPr>
            <w:r w:rsidRPr="006C6A7D">
              <w:rPr>
                <w:rFonts w:ascii="Calibri" w:hAnsi="Calibri"/>
                <w:b/>
                <w:bCs/>
                <w:color w:val="000000"/>
                <w:sz w:val="20"/>
                <w:lang w:eastAsia="en-GB"/>
              </w:rPr>
              <w:t xml:space="preserve">0.646 </w:t>
            </w:r>
          </w:p>
        </w:tc>
      </w:tr>
      <w:tr w:rsidR="00C95C69" w:rsidRPr="00C95C69" w:rsidTr="0023036B">
        <w:trPr>
          <w:trHeight w:val="283"/>
        </w:trPr>
        <w:tc>
          <w:tcPr>
            <w:tcW w:w="0" w:type="auto"/>
            <w:vMerge/>
            <w:tcBorders>
              <w:top w:val="nil"/>
              <w:left w:val="single" w:sz="4" w:space="0" w:color="auto"/>
              <w:bottom w:val="single" w:sz="4" w:space="0" w:color="000000"/>
              <w:right w:val="single" w:sz="4" w:space="0" w:color="auto"/>
            </w:tcBorders>
            <w:vAlign w:val="center"/>
            <w:hideMark/>
          </w:tcPr>
          <w:p w:rsidR="00C95C69" w:rsidRPr="006C6A7D" w:rsidRDefault="00C95C69" w:rsidP="006C6A7D">
            <w:pPr>
              <w:spacing w:before="0" w:line="240" w:lineRule="auto"/>
              <w:jc w:val="left"/>
              <w:rPr>
                <w:rFonts w:ascii="Calibri" w:hAnsi="Calibr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left"/>
              <w:rPr>
                <w:rFonts w:ascii="Calibri" w:hAnsi="Calibri"/>
                <w:bCs/>
                <w:color w:val="000000"/>
                <w:sz w:val="20"/>
                <w:lang w:eastAsia="en-GB"/>
              </w:rPr>
            </w:pPr>
            <w:r w:rsidRPr="006C6A7D">
              <w:rPr>
                <w:rFonts w:ascii="Calibri" w:hAnsi="Calibri"/>
                <w:bCs/>
                <w:color w:val="000000"/>
                <w:sz w:val="20"/>
                <w:lang w:eastAsia="en-GB"/>
              </w:rPr>
              <w:t>LowED(Cen</w:t>
            </w: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0.212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0.143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b/>
                <w:bCs/>
                <w:color w:val="000000"/>
                <w:sz w:val="20"/>
                <w:lang w:eastAsia="en-GB"/>
              </w:rPr>
            </w:pPr>
            <w:r w:rsidRPr="006C6A7D">
              <w:rPr>
                <w:rFonts w:ascii="Calibri" w:hAnsi="Calibri"/>
                <w:b/>
                <w:bCs/>
                <w:color w:val="000000"/>
                <w:sz w:val="20"/>
                <w:lang w:eastAsia="en-GB"/>
              </w:rPr>
              <w:t xml:space="preserve">0.659 </w:t>
            </w:r>
          </w:p>
        </w:tc>
      </w:tr>
      <w:tr w:rsidR="00C95C69" w:rsidRPr="00C95C69" w:rsidTr="0023036B">
        <w:trPr>
          <w:trHeight w:val="283"/>
        </w:trPr>
        <w:tc>
          <w:tcPr>
            <w:tcW w:w="0" w:type="auto"/>
            <w:vMerge/>
            <w:tcBorders>
              <w:top w:val="nil"/>
              <w:left w:val="single" w:sz="4" w:space="0" w:color="auto"/>
              <w:bottom w:val="single" w:sz="4" w:space="0" w:color="000000"/>
              <w:right w:val="single" w:sz="4" w:space="0" w:color="auto"/>
            </w:tcBorders>
            <w:vAlign w:val="center"/>
            <w:hideMark/>
          </w:tcPr>
          <w:p w:rsidR="00C95C69" w:rsidRPr="006C6A7D" w:rsidRDefault="00C95C69" w:rsidP="006C6A7D">
            <w:pPr>
              <w:spacing w:before="0" w:line="240" w:lineRule="auto"/>
              <w:jc w:val="left"/>
              <w:rPr>
                <w:rFonts w:ascii="Calibri" w:hAnsi="Calibr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903468">
            <w:pPr>
              <w:spacing w:before="0" w:line="240" w:lineRule="auto"/>
              <w:jc w:val="left"/>
              <w:rPr>
                <w:rFonts w:ascii="Calibri" w:hAnsi="Calibri"/>
                <w:bCs/>
                <w:color w:val="000000"/>
                <w:sz w:val="20"/>
                <w:lang w:eastAsia="en-GB"/>
              </w:rPr>
            </w:pPr>
            <w:r w:rsidRPr="006C6A7D">
              <w:rPr>
                <w:rFonts w:ascii="Calibri" w:hAnsi="Calibri"/>
                <w:bCs/>
                <w:color w:val="000000"/>
                <w:sz w:val="20"/>
                <w:lang w:eastAsia="en-GB"/>
              </w:rPr>
              <w:t>HiEd(</w:t>
            </w:r>
            <w:r w:rsidR="00903468">
              <w:rPr>
                <w:rFonts w:ascii="Calibri" w:hAnsi="Calibri"/>
                <w:bCs/>
                <w:color w:val="000000"/>
                <w:sz w:val="20"/>
                <w:lang w:eastAsia="en-GB"/>
              </w:rPr>
              <w:t>Reg</w:t>
            </w:r>
            <w:r w:rsidRPr="006C6A7D">
              <w:rPr>
                <w:rFonts w:ascii="Calibri" w:hAnsi="Calibri"/>
                <w:bCs/>
                <w:color w:val="000000"/>
                <w:sz w:val="20"/>
                <w:lang w:eastAsia="en-GB"/>
              </w:rPr>
              <w:t>)</w:t>
            </w: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-0.476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-0.437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b/>
                <w:bCs/>
                <w:color w:val="000000"/>
                <w:sz w:val="20"/>
                <w:lang w:eastAsia="en-GB"/>
              </w:rPr>
            </w:pPr>
            <w:r w:rsidRPr="006C6A7D">
              <w:rPr>
                <w:rFonts w:ascii="Calibri" w:hAnsi="Calibri"/>
                <w:b/>
                <w:bCs/>
                <w:color w:val="000000"/>
                <w:sz w:val="20"/>
                <w:lang w:eastAsia="en-GB"/>
              </w:rPr>
              <w:t xml:space="preserve">-0.642 </w:t>
            </w:r>
          </w:p>
        </w:tc>
      </w:tr>
      <w:tr w:rsidR="00C95C69" w:rsidRPr="00C95C69" w:rsidTr="0023036B">
        <w:trPr>
          <w:trHeight w:val="283"/>
        </w:trPr>
        <w:tc>
          <w:tcPr>
            <w:tcW w:w="0" w:type="auto"/>
            <w:vMerge/>
            <w:tcBorders>
              <w:top w:val="nil"/>
              <w:left w:val="single" w:sz="4" w:space="0" w:color="auto"/>
              <w:bottom w:val="single" w:sz="4" w:space="0" w:color="000000"/>
              <w:right w:val="single" w:sz="4" w:space="0" w:color="auto"/>
            </w:tcBorders>
            <w:vAlign w:val="center"/>
            <w:hideMark/>
          </w:tcPr>
          <w:p w:rsidR="00C95C69" w:rsidRPr="006C6A7D" w:rsidRDefault="00C95C69" w:rsidP="006C6A7D">
            <w:pPr>
              <w:spacing w:before="0" w:line="240" w:lineRule="auto"/>
              <w:jc w:val="left"/>
              <w:rPr>
                <w:rFonts w:ascii="Calibri" w:hAnsi="Calibr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left"/>
              <w:rPr>
                <w:rFonts w:ascii="Calibri" w:hAnsi="Calibri"/>
                <w:bCs/>
                <w:color w:val="000000"/>
                <w:sz w:val="20"/>
                <w:lang w:eastAsia="en-GB"/>
              </w:rPr>
            </w:pPr>
            <w:r w:rsidRPr="006C6A7D">
              <w:rPr>
                <w:rFonts w:ascii="Calibri" w:hAnsi="Calibri"/>
                <w:bCs/>
                <w:color w:val="000000"/>
                <w:sz w:val="20"/>
                <w:lang w:eastAsia="en-GB"/>
              </w:rPr>
              <w:t>HiEd(Cen)</w:t>
            </w: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0.163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0.116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0.269 </w:t>
            </w:r>
          </w:p>
        </w:tc>
      </w:tr>
      <w:tr w:rsidR="00C95C69" w:rsidRPr="00C95C69" w:rsidTr="0023036B">
        <w:trPr>
          <w:trHeight w:val="283"/>
        </w:trPr>
        <w:tc>
          <w:tcPr>
            <w:tcW w:w="0" w:type="auto"/>
            <w:vMerge/>
            <w:tcBorders>
              <w:top w:val="nil"/>
              <w:left w:val="single" w:sz="4" w:space="0" w:color="auto"/>
              <w:bottom w:val="single" w:sz="4" w:space="0" w:color="000000"/>
              <w:right w:val="single" w:sz="4" w:space="0" w:color="auto"/>
            </w:tcBorders>
            <w:vAlign w:val="center"/>
            <w:hideMark/>
          </w:tcPr>
          <w:p w:rsidR="00C95C69" w:rsidRPr="006C6A7D" w:rsidRDefault="00C95C69" w:rsidP="006C6A7D">
            <w:pPr>
              <w:spacing w:before="0" w:line="240" w:lineRule="auto"/>
              <w:jc w:val="left"/>
              <w:rPr>
                <w:rFonts w:ascii="Calibri" w:hAnsi="Calibr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left"/>
              <w:rPr>
                <w:rFonts w:ascii="Calibri" w:hAnsi="Calibri"/>
                <w:bCs/>
                <w:color w:val="000000"/>
                <w:sz w:val="20"/>
                <w:lang w:eastAsia="en-GB"/>
              </w:rPr>
            </w:pPr>
            <w:r w:rsidRPr="006C6A7D">
              <w:rPr>
                <w:rFonts w:ascii="Calibri" w:hAnsi="Calibri"/>
                <w:bCs/>
                <w:color w:val="000000"/>
                <w:sz w:val="20"/>
                <w:lang w:eastAsia="en-GB"/>
              </w:rPr>
              <w:t>HRST</w:t>
            </w: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-0.448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-0.341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b/>
                <w:bCs/>
                <w:color w:val="000000"/>
                <w:sz w:val="20"/>
                <w:lang w:eastAsia="en-GB"/>
              </w:rPr>
            </w:pPr>
            <w:r w:rsidRPr="00FE2100">
              <w:rPr>
                <w:rFonts w:ascii="Calibri" w:hAnsi="Calibri"/>
                <w:b/>
                <w:bCs/>
                <w:color w:val="FF0000"/>
                <w:sz w:val="20"/>
                <w:lang w:eastAsia="en-GB"/>
              </w:rPr>
              <w:t xml:space="preserve">-0.517 </w:t>
            </w:r>
          </w:p>
        </w:tc>
      </w:tr>
      <w:tr w:rsidR="00C95C69" w:rsidRPr="00C95C69" w:rsidTr="0023036B">
        <w:trPr>
          <w:trHeight w:val="283"/>
        </w:trPr>
        <w:tc>
          <w:tcPr>
            <w:tcW w:w="0" w:type="auto"/>
            <w:vMerge/>
            <w:tcBorders>
              <w:top w:val="nil"/>
              <w:left w:val="single" w:sz="4" w:space="0" w:color="auto"/>
              <w:bottom w:val="single" w:sz="4" w:space="0" w:color="000000"/>
              <w:right w:val="single" w:sz="4" w:space="0" w:color="auto"/>
            </w:tcBorders>
            <w:vAlign w:val="center"/>
            <w:hideMark/>
          </w:tcPr>
          <w:p w:rsidR="00C95C69" w:rsidRPr="006C6A7D" w:rsidRDefault="00C95C69" w:rsidP="006C6A7D">
            <w:pPr>
              <w:spacing w:before="0" w:line="240" w:lineRule="auto"/>
              <w:jc w:val="left"/>
              <w:rPr>
                <w:rFonts w:ascii="Calibri" w:hAnsi="Calibr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left"/>
              <w:rPr>
                <w:rFonts w:ascii="Calibri" w:hAnsi="Calibri"/>
                <w:bCs/>
                <w:color w:val="000000"/>
                <w:sz w:val="20"/>
                <w:lang w:eastAsia="en-GB"/>
              </w:rPr>
            </w:pPr>
            <w:r w:rsidRPr="006C6A7D">
              <w:rPr>
                <w:rFonts w:ascii="Calibri" w:hAnsi="Calibri"/>
                <w:bCs/>
                <w:color w:val="000000"/>
                <w:sz w:val="20"/>
                <w:lang w:eastAsia="en-GB"/>
              </w:rPr>
              <w:t>CDR(Reg)</w:t>
            </w: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0.358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-0.063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0.238 </w:t>
            </w:r>
          </w:p>
        </w:tc>
      </w:tr>
      <w:tr w:rsidR="00C95C69" w:rsidRPr="00C95C69" w:rsidTr="0023036B">
        <w:trPr>
          <w:trHeight w:val="283"/>
        </w:trPr>
        <w:tc>
          <w:tcPr>
            <w:tcW w:w="0" w:type="auto"/>
            <w:vMerge/>
            <w:tcBorders>
              <w:top w:val="nil"/>
              <w:left w:val="single" w:sz="4" w:space="0" w:color="auto"/>
              <w:bottom w:val="single" w:sz="4" w:space="0" w:color="000000"/>
              <w:right w:val="single" w:sz="4" w:space="0" w:color="auto"/>
            </w:tcBorders>
            <w:vAlign w:val="center"/>
            <w:hideMark/>
          </w:tcPr>
          <w:p w:rsidR="00C95C69" w:rsidRPr="006C6A7D" w:rsidRDefault="00C95C69" w:rsidP="006C6A7D">
            <w:pPr>
              <w:spacing w:before="0" w:line="240" w:lineRule="auto"/>
              <w:jc w:val="left"/>
              <w:rPr>
                <w:rFonts w:ascii="Calibri" w:hAnsi="Calibr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left"/>
              <w:rPr>
                <w:rFonts w:ascii="Calibri" w:hAnsi="Calibri"/>
                <w:bCs/>
                <w:color w:val="000000"/>
                <w:sz w:val="20"/>
                <w:lang w:eastAsia="en-GB"/>
              </w:rPr>
            </w:pPr>
            <w:r w:rsidRPr="006C6A7D">
              <w:rPr>
                <w:rFonts w:ascii="Calibri" w:hAnsi="Calibri"/>
                <w:bCs/>
                <w:color w:val="000000"/>
                <w:sz w:val="20"/>
                <w:lang w:eastAsia="en-GB"/>
              </w:rPr>
              <w:t>CDR(Cen)</w:t>
            </w: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0.351 </w:t>
            </w:r>
          </w:p>
        </w:tc>
        <w:tc>
          <w:tcPr>
            <w:tcW w:w="0" w:type="auto"/>
            <w:tcBorders>
              <w:top w:val="nil"/>
              <w:left w:val="single" w:sz="4" w:space="0" w:color="auto"/>
              <w:bottom w:val="nil"/>
              <w:right w:val="single" w:sz="4" w:space="0" w:color="auto"/>
            </w:tcBorders>
            <w:shd w:val="clear" w:color="000000" w:fill="BFBFBF"/>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-0.045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0.361 </w:t>
            </w:r>
          </w:p>
        </w:tc>
      </w:tr>
      <w:tr w:rsidR="00C95C69" w:rsidRPr="00C95C69" w:rsidTr="0023036B">
        <w:trPr>
          <w:trHeight w:val="283"/>
        </w:trPr>
        <w:tc>
          <w:tcPr>
            <w:tcW w:w="0" w:type="auto"/>
            <w:vMerge/>
            <w:tcBorders>
              <w:top w:val="nil"/>
              <w:left w:val="single" w:sz="4" w:space="0" w:color="auto"/>
              <w:bottom w:val="single" w:sz="4" w:space="0" w:color="000000"/>
              <w:right w:val="single" w:sz="4" w:space="0" w:color="auto"/>
            </w:tcBorders>
            <w:vAlign w:val="center"/>
            <w:hideMark/>
          </w:tcPr>
          <w:p w:rsidR="00C95C69" w:rsidRPr="006C6A7D" w:rsidRDefault="00C95C69" w:rsidP="006C6A7D">
            <w:pPr>
              <w:spacing w:before="0" w:line="240" w:lineRule="auto"/>
              <w:jc w:val="left"/>
              <w:rPr>
                <w:rFonts w:ascii="Calibri" w:hAnsi="Calibr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left"/>
              <w:rPr>
                <w:rFonts w:ascii="Calibri" w:hAnsi="Calibri"/>
                <w:bCs/>
                <w:color w:val="000000"/>
                <w:sz w:val="20"/>
                <w:lang w:eastAsia="en-GB"/>
              </w:rPr>
            </w:pPr>
            <w:r w:rsidRPr="006C6A7D">
              <w:rPr>
                <w:rFonts w:ascii="Calibri" w:hAnsi="Calibri"/>
                <w:bCs/>
                <w:color w:val="000000"/>
                <w:sz w:val="20"/>
                <w:lang w:eastAsia="en-GB"/>
              </w:rPr>
              <w:t>OADR(Reg)</w:t>
            </w: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-0.176 </w:t>
            </w:r>
          </w:p>
        </w:tc>
        <w:tc>
          <w:tcPr>
            <w:tcW w:w="0" w:type="auto"/>
            <w:tcBorders>
              <w:top w:val="nil"/>
              <w:left w:val="single" w:sz="4" w:space="0" w:color="auto"/>
              <w:bottom w:val="nil"/>
              <w:right w:val="single" w:sz="4" w:space="0" w:color="auto"/>
            </w:tcBorders>
            <w:shd w:val="clear" w:color="000000" w:fill="BFBFBF"/>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-0.009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0.301 </w:t>
            </w:r>
          </w:p>
        </w:tc>
      </w:tr>
      <w:tr w:rsidR="00C95C69" w:rsidRPr="00C95C69" w:rsidTr="0023036B">
        <w:trPr>
          <w:trHeight w:val="283"/>
        </w:trPr>
        <w:tc>
          <w:tcPr>
            <w:tcW w:w="0" w:type="auto"/>
            <w:vMerge/>
            <w:tcBorders>
              <w:top w:val="nil"/>
              <w:left w:val="single" w:sz="4" w:space="0" w:color="auto"/>
              <w:bottom w:val="single" w:sz="4" w:space="0" w:color="000000"/>
              <w:right w:val="single" w:sz="4" w:space="0" w:color="auto"/>
            </w:tcBorders>
            <w:vAlign w:val="center"/>
            <w:hideMark/>
          </w:tcPr>
          <w:p w:rsidR="00C95C69" w:rsidRPr="006C6A7D" w:rsidRDefault="00C95C69" w:rsidP="006C6A7D">
            <w:pPr>
              <w:spacing w:before="0" w:line="240" w:lineRule="auto"/>
              <w:jc w:val="left"/>
              <w:rPr>
                <w:rFonts w:ascii="Calibri" w:hAnsi="Calibr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left"/>
              <w:rPr>
                <w:rFonts w:ascii="Calibri" w:hAnsi="Calibri"/>
                <w:bCs/>
                <w:color w:val="000000"/>
                <w:sz w:val="20"/>
                <w:lang w:eastAsia="en-GB"/>
              </w:rPr>
            </w:pPr>
            <w:r w:rsidRPr="006C6A7D">
              <w:rPr>
                <w:rFonts w:ascii="Calibri" w:hAnsi="Calibri"/>
                <w:bCs/>
                <w:color w:val="000000"/>
                <w:sz w:val="20"/>
                <w:lang w:eastAsia="en-GB"/>
              </w:rPr>
              <w:t>OADR(Cen</w:t>
            </w: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-0.159 </w:t>
            </w:r>
          </w:p>
        </w:tc>
        <w:tc>
          <w:tcPr>
            <w:tcW w:w="0" w:type="auto"/>
            <w:tcBorders>
              <w:top w:val="nil"/>
              <w:left w:val="single" w:sz="4" w:space="0" w:color="auto"/>
              <w:bottom w:val="nil"/>
              <w:right w:val="single" w:sz="4" w:space="0" w:color="auto"/>
            </w:tcBorders>
            <w:shd w:val="clear" w:color="000000" w:fill="BFBFBF"/>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-0.002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0.357 </w:t>
            </w:r>
          </w:p>
        </w:tc>
      </w:tr>
      <w:tr w:rsidR="00C95C69" w:rsidRPr="00C95C69" w:rsidTr="0023036B">
        <w:trPr>
          <w:trHeight w:val="283"/>
        </w:trPr>
        <w:tc>
          <w:tcPr>
            <w:tcW w:w="0" w:type="auto"/>
            <w:vMerge/>
            <w:tcBorders>
              <w:top w:val="nil"/>
              <w:left w:val="single" w:sz="4" w:space="0" w:color="auto"/>
              <w:bottom w:val="single" w:sz="4" w:space="0" w:color="000000"/>
              <w:right w:val="single" w:sz="4" w:space="0" w:color="auto"/>
            </w:tcBorders>
            <w:vAlign w:val="center"/>
            <w:hideMark/>
          </w:tcPr>
          <w:p w:rsidR="00C95C69" w:rsidRPr="006C6A7D" w:rsidRDefault="00C95C69" w:rsidP="006C6A7D">
            <w:pPr>
              <w:spacing w:before="0" w:line="240" w:lineRule="auto"/>
              <w:jc w:val="left"/>
              <w:rPr>
                <w:rFonts w:ascii="Calibri" w:hAnsi="Calibr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left"/>
              <w:rPr>
                <w:rFonts w:ascii="Calibri" w:hAnsi="Calibri"/>
                <w:bCs/>
                <w:color w:val="000000"/>
                <w:sz w:val="20"/>
                <w:lang w:eastAsia="en-GB"/>
              </w:rPr>
            </w:pPr>
            <w:r w:rsidRPr="006C6A7D">
              <w:rPr>
                <w:rFonts w:ascii="Calibri" w:hAnsi="Calibri"/>
                <w:bCs/>
                <w:color w:val="000000"/>
                <w:sz w:val="20"/>
                <w:lang w:eastAsia="en-GB"/>
              </w:rPr>
              <w:t>LoneP(Cen)</w:t>
            </w: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0.276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0.401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-0.193 </w:t>
            </w:r>
          </w:p>
        </w:tc>
      </w:tr>
      <w:tr w:rsidR="00C95C69" w:rsidRPr="00C95C69" w:rsidTr="0023036B">
        <w:trPr>
          <w:trHeight w:val="283"/>
        </w:trPr>
        <w:tc>
          <w:tcPr>
            <w:tcW w:w="0" w:type="auto"/>
            <w:vMerge/>
            <w:tcBorders>
              <w:top w:val="nil"/>
              <w:left w:val="single" w:sz="4" w:space="0" w:color="auto"/>
              <w:bottom w:val="single" w:sz="4" w:space="0" w:color="000000"/>
              <w:right w:val="single" w:sz="4" w:space="0" w:color="auto"/>
            </w:tcBorders>
            <w:vAlign w:val="center"/>
            <w:hideMark/>
          </w:tcPr>
          <w:p w:rsidR="00C95C69" w:rsidRPr="006C6A7D" w:rsidRDefault="00C95C69" w:rsidP="006C6A7D">
            <w:pPr>
              <w:spacing w:before="0" w:line="240" w:lineRule="auto"/>
              <w:jc w:val="left"/>
              <w:rPr>
                <w:rFonts w:ascii="Calibri" w:hAnsi="Calibr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left"/>
              <w:rPr>
                <w:rFonts w:ascii="Calibri" w:hAnsi="Calibri"/>
                <w:bCs/>
                <w:color w:val="000000"/>
                <w:sz w:val="20"/>
                <w:lang w:eastAsia="en-GB"/>
              </w:rPr>
            </w:pPr>
            <w:r w:rsidRPr="006C6A7D">
              <w:rPr>
                <w:rFonts w:ascii="Calibri" w:hAnsi="Calibri"/>
                <w:bCs/>
                <w:color w:val="000000"/>
                <w:sz w:val="20"/>
                <w:lang w:eastAsia="en-GB"/>
              </w:rPr>
              <w:t>Foreign(Cen)</w:t>
            </w:r>
          </w:p>
        </w:tc>
        <w:tc>
          <w:tcPr>
            <w:tcW w:w="0" w:type="auto"/>
            <w:tcBorders>
              <w:top w:val="nil"/>
              <w:left w:val="nil"/>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-0.126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-0.071 </w:t>
            </w:r>
          </w:p>
        </w:tc>
        <w:tc>
          <w:tcPr>
            <w:tcW w:w="0" w:type="auto"/>
            <w:tcBorders>
              <w:top w:val="nil"/>
              <w:left w:val="single" w:sz="4" w:space="0" w:color="auto"/>
              <w:bottom w:val="nil"/>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-0.204 </w:t>
            </w:r>
          </w:p>
        </w:tc>
      </w:tr>
      <w:tr w:rsidR="00C95C69" w:rsidRPr="00C95C69" w:rsidTr="0023036B">
        <w:trPr>
          <w:trHeight w:val="283"/>
        </w:trPr>
        <w:tc>
          <w:tcPr>
            <w:tcW w:w="0" w:type="auto"/>
            <w:vMerge/>
            <w:tcBorders>
              <w:top w:val="nil"/>
              <w:left w:val="single" w:sz="4" w:space="0" w:color="auto"/>
              <w:bottom w:val="single" w:sz="4" w:space="0" w:color="000000"/>
              <w:right w:val="single" w:sz="4" w:space="0" w:color="auto"/>
            </w:tcBorders>
            <w:vAlign w:val="center"/>
            <w:hideMark/>
          </w:tcPr>
          <w:p w:rsidR="00C95C69" w:rsidRPr="006C6A7D" w:rsidRDefault="00C95C69" w:rsidP="006C6A7D">
            <w:pPr>
              <w:spacing w:before="0" w:line="240" w:lineRule="auto"/>
              <w:jc w:val="left"/>
              <w:rPr>
                <w:rFonts w:ascii="Calibri" w:hAnsi="Calibri"/>
                <w:b/>
                <w:bCs/>
                <w:color w:val="000000"/>
                <w:sz w:val="20"/>
                <w:lang w:eastAsia="en-GB"/>
              </w:rPr>
            </w:pPr>
          </w:p>
        </w:tc>
        <w:tc>
          <w:tcPr>
            <w:tcW w:w="0" w:type="auto"/>
            <w:tcBorders>
              <w:top w:val="nil"/>
              <w:left w:val="nil"/>
              <w:bottom w:val="single" w:sz="4" w:space="0" w:color="auto"/>
              <w:right w:val="single" w:sz="4" w:space="0" w:color="auto"/>
            </w:tcBorders>
            <w:shd w:val="clear" w:color="auto" w:fill="auto"/>
            <w:noWrap/>
            <w:vAlign w:val="bottom"/>
            <w:hideMark/>
          </w:tcPr>
          <w:p w:rsidR="00C95C69" w:rsidRPr="006C6A7D" w:rsidRDefault="00C95C69" w:rsidP="006C6A7D">
            <w:pPr>
              <w:spacing w:before="0" w:line="240" w:lineRule="auto"/>
              <w:jc w:val="left"/>
              <w:rPr>
                <w:rFonts w:ascii="Calibri" w:hAnsi="Calibri"/>
                <w:bCs/>
                <w:color w:val="000000"/>
                <w:sz w:val="20"/>
                <w:lang w:eastAsia="en-GB"/>
              </w:rPr>
            </w:pPr>
            <w:r w:rsidRPr="006C6A7D">
              <w:rPr>
                <w:rFonts w:ascii="Calibri" w:hAnsi="Calibri"/>
                <w:bCs/>
                <w:color w:val="000000"/>
                <w:sz w:val="20"/>
                <w:lang w:eastAsia="en-GB"/>
              </w:rPr>
              <w:t>NonCit(Cen)</w:t>
            </w:r>
          </w:p>
        </w:tc>
        <w:tc>
          <w:tcPr>
            <w:tcW w:w="0" w:type="auto"/>
            <w:tcBorders>
              <w:top w:val="nil"/>
              <w:left w:val="nil"/>
              <w:bottom w:val="single" w:sz="4" w:space="0" w:color="auto"/>
              <w:right w:val="single" w:sz="4" w:space="0" w:color="auto"/>
            </w:tcBorders>
            <w:shd w:val="clear" w:color="auto" w:fill="auto"/>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-0.050 </w:t>
            </w:r>
          </w:p>
        </w:tc>
        <w:tc>
          <w:tcPr>
            <w:tcW w:w="0" w:type="auto"/>
            <w:tcBorders>
              <w:top w:val="nil"/>
              <w:left w:val="single" w:sz="4" w:space="0" w:color="auto"/>
              <w:bottom w:val="single" w:sz="4" w:space="0" w:color="auto"/>
              <w:right w:val="single" w:sz="4" w:space="0" w:color="auto"/>
            </w:tcBorders>
            <w:shd w:val="clear" w:color="000000" w:fill="BFBFBF"/>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000000"/>
                <w:sz w:val="20"/>
                <w:lang w:eastAsia="en-GB"/>
              </w:rPr>
              <w:t xml:space="preserve">0.009 </w:t>
            </w:r>
          </w:p>
        </w:tc>
        <w:tc>
          <w:tcPr>
            <w:tcW w:w="0" w:type="auto"/>
            <w:tcBorders>
              <w:top w:val="nil"/>
              <w:left w:val="single" w:sz="4" w:space="0" w:color="auto"/>
              <w:bottom w:val="single" w:sz="4" w:space="0" w:color="auto"/>
              <w:right w:val="single" w:sz="4" w:space="0" w:color="auto"/>
            </w:tcBorders>
            <w:shd w:val="clear" w:color="000000" w:fill="BFBFBF"/>
            <w:noWrap/>
            <w:vAlign w:val="bottom"/>
            <w:hideMark/>
          </w:tcPr>
          <w:p w:rsidR="00C95C69" w:rsidRPr="006C6A7D" w:rsidRDefault="00C95C69" w:rsidP="006C6A7D">
            <w:pPr>
              <w:spacing w:before="0" w:line="240" w:lineRule="auto"/>
              <w:jc w:val="right"/>
              <w:rPr>
                <w:rFonts w:ascii="Calibri" w:hAnsi="Calibri"/>
                <w:color w:val="000000"/>
                <w:sz w:val="20"/>
                <w:lang w:eastAsia="en-GB"/>
              </w:rPr>
            </w:pPr>
            <w:r w:rsidRPr="006C6A7D">
              <w:rPr>
                <w:rFonts w:ascii="Calibri" w:hAnsi="Calibri"/>
                <w:color w:val="FF0000"/>
                <w:sz w:val="20"/>
                <w:lang w:eastAsia="en-GB"/>
              </w:rPr>
              <w:t xml:space="preserve">-0.111 </w:t>
            </w:r>
          </w:p>
        </w:tc>
      </w:tr>
    </w:tbl>
    <w:p w:rsidR="00D34737" w:rsidRDefault="006855DD" w:rsidP="006C6A7D">
      <w:pPr>
        <w:rPr>
          <w:sz w:val="18"/>
          <w:szCs w:val="18"/>
        </w:rPr>
      </w:pPr>
      <w:r w:rsidRPr="00E97594">
        <w:rPr>
          <w:b/>
          <w:sz w:val="18"/>
          <w:szCs w:val="18"/>
        </w:rPr>
        <w:t>Note</w:t>
      </w:r>
      <w:r w:rsidR="00D34737">
        <w:rPr>
          <w:b/>
          <w:sz w:val="18"/>
          <w:szCs w:val="18"/>
        </w:rPr>
        <w:t>s</w:t>
      </w:r>
      <w:r w:rsidRPr="00E97594">
        <w:rPr>
          <w:b/>
          <w:sz w:val="18"/>
          <w:szCs w:val="18"/>
        </w:rPr>
        <w:t>:</w:t>
      </w:r>
      <w:r w:rsidRPr="00E97594">
        <w:rPr>
          <w:sz w:val="18"/>
          <w:szCs w:val="18"/>
        </w:rPr>
        <w:t xml:space="preserve"> </w:t>
      </w:r>
    </w:p>
    <w:p w:rsidR="00D34737" w:rsidRPr="00CA2C90" w:rsidRDefault="00D34737" w:rsidP="00986069">
      <w:pPr>
        <w:pStyle w:val="Luettelokappale"/>
        <w:numPr>
          <w:ilvl w:val="0"/>
          <w:numId w:val="3"/>
        </w:numPr>
        <w:spacing w:before="0"/>
        <w:rPr>
          <w:rFonts w:asciiTheme="minorHAnsi" w:hAnsiTheme="minorHAnsi"/>
          <w:sz w:val="18"/>
          <w:szCs w:val="18"/>
        </w:rPr>
      </w:pPr>
      <w:r w:rsidRPr="00CA2C90">
        <w:rPr>
          <w:rFonts w:asciiTheme="minorHAnsi" w:hAnsiTheme="minorHAnsi"/>
          <w:sz w:val="18"/>
          <w:szCs w:val="18"/>
        </w:rPr>
        <w:t>Grey shaded cells in the table indicate c</w:t>
      </w:r>
      <w:r w:rsidR="00CA2C90">
        <w:rPr>
          <w:rFonts w:asciiTheme="minorHAnsi" w:hAnsiTheme="minorHAnsi"/>
          <w:sz w:val="18"/>
          <w:szCs w:val="18"/>
        </w:rPr>
        <w:t>o</w:t>
      </w:r>
      <w:r w:rsidRPr="00CA2C90">
        <w:rPr>
          <w:rFonts w:asciiTheme="minorHAnsi" w:hAnsiTheme="minorHAnsi"/>
          <w:sz w:val="18"/>
          <w:szCs w:val="18"/>
        </w:rPr>
        <w:t>efficients which are not significant at 0.01.</w:t>
      </w:r>
    </w:p>
    <w:p w:rsidR="00B122B8" w:rsidRPr="00CA2C90" w:rsidRDefault="00B122B8" w:rsidP="00986069">
      <w:pPr>
        <w:pStyle w:val="Luettelokappale"/>
        <w:numPr>
          <w:ilvl w:val="0"/>
          <w:numId w:val="3"/>
        </w:numPr>
        <w:rPr>
          <w:rFonts w:asciiTheme="minorHAnsi" w:hAnsiTheme="minorHAnsi" w:cs="Arial"/>
          <w:sz w:val="18"/>
          <w:szCs w:val="18"/>
          <w:lang w:eastAsia="en-GB"/>
        </w:rPr>
      </w:pPr>
      <w:r w:rsidRPr="00CA2C90">
        <w:rPr>
          <w:rFonts w:asciiTheme="minorHAnsi" w:hAnsiTheme="minorHAnsi" w:cs="Arial"/>
          <w:sz w:val="18"/>
          <w:szCs w:val="18"/>
          <w:lang w:eastAsia="en-GB"/>
        </w:rPr>
        <w:t>SIC Classification:</w:t>
      </w:r>
    </w:p>
    <w:p w:rsidR="006C6A7D" w:rsidRDefault="006C6A7D" w:rsidP="00CA2C90">
      <w:pPr>
        <w:spacing w:before="0" w:after="120" w:line="240" w:lineRule="auto"/>
        <w:rPr>
          <w:rFonts w:cs="Arial"/>
          <w:sz w:val="18"/>
          <w:szCs w:val="18"/>
          <w:lang w:eastAsia="en-GB"/>
        </w:rPr>
        <w:sectPr w:rsidR="006C6A7D" w:rsidSect="00493199">
          <w:pgSz w:w="11907" w:h="16840" w:code="9"/>
          <w:pgMar w:top="1440" w:right="1797" w:bottom="1440" w:left="1797" w:header="709" w:footer="709" w:gutter="0"/>
          <w:cols w:space="708"/>
          <w:docGrid w:linePitch="360"/>
        </w:sectPr>
      </w:pPr>
    </w:p>
    <w:p w:rsidR="007A1C20" w:rsidRPr="00CA2C90" w:rsidRDefault="007A1C20" w:rsidP="00CA2C90">
      <w:pPr>
        <w:spacing w:before="0" w:after="60" w:line="240" w:lineRule="auto"/>
        <w:jc w:val="left"/>
        <w:rPr>
          <w:rFonts w:asciiTheme="minorHAnsi" w:hAnsiTheme="minorHAnsi" w:cs="Arial"/>
          <w:sz w:val="18"/>
          <w:szCs w:val="18"/>
          <w:lang w:eastAsia="en-GB"/>
        </w:rPr>
      </w:pPr>
      <w:r w:rsidRPr="00CA2C90">
        <w:rPr>
          <w:rFonts w:asciiTheme="minorHAnsi" w:hAnsiTheme="minorHAnsi" w:cs="Arial"/>
          <w:sz w:val="18"/>
          <w:szCs w:val="18"/>
          <w:lang w:eastAsia="en-GB"/>
        </w:rPr>
        <w:lastRenderedPageBreak/>
        <w:t>A - Agriculture, forestry and fishing</w:t>
      </w:r>
    </w:p>
    <w:p w:rsidR="007A1C20" w:rsidRPr="00CA2C90" w:rsidRDefault="007A1C20" w:rsidP="00CA2C90">
      <w:pPr>
        <w:spacing w:before="0" w:after="60" w:line="240" w:lineRule="auto"/>
        <w:jc w:val="left"/>
        <w:rPr>
          <w:rFonts w:asciiTheme="minorHAnsi" w:hAnsiTheme="minorHAnsi" w:cs="Arial"/>
          <w:sz w:val="18"/>
          <w:szCs w:val="18"/>
          <w:lang w:eastAsia="en-GB"/>
        </w:rPr>
      </w:pPr>
      <w:r w:rsidRPr="00CA2C90">
        <w:rPr>
          <w:rFonts w:asciiTheme="minorHAnsi" w:hAnsiTheme="minorHAnsi" w:cs="Arial"/>
          <w:sz w:val="18"/>
          <w:szCs w:val="18"/>
          <w:lang w:eastAsia="en-GB"/>
        </w:rPr>
        <w:t>B-E - Industry (except construction)</w:t>
      </w:r>
    </w:p>
    <w:p w:rsidR="007A1C20" w:rsidRPr="00CA2C90" w:rsidRDefault="007A1C20" w:rsidP="00CA2C90">
      <w:pPr>
        <w:spacing w:before="0" w:after="60" w:line="240" w:lineRule="auto"/>
        <w:jc w:val="left"/>
        <w:rPr>
          <w:rFonts w:asciiTheme="minorHAnsi" w:hAnsiTheme="minorHAnsi" w:cs="Arial"/>
          <w:sz w:val="18"/>
          <w:szCs w:val="18"/>
          <w:lang w:eastAsia="en-GB"/>
        </w:rPr>
      </w:pPr>
      <w:r w:rsidRPr="00CA2C90">
        <w:rPr>
          <w:rFonts w:asciiTheme="minorHAnsi" w:hAnsiTheme="minorHAnsi" w:cs="Arial"/>
          <w:sz w:val="18"/>
          <w:szCs w:val="18"/>
          <w:lang w:eastAsia="en-GB"/>
        </w:rPr>
        <w:t xml:space="preserve">C </w:t>
      </w:r>
      <w:r w:rsidR="00B122B8" w:rsidRPr="00CA2C90">
        <w:rPr>
          <w:rFonts w:asciiTheme="minorHAnsi" w:hAnsiTheme="minorHAnsi" w:cs="Arial"/>
          <w:sz w:val="18"/>
          <w:szCs w:val="18"/>
          <w:lang w:eastAsia="en-GB"/>
        </w:rPr>
        <w:t>–</w:t>
      </w:r>
      <w:r w:rsidRPr="00CA2C90">
        <w:rPr>
          <w:rFonts w:asciiTheme="minorHAnsi" w:hAnsiTheme="minorHAnsi" w:cs="Arial"/>
          <w:sz w:val="18"/>
          <w:szCs w:val="18"/>
          <w:lang w:eastAsia="en-GB"/>
        </w:rPr>
        <w:t xml:space="preserve"> Manufacturing</w:t>
      </w:r>
    </w:p>
    <w:p w:rsidR="00B122B8" w:rsidRPr="00CA2C90" w:rsidRDefault="00B122B8" w:rsidP="00CA2C90">
      <w:pPr>
        <w:spacing w:before="0" w:after="60" w:line="240" w:lineRule="auto"/>
        <w:jc w:val="left"/>
        <w:rPr>
          <w:rFonts w:asciiTheme="minorHAnsi" w:hAnsiTheme="minorHAnsi" w:cs="Arial"/>
          <w:sz w:val="18"/>
          <w:szCs w:val="18"/>
          <w:lang w:eastAsia="en-GB"/>
        </w:rPr>
      </w:pPr>
      <w:r w:rsidRPr="00CA2C90">
        <w:rPr>
          <w:rFonts w:asciiTheme="minorHAnsi" w:hAnsiTheme="minorHAnsi" w:cs="Arial"/>
          <w:sz w:val="18"/>
          <w:szCs w:val="18"/>
          <w:lang w:eastAsia="en-GB"/>
        </w:rPr>
        <w:t>F – Construction</w:t>
      </w:r>
    </w:p>
    <w:p w:rsidR="00B122B8" w:rsidRPr="00CA2C90" w:rsidRDefault="00B122B8" w:rsidP="00CA2C90">
      <w:pPr>
        <w:spacing w:before="0" w:after="60" w:line="240" w:lineRule="auto"/>
        <w:jc w:val="left"/>
        <w:rPr>
          <w:rFonts w:asciiTheme="minorHAnsi" w:hAnsiTheme="minorHAnsi" w:cs="Arial"/>
          <w:sz w:val="18"/>
          <w:szCs w:val="18"/>
          <w:lang w:eastAsia="en-GB"/>
        </w:rPr>
      </w:pPr>
      <w:r w:rsidRPr="00CA2C90">
        <w:rPr>
          <w:rFonts w:asciiTheme="minorHAnsi" w:hAnsiTheme="minorHAnsi" w:cs="Arial"/>
          <w:sz w:val="18"/>
          <w:szCs w:val="18"/>
          <w:lang w:eastAsia="en-GB"/>
        </w:rPr>
        <w:t>G-J - Wholesale and retail trade; transport; accommodation and food service activities; information and communication</w:t>
      </w:r>
    </w:p>
    <w:p w:rsidR="00B122B8" w:rsidRPr="00CA2C90" w:rsidRDefault="00B122B8" w:rsidP="00CA2C90">
      <w:pPr>
        <w:spacing w:before="0" w:after="60" w:line="240" w:lineRule="auto"/>
        <w:jc w:val="left"/>
        <w:rPr>
          <w:rFonts w:asciiTheme="minorHAnsi" w:hAnsiTheme="minorHAnsi" w:cs="Arial"/>
          <w:sz w:val="18"/>
          <w:szCs w:val="18"/>
          <w:lang w:eastAsia="en-GB"/>
        </w:rPr>
      </w:pPr>
      <w:r w:rsidRPr="00CA2C90">
        <w:rPr>
          <w:rFonts w:asciiTheme="minorHAnsi" w:hAnsiTheme="minorHAnsi" w:cs="Arial"/>
          <w:sz w:val="18"/>
          <w:szCs w:val="18"/>
          <w:lang w:eastAsia="en-GB"/>
        </w:rPr>
        <w:lastRenderedPageBreak/>
        <w:t>K-N - Financial and insurance activities; real estate activities; professional, scientific and technical activities; administrative and support service activities</w:t>
      </w:r>
      <w:r w:rsidR="00D34737" w:rsidRPr="00CA2C90">
        <w:rPr>
          <w:rFonts w:asciiTheme="minorHAnsi" w:hAnsiTheme="minorHAnsi" w:cs="Arial"/>
          <w:sz w:val="18"/>
          <w:szCs w:val="18"/>
          <w:lang w:eastAsia="en-GB"/>
        </w:rPr>
        <w:t>.</w:t>
      </w:r>
    </w:p>
    <w:p w:rsidR="006C6A7D" w:rsidRPr="00CA2C90" w:rsidRDefault="00B122B8" w:rsidP="00CA2C90">
      <w:pPr>
        <w:spacing w:before="0" w:after="120" w:line="240" w:lineRule="auto"/>
        <w:jc w:val="left"/>
        <w:rPr>
          <w:rFonts w:asciiTheme="minorHAnsi" w:hAnsiTheme="minorHAnsi" w:cs="Arial"/>
          <w:sz w:val="18"/>
          <w:szCs w:val="18"/>
          <w:lang w:eastAsia="en-GB"/>
        </w:rPr>
        <w:sectPr w:rsidR="006C6A7D" w:rsidRPr="00CA2C90" w:rsidSect="006C6A7D">
          <w:type w:val="continuous"/>
          <w:pgSz w:w="11907" w:h="16840" w:code="9"/>
          <w:pgMar w:top="1440" w:right="1797" w:bottom="1440" w:left="1797" w:header="709" w:footer="709" w:gutter="0"/>
          <w:pgNumType w:start="1"/>
          <w:cols w:num="2" w:space="708"/>
          <w:docGrid w:linePitch="360"/>
        </w:sectPr>
      </w:pPr>
      <w:r w:rsidRPr="00CA2C90">
        <w:rPr>
          <w:rFonts w:asciiTheme="minorHAnsi" w:hAnsiTheme="minorHAnsi" w:cs="Arial"/>
          <w:sz w:val="18"/>
          <w:szCs w:val="18"/>
          <w:lang w:eastAsia="en-GB"/>
        </w:rPr>
        <w:t>O-U - Public administration and defence; compulsory social security; education; human health and social work activities; arts, entertainment and recreation, repair of household goods and other services</w:t>
      </w:r>
      <w:r w:rsidR="00D34737" w:rsidRPr="00CA2C90">
        <w:rPr>
          <w:rFonts w:asciiTheme="minorHAnsi" w:hAnsiTheme="minorHAnsi" w:cs="Arial"/>
          <w:sz w:val="18"/>
          <w:szCs w:val="18"/>
          <w:lang w:eastAsia="en-GB"/>
        </w:rPr>
        <w:t>.</w:t>
      </w:r>
    </w:p>
    <w:p w:rsidR="006C6A7D" w:rsidRDefault="006C6A7D" w:rsidP="007A1C20">
      <w:pPr>
        <w:spacing w:before="0" w:line="240" w:lineRule="auto"/>
        <w:rPr>
          <w:rFonts w:cs="Arial"/>
          <w:sz w:val="18"/>
          <w:szCs w:val="18"/>
          <w:lang w:eastAsia="en-GB"/>
        </w:rPr>
        <w:sectPr w:rsidR="006C6A7D" w:rsidSect="006C6A7D">
          <w:type w:val="continuous"/>
          <w:pgSz w:w="11907" w:h="16840" w:code="9"/>
          <w:pgMar w:top="1440" w:right="1797" w:bottom="1440" w:left="1797" w:header="709" w:footer="709" w:gutter="0"/>
          <w:pgNumType w:start="1"/>
          <w:cols w:space="708"/>
          <w:docGrid w:linePitch="360"/>
        </w:sectPr>
      </w:pPr>
    </w:p>
    <w:p w:rsidR="003B6927" w:rsidRDefault="003B6927" w:rsidP="003B6927">
      <w:r>
        <w:lastRenderedPageBreak/>
        <w:t>The fact that GDP per capita is strongly (negatively) associated with poverty rates in the NMS suggests that here overall performance of regional economies plays a key role, whereas in the EU15 the low correlation coefficient suggests that regional performance is less influential than distributional effects.</w:t>
      </w:r>
    </w:p>
    <w:p w:rsidR="003B6927" w:rsidRDefault="000236B3" w:rsidP="003B6927">
      <w:r>
        <w:t>Disaggregation according to Welfare Regime (Table 3) suggests some further interesting relationships between ARoP rates and the economic and social characteristics of the constituent regions.</w:t>
      </w:r>
    </w:p>
    <w:p w:rsidR="000236B3" w:rsidRDefault="000236B3" w:rsidP="003B6927">
      <w:r>
        <w:t>Of the five welfare regime groups the strongest and clearest relationship with labour market characteristics is in the Nordic countries, where coefficients rise to &gt;0.8 for unemployment and youth unemployment. Old age dependency rates are also strongly (positively) correlated with poverty rates in the Nordic states. Child dependency rates have an ambiguous relationship with poverty here, the LFS and Census indicators pointing in opposite directions.</w:t>
      </w:r>
    </w:p>
    <w:p w:rsidR="000236B3" w:rsidRDefault="000236B3" w:rsidP="003B6927">
      <w:r>
        <w:t>In the liberal welfare regime group (UK and IE) the number of regions is smaller, and it may be that this explains the relatively small number of st</w:t>
      </w:r>
      <w:r w:rsidR="005D056D">
        <w:t>r</w:t>
      </w:r>
      <w:r>
        <w:t xml:space="preserve">ong associations. </w:t>
      </w:r>
      <w:r w:rsidR="00ED1DC5">
        <w:t>The presence of lone parents, and persons in elementary occupations, are both associated with elevated poverty rates. Population density is also positively associated with poverty, reinforcing the findings presented above, where the UK was one of the few countries in which metropolitan poverty rates were higher than those for non-metropolitan regions.</w:t>
      </w:r>
    </w:p>
    <w:p w:rsidR="00ED1DC5" w:rsidRDefault="00ED1DC5" w:rsidP="003B6927">
      <w:r>
        <w:t xml:space="preserve">In the countries with “State-based” welfare regimes labour market characteristics were again strongly associated with poverty, though youth unemployment was less closely correlated than in the Nordic countries. Here, also unlike the Nordic countries age related dependency does not seem to play such a strong role. </w:t>
      </w:r>
      <w:r w:rsidR="00EA6DE2">
        <w:t>Regional productivity and accessibility/agglomeration are only very weakly associated with poverty here.</w:t>
      </w:r>
    </w:p>
    <w:p w:rsidR="00EA6DE2" w:rsidRDefault="00EA6DE2" w:rsidP="003B6927">
      <w:r>
        <w:t xml:space="preserve">Turning to the “Family-based” welfare regimes </w:t>
      </w:r>
      <w:r w:rsidR="005B7383">
        <w:t>(</w:t>
      </w:r>
      <w:r>
        <w:t xml:space="preserve">the Mediterranean countries </w:t>
      </w:r>
      <w:r w:rsidR="005B7383">
        <w:t xml:space="preserve">and Turkey), </w:t>
      </w:r>
      <w:r>
        <w:t>accessibility and child dependency rates have distinctive associations with poverty. Overall regional performance (GDP per capita) is also important here. Labour market indicators exhibit less strong associations than in the Nordic countries</w:t>
      </w:r>
      <w:r w:rsidR="005B7383">
        <w:rPr>
          <w:rStyle w:val="Alaviitteenviite"/>
        </w:rPr>
        <w:footnoteReference w:id="6"/>
      </w:r>
      <w:r>
        <w:t>, whilst employment in elementary occupations is associated as strongly with poverty as it is in the Liberal welfare regime countries.</w:t>
      </w:r>
    </w:p>
    <w:p w:rsidR="00D34737" w:rsidRDefault="00101F6B" w:rsidP="00D34737">
      <w:pPr>
        <w:pStyle w:val="Kuvaotsikko"/>
        <w:keepNext/>
        <w:spacing w:after="240"/>
      </w:pPr>
      <w:r>
        <w:br w:type="column"/>
      </w:r>
      <w:bookmarkStart w:id="34" w:name="_Toc394071840"/>
      <w:r w:rsidR="00D34737">
        <w:lastRenderedPageBreak/>
        <w:t xml:space="preserve">Table </w:t>
      </w:r>
      <w:r w:rsidR="00A11F7B">
        <w:fldChar w:fldCharType="begin"/>
      </w:r>
      <w:r w:rsidR="00A11F7B">
        <w:instrText xml:space="preserve"> SEQ Table \* ARABIC </w:instrText>
      </w:r>
      <w:r w:rsidR="00A11F7B">
        <w:fldChar w:fldCharType="separate"/>
      </w:r>
      <w:r w:rsidR="00CA570A">
        <w:rPr>
          <w:noProof/>
        </w:rPr>
        <w:t>3</w:t>
      </w:r>
      <w:r w:rsidR="00A11F7B">
        <w:rPr>
          <w:noProof/>
        </w:rPr>
        <w:fldChar w:fldCharType="end"/>
      </w:r>
      <w:r w:rsidR="00D34737">
        <w:t>:</w:t>
      </w:r>
      <w:r w:rsidR="00D34737" w:rsidRPr="00D34737">
        <w:t xml:space="preserve"> </w:t>
      </w:r>
      <w:r w:rsidR="00D34737">
        <w:t>Pearson Correlation Coefficients between ARoP rates (unadjusted) and selected socio-economic indicators – by welfare regime classification</w:t>
      </w:r>
      <w:bookmarkEnd w:id="34"/>
    </w:p>
    <w:tbl>
      <w:tblPr>
        <w:tblW w:w="0" w:type="auto"/>
        <w:tblInd w:w="93" w:type="dxa"/>
        <w:tblLook w:val="04A0" w:firstRow="1" w:lastRow="0" w:firstColumn="1" w:lastColumn="0" w:noHBand="0" w:noVBand="1"/>
      </w:tblPr>
      <w:tblGrid>
        <w:gridCol w:w="1546"/>
        <w:gridCol w:w="1419"/>
        <w:gridCol w:w="808"/>
        <w:gridCol w:w="819"/>
        <w:gridCol w:w="1204"/>
        <w:gridCol w:w="1318"/>
        <w:gridCol w:w="1322"/>
      </w:tblGrid>
      <w:tr w:rsidR="00D34737" w:rsidRPr="00D34737" w:rsidTr="00D34737">
        <w:trPr>
          <w:trHeight w:val="227"/>
        </w:trPr>
        <w:tc>
          <w:tcPr>
            <w:tcW w:w="0" w:type="auto"/>
            <w:tcBorders>
              <w:top w:val="single" w:sz="4" w:space="0" w:color="auto"/>
              <w:left w:val="single" w:sz="4" w:space="0" w:color="auto"/>
              <w:bottom w:val="nil"/>
              <w:right w:val="single" w:sz="4" w:space="0" w:color="auto"/>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color w:val="000000"/>
                <w:sz w:val="20"/>
                <w:lang w:eastAsia="en-GB"/>
              </w:rPr>
            </w:pPr>
            <w:r w:rsidRPr="00D34737">
              <w:rPr>
                <w:rFonts w:asciiTheme="minorHAnsi" w:hAnsiTheme="minorHAnsi"/>
                <w:color w:val="000000"/>
                <w:sz w:val="20"/>
                <w:lang w:eastAsia="en-GB"/>
              </w:rPr>
              <w:t> </w:t>
            </w:r>
          </w:p>
        </w:tc>
        <w:tc>
          <w:tcPr>
            <w:tcW w:w="0" w:type="auto"/>
            <w:tcBorders>
              <w:top w:val="single" w:sz="4" w:space="0" w:color="auto"/>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b/>
                <w:bCs/>
                <w:color w:val="000000"/>
                <w:sz w:val="20"/>
                <w:lang w:eastAsia="en-GB"/>
              </w:rPr>
            </w:pPr>
            <w:r w:rsidRPr="00D34737">
              <w:rPr>
                <w:rFonts w:asciiTheme="minorHAnsi" w:hAnsiTheme="minorHAnsi"/>
                <w:b/>
                <w:bCs/>
                <w:color w:val="000000"/>
                <w:sz w:val="20"/>
                <w:lang w:eastAsia="en-GB"/>
              </w:rPr>
              <w:t> </w:t>
            </w:r>
          </w:p>
        </w:tc>
        <w:tc>
          <w:tcPr>
            <w:tcW w:w="0" w:type="auto"/>
            <w:gridSpan w:val="2"/>
            <w:tcBorders>
              <w:top w:val="single" w:sz="4" w:space="0" w:color="auto"/>
              <w:left w:val="single" w:sz="4" w:space="0" w:color="auto"/>
              <w:bottom w:val="nil"/>
              <w:right w:val="nil"/>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b/>
                <w:bCs/>
                <w:color w:val="000000"/>
                <w:sz w:val="20"/>
                <w:lang w:eastAsia="en-GB"/>
              </w:rPr>
            </w:pPr>
            <w:r w:rsidRPr="00D34737">
              <w:rPr>
                <w:rFonts w:asciiTheme="minorHAnsi" w:hAnsiTheme="minorHAnsi"/>
                <w:b/>
                <w:bCs/>
                <w:color w:val="000000"/>
                <w:sz w:val="20"/>
                <w:lang w:eastAsia="en-GB"/>
              </w:rPr>
              <w:t>Welfare Regimes</w:t>
            </w:r>
          </w:p>
        </w:tc>
        <w:tc>
          <w:tcPr>
            <w:tcW w:w="0" w:type="auto"/>
            <w:tcBorders>
              <w:top w:val="single" w:sz="4" w:space="0" w:color="auto"/>
              <w:left w:val="nil"/>
              <w:bottom w:val="nil"/>
              <w:right w:val="nil"/>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color w:val="000000"/>
                <w:sz w:val="20"/>
                <w:lang w:eastAsia="en-GB"/>
              </w:rPr>
            </w:pPr>
            <w:r w:rsidRPr="00D34737">
              <w:rPr>
                <w:rFonts w:asciiTheme="minorHAnsi" w:hAnsiTheme="minorHAnsi"/>
                <w:color w:val="000000"/>
                <w:sz w:val="20"/>
                <w:lang w:eastAsia="en-GB"/>
              </w:rPr>
              <w:t> </w:t>
            </w:r>
          </w:p>
        </w:tc>
        <w:tc>
          <w:tcPr>
            <w:tcW w:w="0" w:type="auto"/>
            <w:tcBorders>
              <w:top w:val="single" w:sz="4" w:space="0" w:color="auto"/>
              <w:left w:val="nil"/>
              <w:bottom w:val="nil"/>
              <w:right w:val="nil"/>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color w:val="000000"/>
                <w:sz w:val="20"/>
                <w:lang w:eastAsia="en-GB"/>
              </w:rPr>
            </w:pPr>
            <w:r w:rsidRPr="00D34737">
              <w:rPr>
                <w:rFonts w:asciiTheme="minorHAnsi" w:hAnsiTheme="minorHAnsi"/>
                <w:color w:val="000000"/>
                <w:sz w:val="20"/>
                <w:lang w:eastAsia="en-GB"/>
              </w:rPr>
              <w:t> </w:t>
            </w:r>
          </w:p>
        </w:tc>
        <w:tc>
          <w:tcPr>
            <w:tcW w:w="0" w:type="auto"/>
            <w:tcBorders>
              <w:top w:val="single" w:sz="4" w:space="0" w:color="auto"/>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color w:val="000000"/>
                <w:sz w:val="20"/>
                <w:lang w:eastAsia="en-GB"/>
              </w:rPr>
            </w:pPr>
            <w:r w:rsidRPr="00D34737">
              <w:rPr>
                <w:rFonts w:asciiTheme="minorHAnsi" w:hAnsiTheme="minorHAnsi"/>
                <w:color w:val="000000"/>
                <w:sz w:val="20"/>
                <w:lang w:eastAsia="en-GB"/>
              </w:rPr>
              <w:t> </w:t>
            </w:r>
          </w:p>
        </w:tc>
      </w:tr>
      <w:tr w:rsidR="00D34737" w:rsidRPr="00D34737" w:rsidTr="00D34737">
        <w:trPr>
          <w:trHeight w:val="22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D34737" w:rsidRPr="00D34737" w:rsidRDefault="00D34737" w:rsidP="00D34737">
            <w:pPr>
              <w:spacing w:before="0" w:line="240" w:lineRule="auto"/>
              <w:jc w:val="center"/>
              <w:rPr>
                <w:rFonts w:asciiTheme="minorHAnsi" w:hAnsiTheme="minorHAnsi"/>
                <w:b/>
                <w:bCs/>
                <w:color w:val="000000"/>
                <w:sz w:val="20"/>
                <w:lang w:eastAsia="en-GB"/>
              </w:rPr>
            </w:pPr>
            <w:r w:rsidRPr="00D34737">
              <w:rPr>
                <w:rFonts w:asciiTheme="minorHAnsi" w:hAnsiTheme="minorHAnsi"/>
                <w:b/>
                <w:bCs/>
                <w:color w:val="000000"/>
                <w:sz w:val="20"/>
                <w:lang w:eastAsia="en-GB"/>
              </w:rPr>
              <w:t>Theme</w:t>
            </w:r>
          </w:p>
        </w:tc>
        <w:tc>
          <w:tcPr>
            <w:tcW w:w="0" w:type="auto"/>
            <w:tcBorders>
              <w:top w:val="nil"/>
              <w:left w:val="nil"/>
              <w:bottom w:val="single" w:sz="4" w:space="0" w:color="auto"/>
              <w:right w:val="single" w:sz="4" w:space="0" w:color="auto"/>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b/>
                <w:bCs/>
                <w:color w:val="000000"/>
                <w:sz w:val="20"/>
                <w:lang w:eastAsia="en-GB"/>
              </w:rPr>
            </w:pPr>
            <w:r w:rsidRPr="00D34737">
              <w:rPr>
                <w:rFonts w:asciiTheme="minorHAnsi" w:hAnsiTheme="minorHAnsi"/>
                <w:b/>
                <w:bCs/>
                <w:color w:val="000000"/>
                <w:sz w:val="20"/>
                <w:lang w:eastAsia="en-GB"/>
              </w:rPr>
              <w:t>Indicator</w:t>
            </w:r>
          </w:p>
        </w:tc>
        <w:tc>
          <w:tcPr>
            <w:tcW w:w="0" w:type="auto"/>
            <w:tcBorders>
              <w:top w:val="nil"/>
              <w:left w:val="nil"/>
              <w:bottom w:val="single" w:sz="4" w:space="0" w:color="auto"/>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b/>
                <w:bCs/>
                <w:color w:val="000000"/>
                <w:sz w:val="20"/>
                <w:lang w:eastAsia="en-GB"/>
              </w:rPr>
            </w:pPr>
            <w:r w:rsidRPr="00D34737">
              <w:rPr>
                <w:rFonts w:asciiTheme="minorHAnsi" w:hAnsiTheme="minorHAnsi"/>
                <w:b/>
                <w:bCs/>
                <w:color w:val="000000"/>
                <w:sz w:val="20"/>
                <w:lang w:eastAsia="en-GB"/>
              </w:rPr>
              <w:t>Nordic</w:t>
            </w:r>
          </w:p>
        </w:tc>
        <w:tc>
          <w:tcPr>
            <w:tcW w:w="0" w:type="auto"/>
            <w:tcBorders>
              <w:top w:val="nil"/>
              <w:left w:val="nil"/>
              <w:bottom w:val="single" w:sz="4" w:space="0" w:color="auto"/>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b/>
                <w:bCs/>
                <w:color w:val="000000"/>
                <w:sz w:val="20"/>
                <w:lang w:eastAsia="en-GB"/>
              </w:rPr>
            </w:pPr>
            <w:r w:rsidRPr="00D34737">
              <w:rPr>
                <w:rFonts w:asciiTheme="minorHAnsi" w:hAnsiTheme="minorHAnsi"/>
                <w:b/>
                <w:bCs/>
                <w:color w:val="000000"/>
                <w:sz w:val="20"/>
                <w:lang w:eastAsia="en-GB"/>
              </w:rPr>
              <w:t>Liberal</w:t>
            </w:r>
          </w:p>
        </w:tc>
        <w:tc>
          <w:tcPr>
            <w:tcW w:w="0" w:type="auto"/>
            <w:tcBorders>
              <w:top w:val="nil"/>
              <w:left w:val="nil"/>
              <w:bottom w:val="single" w:sz="4" w:space="0" w:color="auto"/>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b/>
                <w:bCs/>
                <w:color w:val="000000"/>
                <w:sz w:val="20"/>
                <w:lang w:eastAsia="en-GB"/>
              </w:rPr>
            </w:pPr>
            <w:r w:rsidRPr="00D34737">
              <w:rPr>
                <w:rFonts w:asciiTheme="minorHAnsi" w:hAnsiTheme="minorHAnsi"/>
                <w:b/>
                <w:bCs/>
                <w:color w:val="000000"/>
                <w:sz w:val="20"/>
                <w:lang w:eastAsia="en-GB"/>
              </w:rPr>
              <w:t>State-based</w:t>
            </w:r>
          </w:p>
        </w:tc>
        <w:tc>
          <w:tcPr>
            <w:tcW w:w="0" w:type="auto"/>
            <w:tcBorders>
              <w:top w:val="nil"/>
              <w:left w:val="nil"/>
              <w:bottom w:val="single" w:sz="4" w:space="0" w:color="auto"/>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b/>
                <w:bCs/>
                <w:color w:val="000000"/>
                <w:sz w:val="20"/>
                <w:lang w:eastAsia="en-GB"/>
              </w:rPr>
            </w:pPr>
            <w:r w:rsidRPr="00D34737">
              <w:rPr>
                <w:rFonts w:asciiTheme="minorHAnsi" w:hAnsiTheme="minorHAnsi"/>
                <w:b/>
                <w:bCs/>
                <w:color w:val="000000"/>
                <w:sz w:val="20"/>
                <w:lang w:eastAsia="en-GB"/>
              </w:rPr>
              <w:t>Family-based</w:t>
            </w:r>
          </w:p>
        </w:tc>
        <w:tc>
          <w:tcPr>
            <w:tcW w:w="0" w:type="auto"/>
            <w:tcBorders>
              <w:top w:val="nil"/>
              <w:left w:val="nil"/>
              <w:bottom w:val="single" w:sz="4" w:space="0" w:color="auto"/>
              <w:right w:val="single" w:sz="4" w:space="0" w:color="auto"/>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b/>
                <w:bCs/>
                <w:color w:val="000000"/>
                <w:sz w:val="20"/>
                <w:lang w:eastAsia="en-GB"/>
              </w:rPr>
            </w:pPr>
            <w:r w:rsidRPr="00D34737">
              <w:rPr>
                <w:rFonts w:asciiTheme="minorHAnsi" w:hAnsiTheme="minorHAnsi"/>
                <w:b/>
                <w:bCs/>
                <w:color w:val="000000"/>
                <w:sz w:val="20"/>
                <w:lang w:eastAsia="en-GB"/>
              </w:rPr>
              <w:t>Post-Socialist</w:t>
            </w:r>
          </w:p>
        </w:tc>
      </w:tr>
      <w:tr w:rsidR="00D34737" w:rsidRPr="00D34737" w:rsidTr="00D34737">
        <w:trPr>
          <w:trHeight w:val="227"/>
        </w:trPr>
        <w:tc>
          <w:tcPr>
            <w:tcW w:w="0" w:type="auto"/>
            <w:vMerge w:val="restart"/>
            <w:tcBorders>
              <w:top w:val="nil"/>
              <w:left w:val="single" w:sz="4" w:space="0" w:color="auto"/>
              <w:bottom w:val="single" w:sz="4" w:space="0" w:color="000000"/>
              <w:right w:val="single" w:sz="4" w:space="0" w:color="auto"/>
            </w:tcBorders>
            <w:shd w:val="clear" w:color="auto" w:fill="auto"/>
            <w:vAlign w:val="center"/>
            <w:hideMark/>
          </w:tcPr>
          <w:p w:rsidR="00D34737" w:rsidRPr="00D34737" w:rsidRDefault="00D34737" w:rsidP="00D34737">
            <w:pPr>
              <w:spacing w:before="0" w:line="240" w:lineRule="auto"/>
              <w:jc w:val="center"/>
              <w:rPr>
                <w:rFonts w:asciiTheme="minorHAnsi" w:hAnsiTheme="minorHAnsi"/>
                <w:b/>
                <w:bCs/>
                <w:color w:val="000000"/>
                <w:sz w:val="20"/>
                <w:lang w:eastAsia="en-GB"/>
              </w:rPr>
            </w:pPr>
            <w:r w:rsidRPr="00D34737">
              <w:rPr>
                <w:rFonts w:asciiTheme="minorHAnsi" w:hAnsiTheme="minorHAnsi"/>
                <w:b/>
                <w:bCs/>
                <w:color w:val="000000"/>
                <w:sz w:val="20"/>
                <w:lang w:eastAsia="en-GB"/>
              </w:rPr>
              <w:t>Agglomeration</w:t>
            </w: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bCs/>
                <w:color w:val="000000"/>
                <w:sz w:val="20"/>
                <w:lang w:eastAsia="en-GB"/>
              </w:rPr>
            </w:pPr>
            <w:r w:rsidRPr="00D34737">
              <w:rPr>
                <w:rFonts w:asciiTheme="minorHAnsi" w:hAnsiTheme="minorHAnsi"/>
                <w:bCs/>
                <w:color w:val="000000"/>
                <w:sz w:val="20"/>
                <w:lang w:eastAsia="en-GB"/>
              </w:rPr>
              <w:t>Density</w:t>
            </w:r>
          </w:p>
        </w:tc>
        <w:tc>
          <w:tcPr>
            <w:tcW w:w="0" w:type="auto"/>
            <w:tcBorders>
              <w:top w:val="nil"/>
              <w:left w:val="nil"/>
              <w:bottom w:val="nil"/>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0.122 </w:t>
            </w:r>
          </w:p>
        </w:tc>
        <w:tc>
          <w:tcPr>
            <w:tcW w:w="0" w:type="auto"/>
            <w:tcBorders>
              <w:top w:val="single" w:sz="4" w:space="0" w:color="auto"/>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b/>
                <w:bCs/>
                <w:color w:val="000000"/>
                <w:sz w:val="20"/>
                <w:lang w:eastAsia="en-GB"/>
              </w:rPr>
            </w:pPr>
            <w:r w:rsidRPr="00D34737">
              <w:rPr>
                <w:rFonts w:asciiTheme="minorHAnsi" w:hAnsiTheme="minorHAnsi"/>
                <w:b/>
                <w:bCs/>
                <w:color w:val="000000"/>
                <w:sz w:val="20"/>
                <w:lang w:eastAsia="en-GB"/>
              </w:rPr>
              <w:t xml:space="preserve">0.517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0.146 </w:t>
            </w:r>
          </w:p>
        </w:tc>
        <w:tc>
          <w:tcPr>
            <w:tcW w:w="0" w:type="auto"/>
            <w:tcBorders>
              <w:top w:val="nil"/>
              <w:left w:val="nil"/>
              <w:bottom w:val="nil"/>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-0.105 </w:t>
            </w: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-0.244 </w:t>
            </w:r>
          </w:p>
        </w:tc>
      </w:tr>
      <w:tr w:rsidR="00D34737" w:rsidRPr="00D34737" w:rsidTr="00D34737">
        <w:trPr>
          <w:trHeight w:val="227"/>
        </w:trPr>
        <w:tc>
          <w:tcPr>
            <w:tcW w:w="0" w:type="auto"/>
            <w:vMerge/>
            <w:tcBorders>
              <w:top w:val="nil"/>
              <w:left w:val="single" w:sz="4" w:space="0" w:color="auto"/>
              <w:bottom w:val="single" w:sz="4" w:space="0" w:color="000000"/>
              <w:right w:val="single" w:sz="4" w:space="0" w:color="auto"/>
            </w:tcBorders>
            <w:vAlign w:val="center"/>
            <w:hideMark/>
          </w:tcPr>
          <w:p w:rsidR="00D34737" w:rsidRPr="00D34737" w:rsidRDefault="00D34737" w:rsidP="00D34737">
            <w:pPr>
              <w:spacing w:before="0" w:line="240" w:lineRule="auto"/>
              <w:jc w:val="center"/>
              <w:rPr>
                <w:rFonts w:asciiTheme="minorHAnsi" w:hAnsiTheme="minorHAns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bCs/>
                <w:color w:val="000000"/>
                <w:sz w:val="20"/>
                <w:lang w:eastAsia="en-GB"/>
              </w:rPr>
            </w:pPr>
            <w:r w:rsidRPr="00D34737">
              <w:rPr>
                <w:rFonts w:asciiTheme="minorHAnsi" w:hAnsiTheme="minorHAnsi"/>
                <w:bCs/>
                <w:color w:val="000000"/>
                <w:sz w:val="20"/>
                <w:lang w:eastAsia="en-GB"/>
              </w:rPr>
              <w:t>Access MM</w:t>
            </w:r>
          </w:p>
        </w:tc>
        <w:tc>
          <w:tcPr>
            <w:tcW w:w="0" w:type="auto"/>
            <w:tcBorders>
              <w:top w:val="nil"/>
              <w:left w:val="nil"/>
              <w:bottom w:val="nil"/>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0.128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0.221 </w:t>
            </w:r>
          </w:p>
        </w:tc>
        <w:tc>
          <w:tcPr>
            <w:tcW w:w="0" w:type="auto"/>
            <w:tcBorders>
              <w:top w:val="nil"/>
              <w:left w:val="nil"/>
              <w:bottom w:val="nil"/>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-0.067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b/>
                <w:bCs/>
                <w:color w:val="000000"/>
                <w:sz w:val="20"/>
                <w:lang w:eastAsia="en-GB"/>
              </w:rPr>
            </w:pPr>
            <w:r w:rsidRPr="00D34737">
              <w:rPr>
                <w:rFonts w:asciiTheme="minorHAnsi" w:hAnsiTheme="minorHAnsi"/>
                <w:b/>
                <w:bCs/>
                <w:color w:val="000000"/>
                <w:sz w:val="20"/>
                <w:lang w:eastAsia="en-GB"/>
              </w:rPr>
              <w:t xml:space="preserve">-0.559 </w:t>
            </w: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b/>
                <w:bCs/>
                <w:color w:val="000000"/>
                <w:sz w:val="20"/>
                <w:lang w:eastAsia="en-GB"/>
              </w:rPr>
            </w:pPr>
            <w:r w:rsidRPr="00D34737">
              <w:rPr>
                <w:rFonts w:asciiTheme="minorHAnsi" w:hAnsiTheme="minorHAnsi"/>
                <w:b/>
                <w:bCs/>
                <w:color w:val="000000"/>
                <w:sz w:val="20"/>
                <w:lang w:eastAsia="en-GB"/>
              </w:rPr>
              <w:t xml:space="preserve">-0.581 </w:t>
            </w:r>
          </w:p>
        </w:tc>
      </w:tr>
      <w:tr w:rsidR="00D34737" w:rsidRPr="00D34737" w:rsidTr="00D34737">
        <w:trPr>
          <w:trHeight w:val="227"/>
        </w:trPr>
        <w:tc>
          <w:tcPr>
            <w:tcW w:w="0" w:type="auto"/>
            <w:vMerge/>
            <w:tcBorders>
              <w:top w:val="nil"/>
              <w:left w:val="single" w:sz="4" w:space="0" w:color="auto"/>
              <w:bottom w:val="single" w:sz="4" w:space="0" w:color="000000"/>
              <w:right w:val="single" w:sz="4" w:space="0" w:color="auto"/>
            </w:tcBorders>
            <w:vAlign w:val="center"/>
            <w:hideMark/>
          </w:tcPr>
          <w:p w:rsidR="00D34737" w:rsidRPr="00D34737" w:rsidRDefault="00D34737" w:rsidP="00D34737">
            <w:pPr>
              <w:spacing w:before="0" w:line="240" w:lineRule="auto"/>
              <w:jc w:val="center"/>
              <w:rPr>
                <w:rFonts w:asciiTheme="minorHAnsi" w:hAnsiTheme="minorHAnsi"/>
                <w:b/>
                <w:bCs/>
                <w:color w:val="000000"/>
                <w:sz w:val="20"/>
                <w:lang w:eastAsia="en-GB"/>
              </w:rPr>
            </w:pPr>
          </w:p>
        </w:tc>
        <w:tc>
          <w:tcPr>
            <w:tcW w:w="0" w:type="auto"/>
            <w:tcBorders>
              <w:top w:val="nil"/>
              <w:left w:val="nil"/>
              <w:bottom w:val="single" w:sz="4" w:space="0" w:color="auto"/>
              <w:right w:val="single" w:sz="4" w:space="0" w:color="auto"/>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bCs/>
                <w:color w:val="000000"/>
                <w:sz w:val="20"/>
                <w:lang w:eastAsia="en-GB"/>
              </w:rPr>
            </w:pPr>
            <w:r w:rsidRPr="00D34737">
              <w:rPr>
                <w:rFonts w:asciiTheme="minorHAnsi" w:hAnsiTheme="minorHAnsi"/>
                <w:bCs/>
                <w:color w:val="000000"/>
                <w:sz w:val="20"/>
                <w:lang w:eastAsia="en-GB"/>
              </w:rPr>
              <w:t>Access RD</w:t>
            </w:r>
          </w:p>
        </w:tc>
        <w:tc>
          <w:tcPr>
            <w:tcW w:w="0" w:type="auto"/>
            <w:tcBorders>
              <w:top w:val="nil"/>
              <w:left w:val="nil"/>
              <w:bottom w:val="single" w:sz="4" w:space="0" w:color="auto"/>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0.288 </w:t>
            </w:r>
          </w:p>
        </w:tc>
        <w:tc>
          <w:tcPr>
            <w:tcW w:w="0" w:type="auto"/>
            <w:tcBorders>
              <w:top w:val="nil"/>
              <w:left w:val="nil"/>
              <w:bottom w:val="single" w:sz="4" w:space="0" w:color="auto"/>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0.244 </w:t>
            </w:r>
          </w:p>
        </w:tc>
        <w:tc>
          <w:tcPr>
            <w:tcW w:w="0" w:type="auto"/>
            <w:tcBorders>
              <w:top w:val="nil"/>
              <w:left w:val="nil"/>
              <w:bottom w:val="single" w:sz="4" w:space="0" w:color="auto"/>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0.027 </w:t>
            </w:r>
          </w:p>
        </w:tc>
        <w:tc>
          <w:tcPr>
            <w:tcW w:w="0" w:type="auto"/>
            <w:tcBorders>
              <w:top w:val="nil"/>
              <w:left w:val="nil"/>
              <w:bottom w:val="single" w:sz="4" w:space="0" w:color="auto"/>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b/>
                <w:bCs/>
                <w:color w:val="000000"/>
                <w:sz w:val="20"/>
                <w:lang w:eastAsia="en-GB"/>
              </w:rPr>
            </w:pPr>
            <w:r w:rsidRPr="00D34737">
              <w:rPr>
                <w:rFonts w:asciiTheme="minorHAnsi" w:hAnsiTheme="minorHAnsi"/>
                <w:b/>
                <w:bCs/>
                <w:color w:val="000000"/>
                <w:sz w:val="20"/>
                <w:lang w:eastAsia="en-GB"/>
              </w:rPr>
              <w:t xml:space="preserve">-0.664 </w:t>
            </w:r>
          </w:p>
        </w:tc>
        <w:tc>
          <w:tcPr>
            <w:tcW w:w="0" w:type="auto"/>
            <w:tcBorders>
              <w:top w:val="nil"/>
              <w:left w:val="nil"/>
              <w:bottom w:val="single" w:sz="4" w:space="0" w:color="auto"/>
              <w:right w:val="single" w:sz="4" w:space="0" w:color="auto"/>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b/>
                <w:bCs/>
                <w:color w:val="000000"/>
                <w:sz w:val="20"/>
                <w:lang w:eastAsia="en-GB"/>
              </w:rPr>
            </w:pPr>
            <w:r w:rsidRPr="00D34737">
              <w:rPr>
                <w:rFonts w:asciiTheme="minorHAnsi" w:hAnsiTheme="minorHAnsi"/>
                <w:b/>
                <w:bCs/>
                <w:color w:val="000000"/>
                <w:sz w:val="20"/>
                <w:lang w:eastAsia="en-GB"/>
              </w:rPr>
              <w:t xml:space="preserve">-0.716 </w:t>
            </w:r>
          </w:p>
        </w:tc>
      </w:tr>
      <w:tr w:rsidR="00D34737" w:rsidRPr="00D34737" w:rsidTr="00D34737">
        <w:trPr>
          <w:trHeight w:val="22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D34737" w:rsidRPr="00D34737" w:rsidRDefault="00D34737" w:rsidP="00D34737">
            <w:pPr>
              <w:spacing w:before="0" w:line="240" w:lineRule="auto"/>
              <w:jc w:val="center"/>
              <w:rPr>
                <w:rFonts w:asciiTheme="minorHAnsi" w:hAnsiTheme="minorHAnsi"/>
                <w:b/>
                <w:bCs/>
                <w:color w:val="000000"/>
                <w:sz w:val="20"/>
                <w:lang w:eastAsia="en-GB"/>
              </w:rPr>
            </w:pPr>
            <w:r w:rsidRPr="00D34737">
              <w:rPr>
                <w:rFonts w:asciiTheme="minorHAnsi" w:hAnsiTheme="minorHAnsi"/>
                <w:b/>
                <w:bCs/>
                <w:color w:val="000000"/>
                <w:sz w:val="20"/>
                <w:lang w:eastAsia="en-GB"/>
              </w:rPr>
              <w:t>Productivity</w:t>
            </w:r>
          </w:p>
        </w:tc>
        <w:tc>
          <w:tcPr>
            <w:tcW w:w="0" w:type="auto"/>
            <w:tcBorders>
              <w:top w:val="nil"/>
              <w:left w:val="nil"/>
              <w:bottom w:val="single" w:sz="4" w:space="0" w:color="auto"/>
              <w:right w:val="single" w:sz="4" w:space="0" w:color="auto"/>
            </w:tcBorders>
            <w:shd w:val="clear" w:color="auto" w:fill="auto"/>
            <w:noWrap/>
            <w:vAlign w:val="bottom"/>
            <w:hideMark/>
          </w:tcPr>
          <w:p w:rsidR="00D34737" w:rsidRPr="00D34737" w:rsidRDefault="00D34737" w:rsidP="00CA2C90">
            <w:pPr>
              <w:spacing w:before="0" w:line="240" w:lineRule="auto"/>
              <w:jc w:val="left"/>
              <w:rPr>
                <w:rFonts w:asciiTheme="minorHAnsi" w:hAnsiTheme="minorHAnsi"/>
                <w:bCs/>
                <w:color w:val="000000"/>
                <w:sz w:val="20"/>
                <w:lang w:eastAsia="en-GB"/>
              </w:rPr>
            </w:pPr>
            <w:r w:rsidRPr="00D34737">
              <w:rPr>
                <w:rFonts w:asciiTheme="minorHAnsi" w:hAnsiTheme="minorHAnsi"/>
                <w:bCs/>
                <w:color w:val="000000"/>
                <w:sz w:val="20"/>
                <w:lang w:eastAsia="en-GB"/>
              </w:rPr>
              <w:t>GDP</w:t>
            </w:r>
            <w:r w:rsidR="00CA2C90">
              <w:rPr>
                <w:rFonts w:asciiTheme="minorHAnsi" w:hAnsiTheme="minorHAnsi"/>
                <w:bCs/>
                <w:color w:val="000000"/>
                <w:sz w:val="20"/>
                <w:lang w:eastAsia="en-GB"/>
              </w:rPr>
              <w:t xml:space="preserve"> </w:t>
            </w:r>
            <w:r w:rsidRPr="00D34737">
              <w:rPr>
                <w:rFonts w:asciiTheme="minorHAnsi" w:hAnsiTheme="minorHAnsi"/>
                <w:bCs/>
                <w:color w:val="000000"/>
                <w:sz w:val="20"/>
                <w:lang w:eastAsia="en-GB"/>
              </w:rPr>
              <w:t>PPS</w:t>
            </w:r>
            <w:r w:rsidR="00CA2C90">
              <w:rPr>
                <w:rFonts w:asciiTheme="minorHAnsi" w:hAnsiTheme="minorHAnsi"/>
                <w:bCs/>
                <w:color w:val="000000"/>
                <w:sz w:val="20"/>
                <w:lang w:eastAsia="en-GB"/>
              </w:rPr>
              <w:t xml:space="preserve"> </w:t>
            </w:r>
            <w:r w:rsidRPr="00D34737">
              <w:rPr>
                <w:rFonts w:asciiTheme="minorHAnsi" w:hAnsiTheme="minorHAnsi"/>
                <w:bCs/>
                <w:color w:val="000000"/>
                <w:sz w:val="20"/>
                <w:lang w:eastAsia="en-GB"/>
              </w:rPr>
              <w:t>HAB</w:t>
            </w:r>
          </w:p>
        </w:tc>
        <w:tc>
          <w:tcPr>
            <w:tcW w:w="0" w:type="auto"/>
            <w:tcBorders>
              <w:top w:val="nil"/>
              <w:left w:val="nil"/>
              <w:bottom w:val="single" w:sz="4" w:space="0" w:color="auto"/>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-0.288 </w:t>
            </w:r>
          </w:p>
        </w:tc>
        <w:tc>
          <w:tcPr>
            <w:tcW w:w="0" w:type="auto"/>
            <w:tcBorders>
              <w:top w:val="nil"/>
              <w:left w:val="nil"/>
              <w:bottom w:val="single" w:sz="4" w:space="0" w:color="auto"/>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-0.108 </w:t>
            </w:r>
          </w:p>
        </w:tc>
        <w:tc>
          <w:tcPr>
            <w:tcW w:w="0" w:type="auto"/>
            <w:tcBorders>
              <w:top w:val="nil"/>
              <w:left w:val="nil"/>
              <w:bottom w:val="single" w:sz="4" w:space="0" w:color="auto"/>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-0.086 </w:t>
            </w:r>
          </w:p>
        </w:tc>
        <w:tc>
          <w:tcPr>
            <w:tcW w:w="0" w:type="auto"/>
            <w:tcBorders>
              <w:top w:val="single" w:sz="4" w:space="0" w:color="auto"/>
              <w:left w:val="nil"/>
              <w:bottom w:val="single" w:sz="4" w:space="0" w:color="auto"/>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b/>
                <w:bCs/>
                <w:color w:val="000000"/>
                <w:sz w:val="20"/>
                <w:lang w:eastAsia="en-GB"/>
              </w:rPr>
            </w:pPr>
            <w:r w:rsidRPr="00D34737">
              <w:rPr>
                <w:rFonts w:asciiTheme="minorHAnsi" w:hAnsiTheme="minorHAnsi"/>
                <w:b/>
                <w:bCs/>
                <w:color w:val="000000"/>
                <w:sz w:val="20"/>
                <w:lang w:eastAsia="en-GB"/>
              </w:rPr>
              <w:t xml:space="preserve">-0.612 </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b/>
                <w:bCs/>
                <w:color w:val="000000"/>
                <w:sz w:val="20"/>
                <w:lang w:eastAsia="en-GB"/>
              </w:rPr>
            </w:pPr>
            <w:r w:rsidRPr="00D34737">
              <w:rPr>
                <w:rFonts w:asciiTheme="minorHAnsi" w:hAnsiTheme="minorHAnsi"/>
                <w:b/>
                <w:bCs/>
                <w:color w:val="000000"/>
                <w:sz w:val="20"/>
                <w:lang w:eastAsia="en-GB"/>
              </w:rPr>
              <w:t xml:space="preserve">-0.522 </w:t>
            </w:r>
          </w:p>
        </w:tc>
      </w:tr>
      <w:tr w:rsidR="00D34737" w:rsidRPr="00D34737" w:rsidTr="00D34737">
        <w:trPr>
          <w:trHeight w:val="227"/>
        </w:trPr>
        <w:tc>
          <w:tcPr>
            <w:tcW w:w="0" w:type="auto"/>
            <w:vMerge w:val="restart"/>
            <w:tcBorders>
              <w:top w:val="nil"/>
              <w:left w:val="single" w:sz="4" w:space="0" w:color="auto"/>
              <w:bottom w:val="single" w:sz="4" w:space="0" w:color="000000"/>
              <w:right w:val="single" w:sz="4" w:space="0" w:color="auto"/>
            </w:tcBorders>
            <w:shd w:val="clear" w:color="auto" w:fill="auto"/>
            <w:vAlign w:val="center"/>
            <w:hideMark/>
          </w:tcPr>
          <w:p w:rsidR="00D34737" w:rsidRPr="00D34737" w:rsidRDefault="00D34737" w:rsidP="00D34737">
            <w:pPr>
              <w:spacing w:before="0" w:line="240" w:lineRule="auto"/>
              <w:jc w:val="center"/>
              <w:rPr>
                <w:rFonts w:asciiTheme="minorHAnsi" w:hAnsiTheme="minorHAnsi"/>
                <w:b/>
                <w:bCs/>
                <w:color w:val="000000"/>
                <w:sz w:val="20"/>
                <w:lang w:eastAsia="en-GB"/>
              </w:rPr>
            </w:pPr>
            <w:r w:rsidRPr="00D34737">
              <w:rPr>
                <w:rFonts w:asciiTheme="minorHAnsi" w:hAnsiTheme="minorHAnsi"/>
                <w:b/>
                <w:bCs/>
                <w:color w:val="000000"/>
                <w:sz w:val="20"/>
                <w:lang w:eastAsia="en-GB"/>
              </w:rPr>
              <w:t>Labour Market</w:t>
            </w: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bCs/>
                <w:color w:val="000000"/>
                <w:sz w:val="20"/>
                <w:lang w:eastAsia="en-GB"/>
              </w:rPr>
            </w:pPr>
            <w:r w:rsidRPr="00D34737">
              <w:rPr>
                <w:rFonts w:asciiTheme="minorHAnsi" w:hAnsiTheme="minorHAnsi"/>
                <w:bCs/>
                <w:color w:val="000000"/>
                <w:sz w:val="20"/>
                <w:lang w:eastAsia="en-GB"/>
              </w:rPr>
              <w:t>Unemp(Reg)</w:t>
            </w:r>
          </w:p>
        </w:tc>
        <w:tc>
          <w:tcPr>
            <w:tcW w:w="0" w:type="auto"/>
            <w:tcBorders>
              <w:top w:val="nil"/>
              <w:left w:val="single" w:sz="4" w:space="0" w:color="auto"/>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b/>
                <w:bCs/>
                <w:color w:val="000000"/>
                <w:sz w:val="20"/>
                <w:lang w:eastAsia="en-GB"/>
              </w:rPr>
            </w:pPr>
            <w:r w:rsidRPr="00D34737">
              <w:rPr>
                <w:rFonts w:asciiTheme="minorHAnsi" w:hAnsiTheme="minorHAnsi"/>
                <w:b/>
                <w:bCs/>
                <w:color w:val="000000"/>
                <w:sz w:val="20"/>
                <w:lang w:eastAsia="en-GB"/>
              </w:rPr>
              <w:t xml:space="preserve">0.869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0.477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b/>
                <w:bCs/>
                <w:color w:val="000000"/>
                <w:sz w:val="20"/>
                <w:lang w:eastAsia="en-GB"/>
              </w:rPr>
            </w:pPr>
            <w:r w:rsidRPr="00D34737">
              <w:rPr>
                <w:rFonts w:asciiTheme="minorHAnsi" w:hAnsiTheme="minorHAnsi"/>
                <w:b/>
                <w:bCs/>
                <w:color w:val="000000"/>
                <w:sz w:val="20"/>
                <w:lang w:eastAsia="en-GB"/>
              </w:rPr>
              <w:t xml:space="preserve">0.646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0.474 </w:t>
            </w:r>
          </w:p>
        </w:tc>
        <w:tc>
          <w:tcPr>
            <w:tcW w:w="0" w:type="auto"/>
            <w:tcBorders>
              <w:top w:val="nil"/>
              <w:left w:val="nil"/>
              <w:bottom w:val="nil"/>
              <w:right w:val="single" w:sz="4" w:space="0" w:color="auto"/>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0.112 </w:t>
            </w:r>
          </w:p>
        </w:tc>
      </w:tr>
      <w:tr w:rsidR="00D34737" w:rsidRPr="00D34737" w:rsidTr="00D34737">
        <w:trPr>
          <w:trHeight w:val="227"/>
        </w:trPr>
        <w:tc>
          <w:tcPr>
            <w:tcW w:w="0" w:type="auto"/>
            <w:vMerge/>
            <w:tcBorders>
              <w:top w:val="nil"/>
              <w:left w:val="single" w:sz="4" w:space="0" w:color="auto"/>
              <w:bottom w:val="single" w:sz="4" w:space="0" w:color="000000"/>
              <w:right w:val="single" w:sz="4" w:space="0" w:color="auto"/>
            </w:tcBorders>
            <w:vAlign w:val="center"/>
            <w:hideMark/>
          </w:tcPr>
          <w:p w:rsidR="00D34737" w:rsidRPr="00D34737" w:rsidRDefault="00D34737" w:rsidP="00D34737">
            <w:pPr>
              <w:spacing w:before="0" w:line="240" w:lineRule="auto"/>
              <w:jc w:val="center"/>
              <w:rPr>
                <w:rFonts w:asciiTheme="minorHAnsi" w:hAnsiTheme="minorHAns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bCs/>
                <w:color w:val="000000"/>
                <w:sz w:val="20"/>
                <w:lang w:eastAsia="en-GB"/>
              </w:rPr>
            </w:pPr>
            <w:r w:rsidRPr="00D34737">
              <w:rPr>
                <w:rFonts w:asciiTheme="minorHAnsi" w:hAnsiTheme="minorHAnsi"/>
                <w:bCs/>
                <w:color w:val="000000"/>
                <w:sz w:val="20"/>
                <w:lang w:eastAsia="en-GB"/>
              </w:rPr>
              <w:t>Unemp(Cen)</w:t>
            </w:r>
          </w:p>
        </w:tc>
        <w:tc>
          <w:tcPr>
            <w:tcW w:w="0" w:type="auto"/>
            <w:tcBorders>
              <w:top w:val="nil"/>
              <w:left w:val="single" w:sz="4" w:space="0" w:color="auto"/>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b/>
                <w:bCs/>
                <w:color w:val="000000"/>
                <w:sz w:val="20"/>
                <w:lang w:eastAsia="en-GB"/>
              </w:rPr>
            </w:pPr>
            <w:r w:rsidRPr="00D34737">
              <w:rPr>
                <w:rFonts w:asciiTheme="minorHAnsi" w:hAnsiTheme="minorHAnsi"/>
                <w:b/>
                <w:bCs/>
                <w:color w:val="000000"/>
                <w:sz w:val="20"/>
                <w:lang w:eastAsia="en-GB"/>
              </w:rPr>
              <w:t xml:space="preserve">0.837 </w:t>
            </w:r>
          </w:p>
        </w:tc>
        <w:tc>
          <w:tcPr>
            <w:tcW w:w="0" w:type="auto"/>
            <w:tcBorders>
              <w:top w:val="nil"/>
              <w:left w:val="nil"/>
              <w:bottom w:val="nil"/>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0.104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b/>
                <w:bCs/>
                <w:color w:val="000000"/>
                <w:sz w:val="20"/>
                <w:lang w:eastAsia="en-GB"/>
              </w:rPr>
            </w:pPr>
            <w:r w:rsidRPr="00D34737">
              <w:rPr>
                <w:rFonts w:asciiTheme="minorHAnsi" w:hAnsiTheme="minorHAnsi"/>
                <w:b/>
                <w:bCs/>
                <w:color w:val="000000"/>
                <w:sz w:val="20"/>
                <w:lang w:eastAsia="en-GB"/>
              </w:rPr>
              <w:t xml:space="preserve">0.530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b/>
                <w:bCs/>
                <w:color w:val="000000"/>
                <w:sz w:val="20"/>
                <w:lang w:eastAsia="en-GB"/>
              </w:rPr>
            </w:pPr>
            <w:r w:rsidRPr="00D34737">
              <w:rPr>
                <w:rFonts w:asciiTheme="minorHAnsi" w:hAnsiTheme="minorHAnsi"/>
                <w:b/>
                <w:bCs/>
                <w:color w:val="000000"/>
                <w:sz w:val="20"/>
                <w:lang w:eastAsia="en-GB"/>
              </w:rPr>
              <w:t xml:space="preserve">0.638 </w:t>
            </w:r>
          </w:p>
        </w:tc>
        <w:tc>
          <w:tcPr>
            <w:tcW w:w="0" w:type="auto"/>
            <w:tcBorders>
              <w:top w:val="nil"/>
              <w:left w:val="nil"/>
              <w:bottom w:val="nil"/>
              <w:right w:val="single" w:sz="4" w:space="0" w:color="auto"/>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0.072 </w:t>
            </w:r>
          </w:p>
        </w:tc>
      </w:tr>
      <w:tr w:rsidR="00D34737" w:rsidRPr="00D34737" w:rsidTr="00D34737">
        <w:trPr>
          <w:trHeight w:val="227"/>
        </w:trPr>
        <w:tc>
          <w:tcPr>
            <w:tcW w:w="0" w:type="auto"/>
            <w:vMerge/>
            <w:tcBorders>
              <w:top w:val="nil"/>
              <w:left w:val="single" w:sz="4" w:space="0" w:color="auto"/>
              <w:bottom w:val="single" w:sz="4" w:space="0" w:color="000000"/>
              <w:right w:val="single" w:sz="4" w:space="0" w:color="auto"/>
            </w:tcBorders>
            <w:vAlign w:val="center"/>
            <w:hideMark/>
          </w:tcPr>
          <w:p w:rsidR="00D34737" w:rsidRPr="00D34737" w:rsidRDefault="00D34737" w:rsidP="00D34737">
            <w:pPr>
              <w:spacing w:before="0" w:line="240" w:lineRule="auto"/>
              <w:jc w:val="center"/>
              <w:rPr>
                <w:rFonts w:asciiTheme="minorHAnsi" w:hAnsiTheme="minorHAns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bCs/>
                <w:color w:val="000000"/>
                <w:sz w:val="20"/>
                <w:lang w:eastAsia="en-GB"/>
              </w:rPr>
            </w:pPr>
            <w:r w:rsidRPr="00D34737">
              <w:rPr>
                <w:rFonts w:asciiTheme="minorHAnsi" w:hAnsiTheme="minorHAnsi"/>
                <w:bCs/>
                <w:color w:val="000000"/>
                <w:sz w:val="20"/>
                <w:lang w:eastAsia="en-GB"/>
              </w:rPr>
              <w:t>Yunemp(Reg)</w:t>
            </w:r>
          </w:p>
        </w:tc>
        <w:tc>
          <w:tcPr>
            <w:tcW w:w="0" w:type="auto"/>
            <w:tcBorders>
              <w:top w:val="nil"/>
              <w:left w:val="single" w:sz="4" w:space="0" w:color="auto"/>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b/>
                <w:bCs/>
                <w:color w:val="000000"/>
                <w:sz w:val="20"/>
                <w:lang w:eastAsia="en-GB"/>
              </w:rPr>
            </w:pPr>
            <w:r w:rsidRPr="00D34737">
              <w:rPr>
                <w:rFonts w:asciiTheme="minorHAnsi" w:hAnsiTheme="minorHAnsi"/>
                <w:b/>
                <w:bCs/>
                <w:color w:val="000000"/>
                <w:sz w:val="20"/>
                <w:lang w:eastAsia="en-GB"/>
              </w:rPr>
              <w:t xml:space="preserve">0.807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0.277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0.356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0.288 </w:t>
            </w:r>
          </w:p>
        </w:tc>
        <w:tc>
          <w:tcPr>
            <w:tcW w:w="0" w:type="auto"/>
            <w:tcBorders>
              <w:top w:val="nil"/>
              <w:left w:val="nil"/>
              <w:bottom w:val="nil"/>
              <w:right w:val="single" w:sz="4" w:space="0" w:color="auto"/>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0.148 </w:t>
            </w:r>
          </w:p>
        </w:tc>
      </w:tr>
      <w:tr w:rsidR="00D34737" w:rsidRPr="00D34737" w:rsidTr="00D34737">
        <w:trPr>
          <w:trHeight w:val="227"/>
        </w:trPr>
        <w:tc>
          <w:tcPr>
            <w:tcW w:w="0" w:type="auto"/>
            <w:vMerge/>
            <w:tcBorders>
              <w:top w:val="nil"/>
              <w:left w:val="single" w:sz="4" w:space="0" w:color="auto"/>
              <w:bottom w:val="single" w:sz="4" w:space="0" w:color="000000"/>
              <w:right w:val="single" w:sz="4" w:space="0" w:color="auto"/>
            </w:tcBorders>
            <w:vAlign w:val="center"/>
            <w:hideMark/>
          </w:tcPr>
          <w:p w:rsidR="00D34737" w:rsidRPr="00D34737" w:rsidRDefault="00D34737" w:rsidP="00D34737">
            <w:pPr>
              <w:spacing w:before="0" w:line="240" w:lineRule="auto"/>
              <w:jc w:val="center"/>
              <w:rPr>
                <w:rFonts w:asciiTheme="minorHAnsi" w:hAnsiTheme="minorHAns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bCs/>
                <w:color w:val="000000"/>
                <w:sz w:val="20"/>
                <w:lang w:eastAsia="en-GB"/>
              </w:rPr>
            </w:pPr>
            <w:r w:rsidRPr="00D34737">
              <w:rPr>
                <w:rFonts w:asciiTheme="minorHAnsi" w:hAnsiTheme="minorHAnsi"/>
                <w:bCs/>
                <w:color w:val="000000"/>
                <w:sz w:val="20"/>
                <w:lang w:eastAsia="en-GB"/>
              </w:rPr>
              <w:t>Yunemp(Cen)</w:t>
            </w:r>
          </w:p>
        </w:tc>
        <w:tc>
          <w:tcPr>
            <w:tcW w:w="0" w:type="auto"/>
            <w:tcBorders>
              <w:top w:val="nil"/>
              <w:left w:val="single" w:sz="4" w:space="0" w:color="auto"/>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b/>
                <w:bCs/>
                <w:color w:val="000000"/>
                <w:sz w:val="20"/>
                <w:lang w:eastAsia="en-GB"/>
              </w:rPr>
            </w:pPr>
            <w:r w:rsidRPr="00D34737">
              <w:rPr>
                <w:rFonts w:asciiTheme="minorHAnsi" w:hAnsiTheme="minorHAnsi"/>
                <w:b/>
                <w:bCs/>
                <w:color w:val="000000"/>
                <w:sz w:val="20"/>
                <w:lang w:eastAsia="en-GB"/>
              </w:rPr>
              <w:t xml:space="preserve">0.802 </w:t>
            </w:r>
          </w:p>
        </w:tc>
        <w:tc>
          <w:tcPr>
            <w:tcW w:w="0" w:type="auto"/>
            <w:tcBorders>
              <w:top w:val="nil"/>
              <w:left w:val="nil"/>
              <w:bottom w:val="nil"/>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-0.069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0.321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0.410 </w:t>
            </w: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0.243 </w:t>
            </w:r>
          </w:p>
        </w:tc>
      </w:tr>
      <w:tr w:rsidR="00D34737" w:rsidRPr="00D34737" w:rsidTr="00D34737">
        <w:trPr>
          <w:trHeight w:val="227"/>
        </w:trPr>
        <w:tc>
          <w:tcPr>
            <w:tcW w:w="0" w:type="auto"/>
            <w:vMerge/>
            <w:tcBorders>
              <w:top w:val="nil"/>
              <w:left w:val="single" w:sz="4" w:space="0" w:color="auto"/>
              <w:bottom w:val="single" w:sz="4" w:space="0" w:color="000000"/>
              <w:right w:val="single" w:sz="4" w:space="0" w:color="auto"/>
            </w:tcBorders>
            <w:vAlign w:val="center"/>
            <w:hideMark/>
          </w:tcPr>
          <w:p w:rsidR="00D34737" w:rsidRPr="00D34737" w:rsidRDefault="00D34737" w:rsidP="00D34737">
            <w:pPr>
              <w:spacing w:before="0" w:line="240" w:lineRule="auto"/>
              <w:jc w:val="center"/>
              <w:rPr>
                <w:rFonts w:asciiTheme="minorHAnsi" w:hAnsiTheme="minorHAns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bCs/>
                <w:color w:val="000000"/>
                <w:sz w:val="20"/>
                <w:lang w:eastAsia="en-GB"/>
              </w:rPr>
            </w:pPr>
            <w:r w:rsidRPr="00D34737">
              <w:rPr>
                <w:rFonts w:asciiTheme="minorHAnsi" w:hAnsiTheme="minorHAnsi"/>
                <w:bCs/>
                <w:color w:val="000000"/>
                <w:sz w:val="20"/>
                <w:lang w:eastAsia="en-GB"/>
              </w:rPr>
              <w:t>LTUnemp(Reg)</w:t>
            </w:r>
          </w:p>
        </w:tc>
        <w:tc>
          <w:tcPr>
            <w:tcW w:w="0" w:type="auto"/>
            <w:tcBorders>
              <w:top w:val="nil"/>
              <w:left w:val="single" w:sz="4" w:space="0" w:color="auto"/>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b/>
                <w:bCs/>
                <w:color w:val="000000"/>
                <w:sz w:val="20"/>
                <w:lang w:eastAsia="en-GB"/>
              </w:rPr>
            </w:pPr>
            <w:r w:rsidRPr="00D34737">
              <w:rPr>
                <w:rFonts w:asciiTheme="minorHAnsi" w:hAnsiTheme="minorHAnsi"/>
                <w:b/>
                <w:bCs/>
                <w:color w:val="000000"/>
                <w:sz w:val="20"/>
                <w:lang w:eastAsia="en-GB"/>
              </w:rPr>
              <w:t xml:space="preserve">0.629 </w:t>
            </w:r>
          </w:p>
        </w:tc>
        <w:tc>
          <w:tcPr>
            <w:tcW w:w="0" w:type="auto"/>
            <w:tcBorders>
              <w:top w:val="nil"/>
              <w:left w:val="nil"/>
              <w:bottom w:val="nil"/>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-0.022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b/>
                <w:bCs/>
                <w:color w:val="000000"/>
                <w:sz w:val="20"/>
                <w:lang w:eastAsia="en-GB"/>
              </w:rPr>
            </w:pPr>
            <w:r w:rsidRPr="00D34737">
              <w:rPr>
                <w:rFonts w:asciiTheme="minorHAnsi" w:hAnsiTheme="minorHAnsi"/>
                <w:b/>
                <w:bCs/>
                <w:color w:val="000000"/>
                <w:sz w:val="20"/>
                <w:lang w:eastAsia="en-GB"/>
              </w:rPr>
              <w:t xml:space="preserve">0.608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0.205 </w:t>
            </w:r>
          </w:p>
        </w:tc>
        <w:tc>
          <w:tcPr>
            <w:tcW w:w="0" w:type="auto"/>
            <w:tcBorders>
              <w:top w:val="nil"/>
              <w:left w:val="nil"/>
              <w:bottom w:val="nil"/>
              <w:right w:val="single" w:sz="4" w:space="0" w:color="auto"/>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0.081 </w:t>
            </w:r>
          </w:p>
        </w:tc>
      </w:tr>
      <w:tr w:rsidR="00D34737" w:rsidRPr="00D34737" w:rsidTr="00D34737">
        <w:trPr>
          <w:trHeight w:val="227"/>
        </w:trPr>
        <w:tc>
          <w:tcPr>
            <w:tcW w:w="0" w:type="auto"/>
            <w:vMerge/>
            <w:tcBorders>
              <w:top w:val="nil"/>
              <w:left w:val="single" w:sz="4" w:space="0" w:color="auto"/>
              <w:bottom w:val="single" w:sz="4" w:space="0" w:color="000000"/>
              <w:right w:val="single" w:sz="4" w:space="0" w:color="auto"/>
            </w:tcBorders>
            <w:vAlign w:val="center"/>
            <w:hideMark/>
          </w:tcPr>
          <w:p w:rsidR="00D34737" w:rsidRPr="00D34737" w:rsidRDefault="00D34737" w:rsidP="00D34737">
            <w:pPr>
              <w:spacing w:before="0" w:line="240" w:lineRule="auto"/>
              <w:jc w:val="center"/>
              <w:rPr>
                <w:rFonts w:asciiTheme="minorHAnsi" w:hAnsiTheme="minorHAns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bCs/>
                <w:color w:val="000000"/>
                <w:sz w:val="20"/>
                <w:lang w:eastAsia="en-GB"/>
              </w:rPr>
            </w:pPr>
            <w:r w:rsidRPr="00D34737">
              <w:rPr>
                <w:rFonts w:asciiTheme="minorHAnsi" w:hAnsiTheme="minorHAnsi"/>
                <w:bCs/>
                <w:color w:val="000000"/>
                <w:sz w:val="20"/>
                <w:lang w:eastAsia="en-GB"/>
              </w:rPr>
              <w:t>EARate</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-0.399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-0.257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-0.271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-0.331 </w:t>
            </w:r>
          </w:p>
        </w:tc>
        <w:tc>
          <w:tcPr>
            <w:tcW w:w="0" w:type="auto"/>
            <w:tcBorders>
              <w:top w:val="nil"/>
              <w:left w:val="nil"/>
              <w:bottom w:val="nil"/>
              <w:right w:val="single" w:sz="4" w:space="0" w:color="auto"/>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-0.009 </w:t>
            </w:r>
          </w:p>
        </w:tc>
      </w:tr>
      <w:tr w:rsidR="00D34737" w:rsidRPr="00D34737" w:rsidTr="00D34737">
        <w:trPr>
          <w:trHeight w:val="227"/>
        </w:trPr>
        <w:tc>
          <w:tcPr>
            <w:tcW w:w="0" w:type="auto"/>
            <w:vMerge/>
            <w:tcBorders>
              <w:top w:val="nil"/>
              <w:left w:val="single" w:sz="4" w:space="0" w:color="auto"/>
              <w:bottom w:val="single" w:sz="4" w:space="0" w:color="000000"/>
              <w:right w:val="single" w:sz="4" w:space="0" w:color="auto"/>
            </w:tcBorders>
            <w:vAlign w:val="center"/>
            <w:hideMark/>
          </w:tcPr>
          <w:p w:rsidR="00D34737" w:rsidRPr="00D34737" w:rsidRDefault="00D34737" w:rsidP="00D34737">
            <w:pPr>
              <w:spacing w:before="0" w:line="240" w:lineRule="auto"/>
              <w:jc w:val="center"/>
              <w:rPr>
                <w:rFonts w:asciiTheme="minorHAnsi" w:hAnsiTheme="minorHAns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CA2C90">
            <w:pPr>
              <w:spacing w:before="0" w:line="240" w:lineRule="auto"/>
              <w:jc w:val="left"/>
              <w:rPr>
                <w:rFonts w:asciiTheme="minorHAnsi" w:hAnsiTheme="minorHAnsi"/>
                <w:bCs/>
                <w:color w:val="000000"/>
                <w:sz w:val="20"/>
                <w:lang w:eastAsia="en-GB"/>
              </w:rPr>
            </w:pPr>
            <w:r w:rsidRPr="00D34737">
              <w:rPr>
                <w:rFonts w:asciiTheme="minorHAnsi" w:hAnsiTheme="minorHAnsi"/>
                <w:bCs/>
                <w:color w:val="000000"/>
                <w:sz w:val="20"/>
                <w:lang w:eastAsia="en-GB"/>
              </w:rPr>
              <w:t>Inact</w:t>
            </w:r>
            <w:r w:rsidR="00CA2C90">
              <w:rPr>
                <w:rFonts w:asciiTheme="minorHAnsi" w:hAnsiTheme="minorHAnsi"/>
                <w:bCs/>
                <w:color w:val="000000"/>
                <w:sz w:val="20"/>
                <w:lang w:eastAsia="en-GB"/>
              </w:rPr>
              <w:t>ivity</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0.115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0.374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0.392 </w:t>
            </w:r>
          </w:p>
        </w:tc>
        <w:tc>
          <w:tcPr>
            <w:tcW w:w="0" w:type="auto"/>
            <w:tcBorders>
              <w:top w:val="nil"/>
              <w:left w:val="nil"/>
              <w:bottom w:val="nil"/>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0.060 </w:t>
            </w: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0.192 </w:t>
            </w:r>
          </w:p>
        </w:tc>
      </w:tr>
      <w:tr w:rsidR="00D34737" w:rsidRPr="00D34737" w:rsidTr="00D34737">
        <w:trPr>
          <w:trHeight w:val="227"/>
        </w:trPr>
        <w:tc>
          <w:tcPr>
            <w:tcW w:w="0" w:type="auto"/>
            <w:vMerge/>
            <w:tcBorders>
              <w:top w:val="nil"/>
              <w:left w:val="single" w:sz="4" w:space="0" w:color="auto"/>
              <w:bottom w:val="single" w:sz="4" w:space="0" w:color="000000"/>
              <w:right w:val="single" w:sz="4" w:space="0" w:color="auto"/>
            </w:tcBorders>
            <w:vAlign w:val="center"/>
            <w:hideMark/>
          </w:tcPr>
          <w:p w:rsidR="00D34737" w:rsidRPr="00D34737" w:rsidRDefault="00D34737" w:rsidP="00D34737">
            <w:pPr>
              <w:spacing w:before="0" w:line="240" w:lineRule="auto"/>
              <w:jc w:val="center"/>
              <w:rPr>
                <w:rFonts w:asciiTheme="minorHAnsi" w:hAnsiTheme="minorHAnsi"/>
                <w:b/>
                <w:bCs/>
                <w:color w:val="000000"/>
                <w:sz w:val="20"/>
                <w:lang w:eastAsia="en-GB"/>
              </w:rPr>
            </w:pPr>
          </w:p>
        </w:tc>
        <w:tc>
          <w:tcPr>
            <w:tcW w:w="0" w:type="auto"/>
            <w:tcBorders>
              <w:top w:val="nil"/>
              <w:left w:val="nil"/>
              <w:bottom w:val="single" w:sz="4" w:space="0" w:color="auto"/>
              <w:right w:val="single" w:sz="4" w:space="0" w:color="auto"/>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bCs/>
                <w:color w:val="000000"/>
                <w:sz w:val="20"/>
                <w:lang w:eastAsia="en-GB"/>
              </w:rPr>
            </w:pPr>
            <w:r w:rsidRPr="00D34737">
              <w:rPr>
                <w:rFonts w:asciiTheme="minorHAnsi" w:hAnsiTheme="minorHAnsi"/>
                <w:bCs/>
                <w:color w:val="000000"/>
                <w:sz w:val="20"/>
                <w:lang w:eastAsia="en-GB"/>
              </w:rPr>
              <w:t>EmpRate</w:t>
            </w:r>
          </w:p>
        </w:tc>
        <w:tc>
          <w:tcPr>
            <w:tcW w:w="0" w:type="auto"/>
            <w:tcBorders>
              <w:top w:val="nil"/>
              <w:left w:val="single" w:sz="4" w:space="0" w:color="auto"/>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b/>
                <w:bCs/>
                <w:color w:val="000000"/>
                <w:sz w:val="20"/>
                <w:lang w:eastAsia="en-GB"/>
              </w:rPr>
            </w:pPr>
            <w:r w:rsidRPr="00D34737">
              <w:rPr>
                <w:rFonts w:asciiTheme="minorHAnsi" w:hAnsiTheme="minorHAnsi"/>
                <w:b/>
                <w:bCs/>
                <w:color w:val="000000"/>
                <w:sz w:val="20"/>
                <w:lang w:eastAsia="en-GB"/>
              </w:rPr>
              <w:t xml:space="preserve">-0.538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-0.253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-0.389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b/>
                <w:bCs/>
                <w:color w:val="000000"/>
                <w:sz w:val="20"/>
                <w:lang w:eastAsia="en-GB"/>
              </w:rPr>
            </w:pPr>
            <w:r w:rsidRPr="00D34737">
              <w:rPr>
                <w:rFonts w:asciiTheme="minorHAnsi" w:hAnsiTheme="minorHAnsi"/>
                <w:b/>
                <w:bCs/>
                <w:color w:val="000000"/>
                <w:sz w:val="20"/>
                <w:lang w:eastAsia="en-GB"/>
              </w:rPr>
              <w:t xml:space="preserve">-0.511 </w:t>
            </w: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-0.036 </w:t>
            </w:r>
          </w:p>
        </w:tc>
      </w:tr>
      <w:tr w:rsidR="00D34737" w:rsidRPr="00D34737" w:rsidTr="00D34737">
        <w:trPr>
          <w:trHeight w:val="227"/>
        </w:trPr>
        <w:tc>
          <w:tcPr>
            <w:tcW w:w="0" w:type="auto"/>
            <w:vMerge w:val="restart"/>
            <w:tcBorders>
              <w:top w:val="nil"/>
              <w:left w:val="single" w:sz="4" w:space="0" w:color="auto"/>
              <w:bottom w:val="single" w:sz="4" w:space="0" w:color="000000"/>
              <w:right w:val="single" w:sz="4" w:space="0" w:color="auto"/>
            </w:tcBorders>
            <w:shd w:val="clear" w:color="auto" w:fill="auto"/>
            <w:vAlign w:val="center"/>
            <w:hideMark/>
          </w:tcPr>
          <w:p w:rsidR="00D34737" w:rsidRPr="00D34737" w:rsidRDefault="00D34737" w:rsidP="00D34737">
            <w:pPr>
              <w:spacing w:before="0" w:line="240" w:lineRule="auto"/>
              <w:jc w:val="center"/>
              <w:rPr>
                <w:rFonts w:asciiTheme="minorHAnsi" w:hAnsiTheme="minorHAnsi"/>
                <w:b/>
                <w:bCs/>
                <w:color w:val="000000"/>
                <w:sz w:val="20"/>
                <w:lang w:eastAsia="en-GB"/>
              </w:rPr>
            </w:pPr>
            <w:r w:rsidRPr="00D34737">
              <w:rPr>
                <w:rFonts w:asciiTheme="minorHAnsi" w:hAnsiTheme="minorHAnsi"/>
                <w:b/>
                <w:bCs/>
                <w:color w:val="000000"/>
                <w:sz w:val="20"/>
                <w:lang w:eastAsia="en-GB"/>
              </w:rPr>
              <w:t>Sectoral Structure</w:t>
            </w: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bCs/>
                <w:color w:val="000000"/>
                <w:sz w:val="20"/>
                <w:lang w:eastAsia="en-GB"/>
              </w:rPr>
            </w:pPr>
            <w:r w:rsidRPr="00D34737">
              <w:rPr>
                <w:rFonts w:asciiTheme="minorHAnsi" w:hAnsiTheme="minorHAnsi"/>
                <w:bCs/>
                <w:color w:val="000000"/>
                <w:sz w:val="20"/>
                <w:lang w:eastAsia="en-GB"/>
              </w:rPr>
              <w:t>A</w:t>
            </w:r>
          </w:p>
        </w:tc>
        <w:tc>
          <w:tcPr>
            <w:tcW w:w="0" w:type="auto"/>
            <w:tcBorders>
              <w:top w:val="single" w:sz="4" w:space="0" w:color="auto"/>
              <w:left w:val="nil"/>
              <w:bottom w:val="nil"/>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0.231 </w:t>
            </w:r>
          </w:p>
        </w:tc>
        <w:tc>
          <w:tcPr>
            <w:tcW w:w="0" w:type="auto"/>
            <w:tcBorders>
              <w:top w:val="single" w:sz="4" w:space="0" w:color="auto"/>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-0.253 </w:t>
            </w:r>
          </w:p>
        </w:tc>
        <w:tc>
          <w:tcPr>
            <w:tcW w:w="0" w:type="auto"/>
            <w:tcBorders>
              <w:top w:val="single" w:sz="4" w:space="0" w:color="auto"/>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-0.162 </w:t>
            </w:r>
          </w:p>
        </w:tc>
        <w:tc>
          <w:tcPr>
            <w:tcW w:w="0" w:type="auto"/>
            <w:tcBorders>
              <w:top w:val="single" w:sz="4" w:space="0" w:color="auto"/>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0.275 </w:t>
            </w:r>
          </w:p>
        </w:tc>
        <w:tc>
          <w:tcPr>
            <w:tcW w:w="0" w:type="auto"/>
            <w:tcBorders>
              <w:top w:val="single" w:sz="4" w:space="0" w:color="auto"/>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b/>
                <w:bCs/>
                <w:color w:val="000000"/>
                <w:sz w:val="20"/>
                <w:lang w:eastAsia="en-GB"/>
              </w:rPr>
            </w:pPr>
            <w:r w:rsidRPr="00D34737">
              <w:rPr>
                <w:rFonts w:asciiTheme="minorHAnsi" w:hAnsiTheme="minorHAnsi"/>
                <w:b/>
                <w:bCs/>
                <w:color w:val="000000"/>
                <w:sz w:val="20"/>
                <w:lang w:eastAsia="en-GB"/>
              </w:rPr>
              <w:t xml:space="preserve">0.687 </w:t>
            </w:r>
          </w:p>
        </w:tc>
      </w:tr>
      <w:tr w:rsidR="00D34737" w:rsidRPr="00D34737" w:rsidTr="00D34737">
        <w:trPr>
          <w:trHeight w:val="227"/>
        </w:trPr>
        <w:tc>
          <w:tcPr>
            <w:tcW w:w="0" w:type="auto"/>
            <w:vMerge/>
            <w:tcBorders>
              <w:top w:val="nil"/>
              <w:left w:val="single" w:sz="4" w:space="0" w:color="auto"/>
              <w:bottom w:val="single" w:sz="4" w:space="0" w:color="000000"/>
              <w:right w:val="single" w:sz="4" w:space="0" w:color="auto"/>
            </w:tcBorders>
            <w:vAlign w:val="center"/>
            <w:hideMark/>
          </w:tcPr>
          <w:p w:rsidR="00D34737" w:rsidRPr="00D34737" w:rsidRDefault="00D34737" w:rsidP="00D34737">
            <w:pPr>
              <w:spacing w:before="0" w:line="240" w:lineRule="auto"/>
              <w:jc w:val="center"/>
              <w:rPr>
                <w:rFonts w:asciiTheme="minorHAnsi" w:hAnsiTheme="minorHAns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bCs/>
                <w:color w:val="000000"/>
                <w:sz w:val="20"/>
                <w:lang w:eastAsia="en-GB"/>
              </w:rPr>
            </w:pPr>
            <w:r w:rsidRPr="00D34737">
              <w:rPr>
                <w:rFonts w:asciiTheme="minorHAnsi" w:hAnsiTheme="minorHAnsi"/>
                <w:bCs/>
                <w:color w:val="000000"/>
                <w:sz w:val="20"/>
                <w:lang w:eastAsia="en-GB"/>
              </w:rPr>
              <w:t>B-E</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0.238 </w:t>
            </w:r>
          </w:p>
        </w:tc>
        <w:tc>
          <w:tcPr>
            <w:tcW w:w="0" w:type="auto"/>
            <w:tcBorders>
              <w:top w:val="nil"/>
              <w:left w:val="nil"/>
              <w:bottom w:val="nil"/>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0.040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-0.181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-0.442 </w:t>
            </w: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-0.224 </w:t>
            </w:r>
          </w:p>
        </w:tc>
      </w:tr>
      <w:tr w:rsidR="00D34737" w:rsidRPr="00D34737" w:rsidTr="00D34737">
        <w:trPr>
          <w:trHeight w:val="227"/>
        </w:trPr>
        <w:tc>
          <w:tcPr>
            <w:tcW w:w="0" w:type="auto"/>
            <w:vMerge/>
            <w:tcBorders>
              <w:top w:val="nil"/>
              <w:left w:val="single" w:sz="4" w:space="0" w:color="auto"/>
              <w:bottom w:val="single" w:sz="4" w:space="0" w:color="000000"/>
              <w:right w:val="single" w:sz="4" w:space="0" w:color="auto"/>
            </w:tcBorders>
            <w:vAlign w:val="center"/>
            <w:hideMark/>
          </w:tcPr>
          <w:p w:rsidR="00D34737" w:rsidRPr="00D34737" w:rsidRDefault="00D34737" w:rsidP="00D34737">
            <w:pPr>
              <w:spacing w:before="0" w:line="240" w:lineRule="auto"/>
              <w:jc w:val="center"/>
              <w:rPr>
                <w:rFonts w:asciiTheme="minorHAnsi" w:hAnsiTheme="minorHAns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bCs/>
                <w:color w:val="000000"/>
                <w:sz w:val="20"/>
                <w:lang w:eastAsia="en-GB"/>
              </w:rPr>
            </w:pPr>
            <w:r w:rsidRPr="00D34737">
              <w:rPr>
                <w:rFonts w:asciiTheme="minorHAnsi" w:hAnsiTheme="minorHAnsi"/>
                <w:bCs/>
                <w:color w:val="000000"/>
                <w:sz w:val="20"/>
                <w:lang w:eastAsia="en-GB"/>
              </w:rPr>
              <w:t>C</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0.311 </w:t>
            </w:r>
          </w:p>
        </w:tc>
        <w:tc>
          <w:tcPr>
            <w:tcW w:w="0" w:type="auto"/>
            <w:tcBorders>
              <w:top w:val="nil"/>
              <w:left w:val="nil"/>
              <w:bottom w:val="nil"/>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0.057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-0.204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-0.445 </w:t>
            </w: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-0.200 </w:t>
            </w:r>
          </w:p>
        </w:tc>
      </w:tr>
      <w:tr w:rsidR="00D34737" w:rsidRPr="00D34737" w:rsidTr="00D34737">
        <w:trPr>
          <w:trHeight w:val="227"/>
        </w:trPr>
        <w:tc>
          <w:tcPr>
            <w:tcW w:w="0" w:type="auto"/>
            <w:vMerge/>
            <w:tcBorders>
              <w:top w:val="nil"/>
              <w:left w:val="single" w:sz="4" w:space="0" w:color="auto"/>
              <w:bottom w:val="single" w:sz="4" w:space="0" w:color="000000"/>
              <w:right w:val="single" w:sz="4" w:space="0" w:color="auto"/>
            </w:tcBorders>
            <w:vAlign w:val="center"/>
            <w:hideMark/>
          </w:tcPr>
          <w:p w:rsidR="00D34737" w:rsidRPr="00D34737" w:rsidRDefault="00D34737" w:rsidP="00D34737">
            <w:pPr>
              <w:spacing w:before="0" w:line="240" w:lineRule="auto"/>
              <w:jc w:val="center"/>
              <w:rPr>
                <w:rFonts w:asciiTheme="minorHAnsi" w:hAnsiTheme="minorHAns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bCs/>
                <w:color w:val="000000"/>
                <w:sz w:val="20"/>
                <w:lang w:eastAsia="en-GB"/>
              </w:rPr>
            </w:pPr>
            <w:r w:rsidRPr="00D34737">
              <w:rPr>
                <w:rFonts w:asciiTheme="minorHAnsi" w:hAnsiTheme="minorHAnsi"/>
                <w:bCs/>
                <w:color w:val="000000"/>
                <w:sz w:val="20"/>
                <w:lang w:eastAsia="en-GB"/>
              </w:rPr>
              <w:t>F</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0.001 </w:t>
            </w:r>
          </w:p>
        </w:tc>
        <w:tc>
          <w:tcPr>
            <w:tcW w:w="0" w:type="auto"/>
            <w:tcBorders>
              <w:top w:val="nil"/>
              <w:left w:val="nil"/>
              <w:bottom w:val="nil"/>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-0.081 </w:t>
            </w:r>
          </w:p>
        </w:tc>
        <w:tc>
          <w:tcPr>
            <w:tcW w:w="0" w:type="auto"/>
            <w:tcBorders>
              <w:top w:val="nil"/>
              <w:left w:val="nil"/>
              <w:bottom w:val="nil"/>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-0.055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0.269 </w:t>
            </w: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-0.421 </w:t>
            </w:r>
          </w:p>
        </w:tc>
      </w:tr>
      <w:tr w:rsidR="00D34737" w:rsidRPr="00D34737" w:rsidTr="00D34737">
        <w:trPr>
          <w:trHeight w:val="227"/>
        </w:trPr>
        <w:tc>
          <w:tcPr>
            <w:tcW w:w="0" w:type="auto"/>
            <w:vMerge/>
            <w:tcBorders>
              <w:top w:val="nil"/>
              <w:left w:val="single" w:sz="4" w:space="0" w:color="auto"/>
              <w:bottom w:val="single" w:sz="4" w:space="0" w:color="000000"/>
              <w:right w:val="single" w:sz="4" w:space="0" w:color="auto"/>
            </w:tcBorders>
            <w:vAlign w:val="center"/>
            <w:hideMark/>
          </w:tcPr>
          <w:p w:rsidR="00D34737" w:rsidRPr="00D34737" w:rsidRDefault="00D34737" w:rsidP="00D34737">
            <w:pPr>
              <w:spacing w:before="0" w:line="240" w:lineRule="auto"/>
              <w:jc w:val="center"/>
              <w:rPr>
                <w:rFonts w:asciiTheme="minorHAnsi" w:hAnsiTheme="minorHAns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bCs/>
                <w:color w:val="000000"/>
                <w:sz w:val="20"/>
                <w:lang w:eastAsia="en-GB"/>
              </w:rPr>
            </w:pPr>
            <w:r w:rsidRPr="00D34737">
              <w:rPr>
                <w:rFonts w:asciiTheme="minorHAnsi" w:hAnsiTheme="minorHAnsi"/>
                <w:bCs/>
                <w:color w:val="000000"/>
                <w:sz w:val="20"/>
                <w:lang w:eastAsia="en-GB"/>
              </w:rPr>
              <w:t>G-J</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-0.464 </w:t>
            </w:r>
          </w:p>
        </w:tc>
        <w:tc>
          <w:tcPr>
            <w:tcW w:w="0" w:type="auto"/>
            <w:tcBorders>
              <w:top w:val="nil"/>
              <w:left w:val="nil"/>
              <w:bottom w:val="nil"/>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0.063 </w:t>
            </w:r>
          </w:p>
        </w:tc>
        <w:tc>
          <w:tcPr>
            <w:tcW w:w="0" w:type="auto"/>
            <w:tcBorders>
              <w:top w:val="nil"/>
              <w:left w:val="nil"/>
              <w:bottom w:val="nil"/>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-0.052 </w:t>
            </w:r>
          </w:p>
        </w:tc>
        <w:tc>
          <w:tcPr>
            <w:tcW w:w="0" w:type="auto"/>
            <w:tcBorders>
              <w:top w:val="nil"/>
              <w:left w:val="nil"/>
              <w:bottom w:val="nil"/>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-0.065 </w:t>
            </w: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b/>
                <w:bCs/>
                <w:color w:val="000000"/>
                <w:sz w:val="20"/>
                <w:lang w:eastAsia="en-GB"/>
              </w:rPr>
            </w:pPr>
            <w:r w:rsidRPr="00D34737">
              <w:rPr>
                <w:rFonts w:asciiTheme="minorHAnsi" w:hAnsiTheme="minorHAnsi"/>
                <w:b/>
                <w:bCs/>
                <w:color w:val="000000"/>
                <w:sz w:val="20"/>
                <w:lang w:eastAsia="en-GB"/>
              </w:rPr>
              <w:t xml:space="preserve">-0.588 </w:t>
            </w:r>
          </w:p>
        </w:tc>
      </w:tr>
      <w:tr w:rsidR="00D34737" w:rsidRPr="00D34737" w:rsidTr="00D34737">
        <w:trPr>
          <w:trHeight w:val="227"/>
        </w:trPr>
        <w:tc>
          <w:tcPr>
            <w:tcW w:w="0" w:type="auto"/>
            <w:vMerge/>
            <w:tcBorders>
              <w:top w:val="nil"/>
              <w:left w:val="single" w:sz="4" w:space="0" w:color="auto"/>
              <w:bottom w:val="single" w:sz="4" w:space="0" w:color="000000"/>
              <w:right w:val="single" w:sz="4" w:space="0" w:color="auto"/>
            </w:tcBorders>
            <w:vAlign w:val="center"/>
            <w:hideMark/>
          </w:tcPr>
          <w:p w:rsidR="00D34737" w:rsidRPr="00D34737" w:rsidRDefault="00D34737" w:rsidP="00D34737">
            <w:pPr>
              <w:spacing w:before="0" w:line="240" w:lineRule="auto"/>
              <w:jc w:val="center"/>
              <w:rPr>
                <w:rFonts w:asciiTheme="minorHAnsi" w:hAnsiTheme="minorHAns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bCs/>
                <w:color w:val="000000"/>
                <w:sz w:val="20"/>
                <w:lang w:eastAsia="en-GB"/>
              </w:rPr>
            </w:pPr>
            <w:r w:rsidRPr="00D34737">
              <w:rPr>
                <w:rFonts w:asciiTheme="minorHAnsi" w:hAnsiTheme="minorHAnsi"/>
                <w:bCs/>
                <w:color w:val="000000"/>
                <w:sz w:val="20"/>
                <w:lang w:eastAsia="en-GB"/>
              </w:rPr>
              <w:t>K-N</w:t>
            </w:r>
          </w:p>
        </w:tc>
        <w:tc>
          <w:tcPr>
            <w:tcW w:w="0" w:type="auto"/>
            <w:tcBorders>
              <w:top w:val="nil"/>
              <w:left w:val="nil"/>
              <w:bottom w:val="nil"/>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0.161 </w:t>
            </w:r>
          </w:p>
        </w:tc>
        <w:tc>
          <w:tcPr>
            <w:tcW w:w="0" w:type="auto"/>
            <w:tcBorders>
              <w:top w:val="nil"/>
              <w:left w:val="nil"/>
              <w:bottom w:val="nil"/>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-0.176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0.129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-0.284 </w:t>
            </w: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-0.479 </w:t>
            </w:r>
          </w:p>
        </w:tc>
      </w:tr>
      <w:tr w:rsidR="00D34737" w:rsidRPr="00D34737" w:rsidTr="00D34737">
        <w:trPr>
          <w:trHeight w:val="227"/>
        </w:trPr>
        <w:tc>
          <w:tcPr>
            <w:tcW w:w="0" w:type="auto"/>
            <w:vMerge/>
            <w:tcBorders>
              <w:top w:val="nil"/>
              <w:left w:val="single" w:sz="4" w:space="0" w:color="auto"/>
              <w:bottom w:val="single" w:sz="4" w:space="0" w:color="000000"/>
              <w:right w:val="single" w:sz="4" w:space="0" w:color="auto"/>
            </w:tcBorders>
            <w:vAlign w:val="center"/>
            <w:hideMark/>
          </w:tcPr>
          <w:p w:rsidR="00D34737" w:rsidRPr="00D34737" w:rsidRDefault="00D34737" w:rsidP="00D34737">
            <w:pPr>
              <w:spacing w:before="0" w:line="240" w:lineRule="auto"/>
              <w:jc w:val="center"/>
              <w:rPr>
                <w:rFonts w:asciiTheme="minorHAnsi" w:hAnsiTheme="minorHAns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bCs/>
                <w:color w:val="000000"/>
                <w:sz w:val="20"/>
                <w:lang w:eastAsia="en-GB"/>
              </w:rPr>
            </w:pPr>
            <w:r w:rsidRPr="00D34737">
              <w:rPr>
                <w:rFonts w:asciiTheme="minorHAnsi" w:hAnsiTheme="minorHAnsi"/>
                <w:bCs/>
                <w:color w:val="000000"/>
                <w:sz w:val="20"/>
                <w:lang w:eastAsia="en-GB"/>
              </w:rPr>
              <w:t>O-U</w:t>
            </w:r>
          </w:p>
        </w:tc>
        <w:tc>
          <w:tcPr>
            <w:tcW w:w="0" w:type="auto"/>
            <w:tcBorders>
              <w:top w:val="nil"/>
              <w:left w:val="nil"/>
              <w:bottom w:val="nil"/>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-0.068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0.290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0.298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0.295 </w:t>
            </w: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-0.400 </w:t>
            </w:r>
          </w:p>
        </w:tc>
      </w:tr>
      <w:tr w:rsidR="00D34737" w:rsidRPr="00D34737" w:rsidTr="00D34737">
        <w:trPr>
          <w:trHeight w:val="227"/>
        </w:trPr>
        <w:tc>
          <w:tcPr>
            <w:tcW w:w="0" w:type="auto"/>
            <w:vMerge/>
            <w:tcBorders>
              <w:top w:val="nil"/>
              <w:left w:val="single" w:sz="4" w:space="0" w:color="auto"/>
              <w:bottom w:val="single" w:sz="4" w:space="0" w:color="000000"/>
              <w:right w:val="single" w:sz="4" w:space="0" w:color="auto"/>
            </w:tcBorders>
            <w:vAlign w:val="center"/>
            <w:hideMark/>
          </w:tcPr>
          <w:p w:rsidR="00D34737" w:rsidRPr="00D34737" w:rsidRDefault="00D34737" w:rsidP="00D34737">
            <w:pPr>
              <w:spacing w:before="0" w:line="240" w:lineRule="auto"/>
              <w:jc w:val="center"/>
              <w:rPr>
                <w:rFonts w:asciiTheme="minorHAnsi" w:hAnsiTheme="minorHAnsi"/>
                <w:b/>
                <w:bCs/>
                <w:color w:val="000000"/>
                <w:sz w:val="20"/>
                <w:lang w:eastAsia="en-GB"/>
              </w:rPr>
            </w:pPr>
          </w:p>
        </w:tc>
        <w:tc>
          <w:tcPr>
            <w:tcW w:w="0" w:type="auto"/>
            <w:tcBorders>
              <w:top w:val="nil"/>
              <w:left w:val="nil"/>
              <w:bottom w:val="single" w:sz="4" w:space="0" w:color="auto"/>
              <w:right w:val="single" w:sz="4" w:space="0" w:color="auto"/>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bCs/>
                <w:color w:val="000000"/>
                <w:sz w:val="20"/>
                <w:lang w:eastAsia="en-GB"/>
              </w:rPr>
            </w:pPr>
            <w:r w:rsidRPr="00D34737">
              <w:rPr>
                <w:rFonts w:asciiTheme="minorHAnsi" w:hAnsiTheme="minorHAnsi"/>
                <w:bCs/>
                <w:color w:val="000000"/>
                <w:sz w:val="20"/>
                <w:lang w:eastAsia="en-GB"/>
              </w:rPr>
              <w:t>ElemOcc</w:t>
            </w:r>
          </w:p>
        </w:tc>
        <w:tc>
          <w:tcPr>
            <w:tcW w:w="0" w:type="auto"/>
            <w:tcBorders>
              <w:top w:val="nil"/>
              <w:left w:val="nil"/>
              <w:bottom w:val="single" w:sz="4" w:space="0" w:color="auto"/>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0.010 </w:t>
            </w:r>
          </w:p>
        </w:tc>
        <w:tc>
          <w:tcPr>
            <w:tcW w:w="0" w:type="auto"/>
            <w:tcBorders>
              <w:top w:val="nil"/>
              <w:left w:val="nil"/>
              <w:bottom w:val="single" w:sz="4" w:space="0" w:color="auto"/>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b/>
                <w:bCs/>
                <w:color w:val="000000"/>
                <w:sz w:val="20"/>
                <w:lang w:eastAsia="en-GB"/>
              </w:rPr>
            </w:pPr>
            <w:r w:rsidRPr="00D34737">
              <w:rPr>
                <w:rFonts w:asciiTheme="minorHAnsi" w:hAnsiTheme="minorHAnsi"/>
                <w:b/>
                <w:bCs/>
                <w:color w:val="000000"/>
                <w:sz w:val="20"/>
                <w:lang w:eastAsia="en-GB"/>
              </w:rPr>
              <w:t xml:space="preserve">0.506 </w:t>
            </w:r>
          </w:p>
        </w:tc>
        <w:tc>
          <w:tcPr>
            <w:tcW w:w="0" w:type="auto"/>
            <w:tcBorders>
              <w:top w:val="nil"/>
              <w:left w:val="nil"/>
              <w:bottom w:val="single" w:sz="4" w:space="0" w:color="auto"/>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0.165 </w:t>
            </w:r>
          </w:p>
        </w:tc>
        <w:tc>
          <w:tcPr>
            <w:tcW w:w="0" w:type="auto"/>
            <w:tcBorders>
              <w:top w:val="nil"/>
              <w:left w:val="nil"/>
              <w:bottom w:val="single" w:sz="4" w:space="0" w:color="auto"/>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b/>
                <w:bCs/>
                <w:color w:val="000000"/>
                <w:sz w:val="20"/>
                <w:lang w:eastAsia="en-GB"/>
              </w:rPr>
            </w:pPr>
            <w:r w:rsidRPr="00D34737">
              <w:rPr>
                <w:rFonts w:asciiTheme="minorHAnsi" w:hAnsiTheme="minorHAnsi"/>
                <w:b/>
                <w:bCs/>
                <w:color w:val="000000"/>
                <w:sz w:val="20"/>
                <w:lang w:eastAsia="en-GB"/>
              </w:rPr>
              <w:t xml:space="preserve">0.511 </w:t>
            </w:r>
          </w:p>
        </w:tc>
        <w:tc>
          <w:tcPr>
            <w:tcW w:w="0" w:type="auto"/>
            <w:tcBorders>
              <w:top w:val="nil"/>
              <w:left w:val="nil"/>
              <w:bottom w:val="single" w:sz="4" w:space="0" w:color="auto"/>
              <w:right w:val="single" w:sz="4" w:space="0" w:color="auto"/>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0.427 </w:t>
            </w:r>
          </w:p>
        </w:tc>
      </w:tr>
      <w:tr w:rsidR="00D34737" w:rsidRPr="00D34737" w:rsidTr="00D34737">
        <w:trPr>
          <w:trHeight w:val="227"/>
        </w:trPr>
        <w:tc>
          <w:tcPr>
            <w:tcW w:w="0" w:type="auto"/>
            <w:vMerge w:val="restart"/>
            <w:tcBorders>
              <w:top w:val="nil"/>
              <w:left w:val="single" w:sz="4" w:space="0" w:color="auto"/>
              <w:bottom w:val="single" w:sz="4" w:space="0" w:color="000000"/>
              <w:right w:val="single" w:sz="4" w:space="0" w:color="auto"/>
            </w:tcBorders>
            <w:shd w:val="clear" w:color="auto" w:fill="auto"/>
            <w:vAlign w:val="center"/>
            <w:hideMark/>
          </w:tcPr>
          <w:p w:rsidR="00D34737" w:rsidRPr="00D34737" w:rsidRDefault="00D34737" w:rsidP="00D34737">
            <w:pPr>
              <w:spacing w:before="0" w:line="240" w:lineRule="auto"/>
              <w:jc w:val="center"/>
              <w:rPr>
                <w:rFonts w:asciiTheme="minorHAnsi" w:hAnsiTheme="minorHAnsi"/>
                <w:b/>
                <w:bCs/>
                <w:color w:val="000000"/>
                <w:sz w:val="20"/>
                <w:lang w:eastAsia="en-GB"/>
              </w:rPr>
            </w:pPr>
            <w:r w:rsidRPr="00D34737">
              <w:rPr>
                <w:rFonts w:asciiTheme="minorHAnsi" w:hAnsiTheme="minorHAnsi"/>
                <w:b/>
                <w:bCs/>
                <w:color w:val="000000"/>
                <w:sz w:val="20"/>
                <w:lang w:eastAsia="en-GB"/>
              </w:rPr>
              <w:t>Human Capital</w:t>
            </w: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bCs/>
                <w:color w:val="000000"/>
                <w:sz w:val="20"/>
                <w:lang w:eastAsia="en-GB"/>
              </w:rPr>
            </w:pPr>
            <w:r w:rsidRPr="00D34737">
              <w:rPr>
                <w:rFonts w:asciiTheme="minorHAnsi" w:hAnsiTheme="minorHAnsi"/>
                <w:bCs/>
                <w:color w:val="000000"/>
                <w:sz w:val="20"/>
                <w:lang w:eastAsia="en-GB"/>
              </w:rPr>
              <w:t>LowEd(Reg)</w:t>
            </w:r>
          </w:p>
        </w:tc>
        <w:tc>
          <w:tcPr>
            <w:tcW w:w="0" w:type="auto"/>
            <w:tcBorders>
              <w:top w:val="nil"/>
              <w:left w:val="nil"/>
              <w:bottom w:val="nil"/>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-0.180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0.269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-0.141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0.465 </w:t>
            </w:r>
          </w:p>
        </w:tc>
        <w:tc>
          <w:tcPr>
            <w:tcW w:w="0" w:type="auto"/>
            <w:tcBorders>
              <w:top w:val="single" w:sz="4" w:space="0" w:color="auto"/>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b/>
                <w:bCs/>
                <w:color w:val="000000"/>
                <w:sz w:val="20"/>
                <w:lang w:eastAsia="en-GB"/>
              </w:rPr>
            </w:pPr>
            <w:r w:rsidRPr="00D34737">
              <w:rPr>
                <w:rFonts w:asciiTheme="minorHAnsi" w:hAnsiTheme="minorHAnsi"/>
                <w:b/>
                <w:bCs/>
                <w:color w:val="000000"/>
                <w:sz w:val="20"/>
                <w:lang w:eastAsia="en-GB"/>
              </w:rPr>
              <w:t xml:space="preserve">0.610 </w:t>
            </w:r>
          </w:p>
        </w:tc>
      </w:tr>
      <w:tr w:rsidR="00D34737" w:rsidRPr="00D34737" w:rsidTr="00D34737">
        <w:trPr>
          <w:trHeight w:val="227"/>
        </w:trPr>
        <w:tc>
          <w:tcPr>
            <w:tcW w:w="0" w:type="auto"/>
            <w:vMerge/>
            <w:tcBorders>
              <w:top w:val="nil"/>
              <w:left w:val="single" w:sz="4" w:space="0" w:color="auto"/>
              <w:bottom w:val="single" w:sz="4" w:space="0" w:color="000000"/>
              <w:right w:val="single" w:sz="4" w:space="0" w:color="auto"/>
            </w:tcBorders>
            <w:vAlign w:val="center"/>
            <w:hideMark/>
          </w:tcPr>
          <w:p w:rsidR="00D34737" w:rsidRPr="00D34737" w:rsidRDefault="00D34737" w:rsidP="00D34737">
            <w:pPr>
              <w:spacing w:before="0" w:line="240" w:lineRule="auto"/>
              <w:jc w:val="left"/>
              <w:rPr>
                <w:rFonts w:asciiTheme="minorHAnsi" w:hAnsiTheme="minorHAns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bCs/>
                <w:color w:val="000000"/>
                <w:sz w:val="20"/>
                <w:lang w:eastAsia="en-GB"/>
              </w:rPr>
            </w:pPr>
            <w:r w:rsidRPr="00D34737">
              <w:rPr>
                <w:rFonts w:asciiTheme="minorHAnsi" w:hAnsiTheme="minorHAnsi"/>
                <w:bCs/>
                <w:color w:val="000000"/>
                <w:sz w:val="20"/>
                <w:lang w:eastAsia="en-GB"/>
              </w:rPr>
              <w:t>LowED(Cen</w:t>
            </w:r>
          </w:p>
        </w:tc>
        <w:tc>
          <w:tcPr>
            <w:tcW w:w="0" w:type="auto"/>
            <w:tcBorders>
              <w:top w:val="nil"/>
              <w:left w:val="nil"/>
              <w:bottom w:val="nil"/>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-0.155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0.270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-0.111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-0.003 </w:t>
            </w: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0.472 </w:t>
            </w:r>
          </w:p>
        </w:tc>
      </w:tr>
      <w:tr w:rsidR="00D34737" w:rsidRPr="00D34737" w:rsidTr="00D34737">
        <w:trPr>
          <w:trHeight w:val="227"/>
        </w:trPr>
        <w:tc>
          <w:tcPr>
            <w:tcW w:w="0" w:type="auto"/>
            <w:vMerge/>
            <w:tcBorders>
              <w:top w:val="nil"/>
              <w:left w:val="single" w:sz="4" w:space="0" w:color="auto"/>
              <w:bottom w:val="single" w:sz="4" w:space="0" w:color="000000"/>
              <w:right w:val="single" w:sz="4" w:space="0" w:color="auto"/>
            </w:tcBorders>
            <w:vAlign w:val="center"/>
            <w:hideMark/>
          </w:tcPr>
          <w:p w:rsidR="00D34737" w:rsidRPr="00D34737" w:rsidRDefault="00D34737" w:rsidP="00D34737">
            <w:pPr>
              <w:spacing w:before="0" w:line="240" w:lineRule="auto"/>
              <w:jc w:val="left"/>
              <w:rPr>
                <w:rFonts w:asciiTheme="minorHAnsi" w:hAnsiTheme="minorHAns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bCs/>
                <w:color w:val="000000"/>
                <w:sz w:val="20"/>
                <w:lang w:eastAsia="en-GB"/>
              </w:rPr>
            </w:pPr>
            <w:r w:rsidRPr="00D34737">
              <w:rPr>
                <w:rFonts w:asciiTheme="minorHAnsi" w:hAnsiTheme="minorHAnsi"/>
                <w:bCs/>
                <w:color w:val="000000"/>
                <w:sz w:val="20"/>
                <w:lang w:eastAsia="en-GB"/>
              </w:rPr>
              <w:t>HiEd(2)</w:t>
            </w:r>
          </w:p>
        </w:tc>
        <w:tc>
          <w:tcPr>
            <w:tcW w:w="0" w:type="auto"/>
            <w:tcBorders>
              <w:top w:val="nil"/>
              <w:left w:val="nil"/>
              <w:bottom w:val="nil"/>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0.180 </w:t>
            </w:r>
          </w:p>
        </w:tc>
        <w:tc>
          <w:tcPr>
            <w:tcW w:w="0" w:type="auto"/>
            <w:tcBorders>
              <w:top w:val="nil"/>
              <w:left w:val="nil"/>
              <w:bottom w:val="nil"/>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-0.269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0.141 </w:t>
            </w:r>
          </w:p>
        </w:tc>
        <w:tc>
          <w:tcPr>
            <w:tcW w:w="0" w:type="auto"/>
            <w:tcBorders>
              <w:top w:val="nil"/>
              <w:left w:val="nil"/>
              <w:bottom w:val="nil"/>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-0.465 </w:t>
            </w: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b/>
                <w:bCs/>
                <w:color w:val="000000"/>
                <w:sz w:val="20"/>
                <w:lang w:eastAsia="en-GB"/>
              </w:rPr>
            </w:pPr>
            <w:r w:rsidRPr="00D34737">
              <w:rPr>
                <w:rFonts w:asciiTheme="minorHAnsi" w:hAnsiTheme="minorHAnsi"/>
                <w:b/>
                <w:bCs/>
                <w:color w:val="000000"/>
                <w:sz w:val="20"/>
                <w:lang w:eastAsia="en-GB"/>
              </w:rPr>
              <w:t xml:space="preserve">-0.607 </w:t>
            </w:r>
          </w:p>
        </w:tc>
      </w:tr>
      <w:tr w:rsidR="00D34737" w:rsidRPr="00D34737" w:rsidTr="00D34737">
        <w:trPr>
          <w:trHeight w:val="227"/>
        </w:trPr>
        <w:tc>
          <w:tcPr>
            <w:tcW w:w="0" w:type="auto"/>
            <w:vMerge/>
            <w:tcBorders>
              <w:top w:val="nil"/>
              <w:left w:val="single" w:sz="4" w:space="0" w:color="auto"/>
              <w:bottom w:val="single" w:sz="4" w:space="0" w:color="000000"/>
              <w:right w:val="single" w:sz="4" w:space="0" w:color="auto"/>
            </w:tcBorders>
            <w:vAlign w:val="center"/>
            <w:hideMark/>
          </w:tcPr>
          <w:p w:rsidR="00D34737" w:rsidRPr="00D34737" w:rsidRDefault="00D34737" w:rsidP="00D34737">
            <w:pPr>
              <w:spacing w:before="0" w:line="240" w:lineRule="auto"/>
              <w:jc w:val="left"/>
              <w:rPr>
                <w:rFonts w:asciiTheme="minorHAnsi" w:hAnsiTheme="minorHAns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bCs/>
                <w:color w:val="000000"/>
                <w:sz w:val="20"/>
                <w:lang w:eastAsia="en-GB"/>
              </w:rPr>
            </w:pPr>
            <w:r w:rsidRPr="00D34737">
              <w:rPr>
                <w:rFonts w:asciiTheme="minorHAnsi" w:hAnsiTheme="minorHAnsi"/>
                <w:bCs/>
                <w:color w:val="000000"/>
                <w:sz w:val="20"/>
                <w:lang w:eastAsia="en-GB"/>
              </w:rPr>
              <w:t>HiEd(Cen)</w:t>
            </w:r>
          </w:p>
        </w:tc>
        <w:tc>
          <w:tcPr>
            <w:tcW w:w="0" w:type="auto"/>
            <w:tcBorders>
              <w:top w:val="nil"/>
              <w:left w:val="nil"/>
              <w:bottom w:val="nil"/>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0.166 </w:t>
            </w:r>
          </w:p>
        </w:tc>
        <w:tc>
          <w:tcPr>
            <w:tcW w:w="0" w:type="auto"/>
            <w:tcBorders>
              <w:top w:val="nil"/>
              <w:left w:val="nil"/>
              <w:bottom w:val="nil"/>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-0.010 </w:t>
            </w:r>
          </w:p>
        </w:tc>
        <w:tc>
          <w:tcPr>
            <w:tcW w:w="0" w:type="auto"/>
            <w:tcBorders>
              <w:top w:val="nil"/>
              <w:left w:val="nil"/>
              <w:bottom w:val="nil"/>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0.081 </w:t>
            </w:r>
          </w:p>
        </w:tc>
        <w:tc>
          <w:tcPr>
            <w:tcW w:w="0" w:type="auto"/>
            <w:tcBorders>
              <w:top w:val="nil"/>
              <w:left w:val="nil"/>
              <w:bottom w:val="nil"/>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-0.028 </w:t>
            </w: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0.231 </w:t>
            </w:r>
          </w:p>
        </w:tc>
      </w:tr>
      <w:tr w:rsidR="00D34737" w:rsidRPr="00D34737" w:rsidTr="00D34737">
        <w:trPr>
          <w:trHeight w:val="227"/>
        </w:trPr>
        <w:tc>
          <w:tcPr>
            <w:tcW w:w="0" w:type="auto"/>
            <w:vMerge/>
            <w:tcBorders>
              <w:top w:val="nil"/>
              <w:left w:val="single" w:sz="4" w:space="0" w:color="auto"/>
              <w:bottom w:val="single" w:sz="4" w:space="0" w:color="000000"/>
              <w:right w:val="single" w:sz="4" w:space="0" w:color="auto"/>
            </w:tcBorders>
            <w:vAlign w:val="center"/>
            <w:hideMark/>
          </w:tcPr>
          <w:p w:rsidR="00D34737" w:rsidRPr="00D34737" w:rsidRDefault="00D34737" w:rsidP="00D34737">
            <w:pPr>
              <w:spacing w:before="0" w:line="240" w:lineRule="auto"/>
              <w:jc w:val="left"/>
              <w:rPr>
                <w:rFonts w:asciiTheme="minorHAnsi" w:hAnsiTheme="minorHAns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bCs/>
                <w:color w:val="000000"/>
                <w:sz w:val="20"/>
                <w:lang w:eastAsia="en-GB"/>
              </w:rPr>
            </w:pPr>
            <w:r w:rsidRPr="00D34737">
              <w:rPr>
                <w:rFonts w:asciiTheme="minorHAnsi" w:hAnsiTheme="minorHAnsi"/>
                <w:bCs/>
                <w:color w:val="000000"/>
                <w:sz w:val="20"/>
                <w:lang w:eastAsia="en-GB"/>
              </w:rPr>
              <w:t>HRST</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-0.287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-0.264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-0.116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-0.384 </w:t>
            </w: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-0.466 </w:t>
            </w:r>
          </w:p>
        </w:tc>
      </w:tr>
      <w:tr w:rsidR="00D34737" w:rsidRPr="00D34737" w:rsidTr="00D34737">
        <w:trPr>
          <w:trHeight w:val="227"/>
        </w:trPr>
        <w:tc>
          <w:tcPr>
            <w:tcW w:w="0" w:type="auto"/>
            <w:vMerge/>
            <w:tcBorders>
              <w:top w:val="nil"/>
              <w:left w:val="single" w:sz="4" w:space="0" w:color="auto"/>
              <w:bottom w:val="single" w:sz="4" w:space="0" w:color="000000"/>
              <w:right w:val="single" w:sz="4" w:space="0" w:color="auto"/>
            </w:tcBorders>
            <w:vAlign w:val="center"/>
            <w:hideMark/>
          </w:tcPr>
          <w:p w:rsidR="00D34737" w:rsidRPr="00D34737" w:rsidRDefault="00D34737" w:rsidP="00D34737">
            <w:pPr>
              <w:spacing w:before="0" w:line="240" w:lineRule="auto"/>
              <w:jc w:val="left"/>
              <w:rPr>
                <w:rFonts w:asciiTheme="minorHAnsi" w:hAnsiTheme="minorHAns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bCs/>
                <w:color w:val="000000"/>
                <w:sz w:val="20"/>
                <w:lang w:eastAsia="en-GB"/>
              </w:rPr>
            </w:pPr>
            <w:r w:rsidRPr="00D34737">
              <w:rPr>
                <w:rFonts w:asciiTheme="minorHAnsi" w:hAnsiTheme="minorHAnsi"/>
                <w:bCs/>
                <w:color w:val="000000"/>
                <w:sz w:val="20"/>
                <w:lang w:eastAsia="en-GB"/>
              </w:rPr>
              <w:t>CDR(Reg)</w:t>
            </w:r>
          </w:p>
        </w:tc>
        <w:tc>
          <w:tcPr>
            <w:tcW w:w="0" w:type="auto"/>
            <w:tcBorders>
              <w:top w:val="nil"/>
              <w:left w:val="single" w:sz="4" w:space="0" w:color="auto"/>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b/>
                <w:bCs/>
                <w:color w:val="000000"/>
                <w:sz w:val="20"/>
                <w:lang w:eastAsia="en-GB"/>
              </w:rPr>
            </w:pPr>
            <w:r w:rsidRPr="00D34737">
              <w:rPr>
                <w:rFonts w:asciiTheme="minorHAnsi" w:hAnsiTheme="minorHAnsi"/>
                <w:b/>
                <w:bCs/>
                <w:color w:val="000000"/>
                <w:sz w:val="20"/>
                <w:lang w:eastAsia="en-GB"/>
              </w:rPr>
              <w:t xml:space="preserve">-0.745 </w:t>
            </w:r>
          </w:p>
        </w:tc>
        <w:tc>
          <w:tcPr>
            <w:tcW w:w="0" w:type="auto"/>
            <w:tcBorders>
              <w:top w:val="nil"/>
              <w:left w:val="nil"/>
              <w:bottom w:val="nil"/>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-0.011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-0.254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b/>
                <w:bCs/>
                <w:color w:val="000000"/>
                <w:sz w:val="20"/>
                <w:lang w:eastAsia="en-GB"/>
              </w:rPr>
            </w:pPr>
            <w:r w:rsidRPr="00D34737">
              <w:rPr>
                <w:rFonts w:asciiTheme="minorHAnsi" w:hAnsiTheme="minorHAnsi"/>
                <w:b/>
                <w:bCs/>
                <w:color w:val="000000"/>
                <w:sz w:val="20"/>
                <w:lang w:eastAsia="en-GB"/>
              </w:rPr>
              <w:t xml:space="preserve">0.565 </w:t>
            </w: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0.218 </w:t>
            </w:r>
          </w:p>
        </w:tc>
      </w:tr>
      <w:tr w:rsidR="00D34737" w:rsidRPr="00D34737" w:rsidTr="00D34737">
        <w:trPr>
          <w:trHeight w:val="227"/>
        </w:trPr>
        <w:tc>
          <w:tcPr>
            <w:tcW w:w="0" w:type="auto"/>
            <w:vMerge/>
            <w:tcBorders>
              <w:top w:val="nil"/>
              <w:left w:val="single" w:sz="4" w:space="0" w:color="auto"/>
              <w:bottom w:val="single" w:sz="4" w:space="0" w:color="000000"/>
              <w:right w:val="single" w:sz="4" w:space="0" w:color="auto"/>
            </w:tcBorders>
            <w:vAlign w:val="center"/>
            <w:hideMark/>
          </w:tcPr>
          <w:p w:rsidR="00D34737" w:rsidRPr="00D34737" w:rsidRDefault="00D34737" w:rsidP="00D34737">
            <w:pPr>
              <w:spacing w:before="0" w:line="240" w:lineRule="auto"/>
              <w:jc w:val="left"/>
              <w:rPr>
                <w:rFonts w:asciiTheme="minorHAnsi" w:hAnsiTheme="minorHAns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bCs/>
                <w:color w:val="000000"/>
                <w:sz w:val="20"/>
                <w:lang w:eastAsia="en-GB"/>
              </w:rPr>
            </w:pPr>
            <w:r w:rsidRPr="00D34737">
              <w:rPr>
                <w:rFonts w:asciiTheme="minorHAnsi" w:hAnsiTheme="minorHAnsi"/>
                <w:bCs/>
                <w:color w:val="000000"/>
                <w:sz w:val="20"/>
                <w:lang w:eastAsia="en-GB"/>
              </w:rPr>
              <w:t>CDR(Cen)</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-0.482 </w:t>
            </w:r>
          </w:p>
        </w:tc>
        <w:tc>
          <w:tcPr>
            <w:tcW w:w="0" w:type="auto"/>
            <w:tcBorders>
              <w:top w:val="nil"/>
              <w:left w:val="nil"/>
              <w:bottom w:val="nil"/>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0.044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-0.219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b/>
                <w:bCs/>
                <w:color w:val="000000"/>
                <w:sz w:val="20"/>
                <w:lang w:eastAsia="en-GB"/>
              </w:rPr>
            </w:pPr>
            <w:r w:rsidRPr="00D34737">
              <w:rPr>
                <w:rFonts w:asciiTheme="minorHAnsi" w:hAnsiTheme="minorHAnsi"/>
                <w:b/>
                <w:bCs/>
                <w:color w:val="000000"/>
                <w:sz w:val="20"/>
                <w:lang w:eastAsia="en-GB"/>
              </w:rPr>
              <w:t xml:space="preserve">0.558 </w:t>
            </w: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0.272 </w:t>
            </w:r>
          </w:p>
        </w:tc>
      </w:tr>
      <w:tr w:rsidR="00D34737" w:rsidRPr="00D34737" w:rsidTr="00D34737">
        <w:trPr>
          <w:trHeight w:val="227"/>
        </w:trPr>
        <w:tc>
          <w:tcPr>
            <w:tcW w:w="0" w:type="auto"/>
            <w:vMerge/>
            <w:tcBorders>
              <w:top w:val="nil"/>
              <w:left w:val="single" w:sz="4" w:space="0" w:color="auto"/>
              <w:bottom w:val="single" w:sz="4" w:space="0" w:color="000000"/>
              <w:right w:val="single" w:sz="4" w:space="0" w:color="auto"/>
            </w:tcBorders>
            <w:vAlign w:val="center"/>
            <w:hideMark/>
          </w:tcPr>
          <w:p w:rsidR="00D34737" w:rsidRPr="00D34737" w:rsidRDefault="00D34737" w:rsidP="00D34737">
            <w:pPr>
              <w:spacing w:before="0" w:line="240" w:lineRule="auto"/>
              <w:jc w:val="left"/>
              <w:rPr>
                <w:rFonts w:asciiTheme="minorHAnsi" w:hAnsiTheme="minorHAns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bCs/>
                <w:color w:val="000000"/>
                <w:sz w:val="20"/>
                <w:lang w:eastAsia="en-GB"/>
              </w:rPr>
            </w:pPr>
            <w:r w:rsidRPr="00D34737">
              <w:rPr>
                <w:rFonts w:asciiTheme="minorHAnsi" w:hAnsiTheme="minorHAnsi"/>
                <w:bCs/>
                <w:color w:val="000000"/>
                <w:sz w:val="20"/>
                <w:lang w:eastAsia="en-GB"/>
              </w:rPr>
              <w:t>OADR(Reg)</w:t>
            </w:r>
          </w:p>
        </w:tc>
        <w:tc>
          <w:tcPr>
            <w:tcW w:w="0" w:type="auto"/>
            <w:tcBorders>
              <w:top w:val="nil"/>
              <w:left w:val="single" w:sz="4" w:space="0" w:color="auto"/>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b/>
                <w:bCs/>
                <w:color w:val="000000"/>
                <w:sz w:val="20"/>
                <w:lang w:eastAsia="en-GB"/>
              </w:rPr>
            </w:pPr>
            <w:r w:rsidRPr="00D34737">
              <w:rPr>
                <w:rFonts w:asciiTheme="minorHAnsi" w:hAnsiTheme="minorHAnsi"/>
                <w:b/>
                <w:bCs/>
                <w:color w:val="000000"/>
                <w:sz w:val="20"/>
                <w:lang w:eastAsia="en-GB"/>
              </w:rPr>
              <w:t xml:space="preserve">0.526 </w:t>
            </w:r>
          </w:p>
        </w:tc>
        <w:tc>
          <w:tcPr>
            <w:tcW w:w="0" w:type="auto"/>
            <w:tcBorders>
              <w:top w:val="nil"/>
              <w:left w:val="nil"/>
              <w:bottom w:val="nil"/>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-0.143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0.317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-0.352 </w:t>
            </w: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0.217 </w:t>
            </w:r>
          </w:p>
        </w:tc>
      </w:tr>
      <w:tr w:rsidR="00D34737" w:rsidRPr="00D34737" w:rsidTr="00D34737">
        <w:trPr>
          <w:trHeight w:val="227"/>
        </w:trPr>
        <w:tc>
          <w:tcPr>
            <w:tcW w:w="0" w:type="auto"/>
            <w:vMerge/>
            <w:tcBorders>
              <w:top w:val="nil"/>
              <w:left w:val="single" w:sz="4" w:space="0" w:color="auto"/>
              <w:bottom w:val="single" w:sz="4" w:space="0" w:color="000000"/>
              <w:right w:val="single" w:sz="4" w:space="0" w:color="auto"/>
            </w:tcBorders>
            <w:vAlign w:val="center"/>
            <w:hideMark/>
          </w:tcPr>
          <w:p w:rsidR="00D34737" w:rsidRPr="00D34737" w:rsidRDefault="00D34737" w:rsidP="00D34737">
            <w:pPr>
              <w:spacing w:before="0" w:line="240" w:lineRule="auto"/>
              <w:jc w:val="left"/>
              <w:rPr>
                <w:rFonts w:asciiTheme="minorHAnsi" w:hAnsiTheme="minorHAns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bCs/>
                <w:color w:val="000000"/>
                <w:sz w:val="20"/>
                <w:lang w:eastAsia="en-GB"/>
              </w:rPr>
            </w:pPr>
            <w:r w:rsidRPr="00D34737">
              <w:rPr>
                <w:rFonts w:asciiTheme="minorHAnsi" w:hAnsiTheme="minorHAnsi"/>
                <w:bCs/>
                <w:color w:val="000000"/>
                <w:sz w:val="20"/>
                <w:lang w:eastAsia="en-GB"/>
              </w:rPr>
              <w:t>OADR(Cen</w:t>
            </w:r>
          </w:p>
        </w:tc>
        <w:tc>
          <w:tcPr>
            <w:tcW w:w="0" w:type="auto"/>
            <w:tcBorders>
              <w:top w:val="nil"/>
              <w:left w:val="single" w:sz="4" w:space="0" w:color="auto"/>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b/>
                <w:bCs/>
                <w:color w:val="000000"/>
                <w:sz w:val="20"/>
                <w:lang w:eastAsia="en-GB"/>
              </w:rPr>
            </w:pPr>
            <w:r w:rsidRPr="00D34737">
              <w:rPr>
                <w:rFonts w:asciiTheme="minorHAnsi" w:hAnsiTheme="minorHAnsi"/>
                <w:b/>
                <w:bCs/>
                <w:color w:val="000000"/>
                <w:sz w:val="20"/>
                <w:lang w:eastAsia="en-GB"/>
              </w:rPr>
              <w:t xml:space="preserve">0.572 </w:t>
            </w:r>
          </w:p>
        </w:tc>
        <w:tc>
          <w:tcPr>
            <w:tcW w:w="0" w:type="auto"/>
            <w:tcBorders>
              <w:top w:val="nil"/>
              <w:left w:val="nil"/>
              <w:bottom w:val="nil"/>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-0.162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0.329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-0.369 </w:t>
            </w: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0.237 </w:t>
            </w:r>
          </w:p>
        </w:tc>
      </w:tr>
      <w:tr w:rsidR="00D34737" w:rsidRPr="00D34737" w:rsidTr="00D34737">
        <w:trPr>
          <w:trHeight w:val="227"/>
        </w:trPr>
        <w:tc>
          <w:tcPr>
            <w:tcW w:w="0" w:type="auto"/>
            <w:vMerge/>
            <w:tcBorders>
              <w:top w:val="nil"/>
              <w:left w:val="single" w:sz="4" w:space="0" w:color="auto"/>
              <w:bottom w:val="single" w:sz="4" w:space="0" w:color="000000"/>
              <w:right w:val="single" w:sz="4" w:space="0" w:color="auto"/>
            </w:tcBorders>
            <w:vAlign w:val="center"/>
            <w:hideMark/>
          </w:tcPr>
          <w:p w:rsidR="00D34737" w:rsidRPr="00D34737" w:rsidRDefault="00D34737" w:rsidP="00D34737">
            <w:pPr>
              <w:spacing w:before="0" w:line="240" w:lineRule="auto"/>
              <w:jc w:val="left"/>
              <w:rPr>
                <w:rFonts w:asciiTheme="minorHAnsi" w:hAnsiTheme="minorHAns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bCs/>
                <w:color w:val="000000"/>
                <w:sz w:val="20"/>
                <w:lang w:eastAsia="en-GB"/>
              </w:rPr>
            </w:pPr>
            <w:r w:rsidRPr="00D34737">
              <w:rPr>
                <w:rFonts w:asciiTheme="minorHAnsi" w:hAnsiTheme="minorHAnsi"/>
                <w:bCs/>
                <w:color w:val="000000"/>
                <w:sz w:val="20"/>
                <w:lang w:eastAsia="en-GB"/>
              </w:rPr>
              <w:t>LoneP(Cen)</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0.469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b/>
                <w:bCs/>
                <w:color w:val="000000"/>
                <w:sz w:val="20"/>
                <w:lang w:eastAsia="en-GB"/>
              </w:rPr>
            </w:pPr>
            <w:r w:rsidRPr="00D34737">
              <w:rPr>
                <w:rFonts w:asciiTheme="minorHAnsi" w:hAnsiTheme="minorHAnsi"/>
                <w:b/>
                <w:bCs/>
                <w:color w:val="000000"/>
                <w:sz w:val="20"/>
                <w:lang w:eastAsia="en-GB"/>
              </w:rPr>
              <w:t xml:space="preserve">0.529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0.295 </w:t>
            </w:r>
          </w:p>
        </w:tc>
        <w:tc>
          <w:tcPr>
            <w:tcW w:w="0" w:type="auto"/>
            <w:tcBorders>
              <w:top w:val="nil"/>
              <w:left w:val="nil"/>
              <w:bottom w:val="nil"/>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0.090 </w:t>
            </w: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-0.163 </w:t>
            </w:r>
          </w:p>
        </w:tc>
      </w:tr>
      <w:tr w:rsidR="00D34737" w:rsidRPr="00D34737" w:rsidTr="00D34737">
        <w:trPr>
          <w:trHeight w:val="227"/>
        </w:trPr>
        <w:tc>
          <w:tcPr>
            <w:tcW w:w="0" w:type="auto"/>
            <w:vMerge/>
            <w:tcBorders>
              <w:top w:val="nil"/>
              <w:left w:val="single" w:sz="4" w:space="0" w:color="auto"/>
              <w:bottom w:val="single" w:sz="4" w:space="0" w:color="000000"/>
              <w:right w:val="single" w:sz="4" w:space="0" w:color="auto"/>
            </w:tcBorders>
            <w:vAlign w:val="center"/>
            <w:hideMark/>
          </w:tcPr>
          <w:p w:rsidR="00D34737" w:rsidRPr="00D34737" w:rsidRDefault="00D34737" w:rsidP="00D34737">
            <w:pPr>
              <w:spacing w:before="0" w:line="240" w:lineRule="auto"/>
              <w:jc w:val="left"/>
              <w:rPr>
                <w:rFonts w:asciiTheme="minorHAnsi" w:hAnsiTheme="minorHAnsi"/>
                <w:b/>
                <w:bCs/>
                <w:color w:val="000000"/>
                <w:sz w:val="20"/>
                <w:lang w:eastAsia="en-GB"/>
              </w:rPr>
            </w:pP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bCs/>
                <w:color w:val="000000"/>
                <w:sz w:val="20"/>
                <w:lang w:eastAsia="en-GB"/>
              </w:rPr>
            </w:pPr>
            <w:r w:rsidRPr="00D34737">
              <w:rPr>
                <w:rFonts w:asciiTheme="minorHAnsi" w:hAnsiTheme="minorHAnsi"/>
                <w:bCs/>
                <w:color w:val="000000"/>
                <w:sz w:val="20"/>
                <w:lang w:eastAsia="en-GB"/>
              </w:rPr>
              <w:t>Foreign(Cen)</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-0.205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0.254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0.112 </w:t>
            </w:r>
          </w:p>
        </w:tc>
        <w:tc>
          <w:tcPr>
            <w:tcW w:w="0" w:type="auto"/>
            <w:tcBorders>
              <w:top w:val="nil"/>
              <w:left w:val="nil"/>
              <w:bottom w:val="nil"/>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-0.253 </w:t>
            </w:r>
          </w:p>
        </w:tc>
        <w:tc>
          <w:tcPr>
            <w:tcW w:w="0" w:type="auto"/>
            <w:tcBorders>
              <w:top w:val="nil"/>
              <w:left w:val="nil"/>
              <w:bottom w:val="nil"/>
              <w:right w:val="single" w:sz="4" w:space="0" w:color="auto"/>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-0.272 </w:t>
            </w:r>
          </w:p>
        </w:tc>
      </w:tr>
      <w:tr w:rsidR="00D34737" w:rsidRPr="00D34737" w:rsidTr="00D34737">
        <w:trPr>
          <w:trHeight w:val="227"/>
        </w:trPr>
        <w:tc>
          <w:tcPr>
            <w:tcW w:w="0" w:type="auto"/>
            <w:vMerge/>
            <w:tcBorders>
              <w:top w:val="nil"/>
              <w:left w:val="single" w:sz="4" w:space="0" w:color="auto"/>
              <w:bottom w:val="single" w:sz="4" w:space="0" w:color="000000"/>
              <w:right w:val="single" w:sz="4" w:space="0" w:color="auto"/>
            </w:tcBorders>
            <w:vAlign w:val="center"/>
            <w:hideMark/>
          </w:tcPr>
          <w:p w:rsidR="00D34737" w:rsidRPr="00D34737" w:rsidRDefault="00D34737" w:rsidP="00D34737">
            <w:pPr>
              <w:spacing w:before="0" w:line="240" w:lineRule="auto"/>
              <w:jc w:val="left"/>
              <w:rPr>
                <w:rFonts w:asciiTheme="minorHAnsi" w:hAnsiTheme="minorHAnsi"/>
                <w:b/>
                <w:bCs/>
                <w:color w:val="000000"/>
                <w:sz w:val="20"/>
                <w:lang w:eastAsia="en-GB"/>
              </w:rPr>
            </w:pPr>
          </w:p>
        </w:tc>
        <w:tc>
          <w:tcPr>
            <w:tcW w:w="0" w:type="auto"/>
            <w:tcBorders>
              <w:top w:val="nil"/>
              <w:left w:val="nil"/>
              <w:bottom w:val="single" w:sz="4" w:space="0" w:color="auto"/>
              <w:right w:val="single" w:sz="4" w:space="0" w:color="auto"/>
            </w:tcBorders>
            <w:shd w:val="clear" w:color="auto" w:fill="auto"/>
            <w:noWrap/>
            <w:vAlign w:val="bottom"/>
            <w:hideMark/>
          </w:tcPr>
          <w:p w:rsidR="00D34737" w:rsidRPr="00D34737" w:rsidRDefault="00D34737" w:rsidP="00D34737">
            <w:pPr>
              <w:spacing w:before="0" w:line="240" w:lineRule="auto"/>
              <w:jc w:val="left"/>
              <w:rPr>
                <w:rFonts w:asciiTheme="minorHAnsi" w:hAnsiTheme="minorHAnsi"/>
                <w:bCs/>
                <w:color w:val="000000"/>
                <w:sz w:val="20"/>
                <w:lang w:eastAsia="en-GB"/>
              </w:rPr>
            </w:pPr>
            <w:r w:rsidRPr="00D34737">
              <w:rPr>
                <w:rFonts w:asciiTheme="minorHAnsi" w:hAnsiTheme="minorHAnsi"/>
                <w:bCs/>
                <w:color w:val="000000"/>
                <w:sz w:val="20"/>
                <w:lang w:eastAsia="en-GB"/>
              </w:rPr>
              <w:t>NonCit(Cen)</w:t>
            </w:r>
          </w:p>
        </w:tc>
        <w:tc>
          <w:tcPr>
            <w:tcW w:w="0" w:type="auto"/>
            <w:tcBorders>
              <w:top w:val="nil"/>
              <w:left w:val="nil"/>
              <w:bottom w:val="single" w:sz="4" w:space="0" w:color="auto"/>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-0.400 </w:t>
            </w:r>
          </w:p>
        </w:tc>
        <w:tc>
          <w:tcPr>
            <w:tcW w:w="0" w:type="auto"/>
            <w:tcBorders>
              <w:top w:val="nil"/>
              <w:left w:val="nil"/>
              <w:bottom w:val="single" w:sz="4" w:space="0" w:color="auto"/>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0.132 </w:t>
            </w:r>
          </w:p>
        </w:tc>
        <w:tc>
          <w:tcPr>
            <w:tcW w:w="0" w:type="auto"/>
            <w:tcBorders>
              <w:top w:val="nil"/>
              <w:left w:val="nil"/>
              <w:bottom w:val="single" w:sz="4" w:space="0" w:color="auto"/>
              <w:right w:val="nil"/>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000000"/>
                <w:sz w:val="20"/>
                <w:lang w:eastAsia="en-GB"/>
              </w:rPr>
              <w:t xml:space="preserve">0.055 </w:t>
            </w:r>
          </w:p>
        </w:tc>
        <w:tc>
          <w:tcPr>
            <w:tcW w:w="0" w:type="auto"/>
            <w:tcBorders>
              <w:top w:val="nil"/>
              <w:left w:val="nil"/>
              <w:bottom w:val="single" w:sz="4" w:space="0" w:color="auto"/>
              <w:right w:val="nil"/>
            </w:tcBorders>
            <w:shd w:val="clear" w:color="auto" w:fill="auto"/>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-0.263 </w:t>
            </w:r>
          </w:p>
        </w:tc>
        <w:tc>
          <w:tcPr>
            <w:tcW w:w="0" w:type="auto"/>
            <w:tcBorders>
              <w:top w:val="nil"/>
              <w:left w:val="nil"/>
              <w:bottom w:val="single" w:sz="4" w:space="0" w:color="auto"/>
              <w:right w:val="single" w:sz="4" w:space="0" w:color="auto"/>
            </w:tcBorders>
            <w:shd w:val="clear" w:color="000000" w:fill="BFBFBF"/>
            <w:noWrap/>
            <w:vAlign w:val="bottom"/>
            <w:hideMark/>
          </w:tcPr>
          <w:p w:rsidR="00D34737" w:rsidRPr="00D34737" w:rsidRDefault="00D34737" w:rsidP="00D34737">
            <w:pPr>
              <w:spacing w:before="0" w:line="240" w:lineRule="auto"/>
              <w:jc w:val="right"/>
              <w:rPr>
                <w:rFonts w:asciiTheme="minorHAnsi" w:hAnsiTheme="minorHAnsi"/>
                <w:color w:val="000000"/>
                <w:sz w:val="20"/>
                <w:lang w:eastAsia="en-GB"/>
              </w:rPr>
            </w:pPr>
            <w:r w:rsidRPr="00D34737">
              <w:rPr>
                <w:rFonts w:asciiTheme="minorHAnsi" w:hAnsiTheme="minorHAnsi"/>
                <w:color w:val="FF0000"/>
                <w:sz w:val="20"/>
                <w:lang w:eastAsia="en-GB"/>
              </w:rPr>
              <w:t xml:space="preserve">-0.083 </w:t>
            </w:r>
          </w:p>
        </w:tc>
      </w:tr>
    </w:tbl>
    <w:p w:rsidR="00CA2C90" w:rsidRDefault="00CA2C90" w:rsidP="00CA2C90">
      <w:pPr>
        <w:rPr>
          <w:sz w:val="18"/>
          <w:szCs w:val="18"/>
        </w:rPr>
      </w:pPr>
      <w:r w:rsidRPr="00E97594">
        <w:rPr>
          <w:b/>
          <w:sz w:val="18"/>
          <w:szCs w:val="18"/>
        </w:rPr>
        <w:t>Note</w:t>
      </w:r>
      <w:r>
        <w:rPr>
          <w:b/>
          <w:sz w:val="18"/>
          <w:szCs w:val="18"/>
        </w:rPr>
        <w:t>s</w:t>
      </w:r>
      <w:r w:rsidRPr="00E97594">
        <w:rPr>
          <w:b/>
          <w:sz w:val="18"/>
          <w:szCs w:val="18"/>
        </w:rPr>
        <w:t>:</w:t>
      </w:r>
      <w:r w:rsidRPr="00E97594">
        <w:rPr>
          <w:sz w:val="18"/>
          <w:szCs w:val="18"/>
        </w:rPr>
        <w:t xml:space="preserve"> </w:t>
      </w:r>
    </w:p>
    <w:p w:rsidR="00CA2C90" w:rsidRPr="00CA2C90" w:rsidRDefault="00CA2C90" w:rsidP="00986069">
      <w:pPr>
        <w:pStyle w:val="Luettelokappale"/>
        <w:numPr>
          <w:ilvl w:val="0"/>
          <w:numId w:val="4"/>
        </w:numPr>
        <w:spacing w:before="0"/>
        <w:rPr>
          <w:rFonts w:asciiTheme="minorHAnsi" w:hAnsiTheme="minorHAnsi"/>
          <w:sz w:val="18"/>
          <w:szCs w:val="18"/>
        </w:rPr>
      </w:pPr>
      <w:r w:rsidRPr="00CA2C90">
        <w:rPr>
          <w:rFonts w:asciiTheme="minorHAnsi" w:hAnsiTheme="minorHAnsi"/>
          <w:sz w:val="18"/>
          <w:szCs w:val="18"/>
        </w:rPr>
        <w:t>Grey shaded cells in the table indicate c</w:t>
      </w:r>
      <w:r>
        <w:rPr>
          <w:rFonts w:asciiTheme="minorHAnsi" w:hAnsiTheme="minorHAnsi"/>
          <w:sz w:val="18"/>
          <w:szCs w:val="18"/>
        </w:rPr>
        <w:t>o</w:t>
      </w:r>
      <w:r w:rsidRPr="00CA2C90">
        <w:rPr>
          <w:rFonts w:asciiTheme="minorHAnsi" w:hAnsiTheme="minorHAnsi"/>
          <w:sz w:val="18"/>
          <w:szCs w:val="18"/>
        </w:rPr>
        <w:t>efficients which are not significant at 0.01.</w:t>
      </w:r>
    </w:p>
    <w:p w:rsidR="00CA2C90" w:rsidRPr="00CA2C90" w:rsidRDefault="00CA2C90" w:rsidP="00986069">
      <w:pPr>
        <w:pStyle w:val="Luettelokappale"/>
        <w:numPr>
          <w:ilvl w:val="0"/>
          <w:numId w:val="4"/>
        </w:numPr>
        <w:rPr>
          <w:rFonts w:asciiTheme="minorHAnsi" w:hAnsiTheme="minorHAnsi" w:cs="Arial"/>
          <w:sz w:val="18"/>
          <w:szCs w:val="18"/>
          <w:lang w:eastAsia="en-GB"/>
        </w:rPr>
      </w:pPr>
      <w:r w:rsidRPr="00CA2C90">
        <w:rPr>
          <w:rFonts w:asciiTheme="minorHAnsi" w:hAnsiTheme="minorHAnsi" w:cs="Arial"/>
          <w:sz w:val="18"/>
          <w:szCs w:val="18"/>
          <w:lang w:eastAsia="en-GB"/>
        </w:rPr>
        <w:t>SIC Classification:</w:t>
      </w:r>
    </w:p>
    <w:p w:rsidR="00CA2C90" w:rsidRDefault="00CA2C90" w:rsidP="00CA2C90">
      <w:pPr>
        <w:spacing w:before="0" w:after="120" w:line="240" w:lineRule="auto"/>
        <w:rPr>
          <w:rFonts w:cs="Arial"/>
          <w:sz w:val="18"/>
          <w:szCs w:val="18"/>
          <w:lang w:eastAsia="en-GB"/>
        </w:rPr>
        <w:sectPr w:rsidR="00CA2C90" w:rsidSect="009F1846">
          <w:footerReference w:type="default" r:id="rId33"/>
          <w:type w:val="continuous"/>
          <w:pgSz w:w="11907" w:h="16840" w:code="9"/>
          <w:pgMar w:top="1440" w:right="1797" w:bottom="1440" w:left="1797" w:header="709" w:footer="709" w:gutter="0"/>
          <w:pgNumType w:start="17"/>
          <w:cols w:space="708"/>
          <w:docGrid w:linePitch="360"/>
        </w:sectPr>
      </w:pPr>
    </w:p>
    <w:p w:rsidR="00CA2C90" w:rsidRPr="00CA2C90" w:rsidRDefault="00CA2C90" w:rsidP="00CA2C90">
      <w:pPr>
        <w:spacing w:before="0" w:after="60" w:line="240" w:lineRule="auto"/>
        <w:jc w:val="left"/>
        <w:rPr>
          <w:rFonts w:asciiTheme="minorHAnsi" w:hAnsiTheme="minorHAnsi" w:cs="Arial"/>
          <w:sz w:val="18"/>
          <w:szCs w:val="18"/>
          <w:lang w:eastAsia="en-GB"/>
        </w:rPr>
      </w:pPr>
      <w:r w:rsidRPr="00CA2C90">
        <w:rPr>
          <w:rFonts w:asciiTheme="minorHAnsi" w:hAnsiTheme="minorHAnsi" w:cs="Arial"/>
          <w:sz w:val="18"/>
          <w:szCs w:val="18"/>
          <w:lang w:eastAsia="en-GB"/>
        </w:rPr>
        <w:lastRenderedPageBreak/>
        <w:t>A - Agriculture, forestry and fishing</w:t>
      </w:r>
    </w:p>
    <w:p w:rsidR="00CA2C90" w:rsidRPr="00CA2C90" w:rsidRDefault="00CA2C90" w:rsidP="00CA2C90">
      <w:pPr>
        <w:spacing w:before="0" w:after="60" w:line="240" w:lineRule="auto"/>
        <w:jc w:val="left"/>
        <w:rPr>
          <w:rFonts w:asciiTheme="minorHAnsi" w:hAnsiTheme="minorHAnsi" w:cs="Arial"/>
          <w:sz w:val="18"/>
          <w:szCs w:val="18"/>
          <w:lang w:eastAsia="en-GB"/>
        </w:rPr>
      </w:pPr>
      <w:r w:rsidRPr="00CA2C90">
        <w:rPr>
          <w:rFonts w:asciiTheme="minorHAnsi" w:hAnsiTheme="minorHAnsi" w:cs="Arial"/>
          <w:sz w:val="18"/>
          <w:szCs w:val="18"/>
          <w:lang w:eastAsia="en-GB"/>
        </w:rPr>
        <w:t>B-E - Industry (except construction)</w:t>
      </w:r>
    </w:p>
    <w:p w:rsidR="00CA2C90" w:rsidRPr="00CA2C90" w:rsidRDefault="00CA2C90" w:rsidP="00CA2C90">
      <w:pPr>
        <w:spacing w:before="0" w:after="60" w:line="240" w:lineRule="auto"/>
        <w:jc w:val="left"/>
        <w:rPr>
          <w:rFonts w:asciiTheme="minorHAnsi" w:hAnsiTheme="minorHAnsi" w:cs="Arial"/>
          <w:sz w:val="18"/>
          <w:szCs w:val="18"/>
          <w:lang w:eastAsia="en-GB"/>
        </w:rPr>
      </w:pPr>
      <w:r w:rsidRPr="00CA2C90">
        <w:rPr>
          <w:rFonts w:asciiTheme="minorHAnsi" w:hAnsiTheme="minorHAnsi" w:cs="Arial"/>
          <w:sz w:val="18"/>
          <w:szCs w:val="18"/>
          <w:lang w:eastAsia="en-GB"/>
        </w:rPr>
        <w:t>C – Manufacturing</w:t>
      </w:r>
    </w:p>
    <w:p w:rsidR="00CA2C90" w:rsidRPr="00CA2C90" w:rsidRDefault="00CA2C90" w:rsidP="00CA2C90">
      <w:pPr>
        <w:spacing w:before="0" w:after="60" w:line="240" w:lineRule="auto"/>
        <w:jc w:val="left"/>
        <w:rPr>
          <w:rFonts w:asciiTheme="minorHAnsi" w:hAnsiTheme="minorHAnsi" w:cs="Arial"/>
          <w:sz w:val="18"/>
          <w:szCs w:val="18"/>
          <w:lang w:eastAsia="en-GB"/>
        </w:rPr>
      </w:pPr>
      <w:r w:rsidRPr="00CA2C90">
        <w:rPr>
          <w:rFonts w:asciiTheme="minorHAnsi" w:hAnsiTheme="minorHAnsi" w:cs="Arial"/>
          <w:sz w:val="18"/>
          <w:szCs w:val="18"/>
          <w:lang w:eastAsia="en-GB"/>
        </w:rPr>
        <w:t>F – Construction</w:t>
      </w:r>
    </w:p>
    <w:p w:rsidR="00CA2C90" w:rsidRPr="00CA2C90" w:rsidRDefault="00CA2C90" w:rsidP="00CA2C90">
      <w:pPr>
        <w:spacing w:before="0" w:after="60" w:line="240" w:lineRule="auto"/>
        <w:jc w:val="left"/>
        <w:rPr>
          <w:rFonts w:asciiTheme="minorHAnsi" w:hAnsiTheme="minorHAnsi" w:cs="Arial"/>
          <w:sz w:val="18"/>
          <w:szCs w:val="18"/>
          <w:lang w:eastAsia="en-GB"/>
        </w:rPr>
      </w:pPr>
      <w:r w:rsidRPr="00CA2C90">
        <w:rPr>
          <w:rFonts w:asciiTheme="minorHAnsi" w:hAnsiTheme="minorHAnsi" w:cs="Arial"/>
          <w:sz w:val="18"/>
          <w:szCs w:val="18"/>
          <w:lang w:eastAsia="en-GB"/>
        </w:rPr>
        <w:t>G-J - Wholesale and retail trade; transport; accommodation and food service activities; information and communication</w:t>
      </w:r>
    </w:p>
    <w:p w:rsidR="00CA2C90" w:rsidRPr="00CA2C90" w:rsidRDefault="00CA2C90" w:rsidP="00CA2C90">
      <w:pPr>
        <w:spacing w:before="0" w:after="60" w:line="240" w:lineRule="auto"/>
        <w:jc w:val="left"/>
        <w:rPr>
          <w:rFonts w:asciiTheme="minorHAnsi" w:hAnsiTheme="minorHAnsi" w:cs="Arial"/>
          <w:sz w:val="18"/>
          <w:szCs w:val="18"/>
          <w:lang w:eastAsia="en-GB"/>
        </w:rPr>
      </w:pPr>
      <w:r w:rsidRPr="00CA2C90">
        <w:rPr>
          <w:rFonts w:asciiTheme="minorHAnsi" w:hAnsiTheme="minorHAnsi" w:cs="Arial"/>
          <w:sz w:val="18"/>
          <w:szCs w:val="18"/>
          <w:lang w:eastAsia="en-GB"/>
        </w:rPr>
        <w:lastRenderedPageBreak/>
        <w:t>K-N - Financial and insurance activities; real estate activities; professional, scientific and technical activities; administrative and support service activities.</w:t>
      </w:r>
    </w:p>
    <w:p w:rsidR="00CA2C90" w:rsidRPr="00CA2C90" w:rsidRDefault="00CA2C90" w:rsidP="00CA2C90">
      <w:pPr>
        <w:spacing w:before="0" w:after="120" w:line="240" w:lineRule="auto"/>
        <w:jc w:val="left"/>
        <w:rPr>
          <w:rFonts w:asciiTheme="minorHAnsi" w:hAnsiTheme="minorHAnsi" w:cs="Arial"/>
          <w:sz w:val="18"/>
          <w:szCs w:val="18"/>
          <w:lang w:eastAsia="en-GB"/>
        </w:rPr>
        <w:sectPr w:rsidR="00CA2C90" w:rsidRPr="00CA2C90" w:rsidSect="006C6A7D">
          <w:type w:val="continuous"/>
          <w:pgSz w:w="11907" w:h="16840" w:code="9"/>
          <w:pgMar w:top="1440" w:right="1797" w:bottom="1440" w:left="1797" w:header="709" w:footer="709" w:gutter="0"/>
          <w:pgNumType w:start="1"/>
          <w:cols w:num="2" w:space="708"/>
          <w:docGrid w:linePitch="360"/>
        </w:sectPr>
      </w:pPr>
      <w:r w:rsidRPr="00CA2C90">
        <w:rPr>
          <w:rFonts w:asciiTheme="minorHAnsi" w:hAnsiTheme="minorHAnsi" w:cs="Arial"/>
          <w:sz w:val="18"/>
          <w:szCs w:val="18"/>
          <w:lang w:eastAsia="en-GB"/>
        </w:rPr>
        <w:t>O-U - Public administration and defence; compulsory social security; education; human health and social work activities; arts, entertainment and recreation, repair of household goods and other services.</w:t>
      </w:r>
    </w:p>
    <w:p w:rsidR="00CA2C90" w:rsidRDefault="00CA2C90" w:rsidP="00CA2C90">
      <w:pPr>
        <w:spacing w:before="0" w:line="240" w:lineRule="auto"/>
        <w:rPr>
          <w:rFonts w:cs="Arial"/>
          <w:sz w:val="18"/>
          <w:szCs w:val="18"/>
          <w:lang w:eastAsia="en-GB"/>
        </w:rPr>
        <w:sectPr w:rsidR="00CA2C90" w:rsidSect="006C6A7D">
          <w:type w:val="continuous"/>
          <w:pgSz w:w="11907" w:h="16840" w:code="9"/>
          <w:pgMar w:top="1440" w:right="1797" w:bottom="1440" w:left="1797" w:header="709" w:footer="709" w:gutter="0"/>
          <w:pgNumType w:start="1"/>
          <w:cols w:space="708"/>
          <w:docGrid w:linePitch="360"/>
        </w:sectPr>
      </w:pPr>
    </w:p>
    <w:p w:rsidR="00101F6B" w:rsidRDefault="00101F6B" w:rsidP="00101F6B">
      <w:r>
        <w:lastRenderedPageBreak/>
        <w:t>Finally, the post-socialist countries share certain key characteristics with the previous group, notably the fact that poverty is strongly associated with overall regional eco</w:t>
      </w:r>
      <w:r>
        <w:lastRenderedPageBreak/>
        <w:t>nomic performance, and with accessibility. However, here education and training, and employment in the primary sector, are also strongly associated with variations in poverty.</w:t>
      </w:r>
    </w:p>
    <w:p w:rsidR="00101F6B" w:rsidRDefault="00101F6B" w:rsidP="00CA2C90"/>
    <w:p w:rsidR="00CA2C90" w:rsidRDefault="005B7383" w:rsidP="00CA2C90">
      <w:r>
        <w:t>The TiPSE clusters of Table 4 have some similarities to the Welfare regimes of Table 3. For example, the Mediterrannean Crisis cluster is similar to the Family-based welfare regime, though Turkey is excluded from the former. The “Disparate East” comprises many of the countries of the Post Socialist welfare regime group. However there are also substantial differences. The Competitive North-West incorporates countries from the Nordic, Liberal and State-based welfare regime groups.</w:t>
      </w:r>
      <w:r w:rsidR="00DF3931">
        <w:t xml:space="preserve"> The full listing of cluster membership is as follows:</w:t>
      </w:r>
    </w:p>
    <w:p w:rsidR="00DF3931" w:rsidRPr="00954C8C" w:rsidRDefault="00DF3931" w:rsidP="00DF3931">
      <w:pPr>
        <w:spacing w:before="60"/>
      </w:pPr>
      <w:r w:rsidRPr="00DF3931">
        <w:rPr>
          <w:b/>
        </w:rPr>
        <w:t>Inclusive Centre</w:t>
      </w:r>
      <w:r>
        <w:t xml:space="preserve">: </w:t>
      </w:r>
      <w:r w:rsidRPr="0001250A">
        <w:t>Austria, Cyprus, Czech Republic, Germany, Luxembourg, Malta, Slovenia, Switzerland</w:t>
      </w:r>
    </w:p>
    <w:p w:rsidR="00DF3931" w:rsidRPr="0001250A" w:rsidRDefault="00DF3931" w:rsidP="00DF3931">
      <w:pPr>
        <w:spacing w:before="60"/>
      </w:pPr>
      <w:r>
        <w:rPr>
          <w:b/>
          <w:lang w:val="en-US"/>
        </w:rPr>
        <w:t>Competitive North-West</w:t>
      </w:r>
      <w:r>
        <w:rPr>
          <w:lang w:val="en-US"/>
        </w:rPr>
        <w:t xml:space="preserve">: </w:t>
      </w:r>
      <w:r w:rsidRPr="00703402">
        <w:t>Belgium, Denmark, Finland, France, Iceland, Ireland, Netherlands, Norway, Sweden,</w:t>
      </w:r>
      <w:r>
        <w:t xml:space="preserve"> </w:t>
      </w:r>
      <w:r w:rsidRPr="0001250A">
        <w:t>United Kingdom</w:t>
      </w:r>
    </w:p>
    <w:p w:rsidR="00DF3931" w:rsidRPr="0001250A" w:rsidRDefault="00DF3931" w:rsidP="00DF3931">
      <w:pPr>
        <w:spacing w:before="60"/>
      </w:pPr>
      <w:r>
        <w:rPr>
          <w:b/>
          <w:lang w:val="en-US"/>
        </w:rPr>
        <w:t xml:space="preserve">Disparate East: </w:t>
      </w:r>
      <w:r w:rsidRPr="0001250A">
        <w:t>Bulgaria, Estonia, Hungary, Latvia, Lithuania, Poland, Slovakia</w:t>
      </w:r>
      <w:r>
        <w:t>, Romania</w:t>
      </w:r>
    </w:p>
    <w:p w:rsidR="00DF3931" w:rsidRPr="0001250A" w:rsidRDefault="00DF3931" w:rsidP="00DF3931">
      <w:pPr>
        <w:spacing w:before="60"/>
      </w:pPr>
      <w:r>
        <w:rPr>
          <w:b/>
          <w:lang w:val="en-US"/>
        </w:rPr>
        <w:t xml:space="preserve">Mediterranean Crisis: </w:t>
      </w:r>
      <w:r w:rsidRPr="0001250A">
        <w:t>Greece, Italy, Portugal, Spain</w:t>
      </w:r>
    </w:p>
    <w:p w:rsidR="00DF3931" w:rsidRDefault="00DF3931" w:rsidP="00CA2C90">
      <w:r>
        <w:t>For full details of the way in which the clusters were specified, see Annex 9. For the purposes of this analysis Romania has been included in the “Disparate East” Cluster.</w:t>
      </w:r>
    </w:p>
    <w:p w:rsidR="00DF3931" w:rsidRDefault="00DF3931" w:rsidP="00CA2C90">
      <w:r>
        <w:t>There are some similarities between the profiles of the first two clusters.</w:t>
      </w:r>
      <w:r w:rsidR="00101F6B">
        <w:t xml:space="preserve"> Neither show strong associations between poverty and agglomeration/accessibility, or productivity, whilst the links with sectoral structure and human capital indicators are with a few exceptions relatively weak.</w:t>
      </w:r>
      <w:r>
        <w:t xml:space="preserve"> In both the key associations are in the labour market theme</w:t>
      </w:r>
      <w:r w:rsidR="00101F6B">
        <w:t xml:space="preserve">. The main differences are the </w:t>
      </w:r>
      <w:r>
        <w:t>closer association between poverty and long term employment in the Inclusive Centre cluster, and the strong associations</w:t>
      </w:r>
      <w:r w:rsidR="00101F6B">
        <w:t xml:space="preserve"> with elementary occupations and lone parent households in the Competitive North-West.</w:t>
      </w:r>
    </w:p>
    <w:p w:rsidR="00101F6B" w:rsidRDefault="00101F6B" w:rsidP="00CA2C90">
      <w:r>
        <w:t>The Disparate East and the Mediterranean Crisis cluster are clearly differentiated from the first two clusters in terms of the strong associations between poverty and overall regional economic productivity, accessibility and education and skills. In the Mediterranean cluster labour market issues are closely associated with poverty, whilst for the Disparate East sectoral structure is a more important issue.</w:t>
      </w:r>
    </w:p>
    <w:p w:rsidR="00101F6B" w:rsidRDefault="00101F6B" w:rsidP="00CA2C90"/>
    <w:p w:rsidR="00493199" w:rsidRDefault="00101F6B" w:rsidP="00493199">
      <w:pPr>
        <w:pStyle w:val="Kuvaotsikko"/>
        <w:keepNext/>
        <w:spacing w:after="240"/>
      </w:pPr>
      <w:r>
        <w:br w:type="column"/>
      </w:r>
      <w:bookmarkStart w:id="35" w:name="_Toc394071841"/>
      <w:r w:rsidR="00493199">
        <w:lastRenderedPageBreak/>
        <w:t xml:space="preserve">Table </w:t>
      </w:r>
      <w:r w:rsidR="00A11F7B">
        <w:fldChar w:fldCharType="begin"/>
      </w:r>
      <w:r w:rsidR="00A11F7B">
        <w:instrText xml:space="preserve"> SEQ Table \* ARABIC </w:instrText>
      </w:r>
      <w:r w:rsidR="00A11F7B">
        <w:fldChar w:fldCharType="separate"/>
      </w:r>
      <w:r w:rsidR="00CA570A">
        <w:rPr>
          <w:noProof/>
        </w:rPr>
        <w:t>4</w:t>
      </w:r>
      <w:r w:rsidR="00A11F7B">
        <w:rPr>
          <w:noProof/>
        </w:rPr>
        <w:fldChar w:fldCharType="end"/>
      </w:r>
      <w:r w:rsidR="00493199">
        <w:t>:</w:t>
      </w:r>
      <w:r w:rsidR="00493199" w:rsidRPr="00493199">
        <w:t xml:space="preserve"> </w:t>
      </w:r>
      <w:r w:rsidR="00493199">
        <w:t>Pearson Correlation Coefficients between ARoP rates (unadjusted) and selected socio-economic indicators – by TiPSE Cluster</w:t>
      </w:r>
      <w:bookmarkEnd w:id="35"/>
    </w:p>
    <w:tbl>
      <w:tblPr>
        <w:tblW w:w="8600" w:type="dxa"/>
        <w:tblInd w:w="93" w:type="dxa"/>
        <w:tblLook w:val="04A0" w:firstRow="1" w:lastRow="0" w:firstColumn="1" w:lastColumn="0" w:noHBand="0" w:noVBand="1"/>
      </w:tblPr>
      <w:tblGrid>
        <w:gridCol w:w="1240"/>
        <w:gridCol w:w="1620"/>
        <w:gridCol w:w="1620"/>
        <w:gridCol w:w="1680"/>
        <w:gridCol w:w="1226"/>
        <w:gridCol w:w="1214"/>
      </w:tblGrid>
      <w:tr w:rsidR="00CA2C90" w:rsidRPr="00493199" w:rsidTr="00493199">
        <w:trPr>
          <w:trHeight w:val="227"/>
        </w:trPr>
        <w:tc>
          <w:tcPr>
            <w:tcW w:w="124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CA2C90" w:rsidRPr="00493199" w:rsidRDefault="00CA2C90" w:rsidP="00CA2C90">
            <w:pPr>
              <w:spacing w:before="0" w:line="240" w:lineRule="auto"/>
              <w:jc w:val="center"/>
              <w:rPr>
                <w:rFonts w:asciiTheme="minorHAnsi" w:hAnsiTheme="minorHAnsi"/>
                <w:b/>
                <w:bCs/>
                <w:color w:val="000000"/>
                <w:sz w:val="20"/>
                <w:lang w:eastAsia="en-GB"/>
              </w:rPr>
            </w:pPr>
            <w:r w:rsidRPr="00493199">
              <w:rPr>
                <w:rFonts w:asciiTheme="minorHAnsi" w:hAnsiTheme="minorHAnsi"/>
                <w:b/>
                <w:bCs/>
                <w:color w:val="000000"/>
                <w:sz w:val="20"/>
                <w:lang w:eastAsia="en-GB"/>
              </w:rPr>
              <w:t>Theme</w:t>
            </w:r>
          </w:p>
        </w:tc>
        <w:tc>
          <w:tcPr>
            <w:tcW w:w="162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CA2C90" w:rsidRPr="00493199" w:rsidRDefault="00CA2C90" w:rsidP="00CA2C90">
            <w:pPr>
              <w:spacing w:before="0" w:line="240" w:lineRule="auto"/>
              <w:jc w:val="center"/>
              <w:rPr>
                <w:rFonts w:asciiTheme="minorHAnsi" w:hAnsiTheme="minorHAnsi"/>
                <w:b/>
                <w:bCs/>
                <w:color w:val="000000"/>
                <w:sz w:val="20"/>
                <w:lang w:eastAsia="en-GB"/>
              </w:rPr>
            </w:pPr>
            <w:r w:rsidRPr="00493199">
              <w:rPr>
                <w:rFonts w:asciiTheme="minorHAnsi" w:hAnsiTheme="minorHAnsi"/>
                <w:b/>
                <w:bCs/>
                <w:color w:val="000000"/>
                <w:sz w:val="20"/>
                <w:lang w:eastAsia="en-GB"/>
              </w:rPr>
              <w:t>Indicator</w:t>
            </w:r>
          </w:p>
        </w:tc>
        <w:tc>
          <w:tcPr>
            <w:tcW w:w="1620" w:type="dxa"/>
            <w:tcBorders>
              <w:top w:val="single" w:sz="4" w:space="0" w:color="auto"/>
              <w:left w:val="nil"/>
              <w:bottom w:val="nil"/>
              <w:right w:val="nil"/>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Clusters</w:t>
            </w:r>
          </w:p>
        </w:tc>
        <w:tc>
          <w:tcPr>
            <w:tcW w:w="1680" w:type="dxa"/>
            <w:tcBorders>
              <w:top w:val="single" w:sz="4" w:space="0" w:color="auto"/>
              <w:left w:val="nil"/>
              <w:bottom w:val="nil"/>
              <w:right w:val="nil"/>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color w:val="000000"/>
                <w:sz w:val="20"/>
                <w:lang w:eastAsia="en-GB"/>
              </w:rPr>
            </w:pPr>
            <w:r w:rsidRPr="00493199">
              <w:rPr>
                <w:rFonts w:asciiTheme="minorHAnsi" w:hAnsiTheme="minorHAnsi"/>
                <w:color w:val="000000"/>
                <w:sz w:val="20"/>
                <w:lang w:eastAsia="en-GB"/>
              </w:rPr>
              <w:t> </w:t>
            </w:r>
          </w:p>
        </w:tc>
        <w:tc>
          <w:tcPr>
            <w:tcW w:w="1226" w:type="dxa"/>
            <w:tcBorders>
              <w:top w:val="single" w:sz="4" w:space="0" w:color="auto"/>
              <w:left w:val="nil"/>
              <w:bottom w:val="nil"/>
              <w:right w:val="nil"/>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color w:val="000000"/>
                <w:sz w:val="20"/>
                <w:lang w:eastAsia="en-GB"/>
              </w:rPr>
            </w:pPr>
            <w:r w:rsidRPr="00493199">
              <w:rPr>
                <w:rFonts w:asciiTheme="minorHAnsi" w:hAnsiTheme="minorHAnsi"/>
                <w:color w:val="000000"/>
                <w:sz w:val="20"/>
                <w:lang w:eastAsia="en-GB"/>
              </w:rPr>
              <w:t> </w:t>
            </w:r>
          </w:p>
        </w:tc>
        <w:tc>
          <w:tcPr>
            <w:tcW w:w="1214" w:type="dxa"/>
            <w:tcBorders>
              <w:top w:val="single" w:sz="4" w:space="0" w:color="auto"/>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color w:val="000000"/>
                <w:sz w:val="20"/>
                <w:lang w:eastAsia="en-GB"/>
              </w:rPr>
            </w:pPr>
            <w:r w:rsidRPr="00493199">
              <w:rPr>
                <w:rFonts w:asciiTheme="minorHAnsi" w:hAnsiTheme="minorHAnsi"/>
                <w:color w:val="000000"/>
                <w:sz w:val="20"/>
                <w:lang w:eastAsia="en-GB"/>
              </w:rPr>
              <w:t> </w:t>
            </w:r>
          </w:p>
        </w:tc>
      </w:tr>
      <w:tr w:rsidR="00CA2C90" w:rsidRPr="00493199" w:rsidTr="00493199">
        <w:trPr>
          <w:trHeight w:val="227"/>
        </w:trPr>
        <w:tc>
          <w:tcPr>
            <w:tcW w:w="1240" w:type="dxa"/>
            <w:vMerge/>
            <w:tcBorders>
              <w:top w:val="single" w:sz="4" w:space="0" w:color="auto"/>
              <w:left w:val="single" w:sz="4" w:space="0" w:color="auto"/>
              <w:bottom w:val="single" w:sz="4" w:space="0" w:color="000000"/>
              <w:right w:val="single" w:sz="4" w:space="0" w:color="auto"/>
            </w:tcBorders>
            <w:vAlign w:val="center"/>
            <w:hideMark/>
          </w:tcPr>
          <w:p w:rsidR="00CA2C90" w:rsidRPr="00493199" w:rsidRDefault="00CA2C90" w:rsidP="00CA2C90">
            <w:pPr>
              <w:spacing w:before="0" w:line="240" w:lineRule="auto"/>
              <w:jc w:val="left"/>
              <w:rPr>
                <w:rFonts w:asciiTheme="minorHAnsi" w:hAnsiTheme="minorHAnsi"/>
                <w:b/>
                <w:bCs/>
                <w:color w:val="000000"/>
                <w:sz w:val="20"/>
                <w:lang w:eastAsia="en-GB"/>
              </w:rPr>
            </w:pPr>
          </w:p>
        </w:tc>
        <w:tc>
          <w:tcPr>
            <w:tcW w:w="1620" w:type="dxa"/>
            <w:vMerge/>
            <w:tcBorders>
              <w:top w:val="single" w:sz="4" w:space="0" w:color="auto"/>
              <w:left w:val="single" w:sz="4" w:space="0" w:color="auto"/>
              <w:bottom w:val="single" w:sz="4" w:space="0" w:color="000000"/>
              <w:right w:val="single" w:sz="4" w:space="0" w:color="auto"/>
            </w:tcBorders>
            <w:vAlign w:val="center"/>
            <w:hideMark/>
          </w:tcPr>
          <w:p w:rsidR="00CA2C90" w:rsidRPr="00493199" w:rsidRDefault="00CA2C90" w:rsidP="00CA2C90">
            <w:pPr>
              <w:spacing w:before="0" w:line="240" w:lineRule="auto"/>
              <w:jc w:val="left"/>
              <w:rPr>
                <w:rFonts w:asciiTheme="minorHAnsi" w:hAnsiTheme="minorHAnsi"/>
                <w:b/>
                <w:bCs/>
                <w:color w:val="000000"/>
                <w:sz w:val="20"/>
                <w:lang w:eastAsia="en-GB"/>
              </w:rPr>
            </w:pPr>
          </w:p>
        </w:tc>
        <w:tc>
          <w:tcPr>
            <w:tcW w:w="1620" w:type="dxa"/>
            <w:tcBorders>
              <w:top w:val="nil"/>
              <w:left w:val="nil"/>
              <w:bottom w:val="single" w:sz="4" w:space="0" w:color="auto"/>
              <w:right w:val="nil"/>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Inclusive Centre</w:t>
            </w:r>
          </w:p>
        </w:tc>
        <w:tc>
          <w:tcPr>
            <w:tcW w:w="1680" w:type="dxa"/>
            <w:tcBorders>
              <w:top w:val="nil"/>
              <w:left w:val="nil"/>
              <w:bottom w:val="single" w:sz="4" w:space="0" w:color="auto"/>
              <w:right w:val="nil"/>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Competitive NW</w:t>
            </w:r>
          </w:p>
        </w:tc>
        <w:tc>
          <w:tcPr>
            <w:tcW w:w="1226" w:type="dxa"/>
            <w:tcBorders>
              <w:top w:val="nil"/>
              <w:left w:val="nil"/>
              <w:bottom w:val="single" w:sz="4" w:space="0" w:color="auto"/>
              <w:right w:val="nil"/>
            </w:tcBorders>
            <w:shd w:val="clear" w:color="auto" w:fill="auto"/>
            <w:noWrap/>
            <w:vAlign w:val="bottom"/>
            <w:hideMark/>
          </w:tcPr>
          <w:p w:rsidR="00CA2C90" w:rsidRPr="00493199" w:rsidRDefault="00DF3931" w:rsidP="00CA2C90">
            <w:pPr>
              <w:spacing w:before="0" w:line="240" w:lineRule="auto"/>
              <w:jc w:val="left"/>
              <w:rPr>
                <w:rFonts w:asciiTheme="minorHAnsi" w:hAnsiTheme="minorHAnsi"/>
                <w:b/>
                <w:bCs/>
                <w:color w:val="000000"/>
                <w:sz w:val="20"/>
                <w:lang w:eastAsia="en-GB"/>
              </w:rPr>
            </w:pPr>
            <w:r>
              <w:rPr>
                <w:rFonts w:asciiTheme="minorHAnsi" w:hAnsiTheme="minorHAnsi"/>
                <w:b/>
                <w:bCs/>
                <w:color w:val="000000"/>
                <w:sz w:val="20"/>
                <w:lang w:eastAsia="en-GB"/>
              </w:rPr>
              <w:t>Dispa</w:t>
            </w:r>
            <w:r w:rsidR="00CA2C90" w:rsidRPr="00493199">
              <w:rPr>
                <w:rFonts w:asciiTheme="minorHAnsi" w:hAnsiTheme="minorHAnsi"/>
                <w:b/>
                <w:bCs/>
                <w:color w:val="000000"/>
                <w:sz w:val="20"/>
                <w:lang w:eastAsia="en-GB"/>
              </w:rPr>
              <w:t>rate E.</w:t>
            </w:r>
          </w:p>
        </w:tc>
        <w:tc>
          <w:tcPr>
            <w:tcW w:w="1214" w:type="dxa"/>
            <w:tcBorders>
              <w:top w:val="nil"/>
              <w:left w:val="nil"/>
              <w:bottom w:val="single" w:sz="4" w:space="0" w:color="auto"/>
              <w:right w:val="single" w:sz="4" w:space="0" w:color="auto"/>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Med. Crisis</w:t>
            </w:r>
          </w:p>
        </w:tc>
      </w:tr>
      <w:tr w:rsidR="00CA2C90" w:rsidRPr="00493199" w:rsidTr="00493199">
        <w:trPr>
          <w:trHeight w:val="227"/>
        </w:trPr>
        <w:tc>
          <w:tcPr>
            <w:tcW w:w="1240" w:type="dxa"/>
            <w:vMerge w:val="restart"/>
            <w:tcBorders>
              <w:top w:val="nil"/>
              <w:left w:val="single" w:sz="4" w:space="0" w:color="auto"/>
              <w:bottom w:val="single" w:sz="4" w:space="0" w:color="000000"/>
              <w:right w:val="single" w:sz="4" w:space="0" w:color="auto"/>
            </w:tcBorders>
            <w:shd w:val="clear" w:color="auto" w:fill="auto"/>
            <w:vAlign w:val="center"/>
            <w:hideMark/>
          </w:tcPr>
          <w:p w:rsidR="00CA2C90" w:rsidRPr="00493199" w:rsidRDefault="00CA2C90" w:rsidP="00CA2C90">
            <w:pPr>
              <w:spacing w:before="0" w:line="240" w:lineRule="auto"/>
              <w:jc w:val="center"/>
              <w:rPr>
                <w:rFonts w:asciiTheme="minorHAnsi" w:hAnsiTheme="minorHAnsi"/>
                <w:b/>
                <w:bCs/>
                <w:color w:val="000000"/>
                <w:sz w:val="20"/>
                <w:lang w:eastAsia="en-GB"/>
              </w:rPr>
            </w:pPr>
            <w:r w:rsidRPr="00493199">
              <w:rPr>
                <w:rFonts w:asciiTheme="minorHAnsi" w:hAnsiTheme="minorHAnsi"/>
                <w:b/>
                <w:bCs/>
                <w:color w:val="000000"/>
                <w:sz w:val="20"/>
                <w:lang w:eastAsia="en-GB"/>
              </w:rPr>
              <w:t>Agglom-eration</w:t>
            </w:r>
          </w:p>
        </w:tc>
        <w:tc>
          <w:tcPr>
            <w:tcW w:w="1620"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Density</w:t>
            </w:r>
          </w:p>
        </w:tc>
        <w:tc>
          <w:tcPr>
            <w:tcW w:w="1620"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0.226 </w:t>
            </w:r>
          </w:p>
        </w:tc>
        <w:tc>
          <w:tcPr>
            <w:tcW w:w="1680"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0.294 </w:t>
            </w:r>
          </w:p>
        </w:tc>
        <w:tc>
          <w:tcPr>
            <w:tcW w:w="1226"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-0.297 </w:t>
            </w:r>
          </w:p>
        </w:tc>
        <w:tc>
          <w:tcPr>
            <w:tcW w:w="1214" w:type="dxa"/>
            <w:tcBorders>
              <w:top w:val="nil"/>
              <w:left w:val="nil"/>
              <w:bottom w:val="nil"/>
              <w:right w:val="single" w:sz="4" w:space="0" w:color="auto"/>
            </w:tcBorders>
            <w:shd w:val="clear" w:color="000000" w:fill="BFBFBF"/>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-0.065 </w:t>
            </w:r>
          </w:p>
        </w:tc>
      </w:tr>
      <w:tr w:rsidR="00CA2C90" w:rsidRPr="00493199" w:rsidTr="00493199">
        <w:trPr>
          <w:trHeight w:val="227"/>
        </w:trPr>
        <w:tc>
          <w:tcPr>
            <w:tcW w:w="1240" w:type="dxa"/>
            <w:vMerge/>
            <w:tcBorders>
              <w:top w:val="nil"/>
              <w:left w:val="single" w:sz="4" w:space="0" w:color="auto"/>
              <w:bottom w:val="single" w:sz="4" w:space="0" w:color="000000"/>
              <w:right w:val="single" w:sz="4" w:space="0" w:color="auto"/>
            </w:tcBorders>
            <w:vAlign w:val="center"/>
            <w:hideMark/>
          </w:tcPr>
          <w:p w:rsidR="00CA2C90" w:rsidRPr="00493199" w:rsidRDefault="00CA2C90" w:rsidP="00CA2C90">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Access MM</w:t>
            </w:r>
          </w:p>
        </w:tc>
        <w:tc>
          <w:tcPr>
            <w:tcW w:w="1620" w:type="dxa"/>
            <w:tcBorders>
              <w:top w:val="nil"/>
              <w:left w:val="nil"/>
              <w:bottom w:val="nil"/>
              <w:right w:val="nil"/>
            </w:tcBorders>
            <w:shd w:val="clear" w:color="000000" w:fill="BFBFBF"/>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-0.078 </w:t>
            </w:r>
          </w:p>
        </w:tc>
        <w:tc>
          <w:tcPr>
            <w:tcW w:w="1680" w:type="dxa"/>
            <w:tcBorders>
              <w:top w:val="nil"/>
              <w:left w:val="nil"/>
              <w:bottom w:val="nil"/>
              <w:right w:val="nil"/>
            </w:tcBorders>
            <w:shd w:val="clear" w:color="000000" w:fill="BFBFBF"/>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0.056 </w:t>
            </w:r>
          </w:p>
        </w:tc>
        <w:tc>
          <w:tcPr>
            <w:tcW w:w="1226"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b/>
                <w:bCs/>
                <w:color w:val="000000"/>
                <w:sz w:val="20"/>
                <w:lang w:eastAsia="en-GB"/>
              </w:rPr>
            </w:pPr>
            <w:r w:rsidRPr="00493199">
              <w:rPr>
                <w:rFonts w:asciiTheme="minorHAnsi" w:hAnsiTheme="minorHAnsi"/>
                <w:b/>
                <w:bCs/>
                <w:color w:val="000000"/>
                <w:sz w:val="20"/>
                <w:lang w:eastAsia="en-GB"/>
              </w:rPr>
              <w:t xml:space="preserve">-0.613 </w:t>
            </w:r>
          </w:p>
        </w:tc>
        <w:tc>
          <w:tcPr>
            <w:tcW w:w="1214"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b/>
                <w:bCs/>
                <w:color w:val="000000"/>
                <w:sz w:val="20"/>
                <w:lang w:eastAsia="en-GB"/>
              </w:rPr>
            </w:pPr>
            <w:r w:rsidRPr="00493199">
              <w:rPr>
                <w:rFonts w:asciiTheme="minorHAnsi" w:hAnsiTheme="minorHAnsi"/>
                <w:b/>
                <w:bCs/>
                <w:color w:val="000000"/>
                <w:sz w:val="20"/>
                <w:lang w:eastAsia="en-GB"/>
              </w:rPr>
              <w:t xml:space="preserve">-0.562 </w:t>
            </w:r>
          </w:p>
        </w:tc>
      </w:tr>
      <w:tr w:rsidR="00CA2C90" w:rsidRPr="00493199" w:rsidTr="00493199">
        <w:trPr>
          <w:trHeight w:val="227"/>
        </w:trPr>
        <w:tc>
          <w:tcPr>
            <w:tcW w:w="1240" w:type="dxa"/>
            <w:vMerge/>
            <w:tcBorders>
              <w:top w:val="nil"/>
              <w:left w:val="single" w:sz="4" w:space="0" w:color="auto"/>
              <w:bottom w:val="single" w:sz="4" w:space="0" w:color="000000"/>
              <w:right w:val="single" w:sz="4" w:space="0" w:color="auto"/>
            </w:tcBorders>
            <w:vAlign w:val="center"/>
            <w:hideMark/>
          </w:tcPr>
          <w:p w:rsidR="00CA2C90" w:rsidRPr="00493199" w:rsidRDefault="00CA2C90" w:rsidP="00CA2C90">
            <w:pPr>
              <w:spacing w:before="0" w:line="240" w:lineRule="auto"/>
              <w:jc w:val="left"/>
              <w:rPr>
                <w:rFonts w:asciiTheme="minorHAnsi" w:hAnsiTheme="minorHAnsi"/>
                <w:b/>
                <w:bCs/>
                <w:color w:val="000000"/>
                <w:sz w:val="20"/>
                <w:lang w:eastAsia="en-GB"/>
              </w:rPr>
            </w:pPr>
          </w:p>
        </w:tc>
        <w:tc>
          <w:tcPr>
            <w:tcW w:w="1620" w:type="dxa"/>
            <w:tcBorders>
              <w:top w:val="nil"/>
              <w:left w:val="nil"/>
              <w:bottom w:val="single" w:sz="4" w:space="0" w:color="auto"/>
              <w:right w:val="single" w:sz="4" w:space="0" w:color="auto"/>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Access RD</w:t>
            </w:r>
          </w:p>
        </w:tc>
        <w:tc>
          <w:tcPr>
            <w:tcW w:w="1620" w:type="dxa"/>
            <w:tcBorders>
              <w:top w:val="nil"/>
              <w:left w:val="nil"/>
              <w:bottom w:val="single" w:sz="4" w:space="0" w:color="auto"/>
              <w:right w:val="nil"/>
            </w:tcBorders>
            <w:shd w:val="clear" w:color="000000" w:fill="BFBFBF"/>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0.062 </w:t>
            </w:r>
          </w:p>
        </w:tc>
        <w:tc>
          <w:tcPr>
            <w:tcW w:w="1680" w:type="dxa"/>
            <w:tcBorders>
              <w:top w:val="nil"/>
              <w:left w:val="nil"/>
              <w:bottom w:val="single" w:sz="4" w:space="0" w:color="auto"/>
              <w:right w:val="nil"/>
            </w:tcBorders>
            <w:shd w:val="clear" w:color="000000" w:fill="BFBFBF"/>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-0.121 </w:t>
            </w:r>
          </w:p>
        </w:tc>
        <w:tc>
          <w:tcPr>
            <w:tcW w:w="1226" w:type="dxa"/>
            <w:tcBorders>
              <w:top w:val="nil"/>
              <w:left w:val="nil"/>
              <w:bottom w:val="single" w:sz="4" w:space="0" w:color="auto"/>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b/>
                <w:bCs/>
                <w:color w:val="000000"/>
                <w:sz w:val="20"/>
                <w:lang w:eastAsia="en-GB"/>
              </w:rPr>
            </w:pPr>
            <w:r w:rsidRPr="00493199">
              <w:rPr>
                <w:rFonts w:asciiTheme="minorHAnsi" w:hAnsiTheme="minorHAnsi"/>
                <w:b/>
                <w:bCs/>
                <w:color w:val="000000"/>
                <w:sz w:val="20"/>
                <w:lang w:eastAsia="en-GB"/>
              </w:rPr>
              <w:t xml:space="preserve">-0.704 </w:t>
            </w:r>
          </w:p>
        </w:tc>
        <w:tc>
          <w:tcPr>
            <w:tcW w:w="1214" w:type="dxa"/>
            <w:tcBorders>
              <w:top w:val="nil"/>
              <w:left w:val="nil"/>
              <w:bottom w:val="single" w:sz="4" w:space="0" w:color="auto"/>
              <w:right w:val="single" w:sz="4" w:space="0" w:color="auto"/>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b/>
                <w:bCs/>
                <w:color w:val="000000"/>
                <w:sz w:val="20"/>
                <w:lang w:eastAsia="en-GB"/>
              </w:rPr>
            </w:pPr>
            <w:r w:rsidRPr="00493199">
              <w:rPr>
                <w:rFonts w:asciiTheme="minorHAnsi" w:hAnsiTheme="minorHAnsi"/>
                <w:b/>
                <w:bCs/>
                <w:color w:val="000000"/>
                <w:sz w:val="20"/>
                <w:lang w:eastAsia="en-GB"/>
              </w:rPr>
              <w:t xml:space="preserve">-0.671 </w:t>
            </w:r>
          </w:p>
        </w:tc>
      </w:tr>
      <w:tr w:rsidR="00CA2C90" w:rsidRPr="00493199" w:rsidTr="00493199">
        <w:trPr>
          <w:trHeight w:val="227"/>
        </w:trPr>
        <w:tc>
          <w:tcPr>
            <w:tcW w:w="1240" w:type="dxa"/>
            <w:tcBorders>
              <w:top w:val="nil"/>
              <w:left w:val="single" w:sz="4" w:space="0" w:color="auto"/>
              <w:bottom w:val="single" w:sz="4" w:space="0" w:color="auto"/>
              <w:right w:val="single" w:sz="4" w:space="0" w:color="auto"/>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Productivity</w:t>
            </w:r>
          </w:p>
        </w:tc>
        <w:tc>
          <w:tcPr>
            <w:tcW w:w="1620" w:type="dxa"/>
            <w:tcBorders>
              <w:top w:val="nil"/>
              <w:left w:val="nil"/>
              <w:bottom w:val="single" w:sz="4" w:space="0" w:color="auto"/>
              <w:right w:val="single" w:sz="4" w:space="0" w:color="auto"/>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GDP PPS HAB</w:t>
            </w:r>
          </w:p>
        </w:tc>
        <w:tc>
          <w:tcPr>
            <w:tcW w:w="1620" w:type="dxa"/>
            <w:tcBorders>
              <w:top w:val="nil"/>
              <w:left w:val="nil"/>
              <w:bottom w:val="single" w:sz="4" w:space="0" w:color="auto"/>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-0.111 </w:t>
            </w:r>
          </w:p>
        </w:tc>
        <w:tc>
          <w:tcPr>
            <w:tcW w:w="1680" w:type="dxa"/>
            <w:tcBorders>
              <w:top w:val="nil"/>
              <w:left w:val="nil"/>
              <w:bottom w:val="single" w:sz="4" w:space="0" w:color="auto"/>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-0.190 </w:t>
            </w:r>
          </w:p>
        </w:tc>
        <w:tc>
          <w:tcPr>
            <w:tcW w:w="1226" w:type="dxa"/>
            <w:tcBorders>
              <w:top w:val="single" w:sz="4" w:space="0" w:color="auto"/>
              <w:left w:val="nil"/>
              <w:bottom w:val="single" w:sz="4" w:space="0" w:color="auto"/>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b/>
                <w:bCs/>
                <w:color w:val="000000"/>
                <w:sz w:val="20"/>
                <w:lang w:eastAsia="en-GB"/>
              </w:rPr>
            </w:pPr>
            <w:r w:rsidRPr="00493199">
              <w:rPr>
                <w:rFonts w:asciiTheme="minorHAnsi" w:hAnsiTheme="minorHAnsi"/>
                <w:b/>
                <w:bCs/>
                <w:color w:val="000000"/>
                <w:sz w:val="20"/>
                <w:lang w:eastAsia="en-GB"/>
              </w:rPr>
              <w:t xml:space="preserve">-0.578 </w:t>
            </w:r>
          </w:p>
        </w:tc>
        <w:tc>
          <w:tcPr>
            <w:tcW w:w="1214" w:type="dxa"/>
            <w:tcBorders>
              <w:top w:val="single" w:sz="4" w:space="0" w:color="auto"/>
              <w:left w:val="nil"/>
              <w:bottom w:val="single" w:sz="4" w:space="0" w:color="auto"/>
              <w:right w:val="single" w:sz="4" w:space="0" w:color="auto"/>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b/>
                <w:bCs/>
                <w:color w:val="000000"/>
                <w:sz w:val="20"/>
                <w:lang w:eastAsia="en-GB"/>
              </w:rPr>
            </w:pPr>
            <w:r w:rsidRPr="00493199">
              <w:rPr>
                <w:rFonts w:asciiTheme="minorHAnsi" w:hAnsiTheme="minorHAnsi"/>
                <w:b/>
                <w:bCs/>
                <w:color w:val="000000"/>
                <w:sz w:val="20"/>
                <w:lang w:eastAsia="en-GB"/>
              </w:rPr>
              <w:t xml:space="preserve">-0.637 </w:t>
            </w:r>
          </w:p>
        </w:tc>
      </w:tr>
      <w:tr w:rsidR="00CA2C90" w:rsidRPr="00493199" w:rsidTr="00493199">
        <w:trPr>
          <w:trHeight w:val="227"/>
        </w:trPr>
        <w:tc>
          <w:tcPr>
            <w:tcW w:w="1240" w:type="dxa"/>
            <w:vMerge w:val="restart"/>
            <w:tcBorders>
              <w:top w:val="nil"/>
              <w:left w:val="single" w:sz="4" w:space="0" w:color="auto"/>
              <w:bottom w:val="single" w:sz="4" w:space="0" w:color="000000"/>
              <w:right w:val="single" w:sz="4" w:space="0" w:color="auto"/>
            </w:tcBorders>
            <w:shd w:val="clear" w:color="auto" w:fill="auto"/>
            <w:vAlign w:val="center"/>
            <w:hideMark/>
          </w:tcPr>
          <w:p w:rsidR="00CA2C90" w:rsidRPr="00493199" w:rsidRDefault="00CA2C90" w:rsidP="00CA2C90">
            <w:pPr>
              <w:spacing w:before="0" w:line="240" w:lineRule="auto"/>
              <w:jc w:val="center"/>
              <w:rPr>
                <w:rFonts w:asciiTheme="minorHAnsi" w:hAnsiTheme="minorHAnsi"/>
                <w:b/>
                <w:bCs/>
                <w:color w:val="000000"/>
                <w:sz w:val="20"/>
                <w:lang w:eastAsia="en-GB"/>
              </w:rPr>
            </w:pPr>
            <w:r w:rsidRPr="00493199">
              <w:rPr>
                <w:rFonts w:asciiTheme="minorHAnsi" w:hAnsiTheme="minorHAnsi"/>
                <w:b/>
                <w:bCs/>
                <w:color w:val="000000"/>
                <w:sz w:val="20"/>
                <w:lang w:eastAsia="en-GB"/>
              </w:rPr>
              <w:t>Labour Market</w:t>
            </w:r>
          </w:p>
        </w:tc>
        <w:tc>
          <w:tcPr>
            <w:tcW w:w="1620"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Unemp(Reg)</w:t>
            </w:r>
          </w:p>
        </w:tc>
        <w:tc>
          <w:tcPr>
            <w:tcW w:w="1620" w:type="dxa"/>
            <w:tcBorders>
              <w:top w:val="nil"/>
              <w:left w:val="single" w:sz="4" w:space="0" w:color="auto"/>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b/>
                <w:bCs/>
                <w:color w:val="000000"/>
                <w:sz w:val="20"/>
                <w:lang w:eastAsia="en-GB"/>
              </w:rPr>
            </w:pPr>
            <w:r w:rsidRPr="00493199">
              <w:rPr>
                <w:rFonts w:asciiTheme="minorHAnsi" w:hAnsiTheme="minorHAnsi"/>
                <w:b/>
                <w:bCs/>
                <w:color w:val="000000"/>
                <w:sz w:val="20"/>
                <w:lang w:eastAsia="en-GB"/>
              </w:rPr>
              <w:t xml:space="preserve">0.593 </w:t>
            </w:r>
          </w:p>
        </w:tc>
        <w:tc>
          <w:tcPr>
            <w:tcW w:w="1680"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b/>
                <w:bCs/>
                <w:color w:val="000000"/>
                <w:sz w:val="20"/>
                <w:lang w:eastAsia="en-GB"/>
              </w:rPr>
            </w:pPr>
            <w:r w:rsidRPr="00493199">
              <w:rPr>
                <w:rFonts w:asciiTheme="minorHAnsi" w:hAnsiTheme="minorHAnsi"/>
                <w:b/>
                <w:bCs/>
                <w:color w:val="000000"/>
                <w:sz w:val="20"/>
                <w:lang w:eastAsia="en-GB"/>
              </w:rPr>
              <w:t xml:space="preserve">0.587 </w:t>
            </w:r>
          </w:p>
        </w:tc>
        <w:tc>
          <w:tcPr>
            <w:tcW w:w="1226" w:type="dxa"/>
            <w:tcBorders>
              <w:top w:val="nil"/>
              <w:left w:val="nil"/>
              <w:bottom w:val="nil"/>
              <w:right w:val="nil"/>
            </w:tcBorders>
            <w:shd w:val="clear" w:color="000000" w:fill="BFBFBF"/>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0.051 </w:t>
            </w:r>
          </w:p>
        </w:tc>
        <w:tc>
          <w:tcPr>
            <w:tcW w:w="1214"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b/>
                <w:bCs/>
                <w:color w:val="000000"/>
                <w:sz w:val="20"/>
                <w:lang w:eastAsia="en-GB"/>
              </w:rPr>
            </w:pPr>
            <w:r w:rsidRPr="00493199">
              <w:rPr>
                <w:rFonts w:asciiTheme="minorHAnsi" w:hAnsiTheme="minorHAnsi"/>
                <w:b/>
                <w:bCs/>
                <w:color w:val="000000"/>
                <w:sz w:val="20"/>
                <w:lang w:eastAsia="en-GB"/>
              </w:rPr>
              <w:t xml:space="preserve">0.637 </w:t>
            </w:r>
          </w:p>
        </w:tc>
      </w:tr>
      <w:tr w:rsidR="00CA2C90" w:rsidRPr="00493199" w:rsidTr="00493199">
        <w:trPr>
          <w:trHeight w:val="227"/>
        </w:trPr>
        <w:tc>
          <w:tcPr>
            <w:tcW w:w="1240" w:type="dxa"/>
            <w:vMerge/>
            <w:tcBorders>
              <w:top w:val="nil"/>
              <w:left w:val="single" w:sz="4" w:space="0" w:color="auto"/>
              <w:bottom w:val="single" w:sz="4" w:space="0" w:color="000000"/>
              <w:right w:val="single" w:sz="4" w:space="0" w:color="auto"/>
            </w:tcBorders>
            <w:vAlign w:val="center"/>
            <w:hideMark/>
          </w:tcPr>
          <w:p w:rsidR="00CA2C90" w:rsidRPr="00493199" w:rsidRDefault="00CA2C90" w:rsidP="00CA2C90">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Unemp(Cen)</w:t>
            </w:r>
          </w:p>
        </w:tc>
        <w:tc>
          <w:tcPr>
            <w:tcW w:w="1620" w:type="dxa"/>
            <w:tcBorders>
              <w:top w:val="nil"/>
              <w:left w:val="single" w:sz="4" w:space="0" w:color="auto"/>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b/>
                <w:bCs/>
                <w:color w:val="000000"/>
                <w:sz w:val="20"/>
                <w:lang w:eastAsia="en-GB"/>
              </w:rPr>
            </w:pPr>
            <w:r w:rsidRPr="00493199">
              <w:rPr>
                <w:rFonts w:asciiTheme="minorHAnsi" w:hAnsiTheme="minorHAnsi"/>
                <w:b/>
                <w:bCs/>
                <w:color w:val="000000"/>
                <w:sz w:val="20"/>
                <w:lang w:eastAsia="en-GB"/>
              </w:rPr>
              <w:t xml:space="preserve">0.624 </w:t>
            </w:r>
          </w:p>
        </w:tc>
        <w:tc>
          <w:tcPr>
            <w:tcW w:w="1680"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0.223 </w:t>
            </w:r>
          </w:p>
        </w:tc>
        <w:tc>
          <w:tcPr>
            <w:tcW w:w="1226" w:type="dxa"/>
            <w:tcBorders>
              <w:top w:val="nil"/>
              <w:left w:val="nil"/>
              <w:bottom w:val="nil"/>
              <w:right w:val="nil"/>
            </w:tcBorders>
            <w:shd w:val="clear" w:color="000000" w:fill="BFBFBF"/>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0.043 </w:t>
            </w:r>
          </w:p>
        </w:tc>
        <w:tc>
          <w:tcPr>
            <w:tcW w:w="1214"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b/>
                <w:bCs/>
                <w:color w:val="000000"/>
                <w:sz w:val="20"/>
                <w:lang w:eastAsia="en-GB"/>
              </w:rPr>
            </w:pPr>
            <w:r w:rsidRPr="00493199">
              <w:rPr>
                <w:rFonts w:asciiTheme="minorHAnsi" w:hAnsiTheme="minorHAnsi"/>
                <w:b/>
                <w:bCs/>
                <w:color w:val="000000"/>
                <w:sz w:val="20"/>
                <w:lang w:eastAsia="en-GB"/>
              </w:rPr>
              <w:t xml:space="preserve">0.638 </w:t>
            </w:r>
          </w:p>
        </w:tc>
      </w:tr>
      <w:tr w:rsidR="00CA2C90" w:rsidRPr="00493199" w:rsidTr="00493199">
        <w:trPr>
          <w:trHeight w:val="227"/>
        </w:trPr>
        <w:tc>
          <w:tcPr>
            <w:tcW w:w="1240" w:type="dxa"/>
            <w:vMerge/>
            <w:tcBorders>
              <w:top w:val="nil"/>
              <w:left w:val="single" w:sz="4" w:space="0" w:color="auto"/>
              <w:bottom w:val="single" w:sz="4" w:space="0" w:color="000000"/>
              <w:right w:val="single" w:sz="4" w:space="0" w:color="auto"/>
            </w:tcBorders>
            <w:vAlign w:val="center"/>
            <w:hideMark/>
          </w:tcPr>
          <w:p w:rsidR="00CA2C90" w:rsidRPr="00493199" w:rsidRDefault="00CA2C90" w:rsidP="00CA2C90">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Yunemp(Reg)</w:t>
            </w:r>
          </w:p>
        </w:tc>
        <w:tc>
          <w:tcPr>
            <w:tcW w:w="1620"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0.462 </w:t>
            </w:r>
          </w:p>
        </w:tc>
        <w:tc>
          <w:tcPr>
            <w:tcW w:w="1680"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0.500 </w:t>
            </w:r>
          </w:p>
        </w:tc>
        <w:tc>
          <w:tcPr>
            <w:tcW w:w="1226" w:type="dxa"/>
            <w:tcBorders>
              <w:top w:val="nil"/>
              <w:left w:val="nil"/>
              <w:bottom w:val="nil"/>
              <w:right w:val="nil"/>
            </w:tcBorders>
            <w:shd w:val="clear" w:color="000000" w:fill="BFBFBF"/>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0.075 </w:t>
            </w:r>
          </w:p>
        </w:tc>
        <w:tc>
          <w:tcPr>
            <w:tcW w:w="1214"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b/>
                <w:bCs/>
                <w:color w:val="000000"/>
                <w:sz w:val="20"/>
                <w:lang w:eastAsia="en-GB"/>
              </w:rPr>
            </w:pPr>
            <w:r w:rsidRPr="00493199">
              <w:rPr>
                <w:rFonts w:asciiTheme="minorHAnsi" w:hAnsiTheme="minorHAnsi"/>
                <w:b/>
                <w:bCs/>
                <w:color w:val="000000"/>
                <w:sz w:val="20"/>
                <w:lang w:eastAsia="en-GB"/>
              </w:rPr>
              <w:t xml:space="preserve">0.590 </w:t>
            </w:r>
          </w:p>
        </w:tc>
      </w:tr>
      <w:tr w:rsidR="00CA2C90" w:rsidRPr="00493199" w:rsidTr="00493199">
        <w:trPr>
          <w:trHeight w:val="227"/>
        </w:trPr>
        <w:tc>
          <w:tcPr>
            <w:tcW w:w="1240" w:type="dxa"/>
            <w:vMerge/>
            <w:tcBorders>
              <w:top w:val="nil"/>
              <w:left w:val="single" w:sz="4" w:space="0" w:color="auto"/>
              <w:bottom w:val="single" w:sz="4" w:space="0" w:color="000000"/>
              <w:right w:val="single" w:sz="4" w:space="0" w:color="auto"/>
            </w:tcBorders>
            <w:vAlign w:val="center"/>
            <w:hideMark/>
          </w:tcPr>
          <w:p w:rsidR="00CA2C90" w:rsidRPr="00493199" w:rsidRDefault="00CA2C90" w:rsidP="00CA2C90">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Yunemp(Cen)</w:t>
            </w:r>
          </w:p>
        </w:tc>
        <w:tc>
          <w:tcPr>
            <w:tcW w:w="1620"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0.435 </w:t>
            </w:r>
          </w:p>
        </w:tc>
        <w:tc>
          <w:tcPr>
            <w:tcW w:w="1680"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0.320 </w:t>
            </w:r>
          </w:p>
        </w:tc>
        <w:tc>
          <w:tcPr>
            <w:tcW w:w="1226"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0.323 </w:t>
            </w:r>
          </w:p>
        </w:tc>
        <w:tc>
          <w:tcPr>
            <w:tcW w:w="1214"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0.409 </w:t>
            </w:r>
          </w:p>
        </w:tc>
      </w:tr>
      <w:tr w:rsidR="00CA2C90" w:rsidRPr="00493199" w:rsidTr="00493199">
        <w:trPr>
          <w:trHeight w:val="227"/>
        </w:trPr>
        <w:tc>
          <w:tcPr>
            <w:tcW w:w="1240" w:type="dxa"/>
            <w:vMerge/>
            <w:tcBorders>
              <w:top w:val="nil"/>
              <w:left w:val="single" w:sz="4" w:space="0" w:color="auto"/>
              <w:bottom w:val="single" w:sz="4" w:space="0" w:color="000000"/>
              <w:right w:val="single" w:sz="4" w:space="0" w:color="auto"/>
            </w:tcBorders>
            <w:vAlign w:val="center"/>
            <w:hideMark/>
          </w:tcPr>
          <w:p w:rsidR="00CA2C90" w:rsidRPr="00493199" w:rsidRDefault="00CA2C90" w:rsidP="00CA2C90">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LTUnemp(Reg)</w:t>
            </w:r>
          </w:p>
        </w:tc>
        <w:tc>
          <w:tcPr>
            <w:tcW w:w="1620" w:type="dxa"/>
            <w:tcBorders>
              <w:top w:val="nil"/>
              <w:left w:val="single" w:sz="4" w:space="0" w:color="auto"/>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b/>
                <w:bCs/>
                <w:color w:val="000000"/>
                <w:sz w:val="20"/>
                <w:lang w:eastAsia="en-GB"/>
              </w:rPr>
            </w:pPr>
            <w:r w:rsidRPr="00493199">
              <w:rPr>
                <w:rFonts w:asciiTheme="minorHAnsi" w:hAnsiTheme="minorHAnsi"/>
                <w:b/>
                <w:bCs/>
                <w:color w:val="000000"/>
                <w:sz w:val="20"/>
                <w:lang w:eastAsia="en-GB"/>
              </w:rPr>
              <w:t xml:space="preserve">0.613 </w:t>
            </w:r>
          </w:p>
        </w:tc>
        <w:tc>
          <w:tcPr>
            <w:tcW w:w="1680"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0.373 </w:t>
            </w:r>
          </w:p>
        </w:tc>
        <w:tc>
          <w:tcPr>
            <w:tcW w:w="1226" w:type="dxa"/>
            <w:tcBorders>
              <w:top w:val="nil"/>
              <w:left w:val="nil"/>
              <w:bottom w:val="nil"/>
              <w:right w:val="nil"/>
            </w:tcBorders>
            <w:shd w:val="clear" w:color="000000" w:fill="BFBFBF"/>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0.109 </w:t>
            </w:r>
          </w:p>
        </w:tc>
        <w:tc>
          <w:tcPr>
            <w:tcW w:w="1214"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b/>
                <w:bCs/>
                <w:color w:val="000000"/>
                <w:sz w:val="20"/>
                <w:lang w:eastAsia="en-GB"/>
              </w:rPr>
            </w:pPr>
            <w:r w:rsidRPr="00493199">
              <w:rPr>
                <w:rFonts w:asciiTheme="minorHAnsi" w:hAnsiTheme="minorHAnsi"/>
                <w:b/>
                <w:bCs/>
                <w:color w:val="000000"/>
                <w:sz w:val="20"/>
                <w:lang w:eastAsia="en-GB"/>
              </w:rPr>
              <w:t xml:space="preserve">0.597 </w:t>
            </w:r>
          </w:p>
        </w:tc>
      </w:tr>
      <w:tr w:rsidR="00CA2C90" w:rsidRPr="00493199" w:rsidTr="00493199">
        <w:trPr>
          <w:trHeight w:val="227"/>
        </w:trPr>
        <w:tc>
          <w:tcPr>
            <w:tcW w:w="1240" w:type="dxa"/>
            <w:vMerge/>
            <w:tcBorders>
              <w:top w:val="nil"/>
              <w:left w:val="single" w:sz="4" w:space="0" w:color="auto"/>
              <w:bottom w:val="single" w:sz="4" w:space="0" w:color="000000"/>
              <w:right w:val="single" w:sz="4" w:space="0" w:color="auto"/>
            </w:tcBorders>
            <w:vAlign w:val="center"/>
            <w:hideMark/>
          </w:tcPr>
          <w:p w:rsidR="00CA2C90" w:rsidRPr="00493199" w:rsidRDefault="00CA2C90" w:rsidP="00CA2C90">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EARate</w:t>
            </w:r>
          </w:p>
        </w:tc>
        <w:tc>
          <w:tcPr>
            <w:tcW w:w="1620"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-0.290 </w:t>
            </w:r>
          </w:p>
        </w:tc>
        <w:tc>
          <w:tcPr>
            <w:tcW w:w="1680"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-0.136 </w:t>
            </w:r>
          </w:p>
        </w:tc>
        <w:tc>
          <w:tcPr>
            <w:tcW w:w="1226"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-0.202 </w:t>
            </w:r>
          </w:p>
        </w:tc>
        <w:tc>
          <w:tcPr>
            <w:tcW w:w="1214" w:type="dxa"/>
            <w:tcBorders>
              <w:top w:val="nil"/>
              <w:left w:val="nil"/>
              <w:bottom w:val="nil"/>
              <w:right w:val="single" w:sz="4" w:space="0" w:color="auto"/>
            </w:tcBorders>
            <w:shd w:val="clear" w:color="000000" w:fill="BFBFBF"/>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-0.146 </w:t>
            </w:r>
          </w:p>
        </w:tc>
      </w:tr>
      <w:tr w:rsidR="00CA2C90" w:rsidRPr="00493199" w:rsidTr="00493199">
        <w:trPr>
          <w:trHeight w:val="227"/>
        </w:trPr>
        <w:tc>
          <w:tcPr>
            <w:tcW w:w="1240" w:type="dxa"/>
            <w:vMerge/>
            <w:tcBorders>
              <w:top w:val="nil"/>
              <w:left w:val="single" w:sz="4" w:space="0" w:color="auto"/>
              <w:bottom w:val="single" w:sz="4" w:space="0" w:color="000000"/>
              <w:right w:val="single" w:sz="4" w:space="0" w:color="auto"/>
            </w:tcBorders>
            <w:vAlign w:val="center"/>
            <w:hideMark/>
          </w:tcPr>
          <w:p w:rsidR="00CA2C90" w:rsidRPr="00493199" w:rsidRDefault="00CA2C90" w:rsidP="00CA2C90">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 xml:space="preserve">Inactivity </w:t>
            </w:r>
          </w:p>
        </w:tc>
        <w:tc>
          <w:tcPr>
            <w:tcW w:w="1620"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0.411 </w:t>
            </w:r>
          </w:p>
        </w:tc>
        <w:tc>
          <w:tcPr>
            <w:tcW w:w="1680" w:type="dxa"/>
            <w:tcBorders>
              <w:top w:val="nil"/>
              <w:left w:val="nil"/>
              <w:bottom w:val="nil"/>
              <w:right w:val="nil"/>
            </w:tcBorders>
            <w:shd w:val="clear" w:color="000000" w:fill="BFBFBF"/>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-0.031 </w:t>
            </w:r>
          </w:p>
        </w:tc>
        <w:tc>
          <w:tcPr>
            <w:tcW w:w="1226"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0.241 </w:t>
            </w:r>
          </w:p>
        </w:tc>
        <w:tc>
          <w:tcPr>
            <w:tcW w:w="1214" w:type="dxa"/>
            <w:tcBorders>
              <w:top w:val="nil"/>
              <w:left w:val="nil"/>
              <w:bottom w:val="nil"/>
              <w:right w:val="single" w:sz="4" w:space="0" w:color="auto"/>
            </w:tcBorders>
            <w:shd w:val="clear" w:color="000000" w:fill="BFBFBF"/>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0.057 </w:t>
            </w:r>
          </w:p>
        </w:tc>
      </w:tr>
      <w:tr w:rsidR="00CA2C90" w:rsidRPr="00493199" w:rsidTr="00493199">
        <w:trPr>
          <w:trHeight w:val="227"/>
        </w:trPr>
        <w:tc>
          <w:tcPr>
            <w:tcW w:w="1240" w:type="dxa"/>
            <w:vMerge/>
            <w:tcBorders>
              <w:top w:val="nil"/>
              <w:left w:val="single" w:sz="4" w:space="0" w:color="auto"/>
              <w:bottom w:val="single" w:sz="4" w:space="0" w:color="000000"/>
              <w:right w:val="single" w:sz="4" w:space="0" w:color="auto"/>
            </w:tcBorders>
            <w:vAlign w:val="center"/>
            <w:hideMark/>
          </w:tcPr>
          <w:p w:rsidR="00CA2C90" w:rsidRPr="00493199" w:rsidRDefault="00CA2C90" w:rsidP="00CA2C90">
            <w:pPr>
              <w:spacing w:before="0" w:line="240" w:lineRule="auto"/>
              <w:jc w:val="left"/>
              <w:rPr>
                <w:rFonts w:asciiTheme="minorHAnsi" w:hAnsiTheme="minorHAnsi"/>
                <w:b/>
                <w:bCs/>
                <w:color w:val="000000"/>
                <w:sz w:val="20"/>
                <w:lang w:eastAsia="en-GB"/>
              </w:rPr>
            </w:pPr>
          </w:p>
        </w:tc>
        <w:tc>
          <w:tcPr>
            <w:tcW w:w="1620" w:type="dxa"/>
            <w:tcBorders>
              <w:top w:val="nil"/>
              <w:left w:val="nil"/>
              <w:bottom w:val="single" w:sz="4" w:space="0" w:color="auto"/>
              <w:right w:val="single" w:sz="4" w:space="0" w:color="auto"/>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EmpRate</w:t>
            </w:r>
          </w:p>
        </w:tc>
        <w:tc>
          <w:tcPr>
            <w:tcW w:w="1620"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-0.464 </w:t>
            </w:r>
          </w:p>
        </w:tc>
        <w:tc>
          <w:tcPr>
            <w:tcW w:w="1680"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-0.252 </w:t>
            </w:r>
          </w:p>
        </w:tc>
        <w:tc>
          <w:tcPr>
            <w:tcW w:w="1226"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-0.187 </w:t>
            </w:r>
          </w:p>
        </w:tc>
        <w:tc>
          <w:tcPr>
            <w:tcW w:w="1214"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b/>
                <w:bCs/>
                <w:color w:val="000000"/>
                <w:sz w:val="20"/>
                <w:lang w:eastAsia="en-GB"/>
              </w:rPr>
            </w:pPr>
            <w:r w:rsidRPr="00493199">
              <w:rPr>
                <w:rFonts w:asciiTheme="minorHAnsi" w:hAnsiTheme="minorHAnsi"/>
                <w:b/>
                <w:bCs/>
                <w:color w:val="000000"/>
                <w:sz w:val="20"/>
                <w:lang w:eastAsia="en-GB"/>
              </w:rPr>
              <w:t xml:space="preserve">-0.504 </w:t>
            </w:r>
          </w:p>
        </w:tc>
      </w:tr>
      <w:tr w:rsidR="00CA2C90" w:rsidRPr="00493199" w:rsidTr="00493199">
        <w:trPr>
          <w:trHeight w:val="227"/>
        </w:trPr>
        <w:tc>
          <w:tcPr>
            <w:tcW w:w="1240" w:type="dxa"/>
            <w:vMerge w:val="restart"/>
            <w:tcBorders>
              <w:top w:val="nil"/>
              <w:left w:val="single" w:sz="4" w:space="0" w:color="auto"/>
              <w:bottom w:val="single" w:sz="4" w:space="0" w:color="000000"/>
              <w:right w:val="single" w:sz="4" w:space="0" w:color="auto"/>
            </w:tcBorders>
            <w:shd w:val="clear" w:color="auto" w:fill="auto"/>
            <w:vAlign w:val="center"/>
            <w:hideMark/>
          </w:tcPr>
          <w:p w:rsidR="00CA2C90" w:rsidRPr="00493199" w:rsidRDefault="00CA2C90" w:rsidP="00CA2C90">
            <w:pPr>
              <w:spacing w:before="0" w:line="240" w:lineRule="auto"/>
              <w:jc w:val="center"/>
              <w:rPr>
                <w:rFonts w:asciiTheme="minorHAnsi" w:hAnsiTheme="minorHAnsi"/>
                <w:b/>
                <w:bCs/>
                <w:color w:val="000000"/>
                <w:sz w:val="20"/>
                <w:lang w:eastAsia="en-GB"/>
              </w:rPr>
            </w:pPr>
            <w:r w:rsidRPr="00493199">
              <w:rPr>
                <w:rFonts w:asciiTheme="minorHAnsi" w:hAnsiTheme="minorHAnsi"/>
                <w:b/>
                <w:bCs/>
                <w:color w:val="000000"/>
                <w:sz w:val="20"/>
                <w:lang w:eastAsia="en-GB"/>
              </w:rPr>
              <w:t>Sectoral Structure</w:t>
            </w:r>
          </w:p>
        </w:tc>
        <w:tc>
          <w:tcPr>
            <w:tcW w:w="1620"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A</w:t>
            </w:r>
          </w:p>
        </w:tc>
        <w:tc>
          <w:tcPr>
            <w:tcW w:w="1620" w:type="dxa"/>
            <w:tcBorders>
              <w:top w:val="single" w:sz="4" w:space="0" w:color="auto"/>
              <w:left w:val="nil"/>
              <w:bottom w:val="nil"/>
              <w:right w:val="nil"/>
            </w:tcBorders>
            <w:shd w:val="clear" w:color="000000" w:fill="BFBFBF"/>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-0.058 </w:t>
            </w:r>
          </w:p>
        </w:tc>
        <w:tc>
          <w:tcPr>
            <w:tcW w:w="1680" w:type="dxa"/>
            <w:tcBorders>
              <w:top w:val="single" w:sz="4" w:space="0" w:color="auto"/>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-0.263 </w:t>
            </w:r>
          </w:p>
        </w:tc>
        <w:tc>
          <w:tcPr>
            <w:tcW w:w="1226" w:type="dxa"/>
            <w:tcBorders>
              <w:top w:val="single" w:sz="4" w:space="0" w:color="auto"/>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b/>
                <w:bCs/>
                <w:color w:val="000000"/>
                <w:sz w:val="20"/>
                <w:lang w:eastAsia="en-GB"/>
              </w:rPr>
            </w:pPr>
            <w:r w:rsidRPr="00493199">
              <w:rPr>
                <w:rFonts w:asciiTheme="minorHAnsi" w:hAnsiTheme="minorHAnsi"/>
                <w:b/>
                <w:bCs/>
                <w:color w:val="000000"/>
                <w:sz w:val="20"/>
                <w:lang w:eastAsia="en-GB"/>
              </w:rPr>
              <w:t xml:space="preserve">0.725 </w:t>
            </w:r>
          </w:p>
        </w:tc>
        <w:tc>
          <w:tcPr>
            <w:tcW w:w="1214" w:type="dxa"/>
            <w:tcBorders>
              <w:top w:val="single" w:sz="4" w:space="0" w:color="auto"/>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0.274 </w:t>
            </w:r>
          </w:p>
        </w:tc>
      </w:tr>
      <w:tr w:rsidR="00CA2C90" w:rsidRPr="00493199" w:rsidTr="00493199">
        <w:trPr>
          <w:trHeight w:val="227"/>
        </w:trPr>
        <w:tc>
          <w:tcPr>
            <w:tcW w:w="1240" w:type="dxa"/>
            <w:vMerge/>
            <w:tcBorders>
              <w:top w:val="nil"/>
              <w:left w:val="single" w:sz="4" w:space="0" w:color="auto"/>
              <w:bottom w:val="single" w:sz="4" w:space="0" w:color="000000"/>
              <w:right w:val="single" w:sz="4" w:space="0" w:color="auto"/>
            </w:tcBorders>
            <w:vAlign w:val="center"/>
            <w:hideMark/>
          </w:tcPr>
          <w:p w:rsidR="00CA2C90" w:rsidRPr="00493199" w:rsidRDefault="00CA2C90" w:rsidP="00CA2C90">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B-E</w:t>
            </w:r>
          </w:p>
        </w:tc>
        <w:tc>
          <w:tcPr>
            <w:tcW w:w="1620"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-0.226 </w:t>
            </w:r>
          </w:p>
        </w:tc>
        <w:tc>
          <w:tcPr>
            <w:tcW w:w="1680"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-0.167 </w:t>
            </w:r>
          </w:p>
        </w:tc>
        <w:tc>
          <w:tcPr>
            <w:tcW w:w="1226"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-0.317 </w:t>
            </w:r>
          </w:p>
        </w:tc>
        <w:tc>
          <w:tcPr>
            <w:tcW w:w="1214"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-0.445 </w:t>
            </w:r>
          </w:p>
        </w:tc>
      </w:tr>
      <w:tr w:rsidR="00CA2C90" w:rsidRPr="00493199" w:rsidTr="00493199">
        <w:trPr>
          <w:trHeight w:val="227"/>
        </w:trPr>
        <w:tc>
          <w:tcPr>
            <w:tcW w:w="1240" w:type="dxa"/>
            <w:vMerge/>
            <w:tcBorders>
              <w:top w:val="nil"/>
              <w:left w:val="single" w:sz="4" w:space="0" w:color="auto"/>
              <w:bottom w:val="single" w:sz="4" w:space="0" w:color="000000"/>
              <w:right w:val="single" w:sz="4" w:space="0" w:color="auto"/>
            </w:tcBorders>
            <w:vAlign w:val="center"/>
            <w:hideMark/>
          </w:tcPr>
          <w:p w:rsidR="00CA2C90" w:rsidRPr="00493199" w:rsidRDefault="00CA2C90" w:rsidP="00CA2C90">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C</w:t>
            </w:r>
          </w:p>
        </w:tc>
        <w:tc>
          <w:tcPr>
            <w:tcW w:w="1620"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-0.258 </w:t>
            </w:r>
          </w:p>
        </w:tc>
        <w:tc>
          <w:tcPr>
            <w:tcW w:w="1680"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-0.170 </w:t>
            </w:r>
          </w:p>
        </w:tc>
        <w:tc>
          <w:tcPr>
            <w:tcW w:w="1226"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-0.284 </w:t>
            </w:r>
          </w:p>
        </w:tc>
        <w:tc>
          <w:tcPr>
            <w:tcW w:w="1214"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-0.448 </w:t>
            </w:r>
          </w:p>
        </w:tc>
      </w:tr>
      <w:tr w:rsidR="00CA2C90" w:rsidRPr="00493199" w:rsidTr="00493199">
        <w:trPr>
          <w:trHeight w:val="227"/>
        </w:trPr>
        <w:tc>
          <w:tcPr>
            <w:tcW w:w="1240" w:type="dxa"/>
            <w:vMerge/>
            <w:tcBorders>
              <w:top w:val="nil"/>
              <w:left w:val="single" w:sz="4" w:space="0" w:color="auto"/>
              <w:bottom w:val="single" w:sz="4" w:space="0" w:color="000000"/>
              <w:right w:val="single" w:sz="4" w:space="0" w:color="auto"/>
            </w:tcBorders>
            <w:vAlign w:val="center"/>
            <w:hideMark/>
          </w:tcPr>
          <w:p w:rsidR="00CA2C90" w:rsidRPr="00493199" w:rsidRDefault="00CA2C90" w:rsidP="00CA2C90">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F</w:t>
            </w:r>
          </w:p>
        </w:tc>
        <w:tc>
          <w:tcPr>
            <w:tcW w:w="1620" w:type="dxa"/>
            <w:tcBorders>
              <w:top w:val="nil"/>
              <w:left w:val="nil"/>
              <w:bottom w:val="nil"/>
              <w:right w:val="nil"/>
            </w:tcBorders>
            <w:shd w:val="clear" w:color="000000" w:fill="BFBFBF"/>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-0.033 </w:t>
            </w:r>
          </w:p>
        </w:tc>
        <w:tc>
          <w:tcPr>
            <w:tcW w:w="1680" w:type="dxa"/>
            <w:tcBorders>
              <w:top w:val="nil"/>
              <w:left w:val="nil"/>
              <w:bottom w:val="nil"/>
              <w:right w:val="nil"/>
            </w:tcBorders>
            <w:shd w:val="clear" w:color="000000" w:fill="BFBFBF"/>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-0.011 </w:t>
            </w:r>
          </w:p>
        </w:tc>
        <w:tc>
          <w:tcPr>
            <w:tcW w:w="1226"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-0.406 </w:t>
            </w:r>
          </w:p>
        </w:tc>
        <w:tc>
          <w:tcPr>
            <w:tcW w:w="1214"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0.270 </w:t>
            </w:r>
          </w:p>
        </w:tc>
      </w:tr>
      <w:tr w:rsidR="00CA2C90" w:rsidRPr="00493199" w:rsidTr="00493199">
        <w:trPr>
          <w:trHeight w:val="227"/>
        </w:trPr>
        <w:tc>
          <w:tcPr>
            <w:tcW w:w="1240" w:type="dxa"/>
            <w:vMerge/>
            <w:tcBorders>
              <w:top w:val="nil"/>
              <w:left w:val="single" w:sz="4" w:space="0" w:color="auto"/>
              <w:bottom w:val="single" w:sz="4" w:space="0" w:color="000000"/>
              <w:right w:val="single" w:sz="4" w:space="0" w:color="auto"/>
            </w:tcBorders>
            <w:vAlign w:val="center"/>
            <w:hideMark/>
          </w:tcPr>
          <w:p w:rsidR="00CA2C90" w:rsidRPr="00493199" w:rsidRDefault="00CA2C90" w:rsidP="00CA2C90">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G-J</w:t>
            </w:r>
          </w:p>
        </w:tc>
        <w:tc>
          <w:tcPr>
            <w:tcW w:w="1620" w:type="dxa"/>
            <w:tcBorders>
              <w:top w:val="nil"/>
              <w:left w:val="nil"/>
              <w:bottom w:val="nil"/>
              <w:right w:val="nil"/>
            </w:tcBorders>
            <w:shd w:val="clear" w:color="000000" w:fill="BFBFBF"/>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-0.085 </w:t>
            </w:r>
          </w:p>
        </w:tc>
        <w:tc>
          <w:tcPr>
            <w:tcW w:w="1680" w:type="dxa"/>
            <w:tcBorders>
              <w:top w:val="nil"/>
              <w:left w:val="nil"/>
              <w:bottom w:val="nil"/>
              <w:right w:val="nil"/>
            </w:tcBorders>
            <w:shd w:val="clear" w:color="000000" w:fill="BFBFBF"/>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0.118 </w:t>
            </w:r>
          </w:p>
        </w:tc>
        <w:tc>
          <w:tcPr>
            <w:tcW w:w="1226"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b/>
                <w:bCs/>
                <w:color w:val="000000"/>
                <w:sz w:val="20"/>
                <w:lang w:eastAsia="en-GB"/>
              </w:rPr>
            </w:pPr>
            <w:r w:rsidRPr="00493199">
              <w:rPr>
                <w:rFonts w:asciiTheme="minorHAnsi" w:hAnsiTheme="minorHAnsi"/>
                <w:b/>
                <w:bCs/>
                <w:color w:val="000000"/>
                <w:sz w:val="20"/>
                <w:lang w:eastAsia="en-GB"/>
              </w:rPr>
              <w:t xml:space="preserve">-0.583 </w:t>
            </w:r>
          </w:p>
        </w:tc>
        <w:tc>
          <w:tcPr>
            <w:tcW w:w="1214" w:type="dxa"/>
            <w:tcBorders>
              <w:top w:val="nil"/>
              <w:left w:val="nil"/>
              <w:bottom w:val="nil"/>
              <w:right w:val="single" w:sz="4" w:space="0" w:color="auto"/>
            </w:tcBorders>
            <w:shd w:val="clear" w:color="000000" w:fill="BFBFBF"/>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-0.061 </w:t>
            </w:r>
          </w:p>
        </w:tc>
      </w:tr>
      <w:tr w:rsidR="00CA2C90" w:rsidRPr="00493199" w:rsidTr="00493199">
        <w:trPr>
          <w:trHeight w:val="227"/>
        </w:trPr>
        <w:tc>
          <w:tcPr>
            <w:tcW w:w="1240" w:type="dxa"/>
            <w:vMerge/>
            <w:tcBorders>
              <w:top w:val="nil"/>
              <w:left w:val="single" w:sz="4" w:space="0" w:color="auto"/>
              <w:bottom w:val="single" w:sz="4" w:space="0" w:color="000000"/>
              <w:right w:val="single" w:sz="4" w:space="0" w:color="auto"/>
            </w:tcBorders>
            <w:vAlign w:val="center"/>
            <w:hideMark/>
          </w:tcPr>
          <w:p w:rsidR="00CA2C90" w:rsidRPr="00493199" w:rsidRDefault="00CA2C90" w:rsidP="00CA2C90">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K-N</w:t>
            </w:r>
          </w:p>
        </w:tc>
        <w:tc>
          <w:tcPr>
            <w:tcW w:w="1620"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0.196 </w:t>
            </w:r>
          </w:p>
        </w:tc>
        <w:tc>
          <w:tcPr>
            <w:tcW w:w="1680" w:type="dxa"/>
            <w:tcBorders>
              <w:top w:val="nil"/>
              <w:left w:val="nil"/>
              <w:bottom w:val="nil"/>
              <w:right w:val="nil"/>
            </w:tcBorders>
            <w:shd w:val="clear" w:color="000000" w:fill="BFBFBF"/>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-0.097 </w:t>
            </w:r>
          </w:p>
        </w:tc>
        <w:tc>
          <w:tcPr>
            <w:tcW w:w="1226"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b/>
                <w:bCs/>
                <w:color w:val="000000"/>
                <w:sz w:val="20"/>
                <w:lang w:eastAsia="en-GB"/>
              </w:rPr>
            </w:pPr>
            <w:r w:rsidRPr="00493199">
              <w:rPr>
                <w:rFonts w:asciiTheme="minorHAnsi" w:hAnsiTheme="minorHAnsi"/>
                <w:b/>
                <w:bCs/>
                <w:color w:val="000000"/>
                <w:sz w:val="20"/>
                <w:lang w:eastAsia="en-GB"/>
              </w:rPr>
              <w:t xml:space="preserve">-0.535 </w:t>
            </w:r>
          </w:p>
        </w:tc>
        <w:tc>
          <w:tcPr>
            <w:tcW w:w="1214"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-0.283 </w:t>
            </w:r>
          </w:p>
        </w:tc>
      </w:tr>
      <w:tr w:rsidR="00CA2C90" w:rsidRPr="00493199" w:rsidTr="00493199">
        <w:trPr>
          <w:trHeight w:val="227"/>
        </w:trPr>
        <w:tc>
          <w:tcPr>
            <w:tcW w:w="1240" w:type="dxa"/>
            <w:vMerge/>
            <w:tcBorders>
              <w:top w:val="nil"/>
              <w:left w:val="single" w:sz="4" w:space="0" w:color="auto"/>
              <w:bottom w:val="single" w:sz="4" w:space="0" w:color="000000"/>
              <w:right w:val="single" w:sz="4" w:space="0" w:color="auto"/>
            </w:tcBorders>
            <w:vAlign w:val="center"/>
            <w:hideMark/>
          </w:tcPr>
          <w:p w:rsidR="00CA2C90" w:rsidRPr="00493199" w:rsidRDefault="00CA2C90" w:rsidP="00CA2C90">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O-U</w:t>
            </w:r>
          </w:p>
        </w:tc>
        <w:tc>
          <w:tcPr>
            <w:tcW w:w="1620"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0.254 </w:t>
            </w:r>
          </w:p>
        </w:tc>
        <w:tc>
          <w:tcPr>
            <w:tcW w:w="1680"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0.351 </w:t>
            </w:r>
          </w:p>
        </w:tc>
        <w:tc>
          <w:tcPr>
            <w:tcW w:w="1226"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-0.406 </w:t>
            </w:r>
          </w:p>
        </w:tc>
        <w:tc>
          <w:tcPr>
            <w:tcW w:w="1214"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0.297 </w:t>
            </w:r>
          </w:p>
        </w:tc>
      </w:tr>
      <w:tr w:rsidR="00CA2C90" w:rsidRPr="00493199" w:rsidTr="00493199">
        <w:trPr>
          <w:trHeight w:val="227"/>
        </w:trPr>
        <w:tc>
          <w:tcPr>
            <w:tcW w:w="1240" w:type="dxa"/>
            <w:vMerge/>
            <w:tcBorders>
              <w:top w:val="nil"/>
              <w:left w:val="single" w:sz="4" w:space="0" w:color="auto"/>
              <w:bottom w:val="single" w:sz="4" w:space="0" w:color="000000"/>
              <w:right w:val="single" w:sz="4" w:space="0" w:color="auto"/>
            </w:tcBorders>
            <w:vAlign w:val="center"/>
            <w:hideMark/>
          </w:tcPr>
          <w:p w:rsidR="00CA2C90" w:rsidRPr="00493199" w:rsidRDefault="00CA2C90" w:rsidP="00CA2C90">
            <w:pPr>
              <w:spacing w:before="0" w:line="240" w:lineRule="auto"/>
              <w:jc w:val="left"/>
              <w:rPr>
                <w:rFonts w:asciiTheme="minorHAnsi" w:hAnsiTheme="minorHAnsi"/>
                <w:b/>
                <w:bCs/>
                <w:color w:val="000000"/>
                <w:sz w:val="20"/>
                <w:lang w:eastAsia="en-GB"/>
              </w:rPr>
            </w:pPr>
          </w:p>
        </w:tc>
        <w:tc>
          <w:tcPr>
            <w:tcW w:w="1620" w:type="dxa"/>
            <w:tcBorders>
              <w:top w:val="nil"/>
              <w:left w:val="nil"/>
              <w:bottom w:val="single" w:sz="4" w:space="0" w:color="auto"/>
              <w:right w:val="single" w:sz="4" w:space="0" w:color="auto"/>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ElemOcc</w:t>
            </w:r>
          </w:p>
        </w:tc>
        <w:tc>
          <w:tcPr>
            <w:tcW w:w="1620" w:type="dxa"/>
            <w:tcBorders>
              <w:top w:val="nil"/>
              <w:left w:val="nil"/>
              <w:bottom w:val="single" w:sz="4" w:space="0" w:color="auto"/>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0.165 </w:t>
            </w:r>
          </w:p>
        </w:tc>
        <w:tc>
          <w:tcPr>
            <w:tcW w:w="1680" w:type="dxa"/>
            <w:tcBorders>
              <w:top w:val="nil"/>
              <w:left w:val="nil"/>
              <w:bottom w:val="single" w:sz="4" w:space="0" w:color="auto"/>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b/>
                <w:bCs/>
                <w:color w:val="000000"/>
                <w:sz w:val="20"/>
                <w:lang w:eastAsia="en-GB"/>
              </w:rPr>
            </w:pPr>
            <w:r w:rsidRPr="00493199">
              <w:rPr>
                <w:rFonts w:asciiTheme="minorHAnsi" w:hAnsiTheme="minorHAnsi"/>
                <w:b/>
                <w:bCs/>
                <w:color w:val="000000"/>
                <w:sz w:val="20"/>
                <w:lang w:eastAsia="en-GB"/>
              </w:rPr>
              <w:t xml:space="preserve">0.647 </w:t>
            </w:r>
          </w:p>
        </w:tc>
        <w:tc>
          <w:tcPr>
            <w:tcW w:w="1226" w:type="dxa"/>
            <w:tcBorders>
              <w:top w:val="nil"/>
              <w:left w:val="nil"/>
              <w:bottom w:val="single" w:sz="4" w:space="0" w:color="auto"/>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0.315 </w:t>
            </w:r>
          </w:p>
        </w:tc>
        <w:tc>
          <w:tcPr>
            <w:tcW w:w="1214" w:type="dxa"/>
            <w:tcBorders>
              <w:top w:val="nil"/>
              <w:left w:val="nil"/>
              <w:bottom w:val="single" w:sz="4" w:space="0" w:color="auto"/>
              <w:right w:val="single" w:sz="4" w:space="0" w:color="auto"/>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b/>
                <w:bCs/>
                <w:color w:val="000000"/>
                <w:sz w:val="20"/>
                <w:lang w:eastAsia="en-GB"/>
              </w:rPr>
            </w:pPr>
            <w:r w:rsidRPr="00493199">
              <w:rPr>
                <w:rFonts w:asciiTheme="minorHAnsi" w:hAnsiTheme="minorHAnsi"/>
                <w:b/>
                <w:bCs/>
                <w:color w:val="000000"/>
                <w:sz w:val="20"/>
                <w:lang w:eastAsia="en-GB"/>
              </w:rPr>
              <w:t xml:space="preserve">0.510 </w:t>
            </w:r>
          </w:p>
        </w:tc>
      </w:tr>
      <w:tr w:rsidR="00CA2C90" w:rsidRPr="00493199" w:rsidTr="00493199">
        <w:trPr>
          <w:trHeight w:val="227"/>
        </w:trPr>
        <w:tc>
          <w:tcPr>
            <w:tcW w:w="1240" w:type="dxa"/>
            <w:vMerge w:val="restart"/>
            <w:tcBorders>
              <w:top w:val="nil"/>
              <w:left w:val="single" w:sz="4" w:space="0" w:color="auto"/>
              <w:bottom w:val="single" w:sz="4" w:space="0" w:color="000000"/>
              <w:right w:val="single" w:sz="4" w:space="0" w:color="auto"/>
            </w:tcBorders>
            <w:shd w:val="clear" w:color="auto" w:fill="auto"/>
            <w:vAlign w:val="center"/>
            <w:hideMark/>
          </w:tcPr>
          <w:p w:rsidR="00CA2C90" w:rsidRPr="00493199" w:rsidRDefault="00CA2C90" w:rsidP="00CA2C90">
            <w:pPr>
              <w:spacing w:before="0" w:line="240" w:lineRule="auto"/>
              <w:jc w:val="center"/>
              <w:rPr>
                <w:rFonts w:asciiTheme="minorHAnsi" w:hAnsiTheme="minorHAnsi"/>
                <w:b/>
                <w:bCs/>
                <w:color w:val="000000"/>
                <w:sz w:val="20"/>
                <w:lang w:eastAsia="en-GB"/>
              </w:rPr>
            </w:pPr>
            <w:r w:rsidRPr="00493199">
              <w:rPr>
                <w:rFonts w:asciiTheme="minorHAnsi" w:hAnsiTheme="minorHAnsi"/>
                <w:b/>
                <w:bCs/>
                <w:color w:val="000000"/>
                <w:sz w:val="20"/>
                <w:lang w:eastAsia="en-GB"/>
              </w:rPr>
              <w:t xml:space="preserve">Human </w:t>
            </w:r>
            <w:r w:rsidR="00493199">
              <w:rPr>
                <w:rFonts w:asciiTheme="minorHAnsi" w:hAnsiTheme="minorHAnsi"/>
                <w:b/>
                <w:bCs/>
                <w:color w:val="000000"/>
                <w:sz w:val="20"/>
                <w:lang w:eastAsia="en-GB"/>
              </w:rPr>
              <w:t xml:space="preserve"> </w:t>
            </w:r>
            <w:r w:rsidRPr="00493199">
              <w:rPr>
                <w:rFonts w:asciiTheme="minorHAnsi" w:hAnsiTheme="minorHAnsi"/>
                <w:b/>
                <w:bCs/>
                <w:color w:val="000000"/>
                <w:sz w:val="20"/>
                <w:lang w:eastAsia="en-GB"/>
              </w:rPr>
              <w:t>Capital</w:t>
            </w:r>
          </w:p>
        </w:tc>
        <w:tc>
          <w:tcPr>
            <w:tcW w:w="1620"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LowEd(Reg)</w:t>
            </w:r>
          </w:p>
        </w:tc>
        <w:tc>
          <w:tcPr>
            <w:tcW w:w="1620"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-0.173 </w:t>
            </w:r>
          </w:p>
        </w:tc>
        <w:tc>
          <w:tcPr>
            <w:tcW w:w="1680" w:type="dxa"/>
            <w:tcBorders>
              <w:top w:val="nil"/>
              <w:left w:val="nil"/>
              <w:bottom w:val="nil"/>
              <w:right w:val="nil"/>
            </w:tcBorders>
            <w:shd w:val="clear" w:color="000000" w:fill="BFBFBF"/>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0.052 </w:t>
            </w:r>
          </w:p>
        </w:tc>
        <w:tc>
          <w:tcPr>
            <w:tcW w:w="1226" w:type="dxa"/>
            <w:tcBorders>
              <w:top w:val="single" w:sz="4" w:space="0" w:color="auto"/>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b/>
                <w:bCs/>
                <w:color w:val="000000"/>
                <w:sz w:val="20"/>
                <w:lang w:eastAsia="en-GB"/>
              </w:rPr>
            </w:pPr>
            <w:r w:rsidRPr="00493199">
              <w:rPr>
                <w:rFonts w:asciiTheme="minorHAnsi" w:hAnsiTheme="minorHAnsi"/>
                <w:b/>
                <w:bCs/>
                <w:color w:val="000000"/>
                <w:sz w:val="20"/>
                <w:lang w:eastAsia="en-GB"/>
              </w:rPr>
              <w:t xml:space="preserve">0.616 </w:t>
            </w:r>
          </w:p>
        </w:tc>
        <w:tc>
          <w:tcPr>
            <w:tcW w:w="1214" w:type="dxa"/>
            <w:tcBorders>
              <w:top w:val="single" w:sz="4" w:space="0" w:color="auto"/>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b/>
                <w:bCs/>
                <w:color w:val="000000"/>
                <w:sz w:val="20"/>
                <w:lang w:eastAsia="en-GB"/>
              </w:rPr>
            </w:pPr>
            <w:r w:rsidRPr="00493199">
              <w:rPr>
                <w:rFonts w:asciiTheme="minorHAnsi" w:hAnsiTheme="minorHAnsi"/>
                <w:b/>
                <w:bCs/>
                <w:color w:val="000000"/>
                <w:sz w:val="20"/>
                <w:lang w:eastAsia="en-GB"/>
              </w:rPr>
              <w:t xml:space="preserve">0.521 </w:t>
            </w:r>
          </w:p>
        </w:tc>
      </w:tr>
      <w:tr w:rsidR="00CA2C90" w:rsidRPr="00493199" w:rsidTr="00493199">
        <w:trPr>
          <w:trHeight w:val="227"/>
        </w:trPr>
        <w:tc>
          <w:tcPr>
            <w:tcW w:w="1240" w:type="dxa"/>
            <w:vMerge/>
            <w:tcBorders>
              <w:top w:val="nil"/>
              <w:left w:val="single" w:sz="4" w:space="0" w:color="auto"/>
              <w:bottom w:val="single" w:sz="4" w:space="0" w:color="000000"/>
              <w:right w:val="single" w:sz="4" w:space="0" w:color="auto"/>
            </w:tcBorders>
            <w:vAlign w:val="center"/>
            <w:hideMark/>
          </w:tcPr>
          <w:p w:rsidR="00CA2C90" w:rsidRPr="00493199" w:rsidRDefault="00CA2C90" w:rsidP="00CA2C90">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LowED(Cen</w:t>
            </w:r>
          </w:p>
        </w:tc>
        <w:tc>
          <w:tcPr>
            <w:tcW w:w="1620"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-0.151 </w:t>
            </w:r>
          </w:p>
        </w:tc>
        <w:tc>
          <w:tcPr>
            <w:tcW w:w="1680"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0.363 </w:t>
            </w:r>
          </w:p>
        </w:tc>
        <w:tc>
          <w:tcPr>
            <w:tcW w:w="1226"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b/>
                <w:bCs/>
                <w:color w:val="000000"/>
                <w:sz w:val="20"/>
                <w:lang w:eastAsia="en-GB"/>
              </w:rPr>
            </w:pPr>
            <w:r w:rsidRPr="00493199">
              <w:rPr>
                <w:rFonts w:asciiTheme="minorHAnsi" w:hAnsiTheme="minorHAnsi"/>
                <w:b/>
                <w:bCs/>
                <w:color w:val="000000"/>
                <w:sz w:val="20"/>
                <w:lang w:eastAsia="en-GB"/>
              </w:rPr>
              <w:t xml:space="preserve">0.626 </w:t>
            </w:r>
          </w:p>
        </w:tc>
        <w:tc>
          <w:tcPr>
            <w:tcW w:w="1214" w:type="dxa"/>
            <w:tcBorders>
              <w:top w:val="nil"/>
              <w:left w:val="nil"/>
              <w:bottom w:val="nil"/>
              <w:right w:val="single" w:sz="4" w:space="0" w:color="auto"/>
            </w:tcBorders>
            <w:shd w:val="clear" w:color="000000" w:fill="BFBFBF"/>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-0.007 </w:t>
            </w:r>
          </w:p>
        </w:tc>
      </w:tr>
      <w:tr w:rsidR="00CA2C90" w:rsidRPr="00493199" w:rsidTr="00493199">
        <w:trPr>
          <w:trHeight w:val="227"/>
        </w:trPr>
        <w:tc>
          <w:tcPr>
            <w:tcW w:w="1240" w:type="dxa"/>
            <w:vMerge/>
            <w:tcBorders>
              <w:top w:val="nil"/>
              <w:left w:val="single" w:sz="4" w:space="0" w:color="auto"/>
              <w:bottom w:val="single" w:sz="4" w:space="0" w:color="000000"/>
              <w:right w:val="single" w:sz="4" w:space="0" w:color="auto"/>
            </w:tcBorders>
            <w:vAlign w:val="center"/>
            <w:hideMark/>
          </w:tcPr>
          <w:p w:rsidR="00CA2C90" w:rsidRPr="00493199" w:rsidRDefault="00CA2C90" w:rsidP="00CA2C90">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HiEd(2)</w:t>
            </w:r>
          </w:p>
        </w:tc>
        <w:tc>
          <w:tcPr>
            <w:tcW w:w="1620"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0.173 </w:t>
            </w:r>
          </w:p>
        </w:tc>
        <w:tc>
          <w:tcPr>
            <w:tcW w:w="1680" w:type="dxa"/>
            <w:tcBorders>
              <w:top w:val="nil"/>
              <w:left w:val="nil"/>
              <w:bottom w:val="nil"/>
              <w:right w:val="nil"/>
            </w:tcBorders>
            <w:shd w:val="clear" w:color="000000" w:fill="BFBFBF"/>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-0.052 </w:t>
            </w:r>
          </w:p>
        </w:tc>
        <w:tc>
          <w:tcPr>
            <w:tcW w:w="1226"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b/>
                <w:bCs/>
                <w:color w:val="000000"/>
                <w:sz w:val="20"/>
                <w:lang w:eastAsia="en-GB"/>
              </w:rPr>
            </w:pPr>
            <w:r w:rsidRPr="00493199">
              <w:rPr>
                <w:rFonts w:asciiTheme="minorHAnsi" w:hAnsiTheme="minorHAnsi"/>
                <w:b/>
                <w:bCs/>
                <w:color w:val="000000"/>
                <w:sz w:val="20"/>
                <w:lang w:eastAsia="en-GB"/>
              </w:rPr>
              <w:t xml:space="preserve">-0.613 </w:t>
            </w:r>
          </w:p>
        </w:tc>
        <w:tc>
          <w:tcPr>
            <w:tcW w:w="1214"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b/>
                <w:bCs/>
                <w:color w:val="000000"/>
                <w:sz w:val="20"/>
                <w:lang w:eastAsia="en-GB"/>
              </w:rPr>
            </w:pPr>
            <w:r w:rsidRPr="00493199">
              <w:rPr>
                <w:rFonts w:asciiTheme="minorHAnsi" w:hAnsiTheme="minorHAnsi"/>
                <w:b/>
                <w:bCs/>
                <w:color w:val="000000"/>
                <w:sz w:val="20"/>
                <w:lang w:eastAsia="en-GB"/>
              </w:rPr>
              <w:t xml:space="preserve">-0.521 </w:t>
            </w:r>
          </w:p>
        </w:tc>
      </w:tr>
      <w:tr w:rsidR="00CA2C90" w:rsidRPr="00493199" w:rsidTr="00493199">
        <w:trPr>
          <w:trHeight w:val="227"/>
        </w:trPr>
        <w:tc>
          <w:tcPr>
            <w:tcW w:w="1240" w:type="dxa"/>
            <w:vMerge/>
            <w:tcBorders>
              <w:top w:val="nil"/>
              <w:left w:val="single" w:sz="4" w:space="0" w:color="auto"/>
              <w:bottom w:val="single" w:sz="4" w:space="0" w:color="000000"/>
              <w:right w:val="single" w:sz="4" w:space="0" w:color="auto"/>
            </w:tcBorders>
            <w:vAlign w:val="center"/>
            <w:hideMark/>
          </w:tcPr>
          <w:p w:rsidR="00CA2C90" w:rsidRPr="00493199" w:rsidRDefault="00CA2C90" w:rsidP="00CA2C90">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HiEd(Cen)</w:t>
            </w:r>
          </w:p>
        </w:tc>
        <w:tc>
          <w:tcPr>
            <w:tcW w:w="1620" w:type="dxa"/>
            <w:tcBorders>
              <w:top w:val="nil"/>
              <w:left w:val="nil"/>
              <w:bottom w:val="nil"/>
              <w:right w:val="nil"/>
            </w:tcBorders>
            <w:shd w:val="clear" w:color="000000" w:fill="BFBFBF"/>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-0.012 </w:t>
            </w:r>
          </w:p>
        </w:tc>
        <w:tc>
          <w:tcPr>
            <w:tcW w:w="1680" w:type="dxa"/>
            <w:tcBorders>
              <w:top w:val="nil"/>
              <w:left w:val="nil"/>
              <w:bottom w:val="nil"/>
              <w:right w:val="nil"/>
            </w:tcBorders>
            <w:shd w:val="clear" w:color="000000" w:fill="BFBFBF"/>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0.077 </w:t>
            </w:r>
          </w:p>
        </w:tc>
        <w:tc>
          <w:tcPr>
            <w:tcW w:w="1226"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0.355 </w:t>
            </w:r>
          </w:p>
        </w:tc>
        <w:tc>
          <w:tcPr>
            <w:tcW w:w="1214" w:type="dxa"/>
            <w:tcBorders>
              <w:top w:val="nil"/>
              <w:left w:val="nil"/>
              <w:bottom w:val="nil"/>
              <w:right w:val="single" w:sz="4" w:space="0" w:color="auto"/>
            </w:tcBorders>
            <w:shd w:val="clear" w:color="000000" w:fill="BFBFBF"/>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-0.039 </w:t>
            </w:r>
          </w:p>
        </w:tc>
      </w:tr>
      <w:tr w:rsidR="00CA2C90" w:rsidRPr="00493199" w:rsidTr="00493199">
        <w:trPr>
          <w:trHeight w:val="227"/>
        </w:trPr>
        <w:tc>
          <w:tcPr>
            <w:tcW w:w="1240" w:type="dxa"/>
            <w:vMerge/>
            <w:tcBorders>
              <w:top w:val="nil"/>
              <w:left w:val="single" w:sz="4" w:space="0" w:color="auto"/>
              <w:bottom w:val="single" w:sz="4" w:space="0" w:color="000000"/>
              <w:right w:val="single" w:sz="4" w:space="0" w:color="auto"/>
            </w:tcBorders>
            <w:vAlign w:val="center"/>
            <w:hideMark/>
          </w:tcPr>
          <w:p w:rsidR="00CA2C90" w:rsidRPr="00493199" w:rsidRDefault="00CA2C90" w:rsidP="00CA2C90">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HRST</w:t>
            </w:r>
          </w:p>
        </w:tc>
        <w:tc>
          <w:tcPr>
            <w:tcW w:w="1620"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-0.083 </w:t>
            </w:r>
          </w:p>
        </w:tc>
        <w:tc>
          <w:tcPr>
            <w:tcW w:w="1680" w:type="dxa"/>
            <w:tcBorders>
              <w:top w:val="nil"/>
              <w:left w:val="nil"/>
              <w:bottom w:val="nil"/>
              <w:right w:val="nil"/>
            </w:tcBorders>
            <w:shd w:val="clear" w:color="000000" w:fill="BFBFBF"/>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-0.028 </w:t>
            </w:r>
          </w:p>
        </w:tc>
        <w:tc>
          <w:tcPr>
            <w:tcW w:w="1226"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b/>
                <w:bCs/>
                <w:color w:val="000000"/>
                <w:sz w:val="20"/>
                <w:lang w:eastAsia="en-GB"/>
              </w:rPr>
            </w:pPr>
            <w:r w:rsidRPr="00493199">
              <w:rPr>
                <w:rFonts w:asciiTheme="minorHAnsi" w:hAnsiTheme="minorHAnsi"/>
                <w:b/>
                <w:bCs/>
                <w:color w:val="000000"/>
                <w:sz w:val="20"/>
                <w:lang w:eastAsia="en-GB"/>
              </w:rPr>
              <w:t xml:space="preserve">-0.572 </w:t>
            </w:r>
          </w:p>
        </w:tc>
        <w:tc>
          <w:tcPr>
            <w:tcW w:w="1214"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-0.316 </w:t>
            </w:r>
          </w:p>
        </w:tc>
      </w:tr>
      <w:tr w:rsidR="00CA2C90" w:rsidRPr="00493199" w:rsidTr="00493199">
        <w:trPr>
          <w:trHeight w:val="227"/>
        </w:trPr>
        <w:tc>
          <w:tcPr>
            <w:tcW w:w="1240" w:type="dxa"/>
            <w:vMerge/>
            <w:tcBorders>
              <w:top w:val="nil"/>
              <w:left w:val="single" w:sz="4" w:space="0" w:color="auto"/>
              <w:bottom w:val="single" w:sz="4" w:space="0" w:color="000000"/>
              <w:right w:val="single" w:sz="4" w:space="0" w:color="auto"/>
            </w:tcBorders>
            <w:vAlign w:val="center"/>
            <w:hideMark/>
          </w:tcPr>
          <w:p w:rsidR="00CA2C90" w:rsidRPr="00493199" w:rsidRDefault="00CA2C90" w:rsidP="00CA2C90">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CDR(Reg)</w:t>
            </w:r>
          </w:p>
        </w:tc>
        <w:tc>
          <w:tcPr>
            <w:tcW w:w="1620"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-0.404 </w:t>
            </w:r>
          </w:p>
        </w:tc>
        <w:tc>
          <w:tcPr>
            <w:tcW w:w="1680" w:type="dxa"/>
            <w:tcBorders>
              <w:top w:val="nil"/>
              <w:left w:val="nil"/>
              <w:bottom w:val="nil"/>
              <w:right w:val="nil"/>
            </w:tcBorders>
            <w:shd w:val="clear" w:color="000000" w:fill="BFBFBF"/>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-0.063 </w:t>
            </w:r>
          </w:p>
        </w:tc>
        <w:tc>
          <w:tcPr>
            <w:tcW w:w="1226"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0.271 </w:t>
            </w:r>
          </w:p>
        </w:tc>
        <w:tc>
          <w:tcPr>
            <w:tcW w:w="1214"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0.196 </w:t>
            </w:r>
          </w:p>
        </w:tc>
      </w:tr>
      <w:tr w:rsidR="00CA2C90" w:rsidRPr="00493199" w:rsidTr="00493199">
        <w:trPr>
          <w:trHeight w:val="227"/>
        </w:trPr>
        <w:tc>
          <w:tcPr>
            <w:tcW w:w="1240" w:type="dxa"/>
            <w:vMerge/>
            <w:tcBorders>
              <w:top w:val="nil"/>
              <w:left w:val="single" w:sz="4" w:space="0" w:color="auto"/>
              <w:bottom w:val="single" w:sz="4" w:space="0" w:color="000000"/>
              <w:right w:val="single" w:sz="4" w:space="0" w:color="auto"/>
            </w:tcBorders>
            <w:vAlign w:val="center"/>
            <w:hideMark/>
          </w:tcPr>
          <w:p w:rsidR="00CA2C90" w:rsidRPr="00493199" w:rsidRDefault="00CA2C90" w:rsidP="00CA2C90">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CDR(Cen)</w:t>
            </w:r>
          </w:p>
        </w:tc>
        <w:tc>
          <w:tcPr>
            <w:tcW w:w="1620"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-0.260 </w:t>
            </w:r>
          </w:p>
        </w:tc>
        <w:tc>
          <w:tcPr>
            <w:tcW w:w="1680" w:type="dxa"/>
            <w:tcBorders>
              <w:top w:val="nil"/>
              <w:left w:val="nil"/>
              <w:bottom w:val="nil"/>
              <w:right w:val="nil"/>
            </w:tcBorders>
            <w:shd w:val="clear" w:color="000000" w:fill="BFBFBF"/>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0.010 </w:t>
            </w:r>
          </w:p>
        </w:tc>
        <w:tc>
          <w:tcPr>
            <w:tcW w:w="1226"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0.383 </w:t>
            </w:r>
          </w:p>
        </w:tc>
        <w:tc>
          <w:tcPr>
            <w:tcW w:w="1214"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0.165 </w:t>
            </w:r>
          </w:p>
        </w:tc>
      </w:tr>
      <w:tr w:rsidR="00CA2C90" w:rsidRPr="00493199" w:rsidTr="00493199">
        <w:trPr>
          <w:trHeight w:val="227"/>
        </w:trPr>
        <w:tc>
          <w:tcPr>
            <w:tcW w:w="1240" w:type="dxa"/>
            <w:vMerge/>
            <w:tcBorders>
              <w:top w:val="nil"/>
              <w:left w:val="single" w:sz="4" w:space="0" w:color="auto"/>
              <w:bottom w:val="single" w:sz="4" w:space="0" w:color="000000"/>
              <w:right w:val="single" w:sz="4" w:space="0" w:color="auto"/>
            </w:tcBorders>
            <w:vAlign w:val="center"/>
            <w:hideMark/>
          </w:tcPr>
          <w:p w:rsidR="00CA2C90" w:rsidRPr="00493199" w:rsidRDefault="00CA2C90" w:rsidP="00CA2C90">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OADR(Reg)</w:t>
            </w:r>
          </w:p>
        </w:tc>
        <w:tc>
          <w:tcPr>
            <w:tcW w:w="1620"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0.342 </w:t>
            </w:r>
          </w:p>
        </w:tc>
        <w:tc>
          <w:tcPr>
            <w:tcW w:w="1680" w:type="dxa"/>
            <w:tcBorders>
              <w:top w:val="nil"/>
              <w:left w:val="nil"/>
              <w:bottom w:val="nil"/>
              <w:right w:val="nil"/>
            </w:tcBorders>
            <w:shd w:val="clear" w:color="000000" w:fill="BFBFBF"/>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-0.039 </w:t>
            </w:r>
          </w:p>
        </w:tc>
        <w:tc>
          <w:tcPr>
            <w:tcW w:w="1226"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0.318 </w:t>
            </w:r>
          </w:p>
        </w:tc>
        <w:tc>
          <w:tcPr>
            <w:tcW w:w="1214"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-0.275 </w:t>
            </w:r>
          </w:p>
        </w:tc>
      </w:tr>
      <w:tr w:rsidR="00CA2C90" w:rsidRPr="00493199" w:rsidTr="00493199">
        <w:trPr>
          <w:trHeight w:val="227"/>
        </w:trPr>
        <w:tc>
          <w:tcPr>
            <w:tcW w:w="1240" w:type="dxa"/>
            <w:vMerge/>
            <w:tcBorders>
              <w:top w:val="nil"/>
              <w:left w:val="single" w:sz="4" w:space="0" w:color="auto"/>
              <w:bottom w:val="single" w:sz="4" w:space="0" w:color="000000"/>
              <w:right w:val="single" w:sz="4" w:space="0" w:color="auto"/>
            </w:tcBorders>
            <w:vAlign w:val="center"/>
            <w:hideMark/>
          </w:tcPr>
          <w:p w:rsidR="00CA2C90" w:rsidRPr="00493199" w:rsidRDefault="00CA2C90" w:rsidP="00CA2C90">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OADR(Cen</w:t>
            </w:r>
          </w:p>
        </w:tc>
        <w:tc>
          <w:tcPr>
            <w:tcW w:w="1620"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0.358 </w:t>
            </w:r>
          </w:p>
        </w:tc>
        <w:tc>
          <w:tcPr>
            <w:tcW w:w="1680" w:type="dxa"/>
            <w:tcBorders>
              <w:top w:val="nil"/>
              <w:left w:val="nil"/>
              <w:bottom w:val="nil"/>
              <w:right w:val="nil"/>
            </w:tcBorders>
            <w:shd w:val="clear" w:color="000000" w:fill="BFBFBF"/>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-0.048 </w:t>
            </w:r>
          </w:p>
        </w:tc>
        <w:tc>
          <w:tcPr>
            <w:tcW w:w="1226"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0.371 </w:t>
            </w:r>
          </w:p>
        </w:tc>
        <w:tc>
          <w:tcPr>
            <w:tcW w:w="1214"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-0.308 </w:t>
            </w:r>
          </w:p>
        </w:tc>
      </w:tr>
      <w:tr w:rsidR="00CA2C90" w:rsidRPr="00493199" w:rsidTr="00493199">
        <w:trPr>
          <w:trHeight w:val="227"/>
        </w:trPr>
        <w:tc>
          <w:tcPr>
            <w:tcW w:w="1240" w:type="dxa"/>
            <w:vMerge/>
            <w:tcBorders>
              <w:top w:val="nil"/>
              <w:left w:val="single" w:sz="4" w:space="0" w:color="auto"/>
              <w:bottom w:val="single" w:sz="4" w:space="0" w:color="000000"/>
              <w:right w:val="single" w:sz="4" w:space="0" w:color="auto"/>
            </w:tcBorders>
            <w:vAlign w:val="center"/>
            <w:hideMark/>
          </w:tcPr>
          <w:p w:rsidR="00CA2C90" w:rsidRPr="00493199" w:rsidRDefault="00CA2C90" w:rsidP="00CA2C90">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LoneP(Cen)</w:t>
            </w:r>
          </w:p>
        </w:tc>
        <w:tc>
          <w:tcPr>
            <w:tcW w:w="1620"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0.169 </w:t>
            </w:r>
          </w:p>
        </w:tc>
        <w:tc>
          <w:tcPr>
            <w:tcW w:w="1680"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b/>
                <w:bCs/>
                <w:color w:val="000000"/>
                <w:sz w:val="20"/>
                <w:lang w:eastAsia="en-GB"/>
              </w:rPr>
            </w:pPr>
            <w:r w:rsidRPr="00493199">
              <w:rPr>
                <w:rFonts w:asciiTheme="minorHAnsi" w:hAnsiTheme="minorHAnsi"/>
                <w:b/>
                <w:bCs/>
                <w:color w:val="000000"/>
                <w:sz w:val="20"/>
                <w:lang w:eastAsia="en-GB"/>
              </w:rPr>
              <w:t xml:space="preserve">0.613 </w:t>
            </w:r>
          </w:p>
        </w:tc>
        <w:tc>
          <w:tcPr>
            <w:tcW w:w="1226"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-0.262 </w:t>
            </w:r>
          </w:p>
        </w:tc>
        <w:tc>
          <w:tcPr>
            <w:tcW w:w="1214" w:type="dxa"/>
            <w:tcBorders>
              <w:top w:val="nil"/>
              <w:left w:val="nil"/>
              <w:bottom w:val="nil"/>
              <w:right w:val="single" w:sz="4" w:space="0" w:color="auto"/>
            </w:tcBorders>
            <w:shd w:val="clear" w:color="000000" w:fill="BFBFBF"/>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0.084 </w:t>
            </w:r>
          </w:p>
        </w:tc>
      </w:tr>
      <w:tr w:rsidR="00CA2C90" w:rsidRPr="00493199" w:rsidTr="00493199">
        <w:trPr>
          <w:trHeight w:val="227"/>
        </w:trPr>
        <w:tc>
          <w:tcPr>
            <w:tcW w:w="1240" w:type="dxa"/>
            <w:vMerge/>
            <w:tcBorders>
              <w:top w:val="nil"/>
              <w:left w:val="single" w:sz="4" w:space="0" w:color="auto"/>
              <w:bottom w:val="single" w:sz="4" w:space="0" w:color="000000"/>
              <w:right w:val="single" w:sz="4" w:space="0" w:color="auto"/>
            </w:tcBorders>
            <w:vAlign w:val="center"/>
            <w:hideMark/>
          </w:tcPr>
          <w:p w:rsidR="00CA2C90" w:rsidRPr="00493199" w:rsidRDefault="00CA2C90" w:rsidP="00CA2C90">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Foreign(Cen)</w:t>
            </w:r>
          </w:p>
        </w:tc>
        <w:tc>
          <w:tcPr>
            <w:tcW w:w="1620" w:type="dxa"/>
            <w:tcBorders>
              <w:top w:val="nil"/>
              <w:left w:val="nil"/>
              <w:bottom w:val="nil"/>
              <w:right w:val="nil"/>
            </w:tcBorders>
            <w:shd w:val="clear" w:color="000000" w:fill="BFBFBF"/>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-0.026 </w:t>
            </w:r>
          </w:p>
        </w:tc>
        <w:tc>
          <w:tcPr>
            <w:tcW w:w="1680"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0.274 </w:t>
            </w:r>
          </w:p>
        </w:tc>
        <w:tc>
          <w:tcPr>
            <w:tcW w:w="1226" w:type="dxa"/>
            <w:tcBorders>
              <w:top w:val="nil"/>
              <w:left w:val="nil"/>
              <w:bottom w:val="nil"/>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-0.183 </w:t>
            </w:r>
          </w:p>
        </w:tc>
        <w:tc>
          <w:tcPr>
            <w:tcW w:w="1214" w:type="dxa"/>
            <w:tcBorders>
              <w:top w:val="nil"/>
              <w:left w:val="nil"/>
              <w:bottom w:val="nil"/>
              <w:right w:val="single" w:sz="4" w:space="0" w:color="auto"/>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-0.249 </w:t>
            </w:r>
          </w:p>
        </w:tc>
      </w:tr>
      <w:tr w:rsidR="00CA2C90" w:rsidRPr="00493199" w:rsidTr="00493199">
        <w:trPr>
          <w:trHeight w:val="227"/>
        </w:trPr>
        <w:tc>
          <w:tcPr>
            <w:tcW w:w="1240" w:type="dxa"/>
            <w:vMerge/>
            <w:tcBorders>
              <w:top w:val="nil"/>
              <w:left w:val="single" w:sz="4" w:space="0" w:color="auto"/>
              <w:bottom w:val="single" w:sz="4" w:space="0" w:color="000000"/>
              <w:right w:val="single" w:sz="4" w:space="0" w:color="auto"/>
            </w:tcBorders>
            <w:vAlign w:val="center"/>
            <w:hideMark/>
          </w:tcPr>
          <w:p w:rsidR="00CA2C90" w:rsidRPr="00493199" w:rsidRDefault="00CA2C90" w:rsidP="00CA2C90">
            <w:pPr>
              <w:spacing w:before="0" w:line="240" w:lineRule="auto"/>
              <w:jc w:val="left"/>
              <w:rPr>
                <w:rFonts w:asciiTheme="minorHAnsi" w:hAnsiTheme="minorHAnsi"/>
                <w:b/>
                <w:bCs/>
                <w:color w:val="000000"/>
                <w:sz w:val="20"/>
                <w:lang w:eastAsia="en-GB"/>
              </w:rPr>
            </w:pPr>
          </w:p>
        </w:tc>
        <w:tc>
          <w:tcPr>
            <w:tcW w:w="1620" w:type="dxa"/>
            <w:tcBorders>
              <w:top w:val="nil"/>
              <w:left w:val="nil"/>
              <w:bottom w:val="single" w:sz="4" w:space="0" w:color="auto"/>
              <w:right w:val="single" w:sz="4" w:space="0" w:color="auto"/>
            </w:tcBorders>
            <w:shd w:val="clear" w:color="auto" w:fill="auto"/>
            <w:noWrap/>
            <w:vAlign w:val="bottom"/>
            <w:hideMark/>
          </w:tcPr>
          <w:p w:rsidR="00CA2C90" w:rsidRPr="00493199" w:rsidRDefault="00CA2C90" w:rsidP="00CA2C90">
            <w:pPr>
              <w:spacing w:before="0" w:line="240" w:lineRule="auto"/>
              <w:jc w:val="left"/>
              <w:rPr>
                <w:rFonts w:asciiTheme="minorHAnsi" w:hAnsiTheme="minorHAnsi"/>
                <w:b/>
                <w:bCs/>
                <w:color w:val="000000"/>
                <w:sz w:val="20"/>
                <w:lang w:eastAsia="en-GB"/>
              </w:rPr>
            </w:pPr>
            <w:r w:rsidRPr="00493199">
              <w:rPr>
                <w:rFonts w:asciiTheme="minorHAnsi" w:hAnsiTheme="minorHAnsi"/>
                <w:b/>
                <w:bCs/>
                <w:color w:val="000000"/>
                <w:sz w:val="20"/>
                <w:lang w:eastAsia="en-GB"/>
              </w:rPr>
              <w:t>NonCit(Cen)</w:t>
            </w:r>
          </w:p>
        </w:tc>
        <w:tc>
          <w:tcPr>
            <w:tcW w:w="1620" w:type="dxa"/>
            <w:tcBorders>
              <w:top w:val="nil"/>
              <w:left w:val="nil"/>
              <w:bottom w:val="single" w:sz="4" w:space="0" w:color="auto"/>
              <w:right w:val="nil"/>
            </w:tcBorders>
            <w:shd w:val="clear" w:color="000000" w:fill="BFBFBF"/>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-0.091 </w:t>
            </w:r>
          </w:p>
        </w:tc>
        <w:tc>
          <w:tcPr>
            <w:tcW w:w="1680" w:type="dxa"/>
            <w:tcBorders>
              <w:top w:val="nil"/>
              <w:left w:val="nil"/>
              <w:bottom w:val="single" w:sz="4" w:space="0" w:color="auto"/>
              <w:right w:val="nil"/>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000000"/>
                <w:sz w:val="20"/>
                <w:lang w:eastAsia="en-GB"/>
              </w:rPr>
              <w:t xml:space="preserve">0.300 </w:t>
            </w:r>
          </w:p>
        </w:tc>
        <w:tc>
          <w:tcPr>
            <w:tcW w:w="1226" w:type="dxa"/>
            <w:tcBorders>
              <w:top w:val="nil"/>
              <w:left w:val="nil"/>
              <w:bottom w:val="single" w:sz="4" w:space="0" w:color="auto"/>
              <w:right w:val="nil"/>
            </w:tcBorders>
            <w:shd w:val="clear" w:color="000000" w:fill="BFBFBF"/>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-0.070 </w:t>
            </w:r>
          </w:p>
        </w:tc>
        <w:tc>
          <w:tcPr>
            <w:tcW w:w="1214" w:type="dxa"/>
            <w:tcBorders>
              <w:top w:val="nil"/>
              <w:left w:val="nil"/>
              <w:bottom w:val="single" w:sz="4" w:space="0" w:color="auto"/>
              <w:right w:val="single" w:sz="4" w:space="0" w:color="auto"/>
            </w:tcBorders>
            <w:shd w:val="clear" w:color="auto" w:fill="auto"/>
            <w:noWrap/>
            <w:vAlign w:val="bottom"/>
            <w:hideMark/>
          </w:tcPr>
          <w:p w:rsidR="00CA2C90" w:rsidRPr="00493199" w:rsidRDefault="00CA2C90" w:rsidP="00CA2C90">
            <w:pPr>
              <w:spacing w:before="0" w:line="240" w:lineRule="auto"/>
              <w:jc w:val="right"/>
              <w:rPr>
                <w:rFonts w:asciiTheme="minorHAnsi" w:hAnsiTheme="minorHAnsi"/>
                <w:color w:val="000000"/>
                <w:sz w:val="20"/>
                <w:lang w:eastAsia="en-GB"/>
              </w:rPr>
            </w:pPr>
            <w:r w:rsidRPr="00493199">
              <w:rPr>
                <w:rFonts w:asciiTheme="minorHAnsi" w:hAnsiTheme="minorHAnsi"/>
                <w:color w:val="FF0000"/>
                <w:sz w:val="20"/>
                <w:lang w:eastAsia="en-GB"/>
              </w:rPr>
              <w:t xml:space="preserve">-0.259 </w:t>
            </w:r>
          </w:p>
        </w:tc>
      </w:tr>
    </w:tbl>
    <w:p w:rsidR="00493199" w:rsidRDefault="00493199" w:rsidP="00493199">
      <w:pPr>
        <w:rPr>
          <w:sz w:val="18"/>
          <w:szCs w:val="18"/>
        </w:rPr>
      </w:pPr>
      <w:r w:rsidRPr="00E97594">
        <w:rPr>
          <w:b/>
          <w:sz w:val="18"/>
          <w:szCs w:val="18"/>
        </w:rPr>
        <w:t>Note</w:t>
      </w:r>
      <w:r>
        <w:rPr>
          <w:b/>
          <w:sz w:val="18"/>
          <w:szCs w:val="18"/>
        </w:rPr>
        <w:t>s</w:t>
      </w:r>
      <w:r w:rsidRPr="00E97594">
        <w:rPr>
          <w:b/>
          <w:sz w:val="18"/>
          <w:szCs w:val="18"/>
        </w:rPr>
        <w:t>:</w:t>
      </w:r>
      <w:r w:rsidRPr="00E97594">
        <w:rPr>
          <w:sz w:val="18"/>
          <w:szCs w:val="18"/>
        </w:rPr>
        <w:t xml:space="preserve"> </w:t>
      </w:r>
    </w:p>
    <w:p w:rsidR="00493199" w:rsidRPr="00CA2C90" w:rsidRDefault="00493199" w:rsidP="00986069">
      <w:pPr>
        <w:pStyle w:val="Luettelokappale"/>
        <w:numPr>
          <w:ilvl w:val="0"/>
          <w:numId w:val="4"/>
        </w:numPr>
        <w:spacing w:before="0"/>
        <w:rPr>
          <w:rFonts w:asciiTheme="minorHAnsi" w:hAnsiTheme="minorHAnsi"/>
          <w:sz w:val="18"/>
          <w:szCs w:val="18"/>
        </w:rPr>
      </w:pPr>
      <w:r w:rsidRPr="00CA2C90">
        <w:rPr>
          <w:rFonts w:asciiTheme="minorHAnsi" w:hAnsiTheme="minorHAnsi"/>
          <w:sz w:val="18"/>
          <w:szCs w:val="18"/>
        </w:rPr>
        <w:t>Grey shaded cells in the table indicate c</w:t>
      </w:r>
      <w:r>
        <w:rPr>
          <w:rFonts w:asciiTheme="minorHAnsi" w:hAnsiTheme="minorHAnsi"/>
          <w:sz w:val="18"/>
          <w:szCs w:val="18"/>
        </w:rPr>
        <w:t>o</w:t>
      </w:r>
      <w:r w:rsidRPr="00CA2C90">
        <w:rPr>
          <w:rFonts w:asciiTheme="minorHAnsi" w:hAnsiTheme="minorHAnsi"/>
          <w:sz w:val="18"/>
          <w:szCs w:val="18"/>
        </w:rPr>
        <w:t>efficients which are not significant at 0.01.</w:t>
      </w:r>
    </w:p>
    <w:p w:rsidR="00493199" w:rsidRPr="00CA2C90" w:rsidRDefault="00493199" w:rsidP="00986069">
      <w:pPr>
        <w:pStyle w:val="Luettelokappale"/>
        <w:numPr>
          <w:ilvl w:val="0"/>
          <w:numId w:val="4"/>
        </w:numPr>
        <w:rPr>
          <w:rFonts w:asciiTheme="minorHAnsi" w:hAnsiTheme="minorHAnsi" w:cs="Arial"/>
          <w:sz w:val="18"/>
          <w:szCs w:val="18"/>
          <w:lang w:eastAsia="en-GB"/>
        </w:rPr>
      </w:pPr>
      <w:r w:rsidRPr="00CA2C90">
        <w:rPr>
          <w:rFonts w:asciiTheme="minorHAnsi" w:hAnsiTheme="minorHAnsi" w:cs="Arial"/>
          <w:sz w:val="18"/>
          <w:szCs w:val="18"/>
          <w:lang w:eastAsia="en-GB"/>
        </w:rPr>
        <w:t>SIC Classification:</w:t>
      </w:r>
    </w:p>
    <w:p w:rsidR="00493199" w:rsidRDefault="00493199" w:rsidP="00493199">
      <w:pPr>
        <w:spacing w:before="0" w:after="120" w:line="240" w:lineRule="auto"/>
        <w:rPr>
          <w:rFonts w:cs="Arial"/>
          <w:sz w:val="18"/>
          <w:szCs w:val="18"/>
          <w:lang w:eastAsia="en-GB"/>
        </w:rPr>
        <w:sectPr w:rsidR="00493199" w:rsidSect="009F1846">
          <w:type w:val="continuous"/>
          <w:pgSz w:w="11907" w:h="16840" w:code="9"/>
          <w:pgMar w:top="1440" w:right="1797" w:bottom="1440" w:left="1797" w:header="709" w:footer="709" w:gutter="0"/>
          <w:pgNumType w:start="18"/>
          <w:cols w:space="708"/>
          <w:docGrid w:linePitch="360"/>
        </w:sectPr>
      </w:pPr>
    </w:p>
    <w:p w:rsidR="00493199" w:rsidRPr="00CA2C90" w:rsidRDefault="00493199" w:rsidP="00493199">
      <w:pPr>
        <w:spacing w:before="0" w:after="60" w:line="240" w:lineRule="auto"/>
        <w:jc w:val="left"/>
        <w:rPr>
          <w:rFonts w:asciiTheme="minorHAnsi" w:hAnsiTheme="minorHAnsi" w:cs="Arial"/>
          <w:sz w:val="18"/>
          <w:szCs w:val="18"/>
          <w:lang w:eastAsia="en-GB"/>
        </w:rPr>
      </w:pPr>
      <w:r w:rsidRPr="00CA2C90">
        <w:rPr>
          <w:rFonts w:asciiTheme="minorHAnsi" w:hAnsiTheme="minorHAnsi" w:cs="Arial"/>
          <w:sz w:val="18"/>
          <w:szCs w:val="18"/>
          <w:lang w:eastAsia="en-GB"/>
        </w:rPr>
        <w:lastRenderedPageBreak/>
        <w:t>A - Agriculture, forestry and fishing</w:t>
      </w:r>
    </w:p>
    <w:p w:rsidR="00493199" w:rsidRPr="00CA2C90" w:rsidRDefault="00493199" w:rsidP="00493199">
      <w:pPr>
        <w:spacing w:before="0" w:after="60" w:line="240" w:lineRule="auto"/>
        <w:jc w:val="left"/>
        <w:rPr>
          <w:rFonts w:asciiTheme="minorHAnsi" w:hAnsiTheme="minorHAnsi" w:cs="Arial"/>
          <w:sz w:val="18"/>
          <w:szCs w:val="18"/>
          <w:lang w:eastAsia="en-GB"/>
        </w:rPr>
      </w:pPr>
      <w:r w:rsidRPr="00CA2C90">
        <w:rPr>
          <w:rFonts w:asciiTheme="minorHAnsi" w:hAnsiTheme="minorHAnsi" w:cs="Arial"/>
          <w:sz w:val="18"/>
          <w:szCs w:val="18"/>
          <w:lang w:eastAsia="en-GB"/>
        </w:rPr>
        <w:t>B-E - Industry (except construction)</w:t>
      </w:r>
    </w:p>
    <w:p w:rsidR="00493199" w:rsidRPr="00CA2C90" w:rsidRDefault="00493199" w:rsidP="00493199">
      <w:pPr>
        <w:spacing w:before="0" w:after="60" w:line="240" w:lineRule="auto"/>
        <w:jc w:val="left"/>
        <w:rPr>
          <w:rFonts w:asciiTheme="minorHAnsi" w:hAnsiTheme="minorHAnsi" w:cs="Arial"/>
          <w:sz w:val="18"/>
          <w:szCs w:val="18"/>
          <w:lang w:eastAsia="en-GB"/>
        </w:rPr>
      </w:pPr>
      <w:r w:rsidRPr="00CA2C90">
        <w:rPr>
          <w:rFonts w:asciiTheme="minorHAnsi" w:hAnsiTheme="minorHAnsi" w:cs="Arial"/>
          <w:sz w:val="18"/>
          <w:szCs w:val="18"/>
          <w:lang w:eastAsia="en-GB"/>
        </w:rPr>
        <w:t>C – Manufacturing</w:t>
      </w:r>
    </w:p>
    <w:p w:rsidR="00493199" w:rsidRPr="00CA2C90" w:rsidRDefault="00493199" w:rsidP="00493199">
      <w:pPr>
        <w:spacing w:before="0" w:after="60" w:line="240" w:lineRule="auto"/>
        <w:jc w:val="left"/>
        <w:rPr>
          <w:rFonts w:asciiTheme="minorHAnsi" w:hAnsiTheme="minorHAnsi" w:cs="Arial"/>
          <w:sz w:val="18"/>
          <w:szCs w:val="18"/>
          <w:lang w:eastAsia="en-GB"/>
        </w:rPr>
      </w:pPr>
      <w:r w:rsidRPr="00CA2C90">
        <w:rPr>
          <w:rFonts w:asciiTheme="minorHAnsi" w:hAnsiTheme="minorHAnsi" w:cs="Arial"/>
          <w:sz w:val="18"/>
          <w:szCs w:val="18"/>
          <w:lang w:eastAsia="en-GB"/>
        </w:rPr>
        <w:t>F – Construction</w:t>
      </w:r>
    </w:p>
    <w:p w:rsidR="00493199" w:rsidRPr="00CA2C90" w:rsidRDefault="00493199" w:rsidP="00493199">
      <w:pPr>
        <w:spacing w:before="0" w:after="60" w:line="240" w:lineRule="auto"/>
        <w:jc w:val="left"/>
        <w:rPr>
          <w:rFonts w:asciiTheme="minorHAnsi" w:hAnsiTheme="minorHAnsi" w:cs="Arial"/>
          <w:sz w:val="18"/>
          <w:szCs w:val="18"/>
          <w:lang w:eastAsia="en-GB"/>
        </w:rPr>
      </w:pPr>
      <w:r w:rsidRPr="00CA2C90">
        <w:rPr>
          <w:rFonts w:asciiTheme="minorHAnsi" w:hAnsiTheme="minorHAnsi" w:cs="Arial"/>
          <w:sz w:val="18"/>
          <w:szCs w:val="18"/>
          <w:lang w:eastAsia="en-GB"/>
        </w:rPr>
        <w:t>G-J - Wholesale and retail trade; transport; accommodation and food service activities; information and communication</w:t>
      </w:r>
    </w:p>
    <w:p w:rsidR="00493199" w:rsidRPr="00CA2C90" w:rsidRDefault="00493199" w:rsidP="00493199">
      <w:pPr>
        <w:spacing w:before="0" w:after="60" w:line="240" w:lineRule="auto"/>
        <w:jc w:val="left"/>
        <w:rPr>
          <w:rFonts w:asciiTheme="minorHAnsi" w:hAnsiTheme="minorHAnsi" w:cs="Arial"/>
          <w:sz w:val="18"/>
          <w:szCs w:val="18"/>
          <w:lang w:eastAsia="en-GB"/>
        </w:rPr>
      </w:pPr>
      <w:r w:rsidRPr="00CA2C90">
        <w:rPr>
          <w:rFonts w:asciiTheme="minorHAnsi" w:hAnsiTheme="minorHAnsi" w:cs="Arial"/>
          <w:sz w:val="18"/>
          <w:szCs w:val="18"/>
          <w:lang w:eastAsia="en-GB"/>
        </w:rPr>
        <w:lastRenderedPageBreak/>
        <w:t>K-N - Financial and insurance activities; real estate activities; professional, scientific and technical activities; administrative and support service activities.</w:t>
      </w:r>
    </w:p>
    <w:p w:rsidR="00493199" w:rsidRPr="00CA2C90" w:rsidRDefault="00493199" w:rsidP="00493199">
      <w:pPr>
        <w:spacing w:before="0" w:after="120" w:line="240" w:lineRule="auto"/>
        <w:jc w:val="left"/>
        <w:rPr>
          <w:rFonts w:asciiTheme="minorHAnsi" w:hAnsiTheme="minorHAnsi" w:cs="Arial"/>
          <w:sz w:val="18"/>
          <w:szCs w:val="18"/>
          <w:lang w:eastAsia="en-GB"/>
        </w:rPr>
        <w:sectPr w:rsidR="00493199" w:rsidRPr="00CA2C90" w:rsidSect="006C6A7D">
          <w:type w:val="continuous"/>
          <w:pgSz w:w="11907" w:h="16840" w:code="9"/>
          <w:pgMar w:top="1440" w:right="1797" w:bottom="1440" w:left="1797" w:header="709" w:footer="709" w:gutter="0"/>
          <w:pgNumType w:start="1"/>
          <w:cols w:num="2" w:space="708"/>
          <w:docGrid w:linePitch="360"/>
        </w:sectPr>
      </w:pPr>
      <w:r w:rsidRPr="00CA2C90">
        <w:rPr>
          <w:rFonts w:asciiTheme="minorHAnsi" w:hAnsiTheme="minorHAnsi" w:cs="Arial"/>
          <w:sz w:val="18"/>
          <w:szCs w:val="18"/>
          <w:lang w:eastAsia="en-GB"/>
        </w:rPr>
        <w:t>O-U - Public administration and defence; compulsory social security; education; human health and social work activities; arts, entertainment and recreation, repair of household goods and other services.</w:t>
      </w:r>
    </w:p>
    <w:p w:rsidR="00493199" w:rsidRDefault="00493199" w:rsidP="00493199">
      <w:pPr>
        <w:spacing w:before="0" w:line="240" w:lineRule="auto"/>
        <w:rPr>
          <w:rFonts w:cs="Arial"/>
          <w:sz w:val="18"/>
          <w:szCs w:val="18"/>
          <w:lang w:eastAsia="en-GB"/>
        </w:rPr>
        <w:sectPr w:rsidR="00493199" w:rsidSect="006C6A7D">
          <w:type w:val="continuous"/>
          <w:pgSz w:w="11907" w:h="16840" w:code="9"/>
          <w:pgMar w:top="1440" w:right="1797" w:bottom="1440" w:left="1797" w:header="709" w:footer="709" w:gutter="0"/>
          <w:pgNumType w:start="1"/>
          <w:cols w:space="708"/>
          <w:docGrid w:linePitch="360"/>
        </w:sectPr>
      </w:pPr>
    </w:p>
    <w:p w:rsidR="00CA2C90" w:rsidRDefault="00CA2C90" w:rsidP="00CA2C90"/>
    <w:p w:rsidR="005F50FC" w:rsidRDefault="00133443" w:rsidP="005F50FC">
      <w:pPr>
        <w:pStyle w:val="Otsikko1"/>
      </w:pPr>
      <w:bookmarkStart w:id="36" w:name="_Toc394071826"/>
      <w:r>
        <w:lastRenderedPageBreak/>
        <w:t>Discussion and Conclusions</w:t>
      </w:r>
      <w:bookmarkEnd w:id="36"/>
    </w:p>
    <w:p w:rsidR="002B3A47" w:rsidRDefault="002B3A47" w:rsidP="002B3A47"/>
    <w:p w:rsidR="002B3A47" w:rsidRPr="000D1151" w:rsidRDefault="002B3A47" w:rsidP="002B3A47">
      <w:pPr>
        <w:rPr>
          <w:i/>
          <w:lang w:eastAsia="en-GB"/>
        </w:rPr>
      </w:pPr>
      <w:r w:rsidRPr="000D1151">
        <w:rPr>
          <w:i/>
          <w:lang w:eastAsia="en-GB"/>
        </w:rPr>
        <w:t>Patterns of Income Poverty</w:t>
      </w:r>
    </w:p>
    <w:p w:rsidR="002B3A47" w:rsidRDefault="002B3A47" w:rsidP="002B3A47">
      <w:pPr>
        <w:rPr>
          <w:lang w:eastAsia="en-GB"/>
        </w:rPr>
      </w:pPr>
      <w:r>
        <w:rPr>
          <w:lang w:eastAsia="en-GB"/>
        </w:rPr>
        <w:t xml:space="preserve">The income poverty maps assembled in this </w:t>
      </w:r>
      <w:r w:rsidR="00310810">
        <w:rPr>
          <w:lang w:eastAsia="en-GB"/>
        </w:rPr>
        <w:t>annex</w:t>
      </w:r>
      <w:r>
        <w:rPr>
          <w:lang w:eastAsia="en-GB"/>
        </w:rPr>
        <w:t xml:space="preserve"> suggests the following observations about the geography of income poverty:</w:t>
      </w:r>
    </w:p>
    <w:p w:rsidR="002B3A47" w:rsidRDefault="002B3A47" w:rsidP="00986069">
      <w:pPr>
        <w:pStyle w:val="Luettelokappale"/>
        <w:numPr>
          <w:ilvl w:val="0"/>
          <w:numId w:val="2"/>
        </w:numPr>
        <w:rPr>
          <w:lang w:eastAsia="en-GB"/>
        </w:rPr>
      </w:pPr>
      <w:r>
        <w:rPr>
          <w:lang w:eastAsia="en-GB"/>
        </w:rPr>
        <w:t>At a macro-scale the highest rates of poverty tend to be in the</w:t>
      </w:r>
      <w:r w:rsidR="00310810">
        <w:rPr>
          <w:lang w:eastAsia="en-GB"/>
        </w:rPr>
        <w:t xml:space="preserve"> former socials NMS, the</w:t>
      </w:r>
      <w:r>
        <w:rPr>
          <w:lang w:eastAsia="en-GB"/>
        </w:rPr>
        <w:t xml:space="preserve"> Mediterranean countries and Turkey</w:t>
      </w:r>
      <w:r w:rsidR="00310810">
        <w:rPr>
          <w:lang w:eastAsia="en-GB"/>
        </w:rPr>
        <w:t>;</w:t>
      </w:r>
      <w:r>
        <w:rPr>
          <w:lang w:eastAsia="en-GB"/>
        </w:rPr>
        <w:t xml:space="preserve"> the lowest in the Northern and Western countries.</w:t>
      </w:r>
    </w:p>
    <w:p w:rsidR="002B3A47" w:rsidRDefault="002B3A47" w:rsidP="00986069">
      <w:pPr>
        <w:pStyle w:val="Luettelokappale"/>
        <w:numPr>
          <w:ilvl w:val="0"/>
          <w:numId w:val="2"/>
        </w:numPr>
        <w:rPr>
          <w:lang w:eastAsia="en-GB"/>
        </w:rPr>
      </w:pPr>
      <w:r>
        <w:rPr>
          <w:lang w:eastAsia="en-GB"/>
        </w:rPr>
        <w:t xml:space="preserve">The relationship between capital cities, and secondary cities, and ARoP rates is complex. </w:t>
      </w:r>
      <w:r w:rsidR="00310810">
        <w:rPr>
          <w:lang w:eastAsia="en-GB"/>
        </w:rPr>
        <w:t>In the majority of ESPON countries</w:t>
      </w:r>
      <w:r>
        <w:rPr>
          <w:lang w:eastAsia="en-GB"/>
        </w:rPr>
        <w:t xml:space="preserve"> </w:t>
      </w:r>
      <w:r w:rsidR="00310810">
        <w:rPr>
          <w:lang w:eastAsia="en-GB"/>
        </w:rPr>
        <w:t>higher rates of poverty are a rural/non metropolitan phenomena</w:t>
      </w:r>
      <w:r>
        <w:rPr>
          <w:lang w:eastAsia="en-GB"/>
        </w:rPr>
        <w:t>.</w:t>
      </w:r>
      <w:r w:rsidR="00310810">
        <w:rPr>
          <w:lang w:eastAsia="en-GB"/>
        </w:rPr>
        <w:t xml:space="preserve"> However, in countries close to the core, and in the NW the higher rates of poverty are found in urban areas.</w:t>
      </w:r>
    </w:p>
    <w:p w:rsidR="002B3A47" w:rsidRDefault="002B3A47" w:rsidP="00986069">
      <w:pPr>
        <w:pStyle w:val="Luettelokappale"/>
        <w:numPr>
          <w:ilvl w:val="0"/>
          <w:numId w:val="2"/>
        </w:numPr>
        <w:rPr>
          <w:lang w:eastAsia="en-GB"/>
        </w:rPr>
      </w:pPr>
      <w:r>
        <w:rPr>
          <w:lang w:eastAsia="en-GB"/>
        </w:rPr>
        <w:t>Accessible rural areas, especially those close to larger cities and capitals, tend to have relatively low rates of income poverty.</w:t>
      </w:r>
    </w:p>
    <w:p w:rsidR="002B3A47" w:rsidRDefault="002B3A47" w:rsidP="00986069">
      <w:pPr>
        <w:pStyle w:val="Luettelokappale"/>
        <w:numPr>
          <w:ilvl w:val="0"/>
          <w:numId w:val="2"/>
        </w:numPr>
        <w:rPr>
          <w:lang w:eastAsia="en-GB"/>
        </w:rPr>
      </w:pPr>
      <w:r>
        <w:rPr>
          <w:lang w:eastAsia="en-GB"/>
        </w:rPr>
        <w:t>Remote rural regions often exhibit relatively high ARoP rates.</w:t>
      </w:r>
    </w:p>
    <w:p w:rsidR="002B3A47" w:rsidRDefault="002B3A47" w:rsidP="00986069">
      <w:pPr>
        <w:pStyle w:val="Luettelokappale"/>
        <w:numPr>
          <w:ilvl w:val="0"/>
          <w:numId w:val="2"/>
        </w:numPr>
        <w:rPr>
          <w:lang w:eastAsia="en-GB"/>
        </w:rPr>
      </w:pPr>
      <w:r>
        <w:rPr>
          <w:lang w:eastAsia="en-GB"/>
        </w:rPr>
        <w:t>Island regions tend to have higher ARoP rates than mainland regions.</w:t>
      </w:r>
    </w:p>
    <w:p w:rsidR="002B3A47" w:rsidRDefault="002B3A47" w:rsidP="00986069">
      <w:pPr>
        <w:pStyle w:val="Luettelokappale"/>
        <w:numPr>
          <w:ilvl w:val="0"/>
          <w:numId w:val="2"/>
        </w:numPr>
        <w:rPr>
          <w:lang w:eastAsia="en-GB"/>
        </w:rPr>
      </w:pPr>
      <w:r>
        <w:rPr>
          <w:lang w:eastAsia="en-GB"/>
        </w:rPr>
        <w:t>The relationship between mountain regions, border regions and industrial regions and poverty rates is variable, depending upon national and macro-region context.</w:t>
      </w:r>
    </w:p>
    <w:p w:rsidR="00EA7236" w:rsidRDefault="00EA7236" w:rsidP="00986069">
      <w:pPr>
        <w:pStyle w:val="Luettelokappale"/>
        <w:numPr>
          <w:ilvl w:val="0"/>
          <w:numId w:val="2"/>
        </w:numPr>
        <w:rPr>
          <w:lang w:eastAsia="en-GB"/>
        </w:rPr>
      </w:pPr>
      <w:r>
        <w:rPr>
          <w:lang w:eastAsia="en-GB"/>
        </w:rPr>
        <w:t xml:space="preserve">Exploratory correlation analysis has shown that </w:t>
      </w:r>
      <w:r w:rsidR="00346D4E">
        <w:rPr>
          <w:lang w:eastAsia="en-GB"/>
        </w:rPr>
        <w:t>labour market indicators are strongly associated with poverty rates in most parts of the ESPON space. Accessibility, sectoral structure, and human capital characteristics (especially education and skills) are more closely associated in the former socialist NMS and in the Mediterranean countries. Overall regional economic productivity is also more strongly associated with variations in poverty rates in the East and South of Europe. This is probably due to greater regional differentiation in performance.</w:t>
      </w:r>
    </w:p>
    <w:p w:rsidR="005566B0" w:rsidRDefault="005566B0" w:rsidP="002B3A47">
      <w:pPr>
        <w:rPr>
          <w:rFonts w:eastAsia="Calibri"/>
          <w:i/>
          <w:szCs w:val="22"/>
          <w:lang w:eastAsia="en-GB"/>
        </w:rPr>
      </w:pPr>
    </w:p>
    <w:p w:rsidR="002B3A47" w:rsidRPr="000D1151" w:rsidRDefault="002B3A47" w:rsidP="002B3A47">
      <w:pPr>
        <w:rPr>
          <w:rFonts w:eastAsia="Calibri"/>
          <w:i/>
          <w:szCs w:val="22"/>
          <w:lang w:eastAsia="en-GB"/>
        </w:rPr>
      </w:pPr>
      <w:r>
        <w:rPr>
          <w:rFonts w:eastAsia="Calibri"/>
          <w:i/>
          <w:szCs w:val="22"/>
          <w:lang w:eastAsia="en-GB"/>
        </w:rPr>
        <w:t>Further</w:t>
      </w:r>
      <w:r w:rsidRPr="000D1151">
        <w:rPr>
          <w:rFonts w:eastAsia="Calibri"/>
          <w:i/>
          <w:szCs w:val="22"/>
          <w:lang w:eastAsia="en-GB"/>
        </w:rPr>
        <w:t xml:space="preserve"> Reflections on </w:t>
      </w:r>
      <w:r>
        <w:rPr>
          <w:rFonts w:eastAsia="Calibri"/>
          <w:i/>
          <w:szCs w:val="22"/>
          <w:lang w:eastAsia="en-GB"/>
        </w:rPr>
        <w:t xml:space="preserve">the adequacy of </w:t>
      </w:r>
      <w:r w:rsidRPr="000D1151">
        <w:rPr>
          <w:rFonts w:eastAsia="Calibri"/>
          <w:i/>
          <w:szCs w:val="22"/>
          <w:lang w:eastAsia="en-GB"/>
        </w:rPr>
        <w:t xml:space="preserve">the ARoP </w:t>
      </w:r>
      <w:r>
        <w:rPr>
          <w:rFonts w:eastAsia="Calibri"/>
          <w:i/>
          <w:szCs w:val="22"/>
          <w:lang w:eastAsia="en-GB"/>
        </w:rPr>
        <w:t>Rate as a Poverty</w:t>
      </w:r>
      <w:r w:rsidRPr="000D1151">
        <w:rPr>
          <w:rFonts w:eastAsia="Calibri"/>
          <w:i/>
          <w:szCs w:val="22"/>
          <w:lang w:eastAsia="en-GB"/>
        </w:rPr>
        <w:t xml:space="preserve"> Indicator</w:t>
      </w:r>
    </w:p>
    <w:p w:rsidR="002B3A47" w:rsidRDefault="002B3A47" w:rsidP="002B3A47">
      <w:pPr>
        <w:rPr>
          <w:rFonts w:eastAsia="Calibri"/>
          <w:szCs w:val="22"/>
          <w:lang w:eastAsia="en-GB"/>
        </w:rPr>
      </w:pPr>
      <w:r>
        <w:rPr>
          <w:rFonts w:eastAsia="Calibri"/>
          <w:szCs w:val="22"/>
          <w:lang w:eastAsia="en-GB"/>
        </w:rPr>
        <w:t xml:space="preserve">It is important to recognise the fact that measures related to disposable income may not identify all individuals and groups who are experiencing poverty in a narrow financial sense. In our Interim Report we noted a suggestion to adjust ARoP rates by excluding housing costs </w:t>
      </w:r>
      <w:r>
        <w:t>(rent and mortgage interest) from disposable income.</w:t>
      </w:r>
      <w:r w:rsidRPr="0041794A">
        <w:t xml:space="preserve"> </w:t>
      </w:r>
      <w:r>
        <w:t>The rationale for this change was that housing costs are the most significant component of regional differences in the cost of living within countries, and that excluding them is a way to “level the playing field” between the regions. Analysis by the Commission suggested that this adjustment would (on average) increase the ARoP rate (from 16% to 22% for the EU27), affecting some Member States more than others, and reducing the difference between urban and rural areas.</w:t>
      </w:r>
    </w:p>
    <w:p w:rsidR="002B3A47" w:rsidRDefault="002B3A47" w:rsidP="002B3A47">
      <w:pPr>
        <w:rPr>
          <w:rFonts w:eastAsia="Calibri"/>
          <w:szCs w:val="22"/>
          <w:lang w:eastAsia="en-GB"/>
        </w:rPr>
      </w:pPr>
      <w:r>
        <w:rPr>
          <w:rFonts w:eastAsia="Calibri"/>
          <w:szCs w:val="22"/>
          <w:lang w:eastAsia="en-GB"/>
        </w:rPr>
        <w:lastRenderedPageBreak/>
        <w:t>In fact, because of the variety of estimation methods adopted in different countries, it has only proved possible to calculate “after housing cost” ARoP rates for three countries (AT, GR, UK).</w:t>
      </w:r>
    </w:p>
    <w:p w:rsidR="002B3A47" w:rsidRDefault="002B3A47" w:rsidP="002B3A47">
      <w:pPr>
        <w:rPr>
          <w:rFonts w:eastAsia="Calibri"/>
          <w:szCs w:val="22"/>
          <w:lang w:eastAsia="en-GB"/>
        </w:rPr>
      </w:pPr>
      <w:r>
        <w:rPr>
          <w:rFonts w:eastAsia="Calibri"/>
          <w:szCs w:val="22"/>
          <w:lang w:eastAsia="en-GB"/>
        </w:rPr>
        <w:t>However recent research in the UK</w:t>
      </w:r>
      <w:r w:rsidR="00E97594">
        <w:rPr>
          <w:rStyle w:val="Alaviitteenviite"/>
          <w:rFonts w:eastAsia="Calibri"/>
          <w:szCs w:val="22"/>
          <w:lang w:eastAsia="en-GB"/>
        </w:rPr>
        <w:footnoteReference w:id="7"/>
      </w:r>
      <w:r>
        <w:rPr>
          <w:rFonts w:eastAsia="Calibri"/>
          <w:szCs w:val="22"/>
          <w:lang w:eastAsia="en-GB"/>
        </w:rPr>
        <w:t xml:space="preserve"> suggests that housing costs are not the only form of expenditure which varies substantially between regions. A broad range of consumer goods, food and fuels all tend to be higher in remote rural or island areas. In addition sparsity and climate may impact upon the average expenditure profile of families in these areas, increasing the travel cost of daily life, and the cost of heating the home.</w:t>
      </w:r>
    </w:p>
    <w:p w:rsidR="002B3A47" w:rsidRDefault="002B3A47" w:rsidP="002B3A47">
      <w:pPr>
        <w:rPr>
          <w:rFonts w:eastAsia="Calibri"/>
          <w:szCs w:val="22"/>
          <w:lang w:eastAsia="en-GB"/>
        </w:rPr>
      </w:pPr>
      <w:r>
        <w:rPr>
          <w:rFonts w:eastAsia="Calibri"/>
          <w:szCs w:val="22"/>
          <w:lang w:eastAsia="en-GB"/>
        </w:rPr>
        <w:t>Of course it would not be realistic to call for detailed regional living cost indicators, and for the present this issue can best be noted in the form of a caveat to the basic (before housing cost) ARoP rate. However to adjust for housing cost but to ignore the very significant cost increases associated with insularity and peripherality would appear to introduce an unintentional urban bias in the indicator.</w:t>
      </w:r>
    </w:p>
    <w:p w:rsidR="005566B0" w:rsidRDefault="005566B0" w:rsidP="002B3A47">
      <w:pPr>
        <w:rPr>
          <w:i/>
        </w:rPr>
      </w:pPr>
    </w:p>
    <w:p w:rsidR="002B3A47" w:rsidRPr="00D7090B" w:rsidRDefault="00346D4E" w:rsidP="002B3A47">
      <w:pPr>
        <w:rPr>
          <w:i/>
        </w:rPr>
      </w:pPr>
      <w:r w:rsidRPr="00D7090B">
        <w:rPr>
          <w:i/>
        </w:rPr>
        <w:t>Some Reflections on Policy Implications</w:t>
      </w:r>
    </w:p>
    <w:p w:rsidR="00346D4E" w:rsidRDefault="005566B0" w:rsidP="005566B0">
      <w:pPr>
        <w:pStyle w:val="Luettelokappale"/>
        <w:numPr>
          <w:ilvl w:val="0"/>
          <w:numId w:val="6"/>
        </w:numPr>
      </w:pPr>
      <w:r>
        <w:t>The design of interventions to alleviate poverty should reflect an awareness that differentiation exists at a range of spatial scales, from macro-regional, to local. These patterns are driven by distinct economic and social processes, and require different “intervention logics”. This points to the coherent application of sectoral, regional and local interventions.</w:t>
      </w:r>
    </w:p>
    <w:p w:rsidR="005566B0" w:rsidRDefault="005566B0" w:rsidP="005566B0">
      <w:pPr>
        <w:pStyle w:val="Luettelokappale"/>
        <w:numPr>
          <w:ilvl w:val="0"/>
          <w:numId w:val="6"/>
        </w:numPr>
      </w:pPr>
      <w:r>
        <w:t xml:space="preserve">Elevated poverty rates are still associated with overall economic and social performance, as measured by GDP per capita, in </w:t>
      </w:r>
      <w:r w:rsidR="00920073">
        <w:t>the CEECs and parts of the Mediterranean countries. Within this context, targeting of policy resources on regions with a lower GDP per capita, and interventions designed to lift overall regional performance continue to seem appropriate. However, in the Centre and NW of Europe the incidence of poverty is closely not associated with overall economic performance, and poverty alleviation should instead focus upon distributional issues.</w:t>
      </w:r>
    </w:p>
    <w:p w:rsidR="001D41E7" w:rsidRDefault="001D41E7" w:rsidP="005566B0">
      <w:pPr>
        <w:pStyle w:val="Luettelokappale"/>
        <w:numPr>
          <w:ilvl w:val="0"/>
          <w:numId w:val="6"/>
        </w:numPr>
      </w:pPr>
      <w:r>
        <w:t>Building upon this observation the above analysis has highlighted the fact that the causes of poverty vary considerably between different parts of the ESPON space. A “one size fits all” policy will fail. It is important to tailor interventions based upon an understanding of the peculiar process by which poverty becomes established in each different geographical context.</w:t>
      </w:r>
    </w:p>
    <w:p w:rsidR="00920073" w:rsidRDefault="00920073" w:rsidP="005566B0">
      <w:pPr>
        <w:pStyle w:val="Luettelokappale"/>
        <w:numPr>
          <w:ilvl w:val="0"/>
          <w:numId w:val="6"/>
        </w:numPr>
      </w:pPr>
      <w:r>
        <w:lastRenderedPageBreak/>
        <w:t>The labour market has rightly been recognised as a key to alleviating poverty, especially in the countries of the Centre and NW of Europe.</w:t>
      </w:r>
      <w:r w:rsidR="001D41E7">
        <w:t xml:space="preserve"> Tackling unemployment, youth unemployment, and long-term unemployment, undoubtedly has a role to play in strategies to alleviate poverty.</w:t>
      </w:r>
    </w:p>
    <w:p w:rsidR="00920073" w:rsidRDefault="00920073" w:rsidP="005566B0">
      <w:pPr>
        <w:pStyle w:val="Luettelokappale"/>
        <w:numPr>
          <w:ilvl w:val="0"/>
          <w:numId w:val="6"/>
        </w:numPr>
      </w:pPr>
      <w:r>
        <w:t xml:space="preserve">Education and training is an especially important issue in connection with poverty </w:t>
      </w:r>
      <w:r w:rsidR="00075DAB">
        <w:t>reduction</w:t>
      </w:r>
      <w:r>
        <w:t xml:space="preserve"> throughout the ESPON space, but especially in the CEECs and in parts of the Mediterranean countries.</w:t>
      </w:r>
    </w:p>
    <w:p w:rsidR="00920073" w:rsidRDefault="00920073" w:rsidP="005566B0">
      <w:pPr>
        <w:pStyle w:val="Luettelokappale"/>
        <w:numPr>
          <w:ilvl w:val="0"/>
          <w:numId w:val="6"/>
        </w:numPr>
      </w:pPr>
      <w:r>
        <w:t>Age structure issues are important, both in the Nordic countries and in the Mediterranean countries, but for different reasons. In the former the issue relates to pensioner poverty, whilst in the latter young families with several children are particularly vulnerable.</w:t>
      </w:r>
    </w:p>
    <w:p w:rsidR="005566B0" w:rsidRDefault="005566B0" w:rsidP="002B3A47"/>
    <w:p w:rsidR="00346D4E" w:rsidRPr="00D7090B" w:rsidRDefault="00D7090B" w:rsidP="00D7090B">
      <w:pPr>
        <w:jc w:val="center"/>
        <w:rPr>
          <w:b/>
        </w:rPr>
      </w:pPr>
      <w:r>
        <w:br w:type="column"/>
      </w:r>
      <w:r w:rsidRPr="00D7090B">
        <w:rPr>
          <w:b/>
        </w:rPr>
        <w:lastRenderedPageBreak/>
        <w:t>APPENDIX 1</w:t>
      </w:r>
    </w:p>
    <w:p w:rsidR="00D7090B" w:rsidRDefault="00D7090B" w:rsidP="002B3A47"/>
    <w:p w:rsidR="00D7090B" w:rsidRDefault="00D7090B" w:rsidP="00D7090B">
      <w:pPr>
        <w:spacing w:after="240"/>
        <w:rPr>
          <w:b/>
        </w:rPr>
      </w:pPr>
      <w:r w:rsidRPr="00D7090B">
        <w:rPr>
          <w:b/>
        </w:rPr>
        <w:t>Pearson Correlation Coefficients between ARoP rates (unadjusted) and selected socio-econom</w:t>
      </w:r>
      <w:r>
        <w:rPr>
          <w:b/>
        </w:rPr>
        <w:t>ic indicators – by Macro Region</w:t>
      </w:r>
    </w:p>
    <w:tbl>
      <w:tblPr>
        <w:tblW w:w="8100" w:type="dxa"/>
        <w:tblInd w:w="93" w:type="dxa"/>
        <w:tblLook w:val="04A0" w:firstRow="1" w:lastRow="0" w:firstColumn="1" w:lastColumn="0" w:noHBand="0" w:noVBand="1"/>
      </w:tblPr>
      <w:tblGrid>
        <w:gridCol w:w="1240"/>
        <w:gridCol w:w="1620"/>
        <w:gridCol w:w="1520"/>
        <w:gridCol w:w="1280"/>
        <w:gridCol w:w="1480"/>
        <w:gridCol w:w="960"/>
      </w:tblGrid>
      <w:tr w:rsidR="00D7090B" w:rsidRPr="00D7090B" w:rsidTr="00D7090B">
        <w:trPr>
          <w:trHeight w:val="227"/>
        </w:trPr>
        <w:tc>
          <w:tcPr>
            <w:tcW w:w="124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D7090B" w:rsidRPr="00D7090B" w:rsidRDefault="00D7090B" w:rsidP="00D7090B">
            <w:pPr>
              <w:spacing w:before="0" w:line="240" w:lineRule="auto"/>
              <w:jc w:val="center"/>
              <w:rPr>
                <w:rFonts w:asciiTheme="minorHAnsi" w:hAnsiTheme="minorHAnsi"/>
                <w:b/>
                <w:bCs/>
                <w:color w:val="000000"/>
                <w:sz w:val="20"/>
                <w:lang w:eastAsia="en-GB"/>
              </w:rPr>
            </w:pPr>
            <w:r w:rsidRPr="00D7090B">
              <w:rPr>
                <w:rFonts w:asciiTheme="minorHAnsi" w:hAnsiTheme="minorHAnsi"/>
                <w:b/>
                <w:bCs/>
                <w:color w:val="000000"/>
                <w:sz w:val="20"/>
                <w:lang w:eastAsia="en-GB"/>
              </w:rPr>
              <w:t>Theme</w:t>
            </w:r>
          </w:p>
        </w:tc>
        <w:tc>
          <w:tcPr>
            <w:tcW w:w="162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D7090B" w:rsidRPr="00D7090B" w:rsidRDefault="00D7090B" w:rsidP="00D7090B">
            <w:pPr>
              <w:spacing w:before="0" w:line="240" w:lineRule="auto"/>
              <w:jc w:val="center"/>
              <w:rPr>
                <w:rFonts w:asciiTheme="minorHAnsi" w:hAnsiTheme="minorHAnsi"/>
                <w:b/>
                <w:bCs/>
                <w:color w:val="000000"/>
                <w:sz w:val="20"/>
                <w:lang w:eastAsia="en-GB"/>
              </w:rPr>
            </w:pPr>
            <w:r w:rsidRPr="00D7090B">
              <w:rPr>
                <w:rFonts w:asciiTheme="minorHAnsi" w:hAnsiTheme="minorHAnsi"/>
                <w:b/>
                <w:bCs/>
                <w:color w:val="000000"/>
                <w:sz w:val="20"/>
                <w:lang w:eastAsia="en-GB"/>
              </w:rPr>
              <w:t>Indicator</w:t>
            </w:r>
          </w:p>
        </w:tc>
        <w:tc>
          <w:tcPr>
            <w:tcW w:w="1520" w:type="dxa"/>
            <w:tcBorders>
              <w:top w:val="single" w:sz="4" w:space="0" w:color="auto"/>
              <w:left w:val="nil"/>
              <w:bottom w:val="nil"/>
              <w:right w:val="nil"/>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b/>
                <w:bCs/>
                <w:color w:val="000000"/>
                <w:sz w:val="20"/>
                <w:lang w:eastAsia="en-GB"/>
              </w:rPr>
            </w:pPr>
            <w:r w:rsidRPr="00D7090B">
              <w:rPr>
                <w:rFonts w:asciiTheme="minorHAnsi" w:hAnsiTheme="minorHAnsi"/>
                <w:b/>
                <w:bCs/>
                <w:color w:val="000000"/>
                <w:sz w:val="20"/>
                <w:lang w:eastAsia="en-GB"/>
              </w:rPr>
              <w:t>Macro Regions</w:t>
            </w:r>
          </w:p>
        </w:tc>
        <w:tc>
          <w:tcPr>
            <w:tcW w:w="1280" w:type="dxa"/>
            <w:tcBorders>
              <w:top w:val="single" w:sz="4" w:space="0" w:color="auto"/>
              <w:left w:val="nil"/>
              <w:bottom w:val="nil"/>
              <w:right w:val="nil"/>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color w:val="000000"/>
                <w:sz w:val="20"/>
                <w:lang w:eastAsia="en-GB"/>
              </w:rPr>
            </w:pPr>
            <w:r w:rsidRPr="00D7090B">
              <w:rPr>
                <w:rFonts w:asciiTheme="minorHAnsi" w:hAnsiTheme="minorHAnsi"/>
                <w:color w:val="000000"/>
                <w:sz w:val="20"/>
                <w:lang w:eastAsia="en-GB"/>
              </w:rPr>
              <w:t> </w:t>
            </w:r>
          </w:p>
        </w:tc>
        <w:tc>
          <w:tcPr>
            <w:tcW w:w="1480" w:type="dxa"/>
            <w:tcBorders>
              <w:top w:val="single" w:sz="4" w:space="0" w:color="auto"/>
              <w:left w:val="nil"/>
              <w:bottom w:val="nil"/>
              <w:right w:val="nil"/>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color w:val="000000"/>
                <w:sz w:val="20"/>
                <w:lang w:eastAsia="en-GB"/>
              </w:rPr>
            </w:pPr>
            <w:r w:rsidRPr="00D7090B">
              <w:rPr>
                <w:rFonts w:asciiTheme="minorHAnsi" w:hAnsiTheme="minorHAnsi"/>
                <w:color w:val="000000"/>
                <w:sz w:val="20"/>
                <w:lang w:eastAsia="en-GB"/>
              </w:rPr>
              <w:t> </w:t>
            </w:r>
          </w:p>
        </w:tc>
        <w:tc>
          <w:tcPr>
            <w:tcW w:w="960" w:type="dxa"/>
            <w:tcBorders>
              <w:top w:val="single" w:sz="4" w:space="0" w:color="auto"/>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color w:val="000000"/>
                <w:sz w:val="20"/>
                <w:lang w:eastAsia="en-GB"/>
              </w:rPr>
            </w:pPr>
            <w:r w:rsidRPr="00D7090B">
              <w:rPr>
                <w:rFonts w:asciiTheme="minorHAnsi" w:hAnsiTheme="minorHAnsi"/>
                <w:color w:val="000000"/>
                <w:sz w:val="20"/>
                <w:lang w:eastAsia="en-GB"/>
              </w:rPr>
              <w:t> </w:t>
            </w:r>
          </w:p>
        </w:tc>
      </w:tr>
      <w:tr w:rsidR="00D7090B" w:rsidRPr="00D7090B" w:rsidTr="00D7090B">
        <w:trPr>
          <w:trHeight w:val="227"/>
        </w:trPr>
        <w:tc>
          <w:tcPr>
            <w:tcW w:w="1240" w:type="dxa"/>
            <w:vMerge/>
            <w:tcBorders>
              <w:top w:val="single" w:sz="4" w:space="0" w:color="auto"/>
              <w:left w:val="single" w:sz="4" w:space="0" w:color="auto"/>
              <w:bottom w:val="single" w:sz="4" w:space="0" w:color="000000"/>
              <w:right w:val="single" w:sz="4" w:space="0" w:color="auto"/>
            </w:tcBorders>
            <w:vAlign w:val="center"/>
            <w:hideMark/>
          </w:tcPr>
          <w:p w:rsidR="00D7090B" w:rsidRPr="00D7090B" w:rsidRDefault="00D7090B" w:rsidP="00D7090B">
            <w:pPr>
              <w:spacing w:before="0" w:line="240" w:lineRule="auto"/>
              <w:jc w:val="left"/>
              <w:rPr>
                <w:rFonts w:asciiTheme="minorHAnsi" w:hAnsiTheme="minorHAnsi"/>
                <w:b/>
                <w:bCs/>
                <w:color w:val="000000"/>
                <w:sz w:val="20"/>
                <w:lang w:eastAsia="en-GB"/>
              </w:rPr>
            </w:pPr>
          </w:p>
        </w:tc>
        <w:tc>
          <w:tcPr>
            <w:tcW w:w="1620" w:type="dxa"/>
            <w:vMerge/>
            <w:tcBorders>
              <w:top w:val="single" w:sz="4" w:space="0" w:color="auto"/>
              <w:left w:val="single" w:sz="4" w:space="0" w:color="auto"/>
              <w:bottom w:val="single" w:sz="4" w:space="0" w:color="000000"/>
              <w:right w:val="single" w:sz="4" w:space="0" w:color="auto"/>
            </w:tcBorders>
            <w:vAlign w:val="center"/>
            <w:hideMark/>
          </w:tcPr>
          <w:p w:rsidR="00D7090B" w:rsidRPr="00D7090B" w:rsidRDefault="00D7090B" w:rsidP="00D7090B">
            <w:pPr>
              <w:spacing w:before="0" w:line="240" w:lineRule="auto"/>
              <w:jc w:val="left"/>
              <w:rPr>
                <w:rFonts w:asciiTheme="minorHAnsi" w:hAnsiTheme="minorHAnsi"/>
                <w:b/>
                <w:bCs/>
                <w:color w:val="000000"/>
                <w:sz w:val="20"/>
                <w:lang w:eastAsia="en-GB"/>
              </w:rPr>
            </w:pPr>
          </w:p>
        </w:tc>
        <w:tc>
          <w:tcPr>
            <w:tcW w:w="1520" w:type="dxa"/>
            <w:tcBorders>
              <w:top w:val="nil"/>
              <w:left w:val="nil"/>
              <w:bottom w:val="single" w:sz="4" w:space="0" w:color="auto"/>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b/>
                <w:bCs/>
                <w:color w:val="000000"/>
                <w:sz w:val="20"/>
                <w:lang w:eastAsia="en-GB"/>
              </w:rPr>
            </w:pPr>
            <w:r w:rsidRPr="00D7090B">
              <w:rPr>
                <w:rFonts w:asciiTheme="minorHAnsi" w:hAnsiTheme="minorHAnsi"/>
                <w:b/>
                <w:bCs/>
                <w:color w:val="000000"/>
                <w:sz w:val="20"/>
                <w:lang w:eastAsia="en-GB"/>
              </w:rPr>
              <w:t>Atlantic-Central</w:t>
            </w:r>
          </w:p>
        </w:tc>
        <w:tc>
          <w:tcPr>
            <w:tcW w:w="1280" w:type="dxa"/>
            <w:tcBorders>
              <w:top w:val="nil"/>
              <w:left w:val="nil"/>
              <w:bottom w:val="single" w:sz="4" w:space="0" w:color="auto"/>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b/>
                <w:bCs/>
                <w:color w:val="000000"/>
                <w:sz w:val="20"/>
                <w:lang w:eastAsia="en-GB"/>
              </w:rPr>
            </w:pPr>
            <w:r w:rsidRPr="00D7090B">
              <w:rPr>
                <w:rFonts w:asciiTheme="minorHAnsi" w:hAnsiTheme="minorHAnsi"/>
                <w:b/>
                <w:bCs/>
                <w:color w:val="000000"/>
                <w:sz w:val="20"/>
                <w:lang w:eastAsia="en-GB"/>
              </w:rPr>
              <w:t>Nordic-Baltic</w:t>
            </w:r>
          </w:p>
        </w:tc>
        <w:tc>
          <w:tcPr>
            <w:tcW w:w="1480" w:type="dxa"/>
            <w:tcBorders>
              <w:top w:val="nil"/>
              <w:left w:val="nil"/>
              <w:bottom w:val="single" w:sz="4" w:space="0" w:color="auto"/>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b/>
                <w:bCs/>
                <w:color w:val="000000"/>
                <w:sz w:val="20"/>
                <w:lang w:eastAsia="en-GB"/>
              </w:rPr>
            </w:pPr>
            <w:r w:rsidRPr="00D7090B">
              <w:rPr>
                <w:rFonts w:asciiTheme="minorHAnsi" w:hAnsiTheme="minorHAnsi"/>
                <w:b/>
                <w:bCs/>
                <w:color w:val="000000"/>
                <w:sz w:val="20"/>
                <w:lang w:eastAsia="en-GB"/>
              </w:rPr>
              <w:t>Mediterranean</w:t>
            </w:r>
          </w:p>
        </w:tc>
        <w:tc>
          <w:tcPr>
            <w:tcW w:w="960" w:type="dxa"/>
            <w:tcBorders>
              <w:top w:val="nil"/>
              <w:left w:val="nil"/>
              <w:bottom w:val="single" w:sz="4" w:space="0" w:color="auto"/>
              <w:right w:val="single" w:sz="4" w:space="0" w:color="auto"/>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b/>
                <w:bCs/>
                <w:color w:val="000000"/>
                <w:sz w:val="20"/>
                <w:lang w:eastAsia="en-GB"/>
              </w:rPr>
            </w:pPr>
            <w:r w:rsidRPr="00D7090B">
              <w:rPr>
                <w:rFonts w:asciiTheme="minorHAnsi" w:hAnsiTheme="minorHAnsi"/>
                <w:b/>
                <w:bCs/>
                <w:color w:val="000000"/>
                <w:sz w:val="20"/>
                <w:lang w:eastAsia="en-GB"/>
              </w:rPr>
              <w:t>CEECs</w:t>
            </w:r>
          </w:p>
        </w:tc>
      </w:tr>
      <w:tr w:rsidR="00D7090B" w:rsidRPr="00D7090B" w:rsidTr="00D7090B">
        <w:trPr>
          <w:trHeight w:val="227"/>
        </w:trPr>
        <w:tc>
          <w:tcPr>
            <w:tcW w:w="1240" w:type="dxa"/>
            <w:vMerge w:val="restart"/>
            <w:tcBorders>
              <w:top w:val="nil"/>
              <w:left w:val="single" w:sz="4" w:space="0" w:color="auto"/>
              <w:bottom w:val="single" w:sz="4" w:space="0" w:color="000000"/>
              <w:right w:val="single" w:sz="4" w:space="0" w:color="auto"/>
            </w:tcBorders>
            <w:shd w:val="clear" w:color="auto" w:fill="auto"/>
            <w:vAlign w:val="center"/>
            <w:hideMark/>
          </w:tcPr>
          <w:p w:rsidR="00D7090B" w:rsidRPr="00D7090B" w:rsidRDefault="00D7090B" w:rsidP="00D7090B">
            <w:pPr>
              <w:spacing w:before="0" w:line="240" w:lineRule="auto"/>
              <w:jc w:val="center"/>
              <w:rPr>
                <w:rFonts w:asciiTheme="minorHAnsi" w:hAnsiTheme="minorHAnsi"/>
                <w:b/>
                <w:bCs/>
                <w:color w:val="000000"/>
                <w:sz w:val="20"/>
                <w:lang w:eastAsia="en-GB"/>
              </w:rPr>
            </w:pPr>
            <w:r w:rsidRPr="00D7090B">
              <w:rPr>
                <w:rFonts w:asciiTheme="minorHAnsi" w:hAnsiTheme="minorHAnsi"/>
                <w:b/>
                <w:bCs/>
                <w:color w:val="000000"/>
                <w:sz w:val="20"/>
                <w:lang w:eastAsia="en-GB"/>
              </w:rPr>
              <w:t>Agglom-eration</w:t>
            </w:r>
          </w:p>
        </w:tc>
        <w:tc>
          <w:tcPr>
            <w:tcW w:w="162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b/>
                <w:bCs/>
                <w:color w:val="000000"/>
                <w:sz w:val="20"/>
                <w:lang w:eastAsia="en-GB"/>
              </w:rPr>
            </w:pPr>
            <w:r w:rsidRPr="00D7090B">
              <w:rPr>
                <w:rFonts w:asciiTheme="minorHAnsi" w:hAnsiTheme="minorHAnsi"/>
                <w:b/>
                <w:bCs/>
                <w:color w:val="000000"/>
                <w:sz w:val="20"/>
                <w:lang w:eastAsia="en-GB"/>
              </w:rPr>
              <w:t>Density</w:t>
            </w:r>
          </w:p>
        </w:tc>
        <w:tc>
          <w:tcPr>
            <w:tcW w:w="152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0.269 </w:t>
            </w:r>
          </w:p>
        </w:tc>
        <w:tc>
          <w:tcPr>
            <w:tcW w:w="1280" w:type="dxa"/>
            <w:tcBorders>
              <w:top w:val="nil"/>
              <w:left w:val="nil"/>
              <w:bottom w:val="nil"/>
              <w:right w:val="nil"/>
            </w:tcBorders>
            <w:shd w:val="clear" w:color="000000" w:fill="BFBFBF"/>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0.009 </w:t>
            </w:r>
          </w:p>
        </w:tc>
        <w:tc>
          <w:tcPr>
            <w:tcW w:w="1480" w:type="dxa"/>
            <w:tcBorders>
              <w:top w:val="nil"/>
              <w:left w:val="nil"/>
              <w:bottom w:val="nil"/>
              <w:right w:val="nil"/>
            </w:tcBorders>
            <w:shd w:val="clear" w:color="000000" w:fill="BFBFBF"/>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-0.105 </w:t>
            </w:r>
          </w:p>
        </w:tc>
        <w:tc>
          <w:tcPr>
            <w:tcW w:w="96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-0.238 </w:t>
            </w:r>
          </w:p>
        </w:tc>
      </w:tr>
      <w:tr w:rsidR="00D7090B" w:rsidRPr="00D7090B" w:rsidTr="00D7090B">
        <w:trPr>
          <w:trHeight w:val="227"/>
        </w:trPr>
        <w:tc>
          <w:tcPr>
            <w:tcW w:w="1240" w:type="dxa"/>
            <w:vMerge/>
            <w:tcBorders>
              <w:top w:val="nil"/>
              <w:left w:val="single" w:sz="4" w:space="0" w:color="auto"/>
              <w:bottom w:val="single" w:sz="4" w:space="0" w:color="000000"/>
              <w:right w:val="single" w:sz="4" w:space="0" w:color="auto"/>
            </w:tcBorders>
            <w:vAlign w:val="center"/>
            <w:hideMark/>
          </w:tcPr>
          <w:p w:rsidR="00D7090B" w:rsidRPr="00D7090B" w:rsidRDefault="00D7090B" w:rsidP="00D7090B">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b/>
                <w:bCs/>
                <w:color w:val="000000"/>
                <w:sz w:val="20"/>
                <w:lang w:eastAsia="en-GB"/>
              </w:rPr>
            </w:pPr>
            <w:r w:rsidRPr="00D7090B">
              <w:rPr>
                <w:rFonts w:asciiTheme="minorHAnsi" w:hAnsiTheme="minorHAnsi"/>
                <w:b/>
                <w:bCs/>
                <w:color w:val="000000"/>
                <w:sz w:val="20"/>
                <w:lang w:eastAsia="en-GB"/>
              </w:rPr>
              <w:t>Access MM</w:t>
            </w:r>
          </w:p>
        </w:tc>
        <w:tc>
          <w:tcPr>
            <w:tcW w:w="152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-0.104 </w:t>
            </w:r>
          </w:p>
        </w:tc>
        <w:tc>
          <w:tcPr>
            <w:tcW w:w="1280" w:type="dxa"/>
            <w:tcBorders>
              <w:top w:val="nil"/>
              <w:left w:val="nil"/>
              <w:bottom w:val="nil"/>
              <w:right w:val="nil"/>
            </w:tcBorders>
            <w:shd w:val="clear" w:color="000000" w:fill="BFBFBF"/>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-0.210 </w:t>
            </w:r>
          </w:p>
        </w:tc>
        <w:tc>
          <w:tcPr>
            <w:tcW w:w="14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b/>
                <w:bCs/>
                <w:color w:val="000000"/>
                <w:sz w:val="20"/>
                <w:lang w:eastAsia="en-GB"/>
              </w:rPr>
            </w:pPr>
            <w:r w:rsidRPr="00D7090B">
              <w:rPr>
                <w:rFonts w:asciiTheme="minorHAnsi" w:hAnsiTheme="minorHAnsi"/>
                <w:b/>
                <w:bCs/>
                <w:color w:val="000000"/>
                <w:sz w:val="20"/>
                <w:lang w:eastAsia="en-GB"/>
              </w:rPr>
              <w:t xml:space="preserve">-0.559 </w:t>
            </w:r>
          </w:p>
        </w:tc>
        <w:tc>
          <w:tcPr>
            <w:tcW w:w="96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b/>
                <w:bCs/>
                <w:color w:val="000000"/>
                <w:sz w:val="20"/>
                <w:lang w:eastAsia="en-GB"/>
              </w:rPr>
            </w:pPr>
            <w:r w:rsidRPr="00D7090B">
              <w:rPr>
                <w:rFonts w:asciiTheme="minorHAnsi" w:hAnsiTheme="minorHAnsi"/>
                <w:b/>
                <w:bCs/>
                <w:color w:val="000000"/>
                <w:sz w:val="20"/>
                <w:lang w:eastAsia="en-GB"/>
              </w:rPr>
              <w:t xml:space="preserve">-0.607 </w:t>
            </w:r>
          </w:p>
        </w:tc>
      </w:tr>
      <w:tr w:rsidR="00D7090B" w:rsidRPr="00D7090B" w:rsidTr="00D7090B">
        <w:trPr>
          <w:trHeight w:val="227"/>
        </w:trPr>
        <w:tc>
          <w:tcPr>
            <w:tcW w:w="1240" w:type="dxa"/>
            <w:vMerge/>
            <w:tcBorders>
              <w:top w:val="nil"/>
              <w:left w:val="single" w:sz="4" w:space="0" w:color="auto"/>
              <w:bottom w:val="single" w:sz="4" w:space="0" w:color="000000"/>
              <w:right w:val="single" w:sz="4" w:space="0" w:color="auto"/>
            </w:tcBorders>
            <w:vAlign w:val="center"/>
            <w:hideMark/>
          </w:tcPr>
          <w:p w:rsidR="00D7090B" w:rsidRPr="00D7090B" w:rsidRDefault="00D7090B" w:rsidP="00D7090B">
            <w:pPr>
              <w:spacing w:before="0" w:line="240" w:lineRule="auto"/>
              <w:jc w:val="left"/>
              <w:rPr>
                <w:rFonts w:asciiTheme="minorHAnsi" w:hAnsiTheme="minorHAnsi"/>
                <w:b/>
                <w:bCs/>
                <w:color w:val="000000"/>
                <w:sz w:val="20"/>
                <w:lang w:eastAsia="en-GB"/>
              </w:rPr>
            </w:pPr>
          </w:p>
        </w:tc>
        <w:tc>
          <w:tcPr>
            <w:tcW w:w="1620" w:type="dxa"/>
            <w:tcBorders>
              <w:top w:val="nil"/>
              <w:left w:val="nil"/>
              <w:bottom w:val="single" w:sz="4" w:space="0" w:color="auto"/>
              <w:right w:val="single" w:sz="4" w:space="0" w:color="auto"/>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b/>
                <w:bCs/>
                <w:color w:val="000000"/>
                <w:sz w:val="20"/>
                <w:lang w:eastAsia="en-GB"/>
              </w:rPr>
            </w:pPr>
            <w:r w:rsidRPr="00D7090B">
              <w:rPr>
                <w:rFonts w:asciiTheme="minorHAnsi" w:hAnsiTheme="minorHAnsi"/>
                <w:b/>
                <w:bCs/>
                <w:color w:val="000000"/>
                <w:sz w:val="20"/>
                <w:lang w:eastAsia="en-GB"/>
              </w:rPr>
              <w:t>Access RD</w:t>
            </w:r>
          </w:p>
        </w:tc>
        <w:tc>
          <w:tcPr>
            <w:tcW w:w="1520" w:type="dxa"/>
            <w:tcBorders>
              <w:top w:val="nil"/>
              <w:left w:val="nil"/>
              <w:bottom w:val="single" w:sz="4" w:space="0" w:color="auto"/>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-0.237 </w:t>
            </w:r>
          </w:p>
        </w:tc>
        <w:tc>
          <w:tcPr>
            <w:tcW w:w="1280" w:type="dxa"/>
            <w:tcBorders>
              <w:top w:val="nil"/>
              <w:left w:val="nil"/>
              <w:bottom w:val="single" w:sz="4" w:space="0" w:color="auto"/>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b/>
                <w:bCs/>
                <w:color w:val="000000"/>
                <w:sz w:val="20"/>
                <w:lang w:eastAsia="en-GB"/>
              </w:rPr>
            </w:pPr>
            <w:r w:rsidRPr="00D7090B">
              <w:rPr>
                <w:rFonts w:asciiTheme="minorHAnsi" w:hAnsiTheme="minorHAnsi"/>
                <w:b/>
                <w:bCs/>
                <w:color w:val="000000"/>
                <w:sz w:val="20"/>
                <w:lang w:eastAsia="en-GB"/>
              </w:rPr>
              <w:t xml:space="preserve">0.601 </w:t>
            </w:r>
          </w:p>
        </w:tc>
        <w:tc>
          <w:tcPr>
            <w:tcW w:w="1480" w:type="dxa"/>
            <w:tcBorders>
              <w:top w:val="nil"/>
              <w:left w:val="nil"/>
              <w:bottom w:val="single" w:sz="4" w:space="0" w:color="auto"/>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b/>
                <w:bCs/>
                <w:color w:val="000000"/>
                <w:sz w:val="20"/>
                <w:lang w:eastAsia="en-GB"/>
              </w:rPr>
            </w:pPr>
            <w:r w:rsidRPr="00D7090B">
              <w:rPr>
                <w:rFonts w:asciiTheme="minorHAnsi" w:hAnsiTheme="minorHAnsi"/>
                <w:b/>
                <w:bCs/>
                <w:color w:val="000000"/>
                <w:sz w:val="20"/>
                <w:lang w:eastAsia="en-GB"/>
              </w:rPr>
              <w:t xml:space="preserve">-0.664 </w:t>
            </w:r>
          </w:p>
        </w:tc>
        <w:tc>
          <w:tcPr>
            <w:tcW w:w="960" w:type="dxa"/>
            <w:tcBorders>
              <w:top w:val="nil"/>
              <w:left w:val="nil"/>
              <w:bottom w:val="single" w:sz="4" w:space="0" w:color="auto"/>
              <w:right w:val="single" w:sz="4" w:space="0" w:color="auto"/>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b/>
                <w:bCs/>
                <w:color w:val="000000"/>
                <w:sz w:val="20"/>
                <w:lang w:eastAsia="en-GB"/>
              </w:rPr>
            </w:pPr>
            <w:r w:rsidRPr="00D7090B">
              <w:rPr>
                <w:rFonts w:asciiTheme="minorHAnsi" w:hAnsiTheme="minorHAnsi"/>
                <w:b/>
                <w:bCs/>
                <w:color w:val="000000"/>
                <w:sz w:val="20"/>
                <w:lang w:eastAsia="en-GB"/>
              </w:rPr>
              <w:t xml:space="preserve">-0.641 </w:t>
            </w:r>
          </w:p>
        </w:tc>
      </w:tr>
      <w:tr w:rsidR="00D7090B" w:rsidRPr="00D7090B" w:rsidTr="00D7090B">
        <w:trPr>
          <w:trHeight w:val="227"/>
        </w:trPr>
        <w:tc>
          <w:tcPr>
            <w:tcW w:w="1240" w:type="dxa"/>
            <w:tcBorders>
              <w:top w:val="nil"/>
              <w:left w:val="single" w:sz="4" w:space="0" w:color="auto"/>
              <w:bottom w:val="single" w:sz="4" w:space="0" w:color="auto"/>
              <w:right w:val="single" w:sz="4" w:space="0" w:color="auto"/>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b/>
                <w:bCs/>
                <w:color w:val="000000"/>
                <w:sz w:val="20"/>
                <w:lang w:eastAsia="en-GB"/>
              </w:rPr>
            </w:pPr>
            <w:r w:rsidRPr="00D7090B">
              <w:rPr>
                <w:rFonts w:asciiTheme="minorHAnsi" w:hAnsiTheme="minorHAnsi"/>
                <w:b/>
                <w:bCs/>
                <w:color w:val="000000"/>
                <w:sz w:val="20"/>
                <w:lang w:eastAsia="en-GB"/>
              </w:rPr>
              <w:t>Productivity</w:t>
            </w:r>
          </w:p>
        </w:tc>
        <w:tc>
          <w:tcPr>
            <w:tcW w:w="1620" w:type="dxa"/>
            <w:tcBorders>
              <w:top w:val="nil"/>
              <w:left w:val="nil"/>
              <w:bottom w:val="single" w:sz="4" w:space="0" w:color="auto"/>
              <w:right w:val="single" w:sz="4" w:space="0" w:color="auto"/>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b/>
                <w:bCs/>
                <w:color w:val="000000"/>
                <w:sz w:val="20"/>
                <w:lang w:eastAsia="en-GB"/>
              </w:rPr>
            </w:pPr>
            <w:r w:rsidRPr="00D7090B">
              <w:rPr>
                <w:rFonts w:asciiTheme="minorHAnsi" w:hAnsiTheme="minorHAnsi"/>
                <w:b/>
                <w:bCs/>
                <w:color w:val="000000"/>
                <w:sz w:val="20"/>
                <w:lang w:eastAsia="en-GB"/>
              </w:rPr>
              <w:t>GDP PPS HAB</w:t>
            </w:r>
          </w:p>
        </w:tc>
        <w:tc>
          <w:tcPr>
            <w:tcW w:w="1520" w:type="dxa"/>
            <w:tcBorders>
              <w:top w:val="nil"/>
              <w:left w:val="nil"/>
              <w:bottom w:val="single" w:sz="4" w:space="0" w:color="auto"/>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-0.155 </w:t>
            </w:r>
          </w:p>
        </w:tc>
        <w:tc>
          <w:tcPr>
            <w:tcW w:w="1280" w:type="dxa"/>
            <w:tcBorders>
              <w:top w:val="single" w:sz="4" w:space="0" w:color="auto"/>
              <w:left w:val="nil"/>
              <w:bottom w:val="single" w:sz="4" w:space="0" w:color="auto"/>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b/>
                <w:bCs/>
                <w:color w:val="000000"/>
                <w:sz w:val="20"/>
                <w:lang w:eastAsia="en-GB"/>
              </w:rPr>
            </w:pPr>
            <w:r w:rsidRPr="00D7090B">
              <w:rPr>
                <w:rFonts w:asciiTheme="minorHAnsi" w:hAnsiTheme="minorHAnsi"/>
                <w:b/>
                <w:bCs/>
                <w:color w:val="000000"/>
                <w:sz w:val="20"/>
                <w:lang w:eastAsia="en-GB"/>
              </w:rPr>
              <w:t xml:space="preserve">-0.586 </w:t>
            </w:r>
          </w:p>
        </w:tc>
        <w:tc>
          <w:tcPr>
            <w:tcW w:w="1480" w:type="dxa"/>
            <w:tcBorders>
              <w:top w:val="single" w:sz="4" w:space="0" w:color="auto"/>
              <w:left w:val="nil"/>
              <w:bottom w:val="single" w:sz="4" w:space="0" w:color="auto"/>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b/>
                <w:bCs/>
                <w:color w:val="000000"/>
                <w:sz w:val="20"/>
                <w:lang w:eastAsia="en-GB"/>
              </w:rPr>
            </w:pPr>
            <w:r w:rsidRPr="00D7090B">
              <w:rPr>
                <w:rFonts w:asciiTheme="minorHAnsi" w:hAnsiTheme="minorHAnsi"/>
                <w:b/>
                <w:bCs/>
                <w:color w:val="000000"/>
                <w:sz w:val="20"/>
                <w:lang w:eastAsia="en-GB"/>
              </w:rPr>
              <w:t xml:space="preserve">-0.612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b/>
                <w:bCs/>
                <w:color w:val="000000"/>
                <w:sz w:val="20"/>
                <w:lang w:eastAsia="en-GB"/>
              </w:rPr>
            </w:pPr>
            <w:r w:rsidRPr="00D7090B">
              <w:rPr>
                <w:rFonts w:asciiTheme="minorHAnsi" w:hAnsiTheme="minorHAnsi"/>
                <w:b/>
                <w:bCs/>
                <w:color w:val="000000"/>
                <w:sz w:val="20"/>
                <w:lang w:eastAsia="en-GB"/>
              </w:rPr>
              <w:t xml:space="preserve">-0.528 </w:t>
            </w:r>
          </w:p>
        </w:tc>
      </w:tr>
      <w:tr w:rsidR="00D7090B" w:rsidRPr="00D7090B" w:rsidTr="00D7090B">
        <w:trPr>
          <w:trHeight w:val="227"/>
        </w:trPr>
        <w:tc>
          <w:tcPr>
            <w:tcW w:w="1240" w:type="dxa"/>
            <w:vMerge w:val="restart"/>
            <w:tcBorders>
              <w:top w:val="nil"/>
              <w:left w:val="single" w:sz="4" w:space="0" w:color="auto"/>
              <w:bottom w:val="single" w:sz="4" w:space="0" w:color="000000"/>
              <w:right w:val="single" w:sz="4" w:space="0" w:color="auto"/>
            </w:tcBorders>
            <w:shd w:val="clear" w:color="auto" w:fill="auto"/>
            <w:vAlign w:val="center"/>
            <w:hideMark/>
          </w:tcPr>
          <w:p w:rsidR="00D7090B" w:rsidRPr="00D7090B" w:rsidRDefault="00D7090B" w:rsidP="00D7090B">
            <w:pPr>
              <w:spacing w:before="0" w:line="240" w:lineRule="auto"/>
              <w:jc w:val="center"/>
              <w:rPr>
                <w:rFonts w:asciiTheme="minorHAnsi" w:hAnsiTheme="minorHAnsi"/>
                <w:b/>
                <w:bCs/>
                <w:color w:val="000000"/>
                <w:sz w:val="20"/>
                <w:lang w:eastAsia="en-GB"/>
              </w:rPr>
            </w:pPr>
            <w:r w:rsidRPr="00D7090B">
              <w:rPr>
                <w:rFonts w:asciiTheme="minorHAnsi" w:hAnsiTheme="minorHAnsi"/>
                <w:b/>
                <w:bCs/>
                <w:color w:val="000000"/>
                <w:sz w:val="20"/>
                <w:lang w:eastAsia="en-GB"/>
              </w:rPr>
              <w:t>Labour Market</w:t>
            </w:r>
          </w:p>
        </w:tc>
        <w:tc>
          <w:tcPr>
            <w:tcW w:w="162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b/>
                <w:bCs/>
                <w:color w:val="000000"/>
                <w:sz w:val="20"/>
                <w:lang w:eastAsia="en-GB"/>
              </w:rPr>
            </w:pPr>
            <w:r w:rsidRPr="00D7090B">
              <w:rPr>
                <w:rFonts w:asciiTheme="minorHAnsi" w:hAnsiTheme="minorHAnsi"/>
                <w:b/>
                <w:bCs/>
                <w:color w:val="000000"/>
                <w:sz w:val="20"/>
                <w:lang w:eastAsia="en-GB"/>
              </w:rPr>
              <w:t>Unemp(Reg)</w:t>
            </w:r>
          </w:p>
        </w:tc>
        <w:tc>
          <w:tcPr>
            <w:tcW w:w="1520" w:type="dxa"/>
            <w:tcBorders>
              <w:top w:val="nil"/>
              <w:left w:val="single" w:sz="4" w:space="0" w:color="auto"/>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b/>
                <w:bCs/>
                <w:color w:val="000000"/>
                <w:sz w:val="20"/>
                <w:lang w:eastAsia="en-GB"/>
              </w:rPr>
            </w:pPr>
            <w:r w:rsidRPr="00D7090B">
              <w:rPr>
                <w:rFonts w:asciiTheme="minorHAnsi" w:hAnsiTheme="minorHAnsi"/>
                <w:b/>
                <w:bCs/>
                <w:color w:val="000000"/>
                <w:sz w:val="20"/>
                <w:lang w:eastAsia="en-GB"/>
              </w:rPr>
              <w:t xml:space="preserve">0.594 </w:t>
            </w:r>
          </w:p>
        </w:tc>
        <w:tc>
          <w:tcPr>
            <w:tcW w:w="12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b/>
                <w:bCs/>
                <w:color w:val="000000"/>
                <w:sz w:val="20"/>
                <w:lang w:eastAsia="en-GB"/>
              </w:rPr>
            </w:pPr>
            <w:r w:rsidRPr="00D7090B">
              <w:rPr>
                <w:rFonts w:asciiTheme="minorHAnsi" w:hAnsiTheme="minorHAnsi"/>
                <w:b/>
                <w:bCs/>
                <w:color w:val="000000"/>
                <w:sz w:val="20"/>
                <w:lang w:eastAsia="en-GB"/>
              </w:rPr>
              <w:t xml:space="preserve">0.825 </w:t>
            </w:r>
          </w:p>
        </w:tc>
        <w:tc>
          <w:tcPr>
            <w:tcW w:w="14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0.474 </w:t>
            </w:r>
          </w:p>
        </w:tc>
        <w:tc>
          <w:tcPr>
            <w:tcW w:w="960" w:type="dxa"/>
            <w:tcBorders>
              <w:top w:val="nil"/>
              <w:left w:val="nil"/>
              <w:bottom w:val="nil"/>
              <w:right w:val="single" w:sz="4" w:space="0" w:color="auto"/>
            </w:tcBorders>
            <w:shd w:val="clear" w:color="000000" w:fill="BFBFBF"/>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0.111 </w:t>
            </w:r>
          </w:p>
        </w:tc>
      </w:tr>
      <w:tr w:rsidR="00D7090B" w:rsidRPr="00D7090B" w:rsidTr="00D7090B">
        <w:trPr>
          <w:trHeight w:val="227"/>
        </w:trPr>
        <w:tc>
          <w:tcPr>
            <w:tcW w:w="1240" w:type="dxa"/>
            <w:vMerge/>
            <w:tcBorders>
              <w:top w:val="nil"/>
              <w:left w:val="single" w:sz="4" w:space="0" w:color="auto"/>
              <w:bottom w:val="single" w:sz="4" w:space="0" w:color="000000"/>
              <w:right w:val="single" w:sz="4" w:space="0" w:color="auto"/>
            </w:tcBorders>
            <w:vAlign w:val="center"/>
            <w:hideMark/>
          </w:tcPr>
          <w:p w:rsidR="00D7090B" w:rsidRPr="00D7090B" w:rsidRDefault="00D7090B" w:rsidP="00D7090B">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b/>
                <w:bCs/>
                <w:color w:val="000000"/>
                <w:sz w:val="20"/>
                <w:lang w:eastAsia="en-GB"/>
              </w:rPr>
            </w:pPr>
            <w:r w:rsidRPr="00D7090B">
              <w:rPr>
                <w:rFonts w:asciiTheme="minorHAnsi" w:hAnsiTheme="minorHAnsi"/>
                <w:b/>
                <w:bCs/>
                <w:color w:val="000000"/>
                <w:sz w:val="20"/>
                <w:lang w:eastAsia="en-GB"/>
              </w:rPr>
              <w:t>Unemp(Cen)</w:t>
            </w:r>
          </w:p>
        </w:tc>
        <w:tc>
          <w:tcPr>
            <w:tcW w:w="152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0.412 </w:t>
            </w:r>
          </w:p>
        </w:tc>
        <w:tc>
          <w:tcPr>
            <w:tcW w:w="12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b/>
                <w:bCs/>
                <w:color w:val="000000"/>
                <w:sz w:val="20"/>
                <w:lang w:eastAsia="en-GB"/>
              </w:rPr>
            </w:pPr>
            <w:r w:rsidRPr="00D7090B">
              <w:rPr>
                <w:rFonts w:asciiTheme="minorHAnsi" w:hAnsiTheme="minorHAnsi"/>
                <w:b/>
                <w:bCs/>
                <w:color w:val="000000"/>
                <w:sz w:val="20"/>
                <w:lang w:eastAsia="en-GB"/>
              </w:rPr>
              <w:t xml:space="preserve">0.811 </w:t>
            </w:r>
          </w:p>
        </w:tc>
        <w:tc>
          <w:tcPr>
            <w:tcW w:w="14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b/>
                <w:bCs/>
                <w:color w:val="000000"/>
                <w:sz w:val="20"/>
                <w:lang w:eastAsia="en-GB"/>
              </w:rPr>
            </w:pPr>
            <w:r w:rsidRPr="00D7090B">
              <w:rPr>
                <w:rFonts w:asciiTheme="minorHAnsi" w:hAnsiTheme="minorHAnsi"/>
                <w:b/>
                <w:bCs/>
                <w:color w:val="000000"/>
                <w:sz w:val="20"/>
                <w:lang w:eastAsia="en-GB"/>
              </w:rPr>
              <w:t xml:space="preserve">0.638 </w:t>
            </w:r>
          </w:p>
        </w:tc>
        <w:tc>
          <w:tcPr>
            <w:tcW w:w="960" w:type="dxa"/>
            <w:tcBorders>
              <w:top w:val="nil"/>
              <w:left w:val="nil"/>
              <w:bottom w:val="nil"/>
              <w:right w:val="single" w:sz="4" w:space="0" w:color="auto"/>
            </w:tcBorders>
            <w:shd w:val="clear" w:color="000000" w:fill="BFBFBF"/>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0.055 </w:t>
            </w:r>
          </w:p>
        </w:tc>
      </w:tr>
      <w:tr w:rsidR="00D7090B" w:rsidRPr="00D7090B" w:rsidTr="00D7090B">
        <w:trPr>
          <w:trHeight w:val="227"/>
        </w:trPr>
        <w:tc>
          <w:tcPr>
            <w:tcW w:w="1240" w:type="dxa"/>
            <w:vMerge/>
            <w:tcBorders>
              <w:top w:val="nil"/>
              <w:left w:val="single" w:sz="4" w:space="0" w:color="auto"/>
              <w:bottom w:val="single" w:sz="4" w:space="0" w:color="000000"/>
              <w:right w:val="single" w:sz="4" w:space="0" w:color="auto"/>
            </w:tcBorders>
            <w:vAlign w:val="center"/>
            <w:hideMark/>
          </w:tcPr>
          <w:p w:rsidR="00D7090B" w:rsidRPr="00D7090B" w:rsidRDefault="00D7090B" w:rsidP="00D7090B">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b/>
                <w:bCs/>
                <w:color w:val="000000"/>
                <w:sz w:val="20"/>
                <w:lang w:eastAsia="en-GB"/>
              </w:rPr>
            </w:pPr>
            <w:r w:rsidRPr="00D7090B">
              <w:rPr>
                <w:rFonts w:asciiTheme="minorHAnsi" w:hAnsiTheme="minorHAnsi"/>
                <w:b/>
                <w:bCs/>
                <w:color w:val="000000"/>
                <w:sz w:val="20"/>
                <w:lang w:eastAsia="en-GB"/>
              </w:rPr>
              <w:t>Yunemp(Reg)</w:t>
            </w:r>
          </w:p>
        </w:tc>
        <w:tc>
          <w:tcPr>
            <w:tcW w:w="152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0.464 </w:t>
            </w:r>
          </w:p>
        </w:tc>
        <w:tc>
          <w:tcPr>
            <w:tcW w:w="12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b/>
                <w:bCs/>
                <w:color w:val="000000"/>
                <w:sz w:val="20"/>
                <w:lang w:eastAsia="en-GB"/>
              </w:rPr>
            </w:pPr>
            <w:r w:rsidRPr="00D7090B">
              <w:rPr>
                <w:rFonts w:asciiTheme="minorHAnsi" w:hAnsiTheme="minorHAnsi"/>
                <w:b/>
                <w:bCs/>
                <w:color w:val="000000"/>
                <w:sz w:val="20"/>
                <w:lang w:eastAsia="en-GB"/>
              </w:rPr>
              <w:t xml:space="preserve">0.842 </w:t>
            </w:r>
          </w:p>
        </w:tc>
        <w:tc>
          <w:tcPr>
            <w:tcW w:w="14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0.288 </w:t>
            </w:r>
          </w:p>
        </w:tc>
        <w:tc>
          <w:tcPr>
            <w:tcW w:w="960" w:type="dxa"/>
            <w:tcBorders>
              <w:top w:val="nil"/>
              <w:left w:val="nil"/>
              <w:bottom w:val="nil"/>
              <w:right w:val="single" w:sz="4" w:space="0" w:color="auto"/>
            </w:tcBorders>
            <w:shd w:val="clear" w:color="000000" w:fill="BFBFBF"/>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0.139 </w:t>
            </w:r>
          </w:p>
        </w:tc>
      </w:tr>
      <w:tr w:rsidR="00D7090B" w:rsidRPr="00D7090B" w:rsidTr="00D7090B">
        <w:trPr>
          <w:trHeight w:val="227"/>
        </w:trPr>
        <w:tc>
          <w:tcPr>
            <w:tcW w:w="1240" w:type="dxa"/>
            <w:vMerge/>
            <w:tcBorders>
              <w:top w:val="nil"/>
              <w:left w:val="single" w:sz="4" w:space="0" w:color="auto"/>
              <w:bottom w:val="single" w:sz="4" w:space="0" w:color="000000"/>
              <w:right w:val="single" w:sz="4" w:space="0" w:color="auto"/>
            </w:tcBorders>
            <w:vAlign w:val="center"/>
            <w:hideMark/>
          </w:tcPr>
          <w:p w:rsidR="00D7090B" w:rsidRPr="00D7090B" w:rsidRDefault="00D7090B" w:rsidP="00D7090B">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b/>
                <w:bCs/>
                <w:color w:val="000000"/>
                <w:sz w:val="20"/>
                <w:lang w:eastAsia="en-GB"/>
              </w:rPr>
            </w:pPr>
            <w:r w:rsidRPr="00D7090B">
              <w:rPr>
                <w:rFonts w:asciiTheme="minorHAnsi" w:hAnsiTheme="minorHAnsi"/>
                <w:b/>
                <w:bCs/>
                <w:color w:val="000000"/>
                <w:sz w:val="20"/>
                <w:lang w:eastAsia="en-GB"/>
              </w:rPr>
              <w:t>Yunemp(Cen)</w:t>
            </w:r>
          </w:p>
        </w:tc>
        <w:tc>
          <w:tcPr>
            <w:tcW w:w="152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0.357 </w:t>
            </w:r>
          </w:p>
        </w:tc>
        <w:tc>
          <w:tcPr>
            <w:tcW w:w="12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b/>
                <w:bCs/>
                <w:color w:val="000000"/>
                <w:sz w:val="20"/>
                <w:lang w:eastAsia="en-GB"/>
              </w:rPr>
            </w:pPr>
            <w:r w:rsidRPr="00D7090B">
              <w:rPr>
                <w:rFonts w:asciiTheme="minorHAnsi" w:hAnsiTheme="minorHAnsi"/>
                <w:b/>
                <w:bCs/>
                <w:color w:val="000000"/>
                <w:sz w:val="20"/>
                <w:lang w:eastAsia="en-GB"/>
              </w:rPr>
              <w:t xml:space="preserve">0.782 </w:t>
            </w:r>
          </w:p>
        </w:tc>
        <w:tc>
          <w:tcPr>
            <w:tcW w:w="14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0.410 </w:t>
            </w:r>
          </w:p>
        </w:tc>
        <w:tc>
          <w:tcPr>
            <w:tcW w:w="96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0.244 </w:t>
            </w:r>
          </w:p>
        </w:tc>
      </w:tr>
      <w:tr w:rsidR="00D7090B" w:rsidRPr="00D7090B" w:rsidTr="00D7090B">
        <w:trPr>
          <w:trHeight w:val="227"/>
        </w:trPr>
        <w:tc>
          <w:tcPr>
            <w:tcW w:w="1240" w:type="dxa"/>
            <w:vMerge/>
            <w:tcBorders>
              <w:top w:val="nil"/>
              <w:left w:val="single" w:sz="4" w:space="0" w:color="auto"/>
              <w:bottom w:val="single" w:sz="4" w:space="0" w:color="000000"/>
              <w:right w:val="single" w:sz="4" w:space="0" w:color="auto"/>
            </w:tcBorders>
            <w:vAlign w:val="center"/>
            <w:hideMark/>
          </w:tcPr>
          <w:p w:rsidR="00D7090B" w:rsidRPr="00D7090B" w:rsidRDefault="00D7090B" w:rsidP="00D7090B">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b/>
                <w:bCs/>
                <w:color w:val="000000"/>
                <w:sz w:val="20"/>
                <w:lang w:eastAsia="en-GB"/>
              </w:rPr>
            </w:pPr>
            <w:r w:rsidRPr="00D7090B">
              <w:rPr>
                <w:rFonts w:asciiTheme="minorHAnsi" w:hAnsiTheme="minorHAnsi"/>
                <w:b/>
                <w:bCs/>
                <w:color w:val="000000"/>
                <w:sz w:val="20"/>
                <w:lang w:eastAsia="en-GB"/>
              </w:rPr>
              <w:t>LTUnemp(Reg)</w:t>
            </w:r>
          </w:p>
        </w:tc>
        <w:tc>
          <w:tcPr>
            <w:tcW w:w="152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0.489 </w:t>
            </w:r>
          </w:p>
        </w:tc>
        <w:tc>
          <w:tcPr>
            <w:tcW w:w="12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b/>
                <w:bCs/>
                <w:color w:val="000000"/>
                <w:sz w:val="20"/>
                <w:lang w:eastAsia="en-GB"/>
              </w:rPr>
            </w:pPr>
            <w:r w:rsidRPr="00D7090B">
              <w:rPr>
                <w:rFonts w:asciiTheme="minorHAnsi" w:hAnsiTheme="minorHAnsi"/>
                <w:b/>
                <w:bCs/>
                <w:color w:val="000000"/>
                <w:sz w:val="20"/>
                <w:lang w:eastAsia="en-GB"/>
              </w:rPr>
              <w:t xml:space="preserve">0.644 </w:t>
            </w:r>
          </w:p>
        </w:tc>
        <w:tc>
          <w:tcPr>
            <w:tcW w:w="14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0.205 </w:t>
            </w:r>
          </w:p>
        </w:tc>
        <w:tc>
          <w:tcPr>
            <w:tcW w:w="960" w:type="dxa"/>
            <w:tcBorders>
              <w:top w:val="nil"/>
              <w:left w:val="nil"/>
              <w:bottom w:val="nil"/>
              <w:right w:val="single" w:sz="4" w:space="0" w:color="auto"/>
            </w:tcBorders>
            <w:shd w:val="clear" w:color="000000" w:fill="BFBFBF"/>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0.077 </w:t>
            </w:r>
          </w:p>
        </w:tc>
      </w:tr>
      <w:tr w:rsidR="00D7090B" w:rsidRPr="00D7090B" w:rsidTr="00D7090B">
        <w:trPr>
          <w:trHeight w:val="227"/>
        </w:trPr>
        <w:tc>
          <w:tcPr>
            <w:tcW w:w="1240" w:type="dxa"/>
            <w:vMerge/>
            <w:tcBorders>
              <w:top w:val="nil"/>
              <w:left w:val="single" w:sz="4" w:space="0" w:color="auto"/>
              <w:bottom w:val="single" w:sz="4" w:space="0" w:color="000000"/>
              <w:right w:val="single" w:sz="4" w:space="0" w:color="auto"/>
            </w:tcBorders>
            <w:vAlign w:val="center"/>
            <w:hideMark/>
          </w:tcPr>
          <w:p w:rsidR="00D7090B" w:rsidRPr="00D7090B" w:rsidRDefault="00D7090B" w:rsidP="00D7090B">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b/>
                <w:bCs/>
                <w:color w:val="000000"/>
                <w:sz w:val="20"/>
                <w:lang w:eastAsia="en-GB"/>
              </w:rPr>
            </w:pPr>
            <w:r w:rsidRPr="00D7090B">
              <w:rPr>
                <w:rFonts w:asciiTheme="minorHAnsi" w:hAnsiTheme="minorHAnsi"/>
                <w:b/>
                <w:bCs/>
                <w:color w:val="000000"/>
                <w:sz w:val="20"/>
                <w:lang w:eastAsia="en-GB"/>
              </w:rPr>
              <w:t>EARate</w:t>
            </w:r>
          </w:p>
        </w:tc>
        <w:tc>
          <w:tcPr>
            <w:tcW w:w="152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-0.145 </w:t>
            </w:r>
          </w:p>
        </w:tc>
        <w:tc>
          <w:tcPr>
            <w:tcW w:w="12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b/>
                <w:bCs/>
                <w:color w:val="000000"/>
                <w:sz w:val="20"/>
                <w:lang w:eastAsia="en-GB"/>
              </w:rPr>
            </w:pPr>
            <w:r w:rsidRPr="00D7090B">
              <w:rPr>
                <w:rFonts w:asciiTheme="minorHAnsi" w:hAnsiTheme="minorHAnsi"/>
                <w:b/>
                <w:bCs/>
                <w:color w:val="000000"/>
                <w:sz w:val="20"/>
                <w:lang w:eastAsia="en-GB"/>
              </w:rPr>
              <w:t xml:space="preserve">-0.550 </w:t>
            </w:r>
          </w:p>
        </w:tc>
        <w:tc>
          <w:tcPr>
            <w:tcW w:w="14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-0.331 </w:t>
            </w:r>
          </w:p>
        </w:tc>
        <w:tc>
          <w:tcPr>
            <w:tcW w:w="960" w:type="dxa"/>
            <w:tcBorders>
              <w:top w:val="nil"/>
              <w:left w:val="nil"/>
              <w:bottom w:val="nil"/>
              <w:right w:val="single" w:sz="4" w:space="0" w:color="auto"/>
            </w:tcBorders>
            <w:shd w:val="clear" w:color="000000" w:fill="BFBFBF"/>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-0.014 </w:t>
            </w:r>
          </w:p>
        </w:tc>
      </w:tr>
      <w:tr w:rsidR="00D7090B" w:rsidRPr="00D7090B" w:rsidTr="00D7090B">
        <w:trPr>
          <w:trHeight w:val="227"/>
        </w:trPr>
        <w:tc>
          <w:tcPr>
            <w:tcW w:w="1240" w:type="dxa"/>
            <w:vMerge/>
            <w:tcBorders>
              <w:top w:val="nil"/>
              <w:left w:val="single" w:sz="4" w:space="0" w:color="auto"/>
              <w:bottom w:val="single" w:sz="4" w:space="0" w:color="000000"/>
              <w:right w:val="single" w:sz="4" w:space="0" w:color="auto"/>
            </w:tcBorders>
            <w:vAlign w:val="center"/>
            <w:hideMark/>
          </w:tcPr>
          <w:p w:rsidR="00D7090B" w:rsidRPr="00D7090B" w:rsidRDefault="00D7090B" w:rsidP="00D7090B">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b/>
                <w:bCs/>
                <w:color w:val="000000"/>
                <w:sz w:val="20"/>
                <w:lang w:eastAsia="en-GB"/>
              </w:rPr>
            </w:pPr>
            <w:r w:rsidRPr="00D7090B">
              <w:rPr>
                <w:rFonts w:asciiTheme="minorHAnsi" w:hAnsiTheme="minorHAnsi"/>
                <w:b/>
                <w:bCs/>
                <w:color w:val="000000"/>
                <w:sz w:val="20"/>
                <w:lang w:eastAsia="en-GB"/>
              </w:rPr>
              <w:t xml:space="preserve">Inactivity </w:t>
            </w:r>
          </w:p>
        </w:tc>
        <w:tc>
          <w:tcPr>
            <w:tcW w:w="152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0.098 </w:t>
            </w:r>
          </w:p>
        </w:tc>
        <w:tc>
          <w:tcPr>
            <w:tcW w:w="12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0.386 </w:t>
            </w:r>
          </w:p>
        </w:tc>
        <w:tc>
          <w:tcPr>
            <w:tcW w:w="1480" w:type="dxa"/>
            <w:tcBorders>
              <w:top w:val="nil"/>
              <w:left w:val="nil"/>
              <w:bottom w:val="nil"/>
              <w:right w:val="nil"/>
            </w:tcBorders>
            <w:shd w:val="clear" w:color="000000" w:fill="BFBFBF"/>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0.060 </w:t>
            </w:r>
          </w:p>
        </w:tc>
        <w:tc>
          <w:tcPr>
            <w:tcW w:w="96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0.201 </w:t>
            </w:r>
          </w:p>
        </w:tc>
      </w:tr>
      <w:tr w:rsidR="00D7090B" w:rsidRPr="00D7090B" w:rsidTr="00D7090B">
        <w:trPr>
          <w:trHeight w:val="227"/>
        </w:trPr>
        <w:tc>
          <w:tcPr>
            <w:tcW w:w="1240" w:type="dxa"/>
            <w:vMerge/>
            <w:tcBorders>
              <w:top w:val="nil"/>
              <w:left w:val="single" w:sz="4" w:space="0" w:color="auto"/>
              <w:bottom w:val="single" w:sz="4" w:space="0" w:color="000000"/>
              <w:right w:val="single" w:sz="4" w:space="0" w:color="auto"/>
            </w:tcBorders>
            <w:vAlign w:val="center"/>
            <w:hideMark/>
          </w:tcPr>
          <w:p w:rsidR="00D7090B" w:rsidRPr="00D7090B" w:rsidRDefault="00D7090B" w:rsidP="00D7090B">
            <w:pPr>
              <w:spacing w:before="0" w:line="240" w:lineRule="auto"/>
              <w:jc w:val="left"/>
              <w:rPr>
                <w:rFonts w:asciiTheme="minorHAnsi" w:hAnsiTheme="minorHAnsi"/>
                <w:b/>
                <w:bCs/>
                <w:color w:val="000000"/>
                <w:sz w:val="20"/>
                <w:lang w:eastAsia="en-GB"/>
              </w:rPr>
            </w:pPr>
          </w:p>
        </w:tc>
        <w:tc>
          <w:tcPr>
            <w:tcW w:w="1620" w:type="dxa"/>
            <w:tcBorders>
              <w:top w:val="nil"/>
              <w:left w:val="nil"/>
              <w:bottom w:val="single" w:sz="4" w:space="0" w:color="auto"/>
              <w:right w:val="single" w:sz="4" w:space="0" w:color="auto"/>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b/>
                <w:bCs/>
                <w:color w:val="000000"/>
                <w:sz w:val="20"/>
                <w:lang w:eastAsia="en-GB"/>
              </w:rPr>
            </w:pPr>
            <w:r w:rsidRPr="00D7090B">
              <w:rPr>
                <w:rFonts w:asciiTheme="minorHAnsi" w:hAnsiTheme="minorHAnsi"/>
                <w:b/>
                <w:bCs/>
                <w:color w:val="000000"/>
                <w:sz w:val="20"/>
                <w:lang w:eastAsia="en-GB"/>
              </w:rPr>
              <w:t>EmpRate</w:t>
            </w:r>
          </w:p>
        </w:tc>
        <w:tc>
          <w:tcPr>
            <w:tcW w:w="152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-0.318 </w:t>
            </w:r>
          </w:p>
        </w:tc>
        <w:tc>
          <w:tcPr>
            <w:tcW w:w="12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b/>
                <w:bCs/>
                <w:color w:val="000000"/>
                <w:sz w:val="20"/>
                <w:lang w:eastAsia="en-GB"/>
              </w:rPr>
            </w:pPr>
            <w:r w:rsidRPr="00D7090B">
              <w:rPr>
                <w:rFonts w:asciiTheme="minorHAnsi" w:hAnsiTheme="minorHAnsi"/>
                <w:b/>
                <w:bCs/>
                <w:color w:val="000000"/>
                <w:sz w:val="20"/>
                <w:lang w:eastAsia="en-GB"/>
              </w:rPr>
              <w:t xml:space="preserve">-0.682 </w:t>
            </w:r>
          </w:p>
        </w:tc>
        <w:tc>
          <w:tcPr>
            <w:tcW w:w="14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b/>
                <w:bCs/>
                <w:color w:val="000000"/>
                <w:sz w:val="20"/>
                <w:lang w:eastAsia="en-GB"/>
              </w:rPr>
            </w:pPr>
            <w:r w:rsidRPr="00D7090B">
              <w:rPr>
                <w:rFonts w:asciiTheme="minorHAnsi" w:hAnsiTheme="minorHAnsi"/>
                <w:b/>
                <w:bCs/>
                <w:color w:val="000000"/>
                <w:sz w:val="20"/>
                <w:lang w:eastAsia="en-GB"/>
              </w:rPr>
              <w:t xml:space="preserve">-0.511 </w:t>
            </w:r>
          </w:p>
        </w:tc>
        <w:tc>
          <w:tcPr>
            <w:tcW w:w="96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-0.035 </w:t>
            </w:r>
          </w:p>
        </w:tc>
      </w:tr>
      <w:tr w:rsidR="00D7090B" w:rsidRPr="00D7090B" w:rsidTr="00D7090B">
        <w:trPr>
          <w:trHeight w:val="227"/>
        </w:trPr>
        <w:tc>
          <w:tcPr>
            <w:tcW w:w="1240" w:type="dxa"/>
            <w:vMerge w:val="restart"/>
            <w:tcBorders>
              <w:top w:val="nil"/>
              <w:left w:val="single" w:sz="4" w:space="0" w:color="auto"/>
              <w:bottom w:val="single" w:sz="4" w:space="0" w:color="000000"/>
              <w:right w:val="single" w:sz="4" w:space="0" w:color="auto"/>
            </w:tcBorders>
            <w:shd w:val="clear" w:color="auto" w:fill="auto"/>
            <w:vAlign w:val="center"/>
            <w:hideMark/>
          </w:tcPr>
          <w:p w:rsidR="00D7090B" w:rsidRPr="00D7090B" w:rsidRDefault="00D7090B" w:rsidP="00D7090B">
            <w:pPr>
              <w:spacing w:before="0" w:line="240" w:lineRule="auto"/>
              <w:jc w:val="center"/>
              <w:rPr>
                <w:rFonts w:asciiTheme="minorHAnsi" w:hAnsiTheme="minorHAnsi"/>
                <w:b/>
                <w:bCs/>
                <w:color w:val="000000"/>
                <w:sz w:val="20"/>
                <w:lang w:eastAsia="en-GB"/>
              </w:rPr>
            </w:pPr>
            <w:r w:rsidRPr="00D7090B">
              <w:rPr>
                <w:rFonts w:asciiTheme="minorHAnsi" w:hAnsiTheme="minorHAnsi"/>
                <w:b/>
                <w:bCs/>
                <w:color w:val="000000"/>
                <w:sz w:val="20"/>
                <w:lang w:eastAsia="en-GB"/>
              </w:rPr>
              <w:t>Sectoral Structure</w:t>
            </w:r>
          </w:p>
        </w:tc>
        <w:tc>
          <w:tcPr>
            <w:tcW w:w="162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b/>
                <w:bCs/>
                <w:color w:val="000000"/>
                <w:sz w:val="20"/>
                <w:lang w:eastAsia="en-GB"/>
              </w:rPr>
            </w:pPr>
            <w:r w:rsidRPr="00D7090B">
              <w:rPr>
                <w:rFonts w:asciiTheme="minorHAnsi" w:hAnsiTheme="minorHAnsi"/>
                <w:b/>
                <w:bCs/>
                <w:color w:val="000000"/>
                <w:sz w:val="20"/>
                <w:lang w:eastAsia="en-GB"/>
              </w:rPr>
              <w:t>A</w:t>
            </w:r>
          </w:p>
        </w:tc>
        <w:tc>
          <w:tcPr>
            <w:tcW w:w="1520" w:type="dxa"/>
            <w:tcBorders>
              <w:top w:val="single" w:sz="4" w:space="0" w:color="auto"/>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-0.229 </w:t>
            </w:r>
          </w:p>
        </w:tc>
        <w:tc>
          <w:tcPr>
            <w:tcW w:w="1280" w:type="dxa"/>
            <w:tcBorders>
              <w:top w:val="single" w:sz="4" w:space="0" w:color="auto"/>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0.489 </w:t>
            </w:r>
          </w:p>
        </w:tc>
        <w:tc>
          <w:tcPr>
            <w:tcW w:w="1480" w:type="dxa"/>
            <w:tcBorders>
              <w:top w:val="single" w:sz="4" w:space="0" w:color="auto"/>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0.275 </w:t>
            </w:r>
          </w:p>
        </w:tc>
        <w:tc>
          <w:tcPr>
            <w:tcW w:w="960" w:type="dxa"/>
            <w:tcBorders>
              <w:top w:val="single" w:sz="4" w:space="0" w:color="auto"/>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b/>
                <w:bCs/>
                <w:color w:val="000000"/>
                <w:sz w:val="20"/>
                <w:lang w:eastAsia="en-GB"/>
              </w:rPr>
            </w:pPr>
            <w:r w:rsidRPr="00D7090B">
              <w:rPr>
                <w:rFonts w:asciiTheme="minorHAnsi" w:hAnsiTheme="minorHAnsi"/>
                <w:b/>
                <w:bCs/>
                <w:color w:val="000000"/>
                <w:sz w:val="20"/>
                <w:lang w:eastAsia="en-GB"/>
              </w:rPr>
              <w:t xml:space="preserve">0.700 </w:t>
            </w:r>
          </w:p>
        </w:tc>
      </w:tr>
      <w:tr w:rsidR="00D7090B" w:rsidRPr="00D7090B" w:rsidTr="00D7090B">
        <w:trPr>
          <w:trHeight w:val="227"/>
        </w:trPr>
        <w:tc>
          <w:tcPr>
            <w:tcW w:w="1240" w:type="dxa"/>
            <w:vMerge/>
            <w:tcBorders>
              <w:top w:val="nil"/>
              <w:left w:val="single" w:sz="4" w:space="0" w:color="auto"/>
              <w:bottom w:val="single" w:sz="4" w:space="0" w:color="000000"/>
              <w:right w:val="single" w:sz="4" w:space="0" w:color="auto"/>
            </w:tcBorders>
            <w:vAlign w:val="center"/>
            <w:hideMark/>
          </w:tcPr>
          <w:p w:rsidR="00D7090B" w:rsidRPr="00D7090B" w:rsidRDefault="00D7090B" w:rsidP="00D7090B">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b/>
                <w:bCs/>
                <w:color w:val="000000"/>
                <w:sz w:val="20"/>
                <w:lang w:eastAsia="en-GB"/>
              </w:rPr>
            </w:pPr>
            <w:r w:rsidRPr="00D7090B">
              <w:rPr>
                <w:rFonts w:asciiTheme="minorHAnsi" w:hAnsiTheme="minorHAnsi"/>
                <w:b/>
                <w:bCs/>
                <w:color w:val="000000"/>
                <w:sz w:val="20"/>
                <w:lang w:eastAsia="en-GB"/>
              </w:rPr>
              <w:t>B-E</w:t>
            </w:r>
          </w:p>
        </w:tc>
        <w:tc>
          <w:tcPr>
            <w:tcW w:w="152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-0.277 </w:t>
            </w:r>
          </w:p>
        </w:tc>
        <w:tc>
          <w:tcPr>
            <w:tcW w:w="12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0.334 </w:t>
            </w:r>
          </w:p>
        </w:tc>
        <w:tc>
          <w:tcPr>
            <w:tcW w:w="14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-0.442 </w:t>
            </w:r>
          </w:p>
        </w:tc>
        <w:tc>
          <w:tcPr>
            <w:tcW w:w="96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-0.232 </w:t>
            </w:r>
          </w:p>
        </w:tc>
      </w:tr>
      <w:tr w:rsidR="00D7090B" w:rsidRPr="00D7090B" w:rsidTr="00D7090B">
        <w:trPr>
          <w:trHeight w:val="227"/>
        </w:trPr>
        <w:tc>
          <w:tcPr>
            <w:tcW w:w="1240" w:type="dxa"/>
            <w:vMerge/>
            <w:tcBorders>
              <w:top w:val="nil"/>
              <w:left w:val="single" w:sz="4" w:space="0" w:color="auto"/>
              <w:bottom w:val="single" w:sz="4" w:space="0" w:color="000000"/>
              <w:right w:val="single" w:sz="4" w:space="0" w:color="auto"/>
            </w:tcBorders>
            <w:vAlign w:val="center"/>
            <w:hideMark/>
          </w:tcPr>
          <w:p w:rsidR="00D7090B" w:rsidRPr="00D7090B" w:rsidRDefault="00D7090B" w:rsidP="00D7090B">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b/>
                <w:bCs/>
                <w:color w:val="000000"/>
                <w:sz w:val="20"/>
                <w:lang w:eastAsia="en-GB"/>
              </w:rPr>
            </w:pPr>
            <w:r w:rsidRPr="00D7090B">
              <w:rPr>
                <w:rFonts w:asciiTheme="minorHAnsi" w:hAnsiTheme="minorHAnsi"/>
                <w:b/>
                <w:bCs/>
                <w:color w:val="000000"/>
                <w:sz w:val="20"/>
                <w:lang w:eastAsia="en-GB"/>
              </w:rPr>
              <w:t>C</w:t>
            </w:r>
          </w:p>
        </w:tc>
        <w:tc>
          <w:tcPr>
            <w:tcW w:w="152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-0.320 </w:t>
            </w:r>
          </w:p>
        </w:tc>
        <w:tc>
          <w:tcPr>
            <w:tcW w:w="12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0.360 </w:t>
            </w:r>
          </w:p>
        </w:tc>
        <w:tc>
          <w:tcPr>
            <w:tcW w:w="14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-0.445 </w:t>
            </w:r>
          </w:p>
        </w:tc>
        <w:tc>
          <w:tcPr>
            <w:tcW w:w="96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-0.202 </w:t>
            </w:r>
          </w:p>
        </w:tc>
      </w:tr>
      <w:tr w:rsidR="00D7090B" w:rsidRPr="00D7090B" w:rsidTr="00D7090B">
        <w:trPr>
          <w:trHeight w:val="227"/>
        </w:trPr>
        <w:tc>
          <w:tcPr>
            <w:tcW w:w="1240" w:type="dxa"/>
            <w:vMerge/>
            <w:tcBorders>
              <w:top w:val="nil"/>
              <w:left w:val="single" w:sz="4" w:space="0" w:color="auto"/>
              <w:bottom w:val="single" w:sz="4" w:space="0" w:color="000000"/>
              <w:right w:val="single" w:sz="4" w:space="0" w:color="auto"/>
            </w:tcBorders>
            <w:vAlign w:val="center"/>
            <w:hideMark/>
          </w:tcPr>
          <w:p w:rsidR="00D7090B" w:rsidRPr="00D7090B" w:rsidRDefault="00D7090B" w:rsidP="00D7090B">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b/>
                <w:bCs/>
                <w:color w:val="000000"/>
                <w:sz w:val="20"/>
                <w:lang w:eastAsia="en-GB"/>
              </w:rPr>
            </w:pPr>
            <w:r w:rsidRPr="00D7090B">
              <w:rPr>
                <w:rFonts w:asciiTheme="minorHAnsi" w:hAnsiTheme="minorHAnsi"/>
                <w:b/>
                <w:bCs/>
                <w:color w:val="000000"/>
                <w:sz w:val="20"/>
                <w:lang w:eastAsia="en-GB"/>
              </w:rPr>
              <w:t>F</w:t>
            </w:r>
          </w:p>
        </w:tc>
        <w:tc>
          <w:tcPr>
            <w:tcW w:w="1520" w:type="dxa"/>
            <w:tcBorders>
              <w:top w:val="nil"/>
              <w:left w:val="nil"/>
              <w:bottom w:val="nil"/>
              <w:right w:val="nil"/>
            </w:tcBorders>
            <w:shd w:val="clear" w:color="000000" w:fill="BFBFBF"/>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-0.006 </w:t>
            </w:r>
          </w:p>
        </w:tc>
        <w:tc>
          <w:tcPr>
            <w:tcW w:w="1280" w:type="dxa"/>
            <w:tcBorders>
              <w:top w:val="nil"/>
              <w:left w:val="nil"/>
              <w:bottom w:val="nil"/>
              <w:right w:val="nil"/>
            </w:tcBorders>
            <w:shd w:val="clear" w:color="000000" w:fill="BFBFBF"/>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-0.067 </w:t>
            </w:r>
          </w:p>
        </w:tc>
        <w:tc>
          <w:tcPr>
            <w:tcW w:w="14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0.269 </w:t>
            </w:r>
          </w:p>
        </w:tc>
        <w:tc>
          <w:tcPr>
            <w:tcW w:w="96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-0.445 </w:t>
            </w:r>
          </w:p>
        </w:tc>
      </w:tr>
      <w:tr w:rsidR="00D7090B" w:rsidRPr="00D7090B" w:rsidTr="00D7090B">
        <w:trPr>
          <w:trHeight w:val="227"/>
        </w:trPr>
        <w:tc>
          <w:tcPr>
            <w:tcW w:w="1240" w:type="dxa"/>
            <w:vMerge/>
            <w:tcBorders>
              <w:top w:val="nil"/>
              <w:left w:val="single" w:sz="4" w:space="0" w:color="auto"/>
              <w:bottom w:val="single" w:sz="4" w:space="0" w:color="000000"/>
              <w:right w:val="single" w:sz="4" w:space="0" w:color="auto"/>
            </w:tcBorders>
            <w:vAlign w:val="center"/>
            <w:hideMark/>
          </w:tcPr>
          <w:p w:rsidR="00D7090B" w:rsidRPr="00D7090B" w:rsidRDefault="00D7090B" w:rsidP="00D7090B">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b/>
                <w:bCs/>
                <w:color w:val="000000"/>
                <w:sz w:val="20"/>
                <w:lang w:eastAsia="en-GB"/>
              </w:rPr>
            </w:pPr>
            <w:r w:rsidRPr="00D7090B">
              <w:rPr>
                <w:rFonts w:asciiTheme="minorHAnsi" w:hAnsiTheme="minorHAnsi"/>
                <w:b/>
                <w:bCs/>
                <w:color w:val="000000"/>
                <w:sz w:val="20"/>
                <w:lang w:eastAsia="en-GB"/>
              </w:rPr>
              <w:t>G-J</w:t>
            </w:r>
          </w:p>
        </w:tc>
        <w:tc>
          <w:tcPr>
            <w:tcW w:w="1520" w:type="dxa"/>
            <w:tcBorders>
              <w:top w:val="nil"/>
              <w:left w:val="nil"/>
              <w:bottom w:val="nil"/>
              <w:right w:val="nil"/>
            </w:tcBorders>
            <w:shd w:val="clear" w:color="000000" w:fill="BFBFBF"/>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0.053 </w:t>
            </w:r>
          </w:p>
        </w:tc>
        <w:tc>
          <w:tcPr>
            <w:tcW w:w="1280" w:type="dxa"/>
            <w:tcBorders>
              <w:top w:val="nil"/>
              <w:left w:val="nil"/>
              <w:bottom w:val="nil"/>
              <w:right w:val="nil"/>
            </w:tcBorders>
            <w:shd w:val="clear" w:color="000000" w:fill="BFBFBF"/>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-0.203 </w:t>
            </w:r>
          </w:p>
        </w:tc>
        <w:tc>
          <w:tcPr>
            <w:tcW w:w="14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-0.065 </w:t>
            </w:r>
          </w:p>
        </w:tc>
        <w:tc>
          <w:tcPr>
            <w:tcW w:w="96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b/>
                <w:bCs/>
                <w:color w:val="000000"/>
                <w:sz w:val="20"/>
                <w:lang w:eastAsia="en-GB"/>
              </w:rPr>
            </w:pPr>
            <w:r w:rsidRPr="00D7090B">
              <w:rPr>
                <w:rFonts w:asciiTheme="minorHAnsi" w:hAnsiTheme="minorHAnsi"/>
                <w:b/>
                <w:bCs/>
                <w:color w:val="000000"/>
                <w:sz w:val="20"/>
                <w:lang w:eastAsia="en-GB"/>
              </w:rPr>
              <w:t xml:space="preserve">-0.617 </w:t>
            </w:r>
          </w:p>
        </w:tc>
      </w:tr>
      <w:tr w:rsidR="00D7090B" w:rsidRPr="00D7090B" w:rsidTr="00D7090B">
        <w:trPr>
          <w:trHeight w:val="227"/>
        </w:trPr>
        <w:tc>
          <w:tcPr>
            <w:tcW w:w="1240" w:type="dxa"/>
            <w:vMerge/>
            <w:tcBorders>
              <w:top w:val="nil"/>
              <w:left w:val="single" w:sz="4" w:space="0" w:color="auto"/>
              <w:bottom w:val="single" w:sz="4" w:space="0" w:color="000000"/>
              <w:right w:val="single" w:sz="4" w:space="0" w:color="auto"/>
            </w:tcBorders>
            <w:vAlign w:val="center"/>
            <w:hideMark/>
          </w:tcPr>
          <w:p w:rsidR="00D7090B" w:rsidRPr="00D7090B" w:rsidRDefault="00D7090B" w:rsidP="00D7090B">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b/>
                <w:bCs/>
                <w:color w:val="000000"/>
                <w:sz w:val="20"/>
                <w:lang w:eastAsia="en-GB"/>
              </w:rPr>
            </w:pPr>
            <w:r w:rsidRPr="00D7090B">
              <w:rPr>
                <w:rFonts w:asciiTheme="minorHAnsi" w:hAnsiTheme="minorHAnsi"/>
                <w:b/>
                <w:bCs/>
                <w:color w:val="000000"/>
                <w:sz w:val="20"/>
                <w:lang w:eastAsia="en-GB"/>
              </w:rPr>
              <w:t>K-N</w:t>
            </w:r>
          </w:p>
        </w:tc>
        <w:tc>
          <w:tcPr>
            <w:tcW w:w="1520" w:type="dxa"/>
            <w:tcBorders>
              <w:top w:val="nil"/>
              <w:left w:val="nil"/>
              <w:bottom w:val="nil"/>
              <w:right w:val="nil"/>
            </w:tcBorders>
            <w:shd w:val="clear" w:color="000000" w:fill="BFBFBF"/>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0.056 </w:t>
            </w:r>
          </w:p>
        </w:tc>
        <w:tc>
          <w:tcPr>
            <w:tcW w:w="1280" w:type="dxa"/>
            <w:tcBorders>
              <w:top w:val="nil"/>
              <w:left w:val="nil"/>
              <w:bottom w:val="nil"/>
              <w:right w:val="nil"/>
            </w:tcBorders>
            <w:shd w:val="clear" w:color="000000" w:fill="BFBFBF"/>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-0.096 </w:t>
            </w:r>
          </w:p>
        </w:tc>
        <w:tc>
          <w:tcPr>
            <w:tcW w:w="14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-0.284 </w:t>
            </w:r>
          </w:p>
        </w:tc>
        <w:tc>
          <w:tcPr>
            <w:tcW w:w="96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-0.499 </w:t>
            </w:r>
          </w:p>
        </w:tc>
      </w:tr>
      <w:tr w:rsidR="00D7090B" w:rsidRPr="00D7090B" w:rsidTr="00D7090B">
        <w:trPr>
          <w:trHeight w:val="227"/>
        </w:trPr>
        <w:tc>
          <w:tcPr>
            <w:tcW w:w="1240" w:type="dxa"/>
            <w:vMerge/>
            <w:tcBorders>
              <w:top w:val="nil"/>
              <w:left w:val="single" w:sz="4" w:space="0" w:color="auto"/>
              <w:bottom w:val="single" w:sz="4" w:space="0" w:color="000000"/>
              <w:right w:val="single" w:sz="4" w:space="0" w:color="auto"/>
            </w:tcBorders>
            <w:vAlign w:val="center"/>
            <w:hideMark/>
          </w:tcPr>
          <w:p w:rsidR="00D7090B" w:rsidRPr="00D7090B" w:rsidRDefault="00D7090B" w:rsidP="00D7090B">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b/>
                <w:bCs/>
                <w:color w:val="000000"/>
                <w:sz w:val="20"/>
                <w:lang w:eastAsia="en-GB"/>
              </w:rPr>
            </w:pPr>
            <w:r w:rsidRPr="00D7090B">
              <w:rPr>
                <w:rFonts w:asciiTheme="minorHAnsi" w:hAnsiTheme="minorHAnsi"/>
                <w:b/>
                <w:bCs/>
                <w:color w:val="000000"/>
                <w:sz w:val="20"/>
                <w:lang w:eastAsia="en-GB"/>
              </w:rPr>
              <w:t>O-U</w:t>
            </w:r>
          </w:p>
        </w:tc>
        <w:tc>
          <w:tcPr>
            <w:tcW w:w="152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0.407 </w:t>
            </w:r>
          </w:p>
        </w:tc>
        <w:tc>
          <w:tcPr>
            <w:tcW w:w="12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-0.471 </w:t>
            </w:r>
          </w:p>
        </w:tc>
        <w:tc>
          <w:tcPr>
            <w:tcW w:w="14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0.295 </w:t>
            </w:r>
          </w:p>
        </w:tc>
        <w:tc>
          <w:tcPr>
            <w:tcW w:w="96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-0.431 </w:t>
            </w:r>
          </w:p>
        </w:tc>
      </w:tr>
      <w:tr w:rsidR="00D7090B" w:rsidRPr="00D7090B" w:rsidTr="00D7090B">
        <w:trPr>
          <w:trHeight w:val="227"/>
        </w:trPr>
        <w:tc>
          <w:tcPr>
            <w:tcW w:w="1240" w:type="dxa"/>
            <w:vMerge/>
            <w:tcBorders>
              <w:top w:val="nil"/>
              <w:left w:val="single" w:sz="4" w:space="0" w:color="auto"/>
              <w:bottom w:val="single" w:sz="4" w:space="0" w:color="000000"/>
              <w:right w:val="single" w:sz="4" w:space="0" w:color="auto"/>
            </w:tcBorders>
            <w:vAlign w:val="center"/>
            <w:hideMark/>
          </w:tcPr>
          <w:p w:rsidR="00D7090B" w:rsidRPr="00D7090B" w:rsidRDefault="00D7090B" w:rsidP="00D7090B">
            <w:pPr>
              <w:spacing w:before="0" w:line="240" w:lineRule="auto"/>
              <w:jc w:val="left"/>
              <w:rPr>
                <w:rFonts w:asciiTheme="minorHAnsi" w:hAnsiTheme="minorHAnsi"/>
                <w:b/>
                <w:bCs/>
                <w:color w:val="000000"/>
                <w:sz w:val="20"/>
                <w:lang w:eastAsia="en-GB"/>
              </w:rPr>
            </w:pPr>
          </w:p>
        </w:tc>
        <w:tc>
          <w:tcPr>
            <w:tcW w:w="1620" w:type="dxa"/>
            <w:tcBorders>
              <w:top w:val="nil"/>
              <w:left w:val="nil"/>
              <w:bottom w:val="single" w:sz="4" w:space="0" w:color="auto"/>
              <w:right w:val="single" w:sz="4" w:space="0" w:color="auto"/>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b/>
                <w:bCs/>
                <w:color w:val="000000"/>
                <w:sz w:val="20"/>
                <w:lang w:eastAsia="en-GB"/>
              </w:rPr>
            </w:pPr>
            <w:r w:rsidRPr="00D7090B">
              <w:rPr>
                <w:rFonts w:asciiTheme="minorHAnsi" w:hAnsiTheme="minorHAnsi"/>
                <w:b/>
                <w:bCs/>
                <w:color w:val="000000"/>
                <w:sz w:val="20"/>
                <w:lang w:eastAsia="en-GB"/>
              </w:rPr>
              <w:t>ElemOcc</w:t>
            </w:r>
          </w:p>
        </w:tc>
        <w:tc>
          <w:tcPr>
            <w:tcW w:w="1520" w:type="dxa"/>
            <w:tcBorders>
              <w:top w:val="nil"/>
              <w:left w:val="nil"/>
              <w:bottom w:val="single" w:sz="4" w:space="0" w:color="auto"/>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0.401 </w:t>
            </w:r>
          </w:p>
        </w:tc>
        <w:tc>
          <w:tcPr>
            <w:tcW w:w="1280" w:type="dxa"/>
            <w:tcBorders>
              <w:top w:val="nil"/>
              <w:left w:val="nil"/>
              <w:bottom w:val="single" w:sz="4" w:space="0" w:color="auto"/>
              <w:right w:val="nil"/>
            </w:tcBorders>
            <w:shd w:val="clear" w:color="000000" w:fill="BFBFBF"/>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0.069 </w:t>
            </w:r>
          </w:p>
        </w:tc>
        <w:tc>
          <w:tcPr>
            <w:tcW w:w="1480" w:type="dxa"/>
            <w:tcBorders>
              <w:top w:val="nil"/>
              <w:left w:val="nil"/>
              <w:bottom w:val="single" w:sz="4" w:space="0" w:color="auto"/>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b/>
                <w:bCs/>
                <w:color w:val="000000"/>
                <w:sz w:val="20"/>
                <w:lang w:eastAsia="en-GB"/>
              </w:rPr>
            </w:pPr>
            <w:r w:rsidRPr="00D7090B">
              <w:rPr>
                <w:rFonts w:asciiTheme="minorHAnsi" w:hAnsiTheme="minorHAnsi"/>
                <w:b/>
                <w:bCs/>
                <w:color w:val="000000"/>
                <w:sz w:val="20"/>
                <w:lang w:eastAsia="en-GB"/>
              </w:rPr>
              <w:t xml:space="preserve">0.511 </w:t>
            </w:r>
          </w:p>
        </w:tc>
        <w:tc>
          <w:tcPr>
            <w:tcW w:w="960" w:type="dxa"/>
            <w:tcBorders>
              <w:top w:val="nil"/>
              <w:left w:val="nil"/>
              <w:bottom w:val="single" w:sz="4" w:space="0" w:color="auto"/>
              <w:right w:val="single" w:sz="4" w:space="0" w:color="auto"/>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0.479 </w:t>
            </w:r>
          </w:p>
        </w:tc>
      </w:tr>
      <w:tr w:rsidR="00D7090B" w:rsidRPr="00D7090B" w:rsidTr="00D7090B">
        <w:trPr>
          <w:trHeight w:val="227"/>
        </w:trPr>
        <w:tc>
          <w:tcPr>
            <w:tcW w:w="1240" w:type="dxa"/>
            <w:vMerge w:val="restart"/>
            <w:tcBorders>
              <w:top w:val="nil"/>
              <w:left w:val="single" w:sz="4" w:space="0" w:color="auto"/>
              <w:bottom w:val="single" w:sz="4" w:space="0" w:color="000000"/>
              <w:right w:val="single" w:sz="4" w:space="0" w:color="auto"/>
            </w:tcBorders>
            <w:shd w:val="clear" w:color="auto" w:fill="auto"/>
            <w:vAlign w:val="center"/>
            <w:hideMark/>
          </w:tcPr>
          <w:p w:rsidR="00D7090B" w:rsidRPr="00D7090B" w:rsidRDefault="00D7090B" w:rsidP="00D7090B">
            <w:pPr>
              <w:spacing w:before="0" w:line="240" w:lineRule="auto"/>
              <w:jc w:val="center"/>
              <w:rPr>
                <w:rFonts w:asciiTheme="minorHAnsi" w:hAnsiTheme="minorHAnsi"/>
                <w:b/>
                <w:bCs/>
                <w:color w:val="000000"/>
                <w:sz w:val="20"/>
                <w:lang w:eastAsia="en-GB"/>
              </w:rPr>
            </w:pPr>
            <w:r w:rsidRPr="00D7090B">
              <w:rPr>
                <w:rFonts w:asciiTheme="minorHAnsi" w:hAnsiTheme="minorHAnsi"/>
                <w:b/>
                <w:bCs/>
                <w:color w:val="000000"/>
                <w:sz w:val="20"/>
                <w:lang w:eastAsia="en-GB"/>
              </w:rPr>
              <w:t xml:space="preserve">Human </w:t>
            </w:r>
            <w:r>
              <w:rPr>
                <w:rFonts w:asciiTheme="minorHAnsi" w:hAnsiTheme="minorHAnsi"/>
                <w:b/>
                <w:bCs/>
                <w:color w:val="000000"/>
                <w:sz w:val="20"/>
                <w:lang w:eastAsia="en-GB"/>
              </w:rPr>
              <w:t xml:space="preserve"> </w:t>
            </w:r>
            <w:r w:rsidRPr="00D7090B">
              <w:rPr>
                <w:rFonts w:asciiTheme="minorHAnsi" w:hAnsiTheme="minorHAnsi"/>
                <w:b/>
                <w:bCs/>
                <w:color w:val="000000"/>
                <w:sz w:val="20"/>
                <w:lang w:eastAsia="en-GB"/>
              </w:rPr>
              <w:t>Capital</w:t>
            </w:r>
          </w:p>
        </w:tc>
        <w:tc>
          <w:tcPr>
            <w:tcW w:w="162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b/>
                <w:bCs/>
                <w:color w:val="000000"/>
                <w:sz w:val="20"/>
                <w:lang w:eastAsia="en-GB"/>
              </w:rPr>
            </w:pPr>
            <w:r w:rsidRPr="00D7090B">
              <w:rPr>
                <w:rFonts w:asciiTheme="minorHAnsi" w:hAnsiTheme="minorHAnsi"/>
                <w:b/>
                <w:bCs/>
                <w:color w:val="000000"/>
                <w:sz w:val="20"/>
                <w:lang w:eastAsia="en-GB"/>
              </w:rPr>
              <w:t>LowEd(Reg)</w:t>
            </w:r>
          </w:p>
        </w:tc>
        <w:tc>
          <w:tcPr>
            <w:tcW w:w="1520" w:type="dxa"/>
            <w:tcBorders>
              <w:top w:val="nil"/>
              <w:left w:val="nil"/>
              <w:bottom w:val="nil"/>
              <w:right w:val="nil"/>
            </w:tcBorders>
            <w:shd w:val="clear" w:color="000000" w:fill="BFBFBF"/>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0.053 </w:t>
            </w:r>
          </w:p>
        </w:tc>
        <w:tc>
          <w:tcPr>
            <w:tcW w:w="1280" w:type="dxa"/>
            <w:tcBorders>
              <w:top w:val="single" w:sz="4" w:space="0" w:color="auto"/>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b/>
                <w:bCs/>
                <w:color w:val="000000"/>
                <w:sz w:val="20"/>
                <w:lang w:eastAsia="en-GB"/>
              </w:rPr>
            </w:pPr>
            <w:r w:rsidRPr="00D7090B">
              <w:rPr>
                <w:rFonts w:asciiTheme="minorHAnsi" w:hAnsiTheme="minorHAnsi"/>
                <w:b/>
                <w:bCs/>
                <w:color w:val="000000"/>
                <w:sz w:val="20"/>
                <w:lang w:eastAsia="en-GB"/>
              </w:rPr>
              <w:t xml:space="preserve">-0.529 </w:t>
            </w:r>
          </w:p>
        </w:tc>
        <w:tc>
          <w:tcPr>
            <w:tcW w:w="14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0.465 </w:t>
            </w:r>
          </w:p>
        </w:tc>
        <w:tc>
          <w:tcPr>
            <w:tcW w:w="960" w:type="dxa"/>
            <w:tcBorders>
              <w:top w:val="single" w:sz="4" w:space="0" w:color="auto"/>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b/>
                <w:bCs/>
                <w:color w:val="000000"/>
                <w:sz w:val="20"/>
                <w:lang w:eastAsia="en-GB"/>
              </w:rPr>
            </w:pPr>
            <w:r w:rsidRPr="00D7090B">
              <w:rPr>
                <w:rFonts w:asciiTheme="minorHAnsi" w:hAnsiTheme="minorHAnsi"/>
                <w:b/>
                <w:bCs/>
                <w:color w:val="000000"/>
                <w:sz w:val="20"/>
                <w:lang w:eastAsia="en-GB"/>
              </w:rPr>
              <w:t xml:space="preserve">0.649 </w:t>
            </w:r>
          </w:p>
        </w:tc>
      </w:tr>
      <w:tr w:rsidR="00D7090B" w:rsidRPr="00D7090B" w:rsidTr="00D7090B">
        <w:trPr>
          <w:trHeight w:val="227"/>
        </w:trPr>
        <w:tc>
          <w:tcPr>
            <w:tcW w:w="1240" w:type="dxa"/>
            <w:vMerge/>
            <w:tcBorders>
              <w:top w:val="nil"/>
              <w:left w:val="single" w:sz="4" w:space="0" w:color="auto"/>
              <w:bottom w:val="single" w:sz="4" w:space="0" w:color="000000"/>
              <w:right w:val="single" w:sz="4" w:space="0" w:color="auto"/>
            </w:tcBorders>
            <w:vAlign w:val="center"/>
            <w:hideMark/>
          </w:tcPr>
          <w:p w:rsidR="00D7090B" w:rsidRPr="00D7090B" w:rsidRDefault="00D7090B" w:rsidP="00D7090B">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b/>
                <w:bCs/>
                <w:color w:val="000000"/>
                <w:sz w:val="20"/>
                <w:lang w:eastAsia="en-GB"/>
              </w:rPr>
            </w:pPr>
            <w:r w:rsidRPr="00D7090B">
              <w:rPr>
                <w:rFonts w:asciiTheme="minorHAnsi" w:hAnsiTheme="minorHAnsi"/>
                <w:b/>
                <w:bCs/>
                <w:color w:val="000000"/>
                <w:sz w:val="20"/>
                <w:lang w:eastAsia="en-GB"/>
              </w:rPr>
              <w:t>LowED(Cen</w:t>
            </w:r>
          </w:p>
        </w:tc>
        <w:tc>
          <w:tcPr>
            <w:tcW w:w="1520" w:type="dxa"/>
            <w:tcBorders>
              <w:top w:val="nil"/>
              <w:left w:val="nil"/>
              <w:bottom w:val="nil"/>
              <w:right w:val="nil"/>
            </w:tcBorders>
            <w:shd w:val="clear" w:color="000000" w:fill="BFBFBF"/>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-0.029 </w:t>
            </w:r>
          </w:p>
        </w:tc>
        <w:tc>
          <w:tcPr>
            <w:tcW w:w="1280" w:type="dxa"/>
            <w:tcBorders>
              <w:top w:val="nil"/>
              <w:left w:val="nil"/>
              <w:bottom w:val="nil"/>
              <w:right w:val="nil"/>
            </w:tcBorders>
            <w:shd w:val="clear" w:color="000000" w:fill="BFBFBF"/>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-0.191 </w:t>
            </w:r>
          </w:p>
        </w:tc>
        <w:tc>
          <w:tcPr>
            <w:tcW w:w="1480" w:type="dxa"/>
            <w:tcBorders>
              <w:top w:val="nil"/>
              <w:left w:val="nil"/>
              <w:bottom w:val="nil"/>
              <w:right w:val="nil"/>
            </w:tcBorders>
            <w:shd w:val="clear" w:color="000000" w:fill="BFBFBF"/>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-0.003 </w:t>
            </w:r>
          </w:p>
        </w:tc>
        <w:tc>
          <w:tcPr>
            <w:tcW w:w="96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0.485 </w:t>
            </w:r>
          </w:p>
        </w:tc>
      </w:tr>
      <w:tr w:rsidR="00D7090B" w:rsidRPr="00D7090B" w:rsidTr="00D7090B">
        <w:trPr>
          <w:trHeight w:val="227"/>
        </w:trPr>
        <w:tc>
          <w:tcPr>
            <w:tcW w:w="1240" w:type="dxa"/>
            <w:vMerge/>
            <w:tcBorders>
              <w:top w:val="nil"/>
              <w:left w:val="single" w:sz="4" w:space="0" w:color="auto"/>
              <w:bottom w:val="single" w:sz="4" w:space="0" w:color="000000"/>
              <w:right w:val="single" w:sz="4" w:space="0" w:color="auto"/>
            </w:tcBorders>
            <w:vAlign w:val="center"/>
            <w:hideMark/>
          </w:tcPr>
          <w:p w:rsidR="00D7090B" w:rsidRPr="00D7090B" w:rsidRDefault="00D7090B" w:rsidP="00D7090B">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b/>
                <w:bCs/>
                <w:color w:val="000000"/>
                <w:sz w:val="20"/>
                <w:lang w:eastAsia="en-GB"/>
              </w:rPr>
            </w:pPr>
            <w:r w:rsidRPr="00D7090B">
              <w:rPr>
                <w:rFonts w:asciiTheme="minorHAnsi" w:hAnsiTheme="minorHAnsi"/>
                <w:b/>
                <w:bCs/>
                <w:color w:val="000000"/>
                <w:sz w:val="20"/>
                <w:lang w:eastAsia="en-GB"/>
              </w:rPr>
              <w:t>HiEd(2)</w:t>
            </w:r>
          </w:p>
        </w:tc>
        <w:tc>
          <w:tcPr>
            <w:tcW w:w="1520" w:type="dxa"/>
            <w:tcBorders>
              <w:top w:val="nil"/>
              <w:left w:val="nil"/>
              <w:bottom w:val="nil"/>
              <w:right w:val="nil"/>
            </w:tcBorders>
            <w:shd w:val="clear" w:color="000000" w:fill="BFBFBF"/>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-0.053 </w:t>
            </w:r>
          </w:p>
        </w:tc>
        <w:tc>
          <w:tcPr>
            <w:tcW w:w="12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b/>
                <w:bCs/>
                <w:color w:val="000000"/>
                <w:sz w:val="20"/>
                <w:lang w:eastAsia="en-GB"/>
              </w:rPr>
            </w:pPr>
            <w:r w:rsidRPr="00D7090B">
              <w:rPr>
                <w:rFonts w:asciiTheme="minorHAnsi" w:hAnsiTheme="minorHAnsi"/>
                <w:b/>
                <w:bCs/>
                <w:color w:val="000000"/>
                <w:sz w:val="20"/>
                <w:lang w:eastAsia="en-GB"/>
              </w:rPr>
              <w:t xml:space="preserve">0.523 </w:t>
            </w:r>
          </w:p>
        </w:tc>
        <w:tc>
          <w:tcPr>
            <w:tcW w:w="14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-0.465 </w:t>
            </w:r>
          </w:p>
        </w:tc>
        <w:tc>
          <w:tcPr>
            <w:tcW w:w="96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b/>
                <w:bCs/>
                <w:color w:val="000000"/>
                <w:sz w:val="20"/>
                <w:lang w:eastAsia="en-GB"/>
              </w:rPr>
            </w:pPr>
            <w:r w:rsidRPr="00D7090B">
              <w:rPr>
                <w:rFonts w:asciiTheme="minorHAnsi" w:hAnsiTheme="minorHAnsi"/>
                <w:b/>
                <w:bCs/>
                <w:color w:val="000000"/>
                <w:sz w:val="20"/>
                <w:lang w:eastAsia="en-GB"/>
              </w:rPr>
              <w:t xml:space="preserve">-0.649 </w:t>
            </w:r>
          </w:p>
        </w:tc>
      </w:tr>
      <w:tr w:rsidR="00D7090B" w:rsidRPr="00D7090B" w:rsidTr="00D7090B">
        <w:trPr>
          <w:trHeight w:val="227"/>
        </w:trPr>
        <w:tc>
          <w:tcPr>
            <w:tcW w:w="1240" w:type="dxa"/>
            <w:vMerge/>
            <w:tcBorders>
              <w:top w:val="nil"/>
              <w:left w:val="single" w:sz="4" w:space="0" w:color="auto"/>
              <w:bottom w:val="single" w:sz="4" w:space="0" w:color="000000"/>
              <w:right w:val="single" w:sz="4" w:space="0" w:color="auto"/>
            </w:tcBorders>
            <w:vAlign w:val="center"/>
            <w:hideMark/>
          </w:tcPr>
          <w:p w:rsidR="00D7090B" w:rsidRPr="00D7090B" w:rsidRDefault="00D7090B" w:rsidP="00D7090B">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b/>
                <w:bCs/>
                <w:color w:val="000000"/>
                <w:sz w:val="20"/>
                <w:lang w:eastAsia="en-GB"/>
              </w:rPr>
            </w:pPr>
            <w:r w:rsidRPr="00D7090B">
              <w:rPr>
                <w:rFonts w:asciiTheme="minorHAnsi" w:hAnsiTheme="minorHAnsi"/>
                <w:b/>
                <w:bCs/>
                <w:color w:val="000000"/>
                <w:sz w:val="20"/>
                <w:lang w:eastAsia="en-GB"/>
              </w:rPr>
              <w:t>HiEd(Cen)</w:t>
            </w:r>
          </w:p>
        </w:tc>
        <w:tc>
          <w:tcPr>
            <w:tcW w:w="1520" w:type="dxa"/>
            <w:tcBorders>
              <w:top w:val="nil"/>
              <w:left w:val="nil"/>
              <w:bottom w:val="nil"/>
              <w:right w:val="nil"/>
            </w:tcBorders>
            <w:shd w:val="clear" w:color="000000" w:fill="BFBFBF"/>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-0.068 </w:t>
            </w:r>
          </w:p>
        </w:tc>
        <w:tc>
          <w:tcPr>
            <w:tcW w:w="12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0.254 </w:t>
            </w:r>
          </w:p>
        </w:tc>
        <w:tc>
          <w:tcPr>
            <w:tcW w:w="1480" w:type="dxa"/>
            <w:tcBorders>
              <w:top w:val="nil"/>
              <w:left w:val="nil"/>
              <w:bottom w:val="nil"/>
              <w:right w:val="nil"/>
            </w:tcBorders>
            <w:shd w:val="clear" w:color="000000" w:fill="BFBFBF"/>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-0.028 </w:t>
            </w:r>
          </w:p>
        </w:tc>
        <w:tc>
          <w:tcPr>
            <w:tcW w:w="96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0.264 </w:t>
            </w:r>
          </w:p>
        </w:tc>
      </w:tr>
      <w:tr w:rsidR="00D7090B" w:rsidRPr="00D7090B" w:rsidTr="00D7090B">
        <w:trPr>
          <w:trHeight w:val="227"/>
        </w:trPr>
        <w:tc>
          <w:tcPr>
            <w:tcW w:w="1240" w:type="dxa"/>
            <w:vMerge/>
            <w:tcBorders>
              <w:top w:val="nil"/>
              <w:left w:val="single" w:sz="4" w:space="0" w:color="auto"/>
              <w:bottom w:val="single" w:sz="4" w:space="0" w:color="000000"/>
              <w:right w:val="single" w:sz="4" w:space="0" w:color="auto"/>
            </w:tcBorders>
            <w:vAlign w:val="center"/>
            <w:hideMark/>
          </w:tcPr>
          <w:p w:rsidR="00D7090B" w:rsidRPr="00D7090B" w:rsidRDefault="00D7090B" w:rsidP="00D7090B">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b/>
                <w:bCs/>
                <w:color w:val="000000"/>
                <w:sz w:val="20"/>
                <w:lang w:eastAsia="en-GB"/>
              </w:rPr>
            </w:pPr>
            <w:r w:rsidRPr="00D7090B">
              <w:rPr>
                <w:rFonts w:asciiTheme="minorHAnsi" w:hAnsiTheme="minorHAnsi"/>
                <w:b/>
                <w:bCs/>
                <w:color w:val="000000"/>
                <w:sz w:val="20"/>
                <w:lang w:eastAsia="en-GB"/>
              </w:rPr>
              <w:t>HRST</w:t>
            </w:r>
          </w:p>
        </w:tc>
        <w:tc>
          <w:tcPr>
            <w:tcW w:w="1520" w:type="dxa"/>
            <w:tcBorders>
              <w:top w:val="nil"/>
              <w:left w:val="nil"/>
              <w:bottom w:val="nil"/>
              <w:right w:val="nil"/>
            </w:tcBorders>
            <w:shd w:val="clear" w:color="000000" w:fill="BFBFBF"/>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0.014 </w:t>
            </w:r>
          </w:p>
        </w:tc>
        <w:tc>
          <w:tcPr>
            <w:tcW w:w="12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-0.360 </w:t>
            </w:r>
          </w:p>
        </w:tc>
        <w:tc>
          <w:tcPr>
            <w:tcW w:w="14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-0.384 </w:t>
            </w:r>
          </w:p>
        </w:tc>
        <w:tc>
          <w:tcPr>
            <w:tcW w:w="96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b/>
                <w:bCs/>
                <w:color w:val="000000"/>
                <w:sz w:val="20"/>
                <w:lang w:eastAsia="en-GB"/>
              </w:rPr>
            </w:pPr>
            <w:r w:rsidRPr="00D7090B">
              <w:rPr>
                <w:rFonts w:asciiTheme="minorHAnsi" w:hAnsiTheme="minorHAnsi"/>
                <w:b/>
                <w:bCs/>
                <w:color w:val="000000"/>
                <w:sz w:val="20"/>
                <w:lang w:eastAsia="en-GB"/>
              </w:rPr>
              <w:t xml:space="preserve">-0.530 </w:t>
            </w:r>
          </w:p>
        </w:tc>
      </w:tr>
      <w:tr w:rsidR="00D7090B" w:rsidRPr="00D7090B" w:rsidTr="00D7090B">
        <w:trPr>
          <w:trHeight w:val="227"/>
        </w:trPr>
        <w:tc>
          <w:tcPr>
            <w:tcW w:w="1240" w:type="dxa"/>
            <w:vMerge/>
            <w:tcBorders>
              <w:top w:val="nil"/>
              <w:left w:val="single" w:sz="4" w:space="0" w:color="auto"/>
              <w:bottom w:val="single" w:sz="4" w:space="0" w:color="000000"/>
              <w:right w:val="single" w:sz="4" w:space="0" w:color="auto"/>
            </w:tcBorders>
            <w:vAlign w:val="center"/>
            <w:hideMark/>
          </w:tcPr>
          <w:p w:rsidR="00D7090B" w:rsidRPr="00D7090B" w:rsidRDefault="00D7090B" w:rsidP="00D7090B">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b/>
                <w:bCs/>
                <w:color w:val="000000"/>
                <w:sz w:val="20"/>
                <w:lang w:eastAsia="en-GB"/>
              </w:rPr>
            </w:pPr>
            <w:r w:rsidRPr="00D7090B">
              <w:rPr>
                <w:rFonts w:asciiTheme="minorHAnsi" w:hAnsiTheme="minorHAnsi"/>
                <w:b/>
                <w:bCs/>
                <w:color w:val="000000"/>
                <w:sz w:val="20"/>
                <w:lang w:eastAsia="en-GB"/>
              </w:rPr>
              <w:t>CDR(Reg)</w:t>
            </w:r>
          </w:p>
        </w:tc>
        <w:tc>
          <w:tcPr>
            <w:tcW w:w="1520" w:type="dxa"/>
            <w:tcBorders>
              <w:top w:val="nil"/>
              <w:left w:val="nil"/>
              <w:bottom w:val="nil"/>
              <w:right w:val="nil"/>
            </w:tcBorders>
            <w:shd w:val="clear" w:color="000000" w:fill="BFBFBF"/>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0.009 </w:t>
            </w:r>
          </w:p>
        </w:tc>
        <w:tc>
          <w:tcPr>
            <w:tcW w:w="12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b/>
                <w:bCs/>
                <w:color w:val="000000"/>
                <w:sz w:val="20"/>
                <w:lang w:eastAsia="en-GB"/>
              </w:rPr>
            </w:pPr>
            <w:r w:rsidRPr="00D7090B">
              <w:rPr>
                <w:rFonts w:asciiTheme="minorHAnsi" w:hAnsiTheme="minorHAnsi"/>
                <w:b/>
                <w:bCs/>
                <w:color w:val="000000"/>
                <w:sz w:val="20"/>
                <w:lang w:eastAsia="en-GB"/>
              </w:rPr>
              <w:t xml:space="preserve">-0.775 </w:t>
            </w:r>
          </w:p>
        </w:tc>
        <w:tc>
          <w:tcPr>
            <w:tcW w:w="14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b/>
                <w:bCs/>
                <w:color w:val="000000"/>
                <w:sz w:val="20"/>
                <w:lang w:eastAsia="en-GB"/>
              </w:rPr>
            </w:pPr>
            <w:r w:rsidRPr="00D7090B">
              <w:rPr>
                <w:rFonts w:asciiTheme="minorHAnsi" w:hAnsiTheme="minorHAnsi"/>
                <w:b/>
                <w:bCs/>
                <w:color w:val="000000"/>
                <w:sz w:val="20"/>
                <w:lang w:eastAsia="en-GB"/>
              </w:rPr>
              <w:t xml:space="preserve">0.565 </w:t>
            </w:r>
          </w:p>
        </w:tc>
        <w:tc>
          <w:tcPr>
            <w:tcW w:w="96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0.228 </w:t>
            </w:r>
          </w:p>
        </w:tc>
      </w:tr>
      <w:tr w:rsidR="00D7090B" w:rsidRPr="00D7090B" w:rsidTr="00D7090B">
        <w:trPr>
          <w:trHeight w:val="227"/>
        </w:trPr>
        <w:tc>
          <w:tcPr>
            <w:tcW w:w="1240" w:type="dxa"/>
            <w:vMerge/>
            <w:tcBorders>
              <w:top w:val="nil"/>
              <w:left w:val="single" w:sz="4" w:space="0" w:color="auto"/>
              <w:bottom w:val="single" w:sz="4" w:space="0" w:color="000000"/>
              <w:right w:val="single" w:sz="4" w:space="0" w:color="auto"/>
            </w:tcBorders>
            <w:vAlign w:val="center"/>
            <w:hideMark/>
          </w:tcPr>
          <w:p w:rsidR="00D7090B" w:rsidRPr="00D7090B" w:rsidRDefault="00D7090B" w:rsidP="00D7090B">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b/>
                <w:bCs/>
                <w:color w:val="000000"/>
                <w:sz w:val="20"/>
                <w:lang w:eastAsia="en-GB"/>
              </w:rPr>
            </w:pPr>
            <w:r w:rsidRPr="00D7090B">
              <w:rPr>
                <w:rFonts w:asciiTheme="minorHAnsi" w:hAnsiTheme="minorHAnsi"/>
                <w:b/>
                <w:bCs/>
                <w:color w:val="000000"/>
                <w:sz w:val="20"/>
                <w:lang w:eastAsia="en-GB"/>
              </w:rPr>
              <w:t>CDR(Cen)</w:t>
            </w:r>
          </w:p>
        </w:tc>
        <w:tc>
          <w:tcPr>
            <w:tcW w:w="1520" w:type="dxa"/>
            <w:tcBorders>
              <w:top w:val="nil"/>
              <w:left w:val="nil"/>
              <w:bottom w:val="nil"/>
              <w:right w:val="nil"/>
            </w:tcBorders>
            <w:shd w:val="clear" w:color="000000" w:fill="BFBFBF"/>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0.006 </w:t>
            </w:r>
          </w:p>
        </w:tc>
        <w:tc>
          <w:tcPr>
            <w:tcW w:w="12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-0.466 </w:t>
            </w:r>
          </w:p>
        </w:tc>
        <w:tc>
          <w:tcPr>
            <w:tcW w:w="14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b/>
                <w:bCs/>
                <w:color w:val="000000"/>
                <w:sz w:val="20"/>
                <w:lang w:eastAsia="en-GB"/>
              </w:rPr>
            </w:pPr>
            <w:r w:rsidRPr="00D7090B">
              <w:rPr>
                <w:rFonts w:asciiTheme="minorHAnsi" w:hAnsiTheme="minorHAnsi"/>
                <w:b/>
                <w:bCs/>
                <w:color w:val="000000"/>
                <w:sz w:val="20"/>
                <w:lang w:eastAsia="en-GB"/>
              </w:rPr>
              <w:t xml:space="preserve">0.558 </w:t>
            </w:r>
          </w:p>
        </w:tc>
        <w:tc>
          <w:tcPr>
            <w:tcW w:w="96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0.283 </w:t>
            </w:r>
          </w:p>
        </w:tc>
      </w:tr>
      <w:tr w:rsidR="00D7090B" w:rsidRPr="00D7090B" w:rsidTr="00D7090B">
        <w:trPr>
          <w:trHeight w:val="227"/>
        </w:trPr>
        <w:tc>
          <w:tcPr>
            <w:tcW w:w="1240" w:type="dxa"/>
            <w:vMerge/>
            <w:tcBorders>
              <w:top w:val="nil"/>
              <w:left w:val="single" w:sz="4" w:space="0" w:color="auto"/>
              <w:bottom w:val="single" w:sz="4" w:space="0" w:color="000000"/>
              <w:right w:val="single" w:sz="4" w:space="0" w:color="auto"/>
            </w:tcBorders>
            <w:vAlign w:val="center"/>
            <w:hideMark/>
          </w:tcPr>
          <w:p w:rsidR="00D7090B" w:rsidRPr="00D7090B" w:rsidRDefault="00D7090B" w:rsidP="00D7090B">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b/>
                <w:bCs/>
                <w:color w:val="000000"/>
                <w:sz w:val="20"/>
                <w:lang w:eastAsia="en-GB"/>
              </w:rPr>
            </w:pPr>
            <w:r w:rsidRPr="00D7090B">
              <w:rPr>
                <w:rFonts w:asciiTheme="minorHAnsi" w:hAnsiTheme="minorHAnsi"/>
                <w:b/>
                <w:bCs/>
                <w:color w:val="000000"/>
                <w:sz w:val="20"/>
                <w:lang w:eastAsia="en-GB"/>
              </w:rPr>
              <w:t>OADR(Reg)</w:t>
            </w:r>
          </w:p>
        </w:tc>
        <w:tc>
          <w:tcPr>
            <w:tcW w:w="1520" w:type="dxa"/>
            <w:tcBorders>
              <w:top w:val="nil"/>
              <w:left w:val="nil"/>
              <w:bottom w:val="nil"/>
              <w:right w:val="nil"/>
            </w:tcBorders>
            <w:shd w:val="clear" w:color="000000" w:fill="BFBFBF"/>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0.072 </w:t>
            </w:r>
          </w:p>
        </w:tc>
        <w:tc>
          <w:tcPr>
            <w:tcW w:w="12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0.369 </w:t>
            </w:r>
          </w:p>
        </w:tc>
        <w:tc>
          <w:tcPr>
            <w:tcW w:w="14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-0.352 </w:t>
            </w:r>
          </w:p>
        </w:tc>
        <w:tc>
          <w:tcPr>
            <w:tcW w:w="96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0.219 </w:t>
            </w:r>
          </w:p>
        </w:tc>
      </w:tr>
      <w:tr w:rsidR="00D7090B" w:rsidRPr="00D7090B" w:rsidTr="00D7090B">
        <w:trPr>
          <w:trHeight w:val="227"/>
        </w:trPr>
        <w:tc>
          <w:tcPr>
            <w:tcW w:w="1240" w:type="dxa"/>
            <w:vMerge/>
            <w:tcBorders>
              <w:top w:val="nil"/>
              <w:left w:val="single" w:sz="4" w:space="0" w:color="auto"/>
              <w:bottom w:val="single" w:sz="4" w:space="0" w:color="000000"/>
              <w:right w:val="single" w:sz="4" w:space="0" w:color="auto"/>
            </w:tcBorders>
            <w:vAlign w:val="center"/>
            <w:hideMark/>
          </w:tcPr>
          <w:p w:rsidR="00D7090B" w:rsidRPr="00D7090B" w:rsidRDefault="00D7090B" w:rsidP="00D7090B">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b/>
                <w:bCs/>
                <w:color w:val="000000"/>
                <w:sz w:val="20"/>
                <w:lang w:eastAsia="en-GB"/>
              </w:rPr>
            </w:pPr>
            <w:r w:rsidRPr="00D7090B">
              <w:rPr>
                <w:rFonts w:asciiTheme="minorHAnsi" w:hAnsiTheme="minorHAnsi"/>
                <w:b/>
                <w:bCs/>
                <w:color w:val="000000"/>
                <w:sz w:val="20"/>
                <w:lang w:eastAsia="en-GB"/>
              </w:rPr>
              <w:t>OADR(Cen</w:t>
            </w:r>
          </w:p>
        </w:tc>
        <w:tc>
          <w:tcPr>
            <w:tcW w:w="1520" w:type="dxa"/>
            <w:tcBorders>
              <w:top w:val="nil"/>
              <w:left w:val="nil"/>
              <w:bottom w:val="nil"/>
              <w:right w:val="nil"/>
            </w:tcBorders>
            <w:shd w:val="clear" w:color="000000" w:fill="BFBFBF"/>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0.065 </w:t>
            </w:r>
          </w:p>
        </w:tc>
        <w:tc>
          <w:tcPr>
            <w:tcW w:w="12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b/>
                <w:bCs/>
                <w:color w:val="000000"/>
                <w:sz w:val="20"/>
                <w:lang w:eastAsia="en-GB"/>
              </w:rPr>
            </w:pPr>
            <w:r w:rsidRPr="00D7090B">
              <w:rPr>
                <w:rFonts w:asciiTheme="minorHAnsi" w:hAnsiTheme="minorHAnsi"/>
                <w:b/>
                <w:bCs/>
                <w:color w:val="000000"/>
                <w:sz w:val="20"/>
                <w:lang w:eastAsia="en-GB"/>
              </w:rPr>
              <w:t xml:space="preserve">0.540 </w:t>
            </w:r>
          </w:p>
        </w:tc>
        <w:tc>
          <w:tcPr>
            <w:tcW w:w="14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-0.369 </w:t>
            </w:r>
          </w:p>
        </w:tc>
        <w:tc>
          <w:tcPr>
            <w:tcW w:w="96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0.262 </w:t>
            </w:r>
          </w:p>
        </w:tc>
      </w:tr>
      <w:tr w:rsidR="00D7090B" w:rsidRPr="00D7090B" w:rsidTr="00D7090B">
        <w:trPr>
          <w:trHeight w:val="227"/>
        </w:trPr>
        <w:tc>
          <w:tcPr>
            <w:tcW w:w="1240" w:type="dxa"/>
            <w:vMerge/>
            <w:tcBorders>
              <w:top w:val="nil"/>
              <w:left w:val="single" w:sz="4" w:space="0" w:color="auto"/>
              <w:bottom w:val="single" w:sz="4" w:space="0" w:color="000000"/>
              <w:right w:val="single" w:sz="4" w:space="0" w:color="auto"/>
            </w:tcBorders>
            <w:vAlign w:val="center"/>
            <w:hideMark/>
          </w:tcPr>
          <w:p w:rsidR="00D7090B" w:rsidRPr="00D7090B" w:rsidRDefault="00D7090B" w:rsidP="00D7090B">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b/>
                <w:bCs/>
                <w:color w:val="000000"/>
                <w:sz w:val="20"/>
                <w:lang w:eastAsia="en-GB"/>
              </w:rPr>
            </w:pPr>
            <w:r w:rsidRPr="00D7090B">
              <w:rPr>
                <w:rFonts w:asciiTheme="minorHAnsi" w:hAnsiTheme="minorHAnsi"/>
                <w:b/>
                <w:bCs/>
                <w:color w:val="000000"/>
                <w:sz w:val="20"/>
                <w:lang w:eastAsia="en-GB"/>
              </w:rPr>
              <w:t>LoneP(Cen)</w:t>
            </w:r>
          </w:p>
        </w:tc>
        <w:tc>
          <w:tcPr>
            <w:tcW w:w="152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0.499 </w:t>
            </w:r>
          </w:p>
        </w:tc>
        <w:tc>
          <w:tcPr>
            <w:tcW w:w="12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0.464 </w:t>
            </w:r>
          </w:p>
        </w:tc>
        <w:tc>
          <w:tcPr>
            <w:tcW w:w="1480" w:type="dxa"/>
            <w:tcBorders>
              <w:top w:val="nil"/>
              <w:left w:val="nil"/>
              <w:bottom w:val="nil"/>
              <w:right w:val="nil"/>
            </w:tcBorders>
            <w:shd w:val="clear" w:color="000000" w:fill="BFBFBF"/>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0.090 </w:t>
            </w:r>
          </w:p>
        </w:tc>
        <w:tc>
          <w:tcPr>
            <w:tcW w:w="96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-0.224 </w:t>
            </w:r>
          </w:p>
        </w:tc>
      </w:tr>
      <w:tr w:rsidR="00D7090B" w:rsidRPr="00D7090B" w:rsidTr="00D7090B">
        <w:trPr>
          <w:trHeight w:val="227"/>
        </w:trPr>
        <w:tc>
          <w:tcPr>
            <w:tcW w:w="1240" w:type="dxa"/>
            <w:vMerge/>
            <w:tcBorders>
              <w:top w:val="nil"/>
              <w:left w:val="single" w:sz="4" w:space="0" w:color="auto"/>
              <w:bottom w:val="single" w:sz="4" w:space="0" w:color="000000"/>
              <w:right w:val="single" w:sz="4" w:space="0" w:color="auto"/>
            </w:tcBorders>
            <w:vAlign w:val="center"/>
            <w:hideMark/>
          </w:tcPr>
          <w:p w:rsidR="00D7090B" w:rsidRPr="00D7090B" w:rsidRDefault="00D7090B" w:rsidP="00D7090B">
            <w:pPr>
              <w:spacing w:before="0" w:line="240" w:lineRule="auto"/>
              <w:jc w:val="left"/>
              <w:rPr>
                <w:rFonts w:asciiTheme="minorHAnsi" w:hAnsiTheme="minorHAnsi"/>
                <w:b/>
                <w:bCs/>
                <w:color w:val="000000"/>
                <w:sz w:val="20"/>
                <w:lang w:eastAsia="en-GB"/>
              </w:rPr>
            </w:pPr>
          </w:p>
        </w:tc>
        <w:tc>
          <w:tcPr>
            <w:tcW w:w="162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b/>
                <w:bCs/>
                <w:color w:val="000000"/>
                <w:sz w:val="20"/>
                <w:lang w:eastAsia="en-GB"/>
              </w:rPr>
            </w:pPr>
            <w:r w:rsidRPr="00D7090B">
              <w:rPr>
                <w:rFonts w:asciiTheme="minorHAnsi" w:hAnsiTheme="minorHAnsi"/>
                <w:b/>
                <w:bCs/>
                <w:color w:val="000000"/>
                <w:sz w:val="20"/>
                <w:lang w:eastAsia="en-GB"/>
              </w:rPr>
              <w:t>Foreign(Cen)</w:t>
            </w:r>
          </w:p>
        </w:tc>
        <w:tc>
          <w:tcPr>
            <w:tcW w:w="152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0.064 </w:t>
            </w:r>
          </w:p>
        </w:tc>
        <w:tc>
          <w:tcPr>
            <w:tcW w:w="1280" w:type="dxa"/>
            <w:tcBorders>
              <w:top w:val="nil"/>
              <w:left w:val="nil"/>
              <w:bottom w:val="nil"/>
              <w:right w:val="nil"/>
            </w:tcBorders>
            <w:shd w:val="clear" w:color="000000" w:fill="BFBFBF"/>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-0.114 </w:t>
            </w:r>
          </w:p>
        </w:tc>
        <w:tc>
          <w:tcPr>
            <w:tcW w:w="1480" w:type="dxa"/>
            <w:tcBorders>
              <w:top w:val="nil"/>
              <w:left w:val="nil"/>
              <w:bottom w:val="nil"/>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-0.253 </w:t>
            </w:r>
          </w:p>
        </w:tc>
        <w:tc>
          <w:tcPr>
            <w:tcW w:w="960" w:type="dxa"/>
            <w:tcBorders>
              <w:top w:val="nil"/>
              <w:left w:val="nil"/>
              <w:bottom w:val="nil"/>
              <w:right w:val="single" w:sz="4" w:space="0" w:color="auto"/>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-0.325 </w:t>
            </w:r>
          </w:p>
        </w:tc>
      </w:tr>
      <w:tr w:rsidR="00D7090B" w:rsidRPr="00D7090B" w:rsidTr="00D7090B">
        <w:trPr>
          <w:trHeight w:val="227"/>
        </w:trPr>
        <w:tc>
          <w:tcPr>
            <w:tcW w:w="1240" w:type="dxa"/>
            <w:vMerge/>
            <w:tcBorders>
              <w:top w:val="nil"/>
              <w:left w:val="single" w:sz="4" w:space="0" w:color="auto"/>
              <w:bottom w:val="single" w:sz="4" w:space="0" w:color="000000"/>
              <w:right w:val="single" w:sz="4" w:space="0" w:color="auto"/>
            </w:tcBorders>
            <w:vAlign w:val="center"/>
            <w:hideMark/>
          </w:tcPr>
          <w:p w:rsidR="00D7090B" w:rsidRPr="00D7090B" w:rsidRDefault="00D7090B" w:rsidP="00D7090B">
            <w:pPr>
              <w:spacing w:before="0" w:line="240" w:lineRule="auto"/>
              <w:jc w:val="left"/>
              <w:rPr>
                <w:rFonts w:asciiTheme="minorHAnsi" w:hAnsiTheme="minorHAnsi"/>
                <w:b/>
                <w:bCs/>
                <w:color w:val="000000"/>
                <w:sz w:val="20"/>
                <w:lang w:eastAsia="en-GB"/>
              </w:rPr>
            </w:pPr>
          </w:p>
        </w:tc>
        <w:tc>
          <w:tcPr>
            <w:tcW w:w="1620" w:type="dxa"/>
            <w:tcBorders>
              <w:top w:val="nil"/>
              <w:left w:val="nil"/>
              <w:bottom w:val="single" w:sz="4" w:space="0" w:color="auto"/>
              <w:right w:val="single" w:sz="4" w:space="0" w:color="auto"/>
            </w:tcBorders>
            <w:shd w:val="clear" w:color="auto" w:fill="auto"/>
            <w:noWrap/>
            <w:vAlign w:val="bottom"/>
            <w:hideMark/>
          </w:tcPr>
          <w:p w:rsidR="00D7090B" w:rsidRPr="00D7090B" w:rsidRDefault="00D7090B" w:rsidP="00D7090B">
            <w:pPr>
              <w:spacing w:before="0" w:line="240" w:lineRule="auto"/>
              <w:jc w:val="left"/>
              <w:rPr>
                <w:rFonts w:asciiTheme="minorHAnsi" w:hAnsiTheme="minorHAnsi"/>
                <w:b/>
                <w:bCs/>
                <w:color w:val="000000"/>
                <w:sz w:val="20"/>
                <w:lang w:eastAsia="en-GB"/>
              </w:rPr>
            </w:pPr>
            <w:r w:rsidRPr="00D7090B">
              <w:rPr>
                <w:rFonts w:asciiTheme="minorHAnsi" w:hAnsiTheme="minorHAnsi"/>
                <w:b/>
                <w:bCs/>
                <w:color w:val="000000"/>
                <w:sz w:val="20"/>
                <w:lang w:eastAsia="en-GB"/>
              </w:rPr>
              <w:t>NonCit(Cen)</w:t>
            </w:r>
          </w:p>
        </w:tc>
        <w:tc>
          <w:tcPr>
            <w:tcW w:w="1520" w:type="dxa"/>
            <w:tcBorders>
              <w:top w:val="nil"/>
              <w:left w:val="nil"/>
              <w:bottom w:val="single" w:sz="4" w:space="0" w:color="auto"/>
              <w:right w:val="nil"/>
            </w:tcBorders>
            <w:shd w:val="clear" w:color="000000" w:fill="BFBFBF"/>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000000"/>
                <w:sz w:val="20"/>
                <w:lang w:eastAsia="en-GB"/>
              </w:rPr>
              <w:t xml:space="preserve">0.063 </w:t>
            </w:r>
          </w:p>
        </w:tc>
        <w:tc>
          <w:tcPr>
            <w:tcW w:w="1280" w:type="dxa"/>
            <w:tcBorders>
              <w:top w:val="nil"/>
              <w:left w:val="nil"/>
              <w:bottom w:val="single" w:sz="4" w:space="0" w:color="auto"/>
              <w:right w:val="nil"/>
            </w:tcBorders>
            <w:shd w:val="clear" w:color="000000" w:fill="BFBFBF"/>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-0.063 </w:t>
            </w:r>
          </w:p>
        </w:tc>
        <w:tc>
          <w:tcPr>
            <w:tcW w:w="1480" w:type="dxa"/>
            <w:tcBorders>
              <w:top w:val="nil"/>
              <w:left w:val="nil"/>
              <w:bottom w:val="single" w:sz="4" w:space="0" w:color="auto"/>
              <w:right w:val="nil"/>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-0.263 </w:t>
            </w:r>
          </w:p>
        </w:tc>
        <w:tc>
          <w:tcPr>
            <w:tcW w:w="960" w:type="dxa"/>
            <w:tcBorders>
              <w:top w:val="nil"/>
              <w:left w:val="nil"/>
              <w:bottom w:val="single" w:sz="4" w:space="0" w:color="auto"/>
              <w:right w:val="single" w:sz="4" w:space="0" w:color="auto"/>
            </w:tcBorders>
            <w:shd w:val="clear" w:color="auto" w:fill="auto"/>
            <w:noWrap/>
            <w:vAlign w:val="bottom"/>
            <w:hideMark/>
          </w:tcPr>
          <w:p w:rsidR="00D7090B" w:rsidRPr="00D7090B" w:rsidRDefault="00D7090B" w:rsidP="00D7090B">
            <w:pPr>
              <w:spacing w:before="0" w:line="240" w:lineRule="auto"/>
              <w:jc w:val="right"/>
              <w:rPr>
                <w:rFonts w:asciiTheme="minorHAnsi" w:hAnsiTheme="minorHAnsi"/>
                <w:color w:val="000000"/>
                <w:sz w:val="20"/>
                <w:lang w:eastAsia="en-GB"/>
              </w:rPr>
            </w:pPr>
            <w:r w:rsidRPr="00D7090B">
              <w:rPr>
                <w:rFonts w:asciiTheme="minorHAnsi" w:hAnsiTheme="minorHAnsi"/>
                <w:color w:val="FF0000"/>
                <w:sz w:val="20"/>
                <w:lang w:eastAsia="en-GB"/>
              </w:rPr>
              <w:t xml:space="preserve">-0.235 </w:t>
            </w:r>
          </w:p>
        </w:tc>
      </w:tr>
    </w:tbl>
    <w:p w:rsidR="00D7090B" w:rsidRPr="00D7090B" w:rsidRDefault="00D7090B" w:rsidP="002B3A47">
      <w:pPr>
        <w:rPr>
          <w:b/>
        </w:rPr>
      </w:pPr>
      <w:r w:rsidRPr="00D7090B">
        <w:rPr>
          <w:b/>
        </w:rPr>
        <w:t>Macro Region definitions:</w:t>
      </w:r>
    </w:p>
    <w:p w:rsidR="00D7090B" w:rsidRDefault="00D7090B" w:rsidP="002B3A47">
      <w:r>
        <w:t>Atlantic-Central:</w:t>
      </w:r>
      <w:r w:rsidR="00075DAB">
        <w:t xml:space="preserve"> AT, DE, BE, FR, IE, LU, NL, UK, CH, LI, NO</w:t>
      </w:r>
    </w:p>
    <w:p w:rsidR="00D7090B" w:rsidRDefault="00D7090B" w:rsidP="002B3A47">
      <w:r>
        <w:t>Nordic-Baltic</w:t>
      </w:r>
      <w:r w:rsidR="000A2B1D">
        <w:t>:</w:t>
      </w:r>
      <w:r w:rsidR="00075DAB">
        <w:t xml:space="preserve"> DK, EE, FI, LT, LV, SE, IS, NO</w:t>
      </w:r>
    </w:p>
    <w:p w:rsidR="00D7090B" w:rsidRDefault="00D7090B" w:rsidP="002B3A47">
      <w:r>
        <w:t>Mediterranean</w:t>
      </w:r>
      <w:r w:rsidR="000A2B1D">
        <w:t>:</w:t>
      </w:r>
      <w:r w:rsidR="00075DAB">
        <w:t xml:space="preserve"> CY, EL, ES, IT, MT, PT, TR</w:t>
      </w:r>
    </w:p>
    <w:p w:rsidR="00D7090B" w:rsidRDefault="00D7090B" w:rsidP="002B3A47">
      <w:r>
        <w:t>CEECs</w:t>
      </w:r>
      <w:r w:rsidR="000A2B1D">
        <w:t>:</w:t>
      </w:r>
      <w:r w:rsidR="00075DAB">
        <w:t xml:space="preserve"> BG, CZ, HR, HU, PL, RO, SI, SK, AL, BA, ME, MK, RS</w:t>
      </w:r>
    </w:p>
    <w:p w:rsidR="00D7090B" w:rsidRPr="00D7090B" w:rsidRDefault="00D7090B" w:rsidP="002B3A47"/>
    <w:sectPr w:rsidR="00D7090B" w:rsidRPr="00D7090B" w:rsidSect="009F1846">
      <w:type w:val="continuous"/>
      <w:pgSz w:w="11907" w:h="16840" w:code="9"/>
      <w:pgMar w:top="1440" w:right="1797" w:bottom="1440" w:left="1797" w:header="709" w:footer="709" w:gutter="0"/>
      <w:pgNumType w:start="2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11F7B" w:rsidRDefault="00A11F7B">
      <w:r>
        <w:separator/>
      </w:r>
    </w:p>
    <w:p w:rsidR="00A11F7B" w:rsidRDefault="00A11F7B"/>
  </w:endnote>
  <w:endnote w:type="continuationSeparator" w:id="0">
    <w:p w:rsidR="00A11F7B" w:rsidRDefault="00A11F7B">
      <w:r>
        <w:continuationSeparator/>
      </w:r>
    </w:p>
    <w:p w:rsidR="00A11F7B" w:rsidRDefault="00A11F7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Gill Sans MT">
    <w:charset w:val="00"/>
    <w:family w:val="swiss"/>
    <w:pitch w:val="variable"/>
    <w:sig w:usb0="00000007" w:usb1="00000000" w:usb2="00000000" w:usb3="00000000" w:csb0="00000003" w:csb1="00000000"/>
  </w:font>
  <w:font w:name="Perpetua Titling MT">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69169713"/>
      <w:placeholder>
        <w:docPart w:val="53AC5DD1F21B411FA42EFE529C350E30"/>
      </w:placeholder>
      <w:temporary/>
      <w:showingPlcHdr/>
    </w:sdtPr>
    <w:sdtEndPr/>
    <w:sdtContent>
      <w:p w:rsidR="00714717" w:rsidRDefault="00714717">
        <w:pPr>
          <w:pStyle w:val="Alatunniste"/>
        </w:pPr>
        <w:r>
          <w:t>[Type text]</w:t>
        </w:r>
      </w:p>
    </w:sdtContent>
  </w:sdt>
  <w:p w:rsidR="00714717" w:rsidRDefault="00714717" w:rsidP="00F0060F">
    <w:pPr>
      <w:pStyle w:val="Alatunnist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4717" w:rsidRDefault="00714717">
    <w:pPr>
      <w:pStyle w:val="Alatunniste"/>
      <w:jc w:val="right"/>
    </w:pPr>
  </w:p>
  <w:p w:rsidR="00714717" w:rsidRDefault="00714717">
    <w:pPr>
      <w:pStyle w:val="Alatunniste"/>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4717" w:rsidRDefault="00714717">
    <w:pPr>
      <w:pStyle w:val="Alatunniste"/>
      <w:jc w:val="right"/>
    </w:pPr>
  </w:p>
  <w:p w:rsidR="00714717" w:rsidRDefault="00714717">
    <w:pPr>
      <w:pStyle w:val="Alatunniste"/>
      <w:ind w:right="360"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4717" w:rsidRDefault="00714717">
    <w:pPr>
      <w:pStyle w:val="Alatunniste"/>
      <w:ind w:right="360" w:firstLine="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46351770"/>
      <w:docPartObj>
        <w:docPartGallery w:val="Page Numbers (Bottom of Page)"/>
        <w:docPartUnique/>
      </w:docPartObj>
    </w:sdtPr>
    <w:sdtEndPr>
      <w:rPr>
        <w:noProof/>
      </w:rPr>
    </w:sdtEndPr>
    <w:sdtContent>
      <w:p w:rsidR="00714717" w:rsidRDefault="00714717">
        <w:pPr>
          <w:pStyle w:val="Alatunniste"/>
          <w:jc w:val="right"/>
        </w:pPr>
        <w:r>
          <w:fldChar w:fldCharType="begin"/>
        </w:r>
        <w:r>
          <w:instrText xml:space="preserve"> PAGE   \* MERGEFORMAT </w:instrText>
        </w:r>
        <w:r>
          <w:fldChar w:fldCharType="separate"/>
        </w:r>
        <w:r w:rsidR="003E5398">
          <w:rPr>
            <w:noProof/>
          </w:rPr>
          <w:t>13</w:t>
        </w:r>
        <w:r>
          <w:rPr>
            <w:noProof/>
          </w:rPr>
          <w:fldChar w:fldCharType="end"/>
        </w:r>
      </w:p>
    </w:sdtContent>
  </w:sdt>
  <w:p w:rsidR="00714717" w:rsidRDefault="00714717">
    <w:pPr>
      <w:pStyle w:val="Alatunniste"/>
      <w:ind w:right="360" w:firstLine="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59445471"/>
      <w:docPartObj>
        <w:docPartGallery w:val="Page Numbers (Bottom of Page)"/>
        <w:docPartUnique/>
      </w:docPartObj>
    </w:sdtPr>
    <w:sdtEndPr>
      <w:rPr>
        <w:noProof/>
      </w:rPr>
    </w:sdtEndPr>
    <w:sdtContent>
      <w:p w:rsidR="00714717" w:rsidRDefault="00714717">
        <w:pPr>
          <w:pStyle w:val="Alatunniste"/>
          <w:jc w:val="right"/>
        </w:pPr>
        <w:r>
          <w:fldChar w:fldCharType="begin"/>
        </w:r>
        <w:r>
          <w:instrText xml:space="preserve"> PAGE   \* MERGEFORMAT </w:instrText>
        </w:r>
        <w:r>
          <w:fldChar w:fldCharType="separate"/>
        </w:r>
        <w:r w:rsidR="003E5398">
          <w:rPr>
            <w:noProof/>
          </w:rPr>
          <w:t>15</w:t>
        </w:r>
        <w:r>
          <w:rPr>
            <w:noProof/>
          </w:rPr>
          <w:fldChar w:fldCharType="end"/>
        </w:r>
      </w:p>
    </w:sdtContent>
  </w:sdt>
  <w:p w:rsidR="00714717" w:rsidRDefault="00714717">
    <w:pPr>
      <w:pStyle w:val="Alatunniste"/>
      <w:ind w:right="360" w:firstLine="36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47788946"/>
      <w:docPartObj>
        <w:docPartGallery w:val="Page Numbers (Bottom of Page)"/>
        <w:docPartUnique/>
      </w:docPartObj>
    </w:sdtPr>
    <w:sdtEndPr>
      <w:rPr>
        <w:noProof/>
      </w:rPr>
    </w:sdtEndPr>
    <w:sdtContent>
      <w:p w:rsidR="00714717" w:rsidRDefault="00714717">
        <w:pPr>
          <w:pStyle w:val="Alatunniste"/>
          <w:jc w:val="right"/>
        </w:pPr>
        <w:r>
          <w:fldChar w:fldCharType="begin"/>
        </w:r>
        <w:r>
          <w:instrText xml:space="preserve"> PAGE   \* MERGEFORMAT </w:instrText>
        </w:r>
        <w:r>
          <w:fldChar w:fldCharType="separate"/>
        </w:r>
        <w:r w:rsidR="003E5398">
          <w:rPr>
            <w:noProof/>
          </w:rPr>
          <w:t>24</w:t>
        </w:r>
        <w:r>
          <w:rPr>
            <w:noProof/>
          </w:rPr>
          <w:fldChar w:fldCharType="end"/>
        </w:r>
      </w:p>
    </w:sdtContent>
  </w:sdt>
  <w:p w:rsidR="00714717" w:rsidRDefault="00714717">
    <w:pPr>
      <w:pStyle w:val="Alatunniste"/>
      <w:ind w:right="360"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11F7B" w:rsidRDefault="00A11F7B">
      <w:r>
        <w:separator/>
      </w:r>
    </w:p>
  </w:footnote>
  <w:footnote w:type="continuationSeparator" w:id="0">
    <w:p w:rsidR="00A11F7B" w:rsidRDefault="00A11F7B">
      <w:r>
        <w:continuationSeparator/>
      </w:r>
    </w:p>
    <w:p w:rsidR="00A11F7B" w:rsidRDefault="00A11F7B"/>
  </w:footnote>
  <w:footnote w:id="1">
    <w:p w:rsidR="00714717" w:rsidRPr="00DE647B" w:rsidRDefault="00714717" w:rsidP="00DE647B">
      <w:pPr>
        <w:pStyle w:val="Alaviitteenteksti"/>
        <w:spacing w:line="240" w:lineRule="auto"/>
      </w:pPr>
      <w:r>
        <w:rPr>
          <w:rStyle w:val="Alaviitteenviite"/>
        </w:rPr>
        <w:footnoteRef/>
      </w:r>
      <w:r>
        <w:t xml:space="preserve"> </w:t>
      </w:r>
      <w:r w:rsidRPr="00DE647B">
        <w:t xml:space="preserve">These are all available in a spreadsheet which may be downloaded from the ESPON website </w:t>
      </w:r>
      <w:hyperlink r:id="rId1" w:history="1">
        <w:r w:rsidRPr="00DE647B">
          <w:rPr>
            <w:rStyle w:val="Hyperlinkki"/>
          </w:rPr>
          <w:t>http://www.espon.eu/main/Menu_ToolsandMaps/ESPONTypologies/</w:t>
        </w:r>
      </w:hyperlink>
      <w:r w:rsidRPr="00DE647B">
        <w:t xml:space="preserve"> [accessed 1</w:t>
      </w:r>
      <w:r w:rsidRPr="00DE647B">
        <w:rPr>
          <w:vertAlign w:val="superscript"/>
        </w:rPr>
        <w:t>st</w:t>
      </w:r>
      <w:r w:rsidRPr="00DE647B">
        <w:t xml:space="preserve"> April 2014]</w:t>
      </w:r>
    </w:p>
  </w:footnote>
  <w:footnote w:id="2">
    <w:p w:rsidR="00714717" w:rsidRPr="00DE647B" w:rsidRDefault="00714717" w:rsidP="00DE647B">
      <w:pPr>
        <w:pStyle w:val="Alaviitteenteksti"/>
        <w:spacing w:line="240" w:lineRule="auto"/>
        <w:jc w:val="left"/>
      </w:pPr>
      <w:r>
        <w:rPr>
          <w:rStyle w:val="Alaviitteenviite"/>
        </w:rPr>
        <w:footnoteRef/>
      </w:r>
      <w:r>
        <w:t xml:space="preserve"> </w:t>
      </w:r>
      <w:r w:rsidRPr="00DE647B">
        <w:rPr>
          <w:szCs w:val="18"/>
        </w:rPr>
        <w:t xml:space="preserve">Dijkstra, L., and Poelman, H. (2011) Regional Typologies: A Compilation, Regional Focus No1, DG Regio, European Commission. </w:t>
      </w:r>
      <w:hyperlink r:id="rId2" w:history="1">
        <w:r w:rsidRPr="00DE647B">
          <w:rPr>
            <w:rStyle w:val="Hyperlinkki"/>
          </w:rPr>
          <w:t>http://ec.europa.eu/regional_policy/sources/docgener/focus/2011_01_typologies.pdf</w:t>
        </w:r>
      </w:hyperlink>
      <w:r w:rsidRPr="00DE647B">
        <w:t xml:space="preserve"> [Accessed on 21st November 2013]</w:t>
      </w:r>
    </w:p>
  </w:footnote>
  <w:footnote w:id="3">
    <w:p w:rsidR="00714717" w:rsidRDefault="00714717">
      <w:pPr>
        <w:pStyle w:val="Alaviitteenteksti"/>
      </w:pPr>
      <w:r>
        <w:rPr>
          <w:rStyle w:val="Alaviitteenviite"/>
        </w:rPr>
        <w:footnoteRef/>
      </w:r>
      <w:r>
        <w:t xml:space="preserve"> The typology distinguishes capitals and smaller cities, these are combined in the interest of clarity.</w:t>
      </w:r>
    </w:p>
  </w:footnote>
  <w:footnote w:id="4">
    <w:p w:rsidR="00714717" w:rsidRDefault="00714717">
      <w:pPr>
        <w:pStyle w:val="Alaviitteenteksti"/>
      </w:pPr>
      <w:r>
        <w:rPr>
          <w:rStyle w:val="Alaviitteenviite"/>
        </w:rPr>
        <w:footnoteRef/>
      </w:r>
      <w:r>
        <w:t xml:space="preserve"> Analysis was also carried out on the basis of the macro-regions featured in the social exclusion mapping task (Annex 6 and Annex 8). However since these groups of countries were mainly defined on instrumental grounds (reflecting the location and knowledge of partners) rather than on a theoretical basis, these results are presented as Appendix 1.</w:t>
      </w:r>
    </w:p>
  </w:footnote>
  <w:footnote w:id="5">
    <w:p w:rsidR="00714717" w:rsidRDefault="00714717">
      <w:pPr>
        <w:pStyle w:val="Alaviitteenteksti"/>
      </w:pPr>
      <w:r>
        <w:rPr>
          <w:rStyle w:val="Alaviitteenviite"/>
        </w:rPr>
        <w:footnoteRef/>
      </w:r>
      <w:r>
        <w:t xml:space="preserve"> Croatia is not included here, due to the substantial proportion of missing data.</w:t>
      </w:r>
    </w:p>
  </w:footnote>
  <w:footnote w:id="6">
    <w:p w:rsidR="00714717" w:rsidRDefault="00714717">
      <w:pPr>
        <w:pStyle w:val="Alaviitteenteksti"/>
      </w:pPr>
      <w:r>
        <w:rPr>
          <w:rStyle w:val="Alaviitteenviite"/>
        </w:rPr>
        <w:footnoteRef/>
      </w:r>
      <w:r>
        <w:t xml:space="preserve"> This seems to be related to data gaps in Turkey, since in Table 4 the Mediterranean countries (without Turkey) exhibit strong associations between poverty rates and labour market indicators.</w:t>
      </w:r>
    </w:p>
  </w:footnote>
  <w:footnote w:id="7">
    <w:p w:rsidR="00714717" w:rsidRPr="00D36673" w:rsidRDefault="00714717" w:rsidP="00D36673">
      <w:pPr>
        <w:spacing w:line="240" w:lineRule="auto"/>
        <w:rPr>
          <w:noProof/>
          <w:sz w:val="18"/>
          <w:szCs w:val="18"/>
        </w:rPr>
      </w:pPr>
      <w:r>
        <w:rPr>
          <w:rStyle w:val="Alaviitteenviite"/>
        </w:rPr>
        <w:footnoteRef/>
      </w:r>
      <w:r>
        <w:t xml:space="preserve"> </w:t>
      </w:r>
      <w:r w:rsidRPr="00D36673">
        <w:rPr>
          <w:noProof/>
          <w:sz w:val="18"/>
          <w:szCs w:val="18"/>
        </w:rPr>
        <w:t xml:space="preserve">Hirsch, D. Bryan, A. Davis, A. and Smith, N. ( 2013)  </w:t>
      </w:r>
      <w:r w:rsidRPr="00D36673">
        <w:rPr>
          <w:i/>
          <w:noProof/>
          <w:sz w:val="18"/>
          <w:szCs w:val="18"/>
        </w:rPr>
        <w:t>Minimum Income Standard for Remote and Rural Scotland</w:t>
      </w:r>
      <w:r w:rsidRPr="00D36673">
        <w:rPr>
          <w:noProof/>
          <w:sz w:val="18"/>
          <w:szCs w:val="18"/>
        </w:rPr>
        <w:t xml:space="preserve">. Report for Highlands and Islands Enterprise, Inverness. Available at: </w:t>
      </w:r>
      <w:hyperlink r:id="rId3" w:history="1">
        <w:r w:rsidRPr="00D36673">
          <w:rPr>
            <w:rStyle w:val="Hyperlinkki"/>
            <w:noProof/>
            <w:sz w:val="18"/>
            <w:szCs w:val="18"/>
          </w:rPr>
          <w:t>http://www.hie.co.uk/regional-information/economic-reports-and-research/archive/a-minimum-income-standard-for-remote-rural-scotland.html</w:t>
        </w:r>
      </w:hyperlink>
      <w:r w:rsidRPr="00D36673">
        <w:rPr>
          <w:noProof/>
          <w:sz w:val="18"/>
          <w:szCs w:val="18"/>
        </w:rPr>
        <w:t xml:space="preserve"> [Accessed on 10th April 2014]</w:t>
      </w:r>
    </w:p>
    <w:p w:rsidR="00714717" w:rsidRDefault="00714717">
      <w:pPr>
        <w:pStyle w:val="Alaviitteenteksti"/>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4717" w:rsidRDefault="00714717">
    <w:pPr>
      <w:pStyle w:val="Yltunnis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6E16F1"/>
    <w:multiLevelType w:val="hybridMultilevel"/>
    <w:tmpl w:val="A2787088"/>
    <w:lvl w:ilvl="0" w:tplc="1428BEF2">
      <w:start w:val="1"/>
      <w:numFmt w:val="decimal"/>
      <w:lvlText w:val="%1."/>
      <w:lvlJc w:val="left"/>
      <w:pPr>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15B75017"/>
    <w:multiLevelType w:val="multilevel"/>
    <w:tmpl w:val="6148A720"/>
    <w:lvl w:ilvl="0">
      <w:start w:val="1"/>
      <w:numFmt w:val="decimal"/>
      <w:pStyle w:val="Otsikko1"/>
      <w:lvlText w:val="%1"/>
      <w:lvlJc w:val="left"/>
      <w:pPr>
        <w:tabs>
          <w:tab w:val="num" w:pos="510"/>
        </w:tabs>
        <w:ind w:left="510" w:hanging="510"/>
      </w:pPr>
    </w:lvl>
    <w:lvl w:ilvl="1">
      <w:start w:val="1"/>
      <w:numFmt w:val="decimal"/>
      <w:pStyle w:val="Otsikko2"/>
      <w:lvlText w:val="%1.%2"/>
      <w:lvlJc w:val="left"/>
      <w:pPr>
        <w:tabs>
          <w:tab w:val="num" w:pos="879"/>
        </w:tabs>
        <w:ind w:left="879" w:hanging="737"/>
      </w:pPr>
    </w:lvl>
    <w:lvl w:ilvl="2">
      <w:start w:val="1"/>
      <w:numFmt w:val="decimal"/>
      <w:pStyle w:val="Otsikko3"/>
      <w:lvlText w:val="%1.%2.%3"/>
      <w:lvlJc w:val="left"/>
      <w:pPr>
        <w:tabs>
          <w:tab w:val="num" w:pos="1021"/>
        </w:tabs>
        <w:ind w:left="1021" w:hanging="1021"/>
      </w:pPr>
    </w:lvl>
    <w:lvl w:ilvl="3">
      <w:start w:val="1"/>
      <w:numFmt w:val="decimal"/>
      <w:pStyle w:val="Otsikko4"/>
      <w:lvlText w:val="%1.%2.%3.%4"/>
      <w:lvlJc w:val="left"/>
      <w:pPr>
        <w:tabs>
          <w:tab w:val="num" w:pos="1304"/>
        </w:tabs>
        <w:ind w:left="1304" w:hanging="1304"/>
      </w:pPr>
    </w:lvl>
    <w:lvl w:ilvl="4">
      <w:start w:val="1"/>
      <w:numFmt w:val="decimal"/>
      <w:pStyle w:val="Otsikko5"/>
      <w:lvlText w:val="%1.%2.%3.%4.%5"/>
      <w:lvlJc w:val="left"/>
      <w:pPr>
        <w:tabs>
          <w:tab w:val="num" w:pos="1644"/>
        </w:tabs>
        <w:ind w:left="1644" w:hanging="1644"/>
      </w:pPr>
    </w:lvl>
    <w:lvl w:ilvl="5">
      <w:start w:val="1"/>
      <w:numFmt w:val="decimal"/>
      <w:pStyle w:val="Otsikko6"/>
      <w:lvlText w:val="%1.%2.%3.%4.%5.%6"/>
      <w:lvlJc w:val="left"/>
      <w:pPr>
        <w:tabs>
          <w:tab w:val="num" w:pos="1152"/>
        </w:tabs>
        <w:ind w:left="1152" w:hanging="1152"/>
      </w:pPr>
    </w:lvl>
    <w:lvl w:ilvl="6">
      <w:start w:val="1"/>
      <w:numFmt w:val="decimal"/>
      <w:pStyle w:val="Otsikko7"/>
      <w:lvlText w:val="%1.%2.%3.%4.%5.%6.%7"/>
      <w:lvlJc w:val="left"/>
      <w:pPr>
        <w:tabs>
          <w:tab w:val="num" w:pos="1296"/>
        </w:tabs>
        <w:ind w:left="1296" w:hanging="1296"/>
      </w:pPr>
    </w:lvl>
    <w:lvl w:ilvl="7">
      <w:start w:val="1"/>
      <w:numFmt w:val="decimal"/>
      <w:pStyle w:val="Otsikko8"/>
      <w:lvlText w:val="%1.%2.%3.%4.%5.%6.%7.%8"/>
      <w:lvlJc w:val="left"/>
      <w:pPr>
        <w:tabs>
          <w:tab w:val="num" w:pos="1440"/>
        </w:tabs>
        <w:ind w:left="1440" w:hanging="1440"/>
      </w:pPr>
    </w:lvl>
    <w:lvl w:ilvl="8">
      <w:start w:val="1"/>
      <w:numFmt w:val="decimal"/>
      <w:pStyle w:val="Otsikko9"/>
      <w:lvlText w:val="%1.%2.%3.%4.%5.%6.%7.%8.%9"/>
      <w:lvlJc w:val="left"/>
      <w:pPr>
        <w:tabs>
          <w:tab w:val="num" w:pos="1584"/>
        </w:tabs>
        <w:ind w:left="1584" w:hanging="1584"/>
      </w:pPr>
    </w:lvl>
  </w:abstractNum>
  <w:abstractNum w:abstractNumId="2">
    <w:nsid w:val="1FA11AFA"/>
    <w:multiLevelType w:val="hybridMultilevel"/>
    <w:tmpl w:val="44386BB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nsid w:val="26CA4883"/>
    <w:multiLevelType w:val="hybridMultilevel"/>
    <w:tmpl w:val="3B6CEB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6A493409"/>
    <w:multiLevelType w:val="hybridMultilevel"/>
    <w:tmpl w:val="152213FE"/>
    <w:lvl w:ilvl="0" w:tplc="1428BEF2">
      <w:start w:val="1"/>
      <w:numFmt w:val="decimal"/>
      <w:lvlText w:val="%1."/>
      <w:lvlJc w:val="left"/>
      <w:pPr>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7403732C"/>
    <w:multiLevelType w:val="hybridMultilevel"/>
    <w:tmpl w:val="35B0EF0A"/>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num w:numId="1">
    <w:abstractNumId w:val="1"/>
  </w:num>
  <w:num w:numId="2">
    <w:abstractNumId w:val="3"/>
  </w:num>
  <w:num w:numId="3">
    <w:abstractNumId w:val="5"/>
  </w:num>
  <w:num w:numId="4">
    <w:abstractNumId w:val="4"/>
  </w:num>
  <w:num w:numId="5">
    <w:abstractNumId w:val="0"/>
  </w:num>
  <w:num w:numId="6">
    <w:abstractNumId w:val="2"/>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activeWritingStyle w:appName="MSWord" w:lang="en-GB" w:vendorID="64" w:dllVersion="131078" w:nlCheck="1" w:checkStyle="1"/>
  <w:activeWritingStyle w:appName="MSWord" w:lang="en-US" w:vendorID="64" w:dllVersion="131078" w:nlCheck="1" w:checkStyle="1"/>
  <w:activeWritingStyle w:appName="MSWord" w:lang="es-ES" w:vendorID="64" w:dllVersion="131078" w:nlCheck="1" w:checkStyle="1"/>
  <w:activeWritingStyle w:appName="MSWord" w:lang="de-DE" w:vendorID="64" w:dllVersion="131078" w:nlCheck="1" w:checkStyle="1"/>
  <w:activeWritingStyle w:appName="MSWord" w:lang="de-DE" w:vendorID="9" w:dllVersion="512" w:checkStyle="1"/>
  <w:activeWritingStyle w:appName="MSWord" w:lang="sv-SE" w:vendorID="666" w:dllVersion="513" w:checkStyle="1"/>
  <w:activeWritingStyle w:appName="MSWord" w:lang="sv-SE" w:vendorID="22" w:dllVersion="513" w:checkStyle="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9"/>
  <w:autoHyphenation/>
  <w:hyphenationZone w:val="142"/>
  <w:drawingGridHorizontalSpacing w:val="110"/>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1&lt;/Suspended&gt;&lt;/ENInstantFormat&gt;"/>
    <w:docVar w:name="EN.Layout" w:val="&lt;ENLayout&gt;&lt;Style&gt;Harvard V2&lt;/Style&gt;&lt;LeftDelim&gt;{&lt;/LeftDelim&gt;&lt;RightDelim&gt;}&lt;/RightDelim&gt;&lt;FontName&gt;Arial&lt;/FontName&gt;&lt;FontSize&gt;11&lt;/FontSize&gt;&lt;ReflistTitle&gt;References&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25tas95vtezst4e55d1xv0twzf0xa2fpdr02&quot;&gt;TiPSE Poverty Map Paper&lt;record-ids&gt;&lt;item&gt;2&lt;/item&gt;&lt;item&gt;4&lt;/item&gt;&lt;item&gt;6&lt;/item&gt;&lt;item&gt;7&lt;/item&gt;&lt;item&gt;8&lt;/item&gt;&lt;item&gt;10&lt;/item&gt;&lt;item&gt;17&lt;/item&gt;&lt;item&gt;46&lt;/item&gt;&lt;item&gt;47&lt;/item&gt;&lt;item&gt;48&lt;/item&gt;&lt;item&gt;49&lt;/item&gt;&lt;item&gt;50&lt;/item&gt;&lt;item&gt;51&lt;/item&gt;&lt;item&gt;52&lt;/item&gt;&lt;item&gt;53&lt;/item&gt;&lt;item&gt;54&lt;/item&gt;&lt;item&gt;55&lt;/item&gt;&lt;item&gt;57&lt;/item&gt;&lt;/record-ids&gt;&lt;/item&gt;&lt;/Libraries&gt;"/>
  </w:docVars>
  <w:rsids>
    <w:rsidRoot w:val="00EE5EB2"/>
    <w:rsid w:val="0000028F"/>
    <w:rsid w:val="000006F2"/>
    <w:rsid w:val="00000B0C"/>
    <w:rsid w:val="00000E90"/>
    <w:rsid w:val="00001202"/>
    <w:rsid w:val="00001391"/>
    <w:rsid w:val="000017E6"/>
    <w:rsid w:val="000020BF"/>
    <w:rsid w:val="00002167"/>
    <w:rsid w:val="0000251E"/>
    <w:rsid w:val="000063BF"/>
    <w:rsid w:val="000067E6"/>
    <w:rsid w:val="00006BE0"/>
    <w:rsid w:val="000076AC"/>
    <w:rsid w:val="00007B80"/>
    <w:rsid w:val="00010A5E"/>
    <w:rsid w:val="000113CF"/>
    <w:rsid w:val="0001183B"/>
    <w:rsid w:val="0001287A"/>
    <w:rsid w:val="00012ECC"/>
    <w:rsid w:val="00013758"/>
    <w:rsid w:val="00013BDE"/>
    <w:rsid w:val="000140DE"/>
    <w:rsid w:val="0001452A"/>
    <w:rsid w:val="000153D9"/>
    <w:rsid w:val="000165A2"/>
    <w:rsid w:val="00016B2C"/>
    <w:rsid w:val="00017847"/>
    <w:rsid w:val="00017991"/>
    <w:rsid w:val="00017F32"/>
    <w:rsid w:val="000201E4"/>
    <w:rsid w:val="000202B2"/>
    <w:rsid w:val="000213DB"/>
    <w:rsid w:val="000216BC"/>
    <w:rsid w:val="00021E5B"/>
    <w:rsid w:val="00022713"/>
    <w:rsid w:val="000230A7"/>
    <w:rsid w:val="000231EB"/>
    <w:rsid w:val="000236B3"/>
    <w:rsid w:val="000238A4"/>
    <w:rsid w:val="0002484E"/>
    <w:rsid w:val="00025AF4"/>
    <w:rsid w:val="0002608A"/>
    <w:rsid w:val="000261B6"/>
    <w:rsid w:val="0002775E"/>
    <w:rsid w:val="00030665"/>
    <w:rsid w:val="00031896"/>
    <w:rsid w:val="000321CA"/>
    <w:rsid w:val="00033EFC"/>
    <w:rsid w:val="000345D3"/>
    <w:rsid w:val="000346BE"/>
    <w:rsid w:val="00034A1E"/>
    <w:rsid w:val="00034DDE"/>
    <w:rsid w:val="00034E16"/>
    <w:rsid w:val="00034ECB"/>
    <w:rsid w:val="00035675"/>
    <w:rsid w:val="000371DC"/>
    <w:rsid w:val="000375E7"/>
    <w:rsid w:val="00037ACA"/>
    <w:rsid w:val="0004050C"/>
    <w:rsid w:val="00040905"/>
    <w:rsid w:val="000412CF"/>
    <w:rsid w:val="00041655"/>
    <w:rsid w:val="0004374E"/>
    <w:rsid w:val="00044645"/>
    <w:rsid w:val="00045B9A"/>
    <w:rsid w:val="00047F52"/>
    <w:rsid w:val="0005053A"/>
    <w:rsid w:val="00050BD6"/>
    <w:rsid w:val="00051CAE"/>
    <w:rsid w:val="00051F7E"/>
    <w:rsid w:val="0005364B"/>
    <w:rsid w:val="00053C31"/>
    <w:rsid w:val="00053C9F"/>
    <w:rsid w:val="000544ED"/>
    <w:rsid w:val="00054EE7"/>
    <w:rsid w:val="00055011"/>
    <w:rsid w:val="00055AEC"/>
    <w:rsid w:val="000561E7"/>
    <w:rsid w:val="00056948"/>
    <w:rsid w:val="00056CCD"/>
    <w:rsid w:val="000630F9"/>
    <w:rsid w:val="00063552"/>
    <w:rsid w:val="00064076"/>
    <w:rsid w:val="0006417B"/>
    <w:rsid w:val="00064A7E"/>
    <w:rsid w:val="00065BDB"/>
    <w:rsid w:val="00067257"/>
    <w:rsid w:val="0006726B"/>
    <w:rsid w:val="0006781E"/>
    <w:rsid w:val="000679AE"/>
    <w:rsid w:val="00067CB5"/>
    <w:rsid w:val="00070603"/>
    <w:rsid w:val="000711F8"/>
    <w:rsid w:val="000720FE"/>
    <w:rsid w:val="00073A83"/>
    <w:rsid w:val="00074A6D"/>
    <w:rsid w:val="00074B9A"/>
    <w:rsid w:val="000750A5"/>
    <w:rsid w:val="000754A4"/>
    <w:rsid w:val="000757B4"/>
    <w:rsid w:val="00075DAB"/>
    <w:rsid w:val="000766C9"/>
    <w:rsid w:val="0007691F"/>
    <w:rsid w:val="00076CE3"/>
    <w:rsid w:val="000775D8"/>
    <w:rsid w:val="000778C1"/>
    <w:rsid w:val="00077EC7"/>
    <w:rsid w:val="00080C5E"/>
    <w:rsid w:val="000818BC"/>
    <w:rsid w:val="00082A1A"/>
    <w:rsid w:val="00083584"/>
    <w:rsid w:val="00083B2D"/>
    <w:rsid w:val="000848D0"/>
    <w:rsid w:val="00084B93"/>
    <w:rsid w:val="00084E99"/>
    <w:rsid w:val="00085161"/>
    <w:rsid w:val="000858C8"/>
    <w:rsid w:val="00086448"/>
    <w:rsid w:val="00086B1F"/>
    <w:rsid w:val="00087463"/>
    <w:rsid w:val="000876F1"/>
    <w:rsid w:val="00090D3C"/>
    <w:rsid w:val="00091E7B"/>
    <w:rsid w:val="000932C8"/>
    <w:rsid w:val="00093EAA"/>
    <w:rsid w:val="000955C3"/>
    <w:rsid w:val="00095FAC"/>
    <w:rsid w:val="0009793F"/>
    <w:rsid w:val="000A1667"/>
    <w:rsid w:val="000A221D"/>
    <w:rsid w:val="000A2B1D"/>
    <w:rsid w:val="000A4357"/>
    <w:rsid w:val="000A5445"/>
    <w:rsid w:val="000A55A7"/>
    <w:rsid w:val="000A5C93"/>
    <w:rsid w:val="000A6B6E"/>
    <w:rsid w:val="000A752A"/>
    <w:rsid w:val="000B0354"/>
    <w:rsid w:val="000B0A14"/>
    <w:rsid w:val="000B129F"/>
    <w:rsid w:val="000B141D"/>
    <w:rsid w:val="000B14AC"/>
    <w:rsid w:val="000B1C1D"/>
    <w:rsid w:val="000B321B"/>
    <w:rsid w:val="000B3347"/>
    <w:rsid w:val="000B3B35"/>
    <w:rsid w:val="000B4AD8"/>
    <w:rsid w:val="000B4BBC"/>
    <w:rsid w:val="000B6112"/>
    <w:rsid w:val="000B79E1"/>
    <w:rsid w:val="000C02FC"/>
    <w:rsid w:val="000C0B1C"/>
    <w:rsid w:val="000C0C31"/>
    <w:rsid w:val="000C232A"/>
    <w:rsid w:val="000C2F94"/>
    <w:rsid w:val="000C3116"/>
    <w:rsid w:val="000C3408"/>
    <w:rsid w:val="000C3800"/>
    <w:rsid w:val="000C39F1"/>
    <w:rsid w:val="000C41E1"/>
    <w:rsid w:val="000C4473"/>
    <w:rsid w:val="000C47EA"/>
    <w:rsid w:val="000C4907"/>
    <w:rsid w:val="000C57FB"/>
    <w:rsid w:val="000C5BDC"/>
    <w:rsid w:val="000C5FA3"/>
    <w:rsid w:val="000C694E"/>
    <w:rsid w:val="000C7175"/>
    <w:rsid w:val="000C7211"/>
    <w:rsid w:val="000D0B9C"/>
    <w:rsid w:val="000D202D"/>
    <w:rsid w:val="000D250C"/>
    <w:rsid w:val="000D29D3"/>
    <w:rsid w:val="000D34E9"/>
    <w:rsid w:val="000D3760"/>
    <w:rsid w:val="000D3E21"/>
    <w:rsid w:val="000D3F73"/>
    <w:rsid w:val="000D4AAA"/>
    <w:rsid w:val="000D4C04"/>
    <w:rsid w:val="000D4F4C"/>
    <w:rsid w:val="000D5AE1"/>
    <w:rsid w:val="000D5B2A"/>
    <w:rsid w:val="000D5C54"/>
    <w:rsid w:val="000D621B"/>
    <w:rsid w:val="000D6230"/>
    <w:rsid w:val="000D6D23"/>
    <w:rsid w:val="000E00AC"/>
    <w:rsid w:val="000E205E"/>
    <w:rsid w:val="000E2716"/>
    <w:rsid w:val="000E27F4"/>
    <w:rsid w:val="000E292D"/>
    <w:rsid w:val="000E42A3"/>
    <w:rsid w:val="000E4847"/>
    <w:rsid w:val="000E49F0"/>
    <w:rsid w:val="000E4A6B"/>
    <w:rsid w:val="000E54B7"/>
    <w:rsid w:val="000E5A82"/>
    <w:rsid w:val="000E6776"/>
    <w:rsid w:val="000E69C6"/>
    <w:rsid w:val="000E7061"/>
    <w:rsid w:val="000E73F1"/>
    <w:rsid w:val="000E75A3"/>
    <w:rsid w:val="000F04EB"/>
    <w:rsid w:val="000F1573"/>
    <w:rsid w:val="000F4604"/>
    <w:rsid w:val="000F4747"/>
    <w:rsid w:val="000F5B25"/>
    <w:rsid w:val="000F5BFE"/>
    <w:rsid w:val="000F5CA4"/>
    <w:rsid w:val="000F5D42"/>
    <w:rsid w:val="000F5EC5"/>
    <w:rsid w:val="000F7F2F"/>
    <w:rsid w:val="001016C7"/>
    <w:rsid w:val="00101F6B"/>
    <w:rsid w:val="001020E0"/>
    <w:rsid w:val="0010210C"/>
    <w:rsid w:val="0010294C"/>
    <w:rsid w:val="00102AAD"/>
    <w:rsid w:val="00102CEF"/>
    <w:rsid w:val="0010333F"/>
    <w:rsid w:val="00103677"/>
    <w:rsid w:val="00103CF5"/>
    <w:rsid w:val="00103D07"/>
    <w:rsid w:val="00103E0C"/>
    <w:rsid w:val="0010441A"/>
    <w:rsid w:val="00105086"/>
    <w:rsid w:val="00106186"/>
    <w:rsid w:val="001069FE"/>
    <w:rsid w:val="001078B6"/>
    <w:rsid w:val="00110672"/>
    <w:rsid w:val="001122B4"/>
    <w:rsid w:val="00112EA9"/>
    <w:rsid w:val="0011367E"/>
    <w:rsid w:val="001138DF"/>
    <w:rsid w:val="001155F9"/>
    <w:rsid w:val="001158E3"/>
    <w:rsid w:val="00116375"/>
    <w:rsid w:val="00117328"/>
    <w:rsid w:val="0011739D"/>
    <w:rsid w:val="00117A2A"/>
    <w:rsid w:val="0012005B"/>
    <w:rsid w:val="0012085E"/>
    <w:rsid w:val="00121BCB"/>
    <w:rsid w:val="00122932"/>
    <w:rsid w:val="001232C7"/>
    <w:rsid w:val="001238A1"/>
    <w:rsid w:val="00123957"/>
    <w:rsid w:val="00124AE2"/>
    <w:rsid w:val="00124C53"/>
    <w:rsid w:val="00124E1D"/>
    <w:rsid w:val="0012683A"/>
    <w:rsid w:val="00126F04"/>
    <w:rsid w:val="00127104"/>
    <w:rsid w:val="0012724A"/>
    <w:rsid w:val="00127417"/>
    <w:rsid w:val="00127468"/>
    <w:rsid w:val="001324DF"/>
    <w:rsid w:val="00133443"/>
    <w:rsid w:val="001337C3"/>
    <w:rsid w:val="00133DA4"/>
    <w:rsid w:val="00134A21"/>
    <w:rsid w:val="001355B8"/>
    <w:rsid w:val="00135747"/>
    <w:rsid w:val="001358B1"/>
    <w:rsid w:val="00135A3D"/>
    <w:rsid w:val="0013603B"/>
    <w:rsid w:val="00136EFB"/>
    <w:rsid w:val="0013791B"/>
    <w:rsid w:val="00141052"/>
    <w:rsid w:val="0014164F"/>
    <w:rsid w:val="00142531"/>
    <w:rsid w:val="001443BC"/>
    <w:rsid w:val="00144969"/>
    <w:rsid w:val="00145352"/>
    <w:rsid w:val="001456F6"/>
    <w:rsid w:val="00146EEB"/>
    <w:rsid w:val="00147F93"/>
    <w:rsid w:val="00150783"/>
    <w:rsid w:val="001510C6"/>
    <w:rsid w:val="001522ED"/>
    <w:rsid w:val="00152E8C"/>
    <w:rsid w:val="00153949"/>
    <w:rsid w:val="001552EA"/>
    <w:rsid w:val="001555AA"/>
    <w:rsid w:val="0015602A"/>
    <w:rsid w:val="001566B2"/>
    <w:rsid w:val="00157086"/>
    <w:rsid w:val="00161317"/>
    <w:rsid w:val="0016195B"/>
    <w:rsid w:val="0016274A"/>
    <w:rsid w:val="00163017"/>
    <w:rsid w:val="001640B2"/>
    <w:rsid w:val="001644F5"/>
    <w:rsid w:val="00164958"/>
    <w:rsid w:val="001649A4"/>
    <w:rsid w:val="00164B49"/>
    <w:rsid w:val="00165D18"/>
    <w:rsid w:val="00165DFB"/>
    <w:rsid w:val="00167721"/>
    <w:rsid w:val="00170ACD"/>
    <w:rsid w:val="00170CBC"/>
    <w:rsid w:val="00171736"/>
    <w:rsid w:val="0017265C"/>
    <w:rsid w:val="00172B10"/>
    <w:rsid w:val="001737DD"/>
    <w:rsid w:val="0017418D"/>
    <w:rsid w:val="00174BD5"/>
    <w:rsid w:val="00174CBA"/>
    <w:rsid w:val="001758F2"/>
    <w:rsid w:val="0017595F"/>
    <w:rsid w:val="00175B67"/>
    <w:rsid w:val="00176E13"/>
    <w:rsid w:val="00177B65"/>
    <w:rsid w:val="001803F8"/>
    <w:rsid w:val="0018124A"/>
    <w:rsid w:val="001813C9"/>
    <w:rsid w:val="00181D4E"/>
    <w:rsid w:val="0018352F"/>
    <w:rsid w:val="00184360"/>
    <w:rsid w:val="0018444A"/>
    <w:rsid w:val="0018445E"/>
    <w:rsid w:val="00184AC0"/>
    <w:rsid w:val="00184DC6"/>
    <w:rsid w:val="00185DBC"/>
    <w:rsid w:val="00186983"/>
    <w:rsid w:val="00186BC7"/>
    <w:rsid w:val="001903D6"/>
    <w:rsid w:val="0019070F"/>
    <w:rsid w:val="001914B2"/>
    <w:rsid w:val="0019223A"/>
    <w:rsid w:val="00192B0C"/>
    <w:rsid w:val="00192C13"/>
    <w:rsid w:val="001933F0"/>
    <w:rsid w:val="00193784"/>
    <w:rsid w:val="00193A7A"/>
    <w:rsid w:val="00193DC7"/>
    <w:rsid w:val="0019503C"/>
    <w:rsid w:val="0019589D"/>
    <w:rsid w:val="001A0854"/>
    <w:rsid w:val="001A09FA"/>
    <w:rsid w:val="001A264C"/>
    <w:rsid w:val="001A281D"/>
    <w:rsid w:val="001A357B"/>
    <w:rsid w:val="001A3658"/>
    <w:rsid w:val="001A3A68"/>
    <w:rsid w:val="001A43C8"/>
    <w:rsid w:val="001A48C9"/>
    <w:rsid w:val="001A4A11"/>
    <w:rsid w:val="001A4A16"/>
    <w:rsid w:val="001A4FDA"/>
    <w:rsid w:val="001A5DFE"/>
    <w:rsid w:val="001A7088"/>
    <w:rsid w:val="001A72FA"/>
    <w:rsid w:val="001A7CF5"/>
    <w:rsid w:val="001A7DE9"/>
    <w:rsid w:val="001B06C0"/>
    <w:rsid w:val="001B06D3"/>
    <w:rsid w:val="001B2097"/>
    <w:rsid w:val="001B312D"/>
    <w:rsid w:val="001B332E"/>
    <w:rsid w:val="001B35A9"/>
    <w:rsid w:val="001B38EA"/>
    <w:rsid w:val="001B4D83"/>
    <w:rsid w:val="001B4FB4"/>
    <w:rsid w:val="001B5463"/>
    <w:rsid w:val="001B5DA9"/>
    <w:rsid w:val="001C068B"/>
    <w:rsid w:val="001C0EBB"/>
    <w:rsid w:val="001C1159"/>
    <w:rsid w:val="001C1BDD"/>
    <w:rsid w:val="001C35B1"/>
    <w:rsid w:val="001C3A8C"/>
    <w:rsid w:val="001C4224"/>
    <w:rsid w:val="001C4CCC"/>
    <w:rsid w:val="001C4CD5"/>
    <w:rsid w:val="001C539B"/>
    <w:rsid w:val="001C5ABE"/>
    <w:rsid w:val="001C7C0E"/>
    <w:rsid w:val="001D0257"/>
    <w:rsid w:val="001D342C"/>
    <w:rsid w:val="001D360D"/>
    <w:rsid w:val="001D39C1"/>
    <w:rsid w:val="001D41E7"/>
    <w:rsid w:val="001D491F"/>
    <w:rsid w:val="001D6E37"/>
    <w:rsid w:val="001D6FCE"/>
    <w:rsid w:val="001D7873"/>
    <w:rsid w:val="001D7DCE"/>
    <w:rsid w:val="001E010B"/>
    <w:rsid w:val="001E065A"/>
    <w:rsid w:val="001E117C"/>
    <w:rsid w:val="001E1583"/>
    <w:rsid w:val="001E1A1C"/>
    <w:rsid w:val="001E1CA1"/>
    <w:rsid w:val="001E24BA"/>
    <w:rsid w:val="001E3840"/>
    <w:rsid w:val="001E3ED5"/>
    <w:rsid w:val="001E4469"/>
    <w:rsid w:val="001E48E4"/>
    <w:rsid w:val="001E4F64"/>
    <w:rsid w:val="001E5A0B"/>
    <w:rsid w:val="001E5F9A"/>
    <w:rsid w:val="001E6504"/>
    <w:rsid w:val="001E6CE5"/>
    <w:rsid w:val="001F012B"/>
    <w:rsid w:val="001F0F87"/>
    <w:rsid w:val="001F2182"/>
    <w:rsid w:val="001F288D"/>
    <w:rsid w:val="001F2983"/>
    <w:rsid w:val="001F3B17"/>
    <w:rsid w:val="001F3B68"/>
    <w:rsid w:val="001F426D"/>
    <w:rsid w:val="001F428F"/>
    <w:rsid w:val="001F43F4"/>
    <w:rsid w:val="001F5F1A"/>
    <w:rsid w:val="001F6BE7"/>
    <w:rsid w:val="001F7573"/>
    <w:rsid w:val="001F7A3F"/>
    <w:rsid w:val="00200292"/>
    <w:rsid w:val="002005F6"/>
    <w:rsid w:val="002005FD"/>
    <w:rsid w:val="0020078E"/>
    <w:rsid w:val="002008F4"/>
    <w:rsid w:val="00201098"/>
    <w:rsid w:val="002010FF"/>
    <w:rsid w:val="002011F9"/>
    <w:rsid w:val="0020231D"/>
    <w:rsid w:val="00204005"/>
    <w:rsid w:val="00204D37"/>
    <w:rsid w:val="00205306"/>
    <w:rsid w:val="00205E2A"/>
    <w:rsid w:val="0020601F"/>
    <w:rsid w:val="002074B9"/>
    <w:rsid w:val="00210090"/>
    <w:rsid w:val="00210BDE"/>
    <w:rsid w:val="00211179"/>
    <w:rsid w:val="00211287"/>
    <w:rsid w:val="00212FFC"/>
    <w:rsid w:val="0021324D"/>
    <w:rsid w:val="00213880"/>
    <w:rsid w:val="00214130"/>
    <w:rsid w:val="002147C8"/>
    <w:rsid w:val="00214E9A"/>
    <w:rsid w:val="002154C2"/>
    <w:rsid w:val="00215B72"/>
    <w:rsid w:val="00215EDC"/>
    <w:rsid w:val="00217E31"/>
    <w:rsid w:val="002200D9"/>
    <w:rsid w:val="002205A7"/>
    <w:rsid w:val="00220791"/>
    <w:rsid w:val="00222F0A"/>
    <w:rsid w:val="0022390E"/>
    <w:rsid w:val="00224958"/>
    <w:rsid w:val="00224A28"/>
    <w:rsid w:val="00225964"/>
    <w:rsid w:val="00226092"/>
    <w:rsid w:val="0022682D"/>
    <w:rsid w:val="00226871"/>
    <w:rsid w:val="00227526"/>
    <w:rsid w:val="00227946"/>
    <w:rsid w:val="0023036B"/>
    <w:rsid w:val="00232225"/>
    <w:rsid w:val="00232EC6"/>
    <w:rsid w:val="0023324F"/>
    <w:rsid w:val="00233E96"/>
    <w:rsid w:val="002342F3"/>
    <w:rsid w:val="00234889"/>
    <w:rsid w:val="00235036"/>
    <w:rsid w:val="0023544B"/>
    <w:rsid w:val="00235B1B"/>
    <w:rsid w:val="00235C20"/>
    <w:rsid w:val="00236C3D"/>
    <w:rsid w:val="00237847"/>
    <w:rsid w:val="00237E61"/>
    <w:rsid w:val="002401F9"/>
    <w:rsid w:val="00240F54"/>
    <w:rsid w:val="002418BE"/>
    <w:rsid w:val="002419F4"/>
    <w:rsid w:val="002421A5"/>
    <w:rsid w:val="00242599"/>
    <w:rsid w:val="00242F8B"/>
    <w:rsid w:val="00244819"/>
    <w:rsid w:val="00244F05"/>
    <w:rsid w:val="002458E2"/>
    <w:rsid w:val="00245BCF"/>
    <w:rsid w:val="00245D9F"/>
    <w:rsid w:val="00246B3F"/>
    <w:rsid w:val="00246B4C"/>
    <w:rsid w:val="0024704A"/>
    <w:rsid w:val="00247073"/>
    <w:rsid w:val="00251F9E"/>
    <w:rsid w:val="00252190"/>
    <w:rsid w:val="00253711"/>
    <w:rsid w:val="00254782"/>
    <w:rsid w:val="00254997"/>
    <w:rsid w:val="002551D7"/>
    <w:rsid w:val="00255476"/>
    <w:rsid w:val="00255596"/>
    <w:rsid w:val="00256C08"/>
    <w:rsid w:val="00256CCE"/>
    <w:rsid w:val="002571E8"/>
    <w:rsid w:val="00257897"/>
    <w:rsid w:val="0025795C"/>
    <w:rsid w:val="00260458"/>
    <w:rsid w:val="00260759"/>
    <w:rsid w:val="002609CB"/>
    <w:rsid w:val="00261846"/>
    <w:rsid w:val="002627DE"/>
    <w:rsid w:val="00262ABB"/>
    <w:rsid w:val="00264785"/>
    <w:rsid w:val="00265F3D"/>
    <w:rsid w:val="00265FCF"/>
    <w:rsid w:val="00266E65"/>
    <w:rsid w:val="00266F82"/>
    <w:rsid w:val="00267206"/>
    <w:rsid w:val="0026789F"/>
    <w:rsid w:val="00267928"/>
    <w:rsid w:val="00267B2C"/>
    <w:rsid w:val="0027046F"/>
    <w:rsid w:val="0027063C"/>
    <w:rsid w:val="002707BC"/>
    <w:rsid w:val="00271198"/>
    <w:rsid w:val="00271AE3"/>
    <w:rsid w:val="002735B3"/>
    <w:rsid w:val="00273722"/>
    <w:rsid w:val="00273A3A"/>
    <w:rsid w:val="002742E8"/>
    <w:rsid w:val="00274D01"/>
    <w:rsid w:val="00276709"/>
    <w:rsid w:val="00276F23"/>
    <w:rsid w:val="00277045"/>
    <w:rsid w:val="00277BAC"/>
    <w:rsid w:val="00280122"/>
    <w:rsid w:val="00280462"/>
    <w:rsid w:val="00280DAD"/>
    <w:rsid w:val="002822C7"/>
    <w:rsid w:val="0028616F"/>
    <w:rsid w:val="00287A8B"/>
    <w:rsid w:val="00290383"/>
    <w:rsid w:val="00291573"/>
    <w:rsid w:val="00293504"/>
    <w:rsid w:val="00293DF3"/>
    <w:rsid w:val="00295871"/>
    <w:rsid w:val="002967A9"/>
    <w:rsid w:val="00296823"/>
    <w:rsid w:val="00297F5A"/>
    <w:rsid w:val="002A0D2E"/>
    <w:rsid w:val="002A1040"/>
    <w:rsid w:val="002A19E9"/>
    <w:rsid w:val="002A2CB0"/>
    <w:rsid w:val="002A38AF"/>
    <w:rsid w:val="002A3E19"/>
    <w:rsid w:val="002A41F9"/>
    <w:rsid w:val="002A4E27"/>
    <w:rsid w:val="002A5FF9"/>
    <w:rsid w:val="002A6678"/>
    <w:rsid w:val="002A692E"/>
    <w:rsid w:val="002A6DE0"/>
    <w:rsid w:val="002A73C2"/>
    <w:rsid w:val="002A74E1"/>
    <w:rsid w:val="002A7DF8"/>
    <w:rsid w:val="002B045D"/>
    <w:rsid w:val="002B09F4"/>
    <w:rsid w:val="002B3A47"/>
    <w:rsid w:val="002B4ED5"/>
    <w:rsid w:val="002B6353"/>
    <w:rsid w:val="002B6894"/>
    <w:rsid w:val="002B7D59"/>
    <w:rsid w:val="002C00C7"/>
    <w:rsid w:val="002C0CB3"/>
    <w:rsid w:val="002C130D"/>
    <w:rsid w:val="002C1832"/>
    <w:rsid w:val="002C1B81"/>
    <w:rsid w:val="002C1BC1"/>
    <w:rsid w:val="002C2AD4"/>
    <w:rsid w:val="002C6129"/>
    <w:rsid w:val="002C6277"/>
    <w:rsid w:val="002C70AA"/>
    <w:rsid w:val="002C7F7E"/>
    <w:rsid w:val="002D0318"/>
    <w:rsid w:val="002D2759"/>
    <w:rsid w:val="002D4BF9"/>
    <w:rsid w:val="002D542B"/>
    <w:rsid w:val="002D5AA7"/>
    <w:rsid w:val="002D5CE4"/>
    <w:rsid w:val="002D6107"/>
    <w:rsid w:val="002D6531"/>
    <w:rsid w:val="002D66BF"/>
    <w:rsid w:val="002D7500"/>
    <w:rsid w:val="002D7F22"/>
    <w:rsid w:val="002E0193"/>
    <w:rsid w:val="002E0E85"/>
    <w:rsid w:val="002E2567"/>
    <w:rsid w:val="002E257B"/>
    <w:rsid w:val="002E26A0"/>
    <w:rsid w:val="002E2872"/>
    <w:rsid w:val="002E2D82"/>
    <w:rsid w:val="002E38CA"/>
    <w:rsid w:val="002E3AB0"/>
    <w:rsid w:val="002E4263"/>
    <w:rsid w:val="002E4904"/>
    <w:rsid w:val="002E4907"/>
    <w:rsid w:val="002E50FF"/>
    <w:rsid w:val="002E5184"/>
    <w:rsid w:val="002E52A6"/>
    <w:rsid w:val="002E5386"/>
    <w:rsid w:val="002E5783"/>
    <w:rsid w:val="002E5F59"/>
    <w:rsid w:val="002E60FD"/>
    <w:rsid w:val="002E6532"/>
    <w:rsid w:val="002E6680"/>
    <w:rsid w:val="002E6C4C"/>
    <w:rsid w:val="002F0188"/>
    <w:rsid w:val="002F0B0B"/>
    <w:rsid w:val="002F0FD4"/>
    <w:rsid w:val="002F107C"/>
    <w:rsid w:val="002F121E"/>
    <w:rsid w:val="002F206B"/>
    <w:rsid w:val="002F326A"/>
    <w:rsid w:val="002F38B3"/>
    <w:rsid w:val="002F4897"/>
    <w:rsid w:val="002F59AA"/>
    <w:rsid w:val="002F661A"/>
    <w:rsid w:val="002F717E"/>
    <w:rsid w:val="002F7A1C"/>
    <w:rsid w:val="002F7AE3"/>
    <w:rsid w:val="003004C2"/>
    <w:rsid w:val="003008EC"/>
    <w:rsid w:val="003016AB"/>
    <w:rsid w:val="003028B8"/>
    <w:rsid w:val="0030322D"/>
    <w:rsid w:val="00303F10"/>
    <w:rsid w:val="0030445F"/>
    <w:rsid w:val="00304558"/>
    <w:rsid w:val="003053AE"/>
    <w:rsid w:val="00306116"/>
    <w:rsid w:val="0030618A"/>
    <w:rsid w:val="003063CB"/>
    <w:rsid w:val="0030641F"/>
    <w:rsid w:val="00307F3C"/>
    <w:rsid w:val="00310810"/>
    <w:rsid w:val="00310A28"/>
    <w:rsid w:val="00311099"/>
    <w:rsid w:val="0031283D"/>
    <w:rsid w:val="00312B44"/>
    <w:rsid w:val="003132F9"/>
    <w:rsid w:val="00314CCB"/>
    <w:rsid w:val="00316139"/>
    <w:rsid w:val="00317DA0"/>
    <w:rsid w:val="003200D7"/>
    <w:rsid w:val="00320501"/>
    <w:rsid w:val="00321056"/>
    <w:rsid w:val="00321745"/>
    <w:rsid w:val="00322C67"/>
    <w:rsid w:val="003234F3"/>
    <w:rsid w:val="00324460"/>
    <w:rsid w:val="00325151"/>
    <w:rsid w:val="00325DF3"/>
    <w:rsid w:val="00326086"/>
    <w:rsid w:val="0032621C"/>
    <w:rsid w:val="003271AE"/>
    <w:rsid w:val="00327559"/>
    <w:rsid w:val="003275A6"/>
    <w:rsid w:val="003308CD"/>
    <w:rsid w:val="00330B77"/>
    <w:rsid w:val="00330D40"/>
    <w:rsid w:val="0033284E"/>
    <w:rsid w:val="00333959"/>
    <w:rsid w:val="003346E4"/>
    <w:rsid w:val="00334CEC"/>
    <w:rsid w:val="00335482"/>
    <w:rsid w:val="00335A82"/>
    <w:rsid w:val="00335E0D"/>
    <w:rsid w:val="00335EBC"/>
    <w:rsid w:val="00336652"/>
    <w:rsid w:val="00336A61"/>
    <w:rsid w:val="00336B6A"/>
    <w:rsid w:val="00336CCB"/>
    <w:rsid w:val="00337C7F"/>
    <w:rsid w:val="00340154"/>
    <w:rsid w:val="00340B7A"/>
    <w:rsid w:val="00341258"/>
    <w:rsid w:val="00341807"/>
    <w:rsid w:val="003429F0"/>
    <w:rsid w:val="00342E94"/>
    <w:rsid w:val="00343C2F"/>
    <w:rsid w:val="0034456D"/>
    <w:rsid w:val="00344710"/>
    <w:rsid w:val="00344CD3"/>
    <w:rsid w:val="0034507A"/>
    <w:rsid w:val="0034667A"/>
    <w:rsid w:val="00346999"/>
    <w:rsid w:val="00346D4E"/>
    <w:rsid w:val="00346E28"/>
    <w:rsid w:val="00346F6D"/>
    <w:rsid w:val="00350416"/>
    <w:rsid w:val="00350666"/>
    <w:rsid w:val="00350D67"/>
    <w:rsid w:val="003511C9"/>
    <w:rsid w:val="003511EB"/>
    <w:rsid w:val="00351709"/>
    <w:rsid w:val="003524C9"/>
    <w:rsid w:val="0035392E"/>
    <w:rsid w:val="00355255"/>
    <w:rsid w:val="00356071"/>
    <w:rsid w:val="00356086"/>
    <w:rsid w:val="00356F35"/>
    <w:rsid w:val="003570F1"/>
    <w:rsid w:val="003573F3"/>
    <w:rsid w:val="00361043"/>
    <w:rsid w:val="00361448"/>
    <w:rsid w:val="00362778"/>
    <w:rsid w:val="00362DBA"/>
    <w:rsid w:val="00362DEE"/>
    <w:rsid w:val="003630B0"/>
    <w:rsid w:val="003637EB"/>
    <w:rsid w:val="00363E65"/>
    <w:rsid w:val="0036430A"/>
    <w:rsid w:val="003649CA"/>
    <w:rsid w:val="00366226"/>
    <w:rsid w:val="00367E4F"/>
    <w:rsid w:val="00367EB0"/>
    <w:rsid w:val="003705CD"/>
    <w:rsid w:val="00370889"/>
    <w:rsid w:val="003711B3"/>
    <w:rsid w:val="003719EB"/>
    <w:rsid w:val="00371A39"/>
    <w:rsid w:val="00372936"/>
    <w:rsid w:val="00372DE1"/>
    <w:rsid w:val="00373929"/>
    <w:rsid w:val="003747B6"/>
    <w:rsid w:val="00374AB1"/>
    <w:rsid w:val="003752A0"/>
    <w:rsid w:val="00375946"/>
    <w:rsid w:val="00375EF5"/>
    <w:rsid w:val="00376527"/>
    <w:rsid w:val="0037789D"/>
    <w:rsid w:val="00377F72"/>
    <w:rsid w:val="0038166F"/>
    <w:rsid w:val="00381CFE"/>
    <w:rsid w:val="003822DC"/>
    <w:rsid w:val="00382335"/>
    <w:rsid w:val="0038256D"/>
    <w:rsid w:val="00382A20"/>
    <w:rsid w:val="00382E94"/>
    <w:rsid w:val="003835AE"/>
    <w:rsid w:val="00384379"/>
    <w:rsid w:val="003848CA"/>
    <w:rsid w:val="00385F6F"/>
    <w:rsid w:val="003860D6"/>
    <w:rsid w:val="00386725"/>
    <w:rsid w:val="00387A47"/>
    <w:rsid w:val="00390680"/>
    <w:rsid w:val="00390969"/>
    <w:rsid w:val="00390EAC"/>
    <w:rsid w:val="00391521"/>
    <w:rsid w:val="00391960"/>
    <w:rsid w:val="00391969"/>
    <w:rsid w:val="00392031"/>
    <w:rsid w:val="0039222F"/>
    <w:rsid w:val="003937A3"/>
    <w:rsid w:val="003938EF"/>
    <w:rsid w:val="00393E13"/>
    <w:rsid w:val="00394353"/>
    <w:rsid w:val="003945E2"/>
    <w:rsid w:val="00395ADD"/>
    <w:rsid w:val="00395D99"/>
    <w:rsid w:val="00396CDC"/>
    <w:rsid w:val="003971C8"/>
    <w:rsid w:val="00397647"/>
    <w:rsid w:val="003A0177"/>
    <w:rsid w:val="003A1836"/>
    <w:rsid w:val="003A33EB"/>
    <w:rsid w:val="003A4766"/>
    <w:rsid w:val="003A501B"/>
    <w:rsid w:val="003A72A6"/>
    <w:rsid w:val="003A73A1"/>
    <w:rsid w:val="003A7A02"/>
    <w:rsid w:val="003B0B9A"/>
    <w:rsid w:val="003B12D7"/>
    <w:rsid w:val="003B17E4"/>
    <w:rsid w:val="003B217A"/>
    <w:rsid w:val="003B2BBC"/>
    <w:rsid w:val="003B2F34"/>
    <w:rsid w:val="003B41EB"/>
    <w:rsid w:val="003B4DF1"/>
    <w:rsid w:val="003B6927"/>
    <w:rsid w:val="003B6CFA"/>
    <w:rsid w:val="003B75DA"/>
    <w:rsid w:val="003B7BFC"/>
    <w:rsid w:val="003C0198"/>
    <w:rsid w:val="003C05E9"/>
    <w:rsid w:val="003C18A5"/>
    <w:rsid w:val="003C1C4A"/>
    <w:rsid w:val="003C1E88"/>
    <w:rsid w:val="003C2B96"/>
    <w:rsid w:val="003C31B4"/>
    <w:rsid w:val="003C3E1B"/>
    <w:rsid w:val="003C46EB"/>
    <w:rsid w:val="003C54C6"/>
    <w:rsid w:val="003C6AD6"/>
    <w:rsid w:val="003C6B4A"/>
    <w:rsid w:val="003C753A"/>
    <w:rsid w:val="003C76C9"/>
    <w:rsid w:val="003C794D"/>
    <w:rsid w:val="003D026B"/>
    <w:rsid w:val="003D02EA"/>
    <w:rsid w:val="003D0525"/>
    <w:rsid w:val="003D1330"/>
    <w:rsid w:val="003D13BD"/>
    <w:rsid w:val="003D1894"/>
    <w:rsid w:val="003D1CA1"/>
    <w:rsid w:val="003D2476"/>
    <w:rsid w:val="003D36A7"/>
    <w:rsid w:val="003D3868"/>
    <w:rsid w:val="003D4812"/>
    <w:rsid w:val="003D4AAC"/>
    <w:rsid w:val="003D4AC0"/>
    <w:rsid w:val="003D4D91"/>
    <w:rsid w:val="003D5518"/>
    <w:rsid w:val="003D6738"/>
    <w:rsid w:val="003D6CF2"/>
    <w:rsid w:val="003D73C8"/>
    <w:rsid w:val="003D76B1"/>
    <w:rsid w:val="003D7774"/>
    <w:rsid w:val="003D7AD5"/>
    <w:rsid w:val="003D7B3B"/>
    <w:rsid w:val="003E3A50"/>
    <w:rsid w:val="003E3B09"/>
    <w:rsid w:val="003E40B4"/>
    <w:rsid w:val="003E4170"/>
    <w:rsid w:val="003E51E2"/>
    <w:rsid w:val="003E5398"/>
    <w:rsid w:val="003E6A8B"/>
    <w:rsid w:val="003E700A"/>
    <w:rsid w:val="003E715A"/>
    <w:rsid w:val="003F00CA"/>
    <w:rsid w:val="003F0E17"/>
    <w:rsid w:val="003F1E76"/>
    <w:rsid w:val="003F24CE"/>
    <w:rsid w:val="003F3EF1"/>
    <w:rsid w:val="003F41AB"/>
    <w:rsid w:val="003F51C5"/>
    <w:rsid w:val="003F5E85"/>
    <w:rsid w:val="003F6783"/>
    <w:rsid w:val="003F6AEC"/>
    <w:rsid w:val="003F6C51"/>
    <w:rsid w:val="003F7C2B"/>
    <w:rsid w:val="004003B9"/>
    <w:rsid w:val="00400CCB"/>
    <w:rsid w:val="00400E38"/>
    <w:rsid w:val="00401204"/>
    <w:rsid w:val="00402074"/>
    <w:rsid w:val="00402C1C"/>
    <w:rsid w:val="00403521"/>
    <w:rsid w:val="00403C20"/>
    <w:rsid w:val="0040404A"/>
    <w:rsid w:val="0040498C"/>
    <w:rsid w:val="00404B5C"/>
    <w:rsid w:val="00404F97"/>
    <w:rsid w:val="004053AC"/>
    <w:rsid w:val="004056FF"/>
    <w:rsid w:val="004066DC"/>
    <w:rsid w:val="0040684F"/>
    <w:rsid w:val="004069CA"/>
    <w:rsid w:val="00407633"/>
    <w:rsid w:val="00410147"/>
    <w:rsid w:val="004106C9"/>
    <w:rsid w:val="00410E5D"/>
    <w:rsid w:val="00411BE6"/>
    <w:rsid w:val="0041215F"/>
    <w:rsid w:val="00412310"/>
    <w:rsid w:val="0041249C"/>
    <w:rsid w:val="004129AF"/>
    <w:rsid w:val="00413CE6"/>
    <w:rsid w:val="004144EA"/>
    <w:rsid w:val="00414F51"/>
    <w:rsid w:val="00415862"/>
    <w:rsid w:val="00416927"/>
    <w:rsid w:val="004209D7"/>
    <w:rsid w:val="00420F4C"/>
    <w:rsid w:val="00421586"/>
    <w:rsid w:val="00422996"/>
    <w:rsid w:val="00423E76"/>
    <w:rsid w:val="00424FBB"/>
    <w:rsid w:val="00426E1E"/>
    <w:rsid w:val="0042721F"/>
    <w:rsid w:val="00427D00"/>
    <w:rsid w:val="004303C4"/>
    <w:rsid w:val="00430686"/>
    <w:rsid w:val="00430F39"/>
    <w:rsid w:val="0043149C"/>
    <w:rsid w:val="00431565"/>
    <w:rsid w:val="00431886"/>
    <w:rsid w:val="004344FA"/>
    <w:rsid w:val="004345B8"/>
    <w:rsid w:val="00434634"/>
    <w:rsid w:val="00435844"/>
    <w:rsid w:val="00435BBC"/>
    <w:rsid w:val="00436621"/>
    <w:rsid w:val="0043696D"/>
    <w:rsid w:val="00436F2F"/>
    <w:rsid w:val="004377FB"/>
    <w:rsid w:val="00437D67"/>
    <w:rsid w:val="00442D41"/>
    <w:rsid w:val="0044301B"/>
    <w:rsid w:val="004431D0"/>
    <w:rsid w:val="004437E7"/>
    <w:rsid w:val="004454F2"/>
    <w:rsid w:val="00445569"/>
    <w:rsid w:val="00445CA6"/>
    <w:rsid w:val="00446288"/>
    <w:rsid w:val="0044674E"/>
    <w:rsid w:val="00446A29"/>
    <w:rsid w:val="00447854"/>
    <w:rsid w:val="00447A79"/>
    <w:rsid w:val="00450F35"/>
    <w:rsid w:val="00451299"/>
    <w:rsid w:val="00451EC5"/>
    <w:rsid w:val="004528B4"/>
    <w:rsid w:val="00452917"/>
    <w:rsid w:val="00452BA5"/>
    <w:rsid w:val="00453265"/>
    <w:rsid w:val="004539E7"/>
    <w:rsid w:val="00453A34"/>
    <w:rsid w:val="00454401"/>
    <w:rsid w:val="00454C39"/>
    <w:rsid w:val="00454E2A"/>
    <w:rsid w:val="00454FB3"/>
    <w:rsid w:val="0045507E"/>
    <w:rsid w:val="00455209"/>
    <w:rsid w:val="00455D6B"/>
    <w:rsid w:val="00457530"/>
    <w:rsid w:val="00460005"/>
    <w:rsid w:val="0046051E"/>
    <w:rsid w:val="00460FFD"/>
    <w:rsid w:val="00461CF3"/>
    <w:rsid w:val="00461D0D"/>
    <w:rsid w:val="00461E31"/>
    <w:rsid w:val="00462260"/>
    <w:rsid w:val="004628E8"/>
    <w:rsid w:val="004655D1"/>
    <w:rsid w:val="00465EC5"/>
    <w:rsid w:val="00465F14"/>
    <w:rsid w:val="004662DA"/>
    <w:rsid w:val="00466F28"/>
    <w:rsid w:val="00467115"/>
    <w:rsid w:val="00467383"/>
    <w:rsid w:val="0047003F"/>
    <w:rsid w:val="00470AAD"/>
    <w:rsid w:val="00473821"/>
    <w:rsid w:val="0047528B"/>
    <w:rsid w:val="00475AB3"/>
    <w:rsid w:val="0047662B"/>
    <w:rsid w:val="004806D6"/>
    <w:rsid w:val="004812B1"/>
    <w:rsid w:val="0048187E"/>
    <w:rsid w:val="0048298D"/>
    <w:rsid w:val="00482CEF"/>
    <w:rsid w:val="00483791"/>
    <w:rsid w:val="00483AD5"/>
    <w:rsid w:val="00484305"/>
    <w:rsid w:val="0048433B"/>
    <w:rsid w:val="00484A22"/>
    <w:rsid w:val="00486130"/>
    <w:rsid w:val="00486CF9"/>
    <w:rsid w:val="00487327"/>
    <w:rsid w:val="00487BD9"/>
    <w:rsid w:val="00490AF9"/>
    <w:rsid w:val="00490E1F"/>
    <w:rsid w:val="004929E9"/>
    <w:rsid w:val="00492A81"/>
    <w:rsid w:val="00492C1B"/>
    <w:rsid w:val="00493199"/>
    <w:rsid w:val="00493B38"/>
    <w:rsid w:val="00493C92"/>
    <w:rsid w:val="00495C95"/>
    <w:rsid w:val="004967E1"/>
    <w:rsid w:val="00497EB7"/>
    <w:rsid w:val="004A057E"/>
    <w:rsid w:val="004A2820"/>
    <w:rsid w:val="004A2F39"/>
    <w:rsid w:val="004A2F61"/>
    <w:rsid w:val="004A31C6"/>
    <w:rsid w:val="004A3666"/>
    <w:rsid w:val="004A39B3"/>
    <w:rsid w:val="004A4FF6"/>
    <w:rsid w:val="004A5816"/>
    <w:rsid w:val="004A5B3B"/>
    <w:rsid w:val="004A5D38"/>
    <w:rsid w:val="004A6152"/>
    <w:rsid w:val="004A678B"/>
    <w:rsid w:val="004A6CA1"/>
    <w:rsid w:val="004A77B5"/>
    <w:rsid w:val="004A7E57"/>
    <w:rsid w:val="004B0CD7"/>
    <w:rsid w:val="004B0D5C"/>
    <w:rsid w:val="004B1004"/>
    <w:rsid w:val="004B1109"/>
    <w:rsid w:val="004B2E41"/>
    <w:rsid w:val="004B32A5"/>
    <w:rsid w:val="004B3372"/>
    <w:rsid w:val="004B485B"/>
    <w:rsid w:val="004B4C38"/>
    <w:rsid w:val="004B5647"/>
    <w:rsid w:val="004B5D42"/>
    <w:rsid w:val="004B5DBA"/>
    <w:rsid w:val="004B5DCA"/>
    <w:rsid w:val="004B60E6"/>
    <w:rsid w:val="004B6400"/>
    <w:rsid w:val="004B641B"/>
    <w:rsid w:val="004B6625"/>
    <w:rsid w:val="004B6F31"/>
    <w:rsid w:val="004B701E"/>
    <w:rsid w:val="004B7235"/>
    <w:rsid w:val="004C0104"/>
    <w:rsid w:val="004C1755"/>
    <w:rsid w:val="004C260F"/>
    <w:rsid w:val="004C2A5F"/>
    <w:rsid w:val="004C2B82"/>
    <w:rsid w:val="004C460D"/>
    <w:rsid w:val="004C6434"/>
    <w:rsid w:val="004C652F"/>
    <w:rsid w:val="004C7D49"/>
    <w:rsid w:val="004C7D91"/>
    <w:rsid w:val="004D010A"/>
    <w:rsid w:val="004D028B"/>
    <w:rsid w:val="004D233E"/>
    <w:rsid w:val="004D2DFC"/>
    <w:rsid w:val="004D32E8"/>
    <w:rsid w:val="004D3E0D"/>
    <w:rsid w:val="004D4A49"/>
    <w:rsid w:val="004D51CD"/>
    <w:rsid w:val="004D64B7"/>
    <w:rsid w:val="004E09A6"/>
    <w:rsid w:val="004E0ACE"/>
    <w:rsid w:val="004E266B"/>
    <w:rsid w:val="004E2B35"/>
    <w:rsid w:val="004E330F"/>
    <w:rsid w:val="004E40C5"/>
    <w:rsid w:val="004E4E54"/>
    <w:rsid w:val="004E63C7"/>
    <w:rsid w:val="004E6737"/>
    <w:rsid w:val="004E6CB4"/>
    <w:rsid w:val="004E6D6D"/>
    <w:rsid w:val="004E6EDF"/>
    <w:rsid w:val="004E72F4"/>
    <w:rsid w:val="004E7DD5"/>
    <w:rsid w:val="004E7FEE"/>
    <w:rsid w:val="004F0EDD"/>
    <w:rsid w:val="004F179E"/>
    <w:rsid w:val="004F261F"/>
    <w:rsid w:val="004F3C45"/>
    <w:rsid w:val="004F4190"/>
    <w:rsid w:val="004F6164"/>
    <w:rsid w:val="004F6C49"/>
    <w:rsid w:val="004F6CC7"/>
    <w:rsid w:val="004F7808"/>
    <w:rsid w:val="004F785F"/>
    <w:rsid w:val="004F7A81"/>
    <w:rsid w:val="005007A3"/>
    <w:rsid w:val="00501048"/>
    <w:rsid w:val="00501288"/>
    <w:rsid w:val="005012D6"/>
    <w:rsid w:val="00502184"/>
    <w:rsid w:val="0050228C"/>
    <w:rsid w:val="00503721"/>
    <w:rsid w:val="00504D9D"/>
    <w:rsid w:val="00505452"/>
    <w:rsid w:val="00507DA2"/>
    <w:rsid w:val="005107B5"/>
    <w:rsid w:val="005112FB"/>
    <w:rsid w:val="00512D1B"/>
    <w:rsid w:val="0051341F"/>
    <w:rsid w:val="0051371C"/>
    <w:rsid w:val="0051479A"/>
    <w:rsid w:val="00514985"/>
    <w:rsid w:val="005156AF"/>
    <w:rsid w:val="00516151"/>
    <w:rsid w:val="005169AD"/>
    <w:rsid w:val="00517175"/>
    <w:rsid w:val="00517649"/>
    <w:rsid w:val="0052046A"/>
    <w:rsid w:val="005217A3"/>
    <w:rsid w:val="00521BA2"/>
    <w:rsid w:val="00521FE8"/>
    <w:rsid w:val="00522698"/>
    <w:rsid w:val="00523674"/>
    <w:rsid w:val="00523B02"/>
    <w:rsid w:val="00523D62"/>
    <w:rsid w:val="00524BC5"/>
    <w:rsid w:val="005253E1"/>
    <w:rsid w:val="00525613"/>
    <w:rsid w:val="0053026B"/>
    <w:rsid w:val="00531791"/>
    <w:rsid w:val="00533023"/>
    <w:rsid w:val="005330B9"/>
    <w:rsid w:val="00533E0F"/>
    <w:rsid w:val="005355FE"/>
    <w:rsid w:val="005356B5"/>
    <w:rsid w:val="00535D74"/>
    <w:rsid w:val="00535F58"/>
    <w:rsid w:val="005368F7"/>
    <w:rsid w:val="00536C3C"/>
    <w:rsid w:val="005371CC"/>
    <w:rsid w:val="005376D5"/>
    <w:rsid w:val="005409B5"/>
    <w:rsid w:val="0054367E"/>
    <w:rsid w:val="00543FA4"/>
    <w:rsid w:val="00544768"/>
    <w:rsid w:val="00544FCA"/>
    <w:rsid w:val="005459A8"/>
    <w:rsid w:val="00545E77"/>
    <w:rsid w:val="005460FA"/>
    <w:rsid w:val="00546D91"/>
    <w:rsid w:val="00546FEE"/>
    <w:rsid w:val="0054799C"/>
    <w:rsid w:val="00547E40"/>
    <w:rsid w:val="005505B9"/>
    <w:rsid w:val="00550CF7"/>
    <w:rsid w:val="00550DD5"/>
    <w:rsid w:val="00551C08"/>
    <w:rsid w:val="00552733"/>
    <w:rsid w:val="005535F1"/>
    <w:rsid w:val="00553651"/>
    <w:rsid w:val="00554197"/>
    <w:rsid w:val="005541E4"/>
    <w:rsid w:val="00554B91"/>
    <w:rsid w:val="005550D0"/>
    <w:rsid w:val="00555183"/>
    <w:rsid w:val="005566B0"/>
    <w:rsid w:val="00556AF5"/>
    <w:rsid w:val="00556D25"/>
    <w:rsid w:val="005571FF"/>
    <w:rsid w:val="00560641"/>
    <w:rsid w:val="0056095C"/>
    <w:rsid w:val="00560F65"/>
    <w:rsid w:val="0056216C"/>
    <w:rsid w:val="0056240A"/>
    <w:rsid w:val="00562868"/>
    <w:rsid w:val="005628AD"/>
    <w:rsid w:val="00564205"/>
    <w:rsid w:val="005647BC"/>
    <w:rsid w:val="005649A4"/>
    <w:rsid w:val="00565393"/>
    <w:rsid w:val="005658E2"/>
    <w:rsid w:val="005659CC"/>
    <w:rsid w:val="00566D2A"/>
    <w:rsid w:val="00566F14"/>
    <w:rsid w:val="005671C8"/>
    <w:rsid w:val="0056738E"/>
    <w:rsid w:val="005674F3"/>
    <w:rsid w:val="005703AA"/>
    <w:rsid w:val="005715AF"/>
    <w:rsid w:val="00571677"/>
    <w:rsid w:val="005724E9"/>
    <w:rsid w:val="00572B35"/>
    <w:rsid w:val="005734A8"/>
    <w:rsid w:val="00573A7D"/>
    <w:rsid w:val="00574D4A"/>
    <w:rsid w:val="005804CE"/>
    <w:rsid w:val="00580616"/>
    <w:rsid w:val="00580BC9"/>
    <w:rsid w:val="00580C2A"/>
    <w:rsid w:val="005812F3"/>
    <w:rsid w:val="00581657"/>
    <w:rsid w:val="0058167B"/>
    <w:rsid w:val="0058169D"/>
    <w:rsid w:val="00582DA6"/>
    <w:rsid w:val="005831E8"/>
    <w:rsid w:val="005831F5"/>
    <w:rsid w:val="005852DD"/>
    <w:rsid w:val="00587451"/>
    <w:rsid w:val="0059040F"/>
    <w:rsid w:val="005907B4"/>
    <w:rsid w:val="00590EF7"/>
    <w:rsid w:val="00590F92"/>
    <w:rsid w:val="0059201D"/>
    <w:rsid w:val="00592095"/>
    <w:rsid w:val="00592922"/>
    <w:rsid w:val="0059313B"/>
    <w:rsid w:val="0059347D"/>
    <w:rsid w:val="00593886"/>
    <w:rsid w:val="00593BEB"/>
    <w:rsid w:val="00593EFA"/>
    <w:rsid w:val="005941C2"/>
    <w:rsid w:val="005943B5"/>
    <w:rsid w:val="0059445E"/>
    <w:rsid w:val="00595F3B"/>
    <w:rsid w:val="005960D2"/>
    <w:rsid w:val="00596D61"/>
    <w:rsid w:val="00597F76"/>
    <w:rsid w:val="005A12A2"/>
    <w:rsid w:val="005A2AF1"/>
    <w:rsid w:val="005A37AB"/>
    <w:rsid w:val="005A58B6"/>
    <w:rsid w:val="005A5D6F"/>
    <w:rsid w:val="005A6AE3"/>
    <w:rsid w:val="005A6AEA"/>
    <w:rsid w:val="005A6C6F"/>
    <w:rsid w:val="005A731C"/>
    <w:rsid w:val="005A7BAD"/>
    <w:rsid w:val="005B0A2D"/>
    <w:rsid w:val="005B137C"/>
    <w:rsid w:val="005B2879"/>
    <w:rsid w:val="005B2CD3"/>
    <w:rsid w:val="005B2F2B"/>
    <w:rsid w:val="005B346C"/>
    <w:rsid w:val="005B3D76"/>
    <w:rsid w:val="005B447E"/>
    <w:rsid w:val="005B4758"/>
    <w:rsid w:val="005B5790"/>
    <w:rsid w:val="005B5FDF"/>
    <w:rsid w:val="005B65C6"/>
    <w:rsid w:val="005B7383"/>
    <w:rsid w:val="005B779A"/>
    <w:rsid w:val="005B7B5C"/>
    <w:rsid w:val="005C0029"/>
    <w:rsid w:val="005C00B9"/>
    <w:rsid w:val="005C0145"/>
    <w:rsid w:val="005C0147"/>
    <w:rsid w:val="005C0BE9"/>
    <w:rsid w:val="005C13F8"/>
    <w:rsid w:val="005C1775"/>
    <w:rsid w:val="005C1A28"/>
    <w:rsid w:val="005C2119"/>
    <w:rsid w:val="005C32D8"/>
    <w:rsid w:val="005C3423"/>
    <w:rsid w:val="005C36A4"/>
    <w:rsid w:val="005C37AF"/>
    <w:rsid w:val="005C4CC5"/>
    <w:rsid w:val="005C6675"/>
    <w:rsid w:val="005C7CBA"/>
    <w:rsid w:val="005D056D"/>
    <w:rsid w:val="005D0882"/>
    <w:rsid w:val="005D1C9E"/>
    <w:rsid w:val="005D200C"/>
    <w:rsid w:val="005D26EA"/>
    <w:rsid w:val="005D28D1"/>
    <w:rsid w:val="005D29F4"/>
    <w:rsid w:val="005D2AB0"/>
    <w:rsid w:val="005D5616"/>
    <w:rsid w:val="005D5755"/>
    <w:rsid w:val="005D6174"/>
    <w:rsid w:val="005D7BFE"/>
    <w:rsid w:val="005D7C57"/>
    <w:rsid w:val="005E1B0F"/>
    <w:rsid w:val="005E3104"/>
    <w:rsid w:val="005E4676"/>
    <w:rsid w:val="005E55E2"/>
    <w:rsid w:val="005E5E53"/>
    <w:rsid w:val="005E5F2D"/>
    <w:rsid w:val="005E778B"/>
    <w:rsid w:val="005E7DEB"/>
    <w:rsid w:val="005F142A"/>
    <w:rsid w:val="005F2315"/>
    <w:rsid w:val="005F2FDD"/>
    <w:rsid w:val="005F3194"/>
    <w:rsid w:val="005F323E"/>
    <w:rsid w:val="005F33CE"/>
    <w:rsid w:val="005F3919"/>
    <w:rsid w:val="005F4911"/>
    <w:rsid w:val="005F4B5C"/>
    <w:rsid w:val="005F4E29"/>
    <w:rsid w:val="005F4F6F"/>
    <w:rsid w:val="005F50FC"/>
    <w:rsid w:val="005F521E"/>
    <w:rsid w:val="005F538E"/>
    <w:rsid w:val="005F5D07"/>
    <w:rsid w:val="005F5F2B"/>
    <w:rsid w:val="005F6962"/>
    <w:rsid w:val="005F69CE"/>
    <w:rsid w:val="005F6BC3"/>
    <w:rsid w:val="005F6F0E"/>
    <w:rsid w:val="005F7D5B"/>
    <w:rsid w:val="005F7E23"/>
    <w:rsid w:val="00600549"/>
    <w:rsid w:val="006005EE"/>
    <w:rsid w:val="00600AF7"/>
    <w:rsid w:val="00600CFF"/>
    <w:rsid w:val="006014AE"/>
    <w:rsid w:val="00601BAD"/>
    <w:rsid w:val="00601D72"/>
    <w:rsid w:val="00603C42"/>
    <w:rsid w:val="00603DC0"/>
    <w:rsid w:val="00603FCB"/>
    <w:rsid w:val="00604CC4"/>
    <w:rsid w:val="0060506C"/>
    <w:rsid w:val="00605433"/>
    <w:rsid w:val="00605531"/>
    <w:rsid w:val="0060629E"/>
    <w:rsid w:val="006063D5"/>
    <w:rsid w:val="006100B6"/>
    <w:rsid w:val="00610405"/>
    <w:rsid w:val="006109BA"/>
    <w:rsid w:val="00610AC8"/>
    <w:rsid w:val="00610BE7"/>
    <w:rsid w:val="00611230"/>
    <w:rsid w:val="006131A0"/>
    <w:rsid w:val="0061330E"/>
    <w:rsid w:val="0061373E"/>
    <w:rsid w:val="00613AE5"/>
    <w:rsid w:val="00615784"/>
    <w:rsid w:val="00616205"/>
    <w:rsid w:val="00616CDA"/>
    <w:rsid w:val="00617297"/>
    <w:rsid w:val="00617362"/>
    <w:rsid w:val="00617478"/>
    <w:rsid w:val="00617571"/>
    <w:rsid w:val="00617A4A"/>
    <w:rsid w:val="00617CE1"/>
    <w:rsid w:val="00620CF5"/>
    <w:rsid w:val="006214D8"/>
    <w:rsid w:val="0062191B"/>
    <w:rsid w:val="00622043"/>
    <w:rsid w:val="00622E7B"/>
    <w:rsid w:val="006232E5"/>
    <w:rsid w:val="00623636"/>
    <w:rsid w:val="00623AEF"/>
    <w:rsid w:val="0062447A"/>
    <w:rsid w:val="00625031"/>
    <w:rsid w:val="00625AFF"/>
    <w:rsid w:val="00625CF3"/>
    <w:rsid w:val="0062696A"/>
    <w:rsid w:val="00627D31"/>
    <w:rsid w:val="00630513"/>
    <w:rsid w:val="00631A2F"/>
    <w:rsid w:val="00631A6D"/>
    <w:rsid w:val="006322E1"/>
    <w:rsid w:val="0063274E"/>
    <w:rsid w:val="0063281A"/>
    <w:rsid w:val="00632E59"/>
    <w:rsid w:val="00634EB5"/>
    <w:rsid w:val="006351F2"/>
    <w:rsid w:val="0063584F"/>
    <w:rsid w:val="006358A4"/>
    <w:rsid w:val="00636012"/>
    <w:rsid w:val="00636E28"/>
    <w:rsid w:val="0063732F"/>
    <w:rsid w:val="00637487"/>
    <w:rsid w:val="00637E1B"/>
    <w:rsid w:val="0064005D"/>
    <w:rsid w:val="00640777"/>
    <w:rsid w:val="00640B5C"/>
    <w:rsid w:val="00641CB9"/>
    <w:rsid w:val="00641EE4"/>
    <w:rsid w:val="006424AB"/>
    <w:rsid w:val="006425A1"/>
    <w:rsid w:val="006425E0"/>
    <w:rsid w:val="00642B50"/>
    <w:rsid w:val="0064418B"/>
    <w:rsid w:val="006441FA"/>
    <w:rsid w:val="00645FF6"/>
    <w:rsid w:val="00647371"/>
    <w:rsid w:val="006473FF"/>
    <w:rsid w:val="006478C2"/>
    <w:rsid w:val="00647AAB"/>
    <w:rsid w:val="00650C17"/>
    <w:rsid w:val="006519B9"/>
    <w:rsid w:val="00652DD6"/>
    <w:rsid w:val="00655359"/>
    <w:rsid w:val="00656443"/>
    <w:rsid w:val="006606D5"/>
    <w:rsid w:val="0066247D"/>
    <w:rsid w:val="006624B1"/>
    <w:rsid w:val="00662CE3"/>
    <w:rsid w:val="00663006"/>
    <w:rsid w:val="0066377D"/>
    <w:rsid w:val="00663EF8"/>
    <w:rsid w:val="0066429B"/>
    <w:rsid w:val="0066466B"/>
    <w:rsid w:val="006646D9"/>
    <w:rsid w:val="006647B9"/>
    <w:rsid w:val="006648FB"/>
    <w:rsid w:val="00664DFB"/>
    <w:rsid w:val="00664F4E"/>
    <w:rsid w:val="00666645"/>
    <w:rsid w:val="00670DF1"/>
    <w:rsid w:val="006719C1"/>
    <w:rsid w:val="00671FA8"/>
    <w:rsid w:val="00672297"/>
    <w:rsid w:val="00672BF6"/>
    <w:rsid w:val="00672D39"/>
    <w:rsid w:val="006738B4"/>
    <w:rsid w:val="0067593C"/>
    <w:rsid w:val="00675A2D"/>
    <w:rsid w:val="00675EA7"/>
    <w:rsid w:val="00676302"/>
    <w:rsid w:val="00676B18"/>
    <w:rsid w:val="00680762"/>
    <w:rsid w:val="00683AB8"/>
    <w:rsid w:val="006844CD"/>
    <w:rsid w:val="00685036"/>
    <w:rsid w:val="006855DD"/>
    <w:rsid w:val="00685ED7"/>
    <w:rsid w:val="00686BF7"/>
    <w:rsid w:val="0068763E"/>
    <w:rsid w:val="006907E0"/>
    <w:rsid w:val="00690C57"/>
    <w:rsid w:val="006913B0"/>
    <w:rsid w:val="0069151D"/>
    <w:rsid w:val="006915E2"/>
    <w:rsid w:val="006915EA"/>
    <w:rsid w:val="00691D1E"/>
    <w:rsid w:val="00691FE8"/>
    <w:rsid w:val="006922C2"/>
    <w:rsid w:val="00692B36"/>
    <w:rsid w:val="00694E36"/>
    <w:rsid w:val="00694FEF"/>
    <w:rsid w:val="00695659"/>
    <w:rsid w:val="006961A6"/>
    <w:rsid w:val="0069718B"/>
    <w:rsid w:val="006977F9"/>
    <w:rsid w:val="006A0171"/>
    <w:rsid w:val="006A01C3"/>
    <w:rsid w:val="006A0AF0"/>
    <w:rsid w:val="006A0CBB"/>
    <w:rsid w:val="006A155D"/>
    <w:rsid w:val="006A1874"/>
    <w:rsid w:val="006A1C02"/>
    <w:rsid w:val="006A1DF6"/>
    <w:rsid w:val="006A20E6"/>
    <w:rsid w:val="006A2C01"/>
    <w:rsid w:val="006A2C98"/>
    <w:rsid w:val="006A3846"/>
    <w:rsid w:val="006A4239"/>
    <w:rsid w:val="006A4E94"/>
    <w:rsid w:val="006A5F53"/>
    <w:rsid w:val="006A631F"/>
    <w:rsid w:val="006A7148"/>
    <w:rsid w:val="006A774A"/>
    <w:rsid w:val="006A7D86"/>
    <w:rsid w:val="006B0102"/>
    <w:rsid w:val="006B1012"/>
    <w:rsid w:val="006B17BF"/>
    <w:rsid w:val="006B3FEB"/>
    <w:rsid w:val="006B545B"/>
    <w:rsid w:val="006B54F3"/>
    <w:rsid w:val="006B57A5"/>
    <w:rsid w:val="006B5896"/>
    <w:rsid w:val="006B5E7A"/>
    <w:rsid w:val="006C0961"/>
    <w:rsid w:val="006C1415"/>
    <w:rsid w:val="006C1596"/>
    <w:rsid w:val="006C17F2"/>
    <w:rsid w:val="006C1EDD"/>
    <w:rsid w:val="006C20A5"/>
    <w:rsid w:val="006C2123"/>
    <w:rsid w:val="006C23FC"/>
    <w:rsid w:val="006C2617"/>
    <w:rsid w:val="006C2C0E"/>
    <w:rsid w:val="006C2E74"/>
    <w:rsid w:val="006C33A1"/>
    <w:rsid w:val="006C35A5"/>
    <w:rsid w:val="006C3CC8"/>
    <w:rsid w:val="006C40BF"/>
    <w:rsid w:val="006C4131"/>
    <w:rsid w:val="006C4285"/>
    <w:rsid w:val="006C42D0"/>
    <w:rsid w:val="006C4AC4"/>
    <w:rsid w:val="006C56D9"/>
    <w:rsid w:val="006C61FD"/>
    <w:rsid w:val="006C6A7D"/>
    <w:rsid w:val="006C6D13"/>
    <w:rsid w:val="006D00A8"/>
    <w:rsid w:val="006D0A68"/>
    <w:rsid w:val="006D13E0"/>
    <w:rsid w:val="006D13FA"/>
    <w:rsid w:val="006D22F7"/>
    <w:rsid w:val="006D2C4A"/>
    <w:rsid w:val="006D36FE"/>
    <w:rsid w:val="006D380B"/>
    <w:rsid w:val="006D3C6B"/>
    <w:rsid w:val="006D3CE3"/>
    <w:rsid w:val="006D5C2E"/>
    <w:rsid w:val="006D6890"/>
    <w:rsid w:val="006D72E1"/>
    <w:rsid w:val="006D7F0D"/>
    <w:rsid w:val="006D7F3B"/>
    <w:rsid w:val="006D7FBF"/>
    <w:rsid w:val="006E0667"/>
    <w:rsid w:val="006E17AD"/>
    <w:rsid w:val="006E3053"/>
    <w:rsid w:val="006E565F"/>
    <w:rsid w:val="006E5F2B"/>
    <w:rsid w:val="006E76D9"/>
    <w:rsid w:val="006E7A94"/>
    <w:rsid w:val="006F0E73"/>
    <w:rsid w:val="006F0EE1"/>
    <w:rsid w:val="006F1C96"/>
    <w:rsid w:val="006F3218"/>
    <w:rsid w:val="006F336D"/>
    <w:rsid w:val="006F4045"/>
    <w:rsid w:val="006F48B9"/>
    <w:rsid w:val="006F54A0"/>
    <w:rsid w:val="006F5A5C"/>
    <w:rsid w:val="006F66FB"/>
    <w:rsid w:val="006F7F00"/>
    <w:rsid w:val="0070177E"/>
    <w:rsid w:val="00701F99"/>
    <w:rsid w:val="00702603"/>
    <w:rsid w:val="00702617"/>
    <w:rsid w:val="007027B2"/>
    <w:rsid w:val="00702897"/>
    <w:rsid w:val="00702AE8"/>
    <w:rsid w:val="00702CFB"/>
    <w:rsid w:val="0070354E"/>
    <w:rsid w:val="00705372"/>
    <w:rsid w:val="00706883"/>
    <w:rsid w:val="0070738A"/>
    <w:rsid w:val="007104E5"/>
    <w:rsid w:val="007114C7"/>
    <w:rsid w:val="00712764"/>
    <w:rsid w:val="00712CC9"/>
    <w:rsid w:val="007146D2"/>
    <w:rsid w:val="00714717"/>
    <w:rsid w:val="00715983"/>
    <w:rsid w:val="00715F9E"/>
    <w:rsid w:val="0072085E"/>
    <w:rsid w:val="00721715"/>
    <w:rsid w:val="00721BDA"/>
    <w:rsid w:val="00723487"/>
    <w:rsid w:val="00723871"/>
    <w:rsid w:val="00723962"/>
    <w:rsid w:val="00723EA4"/>
    <w:rsid w:val="00724424"/>
    <w:rsid w:val="007250D9"/>
    <w:rsid w:val="007254E4"/>
    <w:rsid w:val="007255F5"/>
    <w:rsid w:val="00725E62"/>
    <w:rsid w:val="00726CC0"/>
    <w:rsid w:val="00727269"/>
    <w:rsid w:val="0072780A"/>
    <w:rsid w:val="00727BDE"/>
    <w:rsid w:val="00730E8C"/>
    <w:rsid w:val="00731BD3"/>
    <w:rsid w:val="00731C1D"/>
    <w:rsid w:val="00731CC9"/>
    <w:rsid w:val="00731DCD"/>
    <w:rsid w:val="00732257"/>
    <w:rsid w:val="00732E3B"/>
    <w:rsid w:val="00732F51"/>
    <w:rsid w:val="00732FD8"/>
    <w:rsid w:val="00733CCA"/>
    <w:rsid w:val="00734193"/>
    <w:rsid w:val="00735393"/>
    <w:rsid w:val="007359B1"/>
    <w:rsid w:val="007419F7"/>
    <w:rsid w:val="00742272"/>
    <w:rsid w:val="00743764"/>
    <w:rsid w:val="00744346"/>
    <w:rsid w:val="0074467E"/>
    <w:rsid w:val="00745C96"/>
    <w:rsid w:val="00745F63"/>
    <w:rsid w:val="00747297"/>
    <w:rsid w:val="00747DAC"/>
    <w:rsid w:val="0075160D"/>
    <w:rsid w:val="00752E2A"/>
    <w:rsid w:val="00754AB1"/>
    <w:rsid w:val="00755765"/>
    <w:rsid w:val="00755930"/>
    <w:rsid w:val="007566B2"/>
    <w:rsid w:val="007570F4"/>
    <w:rsid w:val="00757356"/>
    <w:rsid w:val="0075781A"/>
    <w:rsid w:val="007607C5"/>
    <w:rsid w:val="007610CD"/>
    <w:rsid w:val="00762C3C"/>
    <w:rsid w:val="007631FF"/>
    <w:rsid w:val="00764B8C"/>
    <w:rsid w:val="00764BA1"/>
    <w:rsid w:val="00765039"/>
    <w:rsid w:val="00765738"/>
    <w:rsid w:val="00766D75"/>
    <w:rsid w:val="00767035"/>
    <w:rsid w:val="00770688"/>
    <w:rsid w:val="007708AC"/>
    <w:rsid w:val="00771E40"/>
    <w:rsid w:val="0077212C"/>
    <w:rsid w:val="007726A2"/>
    <w:rsid w:val="00772EE5"/>
    <w:rsid w:val="00773124"/>
    <w:rsid w:val="00774698"/>
    <w:rsid w:val="007748DB"/>
    <w:rsid w:val="00774F4B"/>
    <w:rsid w:val="007750B0"/>
    <w:rsid w:val="00775612"/>
    <w:rsid w:val="007759D0"/>
    <w:rsid w:val="007766C7"/>
    <w:rsid w:val="00776A31"/>
    <w:rsid w:val="00776B91"/>
    <w:rsid w:val="00776FE1"/>
    <w:rsid w:val="007775FA"/>
    <w:rsid w:val="007803AB"/>
    <w:rsid w:val="007810C4"/>
    <w:rsid w:val="007828ED"/>
    <w:rsid w:val="00782B92"/>
    <w:rsid w:val="00783B19"/>
    <w:rsid w:val="007845D4"/>
    <w:rsid w:val="007849F5"/>
    <w:rsid w:val="00784B03"/>
    <w:rsid w:val="007857D9"/>
    <w:rsid w:val="00785D78"/>
    <w:rsid w:val="00786835"/>
    <w:rsid w:val="00786E19"/>
    <w:rsid w:val="00787C73"/>
    <w:rsid w:val="00791013"/>
    <w:rsid w:val="00791139"/>
    <w:rsid w:val="00791B17"/>
    <w:rsid w:val="00792830"/>
    <w:rsid w:val="007931FE"/>
    <w:rsid w:val="00794083"/>
    <w:rsid w:val="0079408A"/>
    <w:rsid w:val="0079481E"/>
    <w:rsid w:val="00794D25"/>
    <w:rsid w:val="0079546B"/>
    <w:rsid w:val="007956D9"/>
    <w:rsid w:val="00795A75"/>
    <w:rsid w:val="00796664"/>
    <w:rsid w:val="00796772"/>
    <w:rsid w:val="00796BE5"/>
    <w:rsid w:val="00796D91"/>
    <w:rsid w:val="00796ECD"/>
    <w:rsid w:val="0079758A"/>
    <w:rsid w:val="007975AF"/>
    <w:rsid w:val="0079778D"/>
    <w:rsid w:val="00797E60"/>
    <w:rsid w:val="007A0AA6"/>
    <w:rsid w:val="007A1C20"/>
    <w:rsid w:val="007A25E5"/>
    <w:rsid w:val="007A279F"/>
    <w:rsid w:val="007A2C9B"/>
    <w:rsid w:val="007A32B4"/>
    <w:rsid w:val="007A3B12"/>
    <w:rsid w:val="007A3D62"/>
    <w:rsid w:val="007A420A"/>
    <w:rsid w:val="007A5481"/>
    <w:rsid w:val="007A57CA"/>
    <w:rsid w:val="007A60D0"/>
    <w:rsid w:val="007A6BC3"/>
    <w:rsid w:val="007A7741"/>
    <w:rsid w:val="007B0404"/>
    <w:rsid w:val="007B1110"/>
    <w:rsid w:val="007B1910"/>
    <w:rsid w:val="007B2CD6"/>
    <w:rsid w:val="007B2D3C"/>
    <w:rsid w:val="007B3DB8"/>
    <w:rsid w:val="007B4DC3"/>
    <w:rsid w:val="007B50F3"/>
    <w:rsid w:val="007B598F"/>
    <w:rsid w:val="007B60DE"/>
    <w:rsid w:val="007B61F3"/>
    <w:rsid w:val="007B78B4"/>
    <w:rsid w:val="007C1DB4"/>
    <w:rsid w:val="007C2E15"/>
    <w:rsid w:val="007C30CC"/>
    <w:rsid w:val="007C3275"/>
    <w:rsid w:val="007C37B0"/>
    <w:rsid w:val="007C37C3"/>
    <w:rsid w:val="007C39B5"/>
    <w:rsid w:val="007C3FFD"/>
    <w:rsid w:val="007C511E"/>
    <w:rsid w:val="007C5A7D"/>
    <w:rsid w:val="007C79C2"/>
    <w:rsid w:val="007D0055"/>
    <w:rsid w:val="007D02E9"/>
    <w:rsid w:val="007D1558"/>
    <w:rsid w:val="007D1642"/>
    <w:rsid w:val="007D2C33"/>
    <w:rsid w:val="007D3006"/>
    <w:rsid w:val="007D30CA"/>
    <w:rsid w:val="007D3364"/>
    <w:rsid w:val="007D34CF"/>
    <w:rsid w:val="007D4160"/>
    <w:rsid w:val="007D41A1"/>
    <w:rsid w:val="007D45DE"/>
    <w:rsid w:val="007D5355"/>
    <w:rsid w:val="007D5F80"/>
    <w:rsid w:val="007D6303"/>
    <w:rsid w:val="007D70F2"/>
    <w:rsid w:val="007D7466"/>
    <w:rsid w:val="007E03CC"/>
    <w:rsid w:val="007E1F52"/>
    <w:rsid w:val="007E27C4"/>
    <w:rsid w:val="007E3915"/>
    <w:rsid w:val="007E4470"/>
    <w:rsid w:val="007E4955"/>
    <w:rsid w:val="007E4CC6"/>
    <w:rsid w:val="007E59B3"/>
    <w:rsid w:val="007E6D3B"/>
    <w:rsid w:val="007E745A"/>
    <w:rsid w:val="007F0498"/>
    <w:rsid w:val="007F19B7"/>
    <w:rsid w:val="007F3409"/>
    <w:rsid w:val="007F3436"/>
    <w:rsid w:val="007F4312"/>
    <w:rsid w:val="007F487A"/>
    <w:rsid w:val="007F4ABE"/>
    <w:rsid w:val="007F58D1"/>
    <w:rsid w:val="007F7488"/>
    <w:rsid w:val="007F7C12"/>
    <w:rsid w:val="00800440"/>
    <w:rsid w:val="00802831"/>
    <w:rsid w:val="00802CFB"/>
    <w:rsid w:val="00803A67"/>
    <w:rsid w:val="00804F7A"/>
    <w:rsid w:val="0080548D"/>
    <w:rsid w:val="0080622A"/>
    <w:rsid w:val="008065E4"/>
    <w:rsid w:val="00806670"/>
    <w:rsid w:val="00810650"/>
    <w:rsid w:val="00811551"/>
    <w:rsid w:val="00812482"/>
    <w:rsid w:val="008124A2"/>
    <w:rsid w:val="00812596"/>
    <w:rsid w:val="0081303E"/>
    <w:rsid w:val="008142D3"/>
    <w:rsid w:val="00814D53"/>
    <w:rsid w:val="0081694E"/>
    <w:rsid w:val="008171C6"/>
    <w:rsid w:val="008179C2"/>
    <w:rsid w:val="00817F63"/>
    <w:rsid w:val="008202CA"/>
    <w:rsid w:val="0082190F"/>
    <w:rsid w:val="00822864"/>
    <w:rsid w:val="008230B1"/>
    <w:rsid w:val="00823B25"/>
    <w:rsid w:val="00823D5A"/>
    <w:rsid w:val="0082483C"/>
    <w:rsid w:val="00824FAA"/>
    <w:rsid w:val="008254A9"/>
    <w:rsid w:val="00826748"/>
    <w:rsid w:val="0082730B"/>
    <w:rsid w:val="00827380"/>
    <w:rsid w:val="0082742A"/>
    <w:rsid w:val="008278CA"/>
    <w:rsid w:val="00827C96"/>
    <w:rsid w:val="008302AA"/>
    <w:rsid w:val="0083059A"/>
    <w:rsid w:val="008306B8"/>
    <w:rsid w:val="0083294C"/>
    <w:rsid w:val="00832B7E"/>
    <w:rsid w:val="00833597"/>
    <w:rsid w:val="008343C6"/>
    <w:rsid w:val="00834A55"/>
    <w:rsid w:val="0083524C"/>
    <w:rsid w:val="00835D2F"/>
    <w:rsid w:val="00836798"/>
    <w:rsid w:val="00836A32"/>
    <w:rsid w:val="00837CE7"/>
    <w:rsid w:val="008402A5"/>
    <w:rsid w:val="0084089E"/>
    <w:rsid w:val="008414C5"/>
    <w:rsid w:val="00841EB1"/>
    <w:rsid w:val="008432BD"/>
    <w:rsid w:val="0084378D"/>
    <w:rsid w:val="008439CC"/>
    <w:rsid w:val="00843E3B"/>
    <w:rsid w:val="008446C7"/>
    <w:rsid w:val="00844768"/>
    <w:rsid w:val="00844D4C"/>
    <w:rsid w:val="0084589F"/>
    <w:rsid w:val="00846160"/>
    <w:rsid w:val="00847FCD"/>
    <w:rsid w:val="00850FA9"/>
    <w:rsid w:val="0085241A"/>
    <w:rsid w:val="00852538"/>
    <w:rsid w:val="00852637"/>
    <w:rsid w:val="00853B7C"/>
    <w:rsid w:val="0085432D"/>
    <w:rsid w:val="008544A4"/>
    <w:rsid w:val="008550C3"/>
    <w:rsid w:val="00855A27"/>
    <w:rsid w:val="00855D5A"/>
    <w:rsid w:val="00855E03"/>
    <w:rsid w:val="0085628B"/>
    <w:rsid w:val="008563F0"/>
    <w:rsid w:val="008564B4"/>
    <w:rsid w:val="008567E3"/>
    <w:rsid w:val="00856EA6"/>
    <w:rsid w:val="0086232B"/>
    <w:rsid w:val="00862902"/>
    <w:rsid w:val="0086314C"/>
    <w:rsid w:val="0086364C"/>
    <w:rsid w:val="00864470"/>
    <w:rsid w:val="00864F00"/>
    <w:rsid w:val="0086523C"/>
    <w:rsid w:val="00865FEA"/>
    <w:rsid w:val="0086607C"/>
    <w:rsid w:val="00866B47"/>
    <w:rsid w:val="00866F0B"/>
    <w:rsid w:val="00867014"/>
    <w:rsid w:val="00867274"/>
    <w:rsid w:val="00867A5A"/>
    <w:rsid w:val="00867BE1"/>
    <w:rsid w:val="0087125A"/>
    <w:rsid w:val="00872457"/>
    <w:rsid w:val="00872D70"/>
    <w:rsid w:val="00872E6B"/>
    <w:rsid w:val="00873A9D"/>
    <w:rsid w:val="00874491"/>
    <w:rsid w:val="008750DE"/>
    <w:rsid w:val="00876692"/>
    <w:rsid w:val="0087685F"/>
    <w:rsid w:val="008773E8"/>
    <w:rsid w:val="00877C2B"/>
    <w:rsid w:val="008801C7"/>
    <w:rsid w:val="008802AA"/>
    <w:rsid w:val="00880E45"/>
    <w:rsid w:val="00881200"/>
    <w:rsid w:val="0088317F"/>
    <w:rsid w:val="008831A1"/>
    <w:rsid w:val="008836CB"/>
    <w:rsid w:val="008837B4"/>
    <w:rsid w:val="00883F31"/>
    <w:rsid w:val="008842D1"/>
    <w:rsid w:val="00884FC7"/>
    <w:rsid w:val="00885A95"/>
    <w:rsid w:val="008872DB"/>
    <w:rsid w:val="00887473"/>
    <w:rsid w:val="00887F5C"/>
    <w:rsid w:val="0089020B"/>
    <w:rsid w:val="0089102B"/>
    <w:rsid w:val="0089147A"/>
    <w:rsid w:val="00891ADF"/>
    <w:rsid w:val="00891F2A"/>
    <w:rsid w:val="008924D7"/>
    <w:rsid w:val="00892CA5"/>
    <w:rsid w:val="00893585"/>
    <w:rsid w:val="00893B56"/>
    <w:rsid w:val="00893D93"/>
    <w:rsid w:val="00895002"/>
    <w:rsid w:val="008952B1"/>
    <w:rsid w:val="008954CB"/>
    <w:rsid w:val="008957AC"/>
    <w:rsid w:val="00895C3B"/>
    <w:rsid w:val="00895DF5"/>
    <w:rsid w:val="008971E8"/>
    <w:rsid w:val="008A027A"/>
    <w:rsid w:val="008A0864"/>
    <w:rsid w:val="008A1AB6"/>
    <w:rsid w:val="008A1AD3"/>
    <w:rsid w:val="008A307D"/>
    <w:rsid w:val="008A32A9"/>
    <w:rsid w:val="008A4306"/>
    <w:rsid w:val="008A48A6"/>
    <w:rsid w:val="008A58AE"/>
    <w:rsid w:val="008A5AF4"/>
    <w:rsid w:val="008A651D"/>
    <w:rsid w:val="008A78BE"/>
    <w:rsid w:val="008B0848"/>
    <w:rsid w:val="008B1A6E"/>
    <w:rsid w:val="008B2334"/>
    <w:rsid w:val="008B2A8E"/>
    <w:rsid w:val="008B2D8B"/>
    <w:rsid w:val="008B2DCC"/>
    <w:rsid w:val="008B2E99"/>
    <w:rsid w:val="008B30B9"/>
    <w:rsid w:val="008B3CCF"/>
    <w:rsid w:val="008B3FD1"/>
    <w:rsid w:val="008B412B"/>
    <w:rsid w:val="008B42DE"/>
    <w:rsid w:val="008B4F31"/>
    <w:rsid w:val="008B5A4D"/>
    <w:rsid w:val="008B5DAC"/>
    <w:rsid w:val="008B67BC"/>
    <w:rsid w:val="008B69D5"/>
    <w:rsid w:val="008B7B84"/>
    <w:rsid w:val="008B7E56"/>
    <w:rsid w:val="008C13F0"/>
    <w:rsid w:val="008C20BA"/>
    <w:rsid w:val="008C232B"/>
    <w:rsid w:val="008C24E8"/>
    <w:rsid w:val="008C2D1E"/>
    <w:rsid w:val="008C3D90"/>
    <w:rsid w:val="008C41F7"/>
    <w:rsid w:val="008C48F1"/>
    <w:rsid w:val="008C4AA9"/>
    <w:rsid w:val="008C4E05"/>
    <w:rsid w:val="008C5E12"/>
    <w:rsid w:val="008C79B1"/>
    <w:rsid w:val="008D0421"/>
    <w:rsid w:val="008D1874"/>
    <w:rsid w:val="008D1C6A"/>
    <w:rsid w:val="008D2B71"/>
    <w:rsid w:val="008D4921"/>
    <w:rsid w:val="008D5889"/>
    <w:rsid w:val="008D5CD4"/>
    <w:rsid w:val="008D6005"/>
    <w:rsid w:val="008E13A2"/>
    <w:rsid w:val="008E2633"/>
    <w:rsid w:val="008E2857"/>
    <w:rsid w:val="008E2FD9"/>
    <w:rsid w:val="008E3130"/>
    <w:rsid w:val="008E3D80"/>
    <w:rsid w:val="008E40BA"/>
    <w:rsid w:val="008E4357"/>
    <w:rsid w:val="008E4E43"/>
    <w:rsid w:val="008E4F38"/>
    <w:rsid w:val="008E5889"/>
    <w:rsid w:val="008E58F5"/>
    <w:rsid w:val="008E5CC2"/>
    <w:rsid w:val="008E5FA1"/>
    <w:rsid w:val="008E67A7"/>
    <w:rsid w:val="008E697F"/>
    <w:rsid w:val="008E72B0"/>
    <w:rsid w:val="008F0522"/>
    <w:rsid w:val="008F0D22"/>
    <w:rsid w:val="008F0DE9"/>
    <w:rsid w:val="008F14A5"/>
    <w:rsid w:val="008F172F"/>
    <w:rsid w:val="008F1BAC"/>
    <w:rsid w:val="008F1DAE"/>
    <w:rsid w:val="008F2301"/>
    <w:rsid w:val="008F28F1"/>
    <w:rsid w:val="008F3543"/>
    <w:rsid w:val="008F4653"/>
    <w:rsid w:val="008F5B69"/>
    <w:rsid w:val="008F5C2F"/>
    <w:rsid w:val="008F6657"/>
    <w:rsid w:val="008F6897"/>
    <w:rsid w:val="008F7D45"/>
    <w:rsid w:val="00900872"/>
    <w:rsid w:val="00900A3C"/>
    <w:rsid w:val="00901461"/>
    <w:rsid w:val="00901D94"/>
    <w:rsid w:val="0090248D"/>
    <w:rsid w:val="009027B9"/>
    <w:rsid w:val="00903468"/>
    <w:rsid w:val="009049F1"/>
    <w:rsid w:val="00905673"/>
    <w:rsid w:val="0090771F"/>
    <w:rsid w:val="00907C2C"/>
    <w:rsid w:val="00911975"/>
    <w:rsid w:val="00913528"/>
    <w:rsid w:val="0091495B"/>
    <w:rsid w:val="00914D0C"/>
    <w:rsid w:val="009156C1"/>
    <w:rsid w:val="00915918"/>
    <w:rsid w:val="0091603D"/>
    <w:rsid w:val="00916400"/>
    <w:rsid w:val="00916850"/>
    <w:rsid w:val="00917530"/>
    <w:rsid w:val="00920073"/>
    <w:rsid w:val="00920EB4"/>
    <w:rsid w:val="00922324"/>
    <w:rsid w:val="00922549"/>
    <w:rsid w:val="00922826"/>
    <w:rsid w:val="00922F7A"/>
    <w:rsid w:val="0092457F"/>
    <w:rsid w:val="0092470D"/>
    <w:rsid w:val="009250D9"/>
    <w:rsid w:val="00925741"/>
    <w:rsid w:val="00925B2D"/>
    <w:rsid w:val="009266C5"/>
    <w:rsid w:val="009268EC"/>
    <w:rsid w:val="00926DE6"/>
    <w:rsid w:val="00927A69"/>
    <w:rsid w:val="009309AB"/>
    <w:rsid w:val="00930B97"/>
    <w:rsid w:val="00930CC4"/>
    <w:rsid w:val="00932A6A"/>
    <w:rsid w:val="0093340F"/>
    <w:rsid w:val="00933934"/>
    <w:rsid w:val="0093414F"/>
    <w:rsid w:val="0093418C"/>
    <w:rsid w:val="00934DAA"/>
    <w:rsid w:val="0093513E"/>
    <w:rsid w:val="0093559E"/>
    <w:rsid w:val="00936224"/>
    <w:rsid w:val="0093632B"/>
    <w:rsid w:val="00936501"/>
    <w:rsid w:val="00936AB1"/>
    <w:rsid w:val="009373B3"/>
    <w:rsid w:val="0093747B"/>
    <w:rsid w:val="00940982"/>
    <w:rsid w:val="0094202A"/>
    <w:rsid w:val="009429FC"/>
    <w:rsid w:val="00942BB8"/>
    <w:rsid w:val="00943057"/>
    <w:rsid w:val="0094368D"/>
    <w:rsid w:val="00943759"/>
    <w:rsid w:val="00943BCE"/>
    <w:rsid w:val="009457B9"/>
    <w:rsid w:val="00945940"/>
    <w:rsid w:val="00945FCB"/>
    <w:rsid w:val="00946B3E"/>
    <w:rsid w:val="00946F2F"/>
    <w:rsid w:val="009472D4"/>
    <w:rsid w:val="00950896"/>
    <w:rsid w:val="00950A98"/>
    <w:rsid w:val="00950EE3"/>
    <w:rsid w:val="00951054"/>
    <w:rsid w:val="0095163E"/>
    <w:rsid w:val="0095164C"/>
    <w:rsid w:val="009537C4"/>
    <w:rsid w:val="00953B36"/>
    <w:rsid w:val="0095411C"/>
    <w:rsid w:val="009541E4"/>
    <w:rsid w:val="009548CA"/>
    <w:rsid w:val="009556EC"/>
    <w:rsid w:val="00956017"/>
    <w:rsid w:val="00956CB4"/>
    <w:rsid w:val="00956CEA"/>
    <w:rsid w:val="00956E3A"/>
    <w:rsid w:val="009578AA"/>
    <w:rsid w:val="0096112E"/>
    <w:rsid w:val="009611FF"/>
    <w:rsid w:val="00963AE1"/>
    <w:rsid w:val="00963B1A"/>
    <w:rsid w:val="00963BFD"/>
    <w:rsid w:val="00965790"/>
    <w:rsid w:val="00966B3E"/>
    <w:rsid w:val="00966B91"/>
    <w:rsid w:val="0096783E"/>
    <w:rsid w:val="009709A2"/>
    <w:rsid w:val="00970D52"/>
    <w:rsid w:val="00970D5D"/>
    <w:rsid w:val="0097111F"/>
    <w:rsid w:val="00971187"/>
    <w:rsid w:val="00972293"/>
    <w:rsid w:val="0097275D"/>
    <w:rsid w:val="00972AFD"/>
    <w:rsid w:val="00973540"/>
    <w:rsid w:val="00973669"/>
    <w:rsid w:val="0097407B"/>
    <w:rsid w:val="0097516F"/>
    <w:rsid w:val="00975B57"/>
    <w:rsid w:val="00977586"/>
    <w:rsid w:val="00980210"/>
    <w:rsid w:val="00981BBD"/>
    <w:rsid w:val="009821C8"/>
    <w:rsid w:val="0098312E"/>
    <w:rsid w:val="009853D0"/>
    <w:rsid w:val="00985458"/>
    <w:rsid w:val="00985990"/>
    <w:rsid w:val="00986069"/>
    <w:rsid w:val="009860F3"/>
    <w:rsid w:val="0098711D"/>
    <w:rsid w:val="009871A0"/>
    <w:rsid w:val="00987AB3"/>
    <w:rsid w:val="00987B29"/>
    <w:rsid w:val="00990F22"/>
    <w:rsid w:val="00990F74"/>
    <w:rsid w:val="009916C1"/>
    <w:rsid w:val="00991788"/>
    <w:rsid w:val="009918AE"/>
    <w:rsid w:val="00992775"/>
    <w:rsid w:val="00992A1F"/>
    <w:rsid w:val="00994A96"/>
    <w:rsid w:val="0099687D"/>
    <w:rsid w:val="00997032"/>
    <w:rsid w:val="009971EB"/>
    <w:rsid w:val="009972C5"/>
    <w:rsid w:val="00997D31"/>
    <w:rsid w:val="00997FCE"/>
    <w:rsid w:val="009A07DB"/>
    <w:rsid w:val="009A0E71"/>
    <w:rsid w:val="009A1010"/>
    <w:rsid w:val="009A10AD"/>
    <w:rsid w:val="009A1A1F"/>
    <w:rsid w:val="009A2176"/>
    <w:rsid w:val="009A2193"/>
    <w:rsid w:val="009A27DB"/>
    <w:rsid w:val="009A27DF"/>
    <w:rsid w:val="009A2A4F"/>
    <w:rsid w:val="009A32E9"/>
    <w:rsid w:val="009A349F"/>
    <w:rsid w:val="009A3AE9"/>
    <w:rsid w:val="009A3E78"/>
    <w:rsid w:val="009A4993"/>
    <w:rsid w:val="009A4D3E"/>
    <w:rsid w:val="009A69D7"/>
    <w:rsid w:val="009A6A4D"/>
    <w:rsid w:val="009A713C"/>
    <w:rsid w:val="009A7160"/>
    <w:rsid w:val="009A7FB3"/>
    <w:rsid w:val="009B0927"/>
    <w:rsid w:val="009B0C9B"/>
    <w:rsid w:val="009B1B84"/>
    <w:rsid w:val="009B4113"/>
    <w:rsid w:val="009B4348"/>
    <w:rsid w:val="009B52BC"/>
    <w:rsid w:val="009B5331"/>
    <w:rsid w:val="009B5EDC"/>
    <w:rsid w:val="009B60EA"/>
    <w:rsid w:val="009B669F"/>
    <w:rsid w:val="009B6701"/>
    <w:rsid w:val="009B7E64"/>
    <w:rsid w:val="009B7F1E"/>
    <w:rsid w:val="009B7F39"/>
    <w:rsid w:val="009C08E5"/>
    <w:rsid w:val="009C0A44"/>
    <w:rsid w:val="009C1A63"/>
    <w:rsid w:val="009C21AD"/>
    <w:rsid w:val="009C2535"/>
    <w:rsid w:val="009C2A54"/>
    <w:rsid w:val="009C2FA9"/>
    <w:rsid w:val="009C2FC0"/>
    <w:rsid w:val="009C2FF7"/>
    <w:rsid w:val="009C3139"/>
    <w:rsid w:val="009C4CE7"/>
    <w:rsid w:val="009C4F94"/>
    <w:rsid w:val="009C5213"/>
    <w:rsid w:val="009C5E98"/>
    <w:rsid w:val="009C6996"/>
    <w:rsid w:val="009D0719"/>
    <w:rsid w:val="009D4725"/>
    <w:rsid w:val="009D4EC0"/>
    <w:rsid w:val="009D6084"/>
    <w:rsid w:val="009D647B"/>
    <w:rsid w:val="009D67B9"/>
    <w:rsid w:val="009D6D77"/>
    <w:rsid w:val="009D7549"/>
    <w:rsid w:val="009D7AD5"/>
    <w:rsid w:val="009E0AF5"/>
    <w:rsid w:val="009E177E"/>
    <w:rsid w:val="009E2912"/>
    <w:rsid w:val="009E2A89"/>
    <w:rsid w:val="009E2BFF"/>
    <w:rsid w:val="009E39FA"/>
    <w:rsid w:val="009E4664"/>
    <w:rsid w:val="009E4A16"/>
    <w:rsid w:val="009E4ED3"/>
    <w:rsid w:val="009E527B"/>
    <w:rsid w:val="009E5432"/>
    <w:rsid w:val="009E5AB5"/>
    <w:rsid w:val="009E763E"/>
    <w:rsid w:val="009E78E7"/>
    <w:rsid w:val="009F05D2"/>
    <w:rsid w:val="009F0982"/>
    <w:rsid w:val="009F0A39"/>
    <w:rsid w:val="009F0D2B"/>
    <w:rsid w:val="009F1733"/>
    <w:rsid w:val="009F1846"/>
    <w:rsid w:val="009F1DBB"/>
    <w:rsid w:val="009F3094"/>
    <w:rsid w:val="009F3571"/>
    <w:rsid w:val="009F3E56"/>
    <w:rsid w:val="009F46F0"/>
    <w:rsid w:val="009F5490"/>
    <w:rsid w:val="009F5912"/>
    <w:rsid w:val="009F5DE5"/>
    <w:rsid w:val="009F75EB"/>
    <w:rsid w:val="009F7F7F"/>
    <w:rsid w:val="00A0036C"/>
    <w:rsid w:val="00A00726"/>
    <w:rsid w:val="00A00D7A"/>
    <w:rsid w:val="00A027E1"/>
    <w:rsid w:val="00A0297C"/>
    <w:rsid w:val="00A0449B"/>
    <w:rsid w:val="00A04C05"/>
    <w:rsid w:val="00A053FF"/>
    <w:rsid w:val="00A056EE"/>
    <w:rsid w:val="00A05E8E"/>
    <w:rsid w:val="00A05F11"/>
    <w:rsid w:val="00A0671A"/>
    <w:rsid w:val="00A06918"/>
    <w:rsid w:val="00A06E55"/>
    <w:rsid w:val="00A076E3"/>
    <w:rsid w:val="00A1124C"/>
    <w:rsid w:val="00A11BD3"/>
    <w:rsid w:val="00A11F7B"/>
    <w:rsid w:val="00A12DD8"/>
    <w:rsid w:val="00A1333C"/>
    <w:rsid w:val="00A13988"/>
    <w:rsid w:val="00A13F05"/>
    <w:rsid w:val="00A1421F"/>
    <w:rsid w:val="00A1464D"/>
    <w:rsid w:val="00A1746D"/>
    <w:rsid w:val="00A1752B"/>
    <w:rsid w:val="00A17C27"/>
    <w:rsid w:val="00A20060"/>
    <w:rsid w:val="00A20102"/>
    <w:rsid w:val="00A20428"/>
    <w:rsid w:val="00A20540"/>
    <w:rsid w:val="00A208E9"/>
    <w:rsid w:val="00A229A7"/>
    <w:rsid w:val="00A230BA"/>
    <w:rsid w:val="00A24CE2"/>
    <w:rsid w:val="00A25015"/>
    <w:rsid w:val="00A2520F"/>
    <w:rsid w:val="00A25C86"/>
    <w:rsid w:val="00A30468"/>
    <w:rsid w:val="00A31410"/>
    <w:rsid w:val="00A32473"/>
    <w:rsid w:val="00A32C77"/>
    <w:rsid w:val="00A33EC5"/>
    <w:rsid w:val="00A344E3"/>
    <w:rsid w:val="00A34723"/>
    <w:rsid w:val="00A35646"/>
    <w:rsid w:val="00A35A0B"/>
    <w:rsid w:val="00A36210"/>
    <w:rsid w:val="00A36829"/>
    <w:rsid w:val="00A36C45"/>
    <w:rsid w:val="00A37D69"/>
    <w:rsid w:val="00A41725"/>
    <w:rsid w:val="00A418EB"/>
    <w:rsid w:val="00A4258A"/>
    <w:rsid w:val="00A426AC"/>
    <w:rsid w:val="00A42C51"/>
    <w:rsid w:val="00A43302"/>
    <w:rsid w:val="00A439F7"/>
    <w:rsid w:val="00A447F8"/>
    <w:rsid w:val="00A44ABA"/>
    <w:rsid w:val="00A455AF"/>
    <w:rsid w:val="00A458E9"/>
    <w:rsid w:val="00A46F77"/>
    <w:rsid w:val="00A472AA"/>
    <w:rsid w:val="00A503FA"/>
    <w:rsid w:val="00A5056B"/>
    <w:rsid w:val="00A515C2"/>
    <w:rsid w:val="00A518D2"/>
    <w:rsid w:val="00A52D41"/>
    <w:rsid w:val="00A53484"/>
    <w:rsid w:val="00A53945"/>
    <w:rsid w:val="00A5479D"/>
    <w:rsid w:val="00A56E7C"/>
    <w:rsid w:val="00A575DF"/>
    <w:rsid w:val="00A57EF4"/>
    <w:rsid w:val="00A61F68"/>
    <w:rsid w:val="00A64BFF"/>
    <w:rsid w:val="00A64F3A"/>
    <w:rsid w:val="00A6637D"/>
    <w:rsid w:val="00A66F73"/>
    <w:rsid w:val="00A67414"/>
    <w:rsid w:val="00A6766E"/>
    <w:rsid w:val="00A67B37"/>
    <w:rsid w:val="00A67B9E"/>
    <w:rsid w:val="00A67BAC"/>
    <w:rsid w:val="00A67E83"/>
    <w:rsid w:val="00A701BF"/>
    <w:rsid w:val="00A705E6"/>
    <w:rsid w:val="00A70E2D"/>
    <w:rsid w:val="00A70E3F"/>
    <w:rsid w:val="00A713D8"/>
    <w:rsid w:val="00A71475"/>
    <w:rsid w:val="00A7201E"/>
    <w:rsid w:val="00A722BC"/>
    <w:rsid w:val="00A73D24"/>
    <w:rsid w:val="00A74819"/>
    <w:rsid w:val="00A748B4"/>
    <w:rsid w:val="00A75531"/>
    <w:rsid w:val="00A76373"/>
    <w:rsid w:val="00A766DB"/>
    <w:rsid w:val="00A774E3"/>
    <w:rsid w:val="00A77650"/>
    <w:rsid w:val="00A81529"/>
    <w:rsid w:val="00A81A4C"/>
    <w:rsid w:val="00A824F2"/>
    <w:rsid w:val="00A83160"/>
    <w:rsid w:val="00A8342E"/>
    <w:rsid w:val="00A84005"/>
    <w:rsid w:val="00A85123"/>
    <w:rsid w:val="00A86CDF"/>
    <w:rsid w:val="00A87074"/>
    <w:rsid w:val="00A879D3"/>
    <w:rsid w:val="00A912BA"/>
    <w:rsid w:val="00A9269D"/>
    <w:rsid w:val="00A9303F"/>
    <w:rsid w:val="00A93094"/>
    <w:rsid w:val="00A9313E"/>
    <w:rsid w:val="00A94126"/>
    <w:rsid w:val="00A94B9B"/>
    <w:rsid w:val="00A94E70"/>
    <w:rsid w:val="00A95787"/>
    <w:rsid w:val="00A96BFF"/>
    <w:rsid w:val="00A96C4F"/>
    <w:rsid w:val="00A97056"/>
    <w:rsid w:val="00A97142"/>
    <w:rsid w:val="00A97A2A"/>
    <w:rsid w:val="00A97C6D"/>
    <w:rsid w:val="00A97F05"/>
    <w:rsid w:val="00AA0031"/>
    <w:rsid w:val="00AA016D"/>
    <w:rsid w:val="00AA0C5C"/>
    <w:rsid w:val="00AA1232"/>
    <w:rsid w:val="00AA1278"/>
    <w:rsid w:val="00AA1354"/>
    <w:rsid w:val="00AA149B"/>
    <w:rsid w:val="00AA1FC7"/>
    <w:rsid w:val="00AA3FBB"/>
    <w:rsid w:val="00AA4941"/>
    <w:rsid w:val="00AA49FC"/>
    <w:rsid w:val="00AA5EFE"/>
    <w:rsid w:val="00AA620F"/>
    <w:rsid w:val="00AA78EC"/>
    <w:rsid w:val="00AB0E4B"/>
    <w:rsid w:val="00AB0F53"/>
    <w:rsid w:val="00AB16E7"/>
    <w:rsid w:val="00AB1713"/>
    <w:rsid w:val="00AB1AC6"/>
    <w:rsid w:val="00AB1E22"/>
    <w:rsid w:val="00AB1F33"/>
    <w:rsid w:val="00AB24A2"/>
    <w:rsid w:val="00AB5100"/>
    <w:rsid w:val="00AB58CB"/>
    <w:rsid w:val="00AB5C3B"/>
    <w:rsid w:val="00AB6CD2"/>
    <w:rsid w:val="00AB73B0"/>
    <w:rsid w:val="00AB7B73"/>
    <w:rsid w:val="00AC05F0"/>
    <w:rsid w:val="00AC07B4"/>
    <w:rsid w:val="00AC098F"/>
    <w:rsid w:val="00AC09B5"/>
    <w:rsid w:val="00AC0D28"/>
    <w:rsid w:val="00AC10A4"/>
    <w:rsid w:val="00AC1E5B"/>
    <w:rsid w:val="00AC264E"/>
    <w:rsid w:val="00AC298C"/>
    <w:rsid w:val="00AC29B5"/>
    <w:rsid w:val="00AC3DC1"/>
    <w:rsid w:val="00AC475C"/>
    <w:rsid w:val="00AC4AB0"/>
    <w:rsid w:val="00AC541E"/>
    <w:rsid w:val="00AC6AFD"/>
    <w:rsid w:val="00AC6C96"/>
    <w:rsid w:val="00AC7588"/>
    <w:rsid w:val="00AD1AAC"/>
    <w:rsid w:val="00AD2926"/>
    <w:rsid w:val="00AD295F"/>
    <w:rsid w:val="00AD30F4"/>
    <w:rsid w:val="00AD3A1B"/>
    <w:rsid w:val="00AD45B0"/>
    <w:rsid w:val="00AD4735"/>
    <w:rsid w:val="00AD5AEB"/>
    <w:rsid w:val="00AD5CBA"/>
    <w:rsid w:val="00AD5F8A"/>
    <w:rsid w:val="00AD6689"/>
    <w:rsid w:val="00AE0357"/>
    <w:rsid w:val="00AE0730"/>
    <w:rsid w:val="00AE0924"/>
    <w:rsid w:val="00AE154F"/>
    <w:rsid w:val="00AE30AC"/>
    <w:rsid w:val="00AE3F79"/>
    <w:rsid w:val="00AE416B"/>
    <w:rsid w:val="00AE470F"/>
    <w:rsid w:val="00AE4DF7"/>
    <w:rsid w:val="00AE5E68"/>
    <w:rsid w:val="00AE6057"/>
    <w:rsid w:val="00AE6DD1"/>
    <w:rsid w:val="00AE7BE9"/>
    <w:rsid w:val="00AE7D4D"/>
    <w:rsid w:val="00AF0423"/>
    <w:rsid w:val="00AF09AC"/>
    <w:rsid w:val="00AF173E"/>
    <w:rsid w:val="00AF1D98"/>
    <w:rsid w:val="00AF2A9E"/>
    <w:rsid w:val="00AF3EAB"/>
    <w:rsid w:val="00AF42BB"/>
    <w:rsid w:val="00AF4B97"/>
    <w:rsid w:val="00AF5102"/>
    <w:rsid w:val="00AF577F"/>
    <w:rsid w:val="00AF6C49"/>
    <w:rsid w:val="00AF71B6"/>
    <w:rsid w:val="00AF738B"/>
    <w:rsid w:val="00AF7930"/>
    <w:rsid w:val="00B00118"/>
    <w:rsid w:val="00B010E1"/>
    <w:rsid w:val="00B01E5B"/>
    <w:rsid w:val="00B022BE"/>
    <w:rsid w:val="00B023B6"/>
    <w:rsid w:val="00B02ADB"/>
    <w:rsid w:val="00B02B94"/>
    <w:rsid w:val="00B02C69"/>
    <w:rsid w:val="00B03C3F"/>
    <w:rsid w:val="00B03F70"/>
    <w:rsid w:val="00B04E68"/>
    <w:rsid w:val="00B05AF4"/>
    <w:rsid w:val="00B065F6"/>
    <w:rsid w:val="00B06E00"/>
    <w:rsid w:val="00B10AE5"/>
    <w:rsid w:val="00B118AB"/>
    <w:rsid w:val="00B122B8"/>
    <w:rsid w:val="00B1377F"/>
    <w:rsid w:val="00B13AEC"/>
    <w:rsid w:val="00B13D05"/>
    <w:rsid w:val="00B13F17"/>
    <w:rsid w:val="00B14D18"/>
    <w:rsid w:val="00B14D2F"/>
    <w:rsid w:val="00B15EFF"/>
    <w:rsid w:val="00B160D8"/>
    <w:rsid w:val="00B16D27"/>
    <w:rsid w:val="00B16D62"/>
    <w:rsid w:val="00B16E57"/>
    <w:rsid w:val="00B16F1F"/>
    <w:rsid w:val="00B1744C"/>
    <w:rsid w:val="00B17CAC"/>
    <w:rsid w:val="00B2296A"/>
    <w:rsid w:val="00B23260"/>
    <w:rsid w:val="00B23ED6"/>
    <w:rsid w:val="00B24FCB"/>
    <w:rsid w:val="00B2540B"/>
    <w:rsid w:val="00B25778"/>
    <w:rsid w:val="00B26E0A"/>
    <w:rsid w:val="00B271A5"/>
    <w:rsid w:val="00B30CDE"/>
    <w:rsid w:val="00B31613"/>
    <w:rsid w:val="00B32090"/>
    <w:rsid w:val="00B32855"/>
    <w:rsid w:val="00B32C93"/>
    <w:rsid w:val="00B33066"/>
    <w:rsid w:val="00B33244"/>
    <w:rsid w:val="00B335A8"/>
    <w:rsid w:val="00B344A7"/>
    <w:rsid w:val="00B35680"/>
    <w:rsid w:val="00B35E7E"/>
    <w:rsid w:val="00B35F0F"/>
    <w:rsid w:val="00B36030"/>
    <w:rsid w:val="00B3647B"/>
    <w:rsid w:val="00B3666E"/>
    <w:rsid w:val="00B369F0"/>
    <w:rsid w:val="00B4129C"/>
    <w:rsid w:val="00B415A9"/>
    <w:rsid w:val="00B41B18"/>
    <w:rsid w:val="00B423CD"/>
    <w:rsid w:val="00B42ABB"/>
    <w:rsid w:val="00B43417"/>
    <w:rsid w:val="00B43949"/>
    <w:rsid w:val="00B43C0F"/>
    <w:rsid w:val="00B449F5"/>
    <w:rsid w:val="00B45885"/>
    <w:rsid w:val="00B45A99"/>
    <w:rsid w:val="00B465BD"/>
    <w:rsid w:val="00B50477"/>
    <w:rsid w:val="00B51379"/>
    <w:rsid w:val="00B5162F"/>
    <w:rsid w:val="00B5234D"/>
    <w:rsid w:val="00B529FF"/>
    <w:rsid w:val="00B5317C"/>
    <w:rsid w:val="00B5352F"/>
    <w:rsid w:val="00B537AA"/>
    <w:rsid w:val="00B544E4"/>
    <w:rsid w:val="00B558FE"/>
    <w:rsid w:val="00B57304"/>
    <w:rsid w:val="00B60596"/>
    <w:rsid w:val="00B60963"/>
    <w:rsid w:val="00B60BE9"/>
    <w:rsid w:val="00B61F2F"/>
    <w:rsid w:val="00B63058"/>
    <w:rsid w:val="00B64191"/>
    <w:rsid w:val="00B644D0"/>
    <w:rsid w:val="00B648A6"/>
    <w:rsid w:val="00B64C03"/>
    <w:rsid w:val="00B65567"/>
    <w:rsid w:val="00B6567D"/>
    <w:rsid w:val="00B65F25"/>
    <w:rsid w:val="00B661B5"/>
    <w:rsid w:val="00B663B1"/>
    <w:rsid w:val="00B66FFA"/>
    <w:rsid w:val="00B670F4"/>
    <w:rsid w:val="00B67689"/>
    <w:rsid w:val="00B678A9"/>
    <w:rsid w:val="00B67C63"/>
    <w:rsid w:val="00B70C9E"/>
    <w:rsid w:val="00B71502"/>
    <w:rsid w:val="00B7162B"/>
    <w:rsid w:val="00B7189B"/>
    <w:rsid w:val="00B7213B"/>
    <w:rsid w:val="00B72C00"/>
    <w:rsid w:val="00B73790"/>
    <w:rsid w:val="00B73B58"/>
    <w:rsid w:val="00B73DE7"/>
    <w:rsid w:val="00B74515"/>
    <w:rsid w:val="00B746DF"/>
    <w:rsid w:val="00B75E47"/>
    <w:rsid w:val="00B75FBA"/>
    <w:rsid w:val="00B7701D"/>
    <w:rsid w:val="00B77082"/>
    <w:rsid w:val="00B805D5"/>
    <w:rsid w:val="00B809D8"/>
    <w:rsid w:val="00B80C0B"/>
    <w:rsid w:val="00B80CBD"/>
    <w:rsid w:val="00B816E7"/>
    <w:rsid w:val="00B82C31"/>
    <w:rsid w:val="00B83265"/>
    <w:rsid w:val="00B83C02"/>
    <w:rsid w:val="00B83EB5"/>
    <w:rsid w:val="00B852AA"/>
    <w:rsid w:val="00B85F2B"/>
    <w:rsid w:val="00B86947"/>
    <w:rsid w:val="00B86DF5"/>
    <w:rsid w:val="00B8753C"/>
    <w:rsid w:val="00B879AB"/>
    <w:rsid w:val="00B90D9E"/>
    <w:rsid w:val="00B91E3B"/>
    <w:rsid w:val="00B925BF"/>
    <w:rsid w:val="00B92F86"/>
    <w:rsid w:val="00B93310"/>
    <w:rsid w:val="00B93650"/>
    <w:rsid w:val="00B93C95"/>
    <w:rsid w:val="00B9428C"/>
    <w:rsid w:val="00B94333"/>
    <w:rsid w:val="00B94385"/>
    <w:rsid w:val="00B9613A"/>
    <w:rsid w:val="00B96333"/>
    <w:rsid w:val="00B963BC"/>
    <w:rsid w:val="00BA02D7"/>
    <w:rsid w:val="00BA1021"/>
    <w:rsid w:val="00BA1E78"/>
    <w:rsid w:val="00BA26B6"/>
    <w:rsid w:val="00BA29C2"/>
    <w:rsid w:val="00BA2C67"/>
    <w:rsid w:val="00BA3121"/>
    <w:rsid w:val="00BA3542"/>
    <w:rsid w:val="00BA4B8E"/>
    <w:rsid w:val="00BA5A4A"/>
    <w:rsid w:val="00BA5A6A"/>
    <w:rsid w:val="00BA5D81"/>
    <w:rsid w:val="00BA61DB"/>
    <w:rsid w:val="00BA6DD5"/>
    <w:rsid w:val="00BA7DD4"/>
    <w:rsid w:val="00BB0AF3"/>
    <w:rsid w:val="00BB0AFE"/>
    <w:rsid w:val="00BB16E9"/>
    <w:rsid w:val="00BB176C"/>
    <w:rsid w:val="00BB1DAF"/>
    <w:rsid w:val="00BB1EE3"/>
    <w:rsid w:val="00BB2549"/>
    <w:rsid w:val="00BB3653"/>
    <w:rsid w:val="00BB3C20"/>
    <w:rsid w:val="00BB4310"/>
    <w:rsid w:val="00BB495C"/>
    <w:rsid w:val="00BB5A9A"/>
    <w:rsid w:val="00BB72E8"/>
    <w:rsid w:val="00BC0693"/>
    <w:rsid w:val="00BC1832"/>
    <w:rsid w:val="00BC19FF"/>
    <w:rsid w:val="00BC1C98"/>
    <w:rsid w:val="00BC3B09"/>
    <w:rsid w:val="00BC438F"/>
    <w:rsid w:val="00BC45F5"/>
    <w:rsid w:val="00BC4F19"/>
    <w:rsid w:val="00BC5643"/>
    <w:rsid w:val="00BC569D"/>
    <w:rsid w:val="00BC5794"/>
    <w:rsid w:val="00BC5FFE"/>
    <w:rsid w:val="00BC76DD"/>
    <w:rsid w:val="00BC795C"/>
    <w:rsid w:val="00BC7FA8"/>
    <w:rsid w:val="00BD006F"/>
    <w:rsid w:val="00BD01AA"/>
    <w:rsid w:val="00BD0263"/>
    <w:rsid w:val="00BD221E"/>
    <w:rsid w:val="00BD27EA"/>
    <w:rsid w:val="00BD28CA"/>
    <w:rsid w:val="00BD3AEC"/>
    <w:rsid w:val="00BD42D4"/>
    <w:rsid w:val="00BD5EED"/>
    <w:rsid w:val="00BD6A24"/>
    <w:rsid w:val="00BD6B19"/>
    <w:rsid w:val="00BD7E1B"/>
    <w:rsid w:val="00BE021D"/>
    <w:rsid w:val="00BE0B72"/>
    <w:rsid w:val="00BE0C92"/>
    <w:rsid w:val="00BE0EEF"/>
    <w:rsid w:val="00BE15DB"/>
    <w:rsid w:val="00BE1F43"/>
    <w:rsid w:val="00BE3176"/>
    <w:rsid w:val="00BE3EEA"/>
    <w:rsid w:val="00BE3F8B"/>
    <w:rsid w:val="00BE40E9"/>
    <w:rsid w:val="00BE4664"/>
    <w:rsid w:val="00BE5D6C"/>
    <w:rsid w:val="00BE69B0"/>
    <w:rsid w:val="00BE6CB5"/>
    <w:rsid w:val="00BE6D46"/>
    <w:rsid w:val="00BE7D1B"/>
    <w:rsid w:val="00BF09EE"/>
    <w:rsid w:val="00BF0BD5"/>
    <w:rsid w:val="00BF0DFA"/>
    <w:rsid w:val="00BF137C"/>
    <w:rsid w:val="00BF1F6B"/>
    <w:rsid w:val="00BF2178"/>
    <w:rsid w:val="00BF21C8"/>
    <w:rsid w:val="00BF2787"/>
    <w:rsid w:val="00BF3A89"/>
    <w:rsid w:val="00BF5663"/>
    <w:rsid w:val="00BF58E8"/>
    <w:rsid w:val="00BF5B2A"/>
    <w:rsid w:val="00BF6A84"/>
    <w:rsid w:val="00BF6E4C"/>
    <w:rsid w:val="00BF7BCC"/>
    <w:rsid w:val="00C0013E"/>
    <w:rsid w:val="00C00E90"/>
    <w:rsid w:val="00C01363"/>
    <w:rsid w:val="00C018F4"/>
    <w:rsid w:val="00C01D41"/>
    <w:rsid w:val="00C03473"/>
    <w:rsid w:val="00C035DF"/>
    <w:rsid w:val="00C03C79"/>
    <w:rsid w:val="00C04C28"/>
    <w:rsid w:val="00C05C2C"/>
    <w:rsid w:val="00C06036"/>
    <w:rsid w:val="00C06FF7"/>
    <w:rsid w:val="00C075CE"/>
    <w:rsid w:val="00C10104"/>
    <w:rsid w:val="00C10CA7"/>
    <w:rsid w:val="00C10EC0"/>
    <w:rsid w:val="00C1293E"/>
    <w:rsid w:val="00C12DE7"/>
    <w:rsid w:val="00C12ECE"/>
    <w:rsid w:val="00C13247"/>
    <w:rsid w:val="00C151FF"/>
    <w:rsid w:val="00C152B5"/>
    <w:rsid w:val="00C15BB3"/>
    <w:rsid w:val="00C15EE3"/>
    <w:rsid w:val="00C15F53"/>
    <w:rsid w:val="00C16405"/>
    <w:rsid w:val="00C164E3"/>
    <w:rsid w:val="00C16540"/>
    <w:rsid w:val="00C1683E"/>
    <w:rsid w:val="00C169DF"/>
    <w:rsid w:val="00C169E4"/>
    <w:rsid w:val="00C175E5"/>
    <w:rsid w:val="00C17611"/>
    <w:rsid w:val="00C17A46"/>
    <w:rsid w:val="00C17AEF"/>
    <w:rsid w:val="00C20E68"/>
    <w:rsid w:val="00C20F99"/>
    <w:rsid w:val="00C214F2"/>
    <w:rsid w:val="00C219E2"/>
    <w:rsid w:val="00C21F6C"/>
    <w:rsid w:val="00C223C5"/>
    <w:rsid w:val="00C233EF"/>
    <w:rsid w:val="00C23408"/>
    <w:rsid w:val="00C237D5"/>
    <w:rsid w:val="00C237FB"/>
    <w:rsid w:val="00C2389C"/>
    <w:rsid w:val="00C24D1F"/>
    <w:rsid w:val="00C24DBB"/>
    <w:rsid w:val="00C24E1A"/>
    <w:rsid w:val="00C26D7F"/>
    <w:rsid w:val="00C27242"/>
    <w:rsid w:val="00C27657"/>
    <w:rsid w:val="00C27BBE"/>
    <w:rsid w:val="00C300AA"/>
    <w:rsid w:val="00C3011F"/>
    <w:rsid w:val="00C3023D"/>
    <w:rsid w:val="00C308B5"/>
    <w:rsid w:val="00C312F3"/>
    <w:rsid w:val="00C3239B"/>
    <w:rsid w:val="00C32CEE"/>
    <w:rsid w:val="00C32FD4"/>
    <w:rsid w:val="00C330BC"/>
    <w:rsid w:val="00C3368A"/>
    <w:rsid w:val="00C3591C"/>
    <w:rsid w:val="00C359A0"/>
    <w:rsid w:val="00C35DCF"/>
    <w:rsid w:val="00C364F9"/>
    <w:rsid w:val="00C365E9"/>
    <w:rsid w:val="00C36DAF"/>
    <w:rsid w:val="00C36DC2"/>
    <w:rsid w:val="00C37296"/>
    <w:rsid w:val="00C378CB"/>
    <w:rsid w:val="00C401EE"/>
    <w:rsid w:val="00C409E5"/>
    <w:rsid w:val="00C40B54"/>
    <w:rsid w:val="00C41148"/>
    <w:rsid w:val="00C41436"/>
    <w:rsid w:val="00C41DFE"/>
    <w:rsid w:val="00C41F7A"/>
    <w:rsid w:val="00C43045"/>
    <w:rsid w:val="00C4351D"/>
    <w:rsid w:val="00C437B4"/>
    <w:rsid w:val="00C4444F"/>
    <w:rsid w:val="00C44F68"/>
    <w:rsid w:val="00C451AE"/>
    <w:rsid w:val="00C4581C"/>
    <w:rsid w:val="00C458FF"/>
    <w:rsid w:val="00C462FA"/>
    <w:rsid w:val="00C5108F"/>
    <w:rsid w:val="00C51904"/>
    <w:rsid w:val="00C51F35"/>
    <w:rsid w:val="00C54C35"/>
    <w:rsid w:val="00C559AA"/>
    <w:rsid w:val="00C55E68"/>
    <w:rsid w:val="00C56138"/>
    <w:rsid w:val="00C564F3"/>
    <w:rsid w:val="00C56B65"/>
    <w:rsid w:val="00C56D5C"/>
    <w:rsid w:val="00C5797A"/>
    <w:rsid w:val="00C57D50"/>
    <w:rsid w:val="00C60829"/>
    <w:rsid w:val="00C61157"/>
    <w:rsid w:val="00C6122E"/>
    <w:rsid w:val="00C618BB"/>
    <w:rsid w:val="00C62DB9"/>
    <w:rsid w:val="00C6377F"/>
    <w:rsid w:val="00C639D1"/>
    <w:rsid w:val="00C643C0"/>
    <w:rsid w:val="00C6579A"/>
    <w:rsid w:val="00C6582F"/>
    <w:rsid w:val="00C65983"/>
    <w:rsid w:val="00C66BC1"/>
    <w:rsid w:val="00C66CF8"/>
    <w:rsid w:val="00C7004C"/>
    <w:rsid w:val="00C70916"/>
    <w:rsid w:val="00C7101D"/>
    <w:rsid w:val="00C741AE"/>
    <w:rsid w:val="00C74765"/>
    <w:rsid w:val="00C75447"/>
    <w:rsid w:val="00C75A8E"/>
    <w:rsid w:val="00C809EC"/>
    <w:rsid w:val="00C8131F"/>
    <w:rsid w:val="00C81476"/>
    <w:rsid w:val="00C81736"/>
    <w:rsid w:val="00C82741"/>
    <w:rsid w:val="00C8307E"/>
    <w:rsid w:val="00C840B2"/>
    <w:rsid w:val="00C8458E"/>
    <w:rsid w:val="00C8677A"/>
    <w:rsid w:val="00C86F04"/>
    <w:rsid w:val="00C87341"/>
    <w:rsid w:val="00C87414"/>
    <w:rsid w:val="00C901E1"/>
    <w:rsid w:val="00C9035F"/>
    <w:rsid w:val="00C907E1"/>
    <w:rsid w:val="00C9165C"/>
    <w:rsid w:val="00C91978"/>
    <w:rsid w:val="00C91DAE"/>
    <w:rsid w:val="00C93170"/>
    <w:rsid w:val="00C933C8"/>
    <w:rsid w:val="00C935AA"/>
    <w:rsid w:val="00C93921"/>
    <w:rsid w:val="00C93943"/>
    <w:rsid w:val="00C93967"/>
    <w:rsid w:val="00C94340"/>
    <w:rsid w:val="00C94391"/>
    <w:rsid w:val="00C947E3"/>
    <w:rsid w:val="00C9487C"/>
    <w:rsid w:val="00C94D7E"/>
    <w:rsid w:val="00C95C69"/>
    <w:rsid w:val="00C95EAB"/>
    <w:rsid w:val="00C962EB"/>
    <w:rsid w:val="00C963D2"/>
    <w:rsid w:val="00C96D95"/>
    <w:rsid w:val="00C96EB0"/>
    <w:rsid w:val="00CA0A66"/>
    <w:rsid w:val="00CA1124"/>
    <w:rsid w:val="00CA190F"/>
    <w:rsid w:val="00CA1CAD"/>
    <w:rsid w:val="00CA1EAA"/>
    <w:rsid w:val="00CA1ED4"/>
    <w:rsid w:val="00CA27EF"/>
    <w:rsid w:val="00CA2C90"/>
    <w:rsid w:val="00CA2F9F"/>
    <w:rsid w:val="00CA3F0D"/>
    <w:rsid w:val="00CA53E3"/>
    <w:rsid w:val="00CA570A"/>
    <w:rsid w:val="00CA624D"/>
    <w:rsid w:val="00CA6BED"/>
    <w:rsid w:val="00CA6E28"/>
    <w:rsid w:val="00CA72BB"/>
    <w:rsid w:val="00CA744B"/>
    <w:rsid w:val="00CA74F1"/>
    <w:rsid w:val="00CA7598"/>
    <w:rsid w:val="00CB1BF4"/>
    <w:rsid w:val="00CB1F45"/>
    <w:rsid w:val="00CB204E"/>
    <w:rsid w:val="00CB23E7"/>
    <w:rsid w:val="00CB2CF4"/>
    <w:rsid w:val="00CB2FAA"/>
    <w:rsid w:val="00CB30A4"/>
    <w:rsid w:val="00CB372A"/>
    <w:rsid w:val="00CB4348"/>
    <w:rsid w:val="00CB58B7"/>
    <w:rsid w:val="00CB5B3E"/>
    <w:rsid w:val="00CB5EEC"/>
    <w:rsid w:val="00CB6F88"/>
    <w:rsid w:val="00CC0055"/>
    <w:rsid w:val="00CC174E"/>
    <w:rsid w:val="00CC1762"/>
    <w:rsid w:val="00CC1E8F"/>
    <w:rsid w:val="00CC26AD"/>
    <w:rsid w:val="00CC3160"/>
    <w:rsid w:val="00CC3D0C"/>
    <w:rsid w:val="00CC4A0C"/>
    <w:rsid w:val="00CC4CB6"/>
    <w:rsid w:val="00CC50EF"/>
    <w:rsid w:val="00CC6141"/>
    <w:rsid w:val="00CC62B6"/>
    <w:rsid w:val="00CC6619"/>
    <w:rsid w:val="00CC7212"/>
    <w:rsid w:val="00CC7C03"/>
    <w:rsid w:val="00CC7C09"/>
    <w:rsid w:val="00CD12AF"/>
    <w:rsid w:val="00CD1712"/>
    <w:rsid w:val="00CD180E"/>
    <w:rsid w:val="00CD1A39"/>
    <w:rsid w:val="00CD2284"/>
    <w:rsid w:val="00CD296D"/>
    <w:rsid w:val="00CD300F"/>
    <w:rsid w:val="00CD3548"/>
    <w:rsid w:val="00CD43B3"/>
    <w:rsid w:val="00CD49B6"/>
    <w:rsid w:val="00CD61F9"/>
    <w:rsid w:val="00CD728A"/>
    <w:rsid w:val="00CD7890"/>
    <w:rsid w:val="00CD79AC"/>
    <w:rsid w:val="00CE0E9B"/>
    <w:rsid w:val="00CE112A"/>
    <w:rsid w:val="00CE1171"/>
    <w:rsid w:val="00CE1323"/>
    <w:rsid w:val="00CE1941"/>
    <w:rsid w:val="00CE2DE9"/>
    <w:rsid w:val="00CE2F9B"/>
    <w:rsid w:val="00CE487F"/>
    <w:rsid w:val="00CE4975"/>
    <w:rsid w:val="00CE4B35"/>
    <w:rsid w:val="00CE5202"/>
    <w:rsid w:val="00CE52B1"/>
    <w:rsid w:val="00CE6204"/>
    <w:rsid w:val="00CE6399"/>
    <w:rsid w:val="00CE6FEC"/>
    <w:rsid w:val="00CE7BF9"/>
    <w:rsid w:val="00CF018B"/>
    <w:rsid w:val="00CF01B0"/>
    <w:rsid w:val="00CF0D0E"/>
    <w:rsid w:val="00CF16EB"/>
    <w:rsid w:val="00CF2120"/>
    <w:rsid w:val="00CF346F"/>
    <w:rsid w:val="00CF38F0"/>
    <w:rsid w:val="00CF4476"/>
    <w:rsid w:val="00CF4FE6"/>
    <w:rsid w:val="00CF534C"/>
    <w:rsid w:val="00CF5A6B"/>
    <w:rsid w:val="00CF729B"/>
    <w:rsid w:val="00D00516"/>
    <w:rsid w:val="00D00748"/>
    <w:rsid w:val="00D007A0"/>
    <w:rsid w:val="00D00E35"/>
    <w:rsid w:val="00D01774"/>
    <w:rsid w:val="00D02743"/>
    <w:rsid w:val="00D043D7"/>
    <w:rsid w:val="00D05275"/>
    <w:rsid w:val="00D06229"/>
    <w:rsid w:val="00D06E7F"/>
    <w:rsid w:val="00D077F3"/>
    <w:rsid w:val="00D1036D"/>
    <w:rsid w:val="00D10FA6"/>
    <w:rsid w:val="00D12501"/>
    <w:rsid w:val="00D12793"/>
    <w:rsid w:val="00D13C79"/>
    <w:rsid w:val="00D13ED0"/>
    <w:rsid w:val="00D14D7B"/>
    <w:rsid w:val="00D1520F"/>
    <w:rsid w:val="00D16C24"/>
    <w:rsid w:val="00D170D4"/>
    <w:rsid w:val="00D20B13"/>
    <w:rsid w:val="00D21DA1"/>
    <w:rsid w:val="00D21FAC"/>
    <w:rsid w:val="00D258F4"/>
    <w:rsid w:val="00D25CEF"/>
    <w:rsid w:val="00D26D97"/>
    <w:rsid w:val="00D2717A"/>
    <w:rsid w:val="00D271E8"/>
    <w:rsid w:val="00D272BF"/>
    <w:rsid w:val="00D27D69"/>
    <w:rsid w:val="00D3112D"/>
    <w:rsid w:val="00D31BAA"/>
    <w:rsid w:val="00D31C5F"/>
    <w:rsid w:val="00D327F9"/>
    <w:rsid w:val="00D3303D"/>
    <w:rsid w:val="00D339CB"/>
    <w:rsid w:val="00D33B04"/>
    <w:rsid w:val="00D33CF3"/>
    <w:rsid w:val="00D34263"/>
    <w:rsid w:val="00D34737"/>
    <w:rsid w:val="00D347B6"/>
    <w:rsid w:val="00D35390"/>
    <w:rsid w:val="00D354FE"/>
    <w:rsid w:val="00D35740"/>
    <w:rsid w:val="00D35A47"/>
    <w:rsid w:val="00D35AC8"/>
    <w:rsid w:val="00D35D00"/>
    <w:rsid w:val="00D36673"/>
    <w:rsid w:val="00D37537"/>
    <w:rsid w:val="00D37FE5"/>
    <w:rsid w:val="00D40398"/>
    <w:rsid w:val="00D4106B"/>
    <w:rsid w:val="00D42D86"/>
    <w:rsid w:val="00D434F8"/>
    <w:rsid w:val="00D43575"/>
    <w:rsid w:val="00D44111"/>
    <w:rsid w:val="00D44341"/>
    <w:rsid w:val="00D4494A"/>
    <w:rsid w:val="00D4526F"/>
    <w:rsid w:val="00D461DA"/>
    <w:rsid w:val="00D46E1E"/>
    <w:rsid w:val="00D47035"/>
    <w:rsid w:val="00D473F7"/>
    <w:rsid w:val="00D50839"/>
    <w:rsid w:val="00D50C1A"/>
    <w:rsid w:val="00D50D33"/>
    <w:rsid w:val="00D50E76"/>
    <w:rsid w:val="00D50F6C"/>
    <w:rsid w:val="00D51D8B"/>
    <w:rsid w:val="00D52459"/>
    <w:rsid w:val="00D5376C"/>
    <w:rsid w:val="00D540C8"/>
    <w:rsid w:val="00D54140"/>
    <w:rsid w:val="00D54BDB"/>
    <w:rsid w:val="00D54ED0"/>
    <w:rsid w:val="00D55C29"/>
    <w:rsid w:val="00D56E1F"/>
    <w:rsid w:val="00D6046F"/>
    <w:rsid w:val="00D60597"/>
    <w:rsid w:val="00D60B58"/>
    <w:rsid w:val="00D61043"/>
    <w:rsid w:val="00D617BD"/>
    <w:rsid w:val="00D62340"/>
    <w:rsid w:val="00D63A30"/>
    <w:rsid w:val="00D6464A"/>
    <w:rsid w:val="00D658AA"/>
    <w:rsid w:val="00D65D7C"/>
    <w:rsid w:val="00D7090B"/>
    <w:rsid w:val="00D709BC"/>
    <w:rsid w:val="00D71267"/>
    <w:rsid w:val="00D714E0"/>
    <w:rsid w:val="00D72924"/>
    <w:rsid w:val="00D729B9"/>
    <w:rsid w:val="00D74624"/>
    <w:rsid w:val="00D74F24"/>
    <w:rsid w:val="00D76F5D"/>
    <w:rsid w:val="00D7761E"/>
    <w:rsid w:val="00D80513"/>
    <w:rsid w:val="00D81045"/>
    <w:rsid w:val="00D814B3"/>
    <w:rsid w:val="00D82011"/>
    <w:rsid w:val="00D825B9"/>
    <w:rsid w:val="00D82636"/>
    <w:rsid w:val="00D8472B"/>
    <w:rsid w:val="00D85BEC"/>
    <w:rsid w:val="00D85F1D"/>
    <w:rsid w:val="00D86488"/>
    <w:rsid w:val="00D8660E"/>
    <w:rsid w:val="00D86B21"/>
    <w:rsid w:val="00D873C5"/>
    <w:rsid w:val="00D91BAB"/>
    <w:rsid w:val="00D91E7E"/>
    <w:rsid w:val="00D92624"/>
    <w:rsid w:val="00D947AB"/>
    <w:rsid w:val="00D94F42"/>
    <w:rsid w:val="00D9559A"/>
    <w:rsid w:val="00D95DE2"/>
    <w:rsid w:val="00D95FA4"/>
    <w:rsid w:val="00D96671"/>
    <w:rsid w:val="00D979F5"/>
    <w:rsid w:val="00D97A21"/>
    <w:rsid w:val="00D97B0E"/>
    <w:rsid w:val="00D97C8F"/>
    <w:rsid w:val="00DA0FAF"/>
    <w:rsid w:val="00DA329A"/>
    <w:rsid w:val="00DA40B1"/>
    <w:rsid w:val="00DA561B"/>
    <w:rsid w:val="00DA5761"/>
    <w:rsid w:val="00DA5BF1"/>
    <w:rsid w:val="00DA7666"/>
    <w:rsid w:val="00DA7E17"/>
    <w:rsid w:val="00DA7F9D"/>
    <w:rsid w:val="00DB0F27"/>
    <w:rsid w:val="00DB110F"/>
    <w:rsid w:val="00DB161C"/>
    <w:rsid w:val="00DB2B08"/>
    <w:rsid w:val="00DB2D63"/>
    <w:rsid w:val="00DB3171"/>
    <w:rsid w:val="00DB39AF"/>
    <w:rsid w:val="00DB3C46"/>
    <w:rsid w:val="00DB3EA8"/>
    <w:rsid w:val="00DB4585"/>
    <w:rsid w:val="00DB4A78"/>
    <w:rsid w:val="00DB5983"/>
    <w:rsid w:val="00DB5C15"/>
    <w:rsid w:val="00DC0ADF"/>
    <w:rsid w:val="00DC13BD"/>
    <w:rsid w:val="00DC1A9E"/>
    <w:rsid w:val="00DC1F49"/>
    <w:rsid w:val="00DC2492"/>
    <w:rsid w:val="00DC2B10"/>
    <w:rsid w:val="00DC3415"/>
    <w:rsid w:val="00DC3FF8"/>
    <w:rsid w:val="00DC40EC"/>
    <w:rsid w:val="00DC4DEA"/>
    <w:rsid w:val="00DC5D82"/>
    <w:rsid w:val="00DC6991"/>
    <w:rsid w:val="00DD0182"/>
    <w:rsid w:val="00DD0566"/>
    <w:rsid w:val="00DD09D0"/>
    <w:rsid w:val="00DD0FB7"/>
    <w:rsid w:val="00DD3FEB"/>
    <w:rsid w:val="00DD44D4"/>
    <w:rsid w:val="00DD5270"/>
    <w:rsid w:val="00DD5777"/>
    <w:rsid w:val="00DD57A3"/>
    <w:rsid w:val="00DD5F34"/>
    <w:rsid w:val="00DE08AD"/>
    <w:rsid w:val="00DE11C1"/>
    <w:rsid w:val="00DE16BB"/>
    <w:rsid w:val="00DE261B"/>
    <w:rsid w:val="00DE2F7E"/>
    <w:rsid w:val="00DE36FF"/>
    <w:rsid w:val="00DE3DDE"/>
    <w:rsid w:val="00DE3E0E"/>
    <w:rsid w:val="00DE539F"/>
    <w:rsid w:val="00DE5723"/>
    <w:rsid w:val="00DE5991"/>
    <w:rsid w:val="00DE647B"/>
    <w:rsid w:val="00DE68BB"/>
    <w:rsid w:val="00DE758E"/>
    <w:rsid w:val="00DE7A98"/>
    <w:rsid w:val="00DE7C7F"/>
    <w:rsid w:val="00DF100D"/>
    <w:rsid w:val="00DF2648"/>
    <w:rsid w:val="00DF347F"/>
    <w:rsid w:val="00DF3767"/>
    <w:rsid w:val="00DF3931"/>
    <w:rsid w:val="00DF437A"/>
    <w:rsid w:val="00DF5D62"/>
    <w:rsid w:val="00DF61A5"/>
    <w:rsid w:val="00DF6C1B"/>
    <w:rsid w:val="00DF7215"/>
    <w:rsid w:val="00DF7B5E"/>
    <w:rsid w:val="00DF7C00"/>
    <w:rsid w:val="00E00700"/>
    <w:rsid w:val="00E013CA"/>
    <w:rsid w:val="00E0202C"/>
    <w:rsid w:val="00E03405"/>
    <w:rsid w:val="00E04393"/>
    <w:rsid w:val="00E04DDA"/>
    <w:rsid w:val="00E04FAD"/>
    <w:rsid w:val="00E05301"/>
    <w:rsid w:val="00E07759"/>
    <w:rsid w:val="00E07ADF"/>
    <w:rsid w:val="00E11A48"/>
    <w:rsid w:val="00E131FA"/>
    <w:rsid w:val="00E15915"/>
    <w:rsid w:val="00E15CB6"/>
    <w:rsid w:val="00E161C2"/>
    <w:rsid w:val="00E17D69"/>
    <w:rsid w:val="00E2073B"/>
    <w:rsid w:val="00E20D80"/>
    <w:rsid w:val="00E20E72"/>
    <w:rsid w:val="00E2167F"/>
    <w:rsid w:val="00E21E2F"/>
    <w:rsid w:val="00E233B6"/>
    <w:rsid w:val="00E23FDE"/>
    <w:rsid w:val="00E240F8"/>
    <w:rsid w:val="00E2510F"/>
    <w:rsid w:val="00E2674B"/>
    <w:rsid w:val="00E26799"/>
    <w:rsid w:val="00E267C6"/>
    <w:rsid w:val="00E27192"/>
    <w:rsid w:val="00E272DD"/>
    <w:rsid w:val="00E31B04"/>
    <w:rsid w:val="00E32125"/>
    <w:rsid w:val="00E329F1"/>
    <w:rsid w:val="00E32D77"/>
    <w:rsid w:val="00E33F73"/>
    <w:rsid w:val="00E34155"/>
    <w:rsid w:val="00E359E0"/>
    <w:rsid w:val="00E36546"/>
    <w:rsid w:val="00E36A6D"/>
    <w:rsid w:val="00E3709B"/>
    <w:rsid w:val="00E42A94"/>
    <w:rsid w:val="00E42F73"/>
    <w:rsid w:val="00E433BF"/>
    <w:rsid w:val="00E4427D"/>
    <w:rsid w:val="00E45451"/>
    <w:rsid w:val="00E45546"/>
    <w:rsid w:val="00E456CC"/>
    <w:rsid w:val="00E459DA"/>
    <w:rsid w:val="00E460E3"/>
    <w:rsid w:val="00E462AB"/>
    <w:rsid w:val="00E46736"/>
    <w:rsid w:val="00E47FA2"/>
    <w:rsid w:val="00E504B5"/>
    <w:rsid w:val="00E50F1D"/>
    <w:rsid w:val="00E51210"/>
    <w:rsid w:val="00E512AA"/>
    <w:rsid w:val="00E51830"/>
    <w:rsid w:val="00E51A0B"/>
    <w:rsid w:val="00E51D7E"/>
    <w:rsid w:val="00E52951"/>
    <w:rsid w:val="00E54223"/>
    <w:rsid w:val="00E5467E"/>
    <w:rsid w:val="00E55455"/>
    <w:rsid w:val="00E55986"/>
    <w:rsid w:val="00E55E49"/>
    <w:rsid w:val="00E56B55"/>
    <w:rsid w:val="00E572F5"/>
    <w:rsid w:val="00E57973"/>
    <w:rsid w:val="00E61C29"/>
    <w:rsid w:val="00E63AB0"/>
    <w:rsid w:val="00E65413"/>
    <w:rsid w:val="00E66FFF"/>
    <w:rsid w:val="00E67B37"/>
    <w:rsid w:val="00E702E2"/>
    <w:rsid w:val="00E70E19"/>
    <w:rsid w:val="00E71EE0"/>
    <w:rsid w:val="00E7233B"/>
    <w:rsid w:val="00E73EE1"/>
    <w:rsid w:val="00E74229"/>
    <w:rsid w:val="00E74873"/>
    <w:rsid w:val="00E74AD2"/>
    <w:rsid w:val="00E75887"/>
    <w:rsid w:val="00E75A4B"/>
    <w:rsid w:val="00E761B4"/>
    <w:rsid w:val="00E763D0"/>
    <w:rsid w:val="00E77D57"/>
    <w:rsid w:val="00E808CF"/>
    <w:rsid w:val="00E80B41"/>
    <w:rsid w:val="00E80BB1"/>
    <w:rsid w:val="00E81B67"/>
    <w:rsid w:val="00E824FB"/>
    <w:rsid w:val="00E82B4A"/>
    <w:rsid w:val="00E869DB"/>
    <w:rsid w:val="00E9077A"/>
    <w:rsid w:val="00E9079F"/>
    <w:rsid w:val="00E90918"/>
    <w:rsid w:val="00E90C83"/>
    <w:rsid w:val="00E90F0F"/>
    <w:rsid w:val="00E90F8D"/>
    <w:rsid w:val="00E92550"/>
    <w:rsid w:val="00E94A27"/>
    <w:rsid w:val="00E9606D"/>
    <w:rsid w:val="00E97039"/>
    <w:rsid w:val="00E97594"/>
    <w:rsid w:val="00E97FD3"/>
    <w:rsid w:val="00EA028D"/>
    <w:rsid w:val="00EA0549"/>
    <w:rsid w:val="00EA065A"/>
    <w:rsid w:val="00EA1FF2"/>
    <w:rsid w:val="00EA2368"/>
    <w:rsid w:val="00EA269D"/>
    <w:rsid w:val="00EA27B7"/>
    <w:rsid w:val="00EA3D91"/>
    <w:rsid w:val="00EA3FEB"/>
    <w:rsid w:val="00EA41BC"/>
    <w:rsid w:val="00EA49FA"/>
    <w:rsid w:val="00EA59E4"/>
    <w:rsid w:val="00EA6868"/>
    <w:rsid w:val="00EA68A1"/>
    <w:rsid w:val="00EA6B25"/>
    <w:rsid w:val="00EA6B3E"/>
    <w:rsid w:val="00EA6DE2"/>
    <w:rsid w:val="00EA7236"/>
    <w:rsid w:val="00EB097B"/>
    <w:rsid w:val="00EB1AE4"/>
    <w:rsid w:val="00EB1DD1"/>
    <w:rsid w:val="00EB42C7"/>
    <w:rsid w:val="00EB50F1"/>
    <w:rsid w:val="00EB57B8"/>
    <w:rsid w:val="00EB57D7"/>
    <w:rsid w:val="00EB7708"/>
    <w:rsid w:val="00EB78AE"/>
    <w:rsid w:val="00EC219A"/>
    <w:rsid w:val="00EC431A"/>
    <w:rsid w:val="00EC5106"/>
    <w:rsid w:val="00EC5B0E"/>
    <w:rsid w:val="00EC5CCD"/>
    <w:rsid w:val="00EC609E"/>
    <w:rsid w:val="00EC60F9"/>
    <w:rsid w:val="00EC622F"/>
    <w:rsid w:val="00EC66B9"/>
    <w:rsid w:val="00EC6772"/>
    <w:rsid w:val="00EC6B10"/>
    <w:rsid w:val="00EC6E84"/>
    <w:rsid w:val="00EC714C"/>
    <w:rsid w:val="00EC7BEF"/>
    <w:rsid w:val="00EC7CCA"/>
    <w:rsid w:val="00ED043E"/>
    <w:rsid w:val="00ED04D0"/>
    <w:rsid w:val="00ED055B"/>
    <w:rsid w:val="00ED0DF2"/>
    <w:rsid w:val="00ED1455"/>
    <w:rsid w:val="00ED1A09"/>
    <w:rsid w:val="00ED1DC5"/>
    <w:rsid w:val="00ED1E41"/>
    <w:rsid w:val="00ED2DF9"/>
    <w:rsid w:val="00ED62B1"/>
    <w:rsid w:val="00ED733F"/>
    <w:rsid w:val="00ED778B"/>
    <w:rsid w:val="00EE12B1"/>
    <w:rsid w:val="00EE1DBD"/>
    <w:rsid w:val="00EE234F"/>
    <w:rsid w:val="00EE2736"/>
    <w:rsid w:val="00EE2A58"/>
    <w:rsid w:val="00EE2CF2"/>
    <w:rsid w:val="00EE2EB0"/>
    <w:rsid w:val="00EE2F1E"/>
    <w:rsid w:val="00EE30EE"/>
    <w:rsid w:val="00EE339A"/>
    <w:rsid w:val="00EE4070"/>
    <w:rsid w:val="00EE4797"/>
    <w:rsid w:val="00EE51F2"/>
    <w:rsid w:val="00EE53DF"/>
    <w:rsid w:val="00EE5647"/>
    <w:rsid w:val="00EE584E"/>
    <w:rsid w:val="00EE5EB2"/>
    <w:rsid w:val="00EE615E"/>
    <w:rsid w:val="00EE65A3"/>
    <w:rsid w:val="00EE6B13"/>
    <w:rsid w:val="00EE6BDF"/>
    <w:rsid w:val="00EE735E"/>
    <w:rsid w:val="00EE7619"/>
    <w:rsid w:val="00EF0EB2"/>
    <w:rsid w:val="00EF122C"/>
    <w:rsid w:val="00EF2062"/>
    <w:rsid w:val="00EF24DB"/>
    <w:rsid w:val="00EF294F"/>
    <w:rsid w:val="00EF4A8B"/>
    <w:rsid w:val="00EF4C9E"/>
    <w:rsid w:val="00EF5133"/>
    <w:rsid w:val="00EF5ABB"/>
    <w:rsid w:val="00EF707E"/>
    <w:rsid w:val="00EF7620"/>
    <w:rsid w:val="00EF787A"/>
    <w:rsid w:val="00F0060F"/>
    <w:rsid w:val="00F007DB"/>
    <w:rsid w:val="00F00B28"/>
    <w:rsid w:val="00F01107"/>
    <w:rsid w:val="00F018BA"/>
    <w:rsid w:val="00F01A90"/>
    <w:rsid w:val="00F01CEF"/>
    <w:rsid w:val="00F02EC2"/>
    <w:rsid w:val="00F0660E"/>
    <w:rsid w:val="00F07615"/>
    <w:rsid w:val="00F10015"/>
    <w:rsid w:val="00F12460"/>
    <w:rsid w:val="00F13AAC"/>
    <w:rsid w:val="00F1414F"/>
    <w:rsid w:val="00F1415F"/>
    <w:rsid w:val="00F144DC"/>
    <w:rsid w:val="00F145C7"/>
    <w:rsid w:val="00F1473C"/>
    <w:rsid w:val="00F14786"/>
    <w:rsid w:val="00F148D9"/>
    <w:rsid w:val="00F15206"/>
    <w:rsid w:val="00F154EB"/>
    <w:rsid w:val="00F15C0A"/>
    <w:rsid w:val="00F163DD"/>
    <w:rsid w:val="00F1655A"/>
    <w:rsid w:val="00F17DE6"/>
    <w:rsid w:val="00F22298"/>
    <w:rsid w:val="00F2254B"/>
    <w:rsid w:val="00F23C61"/>
    <w:rsid w:val="00F240B4"/>
    <w:rsid w:val="00F24187"/>
    <w:rsid w:val="00F2446E"/>
    <w:rsid w:val="00F24A6D"/>
    <w:rsid w:val="00F24BE0"/>
    <w:rsid w:val="00F26442"/>
    <w:rsid w:val="00F27717"/>
    <w:rsid w:val="00F30627"/>
    <w:rsid w:val="00F31048"/>
    <w:rsid w:val="00F3108B"/>
    <w:rsid w:val="00F310A6"/>
    <w:rsid w:val="00F312BF"/>
    <w:rsid w:val="00F31E2F"/>
    <w:rsid w:val="00F323FB"/>
    <w:rsid w:val="00F33031"/>
    <w:rsid w:val="00F3413D"/>
    <w:rsid w:val="00F345F8"/>
    <w:rsid w:val="00F35730"/>
    <w:rsid w:val="00F35768"/>
    <w:rsid w:val="00F378D5"/>
    <w:rsid w:val="00F40264"/>
    <w:rsid w:val="00F41F67"/>
    <w:rsid w:val="00F427FD"/>
    <w:rsid w:val="00F43F4B"/>
    <w:rsid w:val="00F44106"/>
    <w:rsid w:val="00F44991"/>
    <w:rsid w:val="00F44EA2"/>
    <w:rsid w:val="00F452BD"/>
    <w:rsid w:val="00F4545E"/>
    <w:rsid w:val="00F45CA7"/>
    <w:rsid w:val="00F471F1"/>
    <w:rsid w:val="00F47AA4"/>
    <w:rsid w:val="00F520B0"/>
    <w:rsid w:val="00F5252C"/>
    <w:rsid w:val="00F54C22"/>
    <w:rsid w:val="00F55996"/>
    <w:rsid w:val="00F6064B"/>
    <w:rsid w:val="00F614B0"/>
    <w:rsid w:val="00F61E50"/>
    <w:rsid w:val="00F627E1"/>
    <w:rsid w:val="00F63597"/>
    <w:rsid w:val="00F6424B"/>
    <w:rsid w:val="00F64274"/>
    <w:rsid w:val="00F65332"/>
    <w:rsid w:val="00F65E0F"/>
    <w:rsid w:val="00F65E94"/>
    <w:rsid w:val="00F66408"/>
    <w:rsid w:val="00F666CC"/>
    <w:rsid w:val="00F66798"/>
    <w:rsid w:val="00F70179"/>
    <w:rsid w:val="00F71174"/>
    <w:rsid w:val="00F71949"/>
    <w:rsid w:val="00F71EF5"/>
    <w:rsid w:val="00F72A5D"/>
    <w:rsid w:val="00F73191"/>
    <w:rsid w:val="00F732BB"/>
    <w:rsid w:val="00F73BFB"/>
    <w:rsid w:val="00F74444"/>
    <w:rsid w:val="00F744AD"/>
    <w:rsid w:val="00F75781"/>
    <w:rsid w:val="00F75DF0"/>
    <w:rsid w:val="00F75F62"/>
    <w:rsid w:val="00F76176"/>
    <w:rsid w:val="00F763B1"/>
    <w:rsid w:val="00F767D3"/>
    <w:rsid w:val="00F778C0"/>
    <w:rsid w:val="00F77EB8"/>
    <w:rsid w:val="00F804E6"/>
    <w:rsid w:val="00F807E0"/>
    <w:rsid w:val="00F8096D"/>
    <w:rsid w:val="00F80D87"/>
    <w:rsid w:val="00F81158"/>
    <w:rsid w:val="00F815D0"/>
    <w:rsid w:val="00F81992"/>
    <w:rsid w:val="00F81A14"/>
    <w:rsid w:val="00F81CB2"/>
    <w:rsid w:val="00F823AA"/>
    <w:rsid w:val="00F82843"/>
    <w:rsid w:val="00F836F4"/>
    <w:rsid w:val="00F83D32"/>
    <w:rsid w:val="00F84A4E"/>
    <w:rsid w:val="00F85163"/>
    <w:rsid w:val="00F85D7C"/>
    <w:rsid w:val="00F863A3"/>
    <w:rsid w:val="00F87521"/>
    <w:rsid w:val="00F8798F"/>
    <w:rsid w:val="00F87D80"/>
    <w:rsid w:val="00F87EE6"/>
    <w:rsid w:val="00F9054A"/>
    <w:rsid w:val="00F91F57"/>
    <w:rsid w:val="00F922FB"/>
    <w:rsid w:val="00F933E1"/>
    <w:rsid w:val="00F9415E"/>
    <w:rsid w:val="00F948D3"/>
    <w:rsid w:val="00F94EF7"/>
    <w:rsid w:val="00F94F3B"/>
    <w:rsid w:val="00F9549F"/>
    <w:rsid w:val="00F9591C"/>
    <w:rsid w:val="00F96297"/>
    <w:rsid w:val="00F9666E"/>
    <w:rsid w:val="00F977BC"/>
    <w:rsid w:val="00F97F16"/>
    <w:rsid w:val="00FA011B"/>
    <w:rsid w:val="00FA0510"/>
    <w:rsid w:val="00FA1D83"/>
    <w:rsid w:val="00FA1F75"/>
    <w:rsid w:val="00FA2E94"/>
    <w:rsid w:val="00FA3BBE"/>
    <w:rsid w:val="00FA4312"/>
    <w:rsid w:val="00FA4DD6"/>
    <w:rsid w:val="00FA53AB"/>
    <w:rsid w:val="00FA5813"/>
    <w:rsid w:val="00FA5DD0"/>
    <w:rsid w:val="00FA5E6E"/>
    <w:rsid w:val="00FA6271"/>
    <w:rsid w:val="00FA630F"/>
    <w:rsid w:val="00FA69CA"/>
    <w:rsid w:val="00FA6CFC"/>
    <w:rsid w:val="00FA701F"/>
    <w:rsid w:val="00FB1201"/>
    <w:rsid w:val="00FB2102"/>
    <w:rsid w:val="00FB2682"/>
    <w:rsid w:val="00FB2BE1"/>
    <w:rsid w:val="00FB2DC9"/>
    <w:rsid w:val="00FB3001"/>
    <w:rsid w:val="00FB446A"/>
    <w:rsid w:val="00FB4DDA"/>
    <w:rsid w:val="00FB693B"/>
    <w:rsid w:val="00FB73E9"/>
    <w:rsid w:val="00FB776F"/>
    <w:rsid w:val="00FB7ECD"/>
    <w:rsid w:val="00FC0604"/>
    <w:rsid w:val="00FC0629"/>
    <w:rsid w:val="00FC0B66"/>
    <w:rsid w:val="00FC0D02"/>
    <w:rsid w:val="00FC14C9"/>
    <w:rsid w:val="00FC2290"/>
    <w:rsid w:val="00FC22F4"/>
    <w:rsid w:val="00FC2BB5"/>
    <w:rsid w:val="00FC2F4B"/>
    <w:rsid w:val="00FC3FA2"/>
    <w:rsid w:val="00FC43CD"/>
    <w:rsid w:val="00FC525E"/>
    <w:rsid w:val="00FC52CD"/>
    <w:rsid w:val="00FC6BEF"/>
    <w:rsid w:val="00FC7555"/>
    <w:rsid w:val="00FC7850"/>
    <w:rsid w:val="00FC7861"/>
    <w:rsid w:val="00FC78FE"/>
    <w:rsid w:val="00FC7A96"/>
    <w:rsid w:val="00FD0284"/>
    <w:rsid w:val="00FD055F"/>
    <w:rsid w:val="00FD0DDA"/>
    <w:rsid w:val="00FD1861"/>
    <w:rsid w:val="00FD1930"/>
    <w:rsid w:val="00FD2174"/>
    <w:rsid w:val="00FD2251"/>
    <w:rsid w:val="00FD3959"/>
    <w:rsid w:val="00FD4684"/>
    <w:rsid w:val="00FD4D19"/>
    <w:rsid w:val="00FD4E25"/>
    <w:rsid w:val="00FD55AF"/>
    <w:rsid w:val="00FD589D"/>
    <w:rsid w:val="00FD5CF8"/>
    <w:rsid w:val="00FD6BDD"/>
    <w:rsid w:val="00FD77A6"/>
    <w:rsid w:val="00FE13D1"/>
    <w:rsid w:val="00FE15F7"/>
    <w:rsid w:val="00FE1600"/>
    <w:rsid w:val="00FE1BCB"/>
    <w:rsid w:val="00FE1EC3"/>
    <w:rsid w:val="00FE2100"/>
    <w:rsid w:val="00FE2E0A"/>
    <w:rsid w:val="00FE2E1C"/>
    <w:rsid w:val="00FE2E86"/>
    <w:rsid w:val="00FE2F2A"/>
    <w:rsid w:val="00FE2F84"/>
    <w:rsid w:val="00FE2FD3"/>
    <w:rsid w:val="00FE4DED"/>
    <w:rsid w:val="00FE516E"/>
    <w:rsid w:val="00FE53E3"/>
    <w:rsid w:val="00FE627A"/>
    <w:rsid w:val="00FE6E70"/>
    <w:rsid w:val="00FE7D45"/>
    <w:rsid w:val="00FF0BF7"/>
    <w:rsid w:val="00FF2665"/>
    <w:rsid w:val="00FF26FE"/>
    <w:rsid w:val="00FF2EE9"/>
    <w:rsid w:val="00FF2F7B"/>
    <w:rsid w:val="00FF3E15"/>
    <w:rsid w:val="00FF6439"/>
    <w:rsid w:val="00FF678D"/>
    <w:rsid w:val="00FF79E6"/>
    <w:rsid w:val="00FF7B93"/>
    <w:rsid w:val="00FF7EE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9AF3317C-F4BE-45C6-B647-9EB219B688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pPr>
        <w:spacing w:line="320" w:lineRule="atLeast"/>
        <w:jc w:val="both"/>
      </w:pPr>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193784"/>
    <w:pPr>
      <w:spacing w:before="120"/>
    </w:pPr>
    <w:rPr>
      <w:rFonts w:ascii="Arial" w:hAnsi="Arial"/>
      <w:sz w:val="22"/>
      <w:lang w:eastAsia="en-US"/>
    </w:rPr>
  </w:style>
  <w:style w:type="paragraph" w:styleId="Otsikko1">
    <w:name w:val="heading 1"/>
    <w:aliases w:val="ESPON Heading 1"/>
    <w:basedOn w:val="Normaali"/>
    <w:next w:val="Normaali"/>
    <w:link w:val="Otsikko1Char"/>
    <w:qFormat/>
    <w:rsid w:val="00637487"/>
    <w:pPr>
      <w:keepNext/>
      <w:numPr>
        <w:numId w:val="1"/>
      </w:numPr>
      <w:spacing w:before="480" w:after="120"/>
      <w:outlineLvl w:val="0"/>
    </w:pPr>
    <w:rPr>
      <w:b/>
      <w:kern w:val="28"/>
      <w:sz w:val="28"/>
    </w:rPr>
  </w:style>
  <w:style w:type="paragraph" w:styleId="Otsikko2">
    <w:name w:val="heading 2"/>
    <w:aliases w:val="ESPON Heading 2"/>
    <w:basedOn w:val="Normaali"/>
    <w:next w:val="Normaali"/>
    <w:qFormat/>
    <w:rsid w:val="00AE5E68"/>
    <w:pPr>
      <w:keepNext/>
      <w:numPr>
        <w:ilvl w:val="1"/>
        <w:numId w:val="1"/>
      </w:numPr>
      <w:tabs>
        <w:tab w:val="clear" w:pos="879"/>
        <w:tab w:val="num" w:pos="4848"/>
      </w:tabs>
      <w:spacing w:after="120"/>
      <w:ind w:left="737"/>
      <w:outlineLvl w:val="1"/>
    </w:pPr>
    <w:rPr>
      <w:b/>
      <w:sz w:val="24"/>
    </w:rPr>
  </w:style>
  <w:style w:type="paragraph" w:styleId="Otsikko3">
    <w:name w:val="heading 3"/>
    <w:aliases w:val="ESPON Heading 3"/>
    <w:basedOn w:val="Normaali"/>
    <w:next w:val="Normaali"/>
    <w:qFormat/>
    <w:rsid w:val="00AF6C49"/>
    <w:pPr>
      <w:keepNext/>
      <w:numPr>
        <w:ilvl w:val="2"/>
        <w:numId w:val="1"/>
      </w:numPr>
      <w:spacing w:after="120"/>
      <w:outlineLvl w:val="2"/>
    </w:pPr>
    <w:rPr>
      <w:b/>
    </w:rPr>
  </w:style>
  <w:style w:type="paragraph" w:styleId="Otsikko4">
    <w:name w:val="heading 4"/>
    <w:aliases w:val="ESPON Heading 4"/>
    <w:basedOn w:val="Normaali"/>
    <w:next w:val="Normaali"/>
    <w:qFormat/>
    <w:rsid w:val="00AF6C49"/>
    <w:pPr>
      <w:keepNext/>
      <w:numPr>
        <w:ilvl w:val="3"/>
        <w:numId w:val="1"/>
      </w:numPr>
      <w:spacing w:after="120"/>
      <w:outlineLvl w:val="3"/>
    </w:pPr>
    <w:rPr>
      <w:b/>
      <w:sz w:val="24"/>
    </w:rPr>
  </w:style>
  <w:style w:type="paragraph" w:styleId="Otsikko5">
    <w:name w:val="heading 5"/>
    <w:aliases w:val="ESPON Heading 5"/>
    <w:basedOn w:val="Normaali"/>
    <w:next w:val="Normaali"/>
    <w:qFormat/>
    <w:rsid w:val="00AF6C49"/>
    <w:pPr>
      <w:numPr>
        <w:ilvl w:val="4"/>
        <w:numId w:val="1"/>
      </w:numPr>
      <w:spacing w:after="120"/>
      <w:outlineLvl w:val="4"/>
    </w:pPr>
    <w:rPr>
      <w:b/>
      <w:sz w:val="24"/>
    </w:rPr>
  </w:style>
  <w:style w:type="paragraph" w:styleId="Otsikko6">
    <w:name w:val="heading 6"/>
    <w:basedOn w:val="Normaali"/>
    <w:next w:val="Normaali"/>
    <w:qFormat/>
    <w:rsid w:val="00AF6C49"/>
    <w:pPr>
      <w:numPr>
        <w:ilvl w:val="5"/>
        <w:numId w:val="1"/>
      </w:numPr>
      <w:spacing w:before="240" w:after="60"/>
      <w:outlineLvl w:val="5"/>
    </w:pPr>
    <w:rPr>
      <w:i/>
    </w:rPr>
  </w:style>
  <w:style w:type="paragraph" w:styleId="Otsikko7">
    <w:name w:val="heading 7"/>
    <w:basedOn w:val="Normaali"/>
    <w:next w:val="Normaali"/>
    <w:qFormat/>
    <w:rsid w:val="00CF018B"/>
    <w:pPr>
      <w:numPr>
        <w:ilvl w:val="6"/>
        <w:numId w:val="1"/>
      </w:numPr>
      <w:spacing w:before="240" w:after="60"/>
      <w:outlineLvl w:val="6"/>
    </w:pPr>
  </w:style>
  <w:style w:type="paragraph" w:styleId="Otsikko8">
    <w:name w:val="heading 8"/>
    <w:basedOn w:val="Normaali"/>
    <w:next w:val="Normaali"/>
    <w:qFormat/>
    <w:rsid w:val="00CF018B"/>
    <w:pPr>
      <w:numPr>
        <w:ilvl w:val="7"/>
        <w:numId w:val="1"/>
      </w:numPr>
      <w:spacing w:before="240" w:after="60"/>
      <w:outlineLvl w:val="7"/>
    </w:pPr>
    <w:rPr>
      <w:i/>
    </w:rPr>
  </w:style>
  <w:style w:type="paragraph" w:styleId="Otsikko9">
    <w:name w:val="heading 9"/>
    <w:basedOn w:val="Normaali"/>
    <w:next w:val="Normaali"/>
    <w:qFormat/>
    <w:rsid w:val="00CF018B"/>
    <w:pPr>
      <w:numPr>
        <w:ilvl w:val="8"/>
        <w:numId w:val="1"/>
      </w:numPr>
      <w:spacing w:before="240" w:after="60"/>
      <w:outlineLvl w:val="8"/>
    </w:pPr>
    <w:rPr>
      <w:b/>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Sisluet1">
    <w:name w:val="toc 1"/>
    <w:aliases w:val="ESPON Index 1"/>
    <w:basedOn w:val="Normaali"/>
    <w:next w:val="Normaali"/>
    <w:autoRedefine/>
    <w:uiPriority w:val="39"/>
    <w:rsid w:val="00EC7BEF"/>
    <w:pPr>
      <w:tabs>
        <w:tab w:val="right" w:leader="dot" w:pos="9356"/>
      </w:tabs>
      <w:spacing w:before="0" w:line="360" w:lineRule="auto"/>
      <w:ind w:left="907" w:right="1134" w:hanging="907"/>
    </w:pPr>
    <w:rPr>
      <w:noProof/>
    </w:rPr>
  </w:style>
  <w:style w:type="paragraph" w:styleId="Sisluet5">
    <w:name w:val="toc 5"/>
    <w:aliases w:val="ESPON Index 5"/>
    <w:basedOn w:val="Normaali"/>
    <w:next w:val="Normaali"/>
    <w:autoRedefine/>
    <w:semiHidden/>
    <w:rsid w:val="00CF018B"/>
    <w:pPr>
      <w:tabs>
        <w:tab w:val="right" w:leader="dot" w:pos="9356"/>
      </w:tabs>
      <w:spacing w:line="240" w:lineRule="auto"/>
      <w:ind w:left="1134" w:right="1134" w:hanging="1134"/>
    </w:pPr>
    <w:rPr>
      <w:rFonts w:ascii="Verdana" w:hAnsi="Verdana"/>
      <w:noProof/>
    </w:rPr>
  </w:style>
  <w:style w:type="paragraph" w:styleId="Yltunniste">
    <w:name w:val="header"/>
    <w:basedOn w:val="Normaali"/>
    <w:rsid w:val="00CF018B"/>
    <w:pPr>
      <w:tabs>
        <w:tab w:val="center" w:pos="4536"/>
        <w:tab w:val="right" w:pos="9072"/>
      </w:tabs>
    </w:pPr>
  </w:style>
  <w:style w:type="paragraph" w:styleId="Sisluet2">
    <w:name w:val="toc 2"/>
    <w:aliases w:val="ESPON Index 2"/>
    <w:basedOn w:val="Normaali"/>
    <w:next w:val="Normaali"/>
    <w:autoRedefine/>
    <w:uiPriority w:val="39"/>
    <w:rsid w:val="00BB5A9A"/>
    <w:pPr>
      <w:tabs>
        <w:tab w:val="right" w:leader="dot" w:pos="9356"/>
      </w:tabs>
      <w:spacing w:line="360" w:lineRule="auto"/>
      <w:ind w:left="1191" w:right="1134" w:hanging="907"/>
    </w:pPr>
  </w:style>
  <w:style w:type="paragraph" w:styleId="Sisluet3">
    <w:name w:val="toc 3"/>
    <w:aliases w:val="ESPON Index 3"/>
    <w:basedOn w:val="Normaali"/>
    <w:next w:val="Normaali"/>
    <w:autoRedefine/>
    <w:uiPriority w:val="39"/>
    <w:rsid w:val="00CF018B"/>
    <w:pPr>
      <w:tabs>
        <w:tab w:val="right" w:leader="dot" w:pos="9356"/>
      </w:tabs>
      <w:spacing w:line="240" w:lineRule="auto"/>
      <w:ind w:left="907" w:right="1134" w:hanging="907"/>
    </w:pPr>
  </w:style>
  <w:style w:type="paragraph" w:styleId="Sisluet4">
    <w:name w:val="toc 4"/>
    <w:aliases w:val="ESPON Index 4"/>
    <w:basedOn w:val="Normaali"/>
    <w:next w:val="Normaali"/>
    <w:autoRedefine/>
    <w:semiHidden/>
    <w:rsid w:val="00CF018B"/>
    <w:pPr>
      <w:tabs>
        <w:tab w:val="right" w:leader="dot" w:pos="9356"/>
      </w:tabs>
      <w:spacing w:line="240" w:lineRule="auto"/>
      <w:ind w:left="1021" w:right="1134" w:hanging="1021"/>
    </w:pPr>
    <w:rPr>
      <w:rFonts w:ascii="Verdana" w:hAnsi="Verdana"/>
      <w:noProof/>
    </w:rPr>
  </w:style>
  <w:style w:type="paragraph" w:styleId="Sisluet6">
    <w:name w:val="toc 6"/>
    <w:aliases w:val="ESPON Index 6"/>
    <w:basedOn w:val="Normaali"/>
    <w:next w:val="Normaali"/>
    <w:autoRedefine/>
    <w:semiHidden/>
    <w:rsid w:val="00CF018B"/>
    <w:pPr>
      <w:tabs>
        <w:tab w:val="right" w:leader="dot" w:pos="9356"/>
      </w:tabs>
      <w:spacing w:line="240" w:lineRule="auto"/>
      <w:ind w:left="907" w:right="1134" w:hanging="907"/>
    </w:pPr>
    <w:rPr>
      <w:rFonts w:ascii="Verdana" w:hAnsi="Verdana"/>
      <w:b/>
      <w:noProof/>
    </w:rPr>
  </w:style>
  <w:style w:type="paragraph" w:styleId="Sisluet7">
    <w:name w:val="toc 7"/>
    <w:aliases w:val="ESPON Index 7"/>
    <w:basedOn w:val="Normaali"/>
    <w:next w:val="Normaali"/>
    <w:autoRedefine/>
    <w:semiHidden/>
    <w:rsid w:val="00CF018B"/>
    <w:pPr>
      <w:tabs>
        <w:tab w:val="right" w:leader="dot" w:pos="9356"/>
      </w:tabs>
      <w:spacing w:line="240" w:lineRule="auto"/>
      <w:ind w:left="907" w:right="1134" w:hanging="907"/>
    </w:pPr>
    <w:rPr>
      <w:rFonts w:ascii="Verdana" w:hAnsi="Verdana"/>
    </w:rPr>
  </w:style>
  <w:style w:type="paragraph" w:styleId="Sisluet8">
    <w:name w:val="toc 8"/>
    <w:basedOn w:val="Normaali"/>
    <w:next w:val="Normaali"/>
    <w:autoRedefine/>
    <w:semiHidden/>
    <w:rsid w:val="00CF018B"/>
    <w:pPr>
      <w:ind w:left="1400"/>
    </w:pPr>
  </w:style>
  <w:style w:type="paragraph" w:styleId="Sisluet9">
    <w:name w:val="toc 9"/>
    <w:basedOn w:val="Normaali"/>
    <w:next w:val="Normaali"/>
    <w:autoRedefine/>
    <w:semiHidden/>
    <w:rsid w:val="00CF018B"/>
    <w:pPr>
      <w:ind w:left="1600"/>
    </w:pPr>
  </w:style>
  <w:style w:type="paragraph" w:styleId="Alatunniste">
    <w:name w:val="footer"/>
    <w:basedOn w:val="Normaali"/>
    <w:link w:val="AlatunnisteChar"/>
    <w:uiPriority w:val="99"/>
    <w:rsid w:val="00CF018B"/>
    <w:pPr>
      <w:tabs>
        <w:tab w:val="center" w:pos="4536"/>
        <w:tab w:val="right" w:pos="9072"/>
      </w:tabs>
    </w:pPr>
  </w:style>
  <w:style w:type="character" w:customStyle="1" w:styleId="Otsikko1Char">
    <w:name w:val="Otsikko 1 Char"/>
    <w:aliases w:val="ESPON Heading 1 Char"/>
    <w:basedOn w:val="Kappaleenoletusfontti"/>
    <w:link w:val="Otsikko1"/>
    <w:rsid w:val="00056948"/>
    <w:rPr>
      <w:rFonts w:ascii="Arial" w:hAnsi="Arial"/>
      <w:b/>
      <w:kern w:val="28"/>
      <w:sz w:val="28"/>
      <w:lang w:eastAsia="en-US"/>
    </w:rPr>
  </w:style>
  <w:style w:type="paragraph" w:styleId="Kuvaotsikko">
    <w:name w:val="caption"/>
    <w:basedOn w:val="Normaali"/>
    <w:next w:val="Normaali"/>
    <w:uiPriority w:val="35"/>
    <w:qFormat/>
    <w:rsid w:val="00D95FA4"/>
    <w:rPr>
      <w:b/>
      <w:bCs/>
    </w:rPr>
  </w:style>
  <w:style w:type="table" w:styleId="TaulukkoRuudukko">
    <w:name w:val="Table Grid"/>
    <w:basedOn w:val="Normaalitaulukko"/>
    <w:uiPriority w:val="59"/>
    <w:rsid w:val="00AF6C49"/>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ki">
    <w:name w:val="Hyperlink"/>
    <w:basedOn w:val="Kappaleenoletusfontti"/>
    <w:uiPriority w:val="99"/>
    <w:rsid w:val="00C82741"/>
    <w:rPr>
      <w:color w:val="0000FF"/>
      <w:u w:val="single"/>
    </w:rPr>
  </w:style>
  <w:style w:type="paragraph" w:styleId="Asiakirjanrakenneruutu">
    <w:name w:val="Document Map"/>
    <w:basedOn w:val="Normaali"/>
    <w:semiHidden/>
    <w:rsid w:val="003630B0"/>
    <w:rPr>
      <w:rFonts w:cs="Tahoma"/>
    </w:rPr>
  </w:style>
  <w:style w:type="paragraph" w:styleId="NormaaliWWW">
    <w:name w:val="Normal (Web)"/>
    <w:basedOn w:val="Normaali"/>
    <w:uiPriority w:val="99"/>
    <w:rsid w:val="00AF6C49"/>
    <w:pPr>
      <w:spacing w:before="100" w:beforeAutospacing="1" w:after="100" w:afterAutospacing="1" w:line="240" w:lineRule="auto"/>
      <w:jc w:val="left"/>
    </w:pPr>
    <w:rPr>
      <w:sz w:val="24"/>
      <w:szCs w:val="24"/>
      <w:lang w:val="de-DE" w:eastAsia="de-DE"/>
    </w:rPr>
  </w:style>
  <w:style w:type="character" w:styleId="AvattuHyperlinkki">
    <w:name w:val="FollowedHyperlink"/>
    <w:basedOn w:val="Kappaleenoletusfontti"/>
    <w:rsid w:val="00AF6C49"/>
    <w:rPr>
      <w:rFonts w:ascii="Arial" w:hAnsi="Arial"/>
      <w:color w:val="800080"/>
      <w:u w:val="single"/>
    </w:rPr>
  </w:style>
  <w:style w:type="paragraph" w:styleId="Kuvaotsikkoluettelo">
    <w:name w:val="table of figures"/>
    <w:basedOn w:val="Normaali"/>
    <w:next w:val="Normaali"/>
    <w:uiPriority w:val="99"/>
    <w:rsid w:val="005B346C"/>
  </w:style>
  <w:style w:type="character" w:styleId="Kommentinviite">
    <w:name w:val="annotation reference"/>
    <w:basedOn w:val="Kappaleenoletusfontti"/>
    <w:semiHidden/>
    <w:rsid w:val="004E266B"/>
    <w:rPr>
      <w:sz w:val="16"/>
      <w:szCs w:val="16"/>
    </w:rPr>
  </w:style>
  <w:style w:type="paragraph" w:styleId="Kommentinteksti">
    <w:name w:val="annotation text"/>
    <w:basedOn w:val="Normaali"/>
    <w:semiHidden/>
    <w:rsid w:val="004E266B"/>
  </w:style>
  <w:style w:type="paragraph" w:styleId="Kommentinotsikko">
    <w:name w:val="annotation subject"/>
    <w:basedOn w:val="Kommentinteksti"/>
    <w:next w:val="Kommentinteksti"/>
    <w:semiHidden/>
    <w:rsid w:val="004E266B"/>
    <w:rPr>
      <w:b/>
      <w:bCs/>
    </w:rPr>
  </w:style>
  <w:style w:type="paragraph" w:styleId="Seliteteksti">
    <w:name w:val="Balloon Text"/>
    <w:basedOn w:val="Normaali"/>
    <w:semiHidden/>
    <w:rsid w:val="001B06C0"/>
    <w:rPr>
      <w:rFonts w:ascii="Tahoma" w:hAnsi="Tahoma" w:cs="Tahoma"/>
      <w:sz w:val="16"/>
      <w:szCs w:val="16"/>
    </w:rPr>
  </w:style>
  <w:style w:type="character" w:styleId="Alaviitteenviite">
    <w:name w:val="footnote reference"/>
    <w:aliases w:val="Footnote symbol,Times 10 Point,Exposant 3 Point"/>
    <w:basedOn w:val="Kappaleenoletusfontti"/>
    <w:unhideWhenUsed/>
    <w:rsid w:val="00AF6C49"/>
    <w:rPr>
      <w:rFonts w:ascii="Arial" w:hAnsi="Arial"/>
      <w:vertAlign w:val="superscript"/>
    </w:rPr>
  </w:style>
  <w:style w:type="character" w:customStyle="1" w:styleId="AlatunnisteChar">
    <w:name w:val="Alatunniste Char"/>
    <w:basedOn w:val="Kappaleenoletusfontti"/>
    <w:link w:val="Alatunniste"/>
    <w:uiPriority w:val="99"/>
    <w:rsid w:val="004929E9"/>
    <w:rPr>
      <w:rFonts w:ascii="Arial" w:hAnsi="Arial"/>
      <w:sz w:val="22"/>
      <w:lang w:eastAsia="en-US"/>
    </w:rPr>
  </w:style>
  <w:style w:type="paragraph" w:customStyle="1" w:styleId="ESPONColophon">
    <w:name w:val="ESPON Colophon"/>
    <w:basedOn w:val="Normaali"/>
    <w:rsid w:val="00AF6C49"/>
    <w:pPr>
      <w:spacing w:before="0"/>
      <w:ind w:right="5103"/>
      <w:jc w:val="left"/>
    </w:pPr>
    <w:rPr>
      <w:sz w:val="16"/>
    </w:rPr>
  </w:style>
  <w:style w:type="character" w:styleId="Sivunumero">
    <w:name w:val="page number"/>
    <w:basedOn w:val="Kappaleenoletusfontti"/>
    <w:rsid w:val="00AF6C49"/>
    <w:rPr>
      <w:rFonts w:ascii="Arial" w:hAnsi="Arial"/>
    </w:rPr>
  </w:style>
  <w:style w:type="paragraph" w:customStyle="1" w:styleId="ESPONText">
    <w:name w:val="ESPON Text"/>
    <w:basedOn w:val="Normaali"/>
    <w:rsid w:val="00AF6C49"/>
    <w:pPr>
      <w:spacing w:before="0" w:after="120"/>
    </w:pPr>
    <w:rPr>
      <w:lang w:eastAsia="de-DE"/>
    </w:rPr>
  </w:style>
  <w:style w:type="paragraph" w:customStyle="1" w:styleId="ESPONSubtitle">
    <w:name w:val="ESPON Subtitle"/>
    <w:basedOn w:val="Normaali"/>
    <w:next w:val="ESPONText"/>
    <w:rsid w:val="00AF6C49"/>
    <w:pPr>
      <w:autoSpaceDE w:val="0"/>
      <w:autoSpaceDN w:val="0"/>
      <w:adjustRightInd w:val="0"/>
      <w:spacing w:after="240"/>
      <w:jc w:val="left"/>
    </w:pPr>
    <w:rPr>
      <w:b/>
      <w:color w:val="000000"/>
      <w:sz w:val="32"/>
    </w:rPr>
  </w:style>
  <w:style w:type="paragraph" w:styleId="Alaviitteenteksti">
    <w:name w:val="footnote text"/>
    <w:aliases w:val="Schriftart: 9 pt,Schriftart: 10 pt,Schriftart: 8 pt,WB-Fußnotentext,fn,Footnotes,Footnote ak"/>
    <w:basedOn w:val="Normaali"/>
    <w:link w:val="AlaviitteentekstiChar"/>
    <w:semiHidden/>
    <w:rsid w:val="00F75F62"/>
    <w:rPr>
      <w:sz w:val="20"/>
    </w:rPr>
  </w:style>
  <w:style w:type="paragraph" w:customStyle="1" w:styleId="Style10ptBoldRightBefore0pt">
    <w:name w:val="Style 10 pt Bold Right Before:  0 pt"/>
    <w:basedOn w:val="ESPONText"/>
    <w:rsid w:val="00074A6D"/>
    <w:pPr>
      <w:shd w:val="clear" w:color="auto" w:fill="000080"/>
      <w:jc w:val="right"/>
    </w:pPr>
    <w:rPr>
      <w:b/>
      <w:bCs/>
      <w:sz w:val="20"/>
    </w:rPr>
  </w:style>
  <w:style w:type="paragraph" w:styleId="Luettelokappale">
    <w:name w:val="List Paragraph"/>
    <w:basedOn w:val="Normaali"/>
    <w:uiPriority w:val="34"/>
    <w:qFormat/>
    <w:rsid w:val="007631FF"/>
    <w:pPr>
      <w:ind w:left="720"/>
      <w:contextualSpacing/>
    </w:pPr>
  </w:style>
  <w:style w:type="character" w:customStyle="1" w:styleId="AlaviitteentekstiChar">
    <w:name w:val="Alaviitteen teksti Char"/>
    <w:aliases w:val="Schriftart: 9 pt Char,Schriftart: 10 pt Char,Schriftart: 8 pt Char,WB-Fußnotentext Char,fn Char,Footnotes Char,Footnote ak Char"/>
    <w:link w:val="Alaviitteenteksti"/>
    <w:semiHidden/>
    <w:locked/>
    <w:rsid w:val="0012683A"/>
    <w:rPr>
      <w:rFonts w:ascii="Arial" w:hAnsi="Arial"/>
      <w:lang w:eastAsia="en-US"/>
    </w:rPr>
  </w:style>
  <w:style w:type="table" w:customStyle="1" w:styleId="LightGrid1">
    <w:name w:val="Light Grid1"/>
    <w:basedOn w:val="Normaalitaulukko"/>
    <w:uiPriority w:val="62"/>
    <w:rsid w:val="009D67B9"/>
    <w:rPr>
      <w:rFonts w:asciiTheme="minorHAnsi" w:eastAsiaTheme="minorEastAsia" w:hAnsiTheme="minorHAnsi" w:cstheme="minorBidi"/>
      <w:sz w:val="22"/>
      <w:szCs w:val="22"/>
      <w:lang w:val="de-DE" w:eastAsia="de-DE"/>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character" w:styleId="Korostus">
    <w:name w:val="Emphasis"/>
    <w:basedOn w:val="Kappaleenoletusfontti"/>
    <w:uiPriority w:val="20"/>
    <w:qFormat/>
    <w:rsid w:val="00EF294F"/>
    <w:rPr>
      <w:i/>
      <w:iCs/>
    </w:rPr>
  </w:style>
  <w:style w:type="character" w:styleId="Voimakas">
    <w:name w:val="Strong"/>
    <w:basedOn w:val="Kappaleenoletusfontti"/>
    <w:uiPriority w:val="22"/>
    <w:qFormat/>
    <w:rsid w:val="007146D2"/>
    <w:rPr>
      <w:b/>
      <w:bCs/>
    </w:rPr>
  </w:style>
  <w:style w:type="character" w:customStyle="1" w:styleId="rightside">
    <w:name w:val="right_side"/>
    <w:basedOn w:val="Kappaleenoletusfontti"/>
    <w:rsid w:val="009F1733"/>
  </w:style>
  <w:style w:type="paragraph" w:customStyle="1" w:styleId="Default">
    <w:name w:val="Default"/>
    <w:rsid w:val="002E52A6"/>
    <w:pPr>
      <w:autoSpaceDE w:val="0"/>
      <w:autoSpaceDN w:val="0"/>
      <w:adjustRightInd w:val="0"/>
      <w:spacing w:line="240" w:lineRule="auto"/>
      <w:jc w:val="left"/>
    </w:pPr>
    <w:rPr>
      <w:rFonts w:ascii="Calibri" w:hAnsi="Calibri" w:cs="Calibri"/>
      <w:color w:val="000000"/>
      <w:sz w:val="24"/>
      <w:szCs w:val="24"/>
      <w:lang w:val="de-DE"/>
    </w:rPr>
  </w:style>
  <w:style w:type="paragraph" w:customStyle="1" w:styleId="Pa5">
    <w:name w:val="Pa5"/>
    <w:basedOn w:val="Default"/>
    <w:next w:val="Default"/>
    <w:uiPriority w:val="99"/>
    <w:rsid w:val="00490AF9"/>
    <w:pPr>
      <w:spacing w:after="180" w:line="221" w:lineRule="atLeast"/>
    </w:pPr>
    <w:rPr>
      <w:rFonts w:ascii="Times New Roman" w:hAnsi="Times New Roman" w:cs="Times New Roman"/>
      <w:color w:val="auto"/>
    </w:rPr>
  </w:style>
  <w:style w:type="character" w:customStyle="1" w:styleId="A10">
    <w:name w:val="A10"/>
    <w:uiPriority w:val="99"/>
    <w:rsid w:val="00490AF9"/>
    <w:rPr>
      <w:color w:val="211D1E"/>
      <w:sz w:val="12"/>
      <w:szCs w:val="12"/>
    </w:rPr>
  </w:style>
  <w:style w:type="character" w:customStyle="1" w:styleId="A3">
    <w:name w:val="A3"/>
    <w:uiPriority w:val="99"/>
    <w:rsid w:val="00335A82"/>
    <w:rPr>
      <w:rFonts w:cs="Gill Sans MT"/>
      <w:color w:val="211D1E"/>
      <w:sz w:val="28"/>
      <w:szCs w:val="28"/>
    </w:rPr>
  </w:style>
  <w:style w:type="paragraph" w:customStyle="1" w:styleId="Pa1">
    <w:name w:val="Pa1"/>
    <w:basedOn w:val="Default"/>
    <w:next w:val="Default"/>
    <w:uiPriority w:val="99"/>
    <w:rsid w:val="00335A82"/>
    <w:pPr>
      <w:spacing w:line="581" w:lineRule="atLeast"/>
    </w:pPr>
    <w:rPr>
      <w:rFonts w:ascii="Perpetua Titling MT" w:hAnsi="Perpetua Titling MT" w:cs="Times New Roman"/>
      <w:color w:val="auto"/>
    </w:rPr>
  </w:style>
  <w:style w:type="character" w:customStyle="1" w:styleId="A2">
    <w:name w:val="A2"/>
    <w:uiPriority w:val="99"/>
    <w:rsid w:val="00335A82"/>
    <w:rPr>
      <w:rFonts w:cs="Perpetua Titling MT"/>
      <w:color w:val="33275E"/>
      <w:sz w:val="38"/>
      <w:szCs w:val="38"/>
    </w:rPr>
  </w:style>
  <w:style w:type="character" w:customStyle="1" w:styleId="highlight">
    <w:name w:val="highlight"/>
    <w:basedOn w:val="Kappaleenoletusfontti"/>
    <w:rsid w:val="00B63058"/>
  </w:style>
  <w:style w:type="character" w:customStyle="1" w:styleId="hps">
    <w:name w:val="hps"/>
    <w:basedOn w:val="Kappaleenoletusfontti"/>
    <w:rsid w:val="004B4C38"/>
    <w:rPr>
      <w:rFonts w:cs="Times New Roman"/>
    </w:rPr>
  </w:style>
  <w:style w:type="character" w:customStyle="1" w:styleId="longtext">
    <w:name w:val="long_text"/>
    <w:basedOn w:val="Kappaleenoletusfontti"/>
    <w:rsid w:val="004B4C38"/>
    <w:rPr>
      <w:rFonts w:cs="Times New Roman"/>
    </w:rPr>
  </w:style>
  <w:style w:type="character" w:customStyle="1" w:styleId="maintitle">
    <w:name w:val="maintitle"/>
    <w:basedOn w:val="Kappaleenoletusfontti"/>
    <w:rsid w:val="00B14D18"/>
  </w:style>
  <w:style w:type="character" w:customStyle="1" w:styleId="definition">
    <w:name w:val="definition"/>
    <w:basedOn w:val="Kappaleenoletusfontti"/>
    <w:rsid w:val="006A155D"/>
  </w:style>
  <w:style w:type="table" w:styleId="TaulukkoLuettelo3">
    <w:name w:val="Table List 3"/>
    <w:basedOn w:val="Normaalitaulukko"/>
    <w:rsid w:val="00566D2A"/>
    <w:pPr>
      <w:spacing w:before="120"/>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Normaalivarjostus1-korostus3">
    <w:name w:val="Medium Shading 1 Accent 3"/>
    <w:basedOn w:val="Normaalitaulukko"/>
    <w:uiPriority w:val="63"/>
    <w:rsid w:val="00CC7C09"/>
    <w:pPr>
      <w:spacing w:line="240" w:lineRule="auto"/>
      <w:jc w:val="left"/>
    </w:pPr>
    <w:rPr>
      <w:rFonts w:asciiTheme="minorHAnsi" w:eastAsiaTheme="minorHAnsi" w:hAnsiTheme="minorHAnsi" w:cstheme="minorBidi"/>
      <w:sz w:val="22"/>
      <w:szCs w:val="22"/>
      <w:lang w:eastAsia="en-US"/>
    </w:r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Normaalivarjostus1">
    <w:name w:val="Medium Shading 1"/>
    <w:basedOn w:val="Normaalitaulukko"/>
    <w:uiPriority w:val="63"/>
    <w:rsid w:val="00CC7C09"/>
    <w:pPr>
      <w:spacing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TaulukkoPerinteinen1">
    <w:name w:val="Table Classic 1"/>
    <w:basedOn w:val="Normaalitaulukko"/>
    <w:rsid w:val="00CC7C09"/>
    <w:pPr>
      <w:spacing w:before="120"/>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Sarakkeet2">
    <w:name w:val="Table Columns 2"/>
    <w:basedOn w:val="Normaalitaulukko"/>
    <w:rsid w:val="00CC7C09"/>
    <w:pPr>
      <w:spacing w:before="120"/>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Sarakkeet4">
    <w:name w:val="Table Columns 4"/>
    <w:basedOn w:val="Normaalitaulukko"/>
    <w:rsid w:val="00CC7C09"/>
    <w:pPr>
      <w:spacing w:before="120"/>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ulukkoSarakkeet3">
    <w:name w:val="Table Columns 3"/>
    <w:basedOn w:val="Normaalitaulukko"/>
    <w:rsid w:val="00CC7C09"/>
    <w:pPr>
      <w:spacing w:before="120"/>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character" w:customStyle="1" w:styleId="leaf">
    <w:name w:val="leaf"/>
    <w:basedOn w:val="Kappaleenoletusfontti"/>
    <w:rsid w:val="003D13BD"/>
  </w:style>
  <w:style w:type="character" w:customStyle="1" w:styleId="st">
    <w:name w:val="st"/>
    <w:basedOn w:val="Kappaleenoletusfontti"/>
    <w:rsid w:val="00D06229"/>
  </w:style>
  <w:style w:type="table" w:styleId="TaulukkoYksinkertainen2">
    <w:name w:val="Table Simple 2"/>
    <w:basedOn w:val="Normaalitaulukko"/>
    <w:rsid w:val="00C93921"/>
    <w:pPr>
      <w:spacing w:before="120"/>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514260">
      <w:bodyDiv w:val="1"/>
      <w:marLeft w:val="0"/>
      <w:marRight w:val="0"/>
      <w:marTop w:val="0"/>
      <w:marBottom w:val="0"/>
      <w:divBdr>
        <w:top w:val="none" w:sz="0" w:space="0" w:color="auto"/>
        <w:left w:val="none" w:sz="0" w:space="0" w:color="auto"/>
        <w:bottom w:val="none" w:sz="0" w:space="0" w:color="auto"/>
        <w:right w:val="none" w:sz="0" w:space="0" w:color="auto"/>
      </w:divBdr>
    </w:div>
    <w:div w:id="33969781">
      <w:bodyDiv w:val="1"/>
      <w:marLeft w:val="0"/>
      <w:marRight w:val="0"/>
      <w:marTop w:val="0"/>
      <w:marBottom w:val="0"/>
      <w:divBdr>
        <w:top w:val="none" w:sz="0" w:space="0" w:color="auto"/>
        <w:left w:val="none" w:sz="0" w:space="0" w:color="auto"/>
        <w:bottom w:val="none" w:sz="0" w:space="0" w:color="auto"/>
        <w:right w:val="none" w:sz="0" w:space="0" w:color="auto"/>
      </w:divBdr>
    </w:div>
    <w:div w:id="78067066">
      <w:bodyDiv w:val="1"/>
      <w:marLeft w:val="0"/>
      <w:marRight w:val="0"/>
      <w:marTop w:val="0"/>
      <w:marBottom w:val="0"/>
      <w:divBdr>
        <w:top w:val="none" w:sz="0" w:space="0" w:color="auto"/>
        <w:left w:val="none" w:sz="0" w:space="0" w:color="auto"/>
        <w:bottom w:val="none" w:sz="0" w:space="0" w:color="auto"/>
        <w:right w:val="none" w:sz="0" w:space="0" w:color="auto"/>
      </w:divBdr>
    </w:div>
    <w:div w:id="94715347">
      <w:bodyDiv w:val="1"/>
      <w:marLeft w:val="0"/>
      <w:marRight w:val="0"/>
      <w:marTop w:val="0"/>
      <w:marBottom w:val="0"/>
      <w:divBdr>
        <w:top w:val="none" w:sz="0" w:space="0" w:color="auto"/>
        <w:left w:val="none" w:sz="0" w:space="0" w:color="auto"/>
        <w:bottom w:val="none" w:sz="0" w:space="0" w:color="auto"/>
        <w:right w:val="none" w:sz="0" w:space="0" w:color="auto"/>
      </w:divBdr>
    </w:div>
    <w:div w:id="95634866">
      <w:bodyDiv w:val="1"/>
      <w:marLeft w:val="0"/>
      <w:marRight w:val="0"/>
      <w:marTop w:val="0"/>
      <w:marBottom w:val="0"/>
      <w:divBdr>
        <w:top w:val="none" w:sz="0" w:space="0" w:color="auto"/>
        <w:left w:val="none" w:sz="0" w:space="0" w:color="auto"/>
        <w:bottom w:val="none" w:sz="0" w:space="0" w:color="auto"/>
        <w:right w:val="none" w:sz="0" w:space="0" w:color="auto"/>
      </w:divBdr>
    </w:div>
    <w:div w:id="120727837">
      <w:bodyDiv w:val="1"/>
      <w:marLeft w:val="0"/>
      <w:marRight w:val="0"/>
      <w:marTop w:val="0"/>
      <w:marBottom w:val="0"/>
      <w:divBdr>
        <w:top w:val="none" w:sz="0" w:space="0" w:color="auto"/>
        <w:left w:val="none" w:sz="0" w:space="0" w:color="auto"/>
        <w:bottom w:val="none" w:sz="0" w:space="0" w:color="auto"/>
        <w:right w:val="none" w:sz="0" w:space="0" w:color="auto"/>
      </w:divBdr>
    </w:div>
    <w:div w:id="128744721">
      <w:bodyDiv w:val="1"/>
      <w:marLeft w:val="0"/>
      <w:marRight w:val="0"/>
      <w:marTop w:val="0"/>
      <w:marBottom w:val="0"/>
      <w:divBdr>
        <w:top w:val="none" w:sz="0" w:space="0" w:color="auto"/>
        <w:left w:val="none" w:sz="0" w:space="0" w:color="auto"/>
        <w:bottom w:val="none" w:sz="0" w:space="0" w:color="auto"/>
        <w:right w:val="none" w:sz="0" w:space="0" w:color="auto"/>
      </w:divBdr>
    </w:div>
    <w:div w:id="129203121">
      <w:bodyDiv w:val="1"/>
      <w:marLeft w:val="0"/>
      <w:marRight w:val="0"/>
      <w:marTop w:val="0"/>
      <w:marBottom w:val="0"/>
      <w:divBdr>
        <w:top w:val="none" w:sz="0" w:space="0" w:color="auto"/>
        <w:left w:val="none" w:sz="0" w:space="0" w:color="auto"/>
        <w:bottom w:val="none" w:sz="0" w:space="0" w:color="auto"/>
        <w:right w:val="none" w:sz="0" w:space="0" w:color="auto"/>
      </w:divBdr>
      <w:divsChild>
        <w:div w:id="171071939">
          <w:marLeft w:val="0"/>
          <w:marRight w:val="0"/>
          <w:marTop w:val="0"/>
          <w:marBottom w:val="0"/>
          <w:divBdr>
            <w:top w:val="none" w:sz="0" w:space="0" w:color="auto"/>
            <w:left w:val="none" w:sz="0" w:space="0" w:color="auto"/>
            <w:bottom w:val="none" w:sz="0" w:space="0" w:color="auto"/>
            <w:right w:val="none" w:sz="0" w:space="0" w:color="auto"/>
          </w:divBdr>
        </w:div>
        <w:div w:id="979462111">
          <w:marLeft w:val="0"/>
          <w:marRight w:val="0"/>
          <w:marTop w:val="0"/>
          <w:marBottom w:val="0"/>
          <w:divBdr>
            <w:top w:val="none" w:sz="0" w:space="0" w:color="auto"/>
            <w:left w:val="none" w:sz="0" w:space="0" w:color="auto"/>
            <w:bottom w:val="none" w:sz="0" w:space="0" w:color="auto"/>
            <w:right w:val="none" w:sz="0" w:space="0" w:color="auto"/>
          </w:divBdr>
        </w:div>
        <w:div w:id="55782177">
          <w:marLeft w:val="0"/>
          <w:marRight w:val="0"/>
          <w:marTop w:val="0"/>
          <w:marBottom w:val="0"/>
          <w:divBdr>
            <w:top w:val="none" w:sz="0" w:space="0" w:color="auto"/>
            <w:left w:val="none" w:sz="0" w:space="0" w:color="auto"/>
            <w:bottom w:val="none" w:sz="0" w:space="0" w:color="auto"/>
            <w:right w:val="none" w:sz="0" w:space="0" w:color="auto"/>
          </w:divBdr>
        </w:div>
        <w:div w:id="937107081">
          <w:marLeft w:val="0"/>
          <w:marRight w:val="0"/>
          <w:marTop w:val="0"/>
          <w:marBottom w:val="0"/>
          <w:divBdr>
            <w:top w:val="none" w:sz="0" w:space="0" w:color="auto"/>
            <w:left w:val="none" w:sz="0" w:space="0" w:color="auto"/>
            <w:bottom w:val="none" w:sz="0" w:space="0" w:color="auto"/>
            <w:right w:val="none" w:sz="0" w:space="0" w:color="auto"/>
          </w:divBdr>
        </w:div>
      </w:divsChild>
    </w:div>
    <w:div w:id="163594973">
      <w:bodyDiv w:val="1"/>
      <w:marLeft w:val="0"/>
      <w:marRight w:val="0"/>
      <w:marTop w:val="0"/>
      <w:marBottom w:val="0"/>
      <w:divBdr>
        <w:top w:val="none" w:sz="0" w:space="0" w:color="auto"/>
        <w:left w:val="none" w:sz="0" w:space="0" w:color="auto"/>
        <w:bottom w:val="none" w:sz="0" w:space="0" w:color="auto"/>
        <w:right w:val="none" w:sz="0" w:space="0" w:color="auto"/>
      </w:divBdr>
    </w:div>
    <w:div w:id="164982731">
      <w:bodyDiv w:val="1"/>
      <w:marLeft w:val="0"/>
      <w:marRight w:val="0"/>
      <w:marTop w:val="0"/>
      <w:marBottom w:val="0"/>
      <w:divBdr>
        <w:top w:val="none" w:sz="0" w:space="0" w:color="auto"/>
        <w:left w:val="none" w:sz="0" w:space="0" w:color="auto"/>
        <w:bottom w:val="none" w:sz="0" w:space="0" w:color="auto"/>
        <w:right w:val="none" w:sz="0" w:space="0" w:color="auto"/>
      </w:divBdr>
      <w:divsChild>
        <w:div w:id="1283611576">
          <w:marLeft w:val="0"/>
          <w:marRight w:val="0"/>
          <w:marTop w:val="0"/>
          <w:marBottom w:val="0"/>
          <w:divBdr>
            <w:top w:val="none" w:sz="0" w:space="0" w:color="auto"/>
            <w:left w:val="none" w:sz="0" w:space="0" w:color="auto"/>
            <w:bottom w:val="none" w:sz="0" w:space="0" w:color="auto"/>
            <w:right w:val="none" w:sz="0" w:space="0" w:color="auto"/>
          </w:divBdr>
        </w:div>
        <w:div w:id="1381705548">
          <w:marLeft w:val="0"/>
          <w:marRight w:val="0"/>
          <w:marTop w:val="0"/>
          <w:marBottom w:val="0"/>
          <w:divBdr>
            <w:top w:val="none" w:sz="0" w:space="0" w:color="auto"/>
            <w:left w:val="none" w:sz="0" w:space="0" w:color="auto"/>
            <w:bottom w:val="none" w:sz="0" w:space="0" w:color="auto"/>
            <w:right w:val="none" w:sz="0" w:space="0" w:color="auto"/>
          </w:divBdr>
        </w:div>
        <w:div w:id="355615075">
          <w:marLeft w:val="0"/>
          <w:marRight w:val="0"/>
          <w:marTop w:val="0"/>
          <w:marBottom w:val="0"/>
          <w:divBdr>
            <w:top w:val="none" w:sz="0" w:space="0" w:color="auto"/>
            <w:left w:val="none" w:sz="0" w:space="0" w:color="auto"/>
            <w:bottom w:val="none" w:sz="0" w:space="0" w:color="auto"/>
            <w:right w:val="none" w:sz="0" w:space="0" w:color="auto"/>
          </w:divBdr>
        </w:div>
        <w:div w:id="495536153">
          <w:marLeft w:val="0"/>
          <w:marRight w:val="0"/>
          <w:marTop w:val="0"/>
          <w:marBottom w:val="0"/>
          <w:divBdr>
            <w:top w:val="none" w:sz="0" w:space="0" w:color="auto"/>
            <w:left w:val="none" w:sz="0" w:space="0" w:color="auto"/>
            <w:bottom w:val="none" w:sz="0" w:space="0" w:color="auto"/>
            <w:right w:val="none" w:sz="0" w:space="0" w:color="auto"/>
          </w:divBdr>
        </w:div>
        <w:div w:id="252134136">
          <w:marLeft w:val="0"/>
          <w:marRight w:val="0"/>
          <w:marTop w:val="0"/>
          <w:marBottom w:val="0"/>
          <w:divBdr>
            <w:top w:val="none" w:sz="0" w:space="0" w:color="auto"/>
            <w:left w:val="none" w:sz="0" w:space="0" w:color="auto"/>
            <w:bottom w:val="none" w:sz="0" w:space="0" w:color="auto"/>
            <w:right w:val="none" w:sz="0" w:space="0" w:color="auto"/>
          </w:divBdr>
        </w:div>
        <w:div w:id="1323702576">
          <w:marLeft w:val="0"/>
          <w:marRight w:val="0"/>
          <w:marTop w:val="0"/>
          <w:marBottom w:val="0"/>
          <w:divBdr>
            <w:top w:val="none" w:sz="0" w:space="0" w:color="auto"/>
            <w:left w:val="none" w:sz="0" w:space="0" w:color="auto"/>
            <w:bottom w:val="none" w:sz="0" w:space="0" w:color="auto"/>
            <w:right w:val="none" w:sz="0" w:space="0" w:color="auto"/>
          </w:divBdr>
        </w:div>
        <w:div w:id="1225608355">
          <w:marLeft w:val="0"/>
          <w:marRight w:val="0"/>
          <w:marTop w:val="0"/>
          <w:marBottom w:val="0"/>
          <w:divBdr>
            <w:top w:val="none" w:sz="0" w:space="0" w:color="auto"/>
            <w:left w:val="none" w:sz="0" w:space="0" w:color="auto"/>
            <w:bottom w:val="none" w:sz="0" w:space="0" w:color="auto"/>
            <w:right w:val="none" w:sz="0" w:space="0" w:color="auto"/>
          </w:divBdr>
        </w:div>
        <w:div w:id="905192021">
          <w:marLeft w:val="0"/>
          <w:marRight w:val="0"/>
          <w:marTop w:val="0"/>
          <w:marBottom w:val="0"/>
          <w:divBdr>
            <w:top w:val="none" w:sz="0" w:space="0" w:color="auto"/>
            <w:left w:val="none" w:sz="0" w:space="0" w:color="auto"/>
            <w:bottom w:val="none" w:sz="0" w:space="0" w:color="auto"/>
            <w:right w:val="none" w:sz="0" w:space="0" w:color="auto"/>
          </w:divBdr>
        </w:div>
        <w:div w:id="1009915505">
          <w:marLeft w:val="0"/>
          <w:marRight w:val="0"/>
          <w:marTop w:val="0"/>
          <w:marBottom w:val="0"/>
          <w:divBdr>
            <w:top w:val="none" w:sz="0" w:space="0" w:color="auto"/>
            <w:left w:val="none" w:sz="0" w:space="0" w:color="auto"/>
            <w:bottom w:val="none" w:sz="0" w:space="0" w:color="auto"/>
            <w:right w:val="none" w:sz="0" w:space="0" w:color="auto"/>
          </w:divBdr>
        </w:div>
        <w:div w:id="2030717707">
          <w:marLeft w:val="0"/>
          <w:marRight w:val="0"/>
          <w:marTop w:val="0"/>
          <w:marBottom w:val="0"/>
          <w:divBdr>
            <w:top w:val="none" w:sz="0" w:space="0" w:color="auto"/>
            <w:left w:val="none" w:sz="0" w:space="0" w:color="auto"/>
            <w:bottom w:val="none" w:sz="0" w:space="0" w:color="auto"/>
            <w:right w:val="none" w:sz="0" w:space="0" w:color="auto"/>
          </w:divBdr>
        </w:div>
      </w:divsChild>
    </w:div>
    <w:div w:id="182401897">
      <w:bodyDiv w:val="1"/>
      <w:marLeft w:val="0"/>
      <w:marRight w:val="0"/>
      <w:marTop w:val="0"/>
      <w:marBottom w:val="0"/>
      <w:divBdr>
        <w:top w:val="none" w:sz="0" w:space="0" w:color="auto"/>
        <w:left w:val="none" w:sz="0" w:space="0" w:color="auto"/>
        <w:bottom w:val="none" w:sz="0" w:space="0" w:color="auto"/>
        <w:right w:val="none" w:sz="0" w:space="0" w:color="auto"/>
      </w:divBdr>
    </w:div>
    <w:div w:id="235827484">
      <w:bodyDiv w:val="1"/>
      <w:marLeft w:val="0"/>
      <w:marRight w:val="0"/>
      <w:marTop w:val="0"/>
      <w:marBottom w:val="0"/>
      <w:divBdr>
        <w:top w:val="none" w:sz="0" w:space="0" w:color="auto"/>
        <w:left w:val="none" w:sz="0" w:space="0" w:color="auto"/>
        <w:bottom w:val="none" w:sz="0" w:space="0" w:color="auto"/>
        <w:right w:val="none" w:sz="0" w:space="0" w:color="auto"/>
      </w:divBdr>
    </w:div>
    <w:div w:id="238290424">
      <w:bodyDiv w:val="1"/>
      <w:marLeft w:val="0"/>
      <w:marRight w:val="0"/>
      <w:marTop w:val="0"/>
      <w:marBottom w:val="0"/>
      <w:divBdr>
        <w:top w:val="none" w:sz="0" w:space="0" w:color="auto"/>
        <w:left w:val="none" w:sz="0" w:space="0" w:color="auto"/>
        <w:bottom w:val="none" w:sz="0" w:space="0" w:color="auto"/>
        <w:right w:val="none" w:sz="0" w:space="0" w:color="auto"/>
      </w:divBdr>
    </w:div>
    <w:div w:id="249512796">
      <w:bodyDiv w:val="1"/>
      <w:marLeft w:val="0"/>
      <w:marRight w:val="0"/>
      <w:marTop w:val="0"/>
      <w:marBottom w:val="0"/>
      <w:divBdr>
        <w:top w:val="none" w:sz="0" w:space="0" w:color="auto"/>
        <w:left w:val="none" w:sz="0" w:space="0" w:color="auto"/>
        <w:bottom w:val="none" w:sz="0" w:space="0" w:color="auto"/>
        <w:right w:val="none" w:sz="0" w:space="0" w:color="auto"/>
      </w:divBdr>
      <w:divsChild>
        <w:div w:id="492918875">
          <w:marLeft w:val="0"/>
          <w:marRight w:val="0"/>
          <w:marTop w:val="0"/>
          <w:marBottom w:val="0"/>
          <w:divBdr>
            <w:top w:val="none" w:sz="0" w:space="0" w:color="auto"/>
            <w:left w:val="none" w:sz="0" w:space="0" w:color="auto"/>
            <w:bottom w:val="none" w:sz="0" w:space="0" w:color="auto"/>
            <w:right w:val="none" w:sz="0" w:space="0" w:color="auto"/>
          </w:divBdr>
        </w:div>
        <w:div w:id="941646364">
          <w:marLeft w:val="0"/>
          <w:marRight w:val="0"/>
          <w:marTop w:val="0"/>
          <w:marBottom w:val="0"/>
          <w:divBdr>
            <w:top w:val="none" w:sz="0" w:space="0" w:color="auto"/>
            <w:left w:val="none" w:sz="0" w:space="0" w:color="auto"/>
            <w:bottom w:val="none" w:sz="0" w:space="0" w:color="auto"/>
            <w:right w:val="none" w:sz="0" w:space="0" w:color="auto"/>
          </w:divBdr>
        </w:div>
        <w:div w:id="2072847025">
          <w:marLeft w:val="0"/>
          <w:marRight w:val="0"/>
          <w:marTop w:val="0"/>
          <w:marBottom w:val="0"/>
          <w:divBdr>
            <w:top w:val="none" w:sz="0" w:space="0" w:color="auto"/>
            <w:left w:val="none" w:sz="0" w:space="0" w:color="auto"/>
            <w:bottom w:val="none" w:sz="0" w:space="0" w:color="auto"/>
            <w:right w:val="none" w:sz="0" w:space="0" w:color="auto"/>
          </w:divBdr>
        </w:div>
        <w:div w:id="2014717920">
          <w:marLeft w:val="0"/>
          <w:marRight w:val="0"/>
          <w:marTop w:val="0"/>
          <w:marBottom w:val="0"/>
          <w:divBdr>
            <w:top w:val="none" w:sz="0" w:space="0" w:color="auto"/>
            <w:left w:val="none" w:sz="0" w:space="0" w:color="auto"/>
            <w:bottom w:val="none" w:sz="0" w:space="0" w:color="auto"/>
            <w:right w:val="none" w:sz="0" w:space="0" w:color="auto"/>
          </w:divBdr>
        </w:div>
        <w:div w:id="1600486453">
          <w:marLeft w:val="0"/>
          <w:marRight w:val="0"/>
          <w:marTop w:val="0"/>
          <w:marBottom w:val="0"/>
          <w:divBdr>
            <w:top w:val="none" w:sz="0" w:space="0" w:color="auto"/>
            <w:left w:val="none" w:sz="0" w:space="0" w:color="auto"/>
            <w:bottom w:val="none" w:sz="0" w:space="0" w:color="auto"/>
            <w:right w:val="none" w:sz="0" w:space="0" w:color="auto"/>
          </w:divBdr>
        </w:div>
        <w:div w:id="508831369">
          <w:marLeft w:val="0"/>
          <w:marRight w:val="0"/>
          <w:marTop w:val="0"/>
          <w:marBottom w:val="0"/>
          <w:divBdr>
            <w:top w:val="none" w:sz="0" w:space="0" w:color="auto"/>
            <w:left w:val="none" w:sz="0" w:space="0" w:color="auto"/>
            <w:bottom w:val="none" w:sz="0" w:space="0" w:color="auto"/>
            <w:right w:val="none" w:sz="0" w:space="0" w:color="auto"/>
          </w:divBdr>
        </w:div>
        <w:div w:id="1542012050">
          <w:marLeft w:val="0"/>
          <w:marRight w:val="0"/>
          <w:marTop w:val="0"/>
          <w:marBottom w:val="0"/>
          <w:divBdr>
            <w:top w:val="none" w:sz="0" w:space="0" w:color="auto"/>
            <w:left w:val="none" w:sz="0" w:space="0" w:color="auto"/>
            <w:bottom w:val="none" w:sz="0" w:space="0" w:color="auto"/>
            <w:right w:val="none" w:sz="0" w:space="0" w:color="auto"/>
          </w:divBdr>
        </w:div>
        <w:div w:id="1336037598">
          <w:marLeft w:val="0"/>
          <w:marRight w:val="0"/>
          <w:marTop w:val="0"/>
          <w:marBottom w:val="0"/>
          <w:divBdr>
            <w:top w:val="none" w:sz="0" w:space="0" w:color="auto"/>
            <w:left w:val="none" w:sz="0" w:space="0" w:color="auto"/>
            <w:bottom w:val="none" w:sz="0" w:space="0" w:color="auto"/>
            <w:right w:val="none" w:sz="0" w:space="0" w:color="auto"/>
          </w:divBdr>
        </w:div>
        <w:div w:id="1805150539">
          <w:marLeft w:val="0"/>
          <w:marRight w:val="0"/>
          <w:marTop w:val="0"/>
          <w:marBottom w:val="0"/>
          <w:divBdr>
            <w:top w:val="none" w:sz="0" w:space="0" w:color="auto"/>
            <w:left w:val="none" w:sz="0" w:space="0" w:color="auto"/>
            <w:bottom w:val="none" w:sz="0" w:space="0" w:color="auto"/>
            <w:right w:val="none" w:sz="0" w:space="0" w:color="auto"/>
          </w:divBdr>
        </w:div>
      </w:divsChild>
    </w:div>
    <w:div w:id="253905147">
      <w:bodyDiv w:val="1"/>
      <w:marLeft w:val="0"/>
      <w:marRight w:val="0"/>
      <w:marTop w:val="0"/>
      <w:marBottom w:val="0"/>
      <w:divBdr>
        <w:top w:val="none" w:sz="0" w:space="0" w:color="auto"/>
        <w:left w:val="none" w:sz="0" w:space="0" w:color="auto"/>
        <w:bottom w:val="none" w:sz="0" w:space="0" w:color="auto"/>
        <w:right w:val="none" w:sz="0" w:space="0" w:color="auto"/>
      </w:divBdr>
    </w:div>
    <w:div w:id="274947561">
      <w:bodyDiv w:val="1"/>
      <w:marLeft w:val="0"/>
      <w:marRight w:val="0"/>
      <w:marTop w:val="0"/>
      <w:marBottom w:val="0"/>
      <w:divBdr>
        <w:top w:val="none" w:sz="0" w:space="0" w:color="auto"/>
        <w:left w:val="none" w:sz="0" w:space="0" w:color="auto"/>
        <w:bottom w:val="none" w:sz="0" w:space="0" w:color="auto"/>
        <w:right w:val="none" w:sz="0" w:space="0" w:color="auto"/>
      </w:divBdr>
    </w:div>
    <w:div w:id="282274254">
      <w:bodyDiv w:val="1"/>
      <w:marLeft w:val="0"/>
      <w:marRight w:val="0"/>
      <w:marTop w:val="0"/>
      <w:marBottom w:val="0"/>
      <w:divBdr>
        <w:top w:val="none" w:sz="0" w:space="0" w:color="auto"/>
        <w:left w:val="none" w:sz="0" w:space="0" w:color="auto"/>
        <w:bottom w:val="none" w:sz="0" w:space="0" w:color="auto"/>
        <w:right w:val="none" w:sz="0" w:space="0" w:color="auto"/>
      </w:divBdr>
    </w:div>
    <w:div w:id="291323602">
      <w:bodyDiv w:val="1"/>
      <w:marLeft w:val="0"/>
      <w:marRight w:val="0"/>
      <w:marTop w:val="0"/>
      <w:marBottom w:val="0"/>
      <w:divBdr>
        <w:top w:val="none" w:sz="0" w:space="0" w:color="auto"/>
        <w:left w:val="none" w:sz="0" w:space="0" w:color="auto"/>
        <w:bottom w:val="none" w:sz="0" w:space="0" w:color="auto"/>
        <w:right w:val="none" w:sz="0" w:space="0" w:color="auto"/>
      </w:divBdr>
    </w:div>
    <w:div w:id="320698561">
      <w:bodyDiv w:val="1"/>
      <w:marLeft w:val="0"/>
      <w:marRight w:val="0"/>
      <w:marTop w:val="0"/>
      <w:marBottom w:val="0"/>
      <w:divBdr>
        <w:top w:val="none" w:sz="0" w:space="0" w:color="auto"/>
        <w:left w:val="none" w:sz="0" w:space="0" w:color="auto"/>
        <w:bottom w:val="none" w:sz="0" w:space="0" w:color="auto"/>
        <w:right w:val="none" w:sz="0" w:space="0" w:color="auto"/>
      </w:divBdr>
    </w:div>
    <w:div w:id="325475433">
      <w:bodyDiv w:val="1"/>
      <w:marLeft w:val="0"/>
      <w:marRight w:val="0"/>
      <w:marTop w:val="0"/>
      <w:marBottom w:val="0"/>
      <w:divBdr>
        <w:top w:val="none" w:sz="0" w:space="0" w:color="auto"/>
        <w:left w:val="none" w:sz="0" w:space="0" w:color="auto"/>
        <w:bottom w:val="none" w:sz="0" w:space="0" w:color="auto"/>
        <w:right w:val="none" w:sz="0" w:space="0" w:color="auto"/>
      </w:divBdr>
    </w:div>
    <w:div w:id="358893538">
      <w:bodyDiv w:val="1"/>
      <w:marLeft w:val="0"/>
      <w:marRight w:val="0"/>
      <w:marTop w:val="0"/>
      <w:marBottom w:val="0"/>
      <w:divBdr>
        <w:top w:val="none" w:sz="0" w:space="0" w:color="auto"/>
        <w:left w:val="none" w:sz="0" w:space="0" w:color="auto"/>
        <w:bottom w:val="none" w:sz="0" w:space="0" w:color="auto"/>
        <w:right w:val="none" w:sz="0" w:space="0" w:color="auto"/>
      </w:divBdr>
      <w:divsChild>
        <w:div w:id="1893148147">
          <w:marLeft w:val="0"/>
          <w:marRight w:val="0"/>
          <w:marTop w:val="0"/>
          <w:marBottom w:val="0"/>
          <w:divBdr>
            <w:top w:val="none" w:sz="0" w:space="0" w:color="auto"/>
            <w:left w:val="none" w:sz="0" w:space="0" w:color="auto"/>
            <w:bottom w:val="none" w:sz="0" w:space="0" w:color="auto"/>
            <w:right w:val="none" w:sz="0" w:space="0" w:color="auto"/>
          </w:divBdr>
        </w:div>
        <w:div w:id="1699814670">
          <w:marLeft w:val="0"/>
          <w:marRight w:val="0"/>
          <w:marTop w:val="0"/>
          <w:marBottom w:val="0"/>
          <w:divBdr>
            <w:top w:val="none" w:sz="0" w:space="0" w:color="auto"/>
            <w:left w:val="none" w:sz="0" w:space="0" w:color="auto"/>
            <w:bottom w:val="none" w:sz="0" w:space="0" w:color="auto"/>
            <w:right w:val="none" w:sz="0" w:space="0" w:color="auto"/>
          </w:divBdr>
        </w:div>
        <w:div w:id="1039744072">
          <w:marLeft w:val="0"/>
          <w:marRight w:val="0"/>
          <w:marTop w:val="0"/>
          <w:marBottom w:val="0"/>
          <w:divBdr>
            <w:top w:val="none" w:sz="0" w:space="0" w:color="auto"/>
            <w:left w:val="none" w:sz="0" w:space="0" w:color="auto"/>
            <w:bottom w:val="none" w:sz="0" w:space="0" w:color="auto"/>
            <w:right w:val="none" w:sz="0" w:space="0" w:color="auto"/>
          </w:divBdr>
        </w:div>
        <w:div w:id="800074158">
          <w:marLeft w:val="0"/>
          <w:marRight w:val="0"/>
          <w:marTop w:val="0"/>
          <w:marBottom w:val="0"/>
          <w:divBdr>
            <w:top w:val="none" w:sz="0" w:space="0" w:color="auto"/>
            <w:left w:val="none" w:sz="0" w:space="0" w:color="auto"/>
            <w:bottom w:val="none" w:sz="0" w:space="0" w:color="auto"/>
            <w:right w:val="none" w:sz="0" w:space="0" w:color="auto"/>
          </w:divBdr>
        </w:div>
        <w:div w:id="341903656">
          <w:marLeft w:val="0"/>
          <w:marRight w:val="0"/>
          <w:marTop w:val="0"/>
          <w:marBottom w:val="0"/>
          <w:divBdr>
            <w:top w:val="none" w:sz="0" w:space="0" w:color="auto"/>
            <w:left w:val="none" w:sz="0" w:space="0" w:color="auto"/>
            <w:bottom w:val="none" w:sz="0" w:space="0" w:color="auto"/>
            <w:right w:val="none" w:sz="0" w:space="0" w:color="auto"/>
          </w:divBdr>
        </w:div>
        <w:div w:id="1264656330">
          <w:marLeft w:val="0"/>
          <w:marRight w:val="0"/>
          <w:marTop w:val="0"/>
          <w:marBottom w:val="0"/>
          <w:divBdr>
            <w:top w:val="none" w:sz="0" w:space="0" w:color="auto"/>
            <w:left w:val="none" w:sz="0" w:space="0" w:color="auto"/>
            <w:bottom w:val="none" w:sz="0" w:space="0" w:color="auto"/>
            <w:right w:val="none" w:sz="0" w:space="0" w:color="auto"/>
          </w:divBdr>
        </w:div>
      </w:divsChild>
    </w:div>
    <w:div w:id="412357200">
      <w:bodyDiv w:val="1"/>
      <w:marLeft w:val="0"/>
      <w:marRight w:val="0"/>
      <w:marTop w:val="0"/>
      <w:marBottom w:val="0"/>
      <w:divBdr>
        <w:top w:val="none" w:sz="0" w:space="0" w:color="auto"/>
        <w:left w:val="none" w:sz="0" w:space="0" w:color="auto"/>
        <w:bottom w:val="none" w:sz="0" w:space="0" w:color="auto"/>
        <w:right w:val="none" w:sz="0" w:space="0" w:color="auto"/>
      </w:divBdr>
    </w:div>
    <w:div w:id="505171505">
      <w:bodyDiv w:val="1"/>
      <w:marLeft w:val="0"/>
      <w:marRight w:val="0"/>
      <w:marTop w:val="0"/>
      <w:marBottom w:val="0"/>
      <w:divBdr>
        <w:top w:val="none" w:sz="0" w:space="0" w:color="auto"/>
        <w:left w:val="none" w:sz="0" w:space="0" w:color="auto"/>
        <w:bottom w:val="none" w:sz="0" w:space="0" w:color="auto"/>
        <w:right w:val="none" w:sz="0" w:space="0" w:color="auto"/>
      </w:divBdr>
    </w:div>
    <w:div w:id="522473280">
      <w:bodyDiv w:val="1"/>
      <w:marLeft w:val="0"/>
      <w:marRight w:val="0"/>
      <w:marTop w:val="0"/>
      <w:marBottom w:val="0"/>
      <w:divBdr>
        <w:top w:val="none" w:sz="0" w:space="0" w:color="auto"/>
        <w:left w:val="none" w:sz="0" w:space="0" w:color="auto"/>
        <w:bottom w:val="none" w:sz="0" w:space="0" w:color="auto"/>
        <w:right w:val="none" w:sz="0" w:space="0" w:color="auto"/>
      </w:divBdr>
    </w:div>
    <w:div w:id="530998053">
      <w:bodyDiv w:val="1"/>
      <w:marLeft w:val="0"/>
      <w:marRight w:val="0"/>
      <w:marTop w:val="0"/>
      <w:marBottom w:val="0"/>
      <w:divBdr>
        <w:top w:val="none" w:sz="0" w:space="0" w:color="auto"/>
        <w:left w:val="none" w:sz="0" w:space="0" w:color="auto"/>
        <w:bottom w:val="none" w:sz="0" w:space="0" w:color="auto"/>
        <w:right w:val="none" w:sz="0" w:space="0" w:color="auto"/>
      </w:divBdr>
    </w:div>
    <w:div w:id="546376617">
      <w:bodyDiv w:val="1"/>
      <w:marLeft w:val="0"/>
      <w:marRight w:val="0"/>
      <w:marTop w:val="0"/>
      <w:marBottom w:val="0"/>
      <w:divBdr>
        <w:top w:val="none" w:sz="0" w:space="0" w:color="auto"/>
        <w:left w:val="none" w:sz="0" w:space="0" w:color="auto"/>
        <w:bottom w:val="none" w:sz="0" w:space="0" w:color="auto"/>
        <w:right w:val="none" w:sz="0" w:space="0" w:color="auto"/>
      </w:divBdr>
    </w:div>
    <w:div w:id="564948877">
      <w:bodyDiv w:val="1"/>
      <w:marLeft w:val="0"/>
      <w:marRight w:val="0"/>
      <w:marTop w:val="0"/>
      <w:marBottom w:val="0"/>
      <w:divBdr>
        <w:top w:val="none" w:sz="0" w:space="0" w:color="auto"/>
        <w:left w:val="none" w:sz="0" w:space="0" w:color="auto"/>
        <w:bottom w:val="none" w:sz="0" w:space="0" w:color="auto"/>
        <w:right w:val="none" w:sz="0" w:space="0" w:color="auto"/>
      </w:divBdr>
    </w:div>
    <w:div w:id="591009472">
      <w:bodyDiv w:val="1"/>
      <w:marLeft w:val="0"/>
      <w:marRight w:val="0"/>
      <w:marTop w:val="0"/>
      <w:marBottom w:val="0"/>
      <w:divBdr>
        <w:top w:val="none" w:sz="0" w:space="0" w:color="auto"/>
        <w:left w:val="none" w:sz="0" w:space="0" w:color="auto"/>
        <w:bottom w:val="none" w:sz="0" w:space="0" w:color="auto"/>
        <w:right w:val="none" w:sz="0" w:space="0" w:color="auto"/>
      </w:divBdr>
    </w:div>
    <w:div w:id="601912139">
      <w:bodyDiv w:val="1"/>
      <w:marLeft w:val="0"/>
      <w:marRight w:val="0"/>
      <w:marTop w:val="0"/>
      <w:marBottom w:val="0"/>
      <w:divBdr>
        <w:top w:val="none" w:sz="0" w:space="0" w:color="auto"/>
        <w:left w:val="none" w:sz="0" w:space="0" w:color="auto"/>
        <w:bottom w:val="none" w:sz="0" w:space="0" w:color="auto"/>
        <w:right w:val="none" w:sz="0" w:space="0" w:color="auto"/>
      </w:divBdr>
    </w:div>
    <w:div w:id="609318055">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39311936">
      <w:bodyDiv w:val="1"/>
      <w:marLeft w:val="0"/>
      <w:marRight w:val="0"/>
      <w:marTop w:val="0"/>
      <w:marBottom w:val="0"/>
      <w:divBdr>
        <w:top w:val="none" w:sz="0" w:space="0" w:color="auto"/>
        <w:left w:val="none" w:sz="0" w:space="0" w:color="auto"/>
        <w:bottom w:val="none" w:sz="0" w:space="0" w:color="auto"/>
        <w:right w:val="none" w:sz="0" w:space="0" w:color="auto"/>
      </w:divBdr>
    </w:div>
    <w:div w:id="641152263">
      <w:bodyDiv w:val="1"/>
      <w:marLeft w:val="0"/>
      <w:marRight w:val="0"/>
      <w:marTop w:val="0"/>
      <w:marBottom w:val="0"/>
      <w:divBdr>
        <w:top w:val="none" w:sz="0" w:space="0" w:color="auto"/>
        <w:left w:val="none" w:sz="0" w:space="0" w:color="auto"/>
        <w:bottom w:val="none" w:sz="0" w:space="0" w:color="auto"/>
        <w:right w:val="none" w:sz="0" w:space="0" w:color="auto"/>
      </w:divBdr>
    </w:div>
    <w:div w:id="650600694">
      <w:bodyDiv w:val="1"/>
      <w:marLeft w:val="0"/>
      <w:marRight w:val="0"/>
      <w:marTop w:val="0"/>
      <w:marBottom w:val="0"/>
      <w:divBdr>
        <w:top w:val="none" w:sz="0" w:space="0" w:color="auto"/>
        <w:left w:val="none" w:sz="0" w:space="0" w:color="auto"/>
        <w:bottom w:val="none" w:sz="0" w:space="0" w:color="auto"/>
        <w:right w:val="none" w:sz="0" w:space="0" w:color="auto"/>
      </w:divBdr>
    </w:div>
    <w:div w:id="654842727">
      <w:bodyDiv w:val="1"/>
      <w:marLeft w:val="0"/>
      <w:marRight w:val="0"/>
      <w:marTop w:val="0"/>
      <w:marBottom w:val="0"/>
      <w:divBdr>
        <w:top w:val="none" w:sz="0" w:space="0" w:color="auto"/>
        <w:left w:val="none" w:sz="0" w:space="0" w:color="auto"/>
        <w:bottom w:val="none" w:sz="0" w:space="0" w:color="auto"/>
        <w:right w:val="none" w:sz="0" w:space="0" w:color="auto"/>
      </w:divBdr>
    </w:div>
    <w:div w:id="681200122">
      <w:bodyDiv w:val="1"/>
      <w:marLeft w:val="0"/>
      <w:marRight w:val="0"/>
      <w:marTop w:val="0"/>
      <w:marBottom w:val="0"/>
      <w:divBdr>
        <w:top w:val="none" w:sz="0" w:space="0" w:color="auto"/>
        <w:left w:val="none" w:sz="0" w:space="0" w:color="auto"/>
        <w:bottom w:val="none" w:sz="0" w:space="0" w:color="auto"/>
        <w:right w:val="none" w:sz="0" w:space="0" w:color="auto"/>
      </w:divBdr>
      <w:divsChild>
        <w:div w:id="896281828">
          <w:marLeft w:val="0"/>
          <w:marRight w:val="0"/>
          <w:marTop w:val="0"/>
          <w:marBottom w:val="0"/>
          <w:divBdr>
            <w:top w:val="none" w:sz="0" w:space="0" w:color="auto"/>
            <w:left w:val="none" w:sz="0" w:space="0" w:color="auto"/>
            <w:bottom w:val="none" w:sz="0" w:space="0" w:color="auto"/>
            <w:right w:val="none" w:sz="0" w:space="0" w:color="auto"/>
          </w:divBdr>
        </w:div>
        <w:div w:id="770051608">
          <w:marLeft w:val="0"/>
          <w:marRight w:val="0"/>
          <w:marTop w:val="0"/>
          <w:marBottom w:val="0"/>
          <w:divBdr>
            <w:top w:val="none" w:sz="0" w:space="0" w:color="auto"/>
            <w:left w:val="none" w:sz="0" w:space="0" w:color="auto"/>
            <w:bottom w:val="none" w:sz="0" w:space="0" w:color="auto"/>
            <w:right w:val="none" w:sz="0" w:space="0" w:color="auto"/>
          </w:divBdr>
        </w:div>
        <w:div w:id="1094282088">
          <w:marLeft w:val="0"/>
          <w:marRight w:val="0"/>
          <w:marTop w:val="0"/>
          <w:marBottom w:val="0"/>
          <w:divBdr>
            <w:top w:val="none" w:sz="0" w:space="0" w:color="auto"/>
            <w:left w:val="none" w:sz="0" w:space="0" w:color="auto"/>
            <w:bottom w:val="none" w:sz="0" w:space="0" w:color="auto"/>
            <w:right w:val="none" w:sz="0" w:space="0" w:color="auto"/>
          </w:divBdr>
        </w:div>
        <w:div w:id="434062451">
          <w:marLeft w:val="0"/>
          <w:marRight w:val="0"/>
          <w:marTop w:val="0"/>
          <w:marBottom w:val="0"/>
          <w:divBdr>
            <w:top w:val="none" w:sz="0" w:space="0" w:color="auto"/>
            <w:left w:val="none" w:sz="0" w:space="0" w:color="auto"/>
            <w:bottom w:val="none" w:sz="0" w:space="0" w:color="auto"/>
            <w:right w:val="none" w:sz="0" w:space="0" w:color="auto"/>
          </w:divBdr>
        </w:div>
        <w:div w:id="2131627931">
          <w:marLeft w:val="0"/>
          <w:marRight w:val="0"/>
          <w:marTop w:val="0"/>
          <w:marBottom w:val="0"/>
          <w:divBdr>
            <w:top w:val="none" w:sz="0" w:space="0" w:color="auto"/>
            <w:left w:val="none" w:sz="0" w:space="0" w:color="auto"/>
            <w:bottom w:val="none" w:sz="0" w:space="0" w:color="auto"/>
            <w:right w:val="none" w:sz="0" w:space="0" w:color="auto"/>
          </w:divBdr>
        </w:div>
        <w:div w:id="1276449941">
          <w:marLeft w:val="0"/>
          <w:marRight w:val="0"/>
          <w:marTop w:val="0"/>
          <w:marBottom w:val="0"/>
          <w:divBdr>
            <w:top w:val="none" w:sz="0" w:space="0" w:color="auto"/>
            <w:left w:val="none" w:sz="0" w:space="0" w:color="auto"/>
            <w:bottom w:val="none" w:sz="0" w:space="0" w:color="auto"/>
            <w:right w:val="none" w:sz="0" w:space="0" w:color="auto"/>
          </w:divBdr>
        </w:div>
      </w:divsChild>
    </w:div>
    <w:div w:id="694187350">
      <w:bodyDiv w:val="1"/>
      <w:marLeft w:val="0"/>
      <w:marRight w:val="0"/>
      <w:marTop w:val="0"/>
      <w:marBottom w:val="0"/>
      <w:divBdr>
        <w:top w:val="none" w:sz="0" w:space="0" w:color="auto"/>
        <w:left w:val="none" w:sz="0" w:space="0" w:color="auto"/>
        <w:bottom w:val="none" w:sz="0" w:space="0" w:color="auto"/>
        <w:right w:val="none" w:sz="0" w:space="0" w:color="auto"/>
      </w:divBdr>
    </w:div>
    <w:div w:id="694968693">
      <w:bodyDiv w:val="1"/>
      <w:marLeft w:val="0"/>
      <w:marRight w:val="0"/>
      <w:marTop w:val="0"/>
      <w:marBottom w:val="0"/>
      <w:divBdr>
        <w:top w:val="none" w:sz="0" w:space="0" w:color="auto"/>
        <w:left w:val="none" w:sz="0" w:space="0" w:color="auto"/>
        <w:bottom w:val="none" w:sz="0" w:space="0" w:color="auto"/>
        <w:right w:val="none" w:sz="0" w:space="0" w:color="auto"/>
      </w:divBdr>
    </w:div>
    <w:div w:id="701830706">
      <w:bodyDiv w:val="1"/>
      <w:marLeft w:val="0"/>
      <w:marRight w:val="0"/>
      <w:marTop w:val="0"/>
      <w:marBottom w:val="0"/>
      <w:divBdr>
        <w:top w:val="none" w:sz="0" w:space="0" w:color="auto"/>
        <w:left w:val="none" w:sz="0" w:space="0" w:color="auto"/>
        <w:bottom w:val="none" w:sz="0" w:space="0" w:color="auto"/>
        <w:right w:val="none" w:sz="0" w:space="0" w:color="auto"/>
      </w:divBdr>
    </w:div>
    <w:div w:id="714306143">
      <w:bodyDiv w:val="1"/>
      <w:marLeft w:val="0"/>
      <w:marRight w:val="0"/>
      <w:marTop w:val="0"/>
      <w:marBottom w:val="0"/>
      <w:divBdr>
        <w:top w:val="none" w:sz="0" w:space="0" w:color="auto"/>
        <w:left w:val="none" w:sz="0" w:space="0" w:color="auto"/>
        <w:bottom w:val="none" w:sz="0" w:space="0" w:color="auto"/>
        <w:right w:val="none" w:sz="0" w:space="0" w:color="auto"/>
      </w:divBdr>
    </w:div>
    <w:div w:id="751199696">
      <w:bodyDiv w:val="1"/>
      <w:marLeft w:val="0"/>
      <w:marRight w:val="0"/>
      <w:marTop w:val="0"/>
      <w:marBottom w:val="0"/>
      <w:divBdr>
        <w:top w:val="none" w:sz="0" w:space="0" w:color="auto"/>
        <w:left w:val="none" w:sz="0" w:space="0" w:color="auto"/>
        <w:bottom w:val="none" w:sz="0" w:space="0" w:color="auto"/>
        <w:right w:val="none" w:sz="0" w:space="0" w:color="auto"/>
      </w:divBdr>
    </w:div>
    <w:div w:id="784736160">
      <w:bodyDiv w:val="1"/>
      <w:marLeft w:val="0"/>
      <w:marRight w:val="0"/>
      <w:marTop w:val="0"/>
      <w:marBottom w:val="0"/>
      <w:divBdr>
        <w:top w:val="none" w:sz="0" w:space="0" w:color="auto"/>
        <w:left w:val="none" w:sz="0" w:space="0" w:color="auto"/>
        <w:bottom w:val="none" w:sz="0" w:space="0" w:color="auto"/>
        <w:right w:val="none" w:sz="0" w:space="0" w:color="auto"/>
      </w:divBdr>
      <w:divsChild>
        <w:div w:id="1217088996">
          <w:marLeft w:val="0"/>
          <w:marRight w:val="0"/>
          <w:marTop w:val="0"/>
          <w:marBottom w:val="0"/>
          <w:divBdr>
            <w:top w:val="none" w:sz="0" w:space="0" w:color="auto"/>
            <w:left w:val="none" w:sz="0" w:space="0" w:color="auto"/>
            <w:bottom w:val="none" w:sz="0" w:space="0" w:color="auto"/>
            <w:right w:val="none" w:sz="0" w:space="0" w:color="auto"/>
          </w:divBdr>
        </w:div>
        <w:div w:id="1141270635">
          <w:marLeft w:val="0"/>
          <w:marRight w:val="0"/>
          <w:marTop w:val="0"/>
          <w:marBottom w:val="0"/>
          <w:divBdr>
            <w:top w:val="none" w:sz="0" w:space="0" w:color="auto"/>
            <w:left w:val="none" w:sz="0" w:space="0" w:color="auto"/>
            <w:bottom w:val="none" w:sz="0" w:space="0" w:color="auto"/>
            <w:right w:val="none" w:sz="0" w:space="0" w:color="auto"/>
          </w:divBdr>
        </w:div>
        <w:div w:id="177353435">
          <w:marLeft w:val="0"/>
          <w:marRight w:val="0"/>
          <w:marTop w:val="0"/>
          <w:marBottom w:val="0"/>
          <w:divBdr>
            <w:top w:val="none" w:sz="0" w:space="0" w:color="auto"/>
            <w:left w:val="none" w:sz="0" w:space="0" w:color="auto"/>
            <w:bottom w:val="none" w:sz="0" w:space="0" w:color="auto"/>
            <w:right w:val="none" w:sz="0" w:space="0" w:color="auto"/>
          </w:divBdr>
        </w:div>
        <w:div w:id="311299922">
          <w:marLeft w:val="0"/>
          <w:marRight w:val="0"/>
          <w:marTop w:val="0"/>
          <w:marBottom w:val="0"/>
          <w:divBdr>
            <w:top w:val="none" w:sz="0" w:space="0" w:color="auto"/>
            <w:left w:val="none" w:sz="0" w:space="0" w:color="auto"/>
            <w:bottom w:val="none" w:sz="0" w:space="0" w:color="auto"/>
            <w:right w:val="none" w:sz="0" w:space="0" w:color="auto"/>
          </w:divBdr>
        </w:div>
        <w:div w:id="1319576668">
          <w:marLeft w:val="0"/>
          <w:marRight w:val="0"/>
          <w:marTop w:val="0"/>
          <w:marBottom w:val="0"/>
          <w:divBdr>
            <w:top w:val="none" w:sz="0" w:space="0" w:color="auto"/>
            <w:left w:val="none" w:sz="0" w:space="0" w:color="auto"/>
            <w:bottom w:val="none" w:sz="0" w:space="0" w:color="auto"/>
            <w:right w:val="none" w:sz="0" w:space="0" w:color="auto"/>
          </w:divBdr>
        </w:div>
        <w:div w:id="2034266191">
          <w:marLeft w:val="0"/>
          <w:marRight w:val="0"/>
          <w:marTop w:val="0"/>
          <w:marBottom w:val="0"/>
          <w:divBdr>
            <w:top w:val="none" w:sz="0" w:space="0" w:color="auto"/>
            <w:left w:val="none" w:sz="0" w:space="0" w:color="auto"/>
            <w:bottom w:val="none" w:sz="0" w:space="0" w:color="auto"/>
            <w:right w:val="none" w:sz="0" w:space="0" w:color="auto"/>
          </w:divBdr>
        </w:div>
        <w:div w:id="875193466">
          <w:marLeft w:val="0"/>
          <w:marRight w:val="0"/>
          <w:marTop w:val="0"/>
          <w:marBottom w:val="0"/>
          <w:divBdr>
            <w:top w:val="none" w:sz="0" w:space="0" w:color="auto"/>
            <w:left w:val="none" w:sz="0" w:space="0" w:color="auto"/>
            <w:bottom w:val="none" w:sz="0" w:space="0" w:color="auto"/>
            <w:right w:val="none" w:sz="0" w:space="0" w:color="auto"/>
          </w:divBdr>
        </w:div>
        <w:div w:id="1150250981">
          <w:marLeft w:val="0"/>
          <w:marRight w:val="0"/>
          <w:marTop w:val="0"/>
          <w:marBottom w:val="0"/>
          <w:divBdr>
            <w:top w:val="none" w:sz="0" w:space="0" w:color="auto"/>
            <w:left w:val="none" w:sz="0" w:space="0" w:color="auto"/>
            <w:bottom w:val="none" w:sz="0" w:space="0" w:color="auto"/>
            <w:right w:val="none" w:sz="0" w:space="0" w:color="auto"/>
          </w:divBdr>
        </w:div>
        <w:div w:id="1535844102">
          <w:marLeft w:val="0"/>
          <w:marRight w:val="0"/>
          <w:marTop w:val="0"/>
          <w:marBottom w:val="0"/>
          <w:divBdr>
            <w:top w:val="none" w:sz="0" w:space="0" w:color="auto"/>
            <w:left w:val="none" w:sz="0" w:space="0" w:color="auto"/>
            <w:bottom w:val="none" w:sz="0" w:space="0" w:color="auto"/>
            <w:right w:val="none" w:sz="0" w:space="0" w:color="auto"/>
          </w:divBdr>
        </w:div>
      </w:divsChild>
    </w:div>
    <w:div w:id="823424676">
      <w:bodyDiv w:val="1"/>
      <w:marLeft w:val="0"/>
      <w:marRight w:val="0"/>
      <w:marTop w:val="0"/>
      <w:marBottom w:val="0"/>
      <w:divBdr>
        <w:top w:val="none" w:sz="0" w:space="0" w:color="auto"/>
        <w:left w:val="none" w:sz="0" w:space="0" w:color="auto"/>
        <w:bottom w:val="none" w:sz="0" w:space="0" w:color="auto"/>
        <w:right w:val="none" w:sz="0" w:space="0" w:color="auto"/>
      </w:divBdr>
    </w:div>
    <w:div w:id="856699746">
      <w:bodyDiv w:val="1"/>
      <w:marLeft w:val="0"/>
      <w:marRight w:val="0"/>
      <w:marTop w:val="0"/>
      <w:marBottom w:val="0"/>
      <w:divBdr>
        <w:top w:val="none" w:sz="0" w:space="0" w:color="auto"/>
        <w:left w:val="none" w:sz="0" w:space="0" w:color="auto"/>
        <w:bottom w:val="none" w:sz="0" w:space="0" w:color="auto"/>
        <w:right w:val="none" w:sz="0" w:space="0" w:color="auto"/>
      </w:divBdr>
    </w:div>
    <w:div w:id="867521533">
      <w:bodyDiv w:val="1"/>
      <w:marLeft w:val="0"/>
      <w:marRight w:val="0"/>
      <w:marTop w:val="0"/>
      <w:marBottom w:val="0"/>
      <w:divBdr>
        <w:top w:val="none" w:sz="0" w:space="0" w:color="auto"/>
        <w:left w:val="none" w:sz="0" w:space="0" w:color="auto"/>
        <w:bottom w:val="none" w:sz="0" w:space="0" w:color="auto"/>
        <w:right w:val="none" w:sz="0" w:space="0" w:color="auto"/>
      </w:divBdr>
    </w:div>
    <w:div w:id="874929250">
      <w:bodyDiv w:val="1"/>
      <w:marLeft w:val="0"/>
      <w:marRight w:val="0"/>
      <w:marTop w:val="0"/>
      <w:marBottom w:val="0"/>
      <w:divBdr>
        <w:top w:val="none" w:sz="0" w:space="0" w:color="auto"/>
        <w:left w:val="none" w:sz="0" w:space="0" w:color="auto"/>
        <w:bottom w:val="none" w:sz="0" w:space="0" w:color="auto"/>
        <w:right w:val="none" w:sz="0" w:space="0" w:color="auto"/>
      </w:divBdr>
    </w:div>
    <w:div w:id="905336027">
      <w:bodyDiv w:val="1"/>
      <w:marLeft w:val="0"/>
      <w:marRight w:val="0"/>
      <w:marTop w:val="0"/>
      <w:marBottom w:val="0"/>
      <w:divBdr>
        <w:top w:val="none" w:sz="0" w:space="0" w:color="auto"/>
        <w:left w:val="none" w:sz="0" w:space="0" w:color="auto"/>
        <w:bottom w:val="none" w:sz="0" w:space="0" w:color="auto"/>
        <w:right w:val="none" w:sz="0" w:space="0" w:color="auto"/>
      </w:divBdr>
    </w:div>
    <w:div w:id="931820376">
      <w:bodyDiv w:val="1"/>
      <w:marLeft w:val="0"/>
      <w:marRight w:val="0"/>
      <w:marTop w:val="0"/>
      <w:marBottom w:val="0"/>
      <w:divBdr>
        <w:top w:val="none" w:sz="0" w:space="0" w:color="auto"/>
        <w:left w:val="none" w:sz="0" w:space="0" w:color="auto"/>
        <w:bottom w:val="none" w:sz="0" w:space="0" w:color="auto"/>
        <w:right w:val="none" w:sz="0" w:space="0" w:color="auto"/>
      </w:divBdr>
    </w:div>
    <w:div w:id="977343537">
      <w:bodyDiv w:val="1"/>
      <w:marLeft w:val="0"/>
      <w:marRight w:val="0"/>
      <w:marTop w:val="0"/>
      <w:marBottom w:val="0"/>
      <w:divBdr>
        <w:top w:val="none" w:sz="0" w:space="0" w:color="auto"/>
        <w:left w:val="none" w:sz="0" w:space="0" w:color="auto"/>
        <w:bottom w:val="none" w:sz="0" w:space="0" w:color="auto"/>
        <w:right w:val="none" w:sz="0" w:space="0" w:color="auto"/>
      </w:divBdr>
    </w:div>
    <w:div w:id="1030060612">
      <w:bodyDiv w:val="1"/>
      <w:marLeft w:val="0"/>
      <w:marRight w:val="0"/>
      <w:marTop w:val="0"/>
      <w:marBottom w:val="0"/>
      <w:divBdr>
        <w:top w:val="none" w:sz="0" w:space="0" w:color="auto"/>
        <w:left w:val="none" w:sz="0" w:space="0" w:color="auto"/>
        <w:bottom w:val="none" w:sz="0" w:space="0" w:color="auto"/>
        <w:right w:val="none" w:sz="0" w:space="0" w:color="auto"/>
      </w:divBdr>
    </w:div>
    <w:div w:id="1076703611">
      <w:bodyDiv w:val="1"/>
      <w:marLeft w:val="0"/>
      <w:marRight w:val="0"/>
      <w:marTop w:val="0"/>
      <w:marBottom w:val="0"/>
      <w:divBdr>
        <w:top w:val="none" w:sz="0" w:space="0" w:color="auto"/>
        <w:left w:val="none" w:sz="0" w:space="0" w:color="auto"/>
        <w:bottom w:val="none" w:sz="0" w:space="0" w:color="auto"/>
        <w:right w:val="none" w:sz="0" w:space="0" w:color="auto"/>
      </w:divBdr>
    </w:div>
    <w:div w:id="1114786627">
      <w:bodyDiv w:val="1"/>
      <w:marLeft w:val="0"/>
      <w:marRight w:val="0"/>
      <w:marTop w:val="0"/>
      <w:marBottom w:val="0"/>
      <w:divBdr>
        <w:top w:val="none" w:sz="0" w:space="0" w:color="auto"/>
        <w:left w:val="none" w:sz="0" w:space="0" w:color="auto"/>
        <w:bottom w:val="none" w:sz="0" w:space="0" w:color="auto"/>
        <w:right w:val="none" w:sz="0" w:space="0" w:color="auto"/>
      </w:divBdr>
    </w:div>
    <w:div w:id="1169371637">
      <w:bodyDiv w:val="1"/>
      <w:marLeft w:val="0"/>
      <w:marRight w:val="0"/>
      <w:marTop w:val="0"/>
      <w:marBottom w:val="0"/>
      <w:divBdr>
        <w:top w:val="none" w:sz="0" w:space="0" w:color="auto"/>
        <w:left w:val="none" w:sz="0" w:space="0" w:color="auto"/>
        <w:bottom w:val="none" w:sz="0" w:space="0" w:color="auto"/>
        <w:right w:val="none" w:sz="0" w:space="0" w:color="auto"/>
      </w:divBdr>
    </w:div>
    <w:div w:id="1187866184">
      <w:bodyDiv w:val="1"/>
      <w:marLeft w:val="0"/>
      <w:marRight w:val="0"/>
      <w:marTop w:val="0"/>
      <w:marBottom w:val="0"/>
      <w:divBdr>
        <w:top w:val="none" w:sz="0" w:space="0" w:color="auto"/>
        <w:left w:val="none" w:sz="0" w:space="0" w:color="auto"/>
        <w:bottom w:val="none" w:sz="0" w:space="0" w:color="auto"/>
        <w:right w:val="none" w:sz="0" w:space="0" w:color="auto"/>
      </w:divBdr>
    </w:div>
    <w:div w:id="1192105886">
      <w:bodyDiv w:val="1"/>
      <w:marLeft w:val="0"/>
      <w:marRight w:val="0"/>
      <w:marTop w:val="0"/>
      <w:marBottom w:val="0"/>
      <w:divBdr>
        <w:top w:val="none" w:sz="0" w:space="0" w:color="auto"/>
        <w:left w:val="none" w:sz="0" w:space="0" w:color="auto"/>
        <w:bottom w:val="none" w:sz="0" w:space="0" w:color="auto"/>
        <w:right w:val="none" w:sz="0" w:space="0" w:color="auto"/>
      </w:divBdr>
      <w:divsChild>
        <w:div w:id="862861938">
          <w:marLeft w:val="0"/>
          <w:marRight w:val="0"/>
          <w:marTop w:val="0"/>
          <w:marBottom w:val="0"/>
          <w:divBdr>
            <w:top w:val="none" w:sz="0" w:space="0" w:color="auto"/>
            <w:left w:val="none" w:sz="0" w:space="0" w:color="auto"/>
            <w:bottom w:val="none" w:sz="0" w:space="0" w:color="auto"/>
            <w:right w:val="none" w:sz="0" w:space="0" w:color="auto"/>
          </w:divBdr>
        </w:div>
        <w:div w:id="967860088">
          <w:marLeft w:val="0"/>
          <w:marRight w:val="0"/>
          <w:marTop w:val="0"/>
          <w:marBottom w:val="0"/>
          <w:divBdr>
            <w:top w:val="none" w:sz="0" w:space="0" w:color="auto"/>
            <w:left w:val="none" w:sz="0" w:space="0" w:color="auto"/>
            <w:bottom w:val="none" w:sz="0" w:space="0" w:color="auto"/>
            <w:right w:val="none" w:sz="0" w:space="0" w:color="auto"/>
          </w:divBdr>
        </w:div>
        <w:div w:id="535234998">
          <w:marLeft w:val="0"/>
          <w:marRight w:val="0"/>
          <w:marTop w:val="0"/>
          <w:marBottom w:val="0"/>
          <w:divBdr>
            <w:top w:val="none" w:sz="0" w:space="0" w:color="auto"/>
            <w:left w:val="none" w:sz="0" w:space="0" w:color="auto"/>
            <w:bottom w:val="none" w:sz="0" w:space="0" w:color="auto"/>
            <w:right w:val="none" w:sz="0" w:space="0" w:color="auto"/>
          </w:divBdr>
        </w:div>
        <w:div w:id="688678544">
          <w:marLeft w:val="0"/>
          <w:marRight w:val="0"/>
          <w:marTop w:val="0"/>
          <w:marBottom w:val="0"/>
          <w:divBdr>
            <w:top w:val="none" w:sz="0" w:space="0" w:color="auto"/>
            <w:left w:val="none" w:sz="0" w:space="0" w:color="auto"/>
            <w:bottom w:val="none" w:sz="0" w:space="0" w:color="auto"/>
            <w:right w:val="none" w:sz="0" w:space="0" w:color="auto"/>
          </w:divBdr>
        </w:div>
      </w:divsChild>
    </w:div>
    <w:div w:id="1197040631">
      <w:bodyDiv w:val="1"/>
      <w:marLeft w:val="0"/>
      <w:marRight w:val="0"/>
      <w:marTop w:val="0"/>
      <w:marBottom w:val="0"/>
      <w:divBdr>
        <w:top w:val="none" w:sz="0" w:space="0" w:color="auto"/>
        <w:left w:val="none" w:sz="0" w:space="0" w:color="auto"/>
        <w:bottom w:val="none" w:sz="0" w:space="0" w:color="auto"/>
        <w:right w:val="none" w:sz="0" w:space="0" w:color="auto"/>
      </w:divBdr>
    </w:div>
    <w:div w:id="1239827695">
      <w:bodyDiv w:val="1"/>
      <w:marLeft w:val="0"/>
      <w:marRight w:val="0"/>
      <w:marTop w:val="0"/>
      <w:marBottom w:val="0"/>
      <w:divBdr>
        <w:top w:val="none" w:sz="0" w:space="0" w:color="auto"/>
        <w:left w:val="none" w:sz="0" w:space="0" w:color="auto"/>
        <w:bottom w:val="none" w:sz="0" w:space="0" w:color="auto"/>
        <w:right w:val="none" w:sz="0" w:space="0" w:color="auto"/>
      </w:divBdr>
    </w:div>
    <w:div w:id="1257787801">
      <w:bodyDiv w:val="1"/>
      <w:marLeft w:val="0"/>
      <w:marRight w:val="0"/>
      <w:marTop w:val="0"/>
      <w:marBottom w:val="0"/>
      <w:divBdr>
        <w:top w:val="none" w:sz="0" w:space="0" w:color="auto"/>
        <w:left w:val="none" w:sz="0" w:space="0" w:color="auto"/>
        <w:bottom w:val="none" w:sz="0" w:space="0" w:color="auto"/>
        <w:right w:val="none" w:sz="0" w:space="0" w:color="auto"/>
      </w:divBdr>
    </w:div>
    <w:div w:id="1274746844">
      <w:bodyDiv w:val="1"/>
      <w:marLeft w:val="0"/>
      <w:marRight w:val="0"/>
      <w:marTop w:val="0"/>
      <w:marBottom w:val="0"/>
      <w:divBdr>
        <w:top w:val="none" w:sz="0" w:space="0" w:color="auto"/>
        <w:left w:val="none" w:sz="0" w:space="0" w:color="auto"/>
        <w:bottom w:val="none" w:sz="0" w:space="0" w:color="auto"/>
        <w:right w:val="none" w:sz="0" w:space="0" w:color="auto"/>
      </w:divBdr>
    </w:div>
    <w:div w:id="1301107410">
      <w:bodyDiv w:val="1"/>
      <w:marLeft w:val="0"/>
      <w:marRight w:val="0"/>
      <w:marTop w:val="0"/>
      <w:marBottom w:val="0"/>
      <w:divBdr>
        <w:top w:val="none" w:sz="0" w:space="0" w:color="auto"/>
        <w:left w:val="none" w:sz="0" w:space="0" w:color="auto"/>
        <w:bottom w:val="none" w:sz="0" w:space="0" w:color="auto"/>
        <w:right w:val="none" w:sz="0" w:space="0" w:color="auto"/>
      </w:divBdr>
    </w:div>
    <w:div w:id="1303392312">
      <w:bodyDiv w:val="1"/>
      <w:marLeft w:val="0"/>
      <w:marRight w:val="0"/>
      <w:marTop w:val="0"/>
      <w:marBottom w:val="0"/>
      <w:divBdr>
        <w:top w:val="none" w:sz="0" w:space="0" w:color="auto"/>
        <w:left w:val="none" w:sz="0" w:space="0" w:color="auto"/>
        <w:bottom w:val="none" w:sz="0" w:space="0" w:color="auto"/>
        <w:right w:val="none" w:sz="0" w:space="0" w:color="auto"/>
      </w:divBdr>
      <w:divsChild>
        <w:div w:id="674378817">
          <w:marLeft w:val="0"/>
          <w:marRight w:val="0"/>
          <w:marTop w:val="0"/>
          <w:marBottom w:val="0"/>
          <w:divBdr>
            <w:top w:val="none" w:sz="0" w:space="0" w:color="auto"/>
            <w:left w:val="none" w:sz="0" w:space="0" w:color="auto"/>
            <w:bottom w:val="none" w:sz="0" w:space="0" w:color="auto"/>
            <w:right w:val="none" w:sz="0" w:space="0" w:color="auto"/>
          </w:divBdr>
        </w:div>
        <w:div w:id="1221285807">
          <w:marLeft w:val="0"/>
          <w:marRight w:val="0"/>
          <w:marTop w:val="0"/>
          <w:marBottom w:val="0"/>
          <w:divBdr>
            <w:top w:val="none" w:sz="0" w:space="0" w:color="auto"/>
            <w:left w:val="none" w:sz="0" w:space="0" w:color="auto"/>
            <w:bottom w:val="none" w:sz="0" w:space="0" w:color="auto"/>
            <w:right w:val="none" w:sz="0" w:space="0" w:color="auto"/>
          </w:divBdr>
        </w:div>
        <w:div w:id="164711552">
          <w:marLeft w:val="0"/>
          <w:marRight w:val="0"/>
          <w:marTop w:val="0"/>
          <w:marBottom w:val="0"/>
          <w:divBdr>
            <w:top w:val="none" w:sz="0" w:space="0" w:color="auto"/>
            <w:left w:val="none" w:sz="0" w:space="0" w:color="auto"/>
            <w:bottom w:val="none" w:sz="0" w:space="0" w:color="auto"/>
            <w:right w:val="none" w:sz="0" w:space="0" w:color="auto"/>
          </w:divBdr>
        </w:div>
        <w:div w:id="2022851583">
          <w:marLeft w:val="0"/>
          <w:marRight w:val="0"/>
          <w:marTop w:val="0"/>
          <w:marBottom w:val="0"/>
          <w:divBdr>
            <w:top w:val="none" w:sz="0" w:space="0" w:color="auto"/>
            <w:left w:val="none" w:sz="0" w:space="0" w:color="auto"/>
            <w:bottom w:val="none" w:sz="0" w:space="0" w:color="auto"/>
            <w:right w:val="none" w:sz="0" w:space="0" w:color="auto"/>
          </w:divBdr>
        </w:div>
        <w:div w:id="818611669">
          <w:marLeft w:val="0"/>
          <w:marRight w:val="0"/>
          <w:marTop w:val="0"/>
          <w:marBottom w:val="0"/>
          <w:divBdr>
            <w:top w:val="none" w:sz="0" w:space="0" w:color="auto"/>
            <w:left w:val="none" w:sz="0" w:space="0" w:color="auto"/>
            <w:bottom w:val="none" w:sz="0" w:space="0" w:color="auto"/>
            <w:right w:val="none" w:sz="0" w:space="0" w:color="auto"/>
          </w:divBdr>
        </w:div>
      </w:divsChild>
    </w:div>
    <w:div w:id="1311179212">
      <w:bodyDiv w:val="1"/>
      <w:marLeft w:val="0"/>
      <w:marRight w:val="0"/>
      <w:marTop w:val="0"/>
      <w:marBottom w:val="0"/>
      <w:divBdr>
        <w:top w:val="none" w:sz="0" w:space="0" w:color="auto"/>
        <w:left w:val="none" w:sz="0" w:space="0" w:color="auto"/>
        <w:bottom w:val="none" w:sz="0" w:space="0" w:color="auto"/>
        <w:right w:val="none" w:sz="0" w:space="0" w:color="auto"/>
      </w:divBdr>
    </w:div>
    <w:div w:id="1326737569">
      <w:bodyDiv w:val="1"/>
      <w:marLeft w:val="0"/>
      <w:marRight w:val="0"/>
      <w:marTop w:val="0"/>
      <w:marBottom w:val="0"/>
      <w:divBdr>
        <w:top w:val="none" w:sz="0" w:space="0" w:color="auto"/>
        <w:left w:val="none" w:sz="0" w:space="0" w:color="auto"/>
        <w:bottom w:val="none" w:sz="0" w:space="0" w:color="auto"/>
        <w:right w:val="none" w:sz="0" w:space="0" w:color="auto"/>
      </w:divBdr>
      <w:divsChild>
        <w:div w:id="1315140971">
          <w:marLeft w:val="0"/>
          <w:marRight w:val="0"/>
          <w:marTop w:val="0"/>
          <w:marBottom w:val="0"/>
          <w:divBdr>
            <w:top w:val="none" w:sz="0" w:space="0" w:color="auto"/>
            <w:left w:val="none" w:sz="0" w:space="0" w:color="auto"/>
            <w:bottom w:val="none" w:sz="0" w:space="0" w:color="auto"/>
            <w:right w:val="none" w:sz="0" w:space="0" w:color="auto"/>
          </w:divBdr>
        </w:div>
        <w:div w:id="1153646535">
          <w:marLeft w:val="0"/>
          <w:marRight w:val="0"/>
          <w:marTop w:val="0"/>
          <w:marBottom w:val="0"/>
          <w:divBdr>
            <w:top w:val="none" w:sz="0" w:space="0" w:color="auto"/>
            <w:left w:val="none" w:sz="0" w:space="0" w:color="auto"/>
            <w:bottom w:val="none" w:sz="0" w:space="0" w:color="auto"/>
            <w:right w:val="none" w:sz="0" w:space="0" w:color="auto"/>
          </w:divBdr>
        </w:div>
        <w:div w:id="1354957255">
          <w:marLeft w:val="0"/>
          <w:marRight w:val="0"/>
          <w:marTop w:val="0"/>
          <w:marBottom w:val="0"/>
          <w:divBdr>
            <w:top w:val="none" w:sz="0" w:space="0" w:color="auto"/>
            <w:left w:val="none" w:sz="0" w:space="0" w:color="auto"/>
            <w:bottom w:val="none" w:sz="0" w:space="0" w:color="auto"/>
            <w:right w:val="none" w:sz="0" w:space="0" w:color="auto"/>
          </w:divBdr>
        </w:div>
        <w:div w:id="739987027">
          <w:marLeft w:val="0"/>
          <w:marRight w:val="0"/>
          <w:marTop w:val="0"/>
          <w:marBottom w:val="0"/>
          <w:divBdr>
            <w:top w:val="none" w:sz="0" w:space="0" w:color="auto"/>
            <w:left w:val="none" w:sz="0" w:space="0" w:color="auto"/>
            <w:bottom w:val="none" w:sz="0" w:space="0" w:color="auto"/>
            <w:right w:val="none" w:sz="0" w:space="0" w:color="auto"/>
          </w:divBdr>
        </w:div>
        <w:div w:id="1606379606">
          <w:marLeft w:val="0"/>
          <w:marRight w:val="0"/>
          <w:marTop w:val="0"/>
          <w:marBottom w:val="0"/>
          <w:divBdr>
            <w:top w:val="none" w:sz="0" w:space="0" w:color="auto"/>
            <w:left w:val="none" w:sz="0" w:space="0" w:color="auto"/>
            <w:bottom w:val="none" w:sz="0" w:space="0" w:color="auto"/>
            <w:right w:val="none" w:sz="0" w:space="0" w:color="auto"/>
          </w:divBdr>
        </w:div>
      </w:divsChild>
    </w:div>
    <w:div w:id="1328289560">
      <w:bodyDiv w:val="1"/>
      <w:marLeft w:val="0"/>
      <w:marRight w:val="0"/>
      <w:marTop w:val="0"/>
      <w:marBottom w:val="0"/>
      <w:divBdr>
        <w:top w:val="none" w:sz="0" w:space="0" w:color="auto"/>
        <w:left w:val="none" w:sz="0" w:space="0" w:color="auto"/>
        <w:bottom w:val="none" w:sz="0" w:space="0" w:color="auto"/>
        <w:right w:val="none" w:sz="0" w:space="0" w:color="auto"/>
      </w:divBdr>
    </w:div>
    <w:div w:id="1330133026">
      <w:bodyDiv w:val="1"/>
      <w:marLeft w:val="0"/>
      <w:marRight w:val="0"/>
      <w:marTop w:val="0"/>
      <w:marBottom w:val="0"/>
      <w:divBdr>
        <w:top w:val="none" w:sz="0" w:space="0" w:color="auto"/>
        <w:left w:val="none" w:sz="0" w:space="0" w:color="auto"/>
        <w:bottom w:val="none" w:sz="0" w:space="0" w:color="auto"/>
        <w:right w:val="none" w:sz="0" w:space="0" w:color="auto"/>
      </w:divBdr>
    </w:div>
    <w:div w:id="1363508464">
      <w:bodyDiv w:val="1"/>
      <w:marLeft w:val="0"/>
      <w:marRight w:val="0"/>
      <w:marTop w:val="0"/>
      <w:marBottom w:val="0"/>
      <w:divBdr>
        <w:top w:val="none" w:sz="0" w:space="0" w:color="auto"/>
        <w:left w:val="none" w:sz="0" w:space="0" w:color="auto"/>
        <w:bottom w:val="none" w:sz="0" w:space="0" w:color="auto"/>
        <w:right w:val="none" w:sz="0" w:space="0" w:color="auto"/>
      </w:divBdr>
    </w:div>
    <w:div w:id="1364405009">
      <w:bodyDiv w:val="1"/>
      <w:marLeft w:val="0"/>
      <w:marRight w:val="0"/>
      <w:marTop w:val="0"/>
      <w:marBottom w:val="0"/>
      <w:divBdr>
        <w:top w:val="none" w:sz="0" w:space="0" w:color="auto"/>
        <w:left w:val="none" w:sz="0" w:space="0" w:color="auto"/>
        <w:bottom w:val="none" w:sz="0" w:space="0" w:color="auto"/>
        <w:right w:val="none" w:sz="0" w:space="0" w:color="auto"/>
      </w:divBdr>
    </w:div>
    <w:div w:id="1377656257">
      <w:bodyDiv w:val="1"/>
      <w:marLeft w:val="0"/>
      <w:marRight w:val="0"/>
      <w:marTop w:val="0"/>
      <w:marBottom w:val="0"/>
      <w:divBdr>
        <w:top w:val="none" w:sz="0" w:space="0" w:color="auto"/>
        <w:left w:val="none" w:sz="0" w:space="0" w:color="auto"/>
        <w:bottom w:val="none" w:sz="0" w:space="0" w:color="auto"/>
        <w:right w:val="none" w:sz="0" w:space="0" w:color="auto"/>
      </w:divBdr>
    </w:div>
    <w:div w:id="1386293732">
      <w:bodyDiv w:val="1"/>
      <w:marLeft w:val="0"/>
      <w:marRight w:val="0"/>
      <w:marTop w:val="0"/>
      <w:marBottom w:val="0"/>
      <w:divBdr>
        <w:top w:val="none" w:sz="0" w:space="0" w:color="auto"/>
        <w:left w:val="none" w:sz="0" w:space="0" w:color="auto"/>
        <w:bottom w:val="none" w:sz="0" w:space="0" w:color="auto"/>
        <w:right w:val="none" w:sz="0" w:space="0" w:color="auto"/>
      </w:divBdr>
    </w:div>
    <w:div w:id="1386878120">
      <w:bodyDiv w:val="1"/>
      <w:marLeft w:val="0"/>
      <w:marRight w:val="0"/>
      <w:marTop w:val="0"/>
      <w:marBottom w:val="0"/>
      <w:divBdr>
        <w:top w:val="none" w:sz="0" w:space="0" w:color="auto"/>
        <w:left w:val="none" w:sz="0" w:space="0" w:color="auto"/>
        <w:bottom w:val="none" w:sz="0" w:space="0" w:color="auto"/>
        <w:right w:val="none" w:sz="0" w:space="0" w:color="auto"/>
      </w:divBdr>
      <w:divsChild>
        <w:div w:id="1006902682">
          <w:marLeft w:val="0"/>
          <w:marRight w:val="0"/>
          <w:marTop w:val="0"/>
          <w:marBottom w:val="0"/>
          <w:divBdr>
            <w:top w:val="none" w:sz="0" w:space="0" w:color="auto"/>
            <w:left w:val="none" w:sz="0" w:space="0" w:color="auto"/>
            <w:bottom w:val="none" w:sz="0" w:space="0" w:color="auto"/>
            <w:right w:val="none" w:sz="0" w:space="0" w:color="auto"/>
          </w:divBdr>
        </w:div>
        <w:div w:id="1052000431">
          <w:marLeft w:val="0"/>
          <w:marRight w:val="0"/>
          <w:marTop w:val="0"/>
          <w:marBottom w:val="0"/>
          <w:divBdr>
            <w:top w:val="none" w:sz="0" w:space="0" w:color="auto"/>
            <w:left w:val="none" w:sz="0" w:space="0" w:color="auto"/>
            <w:bottom w:val="none" w:sz="0" w:space="0" w:color="auto"/>
            <w:right w:val="none" w:sz="0" w:space="0" w:color="auto"/>
          </w:divBdr>
        </w:div>
        <w:div w:id="415782777">
          <w:marLeft w:val="0"/>
          <w:marRight w:val="0"/>
          <w:marTop w:val="0"/>
          <w:marBottom w:val="0"/>
          <w:divBdr>
            <w:top w:val="none" w:sz="0" w:space="0" w:color="auto"/>
            <w:left w:val="none" w:sz="0" w:space="0" w:color="auto"/>
            <w:bottom w:val="none" w:sz="0" w:space="0" w:color="auto"/>
            <w:right w:val="none" w:sz="0" w:space="0" w:color="auto"/>
          </w:divBdr>
        </w:div>
        <w:div w:id="1556619101">
          <w:marLeft w:val="0"/>
          <w:marRight w:val="0"/>
          <w:marTop w:val="0"/>
          <w:marBottom w:val="0"/>
          <w:divBdr>
            <w:top w:val="none" w:sz="0" w:space="0" w:color="auto"/>
            <w:left w:val="none" w:sz="0" w:space="0" w:color="auto"/>
            <w:bottom w:val="none" w:sz="0" w:space="0" w:color="auto"/>
            <w:right w:val="none" w:sz="0" w:space="0" w:color="auto"/>
          </w:divBdr>
        </w:div>
        <w:div w:id="837580491">
          <w:marLeft w:val="0"/>
          <w:marRight w:val="0"/>
          <w:marTop w:val="0"/>
          <w:marBottom w:val="0"/>
          <w:divBdr>
            <w:top w:val="none" w:sz="0" w:space="0" w:color="auto"/>
            <w:left w:val="none" w:sz="0" w:space="0" w:color="auto"/>
            <w:bottom w:val="none" w:sz="0" w:space="0" w:color="auto"/>
            <w:right w:val="none" w:sz="0" w:space="0" w:color="auto"/>
          </w:divBdr>
        </w:div>
        <w:div w:id="1929459917">
          <w:marLeft w:val="0"/>
          <w:marRight w:val="0"/>
          <w:marTop w:val="0"/>
          <w:marBottom w:val="0"/>
          <w:divBdr>
            <w:top w:val="none" w:sz="0" w:space="0" w:color="auto"/>
            <w:left w:val="none" w:sz="0" w:space="0" w:color="auto"/>
            <w:bottom w:val="none" w:sz="0" w:space="0" w:color="auto"/>
            <w:right w:val="none" w:sz="0" w:space="0" w:color="auto"/>
          </w:divBdr>
        </w:div>
        <w:div w:id="563680563">
          <w:marLeft w:val="0"/>
          <w:marRight w:val="0"/>
          <w:marTop w:val="0"/>
          <w:marBottom w:val="0"/>
          <w:divBdr>
            <w:top w:val="none" w:sz="0" w:space="0" w:color="auto"/>
            <w:left w:val="none" w:sz="0" w:space="0" w:color="auto"/>
            <w:bottom w:val="none" w:sz="0" w:space="0" w:color="auto"/>
            <w:right w:val="none" w:sz="0" w:space="0" w:color="auto"/>
          </w:divBdr>
        </w:div>
        <w:div w:id="1244873787">
          <w:marLeft w:val="0"/>
          <w:marRight w:val="0"/>
          <w:marTop w:val="0"/>
          <w:marBottom w:val="0"/>
          <w:divBdr>
            <w:top w:val="none" w:sz="0" w:space="0" w:color="auto"/>
            <w:left w:val="none" w:sz="0" w:space="0" w:color="auto"/>
            <w:bottom w:val="none" w:sz="0" w:space="0" w:color="auto"/>
            <w:right w:val="none" w:sz="0" w:space="0" w:color="auto"/>
          </w:divBdr>
        </w:div>
        <w:div w:id="504710606">
          <w:marLeft w:val="0"/>
          <w:marRight w:val="0"/>
          <w:marTop w:val="0"/>
          <w:marBottom w:val="0"/>
          <w:divBdr>
            <w:top w:val="none" w:sz="0" w:space="0" w:color="auto"/>
            <w:left w:val="none" w:sz="0" w:space="0" w:color="auto"/>
            <w:bottom w:val="none" w:sz="0" w:space="0" w:color="auto"/>
            <w:right w:val="none" w:sz="0" w:space="0" w:color="auto"/>
          </w:divBdr>
        </w:div>
        <w:div w:id="233127193">
          <w:marLeft w:val="0"/>
          <w:marRight w:val="0"/>
          <w:marTop w:val="0"/>
          <w:marBottom w:val="0"/>
          <w:divBdr>
            <w:top w:val="none" w:sz="0" w:space="0" w:color="auto"/>
            <w:left w:val="none" w:sz="0" w:space="0" w:color="auto"/>
            <w:bottom w:val="none" w:sz="0" w:space="0" w:color="auto"/>
            <w:right w:val="none" w:sz="0" w:space="0" w:color="auto"/>
          </w:divBdr>
        </w:div>
        <w:div w:id="1893153061">
          <w:marLeft w:val="0"/>
          <w:marRight w:val="0"/>
          <w:marTop w:val="0"/>
          <w:marBottom w:val="0"/>
          <w:divBdr>
            <w:top w:val="none" w:sz="0" w:space="0" w:color="auto"/>
            <w:left w:val="none" w:sz="0" w:space="0" w:color="auto"/>
            <w:bottom w:val="none" w:sz="0" w:space="0" w:color="auto"/>
            <w:right w:val="none" w:sz="0" w:space="0" w:color="auto"/>
          </w:divBdr>
        </w:div>
      </w:divsChild>
    </w:div>
    <w:div w:id="1411122717">
      <w:bodyDiv w:val="1"/>
      <w:marLeft w:val="0"/>
      <w:marRight w:val="0"/>
      <w:marTop w:val="0"/>
      <w:marBottom w:val="0"/>
      <w:divBdr>
        <w:top w:val="none" w:sz="0" w:space="0" w:color="auto"/>
        <w:left w:val="none" w:sz="0" w:space="0" w:color="auto"/>
        <w:bottom w:val="none" w:sz="0" w:space="0" w:color="auto"/>
        <w:right w:val="none" w:sz="0" w:space="0" w:color="auto"/>
      </w:divBdr>
      <w:divsChild>
        <w:div w:id="1011373753">
          <w:marLeft w:val="0"/>
          <w:marRight w:val="0"/>
          <w:marTop w:val="0"/>
          <w:marBottom w:val="0"/>
          <w:divBdr>
            <w:top w:val="none" w:sz="0" w:space="0" w:color="auto"/>
            <w:left w:val="none" w:sz="0" w:space="0" w:color="auto"/>
            <w:bottom w:val="none" w:sz="0" w:space="0" w:color="auto"/>
            <w:right w:val="none" w:sz="0" w:space="0" w:color="auto"/>
          </w:divBdr>
        </w:div>
        <w:div w:id="180629270">
          <w:marLeft w:val="0"/>
          <w:marRight w:val="0"/>
          <w:marTop w:val="0"/>
          <w:marBottom w:val="0"/>
          <w:divBdr>
            <w:top w:val="none" w:sz="0" w:space="0" w:color="auto"/>
            <w:left w:val="none" w:sz="0" w:space="0" w:color="auto"/>
            <w:bottom w:val="none" w:sz="0" w:space="0" w:color="auto"/>
            <w:right w:val="none" w:sz="0" w:space="0" w:color="auto"/>
          </w:divBdr>
        </w:div>
        <w:div w:id="1950700405">
          <w:marLeft w:val="0"/>
          <w:marRight w:val="0"/>
          <w:marTop w:val="0"/>
          <w:marBottom w:val="0"/>
          <w:divBdr>
            <w:top w:val="none" w:sz="0" w:space="0" w:color="auto"/>
            <w:left w:val="none" w:sz="0" w:space="0" w:color="auto"/>
            <w:bottom w:val="none" w:sz="0" w:space="0" w:color="auto"/>
            <w:right w:val="none" w:sz="0" w:space="0" w:color="auto"/>
          </w:divBdr>
        </w:div>
      </w:divsChild>
    </w:div>
    <w:div w:id="1414859230">
      <w:bodyDiv w:val="1"/>
      <w:marLeft w:val="0"/>
      <w:marRight w:val="0"/>
      <w:marTop w:val="0"/>
      <w:marBottom w:val="0"/>
      <w:divBdr>
        <w:top w:val="none" w:sz="0" w:space="0" w:color="auto"/>
        <w:left w:val="none" w:sz="0" w:space="0" w:color="auto"/>
        <w:bottom w:val="none" w:sz="0" w:space="0" w:color="auto"/>
        <w:right w:val="none" w:sz="0" w:space="0" w:color="auto"/>
      </w:divBdr>
      <w:divsChild>
        <w:div w:id="1031881058">
          <w:marLeft w:val="0"/>
          <w:marRight w:val="0"/>
          <w:marTop w:val="0"/>
          <w:marBottom w:val="0"/>
          <w:divBdr>
            <w:top w:val="none" w:sz="0" w:space="0" w:color="auto"/>
            <w:left w:val="none" w:sz="0" w:space="0" w:color="auto"/>
            <w:bottom w:val="none" w:sz="0" w:space="0" w:color="auto"/>
            <w:right w:val="none" w:sz="0" w:space="0" w:color="auto"/>
          </w:divBdr>
        </w:div>
        <w:div w:id="1577478595">
          <w:marLeft w:val="0"/>
          <w:marRight w:val="0"/>
          <w:marTop w:val="0"/>
          <w:marBottom w:val="0"/>
          <w:divBdr>
            <w:top w:val="none" w:sz="0" w:space="0" w:color="auto"/>
            <w:left w:val="none" w:sz="0" w:space="0" w:color="auto"/>
            <w:bottom w:val="none" w:sz="0" w:space="0" w:color="auto"/>
            <w:right w:val="none" w:sz="0" w:space="0" w:color="auto"/>
          </w:divBdr>
        </w:div>
        <w:div w:id="410352095">
          <w:marLeft w:val="0"/>
          <w:marRight w:val="0"/>
          <w:marTop w:val="0"/>
          <w:marBottom w:val="0"/>
          <w:divBdr>
            <w:top w:val="none" w:sz="0" w:space="0" w:color="auto"/>
            <w:left w:val="none" w:sz="0" w:space="0" w:color="auto"/>
            <w:bottom w:val="none" w:sz="0" w:space="0" w:color="auto"/>
            <w:right w:val="none" w:sz="0" w:space="0" w:color="auto"/>
          </w:divBdr>
        </w:div>
        <w:div w:id="467826090">
          <w:marLeft w:val="0"/>
          <w:marRight w:val="0"/>
          <w:marTop w:val="0"/>
          <w:marBottom w:val="0"/>
          <w:divBdr>
            <w:top w:val="none" w:sz="0" w:space="0" w:color="auto"/>
            <w:left w:val="none" w:sz="0" w:space="0" w:color="auto"/>
            <w:bottom w:val="none" w:sz="0" w:space="0" w:color="auto"/>
            <w:right w:val="none" w:sz="0" w:space="0" w:color="auto"/>
          </w:divBdr>
        </w:div>
        <w:div w:id="930623347">
          <w:marLeft w:val="0"/>
          <w:marRight w:val="0"/>
          <w:marTop w:val="0"/>
          <w:marBottom w:val="0"/>
          <w:divBdr>
            <w:top w:val="none" w:sz="0" w:space="0" w:color="auto"/>
            <w:left w:val="none" w:sz="0" w:space="0" w:color="auto"/>
            <w:bottom w:val="none" w:sz="0" w:space="0" w:color="auto"/>
            <w:right w:val="none" w:sz="0" w:space="0" w:color="auto"/>
          </w:divBdr>
        </w:div>
        <w:div w:id="1933246535">
          <w:marLeft w:val="0"/>
          <w:marRight w:val="0"/>
          <w:marTop w:val="0"/>
          <w:marBottom w:val="0"/>
          <w:divBdr>
            <w:top w:val="none" w:sz="0" w:space="0" w:color="auto"/>
            <w:left w:val="none" w:sz="0" w:space="0" w:color="auto"/>
            <w:bottom w:val="none" w:sz="0" w:space="0" w:color="auto"/>
            <w:right w:val="none" w:sz="0" w:space="0" w:color="auto"/>
          </w:divBdr>
        </w:div>
        <w:div w:id="785391113">
          <w:marLeft w:val="0"/>
          <w:marRight w:val="0"/>
          <w:marTop w:val="0"/>
          <w:marBottom w:val="0"/>
          <w:divBdr>
            <w:top w:val="none" w:sz="0" w:space="0" w:color="auto"/>
            <w:left w:val="none" w:sz="0" w:space="0" w:color="auto"/>
            <w:bottom w:val="none" w:sz="0" w:space="0" w:color="auto"/>
            <w:right w:val="none" w:sz="0" w:space="0" w:color="auto"/>
          </w:divBdr>
        </w:div>
      </w:divsChild>
    </w:div>
    <w:div w:id="1435638605">
      <w:bodyDiv w:val="1"/>
      <w:marLeft w:val="0"/>
      <w:marRight w:val="0"/>
      <w:marTop w:val="0"/>
      <w:marBottom w:val="0"/>
      <w:divBdr>
        <w:top w:val="none" w:sz="0" w:space="0" w:color="auto"/>
        <w:left w:val="none" w:sz="0" w:space="0" w:color="auto"/>
        <w:bottom w:val="none" w:sz="0" w:space="0" w:color="auto"/>
        <w:right w:val="none" w:sz="0" w:space="0" w:color="auto"/>
      </w:divBdr>
    </w:div>
    <w:div w:id="1450706042">
      <w:bodyDiv w:val="1"/>
      <w:marLeft w:val="0"/>
      <w:marRight w:val="0"/>
      <w:marTop w:val="0"/>
      <w:marBottom w:val="0"/>
      <w:divBdr>
        <w:top w:val="none" w:sz="0" w:space="0" w:color="auto"/>
        <w:left w:val="none" w:sz="0" w:space="0" w:color="auto"/>
        <w:bottom w:val="none" w:sz="0" w:space="0" w:color="auto"/>
        <w:right w:val="none" w:sz="0" w:space="0" w:color="auto"/>
      </w:divBdr>
    </w:div>
    <w:div w:id="1451822145">
      <w:bodyDiv w:val="1"/>
      <w:marLeft w:val="0"/>
      <w:marRight w:val="0"/>
      <w:marTop w:val="0"/>
      <w:marBottom w:val="0"/>
      <w:divBdr>
        <w:top w:val="none" w:sz="0" w:space="0" w:color="auto"/>
        <w:left w:val="none" w:sz="0" w:space="0" w:color="auto"/>
        <w:bottom w:val="none" w:sz="0" w:space="0" w:color="auto"/>
        <w:right w:val="none" w:sz="0" w:space="0" w:color="auto"/>
      </w:divBdr>
    </w:div>
    <w:div w:id="1458177475">
      <w:bodyDiv w:val="1"/>
      <w:marLeft w:val="0"/>
      <w:marRight w:val="0"/>
      <w:marTop w:val="0"/>
      <w:marBottom w:val="0"/>
      <w:divBdr>
        <w:top w:val="none" w:sz="0" w:space="0" w:color="auto"/>
        <w:left w:val="none" w:sz="0" w:space="0" w:color="auto"/>
        <w:bottom w:val="none" w:sz="0" w:space="0" w:color="auto"/>
        <w:right w:val="none" w:sz="0" w:space="0" w:color="auto"/>
      </w:divBdr>
      <w:divsChild>
        <w:div w:id="1684672003">
          <w:marLeft w:val="0"/>
          <w:marRight w:val="0"/>
          <w:marTop w:val="0"/>
          <w:marBottom w:val="0"/>
          <w:divBdr>
            <w:top w:val="none" w:sz="0" w:space="0" w:color="auto"/>
            <w:left w:val="none" w:sz="0" w:space="0" w:color="auto"/>
            <w:bottom w:val="none" w:sz="0" w:space="0" w:color="auto"/>
            <w:right w:val="none" w:sz="0" w:space="0" w:color="auto"/>
          </w:divBdr>
        </w:div>
        <w:div w:id="416941963">
          <w:marLeft w:val="0"/>
          <w:marRight w:val="0"/>
          <w:marTop w:val="0"/>
          <w:marBottom w:val="0"/>
          <w:divBdr>
            <w:top w:val="none" w:sz="0" w:space="0" w:color="auto"/>
            <w:left w:val="none" w:sz="0" w:space="0" w:color="auto"/>
            <w:bottom w:val="none" w:sz="0" w:space="0" w:color="auto"/>
            <w:right w:val="none" w:sz="0" w:space="0" w:color="auto"/>
          </w:divBdr>
        </w:div>
      </w:divsChild>
    </w:div>
    <w:div w:id="1500002674">
      <w:bodyDiv w:val="1"/>
      <w:marLeft w:val="0"/>
      <w:marRight w:val="0"/>
      <w:marTop w:val="0"/>
      <w:marBottom w:val="0"/>
      <w:divBdr>
        <w:top w:val="none" w:sz="0" w:space="0" w:color="auto"/>
        <w:left w:val="none" w:sz="0" w:space="0" w:color="auto"/>
        <w:bottom w:val="none" w:sz="0" w:space="0" w:color="auto"/>
        <w:right w:val="none" w:sz="0" w:space="0" w:color="auto"/>
      </w:divBdr>
    </w:div>
    <w:div w:id="1504083666">
      <w:bodyDiv w:val="1"/>
      <w:marLeft w:val="0"/>
      <w:marRight w:val="0"/>
      <w:marTop w:val="0"/>
      <w:marBottom w:val="0"/>
      <w:divBdr>
        <w:top w:val="none" w:sz="0" w:space="0" w:color="auto"/>
        <w:left w:val="none" w:sz="0" w:space="0" w:color="auto"/>
        <w:bottom w:val="none" w:sz="0" w:space="0" w:color="auto"/>
        <w:right w:val="none" w:sz="0" w:space="0" w:color="auto"/>
      </w:divBdr>
    </w:div>
    <w:div w:id="1516112901">
      <w:bodyDiv w:val="1"/>
      <w:marLeft w:val="0"/>
      <w:marRight w:val="0"/>
      <w:marTop w:val="0"/>
      <w:marBottom w:val="0"/>
      <w:divBdr>
        <w:top w:val="none" w:sz="0" w:space="0" w:color="auto"/>
        <w:left w:val="none" w:sz="0" w:space="0" w:color="auto"/>
        <w:bottom w:val="none" w:sz="0" w:space="0" w:color="auto"/>
        <w:right w:val="none" w:sz="0" w:space="0" w:color="auto"/>
      </w:divBdr>
    </w:div>
    <w:div w:id="1520587752">
      <w:bodyDiv w:val="1"/>
      <w:marLeft w:val="0"/>
      <w:marRight w:val="0"/>
      <w:marTop w:val="0"/>
      <w:marBottom w:val="0"/>
      <w:divBdr>
        <w:top w:val="none" w:sz="0" w:space="0" w:color="auto"/>
        <w:left w:val="none" w:sz="0" w:space="0" w:color="auto"/>
        <w:bottom w:val="none" w:sz="0" w:space="0" w:color="auto"/>
        <w:right w:val="none" w:sz="0" w:space="0" w:color="auto"/>
      </w:divBdr>
      <w:divsChild>
        <w:div w:id="1838308039">
          <w:marLeft w:val="0"/>
          <w:marRight w:val="0"/>
          <w:marTop w:val="0"/>
          <w:marBottom w:val="0"/>
          <w:divBdr>
            <w:top w:val="none" w:sz="0" w:space="0" w:color="auto"/>
            <w:left w:val="none" w:sz="0" w:space="0" w:color="auto"/>
            <w:bottom w:val="none" w:sz="0" w:space="0" w:color="auto"/>
            <w:right w:val="none" w:sz="0" w:space="0" w:color="auto"/>
          </w:divBdr>
        </w:div>
        <w:div w:id="575826160">
          <w:marLeft w:val="0"/>
          <w:marRight w:val="0"/>
          <w:marTop w:val="0"/>
          <w:marBottom w:val="0"/>
          <w:divBdr>
            <w:top w:val="none" w:sz="0" w:space="0" w:color="auto"/>
            <w:left w:val="none" w:sz="0" w:space="0" w:color="auto"/>
            <w:bottom w:val="none" w:sz="0" w:space="0" w:color="auto"/>
            <w:right w:val="none" w:sz="0" w:space="0" w:color="auto"/>
          </w:divBdr>
        </w:div>
      </w:divsChild>
    </w:div>
    <w:div w:id="1532960528">
      <w:bodyDiv w:val="1"/>
      <w:marLeft w:val="0"/>
      <w:marRight w:val="0"/>
      <w:marTop w:val="0"/>
      <w:marBottom w:val="0"/>
      <w:divBdr>
        <w:top w:val="none" w:sz="0" w:space="0" w:color="auto"/>
        <w:left w:val="none" w:sz="0" w:space="0" w:color="auto"/>
        <w:bottom w:val="none" w:sz="0" w:space="0" w:color="auto"/>
        <w:right w:val="none" w:sz="0" w:space="0" w:color="auto"/>
      </w:divBdr>
      <w:divsChild>
        <w:div w:id="1084107036">
          <w:marLeft w:val="0"/>
          <w:marRight w:val="0"/>
          <w:marTop w:val="0"/>
          <w:marBottom w:val="0"/>
          <w:divBdr>
            <w:top w:val="none" w:sz="0" w:space="0" w:color="auto"/>
            <w:left w:val="none" w:sz="0" w:space="0" w:color="auto"/>
            <w:bottom w:val="none" w:sz="0" w:space="0" w:color="auto"/>
            <w:right w:val="none" w:sz="0" w:space="0" w:color="auto"/>
          </w:divBdr>
        </w:div>
        <w:div w:id="608240259">
          <w:marLeft w:val="0"/>
          <w:marRight w:val="0"/>
          <w:marTop w:val="0"/>
          <w:marBottom w:val="0"/>
          <w:divBdr>
            <w:top w:val="none" w:sz="0" w:space="0" w:color="auto"/>
            <w:left w:val="none" w:sz="0" w:space="0" w:color="auto"/>
            <w:bottom w:val="none" w:sz="0" w:space="0" w:color="auto"/>
            <w:right w:val="none" w:sz="0" w:space="0" w:color="auto"/>
          </w:divBdr>
        </w:div>
      </w:divsChild>
    </w:div>
    <w:div w:id="1533152049">
      <w:bodyDiv w:val="1"/>
      <w:marLeft w:val="0"/>
      <w:marRight w:val="0"/>
      <w:marTop w:val="0"/>
      <w:marBottom w:val="0"/>
      <w:divBdr>
        <w:top w:val="none" w:sz="0" w:space="0" w:color="auto"/>
        <w:left w:val="none" w:sz="0" w:space="0" w:color="auto"/>
        <w:bottom w:val="none" w:sz="0" w:space="0" w:color="auto"/>
        <w:right w:val="none" w:sz="0" w:space="0" w:color="auto"/>
      </w:divBdr>
    </w:div>
    <w:div w:id="1593584743">
      <w:bodyDiv w:val="1"/>
      <w:marLeft w:val="0"/>
      <w:marRight w:val="0"/>
      <w:marTop w:val="0"/>
      <w:marBottom w:val="0"/>
      <w:divBdr>
        <w:top w:val="none" w:sz="0" w:space="0" w:color="auto"/>
        <w:left w:val="none" w:sz="0" w:space="0" w:color="auto"/>
        <w:bottom w:val="none" w:sz="0" w:space="0" w:color="auto"/>
        <w:right w:val="none" w:sz="0" w:space="0" w:color="auto"/>
      </w:divBdr>
    </w:div>
    <w:div w:id="1603612963">
      <w:bodyDiv w:val="1"/>
      <w:marLeft w:val="0"/>
      <w:marRight w:val="0"/>
      <w:marTop w:val="0"/>
      <w:marBottom w:val="0"/>
      <w:divBdr>
        <w:top w:val="none" w:sz="0" w:space="0" w:color="auto"/>
        <w:left w:val="none" w:sz="0" w:space="0" w:color="auto"/>
        <w:bottom w:val="none" w:sz="0" w:space="0" w:color="auto"/>
        <w:right w:val="none" w:sz="0" w:space="0" w:color="auto"/>
      </w:divBdr>
    </w:div>
    <w:div w:id="1668052046">
      <w:bodyDiv w:val="1"/>
      <w:marLeft w:val="0"/>
      <w:marRight w:val="0"/>
      <w:marTop w:val="0"/>
      <w:marBottom w:val="0"/>
      <w:divBdr>
        <w:top w:val="none" w:sz="0" w:space="0" w:color="auto"/>
        <w:left w:val="none" w:sz="0" w:space="0" w:color="auto"/>
        <w:bottom w:val="none" w:sz="0" w:space="0" w:color="auto"/>
        <w:right w:val="none" w:sz="0" w:space="0" w:color="auto"/>
      </w:divBdr>
    </w:div>
    <w:div w:id="1731004392">
      <w:bodyDiv w:val="1"/>
      <w:marLeft w:val="0"/>
      <w:marRight w:val="0"/>
      <w:marTop w:val="0"/>
      <w:marBottom w:val="0"/>
      <w:divBdr>
        <w:top w:val="none" w:sz="0" w:space="0" w:color="auto"/>
        <w:left w:val="none" w:sz="0" w:space="0" w:color="auto"/>
        <w:bottom w:val="none" w:sz="0" w:space="0" w:color="auto"/>
        <w:right w:val="none" w:sz="0" w:space="0" w:color="auto"/>
      </w:divBdr>
      <w:divsChild>
        <w:div w:id="1369336398">
          <w:marLeft w:val="0"/>
          <w:marRight w:val="0"/>
          <w:marTop w:val="0"/>
          <w:marBottom w:val="0"/>
          <w:divBdr>
            <w:top w:val="none" w:sz="0" w:space="0" w:color="auto"/>
            <w:left w:val="none" w:sz="0" w:space="0" w:color="auto"/>
            <w:bottom w:val="none" w:sz="0" w:space="0" w:color="auto"/>
            <w:right w:val="none" w:sz="0" w:space="0" w:color="auto"/>
          </w:divBdr>
          <w:divsChild>
            <w:div w:id="2134707252">
              <w:marLeft w:val="0"/>
              <w:marRight w:val="0"/>
              <w:marTop w:val="0"/>
              <w:marBottom w:val="0"/>
              <w:divBdr>
                <w:top w:val="none" w:sz="0" w:space="0" w:color="auto"/>
                <w:left w:val="none" w:sz="0" w:space="0" w:color="auto"/>
                <w:bottom w:val="none" w:sz="0" w:space="0" w:color="auto"/>
                <w:right w:val="none" w:sz="0" w:space="0" w:color="auto"/>
              </w:divBdr>
              <w:divsChild>
                <w:div w:id="87510727">
                  <w:marLeft w:val="0"/>
                  <w:marRight w:val="0"/>
                  <w:marTop w:val="0"/>
                  <w:marBottom w:val="0"/>
                  <w:divBdr>
                    <w:top w:val="none" w:sz="0" w:space="0" w:color="auto"/>
                    <w:left w:val="none" w:sz="0" w:space="0" w:color="auto"/>
                    <w:bottom w:val="none" w:sz="0" w:space="0" w:color="auto"/>
                    <w:right w:val="none" w:sz="0" w:space="0" w:color="auto"/>
                  </w:divBdr>
                </w:div>
                <w:div w:id="860437296">
                  <w:marLeft w:val="0"/>
                  <w:marRight w:val="0"/>
                  <w:marTop w:val="0"/>
                  <w:marBottom w:val="0"/>
                  <w:divBdr>
                    <w:top w:val="none" w:sz="0" w:space="0" w:color="auto"/>
                    <w:left w:val="none" w:sz="0" w:space="0" w:color="auto"/>
                    <w:bottom w:val="none" w:sz="0" w:space="0" w:color="auto"/>
                    <w:right w:val="none" w:sz="0" w:space="0" w:color="auto"/>
                  </w:divBdr>
                  <w:divsChild>
                    <w:div w:id="829056409">
                      <w:marLeft w:val="0"/>
                      <w:marRight w:val="0"/>
                      <w:marTop w:val="0"/>
                      <w:marBottom w:val="0"/>
                      <w:divBdr>
                        <w:top w:val="none" w:sz="0" w:space="0" w:color="auto"/>
                        <w:left w:val="none" w:sz="0" w:space="0" w:color="auto"/>
                        <w:bottom w:val="none" w:sz="0" w:space="0" w:color="auto"/>
                        <w:right w:val="none" w:sz="0" w:space="0" w:color="auto"/>
                      </w:divBdr>
                      <w:divsChild>
                        <w:div w:id="1372263180">
                          <w:marLeft w:val="0"/>
                          <w:marRight w:val="0"/>
                          <w:marTop w:val="0"/>
                          <w:marBottom w:val="0"/>
                          <w:divBdr>
                            <w:top w:val="none" w:sz="0" w:space="0" w:color="auto"/>
                            <w:left w:val="none" w:sz="0" w:space="0" w:color="auto"/>
                            <w:bottom w:val="none" w:sz="0" w:space="0" w:color="auto"/>
                            <w:right w:val="none" w:sz="0" w:space="0" w:color="auto"/>
                          </w:divBdr>
                          <w:divsChild>
                            <w:div w:id="1531213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4530546">
                  <w:marLeft w:val="0"/>
                  <w:marRight w:val="0"/>
                  <w:marTop w:val="0"/>
                  <w:marBottom w:val="0"/>
                  <w:divBdr>
                    <w:top w:val="none" w:sz="0" w:space="0" w:color="auto"/>
                    <w:left w:val="none" w:sz="0" w:space="0" w:color="auto"/>
                    <w:bottom w:val="none" w:sz="0" w:space="0" w:color="auto"/>
                    <w:right w:val="none" w:sz="0" w:space="0" w:color="auto"/>
                  </w:divBdr>
                  <w:divsChild>
                    <w:div w:id="646591050">
                      <w:marLeft w:val="0"/>
                      <w:marRight w:val="0"/>
                      <w:marTop w:val="0"/>
                      <w:marBottom w:val="0"/>
                      <w:divBdr>
                        <w:top w:val="none" w:sz="0" w:space="0" w:color="auto"/>
                        <w:left w:val="none" w:sz="0" w:space="0" w:color="auto"/>
                        <w:bottom w:val="none" w:sz="0" w:space="0" w:color="auto"/>
                        <w:right w:val="none" w:sz="0" w:space="0" w:color="auto"/>
                      </w:divBdr>
                      <w:divsChild>
                        <w:div w:id="1298490616">
                          <w:marLeft w:val="0"/>
                          <w:marRight w:val="0"/>
                          <w:marTop w:val="0"/>
                          <w:marBottom w:val="0"/>
                          <w:divBdr>
                            <w:top w:val="none" w:sz="0" w:space="0" w:color="auto"/>
                            <w:left w:val="none" w:sz="0" w:space="0" w:color="auto"/>
                            <w:bottom w:val="none" w:sz="0" w:space="0" w:color="auto"/>
                            <w:right w:val="none" w:sz="0" w:space="0" w:color="auto"/>
                          </w:divBdr>
                          <w:divsChild>
                            <w:div w:id="2133092581">
                              <w:marLeft w:val="0"/>
                              <w:marRight w:val="0"/>
                              <w:marTop w:val="0"/>
                              <w:marBottom w:val="0"/>
                              <w:divBdr>
                                <w:top w:val="none" w:sz="0" w:space="0" w:color="auto"/>
                                <w:left w:val="none" w:sz="0" w:space="0" w:color="auto"/>
                                <w:bottom w:val="none" w:sz="0" w:space="0" w:color="auto"/>
                                <w:right w:val="none" w:sz="0" w:space="0" w:color="auto"/>
                              </w:divBdr>
                              <w:divsChild>
                                <w:div w:id="521404960">
                                  <w:marLeft w:val="0"/>
                                  <w:marRight w:val="0"/>
                                  <w:marTop w:val="0"/>
                                  <w:marBottom w:val="0"/>
                                  <w:divBdr>
                                    <w:top w:val="none" w:sz="0" w:space="0" w:color="auto"/>
                                    <w:left w:val="none" w:sz="0" w:space="0" w:color="auto"/>
                                    <w:bottom w:val="none" w:sz="0" w:space="0" w:color="auto"/>
                                    <w:right w:val="none" w:sz="0" w:space="0" w:color="auto"/>
                                  </w:divBdr>
                                </w:div>
                                <w:div w:id="374744651">
                                  <w:marLeft w:val="0"/>
                                  <w:marRight w:val="0"/>
                                  <w:marTop w:val="0"/>
                                  <w:marBottom w:val="0"/>
                                  <w:divBdr>
                                    <w:top w:val="none" w:sz="0" w:space="0" w:color="auto"/>
                                    <w:left w:val="none" w:sz="0" w:space="0" w:color="auto"/>
                                    <w:bottom w:val="none" w:sz="0" w:space="0" w:color="auto"/>
                                    <w:right w:val="none" w:sz="0" w:space="0" w:color="auto"/>
                                  </w:divBdr>
                                </w:div>
                                <w:div w:id="1100684270">
                                  <w:marLeft w:val="0"/>
                                  <w:marRight w:val="0"/>
                                  <w:marTop w:val="0"/>
                                  <w:marBottom w:val="0"/>
                                  <w:divBdr>
                                    <w:top w:val="none" w:sz="0" w:space="0" w:color="auto"/>
                                    <w:left w:val="none" w:sz="0" w:space="0" w:color="auto"/>
                                    <w:bottom w:val="none" w:sz="0" w:space="0" w:color="auto"/>
                                    <w:right w:val="none" w:sz="0" w:space="0" w:color="auto"/>
                                  </w:divBdr>
                                </w:div>
                                <w:div w:id="253243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29373139">
                  <w:marLeft w:val="0"/>
                  <w:marRight w:val="0"/>
                  <w:marTop w:val="0"/>
                  <w:marBottom w:val="0"/>
                  <w:divBdr>
                    <w:top w:val="none" w:sz="0" w:space="0" w:color="auto"/>
                    <w:left w:val="none" w:sz="0" w:space="0" w:color="auto"/>
                    <w:bottom w:val="none" w:sz="0" w:space="0" w:color="auto"/>
                    <w:right w:val="none" w:sz="0" w:space="0" w:color="auto"/>
                  </w:divBdr>
                  <w:divsChild>
                    <w:div w:id="1018851737">
                      <w:marLeft w:val="0"/>
                      <w:marRight w:val="0"/>
                      <w:marTop w:val="0"/>
                      <w:marBottom w:val="0"/>
                      <w:divBdr>
                        <w:top w:val="none" w:sz="0" w:space="0" w:color="auto"/>
                        <w:left w:val="none" w:sz="0" w:space="0" w:color="auto"/>
                        <w:bottom w:val="none" w:sz="0" w:space="0" w:color="auto"/>
                        <w:right w:val="none" w:sz="0" w:space="0" w:color="auto"/>
                      </w:divBdr>
                      <w:divsChild>
                        <w:div w:id="1859466192">
                          <w:marLeft w:val="0"/>
                          <w:marRight w:val="0"/>
                          <w:marTop w:val="0"/>
                          <w:marBottom w:val="0"/>
                          <w:divBdr>
                            <w:top w:val="none" w:sz="0" w:space="0" w:color="auto"/>
                            <w:left w:val="none" w:sz="0" w:space="0" w:color="auto"/>
                            <w:bottom w:val="none" w:sz="0" w:space="0" w:color="auto"/>
                            <w:right w:val="none" w:sz="0" w:space="0" w:color="auto"/>
                          </w:divBdr>
                        </w:div>
                        <w:div w:id="1347363179">
                          <w:marLeft w:val="0"/>
                          <w:marRight w:val="0"/>
                          <w:marTop w:val="0"/>
                          <w:marBottom w:val="0"/>
                          <w:divBdr>
                            <w:top w:val="none" w:sz="0" w:space="0" w:color="auto"/>
                            <w:left w:val="none" w:sz="0" w:space="0" w:color="auto"/>
                            <w:bottom w:val="none" w:sz="0" w:space="0" w:color="auto"/>
                            <w:right w:val="none" w:sz="0" w:space="0" w:color="auto"/>
                          </w:divBdr>
                          <w:divsChild>
                            <w:div w:id="1005204209">
                              <w:marLeft w:val="0"/>
                              <w:marRight w:val="0"/>
                              <w:marTop w:val="0"/>
                              <w:marBottom w:val="0"/>
                              <w:divBdr>
                                <w:top w:val="none" w:sz="0" w:space="0" w:color="auto"/>
                                <w:left w:val="none" w:sz="0" w:space="0" w:color="auto"/>
                                <w:bottom w:val="none" w:sz="0" w:space="0" w:color="auto"/>
                                <w:right w:val="none" w:sz="0" w:space="0" w:color="auto"/>
                              </w:divBdr>
                            </w:div>
                          </w:divsChild>
                        </w:div>
                        <w:div w:id="85267809">
                          <w:marLeft w:val="0"/>
                          <w:marRight w:val="0"/>
                          <w:marTop w:val="0"/>
                          <w:marBottom w:val="0"/>
                          <w:divBdr>
                            <w:top w:val="none" w:sz="0" w:space="0" w:color="auto"/>
                            <w:left w:val="none" w:sz="0" w:space="0" w:color="auto"/>
                            <w:bottom w:val="none" w:sz="0" w:space="0" w:color="auto"/>
                            <w:right w:val="none" w:sz="0" w:space="0" w:color="auto"/>
                          </w:divBdr>
                        </w:div>
                        <w:div w:id="914709628">
                          <w:marLeft w:val="0"/>
                          <w:marRight w:val="0"/>
                          <w:marTop w:val="0"/>
                          <w:marBottom w:val="0"/>
                          <w:divBdr>
                            <w:top w:val="none" w:sz="0" w:space="0" w:color="auto"/>
                            <w:left w:val="none" w:sz="0" w:space="0" w:color="auto"/>
                            <w:bottom w:val="none" w:sz="0" w:space="0" w:color="auto"/>
                            <w:right w:val="none" w:sz="0" w:space="0" w:color="auto"/>
                          </w:divBdr>
                        </w:div>
                        <w:div w:id="210195695">
                          <w:marLeft w:val="0"/>
                          <w:marRight w:val="0"/>
                          <w:marTop w:val="0"/>
                          <w:marBottom w:val="0"/>
                          <w:divBdr>
                            <w:top w:val="none" w:sz="0" w:space="0" w:color="auto"/>
                            <w:left w:val="none" w:sz="0" w:space="0" w:color="auto"/>
                            <w:bottom w:val="none" w:sz="0" w:space="0" w:color="auto"/>
                            <w:right w:val="none" w:sz="0" w:space="0" w:color="auto"/>
                          </w:divBdr>
                          <w:divsChild>
                            <w:div w:id="446511438">
                              <w:marLeft w:val="0"/>
                              <w:marRight w:val="0"/>
                              <w:marTop w:val="0"/>
                              <w:marBottom w:val="0"/>
                              <w:divBdr>
                                <w:top w:val="none" w:sz="0" w:space="0" w:color="auto"/>
                                <w:left w:val="none" w:sz="0" w:space="0" w:color="auto"/>
                                <w:bottom w:val="none" w:sz="0" w:space="0" w:color="auto"/>
                                <w:right w:val="none" w:sz="0" w:space="0" w:color="auto"/>
                              </w:divBdr>
                            </w:div>
                          </w:divsChild>
                        </w:div>
                        <w:div w:id="1813791476">
                          <w:marLeft w:val="0"/>
                          <w:marRight w:val="0"/>
                          <w:marTop w:val="0"/>
                          <w:marBottom w:val="0"/>
                          <w:divBdr>
                            <w:top w:val="none" w:sz="0" w:space="0" w:color="auto"/>
                            <w:left w:val="none" w:sz="0" w:space="0" w:color="auto"/>
                            <w:bottom w:val="none" w:sz="0" w:space="0" w:color="auto"/>
                            <w:right w:val="none" w:sz="0" w:space="0" w:color="auto"/>
                          </w:divBdr>
                        </w:div>
                        <w:div w:id="551891304">
                          <w:marLeft w:val="0"/>
                          <w:marRight w:val="0"/>
                          <w:marTop w:val="0"/>
                          <w:marBottom w:val="0"/>
                          <w:divBdr>
                            <w:top w:val="none" w:sz="0" w:space="0" w:color="auto"/>
                            <w:left w:val="none" w:sz="0" w:space="0" w:color="auto"/>
                            <w:bottom w:val="none" w:sz="0" w:space="0" w:color="auto"/>
                            <w:right w:val="none" w:sz="0" w:space="0" w:color="auto"/>
                          </w:divBdr>
                        </w:div>
                        <w:div w:id="984896770">
                          <w:marLeft w:val="0"/>
                          <w:marRight w:val="0"/>
                          <w:marTop w:val="0"/>
                          <w:marBottom w:val="0"/>
                          <w:divBdr>
                            <w:top w:val="none" w:sz="0" w:space="0" w:color="auto"/>
                            <w:left w:val="none" w:sz="0" w:space="0" w:color="auto"/>
                            <w:bottom w:val="none" w:sz="0" w:space="0" w:color="auto"/>
                            <w:right w:val="none" w:sz="0" w:space="0" w:color="auto"/>
                          </w:divBdr>
                          <w:divsChild>
                            <w:div w:id="100729504">
                              <w:marLeft w:val="0"/>
                              <w:marRight w:val="0"/>
                              <w:marTop w:val="0"/>
                              <w:marBottom w:val="0"/>
                              <w:divBdr>
                                <w:top w:val="none" w:sz="0" w:space="0" w:color="auto"/>
                                <w:left w:val="none" w:sz="0" w:space="0" w:color="auto"/>
                                <w:bottom w:val="none" w:sz="0" w:space="0" w:color="auto"/>
                                <w:right w:val="none" w:sz="0" w:space="0" w:color="auto"/>
                              </w:divBdr>
                            </w:div>
                          </w:divsChild>
                        </w:div>
                        <w:div w:id="1033916658">
                          <w:marLeft w:val="0"/>
                          <w:marRight w:val="0"/>
                          <w:marTop w:val="0"/>
                          <w:marBottom w:val="0"/>
                          <w:divBdr>
                            <w:top w:val="none" w:sz="0" w:space="0" w:color="auto"/>
                            <w:left w:val="none" w:sz="0" w:space="0" w:color="auto"/>
                            <w:bottom w:val="none" w:sz="0" w:space="0" w:color="auto"/>
                            <w:right w:val="none" w:sz="0" w:space="0" w:color="auto"/>
                          </w:divBdr>
                        </w:div>
                        <w:div w:id="1932397182">
                          <w:marLeft w:val="0"/>
                          <w:marRight w:val="0"/>
                          <w:marTop w:val="0"/>
                          <w:marBottom w:val="0"/>
                          <w:divBdr>
                            <w:top w:val="none" w:sz="0" w:space="0" w:color="auto"/>
                            <w:left w:val="none" w:sz="0" w:space="0" w:color="auto"/>
                            <w:bottom w:val="none" w:sz="0" w:space="0" w:color="auto"/>
                            <w:right w:val="none" w:sz="0" w:space="0" w:color="auto"/>
                          </w:divBdr>
                        </w:div>
                        <w:div w:id="1520781153">
                          <w:marLeft w:val="0"/>
                          <w:marRight w:val="0"/>
                          <w:marTop w:val="0"/>
                          <w:marBottom w:val="0"/>
                          <w:divBdr>
                            <w:top w:val="none" w:sz="0" w:space="0" w:color="auto"/>
                            <w:left w:val="none" w:sz="0" w:space="0" w:color="auto"/>
                            <w:bottom w:val="none" w:sz="0" w:space="0" w:color="auto"/>
                            <w:right w:val="none" w:sz="0" w:space="0" w:color="auto"/>
                          </w:divBdr>
                          <w:divsChild>
                            <w:div w:id="254365967">
                              <w:marLeft w:val="0"/>
                              <w:marRight w:val="0"/>
                              <w:marTop w:val="0"/>
                              <w:marBottom w:val="0"/>
                              <w:divBdr>
                                <w:top w:val="none" w:sz="0" w:space="0" w:color="auto"/>
                                <w:left w:val="none" w:sz="0" w:space="0" w:color="auto"/>
                                <w:bottom w:val="none" w:sz="0" w:space="0" w:color="auto"/>
                                <w:right w:val="none" w:sz="0" w:space="0" w:color="auto"/>
                              </w:divBdr>
                            </w:div>
                          </w:divsChild>
                        </w:div>
                        <w:div w:id="2100640157">
                          <w:marLeft w:val="0"/>
                          <w:marRight w:val="0"/>
                          <w:marTop w:val="0"/>
                          <w:marBottom w:val="0"/>
                          <w:divBdr>
                            <w:top w:val="none" w:sz="0" w:space="0" w:color="auto"/>
                            <w:left w:val="none" w:sz="0" w:space="0" w:color="auto"/>
                            <w:bottom w:val="none" w:sz="0" w:space="0" w:color="auto"/>
                            <w:right w:val="none" w:sz="0" w:space="0" w:color="auto"/>
                          </w:divBdr>
                        </w:div>
                        <w:div w:id="1665821306">
                          <w:marLeft w:val="0"/>
                          <w:marRight w:val="0"/>
                          <w:marTop w:val="0"/>
                          <w:marBottom w:val="0"/>
                          <w:divBdr>
                            <w:top w:val="none" w:sz="0" w:space="0" w:color="auto"/>
                            <w:left w:val="none" w:sz="0" w:space="0" w:color="auto"/>
                            <w:bottom w:val="none" w:sz="0" w:space="0" w:color="auto"/>
                            <w:right w:val="none" w:sz="0" w:space="0" w:color="auto"/>
                          </w:divBdr>
                        </w:div>
                        <w:div w:id="497695241">
                          <w:marLeft w:val="0"/>
                          <w:marRight w:val="0"/>
                          <w:marTop w:val="0"/>
                          <w:marBottom w:val="0"/>
                          <w:divBdr>
                            <w:top w:val="none" w:sz="0" w:space="0" w:color="auto"/>
                            <w:left w:val="none" w:sz="0" w:space="0" w:color="auto"/>
                            <w:bottom w:val="none" w:sz="0" w:space="0" w:color="auto"/>
                            <w:right w:val="none" w:sz="0" w:space="0" w:color="auto"/>
                          </w:divBdr>
                          <w:divsChild>
                            <w:div w:id="1639336786">
                              <w:marLeft w:val="0"/>
                              <w:marRight w:val="0"/>
                              <w:marTop w:val="0"/>
                              <w:marBottom w:val="0"/>
                              <w:divBdr>
                                <w:top w:val="none" w:sz="0" w:space="0" w:color="auto"/>
                                <w:left w:val="none" w:sz="0" w:space="0" w:color="auto"/>
                                <w:bottom w:val="none" w:sz="0" w:space="0" w:color="auto"/>
                                <w:right w:val="none" w:sz="0" w:space="0" w:color="auto"/>
                              </w:divBdr>
                            </w:div>
                          </w:divsChild>
                        </w:div>
                        <w:div w:id="36273931">
                          <w:marLeft w:val="0"/>
                          <w:marRight w:val="0"/>
                          <w:marTop w:val="0"/>
                          <w:marBottom w:val="0"/>
                          <w:divBdr>
                            <w:top w:val="none" w:sz="0" w:space="0" w:color="auto"/>
                            <w:left w:val="none" w:sz="0" w:space="0" w:color="auto"/>
                            <w:bottom w:val="none" w:sz="0" w:space="0" w:color="auto"/>
                            <w:right w:val="none" w:sz="0" w:space="0" w:color="auto"/>
                          </w:divBdr>
                        </w:div>
                        <w:div w:id="857158040">
                          <w:marLeft w:val="0"/>
                          <w:marRight w:val="0"/>
                          <w:marTop w:val="0"/>
                          <w:marBottom w:val="0"/>
                          <w:divBdr>
                            <w:top w:val="none" w:sz="0" w:space="0" w:color="auto"/>
                            <w:left w:val="none" w:sz="0" w:space="0" w:color="auto"/>
                            <w:bottom w:val="none" w:sz="0" w:space="0" w:color="auto"/>
                            <w:right w:val="none" w:sz="0" w:space="0" w:color="auto"/>
                          </w:divBdr>
                          <w:divsChild>
                            <w:div w:id="1722555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6137629">
                      <w:marLeft w:val="0"/>
                      <w:marRight w:val="0"/>
                      <w:marTop w:val="0"/>
                      <w:marBottom w:val="0"/>
                      <w:divBdr>
                        <w:top w:val="none" w:sz="0" w:space="0" w:color="auto"/>
                        <w:left w:val="none" w:sz="0" w:space="0" w:color="auto"/>
                        <w:bottom w:val="none" w:sz="0" w:space="0" w:color="auto"/>
                        <w:right w:val="none" w:sz="0" w:space="0" w:color="auto"/>
                      </w:divBdr>
                      <w:divsChild>
                        <w:div w:id="363214760">
                          <w:marLeft w:val="0"/>
                          <w:marRight w:val="0"/>
                          <w:marTop w:val="0"/>
                          <w:marBottom w:val="0"/>
                          <w:divBdr>
                            <w:top w:val="none" w:sz="0" w:space="0" w:color="auto"/>
                            <w:left w:val="none" w:sz="0" w:space="0" w:color="auto"/>
                            <w:bottom w:val="none" w:sz="0" w:space="0" w:color="auto"/>
                            <w:right w:val="none" w:sz="0" w:space="0" w:color="auto"/>
                          </w:divBdr>
                        </w:div>
                        <w:div w:id="871647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5107798">
                  <w:marLeft w:val="0"/>
                  <w:marRight w:val="0"/>
                  <w:marTop w:val="0"/>
                  <w:marBottom w:val="0"/>
                  <w:divBdr>
                    <w:top w:val="none" w:sz="0" w:space="0" w:color="auto"/>
                    <w:left w:val="none" w:sz="0" w:space="0" w:color="auto"/>
                    <w:bottom w:val="none" w:sz="0" w:space="0" w:color="auto"/>
                    <w:right w:val="none" w:sz="0" w:space="0" w:color="auto"/>
                  </w:divBdr>
                  <w:divsChild>
                    <w:div w:id="369503027">
                      <w:marLeft w:val="0"/>
                      <w:marRight w:val="0"/>
                      <w:marTop w:val="0"/>
                      <w:marBottom w:val="0"/>
                      <w:divBdr>
                        <w:top w:val="none" w:sz="0" w:space="0" w:color="auto"/>
                        <w:left w:val="none" w:sz="0" w:space="0" w:color="auto"/>
                        <w:bottom w:val="none" w:sz="0" w:space="0" w:color="auto"/>
                        <w:right w:val="none" w:sz="0" w:space="0" w:color="auto"/>
                      </w:divBdr>
                      <w:divsChild>
                        <w:div w:id="1736314486">
                          <w:marLeft w:val="0"/>
                          <w:marRight w:val="0"/>
                          <w:marTop w:val="0"/>
                          <w:marBottom w:val="0"/>
                          <w:divBdr>
                            <w:top w:val="none" w:sz="0" w:space="0" w:color="auto"/>
                            <w:left w:val="none" w:sz="0" w:space="0" w:color="auto"/>
                            <w:bottom w:val="none" w:sz="0" w:space="0" w:color="auto"/>
                            <w:right w:val="none" w:sz="0" w:space="0" w:color="auto"/>
                          </w:divBdr>
                          <w:divsChild>
                            <w:div w:id="2112504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1550721">
              <w:marLeft w:val="0"/>
              <w:marRight w:val="0"/>
              <w:marTop w:val="0"/>
              <w:marBottom w:val="0"/>
              <w:divBdr>
                <w:top w:val="none" w:sz="0" w:space="0" w:color="auto"/>
                <w:left w:val="none" w:sz="0" w:space="0" w:color="auto"/>
                <w:bottom w:val="none" w:sz="0" w:space="0" w:color="auto"/>
                <w:right w:val="none" w:sz="0" w:space="0" w:color="auto"/>
              </w:divBdr>
              <w:divsChild>
                <w:div w:id="389694874">
                  <w:marLeft w:val="0"/>
                  <w:marRight w:val="0"/>
                  <w:marTop w:val="0"/>
                  <w:marBottom w:val="0"/>
                  <w:divBdr>
                    <w:top w:val="none" w:sz="0" w:space="0" w:color="auto"/>
                    <w:left w:val="none" w:sz="0" w:space="0" w:color="auto"/>
                    <w:bottom w:val="none" w:sz="0" w:space="0" w:color="auto"/>
                    <w:right w:val="none" w:sz="0" w:space="0" w:color="auto"/>
                  </w:divBdr>
                  <w:divsChild>
                    <w:div w:id="695890639">
                      <w:marLeft w:val="0"/>
                      <w:marRight w:val="0"/>
                      <w:marTop w:val="0"/>
                      <w:marBottom w:val="0"/>
                      <w:divBdr>
                        <w:top w:val="none" w:sz="0" w:space="0" w:color="auto"/>
                        <w:left w:val="none" w:sz="0" w:space="0" w:color="auto"/>
                        <w:bottom w:val="none" w:sz="0" w:space="0" w:color="auto"/>
                        <w:right w:val="none" w:sz="0" w:space="0" w:color="auto"/>
                      </w:divBdr>
                    </w:div>
                    <w:div w:id="334499544">
                      <w:marLeft w:val="0"/>
                      <w:marRight w:val="0"/>
                      <w:marTop w:val="0"/>
                      <w:marBottom w:val="0"/>
                      <w:divBdr>
                        <w:top w:val="none" w:sz="0" w:space="0" w:color="auto"/>
                        <w:left w:val="none" w:sz="0" w:space="0" w:color="auto"/>
                        <w:bottom w:val="none" w:sz="0" w:space="0" w:color="auto"/>
                        <w:right w:val="none" w:sz="0" w:space="0" w:color="auto"/>
                      </w:divBdr>
                    </w:div>
                    <w:div w:id="2113890702">
                      <w:marLeft w:val="0"/>
                      <w:marRight w:val="0"/>
                      <w:marTop w:val="0"/>
                      <w:marBottom w:val="0"/>
                      <w:divBdr>
                        <w:top w:val="none" w:sz="0" w:space="0" w:color="auto"/>
                        <w:left w:val="none" w:sz="0" w:space="0" w:color="auto"/>
                        <w:bottom w:val="none" w:sz="0" w:space="0" w:color="auto"/>
                        <w:right w:val="none" w:sz="0" w:space="0" w:color="auto"/>
                      </w:divBdr>
                      <w:divsChild>
                        <w:div w:id="428158491">
                          <w:marLeft w:val="0"/>
                          <w:marRight w:val="0"/>
                          <w:marTop w:val="0"/>
                          <w:marBottom w:val="0"/>
                          <w:divBdr>
                            <w:top w:val="none" w:sz="0" w:space="0" w:color="auto"/>
                            <w:left w:val="none" w:sz="0" w:space="0" w:color="auto"/>
                            <w:bottom w:val="none" w:sz="0" w:space="0" w:color="auto"/>
                            <w:right w:val="none" w:sz="0" w:space="0" w:color="auto"/>
                          </w:divBdr>
                        </w:div>
                        <w:div w:id="1834641853">
                          <w:marLeft w:val="0"/>
                          <w:marRight w:val="0"/>
                          <w:marTop w:val="0"/>
                          <w:marBottom w:val="0"/>
                          <w:divBdr>
                            <w:top w:val="none" w:sz="0" w:space="0" w:color="auto"/>
                            <w:left w:val="none" w:sz="0" w:space="0" w:color="auto"/>
                            <w:bottom w:val="none" w:sz="0" w:space="0" w:color="auto"/>
                            <w:right w:val="none" w:sz="0" w:space="0" w:color="auto"/>
                          </w:divBdr>
                        </w:div>
                        <w:div w:id="1957062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1641698">
                  <w:marLeft w:val="0"/>
                  <w:marRight w:val="0"/>
                  <w:marTop w:val="0"/>
                  <w:marBottom w:val="0"/>
                  <w:divBdr>
                    <w:top w:val="none" w:sz="0" w:space="0" w:color="auto"/>
                    <w:left w:val="none" w:sz="0" w:space="0" w:color="auto"/>
                    <w:bottom w:val="none" w:sz="0" w:space="0" w:color="auto"/>
                    <w:right w:val="none" w:sz="0" w:space="0" w:color="auto"/>
                  </w:divBdr>
                  <w:divsChild>
                    <w:div w:id="1734692457">
                      <w:marLeft w:val="0"/>
                      <w:marRight w:val="0"/>
                      <w:marTop w:val="0"/>
                      <w:marBottom w:val="0"/>
                      <w:divBdr>
                        <w:top w:val="none" w:sz="0" w:space="0" w:color="auto"/>
                        <w:left w:val="none" w:sz="0" w:space="0" w:color="auto"/>
                        <w:bottom w:val="none" w:sz="0" w:space="0" w:color="auto"/>
                        <w:right w:val="none" w:sz="0" w:space="0" w:color="auto"/>
                      </w:divBdr>
                    </w:div>
                  </w:divsChild>
                </w:div>
                <w:div w:id="1631786099">
                  <w:marLeft w:val="0"/>
                  <w:marRight w:val="0"/>
                  <w:marTop w:val="0"/>
                  <w:marBottom w:val="0"/>
                  <w:divBdr>
                    <w:top w:val="none" w:sz="0" w:space="0" w:color="auto"/>
                    <w:left w:val="none" w:sz="0" w:space="0" w:color="auto"/>
                    <w:bottom w:val="none" w:sz="0" w:space="0" w:color="auto"/>
                    <w:right w:val="none" w:sz="0" w:space="0" w:color="auto"/>
                  </w:divBdr>
                  <w:divsChild>
                    <w:div w:id="1516965378">
                      <w:marLeft w:val="0"/>
                      <w:marRight w:val="0"/>
                      <w:marTop w:val="0"/>
                      <w:marBottom w:val="0"/>
                      <w:divBdr>
                        <w:top w:val="none" w:sz="0" w:space="0" w:color="auto"/>
                        <w:left w:val="none" w:sz="0" w:space="0" w:color="auto"/>
                        <w:bottom w:val="none" w:sz="0" w:space="0" w:color="auto"/>
                        <w:right w:val="none" w:sz="0" w:space="0" w:color="auto"/>
                      </w:divBdr>
                    </w:div>
                  </w:divsChild>
                </w:div>
                <w:div w:id="857767478">
                  <w:marLeft w:val="0"/>
                  <w:marRight w:val="0"/>
                  <w:marTop w:val="0"/>
                  <w:marBottom w:val="0"/>
                  <w:divBdr>
                    <w:top w:val="none" w:sz="0" w:space="0" w:color="auto"/>
                    <w:left w:val="none" w:sz="0" w:space="0" w:color="auto"/>
                    <w:bottom w:val="none" w:sz="0" w:space="0" w:color="auto"/>
                    <w:right w:val="none" w:sz="0" w:space="0" w:color="auto"/>
                  </w:divBdr>
                  <w:divsChild>
                    <w:div w:id="1896623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58016644">
      <w:bodyDiv w:val="1"/>
      <w:marLeft w:val="0"/>
      <w:marRight w:val="0"/>
      <w:marTop w:val="0"/>
      <w:marBottom w:val="0"/>
      <w:divBdr>
        <w:top w:val="none" w:sz="0" w:space="0" w:color="auto"/>
        <w:left w:val="none" w:sz="0" w:space="0" w:color="auto"/>
        <w:bottom w:val="none" w:sz="0" w:space="0" w:color="auto"/>
        <w:right w:val="none" w:sz="0" w:space="0" w:color="auto"/>
      </w:divBdr>
    </w:div>
    <w:div w:id="1797062691">
      <w:bodyDiv w:val="1"/>
      <w:marLeft w:val="0"/>
      <w:marRight w:val="0"/>
      <w:marTop w:val="0"/>
      <w:marBottom w:val="0"/>
      <w:divBdr>
        <w:top w:val="none" w:sz="0" w:space="0" w:color="auto"/>
        <w:left w:val="none" w:sz="0" w:space="0" w:color="auto"/>
        <w:bottom w:val="none" w:sz="0" w:space="0" w:color="auto"/>
        <w:right w:val="none" w:sz="0" w:space="0" w:color="auto"/>
      </w:divBdr>
      <w:divsChild>
        <w:div w:id="773981105">
          <w:marLeft w:val="0"/>
          <w:marRight w:val="0"/>
          <w:marTop w:val="0"/>
          <w:marBottom w:val="0"/>
          <w:divBdr>
            <w:top w:val="none" w:sz="0" w:space="0" w:color="auto"/>
            <w:left w:val="none" w:sz="0" w:space="0" w:color="auto"/>
            <w:bottom w:val="none" w:sz="0" w:space="0" w:color="auto"/>
            <w:right w:val="none" w:sz="0" w:space="0" w:color="auto"/>
          </w:divBdr>
        </w:div>
        <w:div w:id="441726804">
          <w:marLeft w:val="0"/>
          <w:marRight w:val="0"/>
          <w:marTop w:val="0"/>
          <w:marBottom w:val="0"/>
          <w:divBdr>
            <w:top w:val="none" w:sz="0" w:space="0" w:color="auto"/>
            <w:left w:val="none" w:sz="0" w:space="0" w:color="auto"/>
            <w:bottom w:val="none" w:sz="0" w:space="0" w:color="auto"/>
            <w:right w:val="none" w:sz="0" w:space="0" w:color="auto"/>
          </w:divBdr>
        </w:div>
        <w:div w:id="650400840">
          <w:marLeft w:val="0"/>
          <w:marRight w:val="0"/>
          <w:marTop w:val="0"/>
          <w:marBottom w:val="0"/>
          <w:divBdr>
            <w:top w:val="none" w:sz="0" w:space="0" w:color="auto"/>
            <w:left w:val="none" w:sz="0" w:space="0" w:color="auto"/>
            <w:bottom w:val="none" w:sz="0" w:space="0" w:color="auto"/>
            <w:right w:val="none" w:sz="0" w:space="0" w:color="auto"/>
          </w:divBdr>
        </w:div>
      </w:divsChild>
    </w:div>
    <w:div w:id="1806580638">
      <w:bodyDiv w:val="1"/>
      <w:marLeft w:val="0"/>
      <w:marRight w:val="0"/>
      <w:marTop w:val="0"/>
      <w:marBottom w:val="0"/>
      <w:divBdr>
        <w:top w:val="none" w:sz="0" w:space="0" w:color="auto"/>
        <w:left w:val="none" w:sz="0" w:space="0" w:color="auto"/>
        <w:bottom w:val="none" w:sz="0" w:space="0" w:color="auto"/>
        <w:right w:val="none" w:sz="0" w:space="0" w:color="auto"/>
      </w:divBdr>
      <w:divsChild>
        <w:div w:id="1659915385">
          <w:marLeft w:val="0"/>
          <w:marRight w:val="0"/>
          <w:marTop w:val="0"/>
          <w:marBottom w:val="0"/>
          <w:divBdr>
            <w:top w:val="none" w:sz="0" w:space="0" w:color="auto"/>
            <w:left w:val="none" w:sz="0" w:space="0" w:color="auto"/>
            <w:bottom w:val="none" w:sz="0" w:space="0" w:color="auto"/>
            <w:right w:val="none" w:sz="0" w:space="0" w:color="auto"/>
          </w:divBdr>
        </w:div>
        <w:div w:id="1749762640">
          <w:marLeft w:val="0"/>
          <w:marRight w:val="0"/>
          <w:marTop w:val="0"/>
          <w:marBottom w:val="0"/>
          <w:divBdr>
            <w:top w:val="none" w:sz="0" w:space="0" w:color="auto"/>
            <w:left w:val="none" w:sz="0" w:space="0" w:color="auto"/>
            <w:bottom w:val="none" w:sz="0" w:space="0" w:color="auto"/>
            <w:right w:val="none" w:sz="0" w:space="0" w:color="auto"/>
          </w:divBdr>
        </w:div>
        <w:div w:id="472989235">
          <w:marLeft w:val="0"/>
          <w:marRight w:val="0"/>
          <w:marTop w:val="0"/>
          <w:marBottom w:val="0"/>
          <w:divBdr>
            <w:top w:val="none" w:sz="0" w:space="0" w:color="auto"/>
            <w:left w:val="none" w:sz="0" w:space="0" w:color="auto"/>
            <w:bottom w:val="none" w:sz="0" w:space="0" w:color="auto"/>
            <w:right w:val="none" w:sz="0" w:space="0" w:color="auto"/>
          </w:divBdr>
        </w:div>
        <w:div w:id="1093014293">
          <w:marLeft w:val="0"/>
          <w:marRight w:val="0"/>
          <w:marTop w:val="0"/>
          <w:marBottom w:val="0"/>
          <w:divBdr>
            <w:top w:val="none" w:sz="0" w:space="0" w:color="auto"/>
            <w:left w:val="none" w:sz="0" w:space="0" w:color="auto"/>
            <w:bottom w:val="none" w:sz="0" w:space="0" w:color="auto"/>
            <w:right w:val="none" w:sz="0" w:space="0" w:color="auto"/>
          </w:divBdr>
        </w:div>
        <w:div w:id="367605089">
          <w:marLeft w:val="0"/>
          <w:marRight w:val="0"/>
          <w:marTop w:val="0"/>
          <w:marBottom w:val="0"/>
          <w:divBdr>
            <w:top w:val="none" w:sz="0" w:space="0" w:color="auto"/>
            <w:left w:val="none" w:sz="0" w:space="0" w:color="auto"/>
            <w:bottom w:val="none" w:sz="0" w:space="0" w:color="auto"/>
            <w:right w:val="none" w:sz="0" w:space="0" w:color="auto"/>
          </w:divBdr>
        </w:div>
        <w:div w:id="1541624019">
          <w:marLeft w:val="0"/>
          <w:marRight w:val="0"/>
          <w:marTop w:val="0"/>
          <w:marBottom w:val="0"/>
          <w:divBdr>
            <w:top w:val="none" w:sz="0" w:space="0" w:color="auto"/>
            <w:left w:val="none" w:sz="0" w:space="0" w:color="auto"/>
            <w:bottom w:val="none" w:sz="0" w:space="0" w:color="auto"/>
            <w:right w:val="none" w:sz="0" w:space="0" w:color="auto"/>
          </w:divBdr>
        </w:div>
        <w:div w:id="1584022955">
          <w:marLeft w:val="0"/>
          <w:marRight w:val="0"/>
          <w:marTop w:val="0"/>
          <w:marBottom w:val="0"/>
          <w:divBdr>
            <w:top w:val="none" w:sz="0" w:space="0" w:color="auto"/>
            <w:left w:val="none" w:sz="0" w:space="0" w:color="auto"/>
            <w:bottom w:val="none" w:sz="0" w:space="0" w:color="auto"/>
            <w:right w:val="none" w:sz="0" w:space="0" w:color="auto"/>
          </w:divBdr>
        </w:div>
        <w:div w:id="1021205760">
          <w:marLeft w:val="0"/>
          <w:marRight w:val="0"/>
          <w:marTop w:val="0"/>
          <w:marBottom w:val="0"/>
          <w:divBdr>
            <w:top w:val="none" w:sz="0" w:space="0" w:color="auto"/>
            <w:left w:val="none" w:sz="0" w:space="0" w:color="auto"/>
            <w:bottom w:val="none" w:sz="0" w:space="0" w:color="auto"/>
            <w:right w:val="none" w:sz="0" w:space="0" w:color="auto"/>
          </w:divBdr>
        </w:div>
        <w:div w:id="1900167186">
          <w:marLeft w:val="0"/>
          <w:marRight w:val="0"/>
          <w:marTop w:val="0"/>
          <w:marBottom w:val="0"/>
          <w:divBdr>
            <w:top w:val="none" w:sz="0" w:space="0" w:color="auto"/>
            <w:left w:val="none" w:sz="0" w:space="0" w:color="auto"/>
            <w:bottom w:val="none" w:sz="0" w:space="0" w:color="auto"/>
            <w:right w:val="none" w:sz="0" w:space="0" w:color="auto"/>
          </w:divBdr>
        </w:div>
        <w:div w:id="183784511">
          <w:marLeft w:val="0"/>
          <w:marRight w:val="0"/>
          <w:marTop w:val="0"/>
          <w:marBottom w:val="0"/>
          <w:divBdr>
            <w:top w:val="none" w:sz="0" w:space="0" w:color="auto"/>
            <w:left w:val="none" w:sz="0" w:space="0" w:color="auto"/>
            <w:bottom w:val="none" w:sz="0" w:space="0" w:color="auto"/>
            <w:right w:val="none" w:sz="0" w:space="0" w:color="auto"/>
          </w:divBdr>
        </w:div>
        <w:div w:id="502160743">
          <w:marLeft w:val="0"/>
          <w:marRight w:val="0"/>
          <w:marTop w:val="0"/>
          <w:marBottom w:val="0"/>
          <w:divBdr>
            <w:top w:val="none" w:sz="0" w:space="0" w:color="auto"/>
            <w:left w:val="none" w:sz="0" w:space="0" w:color="auto"/>
            <w:bottom w:val="none" w:sz="0" w:space="0" w:color="auto"/>
            <w:right w:val="none" w:sz="0" w:space="0" w:color="auto"/>
          </w:divBdr>
        </w:div>
        <w:div w:id="1514685631">
          <w:marLeft w:val="0"/>
          <w:marRight w:val="0"/>
          <w:marTop w:val="0"/>
          <w:marBottom w:val="0"/>
          <w:divBdr>
            <w:top w:val="none" w:sz="0" w:space="0" w:color="auto"/>
            <w:left w:val="none" w:sz="0" w:space="0" w:color="auto"/>
            <w:bottom w:val="none" w:sz="0" w:space="0" w:color="auto"/>
            <w:right w:val="none" w:sz="0" w:space="0" w:color="auto"/>
          </w:divBdr>
        </w:div>
      </w:divsChild>
    </w:div>
    <w:div w:id="1844467437">
      <w:bodyDiv w:val="1"/>
      <w:marLeft w:val="0"/>
      <w:marRight w:val="0"/>
      <w:marTop w:val="0"/>
      <w:marBottom w:val="0"/>
      <w:divBdr>
        <w:top w:val="none" w:sz="0" w:space="0" w:color="auto"/>
        <w:left w:val="none" w:sz="0" w:space="0" w:color="auto"/>
        <w:bottom w:val="none" w:sz="0" w:space="0" w:color="auto"/>
        <w:right w:val="none" w:sz="0" w:space="0" w:color="auto"/>
      </w:divBdr>
      <w:divsChild>
        <w:div w:id="511383203">
          <w:marLeft w:val="0"/>
          <w:marRight w:val="0"/>
          <w:marTop w:val="0"/>
          <w:marBottom w:val="0"/>
          <w:divBdr>
            <w:top w:val="none" w:sz="0" w:space="0" w:color="auto"/>
            <w:left w:val="none" w:sz="0" w:space="0" w:color="auto"/>
            <w:bottom w:val="none" w:sz="0" w:space="0" w:color="auto"/>
            <w:right w:val="none" w:sz="0" w:space="0" w:color="auto"/>
          </w:divBdr>
        </w:div>
        <w:div w:id="50203054">
          <w:marLeft w:val="0"/>
          <w:marRight w:val="0"/>
          <w:marTop w:val="0"/>
          <w:marBottom w:val="0"/>
          <w:divBdr>
            <w:top w:val="none" w:sz="0" w:space="0" w:color="auto"/>
            <w:left w:val="none" w:sz="0" w:space="0" w:color="auto"/>
            <w:bottom w:val="none" w:sz="0" w:space="0" w:color="auto"/>
            <w:right w:val="none" w:sz="0" w:space="0" w:color="auto"/>
          </w:divBdr>
        </w:div>
      </w:divsChild>
    </w:div>
    <w:div w:id="1845363728">
      <w:bodyDiv w:val="1"/>
      <w:marLeft w:val="0"/>
      <w:marRight w:val="0"/>
      <w:marTop w:val="0"/>
      <w:marBottom w:val="0"/>
      <w:divBdr>
        <w:top w:val="none" w:sz="0" w:space="0" w:color="auto"/>
        <w:left w:val="none" w:sz="0" w:space="0" w:color="auto"/>
        <w:bottom w:val="none" w:sz="0" w:space="0" w:color="auto"/>
        <w:right w:val="none" w:sz="0" w:space="0" w:color="auto"/>
      </w:divBdr>
    </w:div>
    <w:div w:id="1862543561">
      <w:bodyDiv w:val="1"/>
      <w:marLeft w:val="0"/>
      <w:marRight w:val="0"/>
      <w:marTop w:val="0"/>
      <w:marBottom w:val="0"/>
      <w:divBdr>
        <w:top w:val="none" w:sz="0" w:space="0" w:color="auto"/>
        <w:left w:val="none" w:sz="0" w:space="0" w:color="auto"/>
        <w:bottom w:val="none" w:sz="0" w:space="0" w:color="auto"/>
        <w:right w:val="none" w:sz="0" w:space="0" w:color="auto"/>
      </w:divBdr>
    </w:div>
    <w:div w:id="1886066505">
      <w:bodyDiv w:val="1"/>
      <w:marLeft w:val="0"/>
      <w:marRight w:val="0"/>
      <w:marTop w:val="0"/>
      <w:marBottom w:val="0"/>
      <w:divBdr>
        <w:top w:val="none" w:sz="0" w:space="0" w:color="auto"/>
        <w:left w:val="none" w:sz="0" w:space="0" w:color="auto"/>
        <w:bottom w:val="none" w:sz="0" w:space="0" w:color="auto"/>
        <w:right w:val="none" w:sz="0" w:space="0" w:color="auto"/>
      </w:divBdr>
    </w:div>
    <w:div w:id="1896164048">
      <w:bodyDiv w:val="1"/>
      <w:marLeft w:val="0"/>
      <w:marRight w:val="0"/>
      <w:marTop w:val="0"/>
      <w:marBottom w:val="0"/>
      <w:divBdr>
        <w:top w:val="none" w:sz="0" w:space="0" w:color="auto"/>
        <w:left w:val="none" w:sz="0" w:space="0" w:color="auto"/>
        <w:bottom w:val="none" w:sz="0" w:space="0" w:color="auto"/>
        <w:right w:val="none" w:sz="0" w:space="0" w:color="auto"/>
      </w:divBdr>
    </w:div>
    <w:div w:id="1921476608">
      <w:bodyDiv w:val="1"/>
      <w:marLeft w:val="0"/>
      <w:marRight w:val="0"/>
      <w:marTop w:val="0"/>
      <w:marBottom w:val="0"/>
      <w:divBdr>
        <w:top w:val="none" w:sz="0" w:space="0" w:color="auto"/>
        <w:left w:val="none" w:sz="0" w:space="0" w:color="auto"/>
        <w:bottom w:val="none" w:sz="0" w:space="0" w:color="auto"/>
        <w:right w:val="none" w:sz="0" w:space="0" w:color="auto"/>
      </w:divBdr>
    </w:div>
    <w:div w:id="1994873308">
      <w:bodyDiv w:val="1"/>
      <w:marLeft w:val="0"/>
      <w:marRight w:val="0"/>
      <w:marTop w:val="0"/>
      <w:marBottom w:val="0"/>
      <w:divBdr>
        <w:top w:val="none" w:sz="0" w:space="0" w:color="auto"/>
        <w:left w:val="none" w:sz="0" w:space="0" w:color="auto"/>
        <w:bottom w:val="none" w:sz="0" w:space="0" w:color="auto"/>
        <w:right w:val="none" w:sz="0" w:space="0" w:color="auto"/>
      </w:divBdr>
    </w:div>
    <w:div w:id="2015181907">
      <w:bodyDiv w:val="1"/>
      <w:marLeft w:val="0"/>
      <w:marRight w:val="0"/>
      <w:marTop w:val="0"/>
      <w:marBottom w:val="0"/>
      <w:divBdr>
        <w:top w:val="none" w:sz="0" w:space="0" w:color="auto"/>
        <w:left w:val="none" w:sz="0" w:space="0" w:color="auto"/>
        <w:bottom w:val="none" w:sz="0" w:space="0" w:color="auto"/>
        <w:right w:val="none" w:sz="0" w:space="0" w:color="auto"/>
      </w:divBdr>
    </w:div>
    <w:div w:id="2025088720">
      <w:bodyDiv w:val="1"/>
      <w:marLeft w:val="0"/>
      <w:marRight w:val="0"/>
      <w:marTop w:val="0"/>
      <w:marBottom w:val="0"/>
      <w:divBdr>
        <w:top w:val="none" w:sz="0" w:space="0" w:color="auto"/>
        <w:left w:val="none" w:sz="0" w:space="0" w:color="auto"/>
        <w:bottom w:val="none" w:sz="0" w:space="0" w:color="auto"/>
        <w:right w:val="none" w:sz="0" w:space="0" w:color="auto"/>
      </w:divBdr>
    </w:div>
    <w:div w:id="2039433080">
      <w:bodyDiv w:val="1"/>
      <w:marLeft w:val="0"/>
      <w:marRight w:val="0"/>
      <w:marTop w:val="0"/>
      <w:marBottom w:val="0"/>
      <w:divBdr>
        <w:top w:val="none" w:sz="0" w:space="0" w:color="auto"/>
        <w:left w:val="none" w:sz="0" w:space="0" w:color="auto"/>
        <w:bottom w:val="none" w:sz="0" w:space="0" w:color="auto"/>
        <w:right w:val="none" w:sz="0" w:space="0" w:color="auto"/>
      </w:divBdr>
      <w:divsChild>
        <w:div w:id="1453939577">
          <w:marLeft w:val="0"/>
          <w:marRight w:val="0"/>
          <w:marTop w:val="0"/>
          <w:marBottom w:val="0"/>
          <w:divBdr>
            <w:top w:val="none" w:sz="0" w:space="0" w:color="auto"/>
            <w:left w:val="none" w:sz="0" w:space="0" w:color="auto"/>
            <w:bottom w:val="none" w:sz="0" w:space="0" w:color="auto"/>
            <w:right w:val="none" w:sz="0" w:space="0" w:color="auto"/>
          </w:divBdr>
        </w:div>
        <w:div w:id="1124495505">
          <w:marLeft w:val="0"/>
          <w:marRight w:val="0"/>
          <w:marTop w:val="0"/>
          <w:marBottom w:val="0"/>
          <w:divBdr>
            <w:top w:val="none" w:sz="0" w:space="0" w:color="auto"/>
            <w:left w:val="none" w:sz="0" w:space="0" w:color="auto"/>
            <w:bottom w:val="none" w:sz="0" w:space="0" w:color="auto"/>
            <w:right w:val="none" w:sz="0" w:space="0" w:color="auto"/>
          </w:divBdr>
        </w:div>
        <w:div w:id="293757008">
          <w:marLeft w:val="0"/>
          <w:marRight w:val="0"/>
          <w:marTop w:val="0"/>
          <w:marBottom w:val="0"/>
          <w:divBdr>
            <w:top w:val="none" w:sz="0" w:space="0" w:color="auto"/>
            <w:left w:val="none" w:sz="0" w:space="0" w:color="auto"/>
            <w:bottom w:val="none" w:sz="0" w:space="0" w:color="auto"/>
            <w:right w:val="none" w:sz="0" w:space="0" w:color="auto"/>
          </w:divBdr>
        </w:div>
        <w:div w:id="160436560">
          <w:marLeft w:val="0"/>
          <w:marRight w:val="0"/>
          <w:marTop w:val="0"/>
          <w:marBottom w:val="0"/>
          <w:divBdr>
            <w:top w:val="none" w:sz="0" w:space="0" w:color="auto"/>
            <w:left w:val="none" w:sz="0" w:space="0" w:color="auto"/>
            <w:bottom w:val="none" w:sz="0" w:space="0" w:color="auto"/>
            <w:right w:val="none" w:sz="0" w:space="0" w:color="auto"/>
          </w:divBdr>
        </w:div>
        <w:div w:id="621766270">
          <w:marLeft w:val="0"/>
          <w:marRight w:val="0"/>
          <w:marTop w:val="0"/>
          <w:marBottom w:val="0"/>
          <w:divBdr>
            <w:top w:val="none" w:sz="0" w:space="0" w:color="auto"/>
            <w:left w:val="none" w:sz="0" w:space="0" w:color="auto"/>
            <w:bottom w:val="none" w:sz="0" w:space="0" w:color="auto"/>
            <w:right w:val="none" w:sz="0" w:space="0" w:color="auto"/>
          </w:divBdr>
        </w:div>
        <w:div w:id="529728565">
          <w:marLeft w:val="0"/>
          <w:marRight w:val="0"/>
          <w:marTop w:val="0"/>
          <w:marBottom w:val="0"/>
          <w:divBdr>
            <w:top w:val="none" w:sz="0" w:space="0" w:color="auto"/>
            <w:left w:val="none" w:sz="0" w:space="0" w:color="auto"/>
            <w:bottom w:val="none" w:sz="0" w:space="0" w:color="auto"/>
            <w:right w:val="none" w:sz="0" w:space="0" w:color="auto"/>
          </w:divBdr>
        </w:div>
        <w:div w:id="1584409426">
          <w:marLeft w:val="0"/>
          <w:marRight w:val="0"/>
          <w:marTop w:val="0"/>
          <w:marBottom w:val="0"/>
          <w:divBdr>
            <w:top w:val="none" w:sz="0" w:space="0" w:color="auto"/>
            <w:left w:val="none" w:sz="0" w:space="0" w:color="auto"/>
            <w:bottom w:val="none" w:sz="0" w:space="0" w:color="auto"/>
            <w:right w:val="none" w:sz="0" w:space="0" w:color="auto"/>
          </w:divBdr>
        </w:div>
        <w:div w:id="1958559290">
          <w:marLeft w:val="0"/>
          <w:marRight w:val="0"/>
          <w:marTop w:val="0"/>
          <w:marBottom w:val="0"/>
          <w:divBdr>
            <w:top w:val="none" w:sz="0" w:space="0" w:color="auto"/>
            <w:left w:val="none" w:sz="0" w:space="0" w:color="auto"/>
            <w:bottom w:val="none" w:sz="0" w:space="0" w:color="auto"/>
            <w:right w:val="none" w:sz="0" w:space="0" w:color="auto"/>
          </w:divBdr>
        </w:div>
        <w:div w:id="1495486351">
          <w:marLeft w:val="0"/>
          <w:marRight w:val="0"/>
          <w:marTop w:val="0"/>
          <w:marBottom w:val="0"/>
          <w:divBdr>
            <w:top w:val="none" w:sz="0" w:space="0" w:color="auto"/>
            <w:left w:val="none" w:sz="0" w:space="0" w:color="auto"/>
            <w:bottom w:val="none" w:sz="0" w:space="0" w:color="auto"/>
            <w:right w:val="none" w:sz="0" w:space="0" w:color="auto"/>
          </w:divBdr>
        </w:div>
        <w:div w:id="845704106">
          <w:marLeft w:val="0"/>
          <w:marRight w:val="0"/>
          <w:marTop w:val="0"/>
          <w:marBottom w:val="0"/>
          <w:divBdr>
            <w:top w:val="none" w:sz="0" w:space="0" w:color="auto"/>
            <w:left w:val="none" w:sz="0" w:space="0" w:color="auto"/>
            <w:bottom w:val="none" w:sz="0" w:space="0" w:color="auto"/>
            <w:right w:val="none" w:sz="0" w:space="0" w:color="auto"/>
          </w:divBdr>
        </w:div>
      </w:divsChild>
    </w:div>
    <w:div w:id="2040816566">
      <w:bodyDiv w:val="1"/>
      <w:marLeft w:val="0"/>
      <w:marRight w:val="0"/>
      <w:marTop w:val="0"/>
      <w:marBottom w:val="0"/>
      <w:divBdr>
        <w:top w:val="none" w:sz="0" w:space="0" w:color="auto"/>
        <w:left w:val="none" w:sz="0" w:space="0" w:color="auto"/>
        <w:bottom w:val="none" w:sz="0" w:space="0" w:color="auto"/>
        <w:right w:val="none" w:sz="0" w:space="0" w:color="auto"/>
      </w:divBdr>
      <w:divsChild>
        <w:div w:id="1099714862">
          <w:marLeft w:val="0"/>
          <w:marRight w:val="0"/>
          <w:marTop w:val="0"/>
          <w:marBottom w:val="0"/>
          <w:divBdr>
            <w:top w:val="none" w:sz="0" w:space="0" w:color="auto"/>
            <w:left w:val="none" w:sz="0" w:space="0" w:color="auto"/>
            <w:bottom w:val="none" w:sz="0" w:space="0" w:color="auto"/>
            <w:right w:val="none" w:sz="0" w:space="0" w:color="auto"/>
          </w:divBdr>
          <w:divsChild>
            <w:div w:id="1280914938">
              <w:marLeft w:val="0"/>
              <w:marRight w:val="0"/>
              <w:marTop w:val="0"/>
              <w:marBottom w:val="0"/>
              <w:divBdr>
                <w:top w:val="none" w:sz="0" w:space="0" w:color="auto"/>
                <w:left w:val="none" w:sz="0" w:space="0" w:color="auto"/>
                <w:bottom w:val="none" w:sz="0" w:space="0" w:color="auto"/>
                <w:right w:val="none" w:sz="0" w:space="0" w:color="auto"/>
              </w:divBdr>
            </w:div>
            <w:div w:id="1304894708">
              <w:marLeft w:val="0"/>
              <w:marRight w:val="0"/>
              <w:marTop w:val="0"/>
              <w:marBottom w:val="0"/>
              <w:divBdr>
                <w:top w:val="none" w:sz="0" w:space="0" w:color="auto"/>
                <w:left w:val="none" w:sz="0" w:space="0" w:color="auto"/>
                <w:bottom w:val="none" w:sz="0" w:space="0" w:color="auto"/>
                <w:right w:val="none" w:sz="0" w:space="0" w:color="auto"/>
              </w:divBdr>
            </w:div>
            <w:div w:id="1538003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85153">
      <w:bodyDiv w:val="1"/>
      <w:marLeft w:val="0"/>
      <w:marRight w:val="0"/>
      <w:marTop w:val="0"/>
      <w:marBottom w:val="0"/>
      <w:divBdr>
        <w:top w:val="none" w:sz="0" w:space="0" w:color="auto"/>
        <w:left w:val="none" w:sz="0" w:space="0" w:color="auto"/>
        <w:bottom w:val="none" w:sz="0" w:space="0" w:color="auto"/>
        <w:right w:val="none" w:sz="0" w:space="0" w:color="auto"/>
      </w:divBdr>
      <w:divsChild>
        <w:div w:id="1246187260">
          <w:marLeft w:val="0"/>
          <w:marRight w:val="0"/>
          <w:marTop w:val="0"/>
          <w:marBottom w:val="0"/>
          <w:divBdr>
            <w:top w:val="none" w:sz="0" w:space="0" w:color="auto"/>
            <w:left w:val="none" w:sz="0" w:space="0" w:color="auto"/>
            <w:bottom w:val="none" w:sz="0" w:space="0" w:color="auto"/>
            <w:right w:val="none" w:sz="0" w:space="0" w:color="auto"/>
          </w:divBdr>
        </w:div>
        <w:div w:id="954409282">
          <w:marLeft w:val="0"/>
          <w:marRight w:val="0"/>
          <w:marTop w:val="0"/>
          <w:marBottom w:val="0"/>
          <w:divBdr>
            <w:top w:val="none" w:sz="0" w:space="0" w:color="auto"/>
            <w:left w:val="none" w:sz="0" w:space="0" w:color="auto"/>
            <w:bottom w:val="none" w:sz="0" w:space="0" w:color="auto"/>
            <w:right w:val="none" w:sz="0" w:space="0" w:color="auto"/>
          </w:divBdr>
        </w:div>
        <w:div w:id="1979071871">
          <w:marLeft w:val="0"/>
          <w:marRight w:val="0"/>
          <w:marTop w:val="0"/>
          <w:marBottom w:val="0"/>
          <w:divBdr>
            <w:top w:val="none" w:sz="0" w:space="0" w:color="auto"/>
            <w:left w:val="none" w:sz="0" w:space="0" w:color="auto"/>
            <w:bottom w:val="none" w:sz="0" w:space="0" w:color="auto"/>
            <w:right w:val="none" w:sz="0" w:space="0" w:color="auto"/>
          </w:divBdr>
        </w:div>
        <w:div w:id="1291479438">
          <w:marLeft w:val="0"/>
          <w:marRight w:val="0"/>
          <w:marTop w:val="0"/>
          <w:marBottom w:val="0"/>
          <w:divBdr>
            <w:top w:val="none" w:sz="0" w:space="0" w:color="auto"/>
            <w:left w:val="none" w:sz="0" w:space="0" w:color="auto"/>
            <w:bottom w:val="none" w:sz="0" w:space="0" w:color="auto"/>
            <w:right w:val="none" w:sz="0" w:space="0" w:color="auto"/>
          </w:divBdr>
        </w:div>
        <w:div w:id="145244598">
          <w:marLeft w:val="0"/>
          <w:marRight w:val="0"/>
          <w:marTop w:val="0"/>
          <w:marBottom w:val="0"/>
          <w:divBdr>
            <w:top w:val="none" w:sz="0" w:space="0" w:color="auto"/>
            <w:left w:val="none" w:sz="0" w:space="0" w:color="auto"/>
            <w:bottom w:val="none" w:sz="0" w:space="0" w:color="auto"/>
            <w:right w:val="none" w:sz="0" w:space="0" w:color="auto"/>
          </w:divBdr>
        </w:div>
        <w:div w:id="2010480392">
          <w:marLeft w:val="0"/>
          <w:marRight w:val="0"/>
          <w:marTop w:val="0"/>
          <w:marBottom w:val="0"/>
          <w:divBdr>
            <w:top w:val="none" w:sz="0" w:space="0" w:color="auto"/>
            <w:left w:val="none" w:sz="0" w:space="0" w:color="auto"/>
            <w:bottom w:val="none" w:sz="0" w:space="0" w:color="auto"/>
            <w:right w:val="none" w:sz="0" w:space="0" w:color="auto"/>
          </w:divBdr>
        </w:div>
        <w:div w:id="169639668">
          <w:marLeft w:val="0"/>
          <w:marRight w:val="0"/>
          <w:marTop w:val="0"/>
          <w:marBottom w:val="0"/>
          <w:divBdr>
            <w:top w:val="none" w:sz="0" w:space="0" w:color="auto"/>
            <w:left w:val="none" w:sz="0" w:space="0" w:color="auto"/>
            <w:bottom w:val="none" w:sz="0" w:space="0" w:color="auto"/>
            <w:right w:val="none" w:sz="0" w:space="0" w:color="auto"/>
          </w:divBdr>
        </w:div>
      </w:divsChild>
    </w:div>
    <w:div w:id="2077699294">
      <w:bodyDiv w:val="1"/>
      <w:marLeft w:val="0"/>
      <w:marRight w:val="0"/>
      <w:marTop w:val="0"/>
      <w:marBottom w:val="0"/>
      <w:divBdr>
        <w:top w:val="none" w:sz="0" w:space="0" w:color="auto"/>
        <w:left w:val="none" w:sz="0" w:space="0" w:color="auto"/>
        <w:bottom w:val="none" w:sz="0" w:space="0" w:color="auto"/>
        <w:right w:val="none" w:sz="0" w:space="0" w:color="auto"/>
      </w:divBdr>
    </w:div>
    <w:div w:id="2106723260">
      <w:bodyDiv w:val="1"/>
      <w:marLeft w:val="0"/>
      <w:marRight w:val="0"/>
      <w:marTop w:val="0"/>
      <w:marBottom w:val="0"/>
      <w:divBdr>
        <w:top w:val="none" w:sz="0" w:space="0" w:color="auto"/>
        <w:left w:val="none" w:sz="0" w:space="0" w:color="auto"/>
        <w:bottom w:val="none" w:sz="0" w:space="0" w:color="auto"/>
        <w:right w:val="none" w:sz="0" w:space="0" w:color="auto"/>
      </w:divBdr>
      <w:divsChild>
        <w:div w:id="589123956">
          <w:marLeft w:val="0"/>
          <w:marRight w:val="0"/>
          <w:marTop w:val="0"/>
          <w:marBottom w:val="0"/>
          <w:divBdr>
            <w:top w:val="none" w:sz="0" w:space="0" w:color="auto"/>
            <w:left w:val="none" w:sz="0" w:space="0" w:color="auto"/>
            <w:bottom w:val="none" w:sz="0" w:space="0" w:color="auto"/>
            <w:right w:val="none" w:sz="0" w:space="0" w:color="auto"/>
          </w:divBdr>
        </w:div>
        <w:div w:id="1883861664">
          <w:marLeft w:val="0"/>
          <w:marRight w:val="0"/>
          <w:marTop w:val="0"/>
          <w:marBottom w:val="0"/>
          <w:divBdr>
            <w:top w:val="none" w:sz="0" w:space="0" w:color="auto"/>
            <w:left w:val="none" w:sz="0" w:space="0" w:color="auto"/>
            <w:bottom w:val="none" w:sz="0" w:space="0" w:color="auto"/>
            <w:right w:val="none" w:sz="0" w:space="0" w:color="auto"/>
          </w:divBdr>
        </w:div>
      </w:divsChild>
    </w:div>
    <w:div w:id="21306587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18" Type="http://schemas.openxmlformats.org/officeDocument/2006/relationships/image" Target="media/image2.png"/><Relationship Id="rId26" Type="http://schemas.openxmlformats.org/officeDocument/2006/relationships/image" Target="media/image10.png"/><Relationship Id="rId3" Type="http://schemas.openxmlformats.org/officeDocument/2006/relationships/customXml" Target="../customXml/item3.xml"/><Relationship Id="rId21" Type="http://schemas.openxmlformats.org/officeDocument/2006/relationships/image" Target="media/image5.jpg"/><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oter" Target="footer4.xml"/><Relationship Id="rId25" Type="http://schemas.openxmlformats.org/officeDocument/2006/relationships/image" Target="media/image9.png"/><Relationship Id="rId33" Type="http://schemas.openxmlformats.org/officeDocument/2006/relationships/footer" Target="footer7.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image" Target="media/image4.jpg"/><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8.png"/><Relationship Id="rId32" Type="http://schemas.openxmlformats.org/officeDocument/2006/relationships/footer" Target="footer6.xml"/><Relationship Id="rId5" Type="http://schemas.openxmlformats.org/officeDocument/2006/relationships/numbering" Target="numbering.xml"/><Relationship Id="rId15" Type="http://schemas.openxmlformats.org/officeDocument/2006/relationships/footer" Target="footer3.xm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3.jpg"/><Relationship Id="rId31" Type="http://schemas.openxmlformats.org/officeDocument/2006/relationships/footer" Target="footer5.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espon.eu" TargetMode="External"/><Relationship Id="rId22" Type="http://schemas.openxmlformats.org/officeDocument/2006/relationships/image" Target="media/image6.jp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glossaryDocument" Target="glossary/document.xml"/></Relationships>
</file>

<file path=word/_rels/footnotes.xml.rels><?xml version="1.0" encoding="UTF-8" standalone="yes"?>
<Relationships xmlns="http://schemas.openxmlformats.org/package/2006/relationships"><Relationship Id="rId3" Type="http://schemas.openxmlformats.org/officeDocument/2006/relationships/hyperlink" Target="http://www.hie.co.uk/regional-information/economic-reports-and-research/archive/a-minimum-income-standard-for-remote-rural-scotland.html" TargetMode="External"/><Relationship Id="rId2" Type="http://schemas.openxmlformats.org/officeDocument/2006/relationships/hyperlink" Target="http://ec.europa.eu/regional_policy/sources/docgener/focus/2011_01_typologies.pdf" TargetMode="External"/><Relationship Id="rId1" Type="http://schemas.openxmlformats.org/officeDocument/2006/relationships/hyperlink" Target="http://www.espon.eu/main/Menu_ToolsandMaps/ESPONTypologies/"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53AC5DD1F21B411FA42EFE529C350E30"/>
        <w:category>
          <w:name w:val="General"/>
          <w:gallery w:val="placeholder"/>
        </w:category>
        <w:types>
          <w:type w:val="bbPlcHdr"/>
        </w:types>
        <w:behaviors>
          <w:behavior w:val="content"/>
        </w:behaviors>
        <w:guid w:val="{FF7C952A-7A91-4E89-A3A1-6947C5F63558}"/>
      </w:docPartPr>
      <w:docPartBody>
        <w:p w:rsidR="004E66EC" w:rsidRDefault="009047A7" w:rsidP="009047A7">
          <w:pPr>
            <w:pStyle w:val="53AC5DD1F21B411FA42EFE529C350E30"/>
          </w:pPr>
          <w:r>
            <w:t>[Type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Gill Sans MT">
    <w:charset w:val="00"/>
    <w:family w:val="swiss"/>
    <w:pitch w:val="variable"/>
    <w:sig w:usb0="00000007" w:usb1="00000000" w:usb2="00000000" w:usb3="00000000" w:csb0="00000003" w:csb1="00000000"/>
  </w:font>
  <w:font w:name="Perpetua Titling MT">
    <w:charset w:val="00"/>
    <w:family w:val="roman"/>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revisionView w:formatting="0"/>
  <w:defaultTabStop w:val="720"/>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047A7"/>
    <w:rsid w:val="00272A60"/>
    <w:rsid w:val="00311A6D"/>
    <w:rsid w:val="003938EF"/>
    <w:rsid w:val="004E66EC"/>
    <w:rsid w:val="00682C9B"/>
    <w:rsid w:val="008C7CA8"/>
    <w:rsid w:val="00901E9E"/>
    <w:rsid w:val="009047A7"/>
    <w:rsid w:val="00CB7B9C"/>
    <w:rsid w:val="00EC00A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customStyle="1" w:styleId="53AC5DD1F21B411FA42EFE529C350E30">
    <w:name w:val="53AC5DD1F21B411FA42EFE529C350E30"/>
    <w:rsid w:val="009047A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B55545BE707EE41963776E429A300E2" ma:contentTypeVersion="0" ma:contentTypeDescription="Create a new document." ma:contentTypeScope="" ma:versionID="1960ad8117ed82e40aadc2475d47e6b4">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E38846-E4BC-4808-B43A-213D0B51DBFA}">
  <ds:schemaRefs>
    <ds:schemaRef ds:uri="http://schemas.microsoft.com/sharepoint/v3/contenttype/forms"/>
  </ds:schemaRefs>
</ds:datastoreItem>
</file>

<file path=customXml/itemProps2.xml><?xml version="1.0" encoding="utf-8"?>
<ds:datastoreItem xmlns:ds="http://schemas.openxmlformats.org/officeDocument/2006/customXml" ds:itemID="{10ED32BF-A22B-41B9-9F81-3181BD71591D}">
  <ds:schemaRefs>
    <ds:schemaRef ds:uri="http://schemas.microsoft.com/office/2006/metadata/properties"/>
  </ds:schemaRefs>
</ds:datastoreItem>
</file>

<file path=customXml/itemProps3.xml><?xml version="1.0" encoding="utf-8"?>
<ds:datastoreItem xmlns:ds="http://schemas.openxmlformats.org/officeDocument/2006/customXml" ds:itemID="{5896C497-2871-45A9-BB77-2CEA3F3C1AF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AFE89D60-8325-46CB-9B27-27AC84ED0C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29</Pages>
  <Words>5444</Words>
  <Characters>44103</Characters>
  <Application>Microsoft Office Word</Application>
  <DocSecurity>0</DocSecurity>
  <Lines>367</Lines>
  <Paragraphs>98</Paragraphs>
  <ScaleCrop>false</ScaleCrop>
  <HeadingPairs>
    <vt:vector size="8" baseType="variant">
      <vt:variant>
        <vt:lpstr>Otsikko</vt:lpstr>
      </vt:variant>
      <vt:variant>
        <vt:i4>1</vt:i4>
      </vt:variant>
      <vt:variant>
        <vt:lpstr>Title</vt:lpstr>
      </vt:variant>
      <vt:variant>
        <vt:i4>1</vt:i4>
      </vt:variant>
      <vt:variant>
        <vt:lpstr>Titel</vt:lpstr>
      </vt:variant>
      <vt:variant>
        <vt:i4>1</vt:i4>
      </vt:variant>
      <vt:variant>
        <vt:lpstr>Cím</vt:lpstr>
      </vt:variant>
      <vt:variant>
        <vt:i4>1</vt:i4>
      </vt:variant>
    </vt:vector>
  </HeadingPairs>
  <TitlesOfParts>
    <vt:vector size="4" baseType="lpstr">
      <vt:lpstr>Version 1 22/09/2008</vt:lpstr>
      <vt:lpstr>Version 1 22/09/2008</vt:lpstr>
      <vt:lpstr>Version 1 22/09/2008</vt:lpstr>
      <vt:lpstr>Version 1 22/09/2008</vt:lpstr>
    </vt:vector>
  </TitlesOfParts>
  <Company>BBR</Company>
  <LinksUpToDate>false</LinksUpToDate>
  <CharactersWithSpaces>49449</CharactersWithSpaces>
  <SharedDoc>false</SharedDoc>
  <HLinks>
    <vt:vector size="408" baseType="variant">
      <vt:variant>
        <vt:i4>1835105</vt:i4>
      </vt:variant>
      <vt:variant>
        <vt:i4>531</vt:i4>
      </vt:variant>
      <vt:variant>
        <vt:i4>0</vt:i4>
      </vt:variant>
      <vt:variant>
        <vt:i4>5</vt:i4>
      </vt:variant>
      <vt:variant>
        <vt:lpwstr>http://www.espon.eu/main/Menu_Projects/Menu_ESPON2006Projects/Menu_StudiesScientificSupportProjects/smallandmediumcities.html</vt:lpwstr>
      </vt:variant>
      <vt:variant>
        <vt:lpwstr/>
      </vt:variant>
      <vt:variant>
        <vt:i4>6029340</vt:i4>
      </vt:variant>
      <vt:variant>
        <vt:i4>528</vt:i4>
      </vt:variant>
      <vt:variant>
        <vt:i4>0</vt:i4>
      </vt:variant>
      <vt:variant>
        <vt:i4>5</vt:i4>
      </vt:variant>
      <vt:variant>
        <vt:lpwstr>http://www.abdn.ac.uk/irr/arkleton/conf2000/papers.shtml</vt:lpwstr>
      </vt:variant>
      <vt:variant>
        <vt:lpwstr/>
      </vt:variant>
      <vt:variant>
        <vt:i4>4063279</vt:i4>
      </vt:variant>
      <vt:variant>
        <vt:i4>525</vt:i4>
      </vt:variant>
      <vt:variant>
        <vt:i4>0</vt:i4>
      </vt:variant>
      <vt:variant>
        <vt:i4>5</vt:i4>
      </vt:variant>
      <vt:variant>
        <vt:lpwstr>http://ec.europa.eu/regional_policy/sources/docoffic/official/reports/cohesion5/index_en.cfm</vt:lpwstr>
      </vt:variant>
      <vt:variant>
        <vt:lpwstr/>
      </vt:variant>
      <vt:variant>
        <vt:i4>8126554</vt:i4>
      </vt:variant>
      <vt:variant>
        <vt:i4>522</vt:i4>
      </vt:variant>
      <vt:variant>
        <vt:i4>0</vt:i4>
      </vt:variant>
      <vt:variant>
        <vt:i4>5</vt:i4>
      </vt:variant>
      <vt:variant>
        <vt:lpwstr>http://ec.europa.eu/agriculture/cap-post-2013/communication/index_en.htm</vt:lpwstr>
      </vt:variant>
      <vt:variant>
        <vt:lpwstr/>
      </vt:variant>
      <vt:variant>
        <vt:i4>2883679</vt:i4>
      </vt:variant>
      <vt:variant>
        <vt:i4>519</vt:i4>
      </vt:variant>
      <vt:variant>
        <vt:i4>0</vt:i4>
      </vt:variant>
      <vt:variant>
        <vt:i4>5</vt:i4>
      </vt:variant>
      <vt:variant>
        <vt:lpwstr>http://ec.europa.eu/regional_policy/sources/docgener/focus/2008_01_rural.pdf</vt:lpwstr>
      </vt:variant>
      <vt:variant>
        <vt:lpwstr/>
      </vt:variant>
      <vt:variant>
        <vt:i4>1507331</vt:i4>
      </vt:variant>
      <vt:variant>
        <vt:i4>516</vt:i4>
      </vt:variant>
      <vt:variant>
        <vt:i4>0</vt:i4>
      </vt:variant>
      <vt:variant>
        <vt:i4>5</vt:i4>
      </vt:variant>
      <vt:variant>
        <vt:lpwstr>http://www.espon.eu/main/Menu_Projects/Menu_AppliedResearch/demifer.html</vt:lpwstr>
      </vt:variant>
      <vt:variant>
        <vt:lpwstr/>
      </vt:variant>
      <vt:variant>
        <vt:i4>7995501</vt:i4>
      </vt:variant>
      <vt:variant>
        <vt:i4>513</vt:i4>
      </vt:variant>
      <vt:variant>
        <vt:i4>0</vt:i4>
      </vt:variant>
      <vt:variant>
        <vt:i4>5</vt:i4>
      </vt:variant>
      <vt:variant>
        <vt:lpwstr>http://www.eu-territorial-agenda.eu/Pages/Default.aspx</vt:lpwstr>
      </vt:variant>
      <vt:variant>
        <vt:lpwstr/>
      </vt:variant>
      <vt:variant>
        <vt:i4>2097188</vt:i4>
      </vt:variant>
      <vt:variant>
        <vt:i4>510</vt:i4>
      </vt:variant>
      <vt:variant>
        <vt:i4>0</vt:i4>
      </vt:variant>
      <vt:variant>
        <vt:i4>5</vt:i4>
      </vt:variant>
      <vt:variant>
        <vt:lpwstr>http://www.espon.eu/main/Menu_Projects/Menu_AppliedResearch/tiptap.html</vt:lpwstr>
      </vt:variant>
      <vt:variant>
        <vt:lpwstr/>
      </vt:variant>
      <vt:variant>
        <vt:i4>8061041</vt:i4>
      </vt:variant>
      <vt:variant>
        <vt:i4>507</vt:i4>
      </vt:variant>
      <vt:variant>
        <vt:i4>0</vt:i4>
      </vt:variant>
      <vt:variant>
        <vt:i4>5</vt:i4>
      </vt:variant>
      <vt:variant>
        <vt:lpwstr>http://www.espon.eu/main/Menu_Projects/Menu_ScientificPlatform/typologycompilation.html</vt:lpwstr>
      </vt:variant>
      <vt:variant>
        <vt:lpwstr/>
      </vt:variant>
      <vt:variant>
        <vt:i4>7340057</vt:i4>
      </vt:variant>
      <vt:variant>
        <vt:i4>504</vt:i4>
      </vt:variant>
      <vt:variant>
        <vt:i4>0</vt:i4>
      </vt:variant>
      <vt:variant>
        <vt:i4>5</vt:i4>
      </vt:variant>
      <vt:variant>
        <vt:lpwstr>http://www.espon.eu/main/Menu_Projects/Menu_ESPON2006Projects/Menu_ThematicProjects/urbanrural.html</vt:lpwstr>
      </vt:variant>
      <vt:variant>
        <vt:lpwstr/>
      </vt:variant>
      <vt:variant>
        <vt:i4>1441845</vt:i4>
      </vt:variant>
      <vt:variant>
        <vt:i4>350</vt:i4>
      </vt:variant>
      <vt:variant>
        <vt:i4>0</vt:i4>
      </vt:variant>
      <vt:variant>
        <vt:i4>5</vt:i4>
      </vt:variant>
      <vt:variant>
        <vt:lpwstr/>
      </vt:variant>
      <vt:variant>
        <vt:lpwstr>_Toc287882830</vt:lpwstr>
      </vt:variant>
      <vt:variant>
        <vt:i4>1507381</vt:i4>
      </vt:variant>
      <vt:variant>
        <vt:i4>344</vt:i4>
      </vt:variant>
      <vt:variant>
        <vt:i4>0</vt:i4>
      </vt:variant>
      <vt:variant>
        <vt:i4>5</vt:i4>
      </vt:variant>
      <vt:variant>
        <vt:lpwstr/>
      </vt:variant>
      <vt:variant>
        <vt:lpwstr>_Toc287882829</vt:lpwstr>
      </vt:variant>
      <vt:variant>
        <vt:i4>1507381</vt:i4>
      </vt:variant>
      <vt:variant>
        <vt:i4>338</vt:i4>
      </vt:variant>
      <vt:variant>
        <vt:i4>0</vt:i4>
      </vt:variant>
      <vt:variant>
        <vt:i4>5</vt:i4>
      </vt:variant>
      <vt:variant>
        <vt:lpwstr/>
      </vt:variant>
      <vt:variant>
        <vt:lpwstr>_Toc287882828</vt:lpwstr>
      </vt:variant>
      <vt:variant>
        <vt:i4>1507381</vt:i4>
      </vt:variant>
      <vt:variant>
        <vt:i4>332</vt:i4>
      </vt:variant>
      <vt:variant>
        <vt:i4>0</vt:i4>
      </vt:variant>
      <vt:variant>
        <vt:i4>5</vt:i4>
      </vt:variant>
      <vt:variant>
        <vt:lpwstr/>
      </vt:variant>
      <vt:variant>
        <vt:lpwstr>_Toc287882827</vt:lpwstr>
      </vt:variant>
      <vt:variant>
        <vt:i4>1507381</vt:i4>
      </vt:variant>
      <vt:variant>
        <vt:i4>323</vt:i4>
      </vt:variant>
      <vt:variant>
        <vt:i4>0</vt:i4>
      </vt:variant>
      <vt:variant>
        <vt:i4>5</vt:i4>
      </vt:variant>
      <vt:variant>
        <vt:lpwstr/>
      </vt:variant>
      <vt:variant>
        <vt:lpwstr>_Toc287882826</vt:lpwstr>
      </vt:variant>
      <vt:variant>
        <vt:i4>1507381</vt:i4>
      </vt:variant>
      <vt:variant>
        <vt:i4>317</vt:i4>
      </vt:variant>
      <vt:variant>
        <vt:i4>0</vt:i4>
      </vt:variant>
      <vt:variant>
        <vt:i4>5</vt:i4>
      </vt:variant>
      <vt:variant>
        <vt:lpwstr/>
      </vt:variant>
      <vt:variant>
        <vt:lpwstr>_Toc287882825</vt:lpwstr>
      </vt:variant>
      <vt:variant>
        <vt:i4>1507381</vt:i4>
      </vt:variant>
      <vt:variant>
        <vt:i4>311</vt:i4>
      </vt:variant>
      <vt:variant>
        <vt:i4>0</vt:i4>
      </vt:variant>
      <vt:variant>
        <vt:i4>5</vt:i4>
      </vt:variant>
      <vt:variant>
        <vt:lpwstr/>
      </vt:variant>
      <vt:variant>
        <vt:lpwstr>_Toc287882824</vt:lpwstr>
      </vt:variant>
      <vt:variant>
        <vt:i4>1507381</vt:i4>
      </vt:variant>
      <vt:variant>
        <vt:i4>305</vt:i4>
      </vt:variant>
      <vt:variant>
        <vt:i4>0</vt:i4>
      </vt:variant>
      <vt:variant>
        <vt:i4>5</vt:i4>
      </vt:variant>
      <vt:variant>
        <vt:lpwstr/>
      </vt:variant>
      <vt:variant>
        <vt:lpwstr>_Toc287882823</vt:lpwstr>
      </vt:variant>
      <vt:variant>
        <vt:i4>1507381</vt:i4>
      </vt:variant>
      <vt:variant>
        <vt:i4>299</vt:i4>
      </vt:variant>
      <vt:variant>
        <vt:i4>0</vt:i4>
      </vt:variant>
      <vt:variant>
        <vt:i4>5</vt:i4>
      </vt:variant>
      <vt:variant>
        <vt:lpwstr/>
      </vt:variant>
      <vt:variant>
        <vt:lpwstr>_Toc287882822</vt:lpwstr>
      </vt:variant>
      <vt:variant>
        <vt:i4>1507381</vt:i4>
      </vt:variant>
      <vt:variant>
        <vt:i4>293</vt:i4>
      </vt:variant>
      <vt:variant>
        <vt:i4>0</vt:i4>
      </vt:variant>
      <vt:variant>
        <vt:i4>5</vt:i4>
      </vt:variant>
      <vt:variant>
        <vt:lpwstr/>
      </vt:variant>
      <vt:variant>
        <vt:lpwstr>_Toc287882821</vt:lpwstr>
      </vt:variant>
      <vt:variant>
        <vt:i4>1507381</vt:i4>
      </vt:variant>
      <vt:variant>
        <vt:i4>287</vt:i4>
      </vt:variant>
      <vt:variant>
        <vt:i4>0</vt:i4>
      </vt:variant>
      <vt:variant>
        <vt:i4>5</vt:i4>
      </vt:variant>
      <vt:variant>
        <vt:lpwstr/>
      </vt:variant>
      <vt:variant>
        <vt:lpwstr>_Toc287882820</vt:lpwstr>
      </vt:variant>
      <vt:variant>
        <vt:i4>1310773</vt:i4>
      </vt:variant>
      <vt:variant>
        <vt:i4>281</vt:i4>
      </vt:variant>
      <vt:variant>
        <vt:i4>0</vt:i4>
      </vt:variant>
      <vt:variant>
        <vt:i4>5</vt:i4>
      </vt:variant>
      <vt:variant>
        <vt:lpwstr/>
      </vt:variant>
      <vt:variant>
        <vt:lpwstr>_Toc287882819</vt:lpwstr>
      </vt:variant>
      <vt:variant>
        <vt:i4>1310773</vt:i4>
      </vt:variant>
      <vt:variant>
        <vt:i4>275</vt:i4>
      </vt:variant>
      <vt:variant>
        <vt:i4>0</vt:i4>
      </vt:variant>
      <vt:variant>
        <vt:i4>5</vt:i4>
      </vt:variant>
      <vt:variant>
        <vt:lpwstr/>
      </vt:variant>
      <vt:variant>
        <vt:lpwstr>_Toc287882818</vt:lpwstr>
      </vt:variant>
      <vt:variant>
        <vt:i4>1310773</vt:i4>
      </vt:variant>
      <vt:variant>
        <vt:i4>269</vt:i4>
      </vt:variant>
      <vt:variant>
        <vt:i4>0</vt:i4>
      </vt:variant>
      <vt:variant>
        <vt:i4>5</vt:i4>
      </vt:variant>
      <vt:variant>
        <vt:lpwstr/>
      </vt:variant>
      <vt:variant>
        <vt:lpwstr>_Toc287882817</vt:lpwstr>
      </vt:variant>
      <vt:variant>
        <vt:i4>1310773</vt:i4>
      </vt:variant>
      <vt:variant>
        <vt:i4>263</vt:i4>
      </vt:variant>
      <vt:variant>
        <vt:i4>0</vt:i4>
      </vt:variant>
      <vt:variant>
        <vt:i4>5</vt:i4>
      </vt:variant>
      <vt:variant>
        <vt:lpwstr/>
      </vt:variant>
      <vt:variant>
        <vt:lpwstr>_Toc287882816</vt:lpwstr>
      </vt:variant>
      <vt:variant>
        <vt:i4>1310773</vt:i4>
      </vt:variant>
      <vt:variant>
        <vt:i4>254</vt:i4>
      </vt:variant>
      <vt:variant>
        <vt:i4>0</vt:i4>
      </vt:variant>
      <vt:variant>
        <vt:i4>5</vt:i4>
      </vt:variant>
      <vt:variant>
        <vt:lpwstr/>
      </vt:variant>
      <vt:variant>
        <vt:lpwstr>_Toc287882810</vt:lpwstr>
      </vt:variant>
      <vt:variant>
        <vt:i4>1114169</vt:i4>
      </vt:variant>
      <vt:variant>
        <vt:i4>245</vt:i4>
      </vt:variant>
      <vt:variant>
        <vt:i4>0</vt:i4>
      </vt:variant>
      <vt:variant>
        <vt:i4>5</vt:i4>
      </vt:variant>
      <vt:variant>
        <vt:lpwstr/>
      </vt:variant>
      <vt:variant>
        <vt:lpwstr>_Toc287882440</vt:lpwstr>
      </vt:variant>
      <vt:variant>
        <vt:i4>1441849</vt:i4>
      </vt:variant>
      <vt:variant>
        <vt:i4>239</vt:i4>
      </vt:variant>
      <vt:variant>
        <vt:i4>0</vt:i4>
      </vt:variant>
      <vt:variant>
        <vt:i4>5</vt:i4>
      </vt:variant>
      <vt:variant>
        <vt:lpwstr/>
      </vt:variant>
      <vt:variant>
        <vt:lpwstr>_Toc287882439</vt:lpwstr>
      </vt:variant>
      <vt:variant>
        <vt:i4>1441849</vt:i4>
      </vt:variant>
      <vt:variant>
        <vt:i4>233</vt:i4>
      </vt:variant>
      <vt:variant>
        <vt:i4>0</vt:i4>
      </vt:variant>
      <vt:variant>
        <vt:i4>5</vt:i4>
      </vt:variant>
      <vt:variant>
        <vt:lpwstr/>
      </vt:variant>
      <vt:variant>
        <vt:lpwstr>_Toc287882438</vt:lpwstr>
      </vt:variant>
      <vt:variant>
        <vt:i4>1441849</vt:i4>
      </vt:variant>
      <vt:variant>
        <vt:i4>227</vt:i4>
      </vt:variant>
      <vt:variant>
        <vt:i4>0</vt:i4>
      </vt:variant>
      <vt:variant>
        <vt:i4>5</vt:i4>
      </vt:variant>
      <vt:variant>
        <vt:lpwstr/>
      </vt:variant>
      <vt:variant>
        <vt:lpwstr>_Toc287882437</vt:lpwstr>
      </vt:variant>
      <vt:variant>
        <vt:i4>1441849</vt:i4>
      </vt:variant>
      <vt:variant>
        <vt:i4>221</vt:i4>
      </vt:variant>
      <vt:variant>
        <vt:i4>0</vt:i4>
      </vt:variant>
      <vt:variant>
        <vt:i4>5</vt:i4>
      </vt:variant>
      <vt:variant>
        <vt:lpwstr/>
      </vt:variant>
      <vt:variant>
        <vt:lpwstr>_Toc287882436</vt:lpwstr>
      </vt:variant>
      <vt:variant>
        <vt:i4>1441849</vt:i4>
      </vt:variant>
      <vt:variant>
        <vt:i4>215</vt:i4>
      </vt:variant>
      <vt:variant>
        <vt:i4>0</vt:i4>
      </vt:variant>
      <vt:variant>
        <vt:i4>5</vt:i4>
      </vt:variant>
      <vt:variant>
        <vt:lpwstr/>
      </vt:variant>
      <vt:variant>
        <vt:lpwstr>_Toc287882435</vt:lpwstr>
      </vt:variant>
      <vt:variant>
        <vt:i4>1441849</vt:i4>
      </vt:variant>
      <vt:variant>
        <vt:i4>209</vt:i4>
      </vt:variant>
      <vt:variant>
        <vt:i4>0</vt:i4>
      </vt:variant>
      <vt:variant>
        <vt:i4>5</vt:i4>
      </vt:variant>
      <vt:variant>
        <vt:lpwstr/>
      </vt:variant>
      <vt:variant>
        <vt:lpwstr>_Toc287882434</vt:lpwstr>
      </vt:variant>
      <vt:variant>
        <vt:i4>1441849</vt:i4>
      </vt:variant>
      <vt:variant>
        <vt:i4>203</vt:i4>
      </vt:variant>
      <vt:variant>
        <vt:i4>0</vt:i4>
      </vt:variant>
      <vt:variant>
        <vt:i4>5</vt:i4>
      </vt:variant>
      <vt:variant>
        <vt:lpwstr/>
      </vt:variant>
      <vt:variant>
        <vt:lpwstr>_Toc287882433</vt:lpwstr>
      </vt:variant>
      <vt:variant>
        <vt:i4>1441849</vt:i4>
      </vt:variant>
      <vt:variant>
        <vt:i4>197</vt:i4>
      </vt:variant>
      <vt:variant>
        <vt:i4>0</vt:i4>
      </vt:variant>
      <vt:variant>
        <vt:i4>5</vt:i4>
      </vt:variant>
      <vt:variant>
        <vt:lpwstr/>
      </vt:variant>
      <vt:variant>
        <vt:lpwstr>_Toc287882432</vt:lpwstr>
      </vt:variant>
      <vt:variant>
        <vt:i4>1441849</vt:i4>
      </vt:variant>
      <vt:variant>
        <vt:i4>191</vt:i4>
      </vt:variant>
      <vt:variant>
        <vt:i4>0</vt:i4>
      </vt:variant>
      <vt:variant>
        <vt:i4>5</vt:i4>
      </vt:variant>
      <vt:variant>
        <vt:lpwstr/>
      </vt:variant>
      <vt:variant>
        <vt:lpwstr>_Toc287882431</vt:lpwstr>
      </vt:variant>
      <vt:variant>
        <vt:i4>1441849</vt:i4>
      </vt:variant>
      <vt:variant>
        <vt:i4>185</vt:i4>
      </vt:variant>
      <vt:variant>
        <vt:i4>0</vt:i4>
      </vt:variant>
      <vt:variant>
        <vt:i4>5</vt:i4>
      </vt:variant>
      <vt:variant>
        <vt:lpwstr/>
      </vt:variant>
      <vt:variant>
        <vt:lpwstr>_Toc287882430</vt:lpwstr>
      </vt:variant>
      <vt:variant>
        <vt:i4>1507385</vt:i4>
      </vt:variant>
      <vt:variant>
        <vt:i4>179</vt:i4>
      </vt:variant>
      <vt:variant>
        <vt:i4>0</vt:i4>
      </vt:variant>
      <vt:variant>
        <vt:i4>5</vt:i4>
      </vt:variant>
      <vt:variant>
        <vt:lpwstr/>
      </vt:variant>
      <vt:variant>
        <vt:lpwstr>_Toc287882429</vt:lpwstr>
      </vt:variant>
      <vt:variant>
        <vt:i4>1507385</vt:i4>
      </vt:variant>
      <vt:variant>
        <vt:i4>173</vt:i4>
      </vt:variant>
      <vt:variant>
        <vt:i4>0</vt:i4>
      </vt:variant>
      <vt:variant>
        <vt:i4>5</vt:i4>
      </vt:variant>
      <vt:variant>
        <vt:lpwstr/>
      </vt:variant>
      <vt:variant>
        <vt:lpwstr>_Toc287882428</vt:lpwstr>
      </vt:variant>
      <vt:variant>
        <vt:i4>1507385</vt:i4>
      </vt:variant>
      <vt:variant>
        <vt:i4>167</vt:i4>
      </vt:variant>
      <vt:variant>
        <vt:i4>0</vt:i4>
      </vt:variant>
      <vt:variant>
        <vt:i4>5</vt:i4>
      </vt:variant>
      <vt:variant>
        <vt:lpwstr/>
      </vt:variant>
      <vt:variant>
        <vt:lpwstr>_Toc287882427</vt:lpwstr>
      </vt:variant>
      <vt:variant>
        <vt:i4>1507385</vt:i4>
      </vt:variant>
      <vt:variant>
        <vt:i4>161</vt:i4>
      </vt:variant>
      <vt:variant>
        <vt:i4>0</vt:i4>
      </vt:variant>
      <vt:variant>
        <vt:i4>5</vt:i4>
      </vt:variant>
      <vt:variant>
        <vt:lpwstr/>
      </vt:variant>
      <vt:variant>
        <vt:lpwstr>_Toc287882426</vt:lpwstr>
      </vt:variant>
      <vt:variant>
        <vt:i4>1507385</vt:i4>
      </vt:variant>
      <vt:variant>
        <vt:i4>155</vt:i4>
      </vt:variant>
      <vt:variant>
        <vt:i4>0</vt:i4>
      </vt:variant>
      <vt:variant>
        <vt:i4>5</vt:i4>
      </vt:variant>
      <vt:variant>
        <vt:lpwstr/>
      </vt:variant>
      <vt:variant>
        <vt:lpwstr>_Toc287882425</vt:lpwstr>
      </vt:variant>
      <vt:variant>
        <vt:i4>1507385</vt:i4>
      </vt:variant>
      <vt:variant>
        <vt:i4>149</vt:i4>
      </vt:variant>
      <vt:variant>
        <vt:i4>0</vt:i4>
      </vt:variant>
      <vt:variant>
        <vt:i4>5</vt:i4>
      </vt:variant>
      <vt:variant>
        <vt:lpwstr/>
      </vt:variant>
      <vt:variant>
        <vt:lpwstr>_Toc287882424</vt:lpwstr>
      </vt:variant>
      <vt:variant>
        <vt:i4>1507385</vt:i4>
      </vt:variant>
      <vt:variant>
        <vt:i4>143</vt:i4>
      </vt:variant>
      <vt:variant>
        <vt:i4>0</vt:i4>
      </vt:variant>
      <vt:variant>
        <vt:i4>5</vt:i4>
      </vt:variant>
      <vt:variant>
        <vt:lpwstr/>
      </vt:variant>
      <vt:variant>
        <vt:lpwstr>_Toc287882423</vt:lpwstr>
      </vt:variant>
      <vt:variant>
        <vt:i4>1507385</vt:i4>
      </vt:variant>
      <vt:variant>
        <vt:i4>137</vt:i4>
      </vt:variant>
      <vt:variant>
        <vt:i4>0</vt:i4>
      </vt:variant>
      <vt:variant>
        <vt:i4>5</vt:i4>
      </vt:variant>
      <vt:variant>
        <vt:lpwstr/>
      </vt:variant>
      <vt:variant>
        <vt:lpwstr>_Toc287882422</vt:lpwstr>
      </vt:variant>
      <vt:variant>
        <vt:i4>1507385</vt:i4>
      </vt:variant>
      <vt:variant>
        <vt:i4>131</vt:i4>
      </vt:variant>
      <vt:variant>
        <vt:i4>0</vt:i4>
      </vt:variant>
      <vt:variant>
        <vt:i4>5</vt:i4>
      </vt:variant>
      <vt:variant>
        <vt:lpwstr/>
      </vt:variant>
      <vt:variant>
        <vt:lpwstr>_Toc287882421</vt:lpwstr>
      </vt:variant>
      <vt:variant>
        <vt:i4>1507385</vt:i4>
      </vt:variant>
      <vt:variant>
        <vt:i4>125</vt:i4>
      </vt:variant>
      <vt:variant>
        <vt:i4>0</vt:i4>
      </vt:variant>
      <vt:variant>
        <vt:i4>5</vt:i4>
      </vt:variant>
      <vt:variant>
        <vt:lpwstr/>
      </vt:variant>
      <vt:variant>
        <vt:lpwstr>_Toc287882420</vt:lpwstr>
      </vt:variant>
      <vt:variant>
        <vt:i4>1310777</vt:i4>
      </vt:variant>
      <vt:variant>
        <vt:i4>119</vt:i4>
      </vt:variant>
      <vt:variant>
        <vt:i4>0</vt:i4>
      </vt:variant>
      <vt:variant>
        <vt:i4>5</vt:i4>
      </vt:variant>
      <vt:variant>
        <vt:lpwstr/>
      </vt:variant>
      <vt:variant>
        <vt:lpwstr>_Toc287882419</vt:lpwstr>
      </vt:variant>
      <vt:variant>
        <vt:i4>1310777</vt:i4>
      </vt:variant>
      <vt:variant>
        <vt:i4>113</vt:i4>
      </vt:variant>
      <vt:variant>
        <vt:i4>0</vt:i4>
      </vt:variant>
      <vt:variant>
        <vt:i4>5</vt:i4>
      </vt:variant>
      <vt:variant>
        <vt:lpwstr/>
      </vt:variant>
      <vt:variant>
        <vt:lpwstr>_Toc287882418</vt:lpwstr>
      </vt:variant>
      <vt:variant>
        <vt:i4>1310777</vt:i4>
      </vt:variant>
      <vt:variant>
        <vt:i4>107</vt:i4>
      </vt:variant>
      <vt:variant>
        <vt:i4>0</vt:i4>
      </vt:variant>
      <vt:variant>
        <vt:i4>5</vt:i4>
      </vt:variant>
      <vt:variant>
        <vt:lpwstr/>
      </vt:variant>
      <vt:variant>
        <vt:lpwstr>_Toc287882417</vt:lpwstr>
      </vt:variant>
      <vt:variant>
        <vt:i4>1310777</vt:i4>
      </vt:variant>
      <vt:variant>
        <vt:i4>101</vt:i4>
      </vt:variant>
      <vt:variant>
        <vt:i4>0</vt:i4>
      </vt:variant>
      <vt:variant>
        <vt:i4>5</vt:i4>
      </vt:variant>
      <vt:variant>
        <vt:lpwstr/>
      </vt:variant>
      <vt:variant>
        <vt:lpwstr>_Toc287882416</vt:lpwstr>
      </vt:variant>
      <vt:variant>
        <vt:i4>1310777</vt:i4>
      </vt:variant>
      <vt:variant>
        <vt:i4>95</vt:i4>
      </vt:variant>
      <vt:variant>
        <vt:i4>0</vt:i4>
      </vt:variant>
      <vt:variant>
        <vt:i4>5</vt:i4>
      </vt:variant>
      <vt:variant>
        <vt:lpwstr/>
      </vt:variant>
      <vt:variant>
        <vt:lpwstr>_Toc287882415</vt:lpwstr>
      </vt:variant>
      <vt:variant>
        <vt:i4>1310777</vt:i4>
      </vt:variant>
      <vt:variant>
        <vt:i4>89</vt:i4>
      </vt:variant>
      <vt:variant>
        <vt:i4>0</vt:i4>
      </vt:variant>
      <vt:variant>
        <vt:i4>5</vt:i4>
      </vt:variant>
      <vt:variant>
        <vt:lpwstr/>
      </vt:variant>
      <vt:variant>
        <vt:lpwstr>_Toc287882414</vt:lpwstr>
      </vt:variant>
      <vt:variant>
        <vt:i4>1310777</vt:i4>
      </vt:variant>
      <vt:variant>
        <vt:i4>83</vt:i4>
      </vt:variant>
      <vt:variant>
        <vt:i4>0</vt:i4>
      </vt:variant>
      <vt:variant>
        <vt:i4>5</vt:i4>
      </vt:variant>
      <vt:variant>
        <vt:lpwstr/>
      </vt:variant>
      <vt:variant>
        <vt:lpwstr>_Toc287882413</vt:lpwstr>
      </vt:variant>
      <vt:variant>
        <vt:i4>1310777</vt:i4>
      </vt:variant>
      <vt:variant>
        <vt:i4>77</vt:i4>
      </vt:variant>
      <vt:variant>
        <vt:i4>0</vt:i4>
      </vt:variant>
      <vt:variant>
        <vt:i4>5</vt:i4>
      </vt:variant>
      <vt:variant>
        <vt:lpwstr/>
      </vt:variant>
      <vt:variant>
        <vt:lpwstr>_Toc287882412</vt:lpwstr>
      </vt:variant>
      <vt:variant>
        <vt:i4>1310777</vt:i4>
      </vt:variant>
      <vt:variant>
        <vt:i4>71</vt:i4>
      </vt:variant>
      <vt:variant>
        <vt:i4>0</vt:i4>
      </vt:variant>
      <vt:variant>
        <vt:i4>5</vt:i4>
      </vt:variant>
      <vt:variant>
        <vt:lpwstr/>
      </vt:variant>
      <vt:variant>
        <vt:lpwstr>_Toc287882411</vt:lpwstr>
      </vt:variant>
      <vt:variant>
        <vt:i4>1310777</vt:i4>
      </vt:variant>
      <vt:variant>
        <vt:i4>65</vt:i4>
      </vt:variant>
      <vt:variant>
        <vt:i4>0</vt:i4>
      </vt:variant>
      <vt:variant>
        <vt:i4>5</vt:i4>
      </vt:variant>
      <vt:variant>
        <vt:lpwstr/>
      </vt:variant>
      <vt:variant>
        <vt:lpwstr>_Toc287882410</vt:lpwstr>
      </vt:variant>
      <vt:variant>
        <vt:i4>1376313</vt:i4>
      </vt:variant>
      <vt:variant>
        <vt:i4>59</vt:i4>
      </vt:variant>
      <vt:variant>
        <vt:i4>0</vt:i4>
      </vt:variant>
      <vt:variant>
        <vt:i4>5</vt:i4>
      </vt:variant>
      <vt:variant>
        <vt:lpwstr/>
      </vt:variant>
      <vt:variant>
        <vt:lpwstr>_Toc287882409</vt:lpwstr>
      </vt:variant>
      <vt:variant>
        <vt:i4>1376313</vt:i4>
      </vt:variant>
      <vt:variant>
        <vt:i4>53</vt:i4>
      </vt:variant>
      <vt:variant>
        <vt:i4>0</vt:i4>
      </vt:variant>
      <vt:variant>
        <vt:i4>5</vt:i4>
      </vt:variant>
      <vt:variant>
        <vt:lpwstr/>
      </vt:variant>
      <vt:variant>
        <vt:lpwstr>_Toc287882408</vt:lpwstr>
      </vt:variant>
      <vt:variant>
        <vt:i4>1376313</vt:i4>
      </vt:variant>
      <vt:variant>
        <vt:i4>47</vt:i4>
      </vt:variant>
      <vt:variant>
        <vt:i4>0</vt:i4>
      </vt:variant>
      <vt:variant>
        <vt:i4>5</vt:i4>
      </vt:variant>
      <vt:variant>
        <vt:lpwstr/>
      </vt:variant>
      <vt:variant>
        <vt:lpwstr>_Toc287882407</vt:lpwstr>
      </vt:variant>
      <vt:variant>
        <vt:i4>1376313</vt:i4>
      </vt:variant>
      <vt:variant>
        <vt:i4>41</vt:i4>
      </vt:variant>
      <vt:variant>
        <vt:i4>0</vt:i4>
      </vt:variant>
      <vt:variant>
        <vt:i4>5</vt:i4>
      </vt:variant>
      <vt:variant>
        <vt:lpwstr/>
      </vt:variant>
      <vt:variant>
        <vt:lpwstr>_Toc287882406</vt:lpwstr>
      </vt:variant>
      <vt:variant>
        <vt:i4>1376313</vt:i4>
      </vt:variant>
      <vt:variant>
        <vt:i4>35</vt:i4>
      </vt:variant>
      <vt:variant>
        <vt:i4>0</vt:i4>
      </vt:variant>
      <vt:variant>
        <vt:i4>5</vt:i4>
      </vt:variant>
      <vt:variant>
        <vt:lpwstr/>
      </vt:variant>
      <vt:variant>
        <vt:lpwstr>_Toc287882405</vt:lpwstr>
      </vt:variant>
      <vt:variant>
        <vt:i4>1376313</vt:i4>
      </vt:variant>
      <vt:variant>
        <vt:i4>29</vt:i4>
      </vt:variant>
      <vt:variant>
        <vt:i4>0</vt:i4>
      </vt:variant>
      <vt:variant>
        <vt:i4>5</vt:i4>
      </vt:variant>
      <vt:variant>
        <vt:lpwstr/>
      </vt:variant>
      <vt:variant>
        <vt:lpwstr>_Toc287882404</vt:lpwstr>
      </vt:variant>
      <vt:variant>
        <vt:i4>1376313</vt:i4>
      </vt:variant>
      <vt:variant>
        <vt:i4>23</vt:i4>
      </vt:variant>
      <vt:variant>
        <vt:i4>0</vt:i4>
      </vt:variant>
      <vt:variant>
        <vt:i4>5</vt:i4>
      </vt:variant>
      <vt:variant>
        <vt:lpwstr/>
      </vt:variant>
      <vt:variant>
        <vt:lpwstr>_Toc287882403</vt:lpwstr>
      </vt:variant>
      <vt:variant>
        <vt:i4>1376313</vt:i4>
      </vt:variant>
      <vt:variant>
        <vt:i4>17</vt:i4>
      </vt:variant>
      <vt:variant>
        <vt:i4>0</vt:i4>
      </vt:variant>
      <vt:variant>
        <vt:i4>5</vt:i4>
      </vt:variant>
      <vt:variant>
        <vt:lpwstr/>
      </vt:variant>
      <vt:variant>
        <vt:lpwstr>_Toc287882402</vt:lpwstr>
      </vt:variant>
      <vt:variant>
        <vt:i4>1376313</vt:i4>
      </vt:variant>
      <vt:variant>
        <vt:i4>11</vt:i4>
      </vt:variant>
      <vt:variant>
        <vt:i4>0</vt:i4>
      </vt:variant>
      <vt:variant>
        <vt:i4>5</vt:i4>
      </vt:variant>
      <vt:variant>
        <vt:lpwstr/>
      </vt:variant>
      <vt:variant>
        <vt:lpwstr>_Toc287882401</vt:lpwstr>
      </vt:variant>
      <vt:variant>
        <vt:i4>1376313</vt:i4>
      </vt:variant>
      <vt:variant>
        <vt:i4>5</vt:i4>
      </vt:variant>
      <vt:variant>
        <vt:i4>0</vt:i4>
      </vt:variant>
      <vt:variant>
        <vt:i4>5</vt:i4>
      </vt:variant>
      <vt:variant>
        <vt:lpwstr/>
      </vt:variant>
      <vt:variant>
        <vt:lpwstr>_Toc287882400</vt:lpwstr>
      </vt:variant>
      <vt:variant>
        <vt:i4>1703959</vt:i4>
      </vt:variant>
      <vt:variant>
        <vt:i4>0</vt:i4>
      </vt:variant>
      <vt:variant>
        <vt:i4>0</vt:i4>
      </vt:variant>
      <vt:variant>
        <vt:i4>5</vt:i4>
      </vt:variant>
      <vt:variant>
        <vt:lpwstr>http://www.espon.eu/</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Version 1 22/09/2008</dc:title>
  <dc:creator>mehlbye</dc:creator>
  <cp:lastModifiedBy>Petri Kahila</cp:lastModifiedBy>
  <cp:revision>2</cp:revision>
  <cp:lastPrinted>2014-07-25T13:40:00Z</cp:lastPrinted>
  <dcterms:created xsi:type="dcterms:W3CDTF">2014-10-16T23:40:00Z</dcterms:created>
  <dcterms:modified xsi:type="dcterms:W3CDTF">2014-10-16T23:40:00Z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0x0101000B55545BE707EE41963776E429A300E2</vt:lpwstr>
  </property>
</Properties>
</file>